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0063" w:rsidP="00BE2886" w14:paraId="4E0A7324" w14:textId="77777777">
      <w:pPr>
        <w:jc w:val="center"/>
        <w:rPr>
          <w:b/>
          <w:szCs w:val="22"/>
        </w:rPr>
      </w:pPr>
    </w:p>
    <w:p w:rsidR="00BE2886" w:rsidRPr="00E234F4" w:rsidP="00BE2886" w14:paraId="36F4F886" w14:textId="1BBA1D80">
      <w:pPr>
        <w:jc w:val="center"/>
        <w:rPr>
          <w:b/>
          <w:szCs w:val="22"/>
        </w:rPr>
      </w:pPr>
      <w:r w:rsidRPr="00E234F4">
        <w:rPr>
          <w:b/>
          <w:szCs w:val="22"/>
        </w:rPr>
        <w:t>SUPPORTING STATEMENT</w:t>
      </w:r>
    </w:p>
    <w:p w:rsidR="00E234F4" w:rsidRPr="00E234F4" w:rsidP="00BE2886" w14:paraId="519BB803" w14:textId="77777777">
      <w:pPr>
        <w:jc w:val="center"/>
        <w:rPr>
          <w:szCs w:val="22"/>
        </w:rPr>
      </w:pPr>
    </w:p>
    <w:p w:rsidR="00E234F4" w:rsidRPr="00E234F4" w:rsidP="00E234F4" w14:paraId="79AFD148" w14:textId="1E14C8AC">
      <w:pPr>
        <w:rPr>
          <w:b/>
          <w:bCs/>
          <w:szCs w:val="22"/>
        </w:rPr>
      </w:pPr>
      <w:r w:rsidRPr="00E234F4">
        <w:rPr>
          <w:b/>
          <w:bCs/>
          <w:szCs w:val="22"/>
        </w:rPr>
        <w:t xml:space="preserve">A. </w:t>
      </w:r>
      <w:r w:rsidRPr="00ED3F4D">
        <w:rPr>
          <w:rFonts w:ascii="Times New Roman Bold" w:hAnsi="Times New Roman Bold"/>
          <w:b/>
          <w:bCs/>
          <w:caps/>
          <w:szCs w:val="22"/>
        </w:rPr>
        <w:t>Justification</w:t>
      </w:r>
    </w:p>
    <w:p w:rsidR="00E234F4" w:rsidRPr="00E234F4" w:rsidP="00E234F4" w14:paraId="6E293253" w14:textId="77777777">
      <w:pPr>
        <w:rPr>
          <w:b/>
          <w:bCs/>
          <w:szCs w:val="22"/>
        </w:rPr>
      </w:pPr>
    </w:p>
    <w:p w:rsidR="00F1040D" w:rsidRPr="00E234F4" w:rsidP="00E234F4" w14:paraId="53AFA52F" w14:textId="211B6CE0">
      <w:pPr>
        <w:pStyle w:val="ListParagraph"/>
        <w:numPr>
          <w:ilvl w:val="0"/>
          <w:numId w:val="24"/>
        </w:numPr>
        <w:rPr>
          <w:b/>
          <w:bCs/>
          <w:szCs w:val="22"/>
        </w:rPr>
      </w:pPr>
      <w:r w:rsidRPr="00E234F4">
        <w:rPr>
          <w:b/>
          <w:bCs/>
          <w:szCs w:val="22"/>
        </w:rPr>
        <w:t>Explain the circumstances that make the collection of information necessary.  Identify any legal or administrative requirements that necessitate the collection.</w:t>
      </w:r>
    </w:p>
    <w:p w:rsidR="00BE2886" w:rsidRPr="00E234F4" w:rsidP="00BE2886" w14:paraId="247234E4" w14:textId="77777777">
      <w:pPr>
        <w:rPr>
          <w:szCs w:val="22"/>
        </w:rPr>
      </w:pPr>
    </w:p>
    <w:p w:rsidR="000E19F7" w:rsidP="000E19F7" w14:paraId="7547C504" w14:textId="786F4AE8">
      <w:r w:rsidRPr="00E234F4">
        <w:rPr>
          <w:szCs w:val="22"/>
        </w:rPr>
        <w:t xml:space="preserve">The Federal Communications Commission (Commission) </w:t>
      </w:r>
      <w:r w:rsidR="00C86FD5">
        <w:rPr>
          <w:szCs w:val="22"/>
        </w:rPr>
        <w:t xml:space="preserve">seeks approval from </w:t>
      </w:r>
      <w:r w:rsidR="00E77F79">
        <w:rPr>
          <w:szCs w:val="22"/>
        </w:rPr>
        <w:t xml:space="preserve">the </w:t>
      </w:r>
      <w:r w:rsidRPr="00E234F4">
        <w:rPr>
          <w:szCs w:val="22"/>
        </w:rPr>
        <w:t xml:space="preserve">Office of </w:t>
      </w:r>
      <w:r w:rsidRPr="00E234F4" w:rsidR="00BE2886">
        <w:rPr>
          <w:szCs w:val="22"/>
        </w:rPr>
        <w:t>Management</w:t>
      </w:r>
      <w:r w:rsidRPr="00E234F4" w:rsidR="00A50696">
        <w:rPr>
          <w:szCs w:val="22"/>
        </w:rPr>
        <w:t xml:space="preserve"> and Budget (OMB) </w:t>
      </w:r>
      <w:r w:rsidR="00C86FD5">
        <w:rPr>
          <w:szCs w:val="22"/>
        </w:rPr>
        <w:t xml:space="preserve">for </w:t>
      </w:r>
      <w:r w:rsidRPr="00E234F4" w:rsidR="00CB6769">
        <w:rPr>
          <w:szCs w:val="22"/>
        </w:rPr>
        <w:t xml:space="preserve">the </w:t>
      </w:r>
      <w:r w:rsidRPr="00E234F4" w:rsidR="00B806BB">
        <w:rPr>
          <w:szCs w:val="22"/>
        </w:rPr>
        <w:t xml:space="preserve">revised </w:t>
      </w:r>
      <w:r w:rsidRPr="00E234F4" w:rsidR="00BE2886">
        <w:rPr>
          <w:szCs w:val="22"/>
        </w:rPr>
        <w:t>informa</w:t>
      </w:r>
      <w:r w:rsidRPr="00E234F4" w:rsidR="00DD5886">
        <w:rPr>
          <w:szCs w:val="22"/>
        </w:rPr>
        <w:t>tion collection</w:t>
      </w:r>
      <w:r w:rsidRPr="00E234F4" w:rsidR="00C15EBE">
        <w:rPr>
          <w:szCs w:val="22"/>
        </w:rPr>
        <w:t xml:space="preserve"> for the annual </w:t>
      </w:r>
      <w:r w:rsidR="00306CDE">
        <w:rPr>
          <w:szCs w:val="22"/>
        </w:rPr>
        <w:t xml:space="preserve">submarine cable </w:t>
      </w:r>
      <w:r w:rsidRPr="00E234F4" w:rsidR="00C15EBE">
        <w:rPr>
          <w:szCs w:val="22"/>
        </w:rPr>
        <w:t>circuit capacity reports</w:t>
      </w:r>
      <w:r w:rsidR="00037707">
        <w:rPr>
          <w:szCs w:val="22"/>
        </w:rPr>
        <w:t xml:space="preserve"> </w:t>
      </w:r>
      <w:r w:rsidR="00E77F79">
        <w:rPr>
          <w:szCs w:val="22"/>
        </w:rPr>
        <w:t xml:space="preserve">required </w:t>
      </w:r>
      <w:r w:rsidR="00037707">
        <w:rPr>
          <w:szCs w:val="22"/>
        </w:rPr>
        <w:t xml:space="preserve">pursuant to </w:t>
      </w:r>
      <w:r w:rsidR="009664E4">
        <w:rPr>
          <w:szCs w:val="22"/>
        </w:rPr>
        <w:t xml:space="preserve">the Cable Landing License Act of 1921 and </w:t>
      </w:r>
      <w:r w:rsidR="00037707">
        <w:rPr>
          <w:szCs w:val="22"/>
        </w:rPr>
        <w:t>section 43.82 of the Commission’s rules</w:t>
      </w:r>
      <w:r w:rsidRPr="00E234F4" w:rsidR="00C15EBE">
        <w:rPr>
          <w:szCs w:val="22"/>
        </w:rPr>
        <w:t>.</w:t>
      </w:r>
      <w:r>
        <w:rPr>
          <w:rStyle w:val="FootnoteReference"/>
          <w:szCs w:val="22"/>
        </w:rPr>
        <w:footnoteReference w:id="2"/>
      </w:r>
      <w:r w:rsidRPr="00E234F4" w:rsidR="00C15EBE">
        <w:rPr>
          <w:szCs w:val="22"/>
        </w:rPr>
        <w:t xml:space="preserve">  </w:t>
      </w:r>
      <w:r w:rsidRPr="00E234F4" w:rsidR="00FF7173">
        <w:rPr>
          <w:rStyle w:val="normaltextrun"/>
          <w:rFonts w:asciiTheme="majorBidi" w:hAnsiTheme="majorBidi" w:cstheme="majorBidi"/>
          <w:szCs w:val="22"/>
        </w:rPr>
        <w:t>On August 7, 2025, the Commission adopted a Report and Order and Further Notice of Proposed Rulemaking (</w:t>
      </w:r>
      <w:r w:rsidR="00412A7F">
        <w:rPr>
          <w:rStyle w:val="normaltextrun"/>
          <w:rFonts w:asciiTheme="majorBidi" w:hAnsiTheme="majorBidi" w:cstheme="majorBidi"/>
          <w:i/>
          <w:szCs w:val="22"/>
        </w:rPr>
        <w:t xml:space="preserve">Submarine </w:t>
      </w:r>
      <w:r w:rsidRPr="00E234F4" w:rsidR="00FF7173">
        <w:rPr>
          <w:rStyle w:val="normaltextrun"/>
          <w:rFonts w:asciiTheme="majorBidi" w:hAnsiTheme="majorBidi" w:cstheme="majorBidi"/>
          <w:i/>
          <w:szCs w:val="22"/>
        </w:rPr>
        <w:t>Report and Order</w:t>
      </w:r>
      <w:r w:rsidRPr="00E234F4" w:rsidR="00FF7173">
        <w:rPr>
          <w:rStyle w:val="normaltextrun"/>
          <w:rFonts w:asciiTheme="majorBidi" w:hAnsiTheme="majorBidi" w:cstheme="majorBidi"/>
          <w:szCs w:val="22"/>
        </w:rPr>
        <w:t>) that modernize</w:t>
      </w:r>
      <w:r w:rsidR="00C86FD5">
        <w:rPr>
          <w:rStyle w:val="normaltextrun"/>
          <w:rFonts w:asciiTheme="majorBidi" w:hAnsiTheme="majorBidi" w:cstheme="majorBidi"/>
          <w:szCs w:val="22"/>
        </w:rPr>
        <w:t>d</w:t>
      </w:r>
      <w:r w:rsidRPr="00E234F4" w:rsidR="00FF7173">
        <w:rPr>
          <w:rStyle w:val="normaltextrun"/>
          <w:rFonts w:asciiTheme="majorBidi" w:hAnsiTheme="majorBidi" w:cstheme="majorBidi"/>
          <w:szCs w:val="22"/>
        </w:rPr>
        <w:t xml:space="preserve"> the Commission’s submarine cable rules, including </w:t>
      </w:r>
      <w:r w:rsidR="005063EC">
        <w:rPr>
          <w:rStyle w:val="normaltextrun"/>
          <w:rFonts w:asciiTheme="majorBidi" w:hAnsiTheme="majorBidi" w:cstheme="majorBidi"/>
          <w:szCs w:val="22"/>
        </w:rPr>
        <w:t xml:space="preserve">adopting </w:t>
      </w:r>
      <w:r w:rsidRPr="00E234F4" w:rsidR="00702CAC">
        <w:rPr>
          <w:rStyle w:val="normaltextrun"/>
          <w:rFonts w:asciiTheme="majorBidi" w:hAnsiTheme="majorBidi" w:cstheme="majorBidi"/>
          <w:szCs w:val="22"/>
        </w:rPr>
        <w:t>new rules regarding the annual circuit capacity reports</w:t>
      </w:r>
      <w:r w:rsidRPr="00E234F4" w:rsidR="00FF7173">
        <w:rPr>
          <w:rStyle w:val="normaltextrun"/>
          <w:rFonts w:asciiTheme="majorBidi" w:hAnsiTheme="majorBidi" w:cstheme="majorBidi"/>
          <w:szCs w:val="22"/>
        </w:rPr>
        <w:t>.</w:t>
      </w:r>
      <w:r>
        <w:rPr>
          <w:rStyle w:val="FootnoteReference"/>
          <w:rFonts w:cstheme="majorBidi"/>
          <w:szCs w:val="22"/>
        </w:rPr>
        <w:footnoteReference w:id="3"/>
      </w:r>
      <w:r w:rsidRPr="00E234F4" w:rsidR="00FF7173">
        <w:rPr>
          <w:rStyle w:val="normaltextrun"/>
          <w:rFonts w:asciiTheme="majorBidi" w:hAnsiTheme="majorBidi" w:cstheme="majorBidi"/>
          <w:szCs w:val="22"/>
        </w:rPr>
        <w:t xml:space="preserve">  </w:t>
      </w:r>
      <w:r w:rsidR="009B30D2">
        <w:rPr>
          <w:rStyle w:val="normaltextrun"/>
          <w:rFonts w:asciiTheme="majorBidi" w:hAnsiTheme="majorBidi" w:cstheme="majorBidi"/>
          <w:szCs w:val="22"/>
        </w:rPr>
        <w:t>With respect to the annual submarine cable circuit capacity data collection, t</w:t>
      </w:r>
      <w:r w:rsidRPr="00E234F4" w:rsidR="00FA3DD8">
        <w:rPr>
          <w:rStyle w:val="normaltextrun"/>
          <w:rFonts w:asciiTheme="majorBidi" w:hAnsiTheme="majorBidi" w:cstheme="majorBidi"/>
          <w:szCs w:val="22"/>
        </w:rPr>
        <w:t xml:space="preserve">he Commission </w:t>
      </w:r>
      <w:r w:rsidRPr="00E234F4" w:rsidR="007E3F94">
        <w:rPr>
          <w:rStyle w:val="normaltextrun"/>
          <w:rFonts w:asciiTheme="majorBidi" w:hAnsiTheme="majorBidi" w:cstheme="majorBidi"/>
          <w:szCs w:val="22"/>
        </w:rPr>
        <w:t>modif</w:t>
      </w:r>
      <w:r w:rsidRPr="00E234F4" w:rsidR="00FA3DD8">
        <w:rPr>
          <w:rStyle w:val="normaltextrun"/>
          <w:rFonts w:asciiTheme="majorBidi" w:hAnsiTheme="majorBidi" w:cstheme="majorBidi"/>
          <w:szCs w:val="22"/>
        </w:rPr>
        <w:t xml:space="preserve">ied </w:t>
      </w:r>
      <w:r w:rsidRPr="00E234F4" w:rsidR="007E3F94">
        <w:rPr>
          <w:rStyle w:val="normaltextrun"/>
          <w:rFonts w:asciiTheme="majorBidi" w:hAnsiTheme="majorBidi" w:cstheme="majorBidi"/>
          <w:szCs w:val="22"/>
        </w:rPr>
        <w:t xml:space="preserve">the circuit capacity reporting requirements to enhance the quality and usefulness of the data for national security and other purposes, provide greater clarity </w:t>
      </w:r>
      <w:r w:rsidR="0044452C">
        <w:rPr>
          <w:rStyle w:val="normaltextrun"/>
          <w:rFonts w:asciiTheme="majorBidi" w:hAnsiTheme="majorBidi" w:cstheme="majorBidi"/>
          <w:szCs w:val="22"/>
        </w:rPr>
        <w:t>to licensees and common carriers</w:t>
      </w:r>
      <w:r w:rsidRPr="00E234F4" w:rsidR="0044452C">
        <w:rPr>
          <w:rStyle w:val="normaltextrun"/>
          <w:rFonts w:asciiTheme="majorBidi" w:hAnsiTheme="majorBidi" w:cstheme="majorBidi"/>
          <w:szCs w:val="22"/>
        </w:rPr>
        <w:t xml:space="preserve"> </w:t>
      </w:r>
      <w:r w:rsidR="0044452C">
        <w:rPr>
          <w:rStyle w:val="normaltextrun"/>
          <w:rFonts w:asciiTheme="majorBidi" w:hAnsiTheme="majorBidi" w:cstheme="majorBidi"/>
          <w:szCs w:val="22"/>
        </w:rPr>
        <w:t xml:space="preserve">(Filing Entities) </w:t>
      </w:r>
      <w:r w:rsidRPr="00E234F4" w:rsidR="007E3F94">
        <w:rPr>
          <w:rStyle w:val="normaltextrun"/>
          <w:rFonts w:asciiTheme="majorBidi" w:hAnsiTheme="majorBidi" w:cstheme="majorBidi"/>
          <w:szCs w:val="22"/>
        </w:rPr>
        <w:t xml:space="preserve">on the reporting requirements </w:t>
      </w:r>
      <w:r w:rsidR="00163C42">
        <w:rPr>
          <w:rStyle w:val="normaltextrun"/>
          <w:rFonts w:asciiTheme="majorBidi" w:hAnsiTheme="majorBidi" w:cstheme="majorBidi"/>
          <w:szCs w:val="22"/>
        </w:rPr>
        <w:t>for</w:t>
      </w:r>
      <w:r w:rsidRPr="00E234F4" w:rsidR="007E3F94">
        <w:rPr>
          <w:rStyle w:val="normaltextrun"/>
          <w:rFonts w:asciiTheme="majorBidi" w:hAnsiTheme="majorBidi" w:cstheme="majorBidi"/>
          <w:szCs w:val="22"/>
        </w:rPr>
        <w:t xml:space="preserve"> Filing Entities, and eliminate</w:t>
      </w:r>
      <w:r w:rsidRPr="00E234F4" w:rsidR="00FA3DD8">
        <w:rPr>
          <w:rStyle w:val="normaltextrun"/>
          <w:rFonts w:asciiTheme="majorBidi" w:hAnsiTheme="majorBidi" w:cstheme="majorBidi"/>
          <w:szCs w:val="22"/>
        </w:rPr>
        <w:t>d</w:t>
      </w:r>
      <w:r w:rsidRPr="00E234F4" w:rsidR="007E3F94">
        <w:rPr>
          <w:rStyle w:val="normaltextrun"/>
          <w:rFonts w:asciiTheme="majorBidi" w:hAnsiTheme="majorBidi" w:cstheme="majorBidi"/>
          <w:szCs w:val="22"/>
        </w:rPr>
        <w:t xml:space="preserve"> duplicative burdens.</w:t>
      </w:r>
      <w:r w:rsidRPr="00E234F4" w:rsidR="00116EA8">
        <w:rPr>
          <w:szCs w:val="22"/>
        </w:rPr>
        <w:t xml:space="preserve">  </w:t>
      </w:r>
    </w:p>
    <w:p w:rsidR="000E19F7" w:rsidP="000E19F7" w14:paraId="47642A0A" w14:textId="77777777"/>
    <w:p w:rsidR="007A5D97" w:rsidP="000E19F7" w14:paraId="34BB8804" w14:textId="3C9C1179">
      <w:r>
        <w:t>Specifically, i</w:t>
      </w:r>
      <w:r w:rsidR="003C36FF">
        <w:t xml:space="preserve">n the </w:t>
      </w:r>
      <w:r w:rsidR="00412A7F">
        <w:rPr>
          <w:rStyle w:val="normaltextrun"/>
          <w:rFonts w:asciiTheme="majorBidi" w:hAnsiTheme="majorBidi" w:cstheme="majorBidi"/>
          <w:i/>
          <w:szCs w:val="22"/>
        </w:rPr>
        <w:t xml:space="preserve">Submarine </w:t>
      </w:r>
      <w:r w:rsidRPr="00E234F4" w:rsidR="003C36FF">
        <w:rPr>
          <w:rStyle w:val="normaltextrun"/>
          <w:rFonts w:asciiTheme="majorBidi" w:hAnsiTheme="majorBidi" w:cstheme="majorBidi"/>
          <w:i/>
          <w:szCs w:val="22"/>
        </w:rPr>
        <w:t>Report and Order</w:t>
      </w:r>
      <w:r w:rsidR="006B7006">
        <w:rPr>
          <w:rStyle w:val="normaltextrun"/>
          <w:rFonts w:asciiTheme="majorBidi" w:hAnsiTheme="majorBidi" w:cstheme="majorBidi"/>
          <w:iCs/>
          <w:szCs w:val="22"/>
        </w:rPr>
        <w:t>,</w:t>
      </w:r>
      <w:r w:rsidR="003C36FF">
        <w:t xml:space="preserve"> </w:t>
      </w:r>
      <w:r w:rsidR="00397CB2">
        <w:t>the Commission</w:t>
      </w:r>
      <w:r>
        <w:t>:</w:t>
      </w:r>
      <w:r w:rsidR="00097122">
        <w:t xml:space="preserve"> </w:t>
      </w:r>
    </w:p>
    <w:p w:rsidR="009B30D2" w:rsidP="0052691E" w14:paraId="2EC959F8" w14:textId="77777777">
      <w:pPr>
        <w:pStyle w:val="ListParagraph"/>
      </w:pPr>
    </w:p>
    <w:p w:rsidR="006E2A0C" w:rsidP="0027762B" w14:paraId="06614EF2" w14:textId="3CAB33DD">
      <w:pPr>
        <w:pStyle w:val="ListParagraph"/>
        <w:numPr>
          <w:ilvl w:val="0"/>
          <w:numId w:val="25"/>
        </w:numPr>
      </w:pPr>
      <w:r>
        <w:t xml:space="preserve">Streamlined </w:t>
      </w:r>
      <w:r w:rsidR="00993711">
        <w:t>the</w:t>
      </w:r>
      <w:r>
        <w:t xml:space="preserve"> rules and eliminated the requirement for licensees to file a Cable Operator Report about the capacity on a cable</w:t>
      </w:r>
      <w:r w:rsidR="0027762B">
        <w:t xml:space="preserve"> and instead </w:t>
      </w:r>
      <w:r w:rsidR="00F74D45">
        <w:t>require</w:t>
      </w:r>
      <w:r w:rsidR="0028729D">
        <w:t>d</w:t>
      </w:r>
      <w:r w:rsidR="00F74D45">
        <w:t xml:space="preserve"> </w:t>
      </w:r>
      <w:r>
        <w:t xml:space="preserve">Filing Entities </w:t>
      </w:r>
      <w:r w:rsidR="00F74D45">
        <w:t xml:space="preserve">to </w:t>
      </w:r>
      <w:r>
        <w:t xml:space="preserve">file one report, </w:t>
      </w:r>
      <w:r w:rsidRPr="000122F8">
        <w:t>the Capacity Holder Report</w:t>
      </w:r>
      <w:r>
        <w:t>,</w:t>
      </w:r>
      <w:r w:rsidRPr="000122F8">
        <w:t xml:space="preserve"> </w:t>
      </w:r>
      <w:r>
        <w:t>on an individual basis</w:t>
      </w:r>
      <w:r w:rsidR="0070198A">
        <w:t>;</w:t>
      </w:r>
      <w:r>
        <w:rPr>
          <w:rStyle w:val="FootnoteReference"/>
        </w:rPr>
        <w:footnoteReference w:id="4"/>
      </w:r>
      <w:r>
        <w:t xml:space="preserve">   </w:t>
      </w:r>
    </w:p>
    <w:p w:rsidR="00826E51" w:rsidP="000E19F7" w14:paraId="2B857E7D" w14:textId="76535796">
      <w:pPr>
        <w:pStyle w:val="ListParagraph"/>
        <w:numPr>
          <w:ilvl w:val="0"/>
          <w:numId w:val="25"/>
        </w:numPr>
      </w:pPr>
      <w:r>
        <w:t xml:space="preserve">Retained important information from the Cable Operator Report by integrating </w:t>
      </w:r>
      <w:r w:rsidR="00D93EF6">
        <w:t xml:space="preserve">and clarifying </w:t>
      </w:r>
      <w:r w:rsidR="00D83AA1">
        <w:t>information about available, planned</w:t>
      </w:r>
      <w:r w:rsidR="00D93EF6">
        <w:t>,</w:t>
      </w:r>
      <w:r w:rsidR="00D83AA1">
        <w:t xml:space="preserve"> and design capacity</w:t>
      </w:r>
      <w:r>
        <w:rPr>
          <w:rStyle w:val="FootnoteReference"/>
        </w:rPr>
        <w:footnoteReference w:id="5"/>
      </w:r>
      <w:r w:rsidR="00D83AA1">
        <w:t xml:space="preserve"> that was previously reported in the Cable Operator Report</w:t>
      </w:r>
      <w:r w:rsidR="0070198A">
        <w:t>;</w:t>
      </w:r>
    </w:p>
    <w:p w:rsidR="007A5D97" w:rsidP="00A902EE" w14:paraId="7EEEBE4D" w14:textId="621E5EDE">
      <w:pPr>
        <w:pStyle w:val="ListParagraph"/>
        <w:numPr>
          <w:ilvl w:val="0"/>
          <w:numId w:val="25"/>
        </w:numPr>
      </w:pPr>
      <w:r>
        <w:t>R</w:t>
      </w:r>
      <w:r w:rsidR="00097122">
        <w:t>equire</w:t>
      </w:r>
      <w:r w:rsidR="006B7006">
        <w:t>d</w:t>
      </w:r>
      <w:r w:rsidR="00097122">
        <w:t xml:space="preserve"> </w:t>
      </w:r>
      <w:r w:rsidR="004004D2">
        <w:t xml:space="preserve">Filing Entities </w:t>
      </w:r>
      <w:r w:rsidR="00931E2D">
        <w:t xml:space="preserve">to report their capacity on domestic </w:t>
      </w:r>
      <w:r w:rsidR="008A308A">
        <w:t>cables</w:t>
      </w:r>
      <w:r w:rsidR="00DE5D26">
        <w:t xml:space="preserve">, </w:t>
      </w:r>
      <w:r w:rsidR="007439F4">
        <w:t>as</w:t>
      </w:r>
      <w:r w:rsidR="009830C0">
        <w:t xml:space="preserve"> the lack </w:t>
      </w:r>
      <w:r w:rsidR="00CA1937">
        <w:t>o</w:t>
      </w:r>
      <w:r w:rsidR="009830C0">
        <w:t>f</w:t>
      </w:r>
      <w:r w:rsidR="00DE5D26">
        <w:t xml:space="preserve"> </w:t>
      </w:r>
      <w:r w:rsidR="00CA1937">
        <w:t xml:space="preserve">this </w:t>
      </w:r>
      <w:r w:rsidR="00CA1937">
        <w:t xml:space="preserve">information </w:t>
      </w:r>
      <w:r w:rsidR="00DD3B26">
        <w:t>created</w:t>
      </w:r>
      <w:r w:rsidR="00DE5D26">
        <w:t xml:space="preserve"> </w:t>
      </w:r>
      <w:r w:rsidR="00F74220">
        <w:t xml:space="preserve">a critical gap </w:t>
      </w:r>
      <w:r w:rsidR="00966509">
        <w:t>regarding</w:t>
      </w:r>
      <w:r w:rsidR="00F04BEC">
        <w:t xml:space="preserve"> the </w:t>
      </w:r>
      <w:r w:rsidR="00F74220">
        <w:t>ownership and use of capacity on submarine cables regulated by the</w:t>
      </w:r>
      <w:r>
        <w:t xml:space="preserve"> </w:t>
      </w:r>
      <w:r w:rsidR="00F74220">
        <w:t>Commission</w:t>
      </w:r>
      <w:r w:rsidR="00F04BEC">
        <w:t>;</w:t>
      </w:r>
      <w:r>
        <w:rPr>
          <w:rStyle w:val="FootnoteReference"/>
        </w:rPr>
        <w:footnoteReference w:id="6"/>
      </w:r>
      <w:r w:rsidR="00F04BEC">
        <w:t xml:space="preserve"> </w:t>
      </w:r>
    </w:p>
    <w:p w:rsidR="008E2CFC" w:rsidP="00E639A4" w14:paraId="46465882" w14:textId="2C1102B2">
      <w:pPr>
        <w:pStyle w:val="ListParagraph"/>
        <w:numPr>
          <w:ilvl w:val="0"/>
          <w:numId w:val="25"/>
        </w:numPr>
      </w:pPr>
      <w:r>
        <w:t>R</w:t>
      </w:r>
      <w:r w:rsidR="00A902EE">
        <w:t>equire</w:t>
      </w:r>
      <w:r w:rsidR="007A5D97">
        <w:t>d</w:t>
      </w:r>
      <w:r w:rsidR="00872A98">
        <w:t xml:space="preserve"> </w:t>
      </w:r>
      <w:r w:rsidR="004004D2">
        <w:t xml:space="preserve">Filing Entities </w:t>
      </w:r>
      <w:r w:rsidR="00E639A4">
        <w:t>to identify, with respect to each sale, lease, or purchase of a fiber pair and/or spectrum, the submarine cable, the U.S. and foreign landing points of the fiber pair and/or spectrum, and the entity that manages the fiber pair and/or spectrum, if different from the entity that owns it</w:t>
      </w:r>
      <w:r w:rsidR="00A902EE">
        <w:t>;</w:t>
      </w:r>
      <w:r>
        <w:rPr>
          <w:rStyle w:val="FootnoteReference"/>
        </w:rPr>
        <w:footnoteReference w:id="7"/>
      </w:r>
      <w:r w:rsidR="00DC52DF">
        <w:t xml:space="preserve"> </w:t>
      </w:r>
    </w:p>
    <w:p w:rsidR="00C30E48" w:rsidRPr="008E2CFC" w:rsidP="00BC720A" w14:paraId="53D71790" w14:textId="606E6765">
      <w:pPr>
        <w:pStyle w:val="ListParagraph"/>
        <w:numPr>
          <w:ilvl w:val="0"/>
          <w:numId w:val="25"/>
        </w:numPr>
      </w:pPr>
      <w:r>
        <w:t>R</w:t>
      </w:r>
      <w:r w:rsidR="00931E2D">
        <w:t>equire</w:t>
      </w:r>
      <w:r>
        <w:t>d</w:t>
      </w:r>
      <w:r w:rsidR="00931E2D">
        <w:t xml:space="preserve"> </w:t>
      </w:r>
      <w:r w:rsidR="00EF4AB1">
        <w:t xml:space="preserve">Filing Entities </w:t>
      </w:r>
      <w:r w:rsidR="00931E2D">
        <w:t xml:space="preserve">to provide certain information about their </w:t>
      </w:r>
      <w:r w:rsidR="006C6758">
        <w:t>submarine line terminal equipment (</w:t>
      </w:r>
      <w:r w:rsidR="00931E2D">
        <w:t>SLTEs</w:t>
      </w:r>
      <w:r w:rsidR="006C6758">
        <w:t>)</w:t>
      </w:r>
      <w:r w:rsidR="00931E2D">
        <w:t xml:space="preserve"> in the Capacity Holder Report</w:t>
      </w:r>
      <w:r w:rsidR="003803AA">
        <w:t xml:space="preserve"> as SLTEs are </w:t>
      </w:r>
      <w:r w:rsidR="008D01CE">
        <w:t xml:space="preserve">among </w:t>
      </w:r>
      <w:r w:rsidR="003803AA">
        <w:t>the most i</w:t>
      </w:r>
      <w:r w:rsidR="00B16239">
        <w:t>mportant equipment associated with the submarine cable system for national</w:t>
      </w:r>
      <w:r w:rsidR="003803AA">
        <w:t xml:space="preserve"> </w:t>
      </w:r>
      <w:r w:rsidRPr="00C30E48">
        <w:t>security and law enforcement purpose</w:t>
      </w:r>
      <w:r>
        <w:t>s</w:t>
      </w:r>
      <w:r w:rsidR="0070198A">
        <w:t>;</w:t>
      </w:r>
      <w:r>
        <w:rPr>
          <w:rStyle w:val="FootnoteReference"/>
        </w:rPr>
        <w:footnoteReference w:id="8"/>
      </w:r>
      <w:r>
        <w:t xml:space="preserve">  </w:t>
      </w:r>
    </w:p>
    <w:p w:rsidR="00EE776B" w:rsidRPr="00BA7BBB" w:rsidP="00093DC8" w14:paraId="50BC859D" w14:textId="0426112B">
      <w:pPr>
        <w:pStyle w:val="ListParagraph"/>
        <w:numPr>
          <w:ilvl w:val="0"/>
          <w:numId w:val="25"/>
        </w:numPr>
        <w:rPr>
          <w:szCs w:val="22"/>
        </w:rPr>
      </w:pPr>
      <w:r>
        <w:t>Allowed any subsidiary, parent entity, or affiliate to file the Capacity Holder Report on behalf of a licensee</w:t>
      </w:r>
      <w:r w:rsidR="00F1481D">
        <w:t>(s)</w:t>
      </w:r>
      <w:r>
        <w:t xml:space="preserve"> or common carrier</w:t>
      </w:r>
      <w:r w:rsidR="00F1481D">
        <w:t>(s)</w:t>
      </w:r>
      <w:r>
        <w:t>, so long as the legal name of the licensee or common carrier is identified in the report and an officer of the licensee or common carrier certifies that the information in the report is accurate and complete</w:t>
      </w:r>
      <w:r w:rsidR="0070198A">
        <w:t>;</w:t>
      </w:r>
      <w:r>
        <w:rPr>
          <w:rStyle w:val="FootnoteReference"/>
        </w:rPr>
        <w:footnoteReference w:id="9"/>
      </w:r>
      <w:r w:rsidR="00093DC8">
        <w:t xml:space="preserve"> </w:t>
      </w:r>
    </w:p>
    <w:p w:rsidR="0077437E" w:rsidRPr="0077437E" w:rsidP="0077437E" w14:paraId="4EB047EE" w14:textId="1EA3B57F">
      <w:pPr>
        <w:pStyle w:val="ListParagraph"/>
        <w:numPr>
          <w:ilvl w:val="0"/>
          <w:numId w:val="25"/>
        </w:numPr>
        <w:rPr>
          <w:szCs w:val="22"/>
        </w:rPr>
      </w:pPr>
      <w:r w:rsidRPr="0077437E">
        <w:rPr>
          <w:szCs w:val="22"/>
        </w:rPr>
        <w:t>Codified a compliance provision in section 43.82 of the rules</w:t>
      </w:r>
      <w:r w:rsidR="0070198A">
        <w:rPr>
          <w:szCs w:val="22"/>
        </w:rPr>
        <w:t>;</w:t>
      </w:r>
      <w:r>
        <w:rPr>
          <w:rStyle w:val="FootnoteReference"/>
          <w:szCs w:val="22"/>
        </w:rPr>
        <w:footnoteReference w:id="10"/>
      </w:r>
    </w:p>
    <w:p w:rsidR="00116EA8" w:rsidRPr="008B58AE" w:rsidP="0072379A" w14:paraId="7DEDE318" w14:textId="422A5918">
      <w:pPr>
        <w:pStyle w:val="ListParagraph"/>
        <w:numPr>
          <w:ilvl w:val="0"/>
          <w:numId w:val="25"/>
        </w:numPr>
        <w:rPr>
          <w:szCs w:val="22"/>
        </w:rPr>
      </w:pPr>
      <w:r>
        <w:t>M</w:t>
      </w:r>
      <w:r w:rsidR="00763114">
        <w:t>odif</w:t>
      </w:r>
      <w:r>
        <w:t>ied</w:t>
      </w:r>
      <w:r w:rsidR="00763114">
        <w:t xml:space="preserve"> section 43.82 of the rules to allow the Commission to share with the </w:t>
      </w:r>
      <w:r w:rsidRPr="00E54564" w:rsidR="00E54564">
        <w:t>Committee for the Assessment of Foreign Participation in the U.S. Telecommunications Services Sector (</w:t>
      </w:r>
      <w:r w:rsidR="00763114">
        <w:t>Committee</w:t>
      </w:r>
      <w:r w:rsidR="00E54564">
        <w:t>)</w:t>
      </w:r>
      <w:r w:rsidR="00763114">
        <w:t>,</w:t>
      </w:r>
      <w:r>
        <w:rPr>
          <w:rStyle w:val="FootnoteReference"/>
        </w:rPr>
        <w:footnoteReference w:id="11"/>
      </w:r>
      <w:r w:rsidR="00763114">
        <w:t xml:space="preserve"> </w:t>
      </w:r>
      <w:r>
        <w:t>Department of Homeland Security (</w:t>
      </w:r>
      <w:r w:rsidR="00763114">
        <w:t>DHS</w:t>
      </w:r>
      <w:r>
        <w:t>)</w:t>
      </w:r>
      <w:r w:rsidR="00763114">
        <w:t xml:space="preserve">, and the State Department the capacity data filed on a confidential basis without the pre-notification requirements of </w:t>
      </w:r>
      <w:r w:rsidR="00CB052B">
        <w:t xml:space="preserve">47 CFR § </w:t>
      </w:r>
      <w:r w:rsidR="00763114">
        <w:t>0.442(d)</w:t>
      </w:r>
      <w:r w:rsidR="0070198A">
        <w:t>;</w:t>
      </w:r>
      <w:r>
        <w:rPr>
          <w:rStyle w:val="FootnoteReference"/>
        </w:rPr>
        <w:footnoteReference w:id="12"/>
      </w:r>
      <w:r w:rsidR="0070198A">
        <w:t xml:space="preserve"> and</w:t>
      </w:r>
    </w:p>
    <w:p w:rsidR="008B58AE" w:rsidRPr="008B58AE" w:rsidP="008B58AE" w14:paraId="01321129" w14:textId="4A571F34">
      <w:pPr>
        <w:pStyle w:val="ListParagraph"/>
        <w:numPr>
          <w:ilvl w:val="0"/>
          <w:numId w:val="25"/>
        </w:numPr>
        <w:rPr>
          <w:szCs w:val="22"/>
        </w:rPr>
      </w:pPr>
      <w:r w:rsidRPr="008B58AE">
        <w:rPr>
          <w:szCs w:val="22"/>
        </w:rPr>
        <w:t>Directed the Commission’s Office of International Affairs (OIA) to revise the Filing Manual to conform with the changes</w:t>
      </w:r>
      <w:r>
        <w:rPr>
          <w:szCs w:val="22"/>
        </w:rPr>
        <w:t xml:space="preserve"> adopted in the </w:t>
      </w:r>
      <w:r w:rsidR="00412A7F">
        <w:rPr>
          <w:rStyle w:val="normaltextrun"/>
          <w:rFonts w:asciiTheme="majorBidi" w:hAnsiTheme="majorBidi" w:cstheme="majorBidi"/>
          <w:i/>
          <w:szCs w:val="22"/>
        </w:rPr>
        <w:t>Submarine Cable</w:t>
      </w:r>
      <w:r w:rsidRPr="00E234F4" w:rsidR="00B00D45">
        <w:rPr>
          <w:rStyle w:val="normaltextrun"/>
          <w:rFonts w:asciiTheme="majorBidi" w:hAnsiTheme="majorBidi" w:cstheme="majorBidi"/>
          <w:i/>
          <w:szCs w:val="22"/>
        </w:rPr>
        <w:t xml:space="preserve"> Report and </w:t>
      </w:r>
      <w:r w:rsidRPr="0050632F" w:rsidR="00B00D45">
        <w:rPr>
          <w:i/>
          <w:iCs/>
          <w:szCs w:val="22"/>
        </w:rPr>
        <w:t>O</w:t>
      </w:r>
      <w:r w:rsidRPr="0050632F">
        <w:rPr>
          <w:i/>
          <w:iCs/>
          <w:szCs w:val="22"/>
        </w:rPr>
        <w:t>rder</w:t>
      </w:r>
      <w:r w:rsidRPr="008B58AE">
        <w:rPr>
          <w:szCs w:val="22"/>
        </w:rPr>
        <w:t>.</w:t>
      </w:r>
      <w:r>
        <w:rPr>
          <w:rStyle w:val="FootnoteReference"/>
          <w:szCs w:val="22"/>
        </w:rPr>
        <w:footnoteReference w:id="13"/>
      </w:r>
    </w:p>
    <w:p w:rsidR="00763114" w:rsidRPr="00856308" w:rsidP="00856308" w14:paraId="133FBE87" w14:textId="77777777">
      <w:pPr>
        <w:rPr>
          <w:szCs w:val="22"/>
        </w:rPr>
      </w:pPr>
    </w:p>
    <w:p w:rsidR="00013FAD" w:rsidP="00BE2886" w14:paraId="0CDC98B9" w14:textId="2F43FAD2">
      <w:pPr>
        <w:rPr>
          <w:szCs w:val="22"/>
        </w:rPr>
      </w:pPr>
      <w:bookmarkStart w:id="0" w:name="_Hlk499583308"/>
      <w:r w:rsidRPr="00E77F79">
        <w:rPr>
          <w:bCs/>
          <w:i/>
          <w:iCs/>
          <w:szCs w:val="22"/>
        </w:rPr>
        <w:t xml:space="preserve">Authority for the </w:t>
      </w:r>
      <w:r w:rsidR="006E1961">
        <w:rPr>
          <w:bCs/>
          <w:i/>
          <w:iCs/>
          <w:szCs w:val="22"/>
        </w:rPr>
        <w:t>I</w:t>
      </w:r>
      <w:r w:rsidRPr="00E77F79">
        <w:rPr>
          <w:bCs/>
          <w:i/>
          <w:iCs/>
          <w:szCs w:val="22"/>
        </w:rPr>
        <w:t xml:space="preserve">nformation </w:t>
      </w:r>
      <w:r w:rsidR="006E1961">
        <w:rPr>
          <w:bCs/>
          <w:i/>
          <w:iCs/>
          <w:szCs w:val="22"/>
        </w:rPr>
        <w:t>C</w:t>
      </w:r>
      <w:r w:rsidRPr="00E77F79">
        <w:rPr>
          <w:bCs/>
          <w:i/>
          <w:iCs/>
          <w:szCs w:val="22"/>
        </w:rPr>
        <w:t>ollection:</w:t>
      </w:r>
      <w:r>
        <w:rPr>
          <w:b/>
          <w:szCs w:val="22"/>
        </w:rPr>
        <w:t xml:space="preserve">  </w:t>
      </w:r>
      <w:r w:rsidRPr="00E234F4" w:rsidR="000445FA">
        <w:rPr>
          <w:szCs w:val="22"/>
        </w:rPr>
        <w:t xml:space="preserve">The Commission </w:t>
      </w:r>
      <w:r w:rsidRPr="00E234F4" w:rsidR="00E60E23">
        <w:rPr>
          <w:szCs w:val="22"/>
        </w:rPr>
        <w:t xml:space="preserve">has </w:t>
      </w:r>
      <w:r w:rsidRPr="00E234F4" w:rsidR="000445FA">
        <w:rPr>
          <w:szCs w:val="22"/>
        </w:rPr>
        <w:t xml:space="preserve">statutory </w:t>
      </w:r>
      <w:r w:rsidRPr="00E234F4" w:rsidR="004E522C">
        <w:rPr>
          <w:szCs w:val="22"/>
        </w:rPr>
        <w:t xml:space="preserve">authority for this information collection </w:t>
      </w:r>
      <w:r w:rsidRPr="00E234F4" w:rsidR="00792D2E">
        <w:rPr>
          <w:szCs w:val="22"/>
        </w:rPr>
        <w:t>under</w:t>
      </w:r>
      <w:r w:rsidRPr="00E234F4" w:rsidR="000445FA">
        <w:rPr>
          <w:szCs w:val="22"/>
        </w:rPr>
        <w:t xml:space="preserve"> </w:t>
      </w:r>
      <w:r w:rsidR="00DA418D">
        <w:rPr>
          <w:szCs w:val="22"/>
        </w:rPr>
        <w:t>s</w:t>
      </w:r>
      <w:r w:rsidRPr="00091319" w:rsidR="00091319">
        <w:rPr>
          <w:szCs w:val="22"/>
        </w:rPr>
        <w:t>ections 1, 4(</w:t>
      </w:r>
      <w:r w:rsidRPr="00091319" w:rsidR="00091319">
        <w:rPr>
          <w:szCs w:val="22"/>
        </w:rPr>
        <w:t>i</w:t>
      </w:r>
      <w:r w:rsidRPr="00091319" w:rsidR="00091319">
        <w:rPr>
          <w:szCs w:val="22"/>
        </w:rPr>
        <w:t>), 4(j), 201-255, 303(r), 403, 413 of the</w:t>
      </w:r>
      <w:r w:rsidR="0064691B">
        <w:rPr>
          <w:szCs w:val="22"/>
        </w:rPr>
        <w:t xml:space="preserve"> </w:t>
      </w:r>
      <w:r w:rsidRPr="00091319" w:rsidR="00091319">
        <w:rPr>
          <w:szCs w:val="22"/>
        </w:rPr>
        <w:t>Communications Act of 1934, as amended, 47 U.S.C. §§ 151, 154(</w:t>
      </w:r>
      <w:r w:rsidRPr="00091319" w:rsidR="00091319">
        <w:rPr>
          <w:szCs w:val="22"/>
        </w:rPr>
        <w:t>i</w:t>
      </w:r>
      <w:r w:rsidRPr="00091319" w:rsidR="00091319">
        <w:rPr>
          <w:szCs w:val="22"/>
        </w:rPr>
        <w:t>), 154(j), 201-255, 303(r), 403, 413,</w:t>
      </w:r>
      <w:r w:rsidR="0064691B">
        <w:rPr>
          <w:szCs w:val="22"/>
        </w:rPr>
        <w:t xml:space="preserve"> </w:t>
      </w:r>
      <w:r w:rsidRPr="00091319" w:rsidR="00091319">
        <w:rPr>
          <w:szCs w:val="22"/>
        </w:rPr>
        <w:t>and the Cable Landing License Act of 1921, 47 U.S.C. §§ 34-39, and Executive Order No. 10530, section</w:t>
      </w:r>
      <w:r w:rsidR="0064691B">
        <w:rPr>
          <w:szCs w:val="22"/>
        </w:rPr>
        <w:t xml:space="preserve"> </w:t>
      </w:r>
      <w:r w:rsidRPr="00091319" w:rsidR="00091319">
        <w:rPr>
          <w:szCs w:val="22"/>
        </w:rPr>
        <w:t>5(a) (May 12, 1954) reprinted as amended in 3 U.S.C. § 301</w:t>
      </w:r>
      <w:r w:rsidR="0064691B">
        <w:rPr>
          <w:szCs w:val="22"/>
        </w:rPr>
        <w:t>.</w:t>
      </w:r>
      <w:r>
        <w:rPr>
          <w:rStyle w:val="FootnoteReference"/>
          <w:szCs w:val="22"/>
        </w:rPr>
        <w:footnoteReference w:id="14"/>
      </w:r>
      <w:r>
        <w:rPr>
          <w:szCs w:val="22"/>
        </w:rPr>
        <w:t xml:space="preserve">  </w:t>
      </w:r>
      <w:bookmarkEnd w:id="0"/>
    </w:p>
    <w:p w:rsidR="008D1D66" w:rsidRPr="00545660" w:rsidP="00BE2886" w14:paraId="3CE30A97" w14:textId="77777777">
      <w:pPr>
        <w:rPr>
          <w:i/>
          <w:szCs w:val="22"/>
        </w:rPr>
      </w:pPr>
    </w:p>
    <w:p w:rsidR="004E522C" w:rsidP="00BE2886" w14:paraId="05DB99BF" w14:textId="77777777">
      <w:pPr>
        <w:rPr>
          <w:szCs w:val="22"/>
        </w:rPr>
      </w:pPr>
    </w:p>
    <w:p w:rsidR="00FB0063" w:rsidP="00BE2886" w14:paraId="737E333E" w14:textId="77777777">
      <w:pPr>
        <w:rPr>
          <w:szCs w:val="22"/>
        </w:rPr>
      </w:pPr>
    </w:p>
    <w:p w:rsidR="00FB0063" w:rsidP="00BE2886" w14:paraId="269C0506" w14:textId="77777777">
      <w:pPr>
        <w:rPr>
          <w:szCs w:val="22"/>
        </w:rPr>
      </w:pPr>
    </w:p>
    <w:p w:rsidR="00FB0063" w:rsidRPr="00E234F4" w:rsidP="00BE2886" w14:paraId="33EB67EE" w14:textId="77777777">
      <w:pPr>
        <w:rPr>
          <w:szCs w:val="22"/>
        </w:rPr>
      </w:pPr>
    </w:p>
    <w:p w:rsidR="00FB0063" w:rsidP="000E47C7" w14:paraId="163519E6" w14:textId="77777777">
      <w:pPr>
        <w:widowControl/>
        <w:suppressAutoHyphens/>
        <w:spacing w:after="220"/>
        <w:rPr>
          <w:b/>
          <w:snapToGrid/>
          <w:kern w:val="1"/>
          <w:szCs w:val="22"/>
          <w:shd w:val="clear" w:color="auto" w:fill="FFFFFF"/>
          <w:lang w:eastAsia="ar-SA"/>
        </w:rPr>
      </w:pPr>
    </w:p>
    <w:p w:rsidR="000E47C7" w:rsidRPr="00E234F4" w:rsidP="000E47C7" w14:paraId="756E3314" w14:textId="68FEE8C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2.  Indicate how, by whom and for what purpose the information is to be used.  Except for a new collection, indicate the actual use the agency has made of the information received from the current collection.</w:t>
      </w:r>
    </w:p>
    <w:p w:rsidR="004C7596" w:rsidP="00FA1E4F" w14:paraId="224EFAE3" w14:textId="058915EB">
      <w:pPr>
        <w:widowControl/>
        <w:suppressAutoHyphens/>
        <w:spacing w:after="220"/>
        <w:rPr>
          <w:szCs w:val="22"/>
        </w:rPr>
      </w:pPr>
      <w:r w:rsidRPr="00BD2395">
        <w:rPr>
          <w:szCs w:val="22"/>
        </w:rPr>
        <w:t>The Commission has found that</w:t>
      </w:r>
      <w:r>
        <w:rPr>
          <w:szCs w:val="22"/>
        </w:rPr>
        <w:t xml:space="preserve"> </w:t>
      </w:r>
      <w:r w:rsidRPr="00BD2395">
        <w:rPr>
          <w:szCs w:val="22"/>
        </w:rPr>
        <w:t xml:space="preserve">the data from the </w:t>
      </w:r>
      <w:r w:rsidR="007E193A">
        <w:rPr>
          <w:szCs w:val="22"/>
        </w:rPr>
        <w:t xml:space="preserve">annual </w:t>
      </w:r>
      <w:r w:rsidRPr="00BD2395">
        <w:rPr>
          <w:szCs w:val="22"/>
        </w:rPr>
        <w:t>circuit capacity reports are necessary for the Commission to fulfill its statutory</w:t>
      </w:r>
      <w:r>
        <w:rPr>
          <w:szCs w:val="22"/>
        </w:rPr>
        <w:t xml:space="preserve"> </w:t>
      </w:r>
      <w:r w:rsidRPr="00BD2395">
        <w:rPr>
          <w:szCs w:val="22"/>
        </w:rPr>
        <w:t>obligations</w:t>
      </w:r>
      <w:r>
        <w:rPr>
          <w:szCs w:val="22"/>
        </w:rPr>
        <w:t>.</w:t>
      </w:r>
      <w:r>
        <w:rPr>
          <w:rStyle w:val="FootnoteReference"/>
          <w:szCs w:val="22"/>
        </w:rPr>
        <w:footnoteReference w:id="15"/>
      </w:r>
      <w:r w:rsidRPr="00BD2395">
        <w:rPr>
          <w:szCs w:val="22"/>
        </w:rPr>
        <w:t xml:space="preserve"> </w:t>
      </w:r>
      <w:r>
        <w:rPr>
          <w:szCs w:val="22"/>
        </w:rPr>
        <w:t xml:space="preserve"> </w:t>
      </w:r>
      <w:r w:rsidR="00377690">
        <w:rPr>
          <w:szCs w:val="22"/>
        </w:rPr>
        <w:t>Specifically, s</w:t>
      </w:r>
      <w:r w:rsidRPr="00E234F4" w:rsidR="00377690">
        <w:rPr>
          <w:szCs w:val="22"/>
        </w:rPr>
        <w:t xml:space="preserve">ubmarine cables are critical infrastructure </w:t>
      </w:r>
      <w:r w:rsidR="00377690">
        <w:rPr>
          <w:szCs w:val="22"/>
        </w:rPr>
        <w:t>and t</w:t>
      </w:r>
      <w:r w:rsidRPr="00E234F4" w:rsidR="00EC3309">
        <w:rPr>
          <w:szCs w:val="22"/>
        </w:rPr>
        <w:t xml:space="preserve">he Commission </w:t>
      </w:r>
      <w:r w:rsidR="00EC3309">
        <w:rPr>
          <w:szCs w:val="22"/>
        </w:rPr>
        <w:t>relies on</w:t>
      </w:r>
      <w:r w:rsidRPr="00E234F4" w:rsidR="00EC3309">
        <w:rPr>
          <w:szCs w:val="22"/>
        </w:rPr>
        <w:t xml:space="preserve"> </w:t>
      </w:r>
      <w:r w:rsidR="00FD4FDE">
        <w:rPr>
          <w:szCs w:val="22"/>
        </w:rPr>
        <w:t>circuit capacity data</w:t>
      </w:r>
      <w:r w:rsidR="001F34C4">
        <w:rPr>
          <w:szCs w:val="22"/>
        </w:rPr>
        <w:t xml:space="preserve"> which </w:t>
      </w:r>
      <w:r w:rsidR="001F24A5">
        <w:rPr>
          <w:szCs w:val="22"/>
        </w:rPr>
        <w:t>are</w:t>
      </w:r>
      <w:r w:rsidR="001F34C4">
        <w:rPr>
          <w:szCs w:val="22"/>
        </w:rPr>
        <w:t xml:space="preserve"> essential </w:t>
      </w:r>
      <w:r w:rsidRPr="00E234F4" w:rsidR="00EC3309">
        <w:rPr>
          <w:szCs w:val="22"/>
        </w:rPr>
        <w:t xml:space="preserve">for the Commission’s </w:t>
      </w:r>
      <w:r w:rsidR="00884B09">
        <w:rPr>
          <w:szCs w:val="22"/>
        </w:rPr>
        <w:t xml:space="preserve">responsibilities </w:t>
      </w:r>
      <w:r w:rsidRPr="00E234F4" w:rsidR="00EC3309">
        <w:rPr>
          <w:szCs w:val="22"/>
        </w:rPr>
        <w:t xml:space="preserve">to the national security </w:t>
      </w:r>
      <w:r w:rsidR="00C22EED">
        <w:rPr>
          <w:szCs w:val="22"/>
        </w:rPr>
        <w:t xml:space="preserve">and </w:t>
      </w:r>
      <w:r w:rsidRPr="00E234F4" w:rsidR="00EC3309">
        <w:rPr>
          <w:szCs w:val="22"/>
        </w:rPr>
        <w:t>defense of the United States</w:t>
      </w:r>
      <w:r w:rsidR="006829C1">
        <w:rPr>
          <w:szCs w:val="22"/>
        </w:rPr>
        <w:t xml:space="preserve">, and public </w:t>
      </w:r>
      <w:r w:rsidR="00884B09">
        <w:rPr>
          <w:szCs w:val="22"/>
        </w:rPr>
        <w:t>safety responsibilities</w:t>
      </w:r>
      <w:r w:rsidRPr="00E234F4" w:rsidR="00EC3309">
        <w:rPr>
          <w:szCs w:val="22"/>
        </w:rPr>
        <w:t>.</w:t>
      </w:r>
      <w:r w:rsidRPr="00E234F4" w:rsidR="00EC3309">
        <w:rPr>
          <w:spacing w:val="-3"/>
          <w:szCs w:val="22"/>
        </w:rPr>
        <w:t xml:space="preserve">  </w:t>
      </w:r>
      <w:r w:rsidRPr="00E234F4" w:rsidR="00EC3309">
        <w:rPr>
          <w:szCs w:val="22"/>
        </w:rPr>
        <w:t xml:space="preserve">The Commission uses the data, for example, to have a complete understanding of the ownership and use of submarine cable capacity and to assist in the protection, restoration, and resiliency of the infrastructure during national security or public safety emergencies, such as hurricanes.  </w:t>
      </w:r>
      <w:r w:rsidR="001F34C4">
        <w:rPr>
          <w:szCs w:val="22"/>
        </w:rPr>
        <w:t>T</w:t>
      </w:r>
      <w:r w:rsidRPr="00E234F4" w:rsidR="001F34C4">
        <w:rPr>
          <w:szCs w:val="22"/>
        </w:rPr>
        <w:t xml:space="preserve">he circuit capacity data </w:t>
      </w:r>
      <w:r w:rsidR="006C70F4">
        <w:rPr>
          <w:szCs w:val="22"/>
        </w:rPr>
        <w:t>are</w:t>
      </w:r>
      <w:r w:rsidR="001F34C4">
        <w:rPr>
          <w:szCs w:val="22"/>
        </w:rPr>
        <w:t xml:space="preserve"> also used for</w:t>
      </w:r>
      <w:r w:rsidRPr="00E234F4" w:rsidR="001F34C4">
        <w:rPr>
          <w:szCs w:val="22"/>
        </w:rPr>
        <w:t xml:space="preserve"> such purposes as analyzing international transport markets in merger reviews.  </w:t>
      </w:r>
      <w:r w:rsidRPr="00CA0AE5" w:rsidR="00CA0AE5">
        <w:rPr>
          <w:szCs w:val="22"/>
        </w:rPr>
        <w:t xml:space="preserve">Importantly, </w:t>
      </w:r>
      <w:r w:rsidR="00D40818">
        <w:rPr>
          <w:szCs w:val="22"/>
        </w:rPr>
        <w:t>pur</w:t>
      </w:r>
      <w:r w:rsidR="00183B6E">
        <w:rPr>
          <w:szCs w:val="22"/>
        </w:rPr>
        <w:t>s</w:t>
      </w:r>
      <w:r w:rsidR="00D40818">
        <w:rPr>
          <w:szCs w:val="22"/>
        </w:rPr>
        <w:t>uant to</w:t>
      </w:r>
      <w:r w:rsidR="00CA0AE5">
        <w:rPr>
          <w:szCs w:val="22"/>
        </w:rPr>
        <w:t xml:space="preserve"> the </w:t>
      </w:r>
      <w:r w:rsidR="00CA0AE5">
        <w:t xml:space="preserve"> </w:t>
      </w:r>
      <w:r w:rsidRPr="00FD4713" w:rsidR="00CA0AE5">
        <w:rPr>
          <w:i/>
          <w:iCs/>
        </w:rPr>
        <w:t>Submarine Cable Report and Order</w:t>
      </w:r>
      <w:r w:rsidR="00CA0AE5">
        <w:t>,</w:t>
      </w:r>
      <w:r w:rsidRPr="00CA0AE5" w:rsidR="00CA0AE5">
        <w:rPr>
          <w:szCs w:val="22"/>
        </w:rPr>
        <w:t xml:space="preserve"> </w:t>
      </w:r>
      <w:r w:rsidR="00CA0AE5">
        <w:rPr>
          <w:szCs w:val="22"/>
        </w:rPr>
        <w:t>t</w:t>
      </w:r>
      <w:r w:rsidRPr="00CA0AE5" w:rsidR="00CA0AE5">
        <w:rPr>
          <w:szCs w:val="22"/>
        </w:rPr>
        <w:t xml:space="preserve">he </w:t>
      </w:r>
      <w:r w:rsidR="00CA0AE5">
        <w:rPr>
          <w:szCs w:val="22"/>
        </w:rPr>
        <w:t xml:space="preserve">Commission will now receive circuit capacity information on domestic cables and require </w:t>
      </w:r>
      <w:r w:rsidRPr="00CA0AE5" w:rsidR="00CA0AE5">
        <w:rPr>
          <w:szCs w:val="22"/>
        </w:rPr>
        <w:t xml:space="preserve">the reporting </w:t>
      </w:r>
      <w:r w:rsidR="00D46CF9">
        <w:rPr>
          <w:szCs w:val="22"/>
        </w:rPr>
        <w:t>of information about</w:t>
      </w:r>
      <w:r w:rsidRPr="00CA0AE5" w:rsidR="00CA0AE5">
        <w:rPr>
          <w:szCs w:val="22"/>
        </w:rPr>
        <w:t xml:space="preserve"> SLTEs.</w:t>
      </w:r>
      <w:r>
        <w:rPr>
          <w:rStyle w:val="FootnoteReference"/>
          <w:szCs w:val="22"/>
        </w:rPr>
        <w:footnoteReference w:id="16"/>
      </w:r>
      <w:r w:rsidRPr="00CA0AE5" w:rsidR="00CA0AE5">
        <w:rPr>
          <w:szCs w:val="22"/>
        </w:rPr>
        <w:t xml:space="preserve">  For example, </w:t>
      </w:r>
      <w:r w:rsidR="00B73A90">
        <w:rPr>
          <w:szCs w:val="22"/>
        </w:rPr>
        <w:t>the Commission</w:t>
      </w:r>
      <w:r w:rsidRPr="00CA0AE5" w:rsidR="00CA0AE5">
        <w:rPr>
          <w:szCs w:val="22"/>
        </w:rPr>
        <w:t xml:space="preserve"> found that identifying which entities own or control an SLTE on Commission-licensed submarine cables will, among other things, enable the Committee and Commission to identify licensees that “have increased exposure to foreign adversary entities</w:t>
      </w:r>
      <w:r w:rsidR="0052019E">
        <w:rPr>
          <w:szCs w:val="22"/>
        </w:rPr>
        <w:t>.</w:t>
      </w:r>
      <w:r w:rsidRPr="00CA0AE5" w:rsidR="00CA0AE5">
        <w:rPr>
          <w:szCs w:val="22"/>
        </w:rPr>
        <w:t>”</w:t>
      </w:r>
      <w:r>
        <w:rPr>
          <w:rStyle w:val="FootnoteReference"/>
          <w:szCs w:val="22"/>
        </w:rPr>
        <w:footnoteReference w:id="17"/>
      </w:r>
      <w:r w:rsidRPr="00CA0AE5" w:rsidR="00CA0AE5">
        <w:rPr>
          <w:szCs w:val="22"/>
        </w:rPr>
        <w:t xml:space="preserve"> </w:t>
      </w:r>
    </w:p>
    <w:p w:rsidR="005E123A" w:rsidP="00FA1E4F" w14:paraId="7AF26E71" w14:textId="771A9044">
      <w:pPr>
        <w:widowControl/>
        <w:suppressAutoHyphens/>
        <w:spacing w:after="220"/>
        <w:rPr>
          <w:szCs w:val="22"/>
        </w:rPr>
      </w:pPr>
      <w:r w:rsidRPr="00BD2395">
        <w:rPr>
          <w:szCs w:val="22"/>
        </w:rPr>
        <w:t>The Commission has found that</w:t>
      </w:r>
      <w:r>
        <w:rPr>
          <w:szCs w:val="22"/>
        </w:rPr>
        <w:t xml:space="preserve"> </w:t>
      </w:r>
      <w:r w:rsidRPr="00BD2395">
        <w:rPr>
          <w:szCs w:val="22"/>
        </w:rPr>
        <w:t xml:space="preserve">the data from the circuit capacity reports </w:t>
      </w:r>
      <w:r>
        <w:rPr>
          <w:szCs w:val="22"/>
        </w:rPr>
        <w:t xml:space="preserve">also </w:t>
      </w:r>
      <w:r w:rsidRPr="00BD2395">
        <w:rPr>
          <w:szCs w:val="22"/>
        </w:rPr>
        <w:t>serve a vital role by sharing this information with other federal agencies.</w:t>
      </w:r>
      <w:r>
        <w:rPr>
          <w:rStyle w:val="FootnoteReference"/>
          <w:szCs w:val="22"/>
        </w:rPr>
        <w:footnoteReference w:id="18"/>
      </w:r>
      <w:r w:rsidRPr="00BD2395">
        <w:rPr>
          <w:szCs w:val="22"/>
        </w:rPr>
        <w:t xml:space="preserve"> </w:t>
      </w:r>
      <w:r>
        <w:rPr>
          <w:szCs w:val="22"/>
        </w:rPr>
        <w:t xml:space="preserve"> </w:t>
      </w:r>
      <w:r w:rsidRPr="00BD2395">
        <w:rPr>
          <w:szCs w:val="22"/>
        </w:rPr>
        <w:t>The</w:t>
      </w:r>
      <w:r>
        <w:rPr>
          <w:szCs w:val="22"/>
        </w:rPr>
        <w:t xml:space="preserve"> </w:t>
      </w:r>
      <w:r w:rsidRPr="00BD2395">
        <w:rPr>
          <w:szCs w:val="22"/>
        </w:rPr>
        <w:t>Committee regularly requests these data for its work on national security and law enforcement issues,</w:t>
      </w:r>
      <w:r>
        <w:rPr>
          <w:szCs w:val="22"/>
        </w:rPr>
        <w:t xml:space="preserve"> </w:t>
      </w:r>
      <w:r w:rsidRPr="00BD2395">
        <w:rPr>
          <w:szCs w:val="22"/>
        </w:rPr>
        <w:t>as has DHS for its national security and homeland security functions.</w:t>
      </w:r>
      <w:r>
        <w:rPr>
          <w:rStyle w:val="FootnoteReference"/>
          <w:szCs w:val="22"/>
        </w:rPr>
        <w:footnoteReference w:id="19"/>
      </w:r>
      <w:r>
        <w:rPr>
          <w:szCs w:val="22"/>
        </w:rPr>
        <w:t xml:space="preserve">  </w:t>
      </w:r>
      <w:r w:rsidRPr="00E234F4" w:rsidR="00EC3309">
        <w:rPr>
          <w:szCs w:val="22"/>
        </w:rPr>
        <w:t>DHS stated that it also finds this information to be critical to its national and homeland security functions, and that this information, when combined with other data sources, is used to protect and preserve national security and for its emergency response purposes.</w:t>
      </w:r>
      <w:r>
        <w:rPr>
          <w:rStyle w:val="FootnoteReference"/>
          <w:szCs w:val="22"/>
        </w:rPr>
        <w:footnoteReference w:id="20"/>
      </w:r>
      <w:r w:rsidRPr="00E234F4" w:rsidR="00EC3309">
        <w:rPr>
          <w:szCs w:val="22"/>
        </w:rPr>
        <w:t xml:space="preserve">  </w:t>
      </w:r>
      <w:r w:rsidR="00136915">
        <w:rPr>
          <w:szCs w:val="22"/>
        </w:rPr>
        <w:t>In the</w:t>
      </w:r>
      <w:r w:rsidR="00D55EAD">
        <w:rPr>
          <w:szCs w:val="22"/>
        </w:rPr>
        <w:t xml:space="preserve"> </w:t>
      </w:r>
      <w:r w:rsidRPr="00FD4713" w:rsidR="00D55EAD">
        <w:rPr>
          <w:i/>
          <w:iCs/>
        </w:rPr>
        <w:t>Submarine Cable Report and Order</w:t>
      </w:r>
      <w:r w:rsidR="00D55EAD">
        <w:t>, t</w:t>
      </w:r>
      <w:r w:rsidR="00903B85">
        <w:t xml:space="preserve">he new rules </w:t>
      </w:r>
      <w:r w:rsidR="0052019E">
        <w:t xml:space="preserve">will </w:t>
      </w:r>
      <w:r w:rsidR="006A6C31">
        <w:t xml:space="preserve">make it easier for </w:t>
      </w:r>
      <w:r w:rsidR="00903B85">
        <w:t>the Commission to share with the Committee, DHS, and the State Department the capacity data filed on a confidential basis without the pre-notification requirements of section 0.442(d).</w:t>
      </w:r>
      <w:r>
        <w:rPr>
          <w:rStyle w:val="FootnoteReference"/>
        </w:rPr>
        <w:footnoteReference w:id="21"/>
      </w:r>
      <w:r w:rsidR="00903B85">
        <w:t xml:space="preserve">  </w:t>
      </w:r>
    </w:p>
    <w:p w:rsidR="007A43F9" w:rsidRPr="00E234F4" w:rsidP="007A43F9" w14:paraId="62029585"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0063" w:rsidP="004E522C" w14:paraId="47A3CE77" w14:textId="77777777">
      <w:pPr>
        <w:pStyle w:val="ParaNum"/>
        <w:numPr>
          <w:ilvl w:val="0"/>
          <w:numId w:val="0"/>
        </w:numPr>
        <w:tabs>
          <w:tab w:val="left" w:pos="720"/>
        </w:tabs>
        <w:rPr>
          <w:szCs w:val="22"/>
        </w:rPr>
      </w:pPr>
      <w:r w:rsidRPr="00E234F4">
        <w:rPr>
          <w:szCs w:val="22"/>
        </w:rPr>
        <w:t xml:space="preserve">The Commission has a web-based system for </w:t>
      </w:r>
      <w:r w:rsidRPr="00E234F4" w:rsidR="00C26927">
        <w:rPr>
          <w:szCs w:val="22"/>
        </w:rPr>
        <w:t>F</w:t>
      </w:r>
      <w:r w:rsidRPr="00E234F4">
        <w:rPr>
          <w:szCs w:val="22"/>
        </w:rPr>
        <w:t xml:space="preserve">iling </w:t>
      </w:r>
      <w:r w:rsidRPr="00E234F4" w:rsidR="00C26927">
        <w:rPr>
          <w:szCs w:val="22"/>
        </w:rPr>
        <w:t>E</w:t>
      </w:r>
      <w:r w:rsidRPr="00E234F4">
        <w:rPr>
          <w:szCs w:val="22"/>
        </w:rPr>
        <w:t xml:space="preserve">ntities to submit their </w:t>
      </w:r>
      <w:r w:rsidR="002510D5">
        <w:rPr>
          <w:szCs w:val="22"/>
        </w:rPr>
        <w:t xml:space="preserve">annual </w:t>
      </w:r>
      <w:r w:rsidR="00B178A5">
        <w:rPr>
          <w:szCs w:val="22"/>
        </w:rPr>
        <w:t xml:space="preserve">circuit </w:t>
      </w:r>
    </w:p>
    <w:p w:rsidR="00FB0063" w:rsidP="004E522C" w14:paraId="61B14E6D" w14:textId="77777777">
      <w:pPr>
        <w:pStyle w:val="ParaNum"/>
        <w:numPr>
          <w:ilvl w:val="0"/>
          <w:numId w:val="0"/>
        </w:numPr>
        <w:tabs>
          <w:tab w:val="left" w:pos="720"/>
        </w:tabs>
        <w:rPr>
          <w:szCs w:val="22"/>
        </w:rPr>
      </w:pPr>
    </w:p>
    <w:p w:rsidR="00FB0063" w:rsidP="004E522C" w14:paraId="1BE1AD49" w14:textId="77777777">
      <w:pPr>
        <w:pStyle w:val="ParaNum"/>
        <w:numPr>
          <w:ilvl w:val="0"/>
          <w:numId w:val="0"/>
        </w:numPr>
        <w:tabs>
          <w:tab w:val="left" w:pos="720"/>
        </w:tabs>
        <w:rPr>
          <w:szCs w:val="22"/>
        </w:rPr>
      </w:pPr>
    </w:p>
    <w:p w:rsidR="00E92A8F" w:rsidRPr="00E234F4" w:rsidP="004E522C" w14:paraId="2A8CD2A5" w14:textId="6A1AA966">
      <w:pPr>
        <w:pStyle w:val="ParaNum"/>
        <w:numPr>
          <w:ilvl w:val="0"/>
          <w:numId w:val="0"/>
        </w:numPr>
        <w:tabs>
          <w:tab w:val="left" w:pos="720"/>
        </w:tabs>
        <w:rPr>
          <w:b/>
          <w:spacing w:val="-3"/>
          <w:szCs w:val="22"/>
        </w:rPr>
      </w:pPr>
      <w:r>
        <w:rPr>
          <w:szCs w:val="22"/>
        </w:rPr>
        <w:t xml:space="preserve">capacity </w:t>
      </w:r>
      <w:r w:rsidRPr="00E234F4" w:rsidR="0055121C">
        <w:rPr>
          <w:szCs w:val="22"/>
        </w:rPr>
        <w:t>reports.</w:t>
      </w:r>
      <w:r>
        <w:rPr>
          <w:rStyle w:val="FootnoteReference"/>
          <w:szCs w:val="22"/>
        </w:rPr>
        <w:footnoteReference w:id="22"/>
      </w:r>
      <w:r w:rsidRPr="00E234F4" w:rsidR="0055121C">
        <w:rPr>
          <w:szCs w:val="22"/>
        </w:rPr>
        <w:t xml:space="preserve">  </w:t>
      </w:r>
      <w:r w:rsidR="0052019E">
        <w:rPr>
          <w:szCs w:val="22"/>
        </w:rPr>
        <w:t xml:space="preserve">The </w:t>
      </w:r>
      <w:r w:rsidRPr="00E234F4" w:rsidR="0055121C">
        <w:rPr>
          <w:szCs w:val="22"/>
        </w:rPr>
        <w:t xml:space="preserve">Filing </w:t>
      </w:r>
      <w:r w:rsidRPr="00E234F4" w:rsidR="00C26927">
        <w:rPr>
          <w:szCs w:val="22"/>
        </w:rPr>
        <w:t>E</w:t>
      </w:r>
      <w:r w:rsidRPr="00E234F4" w:rsidR="0055121C">
        <w:rPr>
          <w:szCs w:val="22"/>
        </w:rPr>
        <w:t xml:space="preserve">ntities access the filing system via a portal on the FCC website.  The specific data </w:t>
      </w:r>
      <w:r w:rsidRPr="00E234F4" w:rsidR="006C5D43">
        <w:rPr>
          <w:szCs w:val="22"/>
        </w:rPr>
        <w:t>are</w:t>
      </w:r>
      <w:r w:rsidRPr="00E234F4" w:rsidR="0055121C">
        <w:rPr>
          <w:szCs w:val="22"/>
        </w:rPr>
        <w:t xml:space="preserve"> reported using a spreadsheet</w:t>
      </w:r>
      <w:r w:rsidRPr="00E234F4" w:rsidR="00681407">
        <w:rPr>
          <w:szCs w:val="22"/>
        </w:rPr>
        <w:t xml:space="preserve"> or spreadsheets</w:t>
      </w:r>
      <w:r w:rsidRPr="00E234F4" w:rsidR="006C5D43">
        <w:rPr>
          <w:szCs w:val="22"/>
        </w:rPr>
        <w:t xml:space="preserve"> </w:t>
      </w:r>
      <w:r w:rsidRPr="00E234F4" w:rsidR="0055121C">
        <w:rPr>
          <w:szCs w:val="22"/>
        </w:rPr>
        <w:t>that the Filing Entity downloads, fills-in off-line</w:t>
      </w:r>
      <w:r w:rsidRPr="00E234F4" w:rsidR="00BA4C43">
        <w:rPr>
          <w:szCs w:val="22"/>
        </w:rPr>
        <w:t>,</w:t>
      </w:r>
      <w:r w:rsidRPr="00E234F4" w:rsidR="0055121C">
        <w:rPr>
          <w:szCs w:val="22"/>
        </w:rPr>
        <w:t xml:space="preserve"> and then submits via the portal.  All of </w:t>
      </w:r>
      <w:r w:rsidRPr="00E234F4" w:rsidR="00BA4C43">
        <w:rPr>
          <w:szCs w:val="22"/>
        </w:rPr>
        <w:t xml:space="preserve">the </w:t>
      </w:r>
      <w:r w:rsidRPr="00E234F4" w:rsidR="0055121C">
        <w:rPr>
          <w:szCs w:val="22"/>
        </w:rPr>
        <w:t>information is filed with the Commission electronically.</w:t>
      </w:r>
    </w:p>
    <w:p w:rsidR="00A255EA" w:rsidRPr="00E234F4" w:rsidP="00A255EA" w14:paraId="356D7C9A"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4.</w:t>
      </w:r>
      <w:r w:rsidRPr="00E234F4">
        <w:rPr>
          <w:snapToGrid/>
          <w:kern w:val="1"/>
          <w:szCs w:val="22"/>
          <w:shd w:val="clear" w:color="auto" w:fill="FFFFFF"/>
          <w:lang w:eastAsia="ar-SA"/>
        </w:rPr>
        <w:t xml:space="preserve">  </w:t>
      </w:r>
      <w:r w:rsidRPr="00E234F4">
        <w:rPr>
          <w:b/>
          <w:snapToGrid/>
          <w:kern w:val="1"/>
          <w:szCs w:val="22"/>
          <w:shd w:val="clear" w:color="auto" w:fill="FFFFFF"/>
          <w:lang w:eastAsia="ar-SA"/>
        </w:rPr>
        <w:t>Describe efforts to identify duplication.  Show specifically why any similar information already available cannot be used or modified for use for the purposes described in item 2 above.</w:t>
      </w:r>
    </w:p>
    <w:p w:rsidR="008E3C0F" w:rsidRPr="00E234F4" w:rsidP="00216A2B" w14:paraId="7779BB76" w14:textId="04EC230D">
      <w:pPr>
        <w:pStyle w:val="ParaNum"/>
        <w:numPr>
          <w:ilvl w:val="0"/>
          <w:numId w:val="0"/>
        </w:numPr>
        <w:tabs>
          <w:tab w:val="left" w:pos="720"/>
        </w:tabs>
        <w:rPr>
          <w:szCs w:val="22"/>
        </w:rPr>
      </w:pPr>
      <w:r w:rsidRPr="00143BDC">
        <w:rPr>
          <w:spacing w:val="-3"/>
          <w:szCs w:val="22"/>
        </w:rPr>
        <w:t xml:space="preserve">The new rules ensure that applicants and licensees will not provide duplicate information and will </w:t>
      </w:r>
      <w:r w:rsidR="005273B5">
        <w:rPr>
          <w:spacing w:val="-3"/>
          <w:szCs w:val="22"/>
        </w:rPr>
        <w:t>enable</w:t>
      </w:r>
      <w:r w:rsidRPr="00143BDC">
        <w:rPr>
          <w:spacing w:val="-3"/>
          <w:szCs w:val="22"/>
        </w:rPr>
        <w:t xml:space="preserve"> the Commission to conduct its review of </w:t>
      </w:r>
      <w:r>
        <w:rPr>
          <w:spacing w:val="-3"/>
          <w:szCs w:val="22"/>
        </w:rPr>
        <w:t>circuit capacity data</w:t>
      </w:r>
      <w:r w:rsidRPr="00143BDC">
        <w:rPr>
          <w:spacing w:val="-3"/>
          <w:szCs w:val="22"/>
        </w:rPr>
        <w:t xml:space="preserve"> to assess national security risks.  </w:t>
      </w:r>
      <w:r w:rsidRPr="00E234F4" w:rsidR="000445FA">
        <w:rPr>
          <w:spacing w:val="-3"/>
          <w:szCs w:val="22"/>
        </w:rPr>
        <w:t>T</w:t>
      </w:r>
      <w:r w:rsidRPr="00E234F4" w:rsidR="000445FA">
        <w:rPr>
          <w:szCs w:val="22"/>
        </w:rPr>
        <w:t>his information collection requirement is not duplicated elsewhere in the Commission’s rules.</w:t>
      </w:r>
    </w:p>
    <w:p w:rsidR="000E2EE8" w:rsidRPr="00E234F4" w:rsidP="000E2EE8" w14:paraId="337D5865"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5.</w:t>
      </w:r>
      <w:r w:rsidRPr="00E234F4">
        <w:rPr>
          <w:snapToGrid/>
          <w:kern w:val="1"/>
          <w:szCs w:val="22"/>
          <w:shd w:val="clear" w:color="auto" w:fill="FFFFFF"/>
          <w:lang w:eastAsia="ar-SA"/>
        </w:rPr>
        <w:t xml:space="preserve"> </w:t>
      </w:r>
      <w:r w:rsidRPr="00E234F4">
        <w:rPr>
          <w:b/>
          <w:snapToGrid/>
          <w:kern w:val="1"/>
          <w:szCs w:val="22"/>
          <w:shd w:val="clear" w:color="auto" w:fill="FFFFFF"/>
          <w:lang w:eastAsia="ar-SA"/>
        </w:rPr>
        <w:t>If the collection of information impacts small businesses or other small entities, describe any methods used to minimize burden.</w:t>
      </w:r>
    </w:p>
    <w:p w:rsidR="00A255EA" w:rsidRPr="00E234F4" w:rsidP="008E3C0F" w14:paraId="16522425" w14:textId="254C2586">
      <w:pPr>
        <w:suppressAutoHyphens/>
        <w:spacing w:line="240" w:lineRule="atLeast"/>
        <w:rPr>
          <w:szCs w:val="22"/>
        </w:rPr>
      </w:pPr>
      <w:r>
        <w:rPr>
          <w:szCs w:val="22"/>
        </w:rPr>
        <w:t>T</w:t>
      </w:r>
      <w:r w:rsidRPr="00E234F4" w:rsidR="000655C8">
        <w:rPr>
          <w:szCs w:val="22"/>
        </w:rPr>
        <w:t xml:space="preserve">o reduce the costs and burdens on carriers, including small entities, </w:t>
      </w:r>
      <w:r w:rsidRPr="00E234F4" w:rsidR="002A2AFB">
        <w:rPr>
          <w:szCs w:val="22"/>
        </w:rPr>
        <w:t xml:space="preserve">the reporting </w:t>
      </w:r>
    </w:p>
    <w:p w:rsidR="008E3C0F" w:rsidRPr="00E234F4" w:rsidP="008E3C0F" w14:paraId="14198E90" w14:textId="710CF6E0">
      <w:pPr>
        <w:suppressAutoHyphens/>
        <w:spacing w:line="240" w:lineRule="atLeast"/>
        <w:rPr>
          <w:spacing w:val="-3"/>
          <w:szCs w:val="22"/>
        </w:rPr>
      </w:pPr>
      <w:r w:rsidRPr="00E234F4">
        <w:rPr>
          <w:szCs w:val="22"/>
        </w:rPr>
        <w:t xml:space="preserve">requirements </w:t>
      </w:r>
      <w:r w:rsidRPr="00E234F4" w:rsidR="003C1FC2">
        <w:rPr>
          <w:szCs w:val="22"/>
        </w:rPr>
        <w:t xml:space="preserve">are limited to </w:t>
      </w:r>
      <w:r w:rsidRPr="00E234F4">
        <w:rPr>
          <w:szCs w:val="22"/>
        </w:rPr>
        <w:t>only those collections necessary to serve the public interest</w:t>
      </w:r>
      <w:r w:rsidRPr="00E234F4" w:rsidR="00593629">
        <w:rPr>
          <w:szCs w:val="22"/>
        </w:rPr>
        <w:t>, emergency planning</w:t>
      </w:r>
      <w:r w:rsidR="00C45F18">
        <w:rPr>
          <w:szCs w:val="22"/>
        </w:rPr>
        <w:t>,</w:t>
      </w:r>
      <w:r w:rsidRPr="00E234F4" w:rsidR="00593629">
        <w:rPr>
          <w:szCs w:val="22"/>
        </w:rPr>
        <w:t xml:space="preserve"> and national security</w:t>
      </w:r>
      <w:r w:rsidRPr="00E234F4">
        <w:rPr>
          <w:szCs w:val="22"/>
        </w:rPr>
        <w:t xml:space="preserve">. </w:t>
      </w:r>
      <w:r w:rsidR="00F91B99">
        <w:rPr>
          <w:szCs w:val="22"/>
        </w:rPr>
        <w:t xml:space="preserve"> </w:t>
      </w:r>
      <w:r w:rsidR="00ED6731">
        <w:rPr>
          <w:szCs w:val="22"/>
        </w:rPr>
        <w:t>Pursuant to</w:t>
      </w:r>
      <w:r w:rsidR="00EA480E">
        <w:rPr>
          <w:szCs w:val="22"/>
        </w:rPr>
        <w:t xml:space="preserve"> the </w:t>
      </w:r>
      <w:r w:rsidRPr="00EA480E" w:rsidR="00EA480E">
        <w:rPr>
          <w:i/>
          <w:iCs/>
          <w:szCs w:val="22"/>
        </w:rPr>
        <w:t>Submarine Cable Report and Order</w:t>
      </w:r>
      <w:r w:rsidR="00EA480E">
        <w:rPr>
          <w:szCs w:val="22"/>
        </w:rPr>
        <w:t>, t</w:t>
      </w:r>
      <w:r w:rsidR="00F91B99">
        <w:rPr>
          <w:szCs w:val="22"/>
        </w:rPr>
        <w:t xml:space="preserve">he Commission </w:t>
      </w:r>
      <w:r w:rsidR="00C90482">
        <w:rPr>
          <w:szCs w:val="22"/>
        </w:rPr>
        <w:t xml:space="preserve">has streamlined </w:t>
      </w:r>
      <w:r w:rsidR="00EA480E">
        <w:rPr>
          <w:szCs w:val="22"/>
        </w:rPr>
        <w:t xml:space="preserve">its </w:t>
      </w:r>
      <w:r w:rsidR="00C90482">
        <w:rPr>
          <w:szCs w:val="22"/>
        </w:rPr>
        <w:t>rules</w:t>
      </w:r>
      <w:r w:rsidR="00F25EA8">
        <w:rPr>
          <w:szCs w:val="22"/>
        </w:rPr>
        <w:t xml:space="preserve"> and</w:t>
      </w:r>
      <w:r w:rsidR="00C90482">
        <w:rPr>
          <w:szCs w:val="22"/>
        </w:rPr>
        <w:t xml:space="preserve"> </w:t>
      </w:r>
      <w:r w:rsidR="00760F59">
        <w:rPr>
          <w:szCs w:val="22"/>
        </w:rPr>
        <w:t>will require</w:t>
      </w:r>
      <w:r w:rsidR="00F44E9E">
        <w:rPr>
          <w:szCs w:val="22"/>
        </w:rPr>
        <w:t xml:space="preserve"> </w:t>
      </w:r>
      <w:r w:rsidR="00F91B99">
        <w:t xml:space="preserve">Filing Entities </w:t>
      </w:r>
      <w:r w:rsidR="002339CE">
        <w:t>to</w:t>
      </w:r>
      <w:r w:rsidR="00F91B99">
        <w:t xml:space="preserve"> file one report, </w:t>
      </w:r>
      <w:r w:rsidRPr="000122F8" w:rsidR="00F91B99">
        <w:t>the Capacity Holder Report</w:t>
      </w:r>
      <w:r w:rsidR="00F91B99">
        <w:t>,</w:t>
      </w:r>
      <w:r w:rsidRPr="000122F8" w:rsidR="00F91B99">
        <w:t xml:space="preserve"> </w:t>
      </w:r>
      <w:r w:rsidR="00F91B99">
        <w:t>on an individual basis that will enable the Commission to continue collecting accurate and important data for national security and public safety purposes</w:t>
      </w:r>
      <w:r w:rsidR="00C90482">
        <w:t>.</w:t>
      </w:r>
      <w:r>
        <w:rPr>
          <w:rStyle w:val="FootnoteReference"/>
        </w:rPr>
        <w:footnoteReference w:id="23"/>
      </w:r>
      <w:r w:rsidR="00C90482">
        <w:t xml:space="preserve">  This </w:t>
      </w:r>
      <w:r w:rsidR="00072516">
        <w:t xml:space="preserve">will </w:t>
      </w:r>
      <w:r w:rsidR="00C90482">
        <w:t>decrease burdens on all entities, including small entities.</w:t>
      </w:r>
    </w:p>
    <w:p w:rsidR="008E3C0F" w:rsidRPr="00E234F4" w:rsidP="008E3C0F" w14:paraId="337EE4FC" w14:textId="77777777">
      <w:pPr>
        <w:suppressAutoHyphens/>
        <w:spacing w:line="240" w:lineRule="atLeast"/>
        <w:rPr>
          <w:spacing w:val="-3"/>
          <w:szCs w:val="22"/>
        </w:rPr>
      </w:pPr>
    </w:p>
    <w:p w:rsidR="001F45D3" w:rsidRPr="00E234F4" w:rsidP="001F45D3" w14:paraId="58622E97"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6.  Describe the consequence to Federal program or policy activities if the collection is not conducted or is conducted less frequently, as well as any technical or legal obstacles to reducing burden.</w:t>
      </w:r>
    </w:p>
    <w:p w:rsidR="008E3C0F" w:rsidRPr="00E234F4" w:rsidP="006F63B1" w14:paraId="262353A4" w14:textId="43AB054C">
      <w:pPr>
        <w:suppressAutoHyphens/>
        <w:spacing w:line="240" w:lineRule="atLeast"/>
        <w:rPr>
          <w:spacing w:val="-3"/>
          <w:szCs w:val="22"/>
        </w:rPr>
      </w:pPr>
      <w:r w:rsidRPr="00E234F4">
        <w:rPr>
          <w:spacing w:val="-3"/>
          <w:szCs w:val="22"/>
        </w:rPr>
        <w:t xml:space="preserve">If the information collection were not conducted or were conducted less frequently, the Commission would not be able to </w:t>
      </w:r>
      <w:r w:rsidR="0003114D">
        <w:rPr>
          <w:spacing w:val="-3"/>
          <w:szCs w:val="22"/>
        </w:rPr>
        <w:t>support its</w:t>
      </w:r>
      <w:r w:rsidR="00D942D1">
        <w:t xml:space="preserve"> national security and public safety responsibilities in regulating communications submarine cables</w:t>
      </w:r>
      <w:r w:rsidR="0003114D">
        <w:t>.  C</w:t>
      </w:r>
      <w:r w:rsidR="00D942D1">
        <w:t xml:space="preserve">ircuit capacity data are important for the Commission’s contributions to the national security and defense of the United States. </w:t>
      </w:r>
      <w:r w:rsidR="0003114D">
        <w:t xml:space="preserve"> </w:t>
      </w:r>
      <w:r w:rsidR="00D942D1">
        <w:t>The data are also useful for federal agencies in fulfilling their other duties and responsibilitie</w:t>
      </w:r>
      <w:r w:rsidRPr="00E234F4">
        <w:rPr>
          <w:szCs w:val="22"/>
        </w:rPr>
        <w:t xml:space="preserve">s. </w:t>
      </w:r>
      <w:r w:rsidR="006F63B1">
        <w:rPr>
          <w:szCs w:val="22"/>
        </w:rPr>
        <w:t xml:space="preserve"> </w:t>
      </w:r>
    </w:p>
    <w:p w:rsidR="008E3C0F" w:rsidRPr="00E234F4" w:rsidP="008E3C0F" w14:paraId="344C87FB" w14:textId="77777777">
      <w:pPr>
        <w:suppressAutoHyphens/>
        <w:spacing w:line="240" w:lineRule="atLeast"/>
        <w:rPr>
          <w:spacing w:val="-3"/>
          <w:szCs w:val="22"/>
        </w:rPr>
      </w:pPr>
    </w:p>
    <w:p w:rsidR="00E92A67" w:rsidRPr="00E234F4" w:rsidP="00E92A67" w14:paraId="6DC734DD" w14:textId="77777777">
      <w:pPr>
        <w:spacing w:after="220"/>
        <w:rPr>
          <w:b/>
          <w:szCs w:val="22"/>
          <w:shd w:val="clear" w:color="auto" w:fill="FFFFFF"/>
        </w:rPr>
      </w:pPr>
      <w:r w:rsidRPr="00E234F4">
        <w:rPr>
          <w:b/>
          <w:szCs w:val="22"/>
          <w:shd w:val="clear" w:color="auto" w:fill="FFFFFF"/>
        </w:rPr>
        <w:t xml:space="preserve">7.  Explain any special circumstances that would cause an information collection to be conducted in a manner inconsistent with the criteria listed in the supporting statement question. </w:t>
      </w:r>
    </w:p>
    <w:p w:rsidR="008B584D" w:rsidRPr="00E234F4" w:rsidP="008B584D" w14:paraId="77097402" w14:textId="4DDACBA6">
      <w:pPr>
        <w:suppressAutoHyphens/>
        <w:spacing w:line="240" w:lineRule="atLeast"/>
        <w:ind w:right="540"/>
        <w:rPr>
          <w:spacing w:val="-3"/>
          <w:szCs w:val="22"/>
        </w:rPr>
      </w:pPr>
      <w:r w:rsidRPr="00E234F4">
        <w:rPr>
          <w:spacing w:val="-3"/>
          <w:szCs w:val="22"/>
        </w:rPr>
        <w:t>There are no special circumstances that would prevent the Commission from following all guidelines regarding the information collection.</w:t>
      </w:r>
    </w:p>
    <w:p w:rsidR="008E3C0F" w:rsidRPr="00E234F4" w:rsidP="008E3C0F" w14:paraId="40B46A09" w14:textId="77777777">
      <w:pPr>
        <w:suppressAutoHyphens/>
        <w:spacing w:line="240" w:lineRule="atLeast"/>
        <w:rPr>
          <w:spacing w:val="-3"/>
          <w:szCs w:val="22"/>
        </w:rPr>
      </w:pPr>
    </w:p>
    <w:p w:rsidR="00F17E4C" w:rsidP="00712203" w14:paraId="7E427CBE"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8.</w:t>
      </w:r>
      <w:r w:rsidRPr="00E234F4">
        <w:rPr>
          <w:snapToGrid/>
          <w:kern w:val="1"/>
          <w:szCs w:val="22"/>
          <w:shd w:val="clear" w:color="auto" w:fill="FFFFFF"/>
          <w:lang w:eastAsia="ar-SA"/>
        </w:rPr>
        <w:t xml:space="preserve">  </w:t>
      </w:r>
      <w:r w:rsidRPr="00E234F4">
        <w:rPr>
          <w:b/>
          <w:snapToGrid/>
          <w:kern w:val="1"/>
          <w:szCs w:val="22"/>
          <w:shd w:val="clear" w:color="auto" w:fill="FFFFFF"/>
          <w:lang w:eastAsia="ar-SA"/>
        </w:rPr>
        <w:t>If applicable, provide a copy and identify the date and page number of publication in the Federal Register of the agency’s notice, required by 5 CFR 1320.8(d), soliciting comments on the information prior to submission to OMB.</w:t>
      </w:r>
      <w:r w:rsidR="009D7496">
        <w:rPr>
          <w:b/>
          <w:snapToGrid/>
          <w:kern w:val="1"/>
          <w:szCs w:val="22"/>
          <w:shd w:val="clear" w:color="auto" w:fill="FFFFFF"/>
          <w:lang w:eastAsia="ar-SA"/>
        </w:rPr>
        <w:t xml:space="preserve">  </w:t>
      </w:r>
      <w:r w:rsidRPr="00E234F4">
        <w:rPr>
          <w:b/>
          <w:snapToGrid/>
          <w:kern w:val="1"/>
          <w:szCs w:val="22"/>
          <w:shd w:val="clear" w:color="auto" w:fill="FFFFFF"/>
          <w:lang w:eastAsia="ar-SA"/>
        </w:rPr>
        <w:t xml:space="preserve">Describe efforts to consult with persons outside the agency to obtain their views on the availability of data, frequency of collection, </w:t>
      </w:r>
    </w:p>
    <w:p w:rsidR="00F17E4C" w:rsidP="00712203" w14:paraId="5D434F29" w14:textId="77777777">
      <w:pPr>
        <w:widowControl/>
        <w:suppressAutoHyphens/>
        <w:spacing w:after="220"/>
        <w:rPr>
          <w:b/>
          <w:snapToGrid/>
          <w:kern w:val="1"/>
          <w:szCs w:val="22"/>
          <w:shd w:val="clear" w:color="auto" w:fill="FFFFFF"/>
          <w:lang w:eastAsia="ar-SA"/>
        </w:rPr>
      </w:pPr>
    </w:p>
    <w:p w:rsidR="00712203" w:rsidRPr="00E234F4" w:rsidP="00712203" w14:paraId="5B37FA53" w14:textId="57B887EC">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the clarity of instructions and recordkeeping, disclosure, or reporting format (if any), and on the data elements to be recorded, disclosed, or reported.</w:t>
      </w:r>
    </w:p>
    <w:p w:rsidR="00D56C45" w:rsidP="00D56C45" w14:paraId="6454B81B" w14:textId="3B9E4E27">
      <w:pPr>
        <w:tabs>
          <w:tab w:val="left" w:pos="-720"/>
        </w:tabs>
        <w:suppressAutoHyphens/>
        <w:rPr>
          <w:szCs w:val="22"/>
        </w:rPr>
      </w:pPr>
      <w:r w:rsidRPr="00DA59AA">
        <w:rPr>
          <w:spacing w:val="-3"/>
          <w:szCs w:val="22"/>
        </w:rPr>
        <w:t xml:space="preserve">On </w:t>
      </w:r>
      <w:r w:rsidRPr="00DA59AA" w:rsidR="00DA59AA">
        <w:rPr>
          <w:spacing w:val="-3"/>
          <w:szCs w:val="22"/>
        </w:rPr>
        <w:t>February 10,</w:t>
      </w:r>
      <w:r w:rsidRPr="00DA59AA">
        <w:rPr>
          <w:spacing w:val="-3"/>
          <w:szCs w:val="22"/>
        </w:rPr>
        <w:t xml:space="preserve"> </w:t>
      </w:r>
      <w:r w:rsidRPr="00DA59AA" w:rsidR="009D7496">
        <w:rPr>
          <w:spacing w:val="-3"/>
          <w:szCs w:val="22"/>
        </w:rPr>
        <w:t xml:space="preserve">2026, </w:t>
      </w:r>
      <w:r w:rsidRPr="00DA59AA">
        <w:rPr>
          <w:spacing w:val="-3"/>
          <w:szCs w:val="22"/>
        </w:rPr>
        <w:t>a</w:t>
      </w:r>
      <w:r w:rsidRPr="00E234F4">
        <w:rPr>
          <w:szCs w:val="22"/>
        </w:rPr>
        <w:t xml:space="preserve"> 60-day notice was published in the Federal Register to solicit comments </w:t>
      </w:r>
      <w:r w:rsidRPr="00E234F4" w:rsidR="00BC728C">
        <w:rPr>
          <w:szCs w:val="22"/>
        </w:rPr>
        <w:t xml:space="preserve">from the public with regard to </w:t>
      </w:r>
      <w:r w:rsidRPr="00E234F4">
        <w:rPr>
          <w:szCs w:val="22"/>
        </w:rPr>
        <w:t>this information collection</w:t>
      </w:r>
      <w:r w:rsidRPr="00E234F4" w:rsidR="008C052C">
        <w:rPr>
          <w:szCs w:val="22"/>
        </w:rPr>
        <w:t>.</w:t>
      </w:r>
      <w:r w:rsidRPr="00E234F4">
        <w:rPr>
          <w:szCs w:val="22"/>
        </w:rPr>
        <w:t xml:space="preserve">  </w:t>
      </w:r>
      <w:r w:rsidR="009864FD">
        <w:rPr>
          <w:lang w:bidi="bn-IN"/>
        </w:rPr>
        <w:t>[</w:t>
      </w:r>
      <w:r w:rsidR="00DA59AA">
        <w:rPr>
          <w:lang w:bidi="bn-IN"/>
        </w:rPr>
        <w:t>91 FR 5948</w:t>
      </w:r>
      <w:r w:rsidR="009864FD">
        <w:rPr>
          <w:lang w:bidi="bn-IN"/>
        </w:rPr>
        <w:t>]</w:t>
      </w:r>
      <w:r w:rsidR="008E7D1B">
        <w:rPr>
          <w:szCs w:val="22"/>
        </w:rPr>
        <w:t xml:space="preserve"> </w:t>
      </w:r>
      <w:r w:rsidRPr="00E234F4" w:rsidR="00EC6799">
        <w:rPr>
          <w:szCs w:val="22"/>
        </w:rPr>
        <w:t xml:space="preserve">  </w:t>
      </w:r>
    </w:p>
    <w:p w:rsidR="002F357A" w:rsidRPr="00E234F4" w:rsidP="00D56C45" w14:paraId="139243C3" w14:textId="77777777">
      <w:pPr>
        <w:tabs>
          <w:tab w:val="left" w:pos="-720"/>
        </w:tabs>
        <w:suppressAutoHyphens/>
        <w:rPr>
          <w:szCs w:val="22"/>
        </w:rPr>
      </w:pPr>
    </w:p>
    <w:p w:rsidR="00953092" w:rsidRPr="000F4FB5" w:rsidP="00953092" w14:paraId="7C994594" w14:textId="77777777">
      <w:pPr>
        <w:widowControl/>
        <w:suppressAutoHyphens/>
        <w:spacing w:after="220"/>
        <w:rPr>
          <w:b/>
          <w:snapToGrid/>
          <w:kern w:val="1"/>
          <w:szCs w:val="22"/>
          <w:shd w:val="clear" w:color="auto" w:fill="FFFFFF"/>
          <w:lang w:eastAsia="ar-SA"/>
        </w:rPr>
      </w:pPr>
      <w:r w:rsidRPr="000F4FB5">
        <w:rPr>
          <w:b/>
          <w:snapToGrid/>
          <w:kern w:val="1"/>
          <w:szCs w:val="22"/>
          <w:shd w:val="clear" w:color="auto" w:fill="FFFFFF"/>
          <w:lang w:eastAsia="ar-SA"/>
        </w:rPr>
        <w:t>9.</w:t>
      </w:r>
      <w:r w:rsidRPr="000F4FB5">
        <w:rPr>
          <w:snapToGrid/>
          <w:kern w:val="1"/>
          <w:szCs w:val="22"/>
          <w:shd w:val="clear" w:color="auto" w:fill="FFFFFF"/>
          <w:lang w:eastAsia="ar-SA"/>
        </w:rPr>
        <w:t xml:space="preserve">  </w:t>
      </w:r>
      <w:r w:rsidRPr="000F4FB5">
        <w:rPr>
          <w:b/>
          <w:snapToGrid/>
          <w:kern w:val="1"/>
          <w:szCs w:val="22"/>
          <w:shd w:val="clear" w:color="auto" w:fill="FFFFFF"/>
          <w:lang w:eastAsia="ar-SA"/>
        </w:rPr>
        <w:t>Explain any decision to provide any payment or gift to respondents, other than remuneration of contractors or grantees.</w:t>
      </w:r>
    </w:p>
    <w:p w:rsidR="008E3C0F" w:rsidRPr="000D5FFC" w:rsidP="008E3C0F" w14:paraId="0CF0F77D" w14:textId="5AC482DA">
      <w:pPr>
        <w:suppressAutoHyphens/>
        <w:spacing w:line="240" w:lineRule="atLeast"/>
        <w:rPr>
          <w:spacing w:val="-3"/>
          <w:szCs w:val="22"/>
        </w:rPr>
      </w:pPr>
      <w:r w:rsidRPr="000F4FB5">
        <w:rPr>
          <w:spacing w:val="-3"/>
          <w:szCs w:val="22"/>
        </w:rPr>
        <w:t>The Commission will not provide any payment or gift to respondents.</w:t>
      </w:r>
    </w:p>
    <w:p w:rsidR="008E3C0F" w:rsidRPr="000D5FFC" w:rsidP="008E3C0F" w14:paraId="13532D43" w14:textId="77777777">
      <w:pPr>
        <w:suppressAutoHyphens/>
        <w:spacing w:line="240" w:lineRule="atLeast"/>
        <w:rPr>
          <w:spacing w:val="-3"/>
          <w:szCs w:val="22"/>
        </w:rPr>
      </w:pPr>
    </w:p>
    <w:p w:rsidR="00953092" w:rsidRPr="000F4FB5" w:rsidP="00953092" w14:paraId="45E6494A" w14:textId="77777777">
      <w:pPr>
        <w:widowControl/>
        <w:suppressAutoHyphens/>
        <w:spacing w:after="220"/>
        <w:rPr>
          <w:b/>
          <w:snapToGrid/>
          <w:kern w:val="1"/>
          <w:szCs w:val="22"/>
          <w:shd w:val="clear" w:color="auto" w:fill="FFFFFF"/>
          <w:lang w:eastAsia="ar-SA"/>
        </w:rPr>
      </w:pPr>
      <w:r w:rsidRPr="000F4FB5">
        <w:rPr>
          <w:b/>
          <w:snapToGrid/>
          <w:kern w:val="1"/>
          <w:szCs w:val="22"/>
          <w:shd w:val="clear" w:color="auto" w:fill="FFFFFF"/>
          <w:lang w:eastAsia="ar-SA"/>
        </w:rPr>
        <w:t>10.  Describe any assurance of confidentiality provided to respondents and the basis for the assurance in statute, regulation, or agency policy.</w:t>
      </w:r>
    </w:p>
    <w:p w:rsidR="00F96FFC" w:rsidP="004D3386" w14:paraId="60184B53" w14:textId="278529F1">
      <w:pPr>
        <w:suppressAutoHyphens/>
        <w:spacing w:line="240" w:lineRule="atLeast"/>
        <w:rPr>
          <w:spacing w:val="-3"/>
          <w:szCs w:val="22"/>
        </w:rPr>
      </w:pPr>
      <w:r w:rsidRPr="000F4FB5">
        <w:rPr>
          <w:spacing w:val="-3"/>
          <w:szCs w:val="22"/>
        </w:rPr>
        <w:t>The Commission has an abbreviated means for the submitter of the data to seek confidential treatment</w:t>
      </w:r>
      <w:r w:rsidR="005C7A3A">
        <w:rPr>
          <w:spacing w:val="-3"/>
          <w:szCs w:val="22"/>
        </w:rPr>
        <w:t xml:space="preserve"> </w:t>
      </w:r>
      <w:r w:rsidRPr="005C7A3A" w:rsidR="005C7A3A">
        <w:rPr>
          <w:spacing w:val="-3"/>
          <w:szCs w:val="22"/>
        </w:rPr>
        <w:t>under section 0.459 of the Commission’s rules</w:t>
      </w:r>
      <w:r w:rsidRPr="000F4FB5">
        <w:rPr>
          <w:spacing w:val="-3"/>
          <w:szCs w:val="22"/>
        </w:rPr>
        <w:t xml:space="preserve">.  Specifically, </w:t>
      </w:r>
      <w:r w:rsidR="00E31626">
        <w:rPr>
          <w:spacing w:val="-3"/>
          <w:szCs w:val="22"/>
        </w:rPr>
        <w:t xml:space="preserve">in the Registration Form, </w:t>
      </w:r>
      <w:r w:rsidRPr="000F4FB5">
        <w:rPr>
          <w:spacing w:val="-3"/>
          <w:szCs w:val="22"/>
        </w:rPr>
        <w:t xml:space="preserve">a checkbox is provided enabling the </w:t>
      </w:r>
      <w:r w:rsidRPr="000F4FB5" w:rsidR="009F58AD">
        <w:rPr>
          <w:spacing w:val="-3"/>
          <w:szCs w:val="22"/>
        </w:rPr>
        <w:t>F</w:t>
      </w:r>
      <w:r w:rsidRPr="000F4FB5">
        <w:rPr>
          <w:spacing w:val="-3"/>
          <w:szCs w:val="22"/>
        </w:rPr>
        <w:t xml:space="preserve">iling </w:t>
      </w:r>
      <w:r w:rsidRPr="000F4FB5" w:rsidR="009F58AD">
        <w:rPr>
          <w:spacing w:val="-3"/>
          <w:szCs w:val="22"/>
        </w:rPr>
        <w:t>E</w:t>
      </w:r>
      <w:r w:rsidRPr="000F4FB5">
        <w:rPr>
          <w:spacing w:val="-3"/>
          <w:szCs w:val="22"/>
        </w:rPr>
        <w:t xml:space="preserve">ntity to indicate that the data </w:t>
      </w:r>
      <w:r w:rsidRPr="000F4FB5" w:rsidR="00AC0199">
        <w:rPr>
          <w:spacing w:val="-3"/>
          <w:szCs w:val="22"/>
        </w:rPr>
        <w:t>are</w:t>
      </w:r>
      <w:r w:rsidRPr="000F4FB5">
        <w:rPr>
          <w:spacing w:val="-3"/>
          <w:szCs w:val="22"/>
        </w:rPr>
        <w:t xml:space="preserve"> confidential and deferring the need to provide justification for confidential treatment until another party requests access to the data.  The Commission’s rules currently contemplate allowing parties seeking confidential treatment to defer providing justification for such treatment until another party seeks access to the data.  Upon receipt of a request for inspection of the data, the Commission will notify the </w:t>
      </w:r>
      <w:r w:rsidRPr="000F4FB5" w:rsidR="009F58AD">
        <w:rPr>
          <w:spacing w:val="-3"/>
          <w:szCs w:val="22"/>
        </w:rPr>
        <w:t>F</w:t>
      </w:r>
      <w:r w:rsidRPr="000F4FB5">
        <w:rPr>
          <w:spacing w:val="-3"/>
          <w:szCs w:val="22"/>
        </w:rPr>
        <w:t xml:space="preserve">iling </w:t>
      </w:r>
      <w:r w:rsidRPr="000F4FB5" w:rsidR="009F58AD">
        <w:rPr>
          <w:spacing w:val="-3"/>
          <w:szCs w:val="22"/>
        </w:rPr>
        <w:t>E</w:t>
      </w:r>
      <w:r w:rsidRPr="000F4FB5">
        <w:rPr>
          <w:spacing w:val="-3"/>
          <w:szCs w:val="22"/>
        </w:rPr>
        <w:t xml:space="preserve">ntity of the request and the </w:t>
      </w:r>
      <w:r w:rsidRPr="000F4FB5" w:rsidR="00D616D6">
        <w:rPr>
          <w:spacing w:val="-3"/>
          <w:szCs w:val="22"/>
        </w:rPr>
        <w:t>F</w:t>
      </w:r>
      <w:r w:rsidRPr="000F4FB5">
        <w:rPr>
          <w:spacing w:val="-3"/>
          <w:szCs w:val="22"/>
        </w:rPr>
        <w:t xml:space="preserve">iling </w:t>
      </w:r>
      <w:r w:rsidRPr="000F4FB5" w:rsidR="00D616D6">
        <w:rPr>
          <w:spacing w:val="-3"/>
          <w:szCs w:val="22"/>
        </w:rPr>
        <w:t>E</w:t>
      </w:r>
      <w:r w:rsidRPr="000F4FB5">
        <w:rPr>
          <w:spacing w:val="-3"/>
          <w:szCs w:val="22"/>
        </w:rPr>
        <w:t xml:space="preserve">ntity will be required to justify continued confidential treatment pursuant to </w:t>
      </w:r>
      <w:r w:rsidRPr="000F4FB5" w:rsidR="001F0064">
        <w:rPr>
          <w:spacing w:val="-3"/>
          <w:szCs w:val="22"/>
        </w:rPr>
        <w:t>the Commission’s</w:t>
      </w:r>
      <w:r w:rsidRPr="000F4FB5">
        <w:rPr>
          <w:spacing w:val="-3"/>
          <w:szCs w:val="22"/>
        </w:rPr>
        <w:t xml:space="preserve"> rules.</w:t>
      </w:r>
    </w:p>
    <w:p w:rsidR="00F96FFC" w:rsidP="004D3386" w14:paraId="20296C3C" w14:textId="77777777">
      <w:pPr>
        <w:suppressAutoHyphens/>
        <w:spacing w:line="240" w:lineRule="atLeast"/>
        <w:rPr>
          <w:spacing w:val="-3"/>
          <w:szCs w:val="22"/>
        </w:rPr>
      </w:pPr>
    </w:p>
    <w:p w:rsidR="00FD1C15" w:rsidRPr="00FD1C15" w:rsidP="00FD1C15" w14:paraId="7393E095" w14:textId="573120EB">
      <w:pPr>
        <w:suppressAutoHyphens/>
        <w:spacing w:line="240" w:lineRule="atLeast"/>
        <w:rPr>
          <w:spacing w:val="-3"/>
          <w:szCs w:val="22"/>
        </w:rPr>
      </w:pPr>
      <w:r>
        <w:rPr>
          <w:spacing w:val="-3"/>
          <w:szCs w:val="22"/>
        </w:rPr>
        <w:t xml:space="preserve">In the </w:t>
      </w:r>
      <w:r w:rsidRPr="00250DF4">
        <w:rPr>
          <w:i/>
          <w:iCs/>
          <w:spacing w:val="-3"/>
          <w:szCs w:val="22"/>
        </w:rPr>
        <w:t>Submarine Cable Report and Order</w:t>
      </w:r>
      <w:r>
        <w:rPr>
          <w:spacing w:val="-3"/>
          <w:szCs w:val="22"/>
        </w:rPr>
        <w:t xml:space="preserve">, </w:t>
      </w:r>
      <w:r w:rsidR="008A7506">
        <w:rPr>
          <w:spacing w:val="-3"/>
          <w:szCs w:val="22"/>
        </w:rPr>
        <w:t xml:space="preserve">the Commission </w:t>
      </w:r>
      <w:r w:rsidRPr="008A7506" w:rsidR="008A7506">
        <w:rPr>
          <w:spacing w:val="-3"/>
          <w:szCs w:val="22"/>
        </w:rPr>
        <w:t>modif</w:t>
      </w:r>
      <w:r w:rsidR="008A7506">
        <w:rPr>
          <w:spacing w:val="-3"/>
          <w:szCs w:val="22"/>
        </w:rPr>
        <w:t>ied</w:t>
      </w:r>
      <w:r w:rsidRPr="008A7506" w:rsidR="008A7506">
        <w:rPr>
          <w:spacing w:val="-3"/>
          <w:szCs w:val="22"/>
        </w:rPr>
        <w:t xml:space="preserve"> section 43.82 of the rules to allow</w:t>
      </w:r>
      <w:r w:rsidR="008A7506">
        <w:rPr>
          <w:spacing w:val="-3"/>
          <w:szCs w:val="22"/>
        </w:rPr>
        <w:t xml:space="preserve"> </w:t>
      </w:r>
      <w:r w:rsidRPr="008A7506" w:rsidR="008A7506">
        <w:rPr>
          <w:spacing w:val="-3"/>
          <w:szCs w:val="22"/>
        </w:rPr>
        <w:t>the Commission to share with the Committee, DHS, and the State Department the capacity data filed on a</w:t>
      </w:r>
      <w:r w:rsidR="008A7506">
        <w:rPr>
          <w:spacing w:val="-3"/>
          <w:szCs w:val="22"/>
        </w:rPr>
        <w:t xml:space="preserve"> </w:t>
      </w:r>
      <w:r w:rsidRPr="008A7506" w:rsidR="008A7506">
        <w:rPr>
          <w:spacing w:val="-3"/>
          <w:szCs w:val="22"/>
        </w:rPr>
        <w:t>confidential basis without the pre-notification requirements of section 0.442(d).</w:t>
      </w:r>
      <w:r>
        <w:footnoteReference w:id="24"/>
      </w:r>
      <w:r>
        <w:rPr>
          <w:spacing w:val="-3"/>
          <w:szCs w:val="22"/>
        </w:rPr>
        <w:t xml:space="preserve">  </w:t>
      </w:r>
      <w:r w:rsidRPr="00FD1C15">
        <w:rPr>
          <w:spacing w:val="-3"/>
          <w:szCs w:val="22"/>
        </w:rPr>
        <w:t>Industry commenters d</w:t>
      </w:r>
      <w:r>
        <w:rPr>
          <w:spacing w:val="-3"/>
          <w:szCs w:val="22"/>
        </w:rPr>
        <w:t>id</w:t>
      </w:r>
      <w:r w:rsidRPr="00FD1C15">
        <w:rPr>
          <w:spacing w:val="-3"/>
          <w:szCs w:val="22"/>
        </w:rPr>
        <w:t xml:space="preserve"> not object to the sharing of the data with federal agencies</w:t>
      </w:r>
    </w:p>
    <w:p w:rsidR="00FD1C15" w:rsidRPr="00FD1C15" w:rsidP="00FD1C15" w14:paraId="0B1BB190" w14:textId="1E09B27C">
      <w:pPr>
        <w:suppressAutoHyphens/>
        <w:spacing w:line="240" w:lineRule="atLeast"/>
        <w:rPr>
          <w:spacing w:val="-3"/>
          <w:szCs w:val="22"/>
        </w:rPr>
      </w:pPr>
      <w:r w:rsidRPr="00FD1C15">
        <w:rPr>
          <w:spacing w:val="-3"/>
          <w:szCs w:val="22"/>
        </w:rPr>
        <w:t>provided that licensees’ requests for confidential treatment are honored and such information</w:t>
      </w:r>
    </w:p>
    <w:p w:rsidR="004D3386" w:rsidRPr="000D5FFC" w:rsidP="002B3AAC" w14:paraId="78FC1550" w14:textId="4C2EAC7F">
      <w:pPr>
        <w:suppressAutoHyphens/>
        <w:spacing w:line="240" w:lineRule="atLeast"/>
        <w:rPr>
          <w:spacing w:val="-3"/>
          <w:szCs w:val="22"/>
        </w:rPr>
      </w:pPr>
      <w:r w:rsidRPr="00FD1C15">
        <w:rPr>
          <w:spacing w:val="-3"/>
          <w:szCs w:val="22"/>
        </w:rPr>
        <w:t>remains confidential</w:t>
      </w:r>
      <w:r>
        <w:rPr>
          <w:spacing w:val="-3"/>
          <w:szCs w:val="22"/>
        </w:rPr>
        <w:t>.</w:t>
      </w:r>
      <w:r>
        <w:footnoteReference w:id="25"/>
      </w:r>
      <w:r w:rsidRPr="00427AD4" w:rsidR="002B3AAC">
        <w:rPr>
          <w:spacing w:val="-3"/>
          <w:szCs w:val="22"/>
        </w:rPr>
        <w:t xml:space="preserve"> </w:t>
      </w:r>
      <w:r w:rsidR="002B3AAC">
        <w:rPr>
          <w:spacing w:val="-3"/>
          <w:szCs w:val="22"/>
        </w:rPr>
        <w:t xml:space="preserve"> T</w:t>
      </w:r>
      <w:r w:rsidRPr="002B3AAC" w:rsidR="002B3AAC">
        <w:rPr>
          <w:spacing w:val="-3"/>
          <w:szCs w:val="22"/>
        </w:rPr>
        <w:t>he rule adopt</w:t>
      </w:r>
      <w:r w:rsidR="002B3AAC">
        <w:rPr>
          <w:spacing w:val="-3"/>
          <w:szCs w:val="22"/>
        </w:rPr>
        <w:t>ed by the Commission</w:t>
      </w:r>
      <w:r w:rsidRPr="002B3AAC" w:rsidR="002B3AAC">
        <w:rPr>
          <w:spacing w:val="-3"/>
          <w:szCs w:val="22"/>
        </w:rPr>
        <w:t xml:space="preserve"> make</w:t>
      </w:r>
      <w:r w:rsidR="002B3AAC">
        <w:rPr>
          <w:spacing w:val="-3"/>
          <w:szCs w:val="22"/>
        </w:rPr>
        <w:t>s</w:t>
      </w:r>
      <w:r w:rsidRPr="002B3AAC" w:rsidR="002B3AAC">
        <w:rPr>
          <w:spacing w:val="-3"/>
          <w:szCs w:val="22"/>
        </w:rPr>
        <w:t xml:space="preserve"> clear that sharing of the confidential circuit capacity data with other federal</w:t>
      </w:r>
      <w:r w:rsidR="002B3AAC">
        <w:rPr>
          <w:spacing w:val="-3"/>
          <w:szCs w:val="22"/>
        </w:rPr>
        <w:t xml:space="preserve"> </w:t>
      </w:r>
      <w:r w:rsidRPr="002B3AAC" w:rsidR="002B3AAC">
        <w:rPr>
          <w:spacing w:val="-3"/>
          <w:szCs w:val="22"/>
        </w:rPr>
        <w:t>government agencies is subject to the requirements of the confidentiality protections contained in the</w:t>
      </w:r>
      <w:r w:rsidR="002B3AAC">
        <w:rPr>
          <w:spacing w:val="-3"/>
          <w:szCs w:val="22"/>
        </w:rPr>
        <w:t xml:space="preserve"> </w:t>
      </w:r>
      <w:r w:rsidRPr="002B3AAC" w:rsidR="002B3AAC">
        <w:rPr>
          <w:spacing w:val="-3"/>
          <w:szCs w:val="22"/>
        </w:rPr>
        <w:t>Commission’s regulations and 44 U.S.C. § 3510, and, in the case of the Committee, section 8 of</w:t>
      </w:r>
      <w:r w:rsidR="002B3AAC">
        <w:rPr>
          <w:spacing w:val="-3"/>
          <w:szCs w:val="22"/>
        </w:rPr>
        <w:t xml:space="preserve"> </w:t>
      </w:r>
      <w:r w:rsidRPr="002B3AAC" w:rsidR="002B3AAC">
        <w:rPr>
          <w:spacing w:val="-3"/>
          <w:szCs w:val="22"/>
        </w:rPr>
        <w:t>Executive Order 13913 that require the Committee to keep the information confidential.</w:t>
      </w:r>
      <w:r>
        <w:footnoteReference w:id="26"/>
      </w:r>
    </w:p>
    <w:p w:rsidR="009D7496" w:rsidRPr="000D5FFC" w:rsidP="004D3386" w14:paraId="6323A093" w14:textId="77777777">
      <w:pPr>
        <w:suppressAutoHyphens/>
        <w:spacing w:line="240" w:lineRule="atLeast"/>
        <w:rPr>
          <w:spacing w:val="-3"/>
          <w:szCs w:val="22"/>
        </w:rPr>
      </w:pPr>
    </w:p>
    <w:p w:rsidR="00953092" w:rsidRPr="000F4FB5" w:rsidP="00953092" w14:paraId="67ED36CA" w14:textId="2EC690AE">
      <w:pPr>
        <w:widowControl/>
        <w:suppressAutoHyphens/>
        <w:spacing w:after="220"/>
        <w:rPr>
          <w:b/>
          <w:snapToGrid/>
          <w:kern w:val="1"/>
          <w:szCs w:val="22"/>
          <w:shd w:val="clear" w:color="auto" w:fill="FFFFFF"/>
          <w:lang w:eastAsia="ar-SA"/>
        </w:rPr>
      </w:pPr>
      <w:r w:rsidRPr="000F4FB5">
        <w:rPr>
          <w:b/>
          <w:snapToGrid/>
          <w:kern w:val="1"/>
          <w:szCs w:val="22"/>
          <w:shd w:val="clear" w:color="auto" w:fill="FFFFFF"/>
          <w:lang w:eastAsia="ar-SA"/>
        </w:rPr>
        <w:t>11.</w:t>
      </w:r>
      <w:r w:rsidRPr="000F4FB5">
        <w:rPr>
          <w:snapToGrid/>
          <w:kern w:val="1"/>
          <w:szCs w:val="22"/>
          <w:shd w:val="clear" w:color="auto" w:fill="FFFFFF"/>
          <w:lang w:eastAsia="ar-SA"/>
        </w:rPr>
        <w:t xml:space="preserve"> </w:t>
      </w:r>
      <w:r w:rsidRPr="000F4FB5">
        <w:rPr>
          <w:b/>
          <w:snapToGrid/>
          <w:kern w:val="1"/>
          <w:szCs w:val="22"/>
          <w:shd w:val="clear" w:color="auto" w:fill="FFFFFF"/>
          <w:lang w:eastAsia="ar-SA"/>
        </w:rPr>
        <w:t>Provide additional justification for any questions of a sensitive nature.</w:t>
      </w:r>
    </w:p>
    <w:p w:rsidR="00953092" w:rsidRPr="000F4FB5" w:rsidP="00953092" w14:paraId="125BD3A1" w14:textId="77777777">
      <w:pPr>
        <w:widowControl/>
        <w:suppressAutoHyphens/>
        <w:spacing w:after="220"/>
        <w:rPr>
          <w:snapToGrid/>
          <w:kern w:val="1"/>
          <w:szCs w:val="22"/>
          <w:shd w:val="clear" w:color="auto" w:fill="FFFFFF"/>
          <w:lang w:eastAsia="ar-SA"/>
        </w:rPr>
      </w:pPr>
      <w:r w:rsidRPr="000F4FB5">
        <w:rPr>
          <w:snapToGrid/>
          <w:kern w:val="1"/>
          <w:szCs w:val="22"/>
          <w:shd w:val="clear" w:color="auto" w:fill="FFFFFF"/>
          <w:lang w:eastAsia="ar-SA"/>
        </w:rPr>
        <w:t xml:space="preserve">There are no questions of a sensitive nature involved with this collection of information. </w:t>
      </w:r>
    </w:p>
    <w:p w:rsidR="00994EEF" w:rsidRPr="00E234F4" w:rsidP="000F4FB5" w14:paraId="45070C8F" w14:textId="44EA72AC">
      <w:pPr>
        <w:pStyle w:val="ParaNum"/>
        <w:numPr>
          <w:ilvl w:val="0"/>
          <w:numId w:val="0"/>
        </w:numPr>
        <w:tabs>
          <w:tab w:val="left" w:pos="720"/>
        </w:tabs>
        <w:rPr>
          <w:snapToGrid/>
          <w:kern w:val="1"/>
          <w:szCs w:val="22"/>
          <w:shd w:val="clear" w:color="auto" w:fill="FFFFFF"/>
          <w:lang w:eastAsia="ar-SA"/>
        </w:rPr>
      </w:pPr>
      <w:r w:rsidRPr="00E234F4">
        <w:rPr>
          <w:b/>
          <w:snapToGrid/>
          <w:kern w:val="1"/>
          <w:szCs w:val="22"/>
          <w:shd w:val="clear" w:color="auto" w:fill="FFFFFF"/>
          <w:lang w:eastAsia="ar-SA"/>
        </w:rPr>
        <w:t>12.</w:t>
      </w:r>
      <w:r w:rsidR="00504078">
        <w:rPr>
          <w:b/>
          <w:snapToGrid/>
          <w:kern w:val="1"/>
          <w:szCs w:val="22"/>
          <w:shd w:val="clear" w:color="auto" w:fill="FFFFFF"/>
          <w:lang w:eastAsia="ar-SA"/>
        </w:rPr>
        <w:t xml:space="preserve">  </w:t>
      </w:r>
      <w:r w:rsidRPr="00E234F4">
        <w:rPr>
          <w:b/>
          <w:snapToGrid/>
          <w:kern w:val="1"/>
          <w:szCs w:val="22"/>
          <w:shd w:val="clear" w:color="auto" w:fill="FFFFFF"/>
          <w:lang w:eastAsia="ar-SA"/>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w:t>
      </w:r>
      <w:r w:rsidRPr="00E234F4">
        <w:rPr>
          <w:b/>
          <w:snapToGrid/>
          <w:kern w:val="1"/>
          <w:szCs w:val="22"/>
          <w:shd w:val="clear" w:color="auto" w:fill="FFFFFF"/>
          <w:lang w:eastAsia="ar-SA"/>
        </w:rPr>
        <w:t>range of estimated hour burden, and explain the reasons for the variance.</w:t>
      </w:r>
      <w:r w:rsidRPr="00E234F4">
        <w:rPr>
          <w:snapToGrid/>
          <w:kern w:val="1"/>
          <w:szCs w:val="22"/>
          <w:shd w:val="clear" w:color="auto" w:fill="FFFFFF"/>
          <w:lang w:eastAsia="ar-SA"/>
        </w:rPr>
        <w:t xml:space="preserve">  </w:t>
      </w:r>
    </w:p>
    <w:p w:rsidR="009F7C23" w:rsidP="000F4FB5" w14:paraId="5F71409B" w14:textId="784B7E6F">
      <w:pPr>
        <w:suppressAutoHyphens/>
        <w:spacing w:line="240" w:lineRule="atLeast"/>
        <w:rPr>
          <w:spacing w:val="-3"/>
          <w:szCs w:val="22"/>
        </w:rPr>
      </w:pPr>
      <w:r w:rsidRPr="00E234F4">
        <w:rPr>
          <w:spacing w:val="-3"/>
          <w:szCs w:val="22"/>
        </w:rPr>
        <w:t>The following represents the estimated hour burden</w:t>
      </w:r>
      <w:r w:rsidR="004E640F">
        <w:rPr>
          <w:spacing w:val="-3"/>
          <w:szCs w:val="22"/>
        </w:rPr>
        <w:t xml:space="preserve"> o</w:t>
      </w:r>
      <w:r w:rsidRPr="00E234F4">
        <w:rPr>
          <w:spacing w:val="-3"/>
          <w:szCs w:val="22"/>
        </w:rPr>
        <w:t>f the</w:t>
      </w:r>
      <w:r w:rsidR="004E640F">
        <w:rPr>
          <w:spacing w:val="-3"/>
          <w:szCs w:val="22"/>
        </w:rPr>
        <w:t xml:space="preserve"> annual circuit capacity collection</w:t>
      </w:r>
      <w:r w:rsidRPr="00E234F4">
        <w:rPr>
          <w:spacing w:val="-3"/>
          <w:szCs w:val="22"/>
        </w:rPr>
        <w:t>.</w:t>
      </w:r>
      <w:r w:rsidR="00A208A6">
        <w:rPr>
          <w:spacing w:val="-3"/>
          <w:szCs w:val="22"/>
        </w:rPr>
        <w:t xml:space="preserve"> </w:t>
      </w:r>
      <w:r w:rsidR="00F70E9B">
        <w:rPr>
          <w:spacing w:val="-3"/>
          <w:szCs w:val="22"/>
        </w:rPr>
        <w:t xml:space="preserve"> </w:t>
      </w:r>
      <w:r w:rsidR="0065310E">
        <w:rPr>
          <w:spacing w:val="-3"/>
          <w:szCs w:val="22"/>
        </w:rPr>
        <w:t>E</w:t>
      </w:r>
      <w:r w:rsidRPr="00E234F4" w:rsidR="0065310E">
        <w:rPr>
          <w:spacing w:val="-3"/>
          <w:szCs w:val="22"/>
        </w:rPr>
        <w:t xml:space="preserve">ach Filing Entity must file a Registration Form </w:t>
      </w:r>
      <w:r w:rsidR="000800FD">
        <w:rPr>
          <w:spacing w:val="-3"/>
          <w:szCs w:val="22"/>
        </w:rPr>
        <w:t xml:space="preserve">with </w:t>
      </w:r>
      <w:r w:rsidRPr="00E234F4" w:rsidR="0065310E">
        <w:rPr>
          <w:spacing w:val="-3"/>
          <w:szCs w:val="22"/>
        </w:rPr>
        <w:t>its</w:t>
      </w:r>
      <w:r w:rsidR="0065310E">
        <w:rPr>
          <w:spacing w:val="-3"/>
          <w:szCs w:val="22"/>
        </w:rPr>
        <w:t xml:space="preserve"> </w:t>
      </w:r>
      <w:r w:rsidRPr="00E234F4" w:rsidR="0030548B">
        <w:rPr>
          <w:spacing w:val="-3"/>
          <w:szCs w:val="22"/>
        </w:rPr>
        <w:t>Capacity Holder Report</w:t>
      </w:r>
      <w:r w:rsidR="0065310E">
        <w:rPr>
          <w:spacing w:val="-3"/>
          <w:szCs w:val="22"/>
        </w:rPr>
        <w:t xml:space="preserve">.  </w:t>
      </w:r>
      <w:r w:rsidR="002944A3">
        <w:rPr>
          <w:spacing w:val="-3"/>
          <w:szCs w:val="22"/>
        </w:rPr>
        <w:t xml:space="preserve">The Commission </w:t>
      </w:r>
      <w:r w:rsidR="00E31626">
        <w:rPr>
          <w:spacing w:val="-3"/>
          <w:szCs w:val="22"/>
        </w:rPr>
        <w:t xml:space="preserve">streamlined the reporting and thus </w:t>
      </w:r>
      <w:r w:rsidR="002944A3">
        <w:rPr>
          <w:spacing w:val="-3"/>
          <w:szCs w:val="22"/>
        </w:rPr>
        <w:t>decreased burdens by eliminat</w:t>
      </w:r>
      <w:r w:rsidR="00991357">
        <w:rPr>
          <w:spacing w:val="-3"/>
          <w:szCs w:val="22"/>
        </w:rPr>
        <w:t>ing</w:t>
      </w:r>
      <w:r w:rsidR="002944A3">
        <w:rPr>
          <w:spacing w:val="-3"/>
          <w:szCs w:val="22"/>
        </w:rPr>
        <w:t xml:space="preserve"> the Cable Operator Report</w:t>
      </w:r>
      <w:r w:rsidR="00E31626">
        <w:rPr>
          <w:spacing w:val="-3"/>
          <w:szCs w:val="22"/>
        </w:rPr>
        <w:t xml:space="preserve">.  </w:t>
      </w:r>
      <w:r w:rsidR="005726F0">
        <w:rPr>
          <w:spacing w:val="-3"/>
          <w:szCs w:val="22"/>
        </w:rPr>
        <w:t>T</w:t>
      </w:r>
      <w:r w:rsidR="009E34FE">
        <w:rPr>
          <w:spacing w:val="-3"/>
          <w:szCs w:val="22"/>
        </w:rPr>
        <w:t xml:space="preserve">he Commission now requires </w:t>
      </w:r>
      <w:r w:rsidR="00697799">
        <w:t>licensees and common carriers to report their capacity on domestic cables</w:t>
      </w:r>
      <w:r w:rsidR="00C54F32">
        <w:t xml:space="preserve">.  </w:t>
      </w:r>
      <w:r w:rsidR="00A07F6C">
        <w:t>Additionally, w</w:t>
      </w:r>
      <w:r w:rsidR="00991357">
        <w:t xml:space="preserve">ith the new requirements, </w:t>
      </w:r>
      <w:r w:rsidR="00C54F32">
        <w:t xml:space="preserve">Filing Entities will be required to </w:t>
      </w:r>
      <w:r w:rsidR="00991357">
        <w:t xml:space="preserve">provide SLTE information </w:t>
      </w:r>
      <w:r w:rsidR="004A2666">
        <w:t xml:space="preserve">and </w:t>
      </w:r>
      <w:r w:rsidR="005A311D">
        <w:t xml:space="preserve">also </w:t>
      </w:r>
      <w:r w:rsidRPr="0023464C" w:rsidR="0023464C">
        <w:t>identify, with respect to each sale, lease, or purchase of a fiber pair and/or spectrum, the submarine cable, the U.S. and foreign landing points of the fiber pair and/or spectrum, and the entity that manages the fiber pair and/or spectrum, if different from the entity that owns it</w:t>
      </w:r>
      <w:r w:rsidR="0023464C">
        <w:t xml:space="preserve">.  </w:t>
      </w:r>
      <w:r w:rsidR="001C201D">
        <w:t xml:space="preserve">We base the estimate on the number of Filing Entities in the 2024 </w:t>
      </w:r>
      <w:r w:rsidR="002506EE">
        <w:t xml:space="preserve">data </w:t>
      </w:r>
      <w:r w:rsidR="001C201D">
        <w:t>collection</w:t>
      </w:r>
      <w:r w:rsidR="001605EF">
        <w:t xml:space="preserve"> </w:t>
      </w:r>
      <w:r w:rsidRPr="00867D49" w:rsidR="0041234A">
        <w:t>(</w:t>
      </w:r>
      <w:r w:rsidR="00867D49">
        <w:t>102</w:t>
      </w:r>
      <w:r w:rsidR="008D46E4">
        <w:t xml:space="preserve"> respondents</w:t>
      </w:r>
      <w:r w:rsidRPr="00867D49" w:rsidR="0041234A">
        <w:t>)</w:t>
      </w:r>
      <w:r w:rsidR="0041234A">
        <w:t xml:space="preserve"> </w:t>
      </w:r>
      <w:r w:rsidR="001605EF">
        <w:t xml:space="preserve">and </w:t>
      </w:r>
      <w:r w:rsidR="001C201D">
        <w:t xml:space="preserve">add </w:t>
      </w:r>
      <w:r w:rsidR="006948B9">
        <w:t xml:space="preserve">an additional </w:t>
      </w:r>
      <w:r w:rsidR="002E2026">
        <w:t xml:space="preserve">21 </w:t>
      </w:r>
      <w:r w:rsidR="001C201D">
        <w:t>respon</w:t>
      </w:r>
      <w:r w:rsidR="002E2026">
        <w:t>dents</w:t>
      </w:r>
      <w:r w:rsidR="001C201D">
        <w:t xml:space="preserve"> to account for </w:t>
      </w:r>
      <w:r w:rsidR="00722534">
        <w:t xml:space="preserve">licensees of </w:t>
      </w:r>
      <w:r w:rsidR="00690E7B">
        <w:t xml:space="preserve">currently licensed </w:t>
      </w:r>
      <w:r w:rsidR="00827054">
        <w:t>and/</w:t>
      </w:r>
      <w:r w:rsidR="00CF42C7">
        <w:t xml:space="preserve">or operating </w:t>
      </w:r>
      <w:r w:rsidR="00690E7B">
        <w:t>d</w:t>
      </w:r>
      <w:r w:rsidR="001C201D">
        <w:t xml:space="preserve">omestic </w:t>
      </w:r>
      <w:r w:rsidR="00690E7B">
        <w:t>c</w:t>
      </w:r>
      <w:r w:rsidR="001C201D">
        <w:t>ables</w:t>
      </w:r>
      <w:r w:rsidR="00F56058">
        <w:t xml:space="preserve"> </w:t>
      </w:r>
      <w:r w:rsidR="00A14B33">
        <w:t>(21</w:t>
      </w:r>
      <w:r w:rsidR="00353DB0">
        <w:t xml:space="preserve"> respondents</w:t>
      </w:r>
      <w:r w:rsidR="00A14B33">
        <w:t xml:space="preserve">) </w:t>
      </w:r>
      <w:r w:rsidR="00F56058">
        <w:t>and another ten respon</w:t>
      </w:r>
      <w:r w:rsidR="003A1C05">
        <w:t>dents</w:t>
      </w:r>
      <w:r w:rsidR="00F56058">
        <w:t xml:space="preserve"> to account for common carrier</w:t>
      </w:r>
      <w:r w:rsidR="00CA467D">
        <w:t>s</w:t>
      </w:r>
      <w:r w:rsidR="00A14B33">
        <w:t xml:space="preserve"> (10</w:t>
      </w:r>
      <w:r w:rsidR="00353DB0">
        <w:t xml:space="preserve"> respondents</w:t>
      </w:r>
      <w:r w:rsidR="00A14B33">
        <w:t>)</w:t>
      </w:r>
      <w:r w:rsidR="00A465B1">
        <w:t xml:space="preserve"> (Total 1</w:t>
      </w:r>
      <w:r w:rsidR="00884A79">
        <w:t>33</w:t>
      </w:r>
      <w:r w:rsidR="00A465B1">
        <w:t xml:space="preserve"> respon</w:t>
      </w:r>
      <w:r w:rsidR="00C878CF">
        <w:t>dents</w:t>
      </w:r>
      <w:r w:rsidR="00A465B1">
        <w:t>)</w:t>
      </w:r>
      <w:r w:rsidR="001C201D">
        <w:t>.</w:t>
      </w:r>
      <w:r>
        <w:rPr>
          <w:rStyle w:val="FootnoteReference"/>
        </w:rPr>
        <w:footnoteReference w:id="27"/>
      </w:r>
      <w:r w:rsidR="001C201D">
        <w:t xml:space="preserve">  </w:t>
      </w:r>
      <w:r w:rsidR="00E31626">
        <w:t>The estimate below best reflects these changes.</w:t>
      </w:r>
      <w:r w:rsidR="00ED6F1F">
        <w:t xml:space="preserve">  </w:t>
      </w:r>
    </w:p>
    <w:p w:rsidR="00504AC4" w:rsidRPr="00E234F4" w:rsidP="000F4FB5" w14:paraId="08B35D75" w14:textId="77777777">
      <w:pPr>
        <w:suppressAutoHyphens/>
        <w:spacing w:line="240" w:lineRule="atLeast"/>
        <w:rPr>
          <w:spacing w:val="-3"/>
          <w:szCs w:val="22"/>
        </w:rPr>
      </w:pPr>
    </w:p>
    <w:tbl>
      <w:tblPr>
        <w:tblW w:w="4687"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1320"/>
        <w:gridCol w:w="1596"/>
        <w:gridCol w:w="1319"/>
        <w:gridCol w:w="1387"/>
      </w:tblGrid>
      <w:tr w14:paraId="228BCB7F" w14:textId="77777777" w:rsidTr="00A834FB">
        <w:tblPrEx>
          <w:tblW w:w="4687"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
        </w:trPr>
        <w:tc>
          <w:tcPr>
            <w:tcW w:w="8090" w:type="dxa"/>
            <w:gridSpan w:val="5"/>
            <w:shd w:val="clear" w:color="auto" w:fill="9CC2E5" w:themeFill="accent5" w:themeFillTint="99"/>
            <w:noWrap/>
            <w:hideMark/>
          </w:tcPr>
          <w:p w:rsidR="006379D3" w:rsidRPr="0052691E" w:rsidP="0052691E" w14:paraId="16C85846" w14:textId="236DE846">
            <w:pPr>
              <w:tabs>
                <w:tab w:val="left" w:pos="2127"/>
              </w:tabs>
              <w:jc w:val="center"/>
              <w:rPr>
                <w:b/>
                <w:bCs/>
                <w:szCs w:val="22"/>
              </w:rPr>
            </w:pPr>
            <w:r w:rsidRPr="0052691E">
              <w:rPr>
                <w:b/>
                <w:bCs/>
                <w:szCs w:val="22"/>
              </w:rPr>
              <w:br w:type="page"/>
            </w:r>
            <w:r w:rsidRPr="0052691E">
              <w:rPr>
                <w:b/>
                <w:bCs/>
                <w:szCs w:val="22"/>
              </w:rPr>
              <w:br w:type="page"/>
            </w:r>
            <w:r w:rsidRPr="0052691E">
              <w:rPr>
                <w:b/>
                <w:bCs/>
                <w:szCs w:val="22"/>
              </w:rPr>
              <w:br w:type="page"/>
            </w:r>
            <w:r w:rsidRPr="00E234F4">
              <w:rPr>
                <w:b/>
                <w:bCs/>
                <w:szCs w:val="22"/>
              </w:rPr>
              <w:t>Estimate of Burden Hours</w:t>
            </w:r>
          </w:p>
        </w:tc>
      </w:tr>
      <w:tr w14:paraId="6945FFC2" w14:textId="77777777" w:rsidTr="00E77F79">
        <w:tblPrEx>
          <w:tblW w:w="4687" w:type="pct"/>
          <w:tblInd w:w="93" w:type="dxa"/>
          <w:tblLook w:val="04A0"/>
        </w:tblPrEx>
        <w:trPr>
          <w:trHeight w:val="2"/>
        </w:trPr>
        <w:tc>
          <w:tcPr>
            <w:tcW w:w="2468" w:type="dxa"/>
            <w:shd w:val="clear" w:color="auto" w:fill="9CC2E5" w:themeFill="accent5" w:themeFillTint="99"/>
            <w:noWrap/>
            <w:vAlign w:val="bottom"/>
            <w:hideMark/>
          </w:tcPr>
          <w:p w:rsidR="006379D3" w:rsidRPr="00E234F4" w14:paraId="680A9104" w14:textId="77777777">
            <w:pPr>
              <w:tabs>
                <w:tab w:val="left" w:pos="2127"/>
              </w:tabs>
              <w:jc w:val="center"/>
              <w:rPr>
                <w:b/>
                <w:bCs/>
                <w:szCs w:val="22"/>
              </w:rPr>
            </w:pPr>
            <w:r w:rsidRPr="00E234F4">
              <w:rPr>
                <w:b/>
                <w:bCs/>
                <w:szCs w:val="22"/>
              </w:rPr>
              <w:t>Explanation</w:t>
            </w:r>
          </w:p>
          <w:p w:rsidR="006379D3" w:rsidRPr="00E234F4" w14:paraId="786A2409" w14:textId="4A748C50">
            <w:pPr>
              <w:tabs>
                <w:tab w:val="left" w:pos="2127"/>
              </w:tabs>
              <w:jc w:val="center"/>
              <w:rPr>
                <w:b/>
                <w:bCs/>
                <w:szCs w:val="22"/>
              </w:rPr>
            </w:pPr>
            <w:r>
              <w:rPr>
                <w:b/>
                <w:bCs/>
                <w:szCs w:val="22"/>
              </w:rPr>
              <w:t>o</w:t>
            </w:r>
            <w:r w:rsidRPr="00E234F4" w:rsidR="000445FA">
              <w:rPr>
                <w:b/>
                <w:bCs/>
                <w:szCs w:val="22"/>
              </w:rPr>
              <w:t>f Burden Estimate</w:t>
            </w:r>
          </w:p>
        </w:tc>
        <w:tc>
          <w:tcPr>
            <w:tcW w:w="1320" w:type="dxa"/>
            <w:shd w:val="clear" w:color="auto" w:fill="9CC2E5" w:themeFill="accent5" w:themeFillTint="99"/>
            <w:vAlign w:val="bottom"/>
            <w:hideMark/>
          </w:tcPr>
          <w:p w:rsidR="006379D3" w:rsidRPr="00E234F4" w:rsidP="006C4BFB" w14:paraId="1AF56874" w14:textId="7437AC74">
            <w:pPr>
              <w:tabs>
                <w:tab w:val="left" w:pos="2127"/>
              </w:tabs>
              <w:jc w:val="center"/>
              <w:rPr>
                <w:b/>
                <w:bCs/>
                <w:szCs w:val="22"/>
              </w:rPr>
            </w:pPr>
            <w:r w:rsidRPr="00E234F4">
              <w:rPr>
                <w:b/>
                <w:bCs/>
                <w:szCs w:val="22"/>
              </w:rPr>
              <w:t xml:space="preserve">Number </w:t>
            </w:r>
            <w:r w:rsidR="00F70E9B">
              <w:rPr>
                <w:b/>
                <w:bCs/>
                <w:szCs w:val="22"/>
              </w:rPr>
              <w:t>o</w:t>
            </w:r>
            <w:r w:rsidRPr="00E234F4">
              <w:rPr>
                <w:b/>
                <w:bCs/>
                <w:szCs w:val="22"/>
              </w:rPr>
              <w:t>f Responses</w:t>
            </w:r>
          </w:p>
        </w:tc>
        <w:tc>
          <w:tcPr>
            <w:tcW w:w="1596" w:type="dxa"/>
            <w:shd w:val="clear" w:color="auto" w:fill="9CC2E5" w:themeFill="accent5" w:themeFillTint="99"/>
            <w:noWrap/>
            <w:vAlign w:val="bottom"/>
            <w:hideMark/>
          </w:tcPr>
          <w:p w:rsidR="006379D3" w:rsidRPr="00E234F4" w14:paraId="53B4F54B" w14:textId="16DFE4B7">
            <w:pPr>
              <w:jc w:val="center"/>
              <w:rPr>
                <w:b/>
                <w:bCs/>
                <w:szCs w:val="22"/>
              </w:rPr>
            </w:pPr>
            <w:r w:rsidRPr="00E234F4">
              <w:rPr>
                <w:b/>
                <w:bCs/>
                <w:szCs w:val="22"/>
              </w:rPr>
              <w:t xml:space="preserve">Frequency </w:t>
            </w:r>
            <w:r w:rsidR="00F70E9B">
              <w:rPr>
                <w:b/>
                <w:bCs/>
                <w:szCs w:val="22"/>
              </w:rPr>
              <w:t>o</w:t>
            </w:r>
            <w:r w:rsidRPr="00E234F4">
              <w:rPr>
                <w:b/>
                <w:bCs/>
                <w:szCs w:val="22"/>
              </w:rPr>
              <w:t xml:space="preserve">f Responses </w:t>
            </w:r>
          </w:p>
        </w:tc>
        <w:tc>
          <w:tcPr>
            <w:tcW w:w="1319" w:type="dxa"/>
            <w:shd w:val="clear" w:color="auto" w:fill="9CC2E5" w:themeFill="accent5" w:themeFillTint="99"/>
            <w:noWrap/>
            <w:vAlign w:val="bottom"/>
            <w:hideMark/>
          </w:tcPr>
          <w:p w:rsidR="006379D3" w:rsidRPr="00E234F4" w14:paraId="60331F34" w14:textId="77777777">
            <w:pPr>
              <w:jc w:val="center"/>
              <w:rPr>
                <w:b/>
                <w:bCs/>
                <w:szCs w:val="22"/>
              </w:rPr>
            </w:pPr>
            <w:r w:rsidRPr="00E234F4">
              <w:rPr>
                <w:b/>
                <w:bCs/>
                <w:szCs w:val="22"/>
              </w:rPr>
              <w:t>Time Per Response</w:t>
            </w:r>
          </w:p>
        </w:tc>
        <w:tc>
          <w:tcPr>
            <w:tcW w:w="1387" w:type="dxa"/>
            <w:shd w:val="clear" w:color="auto" w:fill="9CC2E5" w:themeFill="accent5" w:themeFillTint="99"/>
            <w:noWrap/>
            <w:vAlign w:val="bottom"/>
            <w:hideMark/>
          </w:tcPr>
          <w:p w:rsidR="006379D3" w:rsidRPr="00E234F4" w14:paraId="2440E961" w14:textId="77777777">
            <w:pPr>
              <w:jc w:val="center"/>
              <w:rPr>
                <w:b/>
                <w:bCs/>
                <w:szCs w:val="22"/>
              </w:rPr>
            </w:pPr>
            <w:r w:rsidRPr="00E234F4">
              <w:rPr>
                <w:b/>
                <w:bCs/>
                <w:szCs w:val="22"/>
              </w:rPr>
              <w:t>Annual Burden Hours</w:t>
            </w:r>
          </w:p>
        </w:tc>
      </w:tr>
      <w:tr w14:paraId="47A6A865" w14:textId="77777777" w:rsidTr="002F67F6">
        <w:tblPrEx>
          <w:tblW w:w="4687" w:type="pct"/>
          <w:tblInd w:w="93" w:type="dxa"/>
          <w:tblLook w:val="04A0"/>
        </w:tblPrEx>
        <w:trPr>
          <w:trHeight w:val="1213"/>
        </w:trPr>
        <w:tc>
          <w:tcPr>
            <w:tcW w:w="2468" w:type="dxa"/>
            <w:noWrap/>
            <w:hideMark/>
          </w:tcPr>
          <w:p w:rsidR="00D42BFB" w:rsidRPr="00E234F4" w:rsidP="00DF4AB3" w14:paraId="4B6108BB" w14:textId="5C8E5AC3">
            <w:pPr>
              <w:rPr>
                <w:b/>
                <w:bCs/>
                <w:color w:val="000000"/>
                <w:szCs w:val="22"/>
              </w:rPr>
            </w:pPr>
            <w:r w:rsidRPr="00E234F4">
              <w:rPr>
                <w:b/>
                <w:spacing w:val="-3"/>
                <w:szCs w:val="22"/>
              </w:rPr>
              <w:t xml:space="preserve">Section 43.82(a) </w:t>
            </w:r>
            <w:r w:rsidRPr="00E234F4">
              <w:rPr>
                <w:spacing w:val="-3"/>
                <w:szCs w:val="22"/>
              </w:rPr>
              <w:t xml:space="preserve">Annual Circuit Capacity </w:t>
            </w:r>
            <w:r>
              <w:rPr>
                <w:spacing w:val="-3"/>
                <w:szCs w:val="22"/>
              </w:rPr>
              <w:t xml:space="preserve">Holder </w:t>
            </w:r>
            <w:r w:rsidRPr="00E234F4">
              <w:rPr>
                <w:spacing w:val="-3"/>
                <w:szCs w:val="22"/>
              </w:rPr>
              <w:t>Report</w:t>
            </w:r>
            <w:r>
              <w:rPr>
                <w:spacing w:val="-3"/>
                <w:szCs w:val="22"/>
              </w:rPr>
              <w:t xml:space="preserve">  </w:t>
            </w:r>
          </w:p>
        </w:tc>
        <w:tc>
          <w:tcPr>
            <w:tcW w:w="1320" w:type="dxa"/>
          </w:tcPr>
          <w:p w:rsidR="00D42BFB" w:rsidRPr="00E234F4" w:rsidP="00C17AF3" w14:paraId="6498D52F" w14:textId="79C5CCDD">
            <w:pPr>
              <w:suppressAutoHyphens/>
              <w:spacing w:line="240" w:lineRule="atLeast"/>
              <w:jc w:val="center"/>
              <w:rPr>
                <w:spacing w:val="-3"/>
                <w:szCs w:val="22"/>
              </w:rPr>
            </w:pPr>
            <w:r>
              <w:rPr>
                <w:spacing w:val="-3"/>
                <w:szCs w:val="22"/>
              </w:rPr>
              <w:t>133</w:t>
            </w:r>
          </w:p>
        </w:tc>
        <w:tc>
          <w:tcPr>
            <w:tcW w:w="1596" w:type="dxa"/>
            <w:noWrap/>
          </w:tcPr>
          <w:p w:rsidR="00D42BFB" w:rsidRPr="00E234F4" w:rsidP="0016728F" w14:paraId="56375173" w14:textId="23A44787">
            <w:pPr>
              <w:suppressAutoHyphens/>
              <w:spacing w:line="240" w:lineRule="atLeast"/>
              <w:jc w:val="center"/>
              <w:rPr>
                <w:spacing w:val="-3"/>
                <w:szCs w:val="22"/>
              </w:rPr>
            </w:pPr>
            <w:r w:rsidRPr="00E234F4">
              <w:rPr>
                <w:spacing w:val="-3"/>
                <w:szCs w:val="22"/>
              </w:rPr>
              <w:t>Annual</w:t>
            </w:r>
          </w:p>
        </w:tc>
        <w:tc>
          <w:tcPr>
            <w:tcW w:w="1319" w:type="dxa"/>
            <w:noWrap/>
          </w:tcPr>
          <w:p w:rsidR="00D42BFB" w:rsidRPr="00E234F4" w:rsidP="00E45436" w14:paraId="233C9FC4" w14:textId="74346252">
            <w:pPr>
              <w:suppressAutoHyphens/>
              <w:spacing w:line="240" w:lineRule="atLeast"/>
              <w:jc w:val="center"/>
              <w:rPr>
                <w:spacing w:val="-3"/>
                <w:szCs w:val="22"/>
              </w:rPr>
            </w:pPr>
            <w:r>
              <w:rPr>
                <w:spacing w:val="-3"/>
                <w:szCs w:val="22"/>
              </w:rPr>
              <w:t>20</w:t>
            </w:r>
            <w:r w:rsidRPr="00E234F4">
              <w:rPr>
                <w:spacing w:val="-3"/>
                <w:szCs w:val="22"/>
              </w:rPr>
              <w:t xml:space="preserve"> hours</w:t>
            </w:r>
          </w:p>
        </w:tc>
        <w:tc>
          <w:tcPr>
            <w:tcW w:w="1387" w:type="dxa"/>
            <w:noWrap/>
          </w:tcPr>
          <w:p w:rsidR="00D42BFB" w:rsidRPr="00D119F0" w:rsidP="005A23D1" w14:paraId="67C9E6C3" w14:textId="34512C67">
            <w:pPr>
              <w:suppressAutoHyphens/>
              <w:spacing w:line="240" w:lineRule="atLeast"/>
              <w:jc w:val="center"/>
              <w:rPr>
                <w:b/>
                <w:spacing w:val="-3"/>
                <w:szCs w:val="22"/>
              </w:rPr>
            </w:pPr>
            <w:r w:rsidRPr="00D119F0">
              <w:rPr>
                <w:b/>
                <w:spacing w:val="-3"/>
                <w:szCs w:val="22"/>
              </w:rPr>
              <w:t>2,</w:t>
            </w:r>
            <w:r w:rsidRPr="00D119F0">
              <w:rPr>
                <w:b/>
                <w:bCs/>
                <w:spacing w:val="-3"/>
                <w:szCs w:val="22"/>
              </w:rPr>
              <w:t>660</w:t>
            </w:r>
            <w:r w:rsidRPr="00D119F0">
              <w:rPr>
                <w:b/>
                <w:spacing w:val="-3"/>
                <w:szCs w:val="22"/>
              </w:rPr>
              <w:t xml:space="preserve"> Hours</w:t>
            </w:r>
          </w:p>
        </w:tc>
      </w:tr>
      <w:tr w14:paraId="0335B1AE" w14:textId="77777777" w:rsidTr="00D42BFB">
        <w:tblPrEx>
          <w:tblW w:w="4687" w:type="pct"/>
          <w:tblInd w:w="93" w:type="dxa"/>
          <w:tblLook w:val="04A0"/>
        </w:tblPrEx>
        <w:trPr>
          <w:trHeight w:val="165"/>
        </w:trPr>
        <w:tc>
          <w:tcPr>
            <w:tcW w:w="2468" w:type="dxa"/>
            <w:noWrap/>
            <w:hideMark/>
          </w:tcPr>
          <w:p w:rsidR="006379D3" w:rsidRPr="00E234F4" w:rsidP="00DF4AB3" w14:paraId="150A675A" w14:textId="592B46B6">
            <w:pPr>
              <w:rPr>
                <w:b/>
                <w:bCs/>
                <w:color w:val="000000"/>
                <w:szCs w:val="22"/>
              </w:rPr>
            </w:pPr>
            <w:r w:rsidRPr="00E234F4">
              <w:rPr>
                <w:b/>
                <w:bCs/>
                <w:color w:val="000000"/>
                <w:szCs w:val="22"/>
              </w:rPr>
              <w:t>47 CFR 43.</w:t>
            </w:r>
            <w:r w:rsidRPr="00E234F4" w:rsidR="00DF4AB3">
              <w:rPr>
                <w:b/>
                <w:bCs/>
                <w:color w:val="000000"/>
                <w:szCs w:val="22"/>
              </w:rPr>
              <w:t>82</w:t>
            </w:r>
            <w:r w:rsidRPr="00E234F4">
              <w:rPr>
                <w:b/>
                <w:bCs/>
                <w:color w:val="000000"/>
                <w:szCs w:val="22"/>
              </w:rPr>
              <w:t>(</w:t>
            </w:r>
            <w:r w:rsidRPr="00E234F4" w:rsidR="00DF4AB3">
              <w:rPr>
                <w:b/>
                <w:bCs/>
                <w:color w:val="000000"/>
                <w:szCs w:val="22"/>
              </w:rPr>
              <w:t>b</w:t>
            </w:r>
            <w:r w:rsidRPr="00E234F4">
              <w:rPr>
                <w:b/>
                <w:bCs/>
                <w:color w:val="000000"/>
                <w:szCs w:val="22"/>
              </w:rPr>
              <w:t xml:space="preserve">) </w:t>
            </w:r>
            <w:r w:rsidRPr="00E234F4">
              <w:rPr>
                <w:bCs/>
                <w:color w:val="000000"/>
                <w:szCs w:val="22"/>
              </w:rPr>
              <w:t>Registration Form</w:t>
            </w:r>
          </w:p>
        </w:tc>
        <w:tc>
          <w:tcPr>
            <w:tcW w:w="1320" w:type="dxa"/>
            <w:hideMark/>
          </w:tcPr>
          <w:p w:rsidR="006379D3" w:rsidRPr="00E234F4" w14:paraId="4B2BB40C" w14:textId="541AFBC6">
            <w:pPr>
              <w:jc w:val="center"/>
              <w:rPr>
                <w:b/>
                <w:bCs/>
                <w:color w:val="000000"/>
                <w:szCs w:val="22"/>
              </w:rPr>
            </w:pPr>
            <w:r>
              <w:rPr>
                <w:color w:val="000000"/>
                <w:szCs w:val="22"/>
              </w:rPr>
              <w:t>133</w:t>
            </w:r>
          </w:p>
        </w:tc>
        <w:tc>
          <w:tcPr>
            <w:tcW w:w="1596" w:type="dxa"/>
            <w:noWrap/>
            <w:hideMark/>
          </w:tcPr>
          <w:p w:rsidR="006379D3" w:rsidRPr="00E234F4" w14:paraId="66A70DB8" w14:textId="77777777">
            <w:pPr>
              <w:jc w:val="center"/>
              <w:rPr>
                <w:szCs w:val="22"/>
              </w:rPr>
            </w:pPr>
            <w:r w:rsidRPr="00E234F4">
              <w:rPr>
                <w:szCs w:val="22"/>
              </w:rPr>
              <w:t>Annual</w:t>
            </w:r>
          </w:p>
        </w:tc>
        <w:tc>
          <w:tcPr>
            <w:tcW w:w="1319" w:type="dxa"/>
            <w:noWrap/>
            <w:hideMark/>
          </w:tcPr>
          <w:p w:rsidR="006379D3" w:rsidRPr="00E234F4" w14:paraId="31C6321F" w14:textId="77777777">
            <w:pPr>
              <w:jc w:val="center"/>
              <w:rPr>
                <w:szCs w:val="22"/>
              </w:rPr>
            </w:pPr>
            <w:r w:rsidRPr="00E234F4">
              <w:rPr>
                <w:szCs w:val="22"/>
              </w:rPr>
              <w:t>1 Hour</w:t>
            </w:r>
          </w:p>
        </w:tc>
        <w:tc>
          <w:tcPr>
            <w:tcW w:w="1387" w:type="dxa"/>
            <w:noWrap/>
          </w:tcPr>
          <w:p w:rsidR="006379D3" w:rsidRPr="00E234F4" w14:paraId="1B7DA6C8" w14:textId="05EF37AD">
            <w:pPr>
              <w:jc w:val="center"/>
              <w:rPr>
                <w:b/>
                <w:szCs w:val="22"/>
              </w:rPr>
            </w:pPr>
            <w:r>
              <w:rPr>
                <w:b/>
                <w:szCs w:val="22"/>
              </w:rPr>
              <w:t>133</w:t>
            </w:r>
            <w:r w:rsidRPr="00E234F4" w:rsidR="000445FA">
              <w:rPr>
                <w:b/>
                <w:szCs w:val="22"/>
              </w:rPr>
              <w:t xml:space="preserve"> Hours</w:t>
            </w:r>
          </w:p>
          <w:p w:rsidR="006379D3" w:rsidRPr="00E234F4" w14:paraId="3E740020" w14:textId="77777777">
            <w:pPr>
              <w:jc w:val="center"/>
              <w:rPr>
                <w:szCs w:val="22"/>
              </w:rPr>
            </w:pPr>
          </w:p>
        </w:tc>
      </w:tr>
      <w:tr w14:paraId="4D8DEE81" w14:textId="77777777" w:rsidTr="00D42BFB">
        <w:tblPrEx>
          <w:tblW w:w="4687" w:type="pct"/>
          <w:tblInd w:w="93" w:type="dxa"/>
          <w:tblLook w:val="04A0"/>
        </w:tblPrEx>
        <w:trPr>
          <w:trHeight w:val="719"/>
        </w:trPr>
        <w:tc>
          <w:tcPr>
            <w:tcW w:w="2468" w:type="dxa"/>
            <w:noWrap/>
            <w:hideMark/>
          </w:tcPr>
          <w:p w:rsidR="001548F5" w:rsidRPr="00E234F4" w14:paraId="3DEE22D3" w14:textId="77777777">
            <w:pPr>
              <w:rPr>
                <w:b/>
                <w:bCs/>
                <w:color w:val="000000"/>
                <w:szCs w:val="22"/>
              </w:rPr>
            </w:pPr>
          </w:p>
          <w:p w:rsidR="006379D3" w:rsidRPr="00E234F4" w14:paraId="73BABE7C" w14:textId="1E631A30">
            <w:pPr>
              <w:rPr>
                <w:b/>
                <w:bCs/>
                <w:color w:val="000000"/>
                <w:szCs w:val="22"/>
              </w:rPr>
            </w:pPr>
            <w:r w:rsidRPr="00E234F4">
              <w:rPr>
                <w:b/>
                <w:bCs/>
                <w:color w:val="000000"/>
                <w:szCs w:val="22"/>
              </w:rPr>
              <w:t>Total</w:t>
            </w:r>
          </w:p>
        </w:tc>
        <w:tc>
          <w:tcPr>
            <w:tcW w:w="1320" w:type="dxa"/>
            <w:hideMark/>
          </w:tcPr>
          <w:p w:rsidR="001548F5" w:rsidRPr="00E234F4" w14:paraId="5E2A96FA" w14:textId="77777777">
            <w:pPr>
              <w:suppressAutoHyphens/>
              <w:spacing w:line="240" w:lineRule="atLeast"/>
              <w:jc w:val="center"/>
              <w:rPr>
                <w:b/>
                <w:bCs/>
                <w:spacing w:val="-3"/>
                <w:szCs w:val="22"/>
                <w:highlight w:val="yellow"/>
              </w:rPr>
            </w:pPr>
          </w:p>
          <w:p w:rsidR="006379D3" w:rsidRPr="00E234F4" w14:paraId="22EEDF72" w14:textId="0B07B5F1">
            <w:pPr>
              <w:suppressAutoHyphens/>
              <w:spacing w:line="240" w:lineRule="atLeast"/>
              <w:jc w:val="center"/>
              <w:rPr>
                <w:b/>
                <w:bCs/>
                <w:spacing w:val="-3"/>
                <w:szCs w:val="22"/>
                <w:highlight w:val="yellow"/>
              </w:rPr>
            </w:pPr>
            <w:bookmarkStart w:id="1" w:name="_Hlk47348933"/>
            <w:r>
              <w:rPr>
                <w:b/>
                <w:bCs/>
                <w:spacing w:val="-3"/>
                <w:szCs w:val="22"/>
              </w:rPr>
              <w:t>266</w:t>
            </w:r>
            <w:bookmarkEnd w:id="1"/>
            <w:r w:rsidRPr="00E234F4" w:rsidR="000445FA">
              <w:rPr>
                <w:b/>
                <w:bCs/>
                <w:spacing w:val="-3"/>
                <w:szCs w:val="22"/>
                <w:highlight w:val="yellow"/>
              </w:rPr>
              <w:t xml:space="preserve"> </w:t>
            </w:r>
          </w:p>
        </w:tc>
        <w:tc>
          <w:tcPr>
            <w:tcW w:w="1596" w:type="dxa"/>
            <w:noWrap/>
          </w:tcPr>
          <w:p w:rsidR="006379D3" w:rsidRPr="00E234F4" w14:paraId="40FEDE19" w14:textId="77777777">
            <w:pPr>
              <w:suppressAutoHyphens/>
              <w:spacing w:line="240" w:lineRule="atLeast"/>
              <w:jc w:val="center"/>
              <w:rPr>
                <w:b/>
                <w:bCs/>
                <w:spacing w:val="-3"/>
                <w:szCs w:val="22"/>
              </w:rPr>
            </w:pPr>
          </w:p>
        </w:tc>
        <w:tc>
          <w:tcPr>
            <w:tcW w:w="1319" w:type="dxa"/>
            <w:noWrap/>
          </w:tcPr>
          <w:p w:rsidR="006379D3" w:rsidRPr="00E234F4" w14:paraId="0C9B3C14" w14:textId="77777777">
            <w:pPr>
              <w:suppressAutoHyphens/>
              <w:spacing w:line="240" w:lineRule="atLeast"/>
              <w:jc w:val="center"/>
              <w:rPr>
                <w:bCs/>
                <w:spacing w:val="-3"/>
                <w:szCs w:val="22"/>
              </w:rPr>
            </w:pPr>
          </w:p>
        </w:tc>
        <w:tc>
          <w:tcPr>
            <w:tcW w:w="1387" w:type="dxa"/>
            <w:noWrap/>
            <w:hideMark/>
          </w:tcPr>
          <w:p w:rsidR="001548F5" w:rsidRPr="00E234F4" w14:paraId="3A5C7A52" w14:textId="77777777">
            <w:pPr>
              <w:suppressAutoHyphens/>
              <w:spacing w:line="240" w:lineRule="atLeast"/>
              <w:jc w:val="center"/>
              <w:rPr>
                <w:b/>
                <w:bCs/>
                <w:spacing w:val="-3"/>
                <w:szCs w:val="22"/>
              </w:rPr>
            </w:pPr>
          </w:p>
          <w:p w:rsidR="006379D3" w:rsidRPr="00E234F4" w:rsidP="00642E4F" w14:paraId="08CD7854" w14:textId="577E69CC">
            <w:pPr>
              <w:suppressAutoHyphens/>
              <w:spacing w:line="240" w:lineRule="atLeast"/>
              <w:jc w:val="center"/>
              <w:rPr>
                <w:b/>
                <w:bCs/>
                <w:spacing w:val="-3"/>
                <w:szCs w:val="22"/>
              </w:rPr>
            </w:pPr>
            <w:bookmarkStart w:id="2" w:name="_Hlk47350744"/>
            <w:r w:rsidRPr="00EE5650">
              <w:rPr>
                <w:b/>
                <w:bCs/>
                <w:spacing w:val="-3"/>
                <w:szCs w:val="22"/>
              </w:rPr>
              <w:t>2,</w:t>
            </w:r>
            <w:bookmarkEnd w:id="2"/>
            <w:r w:rsidRPr="00EE5650">
              <w:rPr>
                <w:b/>
                <w:bCs/>
                <w:spacing w:val="-3"/>
                <w:szCs w:val="22"/>
              </w:rPr>
              <w:t>793</w:t>
            </w:r>
            <w:r w:rsidRPr="00E234F4" w:rsidR="00FB1451">
              <w:rPr>
                <w:b/>
                <w:bCs/>
                <w:spacing w:val="-3"/>
                <w:szCs w:val="22"/>
              </w:rPr>
              <w:t xml:space="preserve"> </w:t>
            </w:r>
            <w:r w:rsidRPr="00E234F4" w:rsidR="000445FA">
              <w:rPr>
                <w:b/>
                <w:bCs/>
                <w:spacing w:val="-3"/>
                <w:szCs w:val="22"/>
              </w:rPr>
              <w:t>Hours</w:t>
            </w:r>
          </w:p>
        </w:tc>
      </w:tr>
    </w:tbl>
    <w:p w:rsidR="00021ACD" w:rsidRPr="00E234F4" w:rsidP="00021ACD" w14:paraId="5903A959" w14:textId="77777777">
      <w:pPr>
        <w:suppressAutoHyphens/>
        <w:spacing w:line="240" w:lineRule="atLeast"/>
        <w:rPr>
          <w:spacing w:val="-3"/>
          <w:szCs w:val="22"/>
        </w:rPr>
      </w:pPr>
    </w:p>
    <w:p w:rsidR="00742A3F" w:rsidP="00021ACD" w14:paraId="1D4B1EAB" w14:textId="77777777">
      <w:pPr>
        <w:suppressAutoHyphens/>
        <w:spacing w:line="240" w:lineRule="atLeast"/>
        <w:rPr>
          <w:szCs w:val="22"/>
        </w:rPr>
      </w:pPr>
      <w:r w:rsidRPr="00E234F4">
        <w:rPr>
          <w:b/>
          <w:szCs w:val="22"/>
        </w:rPr>
        <w:t>In-House Costs</w:t>
      </w:r>
      <w:r w:rsidRPr="00E234F4">
        <w:rPr>
          <w:szCs w:val="22"/>
        </w:rPr>
        <w:t xml:space="preserve">:  </w:t>
      </w:r>
      <w:r w:rsidR="00656541">
        <w:rPr>
          <w:szCs w:val="22"/>
        </w:rPr>
        <w:t xml:space="preserve">We estimate </w:t>
      </w:r>
      <w:r w:rsidR="00962F45">
        <w:rPr>
          <w:szCs w:val="22"/>
        </w:rPr>
        <w:t>that i</w:t>
      </w:r>
      <w:r w:rsidRPr="00E234F4">
        <w:rPr>
          <w:szCs w:val="22"/>
        </w:rPr>
        <w:t>n</w:t>
      </w:r>
      <w:r w:rsidR="00773A31">
        <w:rPr>
          <w:szCs w:val="22"/>
        </w:rPr>
        <w:t>-</w:t>
      </w:r>
      <w:r w:rsidRPr="00E234F4">
        <w:rPr>
          <w:szCs w:val="22"/>
        </w:rPr>
        <w:t xml:space="preserve">house staff </w:t>
      </w:r>
      <w:r w:rsidR="00962F45">
        <w:rPr>
          <w:szCs w:val="22"/>
        </w:rPr>
        <w:t xml:space="preserve">is </w:t>
      </w:r>
      <w:r w:rsidRPr="00E234F4">
        <w:rPr>
          <w:szCs w:val="22"/>
        </w:rPr>
        <w:t xml:space="preserve">paid at </w:t>
      </w:r>
      <w:r w:rsidRPr="00E234F4" w:rsidR="00384A99">
        <w:rPr>
          <w:szCs w:val="22"/>
        </w:rPr>
        <w:t xml:space="preserve">an </w:t>
      </w:r>
      <w:r w:rsidR="00442A20">
        <w:rPr>
          <w:szCs w:val="22"/>
        </w:rPr>
        <w:t>estimated rate</w:t>
      </w:r>
      <w:r w:rsidRPr="00E234F4" w:rsidR="00442A20">
        <w:rPr>
          <w:szCs w:val="22"/>
        </w:rPr>
        <w:t xml:space="preserve"> </w:t>
      </w:r>
      <w:r w:rsidRPr="00E234F4" w:rsidR="00384A99">
        <w:rPr>
          <w:szCs w:val="22"/>
        </w:rPr>
        <w:t xml:space="preserve">of </w:t>
      </w:r>
      <w:r w:rsidRPr="00545660">
        <w:rPr>
          <w:szCs w:val="22"/>
        </w:rPr>
        <w:t>$</w:t>
      </w:r>
      <w:r w:rsidRPr="0004130E" w:rsidR="0004130E">
        <w:rPr>
          <w:szCs w:val="22"/>
        </w:rPr>
        <w:t>31.98</w:t>
      </w:r>
      <w:r w:rsidRPr="0004130E" w:rsidR="0004130E">
        <w:rPr>
          <w:szCs w:val="22"/>
        </w:rPr>
        <w:t xml:space="preserve"> </w:t>
      </w:r>
      <w:r w:rsidRPr="00545660">
        <w:rPr>
          <w:szCs w:val="22"/>
        </w:rPr>
        <w:t>/hour</w:t>
      </w:r>
      <w:r w:rsidRPr="00F71CB9">
        <w:rPr>
          <w:szCs w:val="22"/>
        </w:rPr>
        <w:t xml:space="preserve">.  Therefore, the in-house costs are </w:t>
      </w:r>
      <w:r w:rsidR="006577EB">
        <w:rPr>
          <w:szCs w:val="22"/>
        </w:rPr>
        <w:t xml:space="preserve">estimated </w:t>
      </w:r>
      <w:r w:rsidRPr="00F71CB9">
        <w:rPr>
          <w:szCs w:val="22"/>
        </w:rPr>
        <w:t xml:space="preserve">as follows:  </w:t>
      </w:r>
      <w:r w:rsidRPr="00F71CB9" w:rsidR="00D360D0">
        <w:rPr>
          <w:szCs w:val="22"/>
        </w:rPr>
        <w:t>2</w:t>
      </w:r>
      <w:r w:rsidRPr="00F71CB9" w:rsidR="007A51E9">
        <w:rPr>
          <w:spacing w:val="-3"/>
          <w:szCs w:val="22"/>
        </w:rPr>
        <w:t>,</w:t>
      </w:r>
      <w:r w:rsidRPr="00F71CB9" w:rsidR="00971C87">
        <w:rPr>
          <w:spacing w:val="-3"/>
          <w:szCs w:val="22"/>
        </w:rPr>
        <w:t>7</w:t>
      </w:r>
      <w:r w:rsidRPr="00F71CB9" w:rsidR="003320B5">
        <w:rPr>
          <w:spacing w:val="-3"/>
          <w:szCs w:val="22"/>
        </w:rPr>
        <w:t>93</w:t>
      </w:r>
      <w:r w:rsidRPr="00F71CB9">
        <w:rPr>
          <w:szCs w:val="22"/>
        </w:rPr>
        <w:t xml:space="preserve"> hours x </w:t>
      </w:r>
      <w:r w:rsidRPr="00545660">
        <w:rPr>
          <w:szCs w:val="22"/>
        </w:rPr>
        <w:t>$</w:t>
      </w:r>
      <w:r w:rsidRPr="0004130E" w:rsidR="0004130E">
        <w:rPr>
          <w:szCs w:val="22"/>
        </w:rPr>
        <w:t>31.98</w:t>
      </w:r>
      <w:r w:rsidRPr="00545660">
        <w:rPr>
          <w:szCs w:val="22"/>
        </w:rPr>
        <w:t>/hour</w:t>
      </w:r>
      <w:r w:rsidRPr="00F71CB9">
        <w:rPr>
          <w:szCs w:val="22"/>
        </w:rPr>
        <w:t xml:space="preserve"> = </w:t>
      </w:r>
      <w:r w:rsidRPr="00545660">
        <w:rPr>
          <w:szCs w:val="22"/>
        </w:rPr>
        <w:t>$</w:t>
      </w:r>
      <w:r w:rsidRPr="00A97AEA" w:rsidR="00A97AEA">
        <w:rPr>
          <w:szCs w:val="22"/>
        </w:rPr>
        <w:t>89,320.14</w:t>
      </w:r>
      <w:r w:rsidRPr="00E234F4">
        <w:rPr>
          <w:szCs w:val="22"/>
        </w:rPr>
        <w:t>.</w:t>
      </w:r>
      <w:r>
        <w:rPr>
          <w:rStyle w:val="FootnoteReference"/>
          <w:szCs w:val="22"/>
        </w:rPr>
        <w:footnoteReference w:id="28"/>
      </w:r>
    </w:p>
    <w:p w:rsidR="00202183" w:rsidRPr="00E234F4" w:rsidP="00021ACD" w14:paraId="297CF4C6" w14:textId="0AD4B5B2">
      <w:pPr>
        <w:suppressAutoHyphens/>
        <w:spacing w:line="240" w:lineRule="atLeast"/>
        <w:rPr>
          <w:szCs w:val="22"/>
        </w:rPr>
      </w:pPr>
      <w:r w:rsidRPr="00E234F4">
        <w:rPr>
          <w:szCs w:val="22"/>
        </w:rPr>
        <w:t xml:space="preserve">  </w:t>
      </w:r>
    </w:p>
    <w:p w:rsidR="00E50FA0" w:rsidRPr="000F4FB5" w:rsidP="00021ACD" w14:paraId="27BCE633" w14:textId="7F32141A">
      <w:pPr>
        <w:suppressAutoHyphens/>
        <w:spacing w:line="240" w:lineRule="atLeast"/>
        <w:rPr>
          <w:bCs/>
          <w:szCs w:val="22"/>
        </w:rPr>
      </w:pPr>
      <w:r w:rsidRPr="00E234F4">
        <w:rPr>
          <w:b/>
          <w:szCs w:val="22"/>
        </w:rPr>
        <w:t xml:space="preserve">Total Number of Respondents:  </w:t>
      </w:r>
      <w:r w:rsidR="00221F15">
        <w:rPr>
          <w:bCs/>
          <w:szCs w:val="22"/>
        </w:rPr>
        <w:t>133</w:t>
      </w:r>
    </w:p>
    <w:p w:rsidR="00021ACD" w:rsidRPr="00E234F4" w:rsidP="00021ACD" w14:paraId="14D7EFF9" w14:textId="77777777">
      <w:pPr>
        <w:suppressAutoHyphens/>
        <w:spacing w:line="240" w:lineRule="atLeast"/>
        <w:rPr>
          <w:spacing w:val="-3"/>
          <w:szCs w:val="22"/>
        </w:rPr>
      </w:pPr>
    </w:p>
    <w:p w:rsidR="00E50FA0" w:rsidRPr="000F4FB5" w:rsidP="00021ACD" w14:paraId="3B1DD4D6" w14:textId="356536BD">
      <w:pPr>
        <w:suppressAutoHyphens/>
        <w:spacing w:line="240" w:lineRule="atLeast"/>
        <w:rPr>
          <w:spacing w:val="-3"/>
          <w:szCs w:val="22"/>
        </w:rPr>
      </w:pPr>
      <w:r w:rsidRPr="00E234F4">
        <w:rPr>
          <w:b/>
          <w:spacing w:val="-3"/>
          <w:szCs w:val="22"/>
        </w:rPr>
        <w:t xml:space="preserve">Total Number of Annual Responses:  </w:t>
      </w:r>
      <w:r w:rsidR="00221F15">
        <w:rPr>
          <w:spacing w:val="-3"/>
          <w:szCs w:val="22"/>
        </w:rPr>
        <w:t>266</w:t>
      </w:r>
    </w:p>
    <w:p w:rsidR="00B23EF6" w:rsidRPr="00E234F4" w:rsidP="00021ACD" w14:paraId="027AE41F" w14:textId="77777777">
      <w:pPr>
        <w:suppressAutoHyphens/>
        <w:spacing w:line="240" w:lineRule="atLeast"/>
        <w:rPr>
          <w:b/>
          <w:spacing w:val="-3"/>
          <w:szCs w:val="22"/>
        </w:rPr>
      </w:pPr>
    </w:p>
    <w:p w:rsidR="00B23EF6" w:rsidRPr="000F4FB5" w:rsidP="00021ACD" w14:paraId="3F8E2C97" w14:textId="06F1CBA0">
      <w:pPr>
        <w:suppressAutoHyphens/>
        <w:spacing w:line="240" w:lineRule="atLeast"/>
        <w:rPr>
          <w:spacing w:val="-3"/>
          <w:szCs w:val="22"/>
        </w:rPr>
      </w:pPr>
      <w:r w:rsidRPr="00E234F4">
        <w:rPr>
          <w:b/>
          <w:spacing w:val="-3"/>
          <w:szCs w:val="22"/>
        </w:rPr>
        <w:t xml:space="preserve">Total Annual Burden Hours:  </w:t>
      </w:r>
      <w:r w:rsidRPr="00E77F79" w:rsidR="000658F5">
        <w:rPr>
          <w:bCs/>
          <w:spacing w:val="-3"/>
          <w:szCs w:val="22"/>
        </w:rPr>
        <w:t>2,</w:t>
      </w:r>
      <w:r w:rsidR="00492FAD">
        <w:rPr>
          <w:spacing w:val="-3"/>
          <w:szCs w:val="22"/>
        </w:rPr>
        <w:t>7</w:t>
      </w:r>
      <w:r w:rsidR="00221F15">
        <w:rPr>
          <w:spacing w:val="-3"/>
          <w:szCs w:val="22"/>
        </w:rPr>
        <w:t>93</w:t>
      </w:r>
      <w:r w:rsidRPr="000F4FB5" w:rsidR="0099023F">
        <w:rPr>
          <w:spacing w:val="-3"/>
          <w:szCs w:val="22"/>
        </w:rPr>
        <w:t xml:space="preserve"> </w:t>
      </w:r>
      <w:r w:rsidRPr="000F4FB5">
        <w:rPr>
          <w:spacing w:val="-3"/>
          <w:szCs w:val="22"/>
        </w:rPr>
        <w:t>hours</w:t>
      </w:r>
    </w:p>
    <w:p w:rsidR="00B23EF6" w:rsidRPr="00E234F4" w:rsidP="00021ACD" w14:paraId="4C516098" w14:textId="77777777">
      <w:pPr>
        <w:suppressAutoHyphens/>
        <w:spacing w:line="240" w:lineRule="atLeast"/>
        <w:rPr>
          <w:spacing w:val="-3"/>
          <w:szCs w:val="22"/>
        </w:rPr>
      </w:pPr>
    </w:p>
    <w:p w:rsidR="00142A35" w:rsidRPr="00E234F4" w:rsidP="00142A35" w14:paraId="4F8EAFBD" w14:textId="7C3FBF5A">
      <w:pPr>
        <w:widowControl/>
        <w:suppressAutoHyphens/>
        <w:jc w:val="both"/>
        <w:rPr>
          <w:b/>
          <w:snapToGrid/>
          <w:kern w:val="1"/>
          <w:szCs w:val="22"/>
          <w:shd w:val="clear" w:color="auto" w:fill="FFFFFF"/>
          <w:lang w:eastAsia="ar-SA"/>
        </w:rPr>
      </w:pPr>
      <w:r w:rsidRPr="00E234F4">
        <w:rPr>
          <w:b/>
          <w:snapToGrid/>
          <w:kern w:val="1"/>
          <w:szCs w:val="22"/>
          <w:shd w:val="clear" w:color="auto" w:fill="FFFFFF"/>
          <w:lang w:eastAsia="ar-SA"/>
        </w:rPr>
        <w:t>13.  Provide estimate for the total annual cost burden to respondents or record keepers resulting from the collection of information. (Do not include the cost of any hour burden shown in items 12 and 14).</w:t>
      </w:r>
    </w:p>
    <w:p w:rsidR="00142A35" w:rsidRPr="00E234F4" w:rsidP="00021ACD" w14:paraId="62D9C3F4" w14:textId="77777777">
      <w:pPr>
        <w:suppressAutoHyphens/>
        <w:spacing w:line="240" w:lineRule="atLeast"/>
        <w:rPr>
          <w:spacing w:val="-3"/>
          <w:szCs w:val="22"/>
        </w:rPr>
      </w:pPr>
    </w:p>
    <w:p w:rsidR="00021ACD" w:rsidRPr="00E234F4" w:rsidP="00021ACD" w14:paraId="68F3797D" w14:textId="43B712FF">
      <w:pPr>
        <w:suppressAutoHyphens/>
        <w:spacing w:line="240" w:lineRule="atLeast"/>
        <w:rPr>
          <w:spacing w:val="-3"/>
          <w:szCs w:val="22"/>
        </w:rPr>
      </w:pPr>
      <w:r w:rsidRPr="00E234F4">
        <w:rPr>
          <w:b/>
          <w:spacing w:val="-3"/>
          <w:szCs w:val="22"/>
        </w:rPr>
        <w:t>Estimated Annual Cost Burden to Respondents to Comply with Information Collection</w:t>
      </w:r>
      <w:r w:rsidRPr="00E234F4" w:rsidR="009E5094">
        <w:rPr>
          <w:b/>
          <w:spacing w:val="-3"/>
          <w:szCs w:val="22"/>
        </w:rPr>
        <w:t xml:space="preserve"> is as follows</w:t>
      </w:r>
      <w:r w:rsidRPr="00E234F4">
        <w:rPr>
          <w:b/>
          <w:spacing w:val="-3"/>
          <w:szCs w:val="22"/>
        </w:rPr>
        <w:t>:</w:t>
      </w:r>
    </w:p>
    <w:p w:rsidR="004438DF" w:rsidP="00021ACD" w14:paraId="68144D0A" w14:textId="77777777">
      <w:pPr>
        <w:suppressAutoHyphens/>
        <w:spacing w:line="240" w:lineRule="atLeast"/>
        <w:rPr>
          <w:spacing w:val="-3"/>
          <w:szCs w:val="22"/>
        </w:rPr>
      </w:pPr>
    </w:p>
    <w:p w:rsidR="00021ACD" w:rsidRPr="00EA0438" w:rsidP="00EA0438" w14:paraId="16B62DB2" w14:textId="7D2FD4C6">
      <w:pPr>
        <w:pStyle w:val="ListParagraph"/>
        <w:numPr>
          <w:ilvl w:val="0"/>
          <w:numId w:val="17"/>
        </w:numPr>
        <w:suppressAutoHyphens/>
        <w:spacing w:line="240" w:lineRule="atLeast"/>
        <w:rPr>
          <w:bCs/>
          <w:spacing w:val="-3"/>
          <w:szCs w:val="22"/>
        </w:rPr>
      </w:pPr>
      <w:r w:rsidRPr="00EA0438">
        <w:rPr>
          <w:spacing w:val="-3"/>
          <w:szCs w:val="22"/>
          <w:u w:val="single"/>
        </w:rPr>
        <w:t>Total Capital and Start-up Costs</w:t>
      </w:r>
      <w:r w:rsidRPr="00EA0438">
        <w:rPr>
          <w:spacing w:val="-3"/>
          <w:szCs w:val="22"/>
        </w:rPr>
        <w:t xml:space="preserve">:  </w:t>
      </w:r>
      <w:r w:rsidRPr="00EA0438">
        <w:rPr>
          <w:b/>
          <w:spacing w:val="-3"/>
          <w:szCs w:val="22"/>
        </w:rPr>
        <w:t>Zero</w:t>
      </w:r>
    </w:p>
    <w:p w:rsidR="00021ACD" w:rsidRPr="00E234F4" w:rsidP="00021ACD" w14:paraId="6603D469" w14:textId="77777777">
      <w:pPr>
        <w:suppressAutoHyphens/>
        <w:spacing w:line="240" w:lineRule="atLeast"/>
        <w:rPr>
          <w:spacing w:val="-3"/>
          <w:szCs w:val="22"/>
        </w:rPr>
      </w:pPr>
    </w:p>
    <w:p w:rsidR="00E50FA0" w:rsidRPr="00E234F4" w:rsidP="009F7C23" w14:paraId="3BF8BCAD" w14:textId="7ECB08F4">
      <w:pPr>
        <w:numPr>
          <w:ilvl w:val="0"/>
          <w:numId w:val="17"/>
        </w:numPr>
        <w:suppressAutoHyphens/>
        <w:spacing w:line="240" w:lineRule="atLeast"/>
        <w:rPr>
          <w:spacing w:val="-3"/>
          <w:szCs w:val="22"/>
        </w:rPr>
      </w:pPr>
      <w:r w:rsidRPr="004438DF">
        <w:rPr>
          <w:spacing w:val="-3"/>
          <w:szCs w:val="22"/>
          <w:u w:val="single"/>
        </w:rPr>
        <w:t>Total Operation and Maintenance and Purchase of Services</w:t>
      </w:r>
      <w:r w:rsidRPr="00E234F4">
        <w:rPr>
          <w:spacing w:val="-3"/>
          <w:szCs w:val="22"/>
        </w:rPr>
        <w:t xml:space="preserve">:  </w:t>
      </w:r>
      <w:r w:rsidRPr="00E234F4" w:rsidR="00494525">
        <w:rPr>
          <w:b/>
          <w:spacing w:val="-3"/>
          <w:szCs w:val="22"/>
        </w:rPr>
        <w:t>$</w:t>
      </w:r>
      <w:r w:rsidRPr="00E234F4" w:rsidR="00551F76">
        <w:rPr>
          <w:b/>
          <w:spacing w:val="-3"/>
          <w:szCs w:val="22"/>
        </w:rPr>
        <w:t>1</w:t>
      </w:r>
      <w:r w:rsidR="005B3BC2">
        <w:rPr>
          <w:b/>
          <w:spacing w:val="-3"/>
          <w:szCs w:val="22"/>
        </w:rPr>
        <w:t>2</w:t>
      </w:r>
      <w:r w:rsidRPr="00E234F4" w:rsidR="00551F76">
        <w:rPr>
          <w:b/>
          <w:spacing w:val="-3"/>
          <w:szCs w:val="22"/>
        </w:rPr>
        <w:t>,</w:t>
      </w:r>
      <w:r w:rsidR="005B3BC2">
        <w:rPr>
          <w:b/>
          <w:spacing w:val="-3"/>
          <w:szCs w:val="22"/>
        </w:rPr>
        <w:t>0</w:t>
      </w:r>
      <w:r w:rsidRPr="00E234F4" w:rsidR="00551F76">
        <w:rPr>
          <w:b/>
          <w:spacing w:val="-3"/>
          <w:szCs w:val="22"/>
        </w:rPr>
        <w:t>00</w:t>
      </w:r>
    </w:p>
    <w:p w:rsidR="00021ACD" w:rsidRPr="00E234F4" w:rsidP="00B23EF6" w14:paraId="506B0E57" w14:textId="4266E236">
      <w:pPr>
        <w:suppressAutoHyphens/>
        <w:spacing w:line="240" w:lineRule="atLeast"/>
        <w:ind w:left="360"/>
        <w:rPr>
          <w:b/>
          <w:bCs/>
          <w:spacing w:val="-3"/>
          <w:szCs w:val="22"/>
        </w:rPr>
      </w:pPr>
      <w:r w:rsidRPr="00E234F4">
        <w:rPr>
          <w:spacing w:val="-3"/>
          <w:szCs w:val="22"/>
        </w:rPr>
        <w:t xml:space="preserve">Compliance with the </w:t>
      </w:r>
      <w:r w:rsidRPr="00E234F4" w:rsidR="00DF4AB3">
        <w:rPr>
          <w:spacing w:val="-3"/>
          <w:szCs w:val="22"/>
        </w:rPr>
        <w:t>Circuit Capacity</w:t>
      </w:r>
      <w:r w:rsidRPr="00E234F4">
        <w:rPr>
          <w:spacing w:val="-3"/>
          <w:szCs w:val="22"/>
        </w:rPr>
        <w:t xml:space="preserve"> Report will not require respondents to maintain any special equipment.  Compliance may require </w:t>
      </w:r>
      <w:r w:rsidRPr="00E234F4" w:rsidR="005B6900">
        <w:rPr>
          <w:spacing w:val="-3"/>
          <w:szCs w:val="22"/>
        </w:rPr>
        <w:t xml:space="preserve">approximately </w:t>
      </w:r>
      <w:r w:rsidR="006F263A">
        <w:rPr>
          <w:spacing w:val="-3"/>
          <w:szCs w:val="22"/>
        </w:rPr>
        <w:t>40</w:t>
      </w:r>
      <w:r w:rsidRPr="00E234F4" w:rsidR="005B6900">
        <w:rPr>
          <w:spacing w:val="-3"/>
          <w:szCs w:val="22"/>
        </w:rPr>
        <w:t xml:space="preserve"> </w:t>
      </w:r>
      <w:r w:rsidRPr="00E234F4">
        <w:rPr>
          <w:spacing w:val="-3"/>
          <w:szCs w:val="22"/>
        </w:rPr>
        <w:t xml:space="preserve">respondents to </w:t>
      </w:r>
      <w:r w:rsidRPr="00E234F4" w:rsidR="009E5094">
        <w:rPr>
          <w:spacing w:val="-3"/>
          <w:szCs w:val="22"/>
        </w:rPr>
        <w:t xml:space="preserve">hire </w:t>
      </w:r>
      <w:r w:rsidRPr="00E234F4">
        <w:rPr>
          <w:spacing w:val="-3"/>
          <w:szCs w:val="22"/>
        </w:rPr>
        <w:t xml:space="preserve">outside </w:t>
      </w:r>
      <w:r w:rsidRPr="00E234F4" w:rsidR="009E5094">
        <w:rPr>
          <w:spacing w:val="-3"/>
          <w:szCs w:val="22"/>
        </w:rPr>
        <w:t>attorney</w:t>
      </w:r>
      <w:r w:rsidRPr="00E234F4">
        <w:rPr>
          <w:spacing w:val="-3"/>
          <w:szCs w:val="22"/>
        </w:rPr>
        <w:t xml:space="preserve">s, calculated as follows:  </w:t>
      </w:r>
    </w:p>
    <w:p w:rsidR="00021ACD" w:rsidRPr="00E234F4" w:rsidP="00021ACD" w14:paraId="3612031C" w14:textId="77777777">
      <w:pPr>
        <w:suppressAutoHyphens/>
        <w:spacing w:line="240" w:lineRule="atLeast"/>
        <w:ind w:left="360"/>
        <w:rPr>
          <w:b/>
          <w:bCs/>
          <w:spacing w:val="-3"/>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1297"/>
        <w:gridCol w:w="1665"/>
        <w:gridCol w:w="1605"/>
        <w:gridCol w:w="1693"/>
      </w:tblGrid>
      <w:tr w14:paraId="78CEE2BF" w14:textId="77777777" w:rsidTr="005269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48" w:type="dxa"/>
            <w:shd w:val="clear" w:color="auto" w:fill="9CC2E5" w:themeFill="accent5" w:themeFillTint="99"/>
          </w:tcPr>
          <w:p w:rsidR="00021ACD" w:rsidRPr="0052691E" w:rsidP="0052691E" w14:paraId="6C0E2B67" w14:textId="77777777">
            <w:pPr>
              <w:jc w:val="center"/>
              <w:rPr>
                <w:b/>
                <w:bCs/>
                <w:szCs w:val="22"/>
              </w:rPr>
            </w:pPr>
            <w:r w:rsidRPr="0052691E">
              <w:rPr>
                <w:b/>
                <w:bCs/>
                <w:szCs w:val="22"/>
              </w:rPr>
              <w:t>Description</w:t>
            </w:r>
          </w:p>
        </w:tc>
        <w:tc>
          <w:tcPr>
            <w:tcW w:w="1305" w:type="dxa"/>
            <w:shd w:val="clear" w:color="auto" w:fill="9CC2E5" w:themeFill="accent5" w:themeFillTint="99"/>
          </w:tcPr>
          <w:p w:rsidR="00021ACD" w:rsidRPr="0052691E" w:rsidP="0052691E" w14:paraId="76A3ED46" w14:textId="77777777">
            <w:pPr>
              <w:jc w:val="center"/>
              <w:rPr>
                <w:b/>
                <w:bCs/>
                <w:szCs w:val="22"/>
              </w:rPr>
            </w:pPr>
            <w:r w:rsidRPr="0052691E">
              <w:rPr>
                <w:b/>
                <w:bCs/>
                <w:szCs w:val="22"/>
              </w:rPr>
              <w:t>Annual Responses</w:t>
            </w:r>
          </w:p>
        </w:tc>
        <w:tc>
          <w:tcPr>
            <w:tcW w:w="1720" w:type="dxa"/>
            <w:shd w:val="clear" w:color="auto" w:fill="9CC2E5" w:themeFill="accent5" w:themeFillTint="99"/>
          </w:tcPr>
          <w:p w:rsidR="00021ACD" w:rsidRPr="0052691E" w:rsidP="0052691E" w14:paraId="09D29523" w14:textId="77777777">
            <w:pPr>
              <w:jc w:val="center"/>
              <w:rPr>
                <w:b/>
                <w:bCs/>
                <w:szCs w:val="22"/>
              </w:rPr>
            </w:pPr>
            <w:r w:rsidRPr="0052691E">
              <w:rPr>
                <w:b/>
                <w:bCs/>
                <w:szCs w:val="22"/>
              </w:rPr>
              <w:t>Costs per Hour</w:t>
            </w:r>
          </w:p>
        </w:tc>
        <w:tc>
          <w:tcPr>
            <w:tcW w:w="1633" w:type="dxa"/>
            <w:shd w:val="clear" w:color="auto" w:fill="9CC2E5" w:themeFill="accent5" w:themeFillTint="99"/>
          </w:tcPr>
          <w:p w:rsidR="00021ACD" w:rsidRPr="0052691E" w:rsidP="0052691E" w14:paraId="6EB0192F" w14:textId="77777777">
            <w:pPr>
              <w:jc w:val="center"/>
              <w:rPr>
                <w:b/>
                <w:bCs/>
                <w:szCs w:val="22"/>
              </w:rPr>
            </w:pPr>
            <w:r w:rsidRPr="0052691E">
              <w:rPr>
                <w:b/>
                <w:bCs/>
                <w:szCs w:val="22"/>
              </w:rPr>
              <w:t>Hourly Processing  per Response</w:t>
            </w:r>
          </w:p>
        </w:tc>
        <w:tc>
          <w:tcPr>
            <w:tcW w:w="1750" w:type="dxa"/>
            <w:shd w:val="clear" w:color="auto" w:fill="9CC2E5" w:themeFill="accent5" w:themeFillTint="99"/>
          </w:tcPr>
          <w:p w:rsidR="00021ACD" w:rsidRPr="0052691E" w:rsidP="0052691E" w14:paraId="74C30620" w14:textId="77777777">
            <w:pPr>
              <w:jc w:val="center"/>
              <w:rPr>
                <w:b/>
                <w:bCs/>
                <w:szCs w:val="22"/>
              </w:rPr>
            </w:pPr>
            <w:r w:rsidRPr="0052691E">
              <w:rPr>
                <w:b/>
                <w:bCs/>
                <w:szCs w:val="22"/>
              </w:rPr>
              <w:t>Total</w:t>
            </w:r>
          </w:p>
        </w:tc>
      </w:tr>
      <w:tr w14:paraId="55007B0A" w14:textId="77777777" w:rsidTr="002C4989">
        <w:tblPrEx>
          <w:tblW w:w="0" w:type="auto"/>
          <w:tblLook w:val="01E0"/>
        </w:tblPrEx>
        <w:tc>
          <w:tcPr>
            <w:tcW w:w="2448" w:type="dxa"/>
          </w:tcPr>
          <w:p w:rsidR="00021ACD" w:rsidRPr="00E234F4" w:rsidP="00767C4C" w14:paraId="33DDB399" w14:textId="77777777">
            <w:pPr>
              <w:suppressAutoHyphens/>
              <w:overflowPunct w:val="0"/>
              <w:autoSpaceDE w:val="0"/>
              <w:autoSpaceDN w:val="0"/>
              <w:adjustRightInd w:val="0"/>
              <w:spacing w:line="240" w:lineRule="atLeast"/>
              <w:textAlignment w:val="baseline"/>
              <w:rPr>
                <w:spacing w:val="-3"/>
                <w:szCs w:val="22"/>
              </w:rPr>
            </w:pPr>
            <w:r w:rsidRPr="00E234F4">
              <w:rPr>
                <w:spacing w:val="-3"/>
                <w:szCs w:val="22"/>
              </w:rPr>
              <w:t xml:space="preserve">Outside Legal Counsel </w:t>
            </w:r>
          </w:p>
          <w:p w:rsidR="00021ACD" w:rsidRPr="00E234F4" w:rsidP="00767C4C" w14:paraId="5B3FB1F2" w14:textId="77777777">
            <w:pPr>
              <w:suppressAutoHyphens/>
              <w:overflowPunct w:val="0"/>
              <w:autoSpaceDE w:val="0"/>
              <w:autoSpaceDN w:val="0"/>
              <w:adjustRightInd w:val="0"/>
              <w:spacing w:line="240" w:lineRule="atLeast"/>
              <w:textAlignment w:val="baseline"/>
              <w:rPr>
                <w:spacing w:val="-3"/>
                <w:szCs w:val="22"/>
              </w:rPr>
            </w:pPr>
          </w:p>
        </w:tc>
        <w:tc>
          <w:tcPr>
            <w:tcW w:w="1305" w:type="dxa"/>
          </w:tcPr>
          <w:p w:rsidR="00021ACD" w:rsidRPr="00E234F4" w:rsidP="00767C4C" w14:paraId="359A880D" w14:textId="00011713">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4</w:t>
            </w:r>
            <w:r w:rsidR="006F263A">
              <w:rPr>
                <w:spacing w:val="-3"/>
                <w:szCs w:val="22"/>
              </w:rPr>
              <w:t>0</w:t>
            </w:r>
          </w:p>
        </w:tc>
        <w:tc>
          <w:tcPr>
            <w:tcW w:w="1720" w:type="dxa"/>
          </w:tcPr>
          <w:p w:rsidR="00021ACD" w:rsidRPr="00E234F4" w:rsidP="00767C4C" w14:paraId="04622D39" w14:textId="77777777">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$300 per Hour</w:t>
            </w:r>
          </w:p>
          <w:p w:rsidR="00021ACD" w:rsidRPr="00E234F4" w:rsidP="00767C4C" w14:paraId="456D96A9" w14:textId="77777777">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(Based on industry survey)</w:t>
            </w:r>
          </w:p>
        </w:tc>
        <w:tc>
          <w:tcPr>
            <w:tcW w:w="1633" w:type="dxa"/>
          </w:tcPr>
          <w:p w:rsidR="00021ACD" w:rsidRPr="00E234F4" w:rsidP="00767C4C" w14:paraId="183998A7" w14:textId="77777777">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1 Hour/</w:t>
            </w:r>
          </w:p>
          <w:p w:rsidR="00021ACD" w:rsidRPr="00E234F4" w:rsidP="00767C4C" w14:paraId="74A20E8A" w14:textId="77777777">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Response</w:t>
            </w:r>
          </w:p>
        </w:tc>
        <w:tc>
          <w:tcPr>
            <w:tcW w:w="1750" w:type="dxa"/>
          </w:tcPr>
          <w:p w:rsidR="00021ACD" w:rsidRPr="00E234F4" w:rsidP="00767C4C" w14:paraId="0814B61A" w14:textId="360909CB">
            <w:pPr>
              <w:suppressAutoHyphens/>
              <w:overflowPunct w:val="0"/>
              <w:autoSpaceDE w:val="0"/>
              <w:autoSpaceDN w:val="0"/>
              <w:adjustRightInd w:val="0"/>
              <w:spacing w:line="240" w:lineRule="atLeast"/>
              <w:jc w:val="center"/>
              <w:textAlignment w:val="baseline"/>
              <w:rPr>
                <w:b/>
                <w:spacing w:val="-3"/>
                <w:szCs w:val="22"/>
              </w:rPr>
            </w:pPr>
            <w:r w:rsidRPr="00E234F4">
              <w:rPr>
                <w:b/>
                <w:spacing w:val="-3"/>
                <w:szCs w:val="22"/>
              </w:rPr>
              <w:t>$</w:t>
            </w:r>
            <w:r w:rsidRPr="00E234F4" w:rsidR="009F56EA">
              <w:rPr>
                <w:b/>
                <w:spacing w:val="-3"/>
                <w:szCs w:val="22"/>
              </w:rPr>
              <w:t>1</w:t>
            </w:r>
            <w:r w:rsidR="006F263A">
              <w:rPr>
                <w:b/>
                <w:spacing w:val="-3"/>
                <w:szCs w:val="22"/>
              </w:rPr>
              <w:t>2</w:t>
            </w:r>
            <w:r w:rsidRPr="00E234F4" w:rsidR="009F56EA">
              <w:rPr>
                <w:b/>
                <w:spacing w:val="-3"/>
                <w:szCs w:val="22"/>
              </w:rPr>
              <w:t>,</w:t>
            </w:r>
            <w:r w:rsidR="006F263A">
              <w:rPr>
                <w:b/>
                <w:spacing w:val="-3"/>
                <w:szCs w:val="22"/>
              </w:rPr>
              <w:t>0</w:t>
            </w:r>
            <w:r w:rsidRPr="00E234F4" w:rsidR="009F56EA">
              <w:rPr>
                <w:b/>
                <w:spacing w:val="-3"/>
                <w:szCs w:val="22"/>
              </w:rPr>
              <w:t>00</w:t>
            </w:r>
          </w:p>
          <w:p w:rsidR="00021ACD" w:rsidRPr="00E234F4" w:rsidP="00767C4C" w14:paraId="1D9AC190" w14:textId="77777777">
            <w:pPr>
              <w:suppressAutoHyphens/>
              <w:overflowPunct w:val="0"/>
              <w:autoSpaceDE w:val="0"/>
              <w:autoSpaceDN w:val="0"/>
              <w:adjustRightInd w:val="0"/>
              <w:spacing w:line="240" w:lineRule="atLeast"/>
              <w:jc w:val="center"/>
              <w:textAlignment w:val="baseline"/>
              <w:rPr>
                <w:spacing w:val="-3"/>
                <w:szCs w:val="22"/>
              </w:rPr>
            </w:pPr>
            <w:r w:rsidRPr="00E234F4">
              <w:rPr>
                <w:spacing w:val="-3"/>
                <w:szCs w:val="22"/>
              </w:rPr>
              <w:t>(O&amp;M)</w:t>
            </w:r>
          </w:p>
        </w:tc>
      </w:tr>
    </w:tbl>
    <w:p w:rsidR="00021ACD" w:rsidRPr="00E234F4" w:rsidP="00021ACD" w14:paraId="0E7D24A6" w14:textId="77777777">
      <w:pPr>
        <w:suppressAutoHyphens/>
        <w:spacing w:line="240" w:lineRule="atLeast"/>
        <w:rPr>
          <w:b/>
          <w:spacing w:val="-3"/>
          <w:szCs w:val="22"/>
        </w:rPr>
      </w:pPr>
    </w:p>
    <w:p w:rsidR="00021ACD" w:rsidRPr="00EA0438" w:rsidP="00EA0438" w14:paraId="71F3AB00" w14:textId="2865450C">
      <w:pPr>
        <w:pStyle w:val="ListParagraph"/>
        <w:numPr>
          <w:ilvl w:val="0"/>
          <w:numId w:val="17"/>
        </w:numPr>
        <w:suppressAutoHyphens/>
        <w:spacing w:line="240" w:lineRule="atLeast"/>
        <w:rPr>
          <w:bCs/>
          <w:spacing w:val="-3"/>
          <w:szCs w:val="22"/>
        </w:rPr>
      </w:pPr>
      <w:r w:rsidRPr="00EA0438">
        <w:rPr>
          <w:bCs/>
          <w:spacing w:val="-3"/>
          <w:szCs w:val="22"/>
          <w:u w:val="single"/>
        </w:rPr>
        <w:t>Total Annual Costs</w:t>
      </w:r>
      <w:r w:rsidRPr="00EA0438">
        <w:rPr>
          <w:bCs/>
          <w:spacing w:val="-3"/>
          <w:szCs w:val="22"/>
        </w:rPr>
        <w:t>:</w:t>
      </w:r>
      <w:r w:rsidRPr="00EA0438">
        <w:rPr>
          <w:b/>
          <w:spacing w:val="-3"/>
          <w:szCs w:val="22"/>
        </w:rPr>
        <w:t xml:space="preserve">  </w:t>
      </w:r>
      <w:r w:rsidRPr="00EA0438" w:rsidR="005A4B45">
        <w:rPr>
          <w:b/>
          <w:spacing w:val="-3"/>
          <w:szCs w:val="22"/>
        </w:rPr>
        <w:t>$</w:t>
      </w:r>
      <w:bookmarkStart w:id="3" w:name="_Hlk220425447"/>
      <w:r w:rsidRPr="00EA0438" w:rsidR="00F35851">
        <w:rPr>
          <w:b/>
          <w:spacing w:val="-3"/>
          <w:szCs w:val="22"/>
        </w:rPr>
        <w:t>1</w:t>
      </w:r>
      <w:r w:rsidRPr="00EA0438" w:rsidR="006F263A">
        <w:rPr>
          <w:b/>
          <w:spacing w:val="-3"/>
          <w:szCs w:val="22"/>
        </w:rPr>
        <w:t>2</w:t>
      </w:r>
      <w:r w:rsidRPr="00EA0438" w:rsidR="00F35851">
        <w:rPr>
          <w:b/>
          <w:spacing w:val="-3"/>
          <w:szCs w:val="22"/>
        </w:rPr>
        <w:t>,</w:t>
      </w:r>
      <w:r w:rsidRPr="00EA0438" w:rsidR="006F263A">
        <w:rPr>
          <w:b/>
          <w:spacing w:val="-3"/>
          <w:szCs w:val="22"/>
        </w:rPr>
        <w:t>0</w:t>
      </w:r>
      <w:r w:rsidRPr="00EA0438" w:rsidR="00F35851">
        <w:rPr>
          <w:b/>
          <w:spacing w:val="-3"/>
          <w:szCs w:val="22"/>
        </w:rPr>
        <w:t>00</w:t>
      </w:r>
      <w:bookmarkEnd w:id="3"/>
    </w:p>
    <w:p w:rsidR="00642E4F" w:rsidRPr="00EA0438" w:rsidP="00021ACD" w14:paraId="2BF40FC5" w14:textId="77777777">
      <w:pPr>
        <w:suppressAutoHyphens/>
        <w:spacing w:line="240" w:lineRule="atLeast"/>
        <w:rPr>
          <w:bCs/>
          <w:spacing w:val="-3"/>
          <w:szCs w:val="22"/>
        </w:rPr>
      </w:pPr>
    </w:p>
    <w:p w:rsidR="00A34DE7" w:rsidRPr="00E234F4" w:rsidP="00A34DE7" w14:paraId="1241D518"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311633" w:rsidRPr="00E234F4" w:rsidP="00CB12B1" w14:paraId="4D0DBA47" w14:textId="1CBB8420">
      <w:pPr>
        <w:pStyle w:val="ParaNum"/>
        <w:numPr>
          <w:ilvl w:val="0"/>
          <w:numId w:val="0"/>
        </w:numPr>
        <w:tabs>
          <w:tab w:val="left" w:pos="720"/>
        </w:tabs>
        <w:rPr>
          <w:spacing w:val="-3"/>
          <w:szCs w:val="22"/>
        </w:rPr>
      </w:pPr>
      <w:r w:rsidRPr="00E77F79">
        <w:rPr>
          <w:spacing w:val="-3"/>
          <w:szCs w:val="22"/>
        </w:rPr>
        <w:t>The Commission reviews the Circuit Capacity Holding Reports</w:t>
      </w:r>
      <w:r w:rsidRPr="00E77F79" w:rsidR="005121D9">
        <w:rPr>
          <w:spacing w:val="-3"/>
          <w:szCs w:val="22"/>
        </w:rPr>
        <w:t xml:space="preserve"> and publishes the results annually.  </w:t>
      </w:r>
      <w:r w:rsidR="004E070A">
        <w:rPr>
          <w:spacing w:val="-3"/>
          <w:szCs w:val="22"/>
        </w:rPr>
        <w:t xml:space="preserve">Below </w:t>
      </w:r>
      <w:r w:rsidR="00EE69F6">
        <w:rPr>
          <w:spacing w:val="-3"/>
          <w:szCs w:val="22"/>
        </w:rPr>
        <w:t>are</w:t>
      </w:r>
      <w:r w:rsidR="004E070A">
        <w:rPr>
          <w:spacing w:val="-3"/>
          <w:szCs w:val="22"/>
        </w:rPr>
        <w:t xml:space="preserve"> the e</w:t>
      </w:r>
      <w:r w:rsidRPr="00E234F4" w:rsidR="000445FA">
        <w:rPr>
          <w:spacing w:val="-3"/>
          <w:szCs w:val="22"/>
        </w:rPr>
        <w:t xml:space="preserve">stimated Annual Costs to the Federal Government for </w:t>
      </w:r>
      <w:r w:rsidRPr="00E234F4" w:rsidR="001E0330">
        <w:rPr>
          <w:spacing w:val="-3"/>
          <w:szCs w:val="22"/>
        </w:rPr>
        <w:t>the i</w:t>
      </w:r>
      <w:r w:rsidRPr="00E234F4" w:rsidR="000445FA">
        <w:rPr>
          <w:spacing w:val="-3"/>
          <w:szCs w:val="22"/>
        </w:rPr>
        <w:t xml:space="preserve">nformation </w:t>
      </w:r>
      <w:r w:rsidRPr="00E234F4" w:rsidR="001E0330">
        <w:rPr>
          <w:spacing w:val="-3"/>
          <w:szCs w:val="22"/>
        </w:rPr>
        <w:t>c</w:t>
      </w:r>
      <w:r w:rsidRPr="00E234F4" w:rsidR="000445FA">
        <w:rPr>
          <w:spacing w:val="-3"/>
          <w:szCs w:val="22"/>
        </w:rPr>
        <w:t>ollection</w:t>
      </w:r>
      <w:r w:rsidRPr="00E234F4" w:rsidR="001E0330">
        <w:rPr>
          <w:spacing w:val="-3"/>
          <w:szCs w:val="22"/>
        </w:rPr>
        <w:t xml:space="preserve"> requirements</w:t>
      </w:r>
      <w:r w:rsidRPr="00E234F4" w:rsidR="000445FA">
        <w:rPr>
          <w:spacing w:val="-3"/>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5"/>
        <w:gridCol w:w="4133"/>
        <w:gridCol w:w="1357"/>
      </w:tblGrid>
      <w:tr w14:paraId="62491DB3" w14:textId="77777777" w:rsidTr="005456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85" w:type="dxa"/>
            <w:shd w:val="clear" w:color="auto" w:fill="9CC2E5" w:themeFill="accent5" w:themeFillTint="99"/>
          </w:tcPr>
          <w:p w:rsidR="00311633" w:rsidRPr="00E234F4" w:rsidP="00767C4C" w14:paraId="590C57BC" w14:textId="670C02BE">
            <w:pPr>
              <w:suppressAutoHyphens/>
              <w:overflowPunct w:val="0"/>
              <w:autoSpaceDE w:val="0"/>
              <w:autoSpaceDN w:val="0"/>
              <w:adjustRightInd w:val="0"/>
              <w:spacing w:line="240" w:lineRule="atLeast"/>
              <w:jc w:val="center"/>
              <w:textAlignment w:val="baseline"/>
              <w:rPr>
                <w:b/>
                <w:spacing w:val="-3"/>
                <w:szCs w:val="22"/>
              </w:rPr>
            </w:pPr>
            <w:r w:rsidRPr="00E234F4">
              <w:rPr>
                <w:b/>
                <w:spacing w:val="-3"/>
                <w:szCs w:val="22"/>
              </w:rPr>
              <w:t>Government Staff</w:t>
            </w:r>
          </w:p>
        </w:tc>
        <w:tc>
          <w:tcPr>
            <w:tcW w:w="4133" w:type="dxa"/>
            <w:shd w:val="clear" w:color="auto" w:fill="9CC2E5" w:themeFill="accent5" w:themeFillTint="99"/>
          </w:tcPr>
          <w:p w:rsidR="00311633" w:rsidRPr="00E234F4" w:rsidP="00767C4C" w14:paraId="02F608CB" w14:textId="2EB6BB9A">
            <w:pPr>
              <w:suppressAutoHyphens/>
              <w:overflowPunct w:val="0"/>
              <w:autoSpaceDE w:val="0"/>
              <w:autoSpaceDN w:val="0"/>
              <w:adjustRightInd w:val="0"/>
              <w:spacing w:line="240" w:lineRule="atLeast"/>
              <w:jc w:val="center"/>
              <w:textAlignment w:val="baseline"/>
              <w:rPr>
                <w:b/>
                <w:spacing w:val="-3"/>
                <w:szCs w:val="22"/>
              </w:rPr>
            </w:pPr>
            <w:r w:rsidRPr="00E234F4">
              <w:rPr>
                <w:b/>
                <w:spacing w:val="-3"/>
                <w:szCs w:val="22"/>
              </w:rPr>
              <w:t>Annual Burden Hours</w:t>
            </w:r>
          </w:p>
        </w:tc>
        <w:tc>
          <w:tcPr>
            <w:tcW w:w="1357" w:type="dxa"/>
            <w:shd w:val="clear" w:color="auto" w:fill="9CC2E5" w:themeFill="accent5" w:themeFillTint="99"/>
          </w:tcPr>
          <w:p w:rsidR="00311633" w:rsidRPr="00E234F4" w:rsidP="00767C4C" w14:paraId="4D0F62AB" w14:textId="34E322C4">
            <w:pPr>
              <w:suppressAutoHyphens/>
              <w:overflowPunct w:val="0"/>
              <w:autoSpaceDE w:val="0"/>
              <w:autoSpaceDN w:val="0"/>
              <w:adjustRightInd w:val="0"/>
              <w:spacing w:line="240" w:lineRule="atLeast"/>
              <w:jc w:val="center"/>
              <w:textAlignment w:val="baseline"/>
              <w:rPr>
                <w:b/>
                <w:spacing w:val="-3"/>
                <w:szCs w:val="22"/>
              </w:rPr>
            </w:pPr>
            <w:r>
              <w:rPr>
                <w:b/>
                <w:spacing w:val="-3"/>
                <w:szCs w:val="22"/>
              </w:rPr>
              <w:t xml:space="preserve">Total </w:t>
            </w:r>
            <w:r w:rsidRPr="00E234F4" w:rsidR="000445FA">
              <w:rPr>
                <w:b/>
                <w:spacing w:val="-3"/>
                <w:szCs w:val="22"/>
              </w:rPr>
              <w:t>Costs</w:t>
            </w:r>
          </w:p>
        </w:tc>
      </w:tr>
      <w:tr w14:paraId="0067463B" w14:textId="77777777" w:rsidTr="00545660">
        <w:tblPrEx>
          <w:tblW w:w="0" w:type="auto"/>
          <w:tblLook w:val="01E0"/>
        </w:tblPrEx>
        <w:tc>
          <w:tcPr>
            <w:tcW w:w="2785" w:type="dxa"/>
          </w:tcPr>
          <w:p w:rsidR="00311633" w:rsidRPr="00E234F4" w:rsidP="00767C4C" w14:paraId="798002E2" w14:textId="75739844">
            <w:pPr>
              <w:suppressAutoHyphens/>
              <w:overflowPunct w:val="0"/>
              <w:autoSpaceDE w:val="0"/>
              <w:autoSpaceDN w:val="0"/>
              <w:adjustRightInd w:val="0"/>
              <w:spacing w:line="240" w:lineRule="atLeast"/>
              <w:textAlignment w:val="baseline"/>
              <w:rPr>
                <w:spacing w:val="-3"/>
                <w:szCs w:val="22"/>
              </w:rPr>
            </w:pPr>
            <w:r w:rsidRPr="00E234F4">
              <w:rPr>
                <w:b/>
                <w:spacing w:val="-3"/>
                <w:szCs w:val="22"/>
              </w:rPr>
              <w:t>Section 43.82(a) Annual Circuit Capacity Reports</w:t>
            </w:r>
          </w:p>
        </w:tc>
        <w:tc>
          <w:tcPr>
            <w:tcW w:w="4133" w:type="dxa"/>
          </w:tcPr>
          <w:p w:rsidR="00667ABD" w:rsidP="00642E4F" w14:paraId="53DB27D8" w14:textId="3CE85940">
            <w:pPr>
              <w:suppressAutoHyphens/>
              <w:overflowPunct w:val="0"/>
              <w:autoSpaceDE w:val="0"/>
              <w:autoSpaceDN w:val="0"/>
              <w:adjustRightInd w:val="0"/>
              <w:spacing w:line="240" w:lineRule="atLeast"/>
              <w:textAlignment w:val="baseline"/>
              <w:rPr>
                <w:spacing w:val="-3"/>
                <w:szCs w:val="22"/>
              </w:rPr>
            </w:pPr>
            <w:r>
              <w:rPr>
                <w:spacing w:val="-3"/>
                <w:szCs w:val="22"/>
              </w:rPr>
              <w:t>133</w:t>
            </w:r>
            <w:r w:rsidRPr="00E234F4" w:rsidR="00E91F6A">
              <w:rPr>
                <w:spacing w:val="-3"/>
                <w:szCs w:val="22"/>
              </w:rPr>
              <w:t xml:space="preserve"> </w:t>
            </w:r>
            <w:r w:rsidRPr="00E234F4" w:rsidR="000445FA">
              <w:rPr>
                <w:spacing w:val="-3"/>
                <w:szCs w:val="22"/>
              </w:rPr>
              <w:t xml:space="preserve">reports for submarine cable capacity X 3 hours of work per response received = </w:t>
            </w:r>
            <w:r w:rsidRPr="00E5400A" w:rsidR="00E5400A">
              <w:rPr>
                <w:spacing w:val="-3"/>
                <w:szCs w:val="22"/>
              </w:rPr>
              <w:t>399</w:t>
            </w:r>
            <w:r w:rsidRPr="00E234F4" w:rsidR="000445FA">
              <w:rPr>
                <w:spacing w:val="-3"/>
                <w:szCs w:val="22"/>
              </w:rPr>
              <w:t xml:space="preserve"> hours for staff</w:t>
            </w:r>
            <w:r w:rsidR="00286F4D">
              <w:rPr>
                <w:spacing w:val="-3"/>
                <w:szCs w:val="22"/>
              </w:rPr>
              <w:t xml:space="preserve"> (</w:t>
            </w:r>
            <w:r w:rsidRPr="00E5400A" w:rsidR="00E5400A">
              <w:rPr>
                <w:spacing w:val="-3"/>
                <w:szCs w:val="22"/>
              </w:rPr>
              <w:t>399</w:t>
            </w:r>
            <w:r w:rsidR="00286F4D">
              <w:rPr>
                <w:spacing w:val="-3"/>
                <w:szCs w:val="22"/>
              </w:rPr>
              <w:t>)</w:t>
            </w:r>
          </w:p>
          <w:p w:rsidR="005B6877" w:rsidRPr="00E234F4" w:rsidP="00642E4F" w14:paraId="75233EEB" w14:textId="77777777">
            <w:pPr>
              <w:suppressAutoHyphens/>
              <w:overflowPunct w:val="0"/>
              <w:autoSpaceDE w:val="0"/>
              <w:autoSpaceDN w:val="0"/>
              <w:adjustRightInd w:val="0"/>
              <w:spacing w:line="240" w:lineRule="atLeast"/>
              <w:textAlignment w:val="baseline"/>
              <w:rPr>
                <w:spacing w:val="-3"/>
                <w:szCs w:val="22"/>
              </w:rPr>
            </w:pPr>
          </w:p>
          <w:p w:rsidR="00D5352E" w:rsidP="005B6877" w14:paraId="76965BCC" w14:textId="0BBB3F8A">
            <w:pPr>
              <w:suppressAutoHyphens/>
              <w:overflowPunct w:val="0"/>
              <w:autoSpaceDE w:val="0"/>
              <w:autoSpaceDN w:val="0"/>
              <w:adjustRightInd w:val="0"/>
              <w:spacing w:line="240" w:lineRule="atLeast"/>
              <w:textAlignment w:val="baseline"/>
              <w:rPr>
                <w:spacing w:val="-3"/>
                <w:szCs w:val="22"/>
              </w:rPr>
            </w:pPr>
            <w:r w:rsidRPr="00E234F4">
              <w:rPr>
                <w:spacing w:val="-3"/>
                <w:szCs w:val="22"/>
              </w:rPr>
              <w:t>GS-15/Step 5</w:t>
            </w:r>
            <w:r w:rsidR="00F6788A">
              <w:rPr>
                <w:spacing w:val="-3"/>
                <w:szCs w:val="22"/>
              </w:rPr>
              <w:t>,</w:t>
            </w:r>
            <w:r w:rsidRPr="00E234F4">
              <w:rPr>
                <w:spacing w:val="-3"/>
                <w:szCs w:val="22"/>
              </w:rPr>
              <w:t xml:space="preserve"> </w:t>
            </w:r>
            <w:r w:rsidR="000F39C8">
              <w:rPr>
                <w:spacing w:val="-3"/>
                <w:szCs w:val="22"/>
              </w:rPr>
              <w:t>Attorney</w:t>
            </w:r>
            <w:r w:rsidRPr="00E234F4">
              <w:rPr>
                <w:spacing w:val="-3"/>
                <w:szCs w:val="22"/>
              </w:rPr>
              <w:t xml:space="preserve"> </w:t>
            </w:r>
            <w:r w:rsidRPr="00FB6400" w:rsidR="00F6788A">
              <w:rPr>
                <w:spacing w:val="-3"/>
                <w:szCs w:val="22"/>
              </w:rPr>
              <w:t>Hourly Rate</w:t>
            </w:r>
            <w:r w:rsidRPr="00E234F4" w:rsidR="00F6788A">
              <w:rPr>
                <w:spacing w:val="-3"/>
                <w:szCs w:val="22"/>
              </w:rPr>
              <w:t xml:space="preserve"> </w:t>
            </w:r>
            <w:r w:rsidRPr="00E234F4">
              <w:rPr>
                <w:spacing w:val="-3"/>
                <w:szCs w:val="22"/>
              </w:rPr>
              <w:t>@ $</w:t>
            </w:r>
            <w:r>
              <w:rPr>
                <w:spacing w:val="-3"/>
                <w:szCs w:val="22"/>
              </w:rPr>
              <w:t>91</w:t>
            </w:r>
            <w:r w:rsidRPr="00E234F4">
              <w:rPr>
                <w:spacing w:val="-3"/>
                <w:szCs w:val="22"/>
              </w:rPr>
              <w:t>.</w:t>
            </w:r>
            <w:r>
              <w:rPr>
                <w:spacing w:val="-3"/>
                <w:szCs w:val="22"/>
              </w:rPr>
              <w:t>93</w:t>
            </w:r>
            <w:r w:rsidRPr="00E234F4">
              <w:rPr>
                <w:spacing w:val="-3"/>
                <w:szCs w:val="22"/>
              </w:rPr>
              <w:t xml:space="preserve"> </w:t>
            </w:r>
            <w:r w:rsidR="00286F4D">
              <w:rPr>
                <w:spacing w:val="-3"/>
                <w:szCs w:val="22"/>
              </w:rPr>
              <w:t xml:space="preserve"> </w:t>
            </w:r>
          </w:p>
          <w:p w:rsidR="00D5352E" w:rsidP="005B6877" w14:paraId="0B51FA49" w14:textId="77777777">
            <w:pPr>
              <w:suppressAutoHyphens/>
              <w:overflowPunct w:val="0"/>
              <w:autoSpaceDE w:val="0"/>
              <w:autoSpaceDN w:val="0"/>
              <w:adjustRightInd w:val="0"/>
              <w:spacing w:line="240" w:lineRule="atLeast"/>
              <w:textAlignment w:val="baseline"/>
              <w:rPr>
                <w:spacing w:val="-3"/>
                <w:szCs w:val="22"/>
              </w:rPr>
            </w:pPr>
          </w:p>
          <w:p w:rsidR="00311633" w:rsidRPr="00E234F4" w:rsidP="00864885" w14:paraId="6F789F6D" w14:textId="5D0CDF0B">
            <w:pPr>
              <w:suppressAutoHyphens/>
              <w:overflowPunct w:val="0"/>
              <w:autoSpaceDE w:val="0"/>
              <w:autoSpaceDN w:val="0"/>
              <w:adjustRightInd w:val="0"/>
              <w:spacing w:line="240" w:lineRule="atLeast"/>
              <w:textAlignment w:val="baseline"/>
              <w:rPr>
                <w:spacing w:val="-3"/>
                <w:szCs w:val="22"/>
              </w:rPr>
            </w:pPr>
            <w:r>
              <w:rPr>
                <w:spacing w:val="-3"/>
                <w:szCs w:val="22"/>
              </w:rPr>
              <w:t xml:space="preserve">Calculation:  </w:t>
            </w:r>
            <w:r w:rsidR="00C11707">
              <w:rPr>
                <w:spacing w:val="-3"/>
                <w:szCs w:val="22"/>
              </w:rPr>
              <w:t>399</w:t>
            </w:r>
            <w:r w:rsidR="00286F4D">
              <w:rPr>
                <w:spacing w:val="-3"/>
                <w:szCs w:val="22"/>
              </w:rPr>
              <w:t xml:space="preserve">*91.93 = </w:t>
            </w:r>
            <w:r w:rsidRPr="004A0CA8" w:rsidR="004A0CA8">
              <w:rPr>
                <w:spacing w:val="-3"/>
                <w:szCs w:val="22"/>
              </w:rPr>
              <w:t>36,680.07</w:t>
            </w:r>
          </w:p>
        </w:tc>
        <w:tc>
          <w:tcPr>
            <w:tcW w:w="1357" w:type="dxa"/>
          </w:tcPr>
          <w:p w:rsidR="00667ABD" w:rsidRPr="00E77F79" w:rsidP="005A23D1" w14:paraId="018903E6" w14:textId="6F04EE0A">
            <w:pPr>
              <w:suppressAutoHyphens/>
              <w:overflowPunct w:val="0"/>
              <w:autoSpaceDE w:val="0"/>
              <w:autoSpaceDN w:val="0"/>
              <w:adjustRightInd w:val="0"/>
              <w:spacing w:line="240" w:lineRule="atLeast"/>
              <w:jc w:val="center"/>
              <w:textAlignment w:val="baseline"/>
              <w:rPr>
                <w:b/>
                <w:bCs/>
                <w:spacing w:val="-3"/>
                <w:szCs w:val="22"/>
              </w:rPr>
            </w:pPr>
            <w:r w:rsidRPr="00E77F79">
              <w:rPr>
                <w:b/>
                <w:bCs/>
                <w:spacing w:val="-3"/>
                <w:szCs w:val="22"/>
              </w:rPr>
              <w:t>$</w:t>
            </w:r>
            <w:r w:rsidR="004A0CA8">
              <w:t xml:space="preserve"> </w:t>
            </w:r>
            <w:r w:rsidRPr="004A0CA8" w:rsidR="004A0CA8">
              <w:rPr>
                <w:b/>
                <w:bCs/>
                <w:spacing w:val="-3"/>
                <w:szCs w:val="22"/>
              </w:rPr>
              <w:t>36,680.07</w:t>
            </w:r>
          </w:p>
        </w:tc>
      </w:tr>
      <w:tr w14:paraId="3D03E60F" w14:textId="77777777" w:rsidTr="00545660">
        <w:tblPrEx>
          <w:tblW w:w="0" w:type="auto"/>
          <w:tblLook w:val="01E0"/>
        </w:tblPrEx>
        <w:tc>
          <w:tcPr>
            <w:tcW w:w="2785" w:type="dxa"/>
          </w:tcPr>
          <w:p w:rsidR="00311633" w:rsidRPr="00E234F4" w:rsidP="00667ABD" w14:paraId="1F33F66A" w14:textId="3C002715">
            <w:pPr>
              <w:suppressAutoHyphens/>
              <w:overflowPunct w:val="0"/>
              <w:autoSpaceDE w:val="0"/>
              <w:autoSpaceDN w:val="0"/>
              <w:adjustRightInd w:val="0"/>
              <w:spacing w:line="240" w:lineRule="atLeast"/>
              <w:textAlignment w:val="baseline"/>
              <w:rPr>
                <w:spacing w:val="-3"/>
                <w:szCs w:val="22"/>
              </w:rPr>
            </w:pPr>
            <w:r w:rsidRPr="00E234F4">
              <w:rPr>
                <w:b/>
                <w:spacing w:val="-3"/>
                <w:szCs w:val="22"/>
              </w:rPr>
              <w:t xml:space="preserve">Section 43.82(c) Registration Form </w:t>
            </w:r>
            <w:r>
              <w:rPr>
                <w:b/>
                <w:spacing w:val="-3"/>
                <w:szCs w:val="22"/>
              </w:rPr>
              <w:t xml:space="preserve">and Annual Circuit Capacity </w:t>
            </w:r>
            <w:r>
              <w:rPr>
                <w:b/>
                <w:spacing w:val="-3"/>
                <w:szCs w:val="22"/>
              </w:rPr>
              <w:t>Reports Review</w:t>
            </w:r>
          </w:p>
        </w:tc>
        <w:tc>
          <w:tcPr>
            <w:tcW w:w="4133" w:type="dxa"/>
          </w:tcPr>
          <w:p w:rsidR="00667ABD" w:rsidRPr="00E234F4" w:rsidP="00667ABD" w14:paraId="1A6A4D38" w14:textId="1EB77ACC">
            <w:pPr>
              <w:suppressAutoHyphens/>
              <w:overflowPunct w:val="0"/>
              <w:autoSpaceDE w:val="0"/>
              <w:autoSpaceDN w:val="0"/>
              <w:adjustRightInd w:val="0"/>
              <w:spacing w:line="240" w:lineRule="atLeast"/>
              <w:textAlignment w:val="baseline"/>
              <w:rPr>
                <w:spacing w:val="-3"/>
                <w:szCs w:val="22"/>
              </w:rPr>
            </w:pPr>
            <w:r w:rsidRPr="00E234F4">
              <w:rPr>
                <w:spacing w:val="-3"/>
                <w:szCs w:val="22"/>
              </w:rPr>
              <w:t>Review and Process 100% of the filings =</w:t>
            </w:r>
            <w:r w:rsidRPr="00E234F4" w:rsidR="008C21BD">
              <w:rPr>
                <w:spacing w:val="-3"/>
                <w:szCs w:val="22"/>
              </w:rPr>
              <w:t xml:space="preserve"> </w:t>
            </w:r>
            <w:r w:rsidR="009C08FB">
              <w:rPr>
                <w:spacing w:val="-3"/>
                <w:szCs w:val="22"/>
              </w:rPr>
              <w:t>133</w:t>
            </w:r>
            <w:r w:rsidRPr="00E234F4">
              <w:rPr>
                <w:spacing w:val="-3"/>
                <w:szCs w:val="22"/>
              </w:rPr>
              <w:t xml:space="preserve"> filings (@ 1 hour/filing) = </w:t>
            </w:r>
            <w:r w:rsidR="009C08FB">
              <w:rPr>
                <w:spacing w:val="-3"/>
                <w:szCs w:val="22"/>
              </w:rPr>
              <w:t>133</w:t>
            </w:r>
            <w:r w:rsidRPr="00E234F4">
              <w:rPr>
                <w:spacing w:val="-3"/>
                <w:szCs w:val="22"/>
              </w:rPr>
              <w:t xml:space="preserve"> hours for staff</w:t>
            </w:r>
            <w:r w:rsidR="00324CFB">
              <w:rPr>
                <w:spacing w:val="-3"/>
                <w:szCs w:val="22"/>
              </w:rPr>
              <w:t xml:space="preserve"> (</w:t>
            </w:r>
            <w:r w:rsidR="009C08FB">
              <w:rPr>
                <w:spacing w:val="-3"/>
                <w:szCs w:val="22"/>
              </w:rPr>
              <w:t>133</w:t>
            </w:r>
            <w:r w:rsidR="00324CFB">
              <w:rPr>
                <w:spacing w:val="-3"/>
                <w:szCs w:val="22"/>
              </w:rPr>
              <w:t>)</w:t>
            </w:r>
          </w:p>
          <w:p w:rsidR="00F036CB" w:rsidRPr="00E234F4" w:rsidP="00767C4C" w14:paraId="7B21250C" w14:textId="77777777">
            <w:pPr>
              <w:suppressAutoHyphens/>
              <w:overflowPunct w:val="0"/>
              <w:autoSpaceDE w:val="0"/>
              <w:autoSpaceDN w:val="0"/>
              <w:adjustRightInd w:val="0"/>
              <w:spacing w:line="240" w:lineRule="atLeast"/>
              <w:jc w:val="center"/>
              <w:textAlignment w:val="baseline"/>
              <w:rPr>
                <w:spacing w:val="-3"/>
                <w:szCs w:val="22"/>
              </w:rPr>
            </w:pPr>
          </w:p>
          <w:p w:rsidR="00A52D9B" w:rsidP="00324CFB" w14:paraId="44F4DD96" w14:textId="7F5EDE23">
            <w:pPr>
              <w:suppressAutoHyphens/>
              <w:overflowPunct w:val="0"/>
              <w:autoSpaceDE w:val="0"/>
              <w:autoSpaceDN w:val="0"/>
              <w:adjustRightInd w:val="0"/>
              <w:spacing w:line="240" w:lineRule="atLeast"/>
              <w:textAlignment w:val="baseline"/>
              <w:rPr>
                <w:spacing w:val="-3"/>
                <w:szCs w:val="22"/>
              </w:rPr>
            </w:pPr>
            <w:r w:rsidRPr="00E234F4">
              <w:rPr>
                <w:spacing w:val="-3"/>
                <w:szCs w:val="22"/>
              </w:rPr>
              <w:t>GS-1</w:t>
            </w:r>
            <w:r>
              <w:rPr>
                <w:spacing w:val="-3"/>
                <w:szCs w:val="22"/>
              </w:rPr>
              <w:t>4</w:t>
            </w:r>
            <w:r w:rsidRPr="00E234F4">
              <w:rPr>
                <w:spacing w:val="-3"/>
                <w:szCs w:val="22"/>
              </w:rPr>
              <w:t>/Step 5</w:t>
            </w:r>
            <w:r>
              <w:rPr>
                <w:spacing w:val="-3"/>
                <w:szCs w:val="22"/>
              </w:rPr>
              <w:t xml:space="preserve">, </w:t>
            </w:r>
            <w:r w:rsidRPr="00FB6400">
              <w:rPr>
                <w:spacing w:val="-3"/>
                <w:szCs w:val="22"/>
              </w:rPr>
              <w:t>Telecommunications Analyst</w:t>
            </w:r>
            <w:r w:rsidRPr="00FB6400" w:rsidR="00324CFB">
              <w:rPr>
                <w:spacing w:val="-3"/>
                <w:szCs w:val="22"/>
              </w:rPr>
              <w:t xml:space="preserve"> </w:t>
            </w:r>
            <w:r w:rsidRPr="00FB6400">
              <w:rPr>
                <w:spacing w:val="-3"/>
                <w:szCs w:val="22"/>
              </w:rPr>
              <w:t>Hourly Rate: $</w:t>
            </w:r>
            <w:r w:rsidRPr="00FB6400" w:rsidR="00FB6400">
              <w:rPr>
                <w:spacing w:val="-3"/>
                <w:szCs w:val="22"/>
              </w:rPr>
              <w:t>78.15</w:t>
            </w:r>
          </w:p>
          <w:p w:rsidR="00324CFB" w:rsidP="00324CFB" w14:paraId="2D8AD758" w14:textId="77777777">
            <w:pPr>
              <w:suppressAutoHyphens/>
              <w:overflowPunct w:val="0"/>
              <w:autoSpaceDE w:val="0"/>
              <w:autoSpaceDN w:val="0"/>
              <w:adjustRightInd w:val="0"/>
              <w:spacing w:line="240" w:lineRule="atLeast"/>
              <w:textAlignment w:val="baseline"/>
              <w:rPr>
                <w:spacing w:val="-3"/>
                <w:szCs w:val="22"/>
              </w:rPr>
            </w:pPr>
          </w:p>
          <w:p w:rsidR="00311633" w:rsidRPr="00E234F4" w:rsidP="00E77F79" w14:paraId="4197370B" w14:textId="493C2DDE">
            <w:pPr>
              <w:suppressAutoHyphens/>
              <w:overflowPunct w:val="0"/>
              <w:autoSpaceDE w:val="0"/>
              <w:autoSpaceDN w:val="0"/>
              <w:adjustRightInd w:val="0"/>
              <w:spacing w:line="240" w:lineRule="atLeast"/>
              <w:textAlignment w:val="baseline"/>
              <w:rPr>
                <w:spacing w:val="-3"/>
                <w:szCs w:val="22"/>
              </w:rPr>
            </w:pPr>
            <w:r>
              <w:rPr>
                <w:spacing w:val="-3"/>
                <w:szCs w:val="22"/>
              </w:rPr>
              <w:t xml:space="preserve">Calculation:  </w:t>
            </w:r>
            <w:r w:rsidR="005900CD">
              <w:rPr>
                <w:spacing w:val="-3"/>
                <w:szCs w:val="22"/>
              </w:rPr>
              <w:t>133</w:t>
            </w:r>
            <w:r>
              <w:rPr>
                <w:spacing w:val="-3"/>
                <w:szCs w:val="22"/>
              </w:rPr>
              <w:t>*</w:t>
            </w:r>
            <w:r w:rsidR="00393799">
              <w:rPr>
                <w:spacing w:val="-3"/>
                <w:szCs w:val="22"/>
              </w:rPr>
              <w:t>78</w:t>
            </w:r>
            <w:r>
              <w:rPr>
                <w:spacing w:val="-3"/>
                <w:szCs w:val="22"/>
              </w:rPr>
              <w:t>.</w:t>
            </w:r>
            <w:r w:rsidR="00393799">
              <w:rPr>
                <w:spacing w:val="-3"/>
                <w:szCs w:val="22"/>
              </w:rPr>
              <w:t>15</w:t>
            </w:r>
            <w:r>
              <w:rPr>
                <w:spacing w:val="-3"/>
                <w:szCs w:val="22"/>
              </w:rPr>
              <w:t xml:space="preserve"> = </w:t>
            </w:r>
            <w:r w:rsidRPr="00BD7B6C" w:rsidR="00BD7B6C">
              <w:rPr>
                <w:spacing w:val="-3"/>
                <w:szCs w:val="22"/>
              </w:rPr>
              <w:t>10,393.95</w:t>
            </w:r>
          </w:p>
        </w:tc>
        <w:tc>
          <w:tcPr>
            <w:tcW w:w="1357" w:type="dxa"/>
          </w:tcPr>
          <w:p w:rsidR="00F036CB" w:rsidRPr="00E77F79" w:rsidP="00767C4C" w14:paraId="42893673" w14:textId="5B97BDCC">
            <w:pPr>
              <w:suppressAutoHyphens/>
              <w:overflowPunct w:val="0"/>
              <w:autoSpaceDE w:val="0"/>
              <w:autoSpaceDN w:val="0"/>
              <w:adjustRightInd w:val="0"/>
              <w:spacing w:line="240" w:lineRule="atLeast"/>
              <w:jc w:val="center"/>
              <w:textAlignment w:val="baseline"/>
              <w:rPr>
                <w:b/>
                <w:bCs/>
                <w:spacing w:val="-3"/>
                <w:szCs w:val="22"/>
              </w:rPr>
            </w:pPr>
            <w:r w:rsidRPr="00E77F79">
              <w:rPr>
                <w:b/>
                <w:bCs/>
                <w:spacing w:val="-3"/>
                <w:szCs w:val="22"/>
              </w:rPr>
              <w:t>$</w:t>
            </w:r>
            <w:r w:rsidR="00BD7B6C">
              <w:t xml:space="preserve"> </w:t>
            </w:r>
            <w:r w:rsidRPr="00BD7B6C" w:rsidR="00BD7B6C">
              <w:rPr>
                <w:b/>
                <w:bCs/>
                <w:spacing w:val="-3"/>
                <w:szCs w:val="22"/>
              </w:rPr>
              <w:t>10,393.95</w:t>
            </w:r>
          </w:p>
          <w:p w:rsidR="00F036CB" w:rsidRPr="00E234F4" w:rsidP="00767C4C" w14:paraId="24FAADC6" w14:textId="77777777">
            <w:pPr>
              <w:suppressAutoHyphens/>
              <w:overflowPunct w:val="0"/>
              <w:autoSpaceDE w:val="0"/>
              <w:autoSpaceDN w:val="0"/>
              <w:adjustRightInd w:val="0"/>
              <w:spacing w:line="240" w:lineRule="atLeast"/>
              <w:jc w:val="center"/>
              <w:textAlignment w:val="baseline"/>
              <w:rPr>
                <w:spacing w:val="-3"/>
                <w:szCs w:val="22"/>
              </w:rPr>
            </w:pPr>
          </w:p>
          <w:p w:rsidR="00F036CB" w:rsidRPr="00E234F4" w:rsidP="00767C4C" w14:paraId="3FE95028" w14:textId="77777777">
            <w:pPr>
              <w:suppressAutoHyphens/>
              <w:overflowPunct w:val="0"/>
              <w:autoSpaceDE w:val="0"/>
              <w:autoSpaceDN w:val="0"/>
              <w:adjustRightInd w:val="0"/>
              <w:spacing w:line="240" w:lineRule="atLeast"/>
              <w:jc w:val="center"/>
              <w:textAlignment w:val="baseline"/>
              <w:rPr>
                <w:spacing w:val="-3"/>
                <w:szCs w:val="22"/>
              </w:rPr>
            </w:pPr>
          </w:p>
          <w:p w:rsidR="00F036CB" w:rsidRPr="00E234F4" w:rsidP="00767C4C" w14:paraId="74B4F674" w14:textId="77777777">
            <w:pPr>
              <w:suppressAutoHyphens/>
              <w:overflowPunct w:val="0"/>
              <w:autoSpaceDE w:val="0"/>
              <w:autoSpaceDN w:val="0"/>
              <w:adjustRightInd w:val="0"/>
              <w:spacing w:line="240" w:lineRule="atLeast"/>
              <w:jc w:val="center"/>
              <w:textAlignment w:val="baseline"/>
              <w:rPr>
                <w:spacing w:val="-3"/>
                <w:szCs w:val="22"/>
              </w:rPr>
            </w:pPr>
          </w:p>
          <w:p w:rsidR="00311633" w:rsidRPr="00E234F4" w:rsidP="00F036CB" w14:paraId="5D5FBDDE" w14:textId="77777777">
            <w:pPr>
              <w:suppressAutoHyphens/>
              <w:overflowPunct w:val="0"/>
              <w:autoSpaceDE w:val="0"/>
              <w:autoSpaceDN w:val="0"/>
              <w:adjustRightInd w:val="0"/>
              <w:spacing w:line="240" w:lineRule="atLeast"/>
              <w:jc w:val="center"/>
              <w:textAlignment w:val="baseline"/>
              <w:rPr>
                <w:spacing w:val="-3"/>
                <w:szCs w:val="22"/>
              </w:rPr>
            </w:pPr>
          </w:p>
        </w:tc>
      </w:tr>
      <w:tr w14:paraId="574C118E" w14:textId="77777777" w:rsidTr="00545660">
        <w:tblPrEx>
          <w:tblW w:w="0" w:type="auto"/>
          <w:tblLook w:val="01E0"/>
        </w:tblPrEx>
        <w:tc>
          <w:tcPr>
            <w:tcW w:w="2785" w:type="dxa"/>
          </w:tcPr>
          <w:p w:rsidR="00C120F5" w:rsidRPr="00E234F4" w:rsidP="00767C4C" w14:paraId="599DA351" w14:textId="54E23B75">
            <w:pPr>
              <w:suppressAutoHyphens/>
              <w:overflowPunct w:val="0"/>
              <w:autoSpaceDE w:val="0"/>
              <w:autoSpaceDN w:val="0"/>
              <w:adjustRightInd w:val="0"/>
              <w:spacing w:line="240" w:lineRule="atLeast"/>
              <w:textAlignment w:val="baseline"/>
              <w:rPr>
                <w:spacing w:val="-3"/>
                <w:szCs w:val="22"/>
              </w:rPr>
            </w:pPr>
            <w:r w:rsidRPr="00E234F4">
              <w:rPr>
                <w:b/>
                <w:spacing w:val="-3"/>
                <w:szCs w:val="22"/>
              </w:rPr>
              <w:t xml:space="preserve">Total </w:t>
            </w:r>
          </w:p>
        </w:tc>
        <w:tc>
          <w:tcPr>
            <w:tcW w:w="4133" w:type="dxa"/>
          </w:tcPr>
          <w:p w:rsidR="00C120F5" w:rsidRPr="00E234F4" w:rsidP="00767C4C" w14:paraId="0F8F3A6A" w14:textId="77777777">
            <w:pPr>
              <w:suppressAutoHyphens/>
              <w:overflowPunct w:val="0"/>
              <w:autoSpaceDE w:val="0"/>
              <w:autoSpaceDN w:val="0"/>
              <w:adjustRightInd w:val="0"/>
              <w:spacing w:line="240" w:lineRule="atLeast"/>
              <w:jc w:val="center"/>
              <w:textAlignment w:val="baseline"/>
              <w:rPr>
                <w:spacing w:val="-3"/>
                <w:szCs w:val="22"/>
              </w:rPr>
            </w:pPr>
          </w:p>
        </w:tc>
        <w:tc>
          <w:tcPr>
            <w:tcW w:w="1357" w:type="dxa"/>
          </w:tcPr>
          <w:p w:rsidR="00C120F5" w:rsidRPr="00E234F4" w:rsidP="00697DFE" w14:paraId="6C24B54C" w14:textId="3BD73035">
            <w:pPr>
              <w:suppressAutoHyphens/>
              <w:overflowPunct w:val="0"/>
              <w:autoSpaceDE w:val="0"/>
              <w:autoSpaceDN w:val="0"/>
              <w:adjustRightInd w:val="0"/>
              <w:spacing w:line="240" w:lineRule="atLeast"/>
              <w:jc w:val="center"/>
              <w:textAlignment w:val="baseline"/>
              <w:rPr>
                <w:b/>
                <w:spacing w:val="-3"/>
                <w:szCs w:val="22"/>
              </w:rPr>
            </w:pPr>
            <w:r w:rsidRPr="00E234F4">
              <w:rPr>
                <w:b/>
                <w:spacing w:val="-3"/>
                <w:szCs w:val="22"/>
              </w:rPr>
              <w:t>$</w:t>
            </w:r>
            <w:r w:rsidR="00A809AC">
              <w:t xml:space="preserve"> </w:t>
            </w:r>
            <w:r w:rsidRPr="00A809AC" w:rsidR="00A809AC">
              <w:rPr>
                <w:b/>
                <w:spacing w:val="-3"/>
                <w:szCs w:val="22"/>
              </w:rPr>
              <w:t>47,074.02</w:t>
            </w:r>
          </w:p>
        </w:tc>
      </w:tr>
    </w:tbl>
    <w:p w:rsidR="00C45D08" w:rsidRPr="00E234F4" w:rsidP="007D3752" w14:paraId="1C4A52A0" w14:textId="77777777">
      <w:pPr>
        <w:rPr>
          <w:spacing w:val="-3"/>
          <w:szCs w:val="22"/>
        </w:rPr>
      </w:pPr>
    </w:p>
    <w:p w:rsidR="00BA64DB" w:rsidRPr="00E234F4" w:rsidP="00BA64DB" w14:paraId="0805D21F" w14:textId="3BE61643">
      <w:pPr>
        <w:spacing w:after="220"/>
        <w:rPr>
          <w:b/>
          <w:szCs w:val="22"/>
          <w:shd w:val="clear" w:color="auto" w:fill="FFFFFF"/>
        </w:rPr>
      </w:pPr>
      <w:r w:rsidRPr="00E234F4">
        <w:rPr>
          <w:b/>
          <w:szCs w:val="22"/>
          <w:shd w:val="clear" w:color="auto" w:fill="FFFFFF"/>
        </w:rPr>
        <w:t>15.  Explain the reasons for any program changes or adjustments to this information collection.</w:t>
      </w:r>
    </w:p>
    <w:p w:rsidR="00F50F44" w:rsidP="007D3752" w14:paraId="2BCCC356" w14:textId="49612B35">
      <w:pPr>
        <w:rPr>
          <w:rStyle w:val="normaltextrun"/>
          <w:rFonts w:asciiTheme="majorBidi" w:hAnsiTheme="majorBidi" w:cstheme="majorBidi"/>
          <w:szCs w:val="22"/>
        </w:rPr>
      </w:pPr>
      <w:r w:rsidRPr="00E234F4">
        <w:rPr>
          <w:rStyle w:val="normaltextrun"/>
          <w:rFonts w:asciiTheme="majorBidi" w:hAnsiTheme="majorBidi" w:cstheme="majorBidi"/>
          <w:szCs w:val="22"/>
        </w:rPr>
        <w:t>The Commission modified the circuit capacity reporting requirements to enhance the quality and usefulness of the data for national security and other purposes, provide greater clarity on the reporting requirements to Filing Entities, and eliminate duplicative burdens</w:t>
      </w:r>
      <w:r>
        <w:rPr>
          <w:rStyle w:val="normaltextrun"/>
          <w:rFonts w:asciiTheme="majorBidi" w:hAnsiTheme="majorBidi" w:cstheme="majorBidi"/>
          <w:szCs w:val="22"/>
        </w:rPr>
        <w:t xml:space="preserve">.  </w:t>
      </w:r>
    </w:p>
    <w:p w:rsidR="00D119F0" w:rsidP="007D3752" w14:paraId="215C3728" w14:textId="77777777">
      <w:pPr>
        <w:rPr>
          <w:rStyle w:val="normaltextrun"/>
          <w:rFonts w:asciiTheme="majorBidi" w:hAnsiTheme="majorBidi" w:cstheme="majorBidi"/>
          <w:szCs w:val="22"/>
        </w:rPr>
      </w:pPr>
    </w:p>
    <w:p w:rsidR="00D119F0" w:rsidRPr="00FD3161" w:rsidP="00D119F0" w14:paraId="1727AD1A" w14:textId="7193D387">
      <w:pPr>
        <w:suppressAutoHyphens/>
        <w:rPr>
          <w:lang w:bidi="bn-IN"/>
        </w:rPr>
      </w:pPr>
      <w:r>
        <w:rPr>
          <w:lang w:bidi="bn-IN"/>
        </w:rPr>
        <w:t>As noted above, t</w:t>
      </w:r>
      <w:r w:rsidRPr="0090562E">
        <w:rPr>
          <w:lang w:bidi="bn-IN"/>
        </w:rPr>
        <w:t xml:space="preserve">hese new requirements account for an increase </w:t>
      </w:r>
      <w:r w:rsidR="009F69B8">
        <w:rPr>
          <w:lang w:bidi="bn-IN"/>
        </w:rPr>
        <w:t xml:space="preserve">in the </w:t>
      </w:r>
      <w:r w:rsidR="00E72F7D">
        <w:rPr>
          <w:lang w:bidi="bn-IN"/>
        </w:rPr>
        <w:t xml:space="preserve">annual </w:t>
      </w:r>
      <w:r w:rsidR="009F69B8">
        <w:rPr>
          <w:lang w:bidi="bn-IN"/>
        </w:rPr>
        <w:t>number of respondents from 90 to 133 (an increase</w:t>
      </w:r>
      <w:r w:rsidR="00E2297D">
        <w:rPr>
          <w:lang w:bidi="bn-IN"/>
        </w:rPr>
        <w:t xml:space="preserve"> of</w:t>
      </w:r>
      <w:r w:rsidR="009F69B8">
        <w:rPr>
          <w:lang w:bidi="bn-IN"/>
        </w:rPr>
        <w:t xml:space="preserve"> 43 respondents)</w:t>
      </w:r>
      <w:r w:rsidR="00FB140D">
        <w:rPr>
          <w:lang w:bidi="bn-IN"/>
        </w:rPr>
        <w:t>;</w:t>
      </w:r>
      <w:r w:rsidR="009F69B8">
        <w:rPr>
          <w:lang w:bidi="bn-IN"/>
        </w:rPr>
        <w:t xml:space="preserve"> </w:t>
      </w:r>
      <w:r w:rsidR="00CE2231">
        <w:rPr>
          <w:lang w:bidi="bn-IN"/>
        </w:rPr>
        <w:t>an increase in the</w:t>
      </w:r>
      <w:r w:rsidRPr="0090562E">
        <w:rPr>
          <w:lang w:bidi="bn-IN"/>
        </w:rPr>
        <w:t xml:space="preserve"> annual number of responses from 213 to </w:t>
      </w:r>
      <w:r w:rsidRPr="0090562E">
        <w:rPr>
          <w:spacing w:val="-3"/>
          <w:szCs w:val="22"/>
        </w:rPr>
        <w:t>266</w:t>
      </w:r>
      <w:r w:rsidRPr="0090562E">
        <w:rPr>
          <w:lang w:bidi="bn-IN"/>
        </w:rPr>
        <w:t xml:space="preserve"> </w:t>
      </w:r>
      <w:r>
        <w:rPr>
          <w:lang w:bidi="bn-IN"/>
        </w:rPr>
        <w:t>(</w:t>
      </w:r>
      <w:r w:rsidRPr="0090562E">
        <w:rPr>
          <w:lang w:bidi="bn-IN"/>
        </w:rPr>
        <w:t xml:space="preserve">an increase of </w:t>
      </w:r>
      <w:r w:rsidRPr="00D119F0">
        <w:rPr>
          <w:lang w:bidi="bn-IN"/>
        </w:rPr>
        <w:t>53</w:t>
      </w:r>
      <w:r>
        <w:rPr>
          <w:lang w:bidi="bn-IN"/>
        </w:rPr>
        <w:t xml:space="preserve"> </w:t>
      </w:r>
      <w:r w:rsidRPr="0090562E">
        <w:rPr>
          <w:lang w:bidi="bn-IN"/>
        </w:rPr>
        <w:t xml:space="preserve">responses); </w:t>
      </w:r>
      <w:r w:rsidR="003C5CEA">
        <w:rPr>
          <w:lang w:bidi="bn-IN"/>
        </w:rPr>
        <w:t xml:space="preserve">an increase in </w:t>
      </w:r>
      <w:r w:rsidRPr="0090562E">
        <w:rPr>
          <w:lang w:bidi="bn-IN"/>
        </w:rPr>
        <w:t>annual burden hours from 1,368</w:t>
      </w:r>
      <w:r w:rsidRPr="0090562E">
        <w:rPr>
          <w:kern w:val="0"/>
          <w:shd w:val="clear" w:color="auto" w:fill="FFFFFF"/>
        </w:rPr>
        <w:t xml:space="preserve"> </w:t>
      </w:r>
      <w:r w:rsidRPr="0090562E">
        <w:rPr>
          <w:lang w:bidi="bn-IN"/>
        </w:rPr>
        <w:t xml:space="preserve">to 2,793 hours </w:t>
      </w:r>
      <w:r>
        <w:rPr>
          <w:lang w:bidi="bn-IN"/>
        </w:rPr>
        <w:t>(</w:t>
      </w:r>
      <w:r w:rsidRPr="0090562E">
        <w:rPr>
          <w:lang w:bidi="bn-IN"/>
        </w:rPr>
        <w:t>an increase of 1,425</w:t>
      </w:r>
      <w:r w:rsidR="00AC61E5">
        <w:rPr>
          <w:lang w:bidi="bn-IN"/>
        </w:rPr>
        <w:t xml:space="preserve"> </w:t>
      </w:r>
      <w:r w:rsidRPr="0090562E">
        <w:rPr>
          <w:lang w:bidi="bn-IN"/>
        </w:rPr>
        <w:t xml:space="preserve">hours); and an increase in annual costs from $10,200 to </w:t>
      </w:r>
      <w:r w:rsidRPr="0090562E">
        <w:t>$12,000</w:t>
      </w:r>
      <w:r w:rsidRPr="00D119F0">
        <w:rPr>
          <w:lang w:bidi="bn-IN"/>
        </w:rPr>
        <w:t xml:space="preserve"> </w:t>
      </w:r>
      <w:r>
        <w:rPr>
          <w:lang w:bidi="bn-IN"/>
        </w:rPr>
        <w:t>(</w:t>
      </w:r>
      <w:r w:rsidRPr="00D119F0">
        <w:rPr>
          <w:lang w:bidi="bn-IN"/>
        </w:rPr>
        <w:t>an increase of $</w:t>
      </w:r>
      <w:r w:rsidRPr="0090562E">
        <w:rPr>
          <w:lang w:bidi="bn-IN"/>
        </w:rPr>
        <w:t>1,800</w:t>
      </w:r>
      <w:r>
        <w:rPr>
          <w:lang w:bidi="bn-IN"/>
        </w:rPr>
        <w:t>)</w:t>
      </w:r>
      <w:r w:rsidRPr="0090562E">
        <w:rPr>
          <w:lang w:bidi="bn-IN"/>
        </w:rPr>
        <w:t>.</w:t>
      </w:r>
      <w:r>
        <w:rPr>
          <w:rStyle w:val="FootnoteReference"/>
          <w:lang w:bidi="bn-IN"/>
        </w:rPr>
        <w:footnoteReference w:id="29"/>
      </w:r>
      <w:r w:rsidRPr="00FD3161">
        <w:t xml:space="preserve">   </w:t>
      </w:r>
      <w:r w:rsidRPr="00FD3161">
        <w:rPr>
          <w:lang w:bidi="bn-IN"/>
        </w:rPr>
        <w:t xml:space="preserve"> </w:t>
      </w:r>
      <w:r>
        <w:rPr>
          <w:lang w:bidi="bn-IN"/>
        </w:rPr>
        <w:t xml:space="preserve"> </w:t>
      </w:r>
    </w:p>
    <w:p w:rsidR="00174CA8" w:rsidRPr="00E234F4" w:rsidP="007D3752" w14:paraId="4F995D85" w14:textId="77777777">
      <w:pPr>
        <w:rPr>
          <w:spacing w:val="-3"/>
          <w:szCs w:val="22"/>
        </w:rPr>
      </w:pPr>
    </w:p>
    <w:p w:rsidR="007D075B" w:rsidRPr="00E234F4" w:rsidP="007D075B" w14:paraId="5C389517"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16.  For collections of information whose results will be published, outline plans for tabulation and publication.</w:t>
      </w:r>
    </w:p>
    <w:p w:rsidR="00021ACD" w:rsidRPr="00E234F4" w:rsidP="00021ACD" w14:paraId="71333EAC" w14:textId="4C6D79B4">
      <w:pPr>
        <w:suppressAutoHyphens/>
        <w:spacing w:line="240" w:lineRule="atLeast"/>
        <w:rPr>
          <w:spacing w:val="-3"/>
          <w:szCs w:val="22"/>
        </w:rPr>
      </w:pPr>
      <w:r w:rsidRPr="00E234F4">
        <w:rPr>
          <w:spacing w:val="-3"/>
          <w:szCs w:val="22"/>
        </w:rPr>
        <w:t>The Commission</w:t>
      </w:r>
      <w:r w:rsidRPr="00E234F4" w:rsidR="0053640A">
        <w:rPr>
          <w:spacing w:val="-3"/>
          <w:szCs w:val="22"/>
        </w:rPr>
        <w:t xml:space="preserve"> will</w:t>
      </w:r>
      <w:r w:rsidRPr="00E234F4">
        <w:rPr>
          <w:spacing w:val="-3"/>
          <w:szCs w:val="22"/>
        </w:rPr>
        <w:t xml:space="preserve"> </w:t>
      </w:r>
      <w:r w:rsidRPr="00E234F4" w:rsidR="0053640A">
        <w:rPr>
          <w:szCs w:val="22"/>
        </w:rPr>
        <w:t>maintain the circuit capacity reports and publicly release aggregated data</w:t>
      </w:r>
      <w:r w:rsidRPr="00E234F4" w:rsidR="0053640A">
        <w:rPr>
          <w:spacing w:val="-3"/>
          <w:szCs w:val="22"/>
        </w:rPr>
        <w:t>.</w:t>
      </w:r>
    </w:p>
    <w:p w:rsidR="00021ACD" w:rsidRPr="00E234F4" w:rsidP="00021ACD" w14:paraId="55F8498A" w14:textId="77777777">
      <w:pPr>
        <w:suppressAutoHyphens/>
        <w:spacing w:line="240" w:lineRule="atLeast"/>
        <w:rPr>
          <w:spacing w:val="-3"/>
          <w:szCs w:val="22"/>
        </w:rPr>
      </w:pPr>
    </w:p>
    <w:p w:rsidR="00BA4CA4" w:rsidRPr="00E234F4" w:rsidP="00BA4CA4" w14:paraId="65C94850"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17.  If seeking approval to not display the expiration date for OMB approval of the information collection, explain the reasons that display would be inappropriate.</w:t>
      </w:r>
    </w:p>
    <w:p w:rsidR="00021ACD" w:rsidRPr="00E234F4" w:rsidP="00021ACD" w14:paraId="312A131E" w14:textId="6FA57AC5">
      <w:pPr>
        <w:suppressAutoHyphens/>
        <w:spacing w:line="240" w:lineRule="atLeast"/>
        <w:rPr>
          <w:spacing w:val="-3"/>
          <w:szCs w:val="22"/>
        </w:rPr>
      </w:pPr>
      <w:r w:rsidRPr="00E234F4">
        <w:rPr>
          <w:spacing w:val="-3"/>
          <w:szCs w:val="22"/>
        </w:rPr>
        <w:t xml:space="preserve">The Commission is requesting a waiver to not display the OMB control number and expiration date on the </w:t>
      </w:r>
      <w:r w:rsidRPr="00E234F4" w:rsidR="006F6656">
        <w:rPr>
          <w:spacing w:val="-3"/>
          <w:szCs w:val="22"/>
        </w:rPr>
        <w:t>F</w:t>
      </w:r>
      <w:r w:rsidRPr="00E234F4">
        <w:rPr>
          <w:spacing w:val="-3"/>
          <w:szCs w:val="22"/>
        </w:rPr>
        <w:t xml:space="preserve">iling </w:t>
      </w:r>
      <w:r w:rsidRPr="00E234F4" w:rsidR="006F6656">
        <w:rPr>
          <w:spacing w:val="-3"/>
          <w:szCs w:val="22"/>
        </w:rPr>
        <w:t>M</w:t>
      </w:r>
      <w:r w:rsidRPr="00E234F4">
        <w:rPr>
          <w:spacing w:val="-3"/>
          <w:szCs w:val="22"/>
        </w:rPr>
        <w:t xml:space="preserve">anual that filing entities will use in submitting their circuit </w:t>
      </w:r>
      <w:r w:rsidRPr="00E234F4" w:rsidR="00BF52B9">
        <w:rPr>
          <w:spacing w:val="-3"/>
          <w:szCs w:val="22"/>
        </w:rPr>
        <w:t>capacity data</w:t>
      </w:r>
      <w:r w:rsidRPr="00E234F4">
        <w:rPr>
          <w:spacing w:val="-3"/>
          <w:szCs w:val="22"/>
        </w:rPr>
        <w:t>.  This will relieve the Commission from having to update the OMB expiration date on the section 43.</w:t>
      </w:r>
      <w:r w:rsidRPr="00E234F4" w:rsidR="00FE29FF">
        <w:rPr>
          <w:spacing w:val="-3"/>
          <w:szCs w:val="22"/>
        </w:rPr>
        <w:t xml:space="preserve">82 </w:t>
      </w:r>
      <w:r w:rsidRPr="00E234F4" w:rsidR="00795A62">
        <w:rPr>
          <w:spacing w:val="-3"/>
          <w:szCs w:val="22"/>
        </w:rPr>
        <w:t>F</w:t>
      </w:r>
      <w:r w:rsidRPr="00E234F4">
        <w:rPr>
          <w:spacing w:val="-3"/>
          <w:szCs w:val="22"/>
        </w:rPr>
        <w:t xml:space="preserve">iling </w:t>
      </w:r>
      <w:r w:rsidRPr="00E234F4" w:rsidR="00795A62">
        <w:rPr>
          <w:spacing w:val="-3"/>
          <w:szCs w:val="22"/>
        </w:rPr>
        <w:t>M</w:t>
      </w:r>
      <w:r w:rsidRPr="00E234F4">
        <w:rPr>
          <w:spacing w:val="-3"/>
          <w:szCs w:val="22"/>
        </w:rPr>
        <w:t>anual whenev</w:t>
      </w:r>
      <w:r w:rsidRPr="00E234F4" w:rsidR="00F0773E">
        <w:rPr>
          <w:spacing w:val="-3"/>
          <w:szCs w:val="22"/>
        </w:rPr>
        <w:t xml:space="preserve">er it is resubmitted to OMB.  </w:t>
      </w:r>
      <w:r w:rsidRPr="00E234F4">
        <w:rPr>
          <w:spacing w:val="-3"/>
          <w:szCs w:val="22"/>
        </w:rPr>
        <w:t xml:space="preserve">The Commission will use an edition date in lieu of the OMB expiration date.  Finally, all OMB-approved information collections (including this one) will be published </w:t>
      </w:r>
      <w:r w:rsidRPr="00E234F4" w:rsidR="0099591F">
        <w:rPr>
          <w:spacing w:val="-3"/>
          <w:szCs w:val="22"/>
        </w:rPr>
        <w:t>on OMB’s website.</w:t>
      </w:r>
    </w:p>
    <w:p w:rsidR="00021ACD" w:rsidRPr="00E234F4" w:rsidP="00021ACD" w14:paraId="362C3386" w14:textId="77777777">
      <w:pPr>
        <w:suppressAutoHyphens/>
        <w:spacing w:line="240" w:lineRule="atLeast"/>
        <w:rPr>
          <w:spacing w:val="-3"/>
          <w:szCs w:val="22"/>
        </w:rPr>
      </w:pPr>
    </w:p>
    <w:p w:rsidR="00B5360B" w:rsidRPr="00E234F4" w:rsidP="00B5360B" w14:paraId="715F0978" w14:textId="77777777">
      <w:pPr>
        <w:widowControl/>
        <w:suppressAutoHyphens/>
        <w:spacing w:after="220"/>
        <w:rPr>
          <w:b/>
          <w:snapToGrid/>
          <w:kern w:val="1"/>
          <w:szCs w:val="22"/>
          <w:shd w:val="clear" w:color="auto" w:fill="FFFFFF"/>
          <w:lang w:eastAsia="ar-SA"/>
        </w:rPr>
      </w:pPr>
      <w:r w:rsidRPr="00E234F4">
        <w:rPr>
          <w:b/>
          <w:snapToGrid/>
          <w:kern w:val="1"/>
          <w:szCs w:val="22"/>
          <w:shd w:val="clear" w:color="auto" w:fill="FFFFFF"/>
          <w:lang w:eastAsia="ar-SA"/>
        </w:rPr>
        <w:t>18.  Explain any exceptions to the Certification Statement.</w:t>
      </w:r>
    </w:p>
    <w:p w:rsidR="00555DCB" w:rsidRPr="00E234F4" w:rsidP="00021ACD" w14:paraId="58C17C69" w14:textId="3A63C9D5">
      <w:pPr>
        <w:suppressAutoHyphens/>
        <w:spacing w:line="240" w:lineRule="atLeast"/>
        <w:rPr>
          <w:spacing w:val="-3"/>
          <w:szCs w:val="22"/>
        </w:rPr>
      </w:pPr>
      <w:r w:rsidRPr="00E234F4">
        <w:rPr>
          <w:spacing w:val="-3"/>
          <w:szCs w:val="22"/>
        </w:rPr>
        <w:t>There are no exceptions to the certification statement.</w:t>
      </w:r>
    </w:p>
    <w:p w:rsidR="00555DCB" w:rsidRPr="00E234F4" w:rsidP="00021ACD" w14:paraId="11CEB518" w14:textId="77777777">
      <w:pPr>
        <w:suppressAutoHyphens/>
        <w:spacing w:line="240" w:lineRule="atLeast"/>
        <w:rPr>
          <w:spacing w:val="-3"/>
          <w:szCs w:val="22"/>
        </w:rPr>
      </w:pPr>
    </w:p>
    <w:p w:rsidR="00555DCB" w:rsidRPr="00ED3F4D" w:rsidP="00021ACD" w14:paraId="4206113E" w14:textId="12D2E6FA">
      <w:pPr>
        <w:suppressAutoHyphens/>
        <w:spacing w:line="240" w:lineRule="atLeast"/>
        <w:rPr>
          <w:rFonts w:ascii="Times New Roman Bold" w:hAnsi="Times New Roman Bold"/>
          <w:b/>
          <w:bCs/>
          <w:caps/>
          <w:spacing w:val="-3"/>
          <w:szCs w:val="22"/>
        </w:rPr>
      </w:pPr>
      <w:r w:rsidRPr="00E234F4">
        <w:rPr>
          <w:b/>
          <w:bCs/>
          <w:spacing w:val="-3"/>
          <w:szCs w:val="22"/>
        </w:rPr>
        <w:t xml:space="preserve">B.  </w:t>
      </w:r>
      <w:r w:rsidRPr="00ED3F4D">
        <w:rPr>
          <w:rFonts w:ascii="Times New Roman Bold" w:hAnsi="Times New Roman Bold"/>
          <w:b/>
          <w:bCs/>
          <w:caps/>
          <w:spacing w:val="-3"/>
          <w:szCs w:val="22"/>
        </w:rPr>
        <w:t>Collections of Information Employing Statistical Methods</w:t>
      </w:r>
    </w:p>
    <w:p w:rsidR="00772526" w:rsidRPr="00E234F4" w:rsidP="00021ACD" w14:paraId="7DD041D9" w14:textId="77777777">
      <w:pPr>
        <w:suppressAutoHyphens/>
        <w:spacing w:line="240" w:lineRule="atLeast"/>
        <w:rPr>
          <w:spacing w:val="-3"/>
          <w:szCs w:val="22"/>
        </w:rPr>
      </w:pPr>
    </w:p>
    <w:p w:rsidR="00555DCB" w:rsidRPr="00E234F4" w:rsidP="002B4153" w14:paraId="3CC3A678" w14:textId="75CB5CDF">
      <w:pPr>
        <w:suppressAutoHyphens/>
        <w:spacing w:line="240" w:lineRule="atLeast"/>
        <w:rPr>
          <w:spacing w:val="-3"/>
          <w:szCs w:val="22"/>
        </w:rPr>
      </w:pPr>
      <w:r w:rsidRPr="00E234F4">
        <w:rPr>
          <w:spacing w:val="-3"/>
          <w:szCs w:val="22"/>
        </w:rPr>
        <w:t>There are no statistical methods employed with this collection of information.</w:t>
      </w:r>
    </w:p>
    <w:sectPr w:rsidSect="00875540">
      <w:headerReference w:type="default" r:id="rId6"/>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94F" w:rsidP="006118AB" w14:paraId="7A38B1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294F" w14:paraId="6BEF93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5097413"/>
      <w:docPartObj>
        <w:docPartGallery w:val="Page Numbers (Bottom of Page)"/>
        <w:docPartUnique/>
      </w:docPartObj>
    </w:sdtPr>
    <w:sdtEndPr>
      <w:rPr>
        <w:noProof/>
      </w:rPr>
    </w:sdtEndPr>
    <w:sdtContent>
      <w:p w:rsidR="00A834FB" w14:paraId="5063D426" w14:textId="393CD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8294F" w14:paraId="0DE21F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2E9F" w14:paraId="4410A98F" w14:textId="77777777">
      <w:r>
        <w:separator/>
      </w:r>
    </w:p>
  </w:footnote>
  <w:footnote w:type="continuationSeparator" w:id="1">
    <w:p w:rsidR="00202E9F" w14:paraId="605EE5EF" w14:textId="77777777">
      <w:r>
        <w:continuationSeparator/>
      </w:r>
    </w:p>
  </w:footnote>
  <w:footnote w:id="2">
    <w:p w:rsidR="00E77F79" w14:paraId="224B83C6" w14:textId="1668B2E5">
      <w:pPr>
        <w:pStyle w:val="FootnoteText"/>
      </w:pPr>
      <w:r>
        <w:rPr>
          <w:rStyle w:val="FootnoteReference"/>
        </w:rPr>
        <w:footnoteRef/>
      </w:r>
      <w:r>
        <w:t xml:space="preserve"> </w:t>
      </w:r>
      <w:r w:rsidR="00A618D4">
        <w:t xml:space="preserve">Cable Landing License Act of May 27, 1921, Pub. L. No. 8, 67th Cong., </w:t>
      </w:r>
      <w:r w:rsidR="00A618D4">
        <w:t>ch.</w:t>
      </w:r>
      <w:r w:rsidR="00A618D4">
        <w:t xml:space="preserve"> 12, § 1, 42 Stat. 8 (1921) (codified as amended at 47 U.S.C. §§ 34-39) (Cable Landing License Act)</w:t>
      </w:r>
      <w:r w:rsidR="00A207AB">
        <w:t>;</w:t>
      </w:r>
      <w:r w:rsidR="00A618D4">
        <w:t xml:space="preserve"> </w:t>
      </w:r>
      <w:r w:rsidR="00A207AB">
        <w:t xml:space="preserve">Exec. Order No. 10,530, 19 Fed. Reg. 2709, § 5(a) (May 12, 1954), </w:t>
      </w:r>
      <w:r w:rsidRPr="00545660" w:rsidR="00A207AB">
        <w:rPr>
          <w:i/>
          <w:iCs/>
        </w:rPr>
        <w:t>reprinted as amended in</w:t>
      </w:r>
      <w:r w:rsidR="00A207AB">
        <w:t xml:space="preserve"> 3 U.S.C. § 301 (Executive Order 10530); </w:t>
      </w:r>
      <w:r>
        <w:t xml:space="preserve">47 CFR </w:t>
      </w:r>
      <w:r w:rsidR="00CF706D">
        <w:t xml:space="preserve">§ </w:t>
      </w:r>
      <w:r>
        <w:t>43.82</w:t>
      </w:r>
      <w:r w:rsidR="00A207AB">
        <w:t>.</w:t>
      </w:r>
      <w:r>
        <w:t xml:space="preserve"> </w:t>
      </w:r>
    </w:p>
  </w:footnote>
  <w:footnote w:id="3">
    <w:p w:rsidR="0007693E" w14:paraId="2210567B" w14:textId="7FAC1722">
      <w:pPr>
        <w:pStyle w:val="FootnoteText"/>
      </w:pPr>
      <w:r>
        <w:rPr>
          <w:rStyle w:val="FootnoteReference"/>
        </w:rPr>
        <w:footnoteRef/>
      </w:r>
      <w:r>
        <w:t xml:space="preserve"> </w:t>
      </w:r>
      <w:r w:rsidRPr="00FD4713" w:rsidR="00FD4713">
        <w:rPr>
          <w:i/>
          <w:iCs/>
          <w:snapToGrid w:val="0"/>
          <w:kern w:val="28"/>
        </w:rPr>
        <w:t>See generally</w:t>
      </w:r>
      <w:r w:rsidRPr="00FD4713" w:rsidR="00FD4713">
        <w:rPr>
          <w:i/>
          <w:snapToGrid w:val="0"/>
          <w:kern w:val="28"/>
        </w:rPr>
        <w:t xml:space="preserve"> </w:t>
      </w:r>
      <w:r w:rsidRPr="00FD4713" w:rsidR="00FD4713">
        <w:rPr>
          <w:i/>
          <w:iCs/>
          <w:snapToGrid w:val="0"/>
          <w:kern w:val="28"/>
        </w:rPr>
        <w:t>Review of Submarine Cable Landing License Rules and Procedures to Assess Evolving National Security, Law Enforcement, Foreign Policy, and Trade Policy Risks</w:t>
      </w:r>
      <w:r w:rsidRPr="00FD4713" w:rsidR="00FD4713">
        <w:rPr>
          <w:snapToGrid w:val="0"/>
          <w:kern w:val="28"/>
        </w:rPr>
        <w:t>;</w:t>
      </w:r>
      <w:r w:rsidRPr="00FD4713" w:rsidR="00FD4713">
        <w:rPr>
          <w:i/>
          <w:iCs/>
          <w:snapToGrid w:val="0"/>
          <w:kern w:val="28"/>
        </w:rPr>
        <w:t xml:space="preserve"> Amendment of the Schedule of Application Fees Set Forth in Sections 1.1102 through 1.1109 of the Commission’s Rules</w:t>
      </w:r>
      <w:r w:rsidRPr="00FD4713" w:rsidR="00FD4713">
        <w:rPr>
          <w:snapToGrid w:val="0"/>
          <w:kern w:val="28"/>
        </w:rPr>
        <w:t xml:space="preserve">, OI Docket No. 24-523 and MD Docket No. 24-524, </w:t>
      </w:r>
      <w:r w:rsidR="002E0166">
        <w:rPr>
          <w:snapToGrid w:val="0"/>
          <w:kern w:val="28"/>
        </w:rPr>
        <w:t xml:space="preserve">FCC 25-49, </w:t>
      </w:r>
      <w:r w:rsidRPr="00FD4713" w:rsidR="00FD4713">
        <w:rPr>
          <w:snapToGrid w:val="0"/>
          <w:kern w:val="28"/>
        </w:rPr>
        <w:t xml:space="preserve">Report and Order and Further Notice of Proposed Rulemaking, 40 FCC </w:t>
      </w:r>
      <w:r w:rsidRPr="00FD4713" w:rsidR="00FD4713">
        <w:rPr>
          <w:snapToGrid w:val="0"/>
          <w:kern w:val="28"/>
        </w:rPr>
        <w:t>Rcd</w:t>
      </w:r>
      <w:r w:rsidRPr="00FD4713" w:rsidR="00FD4713">
        <w:rPr>
          <w:snapToGrid w:val="0"/>
          <w:kern w:val="28"/>
        </w:rPr>
        <w:t xml:space="preserve"> 6481</w:t>
      </w:r>
      <w:r w:rsidRPr="00FD4713" w:rsidR="00FD4713">
        <w:rPr>
          <w:snapToGrid w:val="0"/>
          <w:kern w:val="28"/>
        </w:rPr>
        <w:t xml:space="preserve"> </w:t>
      </w:r>
      <w:r w:rsidRPr="00FD4713" w:rsidR="00FD4713">
        <w:rPr>
          <w:snapToGrid w:val="0"/>
          <w:kern w:val="28"/>
        </w:rPr>
        <w:t>(2025) (</w:t>
      </w:r>
      <w:r w:rsidRPr="00FD4713" w:rsidR="00FD4713">
        <w:rPr>
          <w:i/>
          <w:iCs/>
          <w:snapToGrid w:val="0"/>
          <w:kern w:val="28"/>
        </w:rPr>
        <w:t>Submarine Cable Report and Order</w:t>
      </w:r>
      <w:r w:rsidRPr="00FD4713" w:rsidR="00FD4713">
        <w:rPr>
          <w:snapToGrid w:val="0"/>
          <w:kern w:val="28"/>
        </w:rPr>
        <w:t xml:space="preserve">); </w:t>
      </w:r>
      <w:r w:rsidRPr="00FD4713" w:rsidR="00FD4713">
        <w:rPr>
          <w:i/>
          <w:iCs/>
          <w:snapToGrid w:val="0"/>
          <w:spacing w:val="-2"/>
          <w:kern w:val="28"/>
        </w:rPr>
        <w:t xml:space="preserve">corrected by </w:t>
      </w:r>
      <w:r w:rsidRPr="00FD4713" w:rsidR="00FD4713">
        <w:rPr>
          <w:snapToGrid w:val="0"/>
          <w:spacing w:val="-2"/>
          <w:kern w:val="28"/>
        </w:rPr>
        <w:t xml:space="preserve">Erratum, </w:t>
      </w:r>
      <w:hyperlink r:id="rId1" w:history="1">
        <w:r w:rsidRPr="00FD4713" w:rsidR="00FD4713">
          <w:rPr>
            <w:snapToGrid w:val="0"/>
            <w:color w:val="0000FF"/>
            <w:spacing w:val="-2"/>
            <w:kern w:val="28"/>
            <w:u w:val="single"/>
          </w:rPr>
          <w:t>https://docs.fcc.gov/public/attachments/DOC-414544A1.pdf</w:t>
        </w:r>
      </w:hyperlink>
      <w:r w:rsidRPr="00FD4713" w:rsidR="00FD4713">
        <w:rPr>
          <w:snapToGrid w:val="0"/>
          <w:spacing w:val="-2"/>
          <w:kern w:val="28"/>
        </w:rPr>
        <w:t xml:space="preserve"> (OIA and OMD, rel. Sep. 16, 2025); </w:t>
      </w:r>
      <w:r w:rsidRPr="00FD4713" w:rsidR="00FD4713">
        <w:rPr>
          <w:i/>
          <w:iCs/>
          <w:snapToGrid w:val="0"/>
          <w:spacing w:val="-2"/>
          <w:kern w:val="28"/>
        </w:rPr>
        <w:t xml:space="preserve">corrected by </w:t>
      </w:r>
      <w:r w:rsidRPr="00FD4713" w:rsidR="00FD4713">
        <w:rPr>
          <w:snapToGrid w:val="0"/>
          <w:spacing w:val="-2"/>
          <w:kern w:val="28"/>
        </w:rPr>
        <w:t xml:space="preserve">Second Erratum, </w:t>
      </w:r>
      <w:hyperlink r:id="rId2" w:history="1">
        <w:r w:rsidRPr="00FD4713" w:rsidR="00FD4713">
          <w:rPr>
            <w:snapToGrid w:val="0"/>
            <w:color w:val="0000FF"/>
            <w:spacing w:val="-2"/>
            <w:kern w:val="28"/>
            <w:u w:val="single"/>
          </w:rPr>
          <w:t>https://docs.fcc.gov/public/attachments/DOC-415107A1.pdf</w:t>
        </w:r>
      </w:hyperlink>
      <w:r w:rsidRPr="00FD4713" w:rsidR="00FD4713">
        <w:rPr>
          <w:snapToGrid w:val="0"/>
          <w:spacing w:val="-2"/>
          <w:kern w:val="28"/>
        </w:rPr>
        <w:t xml:space="preserve"> (OIA and OMD, rel. Oct. 24, 2025)</w:t>
      </w:r>
      <w:r w:rsidRPr="00FD4713" w:rsidR="00FD4713">
        <w:rPr>
          <w:snapToGrid w:val="0"/>
          <w:kern w:val="28"/>
        </w:rPr>
        <w:t>.</w:t>
      </w:r>
      <w:r w:rsidR="00322BDA">
        <w:rPr>
          <w:snapToGrid w:val="0"/>
          <w:kern w:val="28"/>
        </w:rPr>
        <w:t xml:space="preserve">  </w:t>
      </w:r>
    </w:p>
  </w:footnote>
  <w:footnote w:id="4">
    <w:p w:rsidR="006E2A0C" w:rsidP="006E2A0C" w14:paraId="4B3B4A9F" w14:textId="3E4EFD48">
      <w:pPr>
        <w:pStyle w:val="FootnoteText"/>
      </w:pPr>
      <w:r>
        <w:rPr>
          <w:rStyle w:val="FootnoteReference"/>
        </w:rPr>
        <w:footnoteRef/>
      </w:r>
      <w:r>
        <w:t xml:space="preserve"> </w:t>
      </w:r>
      <w:r w:rsidR="00817638">
        <w:t xml:space="preserve">On </w:t>
      </w:r>
      <w:r w:rsidR="000D0966">
        <w:t xml:space="preserve">August 28, 2025, the </w:t>
      </w:r>
      <w:r w:rsidRPr="000D413A" w:rsidR="00884202">
        <w:t>Commission request</w:t>
      </w:r>
      <w:r w:rsidR="00884202">
        <w:t>ed</w:t>
      </w:r>
      <w:r w:rsidRPr="000D413A" w:rsidR="00884202">
        <w:t xml:space="preserve"> approval from OMB for</w:t>
      </w:r>
      <w:r w:rsidR="00884202">
        <w:t xml:space="preserve"> </w:t>
      </w:r>
      <w:r w:rsidR="004D5F76">
        <w:t xml:space="preserve">this </w:t>
      </w:r>
      <w:r w:rsidRPr="008E48A8" w:rsidR="00884202">
        <w:rPr>
          <w:i/>
        </w:rPr>
        <w:t>de minimis</w:t>
      </w:r>
      <w:r w:rsidRPr="00F951D1" w:rsidR="00884202">
        <w:t>, non-substantive change to the information collection</w:t>
      </w:r>
      <w:r w:rsidR="004D5F76">
        <w:t xml:space="preserve">.  </w:t>
      </w:r>
      <w:r w:rsidR="00BF7C86">
        <w:t xml:space="preserve">FCC, Non-Substantive Change Request Justification, OMB Control No. </w:t>
      </w:r>
      <w:r w:rsidRPr="005963F7" w:rsidR="005963F7">
        <w:t xml:space="preserve">3060-1156 </w:t>
      </w:r>
      <w:r w:rsidR="00BF7C86">
        <w:t xml:space="preserve">(Aug. 28, 2025), </w:t>
      </w:r>
      <w:hyperlink r:id="rId3" w:history="1">
        <w:r w:rsidRPr="009A2D2B" w:rsidR="003F1A2B">
          <w:rPr>
            <w:rStyle w:val="Hyperlink"/>
          </w:rPr>
          <w:t>https://www.reginfo.gov/public/do/PRAViewDocument?ref_nbr=202508-3060-008</w:t>
        </w:r>
      </w:hyperlink>
      <w:r w:rsidR="003F1A2B">
        <w:t xml:space="preserve">. </w:t>
      </w:r>
      <w:r w:rsidR="00884202">
        <w:rPr>
          <w:lang w:bidi="bn-IN"/>
        </w:rPr>
        <w:t xml:space="preserve"> </w:t>
      </w:r>
      <w:r w:rsidR="009238C0">
        <w:rPr>
          <w:iCs/>
          <w:lang w:bidi="bn-IN"/>
        </w:rPr>
        <w:t xml:space="preserve">On </w:t>
      </w:r>
      <w:r w:rsidR="00D25D9E">
        <w:t>August 28</w:t>
      </w:r>
      <w:r w:rsidR="009238C0">
        <w:rPr>
          <w:iCs/>
          <w:lang w:bidi="bn-IN"/>
        </w:rPr>
        <w:t xml:space="preserve">, </w:t>
      </w:r>
      <w:r w:rsidRPr="008A483E" w:rsidR="009238C0">
        <w:rPr>
          <w:iCs/>
          <w:lang w:bidi="bn-IN"/>
        </w:rPr>
        <w:t>2025</w:t>
      </w:r>
      <w:r w:rsidR="009238C0">
        <w:rPr>
          <w:iCs/>
          <w:lang w:bidi="bn-IN"/>
        </w:rPr>
        <w:t xml:space="preserve">, </w:t>
      </w:r>
      <w:r w:rsidRPr="00C618E3" w:rsidR="009238C0">
        <w:rPr>
          <w:lang w:bidi="bn-IN"/>
        </w:rPr>
        <w:t xml:space="preserve">OMB approved </w:t>
      </w:r>
      <w:r w:rsidR="009238C0">
        <w:rPr>
          <w:lang w:bidi="bn-IN"/>
        </w:rPr>
        <w:t>the</w:t>
      </w:r>
      <w:r>
        <w:rPr>
          <w:lang w:bidi="bn-IN"/>
        </w:rPr>
        <w:t xml:space="preserve"> </w:t>
      </w:r>
      <w:r>
        <w:t>non-substantive change approv</w:t>
      </w:r>
      <w:r w:rsidR="000C0BCC">
        <w:t>al</w:t>
      </w:r>
      <w:r>
        <w:t xml:space="preserve"> </w:t>
      </w:r>
      <w:r w:rsidR="000C0BCC">
        <w:t>request</w:t>
      </w:r>
      <w:r>
        <w:t xml:space="preserve">.  </w:t>
      </w:r>
      <w:r w:rsidR="00AD4FF0">
        <w:t xml:space="preserve">Office of Management and Budget, Notice of Office of Management and Budget Action, OMB Control No. </w:t>
      </w:r>
      <w:r w:rsidRPr="005963F7" w:rsidR="00AD4FF0">
        <w:t xml:space="preserve">3060-1156 </w:t>
      </w:r>
      <w:r w:rsidR="00AD4FF0">
        <w:t>(Aug. 28, 2025),</w:t>
      </w:r>
      <w:r w:rsidR="003956A6">
        <w:t xml:space="preserve"> </w:t>
      </w:r>
      <w:hyperlink r:id="rId4" w:history="1">
        <w:r w:rsidRPr="009A2D2B" w:rsidR="00840C44">
          <w:rPr>
            <w:rStyle w:val="Hyperlink"/>
          </w:rPr>
          <w:t>https://www.reginfo.gov/public/do/PRAViewICR?ref_nbr=202508-3060-008#</w:t>
        </w:r>
      </w:hyperlink>
      <w:r w:rsidR="00AD4FF0">
        <w:t>.</w:t>
      </w:r>
    </w:p>
  </w:footnote>
  <w:footnote w:id="5">
    <w:p w:rsidR="00436587" w14:paraId="5AA1B8FC" w14:textId="07C0179F">
      <w:pPr>
        <w:pStyle w:val="FootnoteText"/>
      </w:pPr>
      <w:r>
        <w:rPr>
          <w:rStyle w:val="FootnoteReference"/>
        </w:rPr>
        <w:footnoteRef/>
      </w:r>
      <w:r>
        <w:t xml:space="preserve"> </w:t>
      </w:r>
      <w:r w:rsidRPr="00FD4713" w:rsidR="00A62D52">
        <w:rPr>
          <w:i/>
          <w:iCs/>
          <w:snapToGrid w:val="0"/>
          <w:kern w:val="28"/>
        </w:rPr>
        <w:t xml:space="preserve">Submarine Cable Report and </w:t>
      </w:r>
      <w:r w:rsidRPr="00D9692F" w:rsidR="00A62D52">
        <w:rPr>
          <w:i/>
          <w:iCs/>
          <w:snapToGrid w:val="0"/>
          <w:kern w:val="28"/>
        </w:rPr>
        <w:t>Order</w:t>
      </w:r>
      <w:r w:rsidRPr="00D9692F">
        <w:t xml:space="preserve">, </w:t>
      </w:r>
      <w:r w:rsidRPr="00704864" w:rsidR="00D9692F">
        <w:t>40</w:t>
      </w:r>
      <w:r w:rsidRPr="00704864">
        <w:t xml:space="preserve"> FCC </w:t>
      </w:r>
      <w:r w:rsidRPr="00704864">
        <w:t>Rcd</w:t>
      </w:r>
      <w:r w:rsidRPr="00704864">
        <w:t xml:space="preserve"> </w:t>
      </w:r>
      <w:r w:rsidR="00EA4CD3">
        <w:t xml:space="preserve">at </w:t>
      </w:r>
      <w:r w:rsidRPr="00D63111" w:rsidR="00D63111">
        <w:t>6575</w:t>
      </w:r>
      <w:r w:rsidR="00D451E6">
        <w:t>-76</w:t>
      </w:r>
      <w:r w:rsidR="00D63111">
        <w:t>, para</w:t>
      </w:r>
      <w:r w:rsidR="008E3091">
        <w:t>s</w:t>
      </w:r>
      <w:r w:rsidR="00D63111">
        <w:t>. 196</w:t>
      </w:r>
      <w:r w:rsidR="008E3091">
        <w:t>-99</w:t>
      </w:r>
      <w:r w:rsidRPr="00D9692F" w:rsidR="006E1961">
        <w:t>.</w:t>
      </w:r>
    </w:p>
  </w:footnote>
  <w:footnote w:id="6">
    <w:p w:rsidR="00D65C76" w:rsidRPr="00D65C76" w14:paraId="3904EA2E" w14:textId="618B5008">
      <w:pPr>
        <w:pStyle w:val="FootnoteText"/>
      </w:pPr>
      <w:r>
        <w:rPr>
          <w:rStyle w:val="FootnoteReference"/>
        </w:rPr>
        <w:footnoteRef/>
      </w:r>
      <w:r>
        <w:t xml:space="preserve"> </w:t>
      </w:r>
      <w:r>
        <w:rPr>
          <w:i/>
          <w:iCs/>
        </w:rPr>
        <w:t xml:space="preserve">Id. </w:t>
      </w:r>
      <w:r>
        <w:t xml:space="preserve">at </w:t>
      </w:r>
      <w:r w:rsidRPr="007D4C5C" w:rsidR="007D4C5C">
        <w:t>6574</w:t>
      </w:r>
      <w:r w:rsidR="007D4C5C">
        <w:t>, para. 193.</w:t>
      </w:r>
    </w:p>
  </w:footnote>
  <w:footnote w:id="7">
    <w:p w:rsidR="00F7320C" w14:paraId="23A1271B" w14:textId="4072AEA5">
      <w:pPr>
        <w:pStyle w:val="FootnoteText"/>
      </w:pPr>
      <w:r>
        <w:rPr>
          <w:rStyle w:val="FootnoteReference"/>
        </w:rPr>
        <w:footnoteRef/>
      </w:r>
      <w:r>
        <w:t xml:space="preserve"> </w:t>
      </w:r>
      <w:r>
        <w:rPr>
          <w:i/>
          <w:iCs/>
        </w:rPr>
        <w:t xml:space="preserve">Id. </w:t>
      </w:r>
      <w:r>
        <w:t>at</w:t>
      </w:r>
      <w:r w:rsidR="00AC21D4">
        <w:t xml:space="preserve"> </w:t>
      </w:r>
      <w:r w:rsidRPr="00D023F8" w:rsidR="00D023F8">
        <w:t>6577</w:t>
      </w:r>
      <w:r w:rsidR="00D023F8">
        <w:t>, para. 202.</w:t>
      </w:r>
    </w:p>
  </w:footnote>
  <w:footnote w:id="8">
    <w:p w:rsidR="00C03347" w14:paraId="4CCD9CE1" w14:textId="361C59E2">
      <w:pPr>
        <w:pStyle w:val="FootnoteText"/>
      </w:pPr>
      <w:r>
        <w:rPr>
          <w:rStyle w:val="FootnoteReference"/>
        </w:rPr>
        <w:footnoteRef/>
      </w:r>
      <w:r>
        <w:t xml:space="preserve"> </w:t>
      </w:r>
      <w:r w:rsidR="0020470F">
        <w:rPr>
          <w:i/>
          <w:iCs/>
        </w:rPr>
        <w:t xml:space="preserve">Id. </w:t>
      </w:r>
      <w:r w:rsidR="0020470F">
        <w:t xml:space="preserve">at </w:t>
      </w:r>
      <w:r w:rsidRPr="00D023F8" w:rsidR="0020470F">
        <w:t>6577</w:t>
      </w:r>
      <w:r w:rsidR="0020470F">
        <w:t>-78, para. 203.</w:t>
      </w:r>
    </w:p>
  </w:footnote>
  <w:footnote w:id="9">
    <w:p w:rsidR="00FF185B" w14:paraId="436D4522" w14:textId="4AF3E2B6">
      <w:pPr>
        <w:pStyle w:val="FootnoteText"/>
      </w:pPr>
      <w:r>
        <w:rPr>
          <w:rStyle w:val="FootnoteReference"/>
        </w:rPr>
        <w:footnoteRef/>
      </w:r>
      <w:r>
        <w:t xml:space="preserve"> </w:t>
      </w:r>
      <w:r w:rsidR="00C50A63">
        <w:rPr>
          <w:i/>
          <w:iCs/>
        </w:rPr>
        <w:t xml:space="preserve">Id. </w:t>
      </w:r>
      <w:r w:rsidR="00C50A63">
        <w:t xml:space="preserve">at </w:t>
      </w:r>
      <w:r w:rsidRPr="00D023F8" w:rsidR="00C50A63">
        <w:t>65</w:t>
      </w:r>
      <w:r w:rsidR="00C50A63">
        <w:t>78, para. 206.</w:t>
      </w:r>
    </w:p>
  </w:footnote>
  <w:footnote w:id="10">
    <w:p w:rsidR="009C213B" w14:paraId="09767F77" w14:textId="61987F13">
      <w:pPr>
        <w:pStyle w:val="FootnoteText"/>
      </w:pPr>
      <w:r>
        <w:rPr>
          <w:rStyle w:val="FootnoteReference"/>
        </w:rPr>
        <w:footnoteRef/>
      </w:r>
      <w:r>
        <w:t xml:space="preserve"> </w:t>
      </w:r>
      <w:r>
        <w:rPr>
          <w:i/>
          <w:iCs/>
        </w:rPr>
        <w:t xml:space="preserve">Id. </w:t>
      </w:r>
      <w:r>
        <w:t xml:space="preserve">at </w:t>
      </w:r>
      <w:r w:rsidRPr="00D023F8">
        <w:t>65</w:t>
      </w:r>
      <w:r>
        <w:t>7</w:t>
      </w:r>
      <w:r w:rsidR="00AE45E2">
        <w:t>9</w:t>
      </w:r>
      <w:r>
        <w:t>, para. 208.</w:t>
      </w:r>
    </w:p>
  </w:footnote>
  <w:footnote w:id="11">
    <w:p w:rsidR="005E123A" w:rsidP="000F7866" w14:paraId="42DBD15A" w14:textId="49C0BD2B">
      <w:pPr>
        <w:pStyle w:val="FootnoteText"/>
      </w:pPr>
      <w:r>
        <w:rPr>
          <w:rStyle w:val="FootnoteReference"/>
        </w:rPr>
        <w:footnoteRef/>
      </w:r>
      <w:r>
        <w:t xml:space="preserve"> </w:t>
      </w:r>
      <w:r w:rsidRPr="000F7866" w:rsidR="000F7866">
        <w:t>Exec. Order No. 13,913, 85 Fed. Reg. 19643</w:t>
      </w:r>
      <w:r w:rsidR="000F7866">
        <w:t xml:space="preserve"> </w:t>
      </w:r>
      <w:r w:rsidRPr="000F7866" w:rsidR="000F7866">
        <w:t>(Apr. 8, 2020)</w:t>
      </w:r>
      <w:r w:rsidR="00B93C9C">
        <w:t>.</w:t>
      </w:r>
    </w:p>
  </w:footnote>
  <w:footnote w:id="12">
    <w:p w:rsidR="00CB052B" w14:paraId="53D260A3" w14:textId="6F56E0A9">
      <w:pPr>
        <w:pStyle w:val="FootnoteText"/>
      </w:pPr>
      <w:r>
        <w:rPr>
          <w:rStyle w:val="FootnoteReference"/>
        </w:rPr>
        <w:footnoteRef/>
      </w:r>
      <w:r>
        <w:t xml:space="preserve"> </w:t>
      </w:r>
      <w:r w:rsidRPr="00FD4713" w:rsidR="00094BE4">
        <w:rPr>
          <w:i/>
          <w:iCs/>
          <w:snapToGrid w:val="0"/>
          <w:kern w:val="28"/>
        </w:rPr>
        <w:t xml:space="preserve">Submarine Cable Report and </w:t>
      </w:r>
      <w:r w:rsidRPr="00D9692F" w:rsidR="00094BE4">
        <w:rPr>
          <w:i/>
          <w:iCs/>
          <w:snapToGrid w:val="0"/>
          <w:kern w:val="28"/>
        </w:rPr>
        <w:t>Order</w:t>
      </w:r>
      <w:r w:rsidRPr="00D9692F" w:rsidR="00094BE4">
        <w:t xml:space="preserve">, </w:t>
      </w:r>
      <w:r w:rsidRPr="00704864" w:rsidR="00094BE4">
        <w:t xml:space="preserve">40 FCC </w:t>
      </w:r>
      <w:r w:rsidRPr="00704864" w:rsidR="00094BE4">
        <w:t>Rcd</w:t>
      </w:r>
      <w:r>
        <w:rPr>
          <w:i/>
          <w:iCs/>
        </w:rPr>
        <w:t xml:space="preserve"> </w:t>
      </w:r>
      <w:r>
        <w:t xml:space="preserve">at </w:t>
      </w:r>
      <w:r w:rsidRPr="00D023F8">
        <w:t>65</w:t>
      </w:r>
      <w:r>
        <w:t>80, para. 209.</w:t>
      </w:r>
    </w:p>
  </w:footnote>
  <w:footnote w:id="13">
    <w:p w:rsidR="0044420B" w14:paraId="5F2F4CE1" w14:textId="58BF82C3">
      <w:pPr>
        <w:pStyle w:val="FootnoteText"/>
      </w:pPr>
      <w:r>
        <w:rPr>
          <w:rStyle w:val="FootnoteReference"/>
        </w:rPr>
        <w:footnoteRef/>
      </w:r>
      <w:r>
        <w:t xml:space="preserve"> </w:t>
      </w:r>
      <w:r w:rsidR="00B00D45">
        <w:rPr>
          <w:i/>
          <w:iCs/>
        </w:rPr>
        <w:t xml:space="preserve">Id. </w:t>
      </w:r>
      <w:r w:rsidR="00B00D45">
        <w:t>at</w:t>
      </w:r>
      <w:r w:rsidR="00344898">
        <w:t xml:space="preserve"> </w:t>
      </w:r>
      <w:r w:rsidRPr="00344898" w:rsidR="00344898">
        <w:t>6573</w:t>
      </w:r>
      <w:r w:rsidR="00344898">
        <w:t>, para. 189.</w:t>
      </w:r>
    </w:p>
  </w:footnote>
  <w:footnote w:id="14">
    <w:p w:rsidR="00B25722" w14:paraId="5694EEC2" w14:textId="34887235">
      <w:pPr>
        <w:pStyle w:val="FootnoteText"/>
      </w:pPr>
      <w:r>
        <w:rPr>
          <w:rStyle w:val="FootnoteReference"/>
        </w:rPr>
        <w:footnoteRef/>
      </w:r>
      <w:r>
        <w:t xml:space="preserve"> </w:t>
      </w:r>
      <w:r w:rsidR="008E179E">
        <w:rPr>
          <w:i/>
          <w:iCs/>
        </w:rPr>
        <w:t xml:space="preserve">Id. </w:t>
      </w:r>
      <w:r w:rsidR="008E179E">
        <w:t xml:space="preserve">at </w:t>
      </w:r>
      <w:r w:rsidRPr="00410751" w:rsidR="00410751">
        <w:t>6624</w:t>
      </w:r>
      <w:r w:rsidR="00410751">
        <w:t xml:space="preserve">, para. </w:t>
      </w:r>
      <w:r w:rsidRPr="00FB0063" w:rsidR="00410751">
        <w:rPr>
          <w:lang w:val="pt-BR"/>
        </w:rPr>
        <w:t xml:space="preserve">334; </w:t>
      </w:r>
      <w:r w:rsidRPr="00FB0063" w:rsidR="00A54088">
        <w:rPr>
          <w:lang w:val="pt-BR"/>
        </w:rPr>
        <w:t xml:space="preserve">47 U.S.C. §§ 151, 154(i), 154(j), 201-255, 303(r), 403, 413; </w:t>
      </w:r>
      <w:r w:rsidRPr="00FB0063" w:rsidR="00A54088">
        <w:rPr>
          <w:szCs w:val="22"/>
          <w:lang w:val="pt-BR"/>
        </w:rPr>
        <w:t xml:space="preserve">47 U.S.C. §§ 34-39; </w:t>
      </w:r>
      <w:r w:rsidRPr="00FB0063" w:rsidR="003B1555">
        <w:rPr>
          <w:szCs w:val="22"/>
          <w:lang w:val="pt-BR"/>
        </w:rPr>
        <w:t xml:space="preserve">Exec. </w:t>
      </w:r>
      <w:r w:rsidRPr="003B1555" w:rsidR="003B1555">
        <w:rPr>
          <w:szCs w:val="22"/>
        </w:rPr>
        <w:t xml:space="preserve">Order No. 10,530, 19 Fed. Reg. 2709, § 5(a) (May 12, 1954), </w:t>
      </w:r>
      <w:r w:rsidRPr="003B1555" w:rsidR="003B1555">
        <w:rPr>
          <w:i/>
          <w:iCs/>
          <w:szCs w:val="22"/>
        </w:rPr>
        <w:t>reprinted as amended in</w:t>
      </w:r>
      <w:r w:rsidRPr="003B1555" w:rsidR="003B1555">
        <w:rPr>
          <w:szCs w:val="22"/>
        </w:rPr>
        <w:t xml:space="preserve"> 3 U.S.C. § 301</w:t>
      </w:r>
      <w:r w:rsidR="003B1555">
        <w:rPr>
          <w:szCs w:val="22"/>
        </w:rPr>
        <w:t>.</w:t>
      </w:r>
    </w:p>
  </w:footnote>
  <w:footnote w:id="15">
    <w:p w:rsidR="0052691E" w:rsidRPr="0052691E" w14:paraId="7F55BE8B" w14:textId="7C812C82">
      <w:pPr>
        <w:pStyle w:val="FootnoteText"/>
      </w:pPr>
      <w:r>
        <w:rPr>
          <w:rStyle w:val="FootnoteReference"/>
        </w:rPr>
        <w:footnoteRef/>
      </w:r>
      <w:r>
        <w:t xml:space="preserve"> </w:t>
      </w:r>
      <w:r w:rsidRPr="00D119F0">
        <w:rPr>
          <w:i/>
          <w:snapToGrid w:val="0"/>
          <w:kern w:val="28"/>
        </w:rPr>
        <w:t>Submarine Cable Report and Order</w:t>
      </w:r>
      <w:r w:rsidRPr="00D119F0">
        <w:rPr>
          <w:snapToGrid w:val="0"/>
          <w:kern w:val="28"/>
        </w:rPr>
        <w:t xml:space="preserve">, </w:t>
      </w:r>
      <w:r w:rsidR="00C85DCB">
        <w:rPr>
          <w:snapToGrid w:val="0"/>
          <w:kern w:val="28"/>
        </w:rPr>
        <w:t xml:space="preserve">40 FCC </w:t>
      </w:r>
      <w:r w:rsidR="00C85DCB">
        <w:rPr>
          <w:snapToGrid w:val="0"/>
          <w:kern w:val="28"/>
        </w:rPr>
        <w:t>Rcd</w:t>
      </w:r>
      <w:r w:rsidR="00C85DCB">
        <w:rPr>
          <w:snapToGrid w:val="0"/>
          <w:kern w:val="28"/>
        </w:rPr>
        <w:t xml:space="preserve"> at </w:t>
      </w:r>
      <w:r w:rsidRPr="008814DB" w:rsidR="008814DB">
        <w:rPr>
          <w:snapToGrid w:val="0"/>
          <w:kern w:val="28"/>
        </w:rPr>
        <w:t>6572</w:t>
      </w:r>
      <w:r w:rsidR="008814DB">
        <w:rPr>
          <w:snapToGrid w:val="0"/>
          <w:kern w:val="28"/>
        </w:rPr>
        <w:t>, para. 189</w:t>
      </w:r>
      <w:r w:rsidRPr="00D119F0">
        <w:rPr>
          <w:snapToGrid w:val="0"/>
          <w:kern w:val="28"/>
        </w:rPr>
        <w:t>.</w:t>
      </w:r>
    </w:p>
  </w:footnote>
  <w:footnote w:id="16">
    <w:p w:rsidR="00A63EEA" w:rsidRPr="00357FD2" w14:paraId="5EC67A5D" w14:textId="62BA43AF">
      <w:pPr>
        <w:pStyle w:val="FootnoteText"/>
      </w:pPr>
      <w:r>
        <w:rPr>
          <w:rStyle w:val="FootnoteReference"/>
        </w:rPr>
        <w:footnoteRef/>
      </w:r>
      <w:r>
        <w:t xml:space="preserve"> </w:t>
      </w:r>
      <w:r>
        <w:rPr>
          <w:i/>
          <w:iCs/>
        </w:rPr>
        <w:t xml:space="preserve">Id. </w:t>
      </w:r>
      <w:r>
        <w:rPr>
          <w:snapToGrid w:val="0"/>
          <w:kern w:val="28"/>
        </w:rPr>
        <w:t xml:space="preserve">at </w:t>
      </w:r>
      <w:r w:rsidRPr="007D4C5C" w:rsidR="00062816">
        <w:t>6574</w:t>
      </w:r>
      <w:r w:rsidR="00062816">
        <w:t xml:space="preserve">, </w:t>
      </w:r>
      <w:r w:rsidR="002327C4">
        <w:t>6577-</w:t>
      </w:r>
      <w:r w:rsidR="007C35F3">
        <w:t xml:space="preserve">78, </w:t>
      </w:r>
      <w:r w:rsidR="00062816">
        <w:t>para</w:t>
      </w:r>
      <w:r w:rsidR="00D46CF9">
        <w:t>s</w:t>
      </w:r>
      <w:r w:rsidR="00062816">
        <w:t>. 193</w:t>
      </w:r>
      <w:r w:rsidR="00B66A2E">
        <w:t>-195</w:t>
      </w:r>
      <w:r w:rsidR="00D46CF9">
        <w:t>, 203</w:t>
      </w:r>
      <w:r w:rsidR="00066380">
        <w:t xml:space="preserve">, </w:t>
      </w:r>
      <w:r w:rsidR="00D46CF9">
        <w:t>205.</w:t>
      </w:r>
    </w:p>
  </w:footnote>
  <w:footnote w:id="17">
    <w:p w:rsidR="00F87086" w14:paraId="72D98B5C" w14:textId="447C0303">
      <w:pPr>
        <w:pStyle w:val="FootnoteText"/>
      </w:pPr>
      <w:r>
        <w:rPr>
          <w:rStyle w:val="FootnoteReference"/>
        </w:rPr>
        <w:footnoteRef/>
      </w:r>
      <w:r>
        <w:t xml:space="preserve"> </w:t>
      </w:r>
      <w:r>
        <w:rPr>
          <w:i/>
          <w:iCs/>
        </w:rPr>
        <w:t xml:space="preserve">Id. </w:t>
      </w:r>
      <w:r>
        <w:rPr>
          <w:snapToGrid w:val="0"/>
          <w:kern w:val="28"/>
        </w:rPr>
        <w:t xml:space="preserve">at </w:t>
      </w:r>
      <w:r w:rsidRPr="006F19EF" w:rsidR="006F19EF">
        <w:rPr>
          <w:snapToGrid w:val="0"/>
          <w:kern w:val="28"/>
        </w:rPr>
        <w:t>6578</w:t>
      </w:r>
      <w:r>
        <w:rPr>
          <w:snapToGrid w:val="0"/>
          <w:kern w:val="28"/>
        </w:rPr>
        <w:t>, para. 203.</w:t>
      </w:r>
    </w:p>
  </w:footnote>
  <w:footnote w:id="18">
    <w:p w:rsidR="000001A8" w14:paraId="1E5AB3F2" w14:textId="7226E7D5">
      <w:pPr>
        <w:pStyle w:val="FootnoteText"/>
      </w:pPr>
      <w:r>
        <w:rPr>
          <w:rStyle w:val="FootnoteReference"/>
        </w:rPr>
        <w:footnoteRef/>
      </w:r>
      <w:r>
        <w:t xml:space="preserve"> </w:t>
      </w:r>
      <w:r>
        <w:rPr>
          <w:i/>
          <w:iCs/>
        </w:rPr>
        <w:t xml:space="preserve">Id. </w:t>
      </w:r>
      <w:r>
        <w:rPr>
          <w:snapToGrid w:val="0"/>
          <w:kern w:val="28"/>
        </w:rPr>
        <w:t xml:space="preserve">at </w:t>
      </w:r>
      <w:r w:rsidRPr="008814DB">
        <w:rPr>
          <w:snapToGrid w:val="0"/>
          <w:kern w:val="28"/>
        </w:rPr>
        <w:t>6572</w:t>
      </w:r>
      <w:r>
        <w:rPr>
          <w:snapToGrid w:val="0"/>
          <w:kern w:val="28"/>
        </w:rPr>
        <w:t>, para. 189.</w:t>
      </w:r>
    </w:p>
  </w:footnote>
  <w:footnote w:id="19">
    <w:p w:rsidR="0023438F" w14:paraId="5EFF24A3" w14:textId="13A51584">
      <w:pPr>
        <w:pStyle w:val="FootnoteText"/>
      </w:pPr>
      <w:r>
        <w:rPr>
          <w:rStyle w:val="FootnoteReference"/>
        </w:rPr>
        <w:footnoteRef/>
      </w:r>
      <w:r>
        <w:t xml:space="preserve"> </w:t>
      </w:r>
      <w:r w:rsidR="008762D5">
        <w:rPr>
          <w:i/>
          <w:iCs/>
        </w:rPr>
        <w:t xml:space="preserve">See id. </w:t>
      </w:r>
      <w:r w:rsidR="008762D5">
        <w:rPr>
          <w:snapToGrid w:val="0"/>
          <w:kern w:val="28"/>
        </w:rPr>
        <w:t xml:space="preserve">at </w:t>
      </w:r>
      <w:r w:rsidRPr="00963249" w:rsidR="00963249">
        <w:rPr>
          <w:snapToGrid w:val="0"/>
          <w:kern w:val="28"/>
        </w:rPr>
        <w:t>6580</w:t>
      </w:r>
      <w:r w:rsidR="00963249">
        <w:rPr>
          <w:snapToGrid w:val="0"/>
          <w:kern w:val="28"/>
        </w:rPr>
        <w:t>, para. 210.</w:t>
      </w:r>
    </w:p>
  </w:footnote>
  <w:footnote w:id="20">
    <w:p w:rsidR="0023438F" w14:paraId="1A8D2017" w14:textId="58056C49">
      <w:pPr>
        <w:pStyle w:val="FootnoteText"/>
      </w:pPr>
      <w:r>
        <w:rPr>
          <w:rStyle w:val="FootnoteReference"/>
        </w:rPr>
        <w:footnoteRef/>
      </w:r>
      <w:r>
        <w:t xml:space="preserve"> </w:t>
      </w:r>
      <w:r w:rsidR="002B4EB1">
        <w:rPr>
          <w:i/>
          <w:iCs/>
        </w:rPr>
        <w:t xml:space="preserve">Id. </w:t>
      </w:r>
      <w:r w:rsidR="002B4EB1">
        <w:rPr>
          <w:snapToGrid w:val="0"/>
          <w:kern w:val="28"/>
        </w:rPr>
        <w:t xml:space="preserve">at </w:t>
      </w:r>
      <w:r w:rsidRPr="007F33C9" w:rsidR="007F33C9">
        <w:rPr>
          <w:snapToGrid w:val="0"/>
          <w:kern w:val="28"/>
        </w:rPr>
        <w:t>658</w:t>
      </w:r>
      <w:r w:rsidR="007F33C9">
        <w:rPr>
          <w:snapToGrid w:val="0"/>
          <w:kern w:val="28"/>
        </w:rPr>
        <w:t>1</w:t>
      </w:r>
      <w:r w:rsidR="00FA18A8">
        <w:rPr>
          <w:snapToGrid w:val="0"/>
          <w:kern w:val="28"/>
        </w:rPr>
        <w:t>-82</w:t>
      </w:r>
      <w:r w:rsidR="007F33C9">
        <w:rPr>
          <w:snapToGrid w:val="0"/>
          <w:kern w:val="28"/>
        </w:rPr>
        <w:t>, para. 213.</w:t>
      </w:r>
    </w:p>
  </w:footnote>
  <w:footnote w:id="21">
    <w:p w:rsidR="0023438F" w14:paraId="700E5A71" w14:textId="403CD466">
      <w:pPr>
        <w:pStyle w:val="FootnoteText"/>
      </w:pPr>
      <w:r>
        <w:rPr>
          <w:rStyle w:val="FootnoteReference"/>
        </w:rPr>
        <w:footnoteRef/>
      </w:r>
      <w:r>
        <w:t xml:space="preserve"> </w:t>
      </w:r>
      <w:r w:rsidR="00C008F3">
        <w:rPr>
          <w:i/>
          <w:iCs/>
        </w:rPr>
        <w:t xml:space="preserve">See id. </w:t>
      </w:r>
      <w:r w:rsidR="00C008F3">
        <w:rPr>
          <w:snapToGrid w:val="0"/>
          <w:kern w:val="28"/>
        </w:rPr>
        <w:t xml:space="preserve">at </w:t>
      </w:r>
      <w:r w:rsidRPr="009A1385" w:rsidR="009A1385">
        <w:rPr>
          <w:snapToGrid w:val="0"/>
          <w:kern w:val="28"/>
        </w:rPr>
        <w:t>6580</w:t>
      </w:r>
      <w:r w:rsidR="009A1385">
        <w:rPr>
          <w:snapToGrid w:val="0"/>
          <w:kern w:val="28"/>
        </w:rPr>
        <w:t>, para. 209.</w:t>
      </w:r>
    </w:p>
  </w:footnote>
  <w:footnote w:id="22">
    <w:p w:rsidR="00277B48" w14:paraId="2B42CC52" w14:textId="0E885437">
      <w:pPr>
        <w:pStyle w:val="FootnoteText"/>
      </w:pPr>
      <w:r>
        <w:rPr>
          <w:rStyle w:val="FootnoteReference"/>
        </w:rPr>
        <w:footnoteRef/>
      </w:r>
      <w:r>
        <w:t xml:space="preserve"> </w:t>
      </w:r>
      <w:r w:rsidR="000859CA">
        <w:t>FCC,</w:t>
      </w:r>
      <w:r w:rsidRPr="00335259" w:rsidR="00335259">
        <w:t xml:space="preserve"> </w:t>
      </w:r>
      <w:r w:rsidRPr="00545660" w:rsidR="00335259">
        <w:rPr>
          <w:i/>
          <w:iCs/>
        </w:rPr>
        <w:t>Part 43 Data Collection</w:t>
      </w:r>
      <w:r w:rsidR="00335259">
        <w:t xml:space="preserve">, </w:t>
      </w:r>
      <w:hyperlink r:id="rId5" w:history="1">
        <w:r w:rsidRPr="009A2D2B" w:rsidR="008D0444">
          <w:rPr>
            <w:rStyle w:val="Hyperlink"/>
          </w:rPr>
          <w:t>https://apps2.fcc.gov/section4362/login.xhtml</w:t>
        </w:r>
      </w:hyperlink>
      <w:r w:rsidR="008D0444">
        <w:t xml:space="preserve">. </w:t>
      </w:r>
      <w:r w:rsidR="000859CA">
        <w:t xml:space="preserve"> </w:t>
      </w:r>
    </w:p>
  </w:footnote>
  <w:footnote w:id="23">
    <w:p w:rsidR="00316229" w14:paraId="64B53CFC" w14:textId="3A0B149B">
      <w:pPr>
        <w:pStyle w:val="FootnoteText"/>
      </w:pPr>
      <w:r>
        <w:rPr>
          <w:rStyle w:val="FootnoteReference"/>
        </w:rPr>
        <w:footnoteRef/>
      </w:r>
      <w:r>
        <w:t xml:space="preserve"> </w:t>
      </w:r>
      <w:r w:rsidRPr="004373DB" w:rsidR="000E5BFE">
        <w:rPr>
          <w:i/>
          <w:iCs/>
          <w:snapToGrid w:val="0"/>
          <w:kern w:val="28"/>
        </w:rPr>
        <w:t>Submarine Cable Report and Order</w:t>
      </w:r>
      <w:r w:rsidRPr="004373DB" w:rsidR="000E5BFE">
        <w:rPr>
          <w:snapToGrid w:val="0"/>
          <w:kern w:val="28"/>
        </w:rPr>
        <w:t xml:space="preserve">, </w:t>
      </w:r>
      <w:r w:rsidR="000E5BFE">
        <w:rPr>
          <w:snapToGrid w:val="0"/>
          <w:kern w:val="28"/>
        </w:rPr>
        <w:t xml:space="preserve">40 FCC </w:t>
      </w:r>
      <w:r w:rsidR="000E5BFE">
        <w:rPr>
          <w:snapToGrid w:val="0"/>
          <w:kern w:val="28"/>
        </w:rPr>
        <w:t>Rcd</w:t>
      </w:r>
      <w:r w:rsidR="000E5BFE">
        <w:rPr>
          <w:snapToGrid w:val="0"/>
          <w:kern w:val="28"/>
        </w:rPr>
        <w:t xml:space="preserve"> at </w:t>
      </w:r>
      <w:r w:rsidRPr="00391A2B" w:rsidR="00391A2B">
        <w:rPr>
          <w:snapToGrid w:val="0"/>
          <w:kern w:val="28"/>
        </w:rPr>
        <w:t>6573</w:t>
      </w:r>
      <w:r w:rsidR="00391A2B">
        <w:rPr>
          <w:snapToGrid w:val="0"/>
          <w:kern w:val="28"/>
        </w:rPr>
        <w:t>, paras. 190-</w:t>
      </w:r>
      <w:r w:rsidR="007F0A92">
        <w:rPr>
          <w:snapToGrid w:val="0"/>
          <w:kern w:val="28"/>
        </w:rPr>
        <w:t>19</w:t>
      </w:r>
      <w:r w:rsidR="00FE5277">
        <w:rPr>
          <w:snapToGrid w:val="0"/>
          <w:kern w:val="28"/>
        </w:rPr>
        <w:t>2</w:t>
      </w:r>
      <w:r w:rsidR="007F0A92">
        <w:rPr>
          <w:snapToGrid w:val="0"/>
          <w:kern w:val="28"/>
        </w:rPr>
        <w:t>.</w:t>
      </w:r>
    </w:p>
  </w:footnote>
  <w:footnote w:id="24">
    <w:p w:rsidR="008A7506" w14:paraId="49997009" w14:textId="39A39B62">
      <w:pPr>
        <w:pStyle w:val="FootnoteText"/>
      </w:pPr>
      <w:r>
        <w:rPr>
          <w:rStyle w:val="FootnoteReference"/>
        </w:rPr>
        <w:footnoteRef/>
      </w:r>
      <w:r>
        <w:t xml:space="preserve"> </w:t>
      </w:r>
      <w:r w:rsidR="00D43282">
        <w:rPr>
          <w:i/>
          <w:iCs/>
        </w:rPr>
        <w:t>I</w:t>
      </w:r>
      <w:r w:rsidR="00A55423">
        <w:rPr>
          <w:i/>
          <w:iCs/>
        </w:rPr>
        <w:t xml:space="preserve">d. </w:t>
      </w:r>
      <w:r w:rsidR="00A55423">
        <w:rPr>
          <w:snapToGrid w:val="0"/>
          <w:kern w:val="28"/>
        </w:rPr>
        <w:t xml:space="preserve">at </w:t>
      </w:r>
      <w:r w:rsidRPr="009A1385" w:rsidR="00A55423">
        <w:rPr>
          <w:snapToGrid w:val="0"/>
          <w:kern w:val="28"/>
        </w:rPr>
        <w:t>6580</w:t>
      </w:r>
      <w:r w:rsidR="00A55423">
        <w:rPr>
          <w:snapToGrid w:val="0"/>
          <w:kern w:val="28"/>
        </w:rPr>
        <w:t>, para. 209.</w:t>
      </w:r>
    </w:p>
  </w:footnote>
  <w:footnote w:id="25">
    <w:p w:rsidR="00956F46" w14:paraId="69E12B25" w14:textId="68B7EB7B">
      <w:pPr>
        <w:pStyle w:val="FootnoteText"/>
      </w:pPr>
      <w:r>
        <w:rPr>
          <w:rStyle w:val="FootnoteReference"/>
        </w:rPr>
        <w:footnoteRef/>
      </w:r>
      <w:r>
        <w:t xml:space="preserve"> </w:t>
      </w:r>
      <w:r w:rsidR="00996048">
        <w:rPr>
          <w:i/>
          <w:iCs/>
        </w:rPr>
        <w:t xml:space="preserve">Id. </w:t>
      </w:r>
      <w:r w:rsidR="00996048">
        <w:rPr>
          <w:snapToGrid w:val="0"/>
          <w:kern w:val="28"/>
        </w:rPr>
        <w:t>at</w:t>
      </w:r>
      <w:r w:rsidR="00A74987">
        <w:rPr>
          <w:snapToGrid w:val="0"/>
          <w:kern w:val="28"/>
        </w:rPr>
        <w:t xml:space="preserve"> </w:t>
      </w:r>
      <w:r w:rsidRPr="00A74987" w:rsidR="00A74987">
        <w:rPr>
          <w:snapToGrid w:val="0"/>
          <w:kern w:val="28"/>
        </w:rPr>
        <w:t>6581</w:t>
      </w:r>
      <w:r w:rsidR="00996048">
        <w:rPr>
          <w:snapToGrid w:val="0"/>
          <w:kern w:val="28"/>
        </w:rPr>
        <w:t>, para. 211.</w:t>
      </w:r>
    </w:p>
  </w:footnote>
  <w:footnote w:id="26">
    <w:p w:rsidR="00E95DFA" w14:paraId="0323393E" w14:textId="6943D9F5">
      <w:pPr>
        <w:pStyle w:val="FootnoteText"/>
      </w:pPr>
      <w:r>
        <w:rPr>
          <w:rStyle w:val="FootnoteReference"/>
        </w:rPr>
        <w:footnoteRef/>
      </w:r>
      <w:r>
        <w:t xml:space="preserve"> </w:t>
      </w:r>
      <w:r>
        <w:rPr>
          <w:i/>
          <w:iCs/>
        </w:rPr>
        <w:t xml:space="preserve">Id. </w:t>
      </w:r>
      <w:r>
        <w:rPr>
          <w:snapToGrid w:val="0"/>
          <w:kern w:val="28"/>
        </w:rPr>
        <w:t>at para. 212.</w:t>
      </w:r>
    </w:p>
  </w:footnote>
  <w:footnote w:id="27">
    <w:p w:rsidR="005A36EF" w:rsidP="00FA6935" w14:paraId="67F5F737" w14:textId="56225A2C">
      <w:pPr>
        <w:pStyle w:val="FootnoteText"/>
      </w:pPr>
      <w:r>
        <w:rPr>
          <w:rStyle w:val="FootnoteReference"/>
        </w:rPr>
        <w:footnoteRef/>
      </w:r>
      <w:r w:rsidR="00871B23">
        <w:t xml:space="preserve"> </w:t>
      </w:r>
      <w:r w:rsidRPr="00187309" w:rsidR="00FA6935">
        <w:rPr>
          <w:i/>
          <w:iCs/>
        </w:rPr>
        <w:t>FCC Releases Circuit Capacity Data for U.S.-International Submarine Cables as of December 31, 2024</w:t>
      </w:r>
      <w:r w:rsidR="00FA6935">
        <w:t xml:space="preserve">, Public Notice, </w:t>
      </w:r>
      <w:r w:rsidRPr="00F7754C" w:rsidR="00F7754C">
        <w:t>DA 25-1072</w:t>
      </w:r>
      <w:r w:rsidR="008816F3">
        <w:t xml:space="preserve">, </w:t>
      </w:r>
      <w:r w:rsidR="00A73815">
        <w:t>Tbl</w:t>
      </w:r>
      <w:r w:rsidR="00A73815">
        <w:t>. 1</w:t>
      </w:r>
      <w:r w:rsidR="00F7754C">
        <w:t xml:space="preserve"> (OIA </w:t>
      </w:r>
      <w:r w:rsidRPr="008816F3" w:rsidR="008816F3">
        <w:t>De</w:t>
      </w:r>
      <w:r w:rsidR="008816F3">
        <w:t>c.</w:t>
      </w:r>
      <w:r w:rsidRPr="008816F3" w:rsidR="008816F3">
        <w:t xml:space="preserve"> 17, 2025</w:t>
      </w:r>
      <w:r w:rsidR="008816F3">
        <w:t>)</w:t>
      </w:r>
      <w:r w:rsidR="002A632C">
        <w:t xml:space="preserve">; </w:t>
      </w:r>
      <w:r w:rsidR="003A68BD">
        <w:t xml:space="preserve">FCC, </w:t>
      </w:r>
      <w:r w:rsidRPr="00187309" w:rsidR="003A68BD">
        <w:rPr>
          <w:i/>
          <w:iCs/>
        </w:rPr>
        <w:t>Circuit Capacity Data for U.S.-International Submarine Cables</w:t>
      </w:r>
      <w:r w:rsidR="006E1961">
        <w:t xml:space="preserve">, </w:t>
      </w:r>
      <w:hyperlink r:id="rId6" w:history="1">
        <w:r w:rsidRPr="00D119F0" w:rsidR="006C3924">
          <w:rPr>
            <w:rStyle w:val="Hyperlink"/>
          </w:rPr>
          <w:t>https://www.fcc.gov/international/circuit-capacity-data-us-international-submarine-cables</w:t>
        </w:r>
      </w:hyperlink>
      <w:r w:rsidR="003A68BD">
        <w:t xml:space="preserve"> (last visited Jan. 27, 2026)</w:t>
      </w:r>
      <w:r w:rsidRPr="00D119F0" w:rsidR="00A07F6C">
        <w:t>.</w:t>
      </w:r>
      <w:r w:rsidRPr="00D119F0" w:rsidR="00CA467D">
        <w:t xml:space="preserve">  </w:t>
      </w:r>
      <w:r w:rsidRPr="0021308B" w:rsidR="00CA467D">
        <w:t xml:space="preserve">There are 21 </w:t>
      </w:r>
      <w:r w:rsidRPr="0021308B" w:rsidR="007B7530">
        <w:t>entities that hold a cable landing license</w:t>
      </w:r>
      <w:r w:rsidRPr="0021308B" w:rsidR="00CA467D">
        <w:t xml:space="preserve"> on domestic cables</w:t>
      </w:r>
      <w:r w:rsidRPr="0021308B" w:rsidR="005F5553">
        <w:t xml:space="preserve"> or until recently held a license </w:t>
      </w:r>
      <w:r w:rsidRPr="0021308B" w:rsidR="00586DDF">
        <w:t xml:space="preserve">on a domestic cable </w:t>
      </w:r>
      <w:r w:rsidRPr="0021308B" w:rsidR="005F5553">
        <w:t xml:space="preserve">prior to </w:t>
      </w:r>
      <w:r w:rsidR="00187309">
        <w:t>the</w:t>
      </w:r>
      <w:r w:rsidRPr="0021308B" w:rsidR="00586DDF">
        <w:t xml:space="preserve"> expiration</w:t>
      </w:r>
      <w:r w:rsidR="00187309">
        <w:t xml:space="preserve"> of the license</w:t>
      </w:r>
      <w:r w:rsidRPr="0021308B" w:rsidR="00CA467D">
        <w:t xml:space="preserve">.  </w:t>
      </w:r>
      <w:r w:rsidRPr="0021308B" w:rsidR="00970CCF">
        <w:t xml:space="preserve">For purposes of this estimate, we include </w:t>
      </w:r>
      <w:r w:rsidRPr="0021308B" w:rsidR="006934F8">
        <w:t xml:space="preserve">any </w:t>
      </w:r>
      <w:r w:rsidR="00041F52">
        <w:t xml:space="preserve">domestic </w:t>
      </w:r>
      <w:r w:rsidRPr="0021308B" w:rsidR="006934F8">
        <w:t xml:space="preserve">cable for which the license expired and has not been renewed or extended, including where an application is pending before the Commission to renew or extend the license.  </w:t>
      </w:r>
      <w:r w:rsidRPr="0021308B" w:rsidR="00CA467D">
        <w:t>We</w:t>
      </w:r>
      <w:r w:rsidRPr="0021308B" w:rsidR="00CA467D">
        <w:t xml:space="preserve"> </w:t>
      </w:r>
      <w:r w:rsidRPr="0021308B" w:rsidR="002B0568">
        <w:t xml:space="preserve">derive </w:t>
      </w:r>
      <w:r w:rsidRPr="0021308B" w:rsidR="00CA467D">
        <w:t>this estimate</w:t>
      </w:r>
      <w:r w:rsidRPr="0021308B" w:rsidR="00490025">
        <w:t xml:space="preserve"> </w:t>
      </w:r>
      <w:r w:rsidRPr="0021308B" w:rsidR="00426D4D">
        <w:t xml:space="preserve">of 21 </w:t>
      </w:r>
      <w:r w:rsidR="00CF5944">
        <w:t xml:space="preserve">unique </w:t>
      </w:r>
      <w:r w:rsidRPr="0021308B" w:rsidR="00426D4D">
        <w:t xml:space="preserve">entities </w:t>
      </w:r>
      <w:r w:rsidRPr="0021308B" w:rsidR="00CA467D">
        <w:t>by removing duplicate</w:t>
      </w:r>
      <w:r w:rsidRPr="0021308B" w:rsidR="00482BEF">
        <w:t xml:space="preserve"> </w:t>
      </w:r>
      <w:r w:rsidR="00003587">
        <w:t>counts</w:t>
      </w:r>
      <w:r w:rsidRPr="0021308B" w:rsidR="00482BEF">
        <w:t xml:space="preserve"> where</w:t>
      </w:r>
      <w:r w:rsidRPr="0021308B" w:rsidR="00CA467D">
        <w:t xml:space="preserve"> </w:t>
      </w:r>
      <w:r w:rsidRPr="0021308B" w:rsidR="00482BEF">
        <w:t xml:space="preserve">a </w:t>
      </w:r>
      <w:r w:rsidRPr="0021308B" w:rsidR="00CA467D">
        <w:t>licensee hold</w:t>
      </w:r>
      <w:r w:rsidRPr="0021308B" w:rsidR="00482BEF">
        <w:t>s</w:t>
      </w:r>
      <w:r w:rsidRPr="0021308B" w:rsidR="00CA467D">
        <w:t xml:space="preserve"> </w:t>
      </w:r>
      <w:r w:rsidRPr="0021308B" w:rsidR="00AA370B">
        <w:t xml:space="preserve">cable landing </w:t>
      </w:r>
      <w:r w:rsidRPr="0021308B" w:rsidR="00CA467D">
        <w:t>licenses on multiple domestic cables.</w:t>
      </w:r>
      <w:r w:rsidR="00CC6DE1">
        <w:t xml:space="preserve">  We add an addition</w:t>
      </w:r>
      <w:r w:rsidR="00064FA1">
        <w:t>al</w:t>
      </w:r>
      <w:r w:rsidR="00CC6DE1">
        <w:t xml:space="preserve"> </w:t>
      </w:r>
      <w:r w:rsidR="00E65A87">
        <w:t>ten</w:t>
      </w:r>
      <w:r w:rsidR="00CC6DE1">
        <w:t xml:space="preserve"> </w:t>
      </w:r>
      <w:r w:rsidR="003558FF">
        <w:t xml:space="preserve">Filing Entities </w:t>
      </w:r>
      <w:r w:rsidR="00AF1A62">
        <w:t xml:space="preserve">to our count of total respondents </w:t>
      </w:r>
      <w:r w:rsidR="003558FF">
        <w:t>to account for common carrier</w:t>
      </w:r>
      <w:r w:rsidR="00877CE0">
        <w:t>s that will now be required to file.</w:t>
      </w:r>
    </w:p>
  </w:footnote>
  <w:footnote w:id="28">
    <w:p w:rsidR="00A652DD" w14:paraId="72CDEC24" w14:textId="7EEA2EFC">
      <w:pPr>
        <w:pStyle w:val="FootnoteText"/>
      </w:pPr>
      <w:r>
        <w:rPr>
          <w:rStyle w:val="FootnoteReference"/>
        </w:rPr>
        <w:footnoteRef/>
      </w:r>
      <w:r>
        <w:t xml:space="preserve"> </w:t>
      </w:r>
      <w:r w:rsidR="005A3229">
        <w:t xml:space="preserve">While </w:t>
      </w:r>
      <w:r w:rsidR="00016D36">
        <w:t xml:space="preserve">the annual data collection indicates that </w:t>
      </w:r>
      <w:r w:rsidR="002E3464">
        <w:t xml:space="preserve">the Circuit Capacity Reports are prepared by varied </w:t>
      </w:r>
      <w:r w:rsidR="00997EE9">
        <w:t>in-house staff</w:t>
      </w:r>
      <w:r w:rsidR="002E3464">
        <w:t>, f</w:t>
      </w:r>
      <w:r w:rsidR="007F2B55">
        <w:t xml:space="preserve">or purposes of computing </w:t>
      </w:r>
      <w:r w:rsidR="007A5765">
        <w:t xml:space="preserve">costs, we </w:t>
      </w:r>
      <w:r w:rsidR="001D0CD8">
        <w:t xml:space="preserve">use an </w:t>
      </w:r>
      <w:r w:rsidRPr="00997EE9" w:rsidR="00997EE9">
        <w:t>estimate</w:t>
      </w:r>
      <w:r w:rsidR="001D0CD8">
        <w:t>d</w:t>
      </w:r>
      <w:r w:rsidRPr="00997EE9" w:rsidR="00997EE9">
        <w:t xml:space="preserve"> median hourly wage </w:t>
      </w:r>
      <w:r w:rsidR="00503C85">
        <w:t>associated with</w:t>
      </w:r>
      <w:r w:rsidRPr="00997EE9" w:rsidR="00997EE9">
        <w:t xml:space="preserve"> paralegals and legal assistants</w:t>
      </w:r>
      <w:r w:rsidR="00997EE9">
        <w:t xml:space="preserve">.  </w:t>
      </w:r>
      <w:r w:rsidRPr="000D5B32" w:rsidR="00393141">
        <w:rPr>
          <w:i/>
          <w:iCs/>
        </w:rPr>
        <w:t>See</w:t>
      </w:r>
      <w:r w:rsidR="00393141">
        <w:t xml:space="preserve"> Bureau of Labor Statistics, Occupational Employment and Wages, </w:t>
      </w:r>
      <w:r w:rsidRPr="001F61F4" w:rsidR="00393141">
        <w:rPr>
          <w:i/>
          <w:iCs/>
        </w:rPr>
        <w:t>Occupational Employment and Wage Statistics (OEWS) Profiles—May 2024 OEWS Profiles</w:t>
      </w:r>
      <w:r w:rsidR="00393141">
        <w:t xml:space="preserve">, </w:t>
      </w:r>
      <w:r w:rsidRPr="009C0C45" w:rsidR="009C0C45">
        <w:t>23-2011 Paralegals and Legal Assistants</w:t>
      </w:r>
      <w:r w:rsidR="00393141">
        <w:t xml:space="preserve">, </w:t>
      </w:r>
      <w:r w:rsidRPr="00066C47" w:rsidR="00066C47">
        <w:t>https://data.bls.gov/oesprofile/</w:t>
      </w:r>
      <w:r w:rsidR="00393141">
        <w:t xml:space="preserve"> (“</w:t>
      </w:r>
      <w:r w:rsidRPr="00377EA6" w:rsidR="00393141">
        <w:t>Mean Hourly Wage</w:t>
      </w:r>
      <w:r w:rsidR="00393141">
        <w:t>”).</w:t>
      </w:r>
      <w:r w:rsidR="00393141">
        <w:t xml:space="preserve"> </w:t>
      </w:r>
    </w:p>
  </w:footnote>
  <w:footnote w:id="29">
    <w:p w:rsidR="00CB39C0" w14:paraId="1ECEA0F3" w14:textId="2210092F">
      <w:pPr>
        <w:pStyle w:val="FootnoteText"/>
      </w:pPr>
      <w:r>
        <w:rPr>
          <w:rStyle w:val="FootnoteReference"/>
        </w:rPr>
        <w:footnoteRef/>
      </w:r>
      <w:r>
        <w:t xml:space="preserve"> FCC, Supporting Statement, OMB Control No. </w:t>
      </w:r>
      <w:r w:rsidRPr="005963F7">
        <w:t>3060-1156</w:t>
      </w:r>
      <w:r>
        <w:t xml:space="preserve"> (Oct. </w:t>
      </w:r>
      <w:r w:rsidRPr="00673D8A">
        <w:t>3</w:t>
      </w:r>
      <w:r>
        <w:t xml:space="preserve">, </w:t>
      </w:r>
      <w:r w:rsidRPr="00673D8A">
        <w:t>2023</w:t>
      </w:r>
      <w:r>
        <w:t xml:space="preserve">), </w:t>
      </w:r>
      <w:hyperlink r:id="rId7" w:history="1">
        <w:r w:rsidRPr="009A2D2B">
          <w:rPr>
            <w:rStyle w:val="Hyperlink"/>
          </w:rPr>
          <w:t>https://www.reginfo.gov/public/do/PRAViewDocument?ref_nbr=202310-3060-001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ACA" w:rsidRPr="00C858B4" w:rsidP="00F66E7F" w14:paraId="7E840006" w14:textId="3ADEBC19">
    <w:pPr>
      <w:pStyle w:val="Header"/>
    </w:pPr>
    <w:r>
      <w:tab/>
      <w:t xml:space="preserve">                                                                                        </w:t>
    </w:r>
    <w:r w:rsidR="00430CFE">
      <w:t xml:space="preserve">       </w:t>
    </w:r>
    <w:r w:rsidRPr="00C858B4">
      <w:t xml:space="preserve">OMB Control </w:t>
    </w:r>
    <w:r w:rsidR="004C198C">
      <w:t>No.</w:t>
    </w:r>
    <w:r w:rsidRPr="00C858B4">
      <w:t xml:space="preserve"> 3060-1156                                               </w:t>
    </w:r>
    <w:r w:rsidRPr="00C858B4">
      <w:tab/>
    </w:r>
    <w:r w:rsidRPr="00C858B4">
      <w:tab/>
      <w:t xml:space="preserve">47 CFR </w:t>
    </w:r>
    <w:r w:rsidR="00F66E7F">
      <w:t xml:space="preserve">§ </w:t>
    </w:r>
    <w:r w:rsidRPr="00C858B4">
      <w:t xml:space="preserve">43.82 </w:t>
    </w:r>
  </w:p>
  <w:p w:rsidR="00EA6ACA" w:rsidRPr="00C858B4" w:rsidP="00F66E7F" w14:paraId="2901D573" w14:textId="77777777">
    <w:pPr>
      <w:pStyle w:val="Header"/>
    </w:pPr>
    <w:r w:rsidRPr="00C858B4">
      <w:tab/>
    </w:r>
    <w:r w:rsidRPr="00C858B4">
      <w:tab/>
      <w:t xml:space="preserve">Annual Circuit Capacity Reports </w:t>
    </w:r>
  </w:p>
  <w:p w:rsidR="0008294F" w:rsidRPr="00EA6ACA" w:rsidP="00F66E7F" w14:paraId="645FDE81" w14:textId="4F26E17F">
    <w:pPr>
      <w:pStyle w:val="Header"/>
    </w:pPr>
    <w:r w:rsidRPr="00C858B4">
      <w:rPr>
        <w:szCs w:val="22"/>
      </w:rPr>
      <w:tab/>
    </w:r>
    <w:r w:rsidRPr="00C858B4">
      <w:rPr>
        <w:szCs w:val="22"/>
      </w:rPr>
      <w:tab/>
    </w:r>
    <w:r w:rsidR="00A30930">
      <w:t>April</w:t>
    </w:r>
    <w:r w:rsidR="008F0914">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076" w:rsidRPr="00C858B4" w:rsidP="00F66E7F" w14:paraId="46035118" w14:textId="77734D45">
    <w:pPr>
      <w:pStyle w:val="Header"/>
    </w:pPr>
    <w:r>
      <w:tab/>
    </w:r>
    <w:r w:rsidRPr="00C858B4" w:rsidR="00C858B4">
      <w:t xml:space="preserve">                                                                                    </w:t>
    </w:r>
    <w:r w:rsidR="003575CE">
      <w:t xml:space="preserve">           </w:t>
    </w:r>
    <w:r w:rsidRPr="00C858B4" w:rsidR="000445FA">
      <w:t>O</w:t>
    </w:r>
    <w:r w:rsidRPr="00C858B4" w:rsidR="00DA31FD">
      <w:t xml:space="preserve">MB Control </w:t>
    </w:r>
    <w:r w:rsidR="00C92914">
      <w:t>No.</w:t>
    </w:r>
    <w:r w:rsidRPr="00C858B4" w:rsidR="00DA31FD">
      <w:t xml:space="preserve"> 3060-1156</w:t>
    </w:r>
    <w:r w:rsidRPr="00C858B4" w:rsidR="005A68F1">
      <w:t xml:space="preserve">                                             </w:t>
    </w:r>
    <w:r w:rsidRPr="00C858B4">
      <w:tab/>
    </w:r>
    <w:r w:rsidRPr="00C858B4">
      <w:tab/>
    </w:r>
    <w:bookmarkStart w:id="4" w:name="_Hlk50708205"/>
    <w:r w:rsidRPr="00C858B4" w:rsidR="007A30A7">
      <w:t xml:space="preserve">47 CFR </w:t>
    </w:r>
    <w:r w:rsidR="000611F3">
      <w:t xml:space="preserve">§ </w:t>
    </w:r>
    <w:r w:rsidRPr="00C858B4" w:rsidR="007A30A7">
      <w:t>43.</w:t>
    </w:r>
    <w:r w:rsidRPr="00C858B4" w:rsidR="00193CEA">
      <w:t>82</w:t>
    </w:r>
    <w:r w:rsidRPr="00C858B4" w:rsidR="007A30A7">
      <w:t xml:space="preserve"> </w:t>
    </w:r>
  </w:p>
  <w:p w:rsidR="005A68F1" w:rsidRPr="00C858B4" w:rsidP="00F66E7F" w14:paraId="0101EB33" w14:textId="266CDF4E">
    <w:pPr>
      <w:pStyle w:val="Header"/>
    </w:pPr>
    <w:r w:rsidRPr="00C858B4">
      <w:tab/>
    </w:r>
    <w:r w:rsidRPr="00C858B4">
      <w:tab/>
    </w:r>
    <w:r w:rsidRPr="00C858B4" w:rsidR="008A5026">
      <w:t xml:space="preserve">Annual Circuit </w:t>
    </w:r>
    <w:r w:rsidRPr="00C858B4" w:rsidR="000445FA">
      <w:t>Capacity</w:t>
    </w:r>
    <w:r w:rsidRPr="00C858B4">
      <w:t xml:space="preserve"> </w:t>
    </w:r>
    <w:r w:rsidRPr="00C858B4" w:rsidR="003C785B">
      <w:t>R</w:t>
    </w:r>
    <w:r w:rsidRPr="00C858B4" w:rsidR="000445FA">
      <w:t xml:space="preserve">eports </w:t>
    </w:r>
  </w:p>
  <w:bookmarkEnd w:id="4"/>
  <w:p w:rsidR="0008294F" w:rsidRPr="00C858B4" w:rsidP="00F66E7F" w14:paraId="41A8AEC3" w14:textId="21A59DEE">
    <w:pPr>
      <w:pStyle w:val="Header"/>
    </w:pPr>
    <w:r w:rsidRPr="00C858B4">
      <w:rPr>
        <w:szCs w:val="22"/>
      </w:rPr>
      <w:tab/>
    </w:r>
    <w:r w:rsidRPr="00C858B4">
      <w:rPr>
        <w:szCs w:val="22"/>
      </w:rPr>
      <w:tab/>
    </w:r>
    <w:r w:rsidR="002E0166">
      <w:t>April</w:t>
    </w:r>
    <w:r w:rsidR="008F0914">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BFD2A53"/>
    <w:multiLevelType w:val="hybridMultilevel"/>
    <w:tmpl w:val="DFEAD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443F89"/>
    <w:multiLevelType w:val="hybridMultilevel"/>
    <w:tmpl w:val="0BAC01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6F38C0"/>
    <w:multiLevelType w:val="hybridMultilevel"/>
    <w:tmpl w:val="0E320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A5150"/>
    <w:multiLevelType w:val="hybridMultilevel"/>
    <w:tmpl w:val="D66A21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51538"/>
    <w:multiLevelType w:val="hybridMultilevel"/>
    <w:tmpl w:val="980C8B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B8597F"/>
    <w:multiLevelType w:val="hybridMultilevel"/>
    <w:tmpl w:val="D0167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6959B8"/>
    <w:multiLevelType w:val="hybridMultilevel"/>
    <w:tmpl w:val="2940FD8A"/>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2">
    <w:nsid w:val="4AEC7F18"/>
    <w:multiLevelType w:val="hybridMultilevel"/>
    <w:tmpl w:val="FC6677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B4310CA"/>
    <w:multiLevelType w:val="hybridMultilevel"/>
    <w:tmpl w:val="ACE08B92"/>
    <w:lvl w:ilvl="0">
      <w:start w:val="2"/>
      <w:numFmt w:val="decimal"/>
      <w:lvlText w:val="(%1)"/>
      <w:lvlJc w:val="left"/>
      <w:pPr>
        <w:tabs>
          <w:tab w:val="num" w:pos="750"/>
        </w:tabs>
        <w:ind w:left="750" w:hanging="39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4F483185"/>
    <w:multiLevelType w:val="hybridMultilevel"/>
    <w:tmpl w:val="7A72DF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5AE3A16"/>
    <w:multiLevelType w:val="hybridMultilevel"/>
    <w:tmpl w:val="D566266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5B96DB1"/>
    <w:multiLevelType w:val="hybridMultilevel"/>
    <w:tmpl w:val="E5080D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722AF0"/>
    <w:multiLevelType w:val="hybridMultilevel"/>
    <w:tmpl w:val="09CAF6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860DBB"/>
    <w:multiLevelType w:val="hybridMultilevel"/>
    <w:tmpl w:val="7F066D8C"/>
    <w:lvl w:ilvl="0">
      <w:start w:val="3"/>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FAC0EBE"/>
    <w:multiLevelType w:val="hybridMultilevel"/>
    <w:tmpl w:val="D71CE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A4079AD"/>
    <w:multiLevelType w:val="hybridMultilevel"/>
    <w:tmpl w:val="83327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29599B"/>
    <w:multiLevelType w:val="hybridMultilevel"/>
    <w:tmpl w:val="5AFE1526"/>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24090E"/>
    <w:multiLevelType w:val="hybridMultilevel"/>
    <w:tmpl w:val="E39422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2EF1961"/>
    <w:multiLevelType w:val="hybridMultilevel"/>
    <w:tmpl w:val="88E07D3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5F87C48"/>
    <w:multiLevelType w:val="hybridMultilevel"/>
    <w:tmpl w:val="376A686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8845271">
    <w:abstractNumId w:val="23"/>
  </w:num>
  <w:num w:numId="2" w16cid:durableId="16780491">
    <w:abstractNumId w:val="15"/>
  </w:num>
  <w:num w:numId="3" w16cid:durableId="1286084554">
    <w:abstractNumId w:val="11"/>
  </w:num>
  <w:num w:numId="4" w16cid:durableId="1785927298">
    <w:abstractNumId w:val="19"/>
  </w:num>
  <w:num w:numId="5" w16cid:durableId="313068640">
    <w:abstractNumId w:val="24"/>
  </w:num>
  <w:num w:numId="6" w16cid:durableId="804545865">
    <w:abstractNumId w:val="16"/>
  </w:num>
  <w:num w:numId="7" w16cid:durableId="57752390">
    <w:abstractNumId w:val="26"/>
  </w:num>
  <w:num w:numId="8" w16cid:durableId="427972324">
    <w:abstractNumId w:val="13"/>
  </w:num>
  <w:num w:numId="9" w16cid:durableId="989600487">
    <w:abstractNumId w:val="21"/>
  </w:num>
  <w:num w:numId="10" w16cid:durableId="2020737101">
    <w:abstractNumId w:val="20"/>
  </w:num>
  <w:num w:numId="11" w16cid:durableId="391778834">
    <w:abstractNumId w:val="4"/>
  </w:num>
  <w:num w:numId="12" w16cid:durableId="1914775187">
    <w:abstractNumId w:val="9"/>
  </w:num>
  <w:num w:numId="13" w16cid:durableId="388189115">
    <w:abstractNumId w:val="1"/>
  </w:num>
  <w:num w:numId="14" w16cid:durableId="520436142">
    <w:abstractNumId w:val="3"/>
  </w:num>
  <w:num w:numId="15" w16cid:durableId="2050760376">
    <w:abstractNumId w:val="10"/>
  </w:num>
  <w:num w:numId="16" w16cid:durableId="636230465">
    <w:abstractNumId w:val="8"/>
  </w:num>
  <w:num w:numId="17" w16cid:durableId="1283457419">
    <w:abstractNumId w:val="5"/>
  </w:num>
  <w:num w:numId="18" w16cid:durableId="1540975921">
    <w:abstractNumId w:val="6"/>
  </w:num>
  <w:num w:numId="19" w16cid:durableId="1691837100">
    <w:abstractNumId w:val="14"/>
  </w:num>
  <w:num w:numId="20" w16cid:durableId="873344368">
    <w:abstractNumId w:val="7"/>
  </w:num>
  <w:num w:numId="21" w16cid:durableId="1407189555">
    <w:abstractNumId w:val="0"/>
  </w:num>
  <w:num w:numId="22" w16cid:durableId="1633899019">
    <w:abstractNumId w:val="12"/>
  </w:num>
  <w:num w:numId="23" w16cid:durableId="1143279638">
    <w:abstractNumId w:val="2"/>
  </w:num>
  <w:num w:numId="24" w16cid:durableId="1206409002">
    <w:abstractNumId w:val="25"/>
  </w:num>
  <w:num w:numId="25" w16cid:durableId="993029092">
    <w:abstractNumId w:val="22"/>
  </w:num>
  <w:num w:numId="26" w16cid:durableId="309527844">
    <w:abstractNumId w:val="21"/>
  </w:num>
  <w:num w:numId="27" w16cid:durableId="791291778">
    <w:abstractNumId w:val="17"/>
  </w:num>
  <w:num w:numId="28" w16cid:durableId="1464732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6"/>
    <w:rsid w:val="000001A8"/>
    <w:rsid w:val="00002096"/>
    <w:rsid w:val="000033F3"/>
    <w:rsid w:val="00003587"/>
    <w:rsid w:val="00006361"/>
    <w:rsid w:val="00007935"/>
    <w:rsid w:val="000107ED"/>
    <w:rsid w:val="000122F8"/>
    <w:rsid w:val="00012A74"/>
    <w:rsid w:val="00013E12"/>
    <w:rsid w:val="00013FAD"/>
    <w:rsid w:val="0001511A"/>
    <w:rsid w:val="00016D36"/>
    <w:rsid w:val="000200D6"/>
    <w:rsid w:val="00021ACD"/>
    <w:rsid w:val="000226DE"/>
    <w:rsid w:val="0002389C"/>
    <w:rsid w:val="00024326"/>
    <w:rsid w:val="00024B5D"/>
    <w:rsid w:val="0002579A"/>
    <w:rsid w:val="00026D15"/>
    <w:rsid w:val="0003114D"/>
    <w:rsid w:val="00031F1A"/>
    <w:rsid w:val="00032E1E"/>
    <w:rsid w:val="000345FF"/>
    <w:rsid w:val="000353D6"/>
    <w:rsid w:val="00035AE1"/>
    <w:rsid w:val="00036174"/>
    <w:rsid w:val="00036D51"/>
    <w:rsid w:val="00037707"/>
    <w:rsid w:val="00040C84"/>
    <w:rsid w:val="0004130E"/>
    <w:rsid w:val="00041F52"/>
    <w:rsid w:val="000426A3"/>
    <w:rsid w:val="000445FA"/>
    <w:rsid w:val="000447AD"/>
    <w:rsid w:val="00046863"/>
    <w:rsid w:val="00047F19"/>
    <w:rsid w:val="00052A7F"/>
    <w:rsid w:val="0005323C"/>
    <w:rsid w:val="00053892"/>
    <w:rsid w:val="000538A7"/>
    <w:rsid w:val="000611F3"/>
    <w:rsid w:val="000618EE"/>
    <w:rsid w:val="00061D8C"/>
    <w:rsid w:val="00062816"/>
    <w:rsid w:val="00063490"/>
    <w:rsid w:val="000646B3"/>
    <w:rsid w:val="000649DC"/>
    <w:rsid w:val="00064FA1"/>
    <w:rsid w:val="000655C8"/>
    <w:rsid w:val="000658F5"/>
    <w:rsid w:val="00066380"/>
    <w:rsid w:val="00066C47"/>
    <w:rsid w:val="00072516"/>
    <w:rsid w:val="00072C53"/>
    <w:rsid w:val="000734D4"/>
    <w:rsid w:val="000734DC"/>
    <w:rsid w:val="00074DFC"/>
    <w:rsid w:val="00075297"/>
    <w:rsid w:val="00075AE8"/>
    <w:rsid w:val="0007693E"/>
    <w:rsid w:val="00077599"/>
    <w:rsid w:val="000775C8"/>
    <w:rsid w:val="000800FD"/>
    <w:rsid w:val="000824C4"/>
    <w:rsid w:val="0008294F"/>
    <w:rsid w:val="00083355"/>
    <w:rsid w:val="000859CA"/>
    <w:rsid w:val="00086C3C"/>
    <w:rsid w:val="00091312"/>
    <w:rsid w:val="00091319"/>
    <w:rsid w:val="00093DC8"/>
    <w:rsid w:val="000941C4"/>
    <w:rsid w:val="00094990"/>
    <w:rsid w:val="00094A51"/>
    <w:rsid w:val="00094BE4"/>
    <w:rsid w:val="00097122"/>
    <w:rsid w:val="000974BE"/>
    <w:rsid w:val="000976BA"/>
    <w:rsid w:val="000A0903"/>
    <w:rsid w:val="000A3015"/>
    <w:rsid w:val="000A3941"/>
    <w:rsid w:val="000A3AD9"/>
    <w:rsid w:val="000A6210"/>
    <w:rsid w:val="000A668B"/>
    <w:rsid w:val="000A673F"/>
    <w:rsid w:val="000A6E73"/>
    <w:rsid w:val="000B0CF3"/>
    <w:rsid w:val="000B3461"/>
    <w:rsid w:val="000B3B2A"/>
    <w:rsid w:val="000B696B"/>
    <w:rsid w:val="000C0114"/>
    <w:rsid w:val="000C0309"/>
    <w:rsid w:val="000C0910"/>
    <w:rsid w:val="000C0BCC"/>
    <w:rsid w:val="000C488C"/>
    <w:rsid w:val="000C6A08"/>
    <w:rsid w:val="000C6C05"/>
    <w:rsid w:val="000C6C8B"/>
    <w:rsid w:val="000C6E66"/>
    <w:rsid w:val="000C724B"/>
    <w:rsid w:val="000D0966"/>
    <w:rsid w:val="000D2826"/>
    <w:rsid w:val="000D413A"/>
    <w:rsid w:val="000D486E"/>
    <w:rsid w:val="000D496E"/>
    <w:rsid w:val="000D5B32"/>
    <w:rsid w:val="000D5FFC"/>
    <w:rsid w:val="000D63DB"/>
    <w:rsid w:val="000D6C42"/>
    <w:rsid w:val="000D6DD6"/>
    <w:rsid w:val="000D745A"/>
    <w:rsid w:val="000D74B8"/>
    <w:rsid w:val="000E19F7"/>
    <w:rsid w:val="000E2366"/>
    <w:rsid w:val="000E2EE8"/>
    <w:rsid w:val="000E3E00"/>
    <w:rsid w:val="000E47C7"/>
    <w:rsid w:val="000E52CE"/>
    <w:rsid w:val="000E5BFE"/>
    <w:rsid w:val="000F024F"/>
    <w:rsid w:val="000F101F"/>
    <w:rsid w:val="000F27AE"/>
    <w:rsid w:val="000F3948"/>
    <w:rsid w:val="000F39C8"/>
    <w:rsid w:val="000F3E15"/>
    <w:rsid w:val="000F4FB5"/>
    <w:rsid w:val="000F6CBC"/>
    <w:rsid w:val="000F6F96"/>
    <w:rsid w:val="000F7866"/>
    <w:rsid w:val="001020F6"/>
    <w:rsid w:val="001034AB"/>
    <w:rsid w:val="001044FD"/>
    <w:rsid w:val="00104894"/>
    <w:rsid w:val="00104AF4"/>
    <w:rsid w:val="00106A96"/>
    <w:rsid w:val="0011052E"/>
    <w:rsid w:val="00110AC6"/>
    <w:rsid w:val="00110DBA"/>
    <w:rsid w:val="00110E71"/>
    <w:rsid w:val="00111480"/>
    <w:rsid w:val="00112483"/>
    <w:rsid w:val="00112CE7"/>
    <w:rsid w:val="00113F77"/>
    <w:rsid w:val="00114987"/>
    <w:rsid w:val="001157C9"/>
    <w:rsid w:val="00115850"/>
    <w:rsid w:val="00115BE1"/>
    <w:rsid w:val="0011672C"/>
    <w:rsid w:val="00116A73"/>
    <w:rsid w:val="00116DCC"/>
    <w:rsid w:val="00116EA8"/>
    <w:rsid w:val="00117542"/>
    <w:rsid w:val="0012159B"/>
    <w:rsid w:val="0012249B"/>
    <w:rsid w:val="00122634"/>
    <w:rsid w:val="00122E82"/>
    <w:rsid w:val="00123833"/>
    <w:rsid w:val="00124582"/>
    <w:rsid w:val="00125279"/>
    <w:rsid w:val="00126117"/>
    <w:rsid w:val="00130BED"/>
    <w:rsid w:val="00136915"/>
    <w:rsid w:val="001406DD"/>
    <w:rsid w:val="00140E5E"/>
    <w:rsid w:val="00141A92"/>
    <w:rsid w:val="00141C69"/>
    <w:rsid w:val="0014201F"/>
    <w:rsid w:val="001429E0"/>
    <w:rsid w:val="00142A35"/>
    <w:rsid w:val="00142A44"/>
    <w:rsid w:val="00143BDC"/>
    <w:rsid w:val="001445C6"/>
    <w:rsid w:val="00146C11"/>
    <w:rsid w:val="0014721A"/>
    <w:rsid w:val="00151555"/>
    <w:rsid w:val="0015203B"/>
    <w:rsid w:val="00152F4F"/>
    <w:rsid w:val="0015358E"/>
    <w:rsid w:val="00153737"/>
    <w:rsid w:val="00153FC2"/>
    <w:rsid w:val="001548F5"/>
    <w:rsid w:val="001605EF"/>
    <w:rsid w:val="00162B65"/>
    <w:rsid w:val="00163C42"/>
    <w:rsid w:val="00163DA4"/>
    <w:rsid w:val="00164B13"/>
    <w:rsid w:val="00164CC6"/>
    <w:rsid w:val="00165108"/>
    <w:rsid w:val="0016728F"/>
    <w:rsid w:val="00167560"/>
    <w:rsid w:val="00170084"/>
    <w:rsid w:val="001703F6"/>
    <w:rsid w:val="00170F8D"/>
    <w:rsid w:val="001711C5"/>
    <w:rsid w:val="001715F5"/>
    <w:rsid w:val="00171E1B"/>
    <w:rsid w:val="00173A83"/>
    <w:rsid w:val="00173FFC"/>
    <w:rsid w:val="00174CA8"/>
    <w:rsid w:val="00176164"/>
    <w:rsid w:val="00181BB5"/>
    <w:rsid w:val="001827EA"/>
    <w:rsid w:val="00183B6E"/>
    <w:rsid w:val="00184660"/>
    <w:rsid w:val="00184A38"/>
    <w:rsid w:val="00184F7F"/>
    <w:rsid w:val="001867E9"/>
    <w:rsid w:val="00187309"/>
    <w:rsid w:val="0019207B"/>
    <w:rsid w:val="001926DC"/>
    <w:rsid w:val="00193968"/>
    <w:rsid w:val="00193CC6"/>
    <w:rsid w:val="00193CEA"/>
    <w:rsid w:val="00196758"/>
    <w:rsid w:val="001A1552"/>
    <w:rsid w:val="001A6C74"/>
    <w:rsid w:val="001A7304"/>
    <w:rsid w:val="001B26FD"/>
    <w:rsid w:val="001B3CC3"/>
    <w:rsid w:val="001B5641"/>
    <w:rsid w:val="001B5F23"/>
    <w:rsid w:val="001B7905"/>
    <w:rsid w:val="001C201D"/>
    <w:rsid w:val="001C30DA"/>
    <w:rsid w:val="001C348E"/>
    <w:rsid w:val="001C4F62"/>
    <w:rsid w:val="001C774E"/>
    <w:rsid w:val="001C7D0C"/>
    <w:rsid w:val="001D0163"/>
    <w:rsid w:val="001D0309"/>
    <w:rsid w:val="001D066A"/>
    <w:rsid w:val="001D0A26"/>
    <w:rsid w:val="001D0CD8"/>
    <w:rsid w:val="001D313E"/>
    <w:rsid w:val="001D3ABB"/>
    <w:rsid w:val="001D433E"/>
    <w:rsid w:val="001E0330"/>
    <w:rsid w:val="001E0DF1"/>
    <w:rsid w:val="001E123F"/>
    <w:rsid w:val="001E18CD"/>
    <w:rsid w:val="001E2213"/>
    <w:rsid w:val="001E252D"/>
    <w:rsid w:val="001E3403"/>
    <w:rsid w:val="001F0064"/>
    <w:rsid w:val="001F045F"/>
    <w:rsid w:val="001F0B09"/>
    <w:rsid w:val="001F24A5"/>
    <w:rsid w:val="001F2B27"/>
    <w:rsid w:val="001F2BC4"/>
    <w:rsid w:val="001F34C4"/>
    <w:rsid w:val="001F390D"/>
    <w:rsid w:val="001F4209"/>
    <w:rsid w:val="001F45D3"/>
    <w:rsid w:val="001F5B54"/>
    <w:rsid w:val="001F61F4"/>
    <w:rsid w:val="001F6298"/>
    <w:rsid w:val="001F688B"/>
    <w:rsid w:val="0020185B"/>
    <w:rsid w:val="00202183"/>
    <w:rsid w:val="00202441"/>
    <w:rsid w:val="00202E9F"/>
    <w:rsid w:val="0020470F"/>
    <w:rsid w:val="00204A75"/>
    <w:rsid w:val="00206353"/>
    <w:rsid w:val="00207E0C"/>
    <w:rsid w:val="002100BE"/>
    <w:rsid w:val="0021047D"/>
    <w:rsid w:val="002108D2"/>
    <w:rsid w:val="00210A94"/>
    <w:rsid w:val="0021308B"/>
    <w:rsid w:val="002168E5"/>
    <w:rsid w:val="00216A2B"/>
    <w:rsid w:val="00216F16"/>
    <w:rsid w:val="00220882"/>
    <w:rsid w:val="0022144C"/>
    <w:rsid w:val="00221F15"/>
    <w:rsid w:val="002220C5"/>
    <w:rsid w:val="002262CE"/>
    <w:rsid w:val="002271FF"/>
    <w:rsid w:val="00227DF8"/>
    <w:rsid w:val="002313E5"/>
    <w:rsid w:val="002327C4"/>
    <w:rsid w:val="00232849"/>
    <w:rsid w:val="00233380"/>
    <w:rsid w:val="002339CE"/>
    <w:rsid w:val="0023438F"/>
    <w:rsid w:val="0023464C"/>
    <w:rsid w:val="002350C6"/>
    <w:rsid w:val="00235988"/>
    <w:rsid w:val="00237C8F"/>
    <w:rsid w:val="00241191"/>
    <w:rsid w:val="0024177A"/>
    <w:rsid w:val="00241AE5"/>
    <w:rsid w:val="002501EB"/>
    <w:rsid w:val="002506EE"/>
    <w:rsid w:val="002506FE"/>
    <w:rsid w:val="00250714"/>
    <w:rsid w:val="00250DF4"/>
    <w:rsid w:val="002510D5"/>
    <w:rsid w:val="00251F9A"/>
    <w:rsid w:val="00253205"/>
    <w:rsid w:val="0025450B"/>
    <w:rsid w:val="002552DE"/>
    <w:rsid w:val="00255ACD"/>
    <w:rsid w:val="00256DFD"/>
    <w:rsid w:val="00261567"/>
    <w:rsid w:val="00261E43"/>
    <w:rsid w:val="00263FA4"/>
    <w:rsid w:val="002647B1"/>
    <w:rsid w:val="00264844"/>
    <w:rsid w:val="00266682"/>
    <w:rsid w:val="002670D6"/>
    <w:rsid w:val="002702EA"/>
    <w:rsid w:val="00271679"/>
    <w:rsid w:val="002716AB"/>
    <w:rsid w:val="00273E4D"/>
    <w:rsid w:val="00275220"/>
    <w:rsid w:val="00275726"/>
    <w:rsid w:val="0027592B"/>
    <w:rsid w:val="002766BD"/>
    <w:rsid w:val="0027762B"/>
    <w:rsid w:val="00277B48"/>
    <w:rsid w:val="00277E9F"/>
    <w:rsid w:val="00280CCB"/>
    <w:rsid w:val="002821A3"/>
    <w:rsid w:val="002831AB"/>
    <w:rsid w:val="00285E4A"/>
    <w:rsid w:val="00286220"/>
    <w:rsid w:val="0028622D"/>
    <w:rsid w:val="002868B2"/>
    <w:rsid w:val="00286E74"/>
    <w:rsid w:val="00286F4D"/>
    <w:rsid w:val="0028729D"/>
    <w:rsid w:val="0029074B"/>
    <w:rsid w:val="00293AAB"/>
    <w:rsid w:val="002944A3"/>
    <w:rsid w:val="00296850"/>
    <w:rsid w:val="002971BF"/>
    <w:rsid w:val="00297795"/>
    <w:rsid w:val="002A0906"/>
    <w:rsid w:val="002A0AF1"/>
    <w:rsid w:val="002A0FA0"/>
    <w:rsid w:val="002A2AFB"/>
    <w:rsid w:val="002A364B"/>
    <w:rsid w:val="002A4307"/>
    <w:rsid w:val="002A4CC2"/>
    <w:rsid w:val="002A4F16"/>
    <w:rsid w:val="002A632C"/>
    <w:rsid w:val="002A6671"/>
    <w:rsid w:val="002A6FA2"/>
    <w:rsid w:val="002B0568"/>
    <w:rsid w:val="002B38B9"/>
    <w:rsid w:val="002B3AAC"/>
    <w:rsid w:val="002B3C6A"/>
    <w:rsid w:val="002B4153"/>
    <w:rsid w:val="002B4EB1"/>
    <w:rsid w:val="002C18F6"/>
    <w:rsid w:val="002C4989"/>
    <w:rsid w:val="002C7717"/>
    <w:rsid w:val="002D0190"/>
    <w:rsid w:val="002D068A"/>
    <w:rsid w:val="002D0A63"/>
    <w:rsid w:val="002D2E39"/>
    <w:rsid w:val="002D37B7"/>
    <w:rsid w:val="002D4726"/>
    <w:rsid w:val="002D4A96"/>
    <w:rsid w:val="002D541E"/>
    <w:rsid w:val="002D599F"/>
    <w:rsid w:val="002D5E01"/>
    <w:rsid w:val="002D72CC"/>
    <w:rsid w:val="002E0166"/>
    <w:rsid w:val="002E0B03"/>
    <w:rsid w:val="002E0D8E"/>
    <w:rsid w:val="002E11EE"/>
    <w:rsid w:val="002E2026"/>
    <w:rsid w:val="002E2969"/>
    <w:rsid w:val="002E3464"/>
    <w:rsid w:val="002E38EF"/>
    <w:rsid w:val="002E57DB"/>
    <w:rsid w:val="002E6EB2"/>
    <w:rsid w:val="002F08DE"/>
    <w:rsid w:val="002F240E"/>
    <w:rsid w:val="002F2F2B"/>
    <w:rsid w:val="002F357A"/>
    <w:rsid w:val="002F4351"/>
    <w:rsid w:val="002F4B43"/>
    <w:rsid w:val="002F51B6"/>
    <w:rsid w:val="002F566D"/>
    <w:rsid w:val="002F58CD"/>
    <w:rsid w:val="002F795A"/>
    <w:rsid w:val="002F7B14"/>
    <w:rsid w:val="0030287A"/>
    <w:rsid w:val="003039EE"/>
    <w:rsid w:val="0030548B"/>
    <w:rsid w:val="00306A45"/>
    <w:rsid w:val="00306CDE"/>
    <w:rsid w:val="00306EB0"/>
    <w:rsid w:val="00307D56"/>
    <w:rsid w:val="00311633"/>
    <w:rsid w:val="003120FF"/>
    <w:rsid w:val="00313B9F"/>
    <w:rsid w:val="00313F02"/>
    <w:rsid w:val="00314493"/>
    <w:rsid w:val="00315A57"/>
    <w:rsid w:val="00316229"/>
    <w:rsid w:val="00317DE9"/>
    <w:rsid w:val="00322BDA"/>
    <w:rsid w:val="00322FF3"/>
    <w:rsid w:val="00324CFB"/>
    <w:rsid w:val="003320B5"/>
    <w:rsid w:val="00335259"/>
    <w:rsid w:val="00335629"/>
    <w:rsid w:val="00336155"/>
    <w:rsid w:val="00336F49"/>
    <w:rsid w:val="0033774B"/>
    <w:rsid w:val="00337B02"/>
    <w:rsid w:val="0034149D"/>
    <w:rsid w:val="00341A90"/>
    <w:rsid w:val="003425B2"/>
    <w:rsid w:val="00342F87"/>
    <w:rsid w:val="00344594"/>
    <w:rsid w:val="00344614"/>
    <w:rsid w:val="00344898"/>
    <w:rsid w:val="00344CD0"/>
    <w:rsid w:val="003458A6"/>
    <w:rsid w:val="00347215"/>
    <w:rsid w:val="00347605"/>
    <w:rsid w:val="003479B6"/>
    <w:rsid w:val="00347C1D"/>
    <w:rsid w:val="00347C4B"/>
    <w:rsid w:val="00350D09"/>
    <w:rsid w:val="00350F6B"/>
    <w:rsid w:val="00353DB0"/>
    <w:rsid w:val="00354189"/>
    <w:rsid w:val="00354513"/>
    <w:rsid w:val="003556B3"/>
    <w:rsid w:val="003558FF"/>
    <w:rsid w:val="003562B9"/>
    <w:rsid w:val="003575CE"/>
    <w:rsid w:val="00357F9A"/>
    <w:rsid w:val="00357FD2"/>
    <w:rsid w:val="0036175C"/>
    <w:rsid w:val="00361BCD"/>
    <w:rsid w:val="0036356F"/>
    <w:rsid w:val="00364487"/>
    <w:rsid w:val="00365CD6"/>
    <w:rsid w:val="00365FFF"/>
    <w:rsid w:val="0036750A"/>
    <w:rsid w:val="0037265B"/>
    <w:rsid w:val="003732E8"/>
    <w:rsid w:val="00373F86"/>
    <w:rsid w:val="00377690"/>
    <w:rsid w:val="00377EA6"/>
    <w:rsid w:val="00377EBD"/>
    <w:rsid w:val="003803AA"/>
    <w:rsid w:val="00382007"/>
    <w:rsid w:val="00384A99"/>
    <w:rsid w:val="00384AE4"/>
    <w:rsid w:val="00385DC0"/>
    <w:rsid w:val="0038640D"/>
    <w:rsid w:val="00391A2B"/>
    <w:rsid w:val="00391C01"/>
    <w:rsid w:val="003926CD"/>
    <w:rsid w:val="0039303A"/>
    <w:rsid w:val="00393141"/>
    <w:rsid w:val="00393799"/>
    <w:rsid w:val="00394925"/>
    <w:rsid w:val="003956A6"/>
    <w:rsid w:val="00397544"/>
    <w:rsid w:val="00397CB2"/>
    <w:rsid w:val="003A05B3"/>
    <w:rsid w:val="003A0B8A"/>
    <w:rsid w:val="003A0E97"/>
    <w:rsid w:val="003A1BFC"/>
    <w:rsid w:val="003A1C05"/>
    <w:rsid w:val="003A3F5E"/>
    <w:rsid w:val="003A41D2"/>
    <w:rsid w:val="003A68BD"/>
    <w:rsid w:val="003A75EF"/>
    <w:rsid w:val="003B1555"/>
    <w:rsid w:val="003B1595"/>
    <w:rsid w:val="003B4118"/>
    <w:rsid w:val="003B48A1"/>
    <w:rsid w:val="003B52E9"/>
    <w:rsid w:val="003B5568"/>
    <w:rsid w:val="003C01E6"/>
    <w:rsid w:val="003C0D1F"/>
    <w:rsid w:val="003C1FC2"/>
    <w:rsid w:val="003C36FF"/>
    <w:rsid w:val="003C39A9"/>
    <w:rsid w:val="003C439A"/>
    <w:rsid w:val="003C4E46"/>
    <w:rsid w:val="003C5CEA"/>
    <w:rsid w:val="003C5FC3"/>
    <w:rsid w:val="003C6FD4"/>
    <w:rsid w:val="003C7534"/>
    <w:rsid w:val="003C785B"/>
    <w:rsid w:val="003C7DA8"/>
    <w:rsid w:val="003D12C0"/>
    <w:rsid w:val="003D142E"/>
    <w:rsid w:val="003D61F7"/>
    <w:rsid w:val="003D66B6"/>
    <w:rsid w:val="003D6F5A"/>
    <w:rsid w:val="003E3016"/>
    <w:rsid w:val="003E34E9"/>
    <w:rsid w:val="003E35C5"/>
    <w:rsid w:val="003E4BFC"/>
    <w:rsid w:val="003E54EB"/>
    <w:rsid w:val="003E6DAF"/>
    <w:rsid w:val="003E6E52"/>
    <w:rsid w:val="003F0F59"/>
    <w:rsid w:val="003F103F"/>
    <w:rsid w:val="003F1A2B"/>
    <w:rsid w:val="003F2B47"/>
    <w:rsid w:val="003F54CF"/>
    <w:rsid w:val="003F7E77"/>
    <w:rsid w:val="00400494"/>
    <w:rsid w:val="004004D2"/>
    <w:rsid w:val="00401DD9"/>
    <w:rsid w:val="00401F27"/>
    <w:rsid w:val="004029BE"/>
    <w:rsid w:val="0040691D"/>
    <w:rsid w:val="00407168"/>
    <w:rsid w:val="00410751"/>
    <w:rsid w:val="0041234A"/>
    <w:rsid w:val="00412A7F"/>
    <w:rsid w:val="00413B6C"/>
    <w:rsid w:val="004142C6"/>
    <w:rsid w:val="00424DEC"/>
    <w:rsid w:val="00426D4D"/>
    <w:rsid w:val="00427528"/>
    <w:rsid w:val="00427AD4"/>
    <w:rsid w:val="00430CFE"/>
    <w:rsid w:val="004359EE"/>
    <w:rsid w:val="004362C8"/>
    <w:rsid w:val="00436587"/>
    <w:rsid w:val="004373DB"/>
    <w:rsid w:val="00437E9A"/>
    <w:rsid w:val="00440BB7"/>
    <w:rsid w:val="004419EA"/>
    <w:rsid w:val="00442A20"/>
    <w:rsid w:val="004438DF"/>
    <w:rsid w:val="00443CA2"/>
    <w:rsid w:val="0044420B"/>
    <w:rsid w:val="0044452C"/>
    <w:rsid w:val="00445A05"/>
    <w:rsid w:val="0044709B"/>
    <w:rsid w:val="00447494"/>
    <w:rsid w:val="00452BE6"/>
    <w:rsid w:val="00453129"/>
    <w:rsid w:val="00455C30"/>
    <w:rsid w:val="004579CB"/>
    <w:rsid w:val="004619F6"/>
    <w:rsid w:val="00463185"/>
    <w:rsid w:val="00463219"/>
    <w:rsid w:val="00465B87"/>
    <w:rsid w:val="00466D5F"/>
    <w:rsid w:val="0047098C"/>
    <w:rsid w:val="0047177E"/>
    <w:rsid w:val="00474105"/>
    <w:rsid w:val="00474E7B"/>
    <w:rsid w:val="00476559"/>
    <w:rsid w:val="00476C11"/>
    <w:rsid w:val="0048003E"/>
    <w:rsid w:val="00482267"/>
    <w:rsid w:val="00482BEF"/>
    <w:rsid w:val="0048743C"/>
    <w:rsid w:val="00490001"/>
    <w:rsid w:val="00490025"/>
    <w:rsid w:val="0049052A"/>
    <w:rsid w:val="00490697"/>
    <w:rsid w:val="00491E04"/>
    <w:rsid w:val="004925E9"/>
    <w:rsid w:val="00492FAD"/>
    <w:rsid w:val="00494525"/>
    <w:rsid w:val="00494747"/>
    <w:rsid w:val="0049661A"/>
    <w:rsid w:val="00497D8C"/>
    <w:rsid w:val="004A0258"/>
    <w:rsid w:val="004A0CA8"/>
    <w:rsid w:val="004A14DF"/>
    <w:rsid w:val="004A2666"/>
    <w:rsid w:val="004A3CC9"/>
    <w:rsid w:val="004A3DA7"/>
    <w:rsid w:val="004A491B"/>
    <w:rsid w:val="004A5929"/>
    <w:rsid w:val="004A6C9A"/>
    <w:rsid w:val="004A7B21"/>
    <w:rsid w:val="004B08F9"/>
    <w:rsid w:val="004B1191"/>
    <w:rsid w:val="004B44CC"/>
    <w:rsid w:val="004B63CA"/>
    <w:rsid w:val="004C0B77"/>
    <w:rsid w:val="004C0D6D"/>
    <w:rsid w:val="004C1730"/>
    <w:rsid w:val="004C198C"/>
    <w:rsid w:val="004C2F3F"/>
    <w:rsid w:val="004C3419"/>
    <w:rsid w:val="004C5314"/>
    <w:rsid w:val="004C5DC8"/>
    <w:rsid w:val="004C7596"/>
    <w:rsid w:val="004D0E51"/>
    <w:rsid w:val="004D1504"/>
    <w:rsid w:val="004D16D4"/>
    <w:rsid w:val="004D3386"/>
    <w:rsid w:val="004D5507"/>
    <w:rsid w:val="004D5753"/>
    <w:rsid w:val="004D5F76"/>
    <w:rsid w:val="004D7A38"/>
    <w:rsid w:val="004E070A"/>
    <w:rsid w:val="004E293E"/>
    <w:rsid w:val="004E49E1"/>
    <w:rsid w:val="004E4FC8"/>
    <w:rsid w:val="004E522C"/>
    <w:rsid w:val="004E5B5D"/>
    <w:rsid w:val="004E640F"/>
    <w:rsid w:val="004E729C"/>
    <w:rsid w:val="004F1C4F"/>
    <w:rsid w:val="004F230E"/>
    <w:rsid w:val="004F2C6A"/>
    <w:rsid w:val="004F4A60"/>
    <w:rsid w:val="004F5E9D"/>
    <w:rsid w:val="004F72D6"/>
    <w:rsid w:val="00501860"/>
    <w:rsid w:val="00502248"/>
    <w:rsid w:val="0050291F"/>
    <w:rsid w:val="005031F8"/>
    <w:rsid w:val="00503C85"/>
    <w:rsid w:val="00504066"/>
    <w:rsid w:val="00504078"/>
    <w:rsid w:val="00504AC4"/>
    <w:rsid w:val="0050632F"/>
    <w:rsid w:val="005063EC"/>
    <w:rsid w:val="00506622"/>
    <w:rsid w:val="00507079"/>
    <w:rsid w:val="00507ACB"/>
    <w:rsid w:val="00511F23"/>
    <w:rsid w:val="005121D9"/>
    <w:rsid w:val="005144AC"/>
    <w:rsid w:val="005147AB"/>
    <w:rsid w:val="0051497F"/>
    <w:rsid w:val="005159E3"/>
    <w:rsid w:val="00515ABB"/>
    <w:rsid w:val="005164F5"/>
    <w:rsid w:val="00516B94"/>
    <w:rsid w:val="0052019E"/>
    <w:rsid w:val="0052049E"/>
    <w:rsid w:val="00520C05"/>
    <w:rsid w:val="00524AAB"/>
    <w:rsid w:val="00525162"/>
    <w:rsid w:val="00525238"/>
    <w:rsid w:val="005262EA"/>
    <w:rsid w:val="0052678A"/>
    <w:rsid w:val="0052691E"/>
    <w:rsid w:val="005273B5"/>
    <w:rsid w:val="005306FC"/>
    <w:rsid w:val="00531752"/>
    <w:rsid w:val="00531E70"/>
    <w:rsid w:val="005320F0"/>
    <w:rsid w:val="00535C02"/>
    <w:rsid w:val="00536050"/>
    <w:rsid w:val="0053640A"/>
    <w:rsid w:val="00542072"/>
    <w:rsid w:val="0054331A"/>
    <w:rsid w:val="0054363D"/>
    <w:rsid w:val="00544E9B"/>
    <w:rsid w:val="00545660"/>
    <w:rsid w:val="00545B15"/>
    <w:rsid w:val="005462EE"/>
    <w:rsid w:val="005502B6"/>
    <w:rsid w:val="00550B54"/>
    <w:rsid w:val="00551087"/>
    <w:rsid w:val="0055121C"/>
    <w:rsid w:val="00551C9E"/>
    <w:rsid w:val="00551F76"/>
    <w:rsid w:val="0055205B"/>
    <w:rsid w:val="005524A0"/>
    <w:rsid w:val="005547A4"/>
    <w:rsid w:val="00555DCB"/>
    <w:rsid w:val="005563BD"/>
    <w:rsid w:val="005610B4"/>
    <w:rsid w:val="00562962"/>
    <w:rsid w:val="0056305E"/>
    <w:rsid w:val="00563BC9"/>
    <w:rsid w:val="00564224"/>
    <w:rsid w:val="00565591"/>
    <w:rsid w:val="00567C62"/>
    <w:rsid w:val="0057088C"/>
    <w:rsid w:val="005726F0"/>
    <w:rsid w:val="00572803"/>
    <w:rsid w:val="005737BE"/>
    <w:rsid w:val="00580046"/>
    <w:rsid w:val="00580467"/>
    <w:rsid w:val="005821A1"/>
    <w:rsid w:val="00582B66"/>
    <w:rsid w:val="00584C7D"/>
    <w:rsid w:val="00586DDF"/>
    <w:rsid w:val="005900CD"/>
    <w:rsid w:val="00593629"/>
    <w:rsid w:val="0059542A"/>
    <w:rsid w:val="00595CA5"/>
    <w:rsid w:val="00595CB6"/>
    <w:rsid w:val="005963F7"/>
    <w:rsid w:val="00596F42"/>
    <w:rsid w:val="005A23D1"/>
    <w:rsid w:val="005A311D"/>
    <w:rsid w:val="005A3229"/>
    <w:rsid w:val="005A36EF"/>
    <w:rsid w:val="005A4336"/>
    <w:rsid w:val="005A4B45"/>
    <w:rsid w:val="005A68F1"/>
    <w:rsid w:val="005B1A8E"/>
    <w:rsid w:val="005B2AB2"/>
    <w:rsid w:val="005B3BC2"/>
    <w:rsid w:val="005B5544"/>
    <w:rsid w:val="005B6877"/>
    <w:rsid w:val="005B6900"/>
    <w:rsid w:val="005B79BB"/>
    <w:rsid w:val="005C02B5"/>
    <w:rsid w:val="005C0B8C"/>
    <w:rsid w:val="005C7A3A"/>
    <w:rsid w:val="005E02FD"/>
    <w:rsid w:val="005E123A"/>
    <w:rsid w:val="005E213E"/>
    <w:rsid w:val="005E2596"/>
    <w:rsid w:val="005E3FFC"/>
    <w:rsid w:val="005F0A2A"/>
    <w:rsid w:val="005F16A1"/>
    <w:rsid w:val="005F1BF2"/>
    <w:rsid w:val="005F30F2"/>
    <w:rsid w:val="005F354E"/>
    <w:rsid w:val="005F4487"/>
    <w:rsid w:val="005F5553"/>
    <w:rsid w:val="005F664C"/>
    <w:rsid w:val="00606136"/>
    <w:rsid w:val="00606CF7"/>
    <w:rsid w:val="006118AB"/>
    <w:rsid w:val="006134A9"/>
    <w:rsid w:val="00614998"/>
    <w:rsid w:val="00615128"/>
    <w:rsid w:val="00615386"/>
    <w:rsid w:val="00615BB0"/>
    <w:rsid w:val="0061717C"/>
    <w:rsid w:val="006176E9"/>
    <w:rsid w:val="0062038D"/>
    <w:rsid w:val="0062084E"/>
    <w:rsid w:val="00621C9F"/>
    <w:rsid w:val="00622087"/>
    <w:rsid w:val="00623B7B"/>
    <w:rsid w:val="00623E15"/>
    <w:rsid w:val="00624203"/>
    <w:rsid w:val="0062476E"/>
    <w:rsid w:val="00624832"/>
    <w:rsid w:val="00626422"/>
    <w:rsid w:val="006276D1"/>
    <w:rsid w:val="00627B45"/>
    <w:rsid w:val="00627EBA"/>
    <w:rsid w:val="006326FF"/>
    <w:rsid w:val="0063279E"/>
    <w:rsid w:val="00635DD9"/>
    <w:rsid w:val="006379D3"/>
    <w:rsid w:val="00637E20"/>
    <w:rsid w:val="00637FAE"/>
    <w:rsid w:val="0064224F"/>
    <w:rsid w:val="00642E4F"/>
    <w:rsid w:val="00643FBE"/>
    <w:rsid w:val="00644B7F"/>
    <w:rsid w:val="0064691B"/>
    <w:rsid w:val="00650484"/>
    <w:rsid w:val="00650BBA"/>
    <w:rsid w:val="006530A3"/>
    <w:rsid w:val="0065310E"/>
    <w:rsid w:val="00653320"/>
    <w:rsid w:val="00653519"/>
    <w:rsid w:val="00653A2E"/>
    <w:rsid w:val="00653AE3"/>
    <w:rsid w:val="006553F0"/>
    <w:rsid w:val="00655539"/>
    <w:rsid w:val="00655784"/>
    <w:rsid w:val="00656541"/>
    <w:rsid w:val="006577EB"/>
    <w:rsid w:val="006612FF"/>
    <w:rsid w:val="00667A88"/>
    <w:rsid w:val="00667ABD"/>
    <w:rsid w:val="00667B58"/>
    <w:rsid w:val="00671CBB"/>
    <w:rsid w:val="00672365"/>
    <w:rsid w:val="0067333D"/>
    <w:rsid w:val="006735EF"/>
    <w:rsid w:val="00673D8A"/>
    <w:rsid w:val="0067477C"/>
    <w:rsid w:val="00674945"/>
    <w:rsid w:val="00674E48"/>
    <w:rsid w:val="006758A7"/>
    <w:rsid w:val="006758B5"/>
    <w:rsid w:val="00676743"/>
    <w:rsid w:val="00677C89"/>
    <w:rsid w:val="00681407"/>
    <w:rsid w:val="006829C1"/>
    <w:rsid w:val="00682BC0"/>
    <w:rsid w:val="00683713"/>
    <w:rsid w:val="00684AE1"/>
    <w:rsid w:val="00684DFA"/>
    <w:rsid w:val="00685025"/>
    <w:rsid w:val="00686357"/>
    <w:rsid w:val="006903B2"/>
    <w:rsid w:val="00690E7B"/>
    <w:rsid w:val="0069186A"/>
    <w:rsid w:val="006934F8"/>
    <w:rsid w:val="006937FB"/>
    <w:rsid w:val="006948B9"/>
    <w:rsid w:val="00694CD0"/>
    <w:rsid w:val="00697449"/>
    <w:rsid w:val="00697799"/>
    <w:rsid w:val="00697DFE"/>
    <w:rsid w:val="006A0F26"/>
    <w:rsid w:val="006A1E6C"/>
    <w:rsid w:val="006A2D55"/>
    <w:rsid w:val="006A4CF7"/>
    <w:rsid w:val="006A4D98"/>
    <w:rsid w:val="006A573D"/>
    <w:rsid w:val="006A5E2A"/>
    <w:rsid w:val="006A6741"/>
    <w:rsid w:val="006A6C31"/>
    <w:rsid w:val="006B2772"/>
    <w:rsid w:val="006B2A5A"/>
    <w:rsid w:val="006B2CEB"/>
    <w:rsid w:val="006B3CE0"/>
    <w:rsid w:val="006B7006"/>
    <w:rsid w:val="006B7CB1"/>
    <w:rsid w:val="006C1128"/>
    <w:rsid w:val="006C169D"/>
    <w:rsid w:val="006C2CBA"/>
    <w:rsid w:val="006C33B3"/>
    <w:rsid w:val="006C3924"/>
    <w:rsid w:val="006C3A3B"/>
    <w:rsid w:val="006C4BFB"/>
    <w:rsid w:val="006C5A22"/>
    <w:rsid w:val="006C5D43"/>
    <w:rsid w:val="006C6758"/>
    <w:rsid w:val="006C70F4"/>
    <w:rsid w:val="006D045F"/>
    <w:rsid w:val="006D04C8"/>
    <w:rsid w:val="006D1D92"/>
    <w:rsid w:val="006D34D4"/>
    <w:rsid w:val="006D5B5E"/>
    <w:rsid w:val="006E0187"/>
    <w:rsid w:val="006E1961"/>
    <w:rsid w:val="006E2A0C"/>
    <w:rsid w:val="006E3507"/>
    <w:rsid w:val="006E5EB9"/>
    <w:rsid w:val="006E6078"/>
    <w:rsid w:val="006F0F02"/>
    <w:rsid w:val="006F19EF"/>
    <w:rsid w:val="006F263A"/>
    <w:rsid w:val="006F321C"/>
    <w:rsid w:val="006F3A7A"/>
    <w:rsid w:val="006F3E16"/>
    <w:rsid w:val="006F4BE7"/>
    <w:rsid w:val="006F63B1"/>
    <w:rsid w:val="006F6656"/>
    <w:rsid w:val="0070198A"/>
    <w:rsid w:val="00702CAC"/>
    <w:rsid w:val="00704864"/>
    <w:rsid w:val="00710980"/>
    <w:rsid w:val="00712074"/>
    <w:rsid w:val="00712203"/>
    <w:rsid w:val="007123AC"/>
    <w:rsid w:val="00713681"/>
    <w:rsid w:val="007139F5"/>
    <w:rsid w:val="0071405A"/>
    <w:rsid w:val="007212C4"/>
    <w:rsid w:val="0072133F"/>
    <w:rsid w:val="007218B0"/>
    <w:rsid w:val="007223AB"/>
    <w:rsid w:val="00722534"/>
    <w:rsid w:val="0072379A"/>
    <w:rsid w:val="00723DCC"/>
    <w:rsid w:val="00723F11"/>
    <w:rsid w:val="007244DD"/>
    <w:rsid w:val="00725FF5"/>
    <w:rsid w:val="00726318"/>
    <w:rsid w:val="007311A2"/>
    <w:rsid w:val="007344AE"/>
    <w:rsid w:val="007379AD"/>
    <w:rsid w:val="00737A8F"/>
    <w:rsid w:val="007403D2"/>
    <w:rsid w:val="00742A3F"/>
    <w:rsid w:val="007439F4"/>
    <w:rsid w:val="00744699"/>
    <w:rsid w:val="00744E3B"/>
    <w:rsid w:val="00747F21"/>
    <w:rsid w:val="00751BB5"/>
    <w:rsid w:val="00751ECF"/>
    <w:rsid w:val="007536A2"/>
    <w:rsid w:val="0075384F"/>
    <w:rsid w:val="0075491B"/>
    <w:rsid w:val="00754ACC"/>
    <w:rsid w:val="00755D4A"/>
    <w:rsid w:val="00757062"/>
    <w:rsid w:val="00757AAB"/>
    <w:rsid w:val="00760F59"/>
    <w:rsid w:val="0076142D"/>
    <w:rsid w:val="00761E54"/>
    <w:rsid w:val="007627E5"/>
    <w:rsid w:val="007628FC"/>
    <w:rsid w:val="00763114"/>
    <w:rsid w:val="0076415D"/>
    <w:rsid w:val="00764582"/>
    <w:rsid w:val="00767C4C"/>
    <w:rsid w:val="00771371"/>
    <w:rsid w:val="00772526"/>
    <w:rsid w:val="00772AB8"/>
    <w:rsid w:val="00773858"/>
    <w:rsid w:val="00773A31"/>
    <w:rsid w:val="0077437E"/>
    <w:rsid w:val="007803D7"/>
    <w:rsid w:val="0078078C"/>
    <w:rsid w:val="0078145A"/>
    <w:rsid w:val="007852F4"/>
    <w:rsid w:val="007859A6"/>
    <w:rsid w:val="00785E92"/>
    <w:rsid w:val="00786222"/>
    <w:rsid w:val="00786AAB"/>
    <w:rsid w:val="00787472"/>
    <w:rsid w:val="007912AF"/>
    <w:rsid w:val="00792D2E"/>
    <w:rsid w:val="0079330E"/>
    <w:rsid w:val="00794C5C"/>
    <w:rsid w:val="00795A62"/>
    <w:rsid w:val="0079657A"/>
    <w:rsid w:val="0079726F"/>
    <w:rsid w:val="007A0FD8"/>
    <w:rsid w:val="007A30A7"/>
    <w:rsid w:val="007A43F9"/>
    <w:rsid w:val="007A51E9"/>
    <w:rsid w:val="007A5765"/>
    <w:rsid w:val="007A5D97"/>
    <w:rsid w:val="007A6849"/>
    <w:rsid w:val="007B06F1"/>
    <w:rsid w:val="007B5470"/>
    <w:rsid w:val="007B595F"/>
    <w:rsid w:val="007B6DF9"/>
    <w:rsid w:val="007B70D1"/>
    <w:rsid w:val="007B7530"/>
    <w:rsid w:val="007B799D"/>
    <w:rsid w:val="007C0C9D"/>
    <w:rsid w:val="007C12CE"/>
    <w:rsid w:val="007C35CE"/>
    <w:rsid w:val="007C35F3"/>
    <w:rsid w:val="007C3831"/>
    <w:rsid w:val="007C4AA1"/>
    <w:rsid w:val="007C51CA"/>
    <w:rsid w:val="007D075B"/>
    <w:rsid w:val="007D2B66"/>
    <w:rsid w:val="007D3401"/>
    <w:rsid w:val="007D3752"/>
    <w:rsid w:val="007D43E8"/>
    <w:rsid w:val="007D4C5C"/>
    <w:rsid w:val="007D515D"/>
    <w:rsid w:val="007D559E"/>
    <w:rsid w:val="007D66E1"/>
    <w:rsid w:val="007D7FE6"/>
    <w:rsid w:val="007E193A"/>
    <w:rsid w:val="007E3F94"/>
    <w:rsid w:val="007E56C8"/>
    <w:rsid w:val="007E7424"/>
    <w:rsid w:val="007F0A92"/>
    <w:rsid w:val="007F0C6B"/>
    <w:rsid w:val="007F0CB0"/>
    <w:rsid w:val="007F18B2"/>
    <w:rsid w:val="007F2B55"/>
    <w:rsid w:val="007F307F"/>
    <w:rsid w:val="007F33C9"/>
    <w:rsid w:val="007F3896"/>
    <w:rsid w:val="007F447C"/>
    <w:rsid w:val="007F579A"/>
    <w:rsid w:val="007F7D57"/>
    <w:rsid w:val="00800FA6"/>
    <w:rsid w:val="008014D7"/>
    <w:rsid w:val="008029BB"/>
    <w:rsid w:val="00805B07"/>
    <w:rsid w:val="00805FA9"/>
    <w:rsid w:val="00812778"/>
    <w:rsid w:val="00813F80"/>
    <w:rsid w:val="00817185"/>
    <w:rsid w:val="008172A0"/>
    <w:rsid w:val="00817638"/>
    <w:rsid w:val="008179FB"/>
    <w:rsid w:val="00817E5D"/>
    <w:rsid w:val="00822A70"/>
    <w:rsid w:val="00823BE4"/>
    <w:rsid w:val="00824D24"/>
    <w:rsid w:val="00826E51"/>
    <w:rsid w:val="00827054"/>
    <w:rsid w:val="008327B7"/>
    <w:rsid w:val="00832B3F"/>
    <w:rsid w:val="00833C54"/>
    <w:rsid w:val="0083587A"/>
    <w:rsid w:val="008364C0"/>
    <w:rsid w:val="008374A5"/>
    <w:rsid w:val="00840C44"/>
    <w:rsid w:val="008410E1"/>
    <w:rsid w:val="00841DC7"/>
    <w:rsid w:val="00841E3E"/>
    <w:rsid w:val="0084202C"/>
    <w:rsid w:val="008423A2"/>
    <w:rsid w:val="0084344C"/>
    <w:rsid w:val="00844856"/>
    <w:rsid w:val="00844D55"/>
    <w:rsid w:val="0084745E"/>
    <w:rsid w:val="0084771A"/>
    <w:rsid w:val="008517E0"/>
    <w:rsid w:val="0085232E"/>
    <w:rsid w:val="00852368"/>
    <w:rsid w:val="00854822"/>
    <w:rsid w:val="00854ABD"/>
    <w:rsid w:val="008558DE"/>
    <w:rsid w:val="00856308"/>
    <w:rsid w:val="008565FF"/>
    <w:rsid w:val="0085718A"/>
    <w:rsid w:val="008604B9"/>
    <w:rsid w:val="0086078D"/>
    <w:rsid w:val="0086132B"/>
    <w:rsid w:val="00863BBE"/>
    <w:rsid w:val="008641A6"/>
    <w:rsid w:val="00864350"/>
    <w:rsid w:val="00864885"/>
    <w:rsid w:val="00864B37"/>
    <w:rsid w:val="00865505"/>
    <w:rsid w:val="00866F73"/>
    <w:rsid w:val="008673DA"/>
    <w:rsid w:val="00867D49"/>
    <w:rsid w:val="00871B23"/>
    <w:rsid w:val="00872A98"/>
    <w:rsid w:val="00875540"/>
    <w:rsid w:val="008762D5"/>
    <w:rsid w:val="0087650A"/>
    <w:rsid w:val="00877CE0"/>
    <w:rsid w:val="00877D5D"/>
    <w:rsid w:val="00877FA7"/>
    <w:rsid w:val="00880671"/>
    <w:rsid w:val="008814DB"/>
    <w:rsid w:val="008816F3"/>
    <w:rsid w:val="00883700"/>
    <w:rsid w:val="00884202"/>
    <w:rsid w:val="00884A79"/>
    <w:rsid w:val="00884B09"/>
    <w:rsid w:val="008857E1"/>
    <w:rsid w:val="008857E6"/>
    <w:rsid w:val="00886975"/>
    <w:rsid w:val="0089260F"/>
    <w:rsid w:val="008942DA"/>
    <w:rsid w:val="0089612D"/>
    <w:rsid w:val="00896893"/>
    <w:rsid w:val="00897224"/>
    <w:rsid w:val="00897E34"/>
    <w:rsid w:val="008A1A4B"/>
    <w:rsid w:val="008A1ACF"/>
    <w:rsid w:val="008A308A"/>
    <w:rsid w:val="008A4257"/>
    <w:rsid w:val="008A483E"/>
    <w:rsid w:val="008A5026"/>
    <w:rsid w:val="008A5483"/>
    <w:rsid w:val="008A6FE2"/>
    <w:rsid w:val="008A7506"/>
    <w:rsid w:val="008B15CA"/>
    <w:rsid w:val="008B1CEB"/>
    <w:rsid w:val="008B584D"/>
    <w:rsid w:val="008B58AE"/>
    <w:rsid w:val="008B6065"/>
    <w:rsid w:val="008B6A52"/>
    <w:rsid w:val="008B7D63"/>
    <w:rsid w:val="008C052C"/>
    <w:rsid w:val="008C09A8"/>
    <w:rsid w:val="008C10E7"/>
    <w:rsid w:val="008C21BD"/>
    <w:rsid w:val="008C21DB"/>
    <w:rsid w:val="008C29D7"/>
    <w:rsid w:val="008C34CB"/>
    <w:rsid w:val="008C4554"/>
    <w:rsid w:val="008C541E"/>
    <w:rsid w:val="008D01CE"/>
    <w:rsid w:val="008D0444"/>
    <w:rsid w:val="008D078C"/>
    <w:rsid w:val="008D0953"/>
    <w:rsid w:val="008D1D66"/>
    <w:rsid w:val="008D46E4"/>
    <w:rsid w:val="008D5A53"/>
    <w:rsid w:val="008D6948"/>
    <w:rsid w:val="008E179E"/>
    <w:rsid w:val="008E2792"/>
    <w:rsid w:val="008E29B2"/>
    <w:rsid w:val="008E2CFC"/>
    <w:rsid w:val="008E3091"/>
    <w:rsid w:val="008E3C0F"/>
    <w:rsid w:val="008E427B"/>
    <w:rsid w:val="008E48A8"/>
    <w:rsid w:val="008E4EA6"/>
    <w:rsid w:val="008E7D1B"/>
    <w:rsid w:val="008F0914"/>
    <w:rsid w:val="008F26C1"/>
    <w:rsid w:val="008F30D1"/>
    <w:rsid w:val="008F35E7"/>
    <w:rsid w:val="009007AA"/>
    <w:rsid w:val="00902660"/>
    <w:rsid w:val="009028B7"/>
    <w:rsid w:val="00903B85"/>
    <w:rsid w:val="00904EE0"/>
    <w:rsid w:val="0090562E"/>
    <w:rsid w:val="0090647A"/>
    <w:rsid w:val="00912DB4"/>
    <w:rsid w:val="009144B5"/>
    <w:rsid w:val="009144F2"/>
    <w:rsid w:val="009145CD"/>
    <w:rsid w:val="009158A2"/>
    <w:rsid w:val="0091646E"/>
    <w:rsid w:val="00916AFE"/>
    <w:rsid w:val="009201BA"/>
    <w:rsid w:val="009238C0"/>
    <w:rsid w:val="00923CEE"/>
    <w:rsid w:val="00924114"/>
    <w:rsid w:val="00924977"/>
    <w:rsid w:val="00925A96"/>
    <w:rsid w:val="009264A5"/>
    <w:rsid w:val="009270A1"/>
    <w:rsid w:val="00931376"/>
    <w:rsid w:val="00931467"/>
    <w:rsid w:val="009315A8"/>
    <w:rsid w:val="00931E2D"/>
    <w:rsid w:val="0093338B"/>
    <w:rsid w:val="00935EF1"/>
    <w:rsid w:val="009366BD"/>
    <w:rsid w:val="009379CD"/>
    <w:rsid w:val="00941687"/>
    <w:rsid w:val="00941AFB"/>
    <w:rsid w:val="0094346E"/>
    <w:rsid w:val="0094398C"/>
    <w:rsid w:val="00944A6E"/>
    <w:rsid w:val="009452D1"/>
    <w:rsid w:val="00952499"/>
    <w:rsid w:val="00953092"/>
    <w:rsid w:val="00953E10"/>
    <w:rsid w:val="00956F46"/>
    <w:rsid w:val="00957C56"/>
    <w:rsid w:val="009607B6"/>
    <w:rsid w:val="0096148A"/>
    <w:rsid w:val="00961D11"/>
    <w:rsid w:val="00962558"/>
    <w:rsid w:val="00962F45"/>
    <w:rsid w:val="00963249"/>
    <w:rsid w:val="00965ECB"/>
    <w:rsid w:val="009664E4"/>
    <w:rsid w:val="00966509"/>
    <w:rsid w:val="009665D4"/>
    <w:rsid w:val="00966AB7"/>
    <w:rsid w:val="00970CCF"/>
    <w:rsid w:val="00971C87"/>
    <w:rsid w:val="00973A8D"/>
    <w:rsid w:val="00974832"/>
    <w:rsid w:val="00975C96"/>
    <w:rsid w:val="00976630"/>
    <w:rsid w:val="0098083F"/>
    <w:rsid w:val="00980ECD"/>
    <w:rsid w:val="009830C0"/>
    <w:rsid w:val="00983760"/>
    <w:rsid w:val="00984927"/>
    <w:rsid w:val="00984D9D"/>
    <w:rsid w:val="00985DF1"/>
    <w:rsid w:val="0098604E"/>
    <w:rsid w:val="009864FD"/>
    <w:rsid w:val="0099023F"/>
    <w:rsid w:val="009910DD"/>
    <w:rsid w:val="00991357"/>
    <w:rsid w:val="00993711"/>
    <w:rsid w:val="009939F3"/>
    <w:rsid w:val="00994EEF"/>
    <w:rsid w:val="0099591F"/>
    <w:rsid w:val="00996048"/>
    <w:rsid w:val="00997026"/>
    <w:rsid w:val="00997EE9"/>
    <w:rsid w:val="009A1003"/>
    <w:rsid w:val="009A1385"/>
    <w:rsid w:val="009A2D2B"/>
    <w:rsid w:val="009A4A92"/>
    <w:rsid w:val="009B0738"/>
    <w:rsid w:val="009B30D2"/>
    <w:rsid w:val="009B3D56"/>
    <w:rsid w:val="009B4435"/>
    <w:rsid w:val="009B6A01"/>
    <w:rsid w:val="009C08FB"/>
    <w:rsid w:val="009C0C45"/>
    <w:rsid w:val="009C213B"/>
    <w:rsid w:val="009C4D52"/>
    <w:rsid w:val="009C6678"/>
    <w:rsid w:val="009D7496"/>
    <w:rsid w:val="009D7D6A"/>
    <w:rsid w:val="009E34FE"/>
    <w:rsid w:val="009E4DFB"/>
    <w:rsid w:val="009E5094"/>
    <w:rsid w:val="009E55AC"/>
    <w:rsid w:val="009F05A2"/>
    <w:rsid w:val="009F1B63"/>
    <w:rsid w:val="009F2169"/>
    <w:rsid w:val="009F325F"/>
    <w:rsid w:val="009F56EA"/>
    <w:rsid w:val="009F58AD"/>
    <w:rsid w:val="009F69B8"/>
    <w:rsid w:val="009F7C23"/>
    <w:rsid w:val="00A00B76"/>
    <w:rsid w:val="00A01580"/>
    <w:rsid w:val="00A02115"/>
    <w:rsid w:val="00A06439"/>
    <w:rsid w:val="00A07F6C"/>
    <w:rsid w:val="00A11109"/>
    <w:rsid w:val="00A11C42"/>
    <w:rsid w:val="00A11DFA"/>
    <w:rsid w:val="00A129CF"/>
    <w:rsid w:val="00A13095"/>
    <w:rsid w:val="00A13EFB"/>
    <w:rsid w:val="00A14B33"/>
    <w:rsid w:val="00A14C7C"/>
    <w:rsid w:val="00A14D49"/>
    <w:rsid w:val="00A15E95"/>
    <w:rsid w:val="00A2017D"/>
    <w:rsid w:val="00A207AB"/>
    <w:rsid w:val="00A208A6"/>
    <w:rsid w:val="00A20C09"/>
    <w:rsid w:val="00A21FD8"/>
    <w:rsid w:val="00A255EA"/>
    <w:rsid w:val="00A25B05"/>
    <w:rsid w:val="00A260BF"/>
    <w:rsid w:val="00A30930"/>
    <w:rsid w:val="00A31977"/>
    <w:rsid w:val="00A34379"/>
    <w:rsid w:val="00A34DE7"/>
    <w:rsid w:val="00A34E84"/>
    <w:rsid w:val="00A414E7"/>
    <w:rsid w:val="00A42E69"/>
    <w:rsid w:val="00A4360C"/>
    <w:rsid w:val="00A43F8D"/>
    <w:rsid w:val="00A44BD2"/>
    <w:rsid w:val="00A45671"/>
    <w:rsid w:val="00A4621F"/>
    <w:rsid w:val="00A465B1"/>
    <w:rsid w:val="00A47064"/>
    <w:rsid w:val="00A503A7"/>
    <w:rsid w:val="00A50434"/>
    <w:rsid w:val="00A50696"/>
    <w:rsid w:val="00A524EC"/>
    <w:rsid w:val="00A52D9B"/>
    <w:rsid w:val="00A5316A"/>
    <w:rsid w:val="00A53494"/>
    <w:rsid w:val="00A54088"/>
    <w:rsid w:val="00A55308"/>
    <w:rsid w:val="00A55423"/>
    <w:rsid w:val="00A554C0"/>
    <w:rsid w:val="00A57BF3"/>
    <w:rsid w:val="00A60A8D"/>
    <w:rsid w:val="00A60D46"/>
    <w:rsid w:val="00A60E53"/>
    <w:rsid w:val="00A613EC"/>
    <w:rsid w:val="00A618D4"/>
    <w:rsid w:val="00A62D52"/>
    <w:rsid w:val="00A63EEA"/>
    <w:rsid w:val="00A652DD"/>
    <w:rsid w:val="00A665D7"/>
    <w:rsid w:val="00A668EA"/>
    <w:rsid w:val="00A7184B"/>
    <w:rsid w:val="00A72CC7"/>
    <w:rsid w:val="00A73815"/>
    <w:rsid w:val="00A74987"/>
    <w:rsid w:val="00A76161"/>
    <w:rsid w:val="00A76EA1"/>
    <w:rsid w:val="00A77F46"/>
    <w:rsid w:val="00A809AC"/>
    <w:rsid w:val="00A80B8A"/>
    <w:rsid w:val="00A834FB"/>
    <w:rsid w:val="00A83879"/>
    <w:rsid w:val="00A876A2"/>
    <w:rsid w:val="00A902EE"/>
    <w:rsid w:val="00A92B1E"/>
    <w:rsid w:val="00A94A40"/>
    <w:rsid w:val="00A97AEA"/>
    <w:rsid w:val="00AA151B"/>
    <w:rsid w:val="00AA3171"/>
    <w:rsid w:val="00AA33EB"/>
    <w:rsid w:val="00AA370B"/>
    <w:rsid w:val="00AA4D55"/>
    <w:rsid w:val="00AA57F2"/>
    <w:rsid w:val="00AA7F80"/>
    <w:rsid w:val="00AB07D2"/>
    <w:rsid w:val="00AB18FE"/>
    <w:rsid w:val="00AB2679"/>
    <w:rsid w:val="00AB5E95"/>
    <w:rsid w:val="00AB79F9"/>
    <w:rsid w:val="00AC0199"/>
    <w:rsid w:val="00AC21D4"/>
    <w:rsid w:val="00AC239E"/>
    <w:rsid w:val="00AC388F"/>
    <w:rsid w:val="00AC483A"/>
    <w:rsid w:val="00AC61E5"/>
    <w:rsid w:val="00AD1150"/>
    <w:rsid w:val="00AD1E2C"/>
    <w:rsid w:val="00AD2F6A"/>
    <w:rsid w:val="00AD4FF0"/>
    <w:rsid w:val="00AD5F3D"/>
    <w:rsid w:val="00AD7755"/>
    <w:rsid w:val="00AE0FA2"/>
    <w:rsid w:val="00AE45E2"/>
    <w:rsid w:val="00AE5ADA"/>
    <w:rsid w:val="00AE7044"/>
    <w:rsid w:val="00AF02EF"/>
    <w:rsid w:val="00AF09FD"/>
    <w:rsid w:val="00AF1A62"/>
    <w:rsid w:val="00AF1BCA"/>
    <w:rsid w:val="00AF6AB2"/>
    <w:rsid w:val="00B00D45"/>
    <w:rsid w:val="00B03979"/>
    <w:rsid w:val="00B04E55"/>
    <w:rsid w:val="00B05589"/>
    <w:rsid w:val="00B05DCB"/>
    <w:rsid w:val="00B10AEC"/>
    <w:rsid w:val="00B11D84"/>
    <w:rsid w:val="00B1248C"/>
    <w:rsid w:val="00B125CF"/>
    <w:rsid w:val="00B16239"/>
    <w:rsid w:val="00B17072"/>
    <w:rsid w:val="00B17855"/>
    <w:rsid w:val="00B178A5"/>
    <w:rsid w:val="00B20119"/>
    <w:rsid w:val="00B22894"/>
    <w:rsid w:val="00B23EF6"/>
    <w:rsid w:val="00B25722"/>
    <w:rsid w:val="00B30995"/>
    <w:rsid w:val="00B31972"/>
    <w:rsid w:val="00B32F5E"/>
    <w:rsid w:val="00B33393"/>
    <w:rsid w:val="00B41AE7"/>
    <w:rsid w:val="00B42262"/>
    <w:rsid w:val="00B45145"/>
    <w:rsid w:val="00B4629F"/>
    <w:rsid w:val="00B463EF"/>
    <w:rsid w:val="00B4685F"/>
    <w:rsid w:val="00B46C87"/>
    <w:rsid w:val="00B46DAF"/>
    <w:rsid w:val="00B50FE6"/>
    <w:rsid w:val="00B5360B"/>
    <w:rsid w:val="00B54882"/>
    <w:rsid w:val="00B56470"/>
    <w:rsid w:val="00B643A7"/>
    <w:rsid w:val="00B64ABE"/>
    <w:rsid w:val="00B65B77"/>
    <w:rsid w:val="00B66798"/>
    <w:rsid w:val="00B66A2E"/>
    <w:rsid w:val="00B70BC5"/>
    <w:rsid w:val="00B715DE"/>
    <w:rsid w:val="00B71B22"/>
    <w:rsid w:val="00B725BD"/>
    <w:rsid w:val="00B727E8"/>
    <w:rsid w:val="00B73A90"/>
    <w:rsid w:val="00B806BB"/>
    <w:rsid w:val="00B806F4"/>
    <w:rsid w:val="00B8205F"/>
    <w:rsid w:val="00B8297A"/>
    <w:rsid w:val="00B83199"/>
    <w:rsid w:val="00B84ED1"/>
    <w:rsid w:val="00B85769"/>
    <w:rsid w:val="00B866FB"/>
    <w:rsid w:val="00B8701B"/>
    <w:rsid w:val="00B871CA"/>
    <w:rsid w:val="00B87B21"/>
    <w:rsid w:val="00B91371"/>
    <w:rsid w:val="00B9205A"/>
    <w:rsid w:val="00B93C9C"/>
    <w:rsid w:val="00B94212"/>
    <w:rsid w:val="00B96F42"/>
    <w:rsid w:val="00BA04F9"/>
    <w:rsid w:val="00BA2F09"/>
    <w:rsid w:val="00BA30DD"/>
    <w:rsid w:val="00BA4C43"/>
    <w:rsid w:val="00BA4CA4"/>
    <w:rsid w:val="00BA64DB"/>
    <w:rsid w:val="00BA7BBB"/>
    <w:rsid w:val="00BB1CB6"/>
    <w:rsid w:val="00BB22F3"/>
    <w:rsid w:val="00BB4060"/>
    <w:rsid w:val="00BB5C04"/>
    <w:rsid w:val="00BB6763"/>
    <w:rsid w:val="00BB6F64"/>
    <w:rsid w:val="00BC06BB"/>
    <w:rsid w:val="00BC1FCB"/>
    <w:rsid w:val="00BC2076"/>
    <w:rsid w:val="00BC2A2F"/>
    <w:rsid w:val="00BC3AEF"/>
    <w:rsid w:val="00BC69FC"/>
    <w:rsid w:val="00BC6D60"/>
    <w:rsid w:val="00BC7128"/>
    <w:rsid w:val="00BC720A"/>
    <w:rsid w:val="00BC728C"/>
    <w:rsid w:val="00BD0A74"/>
    <w:rsid w:val="00BD13BD"/>
    <w:rsid w:val="00BD2395"/>
    <w:rsid w:val="00BD4075"/>
    <w:rsid w:val="00BD6C65"/>
    <w:rsid w:val="00BD709D"/>
    <w:rsid w:val="00BD7B6C"/>
    <w:rsid w:val="00BE2886"/>
    <w:rsid w:val="00BE32BF"/>
    <w:rsid w:val="00BE3C8C"/>
    <w:rsid w:val="00BE5DE8"/>
    <w:rsid w:val="00BE68EA"/>
    <w:rsid w:val="00BE7666"/>
    <w:rsid w:val="00BF0D2D"/>
    <w:rsid w:val="00BF11C5"/>
    <w:rsid w:val="00BF1CCA"/>
    <w:rsid w:val="00BF2E2B"/>
    <w:rsid w:val="00BF3D22"/>
    <w:rsid w:val="00BF4053"/>
    <w:rsid w:val="00BF52B9"/>
    <w:rsid w:val="00BF612D"/>
    <w:rsid w:val="00BF7206"/>
    <w:rsid w:val="00BF7C86"/>
    <w:rsid w:val="00BF7CFD"/>
    <w:rsid w:val="00C002A5"/>
    <w:rsid w:val="00C003DB"/>
    <w:rsid w:val="00C008F3"/>
    <w:rsid w:val="00C00D09"/>
    <w:rsid w:val="00C0157D"/>
    <w:rsid w:val="00C02875"/>
    <w:rsid w:val="00C03347"/>
    <w:rsid w:val="00C0359E"/>
    <w:rsid w:val="00C04B05"/>
    <w:rsid w:val="00C04C42"/>
    <w:rsid w:val="00C04D03"/>
    <w:rsid w:val="00C05D8F"/>
    <w:rsid w:val="00C11707"/>
    <w:rsid w:val="00C11CFA"/>
    <w:rsid w:val="00C120F5"/>
    <w:rsid w:val="00C1220A"/>
    <w:rsid w:val="00C14EBE"/>
    <w:rsid w:val="00C15EBE"/>
    <w:rsid w:val="00C16BF9"/>
    <w:rsid w:val="00C17AF3"/>
    <w:rsid w:val="00C2167F"/>
    <w:rsid w:val="00C22374"/>
    <w:rsid w:val="00C22AAE"/>
    <w:rsid w:val="00C22EED"/>
    <w:rsid w:val="00C23C98"/>
    <w:rsid w:val="00C23E61"/>
    <w:rsid w:val="00C250BF"/>
    <w:rsid w:val="00C25AAE"/>
    <w:rsid w:val="00C2604F"/>
    <w:rsid w:val="00C26927"/>
    <w:rsid w:val="00C27769"/>
    <w:rsid w:val="00C27DE7"/>
    <w:rsid w:val="00C27ED0"/>
    <w:rsid w:val="00C27FB4"/>
    <w:rsid w:val="00C30E48"/>
    <w:rsid w:val="00C3122D"/>
    <w:rsid w:val="00C32C4A"/>
    <w:rsid w:val="00C3342F"/>
    <w:rsid w:val="00C338FC"/>
    <w:rsid w:val="00C34506"/>
    <w:rsid w:val="00C34EAC"/>
    <w:rsid w:val="00C369EA"/>
    <w:rsid w:val="00C36F1C"/>
    <w:rsid w:val="00C374B9"/>
    <w:rsid w:val="00C40EBD"/>
    <w:rsid w:val="00C41535"/>
    <w:rsid w:val="00C41C3C"/>
    <w:rsid w:val="00C4235C"/>
    <w:rsid w:val="00C42D80"/>
    <w:rsid w:val="00C4339B"/>
    <w:rsid w:val="00C452E6"/>
    <w:rsid w:val="00C45D08"/>
    <w:rsid w:val="00C45F18"/>
    <w:rsid w:val="00C46397"/>
    <w:rsid w:val="00C4671D"/>
    <w:rsid w:val="00C50184"/>
    <w:rsid w:val="00C50A63"/>
    <w:rsid w:val="00C53197"/>
    <w:rsid w:val="00C531CD"/>
    <w:rsid w:val="00C53A8B"/>
    <w:rsid w:val="00C54F32"/>
    <w:rsid w:val="00C55501"/>
    <w:rsid w:val="00C571A2"/>
    <w:rsid w:val="00C57C19"/>
    <w:rsid w:val="00C6054A"/>
    <w:rsid w:val="00C61104"/>
    <w:rsid w:val="00C612B8"/>
    <w:rsid w:val="00C618E3"/>
    <w:rsid w:val="00C62571"/>
    <w:rsid w:val="00C6493B"/>
    <w:rsid w:val="00C65054"/>
    <w:rsid w:val="00C65C3C"/>
    <w:rsid w:val="00C65D1A"/>
    <w:rsid w:val="00C660D1"/>
    <w:rsid w:val="00C667D1"/>
    <w:rsid w:val="00C66CBC"/>
    <w:rsid w:val="00C67556"/>
    <w:rsid w:val="00C7020B"/>
    <w:rsid w:val="00C71129"/>
    <w:rsid w:val="00C71731"/>
    <w:rsid w:val="00C719F0"/>
    <w:rsid w:val="00C74391"/>
    <w:rsid w:val="00C743C9"/>
    <w:rsid w:val="00C81606"/>
    <w:rsid w:val="00C816E2"/>
    <w:rsid w:val="00C81FFE"/>
    <w:rsid w:val="00C827B5"/>
    <w:rsid w:val="00C839F3"/>
    <w:rsid w:val="00C83B1C"/>
    <w:rsid w:val="00C858B4"/>
    <w:rsid w:val="00C85B8D"/>
    <w:rsid w:val="00C85DCB"/>
    <w:rsid w:val="00C86FD5"/>
    <w:rsid w:val="00C878CF"/>
    <w:rsid w:val="00C87980"/>
    <w:rsid w:val="00C90482"/>
    <w:rsid w:val="00C90519"/>
    <w:rsid w:val="00C90A04"/>
    <w:rsid w:val="00C92914"/>
    <w:rsid w:val="00C93639"/>
    <w:rsid w:val="00C94E12"/>
    <w:rsid w:val="00C94EE9"/>
    <w:rsid w:val="00C95788"/>
    <w:rsid w:val="00C97531"/>
    <w:rsid w:val="00CA0AE5"/>
    <w:rsid w:val="00CA0B67"/>
    <w:rsid w:val="00CA1937"/>
    <w:rsid w:val="00CA1DEC"/>
    <w:rsid w:val="00CA20EF"/>
    <w:rsid w:val="00CA2676"/>
    <w:rsid w:val="00CA2D1E"/>
    <w:rsid w:val="00CA3E7D"/>
    <w:rsid w:val="00CA467D"/>
    <w:rsid w:val="00CA639F"/>
    <w:rsid w:val="00CA6E00"/>
    <w:rsid w:val="00CB052B"/>
    <w:rsid w:val="00CB0885"/>
    <w:rsid w:val="00CB12B1"/>
    <w:rsid w:val="00CB39C0"/>
    <w:rsid w:val="00CB6048"/>
    <w:rsid w:val="00CB6769"/>
    <w:rsid w:val="00CB6873"/>
    <w:rsid w:val="00CB75C5"/>
    <w:rsid w:val="00CC01F0"/>
    <w:rsid w:val="00CC0336"/>
    <w:rsid w:val="00CC191E"/>
    <w:rsid w:val="00CC2B85"/>
    <w:rsid w:val="00CC482A"/>
    <w:rsid w:val="00CC4CDD"/>
    <w:rsid w:val="00CC6DE1"/>
    <w:rsid w:val="00CD00AD"/>
    <w:rsid w:val="00CD1E1B"/>
    <w:rsid w:val="00CD2A3A"/>
    <w:rsid w:val="00CD4393"/>
    <w:rsid w:val="00CD50E5"/>
    <w:rsid w:val="00CD6299"/>
    <w:rsid w:val="00CD63EA"/>
    <w:rsid w:val="00CD74D0"/>
    <w:rsid w:val="00CD7DFB"/>
    <w:rsid w:val="00CE1D7F"/>
    <w:rsid w:val="00CE2231"/>
    <w:rsid w:val="00CE45E2"/>
    <w:rsid w:val="00CE4784"/>
    <w:rsid w:val="00CE4A7C"/>
    <w:rsid w:val="00CE5002"/>
    <w:rsid w:val="00CE5034"/>
    <w:rsid w:val="00CE6197"/>
    <w:rsid w:val="00CE7F0D"/>
    <w:rsid w:val="00CF0314"/>
    <w:rsid w:val="00CF289A"/>
    <w:rsid w:val="00CF42C7"/>
    <w:rsid w:val="00CF55CF"/>
    <w:rsid w:val="00CF5944"/>
    <w:rsid w:val="00CF706D"/>
    <w:rsid w:val="00D0129E"/>
    <w:rsid w:val="00D023F8"/>
    <w:rsid w:val="00D0390F"/>
    <w:rsid w:val="00D045E8"/>
    <w:rsid w:val="00D04F70"/>
    <w:rsid w:val="00D05DFB"/>
    <w:rsid w:val="00D0628A"/>
    <w:rsid w:val="00D0655D"/>
    <w:rsid w:val="00D10D33"/>
    <w:rsid w:val="00D10DE1"/>
    <w:rsid w:val="00D119F0"/>
    <w:rsid w:val="00D1219D"/>
    <w:rsid w:val="00D16CEE"/>
    <w:rsid w:val="00D17E6D"/>
    <w:rsid w:val="00D21CEB"/>
    <w:rsid w:val="00D23A51"/>
    <w:rsid w:val="00D253F8"/>
    <w:rsid w:val="00D25D9E"/>
    <w:rsid w:val="00D26BC3"/>
    <w:rsid w:val="00D30218"/>
    <w:rsid w:val="00D30520"/>
    <w:rsid w:val="00D30976"/>
    <w:rsid w:val="00D32AFA"/>
    <w:rsid w:val="00D360D0"/>
    <w:rsid w:val="00D36B06"/>
    <w:rsid w:val="00D377F4"/>
    <w:rsid w:val="00D40818"/>
    <w:rsid w:val="00D40FD3"/>
    <w:rsid w:val="00D41D6C"/>
    <w:rsid w:val="00D42BFB"/>
    <w:rsid w:val="00D42C74"/>
    <w:rsid w:val="00D43282"/>
    <w:rsid w:val="00D433B2"/>
    <w:rsid w:val="00D451E6"/>
    <w:rsid w:val="00D465AF"/>
    <w:rsid w:val="00D46874"/>
    <w:rsid w:val="00D46CF9"/>
    <w:rsid w:val="00D471A9"/>
    <w:rsid w:val="00D50143"/>
    <w:rsid w:val="00D5352E"/>
    <w:rsid w:val="00D55EAD"/>
    <w:rsid w:val="00D56520"/>
    <w:rsid w:val="00D56C45"/>
    <w:rsid w:val="00D578BD"/>
    <w:rsid w:val="00D600F3"/>
    <w:rsid w:val="00D6011B"/>
    <w:rsid w:val="00D61002"/>
    <w:rsid w:val="00D616D6"/>
    <w:rsid w:val="00D63111"/>
    <w:rsid w:val="00D645CD"/>
    <w:rsid w:val="00D65921"/>
    <w:rsid w:val="00D65C76"/>
    <w:rsid w:val="00D743AC"/>
    <w:rsid w:val="00D75001"/>
    <w:rsid w:val="00D816C5"/>
    <w:rsid w:val="00D823F9"/>
    <w:rsid w:val="00D83AA1"/>
    <w:rsid w:val="00D83E71"/>
    <w:rsid w:val="00D857B2"/>
    <w:rsid w:val="00D85F91"/>
    <w:rsid w:val="00D86136"/>
    <w:rsid w:val="00D87369"/>
    <w:rsid w:val="00D908EB"/>
    <w:rsid w:val="00D92A87"/>
    <w:rsid w:val="00D93B0B"/>
    <w:rsid w:val="00D93EF6"/>
    <w:rsid w:val="00D942D1"/>
    <w:rsid w:val="00D94E70"/>
    <w:rsid w:val="00D9692F"/>
    <w:rsid w:val="00DA2B6D"/>
    <w:rsid w:val="00DA31FD"/>
    <w:rsid w:val="00DA33A1"/>
    <w:rsid w:val="00DA3D4B"/>
    <w:rsid w:val="00DA418D"/>
    <w:rsid w:val="00DA59AA"/>
    <w:rsid w:val="00DA714E"/>
    <w:rsid w:val="00DA7CE9"/>
    <w:rsid w:val="00DA7D6D"/>
    <w:rsid w:val="00DB0F27"/>
    <w:rsid w:val="00DB279B"/>
    <w:rsid w:val="00DB326B"/>
    <w:rsid w:val="00DB3739"/>
    <w:rsid w:val="00DB5F2D"/>
    <w:rsid w:val="00DB70C0"/>
    <w:rsid w:val="00DB76B0"/>
    <w:rsid w:val="00DC2988"/>
    <w:rsid w:val="00DC4D0F"/>
    <w:rsid w:val="00DC52DF"/>
    <w:rsid w:val="00DC5DA9"/>
    <w:rsid w:val="00DD0455"/>
    <w:rsid w:val="00DD2686"/>
    <w:rsid w:val="00DD36B3"/>
    <w:rsid w:val="00DD3B26"/>
    <w:rsid w:val="00DD5886"/>
    <w:rsid w:val="00DD706F"/>
    <w:rsid w:val="00DD7903"/>
    <w:rsid w:val="00DE02B7"/>
    <w:rsid w:val="00DE3953"/>
    <w:rsid w:val="00DE5D26"/>
    <w:rsid w:val="00DE7A61"/>
    <w:rsid w:val="00DE7F2E"/>
    <w:rsid w:val="00DF006C"/>
    <w:rsid w:val="00DF09D9"/>
    <w:rsid w:val="00DF15A0"/>
    <w:rsid w:val="00DF1CF7"/>
    <w:rsid w:val="00DF254F"/>
    <w:rsid w:val="00DF41CF"/>
    <w:rsid w:val="00DF4AB3"/>
    <w:rsid w:val="00DF5128"/>
    <w:rsid w:val="00E005EF"/>
    <w:rsid w:val="00E02DD5"/>
    <w:rsid w:val="00E032A1"/>
    <w:rsid w:val="00E03DFE"/>
    <w:rsid w:val="00E04B42"/>
    <w:rsid w:val="00E05053"/>
    <w:rsid w:val="00E056E3"/>
    <w:rsid w:val="00E105A4"/>
    <w:rsid w:val="00E124E5"/>
    <w:rsid w:val="00E13A14"/>
    <w:rsid w:val="00E13E30"/>
    <w:rsid w:val="00E16E3A"/>
    <w:rsid w:val="00E17315"/>
    <w:rsid w:val="00E1782F"/>
    <w:rsid w:val="00E17CB6"/>
    <w:rsid w:val="00E203B4"/>
    <w:rsid w:val="00E2297D"/>
    <w:rsid w:val="00E22B81"/>
    <w:rsid w:val="00E234F4"/>
    <w:rsid w:val="00E23FDF"/>
    <w:rsid w:val="00E2566F"/>
    <w:rsid w:val="00E257D3"/>
    <w:rsid w:val="00E274A3"/>
    <w:rsid w:val="00E30020"/>
    <w:rsid w:val="00E30D7C"/>
    <w:rsid w:val="00E3153F"/>
    <w:rsid w:val="00E31626"/>
    <w:rsid w:val="00E35401"/>
    <w:rsid w:val="00E35C39"/>
    <w:rsid w:val="00E364FA"/>
    <w:rsid w:val="00E36E33"/>
    <w:rsid w:val="00E40507"/>
    <w:rsid w:val="00E42D08"/>
    <w:rsid w:val="00E436DD"/>
    <w:rsid w:val="00E442D9"/>
    <w:rsid w:val="00E4487F"/>
    <w:rsid w:val="00E45436"/>
    <w:rsid w:val="00E50FA0"/>
    <w:rsid w:val="00E51CB7"/>
    <w:rsid w:val="00E53FEC"/>
    <w:rsid w:val="00E5400A"/>
    <w:rsid w:val="00E54564"/>
    <w:rsid w:val="00E577D6"/>
    <w:rsid w:val="00E60E23"/>
    <w:rsid w:val="00E63948"/>
    <w:rsid w:val="00E639A4"/>
    <w:rsid w:val="00E63A7D"/>
    <w:rsid w:val="00E64B60"/>
    <w:rsid w:val="00E6565E"/>
    <w:rsid w:val="00E65A87"/>
    <w:rsid w:val="00E67C2A"/>
    <w:rsid w:val="00E701D2"/>
    <w:rsid w:val="00E70451"/>
    <w:rsid w:val="00E71731"/>
    <w:rsid w:val="00E72A37"/>
    <w:rsid w:val="00E72F7D"/>
    <w:rsid w:val="00E74261"/>
    <w:rsid w:val="00E75B4F"/>
    <w:rsid w:val="00E76E2D"/>
    <w:rsid w:val="00E77F79"/>
    <w:rsid w:val="00E8035A"/>
    <w:rsid w:val="00E81BE3"/>
    <w:rsid w:val="00E87D0C"/>
    <w:rsid w:val="00E90219"/>
    <w:rsid w:val="00E90FC3"/>
    <w:rsid w:val="00E91855"/>
    <w:rsid w:val="00E91F6A"/>
    <w:rsid w:val="00E928A3"/>
    <w:rsid w:val="00E92A67"/>
    <w:rsid w:val="00E92A8F"/>
    <w:rsid w:val="00E93326"/>
    <w:rsid w:val="00E94B55"/>
    <w:rsid w:val="00E94E5C"/>
    <w:rsid w:val="00E950ED"/>
    <w:rsid w:val="00E95DFA"/>
    <w:rsid w:val="00E966E4"/>
    <w:rsid w:val="00E9783B"/>
    <w:rsid w:val="00E97D94"/>
    <w:rsid w:val="00EA0438"/>
    <w:rsid w:val="00EA0DD0"/>
    <w:rsid w:val="00EA242D"/>
    <w:rsid w:val="00EA24B8"/>
    <w:rsid w:val="00EA27D1"/>
    <w:rsid w:val="00EA480E"/>
    <w:rsid w:val="00EA4CD3"/>
    <w:rsid w:val="00EA5385"/>
    <w:rsid w:val="00EA6347"/>
    <w:rsid w:val="00EA6ACA"/>
    <w:rsid w:val="00EA7CEC"/>
    <w:rsid w:val="00EB148C"/>
    <w:rsid w:val="00EB4083"/>
    <w:rsid w:val="00EB5472"/>
    <w:rsid w:val="00EB618B"/>
    <w:rsid w:val="00EB7300"/>
    <w:rsid w:val="00EC0A83"/>
    <w:rsid w:val="00EC3309"/>
    <w:rsid w:val="00EC5029"/>
    <w:rsid w:val="00EC5E6C"/>
    <w:rsid w:val="00EC6799"/>
    <w:rsid w:val="00EC69A0"/>
    <w:rsid w:val="00EC71E8"/>
    <w:rsid w:val="00EC7AE3"/>
    <w:rsid w:val="00ED04A9"/>
    <w:rsid w:val="00ED0B40"/>
    <w:rsid w:val="00ED3F4D"/>
    <w:rsid w:val="00ED4896"/>
    <w:rsid w:val="00ED4B9F"/>
    <w:rsid w:val="00ED6731"/>
    <w:rsid w:val="00ED6EA9"/>
    <w:rsid w:val="00ED6F1F"/>
    <w:rsid w:val="00ED7FF7"/>
    <w:rsid w:val="00EE072A"/>
    <w:rsid w:val="00EE30FF"/>
    <w:rsid w:val="00EE3333"/>
    <w:rsid w:val="00EE5650"/>
    <w:rsid w:val="00EE64A5"/>
    <w:rsid w:val="00EE64B5"/>
    <w:rsid w:val="00EE69F6"/>
    <w:rsid w:val="00EE776B"/>
    <w:rsid w:val="00EE7D2F"/>
    <w:rsid w:val="00EE7E78"/>
    <w:rsid w:val="00EF0306"/>
    <w:rsid w:val="00EF2B31"/>
    <w:rsid w:val="00EF3149"/>
    <w:rsid w:val="00EF3548"/>
    <w:rsid w:val="00EF46A3"/>
    <w:rsid w:val="00EF4AB1"/>
    <w:rsid w:val="00EF6DF8"/>
    <w:rsid w:val="00F00305"/>
    <w:rsid w:val="00F036CB"/>
    <w:rsid w:val="00F04BEC"/>
    <w:rsid w:val="00F06520"/>
    <w:rsid w:val="00F070F8"/>
    <w:rsid w:val="00F07203"/>
    <w:rsid w:val="00F0773E"/>
    <w:rsid w:val="00F07BC2"/>
    <w:rsid w:val="00F1040D"/>
    <w:rsid w:val="00F11E28"/>
    <w:rsid w:val="00F12243"/>
    <w:rsid w:val="00F1481D"/>
    <w:rsid w:val="00F159D5"/>
    <w:rsid w:val="00F169D7"/>
    <w:rsid w:val="00F16ACA"/>
    <w:rsid w:val="00F17E4C"/>
    <w:rsid w:val="00F21510"/>
    <w:rsid w:val="00F21762"/>
    <w:rsid w:val="00F25EA8"/>
    <w:rsid w:val="00F3053F"/>
    <w:rsid w:val="00F30AC8"/>
    <w:rsid w:val="00F31597"/>
    <w:rsid w:val="00F32ECB"/>
    <w:rsid w:val="00F335F5"/>
    <w:rsid w:val="00F34010"/>
    <w:rsid w:val="00F35851"/>
    <w:rsid w:val="00F35B81"/>
    <w:rsid w:val="00F365D5"/>
    <w:rsid w:val="00F36EE8"/>
    <w:rsid w:val="00F370AE"/>
    <w:rsid w:val="00F403B7"/>
    <w:rsid w:val="00F41D89"/>
    <w:rsid w:val="00F44E9E"/>
    <w:rsid w:val="00F4558D"/>
    <w:rsid w:val="00F46F1C"/>
    <w:rsid w:val="00F47CE1"/>
    <w:rsid w:val="00F50279"/>
    <w:rsid w:val="00F50F44"/>
    <w:rsid w:val="00F530CC"/>
    <w:rsid w:val="00F55DE6"/>
    <w:rsid w:val="00F56058"/>
    <w:rsid w:val="00F56AF3"/>
    <w:rsid w:val="00F602BC"/>
    <w:rsid w:val="00F60DDE"/>
    <w:rsid w:val="00F6418D"/>
    <w:rsid w:val="00F65601"/>
    <w:rsid w:val="00F66345"/>
    <w:rsid w:val="00F66E7F"/>
    <w:rsid w:val="00F6788A"/>
    <w:rsid w:val="00F67BCB"/>
    <w:rsid w:val="00F70E9B"/>
    <w:rsid w:val="00F71CB9"/>
    <w:rsid w:val="00F72ACC"/>
    <w:rsid w:val="00F7320C"/>
    <w:rsid w:val="00F74220"/>
    <w:rsid w:val="00F74906"/>
    <w:rsid w:val="00F74D45"/>
    <w:rsid w:val="00F75911"/>
    <w:rsid w:val="00F774A2"/>
    <w:rsid w:val="00F7754C"/>
    <w:rsid w:val="00F7762A"/>
    <w:rsid w:val="00F80B96"/>
    <w:rsid w:val="00F829EF"/>
    <w:rsid w:val="00F85FA0"/>
    <w:rsid w:val="00F86DF9"/>
    <w:rsid w:val="00F87086"/>
    <w:rsid w:val="00F90503"/>
    <w:rsid w:val="00F91B99"/>
    <w:rsid w:val="00F951D1"/>
    <w:rsid w:val="00F95D2D"/>
    <w:rsid w:val="00F96D40"/>
    <w:rsid w:val="00F96FFC"/>
    <w:rsid w:val="00F979A7"/>
    <w:rsid w:val="00FA18A8"/>
    <w:rsid w:val="00FA1E4F"/>
    <w:rsid w:val="00FA237C"/>
    <w:rsid w:val="00FA2797"/>
    <w:rsid w:val="00FA2CD5"/>
    <w:rsid w:val="00FA2D74"/>
    <w:rsid w:val="00FA3DD8"/>
    <w:rsid w:val="00FA6099"/>
    <w:rsid w:val="00FA63F9"/>
    <w:rsid w:val="00FA6935"/>
    <w:rsid w:val="00FB0063"/>
    <w:rsid w:val="00FB08E9"/>
    <w:rsid w:val="00FB103A"/>
    <w:rsid w:val="00FB140D"/>
    <w:rsid w:val="00FB1451"/>
    <w:rsid w:val="00FB3443"/>
    <w:rsid w:val="00FB4DD3"/>
    <w:rsid w:val="00FB4EFF"/>
    <w:rsid w:val="00FB6400"/>
    <w:rsid w:val="00FB7B51"/>
    <w:rsid w:val="00FB7D4B"/>
    <w:rsid w:val="00FC14AA"/>
    <w:rsid w:val="00FC1958"/>
    <w:rsid w:val="00FC21AB"/>
    <w:rsid w:val="00FC2FCE"/>
    <w:rsid w:val="00FC3DB7"/>
    <w:rsid w:val="00FC5278"/>
    <w:rsid w:val="00FC53BA"/>
    <w:rsid w:val="00FC5935"/>
    <w:rsid w:val="00FC65DD"/>
    <w:rsid w:val="00FC71FD"/>
    <w:rsid w:val="00FD17B6"/>
    <w:rsid w:val="00FD1C15"/>
    <w:rsid w:val="00FD2C2A"/>
    <w:rsid w:val="00FD3161"/>
    <w:rsid w:val="00FD3EFA"/>
    <w:rsid w:val="00FD4587"/>
    <w:rsid w:val="00FD4713"/>
    <w:rsid w:val="00FD4FDE"/>
    <w:rsid w:val="00FD6070"/>
    <w:rsid w:val="00FD7682"/>
    <w:rsid w:val="00FE183A"/>
    <w:rsid w:val="00FE2004"/>
    <w:rsid w:val="00FE29FF"/>
    <w:rsid w:val="00FE5277"/>
    <w:rsid w:val="00FE7831"/>
    <w:rsid w:val="00FF0E63"/>
    <w:rsid w:val="00FF185B"/>
    <w:rsid w:val="00FF2B48"/>
    <w:rsid w:val="00FF33D6"/>
    <w:rsid w:val="00FF3410"/>
    <w:rsid w:val="00FF5E70"/>
    <w:rsid w:val="00FF619D"/>
    <w:rsid w:val="00FF688C"/>
    <w:rsid w:val="00FF6F32"/>
    <w:rsid w:val="00FF713D"/>
    <w:rsid w:val="00FF716E"/>
    <w:rsid w:val="00FF71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4453F"/>
  <w15:chartTrackingRefBased/>
  <w15:docId w15:val="{1AA5F3F5-5739-43C8-9371-4BB83C24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9AA"/>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link w:val="Heading1Char"/>
    <w:qFormat/>
    <w:rsid w:val="00DA59AA"/>
    <w:pPr>
      <w:keepNext/>
      <w:numPr>
        <w:numId w:val="16"/>
      </w:numPr>
      <w:tabs>
        <w:tab w:val="left" w:pos="720"/>
      </w:tabs>
      <w:suppressAutoHyphens/>
      <w:spacing w:after="120"/>
      <w:outlineLvl w:val="0"/>
    </w:pPr>
    <w:rPr>
      <w:rFonts w:ascii="Times New Roman Bold" w:hAnsi="Times New Roman Bold"/>
      <w:b/>
      <w:caps/>
    </w:rPr>
  </w:style>
  <w:style w:type="paragraph" w:styleId="Heading2">
    <w:name w:val="heading 2"/>
    <w:aliases w:val="Char,Heading 2 Char Char1,Heading 2 Char Char1 Char Char Char,Heading 2 Char Char1 Char Char Char Char Char,Heading 2 Char Char3 Char,Heading 2 Char1,Heading 2 Char1 Char,Heading 2 Char1 Char Char Char,Heading 2 Char1 Char Char Char Char Char"/>
    <w:basedOn w:val="Normal"/>
    <w:next w:val="ParaNum"/>
    <w:link w:val="Heading2Char"/>
    <w:autoRedefine/>
    <w:qFormat/>
    <w:rsid w:val="00DA59AA"/>
    <w:pPr>
      <w:keepNext/>
      <w:numPr>
        <w:ilvl w:val="1"/>
        <w:numId w:val="16"/>
      </w:numPr>
      <w:spacing w:after="120"/>
      <w:outlineLvl w:val="1"/>
    </w:pPr>
    <w:rPr>
      <w:b/>
    </w:rPr>
  </w:style>
  <w:style w:type="paragraph" w:styleId="Heading3">
    <w:name w:val="heading 3"/>
    <w:aliases w:val="1,1 Char,3,Heading 3 Char Char,Heading 3 Char Char Char,Heading 3 Char Char Char Char,Heading 3 Char Char Char Char Char,Heading 3 Char Char1 C,Heading 3 Char1,Heading 3 Char1 Char,Heading 3 Char1 Char Char,Heading 3 Char2 Char1 Char Char"/>
    <w:basedOn w:val="Normal"/>
    <w:next w:val="ParaNum"/>
    <w:link w:val="Heading3Char"/>
    <w:qFormat/>
    <w:rsid w:val="00DA59AA"/>
    <w:pPr>
      <w:keepNext/>
      <w:numPr>
        <w:ilvl w:val="2"/>
        <w:numId w:val="16"/>
      </w:numPr>
      <w:tabs>
        <w:tab w:val="left" w:pos="2160"/>
      </w:tabs>
      <w:spacing w:after="120"/>
      <w:outlineLvl w:val="2"/>
    </w:pPr>
    <w:rPr>
      <w:b/>
    </w:rPr>
  </w:style>
  <w:style w:type="paragraph" w:styleId="Heading4">
    <w:name w:val="heading 4"/>
    <w:aliases w:val="Heading 4 Char Char,Heading 4 Char Char Char,Heading 4 Char Char1,Heading 4 Char Char1 Char Ch,Heading 4 Char1,Heading 4 Char1 Char,Heading 4 Char1 Char1,Heading 4 Char1 Char1 Char Char,Heading 4 Char2,Heading 4 Char2 Char Char"/>
    <w:basedOn w:val="Normal"/>
    <w:next w:val="ParaNum"/>
    <w:link w:val="Heading4Char"/>
    <w:qFormat/>
    <w:rsid w:val="00DA59AA"/>
    <w:pPr>
      <w:keepNext/>
      <w:numPr>
        <w:ilvl w:val="3"/>
        <w:numId w:val="16"/>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DA59AA"/>
    <w:pPr>
      <w:keepNext/>
      <w:numPr>
        <w:ilvl w:val="4"/>
        <w:numId w:val="16"/>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DA59AA"/>
    <w:pPr>
      <w:numPr>
        <w:ilvl w:val="5"/>
        <w:numId w:val="16"/>
      </w:numPr>
      <w:tabs>
        <w:tab w:val="left" w:pos="4320"/>
      </w:tabs>
      <w:spacing w:after="120"/>
      <w:outlineLvl w:val="5"/>
    </w:pPr>
    <w:rPr>
      <w:b/>
    </w:rPr>
  </w:style>
  <w:style w:type="paragraph" w:styleId="Heading7">
    <w:name w:val="heading 7"/>
    <w:basedOn w:val="Normal"/>
    <w:next w:val="ParaNum"/>
    <w:link w:val="Heading7Char"/>
    <w:qFormat/>
    <w:rsid w:val="00DA59AA"/>
    <w:pPr>
      <w:numPr>
        <w:ilvl w:val="6"/>
        <w:numId w:val="16"/>
      </w:numPr>
      <w:tabs>
        <w:tab w:val="left" w:pos="5040"/>
      </w:tabs>
      <w:spacing w:after="120"/>
      <w:ind w:left="5040" w:hanging="720"/>
      <w:outlineLvl w:val="6"/>
    </w:pPr>
    <w:rPr>
      <w:b/>
    </w:rPr>
  </w:style>
  <w:style w:type="paragraph" w:styleId="Heading8">
    <w:name w:val="heading 8"/>
    <w:basedOn w:val="Normal"/>
    <w:next w:val="ParaNum"/>
    <w:link w:val="Heading8Char"/>
    <w:qFormat/>
    <w:rsid w:val="00DA59AA"/>
    <w:pPr>
      <w:numPr>
        <w:ilvl w:val="7"/>
        <w:numId w:val="16"/>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link w:val="Heading9Char"/>
    <w:qFormat/>
    <w:rsid w:val="00DA59AA"/>
    <w:pPr>
      <w:numPr>
        <w:ilvl w:val="8"/>
        <w:numId w:val="1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A59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59AA"/>
  </w:style>
  <w:style w:type="paragraph" w:styleId="Header">
    <w:name w:val="header"/>
    <w:basedOn w:val="Normal"/>
    <w:autoRedefine/>
    <w:rsid w:val="00DA59AA"/>
    <w:pPr>
      <w:tabs>
        <w:tab w:val="center" w:pos="4680"/>
        <w:tab w:val="right" w:pos="9360"/>
      </w:tabs>
    </w:pPr>
    <w:rPr>
      <w:b/>
    </w:rPr>
  </w:style>
  <w:style w:type="paragraph" w:styleId="Footer">
    <w:name w:val="footer"/>
    <w:basedOn w:val="Normal"/>
    <w:link w:val="FooterChar"/>
    <w:uiPriority w:val="99"/>
    <w:rsid w:val="00DA59AA"/>
    <w:pPr>
      <w:tabs>
        <w:tab w:val="center" w:pos="4320"/>
        <w:tab w:val="right" w:pos="8640"/>
      </w:tabs>
    </w:pPr>
  </w:style>
  <w:style w:type="paragraph" w:styleId="BodyText2">
    <w:name w:val="Body Text 2"/>
    <w:basedOn w:val="Normal"/>
    <w:rsid w:val="004E522C"/>
    <w:pPr>
      <w:suppressAutoHyphens/>
      <w:overflowPunct w:val="0"/>
      <w:autoSpaceDE w:val="0"/>
      <w:autoSpaceDN w:val="0"/>
      <w:adjustRightInd w:val="0"/>
      <w:spacing w:line="240" w:lineRule="atLeast"/>
      <w:jc w:val="both"/>
      <w:textAlignment w:val="baseline"/>
    </w:pPr>
    <w:rPr>
      <w:b/>
      <w:spacing w:val="-3"/>
    </w:rPr>
  </w:style>
  <w:style w:type="paragraph" w:customStyle="1" w:styleId="ParaNum">
    <w:name w:val="ParaNum"/>
    <w:basedOn w:val="Normal"/>
    <w:link w:val="ParaNumChar2"/>
    <w:rsid w:val="00DA59AA"/>
    <w:pPr>
      <w:numPr>
        <w:numId w:val="9"/>
      </w:numPr>
      <w:tabs>
        <w:tab w:val="clear" w:pos="1080"/>
        <w:tab w:val="num" w:pos="1440"/>
      </w:tabs>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A59AA"/>
    <w:rPr>
      <w:rFonts w:ascii="Times New Roman" w:hAnsi="Times New Roman"/>
      <w:dstrike w:val="0"/>
      <w:color w:val="auto"/>
      <w:sz w:val="20"/>
      <w:vertAlign w:val="superscript"/>
    </w:rPr>
  </w:style>
  <w:style w:type="character" w:customStyle="1" w:styleId="ParaNumChar2">
    <w:name w:val="ParaNum Char2"/>
    <w:link w:val="ParaNum"/>
    <w:rsid w:val="008E3C0F"/>
    <w:rPr>
      <w:snapToGrid w:val="0"/>
      <w:kern w:val="28"/>
      <w:sz w:val="22"/>
    </w:rPr>
  </w:style>
  <w:style w:type="paragraph" w:styleId="FootnoteText">
    <w:name w:val="footnote text"/>
    <w:aliases w:val="ALTS FOOTNOTE,ALTS FOOTNOTE Ch,Footnote Text Char,Footnote Text Char Char1 Char,Footnote Text Char Char1 Char Char Char,Footnote Text Char1 Char1 Char Char Char Char,Footnote Text Char2 Char2,Footnote Text Char2 Char2 Char Char,fn,fn Char1"/>
    <w:link w:val="FootnoteTextChar1"/>
    <w:rsid w:val="00DA59AA"/>
    <w:pPr>
      <w:spacing w:after="120"/>
    </w:p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 Char,ALTS FOOTNOTE Char,Footnote Text Char Char,Footnote Text Char Char1 Char Char,Footnote Text Char Char1 Char Char Char Char,Footnote Text Char1 Char1 Char Char Char Char Char,Footnote Text Char2 Char2 Char"/>
    <w:link w:val="FootnoteText"/>
    <w:rsid w:val="008E4EA6"/>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DA59AA"/>
  </w:style>
  <w:style w:type="character" w:customStyle="1" w:styleId="ParaNumChar1">
    <w:name w:val="ParaNum Char1"/>
    <w:rsid w:val="003E35C5"/>
    <w:rPr>
      <w:snapToGrid w:val="0"/>
      <w:kern w:val="28"/>
      <w:sz w:val="22"/>
      <w:szCs w:val="22"/>
      <w:lang w:val="en-US" w:eastAsia="en-US" w:bidi="ar-SA"/>
    </w:rPr>
  </w:style>
  <w:style w:type="character" w:styleId="Hyperlink">
    <w:name w:val="Hyperlink"/>
    <w:rsid w:val="00DA59AA"/>
    <w:rPr>
      <w:color w:val="0000FF"/>
      <w:u w:val="single"/>
    </w:rPr>
  </w:style>
  <w:style w:type="character" w:customStyle="1" w:styleId="Heading1Char">
    <w:name w:val="Heading 1 Char"/>
    <w:aliases w:val="Heading 1 Char Char Char Char,Heading 1 Char Char Char Char Char Char Char,Heading 1 Char Char1 Char Char,Heading 1 Char Char1 Char1,Heading 1 Char Char2 Char,Heading 1 Char1 Char Char,Heading 1 Char1 Char Char Char2 Char Char"/>
    <w:link w:val="Heading1"/>
    <w:rsid w:val="005547A4"/>
    <w:rPr>
      <w:rFonts w:ascii="Times New Roman Bold" w:hAnsi="Times New Roman Bold"/>
      <w:b/>
      <w:caps/>
      <w:snapToGrid w:val="0"/>
      <w:kern w:val="28"/>
      <w:sz w:val="22"/>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
    <w:link w:val="Heading2"/>
    <w:rsid w:val="005547A4"/>
    <w:rPr>
      <w:b/>
      <w:snapToGrid w:val="0"/>
      <w:kern w:val="28"/>
      <w:sz w:val="22"/>
    </w:rPr>
  </w:style>
  <w:style w:type="character" w:customStyle="1" w:styleId="Heading3Char">
    <w:name w:val="Heading 3 Char"/>
    <w:aliases w:val="1 Char Char,1 Char1,3 Char,Heading 3 Char Char Char Char Char Char,Heading 3 Char Char Char Char Char1,Heading 3 Char Char Char Char1,Heading 3 Char Char Char1,Heading 3 Char Char1 C Char,Heading 3 Char1 Char Char1,Heading 3 Char1 Char1"/>
    <w:link w:val="Heading3"/>
    <w:rsid w:val="005547A4"/>
    <w:rPr>
      <w:b/>
      <w:snapToGrid w:val="0"/>
      <w:kern w:val="28"/>
      <w:sz w:val="22"/>
    </w:rPr>
  </w:style>
  <w:style w:type="character" w:customStyle="1" w:styleId="Heading4Char">
    <w:name w:val="Heading 4 Char"/>
    <w:aliases w:val="Heading 4 Char Char Char Char,Heading 4 Char Char Char1,Heading 4 Char Char1 Char,Heading 4 Char Char1 Char Ch Char,Heading 4 Char1 Char Char,Heading 4 Char1 Char1 Char,Heading 4 Char1 Char1 Char Char Char,Heading 4 Char1 Char2"/>
    <w:link w:val="Heading4"/>
    <w:rsid w:val="005547A4"/>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5547A4"/>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rsid w:val="005547A4"/>
    <w:rPr>
      <w:b/>
      <w:snapToGrid w:val="0"/>
      <w:kern w:val="28"/>
      <w:sz w:val="22"/>
    </w:rPr>
  </w:style>
  <w:style w:type="character" w:customStyle="1" w:styleId="Heading7Char">
    <w:name w:val="Heading 7 Char"/>
    <w:link w:val="Heading7"/>
    <w:rsid w:val="005547A4"/>
    <w:rPr>
      <w:b/>
      <w:snapToGrid w:val="0"/>
      <w:kern w:val="28"/>
      <w:sz w:val="22"/>
    </w:rPr>
  </w:style>
  <w:style w:type="character" w:customStyle="1" w:styleId="Heading8Char">
    <w:name w:val="Heading 8 Char"/>
    <w:link w:val="Heading8"/>
    <w:rsid w:val="005547A4"/>
    <w:rPr>
      <w:b/>
      <w:snapToGrid w:val="0"/>
      <w:kern w:val="28"/>
      <w:sz w:val="22"/>
    </w:rPr>
  </w:style>
  <w:style w:type="character" w:customStyle="1" w:styleId="Heading9Char">
    <w:name w:val="Heading 9 Char"/>
    <w:aliases w:val="9 Char,Heading 9.table Char,Titre 9 Char,Topic Char,t Char,table Char"/>
    <w:link w:val="Heading9"/>
    <w:rsid w:val="005547A4"/>
    <w:rPr>
      <w:b/>
      <w:snapToGrid w:val="0"/>
      <w:kern w:val="28"/>
      <w:sz w:val="22"/>
    </w:rPr>
  </w:style>
  <w:style w:type="character" w:customStyle="1" w:styleId="FootnoteTextChar1Char">
    <w:name w:val="Footnote Text Char1 Char"/>
    <w:aliases w:val="Footnote Text Char Char Char,Footnote Text Char2 Char Char Char,Footnote Text Char2 Char1 Char1 Char Char Char,Footnote Text Char3 Char1 Char Char Char,Footnote Text Char3 Char1 Char Char Char Char Char,f Char"/>
    <w:rsid w:val="002D4726"/>
  </w:style>
  <w:style w:type="paragraph" w:customStyle="1" w:styleId="Default">
    <w:name w:val="Default"/>
    <w:rsid w:val="00623E15"/>
    <w:pPr>
      <w:autoSpaceDE w:val="0"/>
      <w:autoSpaceDN w:val="0"/>
      <w:adjustRightInd w:val="0"/>
    </w:pPr>
    <w:rPr>
      <w:color w:val="000000"/>
      <w:sz w:val="24"/>
      <w:szCs w:val="24"/>
    </w:rPr>
  </w:style>
  <w:style w:type="character" w:styleId="CommentReference">
    <w:name w:val="annotation reference"/>
    <w:rsid w:val="00C250BF"/>
    <w:rPr>
      <w:sz w:val="16"/>
      <w:szCs w:val="16"/>
    </w:rPr>
  </w:style>
  <w:style w:type="paragraph" w:styleId="CommentText">
    <w:name w:val="annotation text"/>
    <w:basedOn w:val="Normal"/>
    <w:link w:val="CommentTextChar"/>
    <w:rsid w:val="00C250BF"/>
    <w:rPr>
      <w:sz w:val="20"/>
    </w:rPr>
  </w:style>
  <w:style w:type="character" w:customStyle="1" w:styleId="CommentTextChar">
    <w:name w:val="Comment Text Char"/>
    <w:basedOn w:val="DefaultParagraphFont"/>
    <w:link w:val="CommentText"/>
    <w:rsid w:val="00C250BF"/>
  </w:style>
  <w:style w:type="paragraph" w:styleId="CommentSubject">
    <w:name w:val="annotation subject"/>
    <w:basedOn w:val="CommentText"/>
    <w:next w:val="CommentText"/>
    <w:link w:val="CommentSubjectChar"/>
    <w:rsid w:val="00C250BF"/>
    <w:rPr>
      <w:b/>
      <w:bCs/>
    </w:rPr>
  </w:style>
  <w:style w:type="character" w:customStyle="1" w:styleId="CommentSubjectChar">
    <w:name w:val="Comment Subject Char"/>
    <w:link w:val="CommentSubject"/>
    <w:rsid w:val="00C250BF"/>
    <w:rPr>
      <w:b/>
      <w:bCs/>
    </w:rPr>
  </w:style>
  <w:style w:type="paragraph" w:styleId="Revision">
    <w:name w:val="Revision"/>
    <w:hidden/>
    <w:uiPriority w:val="99"/>
    <w:semiHidden/>
    <w:rsid w:val="00BC2076"/>
    <w:rPr>
      <w:sz w:val="24"/>
      <w:szCs w:val="24"/>
    </w:rPr>
  </w:style>
  <w:style w:type="character" w:customStyle="1" w:styleId="normaltextrun">
    <w:name w:val="normaltextrun"/>
    <w:basedOn w:val="DefaultParagraphFont"/>
    <w:rsid w:val="00FF7173"/>
  </w:style>
  <w:style w:type="paragraph" w:styleId="EndnoteText">
    <w:name w:val="endnote text"/>
    <w:basedOn w:val="Normal"/>
    <w:link w:val="EndnoteTextChar"/>
    <w:rsid w:val="00DA59AA"/>
    <w:rPr>
      <w:sz w:val="20"/>
    </w:rPr>
  </w:style>
  <w:style w:type="character" w:customStyle="1" w:styleId="EndnoteTextChar">
    <w:name w:val="Endnote Text Char"/>
    <w:basedOn w:val="DefaultParagraphFont"/>
    <w:link w:val="EndnoteText"/>
    <w:rsid w:val="00FA3DD8"/>
    <w:rPr>
      <w:snapToGrid w:val="0"/>
      <w:kern w:val="28"/>
    </w:rPr>
  </w:style>
  <w:style w:type="character" w:styleId="EndnoteReference">
    <w:name w:val="endnote reference"/>
    <w:rsid w:val="00DA59AA"/>
    <w:rPr>
      <w:vertAlign w:val="superscript"/>
    </w:rPr>
  </w:style>
  <w:style w:type="paragraph" w:styleId="TOC1">
    <w:name w:val="toc 1"/>
    <w:basedOn w:val="Normal"/>
    <w:next w:val="Normal"/>
    <w:rsid w:val="00DA59AA"/>
    <w:pPr>
      <w:tabs>
        <w:tab w:val="left" w:pos="360"/>
        <w:tab w:val="right" w:leader="dot" w:pos="9360"/>
      </w:tabs>
      <w:suppressAutoHyphens/>
      <w:ind w:left="360" w:right="720" w:hanging="360"/>
    </w:pPr>
    <w:rPr>
      <w:caps/>
      <w:noProof/>
    </w:rPr>
  </w:style>
  <w:style w:type="paragraph" w:styleId="TOC2">
    <w:name w:val="toc 2"/>
    <w:basedOn w:val="Normal"/>
    <w:next w:val="Normal"/>
    <w:rsid w:val="00DA59AA"/>
    <w:pPr>
      <w:tabs>
        <w:tab w:val="left" w:pos="720"/>
        <w:tab w:val="right" w:leader="dot" w:pos="9360"/>
      </w:tabs>
      <w:suppressAutoHyphens/>
      <w:ind w:left="720" w:right="720" w:hanging="360"/>
    </w:pPr>
    <w:rPr>
      <w:noProof/>
    </w:rPr>
  </w:style>
  <w:style w:type="paragraph" w:styleId="TOC3">
    <w:name w:val="toc 3"/>
    <w:basedOn w:val="Normal"/>
    <w:next w:val="Normal"/>
    <w:rsid w:val="00DA59A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DA59AA"/>
    <w:pPr>
      <w:tabs>
        <w:tab w:val="left" w:pos="1440"/>
        <w:tab w:val="right" w:leader="dot" w:pos="9360"/>
      </w:tabs>
      <w:suppressAutoHyphens/>
      <w:ind w:left="1440" w:right="720" w:hanging="360"/>
    </w:pPr>
    <w:rPr>
      <w:noProof/>
    </w:rPr>
  </w:style>
  <w:style w:type="paragraph" w:styleId="TOC5">
    <w:name w:val="toc 5"/>
    <w:basedOn w:val="Normal"/>
    <w:next w:val="Normal"/>
    <w:autoRedefine/>
    <w:rsid w:val="00DA59AA"/>
    <w:pPr>
      <w:tabs>
        <w:tab w:val="left" w:pos="1800"/>
        <w:tab w:val="right" w:leader="dot" w:pos="9360"/>
      </w:tabs>
      <w:suppressAutoHyphens/>
      <w:ind w:left="1800" w:right="720" w:hanging="360"/>
    </w:pPr>
    <w:rPr>
      <w:noProof/>
    </w:rPr>
  </w:style>
  <w:style w:type="paragraph" w:styleId="TOC6">
    <w:name w:val="toc 6"/>
    <w:basedOn w:val="Normal"/>
    <w:next w:val="Normal"/>
    <w:autoRedefine/>
    <w:rsid w:val="00DA59AA"/>
    <w:pPr>
      <w:tabs>
        <w:tab w:val="left" w:pos="2160"/>
        <w:tab w:val="right" w:leader="dot" w:pos="9360"/>
      </w:tabs>
      <w:suppressAutoHyphens/>
      <w:ind w:left="2160" w:hanging="360"/>
    </w:pPr>
    <w:rPr>
      <w:noProof/>
    </w:rPr>
  </w:style>
  <w:style w:type="paragraph" w:styleId="TOC7">
    <w:name w:val="toc 7"/>
    <w:basedOn w:val="Normal"/>
    <w:next w:val="Normal"/>
    <w:autoRedefine/>
    <w:rsid w:val="00DA59AA"/>
    <w:pPr>
      <w:tabs>
        <w:tab w:val="left" w:pos="2520"/>
        <w:tab w:val="right" w:leader="dot" w:pos="9360"/>
      </w:tabs>
      <w:suppressAutoHyphens/>
      <w:ind w:left="2520" w:hanging="360"/>
    </w:pPr>
    <w:rPr>
      <w:noProof/>
    </w:rPr>
  </w:style>
  <w:style w:type="paragraph" w:styleId="TOC8">
    <w:name w:val="toc 8"/>
    <w:basedOn w:val="Normal"/>
    <w:next w:val="Normal"/>
    <w:autoRedefine/>
    <w:rsid w:val="00DA59AA"/>
    <w:pPr>
      <w:tabs>
        <w:tab w:val="left" w:pos="2880"/>
        <w:tab w:val="right" w:leader="dot" w:pos="9360"/>
      </w:tabs>
      <w:suppressAutoHyphens/>
      <w:ind w:left="2880" w:hanging="360"/>
    </w:pPr>
    <w:rPr>
      <w:noProof/>
    </w:rPr>
  </w:style>
  <w:style w:type="paragraph" w:styleId="TOC9">
    <w:name w:val="toc 9"/>
    <w:basedOn w:val="Normal"/>
    <w:next w:val="Normal"/>
    <w:autoRedefine/>
    <w:rsid w:val="00DA59AA"/>
    <w:pPr>
      <w:tabs>
        <w:tab w:val="left" w:pos="3240"/>
        <w:tab w:val="right" w:leader="dot" w:pos="9360"/>
      </w:tabs>
      <w:suppressAutoHyphens/>
      <w:ind w:left="3240" w:hanging="360"/>
    </w:pPr>
    <w:rPr>
      <w:noProof/>
    </w:rPr>
  </w:style>
  <w:style w:type="paragraph" w:styleId="TOAHeading">
    <w:name w:val="toa heading"/>
    <w:basedOn w:val="Normal"/>
    <w:next w:val="Normal"/>
    <w:rsid w:val="00DA59AA"/>
    <w:pPr>
      <w:tabs>
        <w:tab w:val="right" w:pos="9360"/>
      </w:tabs>
      <w:suppressAutoHyphens/>
    </w:pPr>
  </w:style>
  <w:style w:type="character" w:customStyle="1" w:styleId="EquationCaption">
    <w:name w:val="_Equation Caption"/>
    <w:rsid w:val="00DA59AA"/>
  </w:style>
  <w:style w:type="paragraph" w:styleId="BlockText">
    <w:name w:val="Block Text"/>
    <w:basedOn w:val="Normal"/>
    <w:rsid w:val="00DA59AA"/>
    <w:pPr>
      <w:spacing w:after="240"/>
      <w:ind w:left="1440" w:right="1440"/>
    </w:pPr>
  </w:style>
  <w:style w:type="paragraph" w:customStyle="1" w:styleId="Paratitle">
    <w:name w:val="Para title"/>
    <w:basedOn w:val="Normal"/>
    <w:rsid w:val="00DA59AA"/>
    <w:pPr>
      <w:tabs>
        <w:tab w:val="center" w:pos="9270"/>
      </w:tabs>
      <w:spacing w:after="240"/>
    </w:pPr>
    <w:rPr>
      <w:spacing w:val="-2"/>
    </w:rPr>
  </w:style>
  <w:style w:type="paragraph" w:customStyle="1" w:styleId="Bullet">
    <w:name w:val="Bullet"/>
    <w:basedOn w:val="Normal"/>
    <w:rsid w:val="00DA59AA"/>
    <w:pPr>
      <w:tabs>
        <w:tab w:val="left" w:pos="2160"/>
      </w:tabs>
      <w:spacing w:after="220"/>
      <w:ind w:left="2160" w:hanging="720"/>
    </w:pPr>
  </w:style>
  <w:style w:type="paragraph" w:customStyle="1" w:styleId="TableFormat">
    <w:name w:val="TableFormat"/>
    <w:basedOn w:val="Bullet"/>
    <w:rsid w:val="00DA59AA"/>
    <w:pPr>
      <w:tabs>
        <w:tab w:val="clear" w:pos="2160"/>
        <w:tab w:val="left" w:pos="5040"/>
      </w:tabs>
      <w:ind w:left="5040" w:hanging="3600"/>
    </w:pPr>
  </w:style>
  <w:style w:type="paragraph" w:customStyle="1" w:styleId="TOCTitle">
    <w:name w:val="TOC Title"/>
    <w:basedOn w:val="Normal"/>
    <w:rsid w:val="00DA59A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A59AA"/>
    <w:pPr>
      <w:jc w:val="center"/>
    </w:pPr>
    <w:rPr>
      <w:rFonts w:ascii="Times New Roman Bold" w:hAnsi="Times New Roman Bold"/>
      <w:b/>
      <w:bCs/>
      <w:caps/>
      <w:szCs w:val="22"/>
    </w:rPr>
  </w:style>
  <w:style w:type="character" w:customStyle="1" w:styleId="FooterChar">
    <w:name w:val="Footer Char"/>
    <w:link w:val="Footer"/>
    <w:uiPriority w:val="99"/>
    <w:rsid w:val="00DA59AA"/>
    <w:rPr>
      <w:snapToGrid w:val="0"/>
      <w:kern w:val="28"/>
      <w:sz w:val="22"/>
    </w:rPr>
  </w:style>
  <w:style w:type="character" w:customStyle="1" w:styleId="ParaNumChar">
    <w:name w:val="ParaNum Char"/>
    <w:locked/>
    <w:rsid w:val="00141A92"/>
    <w:rPr>
      <w:snapToGrid w:val="0"/>
      <w:kern w:val="28"/>
      <w:sz w:val="22"/>
    </w:rPr>
  </w:style>
  <w:style w:type="paragraph" w:styleId="ListParagraph">
    <w:name w:val="List Paragraph"/>
    <w:basedOn w:val="Normal"/>
    <w:uiPriority w:val="34"/>
    <w:qFormat/>
    <w:rsid w:val="000E47C7"/>
    <w:pPr>
      <w:ind w:left="720"/>
      <w:contextualSpacing/>
    </w:pPr>
  </w:style>
  <w:style w:type="character" w:customStyle="1" w:styleId="ALTSFOOTNOTEChar1">
    <w:name w:val="ALTS FOOTNOTE Char1"/>
    <w:aliases w:val="F Char,Footnote Text Char Char1 Char Char1,Footnote Text Char Char2 Char Char Char Char1,Footnote Text Char1 Char1,Footnote Text Char2 Char Char Char Char1,Footnote Text Char2 Char1 Char1,f Char1"/>
    <w:basedOn w:val="DefaultParagraphFont"/>
    <w:rsid w:val="00401DD9"/>
  </w:style>
  <w:style w:type="character" w:styleId="UnresolvedMention">
    <w:name w:val="Unresolved Mention"/>
    <w:basedOn w:val="DefaultParagraphFont"/>
    <w:uiPriority w:val="99"/>
    <w:semiHidden/>
    <w:unhideWhenUsed/>
    <w:rsid w:val="003F1A2B"/>
    <w:rPr>
      <w:color w:val="605E5C"/>
      <w:shd w:val="clear" w:color="auto" w:fill="E1DFDD"/>
    </w:rPr>
  </w:style>
  <w:style w:type="character" w:styleId="FollowedHyperlink">
    <w:name w:val="FollowedHyperlink"/>
    <w:basedOn w:val="DefaultParagraphFont"/>
    <w:rsid w:val="00122E82"/>
    <w:rPr>
      <w:color w:val="954F72" w:themeColor="followedHyperlink"/>
      <w:u w:val="single"/>
    </w:rPr>
  </w:style>
  <w:style w:type="character" w:styleId="Mention">
    <w:name w:val="Mention"/>
    <w:basedOn w:val="DefaultParagraphFont"/>
    <w:uiPriority w:val="99"/>
    <w:unhideWhenUsed/>
    <w:rsid w:val="00A7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docs.fcc.gov%2Fpublic%2Fattachments%2FDOC-414544A1.pdf&amp;data=05%7C02%7CGabrielle.Kim%40fcc.gov%7C6f5f13956adc4d78025108de344567b5%7C72970aed36694ca8b960dd016bc72973%7C0%7C0%7C639005669849130243%7CUnknown%7CTWFpbGZsb3d8eyJFbXB0eU1hcGkiOnRydWUsIlYiOiIwLjAuMDAwMCIsIlAiOiJXaW4zMiIsIkFOIjoiTWFpbCIsIldUIjoyfQ%3D%3D%7C0%7C%7C%7C&amp;sdata=X75Wjm2As5sDKBNg6Iswo0f8IBxjDj62juJQaOaP%2FGE%3D&amp;reserved=0" TargetMode="External" /><Relationship Id="rId2" Type="http://schemas.openxmlformats.org/officeDocument/2006/relationships/hyperlink" Target="https://gcc02.safelinks.protection.outlook.com/?url=https%3A%2F%2Fdocs.fcc.gov%2Fpublic%2Fattachments%2FDOC-415107A1.pdf&amp;data=05%7C02%7CGabrielle.Kim%40fcc.gov%7C6f5f13956adc4d78025108de344567b5%7C72970aed36694ca8b960dd016bc72973%7C0%7C0%7C639005669849151815%7CUnknown%7CTWFpbGZsb3d8eyJFbXB0eU1hcGkiOnRydWUsIlYiOiIwLjAuMDAwMCIsIlAiOiJXaW4zMiIsIkFOIjoiTWFpbCIsIldUIjoyfQ%3D%3D%7C0%7C%7C%7C&amp;sdata=x65LV74s97XFW4%2B%2BwFsEw3iyUiqR53T16SEctGT0Yt8%3D&amp;reserved=0" TargetMode="External" /><Relationship Id="rId3" Type="http://schemas.openxmlformats.org/officeDocument/2006/relationships/hyperlink" Target="https://www.reginfo.gov/public/do/PRAViewDocument?ref_nbr=202508-3060-008" TargetMode="External" /><Relationship Id="rId4" Type="http://schemas.openxmlformats.org/officeDocument/2006/relationships/hyperlink" Target="https://www.reginfo.gov/public/do/PRAViewICR?ref_nbr=202508-3060-008" TargetMode="External" /><Relationship Id="rId5" Type="http://schemas.openxmlformats.org/officeDocument/2006/relationships/hyperlink" Target="https://apps2.fcc.gov/section4362/login.xhtml" TargetMode="External" /><Relationship Id="rId6" Type="http://schemas.openxmlformats.org/officeDocument/2006/relationships/hyperlink" Target="https://www.fcc.gov/international/circuit-capacity-data-us-international-submarine-cables" TargetMode="External" /><Relationship Id="rId7" Type="http://schemas.openxmlformats.org/officeDocument/2006/relationships/hyperlink" Target="https://www.reginfo.gov/public/do/PRAViewDocument?ref_nbr=202310-3060-00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11AF-8379-48C2-A928-C9F1934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5</TotalTime>
  <Pages>8</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frederick copes</dc:creator>
  <cp:lastModifiedBy>Cathy Williams</cp:lastModifiedBy>
  <cp:revision>4</cp:revision>
  <cp:lastPrinted>2017-11-21T19:04:00Z</cp:lastPrinted>
  <dcterms:created xsi:type="dcterms:W3CDTF">2026-02-04T17:28:00Z</dcterms:created>
  <dcterms:modified xsi:type="dcterms:W3CDTF">2026-04-16T13:13:00Z</dcterms:modified>
</cp:coreProperties>
</file>