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2B0B" w:rsidRPr="008D5A8C" w:rsidP="00B246F7" w14:paraId="6E038D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8D5A8C">
        <w:rPr>
          <w:snapToGrid w:val="0"/>
          <w:color w:val="000000"/>
          <w:sz w:val="25"/>
          <w:szCs w:val="25"/>
        </w:rPr>
        <w:t>DEPARTMENT OF TRANSPORTATION</w:t>
      </w:r>
    </w:p>
    <w:p w:rsidR="00892B0B" w:rsidRPr="008D5A8C" w:rsidP="00B246F7" w14:paraId="195D02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FEDERAL TRANSIT ADMINISTRATION</w:t>
      </w:r>
    </w:p>
    <w:p w:rsidR="00B246F7" w:rsidRPr="008D5A8C" w:rsidP="00B246F7" w14:paraId="202664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p>
    <w:p w:rsidR="00892B0B" w:rsidRPr="008D5A8C" w:rsidP="00B246F7" w14:paraId="7BE2DB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SUPPORTING STATEMENT</w:t>
      </w:r>
    </w:p>
    <w:p w:rsidR="00892B0B" w:rsidRPr="008D5A8C" w:rsidP="00B246F7" w14:paraId="4907DAC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D7606B" w:rsidRPr="008D5A8C" w:rsidP="00B246F7" w14:paraId="4D61E953" w14:textId="0FFBF7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8D5A8C">
        <w:rPr>
          <w:b/>
          <w:snapToGrid w:val="0"/>
          <w:color w:val="000000"/>
          <w:sz w:val="25"/>
          <w:szCs w:val="25"/>
        </w:rPr>
        <w:t xml:space="preserve">Transit Research, Development, Demonstration, </w:t>
      </w:r>
      <w:r w:rsidRPr="008D5A8C" w:rsidR="007E7928">
        <w:rPr>
          <w:b/>
          <w:snapToGrid w:val="0"/>
          <w:color w:val="000000"/>
          <w:sz w:val="25"/>
          <w:szCs w:val="25"/>
        </w:rPr>
        <w:t>Deployment</w:t>
      </w:r>
      <w:r w:rsidR="00C361C9">
        <w:rPr>
          <w:b/>
          <w:snapToGrid w:val="0"/>
          <w:color w:val="000000"/>
          <w:sz w:val="25"/>
          <w:szCs w:val="25"/>
        </w:rPr>
        <w:t xml:space="preserve"> and Training</w:t>
      </w:r>
      <w:r w:rsidRPr="008D5A8C">
        <w:rPr>
          <w:b/>
          <w:snapToGrid w:val="0"/>
          <w:color w:val="000000"/>
          <w:sz w:val="25"/>
          <w:szCs w:val="25"/>
        </w:rPr>
        <w:t xml:space="preserve"> Projects</w:t>
      </w:r>
    </w:p>
    <w:p w:rsidR="00892B0B" w:rsidRPr="008D5A8C" w:rsidP="00B246F7" w14:paraId="404102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8D5A8C">
        <w:rPr>
          <w:snapToGrid w:val="0"/>
          <w:color w:val="000000"/>
          <w:sz w:val="25"/>
          <w:szCs w:val="25"/>
        </w:rPr>
        <w:t>(OMB Control No. 2132-0546)</w:t>
      </w:r>
    </w:p>
    <w:p w:rsidR="00D7606B" w:rsidRPr="008D5A8C" w:rsidP="00B246F7" w14:paraId="191715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246F7" w:rsidRPr="008D5A8C" w:rsidP="00B246F7" w14:paraId="25A75555" w14:textId="77777777">
      <w:pPr>
        <w:rPr>
          <w:b/>
          <w:snapToGrid w:val="0"/>
          <w:color w:val="000000"/>
          <w:sz w:val="25"/>
          <w:szCs w:val="25"/>
          <w:u w:val="single"/>
        </w:rPr>
      </w:pPr>
      <w:r w:rsidRPr="008D5A8C">
        <w:rPr>
          <w:b/>
          <w:snapToGrid w:val="0"/>
          <w:color w:val="000000"/>
          <w:sz w:val="25"/>
          <w:szCs w:val="25"/>
          <w:u w:val="single"/>
        </w:rPr>
        <w:t>ABSTRACT</w:t>
      </w:r>
    </w:p>
    <w:p w:rsidR="00B246F7" w:rsidP="00B45EE0" w14:paraId="40BE8ED9" w14:textId="1EFD1BEA">
      <w:pPr>
        <w:rPr>
          <w:snapToGrid w:val="0"/>
          <w:color w:val="000000"/>
          <w:sz w:val="25"/>
          <w:szCs w:val="25"/>
        </w:rPr>
      </w:pPr>
      <w:r w:rsidRPr="008D5A8C">
        <w:rPr>
          <w:snapToGrid w:val="0"/>
          <w:color w:val="000000"/>
          <w:sz w:val="25"/>
          <w:szCs w:val="25"/>
        </w:rPr>
        <w:t xml:space="preserve">This supporting statement is associated with a request for </w:t>
      </w:r>
      <w:r w:rsidR="00B11744">
        <w:rPr>
          <w:snapToGrid w:val="0"/>
          <w:color w:val="000000"/>
          <w:sz w:val="25"/>
          <w:szCs w:val="25"/>
        </w:rPr>
        <w:t xml:space="preserve">an extension </w:t>
      </w:r>
      <w:r w:rsidR="00B45EE0">
        <w:rPr>
          <w:snapToGrid w:val="0"/>
          <w:color w:val="000000"/>
          <w:sz w:val="25"/>
          <w:szCs w:val="25"/>
        </w:rPr>
        <w:t xml:space="preserve">without change </w:t>
      </w:r>
      <w:r w:rsidR="00B11744">
        <w:rPr>
          <w:snapToGrid w:val="0"/>
          <w:color w:val="000000"/>
          <w:sz w:val="25"/>
          <w:szCs w:val="25"/>
        </w:rPr>
        <w:t xml:space="preserve">of a </w:t>
      </w:r>
      <w:r w:rsidRPr="008D5A8C">
        <w:rPr>
          <w:snapToGrid w:val="0"/>
          <w:color w:val="000000"/>
          <w:sz w:val="25"/>
          <w:szCs w:val="25"/>
        </w:rPr>
        <w:t>currently approved information collection</w:t>
      </w:r>
      <w:r w:rsidR="00B45EE0">
        <w:rPr>
          <w:snapToGrid w:val="0"/>
          <w:color w:val="000000"/>
          <w:sz w:val="25"/>
          <w:szCs w:val="25"/>
        </w:rPr>
        <w:t>.</w:t>
      </w:r>
      <w:r w:rsidR="00F10A1C">
        <w:rPr>
          <w:snapToGrid w:val="0"/>
          <w:color w:val="000000"/>
          <w:sz w:val="25"/>
          <w:szCs w:val="25"/>
        </w:rPr>
        <w:t xml:space="preserve">  </w:t>
      </w:r>
    </w:p>
    <w:p w:rsidR="00B45EE0" w:rsidRPr="008D5A8C" w:rsidP="00B45EE0" w14:paraId="4C00769E" w14:textId="77777777">
      <w:pPr>
        <w:rPr>
          <w:snapToGrid w:val="0"/>
          <w:color w:val="000000"/>
          <w:sz w:val="25"/>
          <w:szCs w:val="25"/>
        </w:rPr>
      </w:pPr>
    </w:p>
    <w:p w:rsidR="00ED0DBA" w:rsidRPr="008D5A8C" w:rsidP="00ED0DBA" w14:paraId="697B005C"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5"/>
          <w:szCs w:val="25"/>
        </w:rPr>
      </w:pPr>
      <w:r w:rsidRPr="008D5A8C">
        <w:rPr>
          <w:b/>
          <w:snapToGrid w:val="0"/>
          <w:color w:val="000000"/>
          <w:sz w:val="25"/>
          <w:szCs w:val="25"/>
        </w:rPr>
        <w:t xml:space="preserve">1.   </w:t>
      </w:r>
      <w:r w:rsidRPr="008D5A8C" w:rsidR="00D7606B">
        <w:rPr>
          <w:b/>
          <w:snapToGrid w:val="0"/>
          <w:color w:val="000000"/>
          <w:sz w:val="25"/>
          <w:szCs w:val="25"/>
        </w:rPr>
        <w:t>Circumstances that make the collection necessary.</w:t>
      </w:r>
    </w:p>
    <w:p w:rsidR="008D5A8C" w:rsidP="00B246F7" w14:paraId="2EC9A7FC" w14:textId="7B655B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8D5A8C">
        <w:rPr>
          <w:sz w:val="25"/>
          <w:szCs w:val="25"/>
        </w:rPr>
        <w:t xml:space="preserve">The Federal Transit Administration's </w:t>
      </w:r>
      <w:r w:rsidR="00CC540D">
        <w:rPr>
          <w:sz w:val="25"/>
          <w:szCs w:val="25"/>
        </w:rPr>
        <w:t xml:space="preserve">programs for </w:t>
      </w:r>
      <w:r w:rsidRPr="008D5A8C">
        <w:rPr>
          <w:sz w:val="25"/>
          <w:szCs w:val="25"/>
        </w:rPr>
        <w:t xml:space="preserve">Research, Development, Demonstration, Deployment, Cooperative Research, Technical Assistance, Standards Development, and Human Resources and Training programs are authorized at 49 U.S.C. 5312, </w:t>
      </w:r>
      <w:r w:rsidR="009834C4">
        <w:rPr>
          <w:sz w:val="25"/>
          <w:szCs w:val="25"/>
        </w:rPr>
        <w:t xml:space="preserve">and </w:t>
      </w:r>
      <w:r w:rsidRPr="008D5A8C">
        <w:rPr>
          <w:sz w:val="25"/>
          <w:szCs w:val="25"/>
        </w:rPr>
        <w:t>5314</w:t>
      </w:r>
      <w:r w:rsidR="009834C4">
        <w:rPr>
          <w:sz w:val="25"/>
          <w:szCs w:val="25"/>
        </w:rPr>
        <w:t>. FTA’s Public Transportation Innovation Program (49 U.S.C. § 5312) provides assistance for projects of national significance</w:t>
      </w:r>
      <w:r w:rsidR="00CC540D">
        <w:rPr>
          <w:sz w:val="25"/>
          <w:szCs w:val="25"/>
        </w:rPr>
        <w:t xml:space="preserve"> </w:t>
      </w:r>
      <w:r w:rsidRPr="00CC540D" w:rsidR="00CC540D">
        <w:rPr>
          <w:sz w:val="25"/>
          <w:szCs w:val="25"/>
        </w:rPr>
        <w:t>that advance and improve public transportation through research, development, demonstration, and deployment activities.</w:t>
      </w:r>
      <w:r w:rsidR="009834C4">
        <w:rPr>
          <w:sz w:val="25"/>
          <w:szCs w:val="25"/>
        </w:rPr>
        <w:t xml:space="preserve"> FTA’s Technical Assistance and Workforce Development Program (</w:t>
      </w:r>
      <w:r w:rsidRPr="009834C4" w:rsidR="009834C4">
        <w:rPr>
          <w:sz w:val="25"/>
          <w:szCs w:val="25"/>
        </w:rPr>
        <w:t>49 U.S.C. §</w:t>
      </w:r>
      <w:r w:rsidR="009834C4">
        <w:rPr>
          <w:sz w:val="25"/>
          <w:szCs w:val="25"/>
        </w:rPr>
        <w:t xml:space="preserve"> 5314)</w:t>
      </w:r>
      <w:r w:rsidRPr="008D5A8C">
        <w:rPr>
          <w:sz w:val="25"/>
          <w:szCs w:val="25"/>
        </w:rPr>
        <w:t xml:space="preserve"> </w:t>
      </w:r>
      <w:r w:rsidR="009834C4">
        <w:rPr>
          <w:sz w:val="25"/>
          <w:szCs w:val="25"/>
        </w:rPr>
        <w:t>funds agreements that more effectively and efficiently provide public transportation service and/or improves public transportation.</w:t>
      </w:r>
      <w:r w:rsidRPr="008D5A8C">
        <w:rPr>
          <w:sz w:val="25"/>
          <w:szCs w:val="25"/>
        </w:rPr>
        <w:t xml:space="preserve"> </w:t>
      </w:r>
      <w:r>
        <w:rPr>
          <w:sz w:val="25"/>
          <w:szCs w:val="25"/>
        </w:rPr>
        <w:t xml:space="preserve"> </w:t>
      </w:r>
      <w:r w:rsidRPr="008D5A8C">
        <w:rPr>
          <w:sz w:val="25"/>
          <w:szCs w:val="25"/>
        </w:rPr>
        <w:t>Its primary goals are to increase transit ridership, improve safety and emergency preparedness, improve operating efficiencies, protect the environment, promote energy independence, and provide transit research leadership; develop and conduct workforce development activities, training and educational programs for Federal, State, and local transportation employees, United States citizens, and foreign nationals engaged or to be engaged in Government-aid relating to public transportation work; and to sponsor d</w:t>
      </w:r>
      <w:r w:rsidRPr="008D5A8C">
        <w:rPr>
          <w:sz w:val="25"/>
          <w:szCs w:val="25"/>
        </w:rPr>
        <w:t xml:space="preserve">evelopment of voluntary and consensus-based standards to more effectively and efficiently provide transit service, as well as support the improved administration of Federal transit funds. To accomplish this, FTA funds projects to support research and development, demonstration, deployments of various technologies and operational models for transit; a national cooperative research program, a national training institute, national technical assistance centers, and transit workforce development programs. </w:t>
      </w:r>
    </w:p>
    <w:p w:rsidR="00C631CB" w:rsidP="00B246F7" w14:paraId="0C1CDD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8D5A8C">
        <w:rPr>
          <w:sz w:val="25"/>
          <w:szCs w:val="25"/>
        </w:rPr>
        <w:br/>
        <w:t>The Research, Development, Demonstration, and Deployment Projects program (49 U.S.C. 5312) supports research not generally undertaken by the private sector</w:t>
      </w:r>
      <w:r w:rsidRPr="008D5A8C" w:rsidR="00B246F7">
        <w:rPr>
          <w:sz w:val="25"/>
          <w:szCs w:val="25"/>
        </w:rPr>
        <w:t>.  This includes st</w:t>
      </w:r>
      <w:r w:rsidRPr="008D5A8C">
        <w:rPr>
          <w:sz w:val="25"/>
          <w:szCs w:val="25"/>
        </w:rPr>
        <w:t xml:space="preserve">udies on </w:t>
      </w:r>
      <w:r w:rsidR="009834C4">
        <w:rPr>
          <w:sz w:val="25"/>
          <w:szCs w:val="25"/>
        </w:rPr>
        <w:t>safety</w:t>
      </w:r>
      <w:r w:rsidRPr="008D5A8C">
        <w:rPr>
          <w:sz w:val="25"/>
          <w:szCs w:val="25"/>
        </w:rPr>
        <w:t xml:space="preserve">, </w:t>
      </w:r>
      <w:r w:rsidR="009834C4">
        <w:rPr>
          <w:sz w:val="25"/>
          <w:szCs w:val="25"/>
        </w:rPr>
        <w:t>mobility innovation</w:t>
      </w:r>
      <w:r w:rsidRPr="008D5A8C">
        <w:rPr>
          <w:sz w:val="25"/>
          <w:szCs w:val="25"/>
        </w:rPr>
        <w:t xml:space="preserve">, and </w:t>
      </w:r>
      <w:r w:rsidR="009834C4">
        <w:rPr>
          <w:sz w:val="25"/>
          <w:szCs w:val="25"/>
        </w:rPr>
        <w:t>infrastructure</w:t>
      </w:r>
      <w:r w:rsidRPr="008D5A8C">
        <w:rPr>
          <w:sz w:val="25"/>
          <w:szCs w:val="25"/>
        </w:rPr>
        <w:t xml:space="preserve">. </w:t>
      </w:r>
      <w:r w:rsidRPr="008D5A8C">
        <w:rPr>
          <w:sz w:val="25"/>
          <w:szCs w:val="25"/>
        </w:rPr>
        <w:br/>
      </w:r>
      <w:r w:rsidRPr="008D5A8C">
        <w:rPr>
          <w:sz w:val="25"/>
          <w:szCs w:val="25"/>
        </w:rPr>
        <w:br/>
        <w:t xml:space="preserve">The Transit Cooperative Research Program (TCRP) funds shorter-term research projects that address immediate operational issues facing the transit industry. These projects are designed to identify immediate improvements in transit safety, equipment and system design, system operations, and the economic development impact of transit investments, among other topic areas. These funds are awarded to the National Academies of Science. </w:t>
      </w:r>
      <w:r w:rsidRPr="008D5A8C">
        <w:rPr>
          <w:sz w:val="25"/>
          <w:szCs w:val="25"/>
        </w:rPr>
        <w:br/>
      </w:r>
      <w:r w:rsidRPr="008D5A8C">
        <w:rPr>
          <w:sz w:val="25"/>
          <w:szCs w:val="25"/>
        </w:rPr>
        <w:br/>
      </w:r>
    </w:p>
    <w:p w:rsidR="005344DF" w:rsidRPr="008D5A8C" w:rsidP="00B246F7" w14:paraId="093E2ADE" w14:textId="530DFA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z w:val="25"/>
          <w:szCs w:val="25"/>
        </w:rPr>
        <w:t>The Technical Assistance and Standards (49 U.S.C.</w:t>
      </w:r>
      <w:r w:rsidR="009834C4">
        <w:rPr>
          <w:sz w:val="25"/>
          <w:szCs w:val="25"/>
        </w:rPr>
        <w:t xml:space="preserve"> §</w:t>
      </w:r>
      <w:r w:rsidRPr="008D5A8C">
        <w:rPr>
          <w:sz w:val="25"/>
          <w:szCs w:val="25"/>
        </w:rPr>
        <w:t xml:space="preserve"> 5314)  provide resources and direct assistance </w:t>
      </w:r>
      <w:r w:rsidRPr="008D5A8C">
        <w:rPr>
          <w:sz w:val="25"/>
          <w:szCs w:val="25"/>
        </w:rPr>
        <w:t xml:space="preserve">to support compliance with the Americans with Disabilities Act (ADA), human services transportation coordination requirements, the transportation needs of elderly individuals, increased transit ridership, </w:t>
      </w:r>
      <w:r w:rsidR="00CC540D">
        <w:rPr>
          <w:sz w:val="25"/>
          <w:szCs w:val="25"/>
        </w:rPr>
        <w:t xml:space="preserve">and needs related to </w:t>
      </w:r>
      <w:r w:rsidRPr="008D5A8C">
        <w:rPr>
          <w:sz w:val="25"/>
          <w:szCs w:val="25"/>
        </w:rPr>
        <w:t xml:space="preserve">transportation </w:t>
      </w:r>
      <w:r w:rsidR="00CC540D">
        <w:rPr>
          <w:sz w:val="25"/>
          <w:szCs w:val="25"/>
        </w:rPr>
        <w:t>access,</w:t>
      </w:r>
      <w:r w:rsidRPr="008D5A8C">
        <w:rPr>
          <w:sz w:val="25"/>
          <w:szCs w:val="25"/>
        </w:rPr>
        <w:t xml:space="preserve"> and any other technical assistance activities deemed necessary by FTA, such as safety </w:t>
      </w:r>
      <w:r w:rsidR="009834C4">
        <w:rPr>
          <w:sz w:val="25"/>
          <w:szCs w:val="25"/>
        </w:rPr>
        <w:t xml:space="preserve">standards development </w:t>
      </w:r>
      <w:r w:rsidRPr="008D5A8C">
        <w:rPr>
          <w:sz w:val="25"/>
          <w:szCs w:val="25"/>
        </w:rPr>
        <w:t>and asset management.</w:t>
      </w:r>
      <w:r w:rsidRPr="008D5A8C">
        <w:rPr>
          <w:sz w:val="25"/>
          <w:szCs w:val="25"/>
        </w:rPr>
        <w:br/>
      </w:r>
      <w:r w:rsidRPr="008D5A8C">
        <w:rPr>
          <w:sz w:val="25"/>
          <w:szCs w:val="25"/>
        </w:rPr>
        <w:br/>
        <w:t xml:space="preserve">The Human Resources and Training program </w:t>
      </w:r>
      <w:r w:rsidR="009834C4">
        <w:rPr>
          <w:sz w:val="25"/>
          <w:szCs w:val="25"/>
        </w:rPr>
        <w:t>provides funding for an array of employment, general public transit workforce, and frontline workforce development activities.</w:t>
      </w:r>
      <w:r w:rsidRPr="00B45EE0" w:rsidR="00B45EE0">
        <w:rPr>
          <w:snapToGrid w:val="0"/>
          <w:color w:val="000000"/>
          <w:sz w:val="25"/>
          <w:szCs w:val="25"/>
        </w:rPr>
        <w:t xml:space="preserve"> The program is intended to</w:t>
      </w:r>
      <w:r w:rsidR="00B45EE0">
        <w:rPr>
          <w:snapToGrid w:val="0"/>
          <w:color w:val="000000"/>
          <w:sz w:val="25"/>
          <w:szCs w:val="25"/>
        </w:rPr>
        <w:t xml:space="preserve"> a</w:t>
      </w:r>
      <w:r w:rsidRPr="00B45EE0" w:rsidR="00B45EE0">
        <w:rPr>
          <w:snapToGrid w:val="0"/>
          <w:color w:val="000000"/>
          <w:sz w:val="25"/>
          <w:szCs w:val="25"/>
        </w:rPr>
        <w:t xml:space="preserve">ddress public transportation workforce needs through research, outreach, </w:t>
      </w:r>
      <w:r w:rsidRPr="00B45EE0" w:rsidR="00833390">
        <w:rPr>
          <w:snapToGrid w:val="0"/>
          <w:color w:val="000000"/>
          <w:sz w:val="25"/>
          <w:szCs w:val="25"/>
        </w:rPr>
        <w:t>training,</w:t>
      </w:r>
      <w:r w:rsidRPr="00B45EE0" w:rsidR="00B45EE0">
        <w:rPr>
          <w:snapToGrid w:val="0"/>
          <w:color w:val="000000"/>
          <w:sz w:val="25"/>
          <w:szCs w:val="25"/>
        </w:rPr>
        <w:t xml:space="preserve"> and the implementation of a frontline workforce grant program, and conduct training and educational programs in support of the public transportation industry.</w:t>
      </w:r>
    </w:p>
    <w:p w:rsidR="00E23352" w:rsidRPr="008D5A8C" w:rsidP="008F143F" w14:paraId="30FF4298"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napToGrid w:val="0"/>
          <w:color w:val="000000"/>
          <w:sz w:val="25"/>
          <w:szCs w:val="25"/>
        </w:rPr>
      </w:pPr>
    </w:p>
    <w:p w:rsidR="00E23352" w:rsidRPr="008D5A8C" w:rsidP="00B246F7" w14:paraId="4BAA80AF"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information requested is necessary to evaluate applications and select projects associated with these U.S.C. 49 Sections for funding, ensure applicants meet eligibility requirements, make project awards, monitor grant requirements, </w:t>
      </w:r>
      <w:r w:rsidR="006D114B">
        <w:rPr>
          <w:snapToGrid w:val="0"/>
          <w:color w:val="000000"/>
          <w:sz w:val="25"/>
          <w:szCs w:val="25"/>
        </w:rPr>
        <w:t xml:space="preserve">meet reporting requirements for the Capital Leasing program, </w:t>
      </w:r>
      <w:r w:rsidRPr="008D5A8C">
        <w:rPr>
          <w:snapToGrid w:val="0"/>
          <w:color w:val="000000"/>
          <w:sz w:val="25"/>
          <w:szCs w:val="25"/>
        </w:rPr>
        <w:t>disburse federal funds, evaluate project progress and results and determine the most effective means of sharing those results with a variety of customers in the public and private sectors.</w:t>
      </w:r>
    </w:p>
    <w:p w:rsidR="00947711" w:rsidRPr="008D5A8C" w:rsidP="00DC0032" w14:paraId="67178DA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14:paraId="0DA1C524"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8D5A8C">
        <w:rPr>
          <w:b/>
          <w:snapToGrid w:val="0"/>
          <w:color w:val="000000"/>
          <w:sz w:val="25"/>
          <w:szCs w:val="25"/>
        </w:rPr>
        <w:t>2.   How, by whom, and for what purpose the information is to be used.</w:t>
      </w:r>
    </w:p>
    <w:p w:rsidR="00DC0032" w:rsidRPr="008D5A8C" w:rsidP="00B246F7" w14:paraId="1214B386" w14:textId="37CDE2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Consistent with OMB Circular A</w:t>
      </w:r>
      <w:r w:rsidRPr="008D5A8C" w:rsidR="00C52D67">
        <w:rPr>
          <w:snapToGrid w:val="0"/>
          <w:color w:val="000000"/>
          <w:sz w:val="25"/>
          <w:szCs w:val="25"/>
        </w:rPr>
        <w:t>-</w:t>
      </w:r>
      <w:r w:rsidRPr="008D5A8C">
        <w:rPr>
          <w:snapToGrid w:val="0"/>
          <w:color w:val="000000"/>
          <w:sz w:val="25"/>
          <w:szCs w:val="25"/>
        </w:rPr>
        <w:t xml:space="preserve">102, Grants and Cooperative Agreements with State and Local </w:t>
      </w:r>
      <w:r w:rsidRPr="008D5A8C">
        <w:rPr>
          <w:snapToGrid w:val="0"/>
          <w:color w:val="000000"/>
          <w:sz w:val="25"/>
          <w:szCs w:val="25"/>
        </w:rPr>
        <w:t>Governments, or 2 CFR 215</w:t>
      </w:r>
      <w:r w:rsidRPr="008D5A8C">
        <w:rPr>
          <w:sz w:val="25"/>
          <w:szCs w:val="25"/>
        </w:rPr>
        <w:t xml:space="preserve"> </w:t>
      </w:r>
      <w:r w:rsidRPr="008D5A8C">
        <w:rPr>
          <w:snapToGrid w:val="0"/>
          <w:color w:val="000000"/>
          <w:sz w:val="25"/>
          <w:szCs w:val="25"/>
        </w:rPr>
        <w:t>Uniform Administrative Requirements for Grants an</w:t>
      </w:r>
      <w:r w:rsidRPr="008D5A8C" w:rsidR="00F81C7D">
        <w:rPr>
          <w:snapToGrid w:val="0"/>
          <w:color w:val="000000"/>
          <w:sz w:val="25"/>
          <w:szCs w:val="25"/>
        </w:rPr>
        <w:t>d Agreements w</w:t>
      </w:r>
      <w:r w:rsidRPr="008D5A8C">
        <w:rPr>
          <w:snapToGrid w:val="0"/>
          <w:color w:val="000000"/>
          <w:sz w:val="25"/>
          <w:szCs w:val="25"/>
        </w:rPr>
        <w:t xml:space="preserve">ith Institutions of Higher Education, Hospitals, and Other Non-Profit Organizations, </w:t>
      </w:r>
      <w:r w:rsidRPr="008D5A8C" w:rsidR="00F92A4E">
        <w:rPr>
          <w:snapToGrid w:val="0"/>
          <w:color w:val="000000"/>
          <w:sz w:val="25"/>
          <w:szCs w:val="25"/>
        </w:rPr>
        <w:t xml:space="preserve">all </w:t>
      </w:r>
      <w:r w:rsidRPr="008D5A8C">
        <w:rPr>
          <w:snapToGrid w:val="0"/>
          <w:color w:val="000000"/>
          <w:sz w:val="25"/>
          <w:szCs w:val="25"/>
        </w:rPr>
        <w:t xml:space="preserve">applicants </w:t>
      </w:r>
      <w:r w:rsidRPr="008D5A8C" w:rsidR="00F92A4E">
        <w:rPr>
          <w:snapToGrid w:val="0"/>
          <w:color w:val="000000"/>
          <w:sz w:val="25"/>
          <w:szCs w:val="25"/>
        </w:rPr>
        <w:t xml:space="preserve">for FTA research grants </w:t>
      </w:r>
      <w:r w:rsidRPr="008D5A8C">
        <w:rPr>
          <w:snapToGrid w:val="0"/>
          <w:color w:val="000000"/>
          <w:sz w:val="25"/>
          <w:szCs w:val="25"/>
        </w:rPr>
        <w:t xml:space="preserve">must complete the information requested in the </w:t>
      </w:r>
      <w:r w:rsidR="00997091">
        <w:rPr>
          <w:snapToGrid w:val="0"/>
          <w:color w:val="000000"/>
          <w:sz w:val="25"/>
          <w:szCs w:val="25"/>
        </w:rPr>
        <w:t xml:space="preserve">application </w:t>
      </w:r>
      <w:r w:rsidRPr="008D5A8C" w:rsidR="00F92A4E">
        <w:rPr>
          <w:snapToGrid w:val="0"/>
          <w:color w:val="000000"/>
          <w:sz w:val="25"/>
          <w:szCs w:val="25"/>
        </w:rPr>
        <w:t xml:space="preserve">as well as complete a statement of work describing the work to be carried out for the proposed project </w:t>
      </w:r>
      <w:r w:rsidRPr="008D5A8C">
        <w:rPr>
          <w:snapToGrid w:val="0"/>
          <w:color w:val="000000"/>
          <w:sz w:val="25"/>
          <w:szCs w:val="25"/>
        </w:rPr>
        <w:t xml:space="preserve">to apply for </w:t>
      </w:r>
      <w:r w:rsidRPr="008D5A8C" w:rsidR="00ED0DBA">
        <w:rPr>
          <w:snapToGrid w:val="0"/>
          <w:color w:val="000000"/>
          <w:sz w:val="25"/>
          <w:szCs w:val="25"/>
        </w:rPr>
        <w:t>funding for a</w:t>
      </w:r>
      <w:r w:rsidRPr="008D5A8C">
        <w:rPr>
          <w:snapToGrid w:val="0"/>
          <w:color w:val="000000"/>
          <w:sz w:val="25"/>
          <w:szCs w:val="25"/>
        </w:rPr>
        <w:t xml:space="preserve"> project</w:t>
      </w:r>
      <w:r w:rsidRPr="008D5A8C" w:rsidR="00ED0DBA">
        <w:rPr>
          <w:snapToGrid w:val="0"/>
          <w:color w:val="000000"/>
          <w:sz w:val="25"/>
          <w:szCs w:val="25"/>
        </w:rPr>
        <w:t>.</w:t>
      </w:r>
      <w:r w:rsidRPr="008D5A8C">
        <w:rPr>
          <w:snapToGrid w:val="0"/>
          <w:color w:val="000000"/>
          <w:sz w:val="25"/>
          <w:szCs w:val="25"/>
        </w:rPr>
        <w:t xml:space="preserve">  </w:t>
      </w:r>
      <w:r w:rsidRPr="008D5A8C" w:rsidR="00F92A4E">
        <w:rPr>
          <w:snapToGrid w:val="0"/>
          <w:color w:val="000000"/>
          <w:sz w:val="25"/>
          <w:szCs w:val="25"/>
        </w:rPr>
        <w:t xml:space="preserve">FTA places Notices of Funding Availability (NOFA) on grants.gov describing what types of research activities FTA is proposing to fund and announcing selection criteria under each announcement that needs to be addressed in the statement of work.  FTA uses this information to evaluate and select the projects for funding that best support FTA’s strategic goals and priorities </w:t>
      </w:r>
      <w:r w:rsidRPr="008D5A8C" w:rsidR="00C52D67">
        <w:rPr>
          <w:snapToGrid w:val="0"/>
          <w:color w:val="000000"/>
          <w:sz w:val="25"/>
          <w:szCs w:val="25"/>
        </w:rPr>
        <w:t>t</w:t>
      </w:r>
      <w:r w:rsidRPr="008D5A8C" w:rsidR="00F92A4E">
        <w:rPr>
          <w:snapToGrid w:val="0"/>
          <w:color w:val="000000"/>
          <w:sz w:val="25"/>
          <w:szCs w:val="25"/>
        </w:rPr>
        <w:t xml:space="preserve">hat offer the best technical and management </w:t>
      </w:r>
      <w:r w:rsidRPr="008D5A8C" w:rsidR="008876AD">
        <w:rPr>
          <w:snapToGrid w:val="0"/>
          <w:color w:val="000000"/>
          <w:sz w:val="25"/>
          <w:szCs w:val="25"/>
        </w:rPr>
        <w:t>approach and</w:t>
      </w:r>
      <w:r w:rsidRPr="008D5A8C" w:rsidR="00F92A4E">
        <w:rPr>
          <w:snapToGrid w:val="0"/>
          <w:color w:val="000000"/>
          <w:sz w:val="25"/>
          <w:szCs w:val="25"/>
        </w:rPr>
        <w:t xml:space="preserve"> are consistent with the specific objectives set forth in the NOFA.  This information is also required to ensure applicants and the projects meet eligibility requirements and </w:t>
      </w:r>
      <w:r w:rsidRPr="008D5A8C" w:rsidR="008876AD">
        <w:rPr>
          <w:snapToGrid w:val="0"/>
          <w:color w:val="000000"/>
          <w:sz w:val="25"/>
          <w:szCs w:val="25"/>
        </w:rPr>
        <w:t>follow</w:t>
      </w:r>
      <w:r w:rsidRPr="008D5A8C" w:rsidR="00F92A4E">
        <w:rPr>
          <w:snapToGrid w:val="0"/>
          <w:color w:val="000000"/>
          <w:sz w:val="25"/>
          <w:szCs w:val="25"/>
        </w:rPr>
        <w:t xml:space="preserve"> </w:t>
      </w:r>
      <w:r w:rsidRPr="008D5A8C" w:rsidR="00ED0DBA">
        <w:rPr>
          <w:snapToGrid w:val="0"/>
          <w:color w:val="000000"/>
          <w:sz w:val="25"/>
          <w:szCs w:val="25"/>
        </w:rPr>
        <w:t>f</w:t>
      </w:r>
      <w:r w:rsidRPr="008D5A8C" w:rsidR="00F92A4E">
        <w:rPr>
          <w:snapToGrid w:val="0"/>
          <w:color w:val="000000"/>
          <w:sz w:val="25"/>
          <w:szCs w:val="25"/>
        </w:rPr>
        <w:t xml:space="preserve">ederal regulations.  </w:t>
      </w:r>
    </w:p>
    <w:p w:rsidR="00F92A4E" w:rsidRPr="008D5A8C" w:rsidP="008F143F" w14:paraId="3F37CD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P="00B246F7" w14:paraId="5AC286D3" w14:textId="0B8E90D7">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Once a project has been selected and awarded, information is needed to ensure that the projects are being properly implemented, are achieving intended results on a timely basis, remain within approved budgets, and yield technical information of value to the federal government, the transit community and academia.  </w:t>
      </w:r>
      <w:r w:rsidRPr="008D5A8C" w:rsidR="00F81C7D">
        <w:rPr>
          <w:snapToGrid w:val="0"/>
          <w:color w:val="000000"/>
          <w:sz w:val="25"/>
          <w:szCs w:val="25"/>
        </w:rPr>
        <w:t>Consistent with OMB Circular A</w:t>
      </w:r>
      <w:r w:rsidRPr="008D5A8C" w:rsidR="00C52D67">
        <w:rPr>
          <w:snapToGrid w:val="0"/>
          <w:color w:val="000000"/>
          <w:sz w:val="25"/>
          <w:szCs w:val="25"/>
        </w:rPr>
        <w:t>-</w:t>
      </w:r>
      <w:r w:rsidRPr="008D5A8C" w:rsidR="00F81C7D">
        <w:rPr>
          <w:snapToGrid w:val="0"/>
          <w:color w:val="000000"/>
          <w:sz w:val="25"/>
          <w:szCs w:val="25"/>
        </w:rPr>
        <w:t>102, Grants and Cooperative Agreements with State and Local Governments, or 2 CFR 215</w:t>
      </w:r>
      <w:r w:rsidRPr="008D5A8C" w:rsidR="00F81C7D">
        <w:rPr>
          <w:sz w:val="25"/>
          <w:szCs w:val="25"/>
        </w:rPr>
        <w:t xml:space="preserve"> </w:t>
      </w:r>
      <w:r w:rsidRPr="008D5A8C" w:rsidR="00F81C7D">
        <w:rPr>
          <w:snapToGrid w:val="0"/>
          <w:color w:val="000000"/>
          <w:sz w:val="25"/>
          <w:szCs w:val="25"/>
        </w:rPr>
        <w:t>Uniform Administrative Requirements for Grants and Agreements with Institutions of Higher Education, Hospitals, and Other Non-Profit Organizations</w:t>
      </w:r>
      <w:r w:rsidRPr="008D5A8C" w:rsidR="00DC0032">
        <w:rPr>
          <w:snapToGrid w:val="0"/>
          <w:color w:val="000000"/>
          <w:sz w:val="25"/>
          <w:szCs w:val="25"/>
        </w:rPr>
        <w:t>, recipients must submit quarterly progress reports</w:t>
      </w:r>
      <w:r w:rsidRPr="008D5A8C" w:rsidR="00F547EE">
        <w:rPr>
          <w:snapToGrid w:val="0"/>
          <w:color w:val="000000"/>
          <w:sz w:val="25"/>
          <w:szCs w:val="25"/>
        </w:rPr>
        <w:t xml:space="preserve">, </w:t>
      </w:r>
      <w:r w:rsidRPr="008D5A8C" w:rsidR="00DC0032">
        <w:rPr>
          <w:snapToGrid w:val="0"/>
          <w:color w:val="000000"/>
          <w:sz w:val="25"/>
          <w:szCs w:val="25"/>
        </w:rPr>
        <w:t>the Federal Financial Report</w:t>
      </w:r>
      <w:r w:rsidRPr="008D5A8C" w:rsidR="00F81C7D">
        <w:rPr>
          <w:snapToGrid w:val="0"/>
          <w:color w:val="000000"/>
          <w:sz w:val="25"/>
          <w:szCs w:val="25"/>
        </w:rPr>
        <w:t xml:space="preserve">, </w:t>
      </w:r>
      <w:r w:rsidR="00997091">
        <w:rPr>
          <w:snapToGrid w:val="0"/>
          <w:color w:val="000000"/>
          <w:sz w:val="25"/>
          <w:szCs w:val="25"/>
        </w:rPr>
        <w:t xml:space="preserve">submit a </w:t>
      </w:r>
      <w:r w:rsidRPr="008D5A8C" w:rsidR="00F81C7D">
        <w:rPr>
          <w:snapToGrid w:val="0"/>
          <w:color w:val="000000"/>
          <w:sz w:val="25"/>
          <w:szCs w:val="25"/>
        </w:rPr>
        <w:t xml:space="preserve">request </w:t>
      </w:r>
      <w:r w:rsidR="00997091">
        <w:rPr>
          <w:snapToGrid w:val="0"/>
          <w:color w:val="000000"/>
          <w:sz w:val="25"/>
          <w:szCs w:val="25"/>
        </w:rPr>
        <w:t xml:space="preserve">for </w:t>
      </w:r>
      <w:r w:rsidRPr="008D5A8C" w:rsidR="00F81C7D">
        <w:rPr>
          <w:snapToGrid w:val="0"/>
          <w:color w:val="000000"/>
          <w:sz w:val="25"/>
          <w:szCs w:val="25"/>
        </w:rPr>
        <w:t>payment, as well as a final technical report summarizing the research results of the project</w:t>
      </w:r>
      <w:r w:rsidRPr="008D5A8C" w:rsidR="00DC0032">
        <w:rPr>
          <w:snapToGrid w:val="0"/>
          <w:color w:val="000000"/>
          <w:sz w:val="25"/>
          <w:szCs w:val="25"/>
        </w:rPr>
        <w:t>.</w:t>
      </w:r>
      <w:r w:rsidRPr="008D5A8C" w:rsidR="00F547EE">
        <w:rPr>
          <w:snapToGrid w:val="0"/>
          <w:color w:val="000000"/>
          <w:sz w:val="25"/>
          <w:szCs w:val="25"/>
        </w:rPr>
        <w:t xml:space="preserve">  FTA project managers use this information to ensure the technical and financial aspects of the project </w:t>
      </w:r>
      <w:r w:rsidRPr="008D5A8C" w:rsidR="008528F3">
        <w:rPr>
          <w:snapToGrid w:val="0"/>
          <w:color w:val="000000"/>
          <w:sz w:val="25"/>
          <w:szCs w:val="25"/>
        </w:rPr>
        <w:t>a</w:t>
      </w:r>
      <w:r w:rsidRPr="008D5A8C" w:rsidR="00F547EE">
        <w:rPr>
          <w:snapToGrid w:val="0"/>
          <w:color w:val="000000"/>
          <w:sz w:val="25"/>
          <w:szCs w:val="25"/>
        </w:rPr>
        <w:t xml:space="preserve">re </w:t>
      </w:r>
      <w:r w:rsidRPr="008D5A8C" w:rsidR="00223092">
        <w:rPr>
          <w:snapToGrid w:val="0"/>
          <w:color w:val="000000"/>
          <w:sz w:val="25"/>
          <w:szCs w:val="25"/>
        </w:rPr>
        <w:t>preceding</w:t>
      </w:r>
      <w:r w:rsidRPr="008D5A8C" w:rsidR="00F547EE">
        <w:rPr>
          <w:snapToGrid w:val="0"/>
          <w:color w:val="000000"/>
          <w:sz w:val="25"/>
          <w:szCs w:val="25"/>
        </w:rPr>
        <w:t xml:space="preserve"> in accordance with the grant requirements.</w:t>
      </w:r>
      <w:r w:rsidRPr="008D5A8C" w:rsidR="00F53254">
        <w:rPr>
          <w:snapToGrid w:val="0"/>
          <w:color w:val="000000"/>
          <w:sz w:val="25"/>
          <w:szCs w:val="25"/>
        </w:rPr>
        <w:t xml:space="preserve">  The final technical report is used to share the results of the research with the transit industry.</w:t>
      </w:r>
      <w:r w:rsidR="006D114B">
        <w:rPr>
          <w:snapToGrid w:val="0"/>
          <w:color w:val="000000"/>
          <w:sz w:val="25"/>
          <w:szCs w:val="25"/>
        </w:rPr>
        <w:t xml:space="preserve"> The information from the Capital Leasing report </w:t>
      </w:r>
      <w:r w:rsidR="00802687">
        <w:rPr>
          <w:snapToGrid w:val="0"/>
          <w:color w:val="000000"/>
          <w:sz w:val="25"/>
          <w:szCs w:val="25"/>
        </w:rPr>
        <w:t>is included in the published</w:t>
      </w:r>
      <w:r w:rsidR="006D114B">
        <w:rPr>
          <w:snapToGrid w:val="0"/>
          <w:color w:val="000000"/>
          <w:sz w:val="25"/>
          <w:szCs w:val="25"/>
        </w:rPr>
        <w:t xml:space="preserve"> </w:t>
      </w:r>
      <w:r w:rsidR="00802687">
        <w:rPr>
          <w:snapToGrid w:val="0"/>
          <w:color w:val="000000"/>
          <w:sz w:val="25"/>
          <w:szCs w:val="25"/>
        </w:rPr>
        <w:t xml:space="preserve">Annual Report on Capital Leasing Arrangements </w:t>
      </w:r>
      <w:r w:rsidR="006D114B">
        <w:rPr>
          <w:snapToGrid w:val="0"/>
          <w:color w:val="000000"/>
          <w:sz w:val="25"/>
          <w:szCs w:val="25"/>
        </w:rPr>
        <w:t>as required by Congress.</w:t>
      </w:r>
    </w:p>
    <w:p w:rsidR="00A25C2C" w:rsidRPr="008D5A8C" w:rsidP="00F81C7D" w14:paraId="73BB26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8D5A8C">
        <w:rPr>
          <w:snapToGrid w:val="0"/>
          <w:color w:val="000000"/>
          <w:sz w:val="25"/>
          <w:szCs w:val="25"/>
        </w:rPr>
        <w:t xml:space="preserve">  </w:t>
      </w:r>
    </w:p>
    <w:p w:rsidR="00D7606B" w:rsidRPr="008D5A8C" w:rsidP="00F700A0" w14:paraId="6DBAC1B4" w14:textId="77777777">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5"/>
          <w:szCs w:val="25"/>
        </w:rPr>
      </w:pPr>
      <w:r w:rsidRPr="008D5A8C">
        <w:rPr>
          <w:b/>
          <w:snapToGrid w:val="0"/>
          <w:color w:val="000000"/>
          <w:sz w:val="25"/>
          <w:szCs w:val="25"/>
        </w:rPr>
        <w:t>Describe whether collection of information involves information technolog</w:t>
      </w:r>
      <w:r w:rsidRPr="008D5A8C" w:rsidR="00930F3C">
        <w:rPr>
          <w:b/>
          <w:snapToGrid w:val="0"/>
          <w:color w:val="000000"/>
          <w:sz w:val="25"/>
          <w:szCs w:val="25"/>
        </w:rPr>
        <w:t>y</w:t>
      </w:r>
      <w:r w:rsidRPr="008D5A8C">
        <w:rPr>
          <w:b/>
          <w:snapToGrid w:val="0"/>
          <w:color w:val="000000"/>
          <w:sz w:val="25"/>
          <w:szCs w:val="25"/>
        </w:rPr>
        <w:t xml:space="preserve"> and any consideration of using information technology to reduce the burden. </w:t>
      </w:r>
    </w:p>
    <w:p w:rsidR="00D7606B" w:rsidP="00B246F7" w14:paraId="30A5F806" w14:textId="10115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All grantees</w:t>
      </w:r>
      <w:r w:rsidR="00B03DE1">
        <w:rPr>
          <w:snapToGrid w:val="0"/>
          <w:color w:val="000000"/>
          <w:sz w:val="25"/>
          <w:szCs w:val="25"/>
        </w:rPr>
        <w:t xml:space="preserve"> (100%)</w:t>
      </w:r>
      <w:r w:rsidRPr="008D5A8C">
        <w:rPr>
          <w:snapToGrid w:val="0"/>
          <w:color w:val="000000"/>
          <w:sz w:val="25"/>
          <w:szCs w:val="25"/>
        </w:rPr>
        <w:t xml:space="preserve"> submit </w:t>
      </w:r>
      <w:r w:rsidRPr="008D5A8C" w:rsidR="00F81C7D">
        <w:rPr>
          <w:snapToGrid w:val="0"/>
          <w:color w:val="000000"/>
          <w:sz w:val="25"/>
          <w:szCs w:val="25"/>
        </w:rPr>
        <w:t>information requested under the S</w:t>
      </w:r>
      <w:r w:rsidRPr="008D5A8C" w:rsidR="00ED0DBA">
        <w:rPr>
          <w:snapToGrid w:val="0"/>
          <w:color w:val="000000"/>
          <w:sz w:val="25"/>
          <w:szCs w:val="25"/>
        </w:rPr>
        <w:t xml:space="preserve">tandard Form </w:t>
      </w:r>
      <w:r w:rsidRPr="008D5A8C" w:rsidR="00ED0DBA">
        <w:rPr>
          <w:snapToGrid w:val="0"/>
          <w:sz w:val="25"/>
          <w:szCs w:val="25"/>
        </w:rPr>
        <w:t>424</w:t>
      </w:r>
      <w:r w:rsidRPr="008D5A8C" w:rsidR="00A33793">
        <w:rPr>
          <w:snapToGrid w:val="0"/>
          <w:sz w:val="25"/>
          <w:szCs w:val="25"/>
        </w:rPr>
        <w:t xml:space="preserve"> </w:t>
      </w:r>
      <w:r w:rsidRPr="008D5A8C" w:rsidR="00F81C7D">
        <w:rPr>
          <w:snapToGrid w:val="0"/>
          <w:color w:val="000000"/>
          <w:sz w:val="25"/>
          <w:szCs w:val="25"/>
        </w:rPr>
        <w:t xml:space="preserve">as well as the proposed statement of work, quarterly progress reports and the Federal Financial Report </w:t>
      </w:r>
      <w:r w:rsidRPr="008D5A8C">
        <w:rPr>
          <w:snapToGrid w:val="0"/>
          <w:color w:val="000000"/>
          <w:sz w:val="25"/>
          <w:szCs w:val="25"/>
        </w:rPr>
        <w:t>electronically into FTA’s electronic grant-making and management system known as T</w:t>
      </w:r>
      <w:r w:rsidRPr="008D5A8C" w:rsidR="00B27A3C">
        <w:rPr>
          <w:snapToGrid w:val="0"/>
          <w:color w:val="000000"/>
          <w:sz w:val="25"/>
          <w:szCs w:val="25"/>
        </w:rPr>
        <w:t>rAMS</w:t>
      </w:r>
      <w:r w:rsidRPr="008D5A8C">
        <w:rPr>
          <w:snapToGrid w:val="0"/>
          <w:color w:val="000000"/>
          <w:sz w:val="25"/>
          <w:szCs w:val="25"/>
        </w:rPr>
        <w:t>.  That system relies upon electronic signatures</w:t>
      </w:r>
      <w:r w:rsidR="00C631CB">
        <w:rPr>
          <w:snapToGrid w:val="0"/>
          <w:color w:val="000000"/>
          <w:sz w:val="25"/>
          <w:szCs w:val="25"/>
        </w:rPr>
        <w:t xml:space="preserve">. </w:t>
      </w:r>
      <w:r w:rsidRPr="008D5A8C">
        <w:rPr>
          <w:snapToGrid w:val="0"/>
          <w:color w:val="000000"/>
          <w:sz w:val="25"/>
          <w:szCs w:val="25"/>
        </w:rPr>
        <w:t xml:space="preserve">Grantees prepare </w:t>
      </w:r>
      <w:r w:rsidR="00B03DE1">
        <w:rPr>
          <w:snapToGrid w:val="0"/>
          <w:color w:val="000000"/>
          <w:sz w:val="25"/>
          <w:szCs w:val="25"/>
        </w:rPr>
        <w:t xml:space="preserve">and submit all </w:t>
      </w:r>
      <w:r w:rsidRPr="008D5A8C">
        <w:rPr>
          <w:snapToGrid w:val="0"/>
          <w:color w:val="000000"/>
          <w:sz w:val="25"/>
          <w:szCs w:val="25"/>
        </w:rPr>
        <w:t xml:space="preserve">technical and financial reports </w:t>
      </w:r>
      <w:r w:rsidR="00B03DE1">
        <w:rPr>
          <w:snapToGrid w:val="0"/>
          <w:color w:val="000000"/>
          <w:sz w:val="25"/>
          <w:szCs w:val="25"/>
        </w:rPr>
        <w:t xml:space="preserve">online in electronic form. </w:t>
      </w:r>
      <w:r w:rsidRPr="008D5A8C">
        <w:rPr>
          <w:snapToGrid w:val="0"/>
          <w:color w:val="000000"/>
          <w:sz w:val="25"/>
          <w:szCs w:val="25"/>
        </w:rPr>
        <w:t>FTA receives technical reports in electronic form to</w:t>
      </w:r>
      <w:r w:rsidRPr="008D5A8C" w:rsidR="00D95EBC">
        <w:rPr>
          <w:snapToGrid w:val="0"/>
          <w:color w:val="000000"/>
          <w:sz w:val="25"/>
          <w:szCs w:val="25"/>
        </w:rPr>
        <w:t xml:space="preserve"> </w:t>
      </w:r>
      <w:r w:rsidRPr="008D5A8C">
        <w:rPr>
          <w:snapToGrid w:val="0"/>
          <w:color w:val="000000"/>
          <w:sz w:val="25"/>
          <w:szCs w:val="25"/>
        </w:rPr>
        <w:t xml:space="preserve">facilitate their posting </w:t>
      </w:r>
      <w:r w:rsidRPr="008D5A8C" w:rsidR="00170A80">
        <w:rPr>
          <w:snapToGrid w:val="0"/>
          <w:color w:val="000000"/>
          <w:sz w:val="25"/>
          <w:szCs w:val="25"/>
        </w:rPr>
        <w:t xml:space="preserve">and dissemination </w:t>
      </w:r>
      <w:r w:rsidRPr="008D5A8C">
        <w:rPr>
          <w:snapToGrid w:val="0"/>
          <w:color w:val="000000"/>
          <w:sz w:val="25"/>
          <w:szCs w:val="25"/>
        </w:rPr>
        <w:t xml:space="preserve">on the FTA </w:t>
      </w:r>
      <w:r w:rsidRPr="008D5A8C" w:rsidR="004B4606">
        <w:rPr>
          <w:snapToGrid w:val="0"/>
          <w:color w:val="000000"/>
          <w:sz w:val="25"/>
          <w:szCs w:val="25"/>
        </w:rPr>
        <w:t>w</w:t>
      </w:r>
      <w:r w:rsidRPr="008D5A8C">
        <w:rPr>
          <w:snapToGrid w:val="0"/>
          <w:color w:val="000000"/>
          <w:sz w:val="25"/>
          <w:szCs w:val="25"/>
        </w:rPr>
        <w:t>eb</w:t>
      </w:r>
      <w:r w:rsidRPr="008D5A8C" w:rsidR="004B4606">
        <w:rPr>
          <w:snapToGrid w:val="0"/>
          <w:color w:val="000000"/>
          <w:sz w:val="25"/>
          <w:szCs w:val="25"/>
        </w:rPr>
        <w:t>s</w:t>
      </w:r>
      <w:r w:rsidRPr="008D5A8C">
        <w:rPr>
          <w:snapToGrid w:val="0"/>
          <w:color w:val="000000"/>
          <w:sz w:val="25"/>
          <w:szCs w:val="25"/>
        </w:rPr>
        <w:t>ite (www.fta.dot.gov).  It is possible for a recipient to supply curren</w:t>
      </w:r>
      <w:r w:rsidRPr="008D5A8C">
        <w:rPr>
          <w:snapToGrid w:val="0"/>
          <w:color w:val="000000"/>
          <w:sz w:val="25"/>
          <w:szCs w:val="25"/>
        </w:rPr>
        <w:t>t information by updating prior</w:t>
      </w:r>
      <w:r w:rsidRPr="008D5A8C" w:rsidR="00A33793">
        <w:rPr>
          <w:snapToGrid w:val="0"/>
          <w:color w:val="000000"/>
          <w:sz w:val="25"/>
          <w:szCs w:val="25"/>
        </w:rPr>
        <w:t xml:space="preserve"> versions of an electronic file</w:t>
      </w:r>
      <w:r w:rsidRPr="008D5A8C">
        <w:rPr>
          <w:snapToGrid w:val="0"/>
          <w:color w:val="000000"/>
          <w:sz w:val="25"/>
          <w:szCs w:val="25"/>
        </w:rPr>
        <w:t xml:space="preserve"> and there is no technical or legal obstacle to this method.</w:t>
      </w:r>
    </w:p>
    <w:p w:rsidR="00B03DE1" w:rsidP="00B246F7" w14:paraId="6A28CB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03DE1" w:rsidRPr="008D5A8C" w:rsidP="00B246F7" w14:paraId="3A1C9EB3" w14:textId="32B5CE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Respondents follow application procedures as noted in FTA </w:t>
      </w:r>
      <w:r w:rsidRPr="008D5A8C">
        <w:rPr>
          <w:snapToGrid w:val="0"/>
          <w:color w:val="000000"/>
          <w:sz w:val="25"/>
          <w:szCs w:val="25"/>
        </w:rPr>
        <w:t xml:space="preserve">Circular 6100.E </w:t>
      </w:r>
      <w:r>
        <w:rPr>
          <w:snapToGrid w:val="0"/>
          <w:color w:val="000000"/>
          <w:sz w:val="25"/>
          <w:szCs w:val="25"/>
        </w:rPr>
        <w:t xml:space="preserve">- </w:t>
      </w:r>
      <w:r w:rsidRPr="008D5A8C">
        <w:rPr>
          <w:sz w:val="25"/>
          <w:szCs w:val="25"/>
          <w:lang w:val="en"/>
        </w:rPr>
        <w:t xml:space="preserve">Research, Technical Assistance and Training </w:t>
      </w:r>
      <w:r w:rsidRPr="008D5A8C">
        <w:rPr>
          <w:sz w:val="25"/>
          <w:szCs w:val="25"/>
          <w:lang w:val="en"/>
        </w:rPr>
        <w:t>Program: Application Instructions and Program Management Guidelines</w:t>
      </w:r>
      <w:r w:rsidRPr="008D5A8C">
        <w:rPr>
          <w:snapToGrid w:val="0"/>
          <w:color w:val="000000"/>
          <w:sz w:val="25"/>
          <w:szCs w:val="25"/>
        </w:rPr>
        <w:t xml:space="preserve">.  </w:t>
      </w:r>
      <w:r w:rsidRPr="008D5A8C" w:rsidR="008876AD">
        <w:rPr>
          <w:snapToGrid w:val="0"/>
          <w:color w:val="000000"/>
          <w:sz w:val="25"/>
          <w:szCs w:val="25"/>
        </w:rPr>
        <w:t>This circular notes</w:t>
      </w:r>
      <w:r w:rsidRPr="008D5A8C">
        <w:rPr>
          <w:snapToGrid w:val="0"/>
          <w:color w:val="000000"/>
          <w:sz w:val="25"/>
          <w:szCs w:val="25"/>
        </w:rPr>
        <w:t xml:space="preserve"> a requirement for all applicants to use a streamlined electronic system for application and project management, as well as clarify internal requirements and processes.  Finally, it makes applicants aware of standard registration and reporting requirements, such as Data Universal Numbering System (DUNS), Central Contractor Registration (CCR), Grants.gov, and the Federal Funding Accountability Transparency Act (FFATA).  </w:t>
      </w:r>
      <w:r w:rsidRPr="008D5A8C">
        <w:rPr>
          <w:snapToGrid w:val="0"/>
          <w:color w:val="000000"/>
          <w:sz w:val="25"/>
          <w:szCs w:val="25"/>
        </w:rPr>
        <w:t>These are all centralized electronic reporting systems that will ensure that applicants for FTA funds who are seeking other federal funds do not experience duplicative burdens.</w:t>
      </w:r>
    </w:p>
    <w:p w:rsidR="00D7606B" w:rsidRPr="008D5A8C" w14:paraId="770103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14:paraId="7CF8FA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b/>
          <w:bCs/>
          <w:snapToGrid w:val="0"/>
          <w:color w:val="000000"/>
          <w:sz w:val="25"/>
          <w:szCs w:val="25"/>
        </w:rPr>
        <w:t>4.   Describe efforts to identify duplication.  Show specifically why similar information</w:t>
      </w:r>
    </w:p>
    <w:p w:rsidR="00D7606B" w:rsidRPr="008D5A8C" w14:paraId="76ACB5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5"/>
          <w:szCs w:val="25"/>
        </w:rPr>
      </w:pPr>
      <w:r w:rsidRPr="008D5A8C">
        <w:rPr>
          <w:b/>
          <w:bCs/>
          <w:snapToGrid w:val="0"/>
          <w:color w:val="000000"/>
          <w:sz w:val="25"/>
          <w:szCs w:val="25"/>
        </w:rPr>
        <w:t>already available cannot be used or modified for use for the purposes described in</w:t>
      </w:r>
    </w:p>
    <w:p w:rsidR="00D7606B" w:rsidRPr="008D5A8C" w14:paraId="5AB2C1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snapToGrid w:val="0"/>
          <w:color w:val="000000"/>
          <w:sz w:val="25"/>
          <w:szCs w:val="25"/>
        </w:rPr>
        <w:t xml:space="preserve">      </w:t>
      </w:r>
      <w:r w:rsidRPr="008D5A8C">
        <w:rPr>
          <w:b/>
          <w:bCs/>
          <w:snapToGrid w:val="0"/>
          <w:color w:val="000000"/>
          <w:sz w:val="25"/>
          <w:szCs w:val="25"/>
        </w:rPr>
        <w:t>Item 2.</w:t>
      </w:r>
    </w:p>
    <w:p w:rsidR="00521321" w:rsidRPr="008D5A8C" w:rsidP="00B246F7" w14:paraId="16A4F75A" w14:textId="77777777">
      <w:pPr>
        <w:pStyle w:val="BodyTextIndent"/>
        <w:ind w:left="0"/>
        <w:rPr>
          <w:sz w:val="25"/>
          <w:szCs w:val="25"/>
        </w:rPr>
      </w:pPr>
      <w:r w:rsidRPr="008D5A8C">
        <w:rPr>
          <w:sz w:val="25"/>
          <w:szCs w:val="25"/>
        </w:rPr>
        <w:t>FTA</w:t>
      </w:r>
      <w:r w:rsidRPr="008D5A8C" w:rsidR="00AE6331">
        <w:rPr>
          <w:sz w:val="25"/>
          <w:szCs w:val="25"/>
        </w:rPr>
        <w:t>’s</w:t>
      </w:r>
      <w:r w:rsidRPr="008D5A8C">
        <w:rPr>
          <w:sz w:val="25"/>
          <w:szCs w:val="25"/>
        </w:rPr>
        <w:t xml:space="preserve"> transit research, development, demonstration, </w:t>
      </w:r>
      <w:r w:rsidRPr="008D5A8C" w:rsidR="00F700A0">
        <w:rPr>
          <w:sz w:val="25"/>
          <w:szCs w:val="25"/>
        </w:rPr>
        <w:t>deployment</w:t>
      </w:r>
      <w:r w:rsidRPr="008D5A8C" w:rsidR="00B27A3C">
        <w:rPr>
          <w:sz w:val="25"/>
          <w:szCs w:val="25"/>
        </w:rPr>
        <w:t xml:space="preserve">, </w:t>
      </w:r>
      <w:r w:rsidRPr="008D5A8C" w:rsidR="008F143F">
        <w:rPr>
          <w:sz w:val="25"/>
          <w:szCs w:val="25"/>
        </w:rPr>
        <w:t xml:space="preserve">training, workforce, standards, </w:t>
      </w:r>
      <w:r w:rsidRPr="008D5A8C" w:rsidR="00B27A3C">
        <w:rPr>
          <w:sz w:val="25"/>
          <w:szCs w:val="25"/>
        </w:rPr>
        <w:t>and evaluation</w:t>
      </w:r>
      <w:r w:rsidRPr="008D5A8C" w:rsidR="00F700A0">
        <w:rPr>
          <w:sz w:val="25"/>
          <w:szCs w:val="25"/>
        </w:rPr>
        <w:t xml:space="preserve"> </w:t>
      </w:r>
      <w:r w:rsidRPr="008D5A8C">
        <w:rPr>
          <w:sz w:val="25"/>
          <w:szCs w:val="25"/>
        </w:rPr>
        <w:t xml:space="preserve">projects are </w:t>
      </w:r>
      <w:r w:rsidRPr="008D5A8C" w:rsidR="00A011EE">
        <w:rPr>
          <w:sz w:val="25"/>
          <w:szCs w:val="25"/>
        </w:rPr>
        <w:t>very</w:t>
      </w:r>
      <w:r w:rsidRPr="008D5A8C">
        <w:rPr>
          <w:sz w:val="25"/>
          <w:szCs w:val="25"/>
        </w:rPr>
        <w:t xml:space="preserve"> specific and unlikely to be funded by any other sponsor, </w:t>
      </w:r>
      <w:r w:rsidRPr="008D5A8C" w:rsidR="00A011EE">
        <w:rPr>
          <w:sz w:val="25"/>
          <w:szCs w:val="25"/>
        </w:rPr>
        <w:t xml:space="preserve">federal or otherwise, </w:t>
      </w:r>
      <w:r w:rsidRPr="008D5A8C">
        <w:rPr>
          <w:sz w:val="25"/>
          <w:szCs w:val="25"/>
        </w:rPr>
        <w:t xml:space="preserve">minimizing the likelihood of duplication.  If recipients submit information to one FTA office, copies of that information generally suffice for purposes of other FTA offices.  The information need not be regenerated or resubmitted.  </w:t>
      </w:r>
    </w:p>
    <w:p w:rsidR="00D7606B" w:rsidRPr="008D5A8C" w:rsidP="00B246F7" w14:paraId="51B1F330" w14:textId="77777777">
      <w:pPr>
        <w:pStyle w:val="BodyTextIndent"/>
        <w:ind w:left="0"/>
        <w:rPr>
          <w:sz w:val="25"/>
          <w:szCs w:val="25"/>
        </w:rPr>
      </w:pPr>
      <w:r w:rsidRPr="008D5A8C">
        <w:rPr>
          <w:sz w:val="25"/>
          <w:szCs w:val="25"/>
        </w:rPr>
        <w:t>The information requested is unique to each individual project, and information supplied for other projects or other purposes would not be relevant or pertinent.  FTA staff is responsive to suggestions that available information, instead of newly generated information, be used for project administration purposes</w:t>
      </w:r>
      <w:r w:rsidRPr="008D5A8C" w:rsidR="00930F3C">
        <w:rPr>
          <w:sz w:val="25"/>
          <w:szCs w:val="25"/>
        </w:rPr>
        <w:t>.</w:t>
      </w:r>
    </w:p>
    <w:p w:rsidR="008F0596" w:rsidP="008D5A8C" w14:paraId="72A517E4"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008F0596" w:rsidP="008D5A8C" w14:paraId="0EB850FC"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00D7606B" w:rsidP="008D5A8C" w14:paraId="32CB5AD2" w14:textId="3A4BCC4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8D5A8C">
        <w:rPr>
          <w:b/>
          <w:snapToGrid w:val="0"/>
          <w:color w:val="000000"/>
          <w:sz w:val="25"/>
          <w:szCs w:val="25"/>
        </w:rPr>
        <w:t>5.   If the collection of information impacts small businesses or other small entities, describe any methods used to minimize burden.</w:t>
      </w:r>
    </w:p>
    <w:p w:rsidR="008D5A8C" w:rsidP="008D5A8C" w14:paraId="3E67F0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P="00B246F7" w14:paraId="348AB9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Small businesses or other small entities may keep their project applications and reports as brief as they deem fit, as long as they respond to the requirements set forth in the project work statement, sufficiently document their accomplishment of required tasks, and provide all of the legally required certifications and assurances.</w:t>
      </w:r>
    </w:p>
    <w:p w:rsidR="00731AF1" w:rsidRPr="008D5A8C" w14:paraId="48EE06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P="008D5A8C" w14:paraId="6E6CF3BA"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8D5A8C">
        <w:rPr>
          <w:b/>
          <w:snapToGrid w:val="0"/>
          <w:color w:val="000000"/>
          <w:sz w:val="25"/>
          <w:szCs w:val="25"/>
        </w:rPr>
        <w:t>6.   Describe consequences to federal program or policy activities if the information were not collected or collected less frequently, as well as any technical or legal obstacles to reducing burden.</w:t>
      </w:r>
    </w:p>
    <w:p w:rsidR="008D5A8C" w:rsidRPr="008D5A8C" w:rsidP="008D5A8C" w14:paraId="64CF1011"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p>
    <w:p w:rsidR="003D233B" w:rsidRPr="008D5A8C" w:rsidP="00B246F7" w14:paraId="76A852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information requested is consistent with requirements set forth under OMB Circular </w:t>
      </w:r>
    </w:p>
    <w:p w:rsidR="00D7606B" w:rsidRPr="008D5A8C" w:rsidP="00B246F7" w14:paraId="327CD777" w14:textId="68562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w:t>
      </w:r>
      <w:r w:rsidRPr="008D5A8C" w:rsidR="003D233B">
        <w:rPr>
          <w:snapToGrid w:val="0"/>
          <w:color w:val="000000"/>
          <w:sz w:val="25"/>
          <w:szCs w:val="25"/>
        </w:rPr>
        <w:t>-</w:t>
      </w:r>
      <w:r w:rsidRPr="008D5A8C">
        <w:rPr>
          <w:snapToGrid w:val="0"/>
          <w:color w:val="000000"/>
          <w:sz w:val="25"/>
          <w:szCs w:val="25"/>
        </w:rPr>
        <w:t>102, Grants and Cooperative Agreements with State and Local Governments, or 2 CFR 215</w:t>
      </w:r>
      <w:r w:rsidRPr="008D5A8C">
        <w:rPr>
          <w:sz w:val="25"/>
          <w:szCs w:val="25"/>
        </w:rPr>
        <w:t xml:space="preserve"> </w:t>
      </w:r>
      <w:r w:rsidRPr="008D5A8C">
        <w:rPr>
          <w:snapToGrid w:val="0"/>
          <w:color w:val="000000"/>
          <w:sz w:val="25"/>
          <w:szCs w:val="25"/>
        </w:rPr>
        <w:t xml:space="preserve">Uniform Administrative Requirements for Grants and Agreements with Institutions of Higher Education, Hospitals, and Other Non-Profit Organizations.  It would be unreasonably risky for FTA to award projects without verifying the eligibility of projects and recipients for specific program funds.  Information must be responsive to the individual </w:t>
      </w:r>
      <w:r w:rsidRPr="008D5A8C" w:rsidR="008876AD">
        <w:rPr>
          <w:snapToGrid w:val="0"/>
          <w:color w:val="000000"/>
          <w:sz w:val="25"/>
          <w:szCs w:val="25"/>
        </w:rPr>
        <w:t>project and</w:t>
      </w:r>
      <w:r w:rsidRPr="008D5A8C">
        <w:rPr>
          <w:snapToGrid w:val="0"/>
          <w:color w:val="000000"/>
          <w:sz w:val="25"/>
          <w:szCs w:val="25"/>
        </w:rPr>
        <w:t xml:space="preserve"> is collected only in connection with applications for or reports about each project.  If not collected, FTA could not make the necessary determinations that projects and</w:t>
      </w:r>
      <w:r w:rsidRPr="008D5A8C" w:rsidR="003D233B">
        <w:rPr>
          <w:snapToGrid w:val="0"/>
          <w:color w:val="000000"/>
          <w:sz w:val="25"/>
          <w:szCs w:val="25"/>
        </w:rPr>
        <w:t>/or</w:t>
      </w:r>
      <w:r w:rsidRPr="008D5A8C">
        <w:rPr>
          <w:snapToGrid w:val="0"/>
          <w:color w:val="000000"/>
          <w:sz w:val="25"/>
          <w:szCs w:val="25"/>
        </w:rPr>
        <w:t xml:space="preserve"> recipients are eligible for funds, would be ignorant of </w:t>
      </w:r>
      <w:r w:rsidRPr="008D5A8C" w:rsidR="008876AD">
        <w:rPr>
          <w:snapToGrid w:val="0"/>
          <w:color w:val="000000"/>
          <w:sz w:val="25"/>
          <w:szCs w:val="25"/>
        </w:rPr>
        <w:t>whether</w:t>
      </w:r>
      <w:r w:rsidRPr="008D5A8C">
        <w:rPr>
          <w:snapToGrid w:val="0"/>
          <w:color w:val="000000"/>
          <w:sz w:val="25"/>
          <w:szCs w:val="25"/>
        </w:rPr>
        <w:t xml:space="preserve"> progress was being made in conducting the projects, and would not have access to the information resulting from the projects even though it is produced with taxpayer funds.</w:t>
      </w:r>
    </w:p>
    <w:p w:rsidR="00D7606B" w:rsidRPr="008D5A8C" w14:paraId="7A62C0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P="00B246F7" w14:paraId="397377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Any delay or curtailment in reporting frequencies would greatly hamper the ability of FTA's program managers to monitor project activities effectively.  Experience has shown that noncompliance with progress reporting requirements results in loss of pertinent information by grantees and jeopardizes their ability to document and certify how funding was utilized.</w:t>
      </w:r>
    </w:p>
    <w:p w:rsidR="00D7606B" w:rsidRPr="008D5A8C" w14:paraId="1DB3E5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P="00C719F6" w14:paraId="197BA2EE"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8D5A8C">
        <w:rPr>
          <w:b/>
          <w:snapToGrid w:val="0"/>
          <w:color w:val="000000"/>
          <w:sz w:val="25"/>
          <w:szCs w:val="25"/>
        </w:rPr>
        <w:t xml:space="preserve">7.   </w:t>
      </w:r>
      <w:r w:rsidRPr="008D5A8C" w:rsidR="00D17C4A">
        <w:rPr>
          <w:b/>
          <w:snapToGrid w:val="0"/>
          <w:color w:val="000000"/>
          <w:sz w:val="25"/>
          <w:szCs w:val="25"/>
        </w:rPr>
        <w:t>Explain any special circumstances that would cause an information collection</w:t>
      </w:r>
      <w:r w:rsidRPr="008D5A8C" w:rsidR="004B4DFB">
        <w:rPr>
          <w:b/>
          <w:snapToGrid w:val="0"/>
          <w:color w:val="000000"/>
          <w:sz w:val="25"/>
          <w:szCs w:val="25"/>
        </w:rPr>
        <w:t xml:space="preserve"> to be</w:t>
      </w:r>
      <w:r w:rsidRPr="008D5A8C">
        <w:rPr>
          <w:b/>
          <w:snapToGrid w:val="0"/>
          <w:color w:val="000000"/>
          <w:sz w:val="25"/>
          <w:szCs w:val="25"/>
        </w:rPr>
        <w:t xml:space="preserve">    conducted</w:t>
      </w:r>
      <w:r w:rsidRPr="008D5A8C" w:rsidR="004B4DFB">
        <w:rPr>
          <w:b/>
          <w:snapToGrid w:val="0"/>
          <w:color w:val="000000"/>
          <w:sz w:val="25"/>
          <w:szCs w:val="25"/>
        </w:rPr>
        <w:t xml:space="preserve"> </w:t>
      </w:r>
      <w:r w:rsidRPr="008D5A8C" w:rsidR="00D17C4A">
        <w:rPr>
          <w:b/>
          <w:snapToGrid w:val="0"/>
          <w:color w:val="000000"/>
          <w:sz w:val="25"/>
          <w:szCs w:val="25"/>
        </w:rPr>
        <w:t>in</w:t>
      </w:r>
      <w:r w:rsidRPr="008D5A8C">
        <w:rPr>
          <w:b/>
          <w:snapToGrid w:val="0"/>
          <w:color w:val="000000"/>
          <w:sz w:val="25"/>
          <w:szCs w:val="25"/>
        </w:rPr>
        <w:t xml:space="preserve"> a manner inconsistent with 5 CFR 1320.6.</w:t>
      </w:r>
    </w:p>
    <w:p w:rsidR="008D5A8C" w:rsidRPr="008D5A8C" w:rsidP="008D5A8C" w14:paraId="37264C78"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rsidR="00D7606B" w:rsidRPr="008D5A8C" w:rsidP="00B246F7" w14:paraId="535060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collection is consistent with 5 CFR 1320.6.</w:t>
      </w:r>
    </w:p>
    <w:p w:rsidR="00D7606B" w:rsidRPr="008D5A8C" w14:paraId="4D8FFE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14:paraId="281DAA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r w:rsidRPr="008D5A8C">
        <w:rPr>
          <w:b/>
          <w:snapToGrid w:val="0"/>
          <w:color w:val="000000"/>
          <w:sz w:val="25"/>
          <w:szCs w:val="25"/>
        </w:rPr>
        <w:t xml:space="preserve">8.  </w:t>
      </w:r>
      <w:r w:rsidRPr="008D5A8C" w:rsidR="002C2774">
        <w:rPr>
          <w:b/>
          <w:snapToGrid w:val="0"/>
          <w:color w:val="000000"/>
          <w:sz w:val="25"/>
          <w:szCs w:val="25"/>
        </w:rPr>
        <w:t xml:space="preserve"> </w:t>
      </w:r>
      <w:r w:rsidRPr="008D5A8C">
        <w:rPr>
          <w:b/>
          <w:snapToGrid w:val="0"/>
          <w:color w:val="000000"/>
          <w:sz w:val="25"/>
          <w:szCs w:val="25"/>
        </w:rPr>
        <w:t xml:space="preserve">Describe efforts to consult with persons </w:t>
      </w:r>
      <w:r w:rsidRPr="008D5A8C">
        <w:rPr>
          <w:b/>
          <w:snapToGrid w:val="0"/>
          <w:color w:val="000000"/>
          <w:sz w:val="25"/>
          <w:szCs w:val="25"/>
        </w:rPr>
        <w:t>outside the agency to obtain their views.</w:t>
      </w:r>
    </w:p>
    <w:p w:rsidR="008D5A8C" w:rsidRPr="008D5A8C" w14:paraId="15300C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18"/>
          <w:szCs w:val="18"/>
        </w:rPr>
      </w:pPr>
    </w:p>
    <w:p w:rsidR="00CB06B4" w:rsidP="00CB06B4" w14:paraId="27E72902" w14:textId="083437EB">
      <w:pPr>
        <w:keepNext/>
        <w:rPr>
          <w:snapToGrid w:val="0"/>
          <w:sz w:val="25"/>
          <w:szCs w:val="25"/>
        </w:rPr>
      </w:pPr>
      <w:r>
        <w:rPr>
          <w:snapToGrid w:val="0"/>
          <w:color w:val="000000"/>
          <w:sz w:val="25"/>
          <w:szCs w:val="25"/>
        </w:rPr>
        <w:t xml:space="preserve">A 60-day Federal Register notice was published on </w:t>
      </w:r>
      <w:r w:rsidR="00997091">
        <w:rPr>
          <w:snapToGrid w:val="0"/>
          <w:color w:val="000000"/>
          <w:sz w:val="25"/>
          <w:szCs w:val="25"/>
        </w:rPr>
        <w:t>December 23, 2025</w:t>
      </w:r>
      <w:r w:rsidR="008876AD">
        <w:rPr>
          <w:snapToGrid w:val="0"/>
          <w:color w:val="000000"/>
          <w:sz w:val="25"/>
          <w:szCs w:val="25"/>
        </w:rPr>
        <w:t>,</w:t>
      </w:r>
      <w:r w:rsidR="00526C58">
        <w:rPr>
          <w:snapToGrid w:val="0"/>
          <w:color w:val="000000"/>
          <w:sz w:val="25"/>
          <w:szCs w:val="25"/>
        </w:rPr>
        <w:t xml:space="preserve"> </w:t>
      </w:r>
      <w:r>
        <w:rPr>
          <w:snapToGrid w:val="0"/>
          <w:color w:val="000000"/>
          <w:sz w:val="25"/>
          <w:szCs w:val="25"/>
        </w:rPr>
        <w:t xml:space="preserve">Vol. </w:t>
      </w:r>
      <w:r w:rsidR="00997091">
        <w:rPr>
          <w:snapToGrid w:val="0"/>
          <w:color w:val="000000"/>
          <w:sz w:val="25"/>
          <w:szCs w:val="25"/>
        </w:rPr>
        <w:t>90</w:t>
      </w:r>
      <w:r>
        <w:rPr>
          <w:snapToGrid w:val="0"/>
          <w:color w:val="000000"/>
          <w:sz w:val="25"/>
          <w:szCs w:val="25"/>
        </w:rPr>
        <w:t xml:space="preserve">, No. </w:t>
      </w:r>
      <w:r w:rsidR="00997091">
        <w:rPr>
          <w:snapToGrid w:val="0"/>
          <w:color w:val="000000"/>
          <w:sz w:val="25"/>
          <w:szCs w:val="25"/>
        </w:rPr>
        <w:t>244</w:t>
      </w:r>
      <w:r>
        <w:rPr>
          <w:snapToGrid w:val="0"/>
          <w:color w:val="000000"/>
          <w:sz w:val="25"/>
          <w:szCs w:val="25"/>
        </w:rPr>
        <w:t xml:space="preserve"> (page</w:t>
      </w:r>
      <w:r w:rsidR="004759DC">
        <w:rPr>
          <w:snapToGrid w:val="0"/>
          <w:color w:val="000000"/>
          <w:sz w:val="25"/>
          <w:szCs w:val="25"/>
        </w:rPr>
        <w:t xml:space="preserve"> </w:t>
      </w:r>
      <w:r w:rsidR="00997091">
        <w:rPr>
          <w:snapToGrid w:val="0"/>
          <w:color w:val="000000"/>
          <w:sz w:val="25"/>
          <w:szCs w:val="25"/>
        </w:rPr>
        <w:t>60231</w:t>
      </w:r>
      <w:r w:rsidR="004759DC">
        <w:rPr>
          <w:snapToGrid w:val="0"/>
          <w:color w:val="000000"/>
          <w:sz w:val="25"/>
          <w:szCs w:val="25"/>
        </w:rPr>
        <w:t>)</w:t>
      </w:r>
      <w:r>
        <w:rPr>
          <w:snapToGrid w:val="0"/>
          <w:color w:val="000000"/>
          <w:sz w:val="25"/>
          <w:szCs w:val="25"/>
        </w:rPr>
        <w:t>, soliciting comments prior for</w:t>
      </w:r>
      <w:r>
        <w:rPr>
          <w:snapToGrid w:val="0"/>
          <w:color w:val="000000"/>
          <w:sz w:val="25"/>
          <w:szCs w:val="25"/>
        </w:rPr>
        <w:t xml:space="preserve"> the approval of this information collection to submission to the Office of Management and Budget (OMB).  No comments were received.  </w:t>
      </w:r>
      <w:r w:rsidRPr="0067334C">
        <w:rPr>
          <w:snapToGrid w:val="0"/>
          <w:color w:val="000000"/>
          <w:sz w:val="25"/>
          <w:szCs w:val="25"/>
        </w:rPr>
        <w:t xml:space="preserve">The 30-day Federal Register notice was published on </w:t>
      </w:r>
      <w:r w:rsidRPr="0067334C" w:rsidR="00997091">
        <w:rPr>
          <w:snapToGrid w:val="0"/>
          <w:color w:val="000000"/>
          <w:sz w:val="25"/>
          <w:szCs w:val="25"/>
        </w:rPr>
        <w:t xml:space="preserve">April </w:t>
      </w:r>
      <w:r w:rsidRPr="0067334C" w:rsidR="00C4717C">
        <w:rPr>
          <w:snapToGrid w:val="0"/>
          <w:color w:val="000000"/>
          <w:sz w:val="25"/>
          <w:szCs w:val="25"/>
        </w:rPr>
        <w:t>23,</w:t>
      </w:r>
      <w:r w:rsidRPr="0067334C" w:rsidR="00997091">
        <w:rPr>
          <w:snapToGrid w:val="0"/>
          <w:color w:val="000000"/>
          <w:sz w:val="25"/>
          <w:szCs w:val="25"/>
        </w:rPr>
        <w:t xml:space="preserve"> 2026</w:t>
      </w:r>
      <w:r w:rsidRPr="0067334C" w:rsidR="006A2A0F">
        <w:rPr>
          <w:snapToGrid w:val="0"/>
          <w:color w:val="000000"/>
          <w:sz w:val="25"/>
          <w:szCs w:val="25"/>
        </w:rPr>
        <w:t xml:space="preserve"> </w:t>
      </w:r>
      <w:r w:rsidRPr="0067334C">
        <w:rPr>
          <w:snapToGrid w:val="0"/>
          <w:color w:val="000000"/>
          <w:sz w:val="25"/>
          <w:szCs w:val="25"/>
        </w:rPr>
        <w:t>Vol.</w:t>
      </w:r>
      <w:r w:rsidRPr="0067334C" w:rsidR="00C4717C">
        <w:rPr>
          <w:snapToGrid w:val="0"/>
          <w:color w:val="000000"/>
          <w:sz w:val="25"/>
          <w:szCs w:val="25"/>
        </w:rPr>
        <w:t>91</w:t>
      </w:r>
      <w:r w:rsidRPr="0067334C">
        <w:rPr>
          <w:snapToGrid w:val="0"/>
          <w:color w:val="000000"/>
          <w:sz w:val="25"/>
          <w:szCs w:val="25"/>
        </w:rPr>
        <w:t>, No.</w:t>
      </w:r>
      <w:r w:rsidRPr="0067334C" w:rsidR="00C4717C">
        <w:rPr>
          <w:snapToGrid w:val="0"/>
          <w:color w:val="000000"/>
          <w:sz w:val="25"/>
          <w:szCs w:val="25"/>
        </w:rPr>
        <w:t>78</w:t>
      </w:r>
      <w:r w:rsidRPr="0067334C">
        <w:rPr>
          <w:snapToGrid w:val="0"/>
          <w:color w:val="000000"/>
          <w:sz w:val="25"/>
          <w:szCs w:val="25"/>
        </w:rPr>
        <w:t xml:space="preserve"> (pages </w:t>
      </w:r>
      <w:r w:rsidRPr="0067334C" w:rsidR="00C4717C">
        <w:rPr>
          <w:snapToGrid w:val="0"/>
          <w:color w:val="000000"/>
          <w:sz w:val="25"/>
          <w:szCs w:val="25"/>
        </w:rPr>
        <w:t>21</w:t>
      </w:r>
      <w:r w:rsidRPr="0067334C">
        <w:rPr>
          <w:snapToGrid w:val="0"/>
          <w:color w:val="000000"/>
          <w:sz w:val="25"/>
          <w:szCs w:val="25"/>
        </w:rPr>
        <w:t>868</w:t>
      </w:r>
      <w:r w:rsidRPr="0067334C">
        <w:rPr>
          <w:snapToGrid w:val="0"/>
          <w:color w:val="000000"/>
          <w:sz w:val="25"/>
          <w:szCs w:val="25"/>
        </w:rPr>
        <w:t>).</w:t>
      </w:r>
    </w:p>
    <w:p w:rsidR="00CB06B4" w:rsidP="00B246F7" w14:paraId="6A1CE919" w14:textId="77777777">
      <w:pPr>
        <w:autoSpaceDE w:val="0"/>
        <w:autoSpaceDN w:val="0"/>
        <w:adjustRightInd w:val="0"/>
        <w:rPr>
          <w:sz w:val="25"/>
          <w:szCs w:val="25"/>
        </w:rPr>
      </w:pPr>
    </w:p>
    <w:p w:rsidR="00935C81" w:rsidP="00CF247F" w14:paraId="6FBC6E51" w14:textId="4E8F96EA">
      <w:pPr>
        <w:autoSpaceDE w:val="0"/>
        <w:autoSpaceDN w:val="0"/>
        <w:adjustRightInd w:val="0"/>
        <w:rPr>
          <w:sz w:val="25"/>
          <w:szCs w:val="25"/>
        </w:rPr>
      </w:pPr>
      <w:r w:rsidRPr="00935C81">
        <w:rPr>
          <w:sz w:val="25"/>
          <w:szCs w:val="25"/>
        </w:rPr>
        <w:t>The Federal Transit Administration (FTA) actively conducts outreach to applicants for funding under its Research, Development, Demonstration, Deployment, Cooperative Research, Technical Assistance, Standards Development, and Human Resources and Training programs, including the Public Transportation Innovation Program (49 U.S.C. § 5312). Through a range of communication channels such as webinars, informational workshops, guidance documents, and direct technical assistance, FTA ensures that stakeholders</w:t>
      </w:r>
      <w:r>
        <w:rPr>
          <w:sz w:val="25"/>
          <w:szCs w:val="25"/>
        </w:rPr>
        <w:t xml:space="preserve"> </w:t>
      </w:r>
      <w:r w:rsidRPr="00935C81">
        <w:rPr>
          <w:sz w:val="25"/>
          <w:szCs w:val="25"/>
        </w:rPr>
        <w:t>including public transit agencies, researchers, and community organizations</w:t>
      </w:r>
      <w:r>
        <w:rPr>
          <w:sz w:val="25"/>
          <w:szCs w:val="25"/>
        </w:rPr>
        <w:t xml:space="preserve"> </w:t>
      </w:r>
      <w:r w:rsidRPr="00935C81">
        <w:rPr>
          <w:sz w:val="25"/>
          <w:szCs w:val="25"/>
        </w:rPr>
        <w:t xml:space="preserve">are well informed about funding opportunities and application processes. FTA also provides detailed resources such as program manuals, best practice guides, data analysis tools, and peer learning forums to help applicants develop competitive proposals and implement successful projects. By maintaining active engagement with stakeholders and offering responsive </w:t>
      </w:r>
      <w:r w:rsidRPr="00935C81">
        <w:rPr>
          <w:sz w:val="25"/>
          <w:szCs w:val="25"/>
        </w:rPr>
        <w:t>support, FTA fosters innovation and effective advancement in public trans</w:t>
      </w:r>
      <w:r w:rsidRPr="00935C81">
        <w:rPr>
          <w:sz w:val="25"/>
          <w:szCs w:val="25"/>
        </w:rPr>
        <w:t>portation systems nationwide.</w:t>
      </w:r>
    </w:p>
    <w:p w:rsidR="00935C81" w:rsidP="00CF247F" w14:paraId="15202F96" w14:textId="77777777">
      <w:pPr>
        <w:autoSpaceDE w:val="0"/>
        <w:autoSpaceDN w:val="0"/>
        <w:adjustRightInd w:val="0"/>
        <w:rPr>
          <w:sz w:val="25"/>
          <w:szCs w:val="25"/>
        </w:rPr>
      </w:pPr>
    </w:p>
    <w:p w:rsidR="005F03E4" w:rsidP="00CF247F" w14:paraId="1E591874" w14:textId="363A9DC6">
      <w:pPr>
        <w:autoSpaceDE w:val="0"/>
        <w:autoSpaceDN w:val="0"/>
        <w:adjustRightInd w:val="0"/>
        <w:rPr>
          <w:bCs/>
          <w:sz w:val="25"/>
          <w:szCs w:val="25"/>
        </w:rPr>
      </w:pPr>
      <w:r>
        <w:rPr>
          <w:bCs/>
          <w:sz w:val="25"/>
          <w:szCs w:val="25"/>
        </w:rPr>
        <w:t xml:space="preserve">Once of those resources is </w:t>
      </w:r>
      <w:r w:rsidRPr="005F03E4">
        <w:rPr>
          <w:bCs/>
          <w:sz w:val="25"/>
          <w:szCs w:val="25"/>
        </w:rPr>
        <w:t>The Transit Workforce Center (TWC)</w:t>
      </w:r>
      <w:r>
        <w:rPr>
          <w:bCs/>
          <w:sz w:val="25"/>
          <w:szCs w:val="25"/>
        </w:rPr>
        <w:t xml:space="preserve">.  It serves as FTA’s </w:t>
      </w:r>
      <w:r w:rsidRPr="005F03E4">
        <w:rPr>
          <w:bCs/>
          <w:sz w:val="25"/>
          <w:szCs w:val="25"/>
        </w:rPr>
        <w:t>national</w:t>
      </w:r>
      <w:r w:rsidRPr="005F03E4">
        <w:rPr>
          <w:bCs/>
          <w:sz w:val="25"/>
          <w:szCs w:val="25"/>
        </w:rPr>
        <w:t xml:space="preserve"> technical assistance hub dedicated to transit workforce development, providing outreach, resources, and guidance to grantees across the country. Working with urban, suburban, tribal, and rural public transportation entities, TWC delivers tailored support to meet diverse workforce needs. Through active engagement, the center offers technical assistance, workforce strategic planning, and targeted training development, while also conducting analysis of industry trends and data to help agencies anticipate and </w:t>
      </w:r>
      <w:r w:rsidRPr="005F03E4">
        <w:rPr>
          <w:bCs/>
          <w:sz w:val="25"/>
          <w:szCs w:val="25"/>
        </w:rPr>
        <w:t>adapt to changing demands. TWC fosters collaborative partnerships and share proven practices, creating forums for peer-to-peer learning and exchanges that strengthen the transit workforce nationwide. Its outreach extends to U.S. public transportation agencies receiving FTA Urban, Rural, and Tribal Transit Formula Grants, commuter rail agencies supported by FTA, and national, state, and regional transit associations. It also works closely with public transportation labor unions, nonprofits, educational insti</w:t>
      </w:r>
      <w:r w:rsidRPr="005F03E4">
        <w:rPr>
          <w:bCs/>
          <w:sz w:val="25"/>
          <w:szCs w:val="25"/>
        </w:rPr>
        <w:t>tutions, community groups, and other partner organizations involved in workforce development efforts. By connecting grantees with expertise, tools, and opportunities, TWC plays a pivotal role in building a skilled, resilient, and future-ready transit workforce.</w:t>
      </w:r>
    </w:p>
    <w:p w:rsidR="005F03E4" w:rsidP="00CF247F" w14:paraId="729E03AF" w14:textId="77777777">
      <w:pPr>
        <w:autoSpaceDE w:val="0"/>
        <w:autoSpaceDN w:val="0"/>
        <w:adjustRightInd w:val="0"/>
        <w:rPr>
          <w:bCs/>
          <w:sz w:val="25"/>
          <w:szCs w:val="25"/>
        </w:rPr>
      </w:pPr>
    </w:p>
    <w:p w:rsidR="00CF247F" w:rsidRPr="00CF247F" w:rsidP="00CF247F" w14:paraId="6C4646C8" w14:textId="32635083">
      <w:pPr>
        <w:autoSpaceDE w:val="0"/>
        <w:autoSpaceDN w:val="0"/>
        <w:adjustRightInd w:val="0"/>
        <w:rPr>
          <w:bCs/>
          <w:sz w:val="25"/>
          <w:szCs w:val="25"/>
        </w:rPr>
      </w:pPr>
      <w:r w:rsidRPr="00CF247F">
        <w:rPr>
          <w:bCs/>
          <w:sz w:val="25"/>
          <w:szCs w:val="25"/>
        </w:rPr>
        <w:t>FTA and </w:t>
      </w:r>
      <w:hyperlink r:id="rId4" w:tgtFrame="_blank" w:history="1">
        <w:r w:rsidRPr="00CF247F">
          <w:rPr>
            <w:rStyle w:val="Hyperlink"/>
            <w:bCs/>
            <w:color w:val="auto"/>
            <w:sz w:val="25"/>
            <w:szCs w:val="25"/>
            <w:u w:val="none"/>
          </w:rPr>
          <w:t>International Transportation Learning Center (ITLC)</w:t>
        </w:r>
      </w:hyperlink>
      <w:r w:rsidRPr="00CF247F">
        <w:rPr>
          <w:bCs/>
          <w:sz w:val="25"/>
          <w:szCs w:val="25"/>
        </w:rPr>
        <w:t> </w:t>
      </w:r>
      <w:r w:rsidR="00935C81">
        <w:rPr>
          <w:bCs/>
          <w:sz w:val="25"/>
          <w:szCs w:val="25"/>
        </w:rPr>
        <w:t xml:space="preserve">also </w:t>
      </w:r>
      <w:r w:rsidRPr="00CF247F">
        <w:rPr>
          <w:bCs/>
          <w:sz w:val="25"/>
          <w:szCs w:val="25"/>
        </w:rPr>
        <w:t xml:space="preserve">launched the </w:t>
      </w:r>
      <w:hyperlink r:id="rId5" w:tgtFrame="_blank" w:history="1">
        <w:r w:rsidRPr="00CF247F">
          <w:rPr>
            <w:rStyle w:val="Hyperlink"/>
            <w:bCs/>
            <w:color w:val="auto"/>
            <w:sz w:val="25"/>
            <w:szCs w:val="25"/>
            <w:u w:val="none"/>
          </w:rPr>
          <w:t>Transit Workforce Center (TWC)</w:t>
        </w:r>
      </w:hyperlink>
      <w:r w:rsidRPr="00CF247F">
        <w:rPr>
          <w:bCs/>
          <w:sz w:val="25"/>
          <w:szCs w:val="25"/>
        </w:rPr>
        <w:t> to support public transit agencies’ workforce development needs for all modes of public transit across urban, tribal, and rural entities. The overarching mission of this center is to assist public transit agencies to recruit, hire, train, and retain the diverse workforce needed now and in the future. The TWC will also help address the national transit worker shortage by providing technical assistance activities geared towards developing frontline transit workers’ skills and recruiting workers to transit ca</w:t>
      </w:r>
      <w:r w:rsidRPr="00CF247F">
        <w:rPr>
          <w:bCs/>
          <w:sz w:val="25"/>
          <w:szCs w:val="25"/>
        </w:rPr>
        <w:t>reers through various programs, such as apprenticeships, and partnerships.  Respondents can request technical assistance, by completing the Technical Assistance Request </w:t>
      </w:r>
      <w:hyperlink r:id="rId6" w:history="1">
        <w:r w:rsidRPr="00CF247F">
          <w:rPr>
            <w:rStyle w:val="Hyperlink"/>
            <w:bCs/>
            <w:color w:val="auto"/>
            <w:sz w:val="25"/>
            <w:szCs w:val="25"/>
            <w:u w:val="none"/>
          </w:rPr>
          <w:t>Services Transportation Learning Center (transportcenter.org)</w:t>
        </w:r>
      </w:hyperlink>
      <w:r w:rsidRPr="00CF247F">
        <w:rPr>
          <w:bCs/>
          <w:sz w:val="25"/>
          <w:szCs w:val="25"/>
        </w:rPr>
        <w:t xml:space="preserve"> </w:t>
      </w:r>
    </w:p>
    <w:p w:rsidR="00CF247F" w:rsidRPr="00CF247F" w:rsidP="00CF247F" w14:paraId="0C8B0269" w14:textId="77777777">
      <w:pPr>
        <w:autoSpaceDE w:val="0"/>
        <w:autoSpaceDN w:val="0"/>
        <w:adjustRightInd w:val="0"/>
        <w:rPr>
          <w:bCs/>
          <w:sz w:val="25"/>
          <w:szCs w:val="25"/>
        </w:rPr>
      </w:pPr>
    </w:p>
    <w:p w:rsidR="00D7606B" w:rsidRPr="008D5A8C" w:rsidP="00B246F7" w14:paraId="2E91CA55" w14:textId="473A62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In addition, FTA headquarters and regional staff </w:t>
      </w:r>
      <w:r w:rsidRPr="008D5A8C">
        <w:rPr>
          <w:snapToGrid w:val="0"/>
          <w:color w:val="000000"/>
          <w:sz w:val="25"/>
          <w:szCs w:val="25"/>
        </w:rPr>
        <w:t>meet</w:t>
      </w:r>
      <w:r w:rsidRPr="008D5A8C" w:rsidR="00881FDD">
        <w:rPr>
          <w:snapToGrid w:val="0"/>
          <w:color w:val="000000"/>
          <w:sz w:val="25"/>
          <w:szCs w:val="25"/>
        </w:rPr>
        <w:t xml:space="preserve"> frequently with </w:t>
      </w:r>
      <w:r w:rsidRPr="008D5A8C" w:rsidR="008F0596">
        <w:rPr>
          <w:snapToGrid w:val="0"/>
          <w:color w:val="000000"/>
          <w:sz w:val="25"/>
          <w:szCs w:val="25"/>
        </w:rPr>
        <w:t>constituents’</w:t>
      </w:r>
      <w:r w:rsidRPr="008D5A8C" w:rsidR="00881FDD">
        <w:rPr>
          <w:snapToGrid w:val="0"/>
          <w:color w:val="000000"/>
          <w:sz w:val="25"/>
          <w:szCs w:val="25"/>
        </w:rPr>
        <w:t xml:space="preserve"> groups </w:t>
      </w:r>
      <w:r w:rsidR="00CF247F">
        <w:rPr>
          <w:snapToGrid w:val="0"/>
          <w:color w:val="000000"/>
          <w:sz w:val="25"/>
          <w:szCs w:val="25"/>
        </w:rPr>
        <w:t xml:space="preserve">and respondents </w:t>
      </w:r>
      <w:r w:rsidRPr="008D5A8C" w:rsidR="00881FDD">
        <w:rPr>
          <w:snapToGrid w:val="0"/>
          <w:color w:val="000000"/>
          <w:sz w:val="25"/>
          <w:szCs w:val="25"/>
        </w:rPr>
        <w:t xml:space="preserve">to discuss projects, </w:t>
      </w:r>
      <w:r w:rsidRPr="008D5A8C" w:rsidR="008876AD">
        <w:rPr>
          <w:snapToGrid w:val="0"/>
          <w:color w:val="000000"/>
          <w:sz w:val="25"/>
          <w:szCs w:val="25"/>
        </w:rPr>
        <w:t>programs,</w:t>
      </w:r>
      <w:r w:rsidRPr="008D5A8C" w:rsidR="00881FDD">
        <w:rPr>
          <w:snapToGrid w:val="0"/>
          <w:color w:val="000000"/>
          <w:sz w:val="25"/>
          <w:szCs w:val="25"/>
        </w:rPr>
        <w:t xml:space="preserve"> and priorities. There have been no complaints regarding burdensome application procedures or too frequent progress and financial reporting.</w:t>
      </w:r>
    </w:p>
    <w:p w:rsidR="00D7606B" w:rsidRPr="008D5A8C" w14:paraId="2A0BE3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8D5A8C" w14:paraId="2529C0DC"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8D5A8C">
        <w:rPr>
          <w:b/>
          <w:snapToGrid w:val="0"/>
          <w:color w:val="000000"/>
          <w:sz w:val="25"/>
          <w:szCs w:val="25"/>
        </w:rPr>
        <w:t xml:space="preserve">9.  Explain any decision to provide any payment or gift to </w:t>
      </w:r>
      <w:r w:rsidRPr="008D5A8C">
        <w:rPr>
          <w:b/>
          <w:snapToGrid w:val="0"/>
          <w:color w:val="000000"/>
          <w:sz w:val="25"/>
          <w:szCs w:val="25"/>
        </w:rPr>
        <w:t>respondents, other than remuneration of contractors or grantees.</w:t>
      </w:r>
    </w:p>
    <w:p w:rsidR="00D7606B" w:rsidRPr="008D5A8C" w:rsidP="007C44AF" w14:paraId="4DD87211" w14:textId="58DB0F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No payment or gift is made to respondents, all of whom are the actual or prospective contractors</w:t>
      </w:r>
      <w:r w:rsidRPr="008D5A8C" w:rsidR="007C44AF">
        <w:rPr>
          <w:snapToGrid w:val="0"/>
          <w:color w:val="000000"/>
          <w:sz w:val="25"/>
          <w:szCs w:val="25"/>
        </w:rPr>
        <w:t xml:space="preserve"> </w:t>
      </w:r>
      <w:r w:rsidRPr="008D5A8C">
        <w:rPr>
          <w:snapToGrid w:val="0"/>
          <w:color w:val="000000"/>
          <w:sz w:val="25"/>
          <w:szCs w:val="25"/>
        </w:rPr>
        <w:t>and grantees, beyond reimbursement of the federal share of project costs as documented in the</w:t>
      </w:r>
      <w:r w:rsidRPr="008D5A8C" w:rsidR="007C44AF">
        <w:rPr>
          <w:snapToGrid w:val="0"/>
          <w:color w:val="000000"/>
          <w:sz w:val="25"/>
          <w:szCs w:val="25"/>
        </w:rPr>
        <w:t xml:space="preserve"> </w:t>
      </w:r>
      <w:r w:rsidRPr="008D5A8C">
        <w:rPr>
          <w:snapToGrid w:val="0"/>
          <w:color w:val="000000"/>
          <w:sz w:val="25"/>
          <w:szCs w:val="25"/>
        </w:rPr>
        <w:t xml:space="preserve">grant, cooperative </w:t>
      </w:r>
      <w:r w:rsidRPr="008D5A8C" w:rsidR="008876AD">
        <w:rPr>
          <w:snapToGrid w:val="0"/>
          <w:color w:val="000000"/>
          <w:sz w:val="25"/>
          <w:szCs w:val="25"/>
        </w:rPr>
        <w:t>agreement,</w:t>
      </w:r>
      <w:r w:rsidRPr="008D5A8C">
        <w:rPr>
          <w:snapToGrid w:val="0"/>
          <w:color w:val="000000"/>
          <w:sz w:val="25"/>
          <w:szCs w:val="25"/>
        </w:rPr>
        <w:t xml:space="preserve"> or contract.</w:t>
      </w:r>
    </w:p>
    <w:p w:rsidR="00D7606B" w:rsidRPr="008D5A8C" w14:paraId="039CCE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14:paraId="274895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8D5A8C">
        <w:rPr>
          <w:b/>
          <w:snapToGrid w:val="0"/>
          <w:color w:val="000000"/>
          <w:sz w:val="25"/>
          <w:szCs w:val="25"/>
        </w:rPr>
        <w:t>10.</w:t>
      </w:r>
      <w:r w:rsidRPr="008D5A8C" w:rsidR="007C44AF">
        <w:rPr>
          <w:b/>
          <w:snapToGrid w:val="0"/>
          <w:color w:val="000000"/>
          <w:sz w:val="25"/>
          <w:szCs w:val="25"/>
        </w:rPr>
        <w:t xml:space="preserve"> </w:t>
      </w:r>
      <w:r w:rsidRPr="008D5A8C">
        <w:rPr>
          <w:b/>
          <w:snapToGrid w:val="0"/>
          <w:color w:val="000000"/>
          <w:sz w:val="25"/>
          <w:szCs w:val="25"/>
        </w:rPr>
        <w:t>Describe any assurance of confidentiality provided respondents.</w:t>
      </w:r>
    </w:p>
    <w:p w:rsidR="00D7606B" w:rsidRPr="008D5A8C" w:rsidP="00B246F7" w14:paraId="268C0366" w14:textId="6F6062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Applications are reviewed by project managers.  In rare cases, unsolicited proposals from private companies are also reviewed by the Office of Procurement.  Any proprietary information contained in applications or proposals is protected during the project application review, </w:t>
      </w:r>
      <w:r w:rsidRPr="008D5A8C" w:rsidR="008876AD">
        <w:rPr>
          <w:snapToGrid w:val="0"/>
          <w:color w:val="000000"/>
          <w:sz w:val="25"/>
          <w:szCs w:val="25"/>
        </w:rPr>
        <w:t>award,</w:t>
      </w:r>
      <w:r w:rsidRPr="008D5A8C">
        <w:rPr>
          <w:snapToGrid w:val="0"/>
          <w:color w:val="000000"/>
          <w:sz w:val="25"/>
          <w:szCs w:val="25"/>
        </w:rPr>
        <w:t xml:space="preserve"> and administration processes.  Once an award is made, information generated by the project is in the </w:t>
      </w:r>
      <w:r w:rsidRPr="008D5A8C">
        <w:rPr>
          <w:snapToGrid w:val="0"/>
          <w:color w:val="000000"/>
          <w:sz w:val="25"/>
          <w:szCs w:val="25"/>
        </w:rPr>
        <w:t>public domain unless exceptional arrangements have been negotiated for intellectual property involved in the project.</w:t>
      </w:r>
    </w:p>
    <w:p w:rsidR="00D7606B" w:rsidRPr="008D5A8C" w14:paraId="646B1F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8D5A8C" w14:paraId="7CA225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8D5A8C">
        <w:rPr>
          <w:b/>
          <w:snapToGrid w:val="0"/>
          <w:color w:val="000000"/>
          <w:sz w:val="25"/>
          <w:szCs w:val="25"/>
        </w:rPr>
        <w:t>11. Additional justification for any questions of a sensitive nature.</w:t>
      </w:r>
    </w:p>
    <w:p w:rsidR="008D5A8C" w:rsidP="00CB06B4" w14:paraId="73860F45"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5"/>
          <w:szCs w:val="25"/>
        </w:rPr>
      </w:pPr>
      <w:r w:rsidRPr="008D5A8C">
        <w:rPr>
          <w:snapToGrid w:val="0"/>
          <w:color w:val="000000"/>
          <w:sz w:val="25"/>
          <w:szCs w:val="25"/>
        </w:rPr>
        <w:t>No sensitive information is required.</w:t>
      </w:r>
    </w:p>
    <w:p w:rsidR="008D5A8C" w:rsidP="00CB06B4" w14:paraId="7904AD7E"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F0596" w14:paraId="3F4C6625"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rsidR="00D7606B" w:rsidRPr="008D5A8C" w14:paraId="4380BC79" w14:textId="1524C954">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r w:rsidRPr="009910AE">
        <w:rPr>
          <w:b/>
          <w:snapToGrid w:val="0"/>
          <w:color w:val="000000"/>
          <w:sz w:val="25"/>
          <w:szCs w:val="25"/>
        </w:rPr>
        <w:t xml:space="preserve">12.  Estimates of the hour burden of the </w:t>
      </w:r>
      <w:r w:rsidRPr="009910AE">
        <w:rPr>
          <w:b/>
          <w:snapToGrid w:val="0"/>
          <w:color w:val="000000"/>
          <w:sz w:val="25"/>
          <w:szCs w:val="25"/>
        </w:rPr>
        <w:t>collection of information and annualized cost to respondents.</w:t>
      </w:r>
    </w:p>
    <w:p w:rsidR="004759DC" w:rsidP="008D5A8C" w14:paraId="3CCB57FB"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b/>
          <w:snapToGrid w:val="0"/>
          <w:color w:val="000000"/>
          <w:sz w:val="25"/>
          <w:szCs w:val="25"/>
        </w:rPr>
        <w:t xml:space="preserve">Respondents: </w:t>
      </w:r>
    </w:p>
    <w:p w:rsidR="00A457BC" w:rsidP="008D5A8C" w14:paraId="5FFB12D8" w14:textId="59D2787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 xml:space="preserve">Estimated Total Annual Number of Respondents: </w:t>
      </w:r>
      <w:r w:rsidRPr="00575E63">
        <w:rPr>
          <w:snapToGrid w:val="0"/>
          <w:color w:val="000000"/>
          <w:sz w:val="25"/>
          <w:szCs w:val="25"/>
          <w:u w:val="single"/>
        </w:rPr>
        <w:t>175</w:t>
      </w:r>
    </w:p>
    <w:p w:rsidR="00575E63" w:rsidRPr="00575E63" w:rsidP="00575E63" w14:paraId="200BB643" w14:textId="77777777">
      <w:pPr>
        <w:pStyle w:val="ListParagraph"/>
        <w:widowControl w:val="0"/>
        <w:numPr>
          <w:ilvl w:val="0"/>
          <w:numId w:val="4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75E63">
        <w:rPr>
          <w:snapToGrid w:val="0"/>
          <w:color w:val="000000"/>
        </w:rPr>
        <w:t>175 unique respondents (applicants).</w:t>
      </w:r>
      <w:r w:rsidRPr="00575E63">
        <w:rPr>
          <w:snapToGrid w:val="0"/>
          <w:color w:val="000000"/>
        </w:rPr>
        <w:br/>
        <w:t>Note: Of those, 150 are assumed to receive awards and submit post-award reports.</w:t>
      </w:r>
    </w:p>
    <w:p w:rsidR="00575E63" w:rsidP="008D5A8C" w14:paraId="6B858532"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575E63" w:rsidP="008D5A8C" w14:paraId="56C779EC"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Pr>
          <w:b/>
          <w:snapToGrid w:val="0"/>
          <w:color w:val="000000"/>
          <w:sz w:val="25"/>
          <w:szCs w:val="25"/>
        </w:rPr>
        <w:t xml:space="preserve">Estimated Total Annual Number of Responses: </w:t>
      </w:r>
      <w:r w:rsidRPr="00575E63">
        <w:rPr>
          <w:snapToGrid w:val="0"/>
          <w:color w:val="000000"/>
          <w:sz w:val="25"/>
          <w:szCs w:val="25"/>
          <w:u w:val="single"/>
        </w:rPr>
        <w:t>775</w:t>
      </w:r>
    </w:p>
    <w:p w:rsidR="00575E63" w:rsidRPr="00575E63" w:rsidP="00575E63" w14:paraId="24223BF4" w14:textId="77777777">
      <w:pPr>
        <w:widowControl w:val="0"/>
        <w:numPr>
          <w:ilvl w:val="0"/>
          <w:numId w:val="3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75E63">
        <w:rPr>
          <w:snapToGrid w:val="0"/>
          <w:color w:val="000000"/>
        </w:rPr>
        <w:t xml:space="preserve"> Applications: 175 (1 application per respondent)</w:t>
      </w:r>
    </w:p>
    <w:p w:rsidR="00575E63" w:rsidRPr="00575E63" w:rsidP="00575E63" w14:paraId="5062B4D7" w14:textId="77777777">
      <w:pPr>
        <w:widowControl w:val="0"/>
        <w:numPr>
          <w:ilvl w:val="0"/>
          <w:numId w:val="3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75E63">
        <w:rPr>
          <w:snapToGrid w:val="0"/>
          <w:color w:val="000000"/>
        </w:rPr>
        <w:t>Post-award reports: 150 awardees × 4 quarterly cycles = 600 reports</w:t>
      </w:r>
    </w:p>
    <w:p w:rsidR="00575E63" w:rsidRPr="00575E63" w:rsidP="00575E63" w14:paraId="75C07498" w14:textId="77777777">
      <w:pPr>
        <w:widowControl w:val="0"/>
        <w:numPr>
          <w:ilvl w:val="0"/>
          <w:numId w:val="3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575E63">
        <w:rPr>
          <w:snapToGrid w:val="0"/>
          <w:color w:val="000000"/>
        </w:rPr>
        <w:t>Total responses = 175 + 600 = 775</w:t>
      </w:r>
    </w:p>
    <w:p w:rsidR="00DF298A" w:rsidRPr="00DF298A" w:rsidP="008D5A8C" w14:paraId="7A63AB71" w14:textId="7345D8E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A457BC" w:rsidP="008D5A8C" w14:paraId="3E0EE06E"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 xml:space="preserve">Estimated Total Annual Burden Hours: </w:t>
      </w:r>
      <w:r w:rsidRPr="00575E63">
        <w:rPr>
          <w:snapToGrid w:val="0"/>
          <w:color w:val="000000"/>
          <w:sz w:val="25"/>
          <w:szCs w:val="25"/>
          <w:u w:val="single"/>
        </w:rPr>
        <w:t>20,550</w:t>
      </w:r>
    </w:p>
    <w:p w:rsidR="00575E63" w:rsidRPr="00575E63" w:rsidP="00575E63" w14:paraId="5E153B63" w14:textId="5FB7316E">
      <w:pPr>
        <w:widowControl w:val="0"/>
        <w:numPr>
          <w:ilvl w:val="0"/>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Application stage: 175 × 90 hours = 15,750 hours</w:t>
      </w:r>
    </w:p>
    <w:p w:rsidR="00575E63" w:rsidRPr="00575E63" w:rsidP="00575E63" w14:paraId="6F942F36" w14:textId="77777777">
      <w:pPr>
        <w:widowControl w:val="0"/>
        <w:numPr>
          <w:ilvl w:val="0"/>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Post-award (progress + financial): 600 responses × 8 hours each = 4,800 hours</w:t>
      </w:r>
    </w:p>
    <w:p w:rsidR="00575E63" w:rsidRPr="00575E63" w:rsidP="00575E63" w14:paraId="22E41A30" w14:textId="77777777">
      <w:pPr>
        <w:widowControl w:val="0"/>
        <w:numPr>
          <w:ilvl w:val="0"/>
          <w:numId w:val="4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Total burden hours = 15,750 + 4,800 = 20,550 hours</w:t>
      </w:r>
    </w:p>
    <w:p w:rsidR="00575E63" w:rsidRPr="008D5A8C" w:rsidP="008D5A8C" w14:paraId="7A45B30B"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rsidR="00A457BC" w:rsidRPr="008D5A8C" w:rsidP="008D5A8C" w14:paraId="5BC4AE61" w14:textId="1484242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16"/>
          <w:szCs w:val="16"/>
        </w:rPr>
      </w:pPr>
      <w:r w:rsidRPr="008D5A8C">
        <w:rPr>
          <w:b/>
          <w:snapToGrid w:val="0"/>
          <w:color w:val="000000"/>
          <w:sz w:val="25"/>
          <w:szCs w:val="25"/>
        </w:rPr>
        <w:t xml:space="preserve">Estimated Total Cost: </w:t>
      </w:r>
      <w:r w:rsidRPr="0026471E" w:rsidR="0026471E">
        <w:rPr>
          <w:snapToGrid w:val="0"/>
          <w:color w:val="000000"/>
          <w:sz w:val="25"/>
          <w:szCs w:val="25"/>
        </w:rPr>
        <w:t>$</w:t>
      </w:r>
      <w:r w:rsidRPr="00575E63" w:rsidR="00583867">
        <w:rPr>
          <w:snapToGrid w:val="0"/>
          <w:color w:val="000000"/>
          <w:sz w:val="25"/>
          <w:szCs w:val="25"/>
          <w:u w:val="single"/>
        </w:rPr>
        <w:t>1,127,167</w:t>
      </w:r>
    </w:p>
    <w:p w:rsidR="00575E63" w:rsidRPr="00575E63" w:rsidP="00575E63" w14:paraId="08630C2A" w14:textId="77777777">
      <w:pPr>
        <w:widowControl w:val="0"/>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Loaded hourly rate = $42.85 × 1.28 = $54.848 → $54.85 (rounded)</w:t>
      </w:r>
    </w:p>
    <w:p w:rsidR="00575E63" w:rsidRPr="00575E63" w:rsidP="00575E63" w14:paraId="5AD6496C" w14:textId="77777777">
      <w:pPr>
        <w:widowControl w:val="0"/>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Application stage cost: 15,750 hrs × $54.85 = $863,887.50</w:t>
      </w:r>
    </w:p>
    <w:p w:rsidR="00575E63" w:rsidRPr="00575E63" w:rsidP="00575E63" w14:paraId="69CBADD7" w14:textId="77777777">
      <w:pPr>
        <w:widowControl w:val="0"/>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Post-award costs:</w:t>
      </w:r>
    </w:p>
    <w:p w:rsidR="00575E63" w:rsidRPr="00575E63" w:rsidP="00575E63" w14:paraId="45D909BD" w14:textId="77777777">
      <w:pPr>
        <w:widowControl w:val="0"/>
        <w:numPr>
          <w:ilvl w:val="1"/>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Progress reports (3,600 hrs) × $54.85 = $197,460.00</w:t>
      </w:r>
    </w:p>
    <w:p w:rsidR="00575E63" w:rsidRPr="00575E63" w:rsidP="00575E63" w14:paraId="3257826F" w14:textId="77777777">
      <w:pPr>
        <w:widowControl w:val="0"/>
        <w:numPr>
          <w:ilvl w:val="1"/>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Financial reports (1,200 hrs) × $54.85 = $65,820.00</w:t>
      </w:r>
    </w:p>
    <w:p w:rsidR="00575E63" w:rsidRPr="00575E63" w:rsidP="00575E63" w14:paraId="6233AFF1" w14:textId="77777777">
      <w:pPr>
        <w:widowControl w:val="0"/>
        <w:numPr>
          <w:ilvl w:val="1"/>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Project management total = $197,460 + $65,820 = $263,280.00</w:t>
      </w:r>
    </w:p>
    <w:p w:rsidR="00575E63" w:rsidP="00575E63" w14:paraId="73F1A5A9" w14:textId="0C496995">
      <w:pPr>
        <w:widowControl w:val="0"/>
        <w:numPr>
          <w:ilvl w:val="0"/>
          <w:numId w:val="4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r w:rsidRPr="00575E63">
        <w:rPr>
          <w:bCs/>
          <w:snapToGrid w:val="0"/>
          <w:color w:val="000000"/>
        </w:rPr>
        <w:t xml:space="preserve">Grand total cost = $863,887.50 + $263,280.00 = $1,127,167 </w:t>
      </w:r>
    </w:p>
    <w:p w:rsidR="00575E63" w:rsidP="00575E63" w14:paraId="59E79E48"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6D1A91B4"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5B76FEC3"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63B00126"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2985702E"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0A678662"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1AB3DDDE"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73F5E346"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601E50EE"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3ABF6208"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0B26078B"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7B34A5DD"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04D4CA44"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73F532EC"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P="00575E63" w14:paraId="060DB5D2"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575E63" w:rsidRPr="00575E63" w:rsidP="00575E63" w14:paraId="74CAB80D"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rPr>
      </w:pPr>
    </w:p>
    <w:p w:rsidR="008D5A8C" w:rsidRPr="008D5A8C" w:rsidP="008D5A8C" w14:paraId="2362B7F3"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16"/>
          <w:szCs w:val="16"/>
        </w:rPr>
      </w:pPr>
    </w:p>
    <w:tbl>
      <w:tblPr>
        <w:tblW w:w="0" w:type="auto"/>
        <w:tblLayout w:type="fixed"/>
        <w:tblCellMar>
          <w:left w:w="43" w:type="dxa"/>
          <w:right w:w="43" w:type="dxa"/>
        </w:tblCellMar>
        <w:tblLook w:val="0000"/>
      </w:tblPr>
      <w:tblGrid>
        <w:gridCol w:w="3148"/>
        <w:gridCol w:w="1395"/>
        <w:gridCol w:w="1405"/>
        <w:gridCol w:w="1526"/>
        <w:gridCol w:w="1479"/>
      </w:tblGrid>
      <w:tr w14:paraId="27C49E42" w14:textId="77777777" w:rsidTr="005F217A">
        <w:tblPrEx>
          <w:tblW w:w="0" w:type="auto"/>
          <w:tblLayout w:type="fixed"/>
          <w:tblCellMar>
            <w:left w:w="43" w:type="dxa"/>
            <w:right w:w="43" w:type="dxa"/>
          </w:tblCellMar>
          <w:tblLook w:val="0000"/>
        </w:tblPrEx>
        <w:tc>
          <w:tcPr>
            <w:tcW w:w="3148" w:type="dxa"/>
          </w:tcPr>
          <w:p w:rsidR="00D7606B" w:rsidRPr="008D5A8C" w14:paraId="1D37B0A8" w14:textId="77777777">
            <w:pPr>
              <w:widowControl w:val="0"/>
              <w:rPr>
                <w:snapToGrid w:val="0"/>
                <w:color w:val="000000"/>
                <w:sz w:val="24"/>
                <w:szCs w:val="24"/>
              </w:rPr>
            </w:pPr>
          </w:p>
          <w:p w:rsidR="00D7606B" w:rsidRPr="008D5A8C" w14:paraId="7C80EC87" w14:textId="77777777">
            <w:pPr>
              <w:widowControl w:val="0"/>
              <w:rPr>
                <w:snapToGrid w:val="0"/>
                <w:color w:val="000000"/>
                <w:sz w:val="24"/>
                <w:szCs w:val="24"/>
              </w:rPr>
            </w:pPr>
            <w:r w:rsidRPr="008D5A8C">
              <w:rPr>
                <w:snapToGrid w:val="0"/>
                <w:color w:val="000000"/>
                <w:sz w:val="24"/>
                <w:szCs w:val="24"/>
              </w:rPr>
              <w:t>Requirement</w:t>
            </w:r>
          </w:p>
        </w:tc>
        <w:tc>
          <w:tcPr>
            <w:tcW w:w="1395" w:type="dxa"/>
          </w:tcPr>
          <w:p w:rsidR="00D7606B" w:rsidRPr="008D5A8C" w14:paraId="78FEEC87" w14:textId="77777777">
            <w:pPr>
              <w:widowControl w:val="0"/>
              <w:rPr>
                <w:snapToGrid w:val="0"/>
                <w:color w:val="000000"/>
                <w:sz w:val="24"/>
                <w:szCs w:val="24"/>
              </w:rPr>
            </w:pPr>
            <w:r w:rsidRPr="008D5A8C">
              <w:rPr>
                <w:snapToGrid w:val="0"/>
                <w:color w:val="000000"/>
                <w:sz w:val="24"/>
                <w:szCs w:val="24"/>
              </w:rPr>
              <w:t>Number of Respondents</w:t>
            </w:r>
          </w:p>
        </w:tc>
        <w:tc>
          <w:tcPr>
            <w:tcW w:w="1405" w:type="dxa"/>
          </w:tcPr>
          <w:p w:rsidR="00D7606B" w:rsidRPr="008D5A8C" w14:paraId="66C4F00D" w14:textId="77777777">
            <w:pPr>
              <w:widowControl w:val="0"/>
              <w:rPr>
                <w:snapToGrid w:val="0"/>
                <w:color w:val="000000"/>
                <w:sz w:val="24"/>
                <w:szCs w:val="24"/>
              </w:rPr>
            </w:pPr>
            <w:r w:rsidRPr="008D5A8C">
              <w:rPr>
                <w:snapToGrid w:val="0"/>
                <w:color w:val="000000"/>
                <w:sz w:val="24"/>
                <w:szCs w:val="24"/>
              </w:rPr>
              <w:t>Frequency of Response</w:t>
            </w:r>
          </w:p>
        </w:tc>
        <w:tc>
          <w:tcPr>
            <w:tcW w:w="1526" w:type="dxa"/>
          </w:tcPr>
          <w:p w:rsidR="00D7606B" w:rsidRPr="008D5A8C" w14:paraId="2C3A0A0D" w14:textId="77777777">
            <w:pPr>
              <w:widowControl w:val="0"/>
              <w:rPr>
                <w:snapToGrid w:val="0"/>
                <w:color w:val="000000"/>
                <w:sz w:val="24"/>
                <w:szCs w:val="24"/>
              </w:rPr>
            </w:pPr>
            <w:r w:rsidRPr="008D5A8C">
              <w:rPr>
                <w:snapToGrid w:val="0"/>
                <w:color w:val="000000"/>
                <w:sz w:val="24"/>
                <w:szCs w:val="24"/>
              </w:rPr>
              <w:t xml:space="preserve">Burden per Submission </w:t>
            </w:r>
          </w:p>
        </w:tc>
        <w:tc>
          <w:tcPr>
            <w:tcW w:w="1479" w:type="dxa"/>
          </w:tcPr>
          <w:p w:rsidR="00D7606B" w:rsidRPr="008D5A8C" w14:paraId="49A05AB5" w14:textId="77777777">
            <w:pPr>
              <w:widowControl w:val="0"/>
              <w:rPr>
                <w:snapToGrid w:val="0"/>
                <w:color w:val="000000"/>
                <w:sz w:val="24"/>
                <w:szCs w:val="24"/>
              </w:rPr>
            </w:pPr>
            <w:r w:rsidRPr="008D5A8C">
              <w:rPr>
                <w:snapToGrid w:val="0"/>
                <w:color w:val="000000"/>
                <w:sz w:val="24"/>
                <w:szCs w:val="24"/>
              </w:rPr>
              <w:t>Annual Hour Burden</w:t>
            </w:r>
          </w:p>
        </w:tc>
      </w:tr>
      <w:tr w14:paraId="0AFDAE99" w14:textId="77777777" w:rsidTr="005F217A">
        <w:tblPrEx>
          <w:tblW w:w="0" w:type="auto"/>
          <w:tblLayout w:type="fixed"/>
          <w:tblCellMar>
            <w:left w:w="43" w:type="dxa"/>
            <w:right w:w="43" w:type="dxa"/>
          </w:tblCellMar>
          <w:tblLook w:val="0000"/>
        </w:tblPrEx>
        <w:tc>
          <w:tcPr>
            <w:tcW w:w="3148" w:type="dxa"/>
          </w:tcPr>
          <w:p w:rsidR="00D7606B" w:rsidRPr="008D5A8C" w14:paraId="3CF80EE9" w14:textId="77777777">
            <w:pPr>
              <w:widowControl w:val="0"/>
              <w:rPr>
                <w:snapToGrid w:val="0"/>
                <w:color w:val="000000"/>
                <w:sz w:val="24"/>
                <w:szCs w:val="24"/>
              </w:rPr>
            </w:pPr>
          </w:p>
        </w:tc>
        <w:tc>
          <w:tcPr>
            <w:tcW w:w="1395" w:type="dxa"/>
          </w:tcPr>
          <w:p w:rsidR="00D7606B" w:rsidRPr="008D5A8C" w14:paraId="1360DEAF" w14:textId="77777777">
            <w:pPr>
              <w:widowControl w:val="0"/>
              <w:rPr>
                <w:snapToGrid w:val="0"/>
                <w:color w:val="000000"/>
                <w:sz w:val="24"/>
                <w:szCs w:val="24"/>
              </w:rPr>
            </w:pPr>
          </w:p>
        </w:tc>
        <w:tc>
          <w:tcPr>
            <w:tcW w:w="1405" w:type="dxa"/>
          </w:tcPr>
          <w:p w:rsidR="00D7606B" w:rsidRPr="008D5A8C" w14:paraId="064B917B" w14:textId="77777777">
            <w:pPr>
              <w:widowControl w:val="0"/>
              <w:rPr>
                <w:snapToGrid w:val="0"/>
                <w:color w:val="000000"/>
                <w:sz w:val="24"/>
                <w:szCs w:val="24"/>
              </w:rPr>
            </w:pPr>
            <w:r w:rsidRPr="008D5A8C">
              <w:rPr>
                <w:snapToGrid w:val="0"/>
                <w:color w:val="000000"/>
                <w:sz w:val="24"/>
                <w:szCs w:val="24"/>
              </w:rPr>
              <w:t>(annual submissions)</w:t>
            </w:r>
          </w:p>
        </w:tc>
        <w:tc>
          <w:tcPr>
            <w:tcW w:w="1526" w:type="dxa"/>
          </w:tcPr>
          <w:p w:rsidR="00D7606B" w:rsidRPr="008D5A8C" w14:paraId="1C18CE1D" w14:textId="77777777">
            <w:pPr>
              <w:widowControl w:val="0"/>
              <w:rPr>
                <w:snapToGrid w:val="0"/>
                <w:color w:val="000000"/>
                <w:sz w:val="24"/>
                <w:szCs w:val="24"/>
              </w:rPr>
            </w:pPr>
            <w:r w:rsidRPr="008D5A8C">
              <w:rPr>
                <w:snapToGrid w:val="0"/>
                <w:color w:val="000000"/>
                <w:sz w:val="24"/>
                <w:szCs w:val="24"/>
              </w:rPr>
              <w:t>(labor-hours)</w:t>
            </w:r>
          </w:p>
        </w:tc>
        <w:tc>
          <w:tcPr>
            <w:tcW w:w="1479" w:type="dxa"/>
          </w:tcPr>
          <w:p w:rsidR="00D7606B" w:rsidRPr="008D5A8C" w14:paraId="7EA7EB60" w14:textId="77777777">
            <w:pPr>
              <w:widowControl w:val="0"/>
              <w:rPr>
                <w:snapToGrid w:val="0"/>
                <w:color w:val="000000"/>
                <w:sz w:val="24"/>
                <w:szCs w:val="24"/>
              </w:rPr>
            </w:pPr>
            <w:r w:rsidRPr="008D5A8C">
              <w:rPr>
                <w:snapToGrid w:val="0"/>
                <w:color w:val="000000"/>
                <w:sz w:val="24"/>
                <w:szCs w:val="24"/>
              </w:rPr>
              <w:t>(labor-hours)</w:t>
            </w:r>
          </w:p>
        </w:tc>
      </w:tr>
      <w:tr w14:paraId="79BA2328" w14:textId="77777777" w:rsidTr="005F217A">
        <w:tblPrEx>
          <w:tblW w:w="0" w:type="auto"/>
          <w:tblLayout w:type="fixed"/>
          <w:tblCellMar>
            <w:left w:w="43" w:type="dxa"/>
            <w:right w:w="43" w:type="dxa"/>
          </w:tblCellMar>
          <w:tblLook w:val="0000"/>
        </w:tblPrEx>
        <w:tc>
          <w:tcPr>
            <w:tcW w:w="3148" w:type="dxa"/>
          </w:tcPr>
          <w:p w:rsidR="00D7606B" w:rsidRPr="008D5A8C" w14:paraId="411FECA3" w14:textId="77777777">
            <w:pPr>
              <w:widowControl w:val="0"/>
              <w:rPr>
                <w:snapToGrid w:val="0"/>
                <w:color w:val="000000"/>
                <w:sz w:val="24"/>
                <w:szCs w:val="24"/>
                <w:u w:val="single"/>
              </w:rPr>
            </w:pPr>
            <w:r w:rsidRPr="008D5A8C">
              <w:rPr>
                <w:snapToGrid w:val="0"/>
                <w:color w:val="000000"/>
                <w:sz w:val="24"/>
                <w:szCs w:val="24"/>
                <w:u w:val="single"/>
              </w:rPr>
              <w:t>Application Stage</w:t>
            </w:r>
          </w:p>
        </w:tc>
        <w:tc>
          <w:tcPr>
            <w:tcW w:w="1395" w:type="dxa"/>
          </w:tcPr>
          <w:p w:rsidR="00D7606B" w:rsidRPr="008D5A8C" w:rsidP="00830B31" w14:paraId="00C606E1" w14:textId="77777777">
            <w:pPr>
              <w:widowControl w:val="0"/>
              <w:ind w:right="144"/>
              <w:jc w:val="center"/>
              <w:rPr>
                <w:snapToGrid w:val="0"/>
                <w:color w:val="000000"/>
                <w:sz w:val="24"/>
                <w:szCs w:val="24"/>
              </w:rPr>
            </w:pPr>
            <w:r w:rsidRPr="008D5A8C">
              <w:rPr>
                <w:snapToGrid w:val="0"/>
                <w:color w:val="000000"/>
                <w:sz w:val="24"/>
                <w:szCs w:val="24"/>
              </w:rPr>
              <w:t>175</w:t>
            </w:r>
          </w:p>
        </w:tc>
        <w:tc>
          <w:tcPr>
            <w:tcW w:w="1405" w:type="dxa"/>
          </w:tcPr>
          <w:p w:rsidR="00D7606B" w:rsidRPr="008D5A8C" w14:paraId="48029B29" w14:textId="77777777">
            <w:pPr>
              <w:widowControl w:val="0"/>
              <w:ind w:right="144"/>
              <w:jc w:val="right"/>
              <w:rPr>
                <w:snapToGrid w:val="0"/>
                <w:color w:val="000000"/>
                <w:sz w:val="24"/>
                <w:szCs w:val="24"/>
              </w:rPr>
            </w:pPr>
            <w:r w:rsidRPr="008D5A8C">
              <w:rPr>
                <w:snapToGrid w:val="0"/>
                <w:color w:val="000000"/>
                <w:sz w:val="24"/>
                <w:szCs w:val="24"/>
              </w:rPr>
              <w:t>1</w:t>
            </w:r>
          </w:p>
        </w:tc>
        <w:tc>
          <w:tcPr>
            <w:tcW w:w="1526" w:type="dxa"/>
          </w:tcPr>
          <w:p w:rsidR="00D7606B" w:rsidRPr="008D5A8C" w:rsidP="003C198A" w14:paraId="2707614B" w14:textId="77777777">
            <w:pPr>
              <w:widowControl w:val="0"/>
              <w:ind w:right="144"/>
              <w:jc w:val="right"/>
              <w:rPr>
                <w:snapToGrid w:val="0"/>
                <w:color w:val="000000"/>
                <w:sz w:val="24"/>
                <w:szCs w:val="24"/>
              </w:rPr>
            </w:pPr>
            <w:r w:rsidRPr="008D5A8C">
              <w:rPr>
                <w:snapToGrid w:val="0"/>
                <w:color w:val="000000"/>
                <w:sz w:val="24"/>
                <w:szCs w:val="24"/>
              </w:rPr>
              <w:t>9</w:t>
            </w:r>
            <w:r w:rsidRPr="008D5A8C" w:rsidR="00242F44">
              <w:rPr>
                <w:snapToGrid w:val="0"/>
                <w:color w:val="000000"/>
                <w:sz w:val="24"/>
                <w:szCs w:val="24"/>
              </w:rPr>
              <w:t>0</w:t>
            </w:r>
          </w:p>
        </w:tc>
        <w:tc>
          <w:tcPr>
            <w:tcW w:w="1479" w:type="dxa"/>
          </w:tcPr>
          <w:p w:rsidR="00D7606B" w:rsidRPr="008D5A8C" w:rsidP="002976D3" w14:paraId="612C40AD" w14:textId="77777777">
            <w:pPr>
              <w:widowControl w:val="0"/>
              <w:jc w:val="right"/>
              <w:rPr>
                <w:snapToGrid w:val="0"/>
                <w:color w:val="000000"/>
                <w:sz w:val="24"/>
                <w:szCs w:val="24"/>
              </w:rPr>
            </w:pPr>
            <w:r w:rsidRPr="008D5A8C">
              <w:rPr>
                <w:snapToGrid w:val="0"/>
                <w:color w:val="000000"/>
                <w:sz w:val="24"/>
                <w:szCs w:val="24"/>
              </w:rPr>
              <w:t>15,750</w:t>
            </w:r>
          </w:p>
        </w:tc>
      </w:tr>
      <w:tr w14:paraId="3137E912" w14:textId="77777777" w:rsidTr="005F217A">
        <w:tblPrEx>
          <w:tblW w:w="0" w:type="auto"/>
          <w:tblLayout w:type="fixed"/>
          <w:tblCellMar>
            <w:left w:w="43" w:type="dxa"/>
            <w:right w:w="43" w:type="dxa"/>
          </w:tblCellMar>
          <w:tblLook w:val="0000"/>
        </w:tblPrEx>
        <w:tc>
          <w:tcPr>
            <w:tcW w:w="3148" w:type="dxa"/>
          </w:tcPr>
          <w:p w:rsidR="00D7606B" w:rsidRPr="008D5A8C" w14:paraId="74E3AE76" w14:textId="77777777">
            <w:pPr>
              <w:widowControl w:val="0"/>
              <w:ind w:left="288"/>
              <w:rPr>
                <w:snapToGrid w:val="0"/>
                <w:color w:val="000000"/>
                <w:sz w:val="24"/>
                <w:szCs w:val="24"/>
              </w:rPr>
            </w:pPr>
            <w:r w:rsidRPr="008D5A8C">
              <w:rPr>
                <w:snapToGrid w:val="0"/>
                <w:color w:val="000000"/>
                <w:sz w:val="24"/>
                <w:szCs w:val="24"/>
              </w:rPr>
              <w:t>Authorizing Resolution</w:t>
            </w:r>
          </w:p>
        </w:tc>
        <w:tc>
          <w:tcPr>
            <w:tcW w:w="1395" w:type="dxa"/>
          </w:tcPr>
          <w:p w:rsidR="00D7606B" w:rsidRPr="008D5A8C" w:rsidP="00CE1AAA" w14:paraId="5DA8EBA9" w14:textId="77777777">
            <w:pPr>
              <w:widowControl w:val="0"/>
              <w:ind w:right="144"/>
              <w:jc w:val="right"/>
              <w:rPr>
                <w:snapToGrid w:val="0"/>
                <w:color w:val="000000"/>
                <w:sz w:val="24"/>
                <w:szCs w:val="24"/>
              </w:rPr>
            </w:pPr>
          </w:p>
        </w:tc>
        <w:tc>
          <w:tcPr>
            <w:tcW w:w="1405" w:type="dxa"/>
          </w:tcPr>
          <w:p w:rsidR="00D7606B" w:rsidRPr="008D5A8C" w:rsidP="00CE1AAA" w14:paraId="3465A9E8" w14:textId="77777777">
            <w:pPr>
              <w:widowControl w:val="0"/>
              <w:ind w:right="144"/>
              <w:jc w:val="right"/>
              <w:rPr>
                <w:snapToGrid w:val="0"/>
                <w:color w:val="000000"/>
                <w:sz w:val="24"/>
                <w:szCs w:val="24"/>
              </w:rPr>
            </w:pPr>
          </w:p>
        </w:tc>
        <w:tc>
          <w:tcPr>
            <w:tcW w:w="1526" w:type="dxa"/>
          </w:tcPr>
          <w:p w:rsidR="00D7606B" w:rsidRPr="008D5A8C" w:rsidP="00CE1AAA" w14:paraId="3B33F842" w14:textId="77777777">
            <w:pPr>
              <w:widowControl w:val="0"/>
              <w:ind w:right="144"/>
              <w:jc w:val="right"/>
              <w:rPr>
                <w:snapToGrid w:val="0"/>
                <w:color w:val="000000"/>
                <w:sz w:val="24"/>
                <w:szCs w:val="24"/>
              </w:rPr>
            </w:pPr>
          </w:p>
        </w:tc>
        <w:tc>
          <w:tcPr>
            <w:tcW w:w="1479" w:type="dxa"/>
          </w:tcPr>
          <w:p w:rsidR="00D7606B" w:rsidRPr="008D5A8C" w:rsidP="00CE1AAA" w14:paraId="53C7C0AF" w14:textId="77777777">
            <w:pPr>
              <w:widowControl w:val="0"/>
              <w:ind w:right="144"/>
              <w:jc w:val="right"/>
              <w:rPr>
                <w:snapToGrid w:val="0"/>
                <w:color w:val="000000"/>
                <w:sz w:val="24"/>
                <w:szCs w:val="24"/>
              </w:rPr>
            </w:pPr>
          </w:p>
        </w:tc>
      </w:tr>
      <w:tr w14:paraId="04D22421" w14:textId="77777777" w:rsidTr="005F217A">
        <w:tblPrEx>
          <w:tblW w:w="0" w:type="auto"/>
          <w:tblLayout w:type="fixed"/>
          <w:tblCellMar>
            <w:left w:w="43" w:type="dxa"/>
            <w:right w:w="43" w:type="dxa"/>
          </w:tblCellMar>
          <w:tblLook w:val="0000"/>
        </w:tblPrEx>
        <w:tc>
          <w:tcPr>
            <w:tcW w:w="3148" w:type="dxa"/>
          </w:tcPr>
          <w:p w:rsidR="00D7606B" w:rsidRPr="008D5A8C" w14:paraId="48F515CE" w14:textId="77777777">
            <w:pPr>
              <w:widowControl w:val="0"/>
              <w:ind w:left="288"/>
              <w:rPr>
                <w:snapToGrid w:val="0"/>
                <w:color w:val="000000"/>
                <w:sz w:val="24"/>
                <w:szCs w:val="24"/>
              </w:rPr>
            </w:pPr>
            <w:r w:rsidRPr="008D5A8C">
              <w:rPr>
                <w:snapToGrid w:val="0"/>
                <w:color w:val="000000"/>
                <w:sz w:val="24"/>
                <w:szCs w:val="24"/>
              </w:rPr>
              <w:t>Opinion of Counsel</w:t>
            </w:r>
          </w:p>
        </w:tc>
        <w:tc>
          <w:tcPr>
            <w:tcW w:w="1395" w:type="dxa"/>
          </w:tcPr>
          <w:p w:rsidR="00D7606B" w:rsidRPr="008D5A8C" w:rsidP="00CE1AAA" w14:paraId="7D525780" w14:textId="77777777">
            <w:pPr>
              <w:widowControl w:val="0"/>
              <w:ind w:right="144"/>
              <w:jc w:val="right"/>
              <w:rPr>
                <w:snapToGrid w:val="0"/>
                <w:color w:val="000000"/>
                <w:sz w:val="24"/>
                <w:szCs w:val="24"/>
              </w:rPr>
            </w:pPr>
          </w:p>
        </w:tc>
        <w:tc>
          <w:tcPr>
            <w:tcW w:w="1405" w:type="dxa"/>
          </w:tcPr>
          <w:p w:rsidR="00D7606B" w:rsidRPr="008D5A8C" w:rsidP="00CE1AAA" w14:paraId="5AF3B745" w14:textId="77777777">
            <w:pPr>
              <w:widowControl w:val="0"/>
              <w:ind w:right="144"/>
              <w:jc w:val="right"/>
              <w:rPr>
                <w:snapToGrid w:val="0"/>
                <w:color w:val="000000"/>
                <w:sz w:val="24"/>
                <w:szCs w:val="24"/>
              </w:rPr>
            </w:pPr>
          </w:p>
        </w:tc>
        <w:tc>
          <w:tcPr>
            <w:tcW w:w="1526" w:type="dxa"/>
          </w:tcPr>
          <w:p w:rsidR="00D7606B" w:rsidRPr="008D5A8C" w:rsidP="00CE1AAA" w14:paraId="52CAAFF3" w14:textId="77777777">
            <w:pPr>
              <w:widowControl w:val="0"/>
              <w:ind w:right="144"/>
              <w:jc w:val="right"/>
              <w:rPr>
                <w:snapToGrid w:val="0"/>
                <w:color w:val="000000"/>
                <w:sz w:val="24"/>
                <w:szCs w:val="24"/>
              </w:rPr>
            </w:pPr>
          </w:p>
        </w:tc>
        <w:tc>
          <w:tcPr>
            <w:tcW w:w="1479" w:type="dxa"/>
          </w:tcPr>
          <w:p w:rsidR="00D7606B" w:rsidRPr="008D5A8C" w:rsidP="00CE1AAA" w14:paraId="44CCEDF8" w14:textId="77777777">
            <w:pPr>
              <w:widowControl w:val="0"/>
              <w:ind w:right="144"/>
              <w:jc w:val="right"/>
              <w:rPr>
                <w:snapToGrid w:val="0"/>
                <w:color w:val="000000"/>
                <w:sz w:val="24"/>
                <w:szCs w:val="24"/>
              </w:rPr>
            </w:pPr>
          </w:p>
        </w:tc>
      </w:tr>
      <w:tr w14:paraId="7FCD1A69" w14:textId="77777777" w:rsidTr="005F217A">
        <w:tblPrEx>
          <w:tblW w:w="0" w:type="auto"/>
          <w:tblLayout w:type="fixed"/>
          <w:tblCellMar>
            <w:left w:w="43" w:type="dxa"/>
            <w:right w:w="43" w:type="dxa"/>
          </w:tblCellMar>
          <w:tblLook w:val="0000"/>
        </w:tblPrEx>
        <w:tc>
          <w:tcPr>
            <w:tcW w:w="3148" w:type="dxa"/>
          </w:tcPr>
          <w:p w:rsidR="00D7606B" w:rsidRPr="008D5A8C" w14:paraId="0CC0C216" w14:textId="77777777">
            <w:pPr>
              <w:widowControl w:val="0"/>
              <w:ind w:left="288"/>
              <w:rPr>
                <w:snapToGrid w:val="0"/>
                <w:color w:val="000000"/>
                <w:sz w:val="24"/>
                <w:szCs w:val="24"/>
              </w:rPr>
            </w:pPr>
            <w:r w:rsidRPr="008D5A8C">
              <w:rPr>
                <w:snapToGrid w:val="0"/>
                <w:color w:val="000000"/>
                <w:sz w:val="24"/>
                <w:szCs w:val="24"/>
              </w:rPr>
              <w:t>Standard Assurances</w:t>
            </w:r>
          </w:p>
        </w:tc>
        <w:tc>
          <w:tcPr>
            <w:tcW w:w="1395" w:type="dxa"/>
          </w:tcPr>
          <w:p w:rsidR="00D7606B" w:rsidRPr="008D5A8C" w:rsidP="00CE1AAA" w14:paraId="59E26D07" w14:textId="77777777">
            <w:pPr>
              <w:widowControl w:val="0"/>
              <w:ind w:right="144"/>
              <w:jc w:val="right"/>
              <w:rPr>
                <w:snapToGrid w:val="0"/>
                <w:color w:val="000000"/>
                <w:sz w:val="24"/>
                <w:szCs w:val="24"/>
              </w:rPr>
            </w:pPr>
          </w:p>
        </w:tc>
        <w:tc>
          <w:tcPr>
            <w:tcW w:w="1405" w:type="dxa"/>
          </w:tcPr>
          <w:p w:rsidR="00D7606B" w:rsidRPr="008D5A8C" w:rsidP="00CE1AAA" w14:paraId="5E7D97BB" w14:textId="77777777">
            <w:pPr>
              <w:widowControl w:val="0"/>
              <w:ind w:right="144"/>
              <w:jc w:val="right"/>
              <w:rPr>
                <w:snapToGrid w:val="0"/>
                <w:color w:val="000000"/>
                <w:sz w:val="24"/>
                <w:szCs w:val="24"/>
              </w:rPr>
            </w:pPr>
          </w:p>
        </w:tc>
        <w:tc>
          <w:tcPr>
            <w:tcW w:w="1526" w:type="dxa"/>
          </w:tcPr>
          <w:p w:rsidR="00D7606B" w:rsidRPr="008D5A8C" w:rsidP="00CE1AAA" w14:paraId="1332DA3F" w14:textId="77777777">
            <w:pPr>
              <w:widowControl w:val="0"/>
              <w:ind w:right="144"/>
              <w:jc w:val="right"/>
              <w:rPr>
                <w:snapToGrid w:val="0"/>
                <w:color w:val="000000"/>
                <w:sz w:val="24"/>
                <w:szCs w:val="24"/>
              </w:rPr>
            </w:pPr>
          </w:p>
        </w:tc>
        <w:tc>
          <w:tcPr>
            <w:tcW w:w="1479" w:type="dxa"/>
          </w:tcPr>
          <w:p w:rsidR="00D7606B" w:rsidRPr="008D5A8C" w:rsidP="00CE1AAA" w14:paraId="20EB5949" w14:textId="77777777">
            <w:pPr>
              <w:widowControl w:val="0"/>
              <w:ind w:right="144"/>
              <w:jc w:val="right"/>
              <w:rPr>
                <w:snapToGrid w:val="0"/>
                <w:color w:val="000000"/>
                <w:sz w:val="24"/>
                <w:szCs w:val="24"/>
              </w:rPr>
            </w:pPr>
          </w:p>
        </w:tc>
      </w:tr>
      <w:tr w14:paraId="33149E3E" w14:textId="77777777" w:rsidTr="005F217A">
        <w:tblPrEx>
          <w:tblW w:w="0" w:type="auto"/>
          <w:tblLayout w:type="fixed"/>
          <w:tblCellMar>
            <w:left w:w="43" w:type="dxa"/>
            <w:right w:w="43" w:type="dxa"/>
          </w:tblCellMar>
          <w:tblLook w:val="0000"/>
        </w:tblPrEx>
        <w:tc>
          <w:tcPr>
            <w:tcW w:w="3148" w:type="dxa"/>
          </w:tcPr>
          <w:p w:rsidR="00D7606B" w:rsidRPr="008D5A8C" w14:paraId="7A7B26A0" w14:textId="77777777">
            <w:pPr>
              <w:widowControl w:val="0"/>
              <w:ind w:left="288"/>
              <w:rPr>
                <w:snapToGrid w:val="0"/>
                <w:color w:val="000000"/>
                <w:sz w:val="24"/>
                <w:szCs w:val="24"/>
              </w:rPr>
            </w:pPr>
            <w:r w:rsidRPr="008D5A8C">
              <w:rPr>
                <w:snapToGrid w:val="0"/>
                <w:color w:val="000000"/>
                <w:sz w:val="24"/>
                <w:szCs w:val="24"/>
              </w:rPr>
              <w:t>Project Description</w:t>
            </w:r>
          </w:p>
        </w:tc>
        <w:tc>
          <w:tcPr>
            <w:tcW w:w="1395" w:type="dxa"/>
          </w:tcPr>
          <w:p w:rsidR="00D7606B" w:rsidRPr="008D5A8C" w:rsidP="00CE1AAA" w14:paraId="6185CB53" w14:textId="77777777">
            <w:pPr>
              <w:widowControl w:val="0"/>
              <w:ind w:right="144"/>
              <w:jc w:val="right"/>
              <w:rPr>
                <w:snapToGrid w:val="0"/>
                <w:color w:val="000000"/>
                <w:sz w:val="24"/>
                <w:szCs w:val="24"/>
              </w:rPr>
            </w:pPr>
          </w:p>
        </w:tc>
        <w:tc>
          <w:tcPr>
            <w:tcW w:w="1405" w:type="dxa"/>
          </w:tcPr>
          <w:p w:rsidR="00D7606B" w:rsidRPr="008D5A8C" w:rsidP="00CE1AAA" w14:paraId="64D60B16" w14:textId="77777777">
            <w:pPr>
              <w:widowControl w:val="0"/>
              <w:ind w:right="144"/>
              <w:jc w:val="right"/>
              <w:rPr>
                <w:snapToGrid w:val="0"/>
                <w:color w:val="000000"/>
                <w:sz w:val="24"/>
                <w:szCs w:val="24"/>
              </w:rPr>
            </w:pPr>
          </w:p>
        </w:tc>
        <w:tc>
          <w:tcPr>
            <w:tcW w:w="1526" w:type="dxa"/>
          </w:tcPr>
          <w:p w:rsidR="00D7606B" w:rsidRPr="008D5A8C" w:rsidP="00CE1AAA" w14:paraId="02744654" w14:textId="77777777">
            <w:pPr>
              <w:widowControl w:val="0"/>
              <w:ind w:right="144"/>
              <w:jc w:val="right"/>
              <w:rPr>
                <w:snapToGrid w:val="0"/>
                <w:color w:val="000000"/>
                <w:sz w:val="24"/>
                <w:szCs w:val="24"/>
              </w:rPr>
            </w:pPr>
          </w:p>
        </w:tc>
        <w:tc>
          <w:tcPr>
            <w:tcW w:w="1479" w:type="dxa"/>
          </w:tcPr>
          <w:p w:rsidR="00D7606B" w:rsidRPr="008D5A8C" w:rsidP="00CE1AAA" w14:paraId="41BAB73E" w14:textId="77777777">
            <w:pPr>
              <w:widowControl w:val="0"/>
              <w:ind w:right="144"/>
              <w:jc w:val="right"/>
              <w:rPr>
                <w:snapToGrid w:val="0"/>
                <w:color w:val="000000"/>
                <w:sz w:val="24"/>
                <w:szCs w:val="24"/>
              </w:rPr>
            </w:pPr>
          </w:p>
        </w:tc>
      </w:tr>
      <w:tr w14:paraId="6E0E2249" w14:textId="77777777" w:rsidTr="005F217A">
        <w:tblPrEx>
          <w:tblW w:w="0" w:type="auto"/>
          <w:tblLayout w:type="fixed"/>
          <w:tblCellMar>
            <w:left w:w="43" w:type="dxa"/>
            <w:right w:w="43" w:type="dxa"/>
          </w:tblCellMar>
          <w:tblLook w:val="0000"/>
        </w:tblPrEx>
        <w:trPr>
          <w:trHeight w:val="275"/>
        </w:trPr>
        <w:tc>
          <w:tcPr>
            <w:tcW w:w="3148" w:type="dxa"/>
          </w:tcPr>
          <w:p w:rsidR="00CE1AAA" w:rsidRPr="008D5A8C" w:rsidP="00CE1AAA" w14:paraId="39077D67" w14:textId="77777777">
            <w:pPr>
              <w:widowControl w:val="0"/>
              <w:ind w:left="288"/>
              <w:rPr>
                <w:snapToGrid w:val="0"/>
                <w:color w:val="000000"/>
                <w:sz w:val="24"/>
                <w:szCs w:val="24"/>
              </w:rPr>
            </w:pPr>
            <w:r w:rsidRPr="008D5A8C">
              <w:rPr>
                <w:snapToGrid w:val="0"/>
                <w:color w:val="000000"/>
                <w:sz w:val="24"/>
                <w:szCs w:val="24"/>
              </w:rPr>
              <w:t>Project Budget</w:t>
            </w:r>
          </w:p>
        </w:tc>
        <w:tc>
          <w:tcPr>
            <w:tcW w:w="1395" w:type="dxa"/>
          </w:tcPr>
          <w:p w:rsidR="00CE1AAA" w:rsidRPr="008D5A8C" w:rsidP="00CE1AAA" w14:paraId="6F6299D4" w14:textId="77777777">
            <w:pPr>
              <w:widowControl w:val="0"/>
              <w:ind w:right="144"/>
              <w:jc w:val="right"/>
              <w:rPr>
                <w:snapToGrid w:val="0"/>
                <w:color w:val="000000"/>
                <w:sz w:val="24"/>
                <w:szCs w:val="24"/>
              </w:rPr>
            </w:pPr>
          </w:p>
        </w:tc>
        <w:tc>
          <w:tcPr>
            <w:tcW w:w="1405" w:type="dxa"/>
          </w:tcPr>
          <w:p w:rsidR="00CE1AAA" w:rsidRPr="008D5A8C" w:rsidP="00CE1AAA" w14:paraId="34B449CF" w14:textId="77777777">
            <w:pPr>
              <w:widowControl w:val="0"/>
              <w:ind w:right="144"/>
              <w:jc w:val="right"/>
              <w:rPr>
                <w:snapToGrid w:val="0"/>
                <w:color w:val="000000"/>
                <w:sz w:val="24"/>
                <w:szCs w:val="24"/>
              </w:rPr>
            </w:pPr>
          </w:p>
        </w:tc>
        <w:tc>
          <w:tcPr>
            <w:tcW w:w="1526" w:type="dxa"/>
          </w:tcPr>
          <w:p w:rsidR="00CE1AAA" w:rsidRPr="008D5A8C" w:rsidP="00CE1AAA" w14:paraId="03806458" w14:textId="77777777">
            <w:pPr>
              <w:widowControl w:val="0"/>
              <w:ind w:right="144"/>
              <w:jc w:val="right"/>
              <w:rPr>
                <w:snapToGrid w:val="0"/>
                <w:color w:val="000000"/>
                <w:sz w:val="24"/>
                <w:szCs w:val="24"/>
              </w:rPr>
            </w:pPr>
          </w:p>
        </w:tc>
        <w:tc>
          <w:tcPr>
            <w:tcW w:w="1479" w:type="dxa"/>
          </w:tcPr>
          <w:p w:rsidR="00CE1AAA" w:rsidRPr="008D5A8C" w:rsidP="00CE1AAA" w14:paraId="6F9624C9" w14:textId="77777777">
            <w:pPr>
              <w:widowControl w:val="0"/>
              <w:ind w:right="144"/>
              <w:jc w:val="right"/>
              <w:rPr>
                <w:snapToGrid w:val="0"/>
                <w:color w:val="000000"/>
                <w:sz w:val="24"/>
                <w:szCs w:val="24"/>
              </w:rPr>
            </w:pPr>
          </w:p>
        </w:tc>
      </w:tr>
      <w:tr w14:paraId="6E53BC69" w14:textId="77777777" w:rsidTr="005F217A">
        <w:tblPrEx>
          <w:tblW w:w="0" w:type="auto"/>
          <w:tblLayout w:type="fixed"/>
          <w:tblCellMar>
            <w:left w:w="43" w:type="dxa"/>
            <w:right w:w="43" w:type="dxa"/>
          </w:tblCellMar>
          <w:tblLook w:val="0000"/>
        </w:tblPrEx>
        <w:trPr>
          <w:trHeight w:val="275"/>
        </w:trPr>
        <w:tc>
          <w:tcPr>
            <w:tcW w:w="3148" w:type="dxa"/>
          </w:tcPr>
          <w:p w:rsidR="003C198A" w:rsidP="002976D3" w14:paraId="2F4640AF" w14:textId="77777777">
            <w:pPr>
              <w:widowControl w:val="0"/>
              <w:ind w:left="288"/>
              <w:rPr>
                <w:snapToGrid w:val="0"/>
                <w:color w:val="000000"/>
                <w:sz w:val="24"/>
                <w:szCs w:val="24"/>
              </w:rPr>
            </w:pPr>
            <w:r w:rsidRPr="008D5A8C">
              <w:rPr>
                <w:snapToGrid w:val="0"/>
                <w:color w:val="000000"/>
                <w:sz w:val="24"/>
                <w:szCs w:val="24"/>
              </w:rPr>
              <w:t>Project Justification</w:t>
            </w:r>
          </w:p>
          <w:p w:rsidR="0046514F" w:rsidP="002976D3" w14:paraId="6482F554" w14:textId="77777777">
            <w:pPr>
              <w:widowControl w:val="0"/>
              <w:ind w:left="288"/>
              <w:rPr>
                <w:snapToGrid w:val="0"/>
                <w:color w:val="000000"/>
                <w:sz w:val="24"/>
                <w:szCs w:val="24"/>
              </w:rPr>
            </w:pPr>
            <w:r>
              <w:rPr>
                <w:snapToGrid w:val="0"/>
                <w:color w:val="000000"/>
                <w:sz w:val="24"/>
                <w:szCs w:val="24"/>
              </w:rPr>
              <w:t xml:space="preserve">Total Responses = 175 </w:t>
            </w:r>
          </w:p>
          <w:p w:rsidR="00DF298A" w:rsidRPr="008D5A8C" w:rsidP="002976D3" w14:paraId="352C3E49" w14:textId="63688D74">
            <w:pPr>
              <w:widowControl w:val="0"/>
              <w:ind w:left="288"/>
              <w:rPr>
                <w:snapToGrid w:val="0"/>
                <w:color w:val="000000"/>
                <w:sz w:val="24"/>
                <w:szCs w:val="24"/>
              </w:rPr>
            </w:pPr>
          </w:p>
        </w:tc>
        <w:tc>
          <w:tcPr>
            <w:tcW w:w="1395" w:type="dxa"/>
          </w:tcPr>
          <w:p w:rsidR="00CE1AAA" w:rsidRPr="008D5A8C" w:rsidP="00CE1AAA" w14:paraId="7D5E3FA5" w14:textId="77777777">
            <w:pPr>
              <w:widowControl w:val="0"/>
              <w:ind w:right="144"/>
              <w:jc w:val="right"/>
              <w:rPr>
                <w:snapToGrid w:val="0"/>
                <w:color w:val="000000"/>
                <w:sz w:val="24"/>
                <w:szCs w:val="24"/>
              </w:rPr>
            </w:pPr>
          </w:p>
        </w:tc>
        <w:tc>
          <w:tcPr>
            <w:tcW w:w="1405" w:type="dxa"/>
          </w:tcPr>
          <w:p w:rsidR="00CE1AAA" w:rsidRPr="008D5A8C" w:rsidP="00CE1AAA" w14:paraId="23BCA7EF" w14:textId="77777777">
            <w:pPr>
              <w:widowControl w:val="0"/>
              <w:ind w:right="144"/>
              <w:jc w:val="right"/>
              <w:rPr>
                <w:snapToGrid w:val="0"/>
                <w:color w:val="000000"/>
                <w:sz w:val="24"/>
                <w:szCs w:val="24"/>
              </w:rPr>
            </w:pPr>
          </w:p>
        </w:tc>
        <w:tc>
          <w:tcPr>
            <w:tcW w:w="1526" w:type="dxa"/>
          </w:tcPr>
          <w:p w:rsidR="00CE1AAA" w:rsidRPr="008D5A8C" w:rsidP="00CE1AAA" w14:paraId="17835391" w14:textId="77777777">
            <w:pPr>
              <w:widowControl w:val="0"/>
              <w:ind w:right="144"/>
              <w:jc w:val="right"/>
              <w:rPr>
                <w:snapToGrid w:val="0"/>
                <w:color w:val="000000"/>
                <w:sz w:val="24"/>
                <w:szCs w:val="24"/>
              </w:rPr>
            </w:pPr>
          </w:p>
        </w:tc>
        <w:tc>
          <w:tcPr>
            <w:tcW w:w="1479" w:type="dxa"/>
          </w:tcPr>
          <w:p w:rsidR="00CE1AAA" w:rsidRPr="008D5A8C" w:rsidP="00CE1AAA" w14:paraId="2429B00E" w14:textId="77777777">
            <w:pPr>
              <w:widowControl w:val="0"/>
              <w:ind w:right="144"/>
              <w:jc w:val="right"/>
              <w:rPr>
                <w:snapToGrid w:val="0"/>
                <w:color w:val="000000"/>
                <w:sz w:val="24"/>
                <w:szCs w:val="24"/>
              </w:rPr>
            </w:pPr>
          </w:p>
        </w:tc>
      </w:tr>
      <w:tr w14:paraId="7FDFBB5E" w14:textId="77777777" w:rsidTr="005F217A">
        <w:tblPrEx>
          <w:tblW w:w="0" w:type="auto"/>
          <w:tblLayout w:type="fixed"/>
          <w:tblCellMar>
            <w:left w:w="43" w:type="dxa"/>
            <w:right w:w="43" w:type="dxa"/>
          </w:tblCellMar>
          <w:tblLook w:val="0000"/>
        </w:tblPrEx>
        <w:tc>
          <w:tcPr>
            <w:tcW w:w="3148" w:type="dxa"/>
          </w:tcPr>
          <w:p w:rsidR="008D5A8C" w:rsidRPr="008D5A8C" w14:paraId="1D6FF23F" w14:textId="77777777">
            <w:pPr>
              <w:widowControl w:val="0"/>
              <w:rPr>
                <w:snapToGrid w:val="0"/>
                <w:color w:val="000000"/>
                <w:sz w:val="24"/>
                <w:szCs w:val="24"/>
                <w:u w:val="single"/>
              </w:rPr>
            </w:pPr>
          </w:p>
          <w:p w:rsidR="00D7606B" w:rsidRPr="008D5A8C" w14:paraId="6AAD1627" w14:textId="77777777">
            <w:pPr>
              <w:widowControl w:val="0"/>
              <w:rPr>
                <w:snapToGrid w:val="0"/>
                <w:color w:val="000000"/>
                <w:sz w:val="24"/>
                <w:szCs w:val="24"/>
                <w:u w:val="single"/>
              </w:rPr>
            </w:pPr>
            <w:r w:rsidRPr="008D5A8C">
              <w:rPr>
                <w:snapToGrid w:val="0"/>
                <w:color w:val="000000"/>
                <w:sz w:val="24"/>
                <w:szCs w:val="24"/>
                <w:u w:val="single"/>
              </w:rPr>
              <w:t>Project Management Stage</w:t>
            </w:r>
          </w:p>
        </w:tc>
        <w:tc>
          <w:tcPr>
            <w:tcW w:w="1395" w:type="dxa"/>
          </w:tcPr>
          <w:p w:rsidR="00D7606B" w:rsidRPr="008D5A8C" w:rsidP="00CE1AAA" w14:paraId="0D37CA03" w14:textId="77777777">
            <w:pPr>
              <w:widowControl w:val="0"/>
              <w:ind w:right="144"/>
              <w:jc w:val="right"/>
              <w:rPr>
                <w:snapToGrid w:val="0"/>
                <w:color w:val="000000"/>
                <w:sz w:val="24"/>
                <w:szCs w:val="24"/>
              </w:rPr>
            </w:pPr>
          </w:p>
        </w:tc>
        <w:tc>
          <w:tcPr>
            <w:tcW w:w="1405" w:type="dxa"/>
          </w:tcPr>
          <w:p w:rsidR="00D7606B" w:rsidRPr="008D5A8C" w:rsidP="00CE1AAA" w14:paraId="304D8186" w14:textId="77777777">
            <w:pPr>
              <w:widowControl w:val="0"/>
              <w:ind w:right="144"/>
              <w:jc w:val="right"/>
              <w:rPr>
                <w:snapToGrid w:val="0"/>
                <w:color w:val="000000"/>
                <w:sz w:val="24"/>
                <w:szCs w:val="24"/>
              </w:rPr>
            </w:pPr>
          </w:p>
        </w:tc>
        <w:tc>
          <w:tcPr>
            <w:tcW w:w="1526" w:type="dxa"/>
          </w:tcPr>
          <w:p w:rsidR="00D7606B" w:rsidRPr="008D5A8C" w:rsidP="00CE1AAA" w14:paraId="286EC082" w14:textId="77777777">
            <w:pPr>
              <w:widowControl w:val="0"/>
              <w:ind w:right="144"/>
              <w:jc w:val="right"/>
              <w:rPr>
                <w:snapToGrid w:val="0"/>
                <w:color w:val="000000"/>
                <w:sz w:val="24"/>
                <w:szCs w:val="24"/>
              </w:rPr>
            </w:pPr>
          </w:p>
        </w:tc>
        <w:tc>
          <w:tcPr>
            <w:tcW w:w="1479" w:type="dxa"/>
          </w:tcPr>
          <w:p w:rsidR="00D7606B" w:rsidRPr="008D5A8C" w:rsidP="00CE1AAA" w14:paraId="3BDBF200" w14:textId="77777777">
            <w:pPr>
              <w:widowControl w:val="0"/>
              <w:ind w:right="144"/>
              <w:jc w:val="right"/>
              <w:rPr>
                <w:snapToGrid w:val="0"/>
                <w:color w:val="000000"/>
                <w:sz w:val="24"/>
                <w:szCs w:val="24"/>
              </w:rPr>
            </w:pPr>
          </w:p>
        </w:tc>
      </w:tr>
      <w:tr w14:paraId="3CF6DE28" w14:textId="77777777" w:rsidTr="005F217A">
        <w:tblPrEx>
          <w:tblW w:w="0" w:type="auto"/>
          <w:tblLayout w:type="fixed"/>
          <w:tblCellMar>
            <w:left w:w="43" w:type="dxa"/>
            <w:right w:w="43" w:type="dxa"/>
          </w:tblCellMar>
          <w:tblLook w:val="0000"/>
        </w:tblPrEx>
        <w:tc>
          <w:tcPr>
            <w:tcW w:w="3148" w:type="dxa"/>
          </w:tcPr>
          <w:p w:rsidR="00D7606B" w:rsidRPr="008D5A8C" w14:paraId="45240F64" w14:textId="55E88106">
            <w:pPr>
              <w:widowControl w:val="0"/>
              <w:ind w:left="288"/>
              <w:rPr>
                <w:snapToGrid w:val="0"/>
                <w:color w:val="000000"/>
                <w:sz w:val="24"/>
                <w:szCs w:val="24"/>
              </w:rPr>
            </w:pPr>
            <w:r w:rsidRPr="008D5A8C">
              <w:rPr>
                <w:snapToGrid w:val="0"/>
                <w:color w:val="000000"/>
                <w:sz w:val="24"/>
                <w:szCs w:val="24"/>
              </w:rPr>
              <w:t>Quarterly Progress Report</w:t>
            </w:r>
            <w:r w:rsidR="00091757">
              <w:rPr>
                <w:snapToGrid w:val="0"/>
                <w:color w:val="000000"/>
                <w:sz w:val="24"/>
                <w:szCs w:val="24"/>
              </w:rPr>
              <w:t>s/Financial Reports</w:t>
            </w:r>
            <w:r w:rsidRPr="008D5A8C">
              <w:rPr>
                <w:snapToGrid w:val="0"/>
                <w:color w:val="000000"/>
                <w:sz w:val="24"/>
                <w:szCs w:val="24"/>
              </w:rPr>
              <w:t xml:space="preserve">   </w:t>
            </w:r>
          </w:p>
        </w:tc>
        <w:tc>
          <w:tcPr>
            <w:tcW w:w="1395" w:type="dxa"/>
          </w:tcPr>
          <w:p w:rsidR="00D7606B" w:rsidRPr="008D5A8C" w14:paraId="136F4E1E" w14:textId="77777777">
            <w:pPr>
              <w:widowControl w:val="0"/>
              <w:ind w:right="144"/>
              <w:jc w:val="right"/>
              <w:rPr>
                <w:snapToGrid w:val="0"/>
                <w:color w:val="000000"/>
                <w:sz w:val="24"/>
                <w:szCs w:val="24"/>
              </w:rPr>
            </w:pPr>
            <w:r w:rsidRPr="008D5A8C">
              <w:rPr>
                <w:snapToGrid w:val="0"/>
                <w:color w:val="000000"/>
                <w:sz w:val="24"/>
                <w:szCs w:val="24"/>
              </w:rPr>
              <w:t>150</w:t>
            </w:r>
          </w:p>
        </w:tc>
        <w:tc>
          <w:tcPr>
            <w:tcW w:w="1405" w:type="dxa"/>
          </w:tcPr>
          <w:p w:rsidR="00D7606B" w:rsidRPr="008D5A8C" w14:paraId="30147FC2" w14:textId="77777777">
            <w:pPr>
              <w:widowControl w:val="0"/>
              <w:ind w:right="144"/>
              <w:jc w:val="right"/>
              <w:rPr>
                <w:snapToGrid w:val="0"/>
                <w:color w:val="000000"/>
                <w:sz w:val="24"/>
                <w:szCs w:val="24"/>
              </w:rPr>
            </w:pPr>
            <w:r w:rsidRPr="008D5A8C">
              <w:rPr>
                <w:snapToGrid w:val="0"/>
                <w:color w:val="000000"/>
                <w:sz w:val="24"/>
                <w:szCs w:val="24"/>
              </w:rPr>
              <w:t>4</w:t>
            </w:r>
          </w:p>
        </w:tc>
        <w:tc>
          <w:tcPr>
            <w:tcW w:w="1526" w:type="dxa"/>
          </w:tcPr>
          <w:p w:rsidR="00D7606B" w:rsidRPr="008D5A8C" w14:paraId="1D760B6C" w14:textId="4D7051D7">
            <w:pPr>
              <w:widowControl w:val="0"/>
              <w:ind w:right="144"/>
              <w:jc w:val="right"/>
              <w:rPr>
                <w:snapToGrid w:val="0"/>
                <w:color w:val="000000"/>
                <w:sz w:val="24"/>
                <w:szCs w:val="24"/>
              </w:rPr>
            </w:pPr>
            <w:r>
              <w:rPr>
                <w:snapToGrid w:val="0"/>
                <w:color w:val="000000"/>
                <w:sz w:val="24"/>
                <w:szCs w:val="24"/>
              </w:rPr>
              <w:t>8</w:t>
            </w:r>
          </w:p>
        </w:tc>
        <w:tc>
          <w:tcPr>
            <w:tcW w:w="1479" w:type="dxa"/>
          </w:tcPr>
          <w:p w:rsidR="00D7606B" w:rsidRPr="008D5A8C" w14:paraId="54A0EED2" w14:textId="55272BE0">
            <w:pPr>
              <w:widowControl w:val="0"/>
              <w:jc w:val="right"/>
              <w:rPr>
                <w:snapToGrid w:val="0"/>
                <w:color w:val="000000"/>
                <w:sz w:val="24"/>
                <w:szCs w:val="24"/>
              </w:rPr>
            </w:pPr>
            <w:r>
              <w:rPr>
                <w:snapToGrid w:val="0"/>
                <w:color w:val="000000"/>
                <w:sz w:val="24"/>
                <w:szCs w:val="24"/>
              </w:rPr>
              <w:t>4,8</w:t>
            </w:r>
            <w:r w:rsidRPr="008D5A8C" w:rsidR="00242F44">
              <w:rPr>
                <w:snapToGrid w:val="0"/>
                <w:color w:val="000000"/>
                <w:sz w:val="24"/>
                <w:szCs w:val="24"/>
              </w:rPr>
              <w:t>00</w:t>
            </w:r>
          </w:p>
        </w:tc>
      </w:tr>
      <w:tr w14:paraId="1E0DE4D0" w14:textId="77777777" w:rsidTr="005F217A">
        <w:tblPrEx>
          <w:tblW w:w="0" w:type="auto"/>
          <w:tblLayout w:type="fixed"/>
          <w:tblCellMar>
            <w:left w:w="43" w:type="dxa"/>
            <w:right w:w="43" w:type="dxa"/>
          </w:tblCellMar>
          <w:tblLook w:val="0000"/>
        </w:tblPrEx>
        <w:tc>
          <w:tcPr>
            <w:tcW w:w="3148" w:type="dxa"/>
          </w:tcPr>
          <w:p w:rsidR="00D7606B" w:rsidRPr="008D5A8C" w14:paraId="65B585A3" w14:textId="11642014">
            <w:pPr>
              <w:widowControl w:val="0"/>
              <w:ind w:left="288"/>
              <w:rPr>
                <w:snapToGrid w:val="0"/>
                <w:color w:val="000000"/>
                <w:sz w:val="24"/>
                <w:szCs w:val="24"/>
              </w:rPr>
            </w:pPr>
            <w:r>
              <w:rPr>
                <w:snapToGrid w:val="0"/>
                <w:color w:val="000000"/>
                <w:sz w:val="24"/>
                <w:szCs w:val="24"/>
              </w:rPr>
              <w:t xml:space="preserve">Total Responses = 600 </w:t>
            </w:r>
          </w:p>
        </w:tc>
        <w:tc>
          <w:tcPr>
            <w:tcW w:w="1395" w:type="dxa"/>
          </w:tcPr>
          <w:p w:rsidR="00D7606B" w:rsidRPr="008D5A8C" w14:paraId="7FD4A7A3" w14:textId="1351517B">
            <w:pPr>
              <w:widowControl w:val="0"/>
              <w:ind w:right="144"/>
              <w:jc w:val="right"/>
              <w:rPr>
                <w:snapToGrid w:val="0"/>
                <w:color w:val="000000"/>
                <w:sz w:val="24"/>
                <w:szCs w:val="24"/>
              </w:rPr>
            </w:pPr>
          </w:p>
        </w:tc>
        <w:tc>
          <w:tcPr>
            <w:tcW w:w="1405" w:type="dxa"/>
          </w:tcPr>
          <w:p w:rsidR="00D7606B" w:rsidRPr="008D5A8C" w14:paraId="1C3007DC" w14:textId="56F515C7">
            <w:pPr>
              <w:widowControl w:val="0"/>
              <w:ind w:right="144"/>
              <w:jc w:val="right"/>
              <w:rPr>
                <w:snapToGrid w:val="0"/>
                <w:color w:val="000000"/>
                <w:sz w:val="24"/>
                <w:szCs w:val="24"/>
              </w:rPr>
            </w:pPr>
          </w:p>
        </w:tc>
        <w:tc>
          <w:tcPr>
            <w:tcW w:w="1526" w:type="dxa"/>
          </w:tcPr>
          <w:p w:rsidR="00D7606B" w:rsidRPr="008D5A8C" w14:paraId="79AA4F45" w14:textId="3F4BB896">
            <w:pPr>
              <w:widowControl w:val="0"/>
              <w:ind w:right="144"/>
              <w:jc w:val="right"/>
              <w:rPr>
                <w:snapToGrid w:val="0"/>
                <w:color w:val="000000"/>
                <w:sz w:val="24"/>
                <w:szCs w:val="24"/>
              </w:rPr>
            </w:pPr>
          </w:p>
        </w:tc>
        <w:tc>
          <w:tcPr>
            <w:tcW w:w="1479" w:type="dxa"/>
          </w:tcPr>
          <w:p w:rsidR="00D7606B" w:rsidRPr="008D5A8C" w14:paraId="15B00DCB" w14:textId="49E05C8F">
            <w:pPr>
              <w:widowControl w:val="0"/>
              <w:jc w:val="right"/>
              <w:rPr>
                <w:snapToGrid w:val="0"/>
                <w:color w:val="000000"/>
                <w:sz w:val="24"/>
                <w:szCs w:val="24"/>
              </w:rPr>
            </w:pPr>
          </w:p>
        </w:tc>
      </w:tr>
      <w:tr w14:paraId="12F7A64F" w14:textId="77777777" w:rsidTr="005F217A">
        <w:tblPrEx>
          <w:tblW w:w="0" w:type="auto"/>
          <w:tblLayout w:type="fixed"/>
          <w:tblCellMar>
            <w:left w:w="43" w:type="dxa"/>
            <w:right w:w="43" w:type="dxa"/>
          </w:tblCellMar>
          <w:tblLook w:val="0000"/>
        </w:tblPrEx>
        <w:tc>
          <w:tcPr>
            <w:tcW w:w="3148" w:type="dxa"/>
          </w:tcPr>
          <w:p w:rsidR="008D5A8C" w:rsidRPr="008D5A8C" w:rsidP="00A457BC" w14:paraId="160FBEA8" w14:textId="77777777">
            <w:pPr>
              <w:widowControl w:val="0"/>
              <w:rPr>
                <w:b/>
                <w:snapToGrid w:val="0"/>
                <w:color w:val="000000"/>
                <w:sz w:val="24"/>
                <w:szCs w:val="24"/>
              </w:rPr>
            </w:pPr>
          </w:p>
          <w:p w:rsidR="00D7606B" w:rsidRPr="008D5A8C" w:rsidP="00A457BC" w14:paraId="7511E442" w14:textId="77777777">
            <w:pPr>
              <w:widowControl w:val="0"/>
              <w:rPr>
                <w:b/>
                <w:snapToGrid w:val="0"/>
                <w:color w:val="000000"/>
                <w:sz w:val="24"/>
                <w:szCs w:val="24"/>
              </w:rPr>
            </w:pPr>
            <w:r w:rsidRPr="008D5A8C">
              <w:rPr>
                <w:b/>
                <w:snapToGrid w:val="0"/>
                <w:color w:val="000000"/>
                <w:sz w:val="24"/>
                <w:szCs w:val="24"/>
              </w:rPr>
              <w:t xml:space="preserve">Total </w:t>
            </w:r>
            <w:r w:rsidRPr="008D5A8C" w:rsidR="00A457BC">
              <w:rPr>
                <w:b/>
                <w:snapToGrid w:val="0"/>
                <w:color w:val="000000"/>
                <w:sz w:val="24"/>
                <w:szCs w:val="24"/>
              </w:rPr>
              <w:t xml:space="preserve">Annual </w:t>
            </w:r>
            <w:r w:rsidRPr="008D5A8C">
              <w:rPr>
                <w:b/>
                <w:snapToGrid w:val="0"/>
                <w:color w:val="000000"/>
                <w:sz w:val="24"/>
                <w:szCs w:val="24"/>
              </w:rPr>
              <w:t>Hour Burden</w:t>
            </w:r>
          </w:p>
        </w:tc>
        <w:tc>
          <w:tcPr>
            <w:tcW w:w="1395" w:type="dxa"/>
          </w:tcPr>
          <w:p w:rsidR="00D7606B" w:rsidRPr="008D5A8C" w:rsidP="008F0596" w14:paraId="4A6E9EC7" w14:textId="77777777">
            <w:pPr>
              <w:widowControl w:val="0"/>
              <w:ind w:right="144"/>
              <w:jc w:val="center"/>
              <w:rPr>
                <w:snapToGrid w:val="0"/>
                <w:color w:val="000000"/>
                <w:sz w:val="24"/>
                <w:szCs w:val="24"/>
              </w:rPr>
            </w:pPr>
          </w:p>
        </w:tc>
        <w:tc>
          <w:tcPr>
            <w:tcW w:w="1405" w:type="dxa"/>
          </w:tcPr>
          <w:p w:rsidR="00D7606B" w:rsidRPr="008D5A8C" w:rsidP="00CE1AAA" w14:paraId="10CE1A3A" w14:textId="77777777">
            <w:pPr>
              <w:widowControl w:val="0"/>
              <w:ind w:right="144"/>
              <w:jc w:val="right"/>
              <w:rPr>
                <w:snapToGrid w:val="0"/>
                <w:color w:val="000000"/>
                <w:sz w:val="24"/>
                <w:szCs w:val="24"/>
              </w:rPr>
            </w:pPr>
          </w:p>
        </w:tc>
        <w:tc>
          <w:tcPr>
            <w:tcW w:w="1526" w:type="dxa"/>
          </w:tcPr>
          <w:p w:rsidR="00D7606B" w:rsidRPr="008D5A8C" w:rsidP="00CE1AAA" w14:paraId="4DD0E60E" w14:textId="77777777">
            <w:pPr>
              <w:widowControl w:val="0"/>
              <w:ind w:right="144"/>
              <w:jc w:val="right"/>
              <w:rPr>
                <w:snapToGrid w:val="0"/>
                <w:color w:val="000000"/>
                <w:sz w:val="24"/>
                <w:szCs w:val="24"/>
              </w:rPr>
            </w:pPr>
          </w:p>
        </w:tc>
        <w:tc>
          <w:tcPr>
            <w:tcW w:w="1479" w:type="dxa"/>
          </w:tcPr>
          <w:p w:rsidR="004660CA" w:rsidP="002976D3" w14:paraId="62168FC2" w14:textId="77777777">
            <w:pPr>
              <w:widowControl w:val="0"/>
              <w:jc w:val="right"/>
              <w:rPr>
                <w:snapToGrid w:val="0"/>
                <w:color w:val="000000"/>
                <w:sz w:val="24"/>
                <w:szCs w:val="24"/>
              </w:rPr>
            </w:pPr>
          </w:p>
          <w:p w:rsidR="00D7606B" w:rsidRPr="008D5A8C" w:rsidP="002976D3" w14:paraId="1695FC2A" w14:textId="77777777">
            <w:pPr>
              <w:widowControl w:val="0"/>
              <w:jc w:val="right"/>
              <w:rPr>
                <w:snapToGrid w:val="0"/>
                <w:color w:val="000000"/>
                <w:sz w:val="24"/>
                <w:szCs w:val="24"/>
              </w:rPr>
            </w:pPr>
            <w:r w:rsidRPr="008D5A8C">
              <w:rPr>
                <w:snapToGrid w:val="0"/>
                <w:color w:val="000000"/>
                <w:sz w:val="24"/>
                <w:szCs w:val="24"/>
              </w:rPr>
              <w:t>20,55</w:t>
            </w:r>
            <w:r w:rsidRPr="008D5A8C" w:rsidR="00242F44">
              <w:rPr>
                <w:snapToGrid w:val="0"/>
                <w:color w:val="000000"/>
                <w:sz w:val="24"/>
                <w:szCs w:val="24"/>
              </w:rPr>
              <w:t>0</w:t>
            </w:r>
          </w:p>
        </w:tc>
      </w:tr>
      <w:tr w14:paraId="2F197E40" w14:textId="77777777" w:rsidTr="005F217A">
        <w:tblPrEx>
          <w:tblW w:w="0" w:type="auto"/>
          <w:tblLayout w:type="fixed"/>
          <w:tblCellMar>
            <w:left w:w="43" w:type="dxa"/>
            <w:right w:w="43" w:type="dxa"/>
          </w:tblCellMar>
          <w:tblLook w:val="0000"/>
        </w:tblPrEx>
        <w:tc>
          <w:tcPr>
            <w:tcW w:w="8953" w:type="dxa"/>
            <w:gridSpan w:val="5"/>
          </w:tcPr>
          <w:p w:rsidR="00D7606B" w:rsidRPr="008D5A8C" w14:paraId="41B3F061" w14:textId="77777777">
            <w:pPr>
              <w:widowControl w:val="0"/>
              <w:jc w:val="right"/>
              <w:rPr>
                <w:snapToGrid w:val="0"/>
                <w:color w:val="000000"/>
                <w:sz w:val="24"/>
                <w:szCs w:val="24"/>
              </w:rPr>
            </w:pPr>
          </w:p>
        </w:tc>
      </w:tr>
      <w:tr w14:paraId="3F4E24F1" w14:textId="77777777" w:rsidTr="005F217A">
        <w:tblPrEx>
          <w:tblW w:w="0" w:type="auto"/>
          <w:tblLayout w:type="fixed"/>
          <w:tblCellMar>
            <w:left w:w="43" w:type="dxa"/>
            <w:right w:w="43" w:type="dxa"/>
          </w:tblCellMar>
          <w:tblLook w:val="0000"/>
        </w:tblPrEx>
        <w:tc>
          <w:tcPr>
            <w:tcW w:w="3148" w:type="dxa"/>
          </w:tcPr>
          <w:p w:rsidR="00D7606B" w:rsidRPr="008D5A8C" w14:paraId="000D1BE5" w14:textId="77777777">
            <w:pPr>
              <w:widowControl w:val="0"/>
              <w:rPr>
                <w:snapToGrid w:val="0"/>
                <w:color w:val="000000"/>
                <w:sz w:val="24"/>
                <w:szCs w:val="24"/>
              </w:rPr>
            </w:pPr>
            <w:r w:rsidRPr="008D5A8C">
              <w:rPr>
                <w:snapToGrid w:val="0"/>
                <w:color w:val="000000"/>
                <w:sz w:val="24"/>
                <w:szCs w:val="24"/>
              </w:rPr>
              <w:t xml:space="preserve">Estimated hourly cost of preparing </w:t>
            </w:r>
            <w:r w:rsidRPr="008D5A8C">
              <w:rPr>
                <w:snapToGrid w:val="0"/>
                <w:color w:val="000000"/>
                <w:sz w:val="24"/>
                <w:szCs w:val="24"/>
              </w:rPr>
              <w:t>information collected</w:t>
            </w:r>
          </w:p>
        </w:tc>
        <w:tc>
          <w:tcPr>
            <w:tcW w:w="1395" w:type="dxa"/>
          </w:tcPr>
          <w:p w:rsidR="00D7606B" w:rsidRPr="008D5A8C" w:rsidP="00CE1AAA" w14:paraId="11F3CDFA" w14:textId="77777777">
            <w:pPr>
              <w:widowControl w:val="0"/>
              <w:jc w:val="right"/>
              <w:rPr>
                <w:snapToGrid w:val="0"/>
                <w:color w:val="000000"/>
                <w:sz w:val="24"/>
                <w:szCs w:val="24"/>
              </w:rPr>
            </w:pPr>
          </w:p>
        </w:tc>
        <w:tc>
          <w:tcPr>
            <w:tcW w:w="1405" w:type="dxa"/>
          </w:tcPr>
          <w:p w:rsidR="00D7606B" w:rsidRPr="008D5A8C" w:rsidP="00CE1AAA" w14:paraId="5131A29F" w14:textId="77777777">
            <w:pPr>
              <w:widowControl w:val="0"/>
              <w:jc w:val="right"/>
              <w:rPr>
                <w:snapToGrid w:val="0"/>
                <w:color w:val="000000"/>
                <w:sz w:val="24"/>
                <w:szCs w:val="24"/>
              </w:rPr>
            </w:pPr>
          </w:p>
        </w:tc>
        <w:tc>
          <w:tcPr>
            <w:tcW w:w="1526" w:type="dxa"/>
          </w:tcPr>
          <w:p w:rsidR="00D7606B" w:rsidRPr="008D5A8C" w:rsidP="00CE1AAA" w14:paraId="78389B19" w14:textId="77777777">
            <w:pPr>
              <w:widowControl w:val="0"/>
              <w:jc w:val="right"/>
              <w:rPr>
                <w:snapToGrid w:val="0"/>
                <w:color w:val="000000"/>
                <w:sz w:val="24"/>
                <w:szCs w:val="24"/>
              </w:rPr>
            </w:pPr>
          </w:p>
        </w:tc>
        <w:tc>
          <w:tcPr>
            <w:tcW w:w="1479" w:type="dxa"/>
          </w:tcPr>
          <w:p w:rsidR="00D7606B" w:rsidRPr="008D5A8C" w14:paraId="2EA306F1" w14:textId="5EBCEC13">
            <w:pPr>
              <w:widowControl w:val="0"/>
              <w:jc w:val="right"/>
              <w:rPr>
                <w:snapToGrid w:val="0"/>
                <w:color w:val="000000"/>
                <w:sz w:val="24"/>
                <w:szCs w:val="24"/>
              </w:rPr>
            </w:pPr>
            <w:r w:rsidRPr="008D5A8C">
              <w:rPr>
                <w:snapToGrid w:val="0"/>
                <w:color w:val="000000"/>
                <w:sz w:val="24"/>
                <w:szCs w:val="24"/>
              </w:rPr>
              <w:t>$</w:t>
            </w:r>
            <w:r w:rsidR="005674F5">
              <w:rPr>
                <w:snapToGrid w:val="0"/>
                <w:color w:val="000000"/>
                <w:sz w:val="24"/>
                <w:szCs w:val="24"/>
              </w:rPr>
              <w:t>54.85</w:t>
            </w:r>
            <w:r w:rsidRPr="008D5A8C">
              <w:rPr>
                <w:snapToGrid w:val="0"/>
                <w:color w:val="000000"/>
                <w:sz w:val="24"/>
                <w:szCs w:val="24"/>
              </w:rPr>
              <w:t xml:space="preserve"> hour</w:t>
            </w:r>
          </w:p>
        </w:tc>
      </w:tr>
      <w:tr w14:paraId="4497D436" w14:textId="77777777" w:rsidTr="005F217A">
        <w:tblPrEx>
          <w:tblW w:w="0" w:type="auto"/>
          <w:tblLayout w:type="fixed"/>
          <w:tblCellMar>
            <w:left w:w="43" w:type="dxa"/>
            <w:right w:w="43" w:type="dxa"/>
          </w:tblCellMar>
          <w:tblLook w:val="0000"/>
        </w:tblPrEx>
        <w:tc>
          <w:tcPr>
            <w:tcW w:w="3148" w:type="dxa"/>
          </w:tcPr>
          <w:p w:rsidR="008D5A8C" w:rsidRPr="008D5A8C" w14:paraId="33EBFFC7" w14:textId="77777777">
            <w:pPr>
              <w:widowControl w:val="0"/>
              <w:rPr>
                <w:b/>
                <w:snapToGrid w:val="0"/>
                <w:color w:val="000000"/>
                <w:sz w:val="24"/>
                <w:szCs w:val="24"/>
              </w:rPr>
            </w:pPr>
          </w:p>
          <w:p w:rsidR="00D7606B" w:rsidRPr="008D5A8C" w14:paraId="7FC0410B" w14:textId="77777777">
            <w:pPr>
              <w:widowControl w:val="0"/>
              <w:rPr>
                <w:b/>
                <w:snapToGrid w:val="0"/>
                <w:color w:val="000000"/>
                <w:sz w:val="24"/>
                <w:szCs w:val="24"/>
              </w:rPr>
            </w:pPr>
            <w:r w:rsidRPr="008D5A8C">
              <w:rPr>
                <w:b/>
                <w:snapToGrid w:val="0"/>
                <w:color w:val="000000"/>
                <w:sz w:val="24"/>
                <w:szCs w:val="24"/>
              </w:rPr>
              <w:t>Estimated annualized cost to respondents for hour burdens</w:t>
            </w:r>
          </w:p>
        </w:tc>
        <w:tc>
          <w:tcPr>
            <w:tcW w:w="1395" w:type="dxa"/>
          </w:tcPr>
          <w:p w:rsidR="00D7606B" w:rsidRPr="008D5A8C" w:rsidP="00CE1AAA" w14:paraId="0D8C3557" w14:textId="77777777">
            <w:pPr>
              <w:widowControl w:val="0"/>
              <w:jc w:val="right"/>
              <w:rPr>
                <w:snapToGrid w:val="0"/>
                <w:color w:val="000000"/>
                <w:sz w:val="24"/>
                <w:szCs w:val="24"/>
              </w:rPr>
            </w:pPr>
          </w:p>
        </w:tc>
        <w:tc>
          <w:tcPr>
            <w:tcW w:w="1405" w:type="dxa"/>
          </w:tcPr>
          <w:p w:rsidR="00D7606B" w:rsidRPr="008D5A8C" w:rsidP="00CE1AAA" w14:paraId="56E70546" w14:textId="77777777">
            <w:pPr>
              <w:widowControl w:val="0"/>
              <w:jc w:val="right"/>
              <w:rPr>
                <w:snapToGrid w:val="0"/>
                <w:color w:val="000000"/>
                <w:sz w:val="24"/>
                <w:szCs w:val="24"/>
              </w:rPr>
            </w:pPr>
          </w:p>
        </w:tc>
        <w:tc>
          <w:tcPr>
            <w:tcW w:w="1526" w:type="dxa"/>
          </w:tcPr>
          <w:p w:rsidR="00D7606B" w:rsidRPr="008D5A8C" w:rsidP="00CE1AAA" w14:paraId="77C230E2" w14:textId="77777777">
            <w:pPr>
              <w:widowControl w:val="0"/>
              <w:jc w:val="right"/>
              <w:rPr>
                <w:snapToGrid w:val="0"/>
                <w:color w:val="000000"/>
                <w:sz w:val="24"/>
                <w:szCs w:val="24"/>
              </w:rPr>
            </w:pPr>
          </w:p>
        </w:tc>
        <w:tc>
          <w:tcPr>
            <w:tcW w:w="1479" w:type="dxa"/>
          </w:tcPr>
          <w:p w:rsidR="004660CA" w:rsidP="003B0BFF" w14:paraId="6FDA41DD" w14:textId="77777777">
            <w:pPr>
              <w:widowControl w:val="0"/>
              <w:ind w:right="144"/>
              <w:jc w:val="right"/>
              <w:rPr>
                <w:snapToGrid w:val="0"/>
                <w:color w:val="000000"/>
                <w:sz w:val="24"/>
                <w:szCs w:val="24"/>
              </w:rPr>
            </w:pPr>
          </w:p>
          <w:p w:rsidR="00D7606B" w:rsidRPr="008D5A8C" w:rsidP="003B0BFF" w14:paraId="231DAD8E" w14:textId="77777777">
            <w:pPr>
              <w:widowControl w:val="0"/>
              <w:ind w:right="144"/>
              <w:jc w:val="right"/>
              <w:rPr>
                <w:snapToGrid w:val="0"/>
                <w:color w:val="000000"/>
                <w:sz w:val="24"/>
                <w:szCs w:val="24"/>
              </w:rPr>
            </w:pPr>
            <w:r w:rsidRPr="008D5A8C">
              <w:rPr>
                <w:snapToGrid w:val="0"/>
                <w:color w:val="000000"/>
                <w:sz w:val="24"/>
                <w:szCs w:val="24"/>
              </w:rPr>
              <w:t>$</w:t>
            </w:r>
            <w:r w:rsidRPr="008D5A8C" w:rsidR="006F5B72">
              <w:rPr>
                <w:snapToGrid w:val="0"/>
                <w:color w:val="000000"/>
                <w:sz w:val="24"/>
                <w:szCs w:val="24"/>
              </w:rPr>
              <w:t>678,150</w:t>
            </w:r>
          </w:p>
        </w:tc>
      </w:tr>
      <w:tr w14:paraId="1D6D3E1F" w14:textId="77777777" w:rsidTr="005F217A">
        <w:tblPrEx>
          <w:tblW w:w="0" w:type="auto"/>
          <w:tblLayout w:type="fixed"/>
          <w:tblCellMar>
            <w:left w:w="43" w:type="dxa"/>
            <w:right w:w="43" w:type="dxa"/>
          </w:tblCellMar>
          <w:tblLook w:val="0000"/>
        </w:tblPrEx>
        <w:tc>
          <w:tcPr>
            <w:tcW w:w="3148" w:type="dxa"/>
          </w:tcPr>
          <w:p w:rsidR="00D7606B" w:rsidRPr="008D5A8C" w14:paraId="0FB4FB3B" w14:textId="77777777">
            <w:pPr>
              <w:widowControl w:val="0"/>
              <w:ind w:right="144"/>
              <w:jc w:val="right"/>
              <w:rPr>
                <w:snapToGrid w:val="0"/>
                <w:color w:val="000000"/>
                <w:sz w:val="25"/>
                <w:szCs w:val="25"/>
              </w:rPr>
            </w:pPr>
          </w:p>
        </w:tc>
        <w:tc>
          <w:tcPr>
            <w:tcW w:w="1395" w:type="dxa"/>
          </w:tcPr>
          <w:p w:rsidR="00D7606B" w:rsidRPr="008D5A8C" w14:paraId="2D16B138" w14:textId="77777777">
            <w:pPr>
              <w:widowControl w:val="0"/>
              <w:ind w:right="144"/>
              <w:jc w:val="right"/>
              <w:rPr>
                <w:snapToGrid w:val="0"/>
                <w:color w:val="000000"/>
                <w:sz w:val="25"/>
                <w:szCs w:val="25"/>
              </w:rPr>
            </w:pPr>
          </w:p>
        </w:tc>
        <w:tc>
          <w:tcPr>
            <w:tcW w:w="1405" w:type="dxa"/>
          </w:tcPr>
          <w:p w:rsidR="00D7606B" w:rsidRPr="008D5A8C" w14:paraId="5A998051" w14:textId="77777777">
            <w:pPr>
              <w:widowControl w:val="0"/>
              <w:ind w:right="144"/>
              <w:jc w:val="right"/>
              <w:rPr>
                <w:snapToGrid w:val="0"/>
                <w:color w:val="000000"/>
                <w:sz w:val="25"/>
                <w:szCs w:val="25"/>
              </w:rPr>
            </w:pPr>
          </w:p>
        </w:tc>
        <w:tc>
          <w:tcPr>
            <w:tcW w:w="1526" w:type="dxa"/>
          </w:tcPr>
          <w:p w:rsidR="00D7606B" w:rsidRPr="008D5A8C" w14:paraId="4DDC8E7F" w14:textId="77777777">
            <w:pPr>
              <w:widowControl w:val="0"/>
              <w:ind w:right="144"/>
              <w:jc w:val="right"/>
              <w:rPr>
                <w:snapToGrid w:val="0"/>
                <w:color w:val="000000"/>
                <w:sz w:val="25"/>
                <w:szCs w:val="25"/>
              </w:rPr>
            </w:pPr>
          </w:p>
        </w:tc>
        <w:tc>
          <w:tcPr>
            <w:tcW w:w="1479" w:type="dxa"/>
          </w:tcPr>
          <w:p w:rsidR="00D7606B" w:rsidRPr="008D5A8C" w14:paraId="21538DA2" w14:textId="77777777">
            <w:pPr>
              <w:widowControl w:val="0"/>
              <w:ind w:right="144"/>
              <w:jc w:val="right"/>
              <w:rPr>
                <w:snapToGrid w:val="0"/>
                <w:color w:val="000000"/>
                <w:sz w:val="25"/>
                <w:szCs w:val="25"/>
              </w:rPr>
            </w:pPr>
          </w:p>
        </w:tc>
      </w:tr>
    </w:tbl>
    <w:p w:rsidR="002976D3" w:rsidRPr="008D5A8C" w:rsidP="008D5A8C" w14:paraId="02F4DC92" w14:textId="706BA6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figures below </w:t>
      </w:r>
      <w:r w:rsidR="00A643C2">
        <w:rPr>
          <w:snapToGrid w:val="0"/>
          <w:color w:val="000000"/>
          <w:sz w:val="25"/>
          <w:szCs w:val="25"/>
        </w:rPr>
        <w:t xml:space="preserve">represent </w:t>
      </w:r>
      <w:r w:rsidRPr="008D5A8C">
        <w:rPr>
          <w:snapToGrid w:val="0"/>
          <w:color w:val="000000"/>
          <w:sz w:val="25"/>
          <w:szCs w:val="25"/>
        </w:rPr>
        <w:t xml:space="preserve">an application meeting </w:t>
      </w:r>
      <w:r w:rsidRPr="008D5A8C" w:rsidR="008876AD">
        <w:rPr>
          <w:snapToGrid w:val="0"/>
          <w:color w:val="000000"/>
          <w:sz w:val="25"/>
          <w:szCs w:val="25"/>
        </w:rPr>
        <w:t>all</w:t>
      </w:r>
      <w:r w:rsidRPr="008D5A8C">
        <w:rPr>
          <w:snapToGrid w:val="0"/>
          <w:color w:val="000000"/>
          <w:sz w:val="25"/>
          <w:szCs w:val="25"/>
        </w:rPr>
        <w:t xml:space="preserve"> the criteria for funding under 49 U.S.C. Section 5312</w:t>
      </w:r>
      <w:r w:rsidR="00A643C2">
        <w:rPr>
          <w:snapToGrid w:val="0"/>
          <w:color w:val="000000"/>
          <w:sz w:val="25"/>
          <w:szCs w:val="25"/>
        </w:rPr>
        <w:t>,</w:t>
      </w:r>
      <w:r w:rsidR="00590233">
        <w:rPr>
          <w:snapToGrid w:val="0"/>
          <w:color w:val="000000"/>
          <w:sz w:val="25"/>
          <w:szCs w:val="25"/>
        </w:rPr>
        <w:t xml:space="preserve"> and</w:t>
      </w:r>
      <w:r w:rsidR="00A643C2">
        <w:rPr>
          <w:snapToGrid w:val="0"/>
          <w:color w:val="000000"/>
          <w:sz w:val="25"/>
          <w:szCs w:val="25"/>
        </w:rPr>
        <w:t xml:space="preserve"> 5314.  </w:t>
      </w:r>
      <w:r w:rsidRPr="008D5A8C">
        <w:rPr>
          <w:snapToGrid w:val="0"/>
          <w:color w:val="000000"/>
          <w:sz w:val="25"/>
          <w:szCs w:val="25"/>
        </w:rPr>
        <w:t xml:space="preserve">It is estimated that it takes </w:t>
      </w:r>
      <w:r w:rsidRPr="008D5A8C" w:rsidR="006F5B72">
        <w:rPr>
          <w:snapToGrid w:val="0"/>
          <w:color w:val="000000"/>
          <w:sz w:val="25"/>
          <w:szCs w:val="25"/>
        </w:rPr>
        <w:t>9</w:t>
      </w:r>
      <w:r w:rsidRPr="008D5A8C">
        <w:rPr>
          <w:snapToGrid w:val="0"/>
          <w:color w:val="000000"/>
          <w:sz w:val="25"/>
          <w:szCs w:val="25"/>
        </w:rPr>
        <w:t>0 labor-hours to develop and submit an application to FTA for review</w:t>
      </w:r>
      <w:r w:rsidRPr="008D5A8C" w:rsidR="001304DD">
        <w:rPr>
          <w:snapToGrid w:val="0"/>
          <w:color w:val="000000"/>
          <w:sz w:val="25"/>
          <w:szCs w:val="25"/>
        </w:rPr>
        <w:t>. These are often scientific and technical applications which require subject matter expertise.</w:t>
      </w:r>
    </w:p>
    <w:p w:rsidR="005674F5" w:rsidP="005674F5" w14:paraId="0BCC04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976D3" w:rsidP="005674F5" w14:paraId="06BE6E16" w14:textId="4A467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Application Stage:</w:t>
      </w:r>
    </w:p>
    <w:p w:rsidR="005674F5" w:rsidRPr="008D5A8C" w:rsidP="005674F5" w14:paraId="05C74F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30B31" w:rsidRPr="008D5A8C" w:rsidP="00792E4E" w14:paraId="451B3E68" w14:textId="44DC9C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FTA receives approximately</w:t>
      </w:r>
      <w:r w:rsidRPr="008D5A8C" w:rsidR="003A06A0">
        <w:rPr>
          <w:snapToGrid w:val="0"/>
          <w:color w:val="000000"/>
          <w:sz w:val="25"/>
          <w:szCs w:val="25"/>
        </w:rPr>
        <w:t xml:space="preserve"> </w:t>
      </w:r>
      <w:r w:rsidRPr="008D5A8C" w:rsidR="006F5B72">
        <w:rPr>
          <w:snapToGrid w:val="0"/>
          <w:color w:val="000000"/>
          <w:sz w:val="25"/>
          <w:szCs w:val="25"/>
        </w:rPr>
        <w:t>175</w:t>
      </w:r>
      <w:r w:rsidRPr="008D5A8C">
        <w:rPr>
          <w:snapToGrid w:val="0"/>
          <w:color w:val="000000"/>
          <w:sz w:val="25"/>
          <w:szCs w:val="25"/>
        </w:rPr>
        <w:t xml:space="preserve"> applications per year, </w:t>
      </w:r>
      <w:r w:rsidRPr="008D5A8C" w:rsidR="001304DD">
        <w:rPr>
          <w:snapToGrid w:val="0"/>
          <w:color w:val="000000"/>
          <w:sz w:val="25"/>
          <w:szCs w:val="25"/>
        </w:rPr>
        <w:t>most</w:t>
      </w:r>
      <w:r w:rsidR="00A643C2">
        <w:rPr>
          <w:snapToGrid w:val="0"/>
          <w:color w:val="000000"/>
          <w:sz w:val="25"/>
          <w:szCs w:val="25"/>
        </w:rPr>
        <w:t>ly</w:t>
      </w:r>
      <w:r w:rsidRPr="008D5A8C" w:rsidR="001304DD">
        <w:rPr>
          <w:snapToGrid w:val="0"/>
          <w:color w:val="000000"/>
          <w:sz w:val="25"/>
          <w:szCs w:val="25"/>
        </w:rPr>
        <w:t xml:space="preserve"> for demonstration and deployment pilot projects</w:t>
      </w:r>
      <w:r w:rsidR="00A643C2">
        <w:rPr>
          <w:snapToGrid w:val="0"/>
          <w:color w:val="000000"/>
          <w:sz w:val="25"/>
          <w:szCs w:val="25"/>
        </w:rPr>
        <w:t>.  These projects</w:t>
      </w:r>
      <w:r w:rsidRPr="008D5A8C" w:rsidR="001304DD">
        <w:rPr>
          <w:snapToGrid w:val="0"/>
          <w:color w:val="000000"/>
          <w:sz w:val="25"/>
          <w:szCs w:val="25"/>
        </w:rPr>
        <w:t xml:space="preserve"> test out research findings in publ</w:t>
      </w:r>
      <w:r w:rsidR="00A643C2">
        <w:rPr>
          <w:snapToGrid w:val="0"/>
          <w:color w:val="000000"/>
          <w:sz w:val="25"/>
          <w:szCs w:val="25"/>
        </w:rPr>
        <w:t xml:space="preserve">ic transportation environments.  </w:t>
      </w:r>
      <w:r w:rsidR="00AC5190">
        <w:rPr>
          <w:snapToGrid w:val="0"/>
          <w:color w:val="000000"/>
          <w:sz w:val="25"/>
          <w:szCs w:val="25"/>
        </w:rPr>
        <w:t xml:space="preserve">According to the </w:t>
      </w:r>
      <w:r w:rsidR="00E878A9">
        <w:rPr>
          <w:snapToGrid w:val="0"/>
          <w:color w:val="000000"/>
          <w:sz w:val="25"/>
          <w:szCs w:val="25"/>
        </w:rPr>
        <w:t xml:space="preserve">latest </w:t>
      </w:r>
      <w:r w:rsidR="00AC5190">
        <w:rPr>
          <w:snapToGrid w:val="0"/>
          <w:color w:val="000000"/>
          <w:sz w:val="25"/>
          <w:szCs w:val="25"/>
        </w:rPr>
        <w:t xml:space="preserve">Bureau of Labor Statistics occupational employment and wages, </w:t>
      </w:r>
      <w:r w:rsidR="00E878A9">
        <w:rPr>
          <w:snapToGrid w:val="0"/>
          <w:color w:val="000000"/>
          <w:sz w:val="25"/>
          <w:szCs w:val="25"/>
        </w:rPr>
        <w:t>t</w:t>
      </w:r>
      <w:r>
        <w:rPr>
          <w:snapToGrid w:val="0"/>
          <w:color w:val="000000"/>
          <w:sz w:val="25"/>
          <w:szCs w:val="25"/>
        </w:rPr>
        <w:t xml:space="preserve">he occupation typically associated with the </w:t>
      </w:r>
      <w:r w:rsidRPr="008D5A8C">
        <w:rPr>
          <w:snapToGrid w:val="0"/>
          <w:color w:val="000000"/>
          <w:sz w:val="25"/>
          <w:szCs w:val="25"/>
        </w:rPr>
        <w:t xml:space="preserve">preparation of such application is </w:t>
      </w:r>
      <w:r>
        <w:rPr>
          <w:snapToGrid w:val="0"/>
          <w:color w:val="000000"/>
          <w:sz w:val="25"/>
          <w:szCs w:val="25"/>
        </w:rPr>
        <w:t xml:space="preserve">a </w:t>
      </w:r>
      <w:r w:rsidRPr="00792E4E">
        <w:rPr>
          <w:snapToGrid w:val="0"/>
          <w:color w:val="000000"/>
          <w:sz w:val="25"/>
          <w:szCs w:val="25"/>
        </w:rPr>
        <w:t>13-1199 Business Operations Specialists</w:t>
      </w:r>
      <w:r>
        <w:rPr>
          <w:snapToGrid w:val="0"/>
          <w:color w:val="000000"/>
          <w:sz w:val="25"/>
          <w:szCs w:val="25"/>
        </w:rPr>
        <w:t xml:space="preserve"> </w:t>
      </w:r>
      <w:hyperlink r:id="rId7" w:history="1">
        <w:r w:rsidRPr="00E878A9" w:rsidR="00E878A9">
          <w:rPr>
            <w:color w:val="0000FF"/>
            <w:u w:val="single"/>
          </w:rPr>
          <w:t>Business Operations Specialists, All Other</w:t>
        </w:r>
      </w:hyperlink>
      <w:r w:rsidR="005674F5">
        <w:rPr>
          <w:snapToGrid w:val="0"/>
          <w:color w:val="000000"/>
          <w:sz w:val="25"/>
          <w:szCs w:val="25"/>
        </w:rPr>
        <w:t xml:space="preserve"> </w:t>
      </w:r>
      <w:r w:rsidRPr="008D5A8C">
        <w:rPr>
          <w:snapToGrid w:val="0"/>
          <w:color w:val="000000"/>
          <w:sz w:val="25"/>
          <w:szCs w:val="25"/>
        </w:rPr>
        <w:t>estimated to be $</w:t>
      </w:r>
      <w:r w:rsidR="00E878A9">
        <w:rPr>
          <w:snapToGrid w:val="0"/>
          <w:color w:val="000000"/>
          <w:sz w:val="25"/>
          <w:szCs w:val="25"/>
        </w:rPr>
        <w:t>42.</w:t>
      </w:r>
      <w:r w:rsidR="007B6FC7">
        <w:rPr>
          <w:snapToGrid w:val="0"/>
          <w:color w:val="000000"/>
          <w:sz w:val="25"/>
          <w:szCs w:val="25"/>
        </w:rPr>
        <w:t>8</w:t>
      </w:r>
      <w:r w:rsidR="00E878A9">
        <w:rPr>
          <w:snapToGrid w:val="0"/>
          <w:color w:val="000000"/>
          <w:sz w:val="25"/>
          <w:szCs w:val="25"/>
        </w:rPr>
        <w:t>5</w:t>
      </w:r>
      <w:r w:rsidR="00792E4E">
        <w:rPr>
          <w:snapToGrid w:val="0"/>
          <w:color w:val="000000"/>
          <w:sz w:val="25"/>
          <w:szCs w:val="25"/>
        </w:rPr>
        <w:t xml:space="preserve"> per hour plus a 28% accou</w:t>
      </w:r>
      <w:r w:rsidR="00332137">
        <w:rPr>
          <w:snapToGrid w:val="0"/>
          <w:color w:val="000000"/>
          <w:sz w:val="25"/>
          <w:szCs w:val="25"/>
        </w:rPr>
        <w:t>n</w:t>
      </w:r>
      <w:r w:rsidR="00792E4E">
        <w:rPr>
          <w:snapToGrid w:val="0"/>
          <w:color w:val="000000"/>
          <w:sz w:val="25"/>
          <w:szCs w:val="25"/>
        </w:rPr>
        <w:t>ting for fringe benefits equals $</w:t>
      </w:r>
      <w:r w:rsidR="00E878A9">
        <w:rPr>
          <w:snapToGrid w:val="0"/>
          <w:color w:val="000000"/>
          <w:sz w:val="25"/>
          <w:szCs w:val="25"/>
        </w:rPr>
        <w:t>54.85</w:t>
      </w:r>
      <w:r w:rsidR="00792E4E">
        <w:rPr>
          <w:snapToGrid w:val="0"/>
          <w:color w:val="000000"/>
          <w:sz w:val="25"/>
          <w:szCs w:val="25"/>
        </w:rPr>
        <w:t xml:space="preserve"> per hour:</w:t>
      </w:r>
    </w:p>
    <w:p w:rsidR="001240D5" w:rsidRPr="008D5A8C" w14:paraId="4135E895" w14:textId="0456EF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r w:rsidRPr="008D5A8C">
        <w:rPr>
          <w:snapToGrid w:val="0"/>
          <w:color w:val="000000"/>
          <w:sz w:val="25"/>
          <w:szCs w:val="25"/>
        </w:rPr>
        <w:t>175</w:t>
      </w:r>
      <w:r w:rsidRPr="008D5A8C" w:rsidR="00CC64A6">
        <w:rPr>
          <w:snapToGrid w:val="0"/>
          <w:color w:val="000000"/>
          <w:sz w:val="25"/>
          <w:szCs w:val="25"/>
        </w:rPr>
        <w:t xml:space="preserve"> </w:t>
      </w:r>
      <w:r w:rsidR="001162F4">
        <w:rPr>
          <w:snapToGrid w:val="0"/>
          <w:color w:val="000000"/>
          <w:sz w:val="25"/>
          <w:szCs w:val="25"/>
        </w:rPr>
        <w:t>respondents x 1 response x 90 hours</w:t>
      </w:r>
      <w:r w:rsidRPr="008D5A8C" w:rsidR="00F9539C">
        <w:rPr>
          <w:snapToGrid w:val="0"/>
          <w:color w:val="000000"/>
          <w:sz w:val="25"/>
          <w:szCs w:val="25"/>
        </w:rPr>
        <w:t xml:space="preserve"> =</w:t>
      </w:r>
      <w:r w:rsidRPr="008D5A8C" w:rsidR="00D7606B">
        <w:rPr>
          <w:snapToGrid w:val="0"/>
          <w:color w:val="000000"/>
          <w:sz w:val="25"/>
          <w:szCs w:val="25"/>
        </w:rPr>
        <w:t xml:space="preserve"> </w:t>
      </w:r>
      <w:r w:rsidRPr="008D5A8C">
        <w:rPr>
          <w:snapToGrid w:val="0"/>
          <w:color w:val="000000"/>
          <w:sz w:val="25"/>
          <w:szCs w:val="25"/>
        </w:rPr>
        <w:t>15,750 hours x $</w:t>
      </w:r>
      <w:r w:rsidR="00E878A9">
        <w:rPr>
          <w:snapToGrid w:val="0"/>
          <w:color w:val="000000"/>
          <w:sz w:val="25"/>
          <w:szCs w:val="25"/>
        </w:rPr>
        <w:t>54.85</w:t>
      </w:r>
      <w:r w:rsidRPr="008D5A8C">
        <w:rPr>
          <w:snapToGrid w:val="0"/>
          <w:color w:val="000000"/>
          <w:sz w:val="25"/>
          <w:szCs w:val="25"/>
        </w:rPr>
        <w:t xml:space="preserve"> = </w:t>
      </w:r>
      <w:r w:rsidRPr="007B6FC7">
        <w:rPr>
          <w:b/>
          <w:bCs/>
          <w:snapToGrid w:val="0"/>
          <w:color w:val="000000"/>
          <w:sz w:val="25"/>
          <w:szCs w:val="25"/>
        </w:rPr>
        <w:t>$</w:t>
      </w:r>
      <w:r w:rsidRPr="007B6FC7" w:rsidR="00E878A9">
        <w:rPr>
          <w:b/>
          <w:bCs/>
          <w:snapToGrid w:val="0"/>
          <w:color w:val="000000"/>
          <w:sz w:val="25"/>
          <w:szCs w:val="25"/>
        </w:rPr>
        <w:t>863,887</w:t>
      </w:r>
    </w:p>
    <w:p w:rsidR="001240D5" w:rsidRPr="008D5A8C" w14:paraId="4C287CF0" w14:textId="6CC8E6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P="00CC64A6" w14:paraId="484DD0BD" w14:textId="48BAFC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The total cost </w:t>
      </w:r>
      <w:r w:rsidR="005674F5">
        <w:rPr>
          <w:snapToGrid w:val="0"/>
          <w:color w:val="000000"/>
          <w:sz w:val="25"/>
          <w:szCs w:val="25"/>
        </w:rPr>
        <w:t xml:space="preserve">for </w:t>
      </w:r>
      <w:r w:rsidRPr="008D5A8C">
        <w:rPr>
          <w:snapToGrid w:val="0"/>
          <w:color w:val="000000"/>
          <w:sz w:val="25"/>
          <w:szCs w:val="25"/>
        </w:rPr>
        <w:t>application</w:t>
      </w:r>
      <w:r w:rsidRPr="008D5A8C" w:rsidR="00C85073">
        <w:rPr>
          <w:snapToGrid w:val="0"/>
          <w:color w:val="000000"/>
          <w:sz w:val="25"/>
          <w:szCs w:val="25"/>
        </w:rPr>
        <w:t xml:space="preserve"> </w:t>
      </w:r>
      <w:r w:rsidR="005674F5">
        <w:rPr>
          <w:snapToGrid w:val="0"/>
          <w:color w:val="000000"/>
          <w:sz w:val="25"/>
          <w:szCs w:val="25"/>
        </w:rPr>
        <w:t>stage</w:t>
      </w:r>
      <w:r w:rsidRPr="008D5A8C" w:rsidR="00C85073">
        <w:rPr>
          <w:snapToGrid w:val="0"/>
          <w:color w:val="000000"/>
          <w:sz w:val="25"/>
          <w:szCs w:val="25"/>
        </w:rPr>
        <w:t xml:space="preserve"> $</w:t>
      </w:r>
      <w:r w:rsidR="00E878A9">
        <w:rPr>
          <w:snapToGrid w:val="0"/>
          <w:color w:val="000000"/>
          <w:sz w:val="25"/>
          <w:szCs w:val="25"/>
        </w:rPr>
        <w:t>863,887</w:t>
      </w:r>
      <w:r w:rsidRPr="008D5A8C" w:rsidR="00CC64A6">
        <w:rPr>
          <w:snapToGrid w:val="0"/>
          <w:color w:val="000000"/>
          <w:sz w:val="25"/>
          <w:szCs w:val="25"/>
        </w:rPr>
        <w:t>/</w:t>
      </w:r>
      <w:r w:rsidR="00A643C2">
        <w:rPr>
          <w:snapToGrid w:val="0"/>
          <w:color w:val="000000"/>
          <w:sz w:val="25"/>
          <w:szCs w:val="25"/>
        </w:rPr>
        <w:t>175</w:t>
      </w:r>
      <w:r w:rsidR="007B6FC7">
        <w:rPr>
          <w:snapToGrid w:val="0"/>
          <w:color w:val="000000"/>
          <w:sz w:val="25"/>
          <w:szCs w:val="25"/>
        </w:rPr>
        <w:t xml:space="preserve"> or</w:t>
      </w:r>
      <w:r w:rsidRPr="008D5A8C">
        <w:rPr>
          <w:snapToGrid w:val="0"/>
          <w:color w:val="000000"/>
          <w:sz w:val="25"/>
          <w:szCs w:val="25"/>
        </w:rPr>
        <w:t xml:space="preserve"> $</w:t>
      </w:r>
      <w:r w:rsidR="00AC5190">
        <w:rPr>
          <w:snapToGrid w:val="0"/>
          <w:color w:val="000000"/>
          <w:sz w:val="25"/>
          <w:szCs w:val="25"/>
        </w:rPr>
        <w:t>4,</w:t>
      </w:r>
      <w:r w:rsidR="00E878A9">
        <w:rPr>
          <w:snapToGrid w:val="0"/>
          <w:color w:val="000000"/>
          <w:sz w:val="25"/>
          <w:szCs w:val="25"/>
        </w:rPr>
        <w:t>936</w:t>
      </w:r>
      <w:r w:rsidR="007B6FC7">
        <w:rPr>
          <w:snapToGrid w:val="0"/>
          <w:color w:val="000000"/>
          <w:sz w:val="25"/>
          <w:szCs w:val="25"/>
        </w:rPr>
        <w:t xml:space="preserve"> per application</w:t>
      </w:r>
    </w:p>
    <w:p w:rsidR="00DF298A" w:rsidRPr="008D5A8C" w:rsidP="00CC64A6" w14:paraId="2BADDD59" w14:textId="29B591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     The total number of responses = 175 (1 application per respondent)</w:t>
      </w:r>
    </w:p>
    <w:p w:rsidR="008D5A8C" w:rsidRPr="008D5A8C" w14:paraId="6C4DBC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rsidP="008D5A8C" w14:paraId="7D426C4C" w14:textId="19DAE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Post Award-P</w:t>
      </w:r>
      <w:r w:rsidRPr="008D5A8C" w:rsidR="00881FDD">
        <w:rPr>
          <w:snapToGrid w:val="0"/>
          <w:color w:val="000000"/>
          <w:sz w:val="25"/>
          <w:szCs w:val="25"/>
        </w:rPr>
        <w:t xml:space="preserve">roject </w:t>
      </w:r>
      <w:r>
        <w:rPr>
          <w:snapToGrid w:val="0"/>
          <w:color w:val="000000"/>
          <w:sz w:val="25"/>
          <w:szCs w:val="25"/>
        </w:rPr>
        <w:t>M</w:t>
      </w:r>
      <w:r w:rsidRPr="008D5A8C" w:rsidR="00881FDD">
        <w:rPr>
          <w:snapToGrid w:val="0"/>
          <w:color w:val="000000"/>
          <w:sz w:val="25"/>
          <w:szCs w:val="25"/>
        </w:rPr>
        <w:t xml:space="preserve">anagement </w:t>
      </w:r>
      <w:r>
        <w:rPr>
          <w:snapToGrid w:val="0"/>
          <w:color w:val="000000"/>
          <w:sz w:val="25"/>
          <w:szCs w:val="25"/>
        </w:rPr>
        <w:t>A</w:t>
      </w:r>
      <w:r w:rsidRPr="008D5A8C" w:rsidR="00881FDD">
        <w:rPr>
          <w:snapToGrid w:val="0"/>
          <w:color w:val="000000"/>
          <w:sz w:val="25"/>
          <w:szCs w:val="25"/>
        </w:rPr>
        <w:t>ctivities</w:t>
      </w:r>
      <w:r>
        <w:rPr>
          <w:snapToGrid w:val="0"/>
          <w:color w:val="000000"/>
          <w:sz w:val="25"/>
          <w:szCs w:val="25"/>
        </w:rPr>
        <w:t xml:space="preserve">: </w:t>
      </w:r>
    </w:p>
    <w:p w:rsidR="007B6FC7" w:rsidRPr="007B6FC7" w:rsidP="007B6FC7" w14:paraId="10B361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7B6FC7">
        <w:rPr>
          <w:snapToGrid w:val="0"/>
          <w:color w:val="000000"/>
          <w:sz w:val="25"/>
          <w:szCs w:val="25"/>
        </w:rPr>
        <w:t xml:space="preserve">The total estimated number of responses = 600 (150 reports x (4 quarterly) </w:t>
      </w:r>
    </w:p>
    <w:p w:rsidR="007B6FC7" w:rsidRPr="008D5A8C" w:rsidP="007B6FC7" w14:paraId="38186D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P="008D5A8C" w14:paraId="092C79D9" w14:textId="35A6D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Quarterly Progress Reports:</w:t>
      </w:r>
      <w:r w:rsidRPr="008D5A8C">
        <w:rPr>
          <w:snapToGrid w:val="0"/>
          <w:color w:val="000000"/>
          <w:sz w:val="25"/>
          <w:szCs w:val="25"/>
        </w:rPr>
        <w:t xml:space="preserve"> Staff time for preparation of these progress reports is estimated at </w:t>
      </w:r>
      <w:r w:rsidRPr="008D5A8C" w:rsidR="006F5B72">
        <w:rPr>
          <w:snapToGrid w:val="0"/>
          <w:color w:val="000000"/>
          <w:sz w:val="25"/>
          <w:szCs w:val="25"/>
        </w:rPr>
        <w:t>6</w:t>
      </w:r>
      <w:r w:rsidRPr="008D5A8C">
        <w:rPr>
          <w:snapToGrid w:val="0"/>
          <w:color w:val="000000"/>
          <w:sz w:val="25"/>
          <w:szCs w:val="25"/>
        </w:rPr>
        <w:t xml:space="preserve"> hours at </w:t>
      </w:r>
      <w:r w:rsidR="008F0596">
        <w:rPr>
          <w:snapToGrid w:val="0"/>
          <w:color w:val="000000"/>
          <w:sz w:val="25"/>
          <w:szCs w:val="25"/>
        </w:rPr>
        <w:t>$</w:t>
      </w:r>
      <w:r w:rsidR="00E878A9">
        <w:rPr>
          <w:snapToGrid w:val="0"/>
          <w:color w:val="000000"/>
          <w:sz w:val="25"/>
          <w:szCs w:val="25"/>
        </w:rPr>
        <w:t>54.85</w:t>
      </w:r>
      <w:r w:rsidRPr="008D5A8C" w:rsidR="006F5B72">
        <w:rPr>
          <w:snapToGrid w:val="0"/>
          <w:color w:val="000000"/>
          <w:sz w:val="25"/>
          <w:szCs w:val="25"/>
        </w:rPr>
        <w:t xml:space="preserve">/hr. for </w:t>
      </w:r>
      <w:r w:rsidRPr="008D5A8C">
        <w:rPr>
          <w:snapToGrid w:val="0"/>
          <w:color w:val="000000"/>
          <w:sz w:val="25"/>
          <w:szCs w:val="25"/>
        </w:rPr>
        <w:t>an average cost of $</w:t>
      </w:r>
      <w:r w:rsidR="00E878A9">
        <w:rPr>
          <w:snapToGrid w:val="0"/>
          <w:color w:val="000000"/>
          <w:sz w:val="25"/>
          <w:szCs w:val="25"/>
        </w:rPr>
        <w:t>329.10</w:t>
      </w:r>
      <w:r w:rsidRPr="008D5A8C">
        <w:rPr>
          <w:snapToGrid w:val="0"/>
          <w:color w:val="000000"/>
          <w:sz w:val="25"/>
          <w:szCs w:val="25"/>
        </w:rPr>
        <w:t xml:space="preserve"> per report.  There are </w:t>
      </w:r>
      <w:r w:rsidRPr="008D5A8C" w:rsidR="001304DD">
        <w:rPr>
          <w:snapToGrid w:val="0"/>
          <w:color w:val="000000"/>
          <w:sz w:val="25"/>
          <w:szCs w:val="25"/>
        </w:rPr>
        <w:t>6</w:t>
      </w:r>
      <w:r w:rsidRPr="008D5A8C">
        <w:rPr>
          <w:snapToGrid w:val="0"/>
          <w:color w:val="000000"/>
          <w:sz w:val="25"/>
          <w:szCs w:val="25"/>
        </w:rPr>
        <w:t>00 reports submitted annually</w:t>
      </w:r>
      <w:r w:rsidRPr="008D5A8C" w:rsidR="00713087">
        <w:rPr>
          <w:snapToGrid w:val="0"/>
          <w:color w:val="000000"/>
          <w:sz w:val="25"/>
          <w:szCs w:val="25"/>
        </w:rPr>
        <w:t xml:space="preserve"> (</w:t>
      </w:r>
      <w:r w:rsidRPr="008D5A8C" w:rsidR="001304DD">
        <w:rPr>
          <w:snapToGrid w:val="0"/>
          <w:color w:val="000000"/>
          <w:sz w:val="25"/>
          <w:szCs w:val="25"/>
        </w:rPr>
        <w:t>6</w:t>
      </w:r>
      <w:r w:rsidRPr="008D5A8C" w:rsidR="00713087">
        <w:rPr>
          <w:snapToGrid w:val="0"/>
          <w:color w:val="000000"/>
          <w:sz w:val="25"/>
          <w:szCs w:val="25"/>
        </w:rPr>
        <w:t xml:space="preserve">00 reports x </w:t>
      </w:r>
      <w:r w:rsidRPr="008D5A8C" w:rsidR="006F5B72">
        <w:rPr>
          <w:snapToGrid w:val="0"/>
          <w:color w:val="000000"/>
          <w:sz w:val="25"/>
          <w:szCs w:val="25"/>
        </w:rPr>
        <w:t>6</w:t>
      </w:r>
      <w:r w:rsidRPr="008D5A8C" w:rsidR="00713087">
        <w:rPr>
          <w:snapToGrid w:val="0"/>
          <w:color w:val="000000"/>
          <w:sz w:val="25"/>
          <w:szCs w:val="25"/>
        </w:rPr>
        <w:t xml:space="preserve"> hours = </w:t>
      </w:r>
      <w:r w:rsidRPr="008D5A8C" w:rsidR="006F5B72">
        <w:rPr>
          <w:snapToGrid w:val="0"/>
          <w:color w:val="000000"/>
          <w:sz w:val="25"/>
          <w:szCs w:val="25"/>
        </w:rPr>
        <w:t>3,6</w:t>
      </w:r>
      <w:r w:rsidRPr="008D5A8C" w:rsidR="001304DD">
        <w:rPr>
          <w:snapToGrid w:val="0"/>
          <w:color w:val="000000"/>
          <w:sz w:val="25"/>
          <w:szCs w:val="25"/>
        </w:rPr>
        <w:t>00</w:t>
      </w:r>
      <w:r w:rsidRPr="008D5A8C" w:rsidR="00713087">
        <w:rPr>
          <w:snapToGrid w:val="0"/>
          <w:color w:val="000000"/>
          <w:sz w:val="25"/>
          <w:szCs w:val="25"/>
        </w:rPr>
        <w:t xml:space="preserve"> hours)</w:t>
      </w:r>
      <w:r w:rsidRPr="008D5A8C">
        <w:rPr>
          <w:snapToGrid w:val="0"/>
          <w:color w:val="000000"/>
          <w:sz w:val="25"/>
          <w:szCs w:val="25"/>
        </w:rPr>
        <w:t xml:space="preserve"> and the cost is estimated at $</w:t>
      </w:r>
      <w:r w:rsidR="00332137">
        <w:rPr>
          <w:snapToGrid w:val="0"/>
          <w:color w:val="000000"/>
          <w:sz w:val="25"/>
          <w:szCs w:val="25"/>
        </w:rPr>
        <w:t>1</w:t>
      </w:r>
      <w:r w:rsidR="00E878A9">
        <w:rPr>
          <w:snapToGrid w:val="0"/>
          <w:color w:val="000000"/>
          <w:sz w:val="25"/>
          <w:szCs w:val="25"/>
        </w:rPr>
        <w:t>97,460</w:t>
      </w:r>
      <w:r w:rsidRPr="008D5A8C" w:rsidR="00EB5F97">
        <w:rPr>
          <w:snapToGrid w:val="0"/>
          <w:color w:val="000000"/>
          <w:sz w:val="25"/>
          <w:szCs w:val="25"/>
        </w:rPr>
        <w:t xml:space="preserve"> (</w:t>
      </w:r>
      <w:r w:rsidRPr="008D5A8C" w:rsidR="001304DD">
        <w:rPr>
          <w:snapToGrid w:val="0"/>
          <w:color w:val="000000"/>
          <w:sz w:val="25"/>
          <w:szCs w:val="25"/>
        </w:rPr>
        <w:t>6</w:t>
      </w:r>
      <w:r w:rsidRPr="008D5A8C" w:rsidR="00EB5F97">
        <w:rPr>
          <w:snapToGrid w:val="0"/>
          <w:color w:val="000000"/>
          <w:sz w:val="25"/>
          <w:szCs w:val="25"/>
        </w:rPr>
        <w:t>00 reports x $</w:t>
      </w:r>
      <w:r w:rsidR="00E878A9">
        <w:rPr>
          <w:snapToGrid w:val="0"/>
          <w:color w:val="000000"/>
          <w:sz w:val="25"/>
          <w:szCs w:val="25"/>
        </w:rPr>
        <w:t>329.10)</w:t>
      </w:r>
    </w:p>
    <w:p w:rsidR="00D7606B" w:rsidRPr="008D5A8C" w14:paraId="0A4B25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RPr="008D5A8C" w:rsidP="008D5A8C" w14:paraId="7FF0CE8F" w14:textId="1B4A5D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Financial Status Report:</w:t>
      </w:r>
      <w:r w:rsidRPr="008D5A8C">
        <w:rPr>
          <w:snapToGrid w:val="0"/>
          <w:color w:val="000000"/>
          <w:sz w:val="25"/>
          <w:szCs w:val="25"/>
        </w:rPr>
        <w:t xml:space="preserve"> Estimated staff time spent </w:t>
      </w:r>
      <w:r w:rsidRPr="008D5A8C" w:rsidR="005674F5">
        <w:rPr>
          <w:snapToGrid w:val="0"/>
          <w:color w:val="000000"/>
          <w:sz w:val="25"/>
          <w:szCs w:val="25"/>
        </w:rPr>
        <w:t>preparing</w:t>
      </w:r>
      <w:r w:rsidRPr="008D5A8C">
        <w:rPr>
          <w:snapToGrid w:val="0"/>
          <w:color w:val="000000"/>
          <w:sz w:val="25"/>
          <w:szCs w:val="25"/>
        </w:rPr>
        <w:t xml:space="preserve"> Financial</w:t>
      </w:r>
      <w:r w:rsidRPr="008D5A8C" w:rsidR="001240D5">
        <w:rPr>
          <w:snapToGrid w:val="0"/>
          <w:color w:val="000000"/>
          <w:sz w:val="25"/>
          <w:szCs w:val="25"/>
        </w:rPr>
        <w:t xml:space="preserve"> Status Reports is 2 hours or $</w:t>
      </w:r>
      <w:r w:rsidR="005674F5">
        <w:rPr>
          <w:snapToGrid w:val="0"/>
          <w:color w:val="000000"/>
          <w:sz w:val="25"/>
          <w:szCs w:val="25"/>
        </w:rPr>
        <w:t>109.70</w:t>
      </w:r>
      <w:r w:rsidRPr="008D5A8C">
        <w:rPr>
          <w:snapToGrid w:val="0"/>
          <w:color w:val="000000"/>
          <w:sz w:val="25"/>
          <w:szCs w:val="25"/>
        </w:rPr>
        <w:t xml:space="preserve"> per report.  There are </w:t>
      </w:r>
      <w:r w:rsidRPr="008D5A8C" w:rsidR="001304DD">
        <w:rPr>
          <w:snapToGrid w:val="0"/>
          <w:color w:val="000000"/>
          <w:sz w:val="25"/>
          <w:szCs w:val="25"/>
        </w:rPr>
        <w:t>6</w:t>
      </w:r>
      <w:r w:rsidRPr="008D5A8C">
        <w:rPr>
          <w:snapToGrid w:val="0"/>
          <w:color w:val="000000"/>
          <w:sz w:val="25"/>
          <w:szCs w:val="25"/>
        </w:rPr>
        <w:t xml:space="preserve">00 such </w:t>
      </w:r>
      <w:r w:rsidRPr="008D5A8C" w:rsidR="001240D5">
        <w:rPr>
          <w:snapToGrid w:val="0"/>
          <w:color w:val="000000"/>
          <w:sz w:val="25"/>
          <w:szCs w:val="25"/>
        </w:rPr>
        <w:t xml:space="preserve">reports submitted annually </w:t>
      </w:r>
      <w:r w:rsidRPr="008D5A8C" w:rsidR="00713087">
        <w:rPr>
          <w:snapToGrid w:val="0"/>
          <w:color w:val="000000"/>
          <w:sz w:val="25"/>
          <w:szCs w:val="25"/>
        </w:rPr>
        <w:t>(</w:t>
      </w:r>
      <w:r w:rsidRPr="008D5A8C" w:rsidR="001304DD">
        <w:rPr>
          <w:snapToGrid w:val="0"/>
          <w:color w:val="000000"/>
          <w:sz w:val="25"/>
          <w:szCs w:val="25"/>
        </w:rPr>
        <w:t>6</w:t>
      </w:r>
      <w:r w:rsidRPr="008D5A8C" w:rsidR="00713087">
        <w:rPr>
          <w:snapToGrid w:val="0"/>
          <w:color w:val="000000"/>
          <w:sz w:val="25"/>
          <w:szCs w:val="25"/>
        </w:rPr>
        <w:t>00 reports x 2 hours = 1,</w:t>
      </w:r>
      <w:r w:rsidRPr="008D5A8C" w:rsidR="001304DD">
        <w:rPr>
          <w:snapToGrid w:val="0"/>
          <w:color w:val="000000"/>
          <w:sz w:val="25"/>
          <w:szCs w:val="25"/>
        </w:rPr>
        <w:t>2</w:t>
      </w:r>
      <w:r w:rsidRPr="008D5A8C" w:rsidR="00713087">
        <w:rPr>
          <w:snapToGrid w:val="0"/>
          <w:color w:val="000000"/>
          <w:sz w:val="25"/>
          <w:szCs w:val="25"/>
        </w:rPr>
        <w:t xml:space="preserve">00) and the </w:t>
      </w:r>
      <w:r w:rsidRPr="008D5A8C" w:rsidR="001240D5">
        <w:rPr>
          <w:snapToGrid w:val="0"/>
          <w:color w:val="000000"/>
          <w:sz w:val="25"/>
          <w:szCs w:val="25"/>
        </w:rPr>
        <w:t xml:space="preserve">cost </w:t>
      </w:r>
      <w:r w:rsidRPr="008D5A8C" w:rsidR="00713087">
        <w:rPr>
          <w:snapToGrid w:val="0"/>
          <w:color w:val="000000"/>
          <w:sz w:val="25"/>
          <w:szCs w:val="25"/>
        </w:rPr>
        <w:t xml:space="preserve">is estimated at </w:t>
      </w:r>
      <w:r w:rsidRPr="008D5A8C" w:rsidR="001240D5">
        <w:rPr>
          <w:snapToGrid w:val="0"/>
          <w:color w:val="000000"/>
          <w:sz w:val="25"/>
          <w:szCs w:val="25"/>
        </w:rPr>
        <w:t>of $</w:t>
      </w:r>
      <w:r w:rsidR="005674F5">
        <w:rPr>
          <w:snapToGrid w:val="0"/>
          <w:color w:val="000000"/>
          <w:sz w:val="25"/>
          <w:szCs w:val="25"/>
        </w:rPr>
        <w:t>6</w:t>
      </w:r>
      <w:r w:rsidR="0026471E">
        <w:rPr>
          <w:snapToGrid w:val="0"/>
          <w:color w:val="000000"/>
          <w:sz w:val="25"/>
          <w:szCs w:val="25"/>
        </w:rPr>
        <w:t>5,8</w:t>
      </w:r>
      <w:r w:rsidR="005674F5">
        <w:rPr>
          <w:snapToGrid w:val="0"/>
          <w:color w:val="000000"/>
          <w:sz w:val="25"/>
          <w:szCs w:val="25"/>
        </w:rPr>
        <w:t>2</w:t>
      </w:r>
      <w:r w:rsidR="0026471E">
        <w:rPr>
          <w:snapToGrid w:val="0"/>
          <w:color w:val="000000"/>
          <w:sz w:val="25"/>
          <w:szCs w:val="25"/>
        </w:rPr>
        <w:t>0</w:t>
      </w:r>
      <w:r w:rsidRPr="008D5A8C" w:rsidR="00EB5F97">
        <w:rPr>
          <w:snapToGrid w:val="0"/>
          <w:color w:val="000000"/>
          <w:sz w:val="25"/>
          <w:szCs w:val="25"/>
        </w:rPr>
        <w:t xml:space="preserve"> (</w:t>
      </w:r>
      <w:r w:rsidRPr="008D5A8C" w:rsidR="001304DD">
        <w:rPr>
          <w:snapToGrid w:val="0"/>
          <w:color w:val="000000"/>
          <w:sz w:val="25"/>
          <w:szCs w:val="25"/>
        </w:rPr>
        <w:t>6</w:t>
      </w:r>
      <w:r w:rsidRPr="008D5A8C" w:rsidR="00EB5F97">
        <w:rPr>
          <w:snapToGrid w:val="0"/>
          <w:color w:val="000000"/>
          <w:sz w:val="25"/>
          <w:szCs w:val="25"/>
        </w:rPr>
        <w:t>00 reports x $</w:t>
      </w:r>
      <w:r w:rsidR="005674F5">
        <w:rPr>
          <w:snapToGrid w:val="0"/>
          <w:color w:val="000000"/>
          <w:sz w:val="25"/>
          <w:szCs w:val="25"/>
        </w:rPr>
        <w:t>109.70</w:t>
      </w:r>
      <w:r w:rsidRPr="008D5A8C" w:rsidR="001240D5">
        <w:rPr>
          <w:snapToGrid w:val="0"/>
          <w:color w:val="000000"/>
          <w:sz w:val="25"/>
          <w:szCs w:val="25"/>
        </w:rPr>
        <w:t>)</w:t>
      </w:r>
      <w:r w:rsidRPr="008D5A8C">
        <w:rPr>
          <w:snapToGrid w:val="0"/>
          <w:color w:val="000000"/>
          <w:sz w:val="25"/>
          <w:szCs w:val="25"/>
        </w:rPr>
        <w:t>.</w:t>
      </w:r>
    </w:p>
    <w:p w:rsidR="00D7606B" w:rsidRPr="008D5A8C" w14:paraId="543142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rsidR="00D7606B" w:rsidRPr="008D5A8C" w:rsidP="008D5A8C" w14:paraId="00BFE18A" w14:textId="0166B0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total annual cost to a typical project recipient</w:t>
      </w:r>
      <w:r w:rsidRPr="008D5A8C" w:rsidR="00E371ED">
        <w:rPr>
          <w:snapToGrid w:val="0"/>
          <w:color w:val="000000"/>
          <w:sz w:val="25"/>
          <w:szCs w:val="25"/>
        </w:rPr>
        <w:t xml:space="preserve"> for project management is </w:t>
      </w:r>
      <w:r w:rsidRPr="008D5A8C">
        <w:rPr>
          <w:snapToGrid w:val="0"/>
          <w:color w:val="000000"/>
          <w:sz w:val="25"/>
          <w:szCs w:val="25"/>
        </w:rPr>
        <w:t>$</w:t>
      </w:r>
      <w:r w:rsidR="00332137">
        <w:rPr>
          <w:snapToGrid w:val="0"/>
          <w:color w:val="000000"/>
          <w:sz w:val="25"/>
          <w:szCs w:val="25"/>
        </w:rPr>
        <w:t>2</w:t>
      </w:r>
      <w:r w:rsidR="005674F5">
        <w:rPr>
          <w:snapToGrid w:val="0"/>
          <w:color w:val="000000"/>
          <w:sz w:val="25"/>
          <w:szCs w:val="25"/>
        </w:rPr>
        <w:t>63,280</w:t>
      </w:r>
      <w:r w:rsidRPr="000310EA" w:rsidR="000310EA">
        <w:rPr>
          <w:snapToGrid w:val="0"/>
          <w:color w:val="000000"/>
          <w:sz w:val="25"/>
          <w:szCs w:val="25"/>
        </w:rPr>
        <w:t xml:space="preserve"> </w:t>
      </w:r>
    </w:p>
    <w:p w:rsidR="008D5A8C" w:rsidRPr="008D5A8C" w:rsidP="008D5A8C" w14:paraId="5C3C25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P="008D5A8C" w14:paraId="0A74AC94" w14:textId="631E6F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grand total annual cost to the applicants and grantees is estimated at $</w:t>
      </w:r>
      <w:bookmarkStart w:id="0" w:name="_Hlk227247127"/>
      <w:r w:rsidR="00583867">
        <w:rPr>
          <w:snapToGrid w:val="0"/>
          <w:color w:val="000000"/>
          <w:sz w:val="25"/>
          <w:szCs w:val="25"/>
        </w:rPr>
        <w:t>1,127,167</w:t>
      </w:r>
      <w:bookmarkEnd w:id="0"/>
    </w:p>
    <w:p w:rsidR="008D5A8C" w:rsidRPr="008D5A8C" w14:paraId="53B00350" w14:textId="45F780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w:t>
      </w:r>
      <w:r w:rsidR="005674F5">
        <w:rPr>
          <w:snapToGrid w:val="0"/>
          <w:color w:val="000000"/>
          <w:sz w:val="25"/>
          <w:szCs w:val="25"/>
        </w:rPr>
        <w:t>863,887</w:t>
      </w:r>
      <w:r w:rsidRPr="008D5A8C" w:rsidR="00EF251C">
        <w:rPr>
          <w:snapToGrid w:val="0"/>
          <w:color w:val="000000"/>
          <w:sz w:val="25"/>
          <w:szCs w:val="25"/>
        </w:rPr>
        <w:t xml:space="preserve"> </w:t>
      </w:r>
      <w:r w:rsidRPr="008D5A8C">
        <w:rPr>
          <w:snapToGrid w:val="0"/>
          <w:color w:val="000000"/>
          <w:sz w:val="25"/>
          <w:szCs w:val="25"/>
        </w:rPr>
        <w:t>+</w:t>
      </w:r>
      <w:r w:rsidRPr="008D5A8C" w:rsidR="00EF251C">
        <w:rPr>
          <w:snapToGrid w:val="0"/>
          <w:color w:val="000000"/>
          <w:sz w:val="25"/>
          <w:szCs w:val="25"/>
        </w:rPr>
        <w:t xml:space="preserve"> </w:t>
      </w:r>
      <w:r w:rsidRPr="008D5A8C">
        <w:rPr>
          <w:snapToGrid w:val="0"/>
          <w:color w:val="000000"/>
          <w:sz w:val="25"/>
          <w:szCs w:val="25"/>
        </w:rPr>
        <w:t>$</w:t>
      </w:r>
      <w:r w:rsidR="00332137">
        <w:rPr>
          <w:snapToGrid w:val="0"/>
          <w:color w:val="000000"/>
          <w:sz w:val="25"/>
          <w:szCs w:val="25"/>
        </w:rPr>
        <w:t>2</w:t>
      </w:r>
      <w:r w:rsidR="005674F5">
        <w:rPr>
          <w:snapToGrid w:val="0"/>
          <w:color w:val="000000"/>
          <w:sz w:val="25"/>
          <w:szCs w:val="25"/>
        </w:rPr>
        <w:t>63,280</w:t>
      </w:r>
      <w:r w:rsidRPr="008D5A8C" w:rsidR="00D7606B">
        <w:rPr>
          <w:snapToGrid w:val="0"/>
          <w:color w:val="000000"/>
          <w:sz w:val="25"/>
          <w:szCs w:val="25"/>
        </w:rPr>
        <w:t>).</w:t>
      </w:r>
    </w:p>
    <w:p w:rsidR="008F0596" w14:paraId="044F5209" w14:textId="12E743E1">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rsidR="00881FDD" w14:paraId="664B953A"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rsidR="00D7606B" w:rsidRPr="008D5A8C" w14:paraId="227BE7E9" w14:textId="6B98F71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13.  Estimate</w:t>
      </w:r>
      <w:r w:rsidRPr="008D5A8C">
        <w:rPr>
          <w:b/>
          <w:snapToGrid w:val="0"/>
          <w:color w:val="000000"/>
          <w:sz w:val="25"/>
          <w:szCs w:val="25"/>
        </w:rPr>
        <w:t xml:space="preserve"> of total annual cost burden to respondents or record keepers resulting from the collection of information (not including the cost of any hour burden shown in Items 12 and 14).</w:t>
      </w:r>
    </w:p>
    <w:p w:rsidR="008D5A8C" w:rsidRPr="008D5A8C" w14:paraId="067C92F1"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8D5A8C" w:rsidP="008D5A8C" w14:paraId="741DC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information collected and reviewed is required in the course of </w:t>
      </w:r>
      <w:r w:rsidRPr="008D5A8C">
        <w:rPr>
          <w:snapToGrid w:val="0"/>
          <w:color w:val="000000"/>
          <w:sz w:val="25"/>
          <w:szCs w:val="25"/>
        </w:rPr>
        <w:t>normal business and there is no additional cost beyond that shown in Items 12 and 14.</w:t>
      </w:r>
    </w:p>
    <w:p w:rsidR="00D7606B" w14:paraId="360148E4" w14:textId="1E96D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256577" w14:paraId="1CEB7CB5" w14:textId="3F0B18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177BEF" w:rsidRPr="008D5A8C" w14:paraId="27B3C7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D7606B" w:rsidRPr="008D5A8C" w14:paraId="6A562BC4" w14:textId="1BBC37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r w:rsidRPr="008D5A8C">
        <w:rPr>
          <w:b/>
          <w:snapToGrid w:val="0"/>
          <w:color w:val="000000"/>
          <w:sz w:val="25"/>
          <w:szCs w:val="25"/>
        </w:rPr>
        <w:t>14.  Estimates of annualized cost to the federal government</w:t>
      </w:r>
      <w:r w:rsidR="00256577">
        <w:rPr>
          <w:b/>
          <w:snapToGrid w:val="0"/>
          <w:color w:val="000000"/>
          <w:sz w:val="25"/>
          <w:szCs w:val="25"/>
        </w:rPr>
        <w:t xml:space="preserve"> (includes labor and IT)</w:t>
      </w:r>
      <w:r w:rsidRPr="008D5A8C">
        <w:rPr>
          <w:b/>
          <w:snapToGrid w:val="0"/>
          <w:color w:val="000000"/>
          <w:sz w:val="25"/>
          <w:szCs w:val="25"/>
        </w:rPr>
        <w:t>.</w:t>
      </w:r>
    </w:p>
    <w:p w:rsidR="00D7606B" w:rsidRPr="008D5A8C" w14:paraId="06D9EF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rsidR="00884E79" w:rsidRPr="008D5A8C" w:rsidP="008D5A8C" w14:paraId="71BFE7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Experience indicates that it takes approximately 4 labor-</w:t>
      </w:r>
      <w:r w:rsidRPr="008D5A8C" w:rsidR="008D5A8C">
        <w:rPr>
          <w:snapToGrid w:val="0"/>
          <w:color w:val="000000"/>
          <w:sz w:val="25"/>
          <w:szCs w:val="25"/>
        </w:rPr>
        <w:t>hours to review typical project</w:t>
      </w:r>
      <w:r w:rsidRPr="008D5A8C">
        <w:rPr>
          <w:snapToGrid w:val="0"/>
          <w:color w:val="000000"/>
          <w:sz w:val="25"/>
          <w:szCs w:val="25"/>
        </w:rPr>
        <w:t xml:space="preserve"> applications or proposals.  This assumes that the application is complete, noncontroversial, </w:t>
      </w:r>
    </w:p>
    <w:p w:rsidR="00884E79" w:rsidRPr="008D5A8C" w:rsidP="008D5A8C" w14:paraId="6A1EF0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and fundable.  </w:t>
      </w:r>
      <w:r w:rsidRPr="008D5A8C" w:rsidR="001C28EB">
        <w:rPr>
          <w:snapToGrid w:val="0"/>
          <w:color w:val="000000"/>
          <w:sz w:val="25"/>
          <w:szCs w:val="25"/>
        </w:rPr>
        <w:t xml:space="preserve">Although aspects of each application may be reviewed by many different </w:t>
      </w:r>
    </w:p>
    <w:p w:rsidR="00884E79" w:rsidRPr="008D5A8C" w:rsidP="008D5A8C" w14:paraId="3FFD7A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members of the FTA staff, from secretaries to the Administrator, it is estimated that the </w:t>
      </w:r>
    </w:p>
    <w:p w:rsidR="00282727" w:rsidP="008D5A8C" w14:paraId="57CD56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average level is GS-13 step </w:t>
      </w:r>
      <w:r w:rsidRPr="008D5A8C" w:rsidR="000E4D36">
        <w:rPr>
          <w:snapToGrid w:val="0"/>
          <w:color w:val="000000"/>
          <w:sz w:val="25"/>
          <w:szCs w:val="25"/>
        </w:rPr>
        <w:t>5, or $</w:t>
      </w:r>
      <w:r w:rsidR="00575E63">
        <w:rPr>
          <w:snapToGrid w:val="0"/>
          <w:color w:val="000000"/>
          <w:sz w:val="25"/>
          <w:szCs w:val="25"/>
        </w:rPr>
        <w:t>66.14</w:t>
      </w:r>
      <w:r w:rsidRPr="008D5A8C" w:rsidR="00790598">
        <w:rPr>
          <w:snapToGrid w:val="0"/>
          <w:color w:val="000000"/>
          <w:sz w:val="25"/>
          <w:szCs w:val="25"/>
        </w:rPr>
        <w:t xml:space="preserve"> (20</w:t>
      </w:r>
      <w:r w:rsidR="0026471E">
        <w:rPr>
          <w:snapToGrid w:val="0"/>
          <w:color w:val="000000"/>
          <w:sz w:val="25"/>
          <w:szCs w:val="25"/>
        </w:rPr>
        <w:t>2</w:t>
      </w:r>
      <w:r w:rsidR="00575E63">
        <w:rPr>
          <w:snapToGrid w:val="0"/>
          <w:color w:val="000000"/>
          <w:sz w:val="25"/>
          <w:szCs w:val="25"/>
        </w:rPr>
        <w:t>6</w:t>
      </w:r>
      <w:r w:rsidRPr="008D5A8C" w:rsidR="00790598">
        <w:rPr>
          <w:snapToGrid w:val="0"/>
          <w:color w:val="000000"/>
          <w:sz w:val="25"/>
          <w:szCs w:val="25"/>
        </w:rPr>
        <w:t xml:space="preserve"> GS pay rate with locality adjustment </w:t>
      </w:r>
      <w:r w:rsidRPr="008D5A8C" w:rsidR="008F0596">
        <w:rPr>
          <w:snapToGrid w:val="0"/>
          <w:color w:val="000000"/>
          <w:sz w:val="25"/>
          <w:szCs w:val="25"/>
        </w:rPr>
        <w:t>for the</w:t>
      </w:r>
      <w:r w:rsidRPr="008D5A8C" w:rsidR="00790598">
        <w:rPr>
          <w:snapToGrid w:val="0"/>
          <w:color w:val="000000"/>
          <w:sz w:val="25"/>
          <w:szCs w:val="25"/>
        </w:rPr>
        <w:t xml:space="preserve"> Washing</w:t>
      </w:r>
      <w:r w:rsidRPr="008D5A8C" w:rsidR="00884E79">
        <w:rPr>
          <w:snapToGrid w:val="0"/>
          <w:color w:val="000000"/>
          <w:sz w:val="25"/>
          <w:szCs w:val="25"/>
        </w:rPr>
        <w:t>ton</w:t>
      </w:r>
      <w:r w:rsidRPr="008D5A8C" w:rsidR="00790598">
        <w:rPr>
          <w:snapToGrid w:val="0"/>
          <w:color w:val="000000"/>
          <w:sz w:val="25"/>
          <w:szCs w:val="25"/>
        </w:rPr>
        <w:t xml:space="preserve">, D.C. </w:t>
      </w:r>
      <w:r w:rsidRPr="008D5A8C" w:rsidR="008F0596">
        <w:rPr>
          <w:snapToGrid w:val="0"/>
          <w:color w:val="000000"/>
          <w:sz w:val="25"/>
          <w:szCs w:val="25"/>
        </w:rPr>
        <w:t>area)</w:t>
      </w:r>
      <w:r w:rsidRPr="00CC384B" w:rsidR="00CC384B">
        <w:t xml:space="preserve"> </w:t>
      </w:r>
      <w:hyperlink r:id="rId8" w:history="1">
        <w:r w:rsidRPr="00575E63" w:rsidR="00575E63">
          <w:rPr>
            <w:color w:val="0000FF"/>
            <w:u w:val="single"/>
          </w:rPr>
          <w:t>DCB_h.pdf</w:t>
        </w:r>
      </w:hyperlink>
      <w:r w:rsidR="00575E63">
        <w:t xml:space="preserve"> </w:t>
      </w:r>
      <w:r w:rsidRPr="008D5A8C" w:rsidR="008F0596">
        <w:rPr>
          <w:snapToGrid w:val="0"/>
          <w:color w:val="000000"/>
          <w:sz w:val="25"/>
          <w:szCs w:val="25"/>
        </w:rPr>
        <w:t>per</w:t>
      </w:r>
      <w:r w:rsidRPr="008D5A8C" w:rsidR="000E4D36">
        <w:rPr>
          <w:snapToGrid w:val="0"/>
          <w:color w:val="000000"/>
          <w:sz w:val="25"/>
          <w:szCs w:val="25"/>
        </w:rPr>
        <w:t xml:space="preserve"> hour, or 4 labor-hours x $</w:t>
      </w:r>
      <w:r w:rsidR="00575E63">
        <w:rPr>
          <w:snapToGrid w:val="0"/>
          <w:color w:val="000000"/>
          <w:sz w:val="25"/>
          <w:szCs w:val="25"/>
        </w:rPr>
        <w:t>66.14</w:t>
      </w:r>
      <w:r w:rsidRPr="008D5A8C" w:rsidR="000E4D36">
        <w:rPr>
          <w:snapToGrid w:val="0"/>
          <w:color w:val="000000"/>
          <w:sz w:val="25"/>
          <w:szCs w:val="25"/>
        </w:rPr>
        <w:t xml:space="preserve"> per hour = $</w:t>
      </w:r>
      <w:r w:rsidRPr="008D5A8C" w:rsidR="00CD5916">
        <w:rPr>
          <w:snapToGrid w:val="0"/>
          <w:color w:val="000000"/>
          <w:sz w:val="25"/>
          <w:szCs w:val="25"/>
        </w:rPr>
        <w:t>2</w:t>
      </w:r>
      <w:r w:rsidR="00575E63">
        <w:rPr>
          <w:snapToGrid w:val="0"/>
          <w:color w:val="000000"/>
          <w:sz w:val="25"/>
          <w:szCs w:val="25"/>
        </w:rPr>
        <w:t>64.56</w:t>
      </w:r>
      <w:r w:rsidRPr="008D5A8C" w:rsidR="001C28EB">
        <w:rPr>
          <w:snapToGrid w:val="0"/>
          <w:color w:val="000000"/>
          <w:sz w:val="25"/>
          <w:szCs w:val="25"/>
        </w:rPr>
        <w:t xml:space="preserve"> </w:t>
      </w:r>
      <w:r w:rsidRPr="008D5A8C" w:rsidR="008F0596">
        <w:rPr>
          <w:snapToGrid w:val="0"/>
          <w:color w:val="000000"/>
          <w:sz w:val="25"/>
          <w:szCs w:val="25"/>
        </w:rPr>
        <w:t>per application</w:t>
      </w:r>
      <w:r w:rsidRPr="008D5A8C" w:rsidR="001C28EB">
        <w:rPr>
          <w:snapToGrid w:val="0"/>
          <w:color w:val="000000"/>
          <w:sz w:val="25"/>
          <w:szCs w:val="25"/>
        </w:rPr>
        <w:t xml:space="preserve">.  </w:t>
      </w:r>
      <w:r w:rsidRPr="008D5A8C" w:rsidR="00D7606B">
        <w:rPr>
          <w:snapToGrid w:val="0"/>
          <w:color w:val="000000"/>
          <w:sz w:val="25"/>
          <w:szCs w:val="25"/>
        </w:rPr>
        <w:t>Since FTA receives approximately</w:t>
      </w:r>
      <w:r w:rsidRPr="008D5A8C" w:rsidR="00790598">
        <w:rPr>
          <w:snapToGrid w:val="0"/>
          <w:color w:val="000000"/>
          <w:sz w:val="25"/>
          <w:szCs w:val="25"/>
        </w:rPr>
        <w:t xml:space="preserve"> </w:t>
      </w:r>
      <w:r w:rsidRPr="008D5A8C" w:rsidR="00E371ED">
        <w:rPr>
          <w:snapToGrid w:val="0"/>
          <w:color w:val="000000"/>
          <w:sz w:val="25"/>
          <w:szCs w:val="25"/>
        </w:rPr>
        <w:t>175</w:t>
      </w:r>
      <w:r w:rsidRPr="008D5A8C" w:rsidR="00D7606B">
        <w:rPr>
          <w:snapToGrid w:val="0"/>
          <w:color w:val="000000"/>
          <w:sz w:val="25"/>
          <w:szCs w:val="25"/>
        </w:rPr>
        <w:t xml:space="preserve"> applications each</w:t>
      </w:r>
      <w:r w:rsidRPr="008D5A8C" w:rsidR="0001158D">
        <w:rPr>
          <w:snapToGrid w:val="0"/>
          <w:color w:val="000000"/>
          <w:sz w:val="25"/>
          <w:szCs w:val="25"/>
        </w:rPr>
        <w:t xml:space="preserve"> y</w:t>
      </w:r>
      <w:r w:rsidRPr="008D5A8C" w:rsidR="008D5A8C">
        <w:rPr>
          <w:snapToGrid w:val="0"/>
          <w:color w:val="000000"/>
          <w:sz w:val="25"/>
          <w:szCs w:val="25"/>
        </w:rPr>
        <w:t xml:space="preserve">ear, the cost to the </w:t>
      </w:r>
      <w:r w:rsidRPr="008D5A8C" w:rsidR="0001158D">
        <w:rPr>
          <w:snapToGrid w:val="0"/>
          <w:color w:val="000000"/>
          <w:sz w:val="25"/>
          <w:szCs w:val="25"/>
        </w:rPr>
        <w:t>federal g</w:t>
      </w:r>
      <w:r w:rsidRPr="008D5A8C" w:rsidR="00D7606B">
        <w:rPr>
          <w:snapToGrid w:val="0"/>
          <w:color w:val="000000"/>
          <w:sz w:val="25"/>
          <w:szCs w:val="25"/>
        </w:rPr>
        <w:t>ove</w:t>
      </w:r>
      <w:r w:rsidRPr="008D5A8C" w:rsidR="000E4D36">
        <w:rPr>
          <w:snapToGrid w:val="0"/>
          <w:color w:val="000000"/>
          <w:sz w:val="25"/>
          <w:szCs w:val="25"/>
        </w:rPr>
        <w:t xml:space="preserve">rnment is </w:t>
      </w:r>
      <w:r w:rsidRPr="008D5A8C" w:rsidR="00E371ED">
        <w:rPr>
          <w:snapToGrid w:val="0"/>
          <w:color w:val="000000"/>
          <w:sz w:val="25"/>
          <w:szCs w:val="25"/>
        </w:rPr>
        <w:t>175</w:t>
      </w:r>
      <w:r w:rsidRPr="008D5A8C" w:rsidR="000E4D36">
        <w:rPr>
          <w:snapToGrid w:val="0"/>
          <w:color w:val="000000"/>
          <w:sz w:val="25"/>
          <w:szCs w:val="25"/>
        </w:rPr>
        <w:t xml:space="preserve"> applications x $</w:t>
      </w:r>
      <w:r w:rsidRPr="008D5A8C" w:rsidR="00CD5916">
        <w:rPr>
          <w:snapToGrid w:val="0"/>
          <w:color w:val="000000"/>
          <w:sz w:val="25"/>
          <w:szCs w:val="25"/>
        </w:rPr>
        <w:t>2</w:t>
      </w:r>
      <w:r w:rsidR="00575E63">
        <w:rPr>
          <w:snapToGrid w:val="0"/>
          <w:color w:val="000000"/>
          <w:sz w:val="25"/>
          <w:szCs w:val="25"/>
        </w:rPr>
        <w:t>64.56</w:t>
      </w:r>
      <w:r w:rsidRPr="008D5A8C" w:rsidR="000E4D36">
        <w:rPr>
          <w:snapToGrid w:val="0"/>
          <w:color w:val="000000"/>
          <w:sz w:val="25"/>
          <w:szCs w:val="25"/>
        </w:rPr>
        <w:t xml:space="preserve"> per application = $</w:t>
      </w:r>
      <w:r w:rsidR="0026471E">
        <w:rPr>
          <w:snapToGrid w:val="0"/>
          <w:color w:val="000000"/>
          <w:sz w:val="25"/>
          <w:szCs w:val="25"/>
        </w:rPr>
        <w:t>4</w:t>
      </w:r>
      <w:r w:rsidR="00575E63">
        <w:rPr>
          <w:snapToGrid w:val="0"/>
          <w:color w:val="000000"/>
          <w:sz w:val="25"/>
          <w:szCs w:val="25"/>
        </w:rPr>
        <w:t>6,298</w:t>
      </w:r>
    </w:p>
    <w:p w:rsidR="00282727" w:rsidP="008D5A8C" w14:paraId="0095F7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A79A3" w:rsidP="008D5A8C" w14:paraId="16FF431B" w14:textId="7B8A38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transit research</w:t>
      </w:r>
      <w:r w:rsidRPr="008D5A8C" w:rsidR="00E371ED">
        <w:rPr>
          <w:snapToGrid w:val="0"/>
          <w:color w:val="000000"/>
          <w:sz w:val="25"/>
          <w:szCs w:val="25"/>
        </w:rPr>
        <w:t>, training, technical assistance, workforce, and standards</w:t>
      </w:r>
      <w:r w:rsidRPr="008D5A8C">
        <w:rPr>
          <w:snapToGrid w:val="0"/>
          <w:color w:val="000000"/>
          <w:sz w:val="25"/>
          <w:szCs w:val="25"/>
        </w:rPr>
        <w:t xml:space="preserve"> program</w:t>
      </w:r>
      <w:r w:rsidRPr="008D5A8C" w:rsidR="00E371ED">
        <w:rPr>
          <w:snapToGrid w:val="0"/>
          <w:color w:val="000000"/>
          <w:sz w:val="25"/>
          <w:szCs w:val="25"/>
        </w:rPr>
        <w:t xml:space="preserve">s cover </w:t>
      </w:r>
      <w:r w:rsidRPr="008D5A8C">
        <w:rPr>
          <w:snapToGrid w:val="0"/>
          <w:color w:val="000000"/>
          <w:sz w:val="25"/>
          <w:szCs w:val="25"/>
        </w:rPr>
        <w:t xml:space="preserve">virtually all areas of public transportation </w:t>
      </w:r>
      <w:r w:rsidRPr="008D5A8C" w:rsidR="008876AD">
        <w:rPr>
          <w:snapToGrid w:val="0"/>
          <w:color w:val="000000"/>
          <w:sz w:val="25"/>
          <w:szCs w:val="25"/>
        </w:rPr>
        <w:t>research,</w:t>
      </w:r>
      <w:r w:rsidRPr="008D5A8C">
        <w:rPr>
          <w:snapToGrid w:val="0"/>
          <w:color w:val="000000"/>
          <w:sz w:val="25"/>
          <w:szCs w:val="25"/>
        </w:rPr>
        <w:t xml:space="preserve"> and the federal government is the over</w:t>
      </w:r>
      <w:r w:rsidRPr="008D5A8C" w:rsidR="006E543A">
        <w:rPr>
          <w:snapToGrid w:val="0"/>
          <w:color w:val="000000"/>
          <w:sz w:val="25"/>
          <w:szCs w:val="25"/>
        </w:rPr>
        <w:t>whelming</w:t>
      </w:r>
      <w:r w:rsidRPr="008D5A8C" w:rsidR="00755D85">
        <w:rPr>
          <w:snapToGrid w:val="0"/>
          <w:color w:val="000000"/>
          <w:sz w:val="25"/>
          <w:szCs w:val="25"/>
        </w:rPr>
        <w:t xml:space="preserve"> </w:t>
      </w:r>
      <w:r w:rsidRPr="008D5A8C">
        <w:rPr>
          <w:snapToGrid w:val="0"/>
          <w:color w:val="000000"/>
          <w:sz w:val="25"/>
          <w:szCs w:val="25"/>
        </w:rPr>
        <w:t xml:space="preserve">source of funding for research in transit due to the publicly subsidized nature of the </w:t>
      </w:r>
      <w:r w:rsidRPr="008D5A8C" w:rsidR="006E543A">
        <w:rPr>
          <w:snapToGrid w:val="0"/>
          <w:color w:val="000000"/>
          <w:sz w:val="25"/>
          <w:szCs w:val="25"/>
        </w:rPr>
        <w:t>transit industry</w:t>
      </w:r>
      <w:r w:rsidRPr="008D5A8C">
        <w:rPr>
          <w:snapToGrid w:val="0"/>
          <w:color w:val="000000"/>
          <w:sz w:val="25"/>
          <w:szCs w:val="25"/>
        </w:rPr>
        <w:t>.  It is extremely difficult, if not impossible</w:t>
      </w:r>
      <w:r w:rsidRPr="008D5A8C" w:rsidR="00884E79">
        <w:rPr>
          <w:snapToGrid w:val="0"/>
          <w:color w:val="000000"/>
          <w:sz w:val="25"/>
          <w:szCs w:val="25"/>
        </w:rPr>
        <w:t>,</w:t>
      </w:r>
      <w:r w:rsidRPr="008D5A8C">
        <w:rPr>
          <w:snapToGrid w:val="0"/>
          <w:color w:val="000000"/>
          <w:sz w:val="25"/>
          <w:szCs w:val="25"/>
        </w:rPr>
        <w:t xml:space="preserve"> to re</w:t>
      </w:r>
      <w:r w:rsidRPr="008D5A8C" w:rsidR="006E543A">
        <w:rPr>
          <w:snapToGrid w:val="0"/>
          <w:color w:val="000000"/>
          <w:sz w:val="25"/>
          <w:szCs w:val="25"/>
        </w:rPr>
        <w:t>duce the number of projects, as</w:t>
      </w:r>
      <w:r w:rsidRPr="008D5A8C" w:rsidR="00755D85">
        <w:rPr>
          <w:snapToGrid w:val="0"/>
          <w:color w:val="000000"/>
          <w:sz w:val="25"/>
          <w:szCs w:val="25"/>
        </w:rPr>
        <w:t xml:space="preserve"> </w:t>
      </w:r>
      <w:r w:rsidRPr="008D5A8C">
        <w:rPr>
          <w:snapToGrid w:val="0"/>
          <w:color w:val="000000"/>
          <w:sz w:val="25"/>
          <w:szCs w:val="25"/>
        </w:rPr>
        <w:t>each project is completely unique and addresses a different area of critical need.</w:t>
      </w:r>
      <w:r w:rsidRPr="008D5A8C" w:rsidR="00CD5916">
        <w:rPr>
          <w:snapToGrid w:val="0"/>
          <w:color w:val="000000"/>
          <w:sz w:val="25"/>
          <w:szCs w:val="25"/>
        </w:rPr>
        <w:t xml:space="preserve"> In addition, transformative technologies are creating fundamental changes to public transportation operations and capital, thus</w:t>
      </w:r>
      <w:r w:rsidRPr="008D5A8C" w:rsidR="006E543A">
        <w:rPr>
          <w:snapToGrid w:val="0"/>
          <w:color w:val="000000"/>
          <w:sz w:val="25"/>
          <w:szCs w:val="25"/>
        </w:rPr>
        <w:t xml:space="preserve"> necessitating</w:t>
      </w:r>
      <w:r w:rsidRPr="008D5A8C" w:rsidR="00CD5916">
        <w:rPr>
          <w:snapToGrid w:val="0"/>
          <w:color w:val="000000"/>
          <w:sz w:val="25"/>
          <w:szCs w:val="25"/>
        </w:rPr>
        <w:t xml:space="preserve"> more opportunities to test out new processes and products. </w:t>
      </w:r>
    </w:p>
    <w:p w:rsidR="0026471E" w:rsidP="008D5A8C" w14:paraId="73B575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P="008D5A8C" w14:paraId="46665317" w14:textId="372A7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cost to the federal government to manage new and previously approved projects is estimated as follows:</w:t>
      </w:r>
    </w:p>
    <w:p w:rsidR="00CB06B4" w:rsidP="008D5A8C" w14:paraId="5E8E81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CB06B4" w:rsidRPr="00282727" w:rsidP="00CB06B4" w14:paraId="1C083E44" w14:textId="448D3D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926A20">
        <w:rPr>
          <w:snapToGrid w:val="0"/>
          <w:color w:val="000000"/>
          <w:sz w:val="25"/>
          <w:szCs w:val="25"/>
          <w:u w:val="single"/>
        </w:rPr>
        <w:t>Application Review:</w:t>
      </w:r>
      <w:r>
        <w:rPr>
          <w:snapToGrid w:val="0"/>
          <w:color w:val="000000"/>
          <w:sz w:val="25"/>
          <w:szCs w:val="25"/>
        </w:rPr>
        <w:t xml:space="preserve">  Receive and review </w:t>
      </w:r>
      <w:r w:rsidRPr="008D5A8C">
        <w:rPr>
          <w:snapToGrid w:val="0"/>
          <w:color w:val="000000"/>
          <w:sz w:val="25"/>
          <w:szCs w:val="25"/>
        </w:rPr>
        <w:t>approximately 175 applications each year, the cost to the federal government is 175 applications x $2</w:t>
      </w:r>
      <w:r w:rsidR="00282727">
        <w:rPr>
          <w:snapToGrid w:val="0"/>
          <w:color w:val="000000"/>
          <w:sz w:val="25"/>
          <w:szCs w:val="25"/>
        </w:rPr>
        <w:t>64.56</w:t>
      </w:r>
      <w:r w:rsidRPr="008D5A8C">
        <w:rPr>
          <w:snapToGrid w:val="0"/>
          <w:color w:val="000000"/>
          <w:sz w:val="25"/>
          <w:szCs w:val="25"/>
        </w:rPr>
        <w:t xml:space="preserve"> per application = </w:t>
      </w:r>
      <w:r w:rsidRPr="00282727">
        <w:rPr>
          <w:snapToGrid w:val="0"/>
          <w:color w:val="000000"/>
          <w:sz w:val="25"/>
          <w:szCs w:val="25"/>
          <w:u w:val="single"/>
        </w:rPr>
        <w:t>$</w:t>
      </w:r>
      <w:r w:rsidRPr="00282727" w:rsidR="008F5C8A">
        <w:rPr>
          <w:snapToGrid w:val="0"/>
          <w:color w:val="000000"/>
          <w:sz w:val="25"/>
          <w:szCs w:val="25"/>
          <w:u w:val="single"/>
        </w:rPr>
        <w:t>4</w:t>
      </w:r>
      <w:r w:rsidRPr="00282727" w:rsidR="00282727">
        <w:rPr>
          <w:snapToGrid w:val="0"/>
          <w:color w:val="000000"/>
          <w:sz w:val="25"/>
          <w:szCs w:val="25"/>
          <w:u w:val="single"/>
        </w:rPr>
        <w:t>6,298</w:t>
      </w:r>
    </w:p>
    <w:p w:rsidR="00CB06B4" w:rsidRPr="008D5A8C" w:rsidP="008D5A8C" w14:paraId="034980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CB06B4" w:rsidP="008D5A8C" w14:paraId="35CE121A" w14:textId="45E38B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Quarterly Progress Reports:</w:t>
      </w:r>
      <w:r w:rsidRPr="008D5A8C">
        <w:rPr>
          <w:snapToGrid w:val="0"/>
          <w:color w:val="000000"/>
          <w:sz w:val="25"/>
          <w:szCs w:val="25"/>
        </w:rPr>
        <w:t xml:space="preserve">   Review of a typical progress report should be completed within an hour by a GS-13</w:t>
      </w:r>
      <w:r w:rsidR="00282727">
        <w:rPr>
          <w:snapToGrid w:val="0"/>
          <w:color w:val="000000"/>
          <w:sz w:val="25"/>
          <w:szCs w:val="25"/>
        </w:rPr>
        <w:t xml:space="preserve"> Step </w:t>
      </w:r>
      <w:r w:rsidRPr="008D5A8C" w:rsidR="003876D0">
        <w:rPr>
          <w:snapToGrid w:val="0"/>
          <w:color w:val="000000"/>
          <w:sz w:val="25"/>
          <w:szCs w:val="25"/>
        </w:rPr>
        <w:t>5</w:t>
      </w:r>
      <w:r w:rsidRPr="008D5A8C">
        <w:rPr>
          <w:snapToGrid w:val="0"/>
          <w:color w:val="000000"/>
          <w:sz w:val="25"/>
          <w:szCs w:val="25"/>
        </w:rPr>
        <w:t>.  There are a</w:t>
      </w:r>
      <w:r w:rsidR="00CC384B">
        <w:rPr>
          <w:snapToGrid w:val="0"/>
          <w:color w:val="000000"/>
          <w:sz w:val="25"/>
          <w:szCs w:val="25"/>
        </w:rPr>
        <w:t>pproximately</w:t>
      </w:r>
      <w:r w:rsidRPr="008D5A8C">
        <w:rPr>
          <w:snapToGrid w:val="0"/>
          <w:color w:val="000000"/>
          <w:sz w:val="25"/>
          <w:szCs w:val="25"/>
        </w:rPr>
        <w:t xml:space="preserve"> </w:t>
      </w:r>
      <w:r w:rsidRPr="008D5A8C" w:rsidR="00CD5916">
        <w:rPr>
          <w:snapToGrid w:val="0"/>
          <w:color w:val="000000"/>
          <w:sz w:val="25"/>
          <w:szCs w:val="25"/>
        </w:rPr>
        <w:t>150</w:t>
      </w:r>
      <w:r w:rsidRPr="008D5A8C">
        <w:rPr>
          <w:snapToGrid w:val="0"/>
          <w:color w:val="000000"/>
          <w:sz w:val="25"/>
          <w:szCs w:val="25"/>
        </w:rPr>
        <w:t xml:space="preserve"> active projects requiring 4 reports per year</w:t>
      </w:r>
      <w:r w:rsidR="00CC384B">
        <w:rPr>
          <w:snapToGrid w:val="0"/>
          <w:color w:val="000000"/>
          <w:sz w:val="25"/>
          <w:szCs w:val="25"/>
        </w:rPr>
        <w:t xml:space="preserve"> for a total of 600 reports</w:t>
      </w:r>
      <w:r w:rsidRPr="008D5A8C">
        <w:rPr>
          <w:snapToGrid w:val="0"/>
          <w:color w:val="000000"/>
          <w:sz w:val="25"/>
          <w:szCs w:val="25"/>
        </w:rPr>
        <w:t xml:space="preserve">; </w:t>
      </w:r>
      <w:r w:rsidRPr="00CB06B4">
        <w:rPr>
          <w:snapToGrid w:val="0"/>
          <w:color w:val="000000"/>
          <w:sz w:val="25"/>
          <w:szCs w:val="25"/>
        </w:rPr>
        <w:t xml:space="preserve">therefore, </w:t>
      </w:r>
      <w:r w:rsidRPr="00CB06B4" w:rsidR="00CD5916">
        <w:rPr>
          <w:snapToGrid w:val="0"/>
          <w:color w:val="000000"/>
          <w:sz w:val="25"/>
          <w:szCs w:val="25"/>
        </w:rPr>
        <w:t>600</w:t>
      </w:r>
      <w:r w:rsidRPr="00CB06B4">
        <w:rPr>
          <w:snapToGrid w:val="0"/>
          <w:color w:val="000000"/>
          <w:sz w:val="25"/>
          <w:szCs w:val="25"/>
        </w:rPr>
        <w:t xml:space="preserve"> x $</w:t>
      </w:r>
      <w:r w:rsidR="00282727">
        <w:rPr>
          <w:snapToGrid w:val="0"/>
          <w:color w:val="000000"/>
          <w:sz w:val="25"/>
          <w:szCs w:val="25"/>
        </w:rPr>
        <w:t>66.14</w:t>
      </w:r>
      <w:r w:rsidRPr="00CB06B4" w:rsidR="000E4D36">
        <w:rPr>
          <w:snapToGrid w:val="0"/>
          <w:color w:val="000000"/>
          <w:sz w:val="25"/>
          <w:szCs w:val="25"/>
        </w:rPr>
        <w:t xml:space="preserve"> = </w:t>
      </w:r>
      <w:r w:rsidRPr="00282727" w:rsidR="000E4D36">
        <w:rPr>
          <w:snapToGrid w:val="0"/>
          <w:color w:val="000000"/>
          <w:sz w:val="25"/>
          <w:szCs w:val="25"/>
          <w:u w:val="single"/>
        </w:rPr>
        <w:t>$3</w:t>
      </w:r>
      <w:r w:rsidRPr="00282727" w:rsidR="00282727">
        <w:rPr>
          <w:snapToGrid w:val="0"/>
          <w:color w:val="000000"/>
          <w:sz w:val="25"/>
          <w:szCs w:val="25"/>
          <w:u w:val="single"/>
        </w:rPr>
        <w:t>9,684</w:t>
      </w:r>
      <w:r w:rsidRPr="00CB06B4" w:rsidR="003876D0">
        <w:rPr>
          <w:snapToGrid w:val="0"/>
          <w:color w:val="000000"/>
          <w:sz w:val="25"/>
          <w:szCs w:val="25"/>
        </w:rPr>
        <w:t xml:space="preserve"> </w:t>
      </w:r>
      <w:r w:rsidRPr="00CB06B4" w:rsidR="00D7244B">
        <w:rPr>
          <w:snapToGrid w:val="0"/>
          <w:color w:val="000000"/>
          <w:sz w:val="25"/>
          <w:szCs w:val="25"/>
        </w:rPr>
        <w:t>annually</w:t>
      </w:r>
      <w:r w:rsidRPr="00CB06B4">
        <w:rPr>
          <w:snapToGrid w:val="0"/>
          <w:color w:val="000000"/>
          <w:sz w:val="25"/>
          <w:szCs w:val="25"/>
        </w:rPr>
        <w:t>.</w:t>
      </w:r>
    </w:p>
    <w:p w:rsidR="00D7606B" w:rsidRPr="00CB06B4" w14:paraId="3D9950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D7606B" w:rsidRPr="00CB06B4" w:rsidP="008D5A8C" w14:paraId="3DB71185" w14:textId="6B38C7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u w:val="single"/>
        </w:rPr>
        <w:t>Financial Status Reports:</w:t>
      </w:r>
      <w:r w:rsidRPr="00CB06B4">
        <w:rPr>
          <w:snapToGrid w:val="0"/>
          <w:color w:val="000000"/>
          <w:sz w:val="25"/>
          <w:szCs w:val="25"/>
        </w:rPr>
        <w:t xml:space="preserve">   Review of a typical Financial Status Report takes less than 1/2 hour by a GS-13</w:t>
      </w:r>
      <w:r w:rsidRPr="00CB06B4" w:rsidR="00E2157C">
        <w:rPr>
          <w:snapToGrid w:val="0"/>
          <w:color w:val="000000"/>
          <w:sz w:val="25"/>
          <w:szCs w:val="25"/>
        </w:rPr>
        <w:t>/5</w:t>
      </w:r>
      <w:r w:rsidRPr="00CB06B4">
        <w:rPr>
          <w:snapToGrid w:val="0"/>
          <w:color w:val="000000"/>
          <w:sz w:val="25"/>
          <w:szCs w:val="25"/>
        </w:rPr>
        <w:t xml:space="preserve"> with an hourly wage of $</w:t>
      </w:r>
      <w:r w:rsidR="00282727">
        <w:rPr>
          <w:snapToGrid w:val="0"/>
          <w:color w:val="000000"/>
          <w:sz w:val="25"/>
          <w:szCs w:val="25"/>
        </w:rPr>
        <w:t>66.14</w:t>
      </w:r>
      <w:r>
        <w:rPr>
          <w:snapToGrid w:val="0"/>
          <w:color w:val="000000"/>
          <w:sz w:val="25"/>
          <w:szCs w:val="25"/>
        </w:rPr>
        <w:t xml:space="preserve"> (30 mins = $</w:t>
      </w:r>
      <w:r w:rsidR="00282727">
        <w:rPr>
          <w:snapToGrid w:val="0"/>
          <w:color w:val="000000"/>
          <w:sz w:val="25"/>
          <w:szCs w:val="25"/>
        </w:rPr>
        <w:t>33.07</w:t>
      </w:r>
      <w:r>
        <w:rPr>
          <w:snapToGrid w:val="0"/>
          <w:color w:val="000000"/>
          <w:sz w:val="25"/>
          <w:szCs w:val="25"/>
        </w:rPr>
        <w:t>)</w:t>
      </w:r>
      <w:r w:rsidRPr="00CB06B4">
        <w:rPr>
          <w:snapToGrid w:val="0"/>
          <w:color w:val="000000"/>
          <w:sz w:val="25"/>
          <w:szCs w:val="25"/>
        </w:rPr>
        <w:t xml:space="preserve">.  Since there are approximately </w:t>
      </w:r>
      <w:r w:rsidRPr="00CB06B4" w:rsidR="00CD5916">
        <w:rPr>
          <w:snapToGrid w:val="0"/>
          <w:color w:val="000000"/>
          <w:sz w:val="25"/>
          <w:szCs w:val="25"/>
        </w:rPr>
        <w:t>15</w:t>
      </w:r>
      <w:r w:rsidRPr="00CB06B4">
        <w:rPr>
          <w:snapToGrid w:val="0"/>
          <w:color w:val="000000"/>
          <w:sz w:val="25"/>
          <w:szCs w:val="25"/>
        </w:rPr>
        <w:t xml:space="preserve">0 projects requiring four reports per year, the cost is </w:t>
      </w:r>
      <w:r w:rsidRPr="00CB06B4" w:rsidR="00CD5916">
        <w:rPr>
          <w:snapToGrid w:val="0"/>
          <w:color w:val="000000"/>
          <w:sz w:val="25"/>
          <w:szCs w:val="25"/>
        </w:rPr>
        <w:t>6</w:t>
      </w:r>
      <w:r w:rsidRPr="00CB06B4">
        <w:rPr>
          <w:snapToGrid w:val="0"/>
          <w:color w:val="000000"/>
          <w:sz w:val="25"/>
          <w:szCs w:val="25"/>
        </w:rPr>
        <w:t>00 x</w:t>
      </w:r>
      <w:r>
        <w:rPr>
          <w:snapToGrid w:val="0"/>
          <w:color w:val="000000"/>
          <w:sz w:val="25"/>
          <w:szCs w:val="25"/>
        </w:rPr>
        <w:t xml:space="preserve"> $</w:t>
      </w:r>
      <w:r w:rsidR="00282727">
        <w:rPr>
          <w:snapToGrid w:val="0"/>
          <w:color w:val="000000"/>
          <w:sz w:val="25"/>
          <w:szCs w:val="25"/>
        </w:rPr>
        <w:t>33.07</w:t>
      </w:r>
      <w:r w:rsidRPr="00CB06B4" w:rsidR="000E4D36">
        <w:rPr>
          <w:snapToGrid w:val="0"/>
          <w:color w:val="000000"/>
          <w:sz w:val="25"/>
          <w:szCs w:val="25"/>
        </w:rPr>
        <w:t xml:space="preserve"> = </w:t>
      </w:r>
      <w:r w:rsidRPr="00282727">
        <w:rPr>
          <w:snapToGrid w:val="0"/>
          <w:color w:val="000000"/>
          <w:sz w:val="25"/>
          <w:szCs w:val="25"/>
          <w:u w:val="single"/>
        </w:rPr>
        <w:t>$</w:t>
      </w:r>
      <w:r w:rsidRPr="00282727" w:rsidR="00282727">
        <w:rPr>
          <w:snapToGrid w:val="0"/>
          <w:color w:val="000000"/>
          <w:sz w:val="25"/>
          <w:szCs w:val="25"/>
          <w:u w:val="single"/>
        </w:rPr>
        <w:t>19,842</w:t>
      </w:r>
      <w:r w:rsidRPr="00282727">
        <w:rPr>
          <w:snapToGrid w:val="0"/>
          <w:color w:val="000000"/>
          <w:sz w:val="25"/>
          <w:szCs w:val="25"/>
          <w:u w:val="single"/>
        </w:rPr>
        <w:t xml:space="preserve"> </w:t>
      </w:r>
      <w:r w:rsidRPr="00CB06B4">
        <w:rPr>
          <w:snapToGrid w:val="0"/>
          <w:color w:val="000000"/>
          <w:sz w:val="25"/>
          <w:szCs w:val="25"/>
        </w:rPr>
        <w:t>annually.</w:t>
      </w:r>
    </w:p>
    <w:p w:rsidR="00D7606B" w:rsidRPr="00CB06B4" w14:paraId="3327FD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B775A0" w:rsidP="008D5A8C" w14:paraId="2186431B" w14:textId="600839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u w:val="single"/>
        </w:rPr>
        <w:t>Vouchers and Requests for Payment</w:t>
      </w:r>
      <w:r w:rsidRPr="00CB06B4">
        <w:rPr>
          <w:snapToGrid w:val="0"/>
          <w:color w:val="000000"/>
          <w:sz w:val="25"/>
          <w:szCs w:val="25"/>
        </w:rPr>
        <w:t xml:space="preserve">:  Review of a typical voucher or request for payment requires about one hour of work collectively by an accounting technicians, administrative assistant and program manager. </w:t>
      </w:r>
      <w:r>
        <w:rPr>
          <w:snapToGrid w:val="0"/>
          <w:color w:val="000000"/>
          <w:sz w:val="25"/>
          <w:szCs w:val="25"/>
        </w:rPr>
        <w:t xml:space="preserve"> There are 150 active vouchers.</w:t>
      </w:r>
      <w:r w:rsidRPr="00CB06B4">
        <w:rPr>
          <w:snapToGrid w:val="0"/>
          <w:color w:val="000000"/>
          <w:sz w:val="25"/>
          <w:szCs w:val="25"/>
        </w:rPr>
        <w:t xml:space="preserve"> Assuming a composite average grade of </w:t>
      </w:r>
      <w:r w:rsidRPr="00CB06B4" w:rsidR="001A4000">
        <w:rPr>
          <w:snapToGrid w:val="0"/>
          <w:color w:val="000000"/>
          <w:sz w:val="25"/>
          <w:szCs w:val="25"/>
        </w:rPr>
        <w:t>G</w:t>
      </w:r>
      <w:r w:rsidRPr="00CB06B4" w:rsidR="000E4D36">
        <w:rPr>
          <w:snapToGrid w:val="0"/>
          <w:color w:val="000000"/>
          <w:sz w:val="25"/>
          <w:szCs w:val="25"/>
        </w:rPr>
        <w:t>S-11</w:t>
      </w:r>
      <w:r w:rsidR="00282727">
        <w:rPr>
          <w:snapToGrid w:val="0"/>
          <w:color w:val="000000"/>
          <w:sz w:val="25"/>
          <w:szCs w:val="25"/>
        </w:rPr>
        <w:t xml:space="preserve"> Step </w:t>
      </w:r>
      <w:r w:rsidRPr="00CB06B4" w:rsidR="000E4D36">
        <w:rPr>
          <w:snapToGrid w:val="0"/>
          <w:color w:val="000000"/>
          <w:sz w:val="25"/>
          <w:szCs w:val="25"/>
        </w:rPr>
        <w:t>5</w:t>
      </w:r>
      <w:r w:rsidR="003F51EC">
        <w:rPr>
          <w:snapToGrid w:val="0"/>
          <w:color w:val="000000"/>
          <w:sz w:val="25"/>
          <w:szCs w:val="25"/>
        </w:rPr>
        <w:t xml:space="preserve"> </w:t>
      </w:r>
      <w:r w:rsidRPr="00CB06B4" w:rsidR="000E4D36">
        <w:rPr>
          <w:snapToGrid w:val="0"/>
          <w:color w:val="000000"/>
          <w:sz w:val="25"/>
          <w:szCs w:val="25"/>
        </w:rPr>
        <w:t>, an hourly rate of $</w:t>
      </w:r>
      <w:r w:rsidR="008F5C8A">
        <w:rPr>
          <w:snapToGrid w:val="0"/>
          <w:color w:val="000000"/>
          <w:sz w:val="25"/>
          <w:szCs w:val="25"/>
        </w:rPr>
        <w:t>4</w:t>
      </w:r>
      <w:r w:rsidR="00282727">
        <w:rPr>
          <w:snapToGrid w:val="0"/>
          <w:color w:val="000000"/>
          <w:sz w:val="25"/>
          <w:szCs w:val="25"/>
        </w:rPr>
        <w:t>6.40</w:t>
      </w:r>
      <w:r>
        <w:rPr>
          <w:snapToGrid w:val="0"/>
          <w:color w:val="000000"/>
          <w:sz w:val="25"/>
          <w:szCs w:val="25"/>
        </w:rPr>
        <w:t xml:space="preserve"> </w:t>
      </w:r>
      <w:hyperlink r:id="rId8" w:history="1">
        <w:r w:rsidRPr="00282727" w:rsidR="00282727">
          <w:rPr>
            <w:color w:val="0000FF"/>
            <w:u w:val="single"/>
          </w:rPr>
          <w:t>DCB_h.pdf</w:t>
        </w:r>
      </w:hyperlink>
      <w:r w:rsidR="00282727">
        <w:t xml:space="preserve"> </w:t>
      </w:r>
      <w:r>
        <w:rPr>
          <w:snapToGrid w:val="0"/>
          <w:color w:val="000000"/>
          <w:sz w:val="25"/>
          <w:szCs w:val="25"/>
        </w:rPr>
        <w:t xml:space="preserve">with disbursement each month for each voucher for a total of </w:t>
      </w:r>
      <w:r>
        <w:rPr>
          <w:snapToGrid w:val="0"/>
          <w:color w:val="000000"/>
          <w:sz w:val="25"/>
          <w:szCs w:val="25"/>
        </w:rPr>
        <w:t>1,800 vouchers and request for payments. (1,800 vouchers x $</w:t>
      </w:r>
      <w:r w:rsidR="008F5C8A">
        <w:rPr>
          <w:snapToGrid w:val="0"/>
          <w:color w:val="000000"/>
          <w:sz w:val="25"/>
          <w:szCs w:val="25"/>
        </w:rPr>
        <w:t>4</w:t>
      </w:r>
      <w:r w:rsidR="00282727">
        <w:rPr>
          <w:snapToGrid w:val="0"/>
          <w:color w:val="000000"/>
          <w:sz w:val="25"/>
          <w:szCs w:val="25"/>
        </w:rPr>
        <w:t>6.40)</w:t>
      </w:r>
      <w:r>
        <w:rPr>
          <w:snapToGrid w:val="0"/>
          <w:color w:val="000000"/>
          <w:sz w:val="25"/>
          <w:szCs w:val="25"/>
        </w:rPr>
        <w:t xml:space="preserve"> = </w:t>
      </w:r>
      <w:r w:rsidRPr="00282727">
        <w:rPr>
          <w:snapToGrid w:val="0"/>
          <w:color w:val="000000"/>
          <w:sz w:val="25"/>
          <w:szCs w:val="25"/>
          <w:u w:val="single"/>
        </w:rPr>
        <w:t>$</w:t>
      </w:r>
      <w:r w:rsidRPr="00282727" w:rsidR="00282727">
        <w:rPr>
          <w:snapToGrid w:val="0"/>
          <w:color w:val="000000"/>
          <w:sz w:val="25"/>
          <w:szCs w:val="25"/>
          <w:u w:val="single"/>
        </w:rPr>
        <w:t>8</w:t>
      </w:r>
      <w:r w:rsidRPr="00282727" w:rsidR="008F5C8A">
        <w:rPr>
          <w:snapToGrid w:val="0"/>
          <w:color w:val="000000"/>
          <w:sz w:val="25"/>
          <w:szCs w:val="25"/>
          <w:u w:val="single"/>
        </w:rPr>
        <w:t>3,</w:t>
      </w:r>
      <w:r w:rsidRPr="00282727" w:rsidR="00282727">
        <w:rPr>
          <w:snapToGrid w:val="0"/>
          <w:color w:val="000000"/>
          <w:sz w:val="25"/>
          <w:szCs w:val="25"/>
          <w:u w:val="single"/>
        </w:rPr>
        <w:t>520</w:t>
      </w:r>
      <w:r w:rsidR="008F5C8A">
        <w:rPr>
          <w:snapToGrid w:val="0"/>
          <w:color w:val="000000"/>
          <w:sz w:val="25"/>
          <w:szCs w:val="25"/>
        </w:rPr>
        <w:t>.</w:t>
      </w:r>
    </w:p>
    <w:p w:rsidR="008F5C8A" w:rsidP="008D5A8C" w14:paraId="73317D79" w14:textId="4CA773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8F5C8A" w:rsidP="008D5A8C" w14:paraId="4EF7BF3B" w14:textId="573A5C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Approximately 20% of the TrAMS support contract is dedicated to system maintenance relevant to federal grant review.  Given this</w:t>
      </w:r>
      <w:r w:rsidR="00177BEF">
        <w:rPr>
          <w:snapToGrid w:val="0"/>
          <w:color w:val="000000"/>
          <w:sz w:val="25"/>
          <w:szCs w:val="25"/>
        </w:rPr>
        <w:t>,</w:t>
      </w:r>
      <w:r>
        <w:rPr>
          <w:snapToGrid w:val="0"/>
          <w:color w:val="000000"/>
          <w:sz w:val="25"/>
          <w:szCs w:val="25"/>
        </w:rPr>
        <w:t xml:space="preserve"> the costs associated with any individual </w:t>
      </w:r>
      <w:r w:rsidR="00177BEF">
        <w:rPr>
          <w:snapToGrid w:val="0"/>
          <w:color w:val="000000"/>
          <w:sz w:val="25"/>
          <w:szCs w:val="25"/>
        </w:rPr>
        <w:t xml:space="preserve">review of a program that </w:t>
      </w:r>
      <w:r>
        <w:rPr>
          <w:snapToGrid w:val="0"/>
          <w:color w:val="000000"/>
          <w:sz w:val="25"/>
          <w:szCs w:val="25"/>
        </w:rPr>
        <w:t xml:space="preserve">would be approximately </w:t>
      </w:r>
      <w:r w:rsidRPr="00A81C61">
        <w:rPr>
          <w:b/>
          <w:bCs/>
          <w:snapToGrid w:val="0"/>
          <w:color w:val="000000"/>
          <w:sz w:val="25"/>
          <w:szCs w:val="25"/>
          <w:u w:val="single"/>
        </w:rPr>
        <w:t>$</w:t>
      </w:r>
      <w:r w:rsidRPr="00A81C61">
        <w:rPr>
          <w:snapToGrid w:val="0"/>
          <w:color w:val="000000"/>
          <w:sz w:val="25"/>
          <w:szCs w:val="25"/>
          <w:u w:val="single"/>
        </w:rPr>
        <w:t>40,000</w:t>
      </w:r>
      <w:r w:rsidR="00177BEF">
        <w:rPr>
          <w:b/>
          <w:bCs/>
          <w:snapToGrid w:val="0"/>
          <w:color w:val="000000"/>
          <w:sz w:val="25"/>
          <w:szCs w:val="25"/>
        </w:rPr>
        <w:t xml:space="preserve"> </w:t>
      </w:r>
      <w:r w:rsidRPr="00177BEF" w:rsidR="00177BEF">
        <w:rPr>
          <w:snapToGrid w:val="0"/>
          <w:color w:val="000000"/>
          <w:sz w:val="25"/>
          <w:szCs w:val="25"/>
        </w:rPr>
        <w:t>annually</w:t>
      </w:r>
      <w:r w:rsidRPr="00177BEF">
        <w:rPr>
          <w:snapToGrid w:val="0"/>
          <w:color w:val="000000"/>
          <w:sz w:val="25"/>
          <w:szCs w:val="25"/>
        </w:rPr>
        <w:t>.</w:t>
      </w:r>
      <w:r>
        <w:rPr>
          <w:snapToGrid w:val="0"/>
          <w:color w:val="000000"/>
          <w:sz w:val="25"/>
          <w:szCs w:val="25"/>
        </w:rPr>
        <w:t xml:space="preserve"> </w:t>
      </w:r>
    </w:p>
    <w:p w:rsidR="00A81C61" w:rsidP="008D5A8C" w14:paraId="2976A5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4323E" w:rsidRPr="00CB06B4" w:rsidP="008D5A8C" w14:paraId="78BC4CB2" w14:textId="5FC1D0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 xml:space="preserve">In summary, the total annual cost to the federal government for reviewing these reports,  </w:t>
      </w:r>
    </w:p>
    <w:p w:rsidR="00A81C61" w:rsidP="008D5A8C" w14:paraId="448023D8" w14:textId="42251A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request</w:t>
      </w:r>
      <w:r w:rsidRPr="00CB06B4" w:rsidR="00223092">
        <w:rPr>
          <w:snapToGrid w:val="0"/>
          <w:color w:val="000000"/>
          <w:sz w:val="25"/>
          <w:szCs w:val="25"/>
        </w:rPr>
        <w:t>s</w:t>
      </w:r>
      <w:r w:rsidRPr="00CB06B4">
        <w:rPr>
          <w:snapToGrid w:val="0"/>
          <w:color w:val="000000"/>
          <w:sz w:val="25"/>
          <w:szCs w:val="25"/>
        </w:rPr>
        <w:t xml:space="preserve"> for funds and applications </w:t>
      </w:r>
      <w:r w:rsidRPr="00CB06B4" w:rsidR="00833390">
        <w:rPr>
          <w:snapToGrid w:val="0"/>
          <w:color w:val="000000"/>
          <w:sz w:val="25"/>
          <w:szCs w:val="25"/>
        </w:rPr>
        <w:t>are</w:t>
      </w:r>
      <w:r w:rsidRPr="00CB06B4">
        <w:rPr>
          <w:snapToGrid w:val="0"/>
          <w:color w:val="000000"/>
          <w:sz w:val="25"/>
          <w:szCs w:val="25"/>
        </w:rPr>
        <w:t xml:space="preserve"> $</w:t>
      </w:r>
      <w:r w:rsidR="00177BEF">
        <w:rPr>
          <w:snapToGrid w:val="0"/>
          <w:color w:val="000000"/>
          <w:sz w:val="25"/>
          <w:szCs w:val="25"/>
        </w:rPr>
        <w:t>2</w:t>
      </w:r>
      <w:r>
        <w:rPr>
          <w:snapToGrid w:val="0"/>
          <w:color w:val="000000"/>
          <w:sz w:val="25"/>
          <w:szCs w:val="25"/>
        </w:rPr>
        <w:t>29,344</w:t>
      </w:r>
      <w:r w:rsidR="00256577">
        <w:rPr>
          <w:snapToGrid w:val="0"/>
          <w:color w:val="000000"/>
          <w:sz w:val="25"/>
          <w:szCs w:val="25"/>
        </w:rPr>
        <w:t>.</w:t>
      </w:r>
      <w:r w:rsidRPr="00CB06B4" w:rsidR="00223092">
        <w:rPr>
          <w:snapToGrid w:val="0"/>
          <w:color w:val="000000"/>
          <w:sz w:val="25"/>
          <w:szCs w:val="25"/>
        </w:rPr>
        <w:t xml:space="preserve"> </w:t>
      </w:r>
      <w:r w:rsidRPr="00CB06B4" w:rsidR="000E4D36">
        <w:rPr>
          <w:snapToGrid w:val="0"/>
          <w:color w:val="000000"/>
          <w:sz w:val="25"/>
          <w:szCs w:val="25"/>
        </w:rPr>
        <w:t>($</w:t>
      </w:r>
      <w:r w:rsidR="008F5C8A">
        <w:rPr>
          <w:snapToGrid w:val="0"/>
          <w:color w:val="000000"/>
          <w:sz w:val="25"/>
          <w:szCs w:val="25"/>
        </w:rPr>
        <w:t>4</w:t>
      </w:r>
      <w:r>
        <w:rPr>
          <w:snapToGrid w:val="0"/>
          <w:color w:val="000000"/>
          <w:sz w:val="25"/>
          <w:szCs w:val="25"/>
        </w:rPr>
        <w:t>6,298</w:t>
      </w:r>
      <w:r w:rsidRPr="00CB06B4" w:rsidR="001A4000">
        <w:rPr>
          <w:snapToGrid w:val="0"/>
          <w:color w:val="000000"/>
          <w:sz w:val="25"/>
          <w:szCs w:val="25"/>
        </w:rPr>
        <w:t xml:space="preserve"> + $</w:t>
      </w:r>
      <w:r w:rsidRPr="00CB06B4" w:rsidR="00A92C9A">
        <w:rPr>
          <w:snapToGrid w:val="0"/>
          <w:color w:val="000000"/>
          <w:sz w:val="25"/>
          <w:szCs w:val="25"/>
        </w:rPr>
        <w:t>3</w:t>
      </w:r>
      <w:r>
        <w:rPr>
          <w:snapToGrid w:val="0"/>
          <w:color w:val="000000"/>
          <w:sz w:val="25"/>
          <w:szCs w:val="25"/>
        </w:rPr>
        <w:t>9,684</w:t>
      </w:r>
      <w:r w:rsidR="00A469FA">
        <w:rPr>
          <w:snapToGrid w:val="0"/>
          <w:color w:val="000000"/>
          <w:sz w:val="25"/>
          <w:szCs w:val="25"/>
        </w:rPr>
        <w:t xml:space="preserve"> </w:t>
      </w:r>
      <w:r w:rsidRPr="00CB06B4" w:rsidR="000E4D36">
        <w:rPr>
          <w:snapToGrid w:val="0"/>
          <w:color w:val="000000"/>
          <w:sz w:val="25"/>
          <w:szCs w:val="25"/>
        </w:rPr>
        <w:t>+ $</w:t>
      </w:r>
      <w:r w:rsidRPr="00CB06B4" w:rsidR="00A92C9A">
        <w:rPr>
          <w:snapToGrid w:val="0"/>
          <w:color w:val="000000"/>
          <w:sz w:val="25"/>
          <w:szCs w:val="25"/>
        </w:rPr>
        <w:t>1</w:t>
      </w:r>
      <w:r>
        <w:rPr>
          <w:snapToGrid w:val="0"/>
          <w:color w:val="000000"/>
          <w:sz w:val="25"/>
          <w:szCs w:val="25"/>
        </w:rPr>
        <w:t>9,842</w:t>
      </w:r>
      <w:r w:rsidRPr="00CB06B4" w:rsidR="008D5A8C">
        <w:rPr>
          <w:snapToGrid w:val="0"/>
          <w:color w:val="000000"/>
          <w:sz w:val="25"/>
          <w:szCs w:val="25"/>
        </w:rPr>
        <w:t xml:space="preserve"> +</w:t>
      </w:r>
      <w:r w:rsidRPr="00CB06B4" w:rsidR="0024323E">
        <w:rPr>
          <w:snapToGrid w:val="0"/>
          <w:color w:val="000000"/>
          <w:sz w:val="25"/>
          <w:szCs w:val="25"/>
        </w:rPr>
        <w:t xml:space="preserve"> </w:t>
      </w:r>
      <w:r w:rsidRPr="00CB06B4" w:rsidR="000163A5">
        <w:rPr>
          <w:snapToGrid w:val="0"/>
          <w:color w:val="000000"/>
          <w:sz w:val="25"/>
          <w:szCs w:val="25"/>
        </w:rPr>
        <w:t>$</w:t>
      </w:r>
      <w:r>
        <w:rPr>
          <w:snapToGrid w:val="0"/>
          <w:color w:val="000000"/>
          <w:sz w:val="25"/>
          <w:szCs w:val="25"/>
        </w:rPr>
        <w:t xml:space="preserve">83,520 </w:t>
      </w:r>
      <w:r w:rsidR="00177BEF">
        <w:rPr>
          <w:snapToGrid w:val="0"/>
          <w:color w:val="000000"/>
          <w:sz w:val="25"/>
          <w:szCs w:val="25"/>
        </w:rPr>
        <w:t xml:space="preserve">+ </w:t>
      </w:r>
    </w:p>
    <w:p w:rsidR="00D7606B" w:rsidRPr="008D5A8C" w:rsidP="008D5A8C" w14:paraId="6AD74BC9" w14:textId="4CAA83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$40,000</w:t>
      </w:r>
      <w:r w:rsidRPr="00CB06B4" w:rsidR="00482E5B">
        <w:rPr>
          <w:snapToGrid w:val="0"/>
          <w:color w:val="000000"/>
          <w:sz w:val="25"/>
          <w:szCs w:val="25"/>
        </w:rPr>
        <w:t>)</w:t>
      </w:r>
      <w:r w:rsidRPr="00CB06B4" w:rsidR="00881FDD">
        <w:rPr>
          <w:snapToGrid w:val="0"/>
          <w:color w:val="000000"/>
          <w:sz w:val="25"/>
          <w:szCs w:val="25"/>
        </w:rPr>
        <w:t>.</w:t>
      </w:r>
    </w:p>
    <w:p w:rsidR="00D7606B" w:rsidRPr="008D5A8C" w14:paraId="608359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14:paraId="2A0A8ABB" w14:textId="3A58B401">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 xml:space="preserve">15.  Explain the reasons for any program changes or adjustments </w:t>
      </w:r>
    </w:p>
    <w:p w:rsidR="00D7606B" w:rsidRPr="008D5A8C" w14:paraId="717903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14:paraId="264F2EBA" w14:textId="52CE9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12327B">
        <w:rPr>
          <w:snapToGrid w:val="0"/>
          <w:color w:val="000000"/>
          <w:sz w:val="25"/>
          <w:szCs w:val="25"/>
        </w:rPr>
        <w:t xml:space="preserve">This information collection request does not reflect any adjustments in the number of burden hours (20,550) or the respondent universe (175). </w:t>
      </w:r>
      <w:r w:rsidR="00256577">
        <w:rPr>
          <w:snapToGrid w:val="0"/>
          <w:color w:val="000000"/>
          <w:sz w:val="25"/>
          <w:szCs w:val="25"/>
        </w:rPr>
        <w:t>However, t</w:t>
      </w:r>
      <w:r w:rsidRPr="0012327B">
        <w:rPr>
          <w:snapToGrid w:val="0"/>
          <w:color w:val="000000"/>
          <w:sz w:val="25"/>
          <w:szCs w:val="25"/>
        </w:rPr>
        <w:t xml:space="preserve">here is an adjustment for an increase in cost to both the respondent and federal government because of updated median hourly wages listed by the </w:t>
      </w:r>
      <w:r w:rsidR="00256577">
        <w:rPr>
          <w:snapToGrid w:val="0"/>
          <w:color w:val="000000"/>
          <w:sz w:val="25"/>
          <w:szCs w:val="25"/>
        </w:rPr>
        <w:t xml:space="preserve"> </w:t>
      </w:r>
      <w:r w:rsidRPr="0012327B">
        <w:rPr>
          <w:snapToGrid w:val="0"/>
          <w:color w:val="000000"/>
          <w:sz w:val="25"/>
          <w:szCs w:val="25"/>
        </w:rPr>
        <w:t xml:space="preserve">Bureau of Labor Statistics (BLS) and the </w:t>
      </w:r>
      <w:r w:rsidR="00256577">
        <w:rPr>
          <w:snapToGrid w:val="0"/>
          <w:color w:val="000000"/>
          <w:sz w:val="25"/>
          <w:szCs w:val="25"/>
        </w:rPr>
        <w:t>202</w:t>
      </w:r>
      <w:r w:rsidR="007950EF">
        <w:rPr>
          <w:snapToGrid w:val="0"/>
          <w:color w:val="000000"/>
          <w:sz w:val="25"/>
          <w:szCs w:val="25"/>
        </w:rPr>
        <w:t>6</w:t>
      </w:r>
      <w:r w:rsidR="00256577">
        <w:rPr>
          <w:snapToGrid w:val="0"/>
          <w:color w:val="000000"/>
          <w:sz w:val="25"/>
          <w:szCs w:val="25"/>
        </w:rPr>
        <w:t xml:space="preserve"> </w:t>
      </w:r>
      <w:r w:rsidRPr="0012327B">
        <w:rPr>
          <w:snapToGrid w:val="0"/>
          <w:color w:val="000000"/>
          <w:sz w:val="25"/>
          <w:szCs w:val="25"/>
        </w:rPr>
        <w:t>Office of Personnel Management (OPM)</w:t>
      </w:r>
      <w:r w:rsidR="00256577">
        <w:rPr>
          <w:snapToGrid w:val="0"/>
          <w:color w:val="000000"/>
          <w:sz w:val="25"/>
          <w:szCs w:val="25"/>
        </w:rPr>
        <w:t xml:space="preserve"> federal pay scale</w:t>
      </w:r>
      <w:r w:rsidRPr="0012327B">
        <w:rPr>
          <w:snapToGrid w:val="0"/>
          <w:color w:val="000000"/>
          <w:sz w:val="25"/>
          <w:szCs w:val="25"/>
        </w:rPr>
        <w:t>.</w:t>
      </w:r>
      <w:r w:rsidR="00DF298A">
        <w:rPr>
          <w:snapToGrid w:val="0"/>
          <w:color w:val="000000"/>
          <w:sz w:val="25"/>
          <w:szCs w:val="25"/>
        </w:rPr>
        <w:t xml:space="preserve"> </w:t>
      </w:r>
    </w:p>
    <w:p w:rsidR="00DF298A" w:rsidP="00817C17" w14:paraId="117E2206" w14:textId="75015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rsidR="00DF298A" w:rsidP="00817C17" w14:paraId="4FA4FB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rsidR="00D7606B" w:rsidRPr="008D5A8C" w:rsidP="00817C17" w14:paraId="46C0545C" w14:textId="09B6D2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b/>
          <w:bCs/>
          <w:snapToGrid w:val="0"/>
          <w:color w:val="000000"/>
          <w:sz w:val="25"/>
          <w:szCs w:val="25"/>
        </w:rPr>
        <w:t xml:space="preserve">16.  Plans for tabulation and publication for collections of information whose results </w:t>
      </w:r>
      <w:r w:rsidRPr="008D5A8C" w:rsidR="00223092">
        <w:rPr>
          <w:b/>
          <w:bCs/>
          <w:snapToGrid w:val="0"/>
          <w:color w:val="000000"/>
          <w:sz w:val="25"/>
          <w:szCs w:val="25"/>
        </w:rPr>
        <w:t>will</w:t>
      </w:r>
      <w:r w:rsidR="00223092">
        <w:rPr>
          <w:b/>
          <w:bCs/>
          <w:snapToGrid w:val="0"/>
          <w:color w:val="000000"/>
          <w:sz w:val="25"/>
          <w:szCs w:val="25"/>
        </w:rPr>
        <w:t xml:space="preserve"> </w:t>
      </w:r>
      <w:r w:rsidRPr="008D5A8C" w:rsidR="00223092">
        <w:rPr>
          <w:b/>
          <w:bCs/>
          <w:snapToGrid w:val="0"/>
          <w:color w:val="000000"/>
          <w:sz w:val="25"/>
          <w:szCs w:val="25"/>
        </w:rPr>
        <w:t>be</w:t>
      </w:r>
      <w:r w:rsidRPr="008D5A8C">
        <w:rPr>
          <w:b/>
          <w:bCs/>
          <w:snapToGrid w:val="0"/>
          <w:color w:val="000000"/>
          <w:sz w:val="25"/>
          <w:szCs w:val="25"/>
        </w:rPr>
        <w:t xml:space="preserve"> published.</w:t>
      </w:r>
    </w:p>
    <w:p w:rsidR="008D5A8C" w:rsidRPr="008D5A8C" w:rsidP="008D5A8C" w14:paraId="5B712F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7606B" w:rsidRPr="008D5A8C" w:rsidP="008D5A8C" w14:paraId="203838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Pr="008D5A8C" w:rsidR="00A92C9A">
        <w:rPr>
          <w:snapToGrid w:val="0"/>
          <w:color w:val="000000"/>
          <w:sz w:val="25"/>
          <w:szCs w:val="25"/>
        </w:rPr>
        <w:t>Individual r</w:t>
      </w:r>
      <w:r w:rsidRPr="008D5A8C">
        <w:rPr>
          <w:snapToGrid w:val="0"/>
          <w:color w:val="000000"/>
          <w:sz w:val="25"/>
          <w:szCs w:val="25"/>
        </w:rPr>
        <w:t xml:space="preserve">esearch results reported </w:t>
      </w:r>
      <w:r w:rsidRPr="008D5A8C" w:rsidR="00A92C9A">
        <w:rPr>
          <w:snapToGrid w:val="0"/>
          <w:color w:val="000000"/>
          <w:sz w:val="25"/>
          <w:szCs w:val="25"/>
        </w:rPr>
        <w:t>are</w:t>
      </w:r>
      <w:r w:rsidRPr="008D5A8C">
        <w:rPr>
          <w:snapToGrid w:val="0"/>
          <w:color w:val="000000"/>
          <w:sz w:val="25"/>
          <w:szCs w:val="25"/>
        </w:rPr>
        <w:t xml:space="preserve"> published, typically in the form of individual project </w:t>
      </w:r>
    </w:p>
    <w:p w:rsidR="006E543A" w:rsidRPr="008D5A8C" w:rsidP="008D5A8C" w14:paraId="27E757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Pr="008D5A8C" w:rsidR="008932F5">
        <w:rPr>
          <w:snapToGrid w:val="0"/>
          <w:color w:val="000000"/>
          <w:sz w:val="25"/>
          <w:szCs w:val="25"/>
        </w:rPr>
        <w:t>r</w:t>
      </w:r>
      <w:r w:rsidRPr="008D5A8C">
        <w:rPr>
          <w:snapToGrid w:val="0"/>
          <w:color w:val="000000"/>
          <w:sz w:val="25"/>
          <w:szCs w:val="25"/>
        </w:rPr>
        <w:t>eports</w:t>
      </w:r>
      <w:r w:rsidRPr="008D5A8C" w:rsidR="00990456">
        <w:rPr>
          <w:snapToGrid w:val="0"/>
          <w:color w:val="000000"/>
          <w:sz w:val="25"/>
          <w:szCs w:val="25"/>
        </w:rPr>
        <w:t xml:space="preserve"> that are made available for public dissemination on the FTA website</w:t>
      </w:r>
      <w:r w:rsidRPr="008D5A8C" w:rsidR="00884E79">
        <w:rPr>
          <w:snapToGrid w:val="0"/>
          <w:color w:val="000000"/>
          <w:sz w:val="25"/>
          <w:szCs w:val="25"/>
        </w:rPr>
        <w:t>.</w:t>
      </w:r>
      <w:r w:rsidRPr="008D5A8C" w:rsidR="00A92C9A">
        <w:rPr>
          <w:snapToGrid w:val="0"/>
          <w:color w:val="000000"/>
          <w:sz w:val="25"/>
          <w:szCs w:val="25"/>
        </w:rPr>
        <w:t xml:space="preserve"> Additionally, </w:t>
      </w:r>
      <w:r w:rsidRPr="008D5A8C">
        <w:rPr>
          <w:snapToGrid w:val="0"/>
          <w:color w:val="000000"/>
          <w:sz w:val="25"/>
          <w:szCs w:val="25"/>
        </w:rPr>
        <w:t xml:space="preserve">   </w:t>
      </w:r>
    </w:p>
    <w:p w:rsidR="00D7606B" w:rsidP="008D5A8C" w14:paraId="7112CE36" w14:textId="767794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Pr="008D5A8C" w:rsidR="00A92C9A">
        <w:rPr>
          <w:snapToGrid w:val="0"/>
          <w:color w:val="000000"/>
          <w:sz w:val="25"/>
          <w:szCs w:val="25"/>
        </w:rPr>
        <w:t>FTA publishes and posts on the FTA website an annual report on research.</w:t>
      </w:r>
      <w:r w:rsidR="00256577">
        <w:rPr>
          <w:snapToGrid w:val="0"/>
          <w:color w:val="000000"/>
          <w:sz w:val="25"/>
          <w:szCs w:val="25"/>
        </w:rPr>
        <w:t xml:space="preserve">  The 202 annual </w:t>
      </w:r>
      <w:r w:rsidR="007950EF">
        <w:rPr>
          <w:snapToGrid w:val="0"/>
          <w:color w:val="000000"/>
          <w:sz w:val="25"/>
          <w:szCs w:val="25"/>
        </w:rPr>
        <w:t>6</w:t>
      </w:r>
      <w:r w:rsidR="00256577">
        <w:rPr>
          <w:snapToGrid w:val="0"/>
          <w:color w:val="000000"/>
          <w:sz w:val="25"/>
          <w:szCs w:val="25"/>
        </w:rPr>
        <w:t xml:space="preserve"> has been included in this ICR submission.</w:t>
      </w:r>
    </w:p>
    <w:p w:rsidR="008A79A3" w14:paraId="35845EEF"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rsidR="008A79A3" w14:paraId="3918D69E"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rsidR="00D7606B" w:rsidRPr="008D5A8C" w14:paraId="3682BEBA" w14:textId="386C983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17.  If seeking approval not to display the expiration date for OMB approval, explain the reasons.</w:t>
      </w:r>
    </w:p>
    <w:p w:rsidR="008D5A8C" w:rsidRPr="008D5A8C" w14:paraId="50DBAA47"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rsidR="00D7606B" w:rsidRPr="008D5A8C" w:rsidP="008D5A8C" w14:paraId="162055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There is no reason not to display the expiration date of OMB approval.</w:t>
      </w:r>
    </w:p>
    <w:p w:rsidR="009A41AB" w:rsidRPr="008D5A8C" w14:paraId="7174B6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7606B" w:rsidRPr="008D5A8C" w14:paraId="257CA779"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18.  Explain any exception to the certification statement identified in Item 19 of OMB Form 83-I.</w:t>
      </w:r>
    </w:p>
    <w:p w:rsidR="00256577" w:rsidP="00CB06B4" w14:paraId="455D14CC" w14:textId="77777777">
      <w:pPr>
        <w:widowControl w:val="0"/>
        <w:tabs>
          <w:tab w:val="left" w:pos="90"/>
        </w:tabs>
        <w:rPr>
          <w:snapToGrid w:val="0"/>
          <w:color w:val="000000"/>
          <w:sz w:val="25"/>
          <w:szCs w:val="25"/>
        </w:rPr>
      </w:pPr>
    </w:p>
    <w:p w:rsidR="001D6360" w:rsidP="00CB06B4" w14:paraId="1B1B5157" w14:textId="1160B06E">
      <w:pPr>
        <w:widowControl w:val="0"/>
        <w:tabs>
          <w:tab w:val="left" w:pos="90"/>
        </w:tabs>
        <w:rPr>
          <w:snapToGrid w:val="0"/>
          <w:color w:val="000000"/>
          <w:sz w:val="25"/>
          <w:szCs w:val="25"/>
        </w:rPr>
      </w:pPr>
      <w:r w:rsidRPr="008D5A8C">
        <w:rPr>
          <w:snapToGrid w:val="0"/>
          <w:color w:val="000000"/>
          <w:sz w:val="25"/>
          <w:szCs w:val="25"/>
        </w:rPr>
        <w:t xml:space="preserve">No </w:t>
      </w:r>
      <w:r w:rsidRPr="008D5A8C">
        <w:rPr>
          <w:snapToGrid w:val="0"/>
          <w:color w:val="000000"/>
          <w:sz w:val="25"/>
          <w:szCs w:val="25"/>
        </w:rPr>
        <w:t>exceptions are stated.</w:t>
      </w:r>
    </w:p>
    <w:p w:rsidR="00300D97" w:rsidP="00CB06B4" w14:paraId="089E17C5" w14:textId="340289A1">
      <w:pPr>
        <w:widowControl w:val="0"/>
        <w:tabs>
          <w:tab w:val="left" w:pos="90"/>
        </w:tabs>
        <w:rPr>
          <w:snapToGrid w:val="0"/>
          <w:color w:val="000000"/>
          <w:sz w:val="25"/>
          <w:szCs w:val="25"/>
        </w:rPr>
      </w:pPr>
    </w:p>
    <w:sectPr w:rsidSect="00935C81">
      <w:footerReference w:type="even" r:id="rId9"/>
      <w:footerReference w:type="default" r:id="rId10"/>
      <w:pgSz w:w="12240" w:h="15840"/>
      <w:pgMar w:top="1440" w:right="1080" w:bottom="1440" w:left="1080" w:header="792" w:footer="792"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1D0" w:rsidP="003B16E0" w14:paraId="1C7C3E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61D0" w14:paraId="656D53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1D0" w:rsidP="003B16E0" w14:paraId="007B9D94" w14:textId="3DB88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981">
      <w:rPr>
        <w:rStyle w:val="PageNumber"/>
        <w:noProof/>
      </w:rPr>
      <w:t>2</w:t>
    </w:r>
    <w:r>
      <w:rPr>
        <w:rStyle w:val="PageNumber"/>
      </w:rPr>
      <w:fldChar w:fldCharType="end"/>
    </w:r>
  </w:p>
  <w:p w:rsidR="004A61D0" w14:paraId="2158E21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E5875"/>
    <w:multiLevelType w:val="hybridMultilevel"/>
    <w:tmpl w:val="28582D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E34867"/>
    <w:multiLevelType w:val="hybridMultilevel"/>
    <w:tmpl w:val="29DAFEA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967E23"/>
    <w:multiLevelType w:val="hybridMultilevel"/>
    <w:tmpl w:val="27AC35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6A0A88"/>
    <w:multiLevelType w:val="hybridMultilevel"/>
    <w:tmpl w:val="C60675F8"/>
    <w:lvl w:ilvl="0">
      <w:start w:val="4"/>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125E58F3"/>
    <w:multiLevelType w:val="hybridMultilevel"/>
    <w:tmpl w:val="420A083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9362DB"/>
    <w:multiLevelType w:val="hybridMultilevel"/>
    <w:tmpl w:val="327C445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CE7713"/>
    <w:multiLevelType w:val="multilevel"/>
    <w:tmpl w:val="BAB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6A346C"/>
    <w:multiLevelType w:val="hybridMultilevel"/>
    <w:tmpl w:val="8C087A6C"/>
    <w:lvl w:ilvl="0">
      <w:start w:val="4"/>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1E956D30"/>
    <w:multiLevelType w:val="hybridMultilevel"/>
    <w:tmpl w:val="DD3A8E2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1D3EF0"/>
    <w:multiLevelType w:val="hybridMultilevel"/>
    <w:tmpl w:val="9D38E7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2E304C7"/>
    <w:multiLevelType w:val="hybridMultilevel"/>
    <w:tmpl w:val="EAD0CCEA"/>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30F1CD9"/>
    <w:multiLevelType w:val="hybridMultilevel"/>
    <w:tmpl w:val="7F9287BE"/>
    <w:lvl w:ilvl="0">
      <w:start w:val="3"/>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2">
    <w:nsid w:val="24CE3E33"/>
    <w:multiLevelType w:val="hybridMultilevel"/>
    <w:tmpl w:val="562A073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DD2F41"/>
    <w:multiLevelType w:val="hybridMultilevel"/>
    <w:tmpl w:val="BDF4E66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A72D1A"/>
    <w:multiLevelType w:val="multilevel"/>
    <w:tmpl w:val="EBF82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BA6A87"/>
    <w:multiLevelType w:val="hybridMultilevel"/>
    <w:tmpl w:val="60D8C6F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11E07E5"/>
    <w:multiLevelType w:val="hybridMultilevel"/>
    <w:tmpl w:val="AD0647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4FE2164"/>
    <w:multiLevelType w:val="hybridMultilevel"/>
    <w:tmpl w:val="F522B6B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B11414F"/>
    <w:multiLevelType w:val="multilevel"/>
    <w:tmpl w:val="46D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CD0E4E"/>
    <w:multiLevelType w:val="hybridMultilevel"/>
    <w:tmpl w:val="AE0481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B04CB6"/>
    <w:multiLevelType w:val="hybridMultilevel"/>
    <w:tmpl w:val="E1C033F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69704C"/>
    <w:multiLevelType w:val="hybridMultilevel"/>
    <w:tmpl w:val="285CC9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7369D1"/>
    <w:multiLevelType w:val="hybridMultilevel"/>
    <w:tmpl w:val="19B6A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326A4F"/>
    <w:multiLevelType w:val="multilevel"/>
    <w:tmpl w:val="3376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573928"/>
    <w:multiLevelType w:val="hybridMultilevel"/>
    <w:tmpl w:val="319A2EE8"/>
    <w:lvl w:ilvl="0">
      <w:start w:val="16"/>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F20844"/>
    <w:multiLevelType w:val="hybridMultilevel"/>
    <w:tmpl w:val="2550E91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2B118F9"/>
    <w:multiLevelType w:val="hybridMultilevel"/>
    <w:tmpl w:val="838295F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394271A"/>
    <w:multiLevelType w:val="multilevel"/>
    <w:tmpl w:val="AB0A2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D3A328C"/>
    <w:multiLevelType w:val="multilevel"/>
    <w:tmpl w:val="A93AA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371A91"/>
    <w:multiLevelType w:val="hybridMultilevel"/>
    <w:tmpl w:val="9564A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3F728F"/>
    <w:multiLevelType w:val="hybridMultilevel"/>
    <w:tmpl w:val="FC700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C348EA"/>
    <w:multiLevelType w:val="hybridMultilevel"/>
    <w:tmpl w:val="799841DA"/>
    <w:lvl w:ilvl="0">
      <w:start w:val="16"/>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5A9425C"/>
    <w:multiLevelType w:val="hybridMultilevel"/>
    <w:tmpl w:val="8C6223B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8ED2CE9"/>
    <w:multiLevelType w:val="hybridMultilevel"/>
    <w:tmpl w:val="42BA2AF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A022C62"/>
    <w:multiLevelType w:val="hybridMultilevel"/>
    <w:tmpl w:val="8356FE34"/>
    <w:lvl w:ilvl="0">
      <w:start w:val="7"/>
      <w:numFmt w:val="decimal"/>
      <w:lvlText w:val="%1."/>
      <w:lvlJc w:val="left"/>
      <w:pPr>
        <w:tabs>
          <w:tab w:val="num" w:pos="420"/>
        </w:tabs>
        <w:ind w:left="420" w:hanging="36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5">
    <w:nsid w:val="6ACC71BE"/>
    <w:multiLevelType w:val="hybridMultilevel"/>
    <w:tmpl w:val="C06ED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C5160C"/>
    <w:multiLevelType w:val="hybridMultilevel"/>
    <w:tmpl w:val="5E7C2EB8"/>
    <w:lvl w:ilvl="0">
      <w:start w:val="16"/>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139577C"/>
    <w:multiLevelType w:val="hybridMultilevel"/>
    <w:tmpl w:val="D1E003A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7053D2C"/>
    <w:multiLevelType w:val="hybridMultilevel"/>
    <w:tmpl w:val="ABA0A4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F0B0D"/>
    <w:multiLevelType w:val="hybridMultilevel"/>
    <w:tmpl w:val="A3C067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652BD8"/>
    <w:multiLevelType w:val="hybridMultilevel"/>
    <w:tmpl w:val="84BEDFF2"/>
    <w:lvl w:ilvl="0">
      <w:start w:val="4"/>
      <w:numFmt w:val="decimal"/>
      <w:lvlText w:val="%1."/>
      <w:lvlJc w:val="left"/>
      <w:pPr>
        <w:tabs>
          <w:tab w:val="num" w:pos="420"/>
        </w:tabs>
        <w:ind w:left="420" w:hanging="36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1">
    <w:nsid w:val="7F2453C5"/>
    <w:multiLevelType w:val="hybridMultilevel"/>
    <w:tmpl w:val="191EFBEC"/>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5640601">
    <w:abstractNumId w:val="4"/>
  </w:num>
  <w:num w:numId="2" w16cid:durableId="1717043766">
    <w:abstractNumId w:val="33"/>
  </w:num>
  <w:num w:numId="3" w16cid:durableId="1503735316">
    <w:abstractNumId w:val="25"/>
  </w:num>
  <w:num w:numId="4" w16cid:durableId="1542593134">
    <w:abstractNumId w:val="3"/>
  </w:num>
  <w:num w:numId="5" w16cid:durableId="2117360882">
    <w:abstractNumId w:val="7"/>
  </w:num>
  <w:num w:numId="6" w16cid:durableId="231740713">
    <w:abstractNumId w:val="40"/>
  </w:num>
  <w:num w:numId="7" w16cid:durableId="8409004">
    <w:abstractNumId w:val="37"/>
  </w:num>
  <w:num w:numId="8" w16cid:durableId="1618296912">
    <w:abstractNumId w:val="15"/>
  </w:num>
  <w:num w:numId="9" w16cid:durableId="1506091343">
    <w:abstractNumId w:val="12"/>
  </w:num>
  <w:num w:numId="10" w16cid:durableId="2064405954">
    <w:abstractNumId w:val="1"/>
  </w:num>
  <w:num w:numId="11" w16cid:durableId="1783108435">
    <w:abstractNumId w:val="17"/>
  </w:num>
  <w:num w:numId="12" w16cid:durableId="111025749">
    <w:abstractNumId w:val="0"/>
  </w:num>
  <w:num w:numId="13" w16cid:durableId="388455844">
    <w:abstractNumId w:val="10"/>
  </w:num>
  <w:num w:numId="14" w16cid:durableId="940408829">
    <w:abstractNumId w:val="31"/>
  </w:num>
  <w:num w:numId="15" w16cid:durableId="771437122">
    <w:abstractNumId w:val="24"/>
  </w:num>
  <w:num w:numId="16" w16cid:durableId="1737364224">
    <w:abstractNumId w:val="36"/>
  </w:num>
  <w:num w:numId="17" w16cid:durableId="1954165474">
    <w:abstractNumId w:val="16"/>
  </w:num>
  <w:num w:numId="18" w16cid:durableId="1221402256">
    <w:abstractNumId w:val="11"/>
  </w:num>
  <w:num w:numId="19" w16cid:durableId="1342049771">
    <w:abstractNumId w:val="41"/>
  </w:num>
  <w:num w:numId="20" w16cid:durableId="197013027">
    <w:abstractNumId w:val="8"/>
  </w:num>
  <w:num w:numId="21" w16cid:durableId="61753527">
    <w:abstractNumId w:val="32"/>
  </w:num>
  <w:num w:numId="22" w16cid:durableId="1592201981">
    <w:abstractNumId w:val="34"/>
  </w:num>
  <w:num w:numId="23" w16cid:durableId="1150174728">
    <w:abstractNumId w:val="13"/>
  </w:num>
  <w:num w:numId="24" w16cid:durableId="282540854">
    <w:abstractNumId w:val="20"/>
  </w:num>
  <w:num w:numId="25" w16cid:durableId="1321278131">
    <w:abstractNumId w:val="5"/>
  </w:num>
  <w:num w:numId="26" w16cid:durableId="1207256370">
    <w:abstractNumId w:val="26"/>
  </w:num>
  <w:num w:numId="27" w16cid:durableId="1573270139">
    <w:abstractNumId w:val="9"/>
  </w:num>
  <w:num w:numId="28" w16cid:durableId="455492697">
    <w:abstractNumId w:val="39"/>
  </w:num>
  <w:num w:numId="29" w16cid:durableId="1304964566">
    <w:abstractNumId w:val="29"/>
  </w:num>
  <w:num w:numId="30" w16cid:durableId="359278730">
    <w:abstractNumId w:val="38"/>
  </w:num>
  <w:num w:numId="31" w16cid:durableId="1524131369">
    <w:abstractNumId w:val="21"/>
  </w:num>
  <w:num w:numId="32" w16cid:durableId="730227387">
    <w:abstractNumId w:val="19"/>
  </w:num>
  <w:num w:numId="33" w16cid:durableId="6907162">
    <w:abstractNumId w:val="2"/>
  </w:num>
  <w:num w:numId="34" w16cid:durableId="97603213">
    <w:abstractNumId w:val="30"/>
  </w:num>
  <w:num w:numId="35" w16cid:durableId="1931040472">
    <w:abstractNumId w:val="22"/>
  </w:num>
  <w:num w:numId="36" w16cid:durableId="670446662">
    <w:abstractNumId w:val="14"/>
  </w:num>
  <w:num w:numId="37" w16cid:durableId="2043631499">
    <w:abstractNumId w:val="28"/>
  </w:num>
  <w:num w:numId="38" w16cid:durableId="2117285470">
    <w:abstractNumId w:val="18"/>
  </w:num>
  <w:num w:numId="39" w16cid:durableId="682242223">
    <w:abstractNumId w:val="6"/>
  </w:num>
  <w:num w:numId="40" w16cid:durableId="345600817">
    <w:abstractNumId w:val="35"/>
  </w:num>
  <w:num w:numId="41" w16cid:durableId="126823590">
    <w:abstractNumId w:val="23"/>
  </w:num>
  <w:num w:numId="42" w16cid:durableId="1791438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6B"/>
    <w:rsid w:val="0001158D"/>
    <w:rsid w:val="000163A5"/>
    <w:rsid w:val="0002437D"/>
    <w:rsid w:val="000310EA"/>
    <w:rsid w:val="00041A90"/>
    <w:rsid w:val="00070A6C"/>
    <w:rsid w:val="00091757"/>
    <w:rsid w:val="000B7DDD"/>
    <w:rsid w:val="000C6FDC"/>
    <w:rsid w:val="000D6D6E"/>
    <w:rsid w:val="000D739F"/>
    <w:rsid w:val="000D7F69"/>
    <w:rsid w:val="000E146D"/>
    <w:rsid w:val="000E4D36"/>
    <w:rsid w:val="000E5A87"/>
    <w:rsid w:val="001045B1"/>
    <w:rsid w:val="001162F4"/>
    <w:rsid w:val="00122AEE"/>
    <w:rsid w:val="0012327B"/>
    <w:rsid w:val="001240D5"/>
    <w:rsid w:val="001304DD"/>
    <w:rsid w:val="00170A80"/>
    <w:rsid w:val="00177BEF"/>
    <w:rsid w:val="001A4000"/>
    <w:rsid w:val="001A69A7"/>
    <w:rsid w:val="001A761D"/>
    <w:rsid w:val="001C28EB"/>
    <w:rsid w:val="001C6D69"/>
    <w:rsid w:val="001D6360"/>
    <w:rsid w:val="001F1F9E"/>
    <w:rsid w:val="00223092"/>
    <w:rsid w:val="002308C2"/>
    <w:rsid w:val="00236C10"/>
    <w:rsid w:val="00242F44"/>
    <w:rsid w:val="0024323E"/>
    <w:rsid w:val="00254628"/>
    <w:rsid w:val="00256577"/>
    <w:rsid w:val="0026471E"/>
    <w:rsid w:val="002667D8"/>
    <w:rsid w:val="00266847"/>
    <w:rsid w:val="00282727"/>
    <w:rsid w:val="00294DC2"/>
    <w:rsid w:val="0029734F"/>
    <w:rsid w:val="002976D3"/>
    <w:rsid w:val="002A2BF2"/>
    <w:rsid w:val="002C0D31"/>
    <w:rsid w:val="002C2774"/>
    <w:rsid w:val="002E0BA5"/>
    <w:rsid w:val="002E4618"/>
    <w:rsid w:val="00300D97"/>
    <w:rsid w:val="003120D9"/>
    <w:rsid w:val="003152FA"/>
    <w:rsid w:val="00322294"/>
    <w:rsid w:val="00326358"/>
    <w:rsid w:val="00332137"/>
    <w:rsid w:val="00356C44"/>
    <w:rsid w:val="00357852"/>
    <w:rsid w:val="0036178A"/>
    <w:rsid w:val="0037543C"/>
    <w:rsid w:val="00381039"/>
    <w:rsid w:val="003876D0"/>
    <w:rsid w:val="00397042"/>
    <w:rsid w:val="003A0549"/>
    <w:rsid w:val="003A06A0"/>
    <w:rsid w:val="003B0BFF"/>
    <w:rsid w:val="003B16E0"/>
    <w:rsid w:val="003B49C8"/>
    <w:rsid w:val="003C198A"/>
    <w:rsid w:val="003C4BB4"/>
    <w:rsid w:val="003D233B"/>
    <w:rsid w:val="003F51EC"/>
    <w:rsid w:val="004119CF"/>
    <w:rsid w:val="004123D1"/>
    <w:rsid w:val="004130E9"/>
    <w:rsid w:val="004310D3"/>
    <w:rsid w:val="004547B1"/>
    <w:rsid w:val="0046514F"/>
    <w:rsid w:val="004660CA"/>
    <w:rsid w:val="00472AC4"/>
    <w:rsid w:val="004759DC"/>
    <w:rsid w:val="00482E5B"/>
    <w:rsid w:val="004A5B52"/>
    <w:rsid w:val="004A61D0"/>
    <w:rsid w:val="004B0C64"/>
    <w:rsid w:val="004B1C11"/>
    <w:rsid w:val="004B2D0C"/>
    <w:rsid w:val="004B4606"/>
    <w:rsid w:val="004B4DFB"/>
    <w:rsid w:val="004C346B"/>
    <w:rsid w:val="004D1DC8"/>
    <w:rsid w:val="004F2690"/>
    <w:rsid w:val="004F7176"/>
    <w:rsid w:val="00501F67"/>
    <w:rsid w:val="00502A1C"/>
    <w:rsid w:val="0051517E"/>
    <w:rsid w:val="00520D4E"/>
    <w:rsid w:val="00521321"/>
    <w:rsid w:val="00526C58"/>
    <w:rsid w:val="005344DF"/>
    <w:rsid w:val="00534BF4"/>
    <w:rsid w:val="00555E91"/>
    <w:rsid w:val="00566BED"/>
    <w:rsid w:val="005674F5"/>
    <w:rsid w:val="00575E63"/>
    <w:rsid w:val="00583867"/>
    <w:rsid w:val="00590233"/>
    <w:rsid w:val="005946A7"/>
    <w:rsid w:val="005B2F08"/>
    <w:rsid w:val="005B7084"/>
    <w:rsid w:val="005C149D"/>
    <w:rsid w:val="005C3145"/>
    <w:rsid w:val="005C65DD"/>
    <w:rsid w:val="005D0E59"/>
    <w:rsid w:val="005D1417"/>
    <w:rsid w:val="005D4C71"/>
    <w:rsid w:val="005F03E4"/>
    <w:rsid w:val="005F217A"/>
    <w:rsid w:val="005F3BB7"/>
    <w:rsid w:val="00612CF5"/>
    <w:rsid w:val="006254FD"/>
    <w:rsid w:val="00643EDB"/>
    <w:rsid w:val="006606D3"/>
    <w:rsid w:val="0067334C"/>
    <w:rsid w:val="0067671F"/>
    <w:rsid w:val="006771F6"/>
    <w:rsid w:val="00697D22"/>
    <w:rsid w:val="006A2A0F"/>
    <w:rsid w:val="006B10FE"/>
    <w:rsid w:val="006B73F5"/>
    <w:rsid w:val="006D114B"/>
    <w:rsid w:val="006D53E8"/>
    <w:rsid w:val="006E543A"/>
    <w:rsid w:val="006E64FC"/>
    <w:rsid w:val="006F5B72"/>
    <w:rsid w:val="00702115"/>
    <w:rsid w:val="00704AE0"/>
    <w:rsid w:val="00707407"/>
    <w:rsid w:val="00712371"/>
    <w:rsid w:val="00713087"/>
    <w:rsid w:val="007147AB"/>
    <w:rsid w:val="00731AF1"/>
    <w:rsid w:val="00735EBC"/>
    <w:rsid w:val="0074761D"/>
    <w:rsid w:val="00755D85"/>
    <w:rsid w:val="00756DF6"/>
    <w:rsid w:val="00790598"/>
    <w:rsid w:val="00792E4E"/>
    <w:rsid w:val="007950EF"/>
    <w:rsid w:val="007A3981"/>
    <w:rsid w:val="007B6FC7"/>
    <w:rsid w:val="007C44AF"/>
    <w:rsid w:val="007C55BF"/>
    <w:rsid w:val="007D5604"/>
    <w:rsid w:val="007E3A22"/>
    <w:rsid w:val="007E7928"/>
    <w:rsid w:val="00802687"/>
    <w:rsid w:val="0080605B"/>
    <w:rsid w:val="00817C17"/>
    <w:rsid w:val="00830B31"/>
    <w:rsid w:val="00833315"/>
    <w:rsid w:val="00833390"/>
    <w:rsid w:val="008528F3"/>
    <w:rsid w:val="0085362A"/>
    <w:rsid w:val="00854D9E"/>
    <w:rsid w:val="008572B6"/>
    <w:rsid w:val="00877372"/>
    <w:rsid w:val="00881FDD"/>
    <w:rsid w:val="00884E79"/>
    <w:rsid w:val="008876AD"/>
    <w:rsid w:val="008915F0"/>
    <w:rsid w:val="00892AC5"/>
    <w:rsid w:val="00892B0B"/>
    <w:rsid w:val="0089314C"/>
    <w:rsid w:val="008932F5"/>
    <w:rsid w:val="00896199"/>
    <w:rsid w:val="008A79A3"/>
    <w:rsid w:val="008D5A8C"/>
    <w:rsid w:val="008E0D09"/>
    <w:rsid w:val="008E2B74"/>
    <w:rsid w:val="008F0596"/>
    <w:rsid w:val="008F143F"/>
    <w:rsid w:val="008F5C8A"/>
    <w:rsid w:val="00902240"/>
    <w:rsid w:val="00926A20"/>
    <w:rsid w:val="00927127"/>
    <w:rsid w:val="00930F3C"/>
    <w:rsid w:val="00935C81"/>
    <w:rsid w:val="00947393"/>
    <w:rsid w:val="00947711"/>
    <w:rsid w:val="009478FE"/>
    <w:rsid w:val="0095293A"/>
    <w:rsid w:val="0097625B"/>
    <w:rsid w:val="009834C4"/>
    <w:rsid w:val="00990456"/>
    <w:rsid w:val="009910AE"/>
    <w:rsid w:val="00995A33"/>
    <w:rsid w:val="00997091"/>
    <w:rsid w:val="009A41AB"/>
    <w:rsid w:val="009A509E"/>
    <w:rsid w:val="009C758C"/>
    <w:rsid w:val="009F4AE4"/>
    <w:rsid w:val="00A00FB8"/>
    <w:rsid w:val="00A011EE"/>
    <w:rsid w:val="00A11447"/>
    <w:rsid w:val="00A14EAA"/>
    <w:rsid w:val="00A20DD8"/>
    <w:rsid w:val="00A22CE2"/>
    <w:rsid w:val="00A25C2C"/>
    <w:rsid w:val="00A33793"/>
    <w:rsid w:val="00A36A02"/>
    <w:rsid w:val="00A41252"/>
    <w:rsid w:val="00A457BC"/>
    <w:rsid w:val="00A469FA"/>
    <w:rsid w:val="00A643C2"/>
    <w:rsid w:val="00A657E4"/>
    <w:rsid w:val="00A73227"/>
    <w:rsid w:val="00A81C61"/>
    <w:rsid w:val="00A92C9A"/>
    <w:rsid w:val="00AB752B"/>
    <w:rsid w:val="00AC4B79"/>
    <w:rsid w:val="00AC5190"/>
    <w:rsid w:val="00AE33F7"/>
    <w:rsid w:val="00AE6331"/>
    <w:rsid w:val="00B03DE1"/>
    <w:rsid w:val="00B11744"/>
    <w:rsid w:val="00B13A8B"/>
    <w:rsid w:val="00B23AD9"/>
    <w:rsid w:val="00B246F7"/>
    <w:rsid w:val="00B27A3C"/>
    <w:rsid w:val="00B31990"/>
    <w:rsid w:val="00B3282F"/>
    <w:rsid w:val="00B45EE0"/>
    <w:rsid w:val="00B775A0"/>
    <w:rsid w:val="00B933AA"/>
    <w:rsid w:val="00BC5C0E"/>
    <w:rsid w:val="00BC5FEF"/>
    <w:rsid w:val="00C06ADD"/>
    <w:rsid w:val="00C127FE"/>
    <w:rsid w:val="00C23AED"/>
    <w:rsid w:val="00C3159C"/>
    <w:rsid w:val="00C361C9"/>
    <w:rsid w:val="00C4717C"/>
    <w:rsid w:val="00C52D67"/>
    <w:rsid w:val="00C631CB"/>
    <w:rsid w:val="00C719F6"/>
    <w:rsid w:val="00C72272"/>
    <w:rsid w:val="00C75C15"/>
    <w:rsid w:val="00C85073"/>
    <w:rsid w:val="00C932A7"/>
    <w:rsid w:val="00CB06B4"/>
    <w:rsid w:val="00CC1EE0"/>
    <w:rsid w:val="00CC384B"/>
    <w:rsid w:val="00CC540D"/>
    <w:rsid w:val="00CC64A6"/>
    <w:rsid w:val="00CD355A"/>
    <w:rsid w:val="00CD5916"/>
    <w:rsid w:val="00CE1AAA"/>
    <w:rsid w:val="00CE6DAF"/>
    <w:rsid w:val="00CF247F"/>
    <w:rsid w:val="00D17C4A"/>
    <w:rsid w:val="00D2200B"/>
    <w:rsid w:val="00D238E8"/>
    <w:rsid w:val="00D51FF5"/>
    <w:rsid w:val="00D7244B"/>
    <w:rsid w:val="00D7606B"/>
    <w:rsid w:val="00D776E5"/>
    <w:rsid w:val="00D77EF9"/>
    <w:rsid w:val="00D95EBC"/>
    <w:rsid w:val="00DC0032"/>
    <w:rsid w:val="00DD5806"/>
    <w:rsid w:val="00DE033B"/>
    <w:rsid w:val="00DE4F2C"/>
    <w:rsid w:val="00DF298A"/>
    <w:rsid w:val="00E0209F"/>
    <w:rsid w:val="00E2157C"/>
    <w:rsid w:val="00E2174C"/>
    <w:rsid w:val="00E23352"/>
    <w:rsid w:val="00E371ED"/>
    <w:rsid w:val="00E50D79"/>
    <w:rsid w:val="00E700D2"/>
    <w:rsid w:val="00E751CD"/>
    <w:rsid w:val="00E76F61"/>
    <w:rsid w:val="00E878A9"/>
    <w:rsid w:val="00EA0E76"/>
    <w:rsid w:val="00EA72C8"/>
    <w:rsid w:val="00EB4F51"/>
    <w:rsid w:val="00EB5F97"/>
    <w:rsid w:val="00EC1558"/>
    <w:rsid w:val="00EC487B"/>
    <w:rsid w:val="00EC5111"/>
    <w:rsid w:val="00EC6602"/>
    <w:rsid w:val="00ED0DBA"/>
    <w:rsid w:val="00ED2DDC"/>
    <w:rsid w:val="00ED6E52"/>
    <w:rsid w:val="00ED7B9C"/>
    <w:rsid w:val="00EE2E50"/>
    <w:rsid w:val="00EF251C"/>
    <w:rsid w:val="00EF3AA9"/>
    <w:rsid w:val="00EF52C9"/>
    <w:rsid w:val="00F01CD5"/>
    <w:rsid w:val="00F02CC1"/>
    <w:rsid w:val="00F10A1C"/>
    <w:rsid w:val="00F2226A"/>
    <w:rsid w:val="00F36FA3"/>
    <w:rsid w:val="00F53254"/>
    <w:rsid w:val="00F547EE"/>
    <w:rsid w:val="00F57441"/>
    <w:rsid w:val="00F700A0"/>
    <w:rsid w:val="00F81C7D"/>
    <w:rsid w:val="00F92A4E"/>
    <w:rsid w:val="00F92D50"/>
    <w:rsid w:val="00F9539C"/>
    <w:rsid w:val="00F96E8E"/>
    <w:rsid w:val="00FB5990"/>
    <w:rsid w:val="00FB6221"/>
    <w:rsid w:val="00FE46E4"/>
    <w:rsid w:val="00FE7E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A5D861"/>
  <w15:docId w15:val="{2AC94F5E-47C6-4729-8D2B-8945229D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character" w:customStyle="1" w:styleId="UnresolvedMention1">
    <w:name w:val="Unresolved Mention1"/>
    <w:basedOn w:val="DefaultParagraphFont"/>
    <w:uiPriority w:val="99"/>
    <w:semiHidden/>
    <w:unhideWhenUsed/>
    <w:rsid w:val="00792E4E"/>
    <w:rPr>
      <w:color w:val="808080"/>
      <w:shd w:val="clear" w:color="auto" w:fill="E6E6E6"/>
    </w:rPr>
  </w:style>
  <w:style w:type="paragraph" w:styleId="Revision">
    <w:name w:val="Revision"/>
    <w:hidden/>
    <w:uiPriority w:val="99"/>
    <w:semiHidden/>
    <w:rsid w:val="0095293A"/>
  </w:style>
  <w:style w:type="character" w:styleId="UnresolvedMention">
    <w:name w:val="Unresolved Mention"/>
    <w:basedOn w:val="DefaultParagraphFont"/>
    <w:uiPriority w:val="99"/>
    <w:semiHidden/>
    <w:unhideWhenUsed/>
    <w:rsid w:val="00CF2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ransportcenter.org/" TargetMode="External" /><Relationship Id="rId5" Type="http://schemas.openxmlformats.org/officeDocument/2006/relationships/hyperlink" Target="https://www.transitworkforce.org/" TargetMode="External" /><Relationship Id="rId6" Type="http://schemas.openxmlformats.org/officeDocument/2006/relationships/hyperlink" Target="https://www.transportcenter.org/solutions_services/detail_view/TWC" TargetMode="External" /><Relationship Id="rId7" Type="http://schemas.openxmlformats.org/officeDocument/2006/relationships/hyperlink" Target="https://www.bls.gov/oes/2023/may/oes131199.htm" TargetMode="External" /><Relationship Id="rId8" Type="http://schemas.openxmlformats.org/officeDocument/2006/relationships/hyperlink" Target="https://www.opm.gov/policy-data-oversight/pay-leave/salaries-wages/salary-tables/pdf/2026/DCB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3540</Words>
  <Characters>21947</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Swain, Tia (FTA)</cp:lastModifiedBy>
  <cp:revision>2</cp:revision>
  <cp:lastPrinted>2019-07-10T18:43:00Z</cp:lastPrinted>
  <dcterms:created xsi:type="dcterms:W3CDTF">2026-04-24T12:57:00Z</dcterms:created>
  <dcterms:modified xsi:type="dcterms:W3CDTF">2026-04-24T12:57:00Z</dcterms:modified>
</cp:coreProperties>
</file>