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707" w:rsidRPr="00B87E9A" w:rsidP="00C64707" w14:paraId="0B59C8E8" w14:textId="77777777">
      <w:pPr>
        <w:shd w:val="clear" w:color="auto" w:fill="FFFFFF"/>
        <w:spacing w:after="0" w:line="240" w:lineRule="auto"/>
        <w:jc w:val="center"/>
        <w:rPr>
          <w:rFonts w:ascii="Arial" w:eastAsia="Times New Roman" w:hAnsi="Arial" w:cs="Arial"/>
          <w:sz w:val="24"/>
          <w:szCs w:val="24"/>
        </w:rPr>
      </w:pPr>
      <w:r w:rsidRPr="00B87E9A">
        <w:rPr>
          <w:rFonts w:ascii="Arial" w:eastAsia="Times New Roman" w:hAnsi="Arial" w:cs="Arial"/>
          <w:b/>
          <w:bCs/>
          <w:sz w:val="24"/>
          <w:szCs w:val="24"/>
        </w:rPr>
        <w:t>Supporting Statement A</w:t>
      </w:r>
    </w:p>
    <w:p w:rsidR="00F8196B" w:rsidRPr="00B87E9A" w:rsidP="00F8196B" w14:paraId="0E7D284D" w14:textId="77777777">
      <w:pPr>
        <w:shd w:val="clear" w:color="auto" w:fill="FFFFFF"/>
        <w:spacing w:after="0" w:line="240" w:lineRule="auto"/>
        <w:jc w:val="center"/>
        <w:rPr>
          <w:rFonts w:ascii="Arial" w:eastAsia="Times New Roman" w:hAnsi="Arial" w:cs="Arial"/>
          <w:b/>
          <w:bCs/>
          <w:sz w:val="24"/>
          <w:szCs w:val="24"/>
        </w:rPr>
      </w:pPr>
      <w:r w:rsidRPr="00B87E9A">
        <w:rPr>
          <w:rFonts w:ascii="Arial" w:eastAsia="Times New Roman" w:hAnsi="Arial" w:cs="Arial"/>
          <w:b/>
          <w:bCs/>
          <w:sz w:val="24"/>
          <w:szCs w:val="24"/>
        </w:rPr>
        <w:t>Reduction of Fuel Tank Flammability on Transport Category Airplanes</w:t>
      </w:r>
    </w:p>
    <w:p w:rsidR="00865479" w:rsidRPr="00B87E9A" w:rsidP="00C64707" w14:paraId="727FD867" w14:textId="77777777">
      <w:pPr>
        <w:shd w:val="clear" w:color="auto" w:fill="FFFFFF"/>
        <w:spacing w:after="0" w:line="240" w:lineRule="auto"/>
        <w:jc w:val="center"/>
        <w:rPr>
          <w:rFonts w:ascii="Arial" w:eastAsia="Times New Roman" w:hAnsi="Arial" w:cs="Arial"/>
          <w:b/>
          <w:sz w:val="24"/>
          <w:szCs w:val="24"/>
        </w:rPr>
      </w:pPr>
      <w:r w:rsidRPr="00B87E9A">
        <w:rPr>
          <w:rFonts w:ascii="Arial" w:eastAsia="Times New Roman" w:hAnsi="Arial" w:cs="Arial"/>
          <w:b/>
          <w:sz w:val="24"/>
          <w:szCs w:val="24"/>
        </w:rPr>
        <w:t>OMB 2120-</w:t>
      </w:r>
      <w:r w:rsidRPr="00B87E9A" w:rsidR="003E5337">
        <w:rPr>
          <w:rFonts w:ascii="Arial" w:eastAsia="Times New Roman" w:hAnsi="Arial" w:cs="Arial"/>
          <w:b/>
          <w:sz w:val="24"/>
          <w:szCs w:val="24"/>
        </w:rPr>
        <w:t>0710</w:t>
      </w:r>
    </w:p>
    <w:p w:rsidR="00865479" w:rsidRPr="00B87E9A" w:rsidP="00C64707" w14:paraId="2D9DDDBB" w14:textId="77777777">
      <w:pPr>
        <w:shd w:val="clear" w:color="auto" w:fill="FFFFFF"/>
        <w:spacing w:after="0" w:line="240" w:lineRule="auto"/>
        <w:jc w:val="center"/>
        <w:rPr>
          <w:rFonts w:ascii="Arial" w:eastAsia="Times New Roman" w:hAnsi="Arial" w:cs="Arial"/>
          <w:sz w:val="24"/>
          <w:szCs w:val="24"/>
        </w:rPr>
      </w:pPr>
    </w:p>
    <w:p w:rsidR="0000344C" w:rsidRPr="00FA64CF" w:rsidP="006073B2" w14:paraId="77EE4D1C" w14:textId="77777777">
      <w:pPr>
        <w:shd w:val="clear" w:color="auto" w:fill="FFFFFF"/>
        <w:spacing w:after="0" w:line="240" w:lineRule="auto"/>
        <w:rPr>
          <w:rFonts w:ascii="Arial" w:eastAsia="Times New Roman" w:hAnsi="Arial" w:cs="Arial"/>
          <w:b/>
          <w:sz w:val="24"/>
          <w:szCs w:val="24"/>
        </w:rPr>
      </w:pPr>
      <w:r w:rsidRPr="00FA64CF">
        <w:rPr>
          <w:rFonts w:ascii="Arial" w:eastAsia="Times New Roman" w:hAnsi="Arial" w:cs="Arial"/>
          <w:b/>
          <w:sz w:val="24"/>
          <w:szCs w:val="24"/>
        </w:rPr>
        <w:t>Abstract</w:t>
      </w:r>
    </w:p>
    <w:p w:rsidR="0000344C" w:rsidRPr="00FA64CF" w:rsidP="006073B2" w14:paraId="06A07752" w14:textId="77777777">
      <w:pPr>
        <w:shd w:val="clear" w:color="auto" w:fill="FFFFFF"/>
        <w:spacing w:after="0" w:line="240" w:lineRule="auto"/>
        <w:rPr>
          <w:rFonts w:ascii="Arial" w:eastAsia="Times New Roman" w:hAnsi="Arial" w:cs="Arial"/>
          <w:sz w:val="24"/>
          <w:szCs w:val="24"/>
        </w:rPr>
      </w:pPr>
    </w:p>
    <w:p w:rsidR="00A04E70" w:rsidRPr="00FA64CF" w:rsidP="006073B2" w14:paraId="762E834D" w14:textId="054F6B93">
      <w:p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 xml:space="preserve">Summary of </w:t>
      </w:r>
      <w:r w:rsidRPr="00FA64CF" w:rsidR="003F6AE3">
        <w:rPr>
          <w:rFonts w:ascii="Arial" w:eastAsia="Times New Roman" w:hAnsi="Arial" w:cs="Arial"/>
          <w:sz w:val="24"/>
          <w:szCs w:val="24"/>
        </w:rPr>
        <w:t>major c</w:t>
      </w:r>
      <w:r w:rsidRPr="00FA64CF">
        <w:rPr>
          <w:rFonts w:ascii="Arial" w:eastAsia="Times New Roman" w:hAnsi="Arial" w:cs="Arial"/>
          <w:sz w:val="24"/>
          <w:szCs w:val="24"/>
        </w:rPr>
        <w:t>hanges</w:t>
      </w:r>
      <w:r w:rsidRPr="00FA64CF" w:rsidR="003F6AE3">
        <w:rPr>
          <w:rFonts w:ascii="Arial" w:eastAsia="Times New Roman" w:hAnsi="Arial" w:cs="Arial"/>
          <w:sz w:val="24"/>
          <w:szCs w:val="24"/>
        </w:rPr>
        <w:t xml:space="preserve"> f</w:t>
      </w:r>
      <w:r w:rsidRPr="00FA64CF">
        <w:rPr>
          <w:rFonts w:ascii="Arial" w:eastAsia="Times New Roman" w:hAnsi="Arial" w:cs="Arial"/>
          <w:sz w:val="24"/>
          <w:szCs w:val="24"/>
        </w:rPr>
        <w:t xml:space="preserve">rom previous supporting </w:t>
      </w:r>
      <w:r w:rsidRPr="00FA64CF" w:rsidR="003F6AE3">
        <w:rPr>
          <w:rFonts w:ascii="Arial" w:eastAsia="Times New Roman" w:hAnsi="Arial" w:cs="Arial"/>
          <w:sz w:val="24"/>
          <w:szCs w:val="24"/>
        </w:rPr>
        <w:t>S</w:t>
      </w:r>
      <w:r w:rsidRPr="00FA64CF">
        <w:rPr>
          <w:rFonts w:ascii="Arial" w:eastAsia="Times New Roman" w:hAnsi="Arial" w:cs="Arial"/>
          <w:sz w:val="24"/>
          <w:szCs w:val="24"/>
        </w:rPr>
        <w:t>tatement</w:t>
      </w:r>
      <w:r w:rsidRPr="00FA64CF" w:rsidR="003F6AE3">
        <w:rPr>
          <w:rFonts w:ascii="Arial" w:eastAsia="Times New Roman" w:hAnsi="Arial" w:cs="Arial"/>
          <w:sz w:val="24"/>
          <w:szCs w:val="24"/>
        </w:rPr>
        <w:t xml:space="preserve"> A:</w:t>
      </w:r>
    </w:p>
    <w:p w:rsidR="003F6AE3" w:rsidRPr="00FA64CF" w:rsidP="008D17A1" w14:paraId="31ABF913" w14:textId="1ECE7391">
      <w:pPr>
        <w:pStyle w:val="ListParagraph"/>
        <w:numPr>
          <w:ilvl w:val="0"/>
          <w:numId w:val="4"/>
        </w:num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The FAA regulations 25.981(b)(2)</w:t>
      </w:r>
      <w:r w:rsidRPr="00FA64CF" w:rsidR="00AD2616">
        <w:rPr>
          <w:rFonts w:ascii="Arial" w:eastAsia="Times New Roman" w:hAnsi="Arial" w:cs="Arial"/>
          <w:sz w:val="24"/>
          <w:szCs w:val="24"/>
        </w:rPr>
        <w:t xml:space="preserve"> </w:t>
      </w:r>
      <w:r w:rsidRPr="00FA64CF">
        <w:rPr>
          <w:rFonts w:ascii="Arial" w:eastAsia="Times New Roman" w:hAnsi="Arial" w:cs="Arial"/>
          <w:sz w:val="24"/>
          <w:szCs w:val="24"/>
        </w:rPr>
        <w:t xml:space="preserve">and </w:t>
      </w:r>
      <w:r w:rsidRPr="00FA64CF" w:rsidR="004D6D38">
        <w:rPr>
          <w:rFonts w:ascii="Arial" w:eastAsia="Times New Roman" w:hAnsi="Arial" w:cs="Arial"/>
          <w:sz w:val="24"/>
          <w:szCs w:val="24"/>
        </w:rPr>
        <w:t>Appendix M 25.5 are specified as the regulations requiring</w:t>
      </w:r>
      <w:r w:rsidRPr="00FA64CF">
        <w:rPr>
          <w:rFonts w:ascii="Arial" w:eastAsia="Times New Roman" w:hAnsi="Arial" w:cs="Arial"/>
          <w:sz w:val="24"/>
          <w:szCs w:val="24"/>
        </w:rPr>
        <w:t xml:space="preserve"> </w:t>
      </w:r>
      <w:r w:rsidRPr="00FA64CF" w:rsidR="004D6D38">
        <w:rPr>
          <w:rFonts w:ascii="Arial" w:eastAsia="Times New Roman" w:hAnsi="Arial" w:cs="Arial"/>
          <w:sz w:val="24"/>
          <w:szCs w:val="24"/>
        </w:rPr>
        <w:t xml:space="preserve">the information or </w:t>
      </w:r>
      <w:r w:rsidRPr="00FA64CF">
        <w:rPr>
          <w:rFonts w:ascii="Arial" w:eastAsia="Times New Roman" w:hAnsi="Arial" w:cs="Arial"/>
          <w:sz w:val="24"/>
          <w:szCs w:val="24"/>
        </w:rPr>
        <w:t>data collection – see item 1.</w:t>
      </w:r>
      <w:r w:rsidRPr="00FA64CF" w:rsidR="00AD2616">
        <w:rPr>
          <w:rFonts w:ascii="Arial" w:eastAsia="Times New Roman" w:hAnsi="Arial" w:cs="Arial"/>
          <w:sz w:val="24"/>
          <w:szCs w:val="24"/>
        </w:rPr>
        <w:t xml:space="preserve">  The FAA Advisory Circular (AC) 25.981-2A specifies the </w:t>
      </w:r>
      <w:r w:rsidRPr="00FA64CF" w:rsidR="003C7992">
        <w:rPr>
          <w:rFonts w:ascii="Arial" w:eastAsia="Times New Roman" w:hAnsi="Arial" w:cs="Arial"/>
          <w:sz w:val="24"/>
          <w:szCs w:val="24"/>
        </w:rPr>
        <w:t>design approval holders (DAH) applicable to the OMB 2120-0710 fuel tank flammability reduction component reliability data collection.</w:t>
      </w:r>
    </w:p>
    <w:p w:rsidR="00EE2CA2" w:rsidRPr="00FA64CF" w:rsidP="008D17A1" w14:paraId="13924FBD" w14:textId="19BAF890">
      <w:pPr>
        <w:pStyle w:val="ListParagraph"/>
        <w:numPr>
          <w:ilvl w:val="0"/>
          <w:numId w:val="4"/>
        </w:num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 xml:space="preserve">FAA received </w:t>
      </w:r>
      <w:r w:rsidRPr="00FA64CF" w:rsidR="00F74251">
        <w:rPr>
          <w:rFonts w:ascii="Arial" w:eastAsia="Times New Roman" w:hAnsi="Arial" w:cs="Arial"/>
          <w:sz w:val="24"/>
          <w:szCs w:val="24"/>
        </w:rPr>
        <w:t xml:space="preserve">two </w:t>
      </w:r>
      <w:r w:rsidRPr="00FA64CF">
        <w:rPr>
          <w:rFonts w:ascii="Arial" w:eastAsia="Times New Roman" w:hAnsi="Arial" w:cs="Arial"/>
          <w:sz w:val="24"/>
          <w:szCs w:val="24"/>
        </w:rPr>
        <w:t xml:space="preserve">public comments from the January 27, </w:t>
      </w:r>
      <w:r w:rsidRPr="00FA64CF">
        <w:rPr>
          <w:rFonts w:ascii="Arial" w:eastAsia="Times New Roman" w:hAnsi="Arial" w:cs="Arial"/>
          <w:sz w:val="24"/>
          <w:szCs w:val="24"/>
        </w:rPr>
        <w:t>2026</w:t>
      </w:r>
      <w:r w:rsidRPr="00FA64CF">
        <w:rPr>
          <w:rFonts w:ascii="Arial" w:eastAsia="Times New Roman" w:hAnsi="Arial" w:cs="Arial"/>
          <w:sz w:val="24"/>
          <w:szCs w:val="24"/>
        </w:rPr>
        <w:t xml:space="preserve"> Federal Register Notice</w:t>
      </w:r>
      <w:r w:rsidRPr="00FA64CF" w:rsidR="00F74251">
        <w:rPr>
          <w:rFonts w:ascii="Arial" w:eastAsia="Times New Roman" w:hAnsi="Arial" w:cs="Arial"/>
          <w:sz w:val="24"/>
          <w:szCs w:val="24"/>
        </w:rPr>
        <w:t xml:space="preserve"> (91 FR 3626)</w:t>
      </w:r>
      <w:r w:rsidRPr="00FA64CF">
        <w:rPr>
          <w:rFonts w:ascii="Arial" w:eastAsia="Times New Roman" w:hAnsi="Arial" w:cs="Arial"/>
          <w:sz w:val="24"/>
          <w:szCs w:val="24"/>
        </w:rPr>
        <w:t xml:space="preserve">, supporting the FAA OMB 2120-0710 data collection effort to ensure </w:t>
      </w:r>
      <w:r w:rsidRPr="00FA64CF" w:rsidR="00F74251">
        <w:rPr>
          <w:rFonts w:ascii="Arial" w:eastAsia="Times New Roman" w:hAnsi="Arial" w:cs="Arial"/>
          <w:sz w:val="24"/>
          <w:szCs w:val="24"/>
        </w:rPr>
        <w:t xml:space="preserve">aircraft fuel tank </w:t>
      </w:r>
      <w:r w:rsidRPr="00FA64CF">
        <w:rPr>
          <w:rFonts w:ascii="Arial" w:eastAsia="Times New Roman" w:hAnsi="Arial" w:cs="Arial"/>
          <w:sz w:val="24"/>
          <w:szCs w:val="24"/>
        </w:rPr>
        <w:t>safety</w:t>
      </w:r>
      <w:r w:rsidRPr="00FA64CF" w:rsidR="00F74251">
        <w:rPr>
          <w:rFonts w:ascii="Arial" w:eastAsia="Times New Roman" w:hAnsi="Arial" w:cs="Arial"/>
          <w:sz w:val="24"/>
          <w:szCs w:val="24"/>
        </w:rPr>
        <w:t xml:space="preserve"> for the passengers, crew, and</w:t>
      </w:r>
      <w:r w:rsidRPr="00FA64CF" w:rsidR="00FA5E49">
        <w:rPr>
          <w:rFonts w:ascii="Arial" w:eastAsia="Times New Roman" w:hAnsi="Arial" w:cs="Arial"/>
          <w:sz w:val="24"/>
          <w:szCs w:val="24"/>
        </w:rPr>
        <w:t xml:space="preserve"> the</w:t>
      </w:r>
      <w:r w:rsidRPr="00FA64CF" w:rsidR="00F74251">
        <w:rPr>
          <w:rFonts w:ascii="Arial" w:eastAsia="Times New Roman" w:hAnsi="Arial" w:cs="Arial"/>
          <w:sz w:val="24"/>
          <w:szCs w:val="24"/>
        </w:rPr>
        <w:t xml:space="preserve"> flying public</w:t>
      </w:r>
      <w:r w:rsidRPr="00FA64CF" w:rsidR="00FA5E49">
        <w:rPr>
          <w:rFonts w:ascii="Arial" w:eastAsia="Times New Roman" w:hAnsi="Arial" w:cs="Arial"/>
          <w:sz w:val="24"/>
          <w:szCs w:val="24"/>
        </w:rPr>
        <w:t xml:space="preserve"> – see item 8.</w:t>
      </w:r>
    </w:p>
    <w:p w:rsidR="000D013F" w:rsidRPr="00FA64CF" w:rsidP="008D17A1" w14:paraId="38A82F0C" w14:textId="5EB4A350">
      <w:pPr>
        <w:pStyle w:val="ListParagraph"/>
        <w:numPr>
          <w:ilvl w:val="0"/>
          <w:numId w:val="4"/>
        </w:num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 xml:space="preserve">This </w:t>
      </w:r>
      <w:r w:rsidRPr="00FA64CF" w:rsidR="004D6D38">
        <w:rPr>
          <w:rFonts w:ascii="Arial" w:eastAsia="Times New Roman" w:hAnsi="Arial" w:cs="Arial"/>
          <w:sz w:val="24"/>
          <w:szCs w:val="24"/>
        </w:rPr>
        <w:t xml:space="preserve">Statement A </w:t>
      </w:r>
      <w:r w:rsidRPr="00FA64CF">
        <w:rPr>
          <w:rFonts w:ascii="Arial" w:eastAsia="Times New Roman" w:hAnsi="Arial" w:cs="Arial"/>
          <w:sz w:val="24"/>
          <w:szCs w:val="24"/>
        </w:rPr>
        <w:t>use</w:t>
      </w:r>
      <w:r w:rsidRPr="00FA64CF" w:rsidR="003F6AE3">
        <w:rPr>
          <w:rFonts w:ascii="Arial" w:eastAsia="Times New Roman" w:hAnsi="Arial" w:cs="Arial"/>
          <w:sz w:val="24"/>
          <w:szCs w:val="24"/>
        </w:rPr>
        <w:t>s</w:t>
      </w:r>
      <w:r w:rsidRPr="00FA64CF">
        <w:rPr>
          <w:rFonts w:ascii="Arial" w:eastAsia="Times New Roman" w:hAnsi="Arial" w:cs="Arial"/>
          <w:sz w:val="24"/>
          <w:szCs w:val="24"/>
        </w:rPr>
        <w:t xml:space="preserve"> current </w:t>
      </w:r>
      <w:r w:rsidRPr="00FA64CF" w:rsidR="003F6AE3">
        <w:rPr>
          <w:rFonts w:ascii="Arial" w:eastAsia="Times New Roman" w:hAnsi="Arial" w:cs="Arial"/>
          <w:sz w:val="24"/>
          <w:szCs w:val="24"/>
        </w:rPr>
        <w:t>202</w:t>
      </w:r>
      <w:r w:rsidRPr="00FA64CF" w:rsidR="00AD2616">
        <w:rPr>
          <w:rFonts w:ascii="Arial" w:eastAsia="Times New Roman" w:hAnsi="Arial" w:cs="Arial"/>
          <w:sz w:val="24"/>
          <w:szCs w:val="24"/>
        </w:rPr>
        <w:t>5</w:t>
      </w:r>
      <w:r w:rsidRPr="00FA64CF" w:rsidR="003F6AE3">
        <w:rPr>
          <w:rFonts w:ascii="Arial" w:eastAsia="Times New Roman" w:hAnsi="Arial" w:cs="Arial"/>
          <w:sz w:val="24"/>
          <w:szCs w:val="24"/>
        </w:rPr>
        <w:t xml:space="preserve"> </w:t>
      </w:r>
      <w:r w:rsidRPr="00FA64CF">
        <w:rPr>
          <w:rFonts w:ascii="Arial" w:eastAsia="Times New Roman" w:hAnsi="Arial" w:cs="Arial"/>
          <w:sz w:val="24"/>
          <w:szCs w:val="24"/>
        </w:rPr>
        <w:t>BLR rates</w:t>
      </w:r>
      <w:r w:rsidRPr="00FA64CF" w:rsidR="003F6AE3">
        <w:rPr>
          <w:rFonts w:ascii="Arial" w:eastAsia="Times New Roman" w:hAnsi="Arial" w:cs="Arial"/>
          <w:sz w:val="24"/>
          <w:szCs w:val="24"/>
        </w:rPr>
        <w:t xml:space="preserve"> </w:t>
      </w:r>
      <w:r w:rsidRPr="00FA64CF" w:rsidR="004D6D38">
        <w:rPr>
          <w:rFonts w:ascii="Arial" w:eastAsia="Times New Roman" w:hAnsi="Arial" w:cs="Arial"/>
          <w:sz w:val="24"/>
          <w:szCs w:val="24"/>
        </w:rPr>
        <w:t xml:space="preserve">for cost estimates </w:t>
      </w:r>
      <w:r w:rsidRPr="00FA64CF" w:rsidR="003F6AE3">
        <w:rPr>
          <w:rFonts w:ascii="Arial" w:eastAsia="Times New Roman" w:hAnsi="Arial" w:cs="Arial"/>
          <w:sz w:val="24"/>
          <w:szCs w:val="24"/>
        </w:rPr>
        <w:t>– see item</w:t>
      </w:r>
      <w:r w:rsidRPr="00FA64CF" w:rsidR="00025592">
        <w:rPr>
          <w:rFonts w:ascii="Arial" w:eastAsia="Times New Roman" w:hAnsi="Arial" w:cs="Arial"/>
          <w:sz w:val="24"/>
          <w:szCs w:val="24"/>
        </w:rPr>
        <w:t>s</w:t>
      </w:r>
      <w:r w:rsidRPr="00FA64CF" w:rsidR="003F6AE3">
        <w:rPr>
          <w:rFonts w:ascii="Arial" w:eastAsia="Times New Roman" w:hAnsi="Arial" w:cs="Arial"/>
          <w:sz w:val="24"/>
          <w:szCs w:val="24"/>
        </w:rPr>
        <w:t xml:space="preserve"> 12</w:t>
      </w:r>
      <w:r w:rsidRPr="00FA64CF" w:rsidR="00025592">
        <w:rPr>
          <w:rFonts w:ascii="Arial" w:eastAsia="Times New Roman" w:hAnsi="Arial" w:cs="Arial"/>
          <w:sz w:val="24"/>
          <w:szCs w:val="24"/>
        </w:rPr>
        <w:t xml:space="preserve"> and 14.</w:t>
      </w:r>
    </w:p>
    <w:p w:rsidR="006073B2" w:rsidRPr="00FA64CF" w:rsidP="008D17A1" w14:paraId="37552D73" w14:textId="18020058">
      <w:pPr>
        <w:pStyle w:val="ListParagraph"/>
        <w:numPr>
          <w:ilvl w:val="0"/>
          <w:numId w:val="4"/>
        </w:num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This Statement A updates the number of respo</w:t>
      </w:r>
      <w:r w:rsidRPr="00FA64CF" w:rsidR="007572D0">
        <w:rPr>
          <w:rFonts w:ascii="Arial" w:eastAsia="Times New Roman" w:hAnsi="Arial" w:cs="Arial"/>
          <w:sz w:val="24"/>
          <w:szCs w:val="24"/>
        </w:rPr>
        <w:t xml:space="preserve">ndents </w:t>
      </w:r>
      <w:r w:rsidRPr="00FA64CF" w:rsidR="00EE2CA2">
        <w:rPr>
          <w:rFonts w:ascii="Arial" w:eastAsia="Times New Roman" w:hAnsi="Arial" w:cs="Arial"/>
          <w:sz w:val="24"/>
          <w:szCs w:val="24"/>
        </w:rPr>
        <w:t xml:space="preserve">to </w:t>
      </w:r>
      <w:r w:rsidRPr="00FA64CF" w:rsidR="00101238">
        <w:rPr>
          <w:rFonts w:ascii="Arial" w:eastAsia="Times New Roman" w:hAnsi="Arial" w:cs="Arial"/>
          <w:sz w:val="24"/>
          <w:szCs w:val="24"/>
        </w:rPr>
        <w:t>16</w:t>
      </w:r>
      <w:r w:rsidRPr="00FA64CF" w:rsidR="00EE2CA2">
        <w:rPr>
          <w:rFonts w:ascii="Arial" w:eastAsia="Times New Roman" w:hAnsi="Arial" w:cs="Arial"/>
          <w:sz w:val="24"/>
          <w:szCs w:val="24"/>
        </w:rPr>
        <w:t xml:space="preserve">, </w:t>
      </w:r>
      <w:r w:rsidRPr="00FA64CF" w:rsidR="0000344C">
        <w:rPr>
          <w:rFonts w:ascii="Arial" w:eastAsia="Times New Roman" w:hAnsi="Arial" w:cs="Arial"/>
          <w:sz w:val="24"/>
          <w:szCs w:val="24"/>
        </w:rPr>
        <w:t xml:space="preserve">based on </w:t>
      </w:r>
      <w:r w:rsidRPr="00FA64CF" w:rsidR="00EE2CA2">
        <w:rPr>
          <w:rFonts w:ascii="Arial" w:eastAsia="Times New Roman" w:hAnsi="Arial" w:cs="Arial"/>
          <w:sz w:val="24"/>
          <w:szCs w:val="24"/>
        </w:rPr>
        <w:t xml:space="preserve">review of </w:t>
      </w:r>
      <w:r w:rsidRPr="00FA64CF" w:rsidR="00AD2616">
        <w:rPr>
          <w:rFonts w:ascii="Arial" w:eastAsia="Times New Roman" w:hAnsi="Arial" w:cs="Arial"/>
          <w:sz w:val="24"/>
          <w:szCs w:val="24"/>
        </w:rPr>
        <w:t xml:space="preserve">FAA Dynamic Regulatory System (DRS) database of current </w:t>
      </w:r>
      <w:r w:rsidRPr="00FA64CF" w:rsidR="00EE2CA2">
        <w:rPr>
          <w:rFonts w:ascii="Arial" w:eastAsia="Times New Roman" w:hAnsi="Arial" w:cs="Arial"/>
          <w:sz w:val="24"/>
          <w:szCs w:val="24"/>
        </w:rPr>
        <w:t xml:space="preserve">active </w:t>
      </w:r>
      <w:r w:rsidRPr="00FA64CF" w:rsidR="00AD2616">
        <w:rPr>
          <w:rFonts w:ascii="Arial" w:eastAsia="Times New Roman" w:hAnsi="Arial" w:cs="Arial"/>
          <w:sz w:val="24"/>
          <w:szCs w:val="24"/>
        </w:rPr>
        <w:t>aircraft Type Certificate (TC) Holders and Parts Manufacturers Approval (PMA) Holders</w:t>
      </w:r>
      <w:r w:rsidRPr="00FA64CF" w:rsidR="00EE2CA2">
        <w:rPr>
          <w:rFonts w:ascii="Arial" w:eastAsia="Times New Roman" w:hAnsi="Arial" w:cs="Arial"/>
          <w:sz w:val="24"/>
          <w:szCs w:val="24"/>
        </w:rPr>
        <w:t xml:space="preserve"> with applicable aircraft fuel tank flammability reduction components under FAA oversight offices</w:t>
      </w:r>
      <w:r w:rsidRPr="00FA64CF" w:rsidR="00AD2616">
        <w:rPr>
          <w:rFonts w:ascii="Arial" w:eastAsia="Times New Roman" w:hAnsi="Arial" w:cs="Arial"/>
          <w:sz w:val="24"/>
          <w:szCs w:val="24"/>
        </w:rPr>
        <w:t xml:space="preserve"> - s</w:t>
      </w:r>
      <w:r w:rsidRPr="00FA64CF">
        <w:rPr>
          <w:rFonts w:ascii="Arial" w:eastAsia="Times New Roman" w:hAnsi="Arial" w:cs="Arial"/>
          <w:sz w:val="24"/>
          <w:szCs w:val="24"/>
        </w:rPr>
        <w:t>ee items 12 and 15.</w:t>
      </w:r>
      <w:r w:rsidRPr="00FA64CF" w:rsidR="00AD2616">
        <w:rPr>
          <w:rFonts w:ascii="Arial" w:eastAsia="Times New Roman" w:hAnsi="Arial" w:cs="Arial"/>
          <w:sz w:val="24"/>
          <w:szCs w:val="24"/>
        </w:rPr>
        <w:t xml:space="preserve">  </w:t>
      </w:r>
    </w:p>
    <w:p w:rsidR="00C64707" w:rsidRPr="00B87E9A" w:rsidP="00C64707" w14:paraId="1C502195" w14:textId="73D28977">
      <w:pPr>
        <w:shd w:val="clear" w:color="auto" w:fill="FFFFFF"/>
        <w:spacing w:after="0" w:line="240" w:lineRule="auto"/>
        <w:rPr>
          <w:rFonts w:ascii="Arial" w:eastAsia="Times New Roman" w:hAnsi="Arial" w:cs="Arial"/>
          <w:sz w:val="24"/>
          <w:szCs w:val="24"/>
        </w:rPr>
      </w:pPr>
    </w:p>
    <w:p w:rsidR="00A04E70" w:rsidRPr="00B87E9A" w:rsidP="00C64707" w14:paraId="6EF08AB2" w14:textId="77777777">
      <w:pPr>
        <w:shd w:val="clear" w:color="auto" w:fill="FFFFFF"/>
        <w:spacing w:after="0" w:line="240" w:lineRule="auto"/>
        <w:rPr>
          <w:rFonts w:ascii="Arial" w:eastAsia="Times New Roman" w:hAnsi="Arial" w:cs="Arial"/>
          <w:sz w:val="24"/>
          <w:szCs w:val="24"/>
        </w:rPr>
      </w:pPr>
    </w:p>
    <w:p w:rsidR="00C64707" w:rsidRPr="00B87E9A" w:rsidP="00C64707" w14:paraId="49251204"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6073B2" w:rsidRPr="008D17A1" w14:paraId="34ACA65F" w14:textId="61EC3AEC">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p>
    <w:p w:rsidR="009C098B" w:rsidRPr="00B87E9A" w:rsidP="009C098B" w14:paraId="2A2CA401" w14:textId="5748D611">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 xml:space="preserve">The collection </w:t>
      </w:r>
      <w:r w:rsidRPr="00B87E9A" w:rsidR="00E80F03">
        <w:rPr>
          <w:rFonts w:ascii="Arial" w:eastAsia="Times New Roman" w:hAnsi="Arial" w:cs="Arial"/>
          <w:sz w:val="24"/>
          <w:szCs w:val="24"/>
        </w:rPr>
        <w:t xml:space="preserve">of Flammability Reduction Means (FRM) component </w:t>
      </w:r>
      <w:r w:rsidRPr="00B87E9A" w:rsidR="00733AF3">
        <w:rPr>
          <w:rFonts w:ascii="Arial" w:eastAsia="Times New Roman" w:hAnsi="Arial" w:cs="Arial"/>
          <w:sz w:val="24"/>
          <w:szCs w:val="24"/>
        </w:rPr>
        <w:t>reliability</w:t>
      </w:r>
      <w:r w:rsidRPr="00B87E9A" w:rsidR="00E80F03">
        <w:rPr>
          <w:rFonts w:ascii="Arial" w:eastAsia="Times New Roman" w:hAnsi="Arial" w:cs="Arial"/>
          <w:sz w:val="24"/>
          <w:szCs w:val="24"/>
        </w:rPr>
        <w:t xml:space="preserve"> data by</w:t>
      </w:r>
      <w:r w:rsidRPr="00B87E9A">
        <w:rPr>
          <w:rFonts w:ascii="Arial" w:eastAsia="Times New Roman" w:hAnsi="Arial" w:cs="Arial"/>
          <w:sz w:val="24"/>
          <w:szCs w:val="24"/>
        </w:rPr>
        <w:t xml:space="preserve"> design approval holders (DAH) </w:t>
      </w:r>
      <w:r w:rsidRPr="00B87E9A" w:rsidR="00E80F03">
        <w:rPr>
          <w:rFonts w:ascii="Arial" w:eastAsia="Times New Roman" w:hAnsi="Arial" w:cs="Arial"/>
          <w:sz w:val="24"/>
          <w:szCs w:val="24"/>
        </w:rPr>
        <w:t>is to assure the fleet</w:t>
      </w:r>
      <w:r w:rsidRPr="00B87E9A" w:rsidR="00A074E9">
        <w:rPr>
          <w:rFonts w:ascii="Arial" w:eastAsia="Times New Roman" w:hAnsi="Arial" w:cs="Arial"/>
          <w:sz w:val="24"/>
          <w:szCs w:val="24"/>
        </w:rPr>
        <w:t>-wide</w:t>
      </w:r>
      <w:r w:rsidRPr="00B87E9A" w:rsidR="00E80F03">
        <w:rPr>
          <w:rFonts w:ascii="Arial" w:eastAsia="Times New Roman" w:hAnsi="Arial" w:cs="Arial"/>
          <w:sz w:val="24"/>
          <w:szCs w:val="24"/>
        </w:rPr>
        <w:t xml:space="preserve"> </w:t>
      </w:r>
      <w:r w:rsidRPr="00B87E9A">
        <w:rPr>
          <w:rFonts w:ascii="Arial" w:eastAsia="Times New Roman" w:hAnsi="Arial" w:cs="Arial"/>
          <w:sz w:val="24"/>
          <w:szCs w:val="24"/>
        </w:rPr>
        <w:t xml:space="preserve">flammability </w:t>
      </w:r>
      <w:r w:rsidRPr="00B87E9A" w:rsidR="00A074E9">
        <w:rPr>
          <w:rFonts w:ascii="Arial" w:eastAsia="Times New Roman" w:hAnsi="Arial" w:cs="Arial"/>
          <w:sz w:val="24"/>
          <w:szCs w:val="24"/>
        </w:rPr>
        <w:t xml:space="preserve">exposure </w:t>
      </w:r>
      <w:r w:rsidRPr="00B87E9A">
        <w:rPr>
          <w:rFonts w:ascii="Arial" w:eastAsia="Times New Roman" w:hAnsi="Arial" w:cs="Arial"/>
          <w:sz w:val="24"/>
          <w:szCs w:val="24"/>
        </w:rPr>
        <w:t xml:space="preserve">of certain high flammability fuel tanks </w:t>
      </w:r>
      <w:r w:rsidRPr="00B87E9A" w:rsidR="00E80F03">
        <w:rPr>
          <w:rFonts w:ascii="Arial" w:eastAsia="Times New Roman" w:hAnsi="Arial" w:cs="Arial"/>
          <w:sz w:val="24"/>
          <w:szCs w:val="24"/>
        </w:rPr>
        <w:t xml:space="preserve">remains </w:t>
      </w:r>
      <w:r w:rsidRPr="00B87E9A" w:rsidR="00A074E9">
        <w:rPr>
          <w:rFonts w:ascii="Arial" w:eastAsia="Times New Roman" w:hAnsi="Arial" w:cs="Arial"/>
          <w:sz w:val="24"/>
          <w:szCs w:val="24"/>
        </w:rPr>
        <w:t xml:space="preserve">within </w:t>
      </w:r>
      <w:r w:rsidRPr="00B87E9A" w:rsidR="00E80F03">
        <w:rPr>
          <w:rFonts w:ascii="Arial" w:eastAsia="Times New Roman" w:hAnsi="Arial" w:cs="Arial"/>
          <w:sz w:val="24"/>
          <w:szCs w:val="24"/>
        </w:rPr>
        <w:t>requirements</w:t>
      </w:r>
      <w:r w:rsidRPr="00B87E9A">
        <w:rPr>
          <w:rFonts w:ascii="Arial" w:eastAsia="Times New Roman" w:hAnsi="Arial" w:cs="Arial"/>
          <w:sz w:val="24"/>
          <w:szCs w:val="24"/>
        </w:rPr>
        <w:t xml:space="preserve">. Manufacturers of auxiliary fuel tanks are also required to conduct a flammability assessment as well as develop </w:t>
      </w:r>
      <w:r w:rsidRPr="00B87E9A" w:rsidR="00E80F03">
        <w:rPr>
          <w:rFonts w:ascii="Arial" w:eastAsia="Times New Roman" w:hAnsi="Arial" w:cs="Arial"/>
          <w:sz w:val="24"/>
          <w:szCs w:val="24"/>
        </w:rPr>
        <w:t xml:space="preserve">FRMs, if required. </w:t>
      </w:r>
      <w:r w:rsidRPr="00B87E9A" w:rsidR="00B415AB">
        <w:rPr>
          <w:rFonts w:ascii="Arial" w:eastAsia="Times New Roman" w:hAnsi="Arial" w:cs="Arial"/>
          <w:sz w:val="24"/>
          <w:szCs w:val="24"/>
        </w:rPr>
        <w:t>They are required to report FRM component data</w:t>
      </w:r>
      <w:r w:rsidRPr="00B87E9A" w:rsidR="003162C8">
        <w:rPr>
          <w:rFonts w:ascii="Arial" w:eastAsia="Times New Roman" w:hAnsi="Arial" w:cs="Arial"/>
          <w:sz w:val="24"/>
          <w:szCs w:val="24"/>
        </w:rPr>
        <w:t xml:space="preserve"> in accordance with </w:t>
      </w:r>
      <w:r w:rsidRPr="00B87E9A" w:rsidR="00A074E9">
        <w:rPr>
          <w:rFonts w:ascii="Arial" w:eastAsia="Times New Roman" w:hAnsi="Arial" w:cs="Arial"/>
          <w:sz w:val="24"/>
          <w:szCs w:val="24"/>
        </w:rPr>
        <w:t xml:space="preserve">Title 14, CFR </w:t>
      </w:r>
      <w:r w:rsidRPr="00B87E9A" w:rsidR="003162C8">
        <w:rPr>
          <w:rFonts w:ascii="Arial" w:eastAsia="Times New Roman" w:hAnsi="Arial" w:cs="Arial"/>
          <w:sz w:val="24"/>
          <w:szCs w:val="24"/>
        </w:rPr>
        <w:t>25.981</w:t>
      </w:r>
      <w:r w:rsidRPr="00B87E9A" w:rsidR="00EE2383">
        <w:rPr>
          <w:rFonts w:ascii="Arial" w:eastAsia="Times New Roman" w:hAnsi="Arial" w:cs="Arial"/>
          <w:sz w:val="24"/>
          <w:szCs w:val="24"/>
        </w:rPr>
        <w:t xml:space="preserve">(b)(2) and </w:t>
      </w:r>
      <w:r w:rsidRPr="00B87E9A" w:rsidR="00A074E9">
        <w:rPr>
          <w:rFonts w:ascii="Arial" w:eastAsia="Times New Roman" w:hAnsi="Arial" w:cs="Arial"/>
          <w:sz w:val="24"/>
          <w:szCs w:val="24"/>
        </w:rPr>
        <w:t xml:space="preserve">part 25 </w:t>
      </w:r>
      <w:r w:rsidRPr="00B87E9A" w:rsidR="00EE2383">
        <w:rPr>
          <w:rFonts w:ascii="Arial" w:eastAsia="Times New Roman" w:hAnsi="Arial" w:cs="Arial"/>
          <w:sz w:val="24"/>
          <w:szCs w:val="24"/>
        </w:rPr>
        <w:t>Appendix M</w:t>
      </w:r>
      <w:r w:rsidRPr="00B87E9A" w:rsidR="00A074E9">
        <w:rPr>
          <w:rFonts w:ascii="Arial" w:eastAsia="Times New Roman" w:hAnsi="Arial" w:cs="Arial"/>
          <w:sz w:val="24"/>
          <w:szCs w:val="24"/>
        </w:rPr>
        <w:t xml:space="preserve"> M</w:t>
      </w:r>
      <w:r w:rsidRPr="00B87E9A" w:rsidR="00EE2383">
        <w:rPr>
          <w:rFonts w:ascii="Arial" w:eastAsia="Times New Roman" w:hAnsi="Arial" w:cs="Arial"/>
          <w:sz w:val="24"/>
          <w:szCs w:val="24"/>
        </w:rPr>
        <w:t>25.5</w:t>
      </w:r>
      <w:r w:rsidRPr="00B87E9A" w:rsidR="00B415AB">
        <w:rPr>
          <w:rFonts w:ascii="Arial" w:eastAsia="Times New Roman" w:hAnsi="Arial" w:cs="Arial"/>
          <w:sz w:val="24"/>
          <w:szCs w:val="24"/>
        </w:rPr>
        <w:t xml:space="preserve">. </w:t>
      </w:r>
      <w:r w:rsidRPr="00B87E9A" w:rsidR="00E80F03">
        <w:rPr>
          <w:rFonts w:ascii="Arial" w:eastAsia="Times New Roman" w:hAnsi="Arial" w:cs="Arial"/>
          <w:sz w:val="24"/>
          <w:szCs w:val="24"/>
        </w:rPr>
        <w:t xml:space="preserve">Suppliers of non-OEM FRM components </w:t>
      </w:r>
      <w:r w:rsidRPr="00B87E9A" w:rsidR="00B415AB">
        <w:rPr>
          <w:rFonts w:ascii="Arial" w:eastAsia="Times New Roman" w:hAnsi="Arial" w:cs="Arial"/>
          <w:sz w:val="24"/>
          <w:szCs w:val="24"/>
        </w:rPr>
        <w:t xml:space="preserve">must report reliability data for the FAA to utilize in assessing the </w:t>
      </w:r>
      <w:r w:rsidRPr="00B87E9A">
        <w:rPr>
          <w:rFonts w:ascii="Arial" w:eastAsia="Times New Roman" w:hAnsi="Arial" w:cs="Arial"/>
          <w:sz w:val="24"/>
          <w:szCs w:val="24"/>
        </w:rPr>
        <w:t xml:space="preserve">impact </w:t>
      </w:r>
      <w:r w:rsidRPr="00B87E9A" w:rsidR="00B415AB">
        <w:rPr>
          <w:rFonts w:ascii="Arial" w:eastAsia="Times New Roman" w:hAnsi="Arial" w:cs="Arial"/>
          <w:sz w:val="24"/>
          <w:szCs w:val="24"/>
        </w:rPr>
        <w:t xml:space="preserve">of </w:t>
      </w:r>
      <w:r w:rsidRPr="00B87E9A">
        <w:rPr>
          <w:rFonts w:ascii="Arial" w:eastAsia="Times New Roman" w:hAnsi="Arial" w:cs="Arial"/>
          <w:sz w:val="24"/>
          <w:szCs w:val="24"/>
        </w:rPr>
        <w:t xml:space="preserve">the performance of any </w:t>
      </w:r>
      <w:r w:rsidRPr="00B87E9A" w:rsidR="00B415AB">
        <w:rPr>
          <w:rFonts w:ascii="Arial" w:eastAsia="Times New Roman" w:hAnsi="Arial" w:cs="Arial"/>
          <w:sz w:val="24"/>
          <w:szCs w:val="24"/>
        </w:rPr>
        <w:t xml:space="preserve">FRM. </w:t>
      </w:r>
    </w:p>
    <w:p w:rsidR="009C098B" w:rsidRPr="00B87E9A" w:rsidP="009C098B" w14:paraId="0D9C7EED" w14:textId="77777777">
      <w:pPr>
        <w:shd w:val="clear" w:color="auto" w:fill="FFFFFF"/>
        <w:spacing w:after="0" w:line="240" w:lineRule="auto"/>
        <w:rPr>
          <w:rFonts w:ascii="Arial" w:eastAsia="Times New Roman" w:hAnsi="Arial" w:cs="Arial"/>
          <w:sz w:val="24"/>
          <w:szCs w:val="24"/>
        </w:rPr>
      </w:pPr>
    </w:p>
    <w:p w:rsidR="00DA1616" w:rsidRPr="00B87E9A" w:rsidP="00DA1616" w14:paraId="6E3F4519" w14:textId="45D56839">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 xml:space="preserve">DAH who </w:t>
      </w:r>
      <w:r w:rsidRPr="00B87E9A">
        <w:rPr>
          <w:rFonts w:ascii="Arial" w:eastAsia="Times New Roman" w:hAnsi="Arial" w:cs="Arial"/>
          <w:sz w:val="24"/>
          <w:szCs w:val="24"/>
        </w:rPr>
        <w:t>provide</w:t>
      </w:r>
      <w:r w:rsidRPr="00B87E9A">
        <w:rPr>
          <w:rFonts w:ascii="Arial" w:eastAsia="Times New Roman" w:hAnsi="Arial" w:cs="Arial"/>
          <w:sz w:val="24"/>
          <w:szCs w:val="24"/>
        </w:rPr>
        <w:t xml:space="preserve"> a</w:t>
      </w:r>
      <w:r w:rsidRPr="00B87E9A" w:rsidR="00E80F03">
        <w:rPr>
          <w:rFonts w:ascii="Arial" w:eastAsia="Times New Roman" w:hAnsi="Arial" w:cs="Arial"/>
          <w:sz w:val="24"/>
          <w:szCs w:val="24"/>
        </w:rPr>
        <w:t>n</w:t>
      </w:r>
      <w:r w:rsidRPr="00B87E9A">
        <w:rPr>
          <w:rFonts w:ascii="Arial" w:eastAsia="Times New Roman" w:hAnsi="Arial" w:cs="Arial"/>
          <w:sz w:val="24"/>
          <w:szCs w:val="24"/>
        </w:rPr>
        <w:t xml:space="preserve"> </w:t>
      </w:r>
      <w:r w:rsidRPr="00B87E9A" w:rsidR="00E80F03">
        <w:rPr>
          <w:rFonts w:ascii="Arial" w:eastAsia="Times New Roman" w:hAnsi="Arial" w:cs="Arial"/>
          <w:sz w:val="24"/>
          <w:szCs w:val="24"/>
        </w:rPr>
        <w:t>FRM</w:t>
      </w:r>
      <w:r w:rsidRPr="00B87E9A" w:rsidR="00733AF3">
        <w:rPr>
          <w:rFonts w:ascii="Arial" w:eastAsia="Times New Roman" w:hAnsi="Arial" w:cs="Arial"/>
          <w:sz w:val="24"/>
          <w:szCs w:val="24"/>
        </w:rPr>
        <w:t xml:space="preserve"> </w:t>
      </w:r>
      <w:r w:rsidRPr="00B87E9A">
        <w:rPr>
          <w:rFonts w:ascii="Arial" w:eastAsia="Times New Roman" w:hAnsi="Arial" w:cs="Arial"/>
          <w:sz w:val="24"/>
          <w:szCs w:val="24"/>
        </w:rPr>
        <w:t>on transport category airplanes are required to provide a report to the FAA that contains reliability data for the FRM</w:t>
      </w:r>
      <w:r w:rsidRPr="00B87E9A" w:rsidR="0062289C">
        <w:rPr>
          <w:rFonts w:ascii="Arial" w:eastAsia="Times New Roman" w:hAnsi="Arial" w:cs="Arial"/>
          <w:sz w:val="24"/>
          <w:szCs w:val="24"/>
        </w:rPr>
        <w:t xml:space="preserve"> components</w:t>
      </w:r>
      <w:r w:rsidRPr="00B87E9A">
        <w:rPr>
          <w:rFonts w:ascii="Arial" w:eastAsia="Times New Roman" w:hAnsi="Arial" w:cs="Arial"/>
          <w:sz w:val="24"/>
          <w:szCs w:val="24"/>
        </w:rPr>
        <w:t>. Continued reporting is necessary because the safety of the fleet depends upon the reliability of the FRM and</w:t>
      </w:r>
      <w:r w:rsidRPr="00B87E9A" w:rsidR="00A074E9">
        <w:rPr>
          <w:rFonts w:ascii="Arial" w:eastAsia="Times New Roman" w:hAnsi="Arial" w:cs="Arial"/>
          <w:sz w:val="24"/>
          <w:szCs w:val="24"/>
        </w:rPr>
        <w:t>,</w:t>
      </w:r>
      <w:r w:rsidRPr="00B87E9A">
        <w:rPr>
          <w:rFonts w:ascii="Arial" w:eastAsia="Times New Roman" w:hAnsi="Arial" w:cs="Arial"/>
          <w:sz w:val="24"/>
          <w:szCs w:val="24"/>
        </w:rPr>
        <w:t xml:space="preserve"> if the reliability does not meet that predicted at system certifi</w:t>
      </w:r>
      <w:r w:rsidRPr="00B87E9A" w:rsidR="00B415AB">
        <w:rPr>
          <w:rFonts w:ascii="Arial" w:eastAsia="Times New Roman" w:hAnsi="Arial" w:cs="Arial"/>
          <w:sz w:val="24"/>
          <w:szCs w:val="24"/>
        </w:rPr>
        <w:t>cation</w:t>
      </w:r>
      <w:r w:rsidRPr="00B87E9A" w:rsidR="003D6353">
        <w:rPr>
          <w:rFonts w:ascii="Arial" w:eastAsia="Times New Roman" w:hAnsi="Arial" w:cs="Arial"/>
          <w:sz w:val="24"/>
          <w:szCs w:val="24"/>
        </w:rPr>
        <w:t xml:space="preserve">, </w:t>
      </w:r>
      <w:r w:rsidRPr="00B87E9A">
        <w:rPr>
          <w:rFonts w:ascii="Arial" w:eastAsia="Times New Roman" w:hAnsi="Arial" w:cs="Arial"/>
          <w:sz w:val="24"/>
          <w:szCs w:val="24"/>
        </w:rPr>
        <w:t>airworthiness directives may</w:t>
      </w:r>
      <w:r w:rsidRPr="00B87E9A" w:rsidR="00A074E9">
        <w:rPr>
          <w:rFonts w:ascii="Arial" w:eastAsia="Times New Roman" w:hAnsi="Arial" w:cs="Arial"/>
          <w:sz w:val="24"/>
          <w:szCs w:val="24"/>
        </w:rPr>
        <w:t xml:space="preserve"> </w:t>
      </w:r>
      <w:r w:rsidRPr="00B87E9A">
        <w:rPr>
          <w:rFonts w:ascii="Arial" w:eastAsia="Times New Roman" w:hAnsi="Arial" w:cs="Arial"/>
          <w:sz w:val="24"/>
          <w:szCs w:val="24"/>
        </w:rPr>
        <w:t xml:space="preserve">be needed. </w:t>
      </w:r>
      <w:r w:rsidRPr="00B87E9A" w:rsidR="00FA64CF">
        <w:rPr>
          <w:rFonts w:ascii="Arial" w:eastAsia="Times New Roman" w:hAnsi="Arial" w:cs="Arial"/>
          <w:sz w:val="24"/>
          <w:szCs w:val="24"/>
        </w:rPr>
        <w:t>Note:</w:t>
      </w:r>
      <w:r w:rsidRPr="00B87E9A">
        <w:rPr>
          <w:rFonts w:ascii="Arial" w:eastAsia="Times New Roman" w:hAnsi="Arial" w:cs="Arial"/>
          <w:sz w:val="24"/>
          <w:szCs w:val="24"/>
        </w:rPr>
        <w:t xml:space="preserve"> there is no specific reporting requirement for operators because </w:t>
      </w:r>
      <w:r w:rsidRPr="00B87E9A" w:rsidR="00B415AB">
        <w:rPr>
          <w:rFonts w:ascii="Arial" w:eastAsia="Times New Roman" w:hAnsi="Arial" w:cs="Arial"/>
          <w:sz w:val="24"/>
          <w:szCs w:val="24"/>
        </w:rPr>
        <w:t xml:space="preserve">operators submit </w:t>
      </w:r>
      <w:r w:rsidRPr="00B87E9A">
        <w:rPr>
          <w:rFonts w:ascii="Arial" w:eastAsia="Times New Roman" w:hAnsi="Arial" w:cs="Arial"/>
          <w:sz w:val="24"/>
          <w:szCs w:val="24"/>
        </w:rPr>
        <w:t xml:space="preserve">the data through normal business agreements between </w:t>
      </w:r>
      <w:r w:rsidRPr="00B87E9A" w:rsidR="00A074E9">
        <w:rPr>
          <w:rFonts w:ascii="Arial" w:eastAsia="Times New Roman" w:hAnsi="Arial" w:cs="Arial"/>
          <w:sz w:val="24"/>
          <w:szCs w:val="24"/>
        </w:rPr>
        <w:t>themselves</w:t>
      </w:r>
      <w:r w:rsidRPr="00B87E9A">
        <w:rPr>
          <w:rFonts w:ascii="Arial" w:eastAsia="Times New Roman" w:hAnsi="Arial" w:cs="Arial"/>
          <w:sz w:val="24"/>
          <w:szCs w:val="24"/>
        </w:rPr>
        <w:t xml:space="preserve"> and the manufacturers. Operators and the manufacturers already have agreements to gather data, such as warranty claims and engine and airplane reliability </w:t>
      </w:r>
      <w:r w:rsidRPr="00B87E9A" w:rsidR="00A074E9">
        <w:rPr>
          <w:rFonts w:ascii="Arial" w:eastAsia="Times New Roman" w:hAnsi="Arial" w:cs="Arial"/>
          <w:sz w:val="24"/>
          <w:szCs w:val="24"/>
        </w:rPr>
        <w:t xml:space="preserve">data </w:t>
      </w:r>
      <w:r w:rsidRPr="00B87E9A">
        <w:rPr>
          <w:rFonts w:ascii="Arial" w:eastAsia="Times New Roman" w:hAnsi="Arial" w:cs="Arial"/>
          <w:sz w:val="24"/>
          <w:szCs w:val="24"/>
        </w:rPr>
        <w:t>submitted to the DAH for extended twin operations.</w:t>
      </w:r>
      <w:r w:rsidRPr="00DA1616">
        <w:rPr>
          <w:rFonts w:ascii="Arial" w:eastAsia="Times New Roman" w:hAnsi="Arial" w:cs="Arial"/>
          <w:sz w:val="24"/>
          <w:szCs w:val="24"/>
        </w:rPr>
        <w:t xml:space="preserve"> </w:t>
      </w:r>
      <w:r w:rsidRPr="00186602">
        <w:rPr>
          <w:rFonts w:ascii="Arial" w:eastAsia="Times New Roman" w:hAnsi="Arial" w:cs="Arial"/>
          <w:sz w:val="24"/>
          <w:szCs w:val="24"/>
        </w:rPr>
        <w:t xml:space="preserve">DAH as specified in </w:t>
      </w:r>
      <w:r w:rsidRPr="00186602">
        <w:rPr>
          <w:rFonts w:ascii="Arial" w:eastAsia="Times New Roman" w:hAnsi="Arial" w:cs="Arial"/>
          <w:sz w:val="24"/>
          <w:szCs w:val="24"/>
        </w:rPr>
        <w:t xml:space="preserve">AC 25.981-2A is the holder of any design approval, including </w:t>
      </w:r>
      <w:bookmarkStart w:id="0" w:name="_Hlk216871805"/>
      <w:r w:rsidRPr="00186602">
        <w:rPr>
          <w:rFonts w:ascii="Arial" w:eastAsia="Times New Roman" w:hAnsi="Arial" w:cs="Arial"/>
          <w:sz w:val="24"/>
          <w:szCs w:val="24"/>
        </w:rPr>
        <w:t>type certificate, amended type certificate, supplemental type certificate, amended supplemental type certificate, Parts Manufacturer Approval (PMA), Technical Standard Order (TSO) authorization, letter of TSO design approval, and field approvals</w:t>
      </w:r>
      <w:bookmarkEnd w:id="0"/>
      <w:r w:rsidRPr="00186602">
        <w:rPr>
          <w:rFonts w:ascii="Arial" w:eastAsia="Times New Roman" w:hAnsi="Arial" w:cs="Arial"/>
          <w:sz w:val="24"/>
          <w:szCs w:val="24"/>
        </w:rPr>
        <w:t>.</w:t>
      </w:r>
      <w:r w:rsidRPr="00DA1616">
        <w:rPr>
          <w:rFonts w:ascii="Arial" w:eastAsia="Times New Roman" w:hAnsi="Arial" w:cs="Arial"/>
          <w:sz w:val="24"/>
          <w:szCs w:val="24"/>
        </w:rPr>
        <w:t xml:space="preserve">  </w:t>
      </w:r>
    </w:p>
    <w:p w:rsidR="009C098B" w:rsidP="009C098B" w14:paraId="47BE054A" w14:textId="0C4AB89C">
      <w:pPr>
        <w:shd w:val="clear" w:color="auto" w:fill="FFFFFF"/>
        <w:spacing w:after="0" w:line="240" w:lineRule="auto"/>
        <w:rPr>
          <w:rFonts w:ascii="Arial" w:eastAsia="Times New Roman" w:hAnsi="Arial" w:cs="Arial"/>
          <w:sz w:val="24"/>
          <w:szCs w:val="24"/>
        </w:rPr>
      </w:pPr>
    </w:p>
    <w:p w:rsidR="009C098B" w:rsidRPr="00B87E9A" w:rsidP="009C098B" w14:paraId="5C37C707"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This collection of information supports the Department of Transportation’s strategic goal of safety.</w:t>
      </w:r>
    </w:p>
    <w:p w:rsidR="00D73BC6" w:rsidP="009C098B" w14:paraId="0766A499" w14:textId="07C53609">
      <w:pPr>
        <w:shd w:val="clear" w:color="auto" w:fill="FFFFFF"/>
        <w:spacing w:after="0" w:line="240" w:lineRule="auto"/>
        <w:rPr>
          <w:rFonts w:ascii="Arial" w:eastAsia="Times New Roman" w:hAnsi="Arial" w:cs="Arial"/>
          <w:sz w:val="24"/>
          <w:szCs w:val="24"/>
        </w:rPr>
      </w:pPr>
    </w:p>
    <w:p w:rsidR="00D73BC6" w:rsidRPr="00B87E9A" w:rsidP="009C098B" w14:paraId="33B6B071" w14:textId="77777777">
      <w:pPr>
        <w:shd w:val="clear" w:color="auto" w:fill="FFFFFF"/>
        <w:spacing w:after="0" w:line="240" w:lineRule="auto"/>
        <w:rPr>
          <w:rFonts w:ascii="Arial" w:eastAsia="Times New Roman" w:hAnsi="Arial" w:cs="Arial"/>
          <w:sz w:val="24"/>
          <w:szCs w:val="24"/>
        </w:rPr>
      </w:pPr>
    </w:p>
    <w:p w:rsidR="00C64707" w:rsidRPr="00B87E9A" w:rsidP="00C64707" w14:paraId="120D1FB8"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1F0724" w:rsidRPr="00B87E9A" w:rsidP="00C64707" w14:paraId="1C869576" w14:textId="77777777">
      <w:pPr>
        <w:shd w:val="clear" w:color="auto" w:fill="FFFFFF"/>
        <w:spacing w:after="0" w:line="240" w:lineRule="auto"/>
        <w:rPr>
          <w:rFonts w:ascii="Arial" w:eastAsia="Times New Roman" w:hAnsi="Arial" w:cs="Arial"/>
          <w:sz w:val="24"/>
          <w:szCs w:val="24"/>
        </w:rPr>
      </w:pPr>
    </w:p>
    <w:p w:rsidR="0011277F" w:rsidRPr="008D17A1" w:rsidP="00C64707" w14:paraId="4880F66A" w14:textId="751FC061">
      <w:pPr>
        <w:shd w:val="clear" w:color="auto" w:fill="FFFFFF"/>
        <w:spacing w:after="0" w:line="240" w:lineRule="auto"/>
        <w:rPr>
          <w:rFonts w:ascii="Arial" w:eastAsia="Times New Roman" w:hAnsi="Arial" w:cs="Arial"/>
          <w:sz w:val="24"/>
          <w:szCs w:val="24"/>
        </w:rPr>
      </w:pPr>
      <w:r w:rsidRPr="008D17A1">
        <w:rPr>
          <w:rFonts w:ascii="Arial" w:eastAsia="Times New Roman" w:hAnsi="Arial" w:cs="Arial"/>
          <w:sz w:val="24"/>
          <w:szCs w:val="24"/>
        </w:rPr>
        <w:t xml:space="preserve">The information or data collection is mandatory </w:t>
      </w:r>
      <w:r w:rsidRPr="008D17A1">
        <w:rPr>
          <w:rFonts w:ascii="Arial" w:eastAsia="Times New Roman" w:hAnsi="Arial" w:cs="Arial"/>
          <w:sz w:val="24"/>
          <w:szCs w:val="24"/>
        </w:rPr>
        <w:t xml:space="preserve">from the DAHs as required by </w:t>
      </w:r>
      <w:r w:rsidRPr="008D17A1">
        <w:rPr>
          <w:rFonts w:ascii="Arial" w:eastAsia="Times New Roman" w:hAnsi="Arial" w:cs="Arial"/>
          <w:sz w:val="24"/>
          <w:szCs w:val="24"/>
        </w:rPr>
        <w:t xml:space="preserve">the FAA regulations as specified in item 1. </w:t>
      </w:r>
      <w:r w:rsidRPr="008D17A1">
        <w:rPr>
          <w:rFonts w:ascii="Arial" w:eastAsia="Times New Roman" w:hAnsi="Arial" w:cs="Arial"/>
          <w:sz w:val="24"/>
          <w:szCs w:val="24"/>
        </w:rPr>
        <w:t xml:space="preserve"> The main purpose of the data collection </w:t>
      </w:r>
      <w:r w:rsidRPr="008D17A1" w:rsidR="00D92E77">
        <w:rPr>
          <w:rFonts w:ascii="Arial" w:eastAsia="Times New Roman" w:hAnsi="Arial" w:cs="Arial"/>
          <w:sz w:val="24"/>
          <w:szCs w:val="24"/>
        </w:rPr>
        <w:t xml:space="preserve">is for </w:t>
      </w:r>
      <w:r w:rsidRPr="00B87E9A" w:rsidR="00A074E9">
        <w:rPr>
          <w:rFonts w:ascii="Arial" w:eastAsia="Times New Roman" w:hAnsi="Arial" w:cs="Arial"/>
          <w:sz w:val="24"/>
          <w:szCs w:val="24"/>
        </w:rPr>
        <w:t xml:space="preserve">the review by </w:t>
      </w:r>
      <w:r w:rsidRPr="008D17A1" w:rsidR="00D92E77">
        <w:rPr>
          <w:rFonts w:ascii="Arial" w:eastAsia="Times New Roman" w:hAnsi="Arial" w:cs="Arial"/>
          <w:sz w:val="24"/>
          <w:szCs w:val="24"/>
        </w:rPr>
        <w:t>FAA oversight offices</w:t>
      </w:r>
      <w:r w:rsidRPr="008D17A1">
        <w:rPr>
          <w:rFonts w:ascii="Arial" w:eastAsia="Times New Roman" w:hAnsi="Arial" w:cs="Arial"/>
          <w:sz w:val="24"/>
          <w:szCs w:val="24"/>
        </w:rPr>
        <w:t xml:space="preserve"> </w:t>
      </w:r>
      <w:r w:rsidRPr="008D17A1" w:rsidR="00D92E77">
        <w:rPr>
          <w:rFonts w:ascii="Arial" w:eastAsia="Times New Roman" w:hAnsi="Arial" w:cs="Arial"/>
          <w:sz w:val="24"/>
          <w:szCs w:val="24"/>
        </w:rPr>
        <w:t xml:space="preserve">of </w:t>
      </w:r>
      <w:r w:rsidRPr="008D17A1">
        <w:rPr>
          <w:rFonts w:ascii="Arial" w:eastAsia="Times New Roman" w:hAnsi="Arial" w:cs="Arial"/>
          <w:sz w:val="24"/>
          <w:szCs w:val="24"/>
        </w:rPr>
        <w:t xml:space="preserve">the transport aircraft fuel tank safety </w:t>
      </w:r>
      <w:r w:rsidRPr="008D17A1" w:rsidR="00D92E77">
        <w:rPr>
          <w:rFonts w:ascii="Arial" w:eastAsia="Times New Roman" w:hAnsi="Arial" w:cs="Arial"/>
          <w:sz w:val="24"/>
          <w:szCs w:val="24"/>
        </w:rPr>
        <w:t xml:space="preserve">level </w:t>
      </w:r>
      <w:r w:rsidRPr="008D17A1">
        <w:rPr>
          <w:rFonts w:ascii="Arial" w:eastAsia="Times New Roman" w:hAnsi="Arial" w:cs="Arial"/>
          <w:sz w:val="24"/>
          <w:szCs w:val="24"/>
        </w:rPr>
        <w:t>as required by the FAA regulations</w:t>
      </w:r>
      <w:r w:rsidRPr="008D17A1" w:rsidR="00D92E77">
        <w:rPr>
          <w:rFonts w:ascii="Arial" w:eastAsia="Times New Roman" w:hAnsi="Arial" w:cs="Arial"/>
          <w:sz w:val="24"/>
          <w:szCs w:val="24"/>
        </w:rPr>
        <w:t xml:space="preserve">. The </w:t>
      </w:r>
      <w:r w:rsidRPr="008D17A1">
        <w:rPr>
          <w:rFonts w:ascii="Arial" w:eastAsia="Times New Roman" w:hAnsi="Arial" w:cs="Arial"/>
          <w:sz w:val="24"/>
          <w:szCs w:val="24"/>
        </w:rPr>
        <w:t>DAH</w:t>
      </w:r>
      <w:r w:rsidRPr="008D17A1" w:rsidR="00D92E77">
        <w:rPr>
          <w:rFonts w:ascii="Arial" w:eastAsia="Times New Roman" w:hAnsi="Arial" w:cs="Arial"/>
          <w:sz w:val="24"/>
          <w:szCs w:val="24"/>
        </w:rPr>
        <w:t xml:space="preserve">s are required to provide semi-annual </w:t>
      </w:r>
      <w:r w:rsidRPr="008D17A1">
        <w:rPr>
          <w:rFonts w:ascii="Arial" w:eastAsia="Times New Roman" w:hAnsi="Arial" w:cs="Arial"/>
          <w:sz w:val="24"/>
          <w:szCs w:val="24"/>
        </w:rPr>
        <w:t xml:space="preserve">reliability reports. </w:t>
      </w:r>
    </w:p>
    <w:p w:rsidR="0011277F" w:rsidRPr="008D17A1" w:rsidP="00C64707" w14:paraId="658B176A" w14:textId="77777777">
      <w:pPr>
        <w:shd w:val="clear" w:color="auto" w:fill="FFFFFF"/>
        <w:spacing w:after="0" w:line="240" w:lineRule="auto"/>
        <w:rPr>
          <w:rFonts w:ascii="Arial" w:eastAsia="Times New Roman" w:hAnsi="Arial" w:cs="Arial"/>
          <w:sz w:val="24"/>
          <w:szCs w:val="24"/>
        </w:rPr>
      </w:pPr>
    </w:p>
    <w:p w:rsidR="00D92E77" w:rsidRPr="008D17A1" w:rsidP="00C64707" w14:paraId="64A06003" w14:textId="0F87B0B0">
      <w:pPr>
        <w:shd w:val="clear" w:color="auto" w:fill="FFFFFF"/>
        <w:spacing w:after="0" w:line="240" w:lineRule="auto"/>
        <w:rPr>
          <w:rFonts w:ascii="Arial" w:eastAsia="Times New Roman" w:hAnsi="Arial" w:cs="Arial"/>
          <w:sz w:val="24"/>
          <w:szCs w:val="24"/>
        </w:rPr>
      </w:pPr>
      <w:r w:rsidRPr="008D17A1">
        <w:rPr>
          <w:rFonts w:ascii="Arial" w:eastAsia="Times New Roman" w:hAnsi="Arial" w:cs="Arial"/>
          <w:sz w:val="24"/>
          <w:szCs w:val="24"/>
        </w:rPr>
        <w:t xml:space="preserve">The FAA safety oversight offices </w:t>
      </w:r>
      <w:r w:rsidRPr="00B87E9A" w:rsidR="008E5EEF">
        <w:rPr>
          <w:rFonts w:ascii="Arial" w:eastAsia="Times New Roman" w:hAnsi="Arial" w:cs="Arial"/>
          <w:sz w:val="24"/>
          <w:szCs w:val="24"/>
        </w:rPr>
        <w:t>have reviewed</w:t>
      </w:r>
      <w:r w:rsidRPr="008D17A1" w:rsidR="00BD4C3A">
        <w:rPr>
          <w:rFonts w:ascii="Arial" w:eastAsia="Times New Roman" w:hAnsi="Arial" w:cs="Arial"/>
          <w:sz w:val="24"/>
          <w:szCs w:val="24"/>
        </w:rPr>
        <w:t xml:space="preserve"> </w:t>
      </w:r>
      <w:r w:rsidRPr="008D17A1">
        <w:rPr>
          <w:rFonts w:ascii="Arial" w:eastAsia="Times New Roman" w:hAnsi="Arial" w:cs="Arial"/>
          <w:sz w:val="24"/>
          <w:szCs w:val="24"/>
        </w:rPr>
        <w:t>the collected data</w:t>
      </w:r>
      <w:r w:rsidRPr="00B87E9A" w:rsidR="008E5EEF">
        <w:rPr>
          <w:rFonts w:ascii="Arial" w:eastAsia="Times New Roman" w:hAnsi="Arial" w:cs="Arial"/>
          <w:sz w:val="24"/>
          <w:szCs w:val="24"/>
        </w:rPr>
        <w:t xml:space="preserve"> </w:t>
      </w:r>
      <w:r w:rsidRPr="00B87E9A" w:rsidR="008E5EEF">
        <w:rPr>
          <w:rFonts w:ascii="Arial" w:eastAsia="Times New Roman" w:hAnsi="Arial" w:cs="Arial"/>
          <w:sz w:val="24"/>
          <w:szCs w:val="24"/>
        </w:rPr>
        <w:t>in order to</w:t>
      </w:r>
      <w:r w:rsidRPr="00B87E9A" w:rsidR="008E5EEF">
        <w:rPr>
          <w:rFonts w:ascii="Arial" w:eastAsia="Times New Roman" w:hAnsi="Arial" w:cs="Arial"/>
          <w:sz w:val="24"/>
          <w:szCs w:val="24"/>
        </w:rPr>
        <w:t xml:space="preserve"> assess</w:t>
      </w:r>
      <w:r w:rsidRPr="008D17A1">
        <w:rPr>
          <w:rFonts w:ascii="Arial" w:eastAsia="Times New Roman" w:hAnsi="Arial" w:cs="Arial"/>
          <w:sz w:val="24"/>
          <w:szCs w:val="24"/>
        </w:rPr>
        <w:t xml:space="preserve"> mandatory action </w:t>
      </w:r>
      <w:r w:rsidRPr="008D17A1" w:rsidR="00733AF3">
        <w:rPr>
          <w:rFonts w:ascii="Arial" w:eastAsia="Times New Roman" w:hAnsi="Arial" w:cs="Arial"/>
          <w:sz w:val="24"/>
          <w:szCs w:val="24"/>
        </w:rPr>
        <w:t>t</w:t>
      </w:r>
      <w:r w:rsidRPr="008D17A1">
        <w:rPr>
          <w:rFonts w:ascii="Arial" w:eastAsia="Times New Roman" w:hAnsi="Arial" w:cs="Arial"/>
          <w:sz w:val="24"/>
          <w:szCs w:val="24"/>
        </w:rPr>
        <w:t xml:space="preserve">o correct any unsafe conditions resulting from poor reliability of the </w:t>
      </w:r>
      <w:r w:rsidRPr="008D17A1" w:rsidR="0011277F">
        <w:rPr>
          <w:rFonts w:ascii="Arial" w:eastAsia="Times New Roman" w:hAnsi="Arial" w:cs="Arial"/>
          <w:sz w:val="24"/>
          <w:szCs w:val="24"/>
        </w:rPr>
        <w:t xml:space="preserve">fuel tank </w:t>
      </w:r>
      <w:r w:rsidRPr="008D17A1">
        <w:rPr>
          <w:rFonts w:ascii="Arial" w:eastAsia="Times New Roman" w:hAnsi="Arial" w:cs="Arial"/>
          <w:sz w:val="24"/>
          <w:szCs w:val="24"/>
        </w:rPr>
        <w:t xml:space="preserve">flammability reduction means (FRM) and the resulting increased flammability of the fuel tanks on transport category airplanes. </w:t>
      </w:r>
      <w:r w:rsidRPr="008D17A1" w:rsidR="0011277F">
        <w:rPr>
          <w:rFonts w:ascii="Arial" w:eastAsia="Times New Roman" w:hAnsi="Arial" w:cs="Arial"/>
          <w:sz w:val="24"/>
          <w:szCs w:val="24"/>
        </w:rPr>
        <w:t>This is because h</w:t>
      </w:r>
      <w:r w:rsidRPr="008D17A1">
        <w:rPr>
          <w:rFonts w:ascii="Arial" w:eastAsia="Times New Roman" w:hAnsi="Arial" w:cs="Arial"/>
          <w:sz w:val="24"/>
          <w:szCs w:val="24"/>
        </w:rPr>
        <w:t xml:space="preserve">igh flammability fuel tanks are susceptible to catastrophic fuel tank explosions. </w:t>
      </w:r>
      <w:r w:rsidRPr="008D17A1" w:rsidR="0011277F">
        <w:rPr>
          <w:rFonts w:ascii="Arial" w:eastAsia="Times New Roman" w:hAnsi="Arial" w:cs="Arial"/>
          <w:sz w:val="24"/>
          <w:szCs w:val="24"/>
        </w:rPr>
        <w:t xml:space="preserve"> </w:t>
      </w:r>
      <w:r w:rsidRPr="00B87E9A" w:rsidR="008E5EEF">
        <w:rPr>
          <w:rFonts w:ascii="Arial" w:eastAsia="Times New Roman" w:hAnsi="Arial" w:cs="Arial"/>
          <w:sz w:val="24"/>
          <w:szCs w:val="24"/>
        </w:rPr>
        <w:t>These collected data are the fuel tank FRM component reliability reports as specified in item 1.</w:t>
      </w:r>
    </w:p>
    <w:p w:rsidR="00D92E77" w:rsidRPr="008D17A1" w:rsidP="00C64707" w14:paraId="744033CA" w14:textId="77777777">
      <w:pPr>
        <w:shd w:val="clear" w:color="auto" w:fill="FFFFFF"/>
        <w:spacing w:after="0" w:line="240" w:lineRule="auto"/>
        <w:rPr>
          <w:rFonts w:ascii="Arial" w:eastAsia="Times New Roman" w:hAnsi="Arial" w:cs="Arial"/>
          <w:sz w:val="24"/>
          <w:szCs w:val="24"/>
        </w:rPr>
      </w:pPr>
    </w:p>
    <w:p w:rsidR="00716E1F" w:rsidRPr="008D17A1" w:rsidP="00C64707" w14:paraId="449B31E9" w14:textId="17D24751">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In summary, t</w:t>
      </w:r>
      <w:r w:rsidRPr="008D17A1" w:rsidR="0011277F">
        <w:rPr>
          <w:rFonts w:ascii="Arial" w:eastAsia="Times New Roman" w:hAnsi="Arial" w:cs="Arial"/>
          <w:sz w:val="24"/>
          <w:szCs w:val="24"/>
        </w:rPr>
        <w:t xml:space="preserve">he FAA requires the DAHs to </w:t>
      </w:r>
      <w:r w:rsidRPr="008D17A1" w:rsidR="00D92E77">
        <w:rPr>
          <w:rFonts w:ascii="Arial" w:eastAsia="Times New Roman" w:hAnsi="Arial" w:cs="Arial"/>
          <w:sz w:val="24"/>
          <w:szCs w:val="24"/>
        </w:rPr>
        <w:t xml:space="preserve">collect and provide </w:t>
      </w:r>
      <w:r w:rsidRPr="008D17A1" w:rsidR="0011277F">
        <w:rPr>
          <w:rFonts w:ascii="Arial" w:eastAsia="Times New Roman" w:hAnsi="Arial" w:cs="Arial"/>
          <w:sz w:val="24"/>
          <w:szCs w:val="24"/>
        </w:rPr>
        <w:t>the</w:t>
      </w:r>
      <w:r w:rsidRPr="008D17A1" w:rsidR="009C098B">
        <w:rPr>
          <w:rFonts w:ascii="Arial" w:eastAsia="Times New Roman" w:hAnsi="Arial" w:cs="Arial"/>
          <w:sz w:val="24"/>
          <w:szCs w:val="24"/>
        </w:rPr>
        <w:t xml:space="preserve"> fuel tank FRM </w:t>
      </w:r>
      <w:r w:rsidRPr="00B87E9A">
        <w:rPr>
          <w:rFonts w:ascii="Arial" w:eastAsia="Times New Roman" w:hAnsi="Arial" w:cs="Arial"/>
          <w:sz w:val="24"/>
          <w:szCs w:val="24"/>
        </w:rPr>
        <w:t xml:space="preserve">component </w:t>
      </w:r>
      <w:r w:rsidRPr="008D17A1" w:rsidR="009C098B">
        <w:rPr>
          <w:rFonts w:ascii="Arial" w:eastAsia="Times New Roman" w:hAnsi="Arial" w:cs="Arial"/>
          <w:sz w:val="24"/>
          <w:szCs w:val="24"/>
        </w:rPr>
        <w:t>reliability results</w:t>
      </w:r>
      <w:r w:rsidRPr="008D17A1" w:rsidR="00D92E77">
        <w:rPr>
          <w:rFonts w:ascii="Arial" w:eastAsia="Times New Roman" w:hAnsi="Arial" w:cs="Arial"/>
          <w:sz w:val="24"/>
          <w:szCs w:val="24"/>
        </w:rPr>
        <w:t xml:space="preserve"> for FAA safety review.  This is to ensure</w:t>
      </w:r>
      <w:r w:rsidRPr="008D17A1" w:rsidR="009C098B">
        <w:rPr>
          <w:rFonts w:ascii="Arial" w:eastAsia="Times New Roman" w:hAnsi="Arial" w:cs="Arial"/>
          <w:sz w:val="24"/>
          <w:szCs w:val="24"/>
        </w:rPr>
        <w:t xml:space="preserve"> the </w:t>
      </w:r>
      <w:r w:rsidRPr="008D17A1" w:rsidR="00D92E77">
        <w:rPr>
          <w:rFonts w:ascii="Arial" w:eastAsia="Times New Roman" w:hAnsi="Arial" w:cs="Arial"/>
          <w:sz w:val="24"/>
          <w:szCs w:val="24"/>
        </w:rPr>
        <w:t xml:space="preserve">fuel </w:t>
      </w:r>
      <w:r w:rsidRPr="008D17A1" w:rsidR="00D92E77">
        <w:rPr>
          <w:rFonts w:ascii="Arial" w:eastAsia="Times New Roman" w:hAnsi="Arial" w:cs="Arial"/>
          <w:sz w:val="24"/>
          <w:szCs w:val="24"/>
        </w:rPr>
        <w:t>tank</w:t>
      </w:r>
      <w:r w:rsidRPr="008D17A1" w:rsidR="00D92E77">
        <w:rPr>
          <w:rFonts w:ascii="Arial" w:eastAsia="Times New Roman" w:hAnsi="Arial" w:cs="Arial"/>
          <w:sz w:val="24"/>
          <w:szCs w:val="24"/>
        </w:rPr>
        <w:t xml:space="preserve"> </w:t>
      </w:r>
      <w:r w:rsidRPr="008D17A1" w:rsidR="009C098B">
        <w:rPr>
          <w:rFonts w:ascii="Arial" w:eastAsia="Times New Roman" w:hAnsi="Arial" w:cs="Arial"/>
          <w:sz w:val="24"/>
          <w:szCs w:val="24"/>
        </w:rPr>
        <w:t xml:space="preserve">safety level </w:t>
      </w:r>
      <w:r w:rsidRPr="008D17A1" w:rsidR="004D6D38">
        <w:rPr>
          <w:rFonts w:ascii="Arial" w:eastAsia="Times New Roman" w:hAnsi="Arial" w:cs="Arial"/>
          <w:sz w:val="24"/>
          <w:szCs w:val="24"/>
        </w:rPr>
        <w:t>meets</w:t>
      </w:r>
      <w:r w:rsidRPr="008D17A1" w:rsidR="00D92E77">
        <w:rPr>
          <w:rFonts w:ascii="Arial" w:eastAsia="Times New Roman" w:hAnsi="Arial" w:cs="Arial"/>
          <w:sz w:val="24"/>
          <w:szCs w:val="24"/>
        </w:rPr>
        <w:t xml:space="preserve"> </w:t>
      </w:r>
      <w:r w:rsidRPr="008D17A1" w:rsidR="009C098B">
        <w:rPr>
          <w:rFonts w:ascii="Arial" w:eastAsia="Times New Roman" w:hAnsi="Arial" w:cs="Arial"/>
          <w:sz w:val="24"/>
          <w:szCs w:val="24"/>
        </w:rPr>
        <w:t>th</w:t>
      </w:r>
      <w:r w:rsidRPr="008D17A1" w:rsidR="00D92E77">
        <w:rPr>
          <w:rFonts w:ascii="Arial" w:eastAsia="Times New Roman" w:hAnsi="Arial" w:cs="Arial"/>
          <w:sz w:val="24"/>
          <w:szCs w:val="24"/>
        </w:rPr>
        <w:t>e</w:t>
      </w:r>
      <w:r w:rsidRPr="008D17A1" w:rsidR="009C098B">
        <w:rPr>
          <w:rFonts w:ascii="Arial" w:eastAsia="Times New Roman" w:hAnsi="Arial" w:cs="Arial"/>
          <w:sz w:val="24"/>
          <w:szCs w:val="24"/>
        </w:rPr>
        <w:t xml:space="preserve"> regulatory requirements</w:t>
      </w:r>
      <w:r w:rsidRPr="008D17A1" w:rsidR="00D92E77">
        <w:rPr>
          <w:rFonts w:ascii="Arial" w:eastAsia="Times New Roman" w:hAnsi="Arial" w:cs="Arial"/>
          <w:sz w:val="24"/>
          <w:szCs w:val="24"/>
        </w:rPr>
        <w:t xml:space="preserve"> </w:t>
      </w:r>
      <w:r w:rsidRPr="008D17A1" w:rsidR="0011277F">
        <w:rPr>
          <w:rFonts w:ascii="Arial" w:eastAsia="Times New Roman" w:hAnsi="Arial" w:cs="Arial"/>
          <w:sz w:val="24"/>
          <w:szCs w:val="24"/>
        </w:rPr>
        <w:t>specified in item 1.</w:t>
      </w:r>
      <w:r w:rsidRPr="00B87E9A" w:rsidR="00034078">
        <w:rPr>
          <w:rFonts w:ascii="Arial" w:eastAsia="Times New Roman" w:hAnsi="Arial" w:cs="Arial"/>
          <w:sz w:val="24"/>
          <w:szCs w:val="24"/>
        </w:rPr>
        <w:t xml:space="preserve">  </w:t>
      </w:r>
    </w:p>
    <w:p w:rsidR="00034078" w:rsidRPr="008D17A1" w:rsidP="00C64707" w14:paraId="36FC822D" w14:textId="77777777">
      <w:pPr>
        <w:shd w:val="clear" w:color="auto" w:fill="FFFFFF"/>
        <w:spacing w:after="0" w:line="240" w:lineRule="auto"/>
        <w:rPr>
          <w:rFonts w:ascii="Arial" w:eastAsia="Times New Roman" w:hAnsi="Arial" w:cs="Arial"/>
          <w:strike/>
          <w:sz w:val="24"/>
          <w:szCs w:val="24"/>
        </w:rPr>
      </w:pPr>
    </w:p>
    <w:p w:rsidR="00034078" w:rsidRPr="00B87E9A" w:rsidP="00034078" w14:paraId="6C8F23D4" w14:textId="77777777">
      <w:pPr>
        <w:shd w:val="clear" w:color="auto" w:fill="FFFFFF"/>
        <w:spacing w:after="0" w:line="240" w:lineRule="auto"/>
        <w:rPr>
          <w:rFonts w:ascii="Arial" w:eastAsia="Times New Roman" w:hAnsi="Arial" w:cs="Arial"/>
          <w:sz w:val="24"/>
          <w:szCs w:val="24"/>
        </w:rPr>
      </w:pPr>
    </w:p>
    <w:p w:rsidR="00034078" w:rsidRPr="008D17A1" w:rsidP="00034078" w14:paraId="4A5E5E8C" w14:textId="5108054E">
      <w:pPr>
        <w:rPr>
          <w:rFonts w:ascii="Arial" w:eastAsia="Times New Roman" w:hAnsi="Arial" w:cs="Arial"/>
          <w:sz w:val="24"/>
          <w:szCs w:val="24"/>
        </w:rPr>
      </w:pPr>
      <w:r w:rsidRPr="00B87E9A">
        <w:rPr>
          <w:rFonts w:ascii="Arial" w:eastAsia="Times New Roman" w:hAnsi="Arial" w:cs="Arial"/>
          <w:sz w:val="24"/>
          <w:szCs w:val="24"/>
        </w:rPr>
        <w:t>1</w:t>
      </w:r>
      <w:r w:rsidRPr="00B87E9A">
        <w:rPr>
          <w:rFonts w:ascii="Arial" w:eastAsia="Times New Roman" w:hAnsi="Arial" w:cs="Arial"/>
          <w:sz w:val="24"/>
          <w:szCs w:val="24"/>
        </w:rPr>
        <w:t xml:space="preserve">.  </w:t>
      </w:r>
      <w:r w:rsidRPr="00B87E9A">
        <w:rPr>
          <w:rFonts w:ascii="Arial" w:eastAsia="Times New Roman" w:hAnsi="Arial" w:cs="Arial"/>
          <w:b/>
          <w:sz w:val="24"/>
          <w:szCs w:val="24"/>
        </w:rPr>
        <w:t>Whether</w:t>
      </w:r>
      <w:r w:rsidRPr="00B87E9A">
        <w:rPr>
          <w:rFonts w:ascii="Arial" w:eastAsia="Times New Roman" w:hAnsi="Arial" w:cs="Arial"/>
          <w:b/>
          <w:sz w:val="24"/>
          <w:szCs w:val="24"/>
        </w:rPr>
        <w:t xml:space="preserve"> responding to the collection is mandatory, voluntary, or required to obtain or retain a benefit.</w:t>
      </w:r>
      <w:r w:rsidRPr="00B87E9A">
        <w:rPr>
          <w:rFonts w:ascii="Arial" w:eastAsia="Times New Roman" w:hAnsi="Arial" w:cs="Arial"/>
          <w:sz w:val="24"/>
          <w:szCs w:val="24"/>
        </w:rPr>
        <w:t xml:space="preserve">   </w:t>
      </w:r>
      <w:r w:rsidRPr="00B87E9A" w:rsidR="00254716">
        <w:rPr>
          <w:rFonts w:ascii="Arial" w:eastAsia="Times New Roman" w:hAnsi="Arial" w:cs="Arial"/>
          <w:sz w:val="24"/>
          <w:szCs w:val="24"/>
        </w:rPr>
        <w:t xml:space="preserve">The information or data collection is mandatory from the DAHs as required by the FAA regulations as specified in item 1.  </w:t>
      </w:r>
    </w:p>
    <w:p w:rsidR="00034078" w:rsidRPr="008D17A1" w:rsidP="00034078" w14:paraId="215DF54E" w14:textId="7FC3A931">
      <w:pPr>
        <w:rPr>
          <w:rFonts w:ascii="Arial" w:eastAsia="Times New Roman" w:hAnsi="Arial" w:cs="Arial"/>
          <w:sz w:val="24"/>
          <w:szCs w:val="24"/>
        </w:rPr>
      </w:pPr>
      <w:r w:rsidRPr="00B87E9A">
        <w:rPr>
          <w:rFonts w:ascii="Arial" w:eastAsia="Times New Roman" w:hAnsi="Arial" w:cs="Arial"/>
          <w:sz w:val="24"/>
          <w:szCs w:val="24"/>
        </w:rPr>
        <w:t xml:space="preserve">2.       </w:t>
      </w:r>
      <w:r w:rsidRPr="00B87E9A">
        <w:rPr>
          <w:rFonts w:ascii="Arial" w:eastAsia="Times New Roman" w:hAnsi="Arial" w:cs="Arial"/>
          <w:b/>
          <w:sz w:val="24"/>
          <w:szCs w:val="24"/>
        </w:rPr>
        <w:t>Describe the entities who must respond (e.g., class 1 railroads, operators of natural gas transmission lines, etc.).</w:t>
      </w:r>
      <w:r w:rsidRPr="00B87E9A">
        <w:rPr>
          <w:rFonts w:ascii="Arial" w:eastAsia="Times New Roman" w:hAnsi="Arial" w:cs="Arial"/>
          <w:sz w:val="24"/>
          <w:szCs w:val="24"/>
        </w:rPr>
        <w:t xml:space="preserve"> </w:t>
      </w:r>
      <w:r w:rsidRPr="008D17A1" w:rsidR="00254716">
        <w:rPr>
          <w:rFonts w:ascii="Arial" w:eastAsia="Times New Roman" w:hAnsi="Arial" w:cs="Arial"/>
          <w:sz w:val="24"/>
          <w:szCs w:val="24"/>
        </w:rPr>
        <w:t xml:space="preserve">DAHs who provide an FRM </w:t>
      </w:r>
      <w:r w:rsidRPr="00B87E9A" w:rsidR="00A074E9">
        <w:rPr>
          <w:rFonts w:ascii="Arial" w:eastAsia="Times New Roman" w:hAnsi="Arial" w:cs="Arial"/>
          <w:sz w:val="24"/>
          <w:szCs w:val="24"/>
        </w:rPr>
        <w:t xml:space="preserve">or FRM component </w:t>
      </w:r>
      <w:r w:rsidRPr="008D17A1" w:rsidR="00254716">
        <w:rPr>
          <w:rFonts w:ascii="Arial" w:eastAsia="Times New Roman" w:hAnsi="Arial" w:cs="Arial"/>
          <w:sz w:val="24"/>
          <w:szCs w:val="24"/>
        </w:rPr>
        <w:t>on transport category airplanes are required to provide a report to the FAA that contains reliability data for the FRM components, as specified in item 1.</w:t>
      </w:r>
    </w:p>
    <w:p w:rsidR="00034078" w:rsidRPr="008D17A1" w:rsidP="00034078" w14:paraId="2C988003" w14:textId="0049FD46">
      <w:pPr>
        <w:rPr>
          <w:rFonts w:ascii="Arial" w:eastAsia="Times New Roman" w:hAnsi="Arial" w:cs="Arial"/>
          <w:sz w:val="24"/>
          <w:szCs w:val="24"/>
        </w:rPr>
      </w:pPr>
      <w:r w:rsidRPr="008D17A1">
        <w:rPr>
          <w:rFonts w:ascii="Arial" w:eastAsia="Times New Roman" w:hAnsi="Arial" w:cs="Arial"/>
          <w:sz w:val="24"/>
          <w:szCs w:val="24"/>
        </w:rPr>
        <w:t>3</w:t>
      </w:r>
      <w:r w:rsidRPr="00B87E9A">
        <w:rPr>
          <w:rFonts w:ascii="Arial" w:eastAsia="Times New Roman" w:hAnsi="Arial" w:cs="Arial"/>
          <w:sz w:val="24"/>
          <w:szCs w:val="24"/>
        </w:rPr>
        <w:t xml:space="preserve">.       </w:t>
      </w:r>
      <w:r w:rsidRPr="00B87E9A">
        <w:rPr>
          <w:rFonts w:ascii="Arial" w:eastAsia="Times New Roman" w:hAnsi="Arial" w:cs="Arial"/>
          <w:b/>
          <w:sz w:val="24"/>
          <w:szCs w:val="24"/>
        </w:rPr>
        <w:t>Whether the collection is reporting (indicate if a survey), recordkeeping, and/or disclosure.</w:t>
      </w:r>
      <w:r w:rsidRPr="00B87E9A">
        <w:rPr>
          <w:rFonts w:ascii="Arial" w:eastAsia="Times New Roman" w:hAnsi="Arial" w:cs="Arial"/>
          <w:sz w:val="24"/>
          <w:szCs w:val="24"/>
        </w:rPr>
        <w:t xml:space="preserve"> </w:t>
      </w:r>
      <w:r w:rsidRPr="008D17A1" w:rsidR="00254716">
        <w:rPr>
          <w:rFonts w:ascii="Arial" w:eastAsia="Times New Roman" w:hAnsi="Arial" w:cs="Arial"/>
          <w:sz w:val="24"/>
          <w:szCs w:val="24"/>
        </w:rPr>
        <w:t>The collection is a reporting</w:t>
      </w:r>
      <w:r w:rsidRPr="00B87E9A" w:rsidR="00B70B5B">
        <w:rPr>
          <w:rFonts w:ascii="Arial" w:eastAsia="Times New Roman" w:hAnsi="Arial" w:cs="Arial"/>
          <w:sz w:val="24"/>
          <w:szCs w:val="24"/>
        </w:rPr>
        <w:t xml:space="preserve"> disclosure.</w:t>
      </w:r>
    </w:p>
    <w:p w:rsidR="00034078" w:rsidRPr="008D17A1" w:rsidP="00034078" w14:paraId="7173C249" w14:textId="604AD823">
      <w:pPr>
        <w:rPr>
          <w:rFonts w:ascii="Arial" w:eastAsia="Times New Roman" w:hAnsi="Arial" w:cs="Arial"/>
          <w:sz w:val="24"/>
          <w:szCs w:val="24"/>
        </w:rPr>
      </w:pPr>
      <w:r w:rsidRPr="00B87E9A">
        <w:rPr>
          <w:rFonts w:ascii="Arial" w:eastAsia="Times New Roman" w:hAnsi="Arial" w:cs="Arial"/>
          <w:sz w:val="24"/>
          <w:szCs w:val="24"/>
        </w:rPr>
        <w:t xml:space="preserve">4.       </w:t>
      </w:r>
      <w:r w:rsidRPr="00B87E9A">
        <w:rPr>
          <w:rFonts w:ascii="Arial" w:eastAsia="Times New Roman" w:hAnsi="Arial" w:cs="Arial"/>
          <w:b/>
          <w:sz w:val="24"/>
          <w:szCs w:val="24"/>
        </w:rPr>
        <w:t xml:space="preserve">Indicate collection frequency (e.g., bi-annual, annual, monthly, weekly, as needed.   </w:t>
      </w:r>
      <w:r w:rsidRPr="008D17A1" w:rsidR="00254716">
        <w:rPr>
          <w:rFonts w:ascii="Arial" w:eastAsia="Times New Roman" w:hAnsi="Arial" w:cs="Arial"/>
          <w:sz w:val="24"/>
          <w:szCs w:val="24"/>
        </w:rPr>
        <w:t>The colle</w:t>
      </w:r>
      <w:r w:rsidRPr="00B87E9A" w:rsidR="00B70B5B">
        <w:rPr>
          <w:rFonts w:ascii="Arial" w:eastAsia="Times New Roman" w:hAnsi="Arial" w:cs="Arial"/>
          <w:sz w:val="24"/>
          <w:szCs w:val="24"/>
        </w:rPr>
        <w:t xml:space="preserve">ction frequency per </w:t>
      </w:r>
      <w:r w:rsidRPr="00B87E9A" w:rsidR="00B70B5B">
        <w:rPr>
          <w:rFonts w:ascii="Arial" w:eastAsia="Times New Roman" w:hAnsi="Arial" w:cs="Arial"/>
          <w:sz w:val="24"/>
          <w:szCs w:val="24"/>
        </w:rPr>
        <w:t>the regulation</w:t>
      </w:r>
      <w:r w:rsidRPr="00B87E9A" w:rsidR="00B70B5B">
        <w:rPr>
          <w:rFonts w:ascii="Arial" w:eastAsia="Times New Roman" w:hAnsi="Arial" w:cs="Arial"/>
          <w:sz w:val="24"/>
          <w:szCs w:val="24"/>
        </w:rPr>
        <w:t xml:space="preserve"> is </w:t>
      </w:r>
      <w:r w:rsidRPr="008D17A1" w:rsidR="00254716">
        <w:rPr>
          <w:rFonts w:ascii="Arial" w:eastAsia="Times New Roman" w:hAnsi="Arial" w:cs="Arial"/>
          <w:sz w:val="24"/>
          <w:szCs w:val="24"/>
        </w:rPr>
        <w:t>2 times per year.</w:t>
      </w:r>
    </w:p>
    <w:p w:rsidR="00034078" w:rsidRPr="008D17A1" w:rsidP="00034078" w14:paraId="00F16A80" w14:textId="3250DCD8">
      <w:pPr>
        <w:rPr>
          <w:rFonts w:ascii="Arial" w:eastAsia="Times New Roman" w:hAnsi="Arial" w:cs="Arial"/>
          <w:sz w:val="24"/>
          <w:szCs w:val="24"/>
        </w:rPr>
      </w:pPr>
      <w:r w:rsidRPr="00B87E9A">
        <w:rPr>
          <w:rFonts w:ascii="Arial" w:eastAsia="Times New Roman" w:hAnsi="Arial" w:cs="Arial"/>
          <w:sz w:val="24"/>
          <w:szCs w:val="24"/>
        </w:rPr>
        <w:t xml:space="preserve"> 5.       </w:t>
      </w:r>
      <w:r w:rsidRPr="00B87E9A">
        <w:rPr>
          <w:rFonts w:ascii="Arial" w:eastAsia="Times New Roman" w:hAnsi="Arial" w:cs="Arial"/>
          <w:b/>
          <w:sz w:val="24"/>
          <w:szCs w:val="24"/>
        </w:rPr>
        <w:t xml:space="preserve">Describe the information that would be reported, maintained in records, or disclosed (e.g., information about a hazardous materials incident including </w:t>
      </w:r>
      <w:r w:rsidRPr="00B87E9A">
        <w:rPr>
          <w:rFonts w:ascii="Arial" w:eastAsia="Times New Roman" w:hAnsi="Arial" w:cs="Arial"/>
          <w:b/>
          <w:sz w:val="24"/>
          <w:szCs w:val="24"/>
        </w:rPr>
        <w:t xml:space="preserve">location, type of hazardous </w:t>
      </w:r>
      <w:r w:rsidRPr="00B87E9A">
        <w:rPr>
          <w:rFonts w:ascii="Arial" w:eastAsia="Times New Roman" w:hAnsi="Arial" w:cs="Arial"/>
          <w:b/>
          <w:sz w:val="24"/>
          <w:szCs w:val="24"/>
        </w:rPr>
        <w:t>material ,</w:t>
      </w:r>
      <w:r w:rsidRPr="00B87E9A">
        <w:rPr>
          <w:rFonts w:ascii="Arial" w:eastAsia="Times New Roman" w:hAnsi="Arial" w:cs="Arial"/>
          <w:b/>
          <w:sz w:val="24"/>
          <w:szCs w:val="24"/>
        </w:rPr>
        <w:t xml:space="preserve"> extent of consequences, etc.).</w:t>
      </w:r>
      <w:r w:rsidRPr="00B87E9A">
        <w:rPr>
          <w:rFonts w:ascii="Arial" w:eastAsia="Times New Roman" w:hAnsi="Arial" w:cs="Arial"/>
          <w:sz w:val="24"/>
          <w:szCs w:val="24"/>
        </w:rPr>
        <w:t xml:space="preserve"> </w:t>
      </w:r>
      <w:r w:rsidRPr="00B87E9A" w:rsidR="00254716">
        <w:rPr>
          <w:rFonts w:ascii="Arial" w:eastAsia="Times New Roman" w:hAnsi="Arial" w:cs="Arial"/>
          <w:sz w:val="24"/>
          <w:szCs w:val="24"/>
        </w:rPr>
        <w:t xml:space="preserve">  </w:t>
      </w:r>
      <w:r w:rsidRPr="008D17A1" w:rsidR="00254716">
        <w:rPr>
          <w:rFonts w:ascii="Arial" w:eastAsia="Times New Roman" w:hAnsi="Arial" w:cs="Arial"/>
          <w:sz w:val="24"/>
          <w:szCs w:val="24"/>
        </w:rPr>
        <w:t>The information reported is the DAH FRM component reliability data.</w:t>
      </w:r>
    </w:p>
    <w:p w:rsidR="00034078" w:rsidRPr="008D17A1" w:rsidP="00034078" w14:paraId="488F6D44" w14:textId="0D42885E">
      <w:pPr>
        <w:rPr>
          <w:rFonts w:ascii="Arial" w:eastAsia="Times New Roman" w:hAnsi="Arial" w:cs="Arial"/>
          <w:sz w:val="24"/>
          <w:szCs w:val="24"/>
        </w:rPr>
      </w:pPr>
      <w:r w:rsidRPr="00B87E9A">
        <w:rPr>
          <w:rFonts w:ascii="Arial" w:eastAsia="Times New Roman" w:hAnsi="Arial" w:cs="Arial"/>
          <w:sz w:val="24"/>
          <w:szCs w:val="24"/>
        </w:rPr>
        <w:t xml:space="preserve">6.      </w:t>
      </w:r>
      <w:r w:rsidRPr="00B87E9A">
        <w:rPr>
          <w:rFonts w:ascii="Arial" w:eastAsia="Times New Roman" w:hAnsi="Arial" w:cs="Arial"/>
          <w:b/>
          <w:sz w:val="24"/>
          <w:szCs w:val="24"/>
        </w:rPr>
        <w:t xml:space="preserve"> Describe who would receive the information – DOT, first responders, the </w:t>
      </w:r>
      <w:r w:rsidRPr="00B87E9A">
        <w:rPr>
          <w:rFonts w:ascii="Arial" w:eastAsia="Times New Roman" w:hAnsi="Arial" w:cs="Arial"/>
          <w:b/>
          <w:sz w:val="24"/>
          <w:szCs w:val="24"/>
        </w:rPr>
        <w:t>general public</w:t>
      </w:r>
      <w:r w:rsidRPr="00B87E9A">
        <w:rPr>
          <w:rFonts w:ascii="Arial" w:eastAsia="Times New Roman" w:hAnsi="Arial" w:cs="Arial"/>
          <w:b/>
          <w:sz w:val="24"/>
          <w:szCs w:val="24"/>
        </w:rPr>
        <w:t xml:space="preserve">, etc. </w:t>
      </w:r>
      <w:r w:rsidRPr="00B87E9A">
        <w:rPr>
          <w:rFonts w:ascii="Arial" w:eastAsia="Times New Roman" w:hAnsi="Arial" w:cs="Arial"/>
          <w:sz w:val="24"/>
          <w:szCs w:val="24"/>
        </w:rPr>
        <w:t xml:space="preserve"> </w:t>
      </w:r>
      <w:r w:rsidRPr="00B87E9A" w:rsidR="0069591E">
        <w:rPr>
          <w:rFonts w:ascii="Arial" w:eastAsia="Times New Roman" w:hAnsi="Arial" w:cs="Arial"/>
          <w:sz w:val="24"/>
          <w:szCs w:val="24"/>
        </w:rPr>
        <w:t xml:space="preserve">The DOT receives </w:t>
      </w:r>
      <w:r w:rsidRPr="008D17A1" w:rsidR="00254716">
        <w:rPr>
          <w:rFonts w:ascii="Arial" w:eastAsia="Times New Roman" w:hAnsi="Arial" w:cs="Arial"/>
          <w:sz w:val="24"/>
          <w:szCs w:val="24"/>
        </w:rPr>
        <w:t>the data.</w:t>
      </w:r>
    </w:p>
    <w:p w:rsidR="00034078" w:rsidRPr="008D17A1" w:rsidP="00034078" w14:paraId="415FAF75" w14:textId="4E511901">
      <w:pPr>
        <w:rPr>
          <w:rFonts w:ascii="Arial" w:eastAsia="Times New Roman" w:hAnsi="Arial" w:cs="Arial"/>
          <w:sz w:val="24"/>
          <w:szCs w:val="24"/>
        </w:rPr>
      </w:pPr>
      <w:r w:rsidRPr="00B87E9A">
        <w:rPr>
          <w:rFonts w:ascii="Arial" w:eastAsia="Times New Roman" w:hAnsi="Arial" w:cs="Arial"/>
          <w:sz w:val="24"/>
          <w:szCs w:val="24"/>
        </w:rPr>
        <w:t xml:space="preserve">7.       </w:t>
      </w:r>
      <w:r w:rsidRPr="00B87E9A">
        <w:rPr>
          <w:rFonts w:ascii="Arial" w:eastAsia="Times New Roman" w:hAnsi="Arial" w:cs="Arial"/>
          <w:b/>
          <w:sz w:val="24"/>
          <w:szCs w:val="24"/>
        </w:rPr>
        <w:t xml:space="preserve">Succinctly describe the purpose of the collection. </w:t>
      </w:r>
      <w:r w:rsidRPr="00B87E9A" w:rsidR="00254716">
        <w:rPr>
          <w:rFonts w:ascii="Arial" w:eastAsia="Times New Roman" w:hAnsi="Arial" w:cs="Arial"/>
          <w:sz w:val="24"/>
          <w:szCs w:val="24"/>
        </w:rPr>
        <w:t>The purpose of the data collection is for FAA oversight offices’ review of the transport aircraft’s fuel tank safety level as required by the FAA regulations, as specified in item 1.</w:t>
      </w:r>
    </w:p>
    <w:p w:rsidR="00034078" w:rsidRPr="00B87E9A" w:rsidP="00034078" w14:paraId="0EDAF413" w14:textId="397E69A3">
      <w:pPr>
        <w:rPr>
          <w:rFonts w:ascii="Arial" w:eastAsia="Times New Roman" w:hAnsi="Arial" w:cs="Arial"/>
          <w:sz w:val="24"/>
          <w:szCs w:val="24"/>
        </w:rPr>
      </w:pPr>
      <w:r w:rsidRPr="00B87E9A">
        <w:rPr>
          <w:rFonts w:ascii="Arial" w:eastAsia="Times New Roman" w:hAnsi="Arial" w:cs="Arial"/>
          <w:sz w:val="24"/>
          <w:szCs w:val="24"/>
        </w:rPr>
        <w:t xml:space="preserve">8.      </w:t>
      </w:r>
      <w:r w:rsidRPr="00B87E9A">
        <w:rPr>
          <w:rFonts w:ascii="Arial" w:eastAsia="Times New Roman" w:hAnsi="Arial" w:cs="Arial"/>
          <w:b/>
          <w:sz w:val="24"/>
          <w:szCs w:val="24"/>
        </w:rPr>
        <w:t xml:space="preserve"> If a revision, succinctly describe the revision in the Abstract and in question 15 of the Justification document.</w:t>
      </w:r>
      <w:r w:rsidRPr="00B87E9A" w:rsidR="00254716">
        <w:rPr>
          <w:rFonts w:ascii="Arial" w:eastAsia="Times New Roman" w:hAnsi="Arial" w:cs="Arial"/>
          <w:b/>
          <w:sz w:val="24"/>
          <w:szCs w:val="24"/>
        </w:rPr>
        <w:t xml:space="preserve"> </w:t>
      </w:r>
      <w:r w:rsidRPr="00B87E9A" w:rsidR="00254716">
        <w:rPr>
          <w:rFonts w:ascii="Arial" w:eastAsia="Times New Roman" w:hAnsi="Arial" w:cs="Arial"/>
          <w:sz w:val="24"/>
          <w:szCs w:val="24"/>
        </w:rPr>
        <w:t xml:space="preserve"> </w:t>
      </w:r>
      <w:r w:rsidRPr="008D17A1" w:rsidR="00254716">
        <w:rPr>
          <w:rFonts w:ascii="Arial" w:eastAsia="Times New Roman" w:hAnsi="Arial" w:cs="Arial"/>
          <w:sz w:val="24"/>
          <w:szCs w:val="24"/>
        </w:rPr>
        <w:t>See summary of the revision</w:t>
      </w:r>
      <w:r w:rsidRPr="00B87E9A" w:rsidR="0000344C">
        <w:rPr>
          <w:rFonts w:ascii="Arial" w:eastAsia="Times New Roman" w:hAnsi="Arial" w:cs="Arial"/>
          <w:sz w:val="24"/>
          <w:szCs w:val="24"/>
        </w:rPr>
        <w:t>s</w:t>
      </w:r>
      <w:r w:rsidRPr="008D17A1" w:rsidR="00254716">
        <w:rPr>
          <w:rFonts w:ascii="Arial" w:eastAsia="Times New Roman" w:hAnsi="Arial" w:cs="Arial"/>
          <w:sz w:val="24"/>
          <w:szCs w:val="24"/>
        </w:rPr>
        <w:t xml:space="preserve"> in the Abstract.</w:t>
      </w:r>
    </w:p>
    <w:p w:rsidR="00C64707" w:rsidRPr="008D17A1" w:rsidP="00C64707" w14:paraId="6594EA8B" w14:textId="77777777">
      <w:pPr>
        <w:shd w:val="clear" w:color="auto" w:fill="FFFFFF"/>
        <w:spacing w:after="0" w:line="240" w:lineRule="auto"/>
        <w:rPr>
          <w:rFonts w:ascii="Arial" w:eastAsia="Times New Roman" w:hAnsi="Arial" w:cs="Arial"/>
          <w:sz w:val="24"/>
          <w:szCs w:val="24"/>
        </w:rPr>
      </w:pPr>
    </w:p>
    <w:p w:rsidR="00C64707" w:rsidRPr="00B87E9A" w:rsidP="00C64707" w14:paraId="1CF6BB21"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C64707" w:rsidRPr="00B87E9A" w:rsidP="00C64707" w14:paraId="4075924B" w14:textId="77777777">
      <w:pPr>
        <w:shd w:val="clear" w:color="auto" w:fill="FFFFFF"/>
        <w:spacing w:after="0" w:line="240" w:lineRule="auto"/>
        <w:rPr>
          <w:rFonts w:ascii="Arial" w:eastAsia="Times New Roman" w:hAnsi="Arial" w:cs="Arial"/>
          <w:sz w:val="24"/>
          <w:szCs w:val="24"/>
        </w:rPr>
      </w:pPr>
    </w:p>
    <w:p w:rsidR="006073B2" w:rsidRPr="00B87E9A" w:rsidP="009C098B" w14:paraId="75C1DEE4"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Design approval holders (DAH) receive reliability data from operators through electronic means. The FAA accepts electronic submissions of the required reports from the DAH</w:t>
      </w:r>
      <w:r w:rsidRPr="00B87E9A" w:rsidR="00F239D8">
        <w:rPr>
          <w:rFonts w:ascii="Arial" w:eastAsia="Times New Roman" w:hAnsi="Arial" w:cs="Arial"/>
          <w:sz w:val="24"/>
          <w:szCs w:val="24"/>
        </w:rPr>
        <w:t xml:space="preserve">.  </w:t>
      </w:r>
    </w:p>
    <w:p w:rsidR="009C098B" w:rsidRPr="008D17A1" w:rsidP="009C098B" w14:paraId="797A0EA6" w14:textId="6483F10A">
      <w:pPr>
        <w:shd w:val="clear" w:color="auto" w:fill="FFFFFF"/>
        <w:spacing w:after="0" w:line="240" w:lineRule="auto"/>
        <w:rPr>
          <w:rFonts w:ascii="Arial" w:eastAsia="Times New Roman" w:hAnsi="Arial" w:cs="Arial"/>
          <w:strike/>
          <w:sz w:val="24"/>
          <w:szCs w:val="24"/>
        </w:rPr>
      </w:pPr>
      <w:r w:rsidRPr="00B87E9A">
        <w:rPr>
          <w:rFonts w:ascii="Arial" w:eastAsia="Times New Roman" w:hAnsi="Arial" w:cs="Arial"/>
          <w:sz w:val="24"/>
          <w:szCs w:val="24"/>
        </w:rPr>
        <w:t xml:space="preserve">In addition, the FAA has issued approvals of FRM components manufactured by </w:t>
      </w:r>
      <w:r w:rsidRPr="00B87E9A" w:rsidR="003D59DE">
        <w:rPr>
          <w:rFonts w:ascii="Arial" w:eastAsia="Times New Roman" w:hAnsi="Arial" w:cs="Arial"/>
          <w:sz w:val="24"/>
          <w:szCs w:val="24"/>
        </w:rPr>
        <w:t xml:space="preserve">non-DAH </w:t>
      </w:r>
      <w:r w:rsidRPr="00B87E9A">
        <w:rPr>
          <w:rFonts w:ascii="Arial" w:eastAsia="Times New Roman" w:hAnsi="Arial" w:cs="Arial"/>
          <w:sz w:val="24"/>
          <w:szCs w:val="24"/>
        </w:rPr>
        <w:t xml:space="preserve">suppliers of parts to airlines. </w:t>
      </w:r>
      <w:r w:rsidRPr="00B87E9A" w:rsidR="00733AF3">
        <w:rPr>
          <w:rFonts w:ascii="Arial" w:eastAsia="Times New Roman" w:hAnsi="Arial" w:cs="Arial"/>
          <w:sz w:val="24"/>
          <w:szCs w:val="24"/>
        </w:rPr>
        <w:t>T</w:t>
      </w:r>
      <w:r w:rsidRPr="00B87E9A">
        <w:rPr>
          <w:rFonts w:ascii="Arial" w:eastAsia="Times New Roman" w:hAnsi="Arial" w:cs="Arial"/>
          <w:sz w:val="24"/>
          <w:szCs w:val="24"/>
        </w:rPr>
        <w:t>he FAA also requires reliability reporting from these suppliers as a condition of the approvals.</w:t>
      </w:r>
      <w:r w:rsidRPr="00B87E9A" w:rsidR="00FE5E9C">
        <w:rPr>
          <w:rFonts w:ascii="Arial" w:eastAsia="Times New Roman" w:hAnsi="Arial" w:cs="Arial"/>
          <w:sz w:val="24"/>
          <w:szCs w:val="24"/>
        </w:rPr>
        <w:t xml:space="preserve"> </w:t>
      </w:r>
      <w:r w:rsidRPr="008D17A1" w:rsidR="00E61000">
        <w:rPr>
          <w:rFonts w:ascii="Arial" w:eastAsia="Times New Roman" w:hAnsi="Arial" w:cs="Arial"/>
          <w:sz w:val="24"/>
          <w:szCs w:val="24"/>
        </w:rPr>
        <w:t>Email</w:t>
      </w:r>
      <w:r w:rsidRPr="008D17A1" w:rsidR="00941634">
        <w:rPr>
          <w:rFonts w:ascii="Arial" w:eastAsia="Times New Roman" w:hAnsi="Arial" w:cs="Arial"/>
          <w:sz w:val="24"/>
          <w:szCs w:val="24"/>
        </w:rPr>
        <w:t>s are the means to collect electronic data.</w:t>
      </w:r>
    </w:p>
    <w:p w:rsidR="00C64707" w:rsidRPr="00B87E9A" w:rsidP="00C64707" w14:paraId="5A90FA7A" w14:textId="77777777">
      <w:pPr>
        <w:shd w:val="clear" w:color="auto" w:fill="FFFFFF"/>
        <w:spacing w:after="0" w:line="240" w:lineRule="auto"/>
        <w:rPr>
          <w:rFonts w:ascii="Arial" w:eastAsia="Times New Roman" w:hAnsi="Arial" w:cs="Arial"/>
          <w:sz w:val="24"/>
          <w:szCs w:val="24"/>
        </w:rPr>
      </w:pPr>
    </w:p>
    <w:p w:rsidR="00C64707" w:rsidRPr="00B87E9A" w:rsidP="00C64707" w14:paraId="06E6040C"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C64707" w:rsidRPr="00B87E9A" w:rsidP="00C64707" w14:paraId="4135FF26" w14:textId="77777777">
      <w:pPr>
        <w:shd w:val="clear" w:color="auto" w:fill="FFFFFF"/>
        <w:spacing w:after="0" w:line="240" w:lineRule="auto"/>
        <w:rPr>
          <w:rFonts w:ascii="Arial" w:eastAsia="Times New Roman" w:hAnsi="Arial" w:cs="Arial"/>
          <w:sz w:val="24"/>
          <w:szCs w:val="24"/>
        </w:rPr>
      </w:pPr>
    </w:p>
    <w:p w:rsidR="009C098B" w:rsidRPr="00B87E9A" w:rsidP="009C098B" w14:paraId="4F8A36E3"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 xml:space="preserve">The DAH </w:t>
      </w:r>
      <w:r w:rsidRPr="00B87E9A">
        <w:rPr>
          <w:rFonts w:ascii="Arial" w:eastAsia="Times New Roman" w:hAnsi="Arial" w:cs="Arial"/>
          <w:sz w:val="24"/>
          <w:szCs w:val="24"/>
        </w:rPr>
        <w:t>develop</w:t>
      </w:r>
      <w:r w:rsidRPr="00B87E9A">
        <w:rPr>
          <w:rFonts w:ascii="Arial" w:eastAsia="Times New Roman" w:hAnsi="Arial" w:cs="Arial"/>
          <w:sz w:val="24"/>
          <w:szCs w:val="24"/>
        </w:rPr>
        <w:t xml:space="preserve"> reporting </w:t>
      </w:r>
      <w:r w:rsidRPr="00B87E9A">
        <w:rPr>
          <w:rFonts w:ascii="Arial" w:eastAsia="Times New Roman" w:hAnsi="Arial" w:cs="Arial"/>
          <w:sz w:val="24"/>
          <w:szCs w:val="24"/>
        </w:rPr>
        <w:t>documents to comply with this collection. There is no evidence of duplication as this information is not currently available elsewhere.</w:t>
      </w:r>
    </w:p>
    <w:p w:rsidR="009C098B" w:rsidRPr="00B87E9A" w:rsidP="00C64707" w14:paraId="04687364" w14:textId="77777777">
      <w:pPr>
        <w:shd w:val="clear" w:color="auto" w:fill="FFFFFF"/>
        <w:spacing w:after="0" w:line="240" w:lineRule="auto"/>
        <w:rPr>
          <w:rFonts w:ascii="Arial" w:eastAsia="Times New Roman" w:hAnsi="Arial" w:cs="Arial"/>
          <w:sz w:val="24"/>
          <w:szCs w:val="24"/>
        </w:rPr>
      </w:pPr>
    </w:p>
    <w:p w:rsidR="009C098B" w:rsidRPr="00B87E9A" w:rsidP="00C64707" w14:paraId="361F7D66" w14:textId="77777777">
      <w:pPr>
        <w:shd w:val="clear" w:color="auto" w:fill="FFFFFF"/>
        <w:spacing w:after="0" w:line="240" w:lineRule="auto"/>
        <w:rPr>
          <w:rFonts w:ascii="Arial" w:eastAsia="Times New Roman" w:hAnsi="Arial" w:cs="Arial"/>
          <w:sz w:val="24"/>
          <w:szCs w:val="24"/>
        </w:rPr>
      </w:pPr>
    </w:p>
    <w:p w:rsidR="00C64707" w:rsidRPr="00B87E9A" w:rsidP="00C64707" w14:paraId="711A8320"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5. If the collection of information involves small businesses or other small entities, describe the methods used to minimize burden.</w:t>
      </w:r>
    </w:p>
    <w:p w:rsidR="00C64707" w:rsidRPr="00B87E9A" w:rsidP="00C64707" w14:paraId="212550FF"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r w:rsidRPr="00B87E9A" w:rsidR="00733AF3">
        <w:rPr>
          <w:rFonts w:ascii="Arial" w:hAnsi="Arial" w:cs="Arial"/>
          <w:noProof/>
          <w:sz w:val="24"/>
          <w:szCs w:val="24"/>
        </w:rPr>
        <w:t>The certification of FRM components requires reporting component reliability.  A small business or small entity would be aware of the requirement and the collection method can be through electronic means to minimize the burden.</w:t>
      </w:r>
    </w:p>
    <w:p w:rsidR="009C098B" w:rsidRPr="00B87E9A" w:rsidP="00C64707" w14:paraId="2FA10F8B" w14:textId="77777777">
      <w:pPr>
        <w:shd w:val="clear" w:color="auto" w:fill="FFFFFF"/>
        <w:spacing w:after="0" w:line="240" w:lineRule="auto"/>
        <w:rPr>
          <w:rFonts w:ascii="Arial" w:eastAsia="Times New Roman" w:hAnsi="Arial" w:cs="Arial"/>
          <w:sz w:val="24"/>
          <w:szCs w:val="24"/>
        </w:rPr>
      </w:pPr>
    </w:p>
    <w:p w:rsidR="009C098B" w:rsidRPr="00B87E9A" w:rsidP="00C64707" w14:paraId="50DE1738" w14:textId="77777777">
      <w:pPr>
        <w:shd w:val="clear" w:color="auto" w:fill="FFFFFF"/>
        <w:spacing w:after="0" w:line="240" w:lineRule="auto"/>
        <w:rPr>
          <w:rFonts w:ascii="Arial" w:eastAsia="Times New Roman" w:hAnsi="Arial" w:cs="Arial"/>
          <w:sz w:val="24"/>
          <w:szCs w:val="24"/>
        </w:rPr>
      </w:pPr>
    </w:p>
    <w:p w:rsidR="00C64707" w:rsidRPr="00B87E9A" w:rsidP="00C64707" w14:paraId="732DA35F"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 xml:space="preserve">6. Describe the </w:t>
      </w:r>
      <w:r w:rsidRPr="00B87E9A">
        <w:rPr>
          <w:rFonts w:ascii="Arial" w:eastAsia="Times New Roman" w:hAnsi="Arial" w:cs="Arial"/>
          <w:b/>
          <w:bCs/>
          <w:sz w:val="24"/>
          <w:szCs w:val="24"/>
        </w:rPr>
        <w:t>consequence</w:t>
      </w:r>
      <w:r w:rsidRPr="00B87E9A">
        <w:rPr>
          <w:rFonts w:ascii="Arial" w:eastAsia="Times New Roman" w:hAnsi="Arial" w:cs="Arial"/>
          <w:b/>
          <w:bCs/>
          <w:sz w:val="24"/>
          <w:szCs w:val="24"/>
        </w:rPr>
        <w:t xml:space="preserve"> </w:t>
      </w:r>
      <w:r w:rsidRPr="00B87E9A">
        <w:rPr>
          <w:rFonts w:ascii="Arial" w:eastAsia="Times New Roman" w:hAnsi="Arial" w:cs="Arial"/>
          <w:b/>
          <w:bCs/>
          <w:sz w:val="24"/>
          <w:szCs w:val="24"/>
        </w:rPr>
        <w:t>to</w:t>
      </w:r>
      <w:r w:rsidRPr="00B87E9A">
        <w:rPr>
          <w:rFonts w:ascii="Arial" w:eastAsia="Times New Roman" w:hAnsi="Arial" w:cs="Arial"/>
          <w:b/>
          <w:bCs/>
          <w:sz w:val="24"/>
          <w:szCs w:val="24"/>
        </w:rPr>
        <w:t xml:space="preserve"> Federal program or policy activities if the collection is not conducted or is conducted less frequently, as well as any technical or legal obstacles to reducing burden.</w:t>
      </w:r>
    </w:p>
    <w:p w:rsidR="00B34F53" w:rsidRPr="00B87E9A" w:rsidP="00B34F53" w14:paraId="38E16029" w14:textId="140E9D55">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r w:rsidRPr="00B87E9A">
        <w:rPr>
          <w:rFonts w:ascii="Arial" w:eastAsia="Times New Roman" w:hAnsi="Arial" w:cs="Arial"/>
          <w:sz w:val="24"/>
          <w:szCs w:val="24"/>
        </w:rPr>
        <w:t xml:space="preserve">If the collection was not conducted or was conducted less frequently, then it would be impossible for the FAA to monitor compliance with the reliability requirements of the rule </w:t>
      </w:r>
      <w:r w:rsidRPr="00B87E9A">
        <w:rPr>
          <w:rFonts w:ascii="Arial" w:eastAsia="Times New Roman" w:hAnsi="Arial" w:cs="Arial"/>
          <w:sz w:val="24"/>
          <w:szCs w:val="24"/>
        </w:rPr>
        <w:t>and possibly mandate safety improvements if the system reliability drops below that required by the regulation.</w:t>
      </w:r>
    </w:p>
    <w:p w:rsidR="009D5371" w:rsidRPr="00B87E9A" w:rsidP="00B34F53" w14:paraId="0FB68C64" w14:textId="693488E1">
      <w:pPr>
        <w:shd w:val="clear" w:color="auto" w:fill="FFFFFF"/>
        <w:spacing w:after="0" w:line="240" w:lineRule="auto"/>
        <w:rPr>
          <w:rFonts w:ascii="Arial" w:eastAsia="Times New Roman" w:hAnsi="Arial" w:cs="Arial"/>
          <w:sz w:val="24"/>
          <w:szCs w:val="24"/>
        </w:rPr>
      </w:pPr>
    </w:p>
    <w:p w:rsidR="009D5371" w:rsidRPr="00B87E9A" w:rsidP="00B34F53" w14:paraId="1F74148E" w14:textId="77777777">
      <w:pPr>
        <w:shd w:val="clear" w:color="auto" w:fill="FFFFFF"/>
        <w:spacing w:after="0" w:line="240" w:lineRule="auto"/>
        <w:rPr>
          <w:rFonts w:ascii="Arial" w:eastAsia="Times New Roman" w:hAnsi="Arial" w:cs="Arial"/>
          <w:sz w:val="24"/>
          <w:szCs w:val="24"/>
        </w:rPr>
      </w:pPr>
    </w:p>
    <w:p w:rsidR="006118CB" w:rsidP="00C64707" w14:paraId="44D71B44" w14:textId="77777777">
      <w:pPr>
        <w:shd w:val="clear" w:color="auto" w:fill="FFFFFF"/>
        <w:spacing w:after="0" w:line="240" w:lineRule="auto"/>
        <w:rPr>
          <w:rFonts w:ascii="Arial" w:eastAsia="Times New Roman" w:hAnsi="Arial" w:cs="Arial"/>
          <w:b/>
          <w:bCs/>
          <w:sz w:val="24"/>
          <w:szCs w:val="24"/>
        </w:rPr>
      </w:pPr>
    </w:p>
    <w:p w:rsidR="006118CB" w:rsidP="00C64707" w14:paraId="5E5100DB" w14:textId="77777777">
      <w:pPr>
        <w:shd w:val="clear" w:color="auto" w:fill="FFFFFF"/>
        <w:spacing w:after="0" w:line="240" w:lineRule="auto"/>
        <w:rPr>
          <w:rFonts w:ascii="Arial" w:eastAsia="Times New Roman" w:hAnsi="Arial" w:cs="Arial"/>
          <w:b/>
          <w:bCs/>
          <w:sz w:val="24"/>
          <w:szCs w:val="24"/>
        </w:rPr>
      </w:pPr>
    </w:p>
    <w:p w:rsidR="006118CB" w:rsidP="00C64707" w14:paraId="20CA4A65" w14:textId="77777777">
      <w:pPr>
        <w:shd w:val="clear" w:color="auto" w:fill="FFFFFF"/>
        <w:spacing w:after="0" w:line="240" w:lineRule="auto"/>
        <w:rPr>
          <w:rFonts w:ascii="Arial" w:eastAsia="Times New Roman" w:hAnsi="Arial" w:cs="Arial"/>
          <w:b/>
          <w:bCs/>
          <w:sz w:val="24"/>
          <w:szCs w:val="24"/>
        </w:rPr>
      </w:pPr>
    </w:p>
    <w:p w:rsidR="006118CB" w:rsidP="00C64707" w14:paraId="6746EECE" w14:textId="77777777">
      <w:pPr>
        <w:shd w:val="clear" w:color="auto" w:fill="FFFFFF"/>
        <w:spacing w:after="0" w:line="240" w:lineRule="auto"/>
        <w:rPr>
          <w:rFonts w:ascii="Arial" w:eastAsia="Times New Roman" w:hAnsi="Arial" w:cs="Arial"/>
          <w:b/>
          <w:bCs/>
          <w:sz w:val="24"/>
          <w:szCs w:val="24"/>
        </w:rPr>
      </w:pPr>
    </w:p>
    <w:p w:rsidR="00C64707" w:rsidRPr="00B87E9A" w:rsidP="00C64707" w14:paraId="6C0B4CD5" w14:textId="0B94D1F2">
      <w:pPr>
        <w:shd w:val="clear" w:color="auto" w:fill="FFFFFF"/>
        <w:spacing w:after="0" w:line="240" w:lineRule="auto"/>
        <w:rPr>
          <w:rFonts w:ascii="Arial" w:eastAsia="Times New Roman" w:hAnsi="Arial" w:cs="Arial"/>
          <w:sz w:val="24"/>
          <w:szCs w:val="24"/>
        </w:rPr>
      </w:pPr>
      <w:r w:rsidRPr="008D17A1">
        <w:rPr>
          <w:rFonts w:ascii="Arial" w:eastAsia="Times New Roman" w:hAnsi="Arial" w:cs="Arial"/>
          <w:b/>
          <w:bCs/>
          <w:sz w:val="24"/>
          <w:szCs w:val="24"/>
        </w:rPr>
        <w:t>7. Explain any special circumstances that would cause an information collection to be conducted in a manner:</w:t>
      </w:r>
    </w:p>
    <w:p w:rsidR="00087CEE" w:rsidRPr="00B87E9A" w:rsidP="00B34F53" w14:paraId="088F850A" w14:textId="3F71B8BB">
      <w:pPr>
        <w:shd w:val="clear" w:color="auto" w:fill="FFFFFF"/>
        <w:spacing w:after="0" w:line="240" w:lineRule="auto"/>
        <w:rPr>
          <w:rFonts w:ascii="Arial" w:eastAsia="Times New Roman" w:hAnsi="Arial" w:cs="Arial"/>
          <w:b/>
          <w:bCs/>
          <w:i/>
          <w:iCs/>
          <w:sz w:val="24"/>
          <w:szCs w:val="24"/>
        </w:rPr>
      </w:pPr>
    </w:p>
    <w:p w:rsidR="009D5371" w:rsidRPr="008D17A1" w:rsidP="009D5371" w14:paraId="56B9847C" w14:textId="4F499EEB">
      <w:pPr>
        <w:numPr>
          <w:ilvl w:val="0"/>
          <w:numId w:val="1"/>
        </w:numPr>
        <w:shd w:val="clear" w:color="auto" w:fill="FFFFFF"/>
        <w:spacing w:before="100" w:beforeAutospacing="1" w:after="225" w:line="240" w:lineRule="auto"/>
        <w:rPr>
          <w:rFonts w:ascii="Arial" w:hAnsi="Arial" w:cs="Arial"/>
          <w:b/>
          <w:sz w:val="24"/>
          <w:szCs w:val="24"/>
        </w:rPr>
      </w:pPr>
      <w:r w:rsidRPr="00B87E9A">
        <w:rPr>
          <w:rFonts w:ascii="Arial" w:hAnsi="Arial" w:cs="Arial"/>
          <w:b/>
          <w:bCs/>
          <w:iCs/>
          <w:sz w:val="24"/>
          <w:szCs w:val="24"/>
        </w:rPr>
        <w:t>R</w:t>
      </w:r>
      <w:r w:rsidRPr="008D17A1">
        <w:rPr>
          <w:rFonts w:ascii="Arial" w:hAnsi="Arial" w:cs="Arial"/>
          <w:b/>
          <w:bCs/>
          <w:iCs/>
          <w:sz w:val="24"/>
          <w:szCs w:val="24"/>
        </w:rPr>
        <w:t xml:space="preserve">equiring respondents to report information to the agency more often than </w:t>
      </w:r>
      <w:r w:rsidRPr="008D17A1">
        <w:rPr>
          <w:rFonts w:ascii="Arial" w:hAnsi="Arial" w:cs="Arial"/>
          <w:b/>
          <w:bCs/>
          <w:iCs/>
          <w:sz w:val="24"/>
          <w:szCs w:val="24"/>
        </w:rPr>
        <w:t>quarterly;</w:t>
      </w:r>
      <w:r w:rsidRPr="00B87E9A" w:rsidR="008E5EEF">
        <w:rPr>
          <w:rFonts w:ascii="Arial" w:hAnsi="Arial" w:cs="Arial"/>
          <w:b/>
          <w:bCs/>
          <w:iCs/>
          <w:sz w:val="24"/>
          <w:szCs w:val="24"/>
        </w:rPr>
        <w:t xml:space="preserve">  None</w:t>
      </w:r>
      <w:r w:rsidRPr="00B87E9A" w:rsidR="008E5EEF">
        <w:rPr>
          <w:rFonts w:ascii="Arial" w:hAnsi="Arial" w:cs="Arial"/>
          <w:b/>
          <w:bCs/>
          <w:iCs/>
          <w:sz w:val="24"/>
          <w:szCs w:val="24"/>
        </w:rPr>
        <w:t>.</w:t>
      </w:r>
    </w:p>
    <w:p w:rsidR="009D5371" w:rsidRPr="008D17A1" w:rsidP="009D5371" w14:paraId="261C795E" w14:textId="19C66CD4">
      <w:pPr>
        <w:numPr>
          <w:ilvl w:val="0"/>
          <w:numId w:val="1"/>
        </w:numPr>
        <w:shd w:val="clear" w:color="auto" w:fill="FFFFFF"/>
        <w:spacing w:before="100" w:beforeAutospacing="1" w:after="225" w:line="240" w:lineRule="auto"/>
        <w:rPr>
          <w:rFonts w:ascii="Arial" w:hAnsi="Arial" w:cs="Arial"/>
          <w:b/>
          <w:sz w:val="24"/>
          <w:szCs w:val="24"/>
        </w:rPr>
      </w:pPr>
      <w:r w:rsidRPr="00B87E9A">
        <w:rPr>
          <w:rFonts w:ascii="Arial" w:hAnsi="Arial" w:cs="Arial"/>
          <w:b/>
          <w:bCs/>
          <w:iCs/>
          <w:sz w:val="24"/>
          <w:szCs w:val="24"/>
        </w:rPr>
        <w:t>R</w:t>
      </w:r>
      <w:r w:rsidRPr="008D17A1">
        <w:rPr>
          <w:rFonts w:ascii="Arial" w:hAnsi="Arial" w:cs="Arial"/>
          <w:b/>
          <w:bCs/>
          <w:iCs/>
          <w:sz w:val="24"/>
          <w:szCs w:val="24"/>
        </w:rPr>
        <w:t xml:space="preserve">equiring respondents to prepare a written response to a collection of information in fewer than 30 days after receipt of </w:t>
      </w:r>
      <w:r w:rsidRPr="008D17A1">
        <w:rPr>
          <w:rFonts w:ascii="Arial" w:hAnsi="Arial" w:cs="Arial"/>
          <w:b/>
          <w:bCs/>
          <w:iCs/>
          <w:sz w:val="24"/>
          <w:szCs w:val="24"/>
        </w:rPr>
        <w:t>it;</w:t>
      </w:r>
      <w:r w:rsidRPr="00B87E9A" w:rsidR="008E5EEF">
        <w:rPr>
          <w:rFonts w:ascii="Arial" w:hAnsi="Arial" w:cs="Arial"/>
          <w:b/>
          <w:bCs/>
          <w:iCs/>
          <w:sz w:val="24"/>
          <w:szCs w:val="24"/>
        </w:rPr>
        <w:t xml:space="preserve">  None</w:t>
      </w:r>
      <w:r w:rsidRPr="00B87E9A" w:rsidR="008E5EEF">
        <w:rPr>
          <w:rFonts w:ascii="Arial" w:hAnsi="Arial" w:cs="Arial"/>
          <w:b/>
          <w:bCs/>
          <w:iCs/>
          <w:sz w:val="24"/>
          <w:szCs w:val="24"/>
        </w:rPr>
        <w:t>.</w:t>
      </w:r>
    </w:p>
    <w:p w:rsidR="009D5371" w:rsidRPr="008D17A1" w:rsidP="009D5371" w14:paraId="2D68C957" w14:textId="5C53CD26">
      <w:pPr>
        <w:numPr>
          <w:ilvl w:val="0"/>
          <w:numId w:val="1"/>
        </w:numPr>
        <w:shd w:val="clear" w:color="auto" w:fill="FFFFFF"/>
        <w:spacing w:before="100" w:beforeAutospacing="1" w:after="225" w:line="240" w:lineRule="auto"/>
        <w:rPr>
          <w:rFonts w:ascii="Arial" w:hAnsi="Arial" w:cs="Arial"/>
          <w:b/>
          <w:sz w:val="24"/>
          <w:szCs w:val="24"/>
        </w:rPr>
      </w:pPr>
      <w:r w:rsidRPr="008D17A1">
        <w:rPr>
          <w:rFonts w:ascii="Arial" w:hAnsi="Arial" w:cs="Arial"/>
          <w:b/>
          <w:bCs/>
          <w:iCs/>
          <w:sz w:val="24"/>
          <w:szCs w:val="24"/>
        </w:rPr>
        <w:t xml:space="preserve">requiring respondents to submit more than an original and two copies of any document; requiring respondents to retain records, other than health, medical, government contract, grant-in-aid, or tax records, for more than three </w:t>
      </w:r>
      <w:r w:rsidRPr="008D17A1">
        <w:rPr>
          <w:rFonts w:ascii="Arial" w:hAnsi="Arial" w:cs="Arial"/>
          <w:b/>
          <w:bCs/>
          <w:iCs/>
          <w:sz w:val="24"/>
          <w:szCs w:val="24"/>
        </w:rPr>
        <w:t>years;</w:t>
      </w:r>
      <w:r w:rsidRPr="00B87E9A" w:rsidR="008E5EEF">
        <w:rPr>
          <w:rFonts w:ascii="Arial" w:hAnsi="Arial" w:cs="Arial"/>
          <w:b/>
          <w:bCs/>
          <w:iCs/>
          <w:sz w:val="24"/>
          <w:szCs w:val="24"/>
        </w:rPr>
        <w:t xml:space="preserve">  None</w:t>
      </w:r>
      <w:r w:rsidRPr="00B87E9A" w:rsidR="008E5EEF">
        <w:rPr>
          <w:rFonts w:ascii="Arial" w:hAnsi="Arial" w:cs="Arial"/>
          <w:b/>
          <w:bCs/>
          <w:iCs/>
          <w:sz w:val="24"/>
          <w:szCs w:val="24"/>
        </w:rPr>
        <w:t>.</w:t>
      </w:r>
    </w:p>
    <w:p w:rsidR="009D5371" w:rsidRPr="008D17A1" w:rsidP="009D5371" w14:paraId="2800DF4E" w14:textId="3F56B04C">
      <w:pPr>
        <w:numPr>
          <w:ilvl w:val="0"/>
          <w:numId w:val="1"/>
        </w:numPr>
        <w:shd w:val="clear" w:color="auto" w:fill="FFFFFF"/>
        <w:spacing w:before="100" w:beforeAutospacing="1" w:after="225" w:line="240" w:lineRule="auto"/>
        <w:rPr>
          <w:rFonts w:ascii="Arial" w:hAnsi="Arial" w:cs="Arial"/>
          <w:b/>
          <w:sz w:val="24"/>
          <w:szCs w:val="24"/>
        </w:rPr>
      </w:pPr>
      <w:r>
        <w:rPr>
          <w:rFonts w:ascii="Arial" w:hAnsi="Arial" w:cs="Arial"/>
          <w:b/>
          <w:bCs/>
          <w:iCs/>
          <w:sz w:val="24"/>
          <w:szCs w:val="24"/>
        </w:rPr>
        <w:t>I</w:t>
      </w:r>
      <w:r w:rsidRPr="008D17A1">
        <w:rPr>
          <w:rFonts w:ascii="Arial" w:hAnsi="Arial" w:cs="Arial"/>
          <w:b/>
          <w:bCs/>
          <w:iCs/>
          <w:sz w:val="24"/>
          <w:szCs w:val="24"/>
        </w:rPr>
        <w:t>n connection with a statistical survey, that is not designed to produce valid and reliable results that can be generalized to the universe of study;</w:t>
      </w:r>
      <w:r w:rsidRPr="00B87E9A" w:rsidR="008E5EEF">
        <w:rPr>
          <w:rFonts w:ascii="Arial" w:hAnsi="Arial" w:cs="Arial"/>
          <w:b/>
          <w:bCs/>
          <w:iCs/>
          <w:sz w:val="24"/>
          <w:szCs w:val="24"/>
        </w:rPr>
        <w:t xml:space="preserve"> None.</w:t>
      </w:r>
    </w:p>
    <w:p w:rsidR="009D5371" w:rsidRPr="008D17A1" w:rsidP="009D5371" w14:paraId="44837EDD" w14:textId="16C3C8E9">
      <w:pPr>
        <w:numPr>
          <w:ilvl w:val="0"/>
          <w:numId w:val="1"/>
        </w:numPr>
        <w:shd w:val="clear" w:color="auto" w:fill="FFFFFF"/>
        <w:spacing w:before="100" w:beforeAutospacing="1" w:after="225" w:line="240" w:lineRule="auto"/>
        <w:rPr>
          <w:rFonts w:ascii="Arial" w:hAnsi="Arial" w:cs="Arial"/>
          <w:b/>
          <w:sz w:val="24"/>
          <w:szCs w:val="24"/>
        </w:rPr>
      </w:pPr>
      <w:r>
        <w:rPr>
          <w:rFonts w:ascii="Arial" w:hAnsi="Arial" w:cs="Arial"/>
          <w:b/>
          <w:bCs/>
          <w:iCs/>
          <w:sz w:val="24"/>
          <w:szCs w:val="24"/>
        </w:rPr>
        <w:t>R</w:t>
      </w:r>
      <w:r w:rsidRPr="008D17A1">
        <w:rPr>
          <w:rFonts w:ascii="Arial" w:hAnsi="Arial" w:cs="Arial"/>
          <w:b/>
          <w:bCs/>
          <w:iCs/>
          <w:sz w:val="24"/>
          <w:szCs w:val="24"/>
        </w:rPr>
        <w:t xml:space="preserve">equiring the use of </w:t>
      </w:r>
      <w:r w:rsidRPr="008D17A1">
        <w:rPr>
          <w:rFonts w:ascii="Arial" w:hAnsi="Arial" w:cs="Arial"/>
          <w:b/>
          <w:bCs/>
          <w:iCs/>
          <w:sz w:val="24"/>
          <w:szCs w:val="24"/>
        </w:rPr>
        <w:t>a statistical</w:t>
      </w:r>
      <w:r w:rsidRPr="008D17A1">
        <w:rPr>
          <w:rFonts w:ascii="Arial" w:hAnsi="Arial" w:cs="Arial"/>
          <w:b/>
          <w:bCs/>
          <w:iCs/>
          <w:sz w:val="24"/>
          <w:szCs w:val="24"/>
        </w:rPr>
        <w:t xml:space="preserve"> data classification that has not been reviewed and approved by </w:t>
      </w:r>
      <w:r w:rsidRPr="008D17A1">
        <w:rPr>
          <w:rFonts w:ascii="Arial" w:hAnsi="Arial" w:cs="Arial"/>
          <w:b/>
          <w:bCs/>
          <w:iCs/>
          <w:sz w:val="24"/>
          <w:szCs w:val="24"/>
        </w:rPr>
        <w:t>OMB;</w:t>
      </w:r>
      <w:r w:rsidRPr="00B87E9A" w:rsidR="008E5EEF">
        <w:rPr>
          <w:rFonts w:ascii="Arial" w:hAnsi="Arial" w:cs="Arial"/>
          <w:b/>
          <w:bCs/>
          <w:iCs/>
          <w:sz w:val="24"/>
          <w:szCs w:val="24"/>
        </w:rPr>
        <w:t xml:space="preserve">  None</w:t>
      </w:r>
      <w:r w:rsidRPr="00B87E9A" w:rsidR="008E5EEF">
        <w:rPr>
          <w:rFonts w:ascii="Arial" w:hAnsi="Arial" w:cs="Arial"/>
          <w:b/>
          <w:bCs/>
          <w:iCs/>
          <w:sz w:val="24"/>
          <w:szCs w:val="24"/>
        </w:rPr>
        <w:t>.</w:t>
      </w:r>
    </w:p>
    <w:p w:rsidR="009D5371" w:rsidRPr="008D17A1" w:rsidP="009D5371" w14:paraId="03A6C1BA" w14:textId="2F5FE2DE">
      <w:pPr>
        <w:numPr>
          <w:ilvl w:val="0"/>
          <w:numId w:val="1"/>
        </w:numPr>
        <w:shd w:val="clear" w:color="auto" w:fill="FFFFFF"/>
        <w:spacing w:before="100" w:beforeAutospacing="1" w:after="225" w:line="240" w:lineRule="auto"/>
        <w:rPr>
          <w:rFonts w:ascii="Arial" w:hAnsi="Arial" w:cs="Arial"/>
          <w:b/>
          <w:sz w:val="24"/>
          <w:szCs w:val="24"/>
        </w:rPr>
      </w:pPr>
      <w:r>
        <w:rPr>
          <w:rFonts w:ascii="Arial" w:hAnsi="Arial" w:cs="Arial"/>
          <w:b/>
          <w:bCs/>
          <w:iCs/>
          <w:sz w:val="24"/>
          <w:szCs w:val="24"/>
        </w:rPr>
        <w:t>T</w:t>
      </w:r>
      <w:r w:rsidRPr="008D17A1">
        <w:rPr>
          <w:rFonts w:ascii="Arial" w:hAnsi="Arial" w:cs="Arial"/>
          <w:b/>
          <w:bCs/>
          <w:iCs/>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Pr="00B87E9A" w:rsidR="008E5EEF">
        <w:rPr>
          <w:rFonts w:ascii="Arial" w:hAnsi="Arial" w:cs="Arial"/>
          <w:b/>
          <w:bCs/>
          <w:iCs/>
          <w:sz w:val="24"/>
          <w:szCs w:val="24"/>
        </w:rPr>
        <w:t>.  None.</w:t>
      </w:r>
    </w:p>
    <w:p w:rsidR="009D5371" w:rsidRPr="008D17A1" w:rsidP="009D5371" w14:paraId="2F629D17" w14:textId="69499530">
      <w:pPr>
        <w:numPr>
          <w:ilvl w:val="0"/>
          <w:numId w:val="1"/>
        </w:numPr>
        <w:shd w:val="clear" w:color="auto" w:fill="FFFFFF"/>
        <w:spacing w:before="100" w:beforeAutospacing="1" w:after="225" w:line="240" w:lineRule="auto"/>
        <w:rPr>
          <w:rFonts w:ascii="Arial" w:hAnsi="Arial" w:cs="Arial"/>
          <w:b/>
          <w:sz w:val="24"/>
          <w:szCs w:val="24"/>
        </w:rPr>
      </w:pPr>
      <w:r>
        <w:rPr>
          <w:rFonts w:ascii="Arial" w:hAnsi="Arial" w:cs="Arial"/>
          <w:b/>
          <w:bCs/>
          <w:iCs/>
          <w:sz w:val="24"/>
          <w:szCs w:val="24"/>
        </w:rPr>
        <w:t>R</w:t>
      </w:r>
      <w:r w:rsidRPr="008D17A1">
        <w:rPr>
          <w:rFonts w:ascii="Arial" w:hAnsi="Arial" w:cs="Arial"/>
          <w:b/>
          <w:bCs/>
          <w:iCs/>
          <w:sz w:val="24"/>
          <w:szCs w:val="24"/>
        </w:rPr>
        <w:t>equiring respondents to submit proprietary trade secrets, or other confidential information unless the agency can demonstrate that it has instituted procedures to protect the information's confidentiality to the extent permitted by law.</w:t>
      </w:r>
      <w:r w:rsidRPr="00B87E9A" w:rsidR="008E5EEF">
        <w:rPr>
          <w:rFonts w:ascii="Arial" w:hAnsi="Arial" w:cs="Arial"/>
          <w:b/>
          <w:bCs/>
          <w:iCs/>
          <w:sz w:val="24"/>
          <w:szCs w:val="24"/>
        </w:rPr>
        <w:t xml:space="preserve">  The FAA oversight offices have procedures to protect the respondents’ proprietary or confidential</w:t>
      </w:r>
      <w:r w:rsidRPr="00B87E9A" w:rsidR="0040285C">
        <w:rPr>
          <w:rFonts w:ascii="Arial" w:hAnsi="Arial" w:cs="Arial"/>
          <w:b/>
          <w:bCs/>
          <w:iCs/>
          <w:sz w:val="24"/>
          <w:szCs w:val="24"/>
        </w:rPr>
        <w:t xml:space="preserve"> information.</w:t>
      </w:r>
    </w:p>
    <w:p w:rsidR="009D5371" w:rsidRPr="00B87E9A" w:rsidP="00F874AC" w14:paraId="1F460437" w14:textId="12B566CD">
      <w:pPr>
        <w:pStyle w:val="ListParagraph"/>
        <w:numPr>
          <w:ilvl w:val="0"/>
          <w:numId w:val="1"/>
        </w:numPr>
        <w:shd w:val="clear" w:color="auto" w:fill="FFFFFF"/>
        <w:spacing w:after="0" w:line="240" w:lineRule="auto"/>
        <w:rPr>
          <w:rFonts w:ascii="Arial" w:eastAsia="Times New Roman" w:hAnsi="Arial" w:cs="Arial"/>
          <w:b/>
          <w:sz w:val="24"/>
          <w:szCs w:val="24"/>
        </w:rPr>
      </w:pPr>
      <w:r w:rsidRPr="008D17A1">
        <w:rPr>
          <w:rFonts w:ascii="Arial" w:eastAsia="Times New Roman" w:hAnsi="Arial" w:cs="Arial"/>
          <w:b/>
          <w:sz w:val="24"/>
          <w:szCs w:val="24"/>
        </w:rPr>
        <w:t>Explain the need for any inconsistencies in your collection.</w:t>
      </w:r>
      <w:r w:rsidRPr="00B87E9A">
        <w:rPr>
          <w:rFonts w:ascii="Arial" w:eastAsia="Times New Roman" w:hAnsi="Arial" w:cs="Arial"/>
          <w:b/>
          <w:sz w:val="24"/>
          <w:szCs w:val="24"/>
        </w:rPr>
        <w:t xml:space="preserve"> </w:t>
      </w:r>
      <w:r w:rsidRPr="00B87E9A">
        <w:rPr>
          <w:rFonts w:ascii="Arial" w:eastAsia="Times New Roman" w:hAnsi="Arial" w:cs="Arial"/>
          <w:b/>
          <w:sz w:val="24"/>
          <w:szCs w:val="24"/>
        </w:rPr>
        <w:t>None.</w:t>
      </w:r>
    </w:p>
    <w:p w:rsidR="00034078" w:rsidRPr="00B87E9A" w:rsidP="00C64707" w14:paraId="785EFBA8" w14:textId="77777777">
      <w:pPr>
        <w:shd w:val="clear" w:color="auto" w:fill="FFFFFF"/>
        <w:spacing w:after="0" w:line="240" w:lineRule="auto"/>
        <w:rPr>
          <w:rFonts w:ascii="Arial" w:eastAsia="Times New Roman" w:hAnsi="Arial" w:cs="Arial"/>
          <w:sz w:val="24"/>
          <w:szCs w:val="24"/>
        </w:rPr>
      </w:pPr>
    </w:p>
    <w:p w:rsidR="00C64707" w:rsidRPr="00B87E9A" w:rsidP="00C64707" w14:paraId="7172D173" w14:textId="582E0412">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p>
    <w:p w:rsidR="00C64707" w:rsidRPr="00B87E9A" w:rsidP="00C64707" w14:paraId="5CDA0C81"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 xml:space="preserve">8. Provide information on the PRA Federal Register Notice that solicited public comments on the information collection prior to this submission. Summarize the </w:t>
      </w:r>
      <w:r w:rsidRPr="00B87E9A">
        <w:rPr>
          <w:rFonts w:ascii="Arial" w:eastAsia="Times New Roman" w:hAnsi="Arial" w:cs="Arial"/>
          <w:b/>
          <w:bCs/>
          <w:sz w:val="24"/>
          <w:szCs w:val="24"/>
        </w:rPr>
        <w:t xml:space="preserve">public comments received in response to that notice and describe the actions taken by the agency in response to those comments. Describe the efforts to consult with </w:t>
      </w:r>
      <w:r w:rsidRPr="00B87E9A">
        <w:rPr>
          <w:rFonts w:ascii="Arial" w:eastAsia="Times New Roman" w:hAnsi="Arial" w:cs="Arial"/>
          <w:b/>
          <w:bCs/>
          <w:sz w:val="24"/>
          <w:szCs w:val="24"/>
        </w:rPr>
        <w:t>persons</w:t>
      </w:r>
      <w:r w:rsidRPr="00B87E9A">
        <w:rPr>
          <w:rFonts w:ascii="Arial" w:eastAsia="Times New Roman" w:hAnsi="Arial" w:cs="Arial"/>
          <w:b/>
          <w:bCs/>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C64707" w:rsidRPr="00B87E9A" w:rsidP="00C64707" w14:paraId="341EA813"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p>
    <w:p w:rsidR="00FA5E49" w:rsidRPr="00FA64CF" w:rsidP="00C64707" w14:paraId="534F8B92" w14:textId="0A8477B6">
      <w:p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 xml:space="preserve">A Federal Register Notice published on </w:t>
      </w:r>
      <w:r w:rsidRPr="00FA64CF" w:rsidR="00DA1616">
        <w:rPr>
          <w:rFonts w:ascii="Arial" w:eastAsia="Times New Roman" w:hAnsi="Arial" w:cs="Arial"/>
          <w:sz w:val="24"/>
          <w:szCs w:val="24"/>
        </w:rPr>
        <w:t>January 2</w:t>
      </w:r>
      <w:r w:rsidRPr="00FA64CF" w:rsidR="00F74251">
        <w:rPr>
          <w:rFonts w:ascii="Arial" w:eastAsia="Times New Roman" w:hAnsi="Arial" w:cs="Arial"/>
          <w:sz w:val="24"/>
          <w:szCs w:val="24"/>
        </w:rPr>
        <w:t>7</w:t>
      </w:r>
      <w:r w:rsidRPr="00FA64CF" w:rsidR="00F74251">
        <w:rPr>
          <w:rFonts w:ascii="Arial" w:eastAsia="Times New Roman" w:hAnsi="Arial" w:cs="Arial"/>
          <w:sz w:val="24"/>
          <w:szCs w:val="24"/>
          <w:vertAlign w:val="superscript"/>
        </w:rPr>
        <w:t>th</w:t>
      </w:r>
      <w:r w:rsidRPr="00FA64CF" w:rsidR="00F74251">
        <w:rPr>
          <w:rFonts w:ascii="Arial" w:eastAsia="Times New Roman" w:hAnsi="Arial" w:cs="Arial"/>
          <w:sz w:val="24"/>
          <w:szCs w:val="24"/>
        </w:rPr>
        <w:t xml:space="preserve">, </w:t>
      </w:r>
      <w:r w:rsidRPr="00FA64CF" w:rsidR="00DA1616">
        <w:rPr>
          <w:rFonts w:ascii="Arial" w:eastAsia="Times New Roman" w:hAnsi="Arial" w:cs="Arial"/>
          <w:sz w:val="24"/>
          <w:szCs w:val="24"/>
        </w:rPr>
        <w:t>2026</w:t>
      </w:r>
      <w:r w:rsidRPr="00FA64CF" w:rsidR="00F74251">
        <w:rPr>
          <w:rFonts w:ascii="Arial" w:eastAsia="Times New Roman" w:hAnsi="Arial" w:cs="Arial"/>
          <w:sz w:val="24"/>
          <w:szCs w:val="24"/>
        </w:rPr>
        <w:t xml:space="preserve"> (91 FR 3626)</w:t>
      </w:r>
      <w:r w:rsidRPr="00FA64CF">
        <w:rPr>
          <w:rFonts w:ascii="Arial" w:eastAsia="Times New Roman" w:hAnsi="Arial" w:cs="Arial"/>
          <w:sz w:val="24"/>
          <w:szCs w:val="24"/>
        </w:rPr>
        <w:t xml:space="preserve"> solicited public comment. </w:t>
      </w:r>
      <w:r w:rsidRPr="00FA64CF" w:rsidR="00DA1616">
        <w:rPr>
          <w:rFonts w:ascii="Arial" w:eastAsia="Times New Roman" w:hAnsi="Arial" w:cs="Arial"/>
          <w:sz w:val="24"/>
          <w:szCs w:val="24"/>
        </w:rPr>
        <w:t xml:space="preserve">Two </w:t>
      </w:r>
      <w:r w:rsidRPr="00FA64CF" w:rsidR="00F74251">
        <w:rPr>
          <w:rFonts w:ascii="Arial" w:eastAsia="Times New Roman" w:hAnsi="Arial" w:cs="Arial"/>
          <w:sz w:val="24"/>
          <w:szCs w:val="24"/>
        </w:rPr>
        <w:t xml:space="preserve">anonymous public </w:t>
      </w:r>
      <w:r w:rsidRPr="00FA64CF" w:rsidR="00DA1616">
        <w:rPr>
          <w:rFonts w:ascii="Arial" w:eastAsia="Times New Roman" w:hAnsi="Arial" w:cs="Arial"/>
          <w:sz w:val="24"/>
          <w:szCs w:val="24"/>
        </w:rPr>
        <w:t xml:space="preserve">comments </w:t>
      </w:r>
      <w:r w:rsidRPr="00FA64CF">
        <w:rPr>
          <w:rFonts w:ascii="Arial" w:eastAsia="Times New Roman" w:hAnsi="Arial" w:cs="Arial"/>
          <w:sz w:val="24"/>
          <w:szCs w:val="24"/>
        </w:rPr>
        <w:t>were received</w:t>
      </w:r>
      <w:r w:rsidRPr="00FA64CF" w:rsidR="00DA1616">
        <w:rPr>
          <w:rFonts w:ascii="Arial" w:eastAsia="Times New Roman" w:hAnsi="Arial" w:cs="Arial"/>
          <w:sz w:val="24"/>
          <w:szCs w:val="24"/>
        </w:rPr>
        <w:t xml:space="preserve"> </w:t>
      </w:r>
      <w:r w:rsidRPr="00FA64CF" w:rsidR="00F74251">
        <w:rPr>
          <w:rFonts w:ascii="Arial" w:eastAsia="Times New Roman" w:hAnsi="Arial" w:cs="Arial"/>
          <w:sz w:val="24"/>
          <w:szCs w:val="24"/>
        </w:rPr>
        <w:t>on March 9</w:t>
      </w:r>
      <w:r w:rsidRPr="00FA64CF" w:rsidR="00F74251">
        <w:rPr>
          <w:rFonts w:ascii="Arial" w:eastAsia="Times New Roman" w:hAnsi="Arial" w:cs="Arial"/>
          <w:sz w:val="24"/>
          <w:szCs w:val="24"/>
          <w:vertAlign w:val="superscript"/>
        </w:rPr>
        <w:t>th</w:t>
      </w:r>
      <w:r w:rsidRPr="00FA64CF" w:rsidR="00F74251">
        <w:rPr>
          <w:rFonts w:ascii="Arial" w:eastAsia="Times New Roman" w:hAnsi="Arial" w:cs="Arial"/>
          <w:sz w:val="24"/>
          <w:szCs w:val="24"/>
          <w:vertAlign w:val="superscript"/>
        </w:rPr>
        <w:t xml:space="preserve"> </w:t>
      </w:r>
      <w:r w:rsidRPr="00FA64CF" w:rsidR="00F74251">
        <w:rPr>
          <w:rFonts w:ascii="Arial" w:eastAsia="Times New Roman" w:hAnsi="Arial" w:cs="Arial"/>
          <w:sz w:val="24"/>
          <w:szCs w:val="24"/>
        </w:rPr>
        <w:t>2026</w:t>
      </w:r>
      <w:r w:rsidRPr="00FA64CF" w:rsidR="00F74251">
        <w:rPr>
          <w:rFonts w:ascii="Arial" w:eastAsia="Times New Roman" w:hAnsi="Arial" w:cs="Arial"/>
          <w:sz w:val="24"/>
          <w:szCs w:val="24"/>
        </w:rPr>
        <w:t xml:space="preserve">, FAA-2025-5436-0002 and FAA-2025-5436-0003.  </w:t>
      </w:r>
    </w:p>
    <w:p w:rsidR="00FA5E49" w:rsidRPr="00FA64CF" w:rsidP="00C64707" w14:paraId="763C0141" w14:textId="77777777">
      <w:pPr>
        <w:shd w:val="clear" w:color="auto" w:fill="FFFFFF"/>
        <w:spacing w:after="0" w:line="240" w:lineRule="auto"/>
        <w:rPr>
          <w:rFonts w:ascii="Arial" w:eastAsia="Times New Roman" w:hAnsi="Arial" w:cs="Arial"/>
          <w:sz w:val="24"/>
          <w:szCs w:val="24"/>
        </w:rPr>
      </w:pPr>
    </w:p>
    <w:p w:rsidR="00FA5E49" w:rsidRPr="00FA64CF" w:rsidP="00C64707" w14:paraId="198D9B99" w14:textId="02EF08FF">
      <w:p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 xml:space="preserve">These two comments appeared to </w:t>
      </w:r>
      <w:r w:rsidRPr="00FA64CF" w:rsidR="005535A7">
        <w:rPr>
          <w:rFonts w:ascii="Arial" w:eastAsia="Times New Roman" w:hAnsi="Arial" w:cs="Arial"/>
          <w:sz w:val="24"/>
          <w:szCs w:val="24"/>
        </w:rPr>
        <w:t xml:space="preserve">be </w:t>
      </w:r>
      <w:r w:rsidRPr="00FA64CF">
        <w:rPr>
          <w:rFonts w:ascii="Arial" w:eastAsia="Times New Roman" w:hAnsi="Arial" w:cs="Arial"/>
          <w:sz w:val="24"/>
          <w:szCs w:val="24"/>
        </w:rPr>
        <w:t xml:space="preserve">the same and </w:t>
      </w:r>
      <w:r w:rsidRPr="00FA64CF">
        <w:rPr>
          <w:rFonts w:ascii="Arial" w:eastAsia="Times New Roman" w:hAnsi="Arial" w:cs="Arial"/>
          <w:sz w:val="24"/>
          <w:szCs w:val="24"/>
        </w:rPr>
        <w:t xml:space="preserve">supported </w:t>
      </w:r>
      <w:r w:rsidRPr="00FA64CF" w:rsidR="005535A7">
        <w:rPr>
          <w:rFonts w:ascii="Arial" w:eastAsia="Times New Roman" w:hAnsi="Arial" w:cs="Arial"/>
          <w:sz w:val="24"/>
          <w:szCs w:val="24"/>
        </w:rPr>
        <w:t>FAA</w:t>
      </w:r>
      <w:r w:rsidRPr="00FA64CF" w:rsidR="00DA1616">
        <w:rPr>
          <w:rFonts w:ascii="Arial" w:eastAsia="Times New Roman" w:hAnsi="Arial" w:cs="Arial"/>
          <w:sz w:val="24"/>
          <w:szCs w:val="24"/>
        </w:rPr>
        <w:t xml:space="preserve"> data collection</w:t>
      </w:r>
      <w:r w:rsidRPr="00FA64CF">
        <w:rPr>
          <w:rFonts w:ascii="Arial" w:eastAsia="Times New Roman" w:hAnsi="Arial" w:cs="Arial"/>
          <w:sz w:val="24"/>
          <w:szCs w:val="24"/>
        </w:rPr>
        <w:t>.  The second public comment is documented below:</w:t>
      </w:r>
    </w:p>
    <w:p w:rsidR="00FA5E49" w:rsidRPr="00FA64CF" w:rsidP="00C64707" w14:paraId="02FCD02F" w14:textId="77777777">
      <w:pPr>
        <w:shd w:val="clear" w:color="auto" w:fill="FFFFFF"/>
        <w:spacing w:after="0" w:line="240" w:lineRule="auto"/>
        <w:rPr>
          <w:rFonts w:ascii="Arial" w:eastAsia="Times New Roman" w:hAnsi="Arial" w:cs="Arial"/>
          <w:sz w:val="24"/>
          <w:szCs w:val="24"/>
        </w:rPr>
      </w:pPr>
    </w:p>
    <w:p w:rsidR="00DA1616" w:rsidRPr="00FA64CF" w:rsidP="00C64707" w14:paraId="30D76F4A" w14:textId="57DFF23A">
      <w:p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“I support this renewal for fuel tank flammability safety. Tracking the reliability of fuel tank flammability reduction components is crucial to maintaining safety of aircraft fleets, especially if aircraft remain in service longer than originally expected. This reporting allows the FAA to identify potential degrading occurring, monitor performance more closely, and take proactive steps to mitigate risks before incidents occur. Requiring design approval holders to provide this data ensures that safety standards remain aligned with the original certifications and strengthens the FAA’s safety management system by providing data to support hazard identification and risk reduction. Overall, this information collection is a vital tool for preserving aircraft fuel tank safety and protecting passengers, crew, and the flying public.”</w:t>
      </w:r>
    </w:p>
    <w:p w:rsidR="00B34F53" w:rsidRPr="00B87E9A" w:rsidP="00C64707" w14:paraId="2A547D58" w14:textId="77777777">
      <w:pPr>
        <w:shd w:val="clear" w:color="auto" w:fill="FFFFFF"/>
        <w:spacing w:after="0" w:line="240" w:lineRule="auto"/>
        <w:rPr>
          <w:rFonts w:ascii="Arial" w:eastAsia="Times New Roman" w:hAnsi="Arial" w:cs="Arial"/>
          <w:sz w:val="24"/>
          <w:szCs w:val="24"/>
        </w:rPr>
      </w:pPr>
    </w:p>
    <w:p w:rsidR="00622DEA" w:rsidRPr="00B87E9A" w:rsidP="00C64707" w14:paraId="0659609B" w14:textId="77777777">
      <w:pPr>
        <w:shd w:val="clear" w:color="auto" w:fill="FFFFFF"/>
        <w:spacing w:after="0" w:line="240" w:lineRule="auto"/>
        <w:rPr>
          <w:rFonts w:ascii="Arial" w:eastAsia="Times New Roman" w:hAnsi="Arial" w:cs="Arial"/>
          <w:b/>
          <w:bCs/>
          <w:sz w:val="24"/>
          <w:szCs w:val="24"/>
        </w:rPr>
      </w:pPr>
    </w:p>
    <w:p w:rsidR="00C64707" w:rsidRPr="00B87E9A" w:rsidP="00C64707" w14:paraId="2DDBC04C"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9. Explain any decisions to provide payments or gifts to respondents, other than remuneration of contractors or grantees.</w:t>
      </w:r>
    </w:p>
    <w:p w:rsidR="00C64707" w:rsidRPr="00B87E9A" w:rsidP="00C64707" w14:paraId="626D00F8"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p>
    <w:p w:rsidR="00B34F53" w:rsidRPr="00B87E9A" w:rsidP="00B34F53" w14:paraId="0ACB1060"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Not applicable.</w:t>
      </w:r>
    </w:p>
    <w:p w:rsidR="00C64707" w:rsidRPr="00B87E9A" w:rsidP="00C64707" w14:paraId="2B3FE408" w14:textId="77777777">
      <w:pPr>
        <w:shd w:val="clear" w:color="auto" w:fill="FFFFFF"/>
        <w:spacing w:after="0" w:line="240" w:lineRule="auto"/>
        <w:rPr>
          <w:rFonts w:ascii="Arial" w:eastAsia="Times New Roman" w:hAnsi="Arial" w:cs="Arial"/>
          <w:sz w:val="24"/>
          <w:szCs w:val="24"/>
        </w:rPr>
      </w:pPr>
    </w:p>
    <w:p w:rsidR="00622DEA" w:rsidRPr="00B87E9A" w:rsidP="00C64707" w14:paraId="4D1BC060" w14:textId="77777777">
      <w:pPr>
        <w:shd w:val="clear" w:color="auto" w:fill="FFFFFF"/>
        <w:spacing w:after="0" w:line="240" w:lineRule="auto"/>
        <w:rPr>
          <w:rFonts w:ascii="Arial" w:eastAsia="Times New Roman" w:hAnsi="Arial" w:cs="Arial"/>
          <w:b/>
          <w:bCs/>
          <w:sz w:val="24"/>
          <w:szCs w:val="24"/>
        </w:rPr>
      </w:pPr>
    </w:p>
    <w:p w:rsidR="00C64707" w:rsidRPr="00B87E9A" w:rsidP="00C64707" w14:paraId="3CB008EE"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10. Describe any assurance of confidentiality provided to respondents and the basis for assurance in statute, regulation, or agency policy.</w:t>
      </w:r>
    </w:p>
    <w:p w:rsidR="00C64707" w:rsidRPr="00B87E9A" w:rsidP="00C64707" w14:paraId="48535512" w14:textId="2CB01A00">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r w:rsidRPr="008D17A1" w:rsidR="00B70B5B">
        <w:rPr>
          <w:rFonts w:ascii="Arial" w:hAnsi="Arial" w:cs="Arial"/>
          <w:bCs/>
          <w:iCs/>
          <w:sz w:val="24"/>
          <w:szCs w:val="24"/>
        </w:rPr>
        <w:t>The FAA oversight offices have procedures to protect the respondents’ proprietary or confidential information.</w:t>
      </w:r>
    </w:p>
    <w:p w:rsidR="00B34F53" w:rsidRPr="00B87E9A" w:rsidP="00B34F53" w14:paraId="7B783439" w14:textId="77777777">
      <w:pPr>
        <w:shd w:val="clear" w:color="auto" w:fill="FFFFFF"/>
        <w:spacing w:after="0" w:line="240" w:lineRule="auto"/>
        <w:rPr>
          <w:rFonts w:ascii="Arial" w:eastAsia="Times New Roman" w:hAnsi="Arial" w:cs="Arial"/>
          <w:sz w:val="24"/>
          <w:szCs w:val="24"/>
        </w:rPr>
      </w:pPr>
    </w:p>
    <w:p w:rsidR="00B34F53" w:rsidRPr="00B87E9A" w:rsidP="00C64707" w14:paraId="1E5DE853" w14:textId="77777777">
      <w:pPr>
        <w:shd w:val="clear" w:color="auto" w:fill="FFFFFF"/>
        <w:spacing w:after="0" w:line="240" w:lineRule="auto"/>
        <w:rPr>
          <w:rFonts w:ascii="Arial" w:eastAsia="Times New Roman" w:hAnsi="Arial" w:cs="Arial"/>
          <w:sz w:val="24"/>
          <w:szCs w:val="24"/>
        </w:rPr>
      </w:pPr>
    </w:p>
    <w:p w:rsidR="00352807" w:rsidP="00C64707" w14:paraId="7B2ACAB2" w14:textId="77777777">
      <w:pPr>
        <w:shd w:val="clear" w:color="auto" w:fill="FFFFFF"/>
        <w:spacing w:after="0" w:line="240" w:lineRule="auto"/>
        <w:rPr>
          <w:rFonts w:ascii="Arial" w:eastAsia="Times New Roman" w:hAnsi="Arial" w:cs="Arial"/>
          <w:b/>
          <w:bCs/>
          <w:sz w:val="24"/>
          <w:szCs w:val="24"/>
        </w:rPr>
      </w:pPr>
      <w:r w:rsidRPr="00B87E9A">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r w:rsidRPr="00B87E9A" w:rsidR="00566BA7">
        <w:rPr>
          <w:rFonts w:ascii="Arial" w:eastAsia="Times New Roman" w:hAnsi="Arial" w:cs="Arial"/>
          <w:b/>
          <w:bCs/>
          <w:sz w:val="24"/>
          <w:szCs w:val="24"/>
        </w:rPr>
        <w:t xml:space="preserve">  </w:t>
      </w:r>
    </w:p>
    <w:p w:rsidR="00352807" w:rsidP="00C64707" w14:paraId="5F8F18BC" w14:textId="77777777">
      <w:pPr>
        <w:shd w:val="clear" w:color="auto" w:fill="FFFFFF"/>
        <w:spacing w:after="0" w:line="240" w:lineRule="auto"/>
        <w:rPr>
          <w:rFonts w:ascii="Arial" w:eastAsia="Times New Roman" w:hAnsi="Arial" w:cs="Arial"/>
          <w:b/>
          <w:bCs/>
          <w:sz w:val="24"/>
          <w:szCs w:val="24"/>
        </w:rPr>
      </w:pPr>
    </w:p>
    <w:p w:rsidR="00C64707" w:rsidRPr="00B87E9A" w:rsidP="00C64707" w14:paraId="24510CF8" w14:textId="33AF1A42">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There are no questions of a sensitive nature.</w:t>
      </w:r>
    </w:p>
    <w:p w:rsidR="00087CEE" w:rsidRPr="00B87E9A" w14:paraId="546B4243" w14:textId="77777777">
      <w:pPr>
        <w:rPr>
          <w:rFonts w:ascii="Arial" w:eastAsia="Times New Roman" w:hAnsi="Arial" w:cs="Arial"/>
          <w:b/>
          <w:bCs/>
          <w:sz w:val="24"/>
          <w:szCs w:val="24"/>
        </w:rPr>
      </w:pPr>
    </w:p>
    <w:p w:rsidR="00C64707" w:rsidRPr="00BC5AB4" w:rsidP="00C64707" w14:paraId="4479CA51" w14:textId="310022E3">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12. Provide estimates of the hour burden of the collection of information. The statement should:</w:t>
      </w:r>
      <w:r w:rsidRPr="00B87E9A">
        <w:rPr>
          <w:rFonts w:ascii="Arial" w:eastAsia="Times New Roman" w:hAnsi="Arial" w:cs="Arial"/>
          <w:sz w:val="24"/>
          <w:szCs w:val="24"/>
        </w:rPr>
        <w:br/>
      </w:r>
    </w:p>
    <w:p w:rsidR="0008619C" w:rsidP="0008619C" w14:paraId="0F53596C" w14:textId="569B6569">
      <w:pPr>
        <w:shd w:val="clear" w:color="auto" w:fill="FFFFFF"/>
        <w:spacing w:after="0" w:line="240" w:lineRule="auto"/>
        <w:rPr>
          <w:rFonts w:ascii="Arial" w:eastAsia="Times New Roman" w:hAnsi="Arial" w:cs="Arial"/>
          <w:sz w:val="24"/>
          <w:szCs w:val="24"/>
        </w:rPr>
      </w:pPr>
      <w:r w:rsidRPr="00BC5AB4">
        <w:rPr>
          <w:rFonts w:ascii="Arial" w:eastAsia="Times New Roman" w:hAnsi="Arial" w:cs="Arial"/>
          <w:sz w:val="24"/>
          <w:szCs w:val="24"/>
        </w:rPr>
        <w:t>T</w:t>
      </w:r>
      <w:r w:rsidRPr="00BC5AB4">
        <w:rPr>
          <w:rFonts w:ascii="Arial" w:eastAsia="Times New Roman" w:hAnsi="Arial" w:cs="Arial"/>
          <w:sz w:val="24"/>
          <w:szCs w:val="24"/>
        </w:rPr>
        <w:t xml:space="preserve">he collection </w:t>
      </w:r>
      <w:r w:rsidRPr="00BC5AB4" w:rsidR="00DD0AF1">
        <w:rPr>
          <w:rFonts w:ascii="Arial" w:eastAsia="Times New Roman" w:hAnsi="Arial" w:cs="Arial"/>
          <w:sz w:val="24"/>
          <w:szCs w:val="24"/>
        </w:rPr>
        <w:t xml:space="preserve">for the next </w:t>
      </w:r>
      <w:r w:rsidRPr="00BC5AB4" w:rsidR="00456581">
        <w:rPr>
          <w:rFonts w:ascii="Arial" w:eastAsia="Times New Roman" w:hAnsi="Arial" w:cs="Arial"/>
          <w:sz w:val="24"/>
          <w:szCs w:val="24"/>
        </w:rPr>
        <w:t xml:space="preserve">Statement A </w:t>
      </w:r>
      <w:r w:rsidRPr="00BC5AB4" w:rsidR="00DD0AF1">
        <w:rPr>
          <w:rFonts w:ascii="Arial" w:eastAsia="Times New Roman" w:hAnsi="Arial" w:cs="Arial"/>
          <w:sz w:val="24"/>
          <w:szCs w:val="24"/>
        </w:rPr>
        <w:t>data collection period (202</w:t>
      </w:r>
      <w:r w:rsidRPr="00BC5AB4" w:rsidR="003C7992">
        <w:rPr>
          <w:rFonts w:ascii="Arial" w:eastAsia="Times New Roman" w:hAnsi="Arial" w:cs="Arial"/>
          <w:sz w:val="24"/>
          <w:szCs w:val="24"/>
        </w:rPr>
        <w:t>6-2029</w:t>
      </w:r>
      <w:r w:rsidRPr="00BC5AB4" w:rsidR="00DD0AF1">
        <w:rPr>
          <w:rFonts w:ascii="Arial" w:eastAsia="Times New Roman" w:hAnsi="Arial" w:cs="Arial"/>
          <w:sz w:val="24"/>
          <w:szCs w:val="24"/>
        </w:rPr>
        <w:t>)</w:t>
      </w:r>
      <w:r w:rsidRPr="00BC5AB4">
        <w:rPr>
          <w:rFonts w:ascii="Arial" w:eastAsia="Times New Roman" w:hAnsi="Arial" w:cs="Arial"/>
          <w:sz w:val="24"/>
          <w:szCs w:val="24"/>
        </w:rPr>
        <w:t xml:space="preserve"> is estimated</w:t>
      </w:r>
      <w:r w:rsidRPr="00BC5AB4" w:rsidR="00DD0AF1">
        <w:rPr>
          <w:rFonts w:ascii="Arial" w:eastAsia="Times New Roman" w:hAnsi="Arial" w:cs="Arial"/>
          <w:sz w:val="24"/>
          <w:szCs w:val="24"/>
        </w:rPr>
        <w:t xml:space="preserve"> to </w:t>
      </w:r>
      <w:r w:rsidRPr="00BC5AB4">
        <w:rPr>
          <w:rFonts w:ascii="Arial" w:eastAsia="Times New Roman" w:hAnsi="Arial" w:cs="Arial"/>
          <w:sz w:val="24"/>
          <w:szCs w:val="24"/>
        </w:rPr>
        <w:t>result in an annual reporting burden of approximately</w:t>
      </w:r>
      <w:r w:rsidRPr="00BC5AB4">
        <w:rPr>
          <w:rFonts w:ascii="Arial" w:eastAsia="Times New Roman" w:hAnsi="Arial" w:cs="Arial"/>
          <w:sz w:val="24"/>
          <w:szCs w:val="24"/>
        </w:rPr>
        <w:t xml:space="preserve"> </w:t>
      </w:r>
      <w:r w:rsidRPr="00BC5AB4" w:rsidR="003C7992">
        <w:rPr>
          <w:rFonts w:ascii="Arial" w:eastAsia="Times New Roman" w:hAnsi="Arial" w:cs="Arial"/>
          <w:sz w:val="24"/>
          <w:szCs w:val="24"/>
        </w:rPr>
        <w:t>1</w:t>
      </w:r>
      <w:r w:rsidRPr="00BC5AB4" w:rsidR="005535A7">
        <w:rPr>
          <w:rFonts w:ascii="Arial" w:eastAsia="Times New Roman" w:hAnsi="Arial" w:cs="Arial"/>
          <w:sz w:val="24"/>
          <w:szCs w:val="24"/>
        </w:rPr>
        <w:t>2</w:t>
      </w:r>
      <w:r w:rsidRPr="00BC5AB4" w:rsidR="003C7992">
        <w:rPr>
          <w:rFonts w:ascii="Arial" w:eastAsia="Times New Roman" w:hAnsi="Arial" w:cs="Arial"/>
          <w:sz w:val="24"/>
          <w:szCs w:val="24"/>
        </w:rPr>
        <w:t>00</w:t>
      </w:r>
      <w:r w:rsidRPr="00BC5AB4">
        <w:rPr>
          <w:rFonts w:ascii="Arial" w:eastAsia="Times New Roman" w:hAnsi="Arial" w:cs="Arial"/>
          <w:sz w:val="24"/>
          <w:szCs w:val="24"/>
        </w:rPr>
        <w:t xml:space="preserve"> hours. This burden is based on </w:t>
      </w:r>
      <w:r w:rsidRPr="00BC5AB4" w:rsidR="005535A7">
        <w:rPr>
          <w:rFonts w:ascii="Arial" w:eastAsia="Times New Roman" w:hAnsi="Arial" w:cs="Arial"/>
          <w:sz w:val="24"/>
          <w:szCs w:val="24"/>
        </w:rPr>
        <w:t>fifteen</w:t>
      </w:r>
      <w:r w:rsidRPr="00BC5AB4" w:rsidR="003C7992">
        <w:rPr>
          <w:rFonts w:ascii="Arial" w:eastAsia="Times New Roman" w:hAnsi="Arial" w:cs="Arial"/>
          <w:sz w:val="24"/>
          <w:szCs w:val="24"/>
        </w:rPr>
        <w:t xml:space="preserve"> (</w:t>
      </w:r>
      <w:r w:rsidRPr="00BC5AB4" w:rsidR="005535A7">
        <w:rPr>
          <w:rFonts w:ascii="Arial" w:eastAsia="Times New Roman" w:hAnsi="Arial" w:cs="Arial"/>
          <w:sz w:val="24"/>
          <w:szCs w:val="24"/>
        </w:rPr>
        <w:t>15</w:t>
      </w:r>
      <w:r w:rsidRPr="00BC5AB4" w:rsidR="00025592">
        <w:rPr>
          <w:rFonts w:ascii="Arial" w:eastAsia="Times New Roman" w:hAnsi="Arial" w:cs="Arial"/>
          <w:sz w:val="24"/>
          <w:szCs w:val="24"/>
        </w:rPr>
        <w:t xml:space="preserve">) respondents </w:t>
      </w:r>
      <w:r w:rsidRPr="00BC5AB4">
        <w:rPr>
          <w:rFonts w:ascii="Arial" w:eastAsia="Times New Roman" w:hAnsi="Arial" w:cs="Arial"/>
          <w:sz w:val="24"/>
          <w:szCs w:val="24"/>
        </w:rPr>
        <w:t>submitting</w:t>
      </w:r>
      <w:r w:rsidRPr="00BC5AB4" w:rsidR="00025592">
        <w:rPr>
          <w:rFonts w:ascii="Arial" w:eastAsia="Times New Roman" w:hAnsi="Arial" w:cs="Arial"/>
          <w:sz w:val="24"/>
          <w:szCs w:val="24"/>
        </w:rPr>
        <w:t xml:space="preserve"> </w:t>
      </w:r>
      <w:r w:rsidRPr="00BC5AB4" w:rsidR="005535A7">
        <w:rPr>
          <w:rFonts w:ascii="Arial" w:eastAsia="Times New Roman" w:hAnsi="Arial" w:cs="Arial"/>
          <w:sz w:val="24"/>
          <w:szCs w:val="24"/>
        </w:rPr>
        <w:t>30</w:t>
      </w:r>
      <w:r w:rsidRPr="00BC5AB4">
        <w:rPr>
          <w:rFonts w:ascii="Arial" w:eastAsia="Times New Roman" w:hAnsi="Arial" w:cs="Arial"/>
          <w:sz w:val="24"/>
          <w:szCs w:val="24"/>
        </w:rPr>
        <w:t xml:space="preserve"> total reports per year requiring an average of </w:t>
      </w:r>
      <w:r w:rsidRPr="00BC5AB4" w:rsidR="003C7992">
        <w:rPr>
          <w:rFonts w:ascii="Arial" w:eastAsia="Times New Roman" w:hAnsi="Arial" w:cs="Arial"/>
          <w:sz w:val="24"/>
          <w:szCs w:val="24"/>
        </w:rPr>
        <w:t>4</w:t>
      </w:r>
      <w:r w:rsidRPr="00BC5AB4" w:rsidR="005535A7">
        <w:rPr>
          <w:rFonts w:ascii="Arial" w:eastAsia="Times New Roman" w:hAnsi="Arial" w:cs="Arial"/>
          <w:sz w:val="24"/>
          <w:szCs w:val="24"/>
        </w:rPr>
        <w:t>0</w:t>
      </w:r>
      <w:r w:rsidRPr="00BC5AB4">
        <w:rPr>
          <w:rFonts w:ascii="Arial" w:eastAsia="Times New Roman" w:hAnsi="Arial" w:cs="Arial"/>
          <w:sz w:val="24"/>
          <w:szCs w:val="24"/>
        </w:rPr>
        <w:t xml:space="preserve"> hours to complete each report</w:t>
      </w:r>
      <w:r w:rsidR="001857E0">
        <w:rPr>
          <w:rFonts w:ascii="Arial" w:eastAsia="Times New Roman" w:hAnsi="Arial" w:cs="Arial"/>
          <w:sz w:val="24"/>
          <w:szCs w:val="24"/>
        </w:rPr>
        <w:t xml:space="preserve">. </w:t>
      </w:r>
      <w:r w:rsidRPr="001857E0" w:rsidR="001857E0">
        <w:rPr>
          <w:rFonts w:ascii="Arial" w:hAnsi="Arial" w:cs="Arial"/>
          <w:sz w:val="24"/>
          <w:szCs w:val="24"/>
        </w:rPr>
        <w:t>The following provides details of response</w:t>
      </w:r>
      <w:r w:rsidR="00193141">
        <w:rPr>
          <w:rFonts w:ascii="Arial" w:hAnsi="Arial" w:cs="Arial"/>
          <w:sz w:val="24"/>
          <w:szCs w:val="24"/>
        </w:rPr>
        <w:t xml:space="preserve"> and</w:t>
      </w:r>
      <w:r w:rsidRPr="001857E0" w:rsidR="001857E0">
        <w:rPr>
          <w:rFonts w:ascii="Arial" w:hAnsi="Arial" w:cs="Arial"/>
          <w:sz w:val="24"/>
          <w:szCs w:val="24"/>
        </w:rPr>
        <w:t xml:space="preserve"> burden</w:t>
      </w:r>
      <w:r w:rsidR="00193141">
        <w:rPr>
          <w:rFonts w:ascii="Arial" w:hAnsi="Arial" w:cs="Arial"/>
          <w:sz w:val="24"/>
          <w:szCs w:val="24"/>
        </w:rPr>
        <w:t xml:space="preserve"> hours</w:t>
      </w:r>
      <w:r w:rsidRPr="001857E0" w:rsidR="001857E0">
        <w:rPr>
          <w:rFonts w:ascii="Arial" w:hAnsi="Arial" w:cs="Arial"/>
          <w:sz w:val="24"/>
          <w:szCs w:val="24"/>
        </w:rPr>
        <w:t xml:space="preserve"> to industry</w:t>
      </w:r>
      <w:r w:rsidRPr="001857E0">
        <w:rPr>
          <w:rFonts w:ascii="Arial" w:eastAsia="Times New Roman" w:hAnsi="Arial" w:cs="Arial"/>
          <w:sz w:val="24"/>
          <w:szCs w:val="24"/>
        </w:rPr>
        <w:t>.</w:t>
      </w:r>
    </w:p>
    <w:p w:rsidR="00484A03" w:rsidP="0008619C" w14:paraId="56C07F8F" w14:textId="77777777">
      <w:pPr>
        <w:shd w:val="clear" w:color="auto" w:fill="FFFFFF"/>
        <w:spacing w:after="0" w:line="240" w:lineRule="auto"/>
        <w:rPr>
          <w:rFonts w:ascii="Arial" w:eastAsia="Times New Roman" w:hAnsi="Arial" w:cs="Arial"/>
          <w:sz w:val="24"/>
          <w:szCs w:val="24"/>
        </w:rPr>
      </w:pPr>
    </w:p>
    <w:p w:rsidR="00484A03" w:rsidRPr="00484A03" w:rsidP="00484A03" w14:paraId="0C2BD53C" w14:textId="32CF25DA">
      <w:pPr>
        <w:shd w:val="clear" w:color="auto" w:fill="FFFFFF"/>
        <w:spacing w:after="0" w:line="240" w:lineRule="auto"/>
        <w:jc w:val="center"/>
        <w:rPr>
          <w:rFonts w:ascii="Arial" w:eastAsia="Times New Roman" w:hAnsi="Arial" w:cs="Arial"/>
          <w:b/>
          <w:bCs/>
          <w:sz w:val="24"/>
          <w:szCs w:val="24"/>
        </w:rPr>
      </w:pPr>
      <w:r w:rsidRPr="00484A03">
        <w:rPr>
          <w:rFonts w:ascii="Arial" w:eastAsia="Times New Roman" w:hAnsi="Arial" w:cs="Arial"/>
          <w:b/>
          <w:bCs/>
          <w:sz w:val="24"/>
          <w:szCs w:val="24"/>
        </w:rPr>
        <w:t xml:space="preserve">Table 1: Industry </w:t>
      </w:r>
      <w:r w:rsidR="007E4ACA">
        <w:rPr>
          <w:rFonts w:ascii="Arial" w:eastAsia="Times New Roman" w:hAnsi="Arial" w:cs="Arial"/>
          <w:b/>
          <w:bCs/>
          <w:sz w:val="24"/>
          <w:szCs w:val="24"/>
        </w:rPr>
        <w:t xml:space="preserve">Annual </w:t>
      </w:r>
      <w:r w:rsidRPr="00484A03">
        <w:rPr>
          <w:rFonts w:ascii="Arial" w:eastAsia="Times New Roman" w:hAnsi="Arial" w:cs="Arial"/>
          <w:b/>
          <w:bCs/>
          <w:sz w:val="24"/>
          <w:szCs w:val="24"/>
        </w:rPr>
        <w:t>Burden Hours</w:t>
      </w:r>
    </w:p>
    <w:p w:rsidR="0008619C" w:rsidRPr="00352807" w:rsidP="004F5A6E" w14:paraId="0B9A4F77" w14:textId="77777777">
      <w:pPr>
        <w:shd w:val="clear" w:color="auto" w:fill="FFFFFF"/>
        <w:spacing w:before="100" w:beforeAutospacing="1" w:after="225" w:line="240" w:lineRule="auto"/>
        <w:contextualSpacing/>
        <w:rPr>
          <w:rFonts w:ascii="Arial" w:eastAsia="Times New Roman" w:hAnsi="Arial" w:cs="Arial"/>
          <w:sz w:val="24"/>
          <w:szCs w:val="24"/>
          <w:highlight w:val="yellow"/>
        </w:rPr>
      </w:pPr>
    </w:p>
    <w:tbl>
      <w:tblPr>
        <w:tblW w:w="5935" w:type="dxa"/>
        <w:jc w:val="center"/>
        <w:tblLook w:val="04A0"/>
      </w:tblPr>
      <w:tblGrid>
        <w:gridCol w:w="1900"/>
        <w:gridCol w:w="1118"/>
        <w:gridCol w:w="1579"/>
        <w:gridCol w:w="1338"/>
      </w:tblGrid>
      <w:tr w14:paraId="1662E9B6" w14:textId="77777777" w:rsidTr="0024377E">
        <w:tblPrEx>
          <w:tblW w:w="5935" w:type="dxa"/>
          <w:jc w:val="center"/>
          <w:tblLook w:val="04A0"/>
        </w:tblPrEx>
        <w:trPr>
          <w:trHeight w:val="630"/>
          <w:jc w:val="center"/>
        </w:trPr>
        <w:tc>
          <w:tcPr>
            <w:tcW w:w="1900" w:type="dxa"/>
            <w:tcBorders>
              <w:top w:val="single" w:sz="4" w:space="0" w:color="auto"/>
              <w:left w:val="single" w:sz="4" w:space="0" w:color="auto"/>
              <w:bottom w:val="single" w:sz="4" w:space="0" w:color="auto"/>
              <w:right w:val="single" w:sz="4" w:space="0" w:color="auto"/>
            </w:tcBorders>
            <w:noWrap/>
            <w:vAlign w:val="bottom"/>
            <w:hideMark/>
          </w:tcPr>
          <w:p w:rsidR="00C8646F" w14:paraId="65308994" w14:textId="174185FC">
            <w:pPr>
              <w:spacing w:after="0" w:line="240" w:lineRule="auto"/>
              <w:rPr>
                <w:rFonts w:cs="Calibri"/>
              </w:rPr>
            </w:pPr>
            <w:r w:rsidRPr="0056571C">
              <w:rPr>
                <w:rFonts w:cs="Calibri"/>
              </w:rPr>
              <w:t> Summary</w:t>
            </w:r>
            <w:r w:rsidR="00BD0074">
              <w:rPr>
                <w:rFonts w:cs="Calibri"/>
              </w:rPr>
              <w:t xml:space="preserve"> of</w:t>
            </w:r>
          </w:p>
          <w:p w:rsidR="0008619C" w:rsidRPr="0056571C" w14:paraId="39E749CB" w14:textId="561146F7">
            <w:pPr>
              <w:spacing w:after="0" w:line="240" w:lineRule="auto"/>
              <w:rPr>
                <w:rFonts w:cs="Calibri"/>
              </w:rPr>
            </w:pPr>
            <w:r w:rsidRPr="0056571C">
              <w:rPr>
                <w:rFonts w:cs="Calibri"/>
              </w:rPr>
              <w:t xml:space="preserve"> Annual numbers</w:t>
            </w:r>
          </w:p>
        </w:tc>
        <w:tc>
          <w:tcPr>
            <w:tcW w:w="1118" w:type="dxa"/>
            <w:tcBorders>
              <w:top w:val="single" w:sz="4" w:space="0" w:color="auto"/>
              <w:left w:val="nil"/>
              <w:bottom w:val="single" w:sz="4" w:space="0" w:color="auto"/>
              <w:right w:val="single" w:sz="4" w:space="0" w:color="auto"/>
            </w:tcBorders>
            <w:noWrap/>
            <w:vAlign w:val="bottom"/>
            <w:hideMark/>
          </w:tcPr>
          <w:p w:rsidR="0008619C" w:rsidRPr="0056571C" w14:paraId="7906C81C" w14:textId="77777777">
            <w:pPr>
              <w:spacing w:after="0" w:line="240" w:lineRule="auto"/>
              <w:rPr>
                <w:rFonts w:cs="Calibri"/>
                <w:b/>
                <w:bCs/>
              </w:rPr>
            </w:pPr>
            <w:r w:rsidRPr="0056571C">
              <w:rPr>
                <w:rFonts w:cs="Calibri"/>
                <w:b/>
                <w:bCs/>
              </w:rPr>
              <w:t>Reporting</w:t>
            </w:r>
          </w:p>
        </w:tc>
        <w:tc>
          <w:tcPr>
            <w:tcW w:w="1579" w:type="dxa"/>
            <w:tcBorders>
              <w:top w:val="single" w:sz="4" w:space="0" w:color="auto"/>
              <w:left w:val="nil"/>
              <w:bottom w:val="single" w:sz="4" w:space="0" w:color="auto"/>
              <w:right w:val="single" w:sz="4" w:space="0" w:color="auto"/>
            </w:tcBorders>
            <w:noWrap/>
            <w:vAlign w:val="bottom"/>
            <w:hideMark/>
          </w:tcPr>
          <w:p w:rsidR="0008619C" w:rsidRPr="0056571C" w14:paraId="1437D26F" w14:textId="77777777">
            <w:pPr>
              <w:spacing w:after="0" w:line="240" w:lineRule="auto"/>
              <w:rPr>
                <w:rFonts w:cs="Calibri"/>
                <w:b/>
                <w:bCs/>
              </w:rPr>
            </w:pPr>
            <w:r w:rsidRPr="0056571C">
              <w:rPr>
                <w:rFonts w:cs="Calibri"/>
                <w:b/>
                <w:bCs/>
              </w:rPr>
              <w:t>Recordkeeping</w:t>
            </w:r>
          </w:p>
        </w:tc>
        <w:tc>
          <w:tcPr>
            <w:tcW w:w="1338" w:type="dxa"/>
            <w:tcBorders>
              <w:top w:val="single" w:sz="4" w:space="0" w:color="auto"/>
              <w:left w:val="nil"/>
              <w:bottom w:val="single" w:sz="4" w:space="0" w:color="auto"/>
              <w:right w:val="single" w:sz="4" w:space="0" w:color="auto"/>
            </w:tcBorders>
            <w:vAlign w:val="bottom"/>
            <w:hideMark/>
          </w:tcPr>
          <w:p w:rsidR="0008619C" w:rsidRPr="0056571C" w14:paraId="3C90B455" w14:textId="77777777">
            <w:pPr>
              <w:spacing w:after="0" w:line="240" w:lineRule="auto"/>
              <w:rPr>
                <w:rFonts w:cs="Calibri"/>
                <w:b/>
                <w:bCs/>
              </w:rPr>
            </w:pPr>
            <w:r w:rsidRPr="0056571C">
              <w:rPr>
                <w:rFonts w:cs="Calibri"/>
                <w:b/>
                <w:bCs/>
              </w:rPr>
              <w:t>Disclosure</w:t>
            </w:r>
          </w:p>
        </w:tc>
      </w:tr>
      <w:tr w14:paraId="120CB185" w14:textId="77777777" w:rsidTr="0024377E">
        <w:tblPrEx>
          <w:tblW w:w="5935" w:type="dxa"/>
          <w:jc w:val="center"/>
          <w:tblLook w:val="04A0"/>
        </w:tblPrEx>
        <w:trPr>
          <w:trHeight w:val="465"/>
          <w:jc w:val="center"/>
        </w:trPr>
        <w:tc>
          <w:tcPr>
            <w:tcW w:w="1900" w:type="dxa"/>
            <w:tcBorders>
              <w:top w:val="nil"/>
              <w:left w:val="single" w:sz="4" w:space="0" w:color="auto"/>
              <w:bottom w:val="single" w:sz="4" w:space="0" w:color="auto"/>
              <w:right w:val="single" w:sz="4" w:space="0" w:color="auto"/>
            </w:tcBorders>
            <w:noWrap/>
            <w:vAlign w:val="bottom"/>
            <w:hideMark/>
          </w:tcPr>
          <w:p w:rsidR="0008619C" w:rsidRPr="0056571C" w14:paraId="6BACB3DF" w14:textId="77777777">
            <w:pPr>
              <w:spacing w:after="0" w:line="240" w:lineRule="auto"/>
              <w:rPr>
                <w:rFonts w:cs="Calibri"/>
                <w:b/>
                <w:bCs/>
              </w:rPr>
            </w:pPr>
            <w:r w:rsidRPr="0056571C">
              <w:rPr>
                <w:rFonts w:cs="Calibri"/>
                <w:b/>
                <w:bCs/>
              </w:rPr>
              <w:t># of Respondents</w:t>
            </w:r>
          </w:p>
        </w:tc>
        <w:tc>
          <w:tcPr>
            <w:tcW w:w="1118" w:type="dxa"/>
            <w:tcBorders>
              <w:top w:val="nil"/>
              <w:left w:val="nil"/>
              <w:bottom w:val="single" w:sz="4" w:space="0" w:color="auto"/>
              <w:right w:val="single" w:sz="4" w:space="0" w:color="auto"/>
            </w:tcBorders>
            <w:noWrap/>
            <w:vAlign w:val="bottom"/>
            <w:hideMark/>
          </w:tcPr>
          <w:p w:rsidR="0008619C" w:rsidRPr="0056571C" w14:paraId="5B7D5A29" w14:textId="0EA35377">
            <w:pPr>
              <w:spacing w:after="0" w:line="240" w:lineRule="auto"/>
              <w:rPr>
                <w:rFonts w:cs="Calibri"/>
              </w:rPr>
            </w:pPr>
            <w:r w:rsidRPr="0056571C">
              <w:rPr>
                <w:rFonts w:cs="Calibri"/>
              </w:rPr>
              <w:t>1</w:t>
            </w:r>
            <w:r w:rsidR="003E5A46">
              <w:rPr>
                <w:rFonts w:cs="Calibri"/>
              </w:rPr>
              <w:t>6</w:t>
            </w:r>
          </w:p>
        </w:tc>
        <w:tc>
          <w:tcPr>
            <w:tcW w:w="1579" w:type="dxa"/>
            <w:tcBorders>
              <w:top w:val="nil"/>
              <w:left w:val="nil"/>
              <w:bottom w:val="single" w:sz="4" w:space="0" w:color="auto"/>
              <w:right w:val="single" w:sz="4" w:space="0" w:color="auto"/>
            </w:tcBorders>
            <w:noWrap/>
            <w:vAlign w:val="bottom"/>
            <w:hideMark/>
          </w:tcPr>
          <w:p w:rsidR="0008619C" w:rsidRPr="0056571C" w14:paraId="72F8C350" w14:textId="77777777">
            <w:pPr>
              <w:spacing w:after="0" w:line="240" w:lineRule="auto"/>
              <w:rPr>
                <w:rFonts w:cs="Calibri"/>
              </w:rPr>
            </w:pPr>
            <w:r w:rsidRPr="0056571C">
              <w:rPr>
                <w:rFonts w:cs="Calibri"/>
              </w:rPr>
              <w:t>0</w:t>
            </w:r>
          </w:p>
        </w:tc>
        <w:tc>
          <w:tcPr>
            <w:tcW w:w="1338" w:type="dxa"/>
            <w:tcBorders>
              <w:top w:val="nil"/>
              <w:left w:val="nil"/>
              <w:bottom w:val="single" w:sz="4" w:space="0" w:color="auto"/>
              <w:right w:val="single" w:sz="4" w:space="0" w:color="auto"/>
            </w:tcBorders>
            <w:vAlign w:val="bottom"/>
            <w:hideMark/>
          </w:tcPr>
          <w:p w:rsidR="0008619C" w:rsidRPr="0056571C" w14:paraId="4C69CDE5" w14:textId="77777777">
            <w:pPr>
              <w:spacing w:after="0" w:line="240" w:lineRule="auto"/>
              <w:rPr>
                <w:rFonts w:cs="Calibri"/>
              </w:rPr>
            </w:pPr>
            <w:r w:rsidRPr="0056571C">
              <w:rPr>
                <w:rFonts w:cs="Calibri"/>
              </w:rPr>
              <w:t>0</w:t>
            </w:r>
          </w:p>
        </w:tc>
      </w:tr>
      <w:tr w14:paraId="48DCBBA5" w14:textId="77777777" w:rsidTr="0024377E">
        <w:tblPrEx>
          <w:tblW w:w="5935"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bottom"/>
            <w:hideMark/>
          </w:tcPr>
          <w:p w:rsidR="0008619C" w:rsidRPr="0056571C" w14:paraId="0C03014E" w14:textId="77777777">
            <w:pPr>
              <w:spacing w:after="0" w:line="240" w:lineRule="auto"/>
              <w:rPr>
                <w:rFonts w:cs="Calibri"/>
                <w:b/>
                <w:bCs/>
              </w:rPr>
            </w:pPr>
            <w:r w:rsidRPr="0056571C">
              <w:rPr>
                <w:rFonts w:cs="Calibri"/>
                <w:b/>
                <w:bCs/>
              </w:rPr>
              <w:t># of Responses</w:t>
            </w:r>
            <w:r w:rsidRPr="0056571C">
              <w:rPr>
                <w:rFonts w:cs="Calibri"/>
                <w:b/>
                <w:bCs/>
                <w:noProof/>
              </w:rPr>
              <w:t xml:space="preserve"> per respondent</w:t>
            </w:r>
          </w:p>
        </w:tc>
        <w:tc>
          <w:tcPr>
            <w:tcW w:w="1118" w:type="dxa"/>
            <w:tcBorders>
              <w:top w:val="nil"/>
              <w:left w:val="nil"/>
              <w:bottom w:val="single" w:sz="4" w:space="0" w:color="auto"/>
              <w:right w:val="single" w:sz="4" w:space="0" w:color="auto"/>
            </w:tcBorders>
            <w:noWrap/>
            <w:vAlign w:val="bottom"/>
            <w:hideMark/>
          </w:tcPr>
          <w:p w:rsidR="0008619C" w:rsidRPr="0056571C" w14:paraId="6A55B379" w14:textId="77777777">
            <w:pPr>
              <w:spacing w:after="0" w:line="240" w:lineRule="auto"/>
              <w:rPr>
                <w:rFonts w:cs="Calibri"/>
              </w:rPr>
            </w:pPr>
            <w:r w:rsidRPr="0056571C">
              <w:rPr>
                <w:rFonts w:cs="Calibri"/>
              </w:rPr>
              <w:t>2</w:t>
            </w:r>
          </w:p>
        </w:tc>
        <w:tc>
          <w:tcPr>
            <w:tcW w:w="1579" w:type="dxa"/>
            <w:tcBorders>
              <w:top w:val="nil"/>
              <w:left w:val="nil"/>
              <w:bottom w:val="single" w:sz="4" w:space="0" w:color="auto"/>
              <w:right w:val="single" w:sz="4" w:space="0" w:color="auto"/>
            </w:tcBorders>
            <w:noWrap/>
            <w:vAlign w:val="bottom"/>
            <w:hideMark/>
          </w:tcPr>
          <w:p w:rsidR="0008619C" w:rsidRPr="0056571C" w14:paraId="74D31440" w14:textId="77777777">
            <w:pPr>
              <w:spacing w:after="0" w:line="240" w:lineRule="auto"/>
              <w:rPr>
                <w:rFonts w:cs="Calibri"/>
              </w:rPr>
            </w:pPr>
            <w:r w:rsidRPr="0056571C">
              <w:rPr>
                <w:rFonts w:cs="Calibri"/>
              </w:rPr>
              <w:t>0</w:t>
            </w:r>
          </w:p>
        </w:tc>
        <w:tc>
          <w:tcPr>
            <w:tcW w:w="1338" w:type="dxa"/>
            <w:tcBorders>
              <w:top w:val="nil"/>
              <w:left w:val="nil"/>
              <w:bottom w:val="single" w:sz="4" w:space="0" w:color="auto"/>
              <w:right w:val="single" w:sz="4" w:space="0" w:color="auto"/>
            </w:tcBorders>
            <w:vAlign w:val="bottom"/>
            <w:hideMark/>
          </w:tcPr>
          <w:p w:rsidR="0008619C" w:rsidRPr="0056571C" w14:paraId="60BCDFA6" w14:textId="77777777">
            <w:pPr>
              <w:spacing w:after="0" w:line="240" w:lineRule="auto"/>
              <w:rPr>
                <w:rFonts w:cs="Calibri"/>
              </w:rPr>
            </w:pPr>
            <w:r w:rsidRPr="0056571C">
              <w:rPr>
                <w:rFonts w:cs="Calibri"/>
              </w:rPr>
              <w:t>0</w:t>
            </w:r>
          </w:p>
        </w:tc>
      </w:tr>
      <w:tr w14:paraId="38C70221" w14:textId="77777777" w:rsidTr="0024377E">
        <w:tblPrEx>
          <w:tblW w:w="5935"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bottom"/>
            <w:hideMark/>
          </w:tcPr>
          <w:p w:rsidR="0008619C" w:rsidRPr="0056571C" w14:paraId="571788B3" w14:textId="77777777">
            <w:pPr>
              <w:spacing w:after="0" w:line="240" w:lineRule="auto"/>
              <w:rPr>
                <w:rFonts w:cs="Calibri"/>
                <w:b/>
                <w:bCs/>
              </w:rPr>
            </w:pPr>
            <w:r w:rsidRPr="0056571C">
              <w:rPr>
                <w:rFonts w:cs="Calibri"/>
                <w:b/>
                <w:bCs/>
              </w:rPr>
              <w:t>Time per Response</w:t>
            </w:r>
          </w:p>
        </w:tc>
        <w:tc>
          <w:tcPr>
            <w:tcW w:w="1118" w:type="dxa"/>
            <w:tcBorders>
              <w:top w:val="nil"/>
              <w:left w:val="nil"/>
              <w:bottom w:val="single" w:sz="4" w:space="0" w:color="auto"/>
              <w:right w:val="single" w:sz="4" w:space="0" w:color="auto"/>
            </w:tcBorders>
            <w:noWrap/>
            <w:vAlign w:val="bottom"/>
            <w:hideMark/>
          </w:tcPr>
          <w:p w:rsidR="0008619C" w:rsidRPr="0056571C" w14:paraId="3CE41A1D" w14:textId="05898FF3">
            <w:pPr>
              <w:spacing w:after="0" w:line="240" w:lineRule="auto"/>
              <w:rPr>
                <w:rFonts w:cs="Calibri"/>
              </w:rPr>
            </w:pPr>
            <w:r w:rsidRPr="0056571C">
              <w:rPr>
                <w:rFonts w:cs="Calibri"/>
              </w:rPr>
              <w:t>4</w:t>
            </w:r>
            <w:r w:rsidRPr="0056571C" w:rsidR="005535A7">
              <w:rPr>
                <w:rFonts w:cs="Calibri"/>
              </w:rPr>
              <w:t>0</w:t>
            </w:r>
          </w:p>
        </w:tc>
        <w:tc>
          <w:tcPr>
            <w:tcW w:w="1579" w:type="dxa"/>
            <w:tcBorders>
              <w:top w:val="nil"/>
              <w:left w:val="nil"/>
              <w:bottom w:val="single" w:sz="4" w:space="0" w:color="auto"/>
              <w:right w:val="single" w:sz="4" w:space="0" w:color="auto"/>
            </w:tcBorders>
            <w:noWrap/>
            <w:vAlign w:val="bottom"/>
            <w:hideMark/>
          </w:tcPr>
          <w:p w:rsidR="0008619C" w:rsidRPr="0056571C" w14:paraId="15CA9145" w14:textId="77777777">
            <w:pPr>
              <w:spacing w:after="0" w:line="240" w:lineRule="auto"/>
              <w:rPr>
                <w:rFonts w:cs="Calibri"/>
              </w:rPr>
            </w:pPr>
            <w:r w:rsidRPr="0056571C">
              <w:rPr>
                <w:rFonts w:cs="Calibri"/>
              </w:rPr>
              <w:t>0</w:t>
            </w:r>
          </w:p>
        </w:tc>
        <w:tc>
          <w:tcPr>
            <w:tcW w:w="1338" w:type="dxa"/>
            <w:tcBorders>
              <w:top w:val="nil"/>
              <w:left w:val="nil"/>
              <w:bottom w:val="single" w:sz="4" w:space="0" w:color="auto"/>
              <w:right w:val="single" w:sz="4" w:space="0" w:color="auto"/>
            </w:tcBorders>
            <w:vAlign w:val="bottom"/>
            <w:hideMark/>
          </w:tcPr>
          <w:p w:rsidR="0008619C" w:rsidRPr="0056571C" w14:paraId="1733C987" w14:textId="77777777">
            <w:pPr>
              <w:spacing w:after="0" w:line="240" w:lineRule="auto"/>
              <w:rPr>
                <w:rFonts w:cs="Calibri"/>
              </w:rPr>
            </w:pPr>
            <w:r w:rsidRPr="0056571C">
              <w:rPr>
                <w:rFonts w:cs="Calibri"/>
              </w:rPr>
              <w:t>0</w:t>
            </w:r>
          </w:p>
        </w:tc>
      </w:tr>
      <w:tr w14:paraId="77AC09E3" w14:textId="77777777" w:rsidTr="0024377E">
        <w:tblPrEx>
          <w:tblW w:w="5935"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bottom"/>
            <w:hideMark/>
          </w:tcPr>
          <w:p w:rsidR="0008619C" w:rsidRPr="0056571C" w14:paraId="45A98DC5" w14:textId="77777777">
            <w:pPr>
              <w:spacing w:after="0" w:line="240" w:lineRule="auto"/>
              <w:rPr>
                <w:rFonts w:cs="Calibri"/>
                <w:b/>
                <w:bCs/>
              </w:rPr>
            </w:pPr>
            <w:r w:rsidRPr="0056571C">
              <w:rPr>
                <w:rFonts w:cs="Calibri"/>
                <w:b/>
                <w:bCs/>
              </w:rPr>
              <w:t>Total # of responses</w:t>
            </w:r>
          </w:p>
        </w:tc>
        <w:tc>
          <w:tcPr>
            <w:tcW w:w="1118" w:type="dxa"/>
            <w:tcBorders>
              <w:top w:val="nil"/>
              <w:left w:val="nil"/>
              <w:bottom w:val="single" w:sz="4" w:space="0" w:color="auto"/>
              <w:right w:val="single" w:sz="4" w:space="0" w:color="auto"/>
            </w:tcBorders>
            <w:noWrap/>
            <w:vAlign w:val="bottom"/>
            <w:hideMark/>
          </w:tcPr>
          <w:p w:rsidR="0008619C" w:rsidRPr="0056571C" w14:paraId="14B099FB" w14:textId="7F53E901">
            <w:pPr>
              <w:spacing w:after="0" w:line="240" w:lineRule="auto"/>
              <w:rPr>
                <w:rFonts w:cs="Calibri"/>
              </w:rPr>
            </w:pPr>
            <w:r w:rsidRPr="0056571C">
              <w:rPr>
                <w:rFonts w:cs="Calibri"/>
              </w:rPr>
              <w:t>3</w:t>
            </w:r>
            <w:r w:rsidR="003E5A46">
              <w:rPr>
                <w:rFonts w:cs="Calibri"/>
              </w:rPr>
              <w:t>2</w:t>
            </w:r>
          </w:p>
        </w:tc>
        <w:tc>
          <w:tcPr>
            <w:tcW w:w="1579" w:type="dxa"/>
            <w:tcBorders>
              <w:top w:val="nil"/>
              <w:left w:val="nil"/>
              <w:bottom w:val="single" w:sz="4" w:space="0" w:color="auto"/>
              <w:right w:val="single" w:sz="4" w:space="0" w:color="auto"/>
            </w:tcBorders>
            <w:noWrap/>
            <w:vAlign w:val="bottom"/>
            <w:hideMark/>
          </w:tcPr>
          <w:p w:rsidR="0008619C" w:rsidRPr="0056571C" w14:paraId="560FFCBC" w14:textId="77777777">
            <w:pPr>
              <w:spacing w:after="0" w:line="240" w:lineRule="auto"/>
              <w:rPr>
                <w:rFonts w:cs="Calibri"/>
              </w:rPr>
            </w:pPr>
            <w:r w:rsidRPr="0056571C">
              <w:rPr>
                <w:rFonts w:cs="Calibri"/>
              </w:rPr>
              <w:t>0</w:t>
            </w:r>
          </w:p>
        </w:tc>
        <w:tc>
          <w:tcPr>
            <w:tcW w:w="1338" w:type="dxa"/>
            <w:tcBorders>
              <w:top w:val="nil"/>
              <w:left w:val="nil"/>
              <w:bottom w:val="single" w:sz="4" w:space="0" w:color="auto"/>
              <w:right w:val="single" w:sz="4" w:space="0" w:color="auto"/>
            </w:tcBorders>
            <w:vAlign w:val="bottom"/>
            <w:hideMark/>
          </w:tcPr>
          <w:p w:rsidR="0008619C" w:rsidRPr="0056571C" w14:paraId="3E5FAE3C" w14:textId="77777777">
            <w:pPr>
              <w:spacing w:after="0" w:line="240" w:lineRule="auto"/>
              <w:rPr>
                <w:rFonts w:cs="Calibri"/>
              </w:rPr>
            </w:pPr>
            <w:r w:rsidRPr="0056571C">
              <w:rPr>
                <w:rFonts w:cs="Calibri"/>
              </w:rPr>
              <w:t>0</w:t>
            </w:r>
          </w:p>
        </w:tc>
      </w:tr>
      <w:tr w14:paraId="05793797" w14:textId="77777777" w:rsidTr="0024377E">
        <w:tblPrEx>
          <w:tblW w:w="5935" w:type="dxa"/>
          <w:jc w:val="center"/>
          <w:tblLook w:val="04A0"/>
        </w:tblPrEx>
        <w:trPr>
          <w:trHeight w:val="330"/>
          <w:jc w:val="center"/>
        </w:trPr>
        <w:tc>
          <w:tcPr>
            <w:tcW w:w="1900" w:type="dxa"/>
            <w:tcBorders>
              <w:top w:val="nil"/>
              <w:left w:val="single" w:sz="4" w:space="0" w:color="auto"/>
              <w:bottom w:val="single" w:sz="4" w:space="0" w:color="auto"/>
              <w:right w:val="single" w:sz="4" w:space="0" w:color="auto"/>
            </w:tcBorders>
            <w:noWrap/>
            <w:vAlign w:val="bottom"/>
            <w:hideMark/>
          </w:tcPr>
          <w:p w:rsidR="0008619C" w:rsidRPr="0056571C" w14:paraId="1E043E5B" w14:textId="77777777">
            <w:pPr>
              <w:spacing w:after="0" w:line="240" w:lineRule="auto"/>
              <w:rPr>
                <w:rFonts w:cs="Calibri"/>
                <w:b/>
                <w:bCs/>
              </w:rPr>
            </w:pPr>
            <w:r w:rsidRPr="0056571C">
              <w:rPr>
                <w:rFonts w:cs="Calibri"/>
                <w:b/>
                <w:bCs/>
              </w:rPr>
              <w:t>Total burden (hours)</w:t>
            </w:r>
          </w:p>
        </w:tc>
        <w:tc>
          <w:tcPr>
            <w:tcW w:w="1118" w:type="dxa"/>
            <w:tcBorders>
              <w:top w:val="nil"/>
              <w:left w:val="nil"/>
              <w:bottom w:val="single" w:sz="4" w:space="0" w:color="auto"/>
              <w:right w:val="single" w:sz="4" w:space="0" w:color="auto"/>
            </w:tcBorders>
            <w:noWrap/>
            <w:vAlign w:val="bottom"/>
            <w:hideMark/>
          </w:tcPr>
          <w:p w:rsidR="0008619C" w:rsidRPr="0056571C" w14:paraId="23D8EA53" w14:textId="68645DA0">
            <w:pPr>
              <w:spacing w:after="0" w:line="240" w:lineRule="auto"/>
              <w:rPr>
                <w:rFonts w:cs="Calibri"/>
              </w:rPr>
            </w:pPr>
            <w:r w:rsidRPr="0056571C">
              <w:rPr>
                <w:rFonts w:cs="Calibri"/>
              </w:rPr>
              <w:t>1</w:t>
            </w:r>
            <w:r w:rsidRPr="0056571C" w:rsidR="005535A7">
              <w:rPr>
                <w:rFonts w:cs="Calibri"/>
              </w:rPr>
              <w:t>2</w:t>
            </w:r>
            <w:r w:rsidR="003E5A46">
              <w:rPr>
                <w:rFonts w:cs="Calibri"/>
              </w:rPr>
              <w:t>80</w:t>
            </w:r>
          </w:p>
        </w:tc>
        <w:tc>
          <w:tcPr>
            <w:tcW w:w="1579" w:type="dxa"/>
            <w:tcBorders>
              <w:top w:val="nil"/>
              <w:left w:val="nil"/>
              <w:bottom w:val="single" w:sz="4" w:space="0" w:color="auto"/>
              <w:right w:val="single" w:sz="4" w:space="0" w:color="auto"/>
            </w:tcBorders>
            <w:noWrap/>
            <w:vAlign w:val="bottom"/>
            <w:hideMark/>
          </w:tcPr>
          <w:p w:rsidR="0008619C" w:rsidRPr="0056571C" w14:paraId="53A22DA5" w14:textId="77777777">
            <w:pPr>
              <w:spacing w:after="0" w:line="240" w:lineRule="auto"/>
              <w:rPr>
                <w:rFonts w:cs="Calibri"/>
              </w:rPr>
            </w:pPr>
            <w:r w:rsidRPr="0056571C">
              <w:rPr>
                <w:rFonts w:cs="Calibri"/>
              </w:rPr>
              <w:t>0</w:t>
            </w:r>
          </w:p>
        </w:tc>
        <w:tc>
          <w:tcPr>
            <w:tcW w:w="1338" w:type="dxa"/>
            <w:tcBorders>
              <w:top w:val="nil"/>
              <w:left w:val="nil"/>
              <w:bottom w:val="single" w:sz="4" w:space="0" w:color="auto"/>
              <w:right w:val="single" w:sz="4" w:space="0" w:color="auto"/>
            </w:tcBorders>
            <w:vAlign w:val="bottom"/>
            <w:hideMark/>
          </w:tcPr>
          <w:p w:rsidR="0008619C" w:rsidRPr="0056571C" w14:paraId="0FBDF553" w14:textId="77777777">
            <w:pPr>
              <w:spacing w:after="0" w:line="240" w:lineRule="auto"/>
              <w:rPr>
                <w:rFonts w:cs="Calibri"/>
              </w:rPr>
            </w:pPr>
            <w:r w:rsidRPr="0056571C">
              <w:rPr>
                <w:rFonts w:cs="Calibri"/>
              </w:rPr>
              <w:t>0</w:t>
            </w:r>
          </w:p>
        </w:tc>
      </w:tr>
    </w:tbl>
    <w:p w:rsidR="0008619C" w:rsidRPr="00B87E9A" w:rsidP="0008619C" w14:paraId="16564572" w14:textId="77777777">
      <w:pPr>
        <w:shd w:val="clear" w:color="auto" w:fill="FFFFFF"/>
        <w:spacing w:after="0" w:line="240" w:lineRule="auto"/>
        <w:rPr>
          <w:rFonts w:ascii="Arial" w:eastAsia="Times New Roman" w:hAnsi="Arial" w:cs="Arial"/>
          <w:sz w:val="24"/>
          <w:szCs w:val="24"/>
        </w:rPr>
      </w:pPr>
    </w:p>
    <w:p w:rsidR="0008619C" w:rsidP="0008619C" w14:paraId="06B2D2A0" w14:textId="098099CA">
      <w:pPr>
        <w:shd w:val="clear" w:color="auto" w:fill="FFFFFF"/>
        <w:spacing w:after="0" w:line="240" w:lineRule="auto"/>
        <w:rPr>
          <w:rFonts w:ascii="Arial" w:eastAsia="Times New Roman" w:hAnsi="Arial" w:cs="Arial"/>
          <w:sz w:val="24"/>
          <w:szCs w:val="24"/>
        </w:rPr>
      </w:pPr>
      <w:r>
        <w:rPr>
          <w:rFonts w:ascii="Arial" w:eastAsia="Times New Roman" w:hAnsi="Arial" w:cs="Arial"/>
          <w:sz w:val="24"/>
          <w:szCs w:val="24"/>
        </w:rPr>
        <w:t xml:space="preserve">Based on the </w:t>
      </w:r>
      <w:r w:rsidR="009D0A70">
        <w:rPr>
          <w:rFonts w:ascii="Arial" w:eastAsia="Times New Roman" w:hAnsi="Arial" w:cs="Arial"/>
          <w:sz w:val="24"/>
          <w:szCs w:val="24"/>
        </w:rPr>
        <w:t>hour burden estimates, t</w:t>
      </w:r>
      <w:r w:rsidRPr="001B706B">
        <w:rPr>
          <w:rFonts w:ascii="Arial" w:eastAsia="Times New Roman" w:hAnsi="Arial" w:cs="Arial"/>
          <w:sz w:val="24"/>
          <w:szCs w:val="24"/>
        </w:rPr>
        <w:t xml:space="preserve">he total annual </w:t>
      </w:r>
      <w:r w:rsidRPr="001B706B">
        <w:rPr>
          <w:rFonts w:ascii="Arial" w:eastAsia="Times New Roman" w:hAnsi="Arial" w:cs="Arial"/>
          <w:sz w:val="24"/>
          <w:szCs w:val="24"/>
        </w:rPr>
        <w:t>cost burden</w:t>
      </w:r>
      <w:r w:rsidR="0006532F">
        <w:rPr>
          <w:rFonts w:ascii="Arial" w:eastAsia="Times New Roman" w:hAnsi="Arial" w:cs="Arial"/>
          <w:sz w:val="24"/>
          <w:szCs w:val="24"/>
        </w:rPr>
        <w:t xml:space="preserve"> estimate</w:t>
      </w:r>
      <w:r w:rsidRPr="001B706B">
        <w:rPr>
          <w:rFonts w:ascii="Arial" w:eastAsia="Times New Roman" w:hAnsi="Arial" w:cs="Arial"/>
          <w:sz w:val="24"/>
          <w:szCs w:val="24"/>
        </w:rPr>
        <w:t xml:space="preserve"> is $</w:t>
      </w:r>
      <w:r w:rsidRPr="001B706B" w:rsidR="007C5426">
        <w:rPr>
          <w:rFonts w:ascii="Arial" w:eastAsia="Times New Roman" w:hAnsi="Arial" w:cs="Arial"/>
          <w:sz w:val="24"/>
          <w:szCs w:val="24"/>
        </w:rPr>
        <w:t>1</w:t>
      </w:r>
      <w:r w:rsidR="00C64079">
        <w:rPr>
          <w:rFonts w:ascii="Arial" w:eastAsia="Times New Roman" w:hAnsi="Arial" w:cs="Arial"/>
          <w:sz w:val="24"/>
          <w:szCs w:val="24"/>
        </w:rPr>
        <w:t>21,116</w:t>
      </w:r>
      <w:r w:rsidR="00CB0385">
        <w:rPr>
          <w:rFonts w:ascii="Arial" w:eastAsia="Times New Roman" w:hAnsi="Arial" w:cs="Arial"/>
          <w:sz w:val="24"/>
          <w:szCs w:val="24"/>
        </w:rPr>
        <w:t>.</w:t>
      </w:r>
      <w:r w:rsidRPr="001B706B">
        <w:rPr>
          <w:rFonts w:ascii="Arial" w:eastAsia="Times New Roman" w:hAnsi="Arial" w:cs="Arial"/>
          <w:sz w:val="24"/>
          <w:szCs w:val="24"/>
        </w:rPr>
        <w:t xml:space="preserve"> The FAA multiplied the </w:t>
      </w:r>
      <w:r w:rsidRPr="001B706B">
        <w:rPr>
          <w:rFonts w:ascii="Arial" w:eastAsia="Times New Roman" w:hAnsi="Arial" w:cs="Arial"/>
          <w:sz w:val="24"/>
          <w:szCs w:val="24"/>
        </w:rPr>
        <w:t>fully-burdened</w:t>
      </w:r>
      <w:r w:rsidRPr="001B706B">
        <w:rPr>
          <w:rFonts w:ascii="Arial" w:eastAsia="Times New Roman" w:hAnsi="Arial" w:cs="Arial"/>
          <w:sz w:val="24"/>
          <w:szCs w:val="24"/>
        </w:rPr>
        <w:t xml:space="preserve"> wage rate for aerospace engineers </w:t>
      </w:r>
      <w:r w:rsidR="008B6220">
        <w:rPr>
          <w:rFonts w:ascii="Arial" w:eastAsia="Times New Roman" w:hAnsi="Arial" w:cs="Arial"/>
          <w:sz w:val="24"/>
          <w:szCs w:val="24"/>
        </w:rPr>
        <w:t>at</w:t>
      </w:r>
      <w:r w:rsidRPr="001B706B">
        <w:rPr>
          <w:rFonts w:ascii="Arial" w:eastAsia="Times New Roman" w:hAnsi="Arial" w:cs="Arial"/>
          <w:sz w:val="24"/>
          <w:szCs w:val="24"/>
        </w:rPr>
        <w:t xml:space="preserve"> $</w:t>
      </w:r>
      <w:r w:rsidRPr="001B706B" w:rsidR="007C5426">
        <w:rPr>
          <w:rFonts w:ascii="Arial" w:eastAsia="Times New Roman" w:hAnsi="Arial" w:cs="Arial"/>
          <w:sz w:val="24"/>
          <w:szCs w:val="24"/>
        </w:rPr>
        <w:t>9</w:t>
      </w:r>
      <w:r w:rsidR="00F42CE3">
        <w:rPr>
          <w:rFonts w:ascii="Arial" w:eastAsia="Times New Roman" w:hAnsi="Arial" w:cs="Arial"/>
          <w:sz w:val="24"/>
          <w:szCs w:val="24"/>
        </w:rPr>
        <w:t>4.</w:t>
      </w:r>
      <w:r w:rsidR="009634E7">
        <w:rPr>
          <w:rFonts w:ascii="Arial" w:eastAsia="Times New Roman" w:hAnsi="Arial" w:cs="Arial"/>
          <w:sz w:val="24"/>
          <w:szCs w:val="24"/>
        </w:rPr>
        <w:t>6</w:t>
      </w:r>
      <w:r w:rsidR="009201C9">
        <w:rPr>
          <w:rFonts w:ascii="Arial" w:eastAsia="Times New Roman" w:hAnsi="Arial" w:cs="Arial"/>
          <w:sz w:val="24"/>
          <w:szCs w:val="24"/>
        </w:rPr>
        <w:t>2</w:t>
      </w:r>
      <w:r w:rsidRPr="001B706B">
        <w:rPr>
          <w:rFonts w:ascii="Arial" w:eastAsia="Times New Roman" w:hAnsi="Arial" w:cs="Arial"/>
          <w:sz w:val="24"/>
          <w:szCs w:val="24"/>
        </w:rPr>
        <w:t xml:space="preserve"> by the </w:t>
      </w:r>
      <w:r w:rsidR="00886953">
        <w:rPr>
          <w:rFonts w:ascii="Arial" w:eastAsia="Times New Roman" w:hAnsi="Arial" w:cs="Arial"/>
          <w:sz w:val="24"/>
          <w:szCs w:val="24"/>
        </w:rPr>
        <w:t xml:space="preserve">total </w:t>
      </w:r>
      <w:r w:rsidRPr="001B706B">
        <w:rPr>
          <w:rFonts w:ascii="Arial" w:eastAsia="Times New Roman" w:hAnsi="Arial" w:cs="Arial"/>
          <w:sz w:val="24"/>
          <w:szCs w:val="24"/>
        </w:rPr>
        <w:t xml:space="preserve">annual burden </w:t>
      </w:r>
      <w:r w:rsidR="00886953">
        <w:rPr>
          <w:rFonts w:ascii="Arial" w:eastAsia="Times New Roman" w:hAnsi="Arial" w:cs="Arial"/>
          <w:sz w:val="24"/>
          <w:szCs w:val="24"/>
        </w:rPr>
        <w:t xml:space="preserve">hours </w:t>
      </w:r>
      <w:r w:rsidRPr="001B706B">
        <w:rPr>
          <w:rFonts w:ascii="Arial" w:eastAsia="Times New Roman" w:hAnsi="Arial" w:cs="Arial"/>
          <w:sz w:val="24"/>
          <w:szCs w:val="24"/>
        </w:rPr>
        <w:t>of</w:t>
      </w:r>
      <w:r w:rsidRPr="001B706B" w:rsidR="007310AD">
        <w:rPr>
          <w:rFonts w:ascii="Arial" w:eastAsia="Times New Roman" w:hAnsi="Arial" w:cs="Arial"/>
          <w:sz w:val="24"/>
          <w:szCs w:val="24"/>
        </w:rPr>
        <w:t xml:space="preserve"> </w:t>
      </w:r>
      <w:r w:rsidRPr="001B706B" w:rsidR="003C7992">
        <w:rPr>
          <w:rFonts w:ascii="Arial" w:eastAsia="Times New Roman" w:hAnsi="Arial" w:cs="Arial"/>
          <w:sz w:val="24"/>
          <w:szCs w:val="24"/>
        </w:rPr>
        <w:t>1</w:t>
      </w:r>
      <w:r w:rsidRPr="001B706B" w:rsidR="005535A7">
        <w:rPr>
          <w:rFonts w:ascii="Arial" w:eastAsia="Times New Roman" w:hAnsi="Arial" w:cs="Arial"/>
          <w:sz w:val="24"/>
          <w:szCs w:val="24"/>
        </w:rPr>
        <w:t>2</w:t>
      </w:r>
      <w:r w:rsidR="00C64079">
        <w:rPr>
          <w:rFonts w:ascii="Arial" w:eastAsia="Times New Roman" w:hAnsi="Arial" w:cs="Arial"/>
          <w:sz w:val="24"/>
          <w:szCs w:val="24"/>
        </w:rPr>
        <w:t>8</w:t>
      </w:r>
      <w:r w:rsidRPr="001B706B" w:rsidR="003C7992">
        <w:rPr>
          <w:rFonts w:ascii="Arial" w:eastAsia="Times New Roman" w:hAnsi="Arial" w:cs="Arial"/>
          <w:sz w:val="24"/>
          <w:szCs w:val="24"/>
        </w:rPr>
        <w:t>0</w:t>
      </w:r>
      <w:r w:rsidRPr="001B706B">
        <w:rPr>
          <w:rFonts w:ascii="Arial" w:eastAsia="Times New Roman" w:hAnsi="Arial" w:cs="Arial"/>
          <w:sz w:val="24"/>
          <w:szCs w:val="24"/>
        </w:rPr>
        <w:t xml:space="preserve"> hours</w:t>
      </w:r>
      <w:r w:rsidR="005D3AE9">
        <w:rPr>
          <w:rFonts w:ascii="Arial" w:eastAsia="Times New Roman" w:hAnsi="Arial" w:cs="Arial"/>
          <w:sz w:val="24"/>
          <w:szCs w:val="24"/>
        </w:rPr>
        <w:t xml:space="preserve"> as shown in the table below.</w:t>
      </w:r>
    </w:p>
    <w:p w:rsidR="008A27F1" w:rsidP="0008619C" w14:paraId="0D5AAC39" w14:textId="77777777">
      <w:pPr>
        <w:shd w:val="clear" w:color="auto" w:fill="FFFFFF"/>
        <w:spacing w:after="0" w:line="240" w:lineRule="auto"/>
        <w:rPr>
          <w:rFonts w:ascii="Arial" w:eastAsia="Times New Roman" w:hAnsi="Arial" w:cs="Arial"/>
          <w:sz w:val="24"/>
          <w:szCs w:val="24"/>
        </w:rPr>
      </w:pPr>
    </w:p>
    <w:p w:rsidR="008A27F1" w:rsidP="00A00742" w14:paraId="5CC750BE" w14:textId="52840653">
      <w:pPr>
        <w:shd w:val="clear" w:color="auto" w:fill="FFFFFF"/>
        <w:spacing w:after="0" w:line="240" w:lineRule="auto"/>
        <w:jc w:val="center"/>
        <w:rPr>
          <w:rFonts w:ascii="Arial" w:eastAsia="Times New Roman" w:hAnsi="Arial" w:cs="Arial"/>
          <w:b/>
          <w:bCs/>
          <w:sz w:val="24"/>
          <w:szCs w:val="24"/>
        </w:rPr>
      </w:pPr>
      <w:r w:rsidRPr="00A00742">
        <w:rPr>
          <w:rFonts w:ascii="Arial" w:eastAsia="Times New Roman" w:hAnsi="Arial" w:cs="Arial"/>
          <w:b/>
          <w:bCs/>
          <w:sz w:val="24"/>
          <w:szCs w:val="24"/>
        </w:rPr>
        <w:t xml:space="preserve">Table 2: Industry </w:t>
      </w:r>
      <w:r w:rsidR="007E4ACA">
        <w:rPr>
          <w:rFonts w:ascii="Arial" w:eastAsia="Times New Roman" w:hAnsi="Arial" w:cs="Arial"/>
          <w:b/>
          <w:bCs/>
          <w:sz w:val="24"/>
          <w:szCs w:val="24"/>
        </w:rPr>
        <w:t>Annual</w:t>
      </w:r>
      <w:r w:rsidRPr="00A00742">
        <w:rPr>
          <w:rFonts w:ascii="Arial" w:eastAsia="Times New Roman" w:hAnsi="Arial" w:cs="Arial"/>
          <w:b/>
          <w:bCs/>
          <w:sz w:val="24"/>
          <w:szCs w:val="24"/>
        </w:rPr>
        <w:t xml:space="preserve"> Cost Burden</w:t>
      </w:r>
    </w:p>
    <w:p w:rsidR="00E26ED8" w:rsidRPr="00A00742" w:rsidP="00A00742" w14:paraId="0B903F11" w14:textId="77777777">
      <w:pPr>
        <w:shd w:val="clear" w:color="auto" w:fill="FFFFFF"/>
        <w:spacing w:after="0" w:line="240" w:lineRule="auto"/>
        <w:jc w:val="center"/>
        <w:rPr>
          <w:rFonts w:ascii="Arial" w:eastAsia="Times New Roman" w:hAnsi="Arial" w:cs="Arial"/>
          <w:b/>
          <w:bCs/>
          <w:sz w:val="24"/>
          <w:szCs w:val="24"/>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90"/>
        <w:gridCol w:w="1530"/>
        <w:gridCol w:w="1125"/>
        <w:gridCol w:w="1795"/>
        <w:gridCol w:w="1665"/>
      </w:tblGrid>
      <w:tr w14:paraId="7B1D6E69" w14:textId="77777777" w:rsidTr="000527D7">
        <w:tblPrEx>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0"/>
          <w:jc w:val="center"/>
        </w:trPr>
        <w:tc>
          <w:tcPr>
            <w:tcW w:w="3690" w:type="dxa"/>
            <w:vAlign w:val="bottom"/>
            <w:hideMark/>
          </w:tcPr>
          <w:p w:rsidR="00D6195A" w:rsidRPr="000527D7" w:rsidP="000527D7" w14:paraId="350293CE" w14:textId="77777777">
            <w:pPr>
              <w:spacing w:after="0" w:line="240" w:lineRule="auto"/>
              <w:jc w:val="center"/>
              <w:rPr>
                <w:rFonts w:eastAsia="Times New Roman" w:cstheme="minorHAnsi"/>
                <w:sz w:val="24"/>
                <w:szCs w:val="24"/>
              </w:rPr>
            </w:pPr>
            <w:r w:rsidRPr="000527D7">
              <w:rPr>
                <w:rFonts w:eastAsia="Times New Roman" w:cstheme="minorHAnsi"/>
                <w:b/>
                <w:bCs/>
                <w:sz w:val="24"/>
                <w:szCs w:val="24"/>
              </w:rPr>
              <w:t>Industry</w:t>
            </w:r>
          </w:p>
        </w:tc>
        <w:tc>
          <w:tcPr>
            <w:tcW w:w="1530" w:type="dxa"/>
            <w:vAlign w:val="bottom"/>
            <w:hideMark/>
          </w:tcPr>
          <w:p w:rsidR="00D6195A" w:rsidRPr="000527D7" w:rsidP="00880E62" w14:paraId="2A3E1D83" w14:textId="729EEE62">
            <w:pPr>
              <w:spacing w:after="0" w:line="240" w:lineRule="auto"/>
              <w:rPr>
                <w:rFonts w:eastAsia="Times New Roman" w:cstheme="minorHAnsi"/>
                <w:b/>
                <w:bCs/>
                <w:sz w:val="24"/>
                <w:szCs w:val="24"/>
                <w:vertAlign w:val="superscript"/>
              </w:rPr>
            </w:pPr>
            <w:r w:rsidRPr="000527D7">
              <w:rPr>
                <w:rFonts w:eastAsia="Times New Roman" w:cstheme="minorHAnsi"/>
                <w:b/>
                <w:bCs/>
                <w:sz w:val="24"/>
                <w:szCs w:val="24"/>
              </w:rPr>
              <w:t>Hourly Wage (2025)</w:t>
            </w:r>
            <w:r w:rsidRPr="000527D7">
              <w:rPr>
                <w:rFonts w:eastAsia="Times New Roman" w:cstheme="minorHAnsi"/>
                <w:b/>
                <w:bCs/>
                <w:sz w:val="24"/>
                <w:szCs w:val="24"/>
                <w:vertAlign w:val="superscript"/>
              </w:rPr>
              <w:t>1</w:t>
            </w:r>
          </w:p>
        </w:tc>
        <w:tc>
          <w:tcPr>
            <w:tcW w:w="1125" w:type="dxa"/>
            <w:vAlign w:val="bottom"/>
            <w:hideMark/>
          </w:tcPr>
          <w:p w:rsidR="00D6195A" w:rsidRPr="000527D7" w:rsidP="000527D7" w14:paraId="2BFEF751" w14:textId="43BF8E13">
            <w:pPr>
              <w:spacing w:after="0" w:line="240" w:lineRule="auto"/>
              <w:jc w:val="center"/>
              <w:rPr>
                <w:rFonts w:eastAsia="Times New Roman" w:cstheme="minorHAnsi"/>
                <w:b/>
                <w:bCs/>
                <w:sz w:val="24"/>
                <w:szCs w:val="24"/>
              </w:rPr>
            </w:pPr>
            <w:r w:rsidRPr="000527D7">
              <w:rPr>
                <w:rFonts w:eastAsia="Times New Roman" w:cstheme="minorHAnsi"/>
                <w:b/>
                <w:bCs/>
                <w:sz w:val="24"/>
                <w:szCs w:val="24"/>
              </w:rPr>
              <w:t>Benefits Factor</w:t>
            </w:r>
            <w:r w:rsidRPr="000527D7">
              <w:rPr>
                <w:rFonts w:eastAsia="Times New Roman" w:cstheme="minorHAnsi"/>
                <w:b/>
                <w:bCs/>
                <w:sz w:val="24"/>
                <w:szCs w:val="24"/>
                <w:vertAlign w:val="superscript"/>
              </w:rPr>
              <w:t>2</w:t>
            </w:r>
          </w:p>
        </w:tc>
        <w:tc>
          <w:tcPr>
            <w:tcW w:w="1795" w:type="dxa"/>
            <w:vAlign w:val="bottom"/>
            <w:hideMark/>
          </w:tcPr>
          <w:p w:rsidR="00D6195A" w:rsidRPr="000527D7" w:rsidP="000527D7" w14:paraId="6F62B843" w14:textId="48F67B0D">
            <w:pPr>
              <w:spacing w:after="0" w:line="240" w:lineRule="auto"/>
              <w:jc w:val="center"/>
              <w:rPr>
                <w:rFonts w:eastAsia="Times New Roman" w:cstheme="minorHAnsi"/>
                <w:b/>
                <w:bCs/>
                <w:sz w:val="24"/>
                <w:szCs w:val="24"/>
              </w:rPr>
            </w:pPr>
            <w:r w:rsidRPr="000527D7">
              <w:rPr>
                <w:rFonts w:eastAsia="Times New Roman" w:cstheme="minorHAnsi"/>
                <w:b/>
                <w:bCs/>
                <w:sz w:val="24"/>
                <w:szCs w:val="24"/>
              </w:rPr>
              <w:t>Fully-burdened</w:t>
            </w:r>
            <w:r w:rsidRPr="000527D7">
              <w:rPr>
                <w:rFonts w:eastAsia="Times New Roman" w:cstheme="minorHAnsi"/>
                <w:b/>
                <w:bCs/>
                <w:sz w:val="24"/>
                <w:szCs w:val="24"/>
              </w:rPr>
              <w:t xml:space="preserve"> Wage Rate</w:t>
            </w:r>
            <w:r w:rsidRPr="000527D7">
              <w:rPr>
                <w:rFonts w:eastAsia="Times New Roman" w:cstheme="minorHAnsi"/>
                <w:b/>
                <w:bCs/>
                <w:sz w:val="24"/>
                <w:szCs w:val="24"/>
                <w:vertAlign w:val="superscript"/>
              </w:rPr>
              <w:t>3</w:t>
            </w:r>
          </w:p>
        </w:tc>
        <w:tc>
          <w:tcPr>
            <w:tcW w:w="1665" w:type="dxa"/>
            <w:vAlign w:val="bottom"/>
            <w:hideMark/>
          </w:tcPr>
          <w:p w:rsidR="00D6195A" w:rsidRPr="000527D7" w:rsidP="000527D7" w14:paraId="3943DA60" w14:textId="77777777">
            <w:pPr>
              <w:spacing w:after="0" w:line="240" w:lineRule="auto"/>
              <w:jc w:val="center"/>
              <w:rPr>
                <w:rFonts w:eastAsia="Times New Roman" w:cstheme="minorHAnsi"/>
                <w:b/>
                <w:bCs/>
                <w:sz w:val="24"/>
                <w:szCs w:val="24"/>
              </w:rPr>
            </w:pPr>
            <w:r w:rsidRPr="000527D7">
              <w:rPr>
                <w:rFonts w:eastAsia="Times New Roman" w:cstheme="minorHAnsi"/>
                <w:b/>
                <w:bCs/>
                <w:sz w:val="24"/>
                <w:szCs w:val="24"/>
              </w:rPr>
              <w:t>Total Burden Hours</w:t>
            </w:r>
          </w:p>
        </w:tc>
      </w:tr>
      <w:tr w14:paraId="4E55376A" w14:textId="77777777" w:rsidTr="000527D7">
        <w:tblPrEx>
          <w:tblW w:w="9805" w:type="dxa"/>
          <w:jc w:val="center"/>
          <w:tblLayout w:type="fixed"/>
          <w:tblLook w:val="04A0"/>
        </w:tblPrEx>
        <w:trPr>
          <w:trHeight w:val="450"/>
          <w:jc w:val="center"/>
        </w:trPr>
        <w:tc>
          <w:tcPr>
            <w:tcW w:w="3690" w:type="dxa"/>
            <w:vAlign w:val="bottom"/>
          </w:tcPr>
          <w:p w:rsidR="00D6195A" w:rsidRPr="00D6195A" w:rsidP="00D6195A" w14:paraId="5A45B412" w14:textId="31D4C6FF">
            <w:pPr>
              <w:spacing w:after="0" w:line="240" w:lineRule="auto"/>
              <w:jc w:val="center"/>
              <w:rPr>
                <w:rFonts w:eastAsia="Times New Roman" w:cstheme="minorHAnsi"/>
                <w:b/>
                <w:bCs/>
                <w:sz w:val="24"/>
                <w:szCs w:val="24"/>
              </w:rPr>
            </w:pPr>
            <w:r w:rsidRPr="001A13FE">
              <w:rPr>
                <w:rFonts w:eastAsia="Times New Roman" w:cstheme="minorHAnsi"/>
                <w:b/>
                <w:bCs/>
                <w:sz w:val="24"/>
                <w:szCs w:val="24"/>
              </w:rPr>
              <w:t>Aerospace Engineers (17-2011)</w:t>
            </w:r>
          </w:p>
        </w:tc>
        <w:tc>
          <w:tcPr>
            <w:tcW w:w="1530" w:type="dxa"/>
            <w:vAlign w:val="bottom"/>
          </w:tcPr>
          <w:p w:rsidR="00D6195A" w:rsidRPr="00D6195A" w:rsidP="00D6195A" w14:paraId="3F19F014" w14:textId="03D83C6E">
            <w:pPr>
              <w:spacing w:after="0" w:line="240" w:lineRule="auto"/>
              <w:jc w:val="center"/>
              <w:rPr>
                <w:rFonts w:eastAsia="Times New Roman" w:cstheme="minorHAnsi"/>
                <w:sz w:val="24"/>
                <w:szCs w:val="24"/>
              </w:rPr>
            </w:pPr>
            <w:r w:rsidRPr="001A13FE">
              <w:rPr>
                <w:rFonts w:eastAsia="Times New Roman" w:cstheme="minorHAnsi"/>
                <w:sz w:val="24"/>
                <w:szCs w:val="24"/>
              </w:rPr>
              <w:t>$66.63</w:t>
            </w:r>
          </w:p>
        </w:tc>
        <w:tc>
          <w:tcPr>
            <w:tcW w:w="1125" w:type="dxa"/>
            <w:vAlign w:val="bottom"/>
          </w:tcPr>
          <w:p w:rsidR="00D6195A" w:rsidRPr="00D6195A" w:rsidP="00D6195A" w14:paraId="611C0B6D" w14:textId="1992F00D">
            <w:pPr>
              <w:spacing w:after="0" w:line="240" w:lineRule="auto"/>
              <w:jc w:val="center"/>
              <w:rPr>
                <w:rFonts w:eastAsia="Times New Roman" w:cstheme="minorHAnsi"/>
                <w:sz w:val="24"/>
                <w:szCs w:val="24"/>
              </w:rPr>
            </w:pPr>
            <w:r w:rsidRPr="001A13FE">
              <w:rPr>
                <w:rFonts w:eastAsia="Times New Roman" w:cstheme="minorHAnsi"/>
                <w:sz w:val="24"/>
                <w:szCs w:val="24"/>
              </w:rPr>
              <w:t>1.42</w:t>
            </w:r>
          </w:p>
        </w:tc>
        <w:tc>
          <w:tcPr>
            <w:tcW w:w="1795" w:type="dxa"/>
            <w:vAlign w:val="bottom"/>
          </w:tcPr>
          <w:p w:rsidR="00D6195A" w:rsidRPr="00D6195A" w:rsidP="00D6195A" w14:paraId="0BEF3E7A" w14:textId="350FDD05">
            <w:pPr>
              <w:spacing w:after="0" w:line="240" w:lineRule="auto"/>
              <w:jc w:val="center"/>
              <w:rPr>
                <w:rFonts w:eastAsia="Times New Roman" w:cstheme="minorHAnsi"/>
                <w:sz w:val="24"/>
                <w:szCs w:val="24"/>
              </w:rPr>
            </w:pPr>
            <w:r w:rsidRPr="001A13FE">
              <w:rPr>
                <w:rFonts w:eastAsia="Times New Roman" w:cstheme="minorHAnsi"/>
                <w:sz w:val="24"/>
                <w:szCs w:val="24"/>
              </w:rPr>
              <w:t>$94.62</w:t>
            </w:r>
          </w:p>
        </w:tc>
        <w:tc>
          <w:tcPr>
            <w:tcW w:w="1665" w:type="dxa"/>
            <w:vAlign w:val="bottom"/>
          </w:tcPr>
          <w:p w:rsidR="00D6195A" w:rsidRPr="00D6195A" w:rsidP="00D6195A" w14:paraId="743C74AE" w14:textId="3F9C8CDE">
            <w:pPr>
              <w:spacing w:after="0" w:line="240" w:lineRule="auto"/>
              <w:jc w:val="center"/>
              <w:rPr>
                <w:rFonts w:eastAsia="Times New Roman" w:cstheme="minorHAnsi"/>
                <w:sz w:val="24"/>
                <w:szCs w:val="24"/>
              </w:rPr>
            </w:pPr>
            <w:r w:rsidRPr="001A13FE">
              <w:rPr>
                <w:rFonts w:eastAsia="Times New Roman" w:cstheme="minorHAnsi"/>
                <w:sz w:val="24"/>
                <w:szCs w:val="24"/>
              </w:rPr>
              <w:t>12</w:t>
            </w:r>
            <w:r w:rsidR="003E5A46">
              <w:rPr>
                <w:rFonts w:eastAsia="Times New Roman" w:cstheme="minorHAnsi"/>
                <w:sz w:val="24"/>
                <w:szCs w:val="24"/>
              </w:rPr>
              <w:t>80</w:t>
            </w:r>
          </w:p>
        </w:tc>
      </w:tr>
      <w:tr w14:paraId="19A3D495" w14:textId="77777777" w:rsidTr="00663F5A">
        <w:tblPrEx>
          <w:tblW w:w="9805" w:type="dxa"/>
          <w:jc w:val="center"/>
          <w:tblLayout w:type="fixed"/>
          <w:tblLook w:val="04A0"/>
        </w:tblPrEx>
        <w:trPr>
          <w:trHeight w:val="450"/>
          <w:jc w:val="center"/>
        </w:trPr>
        <w:tc>
          <w:tcPr>
            <w:tcW w:w="8140" w:type="dxa"/>
            <w:gridSpan w:val="4"/>
            <w:vAlign w:val="bottom"/>
          </w:tcPr>
          <w:p w:rsidR="00D6195A" w:rsidRPr="00D6195A" w:rsidP="00D6195A" w14:paraId="72BE8270" w14:textId="77DDB946">
            <w:pPr>
              <w:spacing w:after="0" w:line="240" w:lineRule="auto"/>
              <w:jc w:val="center"/>
              <w:rPr>
                <w:rFonts w:eastAsia="Times New Roman" w:cstheme="minorHAnsi"/>
                <w:sz w:val="24"/>
                <w:szCs w:val="24"/>
              </w:rPr>
            </w:pPr>
            <w:r w:rsidRPr="000527D7">
              <w:rPr>
                <w:rFonts w:eastAsia="Times New Roman" w:cstheme="minorHAnsi"/>
                <w:b/>
                <w:bCs/>
                <w:sz w:val="24"/>
                <w:szCs w:val="24"/>
              </w:rPr>
              <w:t>Total Burden Cost</w:t>
            </w:r>
          </w:p>
        </w:tc>
        <w:tc>
          <w:tcPr>
            <w:tcW w:w="1665" w:type="dxa"/>
            <w:vAlign w:val="bottom"/>
          </w:tcPr>
          <w:p w:rsidR="00D6195A" w:rsidRPr="00D6195A" w:rsidP="00D6195A" w14:paraId="119EF182" w14:textId="0879C97F">
            <w:pPr>
              <w:spacing w:after="0" w:line="240" w:lineRule="auto"/>
              <w:jc w:val="center"/>
              <w:rPr>
                <w:rFonts w:eastAsia="Times New Roman" w:cstheme="minorHAnsi"/>
                <w:sz w:val="24"/>
                <w:szCs w:val="24"/>
              </w:rPr>
            </w:pPr>
            <w:r w:rsidRPr="001A13FE">
              <w:rPr>
                <w:rFonts w:eastAsia="Times New Roman" w:cstheme="minorHAnsi"/>
                <w:sz w:val="24"/>
                <w:szCs w:val="24"/>
              </w:rPr>
              <w:t>$1</w:t>
            </w:r>
            <w:r w:rsidR="003E5A46">
              <w:rPr>
                <w:rFonts w:eastAsia="Times New Roman" w:cstheme="minorHAnsi"/>
                <w:sz w:val="24"/>
                <w:szCs w:val="24"/>
              </w:rPr>
              <w:t>21,116</w:t>
            </w:r>
          </w:p>
        </w:tc>
      </w:tr>
      <w:tr w14:paraId="53095B4D" w14:textId="77777777" w:rsidTr="000527D7">
        <w:tblPrEx>
          <w:tblW w:w="9805" w:type="dxa"/>
          <w:jc w:val="center"/>
          <w:tblLayout w:type="fixed"/>
          <w:tblLook w:val="04A0"/>
        </w:tblPrEx>
        <w:trPr>
          <w:trHeight w:val="20"/>
          <w:jc w:val="center"/>
        </w:trPr>
        <w:tc>
          <w:tcPr>
            <w:tcW w:w="9805" w:type="dxa"/>
            <w:gridSpan w:val="5"/>
            <w:tcBorders>
              <w:bottom w:val="single" w:sz="4" w:space="0" w:color="auto"/>
            </w:tcBorders>
            <w:vAlign w:val="center"/>
            <w:hideMark/>
          </w:tcPr>
          <w:p w:rsidR="00D6195A" w:rsidRPr="000527D7" w:rsidP="00E26ED8" w14:paraId="7ED442F2" w14:textId="77777777">
            <w:pPr>
              <w:spacing w:after="0" w:line="240" w:lineRule="auto"/>
              <w:rPr>
                <w:rFonts w:eastAsia="Times New Roman" w:cstheme="minorHAnsi"/>
                <w:color w:val="467886"/>
                <w:sz w:val="20"/>
                <w:szCs w:val="20"/>
                <w:u w:val="single"/>
              </w:rPr>
            </w:pPr>
          </w:p>
        </w:tc>
      </w:tr>
      <w:tr w14:paraId="445C1E1C" w14:textId="77777777" w:rsidTr="000527D7">
        <w:tblPrEx>
          <w:tblW w:w="9805" w:type="dxa"/>
          <w:jc w:val="center"/>
          <w:tblLayout w:type="fixed"/>
          <w:tblLook w:val="04A0"/>
        </w:tblPrEx>
        <w:trPr>
          <w:trHeight w:val="20"/>
          <w:jc w:val="center"/>
        </w:trPr>
        <w:tc>
          <w:tcPr>
            <w:tcW w:w="9805" w:type="dxa"/>
            <w:gridSpan w:val="5"/>
            <w:tcBorders>
              <w:top w:val="single" w:sz="4" w:space="0" w:color="auto"/>
              <w:left w:val="single" w:sz="4" w:space="0" w:color="auto"/>
              <w:bottom w:val="nil"/>
              <w:right w:val="single" w:sz="4" w:space="0" w:color="auto"/>
            </w:tcBorders>
            <w:vAlign w:val="bottom"/>
            <w:hideMark/>
          </w:tcPr>
          <w:p w:rsidR="004808B2" w:rsidP="00E26ED8" w14:paraId="2193648B" w14:textId="77777777">
            <w:pPr>
              <w:spacing w:after="0" w:line="240" w:lineRule="auto"/>
              <w:rPr>
                <w:rFonts w:eastAsia="Times New Roman" w:cstheme="minorHAnsi"/>
                <w:color w:val="000000"/>
                <w:sz w:val="20"/>
                <w:szCs w:val="20"/>
              </w:rPr>
            </w:pPr>
          </w:p>
          <w:p w:rsidR="00D6195A" w:rsidRPr="000527D7" w:rsidP="00E26ED8" w14:paraId="2900743D" w14:textId="2016B8E0">
            <w:pPr>
              <w:spacing w:after="0" w:line="240" w:lineRule="auto"/>
              <w:rPr>
                <w:rFonts w:eastAsia="Times New Roman" w:cstheme="minorHAnsi"/>
                <w:color w:val="000000"/>
                <w:sz w:val="20"/>
                <w:szCs w:val="20"/>
              </w:rPr>
            </w:pPr>
            <w:r>
              <w:rPr>
                <w:rFonts w:eastAsia="Times New Roman" w:cstheme="minorHAnsi"/>
                <w:color w:val="000000"/>
                <w:sz w:val="20"/>
                <w:szCs w:val="20"/>
              </w:rPr>
              <w:t>1</w:t>
            </w:r>
            <w:r w:rsidRPr="001A13FE">
              <w:rPr>
                <w:rFonts w:eastAsia="Times New Roman" w:cstheme="minorHAnsi"/>
                <w:color w:val="000000"/>
                <w:sz w:val="20"/>
                <w:szCs w:val="20"/>
              </w:rPr>
              <w:t xml:space="preserve">. Bureau of Labor Statistics, May 2024 (SOC Code 17-2011) </w:t>
            </w:r>
            <w:hyperlink r:id="rId8" w:history="1">
              <w:r w:rsidRPr="000527D7">
                <w:rPr>
                  <w:rStyle w:val="Hyperlink"/>
                  <w:rFonts w:eastAsia="Times New Roman" w:cstheme="minorHAnsi"/>
                  <w:color w:val="auto"/>
                  <w:sz w:val="20"/>
                  <w:szCs w:val="20"/>
                </w:rPr>
                <w:t>https://www.bls.gov/oes/current/oes172011.htm</w:t>
              </w:r>
            </w:hyperlink>
            <w:r w:rsidR="000527D7">
              <w:rPr>
                <w:rFonts w:eastAsia="Times New Roman" w:cstheme="minorHAnsi"/>
                <w:sz w:val="20"/>
                <w:szCs w:val="20"/>
              </w:rPr>
              <w:t>.</w:t>
            </w:r>
            <w:r w:rsidRPr="000527D7">
              <w:rPr>
                <w:rFonts w:eastAsia="Times New Roman" w:cstheme="minorHAnsi"/>
                <w:sz w:val="20"/>
                <w:szCs w:val="20"/>
              </w:rPr>
              <w:t xml:space="preserve"> </w:t>
            </w:r>
            <w:r w:rsidRPr="001A13FE">
              <w:rPr>
                <w:rFonts w:eastAsia="Times New Roman" w:cstheme="minorHAnsi"/>
                <w:color w:val="000000"/>
                <w:sz w:val="20"/>
                <w:szCs w:val="20"/>
              </w:rPr>
              <w:t>To express the hourly cost in FY 2025 dollars, the FAA uses the implicit Gross Domestic Price (GDP) Deflator of 2.8%. Therefore, the hourly wage rate expressed in 2025 dollars ($64.82 hourly median wage X 1.028 GDP deflator = hourly wage of $66.63).</w:t>
            </w:r>
          </w:p>
        </w:tc>
      </w:tr>
      <w:tr w14:paraId="709BA95B" w14:textId="77777777" w:rsidTr="000527D7">
        <w:tblPrEx>
          <w:tblW w:w="9805" w:type="dxa"/>
          <w:jc w:val="center"/>
          <w:tblLayout w:type="fixed"/>
          <w:tblLook w:val="04A0"/>
        </w:tblPrEx>
        <w:trPr>
          <w:trHeight w:val="20"/>
          <w:jc w:val="center"/>
        </w:trPr>
        <w:tc>
          <w:tcPr>
            <w:tcW w:w="9805" w:type="dxa"/>
            <w:gridSpan w:val="5"/>
            <w:tcBorders>
              <w:top w:val="nil"/>
              <w:left w:val="single" w:sz="4" w:space="0" w:color="auto"/>
              <w:bottom w:val="nil"/>
              <w:right w:val="single" w:sz="4" w:space="0" w:color="auto"/>
            </w:tcBorders>
            <w:vAlign w:val="bottom"/>
          </w:tcPr>
          <w:p w:rsidR="00D6195A" w:rsidRPr="00880E62" w:rsidP="00880E62" w14:paraId="493EA591" w14:textId="53AE708B">
            <w:pPr>
              <w:spacing w:after="0" w:line="240" w:lineRule="auto"/>
              <w:rPr>
                <w:rFonts w:eastAsia="Times New Roman" w:cstheme="minorHAnsi"/>
                <w:color w:val="000000"/>
                <w:sz w:val="20"/>
                <w:szCs w:val="20"/>
              </w:rPr>
            </w:pPr>
            <w:r w:rsidRPr="000527D7">
              <w:rPr>
                <w:rFonts w:eastAsia="Times New Roman" w:cstheme="minorHAnsi"/>
                <w:sz w:val="20"/>
                <w:szCs w:val="20"/>
              </w:rPr>
              <w:t>2.</w:t>
            </w:r>
            <w:r w:rsidRPr="001A13FE">
              <w:rPr>
                <w:rFonts w:eastAsia="Times New Roman" w:cstheme="minorHAnsi"/>
                <w:sz w:val="20"/>
                <w:szCs w:val="20"/>
                <w:u w:val="single"/>
              </w:rPr>
              <w:t xml:space="preserve"> </w:t>
            </w:r>
            <w:r w:rsidRPr="000527D7">
              <w:rPr>
                <w:rFonts w:eastAsia="Times New Roman" w:cstheme="minorHAnsi"/>
                <w:sz w:val="20"/>
                <w:szCs w:val="20"/>
              </w:rPr>
              <w:t>Wages and benefits information available at: Employer Costs for Employee Compensation Summary - 2025 Q04 Results</w:t>
            </w:r>
          </w:p>
        </w:tc>
      </w:tr>
      <w:tr w14:paraId="600DF6CA" w14:textId="77777777" w:rsidTr="000527D7">
        <w:tblPrEx>
          <w:tblW w:w="9805" w:type="dxa"/>
          <w:jc w:val="center"/>
          <w:tblLayout w:type="fixed"/>
          <w:tblLook w:val="04A0"/>
        </w:tblPrEx>
        <w:trPr>
          <w:trHeight w:val="20"/>
          <w:jc w:val="center"/>
        </w:trPr>
        <w:tc>
          <w:tcPr>
            <w:tcW w:w="9805" w:type="dxa"/>
            <w:gridSpan w:val="5"/>
            <w:tcBorders>
              <w:top w:val="nil"/>
              <w:left w:val="single" w:sz="4" w:space="0" w:color="auto"/>
              <w:bottom w:val="single" w:sz="4" w:space="0" w:color="auto"/>
              <w:right w:val="single" w:sz="4" w:space="0" w:color="auto"/>
            </w:tcBorders>
            <w:vAlign w:val="bottom"/>
            <w:hideMark/>
          </w:tcPr>
          <w:p w:rsidR="00D6195A" w:rsidRPr="000527D7" w:rsidP="00E26ED8" w14:paraId="1CFBED85" w14:textId="0DB9F8DB">
            <w:pPr>
              <w:spacing w:after="0" w:line="240" w:lineRule="auto"/>
              <w:rPr>
                <w:rFonts w:eastAsia="Times New Roman" w:cstheme="minorHAnsi"/>
                <w:color w:val="000000"/>
                <w:sz w:val="20"/>
                <w:szCs w:val="20"/>
              </w:rPr>
            </w:pPr>
            <w:r w:rsidRPr="000527D7">
              <w:rPr>
                <w:rFonts w:eastAsia="Times New Roman" w:cstheme="minorHAnsi"/>
                <w:color w:val="000000"/>
                <w:sz w:val="20"/>
                <w:szCs w:val="20"/>
              </w:rPr>
              <w:t xml:space="preserve">3. In addition, FAA adds a benefit overhead, which is based on the percentage of total compensation for transportation employees (1.42) to obtain a fully burdened wage cost per hour of $94.62. </w:t>
            </w:r>
          </w:p>
        </w:tc>
      </w:tr>
    </w:tbl>
    <w:p w:rsidR="00622DEA" w:rsidRPr="00352807" w:rsidP="00A67AD4" w14:paraId="1546FE0C" w14:textId="77777777">
      <w:pPr>
        <w:shd w:val="clear" w:color="auto" w:fill="FFFFFF"/>
        <w:spacing w:after="0" w:line="240" w:lineRule="auto"/>
        <w:jc w:val="center"/>
        <w:rPr>
          <w:rFonts w:ascii="Arial" w:eastAsia="Times New Roman" w:hAnsi="Arial" w:cs="Arial"/>
          <w:sz w:val="24"/>
          <w:szCs w:val="24"/>
          <w:highlight w:val="yellow"/>
        </w:rPr>
      </w:pPr>
    </w:p>
    <w:p w:rsidR="00C64707" w:rsidRPr="00B87E9A" w:rsidP="00C64707" w14:paraId="31B546BD"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13. Provide an estimate for the total annual cost burden to respondents or record keepers resulting from the collection of information.</w:t>
      </w:r>
    </w:p>
    <w:p w:rsidR="00C64707" w:rsidRPr="00B87E9A" w:rsidP="00C64707" w14:paraId="12678034"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r w:rsidRPr="00B87E9A" w:rsidR="0065437A">
        <w:rPr>
          <w:rFonts w:ascii="Arial" w:eastAsia="Times New Roman" w:hAnsi="Arial" w:cs="Arial"/>
          <w:sz w:val="24"/>
          <w:szCs w:val="24"/>
        </w:rPr>
        <w:t>No other cost than labor as indicated in question 12.</w:t>
      </w:r>
      <w:r w:rsidRPr="00B87E9A" w:rsidR="0065437A">
        <w:rPr>
          <w:rFonts w:ascii="Arial" w:eastAsia="Times New Roman" w:hAnsi="Arial" w:cs="Arial"/>
          <w:sz w:val="24"/>
          <w:szCs w:val="24"/>
        </w:rPr>
        <w:tab/>
      </w:r>
      <w:r w:rsidRPr="00B87E9A">
        <w:rPr>
          <w:rFonts w:ascii="Arial" w:eastAsia="Times New Roman" w:hAnsi="Arial" w:cs="Arial"/>
          <w:sz w:val="24"/>
          <w:szCs w:val="24"/>
        </w:rPr>
        <w:br/>
      </w:r>
    </w:p>
    <w:p w:rsidR="00C64707" w:rsidRPr="00B87E9A" w:rsidP="00C64707" w14:paraId="27ADFF91"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w:t>
      </w:r>
      <w:r w:rsidRPr="00B87E9A">
        <w:rPr>
          <w:rFonts w:ascii="Arial" w:eastAsia="Times New Roman" w:hAnsi="Arial" w:cs="Arial"/>
          <w:b/>
          <w:bCs/>
          <w:sz w:val="24"/>
          <w:szCs w:val="24"/>
        </w:rPr>
        <w:t>expense</w:t>
      </w:r>
      <w:r w:rsidRPr="00B87E9A">
        <w:rPr>
          <w:rFonts w:ascii="Arial" w:eastAsia="Times New Roman" w:hAnsi="Arial" w:cs="Arial"/>
          <w:b/>
          <w:bCs/>
          <w:sz w:val="24"/>
          <w:szCs w:val="24"/>
        </w:rPr>
        <w:t xml:space="preserve"> that would not have been incurred without this collection of information.</w:t>
      </w:r>
    </w:p>
    <w:p w:rsidR="004D6D38" w:rsidRPr="00E671D8" w:rsidP="004D6D38" w14:paraId="56CE5EEE" w14:textId="77777777">
      <w:pPr>
        <w:shd w:val="clear" w:color="auto" w:fill="FFFFFF"/>
        <w:spacing w:after="0" w:line="240" w:lineRule="auto"/>
        <w:rPr>
          <w:rFonts w:ascii="Arial" w:eastAsia="Times New Roman" w:hAnsi="Arial" w:cs="Arial"/>
          <w:color w:val="FF0000"/>
          <w:sz w:val="24"/>
          <w:szCs w:val="24"/>
        </w:rPr>
      </w:pPr>
    </w:p>
    <w:p w:rsidR="006A6969" w:rsidRPr="006A6969" w:rsidP="004D6D38" w14:paraId="235BA6E9" w14:textId="55656735">
      <w:pPr>
        <w:shd w:val="clear" w:color="auto" w:fill="FFFFFF"/>
        <w:spacing w:after="0" w:line="240" w:lineRule="auto"/>
        <w:rPr>
          <w:rFonts w:ascii="Arial" w:hAnsi="Arial" w:cs="Arial"/>
          <w:sz w:val="24"/>
          <w:szCs w:val="24"/>
        </w:rPr>
      </w:pPr>
      <w:r w:rsidRPr="006A6969">
        <w:rPr>
          <w:rFonts w:ascii="Arial" w:hAnsi="Arial" w:cs="Arial"/>
          <w:sz w:val="24"/>
          <w:szCs w:val="24"/>
        </w:rPr>
        <w:t xml:space="preserve">FAA estimates the annual burden and cost to FAA is </w:t>
      </w:r>
      <w:r w:rsidR="00B671B0">
        <w:rPr>
          <w:rFonts w:ascii="Arial" w:hAnsi="Arial" w:cs="Arial"/>
          <w:sz w:val="24"/>
          <w:szCs w:val="24"/>
        </w:rPr>
        <w:t>1</w:t>
      </w:r>
      <w:r w:rsidR="004C36F0">
        <w:rPr>
          <w:rFonts w:ascii="Arial" w:hAnsi="Arial" w:cs="Arial"/>
          <w:sz w:val="24"/>
          <w:szCs w:val="24"/>
        </w:rPr>
        <w:t>4</w:t>
      </w:r>
      <w:r w:rsidR="00C46A68">
        <w:rPr>
          <w:rFonts w:ascii="Arial" w:hAnsi="Arial" w:cs="Arial"/>
          <w:sz w:val="24"/>
          <w:szCs w:val="24"/>
        </w:rPr>
        <w:t>8</w:t>
      </w:r>
      <w:r w:rsidRPr="006A6969">
        <w:rPr>
          <w:rFonts w:ascii="Arial" w:hAnsi="Arial" w:cs="Arial"/>
          <w:sz w:val="24"/>
          <w:szCs w:val="24"/>
        </w:rPr>
        <w:t xml:space="preserve"> hours and $1</w:t>
      </w:r>
      <w:r w:rsidR="00C64079">
        <w:rPr>
          <w:rFonts w:ascii="Arial" w:hAnsi="Arial" w:cs="Arial"/>
          <w:sz w:val="24"/>
          <w:szCs w:val="24"/>
        </w:rPr>
        <w:t>5,</w:t>
      </w:r>
      <w:r w:rsidR="00C46A68">
        <w:rPr>
          <w:rFonts w:ascii="Arial" w:hAnsi="Arial" w:cs="Arial"/>
          <w:sz w:val="24"/>
          <w:szCs w:val="24"/>
        </w:rPr>
        <w:t>81</w:t>
      </w:r>
      <w:r w:rsidR="00D44E0F">
        <w:rPr>
          <w:rFonts w:ascii="Arial" w:hAnsi="Arial" w:cs="Arial"/>
          <w:sz w:val="24"/>
          <w:szCs w:val="24"/>
        </w:rPr>
        <w:t>1</w:t>
      </w:r>
      <w:r w:rsidRPr="006A6969">
        <w:rPr>
          <w:rFonts w:ascii="Arial" w:hAnsi="Arial" w:cs="Arial"/>
          <w:sz w:val="24"/>
          <w:szCs w:val="24"/>
        </w:rPr>
        <w:t>, respectively. The following provides details of response, burden, and cost estimates to the FAA</w:t>
      </w:r>
      <w:r w:rsidR="00453EA3">
        <w:rPr>
          <w:rFonts w:ascii="Arial" w:hAnsi="Arial" w:cs="Arial"/>
          <w:sz w:val="24"/>
          <w:szCs w:val="24"/>
        </w:rPr>
        <w:t>.</w:t>
      </w:r>
    </w:p>
    <w:p w:rsidR="006A6969" w:rsidP="004D6D38" w14:paraId="48A3E7E3" w14:textId="77777777">
      <w:pPr>
        <w:shd w:val="clear" w:color="auto" w:fill="FFFFFF"/>
        <w:spacing w:after="0" w:line="240" w:lineRule="auto"/>
        <w:rPr>
          <w:rFonts w:ascii="Arial" w:eastAsia="Times New Roman" w:hAnsi="Arial" w:cs="Arial"/>
          <w:color w:val="FF0000"/>
          <w:sz w:val="24"/>
          <w:szCs w:val="24"/>
        </w:rPr>
      </w:pPr>
    </w:p>
    <w:p w:rsidR="004D6D38" w:rsidRPr="008072C0" w:rsidP="004D6D38" w14:paraId="11821F07" w14:textId="4D1666A4">
      <w:pPr>
        <w:shd w:val="clear" w:color="auto" w:fill="FFFFFF"/>
        <w:spacing w:after="0" w:line="240" w:lineRule="auto"/>
        <w:rPr>
          <w:rFonts w:ascii="Arial" w:eastAsia="Times New Roman" w:hAnsi="Arial" w:cs="Arial"/>
          <w:sz w:val="24"/>
          <w:szCs w:val="24"/>
        </w:rPr>
      </w:pPr>
      <w:r w:rsidRPr="008072C0">
        <w:rPr>
          <w:rFonts w:ascii="Arial" w:eastAsia="Times New Roman" w:hAnsi="Arial" w:cs="Arial"/>
          <w:sz w:val="24"/>
          <w:szCs w:val="24"/>
        </w:rPr>
        <w:t xml:space="preserve">FAA oversight office’s </w:t>
      </w:r>
      <w:r w:rsidR="0051232A">
        <w:rPr>
          <w:rFonts w:ascii="Arial" w:eastAsia="Times New Roman" w:hAnsi="Arial" w:cs="Arial"/>
          <w:sz w:val="24"/>
          <w:szCs w:val="24"/>
        </w:rPr>
        <w:t xml:space="preserve">aerospace </w:t>
      </w:r>
      <w:r w:rsidRPr="008072C0">
        <w:rPr>
          <w:rFonts w:ascii="Arial" w:eastAsia="Times New Roman" w:hAnsi="Arial" w:cs="Arial"/>
          <w:sz w:val="24"/>
          <w:szCs w:val="24"/>
        </w:rPr>
        <w:t>engineer</w:t>
      </w:r>
      <w:r w:rsidRPr="008072C0" w:rsidR="00C72F9B">
        <w:rPr>
          <w:rFonts w:ascii="Arial" w:eastAsia="Times New Roman" w:hAnsi="Arial" w:cs="Arial"/>
          <w:sz w:val="24"/>
          <w:szCs w:val="24"/>
        </w:rPr>
        <w:t xml:space="preserve"> hours are</w:t>
      </w:r>
      <w:r w:rsidRPr="008072C0">
        <w:rPr>
          <w:rFonts w:ascii="Arial" w:eastAsia="Times New Roman" w:hAnsi="Arial" w:cs="Arial"/>
          <w:sz w:val="24"/>
          <w:szCs w:val="24"/>
        </w:rPr>
        <w:t xml:space="preserve"> estimated </w:t>
      </w:r>
      <w:r w:rsidRPr="008072C0">
        <w:rPr>
          <w:rFonts w:ascii="Arial" w:eastAsia="Times New Roman" w:hAnsi="Arial" w:cs="Arial"/>
          <w:sz w:val="24"/>
          <w:szCs w:val="24"/>
        </w:rPr>
        <w:t>to review</w:t>
      </w:r>
      <w:r w:rsidRPr="008072C0" w:rsidR="003C2C71">
        <w:rPr>
          <w:rFonts w:ascii="Arial" w:eastAsia="Times New Roman" w:hAnsi="Arial" w:cs="Arial"/>
          <w:sz w:val="24"/>
          <w:szCs w:val="24"/>
        </w:rPr>
        <w:t xml:space="preserve"> and archive reports, assum</w:t>
      </w:r>
      <w:r w:rsidRPr="008072C0" w:rsidR="003A5665">
        <w:rPr>
          <w:rFonts w:ascii="Arial" w:eastAsia="Times New Roman" w:hAnsi="Arial" w:cs="Arial"/>
          <w:sz w:val="24"/>
          <w:szCs w:val="24"/>
        </w:rPr>
        <w:t>es</w:t>
      </w:r>
      <w:r w:rsidRPr="008072C0" w:rsidR="003C2C71">
        <w:rPr>
          <w:rFonts w:ascii="Arial" w:eastAsia="Times New Roman" w:hAnsi="Arial" w:cs="Arial"/>
          <w:sz w:val="24"/>
          <w:szCs w:val="24"/>
        </w:rPr>
        <w:t xml:space="preserve"> no corrective actions are required </w:t>
      </w:r>
      <w:r w:rsidRPr="008072C0" w:rsidR="003A5665">
        <w:rPr>
          <w:rFonts w:ascii="Arial" w:eastAsia="Times New Roman" w:hAnsi="Arial" w:cs="Arial"/>
          <w:sz w:val="24"/>
          <w:szCs w:val="24"/>
        </w:rPr>
        <w:t xml:space="preserve">and are </w:t>
      </w:r>
      <w:r w:rsidRPr="008072C0" w:rsidR="003C2C71">
        <w:rPr>
          <w:rFonts w:ascii="Arial" w:eastAsia="Times New Roman" w:hAnsi="Arial" w:cs="Arial"/>
          <w:sz w:val="24"/>
          <w:szCs w:val="24"/>
        </w:rPr>
        <w:t>based on past data collection period</w:t>
      </w:r>
      <w:r w:rsidRPr="008072C0" w:rsidR="003A5665">
        <w:rPr>
          <w:rFonts w:ascii="Arial" w:eastAsia="Times New Roman" w:hAnsi="Arial" w:cs="Arial"/>
          <w:sz w:val="24"/>
          <w:szCs w:val="24"/>
        </w:rPr>
        <w:t>s</w:t>
      </w:r>
      <w:r w:rsidRPr="008072C0" w:rsidR="00C72F9B">
        <w:rPr>
          <w:rFonts w:ascii="Arial" w:eastAsia="Times New Roman" w:hAnsi="Arial" w:cs="Arial"/>
          <w:sz w:val="24"/>
          <w:szCs w:val="24"/>
        </w:rPr>
        <w:t xml:space="preserve">. </w:t>
      </w:r>
      <w:r w:rsidRPr="008072C0" w:rsidR="005F43F2">
        <w:rPr>
          <w:rFonts w:ascii="Arial" w:eastAsia="Times New Roman" w:hAnsi="Arial" w:cs="Arial"/>
          <w:sz w:val="24"/>
          <w:szCs w:val="24"/>
        </w:rPr>
        <w:t>The burden is</w:t>
      </w:r>
      <w:r w:rsidRPr="008072C0" w:rsidR="003C2C71">
        <w:rPr>
          <w:rFonts w:ascii="Arial" w:eastAsia="Times New Roman" w:hAnsi="Arial" w:cs="Arial"/>
          <w:sz w:val="24"/>
          <w:szCs w:val="24"/>
        </w:rPr>
        <w:t xml:space="preserve"> </w:t>
      </w:r>
      <w:r w:rsidRPr="008072C0" w:rsidR="00445BD7">
        <w:rPr>
          <w:rFonts w:ascii="Arial" w:eastAsia="Times New Roman" w:hAnsi="Arial" w:cs="Arial"/>
          <w:sz w:val="24"/>
          <w:szCs w:val="24"/>
        </w:rPr>
        <w:t>4</w:t>
      </w:r>
      <w:r w:rsidRPr="008072C0" w:rsidR="00F46773">
        <w:rPr>
          <w:rFonts w:ascii="Arial" w:eastAsia="Times New Roman" w:hAnsi="Arial" w:cs="Arial"/>
          <w:sz w:val="24"/>
          <w:szCs w:val="24"/>
        </w:rPr>
        <w:t xml:space="preserve"> hours X </w:t>
      </w:r>
      <w:r w:rsidRPr="008072C0" w:rsidR="005535A7">
        <w:rPr>
          <w:rFonts w:ascii="Arial" w:eastAsia="Times New Roman" w:hAnsi="Arial" w:cs="Arial"/>
          <w:sz w:val="24"/>
          <w:szCs w:val="24"/>
        </w:rPr>
        <w:t>3</w:t>
      </w:r>
      <w:r w:rsidR="00C64079">
        <w:rPr>
          <w:rFonts w:ascii="Arial" w:eastAsia="Times New Roman" w:hAnsi="Arial" w:cs="Arial"/>
          <w:sz w:val="24"/>
          <w:szCs w:val="24"/>
        </w:rPr>
        <w:t>2</w:t>
      </w:r>
      <w:r w:rsidRPr="008072C0" w:rsidR="00025592">
        <w:rPr>
          <w:rFonts w:ascii="Arial" w:eastAsia="Times New Roman" w:hAnsi="Arial" w:cs="Arial"/>
          <w:sz w:val="24"/>
          <w:szCs w:val="24"/>
        </w:rPr>
        <w:t xml:space="preserve"> reports </w:t>
      </w:r>
      <w:r w:rsidRPr="008072C0" w:rsidR="005F43F2">
        <w:rPr>
          <w:rFonts w:ascii="Arial" w:eastAsia="Times New Roman" w:hAnsi="Arial" w:cs="Arial"/>
          <w:sz w:val="24"/>
          <w:szCs w:val="24"/>
        </w:rPr>
        <w:t xml:space="preserve">for a total of </w:t>
      </w:r>
      <w:r w:rsidRPr="008072C0" w:rsidR="003C7992">
        <w:rPr>
          <w:rFonts w:ascii="Arial" w:eastAsia="Times New Roman" w:hAnsi="Arial" w:cs="Arial"/>
          <w:sz w:val="24"/>
          <w:szCs w:val="24"/>
        </w:rPr>
        <w:t>1</w:t>
      </w:r>
      <w:r w:rsidRPr="008072C0" w:rsidR="005535A7">
        <w:rPr>
          <w:rFonts w:ascii="Arial" w:eastAsia="Times New Roman" w:hAnsi="Arial" w:cs="Arial"/>
          <w:sz w:val="24"/>
          <w:szCs w:val="24"/>
        </w:rPr>
        <w:t>2</w:t>
      </w:r>
      <w:r w:rsidR="00C64079">
        <w:rPr>
          <w:rFonts w:ascii="Arial" w:eastAsia="Times New Roman" w:hAnsi="Arial" w:cs="Arial"/>
          <w:sz w:val="24"/>
          <w:szCs w:val="24"/>
        </w:rPr>
        <w:t>8</w:t>
      </w:r>
      <w:r w:rsidRPr="008072C0">
        <w:rPr>
          <w:rFonts w:ascii="Arial" w:eastAsia="Times New Roman" w:hAnsi="Arial" w:cs="Arial"/>
          <w:sz w:val="24"/>
          <w:szCs w:val="24"/>
        </w:rPr>
        <w:t xml:space="preserve"> hours. </w:t>
      </w:r>
      <w:r w:rsidRPr="008072C0" w:rsidR="008555FD">
        <w:rPr>
          <w:rFonts w:ascii="Arial" w:eastAsia="Times New Roman" w:hAnsi="Arial" w:cs="Arial"/>
          <w:sz w:val="24"/>
          <w:szCs w:val="24"/>
        </w:rPr>
        <w:t>The</w:t>
      </w:r>
      <w:r w:rsidRPr="008072C0" w:rsidR="00025592">
        <w:rPr>
          <w:rFonts w:ascii="Arial" w:eastAsia="Times New Roman" w:hAnsi="Arial" w:cs="Arial"/>
          <w:sz w:val="24"/>
          <w:szCs w:val="24"/>
        </w:rPr>
        <w:t xml:space="preserve"> </w:t>
      </w:r>
      <w:r w:rsidRPr="008072C0" w:rsidR="005F43F2">
        <w:rPr>
          <w:rFonts w:ascii="Arial" w:eastAsia="Times New Roman" w:hAnsi="Arial" w:cs="Arial"/>
          <w:sz w:val="24"/>
          <w:szCs w:val="24"/>
        </w:rPr>
        <w:t xml:space="preserve">total burden </w:t>
      </w:r>
      <w:r w:rsidRPr="008072C0" w:rsidR="00025592">
        <w:rPr>
          <w:rFonts w:ascii="Arial" w:eastAsia="Times New Roman" w:hAnsi="Arial" w:cs="Arial"/>
          <w:sz w:val="24"/>
          <w:szCs w:val="24"/>
        </w:rPr>
        <w:t xml:space="preserve">cost </w:t>
      </w:r>
      <w:r w:rsidRPr="008072C0" w:rsidR="005F43F2">
        <w:rPr>
          <w:rFonts w:ascii="Arial" w:eastAsia="Times New Roman" w:hAnsi="Arial" w:cs="Arial"/>
          <w:sz w:val="24"/>
          <w:szCs w:val="24"/>
        </w:rPr>
        <w:t>equals $</w:t>
      </w:r>
      <w:r w:rsidRPr="008072C0" w:rsidR="001520CB">
        <w:rPr>
          <w:rFonts w:ascii="Arial" w:eastAsia="Times New Roman" w:hAnsi="Arial" w:cs="Arial"/>
          <w:sz w:val="24"/>
          <w:szCs w:val="24"/>
        </w:rPr>
        <w:t>1</w:t>
      </w:r>
      <w:r w:rsidR="00C64079">
        <w:rPr>
          <w:rFonts w:ascii="Arial" w:eastAsia="Times New Roman" w:hAnsi="Arial" w:cs="Arial"/>
          <w:sz w:val="24"/>
          <w:szCs w:val="24"/>
        </w:rPr>
        <w:t>3,674.</w:t>
      </w:r>
    </w:p>
    <w:p w:rsidR="004D6D38" w:rsidRPr="00E671D8" w:rsidP="004D6D38" w14:paraId="69633674" w14:textId="77777777">
      <w:pPr>
        <w:shd w:val="clear" w:color="auto" w:fill="FFFFFF"/>
        <w:spacing w:after="0" w:line="240" w:lineRule="auto"/>
        <w:rPr>
          <w:rFonts w:ascii="Arial" w:eastAsia="Times New Roman" w:hAnsi="Arial" w:cs="Arial"/>
          <w:color w:val="FF0000"/>
          <w:sz w:val="24"/>
          <w:szCs w:val="24"/>
        </w:rPr>
      </w:pPr>
    </w:p>
    <w:p w:rsidR="004D6D38" w:rsidRPr="0096717A" w:rsidP="004D6D38" w14:paraId="2A8ADA23" w14:textId="69B31039">
      <w:pPr>
        <w:shd w:val="clear" w:color="auto" w:fill="FFFFFF"/>
        <w:spacing w:after="0" w:line="240" w:lineRule="auto"/>
        <w:rPr>
          <w:rFonts w:ascii="Arial" w:eastAsia="Times New Roman" w:hAnsi="Arial" w:cs="Arial"/>
          <w:sz w:val="24"/>
          <w:szCs w:val="24"/>
        </w:rPr>
      </w:pPr>
      <w:r w:rsidRPr="0096717A">
        <w:rPr>
          <w:rFonts w:ascii="Arial" w:eastAsia="Times New Roman" w:hAnsi="Arial" w:cs="Arial"/>
          <w:sz w:val="24"/>
          <w:szCs w:val="24"/>
        </w:rPr>
        <w:t>FAA policy office</w:t>
      </w:r>
      <w:r w:rsidRPr="0096717A" w:rsidR="00727852">
        <w:rPr>
          <w:rFonts w:ascii="Arial" w:eastAsia="Times New Roman" w:hAnsi="Arial" w:cs="Arial"/>
          <w:sz w:val="24"/>
          <w:szCs w:val="24"/>
        </w:rPr>
        <w:t xml:space="preserve">’s </w:t>
      </w:r>
      <w:r w:rsidR="0051232A">
        <w:rPr>
          <w:rFonts w:ascii="Arial" w:eastAsia="Times New Roman" w:hAnsi="Arial" w:cs="Arial"/>
          <w:sz w:val="24"/>
          <w:szCs w:val="24"/>
        </w:rPr>
        <w:t xml:space="preserve">aerospace </w:t>
      </w:r>
      <w:r w:rsidRPr="0096717A" w:rsidR="00727852">
        <w:rPr>
          <w:rFonts w:ascii="Arial" w:eastAsia="Times New Roman" w:hAnsi="Arial" w:cs="Arial"/>
          <w:sz w:val="24"/>
          <w:szCs w:val="24"/>
        </w:rPr>
        <w:t>engineer</w:t>
      </w:r>
      <w:r w:rsidRPr="0096717A" w:rsidR="005B2254">
        <w:rPr>
          <w:rFonts w:ascii="Arial" w:eastAsia="Times New Roman" w:hAnsi="Arial" w:cs="Arial"/>
          <w:sz w:val="24"/>
          <w:szCs w:val="24"/>
        </w:rPr>
        <w:t xml:space="preserve"> </w:t>
      </w:r>
      <w:r w:rsidRPr="0096717A" w:rsidR="007021A2">
        <w:rPr>
          <w:rFonts w:ascii="Arial" w:eastAsia="Times New Roman" w:hAnsi="Arial" w:cs="Arial"/>
          <w:sz w:val="24"/>
          <w:szCs w:val="24"/>
        </w:rPr>
        <w:t>hours are estimated</w:t>
      </w:r>
      <w:r w:rsidRPr="0096717A" w:rsidR="00727852">
        <w:rPr>
          <w:rFonts w:ascii="Arial" w:eastAsia="Times New Roman" w:hAnsi="Arial" w:cs="Arial"/>
          <w:sz w:val="24"/>
          <w:szCs w:val="24"/>
        </w:rPr>
        <w:t xml:space="preserve"> to review and draft the</w:t>
      </w:r>
      <w:r w:rsidRPr="0096717A">
        <w:rPr>
          <w:rFonts w:ascii="Arial" w:eastAsia="Times New Roman" w:hAnsi="Arial" w:cs="Arial"/>
          <w:sz w:val="24"/>
          <w:szCs w:val="24"/>
        </w:rPr>
        <w:t xml:space="preserve"> federal register notices, </w:t>
      </w:r>
      <w:r w:rsidRPr="0096717A" w:rsidR="00295776">
        <w:rPr>
          <w:rFonts w:ascii="Arial" w:eastAsia="Times New Roman" w:hAnsi="Arial" w:cs="Arial"/>
          <w:sz w:val="24"/>
          <w:szCs w:val="24"/>
        </w:rPr>
        <w:t xml:space="preserve">make </w:t>
      </w:r>
      <w:r w:rsidRPr="0096717A">
        <w:rPr>
          <w:rFonts w:ascii="Arial" w:eastAsia="Times New Roman" w:hAnsi="Arial" w:cs="Arial"/>
          <w:sz w:val="24"/>
          <w:szCs w:val="24"/>
        </w:rPr>
        <w:t>updat</w:t>
      </w:r>
      <w:r w:rsidRPr="0096717A" w:rsidR="00295776">
        <w:rPr>
          <w:rFonts w:ascii="Arial" w:eastAsia="Times New Roman" w:hAnsi="Arial" w:cs="Arial"/>
          <w:sz w:val="24"/>
          <w:szCs w:val="24"/>
        </w:rPr>
        <w:t xml:space="preserve">es to </w:t>
      </w:r>
      <w:r w:rsidRPr="0096717A">
        <w:rPr>
          <w:rFonts w:ascii="Arial" w:eastAsia="Times New Roman" w:hAnsi="Arial" w:cs="Arial"/>
          <w:sz w:val="24"/>
          <w:szCs w:val="24"/>
        </w:rPr>
        <w:t>statement A</w:t>
      </w:r>
      <w:r w:rsidRPr="0096717A" w:rsidR="00727852">
        <w:rPr>
          <w:rFonts w:ascii="Arial" w:eastAsia="Times New Roman" w:hAnsi="Arial" w:cs="Arial"/>
          <w:sz w:val="24"/>
          <w:szCs w:val="24"/>
        </w:rPr>
        <w:t>, and coordinat</w:t>
      </w:r>
      <w:r w:rsidRPr="0096717A" w:rsidR="00896090">
        <w:rPr>
          <w:rFonts w:ascii="Arial" w:eastAsia="Times New Roman" w:hAnsi="Arial" w:cs="Arial"/>
          <w:sz w:val="24"/>
          <w:szCs w:val="24"/>
        </w:rPr>
        <w:t>e</w:t>
      </w:r>
      <w:r w:rsidRPr="0096717A" w:rsidR="00727852">
        <w:rPr>
          <w:rFonts w:ascii="Arial" w:eastAsia="Times New Roman" w:hAnsi="Arial" w:cs="Arial"/>
          <w:sz w:val="24"/>
          <w:szCs w:val="24"/>
        </w:rPr>
        <w:t xml:space="preserve"> with other FAA oversight off</w:t>
      </w:r>
      <w:r w:rsidRPr="0096717A">
        <w:rPr>
          <w:rFonts w:ascii="Arial" w:eastAsia="Times New Roman" w:hAnsi="Arial" w:cs="Arial"/>
          <w:sz w:val="24"/>
          <w:szCs w:val="24"/>
        </w:rPr>
        <w:t>ices.</w:t>
      </w:r>
      <w:r w:rsidR="004808B2">
        <w:rPr>
          <w:rFonts w:ascii="Arial" w:eastAsia="Times New Roman" w:hAnsi="Arial" w:cs="Arial"/>
          <w:sz w:val="24"/>
          <w:szCs w:val="24"/>
        </w:rPr>
        <w:t xml:space="preserve"> </w:t>
      </w:r>
      <w:r w:rsidRPr="0096717A" w:rsidR="001520CB">
        <w:rPr>
          <w:rFonts w:ascii="Arial" w:eastAsia="Times New Roman" w:hAnsi="Arial" w:cs="Arial"/>
          <w:sz w:val="24"/>
          <w:szCs w:val="24"/>
        </w:rPr>
        <w:t>The</w:t>
      </w:r>
      <w:r w:rsidRPr="0096717A" w:rsidR="00445BD7">
        <w:rPr>
          <w:rFonts w:ascii="Arial" w:eastAsia="Times New Roman" w:hAnsi="Arial" w:cs="Arial"/>
          <w:sz w:val="24"/>
          <w:szCs w:val="24"/>
        </w:rPr>
        <w:t xml:space="preserve"> </w:t>
      </w:r>
      <w:r w:rsidRPr="0096717A" w:rsidR="00470857">
        <w:rPr>
          <w:rFonts w:ascii="Arial" w:eastAsia="Times New Roman" w:hAnsi="Arial" w:cs="Arial"/>
          <w:sz w:val="24"/>
          <w:szCs w:val="24"/>
        </w:rPr>
        <w:t>burden</w:t>
      </w:r>
      <w:r w:rsidRPr="0096717A" w:rsidR="00445BD7">
        <w:rPr>
          <w:rFonts w:ascii="Arial" w:eastAsia="Times New Roman" w:hAnsi="Arial" w:cs="Arial"/>
          <w:sz w:val="24"/>
          <w:szCs w:val="24"/>
        </w:rPr>
        <w:t xml:space="preserve"> is </w:t>
      </w:r>
      <w:r w:rsidRPr="0096717A" w:rsidR="008E2BD9">
        <w:rPr>
          <w:rFonts w:ascii="Arial" w:eastAsia="Times New Roman" w:hAnsi="Arial" w:cs="Arial"/>
          <w:sz w:val="24"/>
          <w:szCs w:val="24"/>
        </w:rPr>
        <w:t>2</w:t>
      </w:r>
      <w:r w:rsidR="00C46A68">
        <w:rPr>
          <w:rFonts w:ascii="Arial" w:eastAsia="Times New Roman" w:hAnsi="Arial" w:cs="Arial"/>
          <w:sz w:val="24"/>
          <w:szCs w:val="24"/>
        </w:rPr>
        <w:t>0</w:t>
      </w:r>
      <w:r w:rsidRPr="0096717A" w:rsidR="00727852">
        <w:rPr>
          <w:rFonts w:ascii="Arial" w:eastAsia="Times New Roman" w:hAnsi="Arial" w:cs="Arial"/>
          <w:sz w:val="24"/>
          <w:szCs w:val="24"/>
        </w:rPr>
        <w:t xml:space="preserve"> hours </w:t>
      </w:r>
      <w:r w:rsidRPr="0096717A" w:rsidR="0096717A">
        <w:rPr>
          <w:rFonts w:ascii="Arial" w:eastAsia="Times New Roman" w:hAnsi="Arial" w:cs="Arial"/>
          <w:sz w:val="24"/>
          <w:szCs w:val="24"/>
        </w:rPr>
        <w:t>for a total burden cost of</w:t>
      </w:r>
      <w:r w:rsidRPr="0096717A" w:rsidR="00727852">
        <w:rPr>
          <w:rFonts w:ascii="Arial" w:eastAsia="Times New Roman" w:hAnsi="Arial" w:cs="Arial"/>
          <w:sz w:val="24"/>
          <w:szCs w:val="24"/>
        </w:rPr>
        <w:t xml:space="preserve"> </w:t>
      </w:r>
      <w:r w:rsidRPr="0096717A" w:rsidR="008E2BD9">
        <w:rPr>
          <w:rFonts w:ascii="Arial" w:eastAsia="Times New Roman" w:hAnsi="Arial" w:cs="Arial"/>
          <w:sz w:val="24"/>
          <w:szCs w:val="24"/>
        </w:rPr>
        <w:t>$</w:t>
      </w:r>
      <w:r w:rsidRPr="0096717A" w:rsidR="00E671D8">
        <w:rPr>
          <w:rFonts w:ascii="Arial" w:eastAsia="Times New Roman" w:hAnsi="Arial" w:cs="Arial"/>
          <w:sz w:val="24"/>
          <w:szCs w:val="24"/>
        </w:rPr>
        <w:t>2,</w:t>
      </w:r>
      <w:r w:rsidR="00C46A68">
        <w:rPr>
          <w:rFonts w:ascii="Arial" w:eastAsia="Times New Roman" w:hAnsi="Arial" w:cs="Arial"/>
          <w:sz w:val="24"/>
          <w:szCs w:val="24"/>
        </w:rPr>
        <w:t>13</w:t>
      </w:r>
      <w:r w:rsidR="00D44E0F">
        <w:rPr>
          <w:rFonts w:ascii="Arial" w:eastAsia="Times New Roman" w:hAnsi="Arial" w:cs="Arial"/>
          <w:sz w:val="24"/>
          <w:szCs w:val="24"/>
        </w:rPr>
        <w:t>7</w:t>
      </w:r>
      <w:r w:rsidRPr="0096717A" w:rsidR="0096717A">
        <w:rPr>
          <w:rFonts w:ascii="Arial" w:eastAsia="Times New Roman" w:hAnsi="Arial" w:cs="Arial"/>
          <w:sz w:val="24"/>
          <w:szCs w:val="24"/>
        </w:rPr>
        <w:t>.</w:t>
      </w:r>
    </w:p>
    <w:p w:rsidR="004D6D38" w:rsidRPr="00E671D8" w:rsidP="004D6D38" w14:paraId="2D4DBD03" w14:textId="77777777">
      <w:pPr>
        <w:shd w:val="clear" w:color="auto" w:fill="FFFFFF"/>
        <w:spacing w:after="0" w:line="240" w:lineRule="auto"/>
        <w:rPr>
          <w:rFonts w:ascii="Arial" w:eastAsia="Times New Roman" w:hAnsi="Arial" w:cs="Arial"/>
          <w:color w:val="FF0000"/>
          <w:sz w:val="24"/>
          <w:szCs w:val="24"/>
        </w:rPr>
      </w:pPr>
    </w:p>
    <w:p w:rsidR="00B213F3" w:rsidRPr="006A6969" w:rsidP="00B213F3" w14:paraId="2056D592" w14:textId="435D377F">
      <w:pPr>
        <w:shd w:val="clear" w:color="auto" w:fill="FFFFFF"/>
        <w:spacing w:after="0" w:line="240" w:lineRule="auto"/>
        <w:rPr>
          <w:rFonts w:ascii="Arial" w:hAnsi="Arial" w:cs="Arial"/>
          <w:sz w:val="24"/>
          <w:szCs w:val="24"/>
        </w:rPr>
      </w:pPr>
      <w:r w:rsidRPr="00B213F3">
        <w:rPr>
          <w:rFonts w:ascii="Arial" w:eastAsia="Times New Roman" w:hAnsi="Arial" w:cs="Arial"/>
          <w:sz w:val="24"/>
          <w:szCs w:val="24"/>
        </w:rPr>
        <w:t>Adding the above, t</w:t>
      </w:r>
      <w:r w:rsidRPr="00B213F3" w:rsidR="004D6D38">
        <w:rPr>
          <w:rFonts w:ascii="Arial" w:eastAsia="Times New Roman" w:hAnsi="Arial" w:cs="Arial"/>
          <w:sz w:val="24"/>
          <w:szCs w:val="24"/>
        </w:rPr>
        <w:t xml:space="preserve">he total annual cost to the Federal government is </w:t>
      </w:r>
      <w:r w:rsidRPr="00B213F3" w:rsidR="00025592">
        <w:rPr>
          <w:rFonts w:ascii="Arial" w:eastAsia="Times New Roman" w:hAnsi="Arial" w:cs="Arial"/>
          <w:sz w:val="24"/>
          <w:szCs w:val="24"/>
        </w:rPr>
        <w:t>$</w:t>
      </w:r>
      <w:r w:rsidRPr="00B213F3" w:rsidR="00E671D8">
        <w:rPr>
          <w:rFonts w:ascii="Arial" w:eastAsia="Times New Roman" w:hAnsi="Arial" w:cs="Arial"/>
          <w:sz w:val="24"/>
          <w:szCs w:val="24"/>
        </w:rPr>
        <w:t>1</w:t>
      </w:r>
      <w:r w:rsidR="00557E32">
        <w:rPr>
          <w:rFonts w:ascii="Arial" w:eastAsia="Times New Roman" w:hAnsi="Arial" w:cs="Arial"/>
          <w:sz w:val="24"/>
          <w:szCs w:val="24"/>
        </w:rPr>
        <w:t>5,</w:t>
      </w:r>
      <w:r w:rsidR="00C46A68">
        <w:rPr>
          <w:rFonts w:ascii="Arial" w:eastAsia="Times New Roman" w:hAnsi="Arial" w:cs="Arial"/>
          <w:sz w:val="24"/>
          <w:szCs w:val="24"/>
        </w:rPr>
        <w:t>81</w:t>
      </w:r>
      <w:r w:rsidR="00D44E0F">
        <w:rPr>
          <w:rFonts w:ascii="Arial" w:eastAsia="Times New Roman" w:hAnsi="Arial" w:cs="Arial"/>
          <w:sz w:val="24"/>
          <w:szCs w:val="24"/>
        </w:rPr>
        <w:t>1</w:t>
      </w:r>
      <w:r w:rsidRPr="00B213F3">
        <w:rPr>
          <w:rFonts w:ascii="Arial" w:eastAsia="Times New Roman" w:hAnsi="Arial" w:cs="Arial"/>
          <w:sz w:val="24"/>
          <w:szCs w:val="24"/>
        </w:rPr>
        <w:t xml:space="preserve">. </w:t>
      </w:r>
      <w:r w:rsidRPr="006A6969">
        <w:rPr>
          <w:rFonts w:ascii="Arial" w:hAnsi="Arial" w:cs="Arial"/>
          <w:sz w:val="24"/>
          <w:szCs w:val="24"/>
        </w:rPr>
        <w:t>The following provides details of response, burden, and cost estimates to the FAA</w:t>
      </w:r>
      <w:r>
        <w:rPr>
          <w:rFonts w:ascii="Arial" w:hAnsi="Arial" w:cs="Arial"/>
          <w:sz w:val="24"/>
          <w:szCs w:val="24"/>
        </w:rPr>
        <w:t>.</w:t>
      </w:r>
    </w:p>
    <w:p w:rsidR="004D6D38" w:rsidRPr="003C7992" w:rsidP="004D6D38" w14:paraId="7A2522B5" w14:textId="3E4BF3F1">
      <w:pPr>
        <w:shd w:val="clear" w:color="auto" w:fill="FFFFFF"/>
        <w:spacing w:after="0" w:line="240" w:lineRule="auto"/>
        <w:rPr>
          <w:rFonts w:ascii="Arial" w:eastAsia="Times New Roman" w:hAnsi="Arial" w:cs="Arial"/>
          <w:color w:val="FF0000"/>
          <w:sz w:val="24"/>
          <w:szCs w:val="24"/>
        </w:rPr>
      </w:pPr>
    </w:p>
    <w:tbl>
      <w:tblPr>
        <w:tblW w:w="9440" w:type="dxa"/>
        <w:tblLayout w:type="fixed"/>
        <w:tblLook w:val="04A0"/>
      </w:tblPr>
      <w:tblGrid>
        <w:gridCol w:w="2150"/>
        <w:gridCol w:w="1260"/>
        <w:gridCol w:w="1170"/>
        <w:gridCol w:w="1800"/>
        <w:gridCol w:w="1530"/>
        <w:gridCol w:w="1530"/>
      </w:tblGrid>
      <w:tr w14:paraId="116A2D1B" w14:textId="77777777" w:rsidTr="003712AC">
        <w:tblPrEx>
          <w:tblW w:w="9440" w:type="dxa"/>
          <w:tblLayout w:type="fixed"/>
          <w:tblLook w:val="04A0"/>
        </w:tblPrEx>
        <w:trPr>
          <w:trHeight w:val="890"/>
        </w:trPr>
        <w:tc>
          <w:tcPr>
            <w:tcW w:w="2150" w:type="dxa"/>
            <w:vMerge w:val="restart"/>
            <w:tcBorders>
              <w:top w:val="single" w:sz="8" w:space="0" w:color="auto"/>
              <w:left w:val="single" w:sz="8" w:space="0" w:color="auto"/>
              <w:bottom w:val="single" w:sz="12" w:space="0" w:color="000000"/>
              <w:right w:val="single" w:sz="4" w:space="0" w:color="auto"/>
            </w:tcBorders>
            <w:noWrap/>
            <w:vAlign w:val="center"/>
            <w:hideMark/>
          </w:tcPr>
          <w:p w:rsidR="003712AC" w:rsidRPr="003712AC" w:rsidP="003712AC" w14:paraId="2185A6FE" w14:textId="77777777">
            <w:pPr>
              <w:spacing w:after="0" w:line="240" w:lineRule="auto"/>
              <w:jc w:val="center"/>
              <w:rPr>
                <w:rFonts w:ascii="Times New Roman" w:eastAsia="Times New Roman" w:hAnsi="Times New Roman" w:cs="Times New Roman"/>
                <w:b/>
                <w:bCs/>
                <w:color w:val="000000"/>
                <w:sz w:val="24"/>
                <w:szCs w:val="24"/>
              </w:rPr>
            </w:pPr>
            <w:r w:rsidRPr="003712AC">
              <w:rPr>
                <w:rFonts w:ascii="Times New Roman" w:eastAsia="Times New Roman" w:hAnsi="Times New Roman" w:cs="Times New Roman"/>
                <w:b/>
                <w:bCs/>
                <w:color w:val="000000"/>
                <w:sz w:val="24"/>
                <w:szCs w:val="24"/>
              </w:rPr>
              <w:t>FAA Office / Role</w:t>
            </w:r>
          </w:p>
        </w:tc>
        <w:tc>
          <w:tcPr>
            <w:tcW w:w="1260" w:type="dxa"/>
            <w:vMerge w:val="restart"/>
            <w:tcBorders>
              <w:top w:val="single" w:sz="8" w:space="0" w:color="auto"/>
              <w:left w:val="single" w:sz="4" w:space="0" w:color="auto"/>
              <w:bottom w:val="single" w:sz="12" w:space="0" w:color="000000"/>
              <w:right w:val="single" w:sz="4" w:space="0" w:color="auto"/>
            </w:tcBorders>
            <w:vAlign w:val="center"/>
            <w:hideMark/>
          </w:tcPr>
          <w:p w:rsidR="003712AC" w:rsidRPr="003712AC" w:rsidP="003712AC" w14:paraId="1F641486" w14:textId="77777777">
            <w:pPr>
              <w:spacing w:after="0" w:line="240" w:lineRule="auto"/>
              <w:jc w:val="center"/>
              <w:rPr>
                <w:rFonts w:ascii="Times New Roman" w:eastAsia="Times New Roman" w:hAnsi="Times New Roman" w:cs="Times New Roman"/>
                <w:b/>
                <w:bCs/>
                <w:color w:val="000000"/>
                <w:sz w:val="24"/>
                <w:szCs w:val="24"/>
              </w:rPr>
            </w:pPr>
            <w:r w:rsidRPr="003712AC">
              <w:rPr>
                <w:rFonts w:ascii="Times New Roman" w:eastAsia="Times New Roman" w:hAnsi="Times New Roman" w:cs="Times New Roman"/>
                <w:b/>
                <w:bCs/>
                <w:color w:val="000000"/>
                <w:sz w:val="24"/>
                <w:szCs w:val="24"/>
              </w:rPr>
              <w:t>Annual Salary</w:t>
            </w:r>
          </w:p>
        </w:tc>
        <w:tc>
          <w:tcPr>
            <w:tcW w:w="1170" w:type="dxa"/>
            <w:vMerge w:val="restart"/>
            <w:tcBorders>
              <w:top w:val="single" w:sz="8" w:space="0" w:color="auto"/>
              <w:left w:val="single" w:sz="4" w:space="0" w:color="auto"/>
              <w:bottom w:val="single" w:sz="12" w:space="0" w:color="000000"/>
              <w:right w:val="single" w:sz="4" w:space="0" w:color="auto"/>
            </w:tcBorders>
            <w:vAlign w:val="center"/>
            <w:hideMark/>
          </w:tcPr>
          <w:p w:rsidR="003712AC" w:rsidRPr="003712AC" w:rsidP="003712AC" w14:paraId="5D741FA3" w14:textId="77777777">
            <w:pPr>
              <w:spacing w:after="0" w:line="240" w:lineRule="auto"/>
              <w:jc w:val="center"/>
              <w:rPr>
                <w:rFonts w:ascii="Times New Roman" w:eastAsia="Times New Roman" w:hAnsi="Times New Roman" w:cs="Times New Roman"/>
                <w:b/>
                <w:bCs/>
                <w:color w:val="000000"/>
                <w:sz w:val="24"/>
                <w:szCs w:val="24"/>
              </w:rPr>
            </w:pPr>
            <w:r w:rsidRPr="003712AC">
              <w:rPr>
                <w:rFonts w:ascii="Times New Roman" w:eastAsia="Times New Roman" w:hAnsi="Times New Roman" w:cs="Times New Roman"/>
                <w:b/>
                <w:bCs/>
                <w:color w:val="000000"/>
                <w:sz w:val="24"/>
                <w:szCs w:val="24"/>
              </w:rPr>
              <w:t>Load Factor</w:t>
            </w:r>
            <w:r w:rsidRPr="003712AC">
              <w:rPr>
                <w:rFonts w:ascii="Times New Roman" w:eastAsia="Times New Roman" w:hAnsi="Times New Roman" w:cs="Times New Roman"/>
                <w:color w:val="000000"/>
                <w:vertAlign w:val="superscript"/>
              </w:rPr>
              <w:t>1</w:t>
            </w:r>
          </w:p>
        </w:tc>
        <w:tc>
          <w:tcPr>
            <w:tcW w:w="1800" w:type="dxa"/>
            <w:vMerge w:val="restart"/>
            <w:tcBorders>
              <w:top w:val="single" w:sz="8" w:space="0" w:color="auto"/>
              <w:left w:val="single" w:sz="4" w:space="0" w:color="auto"/>
              <w:bottom w:val="single" w:sz="12" w:space="0" w:color="000000"/>
              <w:right w:val="single" w:sz="12" w:space="0" w:color="auto"/>
            </w:tcBorders>
            <w:vAlign w:val="center"/>
            <w:hideMark/>
          </w:tcPr>
          <w:p w:rsidR="003712AC" w:rsidRPr="003712AC" w:rsidP="003712AC" w14:paraId="4AEE8A94" w14:textId="77777777">
            <w:pPr>
              <w:spacing w:after="0" w:line="240" w:lineRule="auto"/>
              <w:jc w:val="center"/>
              <w:rPr>
                <w:rFonts w:ascii="Times New Roman" w:eastAsia="Times New Roman" w:hAnsi="Times New Roman" w:cs="Times New Roman"/>
                <w:b/>
                <w:bCs/>
                <w:color w:val="000000"/>
                <w:sz w:val="24"/>
                <w:szCs w:val="24"/>
              </w:rPr>
            </w:pPr>
            <w:r w:rsidRPr="003712AC">
              <w:rPr>
                <w:rFonts w:ascii="Times New Roman" w:eastAsia="Times New Roman" w:hAnsi="Times New Roman" w:cs="Times New Roman"/>
                <w:b/>
                <w:bCs/>
                <w:color w:val="000000"/>
                <w:sz w:val="24"/>
                <w:szCs w:val="24"/>
              </w:rPr>
              <w:t>Fully-Loaded</w:t>
            </w:r>
            <w:r w:rsidRPr="003712AC">
              <w:rPr>
                <w:rFonts w:ascii="Times New Roman" w:eastAsia="Times New Roman" w:hAnsi="Times New Roman" w:cs="Times New Roman"/>
                <w:b/>
                <w:bCs/>
                <w:color w:val="000000"/>
                <w:sz w:val="24"/>
                <w:szCs w:val="24"/>
              </w:rPr>
              <w:t xml:space="preserve"> Hourly Wage</w:t>
            </w:r>
            <w:r w:rsidRPr="003712AC">
              <w:rPr>
                <w:rFonts w:ascii="Times New Roman" w:eastAsia="Times New Roman" w:hAnsi="Times New Roman" w:cs="Times New Roman"/>
                <w:color w:val="000000"/>
                <w:vertAlign w:val="superscript"/>
              </w:rPr>
              <w:t>2</w:t>
            </w:r>
          </w:p>
        </w:tc>
        <w:tc>
          <w:tcPr>
            <w:tcW w:w="3060" w:type="dxa"/>
            <w:gridSpan w:val="2"/>
            <w:tcBorders>
              <w:top w:val="single" w:sz="8" w:space="0" w:color="auto"/>
              <w:left w:val="nil"/>
              <w:bottom w:val="single" w:sz="4" w:space="0" w:color="auto"/>
              <w:right w:val="single" w:sz="8" w:space="0" w:color="000000"/>
            </w:tcBorders>
            <w:vAlign w:val="bottom"/>
            <w:hideMark/>
          </w:tcPr>
          <w:p w:rsidR="003712AC" w:rsidRPr="003712AC" w:rsidP="003712AC" w14:paraId="3C472BDA" w14:textId="77777777">
            <w:pPr>
              <w:spacing w:after="0" w:line="240" w:lineRule="auto"/>
              <w:jc w:val="center"/>
              <w:rPr>
                <w:rFonts w:ascii="Times New Roman" w:eastAsia="Times New Roman" w:hAnsi="Times New Roman" w:cs="Times New Roman"/>
                <w:b/>
                <w:bCs/>
                <w:color w:val="000000"/>
                <w:sz w:val="24"/>
                <w:szCs w:val="24"/>
              </w:rPr>
            </w:pPr>
            <w:r w:rsidRPr="003712AC">
              <w:rPr>
                <w:rFonts w:ascii="Times New Roman" w:eastAsia="Times New Roman" w:hAnsi="Times New Roman" w:cs="Times New Roman"/>
                <w:b/>
                <w:bCs/>
                <w:color w:val="000000"/>
                <w:sz w:val="24"/>
                <w:szCs w:val="24"/>
              </w:rPr>
              <w:t>Reduction of Fuel Tank Flammability on Transport Category Airplanes</w:t>
            </w:r>
          </w:p>
        </w:tc>
      </w:tr>
      <w:tr w14:paraId="78ACA4FD" w14:textId="77777777" w:rsidTr="003712AC">
        <w:tblPrEx>
          <w:tblW w:w="9440" w:type="dxa"/>
          <w:tblLayout w:type="fixed"/>
          <w:tblLook w:val="04A0"/>
        </w:tblPrEx>
        <w:trPr>
          <w:trHeight w:val="320"/>
        </w:trPr>
        <w:tc>
          <w:tcPr>
            <w:tcW w:w="2150" w:type="dxa"/>
            <w:vMerge/>
            <w:tcBorders>
              <w:top w:val="single" w:sz="8" w:space="0" w:color="auto"/>
              <w:left w:val="single" w:sz="8" w:space="0" w:color="auto"/>
              <w:bottom w:val="single" w:sz="12" w:space="0" w:color="000000"/>
              <w:right w:val="single" w:sz="4" w:space="0" w:color="auto"/>
            </w:tcBorders>
            <w:vAlign w:val="center"/>
            <w:hideMark/>
          </w:tcPr>
          <w:p w:rsidR="003712AC" w:rsidRPr="003712AC" w:rsidP="003712AC" w14:paraId="31510F4B" w14:textId="77777777">
            <w:pPr>
              <w:spacing w:after="0" w:line="240" w:lineRule="auto"/>
              <w:rPr>
                <w:rFonts w:ascii="Times New Roman" w:eastAsia="Times New Roman" w:hAnsi="Times New Roman" w:cs="Times New Roman"/>
                <w:b/>
                <w:bCs/>
                <w:color w:val="000000"/>
                <w:sz w:val="24"/>
                <w:szCs w:val="24"/>
              </w:rPr>
            </w:pPr>
          </w:p>
        </w:tc>
        <w:tc>
          <w:tcPr>
            <w:tcW w:w="1260" w:type="dxa"/>
            <w:vMerge/>
            <w:tcBorders>
              <w:top w:val="single" w:sz="8" w:space="0" w:color="auto"/>
              <w:left w:val="single" w:sz="4" w:space="0" w:color="auto"/>
              <w:bottom w:val="single" w:sz="12" w:space="0" w:color="000000"/>
              <w:right w:val="single" w:sz="4" w:space="0" w:color="auto"/>
            </w:tcBorders>
            <w:vAlign w:val="center"/>
            <w:hideMark/>
          </w:tcPr>
          <w:p w:rsidR="003712AC" w:rsidRPr="003712AC" w:rsidP="003712AC" w14:paraId="0DC489B7" w14:textId="77777777">
            <w:pPr>
              <w:spacing w:after="0" w:line="240" w:lineRule="auto"/>
              <w:rPr>
                <w:rFonts w:ascii="Times New Roman" w:eastAsia="Times New Roman" w:hAnsi="Times New Roman" w:cs="Times New Roman"/>
                <w:b/>
                <w:bCs/>
                <w:color w:val="000000"/>
                <w:sz w:val="24"/>
                <w:szCs w:val="24"/>
              </w:rPr>
            </w:pPr>
          </w:p>
        </w:tc>
        <w:tc>
          <w:tcPr>
            <w:tcW w:w="1170" w:type="dxa"/>
            <w:vMerge/>
            <w:tcBorders>
              <w:top w:val="single" w:sz="8" w:space="0" w:color="auto"/>
              <w:left w:val="single" w:sz="4" w:space="0" w:color="auto"/>
              <w:bottom w:val="single" w:sz="12" w:space="0" w:color="000000"/>
              <w:right w:val="single" w:sz="4" w:space="0" w:color="auto"/>
            </w:tcBorders>
            <w:vAlign w:val="center"/>
            <w:hideMark/>
          </w:tcPr>
          <w:p w:rsidR="003712AC" w:rsidRPr="003712AC" w:rsidP="003712AC" w14:paraId="47E3E04F" w14:textId="77777777">
            <w:pPr>
              <w:spacing w:after="0" w:line="240" w:lineRule="auto"/>
              <w:rPr>
                <w:rFonts w:ascii="Times New Roman" w:eastAsia="Times New Roman" w:hAnsi="Times New Roman" w:cs="Times New Roman"/>
                <w:b/>
                <w:bCs/>
                <w:color w:val="000000"/>
                <w:sz w:val="24"/>
                <w:szCs w:val="24"/>
              </w:rPr>
            </w:pPr>
          </w:p>
        </w:tc>
        <w:tc>
          <w:tcPr>
            <w:tcW w:w="1800" w:type="dxa"/>
            <w:vMerge/>
            <w:tcBorders>
              <w:top w:val="single" w:sz="8" w:space="0" w:color="auto"/>
              <w:left w:val="single" w:sz="4" w:space="0" w:color="auto"/>
              <w:bottom w:val="single" w:sz="12" w:space="0" w:color="000000"/>
              <w:right w:val="single" w:sz="12" w:space="0" w:color="auto"/>
            </w:tcBorders>
            <w:vAlign w:val="center"/>
            <w:hideMark/>
          </w:tcPr>
          <w:p w:rsidR="003712AC" w:rsidRPr="003712AC" w:rsidP="003712AC" w14:paraId="0C2124B3" w14:textId="77777777">
            <w:pPr>
              <w:spacing w:after="0" w:line="240" w:lineRule="auto"/>
              <w:rPr>
                <w:rFonts w:ascii="Times New Roman" w:eastAsia="Times New Roman" w:hAnsi="Times New Roman" w:cs="Times New Roman"/>
                <w:b/>
                <w:bCs/>
                <w:color w:val="000000"/>
                <w:sz w:val="24"/>
                <w:szCs w:val="24"/>
              </w:rPr>
            </w:pPr>
          </w:p>
        </w:tc>
        <w:tc>
          <w:tcPr>
            <w:tcW w:w="1530" w:type="dxa"/>
            <w:tcBorders>
              <w:top w:val="nil"/>
              <w:left w:val="nil"/>
              <w:bottom w:val="single" w:sz="12" w:space="0" w:color="auto"/>
              <w:right w:val="single" w:sz="4" w:space="0" w:color="auto"/>
            </w:tcBorders>
            <w:noWrap/>
            <w:vAlign w:val="bottom"/>
            <w:hideMark/>
          </w:tcPr>
          <w:p w:rsidR="003712AC" w:rsidRPr="003712AC" w:rsidP="003712AC" w14:paraId="6E898D03" w14:textId="77777777">
            <w:pPr>
              <w:spacing w:after="0" w:line="240" w:lineRule="auto"/>
              <w:jc w:val="center"/>
              <w:rPr>
                <w:rFonts w:ascii="Times New Roman" w:eastAsia="Times New Roman" w:hAnsi="Times New Roman" w:cs="Times New Roman"/>
                <w:i/>
                <w:iCs/>
                <w:color w:val="000000"/>
                <w:sz w:val="24"/>
                <w:szCs w:val="24"/>
              </w:rPr>
            </w:pPr>
            <w:r w:rsidRPr="003712AC">
              <w:rPr>
                <w:rFonts w:ascii="Times New Roman" w:eastAsia="Times New Roman" w:hAnsi="Times New Roman" w:cs="Times New Roman"/>
                <w:i/>
                <w:iCs/>
                <w:color w:val="000000"/>
                <w:sz w:val="24"/>
                <w:szCs w:val="24"/>
              </w:rPr>
              <w:t>Labor Hours</w:t>
            </w:r>
          </w:p>
        </w:tc>
        <w:tc>
          <w:tcPr>
            <w:tcW w:w="1530" w:type="dxa"/>
            <w:tcBorders>
              <w:top w:val="nil"/>
              <w:left w:val="nil"/>
              <w:bottom w:val="single" w:sz="12" w:space="0" w:color="auto"/>
              <w:right w:val="single" w:sz="8" w:space="0" w:color="auto"/>
            </w:tcBorders>
            <w:noWrap/>
            <w:vAlign w:val="bottom"/>
            <w:hideMark/>
          </w:tcPr>
          <w:p w:rsidR="003712AC" w:rsidRPr="003712AC" w:rsidP="003712AC" w14:paraId="2DF3AFD1" w14:textId="77777777">
            <w:pPr>
              <w:spacing w:after="0" w:line="240" w:lineRule="auto"/>
              <w:jc w:val="center"/>
              <w:rPr>
                <w:rFonts w:ascii="Times New Roman" w:eastAsia="Times New Roman" w:hAnsi="Times New Roman" w:cs="Times New Roman"/>
                <w:i/>
                <w:iCs/>
                <w:color w:val="000000"/>
                <w:sz w:val="24"/>
                <w:szCs w:val="24"/>
              </w:rPr>
            </w:pPr>
            <w:r w:rsidRPr="003712AC">
              <w:rPr>
                <w:rFonts w:ascii="Times New Roman" w:eastAsia="Times New Roman" w:hAnsi="Times New Roman" w:cs="Times New Roman"/>
                <w:i/>
                <w:iCs/>
                <w:color w:val="000000"/>
                <w:sz w:val="24"/>
                <w:szCs w:val="24"/>
              </w:rPr>
              <w:t>Labor Cost</w:t>
            </w:r>
          </w:p>
        </w:tc>
      </w:tr>
      <w:tr w14:paraId="08B677C1" w14:textId="77777777" w:rsidTr="003712AC">
        <w:tblPrEx>
          <w:tblW w:w="9440" w:type="dxa"/>
          <w:tblLayout w:type="fixed"/>
          <w:tblLook w:val="04A0"/>
        </w:tblPrEx>
        <w:trPr>
          <w:trHeight w:val="320"/>
        </w:trPr>
        <w:tc>
          <w:tcPr>
            <w:tcW w:w="2150" w:type="dxa"/>
            <w:tcBorders>
              <w:top w:val="single" w:sz="4" w:space="0" w:color="auto"/>
              <w:left w:val="single" w:sz="8" w:space="0" w:color="auto"/>
              <w:bottom w:val="single" w:sz="4" w:space="0" w:color="auto"/>
              <w:right w:val="single" w:sz="4" w:space="0" w:color="auto"/>
            </w:tcBorders>
            <w:noWrap/>
            <w:vAlign w:val="bottom"/>
            <w:hideMark/>
          </w:tcPr>
          <w:p w:rsidR="003712AC" w:rsidRPr="003712AC" w:rsidP="003712AC" w14:paraId="1242635E" w14:textId="77777777">
            <w:pPr>
              <w:spacing w:after="0" w:line="240" w:lineRule="auto"/>
              <w:rPr>
                <w:rFonts w:ascii="Times New Roman" w:eastAsia="Times New Roman" w:hAnsi="Times New Roman" w:cs="Times New Roman"/>
                <w:color w:val="000000"/>
                <w:sz w:val="24"/>
                <w:szCs w:val="24"/>
              </w:rPr>
            </w:pPr>
            <w:r w:rsidRPr="003712AC">
              <w:rPr>
                <w:rFonts w:ascii="Times New Roman" w:eastAsia="Times New Roman" w:hAnsi="Times New Roman" w:cs="Times New Roman"/>
                <w:color w:val="000000"/>
                <w:sz w:val="24"/>
                <w:szCs w:val="24"/>
              </w:rPr>
              <w:t>Aerospace Engineer (J band)</w:t>
            </w:r>
          </w:p>
        </w:tc>
        <w:tc>
          <w:tcPr>
            <w:tcW w:w="1260" w:type="dxa"/>
            <w:tcBorders>
              <w:top w:val="single" w:sz="4" w:space="0" w:color="auto"/>
              <w:left w:val="nil"/>
              <w:bottom w:val="single" w:sz="4" w:space="0" w:color="auto"/>
              <w:right w:val="single" w:sz="4" w:space="0" w:color="auto"/>
            </w:tcBorders>
            <w:noWrap/>
            <w:vAlign w:val="center"/>
            <w:hideMark/>
          </w:tcPr>
          <w:p w:rsidR="003712AC" w:rsidRPr="003712AC" w:rsidP="003712AC" w14:paraId="17EABE87" w14:textId="77777777">
            <w:pPr>
              <w:spacing w:after="0" w:line="240" w:lineRule="auto"/>
              <w:jc w:val="center"/>
              <w:rPr>
                <w:rFonts w:ascii="Times New Roman" w:eastAsia="Times New Roman" w:hAnsi="Times New Roman" w:cs="Times New Roman"/>
                <w:sz w:val="24"/>
                <w:szCs w:val="24"/>
              </w:rPr>
            </w:pPr>
            <w:r w:rsidRPr="003712AC">
              <w:rPr>
                <w:rFonts w:ascii="Times New Roman" w:eastAsia="Times New Roman" w:hAnsi="Times New Roman" w:cs="Times New Roman"/>
                <w:sz w:val="24"/>
                <w:szCs w:val="24"/>
              </w:rPr>
              <w:t>$163,090</w:t>
            </w:r>
          </w:p>
        </w:tc>
        <w:tc>
          <w:tcPr>
            <w:tcW w:w="1170" w:type="dxa"/>
            <w:tcBorders>
              <w:top w:val="single" w:sz="4" w:space="0" w:color="auto"/>
              <w:left w:val="nil"/>
              <w:bottom w:val="single" w:sz="4" w:space="0" w:color="auto"/>
              <w:right w:val="nil"/>
            </w:tcBorders>
            <w:noWrap/>
            <w:vAlign w:val="center"/>
            <w:hideMark/>
          </w:tcPr>
          <w:p w:rsidR="003712AC" w:rsidRPr="003712AC" w:rsidP="003712AC" w14:paraId="239C0F6C" w14:textId="77777777">
            <w:pPr>
              <w:spacing w:after="0" w:line="240" w:lineRule="auto"/>
              <w:jc w:val="center"/>
              <w:rPr>
                <w:rFonts w:ascii="Times New Roman" w:eastAsia="Times New Roman" w:hAnsi="Times New Roman" w:cs="Times New Roman"/>
                <w:sz w:val="24"/>
                <w:szCs w:val="24"/>
              </w:rPr>
            </w:pPr>
            <w:r w:rsidRPr="003712AC">
              <w:rPr>
                <w:rFonts w:ascii="Times New Roman" w:eastAsia="Times New Roman" w:hAnsi="Times New Roman" w:cs="Times New Roman"/>
                <w:sz w:val="24"/>
                <w:szCs w:val="24"/>
              </w:rPr>
              <w:t>36.25%</w:t>
            </w:r>
          </w:p>
        </w:tc>
        <w:tc>
          <w:tcPr>
            <w:tcW w:w="1800" w:type="dxa"/>
            <w:tcBorders>
              <w:top w:val="single" w:sz="4" w:space="0" w:color="auto"/>
              <w:left w:val="single" w:sz="4" w:space="0" w:color="auto"/>
              <w:bottom w:val="single" w:sz="4" w:space="0" w:color="auto"/>
              <w:right w:val="single" w:sz="12" w:space="0" w:color="auto"/>
            </w:tcBorders>
            <w:noWrap/>
            <w:vAlign w:val="center"/>
            <w:hideMark/>
          </w:tcPr>
          <w:p w:rsidR="003712AC" w:rsidRPr="003712AC" w:rsidP="003712AC" w14:paraId="35085590" w14:textId="77777777">
            <w:pPr>
              <w:spacing w:after="0" w:line="240" w:lineRule="auto"/>
              <w:jc w:val="center"/>
              <w:rPr>
                <w:rFonts w:ascii="Times New Roman" w:eastAsia="Times New Roman" w:hAnsi="Times New Roman" w:cs="Times New Roman"/>
                <w:sz w:val="24"/>
                <w:szCs w:val="24"/>
              </w:rPr>
            </w:pPr>
            <w:r w:rsidRPr="003712AC">
              <w:rPr>
                <w:rFonts w:ascii="Times New Roman" w:eastAsia="Times New Roman" w:hAnsi="Times New Roman" w:cs="Times New Roman"/>
                <w:sz w:val="24"/>
                <w:szCs w:val="24"/>
              </w:rPr>
              <w:t>$106.83</w:t>
            </w:r>
          </w:p>
        </w:tc>
        <w:tc>
          <w:tcPr>
            <w:tcW w:w="1530" w:type="dxa"/>
            <w:tcBorders>
              <w:top w:val="single" w:sz="4" w:space="0" w:color="auto"/>
              <w:left w:val="nil"/>
              <w:bottom w:val="single" w:sz="4" w:space="0" w:color="auto"/>
              <w:right w:val="single" w:sz="4" w:space="0" w:color="auto"/>
            </w:tcBorders>
            <w:noWrap/>
            <w:vAlign w:val="center"/>
            <w:hideMark/>
          </w:tcPr>
          <w:p w:rsidR="003712AC" w:rsidRPr="003712AC" w:rsidP="003712AC" w14:paraId="1BC7390D" w14:textId="77777777">
            <w:pPr>
              <w:spacing w:after="0" w:line="240" w:lineRule="auto"/>
              <w:jc w:val="center"/>
              <w:rPr>
                <w:rFonts w:ascii="Times New Roman" w:eastAsia="Times New Roman" w:hAnsi="Times New Roman" w:cs="Times New Roman"/>
                <w:color w:val="000000"/>
                <w:sz w:val="24"/>
                <w:szCs w:val="24"/>
              </w:rPr>
            </w:pPr>
            <w:r w:rsidRPr="003712AC">
              <w:rPr>
                <w:rFonts w:ascii="Times New Roman" w:eastAsia="Times New Roman" w:hAnsi="Times New Roman" w:cs="Times New Roman"/>
                <w:color w:val="000000"/>
                <w:sz w:val="24"/>
                <w:szCs w:val="24"/>
              </w:rPr>
              <w:t>128</w:t>
            </w:r>
          </w:p>
        </w:tc>
        <w:tc>
          <w:tcPr>
            <w:tcW w:w="1530" w:type="dxa"/>
            <w:tcBorders>
              <w:top w:val="single" w:sz="4" w:space="0" w:color="auto"/>
              <w:left w:val="nil"/>
              <w:bottom w:val="single" w:sz="4" w:space="0" w:color="auto"/>
              <w:right w:val="single" w:sz="8" w:space="0" w:color="auto"/>
            </w:tcBorders>
            <w:noWrap/>
            <w:vAlign w:val="center"/>
            <w:hideMark/>
          </w:tcPr>
          <w:p w:rsidR="003712AC" w:rsidRPr="003712AC" w:rsidP="003712AC" w14:paraId="44E462FE" w14:textId="77777777">
            <w:pPr>
              <w:spacing w:after="0" w:line="240" w:lineRule="auto"/>
              <w:jc w:val="center"/>
              <w:rPr>
                <w:rFonts w:ascii="Times New Roman" w:eastAsia="Times New Roman" w:hAnsi="Times New Roman" w:cs="Times New Roman"/>
                <w:color w:val="000000"/>
                <w:sz w:val="24"/>
                <w:szCs w:val="24"/>
              </w:rPr>
            </w:pPr>
            <w:r w:rsidRPr="003712AC">
              <w:rPr>
                <w:rFonts w:ascii="Times New Roman" w:eastAsia="Times New Roman" w:hAnsi="Times New Roman" w:cs="Times New Roman"/>
                <w:color w:val="000000"/>
                <w:sz w:val="24"/>
                <w:szCs w:val="24"/>
              </w:rPr>
              <w:t>$13,674</w:t>
            </w:r>
          </w:p>
        </w:tc>
      </w:tr>
      <w:tr w14:paraId="395FD2C0" w14:textId="77777777" w:rsidTr="003712AC">
        <w:tblPrEx>
          <w:tblW w:w="9440" w:type="dxa"/>
          <w:tblLayout w:type="fixed"/>
          <w:tblLook w:val="04A0"/>
        </w:tblPrEx>
        <w:trPr>
          <w:trHeight w:val="320"/>
        </w:trPr>
        <w:tc>
          <w:tcPr>
            <w:tcW w:w="2150" w:type="dxa"/>
            <w:tcBorders>
              <w:top w:val="nil"/>
              <w:left w:val="single" w:sz="8" w:space="0" w:color="auto"/>
              <w:bottom w:val="single" w:sz="4" w:space="0" w:color="auto"/>
              <w:right w:val="single" w:sz="4" w:space="0" w:color="auto"/>
            </w:tcBorders>
            <w:noWrap/>
            <w:vAlign w:val="bottom"/>
            <w:hideMark/>
          </w:tcPr>
          <w:p w:rsidR="003712AC" w:rsidRPr="003712AC" w:rsidP="003712AC" w14:paraId="5B1CD38B" w14:textId="77777777">
            <w:pPr>
              <w:spacing w:after="0" w:line="240" w:lineRule="auto"/>
              <w:rPr>
                <w:rFonts w:ascii="Times New Roman" w:eastAsia="Times New Roman" w:hAnsi="Times New Roman" w:cs="Times New Roman"/>
                <w:color w:val="000000"/>
                <w:sz w:val="24"/>
                <w:szCs w:val="24"/>
              </w:rPr>
            </w:pPr>
            <w:r w:rsidRPr="003712AC">
              <w:rPr>
                <w:rFonts w:ascii="Times New Roman" w:eastAsia="Times New Roman" w:hAnsi="Times New Roman" w:cs="Times New Roman"/>
                <w:color w:val="000000"/>
                <w:sz w:val="24"/>
                <w:szCs w:val="24"/>
              </w:rPr>
              <w:t>Aerospace Engineer (J band)</w:t>
            </w:r>
          </w:p>
        </w:tc>
        <w:tc>
          <w:tcPr>
            <w:tcW w:w="1260" w:type="dxa"/>
            <w:tcBorders>
              <w:top w:val="nil"/>
              <w:left w:val="nil"/>
              <w:bottom w:val="single" w:sz="4" w:space="0" w:color="auto"/>
              <w:right w:val="single" w:sz="4" w:space="0" w:color="auto"/>
            </w:tcBorders>
            <w:noWrap/>
            <w:vAlign w:val="center"/>
            <w:hideMark/>
          </w:tcPr>
          <w:p w:rsidR="003712AC" w:rsidRPr="003712AC" w:rsidP="003712AC" w14:paraId="7BEC70AE" w14:textId="77777777">
            <w:pPr>
              <w:spacing w:after="0" w:line="240" w:lineRule="auto"/>
              <w:jc w:val="center"/>
              <w:rPr>
                <w:rFonts w:ascii="Times New Roman" w:eastAsia="Times New Roman" w:hAnsi="Times New Roman" w:cs="Times New Roman"/>
                <w:sz w:val="24"/>
                <w:szCs w:val="24"/>
              </w:rPr>
            </w:pPr>
            <w:r w:rsidRPr="003712AC">
              <w:rPr>
                <w:rFonts w:ascii="Times New Roman" w:eastAsia="Times New Roman" w:hAnsi="Times New Roman" w:cs="Times New Roman"/>
                <w:sz w:val="24"/>
                <w:szCs w:val="24"/>
              </w:rPr>
              <w:t>$163,090</w:t>
            </w:r>
          </w:p>
        </w:tc>
        <w:tc>
          <w:tcPr>
            <w:tcW w:w="1170" w:type="dxa"/>
            <w:tcBorders>
              <w:top w:val="nil"/>
              <w:left w:val="nil"/>
              <w:bottom w:val="single" w:sz="4" w:space="0" w:color="auto"/>
              <w:right w:val="nil"/>
            </w:tcBorders>
            <w:noWrap/>
            <w:vAlign w:val="center"/>
            <w:hideMark/>
          </w:tcPr>
          <w:p w:rsidR="003712AC" w:rsidRPr="003712AC" w:rsidP="003712AC" w14:paraId="38ABC6B6" w14:textId="77777777">
            <w:pPr>
              <w:spacing w:after="0" w:line="240" w:lineRule="auto"/>
              <w:jc w:val="center"/>
              <w:rPr>
                <w:rFonts w:ascii="Times New Roman" w:eastAsia="Times New Roman" w:hAnsi="Times New Roman" w:cs="Times New Roman"/>
                <w:sz w:val="24"/>
                <w:szCs w:val="24"/>
              </w:rPr>
            </w:pPr>
            <w:r w:rsidRPr="003712AC">
              <w:rPr>
                <w:rFonts w:ascii="Times New Roman" w:eastAsia="Times New Roman" w:hAnsi="Times New Roman" w:cs="Times New Roman"/>
                <w:sz w:val="24"/>
                <w:szCs w:val="24"/>
              </w:rPr>
              <w:t>36.25%</w:t>
            </w:r>
          </w:p>
        </w:tc>
        <w:tc>
          <w:tcPr>
            <w:tcW w:w="1800" w:type="dxa"/>
            <w:tcBorders>
              <w:top w:val="nil"/>
              <w:left w:val="single" w:sz="4" w:space="0" w:color="auto"/>
              <w:bottom w:val="single" w:sz="4" w:space="0" w:color="auto"/>
              <w:right w:val="single" w:sz="12" w:space="0" w:color="auto"/>
            </w:tcBorders>
            <w:noWrap/>
            <w:vAlign w:val="center"/>
            <w:hideMark/>
          </w:tcPr>
          <w:p w:rsidR="003712AC" w:rsidRPr="003712AC" w:rsidP="003712AC" w14:paraId="30F30591" w14:textId="77777777">
            <w:pPr>
              <w:spacing w:after="0" w:line="240" w:lineRule="auto"/>
              <w:jc w:val="center"/>
              <w:rPr>
                <w:rFonts w:ascii="Times New Roman" w:eastAsia="Times New Roman" w:hAnsi="Times New Roman" w:cs="Times New Roman"/>
                <w:sz w:val="24"/>
                <w:szCs w:val="24"/>
              </w:rPr>
            </w:pPr>
            <w:r w:rsidRPr="003712AC">
              <w:rPr>
                <w:rFonts w:ascii="Times New Roman" w:eastAsia="Times New Roman" w:hAnsi="Times New Roman" w:cs="Times New Roman"/>
                <w:sz w:val="24"/>
                <w:szCs w:val="24"/>
              </w:rPr>
              <w:t>$106.83</w:t>
            </w:r>
          </w:p>
        </w:tc>
        <w:tc>
          <w:tcPr>
            <w:tcW w:w="1530" w:type="dxa"/>
            <w:tcBorders>
              <w:top w:val="nil"/>
              <w:left w:val="nil"/>
              <w:bottom w:val="single" w:sz="4" w:space="0" w:color="auto"/>
              <w:right w:val="single" w:sz="4" w:space="0" w:color="auto"/>
            </w:tcBorders>
            <w:noWrap/>
            <w:vAlign w:val="center"/>
            <w:hideMark/>
          </w:tcPr>
          <w:p w:rsidR="003712AC" w:rsidRPr="003712AC" w:rsidP="003712AC" w14:paraId="76295028" w14:textId="4E3139DD">
            <w:pPr>
              <w:spacing w:after="0" w:line="240" w:lineRule="auto"/>
              <w:jc w:val="center"/>
              <w:rPr>
                <w:rFonts w:ascii="Times New Roman" w:eastAsia="Times New Roman" w:hAnsi="Times New Roman" w:cs="Times New Roman"/>
                <w:color w:val="000000"/>
                <w:sz w:val="24"/>
                <w:szCs w:val="24"/>
              </w:rPr>
            </w:pPr>
            <w:r w:rsidRPr="003712AC">
              <w:rPr>
                <w:rFonts w:ascii="Times New Roman" w:eastAsia="Times New Roman" w:hAnsi="Times New Roman" w:cs="Times New Roman"/>
                <w:color w:val="000000"/>
                <w:sz w:val="24"/>
                <w:szCs w:val="24"/>
              </w:rPr>
              <w:t>2</w:t>
            </w:r>
            <w:r w:rsidR="00C46A68">
              <w:rPr>
                <w:rFonts w:ascii="Times New Roman" w:eastAsia="Times New Roman" w:hAnsi="Times New Roman" w:cs="Times New Roman"/>
                <w:color w:val="000000"/>
                <w:sz w:val="24"/>
                <w:szCs w:val="24"/>
              </w:rPr>
              <w:t>0</w:t>
            </w:r>
          </w:p>
        </w:tc>
        <w:tc>
          <w:tcPr>
            <w:tcW w:w="1530" w:type="dxa"/>
            <w:tcBorders>
              <w:top w:val="nil"/>
              <w:left w:val="nil"/>
              <w:bottom w:val="single" w:sz="4" w:space="0" w:color="auto"/>
              <w:right w:val="single" w:sz="8" w:space="0" w:color="auto"/>
            </w:tcBorders>
            <w:noWrap/>
            <w:vAlign w:val="center"/>
            <w:hideMark/>
          </w:tcPr>
          <w:p w:rsidR="003712AC" w:rsidRPr="003712AC" w:rsidP="003712AC" w14:paraId="29F50F7C" w14:textId="5199278C">
            <w:pPr>
              <w:spacing w:after="0" w:line="240" w:lineRule="auto"/>
              <w:jc w:val="center"/>
              <w:rPr>
                <w:rFonts w:ascii="Times New Roman" w:eastAsia="Times New Roman" w:hAnsi="Times New Roman" w:cs="Times New Roman"/>
                <w:color w:val="000000"/>
                <w:sz w:val="24"/>
                <w:szCs w:val="24"/>
              </w:rPr>
            </w:pPr>
            <w:r w:rsidRPr="003712AC">
              <w:rPr>
                <w:rFonts w:ascii="Times New Roman" w:eastAsia="Times New Roman" w:hAnsi="Times New Roman" w:cs="Times New Roman"/>
                <w:color w:val="000000"/>
                <w:sz w:val="24"/>
                <w:szCs w:val="24"/>
              </w:rPr>
              <w:t>$2,</w:t>
            </w:r>
            <w:r w:rsidR="00C46A68">
              <w:rPr>
                <w:rFonts w:ascii="Times New Roman" w:eastAsia="Times New Roman" w:hAnsi="Times New Roman" w:cs="Times New Roman"/>
                <w:color w:val="000000"/>
                <w:sz w:val="24"/>
                <w:szCs w:val="24"/>
              </w:rPr>
              <w:t>13</w:t>
            </w:r>
            <w:r w:rsidRPr="003712AC">
              <w:rPr>
                <w:rFonts w:ascii="Times New Roman" w:eastAsia="Times New Roman" w:hAnsi="Times New Roman" w:cs="Times New Roman"/>
                <w:color w:val="000000"/>
                <w:sz w:val="24"/>
                <w:szCs w:val="24"/>
              </w:rPr>
              <w:t>7</w:t>
            </w:r>
          </w:p>
        </w:tc>
      </w:tr>
      <w:tr w14:paraId="46741D7C" w14:textId="77777777" w:rsidTr="003712AC">
        <w:tblPrEx>
          <w:tblW w:w="9440" w:type="dxa"/>
          <w:tblLayout w:type="fixed"/>
          <w:tblLook w:val="04A0"/>
        </w:tblPrEx>
        <w:trPr>
          <w:trHeight w:val="320"/>
        </w:trPr>
        <w:tc>
          <w:tcPr>
            <w:tcW w:w="6380" w:type="dxa"/>
            <w:gridSpan w:val="4"/>
            <w:tcBorders>
              <w:top w:val="single" w:sz="12" w:space="0" w:color="auto"/>
              <w:left w:val="single" w:sz="8" w:space="0" w:color="auto"/>
              <w:bottom w:val="single" w:sz="4" w:space="0" w:color="auto"/>
              <w:right w:val="single" w:sz="12" w:space="0" w:color="000000"/>
            </w:tcBorders>
            <w:noWrap/>
            <w:vAlign w:val="bottom"/>
            <w:hideMark/>
          </w:tcPr>
          <w:p w:rsidR="003712AC" w:rsidRPr="003712AC" w:rsidP="003712AC" w14:paraId="2C24ED43" w14:textId="77777777">
            <w:pPr>
              <w:spacing w:after="0" w:line="240" w:lineRule="auto"/>
              <w:jc w:val="center"/>
              <w:rPr>
                <w:rFonts w:ascii="Times New Roman" w:eastAsia="Times New Roman" w:hAnsi="Times New Roman" w:cs="Times New Roman"/>
                <w:b/>
                <w:bCs/>
                <w:color w:val="000000"/>
                <w:sz w:val="24"/>
                <w:szCs w:val="24"/>
              </w:rPr>
            </w:pPr>
            <w:r w:rsidRPr="003712AC">
              <w:rPr>
                <w:rFonts w:ascii="Times New Roman" w:eastAsia="Times New Roman" w:hAnsi="Times New Roman" w:cs="Times New Roman"/>
                <w:b/>
                <w:bCs/>
                <w:color w:val="000000"/>
                <w:sz w:val="24"/>
                <w:szCs w:val="24"/>
              </w:rPr>
              <w:t>Total Burden Cost</w:t>
            </w:r>
          </w:p>
        </w:tc>
        <w:tc>
          <w:tcPr>
            <w:tcW w:w="1530" w:type="dxa"/>
            <w:tcBorders>
              <w:top w:val="single" w:sz="12" w:space="0" w:color="auto"/>
              <w:left w:val="nil"/>
              <w:bottom w:val="single" w:sz="4" w:space="0" w:color="auto"/>
              <w:right w:val="nil"/>
            </w:tcBorders>
            <w:noWrap/>
            <w:vAlign w:val="bottom"/>
            <w:hideMark/>
          </w:tcPr>
          <w:p w:rsidR="003712AC" w:rsidRPr="003712AC" w:rsidP="003712AC" w14:paraId="1FAEF131" w14:textId="77777777">
            <w:pPr>
              <w:spacing w:after="0" w:line="240" w:lineRule="auto"/>
              <w:rPr>
                <w:rFonts w:ascii="Times New Roman" w:eastAsia="Times New Roman" w:hAnsi="Times New Roman" w:cs="Times New Roman"/>
                <w:b/>
                <w:bCs/>
                <w:color w:val="000000"/>
                <w:sz w:val="24"/>
                <w:szCs w:val="24"/>
              </w:rPr>
            </w:pPr>
            <w:r w:rsidRPr="003712AC">
              <w:rPr>
                <w:rFonts w:ascii="Times New Roman" w:eastAsia="Times New Roman" w:hAnsi="Times New Roman" w:cs="Times New Roman"/>
                <w:b/>
                <w:bCs/>
                <w:color w:val="000000"/>
                <w:sz w:val="24"/>
                <w:szCs w:val="24"/>
              </w:rPr>
              <w:t> </w:t>
            </w:r>
          </w:p>
        </w:tc>
        <w:tc>
          <w:tcPr>
            <w:tcW w:w="1530" w:type="dxa"/>
            <w:tcBorders>
              <w:top w:val="single" w:sz="12" w:space="0" w:color="auto"/>
              <w:left w:val="nil"/>
              <w:bottom w:val="single" w:sz="4" w:space="0" w:color="auto"/>
              <w:right w:val="single" w:sz="8" w:space="0" w:color="auto"/>
            </w:tcBorders>
            <w:noWrap/>
            <w:vAlign w:val="bottom"/>
            <w:hideMark/>
          </w:tcPr>
          <w:p w:rsidR="003712AC" w:rsidRPr="003712AC" w:rsidP="003712AC" w14:paraId="1567B414" w14:textId="38A42D46">
            <w:pPr>
              <w:spacing w:after="0" w:line="240" w:lineRule="auto"/>
              <w:jc w:val="center"/>
              <w:rPr>
                <w:rFonts w:ascii="Times New Roman" w:eastAsia="Times New Roman" w:hAnsi="Times New Roman" w:cs="Times New Roman"/>
                <w:b/>
                <w:bCs/>
                <w:color w:val="000000"/>
                <w:sz w:val="24"/>
                <w:szCs w:val="24"/>
              </w:rPr>
            </w:pPr>
            <w:r w:rsidRPr="003712AC">
              <w:rPr>
                <w:rFonts w:ascii="Times New Roman" w:eastAsia="Times New Roman" w:hAnsi="Times New Roman" w:cs="Times New Roman"/>
                <w:b/>
                <w:bCs/>
                <w:color w:val="000000"/>
                <w:sz w:val="24"/>
                <w:szCs w:val="24"/>
              </w:rPr>
              <w:t>$15,</w:t>
            </w:r>
            <w:r w:rsidR="00C46A68">
              <w:rPr>
                <w:rFonts w:ascii="Times New Roman" w:eastAsia="Times New Roman" w:hAnsi="Times New Roman" w:cs="Times New Roman"/>
                <w:b/>
                <w:bCs/>
                <w:color w:val="000000"/>
                <w:sz w:val="24"/>
                <w:szCs w:val="24"/>
              </w:rPr>
              <w:t>811</w:t>
            </w:r>
          </w:p>
        </w:tc>
      </w:tr>
      <w:tr w14:paraId="4E47E836" w14:textId="77777777" w:rsidTr="003712AC">
        <w:tblPrEx>
          <w:tblW w:w="9440" w:type="dxa"/>
          <w:tblLayout w:type="fixed"/>
          <w:tblLook w:val="04A0"/>
        </w:tblPrEx>
        <w:trPr>
          <w:trHeight w:val="800"/>
        </w:trPr>
        <w:tc>
          <w:tcPr>
            <w:tcW w:w="9440" w:type="dxa"/>
            <w:gridSpan w:val="6"/>
            <w:tcBorders>
              <w:top w:val="single" w:sz="4" w:space="0" w:color="auto"/>
              <w:left w:val="single" w:sz="4" w:space="0" w:color="auto"/>
              <w:bottom w:val="single" w:sz="4" w:space="0" w:color="auto"/>
              <w:right w:val="single" w:sz="4" w:space="0" w:color="000000"/>
            </w:tcBorders>
            <w:vAlign w:val="bottom"/>
            <w:hideMark/>
          </w:tcPr>
          <w:p w:rsidR="003712AC" w:rsidRPr="003712AC" w:rsidP="003712AC" w14:paraId="6F9BFD0E" w14:textId="649CDEE4">
            <w:pPr>
              <w:spacing w:after="0" w:line="240" w:lineRule="auto"/>
              <w:rPr>
                <w:rFonts w:ascii="Aptos Narrow" w:eastAsia="Times New Roman" w:hAnsi="Aptos Narrow" w:cs="Times New Roman"/>
                <w:color w:val="000000"/>
                <w:sz w:val="20"/>
                <w:szCs w:val="20"/>
              </w:rPr>
            </w:pPr>
            <w:r>
              <w:rPr>
                <w:rFonts w:ascii="Aptos Narrow" w:eastAsia="Times New Roman" w:hAnsi="Aptos Narrow" w:cs="Times New Roman"/>
                <w:color w:val="000000"/>
                <w:sz w:val="20"/>
                <w:szCs w:val="20"/>
              </w:rPr>
              <w:t>71</w:t>
            </w:r>
            <w:r w:rsidRPr="003712AC">
              <w:rPr>
                <w:rFonts w:ascii="Aptos Narrow" w:eastAsia="Times New Roman" w:hAnsi="Aptos Narrow" w:cs="Times New Roman"/>
                <w:color w:val="000000"/>
                <w:sz w:val="20"/>
                <w:szCs w:val="20"/>
              </w:rPr>
              <w:t xml:space="preserve">1.Civilian position full </w:t>
            </w:r>
            <w:r w:rsidRPr="003712AC">
              <w:rPr>
                <w:rFonts w:ascii="Aptos Narrow" w:eastAsia="Times New Roman" w:hAnsi="Aptos Narrow" w:cs="Times New Roman"/>
                <w:color w:val="000000"/>
                <w:sz w:val="20"/>
                <w:szCs w:val="20"/>
              </w:rPr>
              <w:t>fringe</w:t>
            </w:r>
            <w:r w:rsidRPr="003712AC">
              <w:rPr>
                <w:rFonts w:ascii="Aptos Narrow" w:eastAsia="Times New Roman" w:hAnsi="Aptos Narrow" w:cs="Times New Roman"/>
                <w:color w:val="000000"/>
                <w:sz w:val="20"/>
                <w:szCs w:val="20"/>
              </w:rPr>
              <w:t xml:space="preserve"> benefit cost factor: https://www.whitehouse.gov/wp-content/uploads/legacy_drupal_files/omb/memoranda/2008/m08-13.pdf</w:t>
            </w:r>
            <w:r w:rsidRPr="003712AC">
              <w:rPr>
                <w:rFonts w:ascii="Aptos Narrow" w:eastAsia="Times New Roman" w:hAnsi="Aptos Narrow" w:cs="Times New Roman"/>
                <w:color w:val="000000"/>
                <w:sz w:val="20"/>
                <w:szCs w:val="20"/>
              </w:rPr>
              <w:br/>
              <w:t xml:space="preserve">2. </w:t>
            </w:r>
            <w:r w:rsidRPr="003712AC">
              <w:rPr>
                <w:rFonts w:ascii="Aptos Narrow" w:eastAsia="Times New Roman" w:hAnsi="Aptos Narrow" w:cs="Times New Roman"/>
                <w:color w:val="000000"/>
                <w:sz w:val="20"/>
                <w:szCs w:val="20"/>
              </w:rPr>
              <w:t>Fully-Loaded</w:t>
            </w:r>
            <w:r w:rsidRPr="003712AC">
              <w:rPr>
                <w:rFonts w:ascii="Aptos Narrow" w:eastAsia="Times New Roman" w:hAnsi="Aptos Narrow" w:cs="Times New Roman"/>
                <w:color w:val="000000"/>
                <w:sz w:val="20"/>
                <w:szCs w:val="20"/>
              </w:rPr>
              <w:t xml:space="preserve"> Hourly Wage is calculated by multiplying the annual salary X (1+0.3625)/2080 (number work hours per year)</w:t>
            </w:r>
          </w:p>
        </w:tc>
      </w:tr>
    </w:tbl>
    <w:p w:rsidR="00633449" w:rsidP="00025592" w14:paraId="7C87A1CB" w14:textId="77777777">
      <w:pPr>
        <w:shd w:val="clear" w:color="auto" w:fill="FFFFFF"/>
        <w:spacing w:after="0" w:line="240" w:lineRule="auto"/>
        <w:rPr>
          <w:rFonts w:ascii="Arial" w:eastAsia="Times New Roman" w:hAnsi="Arial" w:cs="Arial"/>
          <w:sz w:val="24"/>
          <w:szCs w:val="24"/>
        </w:rPr>
      </w:pPr>
    </w:p>
    <w:p w:rsidR="0065437A" w:rsidRPr="00B87E9A" w:rsidP="00055A05" w14:paraId="74C548ED" w14:textId="0192EC80">
      <w:pPr>
        <w:shd w:val="clear" w:color="auto" w:fill="FFFFFF"/>
        <w:spacing w:after="0" w:line="240" w:lineRule="auto"/>
        <w:jc w:val="center"/>
        <w:rPr>
          <w:rFonts w:ascii="Arial" w:eastAsia="Times New Roman" w:hAnsi="Arial" w:cs="Arial"/>
          <w:sz w:val="24"/>
          <w:szCs w:val="24"/>
        </w:rPr>
      </w:pPr>
      <w:r w:rsidRPr="00B87E9A">
        <w:rPr>
          <w:rFonts w:ascii="Arial" w:eastAsia="Times New Roman" w:hAnsi="Arial" w:cs="Arial"/>
          <w:sz w:val="24"/>
          <w:szCs w:val="24"/>
        </w:rPr>
        <w:br/>
      </w:r>
    </w:p>
    <w:p w:rsidR="00C64707" w:rsidRPr="00B87E9A" w:rsidP="00C64707" w14:paraId="2885A888"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15. Explain the reasons for any program changes or adjustments.</w:t>
      </w:r>
    </w:p>
    <w:p w:rsidR="00C64707" w:rsidRPr="00B87E9A" w:rsidP="00C64707" w14:paraId="2A9F41E6"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p>
    <w:p w:rsidR="000D013F" w:rsidRPr="00FA64CF" w:rsidP="00C64707" w14:paraId="3E4BA0B2" w14:textId="201D3348">
      <w:pPr>
        <w:shd w:val="clear" w:color="auto" w:fill="FFFFFF"/>
        <w:spacing w:after="0" w:line="240" w:lineRule="auto"/>
        <w:rPr>
          <w:rFonts w:ascii="Arial" w:eastAsia="Times New Roman" w:hAnsi="Arial" w:cs="Arial"/>
          <w:sz w:val="24"/>
          <w:szCs w:val="24"/>
        </w:rPr>
      </w:pPr>
      <w:r w:rsidRPr="00FA64CF">
        <w:rPr>
          <w:rFonts w:ascii="Arial" w:eastAsia="Times New Roman" w:hAnsi="Arial" w:cs="Arial"/>
          <w:sz w:val="24"/>
          <w:szCs w:val="24"/>
        </w:rPr>
        <w:t xml:space="preserve">There are no program changes or adjustments </w:t>
      </w:r>
      <w:r w:rsidRPr="00FA64CF" w:rsidR="00846B76">
        <w:rPr>
          <w:rFonts w:ascii="Arial" w:eastAsia="Times New Roman" w:hAnsi="Arial" w:cs="Arial"/>
          <w:sz w:val="24"/>
          <w:szCs w:val="24"/>
        </w:rPr>
        <w:t>as</w:t>
      </w:r>
      <w:r w:rsidRPr="00FA64CF">
        <w:rPr>
          <w:rFonts w:ascii="Arial" w:eastAsia="Times New Roman" w:hAnsi="Arial" w:cs="Arial"/>
          <w:sz w:val="24"/>
          <w:szCs w:val="24"/>
        </w:rPr>
        <w:t xml:space="preserve"> </w:t>
      </w:r>
      <w:r w:rsidRPr="00FA64CF" w:rsidR="00B75A7A">
        <w:rPr>
          <w:rFonts w:ascii="Arial" w:eastAsia="Times New Roman" w:hAnsi="Arial" w:cs="Arial"/>
          <w:sz w:val="24"/>
          <w:szCs w:val="24"/>
        </w:rPr>
        <w:t xml:space="preserve">14 CFR 25.981 establishes the reporting requirements. </w:t>
      </w:r>
      <w:r w:rsidRPr="00FA64CF" w:rsidR="008D562A">
        <w:rPr>
          <w:rFonts w:ascii="Arial" w:eastAsia="Times New Roman" w:hAnsi="Arial" w:cs="Arial"/>
          <w:sz w:val="24"/>
          <w:szCs w:val="24"/>
        </w:rPr>
        <w:t xml:space="preserve">The FAA has received reports of premature failure of components on some airplane models resulting in the need to </w:t>
      </w:r>
      <w:r w:rsidRPr="00FA64CF" w:rsidR="002A42B3">
        <w:rPr>
          <w:rFonts w:ascii="Arial" w:eastAsia="Times New Roman" w:hAnsi="Arial" w:cs="Arial"/>
          <w:sz w:val="24"/>
          <w:szCs w:val="24"/>
        </w:rPr>
        <w:t xml:space="preserve">mandate safety </w:t>
      </w:r>
      <w:r w:rsidRPr="00FA64CF" w:rsidR="002A42B3">
        <w:rPr>
          <w:rFonts w:ascii="Arial" w:eastAsia="Times New Roman" w:hAnsi="Arial" w:cs="Arial"/>
          <w:sz w:val="24"/>
          <w:szCs w:val="24"/>
        </w:rPr>
        <w:t>improvements</w:t>
      </w:r>
      <w:r w:rsidRPr="00FA64CF" w:rsidR="00B75A7A">
        <w:rPr>
          <w:rFonts w:ascii="Arial" w:eastAsia="Times New Roman" w:hAnsi="Arial" w:cs="Arial"/>
          <w:sz w:val="24"/>
          <w:szCs w:val="24"/>
        </w:rPr>
        <w:t>.</w:t>
      </w:r>
      <w:r w:rsidRPr="00FA64CF" w:rsidR="00846B76">
        <w:rPr>
          <w:rFonts w:ascii="Arial" w:eastAsia="Times New Roman" w:hAnsi="Arial" w:cs="Arial"/>
          <w:sz w:val="24"/>
          <w:szCs w:val="24"/>
        </w:rPr>
        <w:t xml:space="preserve">  </w:t>
      </w:r>
      <w:r w:rsidRPr="00FA64CF" w:rsidR="00DD0AF1">
        <w:rPr>
          <w:rFonts w:ascii="Arial" w:eastAsia="Times New Roman" w:hAnsi="Arial" w:cs="Arial"/>
          <w:sz w:val="24"/>
          <w:szCs w:val="24"/>
        </w:rPr>
        <w:t xml:space="preserve">Based on the </w:t>
      </w:r>
      <w:r w:rsidRPr="00FA64CF" w:rsidR="00FA4405">
        <w:rPr>
          <w:rFonts w:ascii="Arial" w:eastAsia="Times New Roman" w:hAnsi="Arial" w:cs="Arial"/>
          <w:sz w:val="24"/>
          <w:szCs w:val="24"/>
        </w:rPr>
        <w:t xml:space="preserve">review of current DAHs in the FAA DRS database, </w:t>
      </w:r>
      <w:r w:rsidRPr="00FA64CF">
        <w:rPr>
          <w:rFonts w:ascii="Arial" w:eastAsia="Times New Roman" w:hAnsi="Arial" w:cs="Arial"/>
          <w:sz w:val="24"/>
          <w:szCs w:val="24"/>
        </w:rPr>
        <w:t>t</w:t>
      </w:r>
      <w:r w:rsidRPr="00FA64CF" w:rsidR="008D562A">
        <w:rPr>
          <w:rFonts w:ascii="Arial" w:eastAsia="Times New Roman" w:hAnsi="Arial" w:cs="Arial"/>
          <w:sz w:val="24"/>
          <w:szCs w:val="24"/>
        </w:rPr>
        <w:t xml:space="preserve">here </w:t>
      </w:r>
      <w:r w:rsidRPr="00FA64CF" w:rsidR="00FA4405">
        <w:rPr>
          <w:rFonts w:ascii="Arial" w:eastAsia="Times New Roman" w:hAnsi="Arial" w:cs="Arial"/>
          <w:sz w:val="24"/>
          <w:szCs w:val="24"/>
        </w:rPr>
        <w:t>are currently seven (7)</w:t>
      </w:r>
      <w:r w:rsidRPr="00FA64CF" w:rsidR="008D562A">
        <w:rPr>
          <w:rFonts w:ascii="Arial" w:eastAsia="Times New Roman" w:hAnsi="Arial" w:cs="Arial"/>
          <w:sz w:val="24"/>
          <w:szCs w:val="24"/>
        </w:rPr>
        <w:t xml:space="preserve"> </w:t>
      </w:r>
      <w:r w:rsidRPr="00FA64CF" w:rsidR="00FA4405">
        <w:rPr>
          <w:rFonts w:ascii="Arial" w:eastAsia="Times New Roman" w:hAnsi="Arial" w:cs="Arial"/>
          <w:sz w:val="24"/>
          <w:szCs w:val="24"/>
        </w:rPr>
        <w:t xml:space="preserve">TC </w:t>
      </w:r>
      <w:r w:rsidRPr="00FA64CF" w:rsidR="008D562A">
        <w:rPr>
          <w:rFonts w:ascii="Arial" w:eastAsia="Times New Roman" w:hAnsi="Arial" w:cs="Arial"/>
          <w:sz w:val="24"/>
          <w:szCs w:val="24"/>
        </w:rPr>
        <w:t xml:space="preserve">design approval holders </w:t>
      </w:r>
      <w:r w:rsidRPr="00FA64CF" w:rsidR="00254716">
        <w:rPr>
          <w:rFonts w:ascii="Arial" w:eastAsia="Times New Roman" w:hAnsi="Arial" w:cs="Arial"/>
          <w:sz w:val="24"/>
          <w:szCs w:val="24"/>
        </w:rPr>
        <w:t xml:space="preserve">(DAH) </w:t>
      </w:r>
      <w:r w:rsidRPr="00FA64CF" w:rsidR="008D562A">
        <w:rPr>
          <w:rFonts w:ascii="Arial" w:eastAsia="Times New Roman" w:hAnsi="Arial" w:cs="Arial"/>
          <w:sz w:val="24"/>
          <w:szCs w:val="24"/>
        </w:rPr>
        <w:t xml:space="preserve">and </w:t>
      </w:r>
      <w:r w:rsidRPr="00FA64CF" w:rsidR="00101238">
        <w:rPr>
          <w:rFonts w:ascii="Arial" w:eastAsia="Times New Roman" w:hAnsi="Arial" w:cs="Arial"/>
          <w:sz w:val="24"/>
          <w:szCs w:val="24"/>
        </w:rPr>
        <w:t xml:space="preserve">nine </w:t>
      </w:r>
      <w:r w:rsidRPr="00FA64CF" w:rsidR="00FA4405">
        <w:rPr>
          <w:rFonts w:ascii="Arial" w:eastAsia="Times New Roman" w:hAnsi="Arial" w:cs="Arial"/>
          <w:sz w:val="24"/>
          <w:szCs w:val="24"/>
        </w:rPr>
        <w:t>(</w:t>
      </w:r>
      <w:r w:rsidRPr="00FA64CF" w:rsidR="00101238">
        <w:rPr>
          <w:rFonts w:ascii="Arial" w:eastAsia="Times New Roman" w:hAnsi="Arial" w:cs="Arial"/>
          <w:sz w:val="24"/>
          <w:szCs w:val="24"/>
        </w:rPr>
        <w:t>9</w:t>
      </w:r>
      <w:r w:rsidRPr="00FA64CF" w:rsidR="00FA4405">
        <w:rPr>
          <w:rFonts w:ascii="Arial" w:eastAsia="Times New Roman" w:hAnsi="Arial" w:cs="Arial"/>
          <w:sz w:val="24"/>
          <w:szCs w:val="24"/>
        </w:rPr>
        <w:t xml:space="preserve">) </w:t>
      </w:r>
      <w:r w:rsidRPr="00FA64CF" w:rsidR="008D562A">
        <w:rPr>
          <w:rFonts w:ascii="Arial" w:eastAsia="Times New Roman" w:hAnsi="Arial" w:cs="Arial"/>
          <w:sz w:val="24"/>
          <w:szCs w:val="24"/>
        </w:rPr>
        <w:t>parts manufacturer approval</w:t>
      </w:r>
      <w:r w:rsidRPr="00FA64CF" w:rsidR="00254716">
        <w:rPr>
          <w:rFonts w:ascii="Arial" w:eastAsia="Times New Roman" w:hAnsi="Arial" w:cs="Arial"/>
          <w:sz w:val="24"/>
          <w:szCs w:val="24"/>
        </w:rPr>
        <w:t xml:space="preserve"> (PMA)</w:t>
      </w:r>
      <w:r w:rsidRPr="00FA64CF" w:rsidR="008D562A">
        <w:rPr>
          <w:rFonts w:ascii="Arial" w:eastAsia="Times New Roman" w:hAnsi="Arial" w:cs="Arial"/>
          <w:sz w:val="24"/>
          <w:szCs w:val="24"/>
        </w:rPr>
        <w:t xml:space="preserve"> holders subject</w:t>
      </w:r>
      <w:r w:rsidRPr="00FA64CF">
        <w:rPr>
          <w:rFonts w:ascii="Arial" w:eastAsia="Times New Roman" w:hAnsi="Arial" w:cs="Arial"/>
          <w:sz w:val="24"/>
          <w:szCs w:val="24"/>
        </w:rPr>
        <w:t>ed</w:t>
      </w:r>
      <w:r w:rsidRPr="00FA64CF" w:rsidR="008D562A">
        <w:rPr>
          <w:rFonts w:ascii="Arial" w:eastAsia="Times New Roman" w:hAnsi="Arial" w:cs="Arial"/>
          <w:sz w:val="24"/>
          <w:szCs w:val="24"/>
        </w:rPr>
        <w:t xml:space="preserve"> to the reporting requirements.</w:t>
      </w:r>
      <w:r w:rsidRPr="00FA64CF" w:rsidR="00254716">
        <w:rPr>
          <w:rFonts w:ascii="Arial" w:eastAsia="Times New Roman" w:hAnsi="Arial" w:cs="Arial"/>
          <w:sz w:val="24"/>
          <w:szCs w:val="24"/>
        </w:rPr>
        <w:t xml:space="preserve">  </w:t>
      </w:r>
    </w:p>
    <w:p w:rsidR="000D013F" w:rsidRPr="00FA64CF" w:rsidP="00C64707" w14:paraId="73EEFF65" w14:textId="77777777">
      <w:pPr>
        <w:shd w:val="clear" w:color="auto" w:fill="FFFFFF"/>
        <w:spacing w:after="0" w:line="240" w:lineRule="auto"/>
        <w:rPr>
          <w:rFonts w:ascii="Arial" w:eastAsia="Times New Roman" w:hAnsi="Arial" w:cs="Arial"/>
          <w:sz w:val="24"/>
          <w:szCs w:val="24"/>
        </w:rPr>
      </w:pPr>
    </w:p>
    <w:p w:rsidR="00B90DB6" w:rsidRPr="00B87E9A" w:rsidP="00C64707" w14:paraId="07936A4F" w14:textId="5E8486EF">
      <w:pPr>
        <w:shd w:val="clear" w:color="auto" w:fill="FFFFFF"/>
        <w:spacing w:after="0" w:line="240" w:lineRule="auto"/>
        <w:rPr>
          <w:rFonts w:ascii="Arial" w:eastAsia="Times New Roman" w:hAnsi="Arial" w:cs="Arial"/>
          <w:b/>
          <w:bCs/>
          <w:sz w:val="24"/>
          <w:szCs w:val="24"/>
        </w:rPr>
      </w:pPr>
      <w:r w:rsidRPr="00FA64CF">
        <w:rPr>
          <w:rFonts w:ascii="Arial" w:eastAsia="Times New Roman" w:hAnsi="Arial" w:cs="Arial"/>
          <w:sz w:val="24"/>
          <w:szCs w:val="24"/>
        </w:rPr>
        <w:t>For this current Statement A of 202</w:t>
      </w:r>
      <w:r w:rsidRPr="00FA64CF" w:rsidR="00FA4405">
        <w:rPr>
          <w:rFonts w:ascii="Arial" w:eastAsia="Times New Roman" w:hAnsi="Arial" w:cs="Arial"/>
          <w:sz w:val="24"/>
          <w:szCs w:val="24"/>
        </w:rPr>
        <w:t>6, the applicable FAA oversight offices have also reviewed and confirmed the above TC and PMA holders.</w:t>
      </w:r>
      <w:r w:rsidR="00FA4405">
        <w:rPr>
          <w:rFonts w:ascii="Arial" w:eastAsia="Times New Roman" w:hAnsi="Arial" w:cs="Arial"/>
          <w:sz w:val="24"/>
          <w:szCs w:val="24"/>
        </w:rPr>
        <w:t xml:space="preserve"> </w:t>
      </w:r>
    </w:p>
    <w:p w:rsidR="00B90DB6" w:rsidRPr="00B87E9A" w:rsidP="00C64707" w14:paraId="3D62202E" w14:textId="77777777">
      <w:pPr>
        <w:shd w:val="clear" w:color="auto" w:fill="FFFFFF"/>
        <w:spacing w:after="0" w:line="240" w:lineRule="auto"/>
        <w:rPr>
          <w:rFonts w:ascii="Arial" w:eastAsia="Times New Roman" w:hAnsi="Arial" w:cs="Arial"/>
          <w:b/>
          <w:bCs/>
          <w:sz w:val="24"/>
          <w:szCs w:val="24"/>
        </w:rPr>
      </w:pPr>
    </w:p>
    <w:p w:rsidR="005B27ED" w:rsidRPr="00B87E9A" w:rsidP="00C64707" w14:paraId="20CA8655" w14:textId="77777777">
      <w:pPr>
        <w:shd w:val="clear" w:color="auto" w:fill="FFFFFF"/>
        <w:spacing w:after="0" w:line="240" w:lineRule="auto"/>
        <w:rPr>
          <w:rFonts w:ascii="Arial" w:eastAsia="Times New Roman" w:hAnsi="Arial" w:cs="Arial"/>
          <w:b/>
          <w:bCs/>
          <w:sz w:val="24"/>
          <w:szCs w:val="24"/>
        </w:rPr>
      </w:pPr>
    </w:p>
    <w:p w:rsidR="00C64707" w:rsidRPr="00B87E9A" w:rsidP="00C64707" w14:paraId="7879697D" w14:textId="08AE4645">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B87E9A" w:rsidP="00C64707" w14:paraId="64D0C603" w14:textId="77777777">
      <w:pPr>
        <w:shd w:val="clear" w:color="auto" w:fill="FFFFFF"/>
        <w:spacing w:after="0" w:line="240" w:lineRule="auto"/>
        <w:rPr>
          <w:rFonts w:ascii="Arial" w:eastAsia="Times New Roman" w:hAnsi="Arial" w:cs="Arial"/>
          <w:i/>
          <w:sz w:val="24"/>
          <w:szCs w:val="24"/>
        </w:rPr>
      </w:pPr>
      <w:r w:rsidRPr="00B87E9A">
        <w:rPr>
          <w:rFonts w:ascii="Arial" w:eastAsia="Times New Roman" w:hAnsi="Arial" w:cs="Arial"/>
          <w:sz w:val="24"/>
          <w:szCs w:val="24"/>
        </w:rPr>
        <w:br/>
      </w:r>
    </w:p>
    <w:p w:rsidR="008D562A" w:rsidRPr="00B87E9A" w:rsidP="008D562A" w14:paraId="3849469E"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Not applicable. The FAA will not publish the information collected.</w:t>
      </w:r>
    </w:p>
    <w:p w:rsidR="00C64707" w:rsidRPr="00B87E9A" w:rsidP="00C64707" w14:paraId="6E26F9F5" w14:textId="77777777">
      <w:pPr>
        <w:shd w:val="clear" w:color="auto" w:fill="FFFFFF"/>
        <w:spacing w:after="0" w:line="240" w:lineRule="auto"/>
        <w:rPr>
          <w:rFonts w:ascii="Arial" w:eastAsia="Times New Roman" w:hAnsi="Arial" w:cs="Arial"/>
          <w:sz w:val="24"/>
          <w:szCs w:val="24"/>
        </w:rPr>
      </w:pPr>
    </w:p>
    <w:p w:rsidR="00C64707" w:rsidRPr="00B87E9A" w:rsidP="00C64707" w14:paraId="68500EAF"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8D562A" w:rsidRPr="00B87E9A" w:rsidP="008D562A" w14:paraId="625031F4"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br/>
      </w:r>
      <w:r w:rsidRPr="00B87E9A">
        <w:rPr>
          <w:rFonts w:ascii="Arial" w:eastAsia="Times New Roman" w:hAnsi="Arial" w:cs="Arial"/>
          <w:sz w:val="24"/>
          <w:szCs w:val="24"/>
        </w:rPr>
        <w:t xml:space="preserve">Approval </w:t>
      </w:r>
      <w:r w:rsidRPr="00B87E9A">
        <w:rPr>
          <w:rFonts w:ascii="Arial" w:eastAsia="Times New Roman" w:hAnsi="Arial" w:cs="Arial"/>
          <w:sz w:val="24"/>
          <w:szCs w:val="24"/>
        </w:rPr>
        <w:t>to</w:t>
      </w:r>
      <w:r w:rsidRPr="00B87E9A">
        <w:rPr>
          <w:rFonts w:ascii="Arial" w:eastAsia="Times New Roman" w:hAnsi="Arial" w:cs="Arial"/>
          <w:sz w:val="24"/>
          <w:szCs w:val="24"/>
        </w:rPr>
        <w:t xml:space="preserve"> not </w:t>
      </w:r>
      <w:r w:rsidRPr="00B87E9A">
        <w:rPr>
          <w:rFonts w:ascii="Arial" w:eastAsia="Times New Roman" w:hAnsi="Arial" w:cs="Arial"/>
          <w:sz w:val="24"/>
          <w:szCs w:val="24"/>
        </w:rPr>
        <w:t>display</w:t>
      </w:r>
      <w:r w:rsidRPr="00B87E9A">
        <w:rPr>
          <w:rFonts w:ascii="Arial" w:eastAsia="Times New Roman" w:hAnsi="Arial" w:cs="Arial"/>
          <w:sz w:val="24"/>
          <w:szCs w:val="24"/>
        </w:rPr>
        <w:t xml:space="preserve"> the expiration date is not requested.</w:t>
      </w:r>
    </w:p>
    <w:p w:rsidR="00C64707" w:rsidRPr="00B87E9A" w:rsidP="00C64707" w14:paraId="39994A70" w14:textId="77777777">
      <w:pPr>
        <w:shd w:val="clear" w:color="auto" w:fill="FFFFFF"/>
        <w:spacing w:after="0" w:line="240" w:lineRule="auto"/>
        <w:rPr>
          <w:rFonts w:ascii="Arial" w:eastAsia="Times New Roman" w:hAnsi="Arial" w:cs="Arial"/>
          <w:sz w:val="24"/>
          <w:szCs w:val="24"/>
        </w:rPr>
      </w:pPr>
    </w:p>
    <w:p w:rsidR="00C64707" w:rsidRPr="00B87E9A" w:rsidP="00C64707" w14:paraId="48C97AA3" w14:textId="77777777">
      <w:pPr>
        <w:shd w:val="clear" w:color="auto" w:fill="FFFFFF"/>
        <w:spacing w:after="0" w:line="240" w:lineRule="auto"/>
        <w:rPr>
          <w:rFonts w:ascii="Arial" w:eastAsia="Times New Roman" w:hAnsi="Arial" w:cs="Arial"/>
          <w:b/>
          <w:bCs/>
          <w:sz w:val="24"/>
          <w:szCs w:val="24"/>
        </w:rPr>
      </w:pPr>
      <w:r w:rsidRPr="00B87E9A">
        <w:rPr>
          <w:rFonts w:ascii="Arial" w:eastAsia="Times New Roman" w:hAnsi="Arial" w:cs="Arial"/>
          <w:b/>
          <w:bCs/>
          <w:sz w:val="24"/>
          <w:szCs w:val="24"/>
        </w:rPr>
        <w:t>18. Explain each exception to the topics of the certification statement identified in “Certification for Paperwork Reduction Act Submissions.”</w:t>
      </w:r>
    </w:p>
    <w:p w:rsidR="008D562A" w:rsidRPr="00B87E9A" w:rsidP="008D562A" w14:paraId="747291C8" w14:textId="77777777">
      <w:pPr>
        <w:shd w:val="clear" w:color="auto" w:fill="FFFFFF"/>
        <w:spacing w:after="0" w:line="240" w:lineRule="auto"/>
        <w:rPr>
          <w:rFonts w:ascii="Arial" w:eastAsia="Times New Roman" w:hAnsi="Arial" w:cs="Arial"/>
          <w:sz w:val="24"/>
          <w:szCs w:val="24"/>
        </w:rPr>
      </w:pPr>
    </w:p>
    <w:p w:rsidR="008D562A" w:rsidRPr="00B87E9A" w:rsidP="008D562A" w14:paraId="6A4FAC4D" w14:textId="77777777">
      <w:pPr>
        <w:shd w:val="clear" w:color="auto" w:fill="FFFFFF"/>
        <w:spacing w:after="0" w:line="240" w:lineRule="auto"/>
        <w:rPr>
          <w:rFonts w:ascii="Arial" w:eastAsia="Times New Roman" w:hAnsi="Arial" w:cs="Arial"/>
          <w:sz w:val="24"/>
          <w:szCs w:val="24"/>
        </w:rPr>
      </w:pPr>
      <w:r w:rsidRPr="00B87E9A">
        <w:rPr>
          <w:rFonts w:ascii="Arial" w:eastAsia="Times New Roman" w:hAnsi="Arial" w:cs="Arial"/>
          <w:sz w:val="24"/>
          <w:szCs w:val="24"/>
        </w:rPr>
        <w:t>There are no exceptions.</w:t>
      </w:r>
    </w:p>
    <w:p w:rsidR="008D562A" w:rsidRPr="00B87E9A" w14:paraId="0D91EF8D" w14:textId="77777777"/>
    <w:sectPr w:rsidSect="008D562A">
      <w:pgSz w:w="12240" w:h="15840"/>
      <w:pgMar w:top="14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055FB6"/>
    <w:multiLevelType w:val="hybridMultilevel"/>
    <w:tmpl w:val="C242CE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2232357">
    <w:abstractNumId w:val="0"/>
  </w:num>
  <w:num w:numId="2" w16cid:durableId="1399016010">
    <w:abstractNumId w:val="1"/>
  </w:num>
  <w:num w:numId="3" w16cid:durableId="132337387">
    <w:abstractNumId w:val="2"/>
  </w:num>
  <w:num w:numId="4" w16cid:durableId="1273197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344C"/>
    <w:rsid w:val="00014E26"/>
    <w:rsid w:val="00016566"/>
    <w:rsid w:val="00025592"/>
    <w:rsid w:val="00033792"/>
    <w:rsid w:val="00034078"/>
    <w:rsid w:val="000527D7"/>
    <w:rsid w:val="00055A05"/>
    <w:rsid w:val="0006532F"/>
    <w:rsid w:val="0008619C"/>
    <w:rsid w:val="00087CEE"/>
    <w:rsid w:val="00090B83"/>
    <w:rsid w:val="00096C3C"/>
    <w:rsid w:val="000A0745"/>
    <w:rsid w:val="000D013F"/>
    <w:rsid w:val="000E4C3C"/>
    <w:rsid w:val="00101238"/>
    <w:rsid w:val="001032E6"/>
    <w:rsid w:val="001114FA"/>
    <w:rsid w:val="0011277F"/>
    <w:rsid w:val="00113746"/>
    <w:rsid w:val="00130EEA"/>
    <w:rsid w:val="0014560E"/>
    <w:rsid w:val="00151E5B"/>
    <w:rsid w:val="001520CB"/>
    <w:rsid w:val="00160C42"/>
    <w:rsid w:val="00164048"/>
    <w:rsid w:val="00182183"/>
    <w:rsid w:val="001857E0"/>
    <w:rsid w:val="00186602"/>
    <w:rsid w:val="00193141"/>
    <w:rsid w:val="00197A63"/>
    <w:rsid w:val="001A051E"/>
    <w:rsid w:val="001A13FE"/>
    <w:rsid w:val="001A2EEB"/>
    <w:rsid w:val="001B19EB"/>
    <w:rsid w:val="001B706B"/>
    <w:rsid w:val="001E22F6"/>
    <w:rsid w:val="001E4C65"/>
    <w:rsid w:val="001F0724"/>
    <w:rsid w:val="001F0924"/>
    <w:rsid w:val="001F2631"/>
    <w:rsid w:val="002100EC"/>
    <w:rsid w:val="002214D2"/>
    <w:rsid w:val="002258F9"/>
    <w:rsid w:val="002300A0"/>
    <w:rsid w:val="00234EC6"/>
    <w:rsid w:val="0024377E"/>
    <w:rsid w:val="00243C97"/>
    <w:rsid w:val="00254716"/>
    <w:rsid w:val="00273C7B"/>
    <w:rsid w:val="002946B9"/>
    <w:rsid w:val="00295776"/>
    <w:rsid w:val="002A42B3"/>
    <w:rsid w:val="002B1437"/>
    <w:rsid w:val="0030714A"/>
    <w:rsid w:val="003162C8"/>
    <w:rsid w:val="003219A0"/>
    <w:rsid w:val="00345E91"/>
    <w:rsid w:val="00352807"/>
    <w:rsid w:val="003712AC"/>
    <w:rsid w:val="00380428"/>
    <w:rsid w:val="00397626"/>
    <w:rsid w:val="003A285A"/>
    <w:rsid w:val="003A5665"/>
    <w:rsid w:val="003A7E9D"/>
    <w:rsid w:val="003B1A8F"/>
    <w:rsid w:val="003B6C81"/>
    <w:rsid w:val="003B7DF6"/>
    <w:rsid w:val="003C2C71"/>
    <w:rsid w:val="003C648F"/>
    <w:rsid w:val="003C7992"/>
    <w:rsid w:val="003D59DE"/>
    <w:rsid w:val="003D6353"/>
    <w:rsid w:val="003E5337"/>
    <w:rsid w:val="003E5349"/>
    <w:rsid w:val="003E5A46"/>
    <w:rsid w:val="003E71EA"/>
    <w:rsid w:val="003F6AE3"/>
    <w:rsid w:val="0040285C"/>
    <w:rsid w:val="004049E4"/>
    <w:rsid w:val="004166A1"/>
    <w:rsid w:val="00425A4A"/>
    <w:rsid w:val="00445BD7"/>
    <w:rsid w:val="00453EA3"/>
    <w:rsid w:val="004555E9"/>
    <w:rsid w:val="00456581"/>
    <w:rsid w:val="00470857"/>
    <w:rsid w:val="00471B73"/>
    <w:rsid w:val="004808B2"/>
    <w:rsid w:val="00481162"/>
    <w:rsid w:val="00484A03"/>
    <w:rsid w:val="004B55FD"/>
    <w:rsid w:val="004C36F0"/>
    <w:rsid w:val="004C3B91"/>
    <w:rsid w:val="004D6D38"/>
    <w:rsid w:val="004F5A6E"/>
    <w:rsid w:val="00511F82"/>
    <w:rsid w:val="0051232A"/>
    <w:rsid w:val="00545E7F"/>
    <w:rsid w:val="005535A7"/>
    <w:rsid w:val="00557E32"/>
    <w:rsid w:val="00561319"/>
    <w:rsid w:val="0056571C"/>
    <w:rsid w:val="00566BA7"/>
    <w:rsid w:val="0057369C"/>
    <w:rsid w:val="0059608C"/>
    <w:rsid w:val="005978B1"/>
    <w:rsid w:val="005A27F3"/>
    <w:rsid w:val="005B2254"/>
    <w:rsid w:val="005B27ED"/>
    <w:rsid w:val="005B4EB0"/>
    <w:rsid w:val="005B7442"/>
    <w:rsid w:val="005D3AE9"/>
    <w:rsid w:val="005D5CA3"/>
    <w:rsid w:val="005F43F2"/>
    <w:rsid w:val="006073B2"/>
    <w:rsid w:val="00611116"/>
    <w:rsid w:val="006118CB"/>
    <w:rsid w:val="00616EE4"/>
    <w:rsid w:val="0062289C"/>
    <w:rsid w:val="00622DEA"/>
    <w:rsid w:val="00633449"/>
    <w:rsid w:val="0065437A"/>
    <w:rsid w:val="00656735"/>
    <w:rsid w:val="00656B26"/>
    <w:rsid w:val="0069242C"/>
    <w:rsid w:val="0069591E"/>
    <w:rsid w:val="006A0024"/>
    <w:rsid w:val="006A6969"/>
    <w:rsid w:val="006D5F0A"/>
    <w:rsid w:val="006E23CE"/>
    <w:rsid w:val="006F023D"/>
    <w:rsid w:val="007021A2"/>
    <w:rsid w:val="007042F8"/>
    <w:rsid w:val="00705F21"/>
    <w:rsid w:val="007103B7"/>
    <w:rsid w:val="00716E1F"/>
    <w:rsid w:val="00720005"/>
    <w:rsid w:val="00720ED4"/>
    <w:rsid w:val="00727852"/>
    <w:rsid w:val="00727DCD"/>
    <w:rsid w:val="00730D9C"/>
    <w:rsid w:val="007310AD"/>
    <w:rsid w:val="00733AF3"/>
    <w:rsid w:val="00744631"/>
    <w:rsid w:val="007572D0"/>
    <w:rsid w:val="0076073B"/>
    <w:rsid w:val="00771C53"/>
    <w:rsid w:val="007768F1"/>
    <w:rsid w:val="00777CC9"/>
    <w:rsid w:val="00782140"/>
    <w:rsid w:val="00793DBC"/>
    <w:rsid w:val="00795A3D"/>
    <w:rsid w:val="007B2698"/>
    <w:rsid w:val="007B463F"/>
    <w:rsid w:val="007C5426"/>
    <w:rsid w:val="007C7AB2"/>
    <w:rsid w:val="007D2FB5"/>
    <w:rsid w:val="007E2C96"/>
    <w:rsid w:val="007E49DE"/>
    <w:rsid w:val="007E4ACA"/>
    <w:rsid w:val="007F1101"/>
    <w:rsid w:val="00806238"/>
    <w:rsid w:val="008072C0"/>
    <w:rsid w:val="00834C1A"/>
    <w:rsid w:val="00841D47"/>
    <w:rsid w:val="008445A4"/>
    <w:rsid w:val="00846B76"/>
    <w:rsid w:val="008555FD"/>
    <w:rsid w:val="00862F82"/>
    <w:rsid w:val="00865479"/>
    <w:rsid w:val="00872B15"/>
    <w:rsid w:val="008750CF"/>
    <w:rsid w:val="00880E62"/>
    <w:rsid w:val="00886953"/>
    <w:rsid w:val="00896090"/>
    <w:rsid w:val="00896C2F"/>
    <w:rsid w:val="008A27F1"/>
    <w:rsid w:val="008B6220"/>
    <w:rsid w:val="008C454F"/>
    <w:rsid w:val="008C5185"/>
    <w:rsid w:val="008D17A1"/>
    <w:rsid w:val="008D562A"/>
    <w:rsid w:val="008E2BD9"/>
    <w:rsid w:val="008E3442"/>
    <w:rsid w:val="008E5EEF"/>
    <w:rsid w:val="0091049B"/>
    <w:rsid w:val="0091653F"/>
    <w:rsid w:val="009201C9"/>
    <w:rsid w:val="00931A06"/>
    <w:rsid w:val="00941634"/>
    <w:rsid w:val="009504D6"/>
    <w:rsid w:val="009634E7"/>
    <w:rsid w:val="0096717A"/>
    <w:rsid w:val="00967AD2"/>
    <w:rsid w:val="00971C9B"/>
    <w:rsid w:val="00977401"/>
    <w:rsid w:val="0098507D"/>
    <w:rsid w:val="009A2A80"/>
    <w:rsid w:val="009C098B"/>
    <w:rsid w:val="009C1680"/>
    <w:rsid w:val="009D0965"/>
    <w:rsid w:val="009D0A70"/>
    <w:rsid w:val="009D2CFD"/>
    <w:rsid w:val="009D4874"/>
    <w:rsid w:val="009D5371"/>
    <w:rsid w:val="009E7E38"/>
    <w:rsid w:val="009F0AA5"/>
    <w:rsid w:val="009F190D"/>
    <w:rsid w:val="00A00742"/>
    <w:rsid w:val="00A04E70"/>
    <w:rsid w:val="00A056A8"/>
    <w:rsid w:val="00A074E9"/>
    <w:rsid w:val="00A106E8"/>
    <w:rsid w:val="00A1739B"/>
    <w:rsid w:val="00A26F5B"/>
    <w:rsid w:val="00A46E80"/>
    <w:rsid w:val="00A64E99"/>
    <w:rsid w:val="00A657FE"/>
    <w:rsid w:val="00A67940"/>
    <w:rsid w:val="00A67AD4"/>
    <w:rsid w:val="00A7007F"/>
    <w:rsid w:val="00A7252E"/>
    <w:rsid w:val="00A8023F"/>
    <w:rsid w:val="00A9607C"/>
    <w:rsid w:val="00AA0460"/>
    <w:rsid w:val="00AB0549"/>
    <w:rsid w:val="00AB42E5"/>
    <w:rsid w:val="00AC235F"/>
    <w:rsid w:val="00AD2616"/>
    <w:rsid w:val="00AE19AB"/>
    <w:rsid w:val="00AF3366"/>
    <w:rsid w:val="00B213F3"/>
    <w:rsid w:val="00B237B5"/>
    <w:rsid w:val="00B24C02"/>
    <w:rsid w:val="00B2629C"/>
    <w:rsid w:val="00B323E4"/>
    <w:rsid w:val="00B34F53"/>
    <w:rsid w:val="00B415AB"/>
    <w:rsid w:val="00B46BC7"/>
    <w:rsid w:val="00B540A9"/>
    <w:rsid w:val="00B55091"/>
    <w:rsid w:val="00B671B0"/>
    <w:rsid w:val="00B70B5B"/>
    <w:rsid w:val="00B75A7A"/>
    <w:rsid w:val="00B86DFC"/>
    <w:rsid w:val="00B87E9A"/>
    <w:rsid w:val="00B90DB6"/>
    <w:rsid w:val="00BA06DF"/>
    <w:rsid w:val="00BC4458"/>
    <w:rsid w:val="00BC5AB4"/>
    <w:rsid w:val="00BD0074"/>
    <w:rsid w:val="00BD4C3A"/>
    <w:rsid w:val="00BE7373"/>
    <w:rsid w:val="00BF1112"/>
    <w:rsid w:val="00BF4521"/>
    <w:rsid w:val="00C021EC"/>
    <w:rsid w:val="00C05727"/>
    <w:rsid w:val="00C13D21"/>
    <w:rsid w:val="00C31A5B"/>
    <w:rsid w:val="00C4351C"/>
    <w:rsid w:val="00C43AE1"/>
    <w:rsid w:val="00C4636F"/>
    <w:rsid w:val="00C46A68"/>
    <w:rsid w:val="00C47B65"/>
    <w:rsid w:val="00C64079"/>
    <w:rsid w:val="00C64707"/>
    <w:rsid w:val="00C72F9B"/>
    <w:rsid w:val="00C8646F"/>
    <w:rsid w:val="00C9765B"/>
    <w:rsid w:val="00CB0385"/>
    <w:rsid w:val="00CC6554"/>
    <w:rsid w:val="00CC78FE"/>
    <w:rsid w:val="00CD4C6F"/>
    <w:rsid w:val="00CE15EF"/>
    <w:rsid w:val="00D1407C"/>
    <w:rsid w:val="00D3033F"/>
    <w:rsid w:val="00D44E0F"/>
    <w:rsid w:val="00D6195A"/>
    <w:rsid w:val="00D674E2"/>
    <w:rsid w:val="00D73BC6"/>
    <w:rsid w:val="00D800BA"/>
    <w:rsid w:val="00D81BA7"/>
    <w:rsid w:val="00D83544"/>
    <w:rsid w:val="00D858F0"/>
    <w:rsid w:val="00D92039"/>
    <w:rsid w:val="00D92E77"/>
    <w:rsid w:val="00DA1616"/>
    <w:rsid w:val="00DB481C"/>
    <w:rsid w:val="00DB4F74"/>
    <w:rsid w:val="00DB5C83"/>
    <w:rsid w:val="00DD0981"/>
    <w:rsid w:val="00DD0AF1"/>
    <w:rsid w:val="00DF2EDA"/>
    <w:rsid w:val="00DF7722"/>
    <w:rsid w:val="00E26ED8"/>
    <w:rsid w:val="00E31BE3"/>
    <w:rsid w:val="00E45679"/>
    <w:rsid w:val="00E45F43"/>
    <w:rsid w:val="00E61000"/>
    <w:rsid w:val="00E66B68"/>
    <w:rsid w:val="00E671D8"/>
    <w:rsid w:val="00E80F03"/>
    <w:rsid w:val="00E831D9"/>
    <w:rsid w:val="00EA44E2"/>
    <w:rsid w:val="00EA5D7D"/>
    <w:rsid w:val="00ED791D"/>
    <w:rsid w:val="00EE2383"/>
    <w:rsid w:val="00EE2CA2"/>
    <w:rsid w:val="00EE4E00"/>
    <w:rsid w:val="00F05904"/>
    <w:rsid w:val="00F07283"/>
    <w:rsid w:val="00F239D8"/>
    <w:rsid w:val="00F2528F"/>
    <w:rsid w:val="00F42CE3"/>
    <w:rsid w:val="00F46773"/>
    <w:rsid w:val="00F4695D"/>
    <w:rsid w:val="00F5645F"/>
    <w:rsid w:val="00F74251"/>
    <w:rsid w:val="00F8196B"/>
    <w:rsid w:val="00F81FB7"/>
    <w:rsid w:val="00F874AC"/>
    <w:rsid w:val="00FA4405"/>
    <w:rsid w:val="00FA5E49"/>
    <w:rsid w:val="00FA64CF"/>
    <w:rsid w:val="00FB40FB"/>
    <w:rsid w:val="00FD6C42"/>
    <w:rsid w:val="00FE3EB3"/>
    <w:rsid w:val="00FE5E9C"/>
    <w:rsid w:val="00FF5890"/>
  </w:rsids>
  <w:docVars>
    <w:docVar w:name="__Grammarly_42___1" w:val="H4sIAAAAAAAEAKtWcslP9kxRslIyNDY2MDOyNDK3NDQ1szQyNDRR0lEKTi0uzszPAykwNKgFAPv1xZs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363DE"/>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60C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65437A"/>
    <w:pPr>
      <w:ind w:left="720"/>
      <w:contextualSpacing/>
    </w:pPr>
  </w:style>
  <w:style w:type="table" w:styleId="TableGrid">
    <w:name w:val="Table Grid"/>
    <w:basedOn w:val="TableNormal"/>
    <w:uiPriority w:val="39"/>
    <w:rsid w:val="000861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CE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D858F0"/>
    <w:rPr>
      <w:b/>
      <w:bCs/>
    </w:rPr>
  </w:style>
  <w:style w:type="character" w:customStyle="1" w:styleId="CommentSubjectChar">
    <w:name w:val="Comment Subject Char"/>
    <w:basedOn w:val="CommentTextChar"/>
    <w:link w:val="CommentSubject"/>
    <w:uiPriority w:val="99"/>
    <w:semiHidden/>
    <w:rsid w:val="00D858F0"/>
    <w:rPr>
      <w:b/>
      <w:bCs/>
      <w:sz w:val="20"/>
      <w:szCs w:val="20"/>
    </w:rPr>
  </w:style>
  <w:style w:type="paragraph" w:styleId="Revision">
    <w:name w:val="Revision"/>
    <w:hidden/>
    <w:uiPriority w:val="99"/>
    <w:semiHidden/>
    <w:rsid w:val="00D858F0"/>
    <w:pPr>
      <w:spacing w:after="0" w:line="240" w:lineRule="auto"/>
    </w:pPr>
  </w:style>
  <w:style w:type="paragraph" w:styleId="Header">
    <w:name w:val="header"/>
    <w:basedOn w:val="Normal"/>
    <w:link w:val="HeaderChar"/>
    <w:uiPriority w:val="99"/>
    <w:unhideWhenUsed/>
    <w:rsid w:val="00F87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4AC"/>
  </w:style>
  <w:style w:type="paragraph" w:styleId="Footer">
    <w:name w:val="footer"/>
    <w:basedOn w:val="Normal"/>
    <w:link w:val="FooterChar"/>
    <w:uiPriority w:val="99"/>
    <w:unhideWhenUsed/>
    <w:rsid w:val="00F87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4AC"/>
  </w:style>
  <w:style w:type="character" w:styleId="FollowedHyperlink">
    <w:name w:val="FollowedHyperlink"/>
    <w:basedOn w:val="DefaultParagraphFont"/>
    <w:uiPriority w:val="99"/>
    <w:semiHidden/>
    <w:unhideWhenUsed/>
    <w:rsid w:val="00730D9C"/>
    <w:rPr>
      <w:color w:val="954F72" w:themeColor="followedHyperlink"/>
      <w:u w:val="single"/>
    </w:rPr>
  </w:style>
  <w:style w:type="character" w:styleId="UnresolvedMention">
    <w:name w:val="Unresolved Mention"/>
    <w:basedOn w:val="DefaultParagraphFont"/>
    <w:uiPriority w:val="99"/>
    <w:semiHidden/>
    <w:unhideWhenUsed/>
    <w:rsid w:val="007C5426"/>
    <w:rPr>
      <w:color w:val="605E5C"/>
      <w:shd w:val="clear" w:color="auto" w:fill="E1DFDD"/>
    </w:rPr>
  </w:style>
  <w:style w:type="paragraph" w:styleId="FootnoteText">
    <w:name w:val="footnote text"/>
    <w:basedOn w:val="Normal"/>
    <w:link w:val="FootnoteTextChar"/>
    <w:unhideWhenUsed/>
    <w:rsid w:val="00C9765B"/>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rsid w:val="00C9765B"/>
    <w:rPr>
      <w:kern w:val="2"/>
      <w:sz w:val="20"/>
      <w:szCs w:val="20"/>
      <w14:ligatures w14:val="standardContextual"/>
    </w:rPr>
  </w:style>
  <w:style w:type="character" w:styleId="FootnoteReference">
    <w:name w:val="footnote reference"/>
    <w:basedOn w:val="DefaultParagraphFont"/>
    <w:unhideWhenUsed/>
    <w:rsid w:val="00C9765B"/>
    <w:rPr>
      <w:vertAlign w:val="superscript"/>
    </w:rPr>
  </w:style>
  <w:style w:type="paragraph" w:customStyle="1" w:styleId="Paragraph">
    <w:name w:val="Paragraph"/>
    <w:basedOn w:val="Normal"/>
    <w:uiPriority w:val="99"/>
    <w:qFormat/>
    <w:rsid w:val="00C9765B"/>
    <w:pPr>
      <w:spacing w:after="0" w:line="480" w:lineRule="auto"/>
      <w:ind w:firstLine="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160C4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72011.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0" ma:contentTypeDescription="Create a new document." ma:contentTypeScope="" ma:versionID="5fa094b2c64cf14029717a9d4085a0f6">
  <xsd:schema xmlns:xsd="http://www.w3.org/2001/XMLSchema" xmlns:xs="http://www.w3.org/2001/XMLSchema" xmlns:p="http://schemas.microsoft.com/office/2006/metadata/properties" xmlns:ns3="e4df6fb9-7f5d-4876-9a99-8ab4fa680755" xmlns:ns4="71f32d46-6d44-42df-9bf9-b69fba183449" targetNamespace="http://schemas.microsoft.com/office/2006/metadata/properties" ma:root="true" ma:fieldsID="97a52a2775ceea69f0e3162d7496704d" ns3:_="" ns4:_="">
    <xsd:import namespace="e4df6fb9-7f5d-4876-9a99-8ab4fa680755"/>
    <xsd:import namespace="71f32d46-6d44-42df-9bf9-b69fba1834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D5D2BF-FCAB-4795-B066-6BE8587A56EB}">
  <ds:schemaRefs>
    <ds:schemaRef ds:uri="http://schemas.microsoft.com/sharepoint/v3/contenttype/forms"/>
  </ds:schemaRefs>
</ds:datastoreItem>
</file>

<file path=customXml/itemProps2.xml><?xml version="1.0" encoding="utf-8"?>
<ds:datastoreItem xmlns:ds="http://schemas.openxmlformats.org/officeDocument/2006/customXml" ds:itemID="{8D289E5A-8786-4CE1-A527-7869CEE3EEC3}">
  <ds:schemaRefs>
    <ds:schemaRef ds:uri="http://schemas.openxmlformats.org/officeDocument/2006/bibliography"/>
  </ds:schemaRefs>
</ds:datastoreItem>
</file>

<file path=customXml/itemProps3.xml><?xml version="1.0" encoding="utf-8"?>
<ds:datastoreItem xmlns:ds="http://schemas.openxmlformats.org/officeDocument/2006/customXml" ds:itemID="{03F84CC4-6B27-48ED-BAD7-7FE369CA4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f6fb9-7f5d-4876-9a99-8ab4fa680755"/>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470BC-05A9-452E-97FF-A877A347A8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2642</Words>
  <Characters>14828</Characters>
  <Application>Microsoft Office Word</Application>
  <DocSecurity>0</DocSecurity>
  <Lines>400</Lines>
  <Paragraphs>161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Loveday, Rex A (FAA)</cp:lastModifiedBy>
  <cp:revision>4</cp:revision>
  <dcterms:created xsi:type="dcterms:W3CDTF">2026-04-09T20:18:00Z</dcterms:created>
  <dcterms:modified xsi:type="dcterms:W3CDTF">2026-04-13T11:48:00Z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_dlc_DocIdItemGuid">
    <vt:lpwstr>2c0106e8-039b-4dbf-9ddc-50dd40dc1db2</vt:lpwstr>
  </property>
</Properties>
</file>