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645B8" w:rsidRPr="004A169C" w:rsidP="007A01E7" w14:paraId="6D881B66" w14:textId="645396D7">
      <w:pPr>
        <w:pStyle w:val="Title"/>
        <w:rPr>
          <w:rFonts w:asciiTheme="minorHAnsi" w:hAnsiTheme="minorHAnsi" w:cstheme="minorHAnsi"/>
          <w:szCs w:val="28"/>
        </w:rPr>
      </w:pPr>
      <w:bookmarkStart w:id="0" w:name="_Toc49148152"/>
      <w:r w:rsidRPr="004A169C">
        <w:rPr>
          <w:rFonts w:asciiTheme="minorHAnsi" w:hAnsiTheme="minorHAnsi" w:cstheme="minorHAnsi"/>
          <w:szCs w:val="28"/>
        </w:rPr>
        <w:t>Supporting Statement for a</w:t>
      </w:r>
      <w:r w:rsidRPr="004A169C" w:rsidR="009505AD">
        <w:rPr>
          <w:rFonts w:asciiTheme="minorHAnsi" w:hAnsiTheme="minorHAnsi" w:cstheme="minorHAnsi"/>
          <w:szCs w:val="28"/>
        </w:rPr>
        <w:t>n</w:t>
      </w:r>
      <w:r w:rsidRPr="004A169C">
        <w:rPr>
          <w:rFonts w:asciiTheme="minorHAnsi" w:hAnsiTheme="minorHAnsi" w:cstheme="minorHAnsi"/>
          <w:szCs w:val="28"/>
        </w:rPr>
        <w:t xml:space="preserve"> Information Collection Request (ICR) </w:t>
      </w:r>
    </w:p>
    <w:p w:rsidR="005645B8" w:rsidRPr="004A169C" w:rsidP="007A01E7" w14:paraId="19900C7F" w14:textId="48571761">
      <w:pPr>
        <w:pStyle w:val="Title"/>
        <w:rPr>
          <w:rFonts w:asciiTheme="minorHAnsi" w:hAnsiTheme="minorHAnsi" w:cstheme="minorHAnsi"/>
          <w:szCs w:val="28"/>
        </w:rPr>
      </w:pPr>
      <w:r w:rsidRPr="004A169C">
        <w:rPr>
          <w:rFonts w:asciiTheme="minorHAnsi" w:hAnsiTheme="minorHAnsi" w:cstheme="minorHAnsi"/>
          <w:szCs w:val="28"/>
        </w:rPr>
        <w:t>Under the Paperwork Reduction Act (PRA)</w:t>
      </w:r>
    </w:p>
    <w:bookmarkEnd w:id="0"/>
    <w:p w:rsidR="0086469D" w:rsidRPr="004A169C" w:rsidP="007A01E7" w14:paraId="72F5C613" w14:textId="77777777">
      <w:pPr>
        <w:pStyle w:val="Heading1"/>
        <w:rPr>
          <w:rFonts w:asciiTheme="minorHAnsi" w:hAnsiTheme="minorHAnsi" w:cstheme="minorHAnsi"/>
          <w:sz w:val="24"/>
          <w:szCs w:val="24"/>
        </w:rPr>
      </w:pPr>
    </w:p>
    <w:p w:rsidR="005645B8" w:rsidRPr="004A169C" w:rsidP="00DA0A40" w14:paraId="47EF360E" w14:textId="3AA24A9C">
      <w:pPr>
        <w:pStyle w:val="NoSpacing"/>
        <w:spacing w:after="120"/>
        <w:rPr>
          <w:sz w:val="24"/>
          <w:szCs w:val="24"/>
        </w:rPr>
      </w:pPr>
      <w:r w:rsidRPr="41771A7D">
        <w:rPr>
          <w:b/>
          <w:bCs/>
          <w:sz w:val="24"/>
          <w:szCs w:val="24"/>
        </w:rPr>
        <w:t xml:space="preserve">Title: </w:t>
      </w:r>
      <w:r w:rsidRPr="41771A7D" w:rsidR="007D7596">
        <w:rPr>
          <w:sz w:val="24"/>
          <w:szCs w:val="24"/>
        </w:rPr>
        <w:t>Notification of Substantial Risk of Injury to Health and the Environment under TSCA Section 8(e)</w:t>
      </w:r>
    </w:p>
    <w:p w:rsidR="009505AD" w:rsidRPr="00D95784" w:rsidP="0086469D" w14:paraId="1968D082" w14:textId="6F5CDF1B">
      <w:pPr>
        <w:pStyle w:val="NoSpacing"/>
        <w:spacing w:after="120"/>
        <w:rPr>
          <w:rFonts w:cstheme="minorHAnsi"/>
          <w:sz w:val="24"/>
          <w:szCs w:val="24"/>
          <w:lang w:val="it-IT"/>
        </w:rPr>
      </w:pPr>
      <w:r w:rsidRPr="00D95784">
        <w:rPr>
          <w:rFonts w:cstheme="minorHAnsi"/>
          <w:b/>
          <w:bCs/>
          <w:sz w:val="24"/>
          <w:szCs w:val="24"/>
          <w:lang w:val="it-IT"/>
        </w:rPr>
        <w:t>EPA ICR No.:</w:t>
      </w:r>
      <w:r w:rsidRPr="00D95784">
        <w:rPr>
          <w:rFonts w:cstheme="minorHAnsi"/>
          <w:b/>
          <w:sz w:val="24"/>
          <w:szCs w:val="24"/>
          <w:lang w:val="it-IT"/>
        </w:rPr>
        <w:t xml:space="preserve"> </w:t>
      </w:r>
      <w:r w:rsidRPr="00D95784" w:rsidR="007D7596">
        <w:rPr>
          <w:rFonts w:cstheme="minorHAnsi"/>
          <w:sz w:val="24"/>
          <w:szCs w:val="24"/>
          <w:lang w:val="it-IT"/>
        </w:rPr>
        <w:t>0794.1</w:t>
      </w:r>
      <w:r w:rsidRPr="00D95784" w:rsidR="00495693">
        <w:rPr>
          <w:rFonts w:cstheme="minorHAnsi"/>
          <w:sz w:val="24"/>
          <w:szCs w:val="24"/>
          <w:lang w:val="it-IT"/>
        </w:rPr>
        <w:t>8</w:t>
      </w:r>
    </w:p>
    <w:p w:rsidR="005645B8" w:rsidRPr="00D95784" w:rsidP="0086469D" w14:paraId="3EF98889" w14:textId="58E80113">
      <w:pPr>
        <w:pStyle w:val="NoSpacing"/>
        <w:spacing w:after="120"/>
        <w:rPr>
          <w:rFonts w:cstheme="minorHAnsi"/>
          <w:sz w:val="24"/>
          <w:szCs w:val="24"/>
          <w:lang w:val="it-IT"/>
        </w:rPr>
      </w:pPr>
      <w:r w:rsidRPr="00D95784">
        <w:rPr>
          <w:rFonts w:cstheme="minorHAnsi"/>
          <w:b/>
          <w:bCs/>
          <w:sz w:val="24"/>
          <w:szCs w:val="24"/>
          <w:lang w:val="it-IT"/>
        </w:rPr>
        <w:t>OMB Control No.:</w:t>
      </w:r>
      <w:r w:rsidRPr="00D95784">
        <w:rPr>
          <w:rFonts w:cstheme="minorHAnsi"/>
          <w:sz w:val="24"/>
          <w:szCs w:val="24"/>
          <w:lang w:val="it-IT"/>
        </w:rPr>
        <w:t xml:space="preserve"> </w:t>
      </w:r>
      <w:r w:rsidRPr="00D95784" w:rsidR="007D7596">
        <w:rPr>
          <w:rFonts w:cstheme="minorHAnsi"/>
          <w:sz w:val="24"/>
          <w:szCs w:val="24"/>
          <w:lang w:val="it-IT"/>
        </w:rPr>
        <w:t>2070</w:t>
      </w:r>
      <w:r w:rsidRPr="00D95784" w:rsidR="003E2F88">
        <w:rPr>
          <w:rFonts w:cstheme="minorHAnsi"/>
          <w:sz w:val="24"/>
          <w:szCs w:val="24"/>
          <w:lang w:val="it-IT"/>
        </w:rPr>
        <w:t>-</w:t>
      </w:r>
      <w:r w:rsidRPr="00D95784" w:rsidR="00B2154A">
        <w:rPr>
          <w:rFonts w:cstheme="minorHAnsi"/>
          <w:sz w:val="24"/>
          <w:szCs w:val="24"/>
          <w:lang w:val="it-IT"/>
        </w:rPr>
        <w:t>0</w:t>
      </w:r>
      <w:r w:rsidRPr="00D95784" w:rsidR="007D7596">
        <w:rPr>
          <w:rFonts w:cstheme="minorHAnsi"/>
          <w:sz w:val="24"/>
          <w:szCs w:val="24"/>
          <w:lang w:val="it-IT"/>
        </w:rPr>
        <w:t>046</w:t>
      </w:r>
    </w:p>
    <w:p w:rsidR="0086469D" w:rsidP="0086469D" w14:paraId="50047559" w14:textId="70229AB7">
      <w:pPr>
        <w:pStyle w:val="NoSpacing"/>
        <w:spacing w:after="120"/>
        <w:rPr>
          <w:rFonts w:cstheme="minorHAnsi"/>
          <w:sz w:val="24"/>
          <w:szCs w:val="24"/>
        </w:rPr>
      </w:pPr>
      <w:r w:rsidRPr="004A169C">
        <w:rPr>
          <w:rFonts w:cstheme="minorHAnsi"/>
          <w:b/>
          <w:sz w:val="24"/>
          <w:szCs w:val="24"/>
        </w:rPr>
        <w:t xml:space="preserve">Docket ID No.: </w:t>
      </w:r>
      <w:r w:rsidRPr="004A169C">
        <w:rPr>
          <w:rFonts w:cstheme="minorHAnsi"/>
          <w:sz w:val="24"/>
          <w:szCs w:val="24"/>
        </w:rPr>
        <w:t>EPA-HQ-</w:t>
      </w:r>
      <w:r w:rsidRPr="004A169C" w:rsidR="007D7596">
        <w:rPr>
          <w:rFonts w:cstheme="minorHAnsi"/>
          <w:sz w:val="24"/>
          <w:szCs w:val="24"/>
        </w:rPr>
        <w:t>OPPT-2015-0744</w:t>
      </w:r>
    </w:p>
    <w:p w:rsidR="006B02F6" w:rsidRPr="004A169C" w:rsidP="005645B8" w14:paraId="2DE9ACB2" w14:textId="77777777">
      <w:pPr>
        <w:pStyle w:val="NoSpacing"/>
        <w:spacing w:after="120"/>
        <w:rPr>
          <w:rFonts w:cstheme="minorHAnsi"/>
          <w:sz w:val="24"/>
          <w:szCs w:val="24"/>
        </w:rPr>
      </w:pPr>
    </w:p>
    <w:p w:rsidR="005645B8" w:rsidRPr="004A169C" w:rsidP="002059F4" w14:paraId="6A1E128E" w14:textId="352364C1">
      <w:pPr>
        <w:pStyle w:val="Heading3"/>
        <w:numPr>
          <w:ilvl w:val="0"/>
          <w:numId w:val="0"/>
        </w:numPr>
        <w:rPr>
          <w:rFonts w:asciiTheme="minorHAnsi" w:hAnsiTheme="minorHAnsi" w:cstheme="minorHAnsi"/>
        </w:rPr>
      </w:pPr>
      <w:bookmarkStart w:id="1" w:name="_Toc49148156"/>
      <w:r w:rsidRPr="004A169C">
        <w:rPr>
          <w:rFonts w:asciiTheme="minorHAnsi" w:hAnsiTheme="minorHAnsi" w:cstheme="minorHAnsi"/>
        </w:rPr>
        <w:t>Abstract</w:t>
      </w:r>
      <w:bookmarkEnd w:id="1"/>
    </w:p>
    <w:p w:rsidR="00044532" w:rsidRPr="004A169C" w:rsidP="1CC48348" w14:paraId="032867C2" w14:textId="47E2CE58">
      <w:pPr>
        <w:rPr>
          <w:rFonts w:asciiTheme="minorHAnsi" w:hAnsiTheme="minorHAnsi"/>
        </w:rPr>
      </w:pPr>
      <w:r w:rsidRPr="1CC48348">
        <w:rPr>
          <w:rFonts w:asciiTheme="minorHAnsi" w:hAnsiTheme="minorHAnsi"/>
        </w:rPr>
        <w:t xml:space="preserve">Toxic Substances Control Act (TSCA) </w:t>
      </w:r>
      <w:r w:rsidR="00096415">
        <w:rPr>
          <w:rFonts w:asciiTheme="minorHAnsi" w:hAnsiTheme="minorHAnsi"/>
        </w:rPr>
        <w:t>s</w:t>
      </w:r>
      <w:r w:rsidRPr="1CC48348" w:rsidR="00096415">
        <w:rPr>
          <w:rFonts w:asciiTheme="minorHAnsi" w:hAnsiTheme="minorHAnsi"/>
        </w:rPr>
        <w:t xml:space="preserve">ection 8(e) </w:t>
      </w:r>
      <w:r w:rsidRPr="1CC48348">
        <w:rPr>
          <w:rFonts w:asciiTheme="minorHAnsi" w:hAnsiTheme="minorHAnsi"/>
        </w:rPr>
        <w:t>states, “any person who manufactures, [imports</w:t>
      </w:r>
      <w:r w:rsidRPr="1CC48348" w:rsidR="07D99FE8">
        <w:rPr>
          <w:rFonts w:asciiTheme="minorHAnsi" w:hAnsiTheme="minorHAnsi"/>
        </w:rPr>
        <w:t>,</w:t>
      </w:r>
      <w:r w:rsidRPr="1CC48348">
        <w:rPr>
          <w:rFonts w:asciiTheme="minorHAnsi" w:hAnsiTheme="minorHAnsi"/>
        </w:rPr>
        <w:t>] processes, or distributes in commerce a chemical substance or mixture and who obtains information which reasonably supports the conclusion that such substance or mixture presents a substantial risk of injury to health or the environment shall immediately inform the [EPA] Administrator of such information unless such person has actual knowledge that the Administrator has been adequately informed of such information.” (15 U.S.C. 2607(e); see Ref.1.)</w:t>
      </w:r>
    </w:p>
    <w:p w:rsidR="00044532" w:rsidRPr="004A169C" w:rsidP="1CC48348" w14:paraId="665A516C" w14:textId="2F6A50DC">
      <w:pPr>
        <w:rPr>
          <w:rFonts w:asciiTheme="minorHAnsi" w:hAnsiTheme="minorHAnsi"/>
        </w:rPr>
      </w:pPr>
      <w:bookmarkStart w:id="2" w:name="_Hlk90885634"/>
      <w:r w:rsidRPr="1CC48348">
        <w:rPr>
          <w:rFonts w:asciiTheme="minorHAnsi" w:hAnsiTheme="minorHAnsi"/>
        </w:rPr>
        <w:t>EPA receive</w:t>
      </w:r>
      <w:r w:rsidRPr="1CC48348" w:rsidR="00406AB4">
        <w:rPr>
          <w:rFonts w:asciiTheme="minorHAnsi" w:hAnsiTheme="minorHAnsi"/>
        </w:rPr>
        <w:t>s</w:t>
      </w:r>
      <w:r w:rsidRPr="1CC48348">
        <w:rPr>
          <w:rFonts w:asciiTheme="minorHAnsi" w:hAnsiTheme="minorHAnsi"/>
        </w:rPr>
        <w:t xml:space="preserve"> and scree</w:t>
      </w:r>
      <w:r w:rsidRPr="1CC48348" w:rsidR="00406AB4">
        <w:rPr>
          <w:rFonts w:asciiTheme="minorHAnsi" w:hAnsiTheme="minorHAnsi"/>
        </w:rPr>
        <w:t>ns</w:t>
      </w:r>
      <w:r w:rsidRPr="1CC48348">
        <w:rPr>
          <w:rFonts w:asciiTheme="minorHAnsi" w:hAnsiTheme="minorHAnsi"/>
        </w:rPr>
        <w:t xml:space="preserve"> </w:t>
      </w:r>
      <w:r w:rsidRPr="1CC48348" w:rsidR="00406AB4">
        <w:rPr>
          <w:rFonts w:asciiTheme="minorHAnsi" w:hAnsiTheme="minorHAnsi"/>
        </w:rPr>
        <w:t>TSCA</w:t>
      </w:r>
      <w:r w:rsidRPr="1CC48348">
        <w:rPr>
          <w:rFonts w:asciiTheme="minorHAnsi" w:hAnsiTheme="minorHAnsi"/>
        </w:rPr>
        <w:t xml:space="preserve"> section 8(e) submissions </w:t>
      </w:r>
      <w:r w:rsidRPr="1CC48348" w:rsidR="7EE0371B">
        <w:rPr>
          <w:rFonts w:asciiTheme="minorHAnsi" w:hAnsiTheme="minorHAnsi"/>
        </w:rPr>
        <w:t xml:space="preserve">including </w:t>
      </w:r>
      <w:r w:rsidRPr="1CC48348">
        <w:rPr>
          <w:rFonts w:asciiTheme="minorHAnsi" w:hAnsiTheme="minorHAnsi"/>
        </w:rPr>
        <w:t>a wide range of chemical toxicity/exposure information</w:t>
      </w:r>
      <w:r w:rsidRPr="1CC48348" w:rsidR="51023663">
        <w:rPr>
          <w:rFonts w:asciiTheme="minorHAnsi" w:hAnsiTheme="minorHAnsi"/>
        </w:rPr>
        <w:t xml:space="preserve"> on numerous chemical substances and mixtures</w:t>
      </w:r>
      <w:r w:rsidRPr="1CC48348">
        <w:rPr>
          <w:rFonts w:asciiTheme="minorHAnsi" w:hAnsiTheme="minorHAnsi"/>
        </w:rPr>
        <w:t xml:space="preserve">. Although EPA’s receipt of TSCA section 8(e) information does not necessarily trigger immediate regulatory action under TSCA or other authorities administered by EPA, all </w:t>
      </w:r>
      <w:r w:rsidRPr="1CC48348" w:rsidR="7B1F2A9C">
        <w:rPr>
          <w:rFonts w:asciiTheme="minorHAnsi" w:hAnsiTheme="minorHAnsi"/>
        </w:rPr>
        <w:t xml:space="preserve">TSCA </w:t>
      </w:r>
      <w:r w:rsidRPr="1CC48348">
        <w:rPr>
          <w:rFonts w:asciiTheme="minorHAnsi" w:hAnsiTheme="minorHAnsi"/>
        </w:rPr>
        <w:t>section 8(e) submissions receive screening level evaluations by EPA’s Office of Pollution Prevention and Toxics (OPPT) to identify priorities for further Agency action and appropriate referrals to other programs.</w:t>
      </w:r>
      <w:bookmarkEnd w:id="2"/>
    </w:p>
    <w:p w:rsidR="00044532" w:rsidP="1CC48348" w14:paraId="1B4B39CD" w14:textId="781AF2EB">
      <w:pPr>
        <w:rPr>
          <w:rFonts w:asciiTheme="minorHAnsi" w:hAnsiTheme="minorHAnsi"/>
        </w:rPr>
      </w:pPr>
      <w:r w:rsidRPr="1CC48348">
        <w:rPr>
          <w:rFonts w:asciiTheme="minorHAnsi" w:hAnsiTheme="minorHAnsi"/>
        </w:rPr>
        <w:t>EPA offer</w:t>
      </w:r>
      <w:r w:rsidRPr="1CC48348" w:rsidR="14A7E8FF">
        <w:rPr>
          <w:rFonts w:asciiTheme="minorHAnsi" w:hAnsiTheme="minorHAnsi"/>
        </w:rPr>
        <w:t>s</w:t>
      </w:r>
      <w:r w:rsidRPr="1CC48348">
        <w:rPr>
          <w:rFonts w:asciiTheme="minorHAnsi" w:hAnsiTheme="minorHAnsi"/>
        </w:rPr>
        <w:t xml:space="preserve"> an electronic reporting option for those required to submit a notification of substantial risk under </w:t>
      </w:r>
      <w:r w:rsidRPr="1CC48348" w:rsidR="49744C78">
        <w:rPr>
          <w:rFonts w:asciiTheme="minorHAnsi" w:hAnsiTheme="minorHAnsi"/>
        </w:rPr>
        <w:t xml:space="preserve">TSCA </w:t>
      </w:r>
      <w:r w:rsidRPr="1CC48348">
        <w:rPr>
          <w:rFonts w:asciiTheme="minorHAnsi" w:hAnsiTheme="minorHAnsi"/>
        </w:rPr>
        <w:t xml:space="preserve">section 8(e) and those who wish </w:t>
      </w:r>
      <w:r w:rsidRPr="1CC48348" w:rsidR="12BAFC64">
        <w:rPr>
          <w:rFonts w:asciiTheme="minorHAnsi" w:hAnsiTheme="minorHAnsi"/>
        </w:rPr>
        <w:t xml:space="preserve">to </w:t>
      </w:r>
      <w:r w:rsidRPr="1CC48348">
        <w:rPr>
          <w:rFonts w:asciiTheme="minorHAnsi" w:hAnsiTheme="minorHAnsi"/>
        </w:rPr>
        <w:t>voluntarily submit “For Your Information” (FYI) notices by registering and submitting information electronically using the Agency’s Central Data Exchange (CDX), as described below.</w:t>
      </w:r>
    </w:p>
    <w:p w:rsidR="15C55BC3" w:rsidP="1CC48348" w14:paraId="39E1D4BB" w14:textId="66E9D593">
      <w:pPr>
        <w:rPr>
          <w:rFonts w:asciiTheme="minorHAnsi" w:hAnsiTheme="minorHAnsi"/>
        </w:rPr>
      </w:pPr>
      <w:r w:rsidRPr="1CC48348">
        <w:rPr>
          <w:rFonts w:asciiTheme="minorHAnsi" w:hAnsiTheme="minorHAnsi"/>
        </w:rPr>
        <w:t>TSCA section 8(e) data on newly discovered chemical hazards/risks are available via EPA’s ChemView website (</w:t>
      </w:r>
      <w:hyperlink r:id="rId10">
        <w:r w:rsidRPr="1CC48348">
          <w:rPr>
            <w:rStyle w:val="Hyperlink"/>
            <w:rFonts w:asciiTheme="minorHAnsi" w:hAnsiTheme="minorHAnsi"/>
          </w:rPr>
          <w:t>https://chemview.epa.gov/chemview</w:t>
        </w:r>
      </w:hyperlink>
      <w:r w:rsidRPr="1CC48348">
        <w:rPr>
          <w:rFonts w:asciiTheme="minorHAnsi" w:hAnsiTheme="minorHAnsi"/>
        </w:rPr>
        <w:t>).</w:t>
      </w:r>
    </w:p>
    <w:p w:rsidR="007A01E7" w:rsidRPr="004A169C" w:rsidP="002059F4" w14:paraId="61F105B4" w14:textId="6EF86079">
      <w:pPr>
        <w:pStyle w:val="Heading3"/>
        <w:numPr>
          <w:ilvl w:val="0"/>
          <w:numId w:val="0"/>
        </w:numPr>
        <w:rPr>
          <w:rFonts w:asciiTheme="minorHAnsi" w:hAnsiTheme="minorHAnsi" w:cstheme="minorHAnsi"/>
        </w:rPr>
      </w:pPr>
    </w:p>
    <w:tbl>
      <w:tblPr>
        <w:tblW w:w="9444"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1410"/>
        <w:gridCol w:w="1650"/>
        <w:gridCol w:w="1690"/>
        <w:gridCol w:w="1290"/>
        <w:gridCol w:w="1490"/>
      </w:tblGrid>
      <w:tr w14:paraId="1B16D052" w14:textId="77777777" w:rsidTr="1CC48348">
        <w:tblPrEx>
          <w:tblW w:w="9444"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35"/>
        </w:trPr>
        <w:tc>
          <w:tcPr>
            <w:tcW w:w="1914" w:type="dxa"/>
            <w:vAlign w:val="center"/>
            <w:hideMark/>
          </w:tcPr>
          <w:p w:rsidR="00FD08FE" w:rsidRPr="004A169C" w:rsidP="41771A7D" w14:paraId="566ED18A" w14:textId="702DF6D2">
            <w:pPr>
              <w:jc w:val="center"/>
              <w:rPr>
                <w:rFonts w:asciiTheme="minorHAnsi" w:hAnsiTheme="minorHAnsi"/>
                <w:b/>
                <w:bCs/>
                <w:color w:val="000000"/>
              </w:rPr>
            </w:pPr>
            <w:bookmarkStart w:id="3" w:name="OLE_LINK1"/>
            <w:r w:rsidRPr="41771A7D">
              <w:rPr>
                <w:rFonts w:asciiTheme="minorHAnsi" w:hAnsiTheme="minorHAnsi"/>
                <w:b/>
                <w:bCs/>
                <w:color w:val="000000" w:themeColor="text1"/>
              </w:rPr>
              <w:t>Information Collection Activity</w:t>
            </w:r>
          </w:p>
        </w:tc>
        <w:tc>
          <w:tcPr>
            <w:tcW w:w="1410" w:type="dxa"/>
            <w:vAlign w:val="center"/>
            <w:hideMark/>
          </w:tcPr>
          <w:p w:rsidR="00FD08FE" w:rsidRPr="004A169C" w:rsidP="41771A7D" w14:paraId="746970FF" w14:textId="3161CD7A">
            <w:pPr>
              <w:jc w:val="center"/>
              <w:rPr>
                <w:rFonts w:asciiTheme="minorHAnsi" w:hAnsiTheme="minorHAnsi"/>
                <w:b/>
                <w:bCs/>
                <w:color w:val="000000"/>
              </w:rPr>
            </w:pPr>
            <w:r w:rsidRPr="41771A7D">
              <w:rPr>
                <w:rFonts w:asciiTheme="minorHAnsi" w:hAnsiTheme="minorHAnsi"/>
                <w:b/>
                <w:bCs/>
                <w:color w:val="000000" w:themeColor="text1"/>
              </w:rPr>
              <w:t xml:space="preserve">Annual </w:t>
            </w:r>
            <w:r w:rsidR="002B5E74">
              <w:rPr>
                <w:rFonts w:asciiTheme="minorHAnsi" w:hAnsiTheme="minorHAnsi"/>
                <w:b/>
                <w:bCs/>
                <w:color w:val="000000" w:themeColor="text1"/>
              </w:rPr>
              <w:t xml:space="preserve">Number of </w:t>
            </w:r>
            <w:r w:rsidRPr="41771A7D">
              <w:rPr>
                <w:rFonts w:asciiTheme="minorHAnsi" w:hAnsiTheme="minorHAnsi"/>
                <w:b/>
                <w:bCs/>
                <w:color w:val="000000" w:themeColor="text1"/>
              </w:rPr>
              <w:t>Response</w:t>
            </w:r>
            <w:r w:rsidRPr="41771A7D" w:rsidR="0C4C5040">
              <w:rPr>
                <w:rFonts w:asciiTheme="minorHAnsi" w:hAnsiTheme="minorHAnsi"/>
                <w:b/>
                <w:bCs/>
                <w:color w:val="000000" w:themeColor="text1"/>
              </w:rPr>
              <w:t>s</w:t>
            </w:r>
          </w:p>
        </w:tc>
        <w:tc>
          <w:tcPr>
            <w:tcW w:w="1650" w:type="dxa"/>
            <w:vAlign w:val="center"/>
            <w:hideMark/>
          </w:tcPr>
          <w:p w:rsidR="00FD08FE" w:rsidRPr="004A169C" w:rsidP="41771A7D" w14:paraId="0C20ECFD" w14:textId="53601D2D">
            <w:pPr>
              <w:jc w:val="center"/>
              <w:rPr>
                <w:rFonts w:asciiTheme="minorHAnsi" w:hAnsiTheme="minorHAnsi"/>
                <w:b/>
                <w:bCs/>
                <w:color w:val="000000"/>
              </w:rPr>
            </w:pPr>
            <w:r>
              <w:rPr>
                <w:rFonts w:asciiTheme="minorHAnsi" w:hAnsiTheme="minorHAnsi"/>
                <w:b/>
                <w:bCs/>
                <w:color w:val="000000" w:themeColor="text1"/>
              </w:rPr>
              <w:t xml:space="preserve">Number of </w:t>
            </w:r>
            <w:r w:rsidRPr="41771A7D">
              <w:rPr>
                <w:rFonts w:asciiTheme="minorHAnsi" w:hAnsiTheme="minorHAnsi"/>
                <w:b/>
                <w:bCs/>
                <w:color w:val="000000" w:themeColor="text1"/>
              </w:rPr>
              <w:t>Respondent</w:t>
            </w:r>
            <w:r w:rsidRPr="41771A7D" w:rsidR="6B77E7B6">
              <w:rPr>
                <w:rFonts w:asciiTheme="minorHAnsi" w:hAnsiTheme="minorHAnsi"/>
                <w:b/>
                <w:bCs/>
                <w:color w:val="000000" w:themeColor="text1"/>
              </w:rPr>
              <w:t>s</w:t>
            </w:r>
          </w:p>
        </w:tc>
        <w:tc>
          <w:tcPr>
            <w:tcW w:w="1690" w:type="dxa"/>
            <w:vAlign w:val="center"/>
          </w:tcPr>
          <w:p w:rsidR="00FD08FE" w:rsidRPr="004A169C" w:rsidP="1CC48348" w14:paraId="72074770" w14:textId="5F9C7A83">
            <w:pPr>
              <w:jc w:val="center"/>
              <w:rPr>
                <w:rFonts w:asciiTheme="minorHAnsi" w:hAnsiTheme="minorHAnsi"/>
                <w:b/>
                <w:bCs/>
                <w:color w:val="000000"/>
              </w:rPr>
            </w:pPr>
            <w:r w:rsidRPr="1CC48348">
              <w:rPr>
                <w:rFonts w:asciiTheme="minorHAnsi" w:hAnsiTheme="minorHAnsi"/>
                <w:b/>
                <w:bCs/>
                <w:color w:val="000000" w:themeColor="text1"/>
              </w:rPr>
              <w:t>Responses per Respondent</w:t>
            </w:r>
          </w:p>
        </w:tc>
        <w:tc>
          <w:tcPr>
            <w:tcW w:w="1290" w:type="dxa"/>
            <w:vAlign w:val="center"/>
            <w:hideMark/>
          </w:tcPr>
          <w:p w:rsidR="00FD08FE" w:rsidRPr="004A169C" w:rsidP="41771A7D" w14:paraId="66304D3F" w14:textId="2C91D78F">
            <w:pPr>
              <w:jc w:val="center"/>
              <w:rPr>
                <w:rFonts w:asciiTheme="minorHAnsi" w:hAnsiTheme="minorHAnsi"/>
                <w:b/>
                <w:bCs/>
                <w:color w:val="000000"/>
              </w:rPr>
            </w:pPr>
            <w:r w:rsidRPr="41771A7D">
              <w:rPr>
                <w:rFonts w:asciiTheme="minorHAnsi" w:hAnsiTheme="minorHAnsi"/>
                <w:b/>
                <w:bCs/>
                <w:color w:val="000000" w:themeColor="text1"/>
              </w:rPr>
              <w:t>Annual Burden Hours</w:t>
            </w:r>
          </w:p>
        </w:tc>
        <w:tc>
          <w:tcPr>
            <w:tcW w:w="1490" w:type="dxa"/>
            <w:vAlign w:val="center"/>
            <w:hideMark/>
          </w:tcPr>
          <w:p w:rsidR="00FD08FE" w:rsidRPr="004A169C" w:rsidP="41771A7D" w14:paraId="66105196" w14:textId="77777777">
            <w:pPr>
              <w:jc w:val="center"/>
              <w:rPr>
                <w:rFonts w:asciiTheme="minorHAnsi" w:hAnsiTheme="minorHAnsi"/>
                <w:b/>
                <w:bCs/>
                <w:color w:val="000000"/>
              </w:rPr>
            </w:pPr>
            <w:r w:rsidRPr="41771A7D">
              <w:rPr>
                <w:rFonts w:asciiTheme="minorHAnsi" w:hAnsiTheme="minorHAnsi"/>
                <w:b/>
                <w:bCs/>
                <w:color w:val="000000" w:themeColor="text1"/>
              </w:rPr>
              <w:t>Annual Cost</w:t>
            </w:r>
          </w:p>
        </w:tc>
      </w:tr>
      <w:tr w14:paraId="349A9A73" w14:textId="77777777" w:rsidTr="1CC48348">
        <w:tblPrEx>
          <w:tblW w:w="9444" w:type="dxa"/>
          <w:tblInd w:w="83" w:type="dxa"/>
          <w:tblLook w:val="04A0"/>
        </w:tblPrEx>
        <w:trPr>
          <w:trHeight w:val="300"/>
        </w:trPr>
        <w:tc>
          <w:tcPr>
            <w:tcW w:w="1914" w:type="dxa"/>
            <w:vAlign w:val="center"/>
            <w:hideMark/>
          </w:tcPr>
          <w:p w:rsidR="00FD08FE" w:rsidRPr="004A169C" w:rsidP="41771A7D" w14:paraId="0D5712D1" w14:textId="03400722">
            <w:pPr>
              <w:rPr>
                <w:rFonts w:asciiTheme="minorHAnsi" w:hAnsiTheme="minorHAnsi"/>
                <w:color w:val="000000"/>
              </w:rPr>
            </w:pPr>
            <w:r w:rsidRPr="41771A7D">
              <w:rPr>
                <w:rFonts w:asciiTheme="minorHAnsi" w:hAnsiTheme="minorHAnsi"/>
                <w:color w:val="000000" w:themeColor="text1"/>
              </w:rPr>
              <w:t>TSCA s</w:t>
            </w:r>
            <w:r w:rsidRPr="41771A7D">
              <w:rPr>
                <w:rFonts w:asciiTheme="minorHAnsi" w:hAnsiTheme="minorHAnsi"/>
                <w:color w:val="000000" w:themeColor="text1"/>
              </w:rPr>
              <w:t>ection 8(e) submission</w:t>
            </w:r>
          </w:p>
        </w:tc>
        <w:tc>
          <w:tcPr>
            <w:tcW w:w="1410" w:type="dxa"/>
            <w:vAlign w:val="center"/>
            <w:hideMark/>
          </w:tcPr>
          <w:p w:rsidR="00FD08FE" w:rsidRPr="004A169C" w:rsidP="004A169C" w14:paraId="607999E4" w14:textId="6899714A">
            <w:pPr>
              <w:rPr>
                <w:rFonts w:asciiTheme="minorHAnsi" w:hAnsiTheme="minorHAnsi" w:cstheme="minorHAnsi"/>
                <w:color w:val="000000"/>
                <w:szCs w:val="24"/>
              </w:rPr>
            </w:pPr>
            <w:r w:rsidRPr="004A169C">
              <w:rPr>
                <w:rFonts w:asciiTheme="minorHAnsi" w:hAnsiTheme="minorHAnsi" w:cstheme="minorHAnsi"/>
                <w:color w:val="000000" w:themeColor="text1"/>
                <w:szCs w:val="24"/>
              </w:rPr>
              <w:t>55</w:t>
            </w:r>
            <w:r w:rsidRPr="004A169C" w:rsidR="00295262">
              <w:rPr>
                <w:rFonts w:asciiTheme="minorHAnsi" w:hAnsiTheme="minorHAnsi" w:cstheme="minorHAnsi"/>
                <w:color w:val="000000" w:themeColor="text1"/>
                <w:szCs w:val="24"/>
              </w:rPr>
              <w:t>2</w:t>
            </w:r>
          </w:p>
        </w:tc>
        <w:tc>
          <w:tcPr>
            <w:tcW w:w="1650" w:type="dxa"/>
            <w:vAlign w:val="center"/>
          </w:tcPr>
          <w:p w:rsidR="00FD08FE" w:rsidRPr="004A169C" w:rsidP="004A169C" w14:paraId="3411A1FC" w14:textId="619C09EF">
            <w:pPr>
              <w:rPr>
                <w:rFonts w:asciiTheme="minorHAnsi" w:hAnsiTheme="minorHAnsi" w:cstheme="minorHAnsi"/>
                <w:color w:val="000000"/>
                <w:szCs w:val="24"/>
              </w:rPr>
            </w:pPr>
            <w:r w:rsidRPr="004A169C">
              <w:rPr>
                <w:rFonts w:asciiTheme="minorHAnsi" w:hAnsiTheme="minorHAnsi" w:cstheme="minorHAnsi"/>
                <w:color w:val="000000" w:themeColor="text1"/>
                <w:szCs w:val="24"/>
              </w:rPr>
              <w:t>35</w:t>
            </w:r>
          </w:p>
        </w:tc>
        <w:tc>
          <w:tcPr>
            <w:tcW w:w="1690" w:type="dxa"/>
            <w:vAlign w:val="center"/>
          </w:tcPr>
          <w:p w:rsidR="00FD08FE" w:rsidRPr="004A169C" w:rsidP="736305CB" w14:paraId="1AC34B27" w14:textId="6537D80C">
            <w:pPr>
              <w:rPr>
                <w:rFonts w:asciiTheme="minorHAnsi" w:hAnsiTheme="minorHAnsi"/>
                <w:color w:val="000000" w:themeColor="text1"/>
              </w:rPr>
            </w:pPr>
            <w:r w:rsidRPr="2A808E10">
              <w:rPr>
                <w:rFonts w:asciiTheme="minorHAnsi" w:hAnsiTheme="minorHAnsi"/>
                <w:color w:val="000000" w:themeColor="text1"/>
              </w:rPr>
              <w:t>1</w:t>
            </w:r>
            <w:r w:rsidRPr="2A808E10" w:rsidR="0A151104">
              <w:rPr>
                <w:rFonts w:asciiTheme="minorHAnsi" w:hAnsiTheme="minorHAnsi"/>
                <w:color w:val="000000" w:themeColor="text1"/>
              </w:rPr>
              <w:t>6</w:t>
            </w:r>
          </w:p>
        </w:tc>
        <w:tc>
          <w:tcPr>
            <w:tcW w:w="1290" w:type="dxa"/>
            <w:vAlign w:val="center"/>
          </w:tcPr>
          <w:p w:rsidR="00FD08FE" w:rsidRPr="004A169C" w:rsidP="004A169C" w14:paraId="23801871" w14:textId="3A35FECD">
            <w:pPr>
              <w:rPr>
                <w:rFonts w:asciiTheme="minorHAnsi" w:hAnsiTheme="minorHAnsi" w:cstheme="minorHAnsi"/>
                <w:color w:val="000000"/>
                <w:szCs w:val="24"/>
              </w:rPr>
            </w:pPr>
            <w:r w:rsidRPr="004A169C">
              <w:rPr>
                <w:rFonts w:asciiTheme="minorHAnsi" w:hAnsiTheme="minorHAnsi" w:cstheme="minorHAnsi"/>
                <w:color w:val="000000" w:themeColor="text1"/>
                <w:szCs w:val="24"/>
              </w:rPr>
              <w:t>27,608</w:t>
            </w:r>
          </w:p>
        </w:tc>
        <w:tc>
          <w:tcPr>
            <w:tcW w:w="1490" w:type="dxa"/>
            <w:shd w:val="clear" w:color="auto" w:fill="FFFFFF" w:themeFill="background1"/>
            <w:vAlign w:val="center"/>
            <w:hideMark/>
          </w:tcPr>
          <w:p w:rsidR="00FD08FE" w:rsidRPr="004A169C" w:rsidP="00085D58" w14:paraId="04365D01" w14:textId="65B1EE66">
            <w:pPr>
              <w:jc w:val="right"/>
              <w:rPr>
                <w:rFonts w:asciiTheme="minorHAnsi" w:hAnsiTheme="minorHAnsi" w:cstheme="minorHAnsi"/>
                <w:color w:val="000000"/>
                <w:szCs w:val="24"/>
              </w:rPr>
            </w:pPr>
            <w:r w:rsidRPr="004A169C">
              <w:rPr>
                <w:rFonts w:asciiTheme="minorHAnsi" w:hAnsiTheme="minorHAnsi" w:cstheme="minorHAnsi"/>
                <w:color w:val="000000"/>
                <w:szCs w:val="24"/>
              </w:rPr>
              <w:t>$2,802,212</w:t>
            </w:r>
          </w:p>
        </w:tc>
      </w:tr>
      <w:tr w14:paraId="07DA8DF2" w14:textId="77777777" w:rsidTr="1CC48348">
        <w:tblPrEx>
          <w:tblW w:w="9444" w:type="dxa"/>
          <w:tblInd w:w="83" w:type="dxa"/>
          <w:tblLook w:val="04A0"/>
        </w:tblPrEx>
        <w:trPr>
          <w:trHeight w:val="300"/>
        </w:trPr>
        <w:tc>
          <w:tcPr>
            <w:tcW w:w="1914" w:type="dxa"/>
            <w:vAlign w:val="center"/>
            <w:hideMark/>
          </w:tcPr>
          <w:p w:rsidR="00FD08FE" w:rsidRPr="004A169C" w:rsidP="004A169C" w14:paraId="2A23F243" w14:textId="32056453">
            <w:pPr>
              <w:rPr>
                <w:rFonts w:asciiTheme="minorHAnsi" w:hAnsiTheme="minorHAnsi" w:cstheme="minorHAnsi"/>
                <w:color w:val="000000"/>
                <w:szCs w:val="24"/>
              </w:rPr>
            </w:pPr>
            <w:r w:rsidRPr="004A169C">
              <w:rPr>
                <w:rFonts w:asciiTheme="minorHAnsi" w:hAnsiTheme="minorHAnsi" w:cstheme="minorHAnsi"/>
                <w:color w:val="000000"/>
                <w:szCs w:val="24"/>
              </w:rPr>
              <w:t>FYI submission</w:t>
            </w:r>
          </w:p>
        </w:tc>
        <w:tc>
          <w:tcPr>
            <w:tcW w:w="1410" w:type="dxa"/>
            <w:vAlign w:val="center"/>
            <w:hideMark/>
          </w:tcPr>
          <w:p w:rsidR="00FD08FE" w:rsidRPr="004A169C" w:rsidP="004A169C" w14:paraId="4011CEEE" w14:textId="2FAF4B66">
            <w:pPr>
              <w:rPr>
                <w:rFonts w:asciiTheme="minorHAnsi" w:hAnsiTheme="minorHAnsi" w:cstheme="minorHAnsi"/>
                <w:color w:val="000000"/>
                <w:szCs w:val="24"/>
              </w:rPr>
            </w:pPr>
            <w:r w:rsidRPr="004A169C">
              <w:rPr>
                <w:rFonts w:asciiTheme="minorHAnsi" w:hAnsiTheme="minorHAnsi" w:cstheme="minorHAnsi"/>
                <w:color w:val="000000" w:themeColor="text1"/>
                <w:szCs w:val="24"/>
              </w:rPr>
              <w:t>5</w:t>
            </w:r>
          </w:p>
        </w:tc>
        <w:tc>
          <w:tcPr>
            <w:tcW w:w="1650" w:type="dxa"/>
            <w:vAlign w:val="center"/>
          </w:tcPr>
          <w:p w:rsidR="00FD08FE" w:rsidRPr="00726881" w:rsidP="004A169C" w14:paraId="063C4B18" w14:textId="4999FEDD">
            <w:pPr>
              <w:rPr>
                <w:rFonts w:asciiTheme="minorHAnsi" w:hAnsiTheme="minorHAnsi" w:cstheme="minorHAnsi"/>
                <w:color w:val="000000"/>
                <w:szCs w:val="24"/>
              </w:rPr>
            </w:pPr>
            <w:r w:rsidRPr="00726881">
              <w:rPr>
                <w:rFonts w:asciiTheme="minorHAnsi" w:hAnsiTheme="minorHAnsi" w:cstheme="minorHAnsi"/>
                <w:color w:val="000000" w:themeColor="text1"/>
                <w:szCs w:val="24"/>
              </w:rPr>
              <w:t>5</w:t>
            </w:r>
          </w:p>
        </w:tc>
        <w:tc>
          <w:tcPr>
            <w:tcW w:w="1690" w:type="dxa"/>
            <w:vAlign w:val="center"/>
          </w:tcPr>
          <w:p w:rsidR="00FD08FE" w:rsidRPr="004A169C" w:rsidP="004A169C" w14:paraId="1E7AAAAB" w14:textId="4023C4C8">
            <w:pPr>
              <w:rPr>
                <w:rFonts w:asciiTheme="minorHAnsi" w:hAnsiTheme="minorHAnsi" w:cstheme="minorHAnsi"/>
                <w:color w:val="000000" w:themeColor="text1"/>
                <w:szCs w:val="24"/>
              </w:rPr>
            </w:pPr>
            <w:r w:rsidRPr="004A169C">
              <w:rPr>
                <w:rFonts w:asciiTheme="minorHAnsi" w:hAnsiTheme="minorHAnsi" w:cstheme="minorHAnsi"/>
                <w:color w:val="000000" w:themeColor="text1"/>
                <w:szCs w:val="24"/>
              </w:rPr>
              <w:t>1</w:t>
            </w:r>
          </w:p>
        </w:tc>
        <w:tc>
          <w:tcPr>
            <w:tcW w:w="1290" w:type="dxa"/>
            <w:vAlign w:val="center"/>
          </w:tcPr>
          <w:p w:rsidR="00FD08FE" w:rsidRPr="004A169C" w:rsidP="004A169C" w14:paraId="521987E6" w14:textId="6EF63C92">
            <w:pPr>
              <w:rPr>
                <w:rFonts w:asciiTheme="minorHAnsi" w:hAnsiTheme="minorHAnsi" w:cstheme="minorHAnsi"/>
                <w:color w:val="000000"/>
                <w:szCs w:val="24"/>
              </w:rPr>
            </w:pPr>
            <w:r w:rsidRPr="004A169C">
              <w:rPr>
                <w:rFonts w:asciiTheme="minorHAnsi" w:hAnsiTheme="minorHAnsi" w:cstheme="minorHAnsi"/>
                <w:color w:val="000000" w:themeColor="text1"/>
                <w:szCs w:val="24"/>
              </w:rPr>
              <w:t>251</w:t>
            </w:r>
          </w:p>
        </w:tc>
        <w:tc>
          <w:tcPr>
            <w:tcW w:w="1490" w:type="dxa"/>
            <w:shd w:val="clear" w:color="auto" w:fill="FFFFFF" w:themeFill="background1"/>
            <w:vAlign w:val="center"/>
            <w:hideMark/>
          </w:tcPr>
          <w:p w:rsidR="00FD08FE" w:rsidRPr="004A169C" w:rsidP="00085D58" w14:paraId="387F5487" w14:textId="290216D0">
            <w:pPr>
              <w:jc w:val="right"/>
              <w:rPr>
                <w:rFonts w:asciiTheme="minorHAnsi" w:hAnsiTheme="minorHAnsi" w:cstheme="minorHAnsi"/>
                <w:color w:val="000000"/>
                <w:szCs w:val="24"/>
              </w:rPr>
            </w:pPr>
            <w:r w:rsidRPr="004A169C">
              <w:rPr>
                <w:rFonts w:asciiTheme="minorHAnsi" w:hAnsiTheme="minorHAnsi" w:cstheme="minorHAnsi"/>
                <w:color w:val="000000"/>
                <w:szCs w:val="24"/>
              </w:rPr>
              <w:t>$25,477</w:t>
            </w:r>
          </w:p>
        </w:tc>
      </w:tr>
      <w:tr w14:paraId="3C87B37E" w14:textId="77777777" w:rsidTr="1CC48348">
        <w:tblPrEx>
          <w:tblW w:w="9444" w:type="dxa"/>
          <w:tblInd w:w="83" w:type="dxa"/>
          <w:tblLook w:val="04A0"/>
        </w:tblPrEx>
        <w:trPr>
          <w:trHeight w:val="525"/>
        </w:trPr>
        <w:tc>
          <w:tcPr>
            <w:tcW w:w="1914" w:type="dxa"/>
            <w:vAlign w:val="center"/>
            <w:hideMark/>
          </w:tcPr>
          <w:p w:rsidR="00FD08FE" w:rsidRPr="004A169C" w:rsidP="004A169C" w14:paraId="66843AA7" w14:textId="28D2EF5F">
            <w:pPr>
              <w:rPr>
                <w:rFonts w:asciiTheme="minorHAnsi" w:hAnsiTheme="minorHAnsi" w:cstheme="minorHAnsi"/>
                <w:color w:val="000000"/>
                <w:szCs w:val="24"/>
              </w:rPr>
            </w:pPr>
            <w:r w:rsidRPr="004A169C">
              <w:rPr>
                <w:rFonts w:asciiTheme="minorHAnsi" w:hAnsiTheme="minorHAnsi" w:cstheme="minorHAnsi"/>
                <w:color w:val="000000"/>
                <w:szCs w:val="24"/>
              </w:rPr>
              <w:t xml:space="preserve">CDX </w:t>
            </w:r>
            <w:r w:rsidRPr="004A169C" w:rsidR="00142B69">
              <w:rPr>
                <w:rFonts w:asciiTheme="minorHAnsi" w:hAnsiTheme="minorHAnsi" w:cstheme="minorHAnsi"/>
                <w:color w:val="000000"/>
                <w:szCs w:val="24"/>
              </w:rPr>
              <w:t>Registration and</w:t>
            </w:r>
            <w:r w:rsidRPr="004A169C">
              <w:rPr>
                <w:rFonts w:asciiTheme="minorHAnsi" w:hAnsiTheme="minorHAnsi" w:cstheme="minorHAnsi"/>
                <w:color w:val="000000"/>
                <w:szCs w:val="24"/>
              </w:rPr>
              <w:t xml:space="preserve"> e-Signature</w:t>
            </w:r>
          </w:p>
        </w:tc>
        <w:tc>
          <w:tcPr>
            <w:tcW w:w="1410" w:type="dxa"/>
            <w:vAlign w:val="center"/>
            <w:hideMark/>
          </w:tcPr>
          <w:p w:rsidR="00FD08FE" w:rsidRPr="004A169C" w:rsidP="004A169C" w14:paraId="79CB0C47" w14:textId="1A060525">
            <w:pPr>
              <w:rPr>
                <w:rFonts w:asciiTheme="minorHAnsi" w:hAnsiTheme="minorHAnsi" w:cstheme="minorHAnsi"/>
                <w:color w:val="000000"/>
                <w:szCs w:val="24"/>
              </w:rPr>
            </w:pPr>
            <w:r w:rsidRPr="004A169C">
              <w:rPr>
                <w:rFonts w:asciiTheme="minorHAnsi" w:hAnsiTheme="minorHAnsi" w:cstheme="minorHAnsi"/>
                <w:color w:val="000000" w:themeColor="text1"/>
                <w:szCs w:val="24"/>
              </w:rPr>
              <w:t>37</w:t>
            </w:r>
            <w:r w:rsidRPr="00382045" w:rsidR="004F589D">
              <w:rPr>
                <w:rFonts w:asciiTheme="minorHAnsi" w:hAnsiTheme="minorHAnsi" w:cstheme="minorHAnsi"/>
                <w:color w:val="000000"/>
                <w:szCs w:val="24"/>
                <w:vertAlign w:val="superscript"/>
              </w:rPr>
              <w:t xml:space="preserve"> </w:t>
            </w:r>
            <w:r w:rsidRPr="00382045" w:rsidR="004F589D">
              <w:rPr>
                <w:rFonts w:asciiTheme="minorHAnsi" w:hAnsiTheme="minorHAnsi" w:cstheme="minorHAnsi"/>
                <w:color w:val="000000"/>
                <w:szCs w:val="24"/>
                <w:vertAlign w:val="superscript"/>
              </w:rPr>
              <w:t>A</w:t>
            </w:r>
          </w:p>
        </w:tc>
        <w:tc>
          <w:tcPr>
            <w:tcW w:w="1650" w:type="dxa"/>
            <w:vAlign w:val="center"/>
          </w:tcPr>
          <w:p w:rsidR="00FD08FE" w:rsidRPr="004A169C" w:rsidP="004A169C" w14:paraId="7DA30A68" w14:textId="7AAB9BC1">
            <w:pPr>
              <w:rPr>
                <w:rFonts w:asciiTheme="minorHAnsi" w:hAnsiTheme="minorHAnsi" w:cstheme="minorHAnsi"/>
                <w:color w:val="000000"/>
                <w:szCs w:val="24"/>
              </w:rPr>
            </w:pPr>
            <w:r w:rsidRPr="004A169C">
              <w:rPr>
                <w:rFonts w:asciiTheme="minorHAnsi" w:hAnsiTheme="minorHAnsi" w:cstheme="minorHAnsi"/>
                <w:color w:val="000000" w:themeColor="text1"/>
                <w:szCs w:val="24"/>
              </w:rPr>
              <w:t>37</w:t>
            </w:r>
            <w:r w:rsidRPr="00382045" w:rsidR="004F589D">
              <w:rPr>
                <w:rFonts w:asciiTheme="minorHAnsi" w:hAnsiTheme="minorHAnsi" w:cstheme="minorHAnsi"/>
                <w:color w:val="000000"/>
                <w:szCs w:val="24"/>
                <w:vertAlign w:val="superscript"/>
              </w:rPr>
              <w:t xml:space="preserve"> </w:t>
            </w:r>
            <w:r w:rsidRPr="00382045" w:rsidR="004F589D">
              <w:rPr>
                <w:rFonts w:asciiTheme="minorHAnsi" w:hAnsiTheme="minorHAnsi" w:cstheme="minorHAnsi"/>
                <w:color w:val="000000"/>
                <w:szCs w:val="24"/>
                <w:vertAlign w:val="superscript"/>
              </w:rPr>
              <w:t>A</w:t>
            </w:r>
          </w:p>
        </w:tc>
        <w:tc>
          <w:tcPr>
            <w:tcW w:w="1690" w:type="dxa"/>
            <w:vAlign w:val="center"/>
          </w:tcPr>
          <w:p w:rsidR="00FD08FE" w:rsidRPr="004A169C" w:rsidP="004A169C" w14:paraId="45FC259C" w14:textId="399DCE54">
            <w:pPr>
              <w:rPr>
                <w:rFonts w:asciiTheme="minorHAnsi" w:hAnsiTheme="minorHAnsi" w:cstheme="minorHAnsi"/>
                <w:color w:val="000000" w:themeColor="text1"/>
                <w:szCs w:val="24"/>
              </w:rPr>
            </w:pPr>
            <w:r w:rsidRPr="004A169C">
              <w:rPr>
                <w:rFonts w:asciiTheme="minorHAnsi" w:hAnsiTheme="minorHAnsi" w:cstheme="minorHAnsi"/>
                <w:color w:val="000000" w:themeColor="text1"/>
                <w:szCs w:val="24"/>
              </w:rPr>
              <w:t>1</w:t>
            </w:r>
          </w:p>
        </w:tc>
        <w:tc>
          <w:tcPr>
            <w:tcW w:w="1290" w:type="dxa"/>
            <w:vAlign w:val="center"/>
          </w:tcPr>
          <w:p w:rsidR="00FD08FE" w:rsidRPr="004A169C" w:rsidP="004A169C" w14:paraId="72D3397B" w14:textId="3643CC8C">
            <w:pPr>
              <w:rPr>
                <w:rFonts w:asciiTheme="minorHAnsi" w:hAnsiTheme="minorHAnsi" w:cstheme="minorHAnsi"/>
                <w:color w:val="000000"/>
                <w:szCs w:val="24"/>
              </w:rPr>
            </w:pPr>
            <w:r w:rsidRPr="004A169C">
              <w:rPr>
                <w:rFonts w:asciiTheme="minorHAnsi" w:hAnsiTheme="minorHAnsi" w:cstheme="minorHAnsi"/>
                <w:color w:val="000000" w:themeColor="text1"/>
                <w:szCs w:val="24"/>
              </w:rPr>
              <w:t>24</w:t>
            </w:r>
          </w:p>
        </w:tc>
        <w:tc>
          <w:tcPr>
            <w:tcW w:w="1490" w:type="dxa"/>
            <w:shd w:val="clear" w:color="auto" w:fill="FFFFFF" w:themeFill="background1"/>
            <w:vAlign w:val="center"/>
            <w:hideMark/>
          </w:tcPr>
          <w:p w:rsidR="00FD08FE" w:rsidRPr="004A169C" w:rsidP="00085D58" w14:paraId="2C510DB5" w14:textId="3F35DD23">
            <w:pPr>
              <w:jc w:val="right"/>
              <w:rPr>
                <w:rFonts w:asciiTheme="minorHAnsi" w:hAnsiTheme="minorHAnsi" w:cstheme="minorHAnsi"/>
                <w:color w:val="000000"/>
                <w:szCs w:val="24"/>
              </w:rPr>
            </w:pPr>
            <w:r w:rsidRPr="004A169C">
              <w:rPr>
                <w:rFonts w:asciiTheme="minorHAnsi" w:hAnsiTheme="minorHAnsi" w:cstheme="minorHAnsi"/>
                <w:color w:val="000000" w:themeColor="text1"/>
                <w:szCs w:val="24"/>
              </w:rPr>
              <w:t>$2,</w:t>
            </w:r>
            <w:r w:rsidRPr="004A169C" w:rsidR="00212B5E">
              <w:rPr>
                <w:rFonts w:asciiTheme="minorHAnsi" w:hAnsiTheme="minorHAnsi" w:cstheme="minorHAnsi"/>
                <w:color w:val="000000" w:themeColor="text1"/>
                <w:szCs w:val="24"/>
              </w:rPr>
              <w:t>1</w:t>
            </w:r>
            <w:r w:rsidR="00212B5E">
              <w:rPr>
                <w:rFonts w:asciiTheme="minorHAnsi" w:hAnsiTheme="minorHAnsi" w:cstheme="minorHAnsi"/>
                <w:color w:val="000000" w:themeColor="text1"/>
                <w:szCs w:val="24"/>
              </w:rPr>
              <w:t>56</w:t>
            </w:r>
          </w:p>
        </w:tc>
      </w:tr>
      <w:tr w14:paraId="042011F3" w14:textId="77777777" w:rsidTr="1CC48348">
        <w:tblPrEx>
          <w:tblW w:w="9444" w:type="dxa"/>
          <w:tblInd w:w="83" w:type="dxa"/>
          <w:tblLook w:val="04A0"/>
        </w:tblPrEx>
        <w:trPr>
          <w:trHeight w:val="315"/>
        </w:trPr>
        <w:tc>
          <w:tcPr>
            <w:tcW w:w="1914" w:type="dxa"/>
            <w:vAlign w:val="center"/>
            <w:hideMark/>
          </w:tcPr>
          <w:p w:rsidR="00FD08FE" w:rsidRPr="00726881" w:rsidP="004A169C" w14:paraId="3CFDC157" w14:textId="2C5A0B79">
            <w:pPr>
              <w:rPr>
                <w:rFonts w:asciiTheme="minorHAnsi" w:hAnsiTheme="minorHAnsi" w:cstheme="minorHAnsi"/>
                <w:b/>
                <w:bCs/>
                <w:color w:val="000000"/>
                <w:szCs w:val="24"/>
              </w:rPr>
            </w:pPr>
            <w:r w:rsidRPr="00726881">
              <w:rPr>
                <w:rFonts w:asciiTheme="minorHAnsi" w:hAnsiTheme="minorHAnsi" w:cstheme="minorHAnsi"/>
                <w:b/>
                <w:bCs/>
                <w:color w:val="000000"/>
                <w:szCs w:val="24"/>
              </w:rPr>
              <w:t xml:space="preserve">Respondent Total </w:t>
            </w:r>
          </w:p>
        </w:tc>
        <w:tc>
          <w:tcPr>
            <w:tcW w:w="1410" w:type="dxa"/>
            <w:shd w:val="clear" w:color="auto" w:fill="FFFFFF" w:themeFill="background1"/>
            <w:vAlign w:val="center"/>
            <w:hideMark/>
          </w:tcPr>
          <w:p w:rsidR="00FD08FE" w:rsidRPr="00726881" w:rsidP="004A169C" w14:paraId="6DEEF4E7" w14:textId="10716873">
            <w:pPr>
              <w:rPr>
                <w:rFonts w:asciiTheme="minorHAnsi" w:hAnsiTheme="minorHAnsi" w:cstheme="minorHAnsi"/>
                <w:b/>
                <w:bCs/>
                <w:color w:val="000000"/>
                <w:szCs w:val="24"/>
              </w:rPr>
            </w:pPr>
            <w:r w:rsidRPr="00726881">
              <w:rPr>
                <w:rFonts w:asciiTheme="minorHAnsi" w:hAnsiTheme="minorHAnsi" w:cstheme="minorHAnsi"/>
                <w:b/>
                <w:bCs/>
                <w:color w:val="000000"/>
                <w:szCs w:val="24"/>
              </w:rPr>
              <w:t>5</w:t>
            </w:r>
            <w:r>
              <w:rPr>
                <w:rFonts w:asciiTheme="minorHAnsi" w:hAnsiTheme="minorHAnsi" w:cstheme="minorHAnsi"/>
                <w:b/>
                <w:bCs/>
                <w:color w:val="000000"/>
                <w:szCs w:val="24"/>
              </w:rPr>
              <w:t>6</w:t>
            </w:r>
            <w:r w:rsidRPr="00726881">
              <w:rPr>
                <w:rFonts w:asciiTheme="minorHAnsi" w:hAnsiTheme="minorHAnsi" w:cstheme="minorHAnsi"/>
                <w:b/>
                <w:bCs/>
                <w:color w:val="000000"/>
                <w:szCs w:val="24"/>
              </w:rPr>
              <w:t>7</w:t>
            </w:r>
          </w:p>
        </w:tc>
        <w:tc>
          <w:tcPr>
            <w:tcW w:w="1650" w:type="dxa"/>
            <w:shd w:val="clear" w:color="auto" w:fill="FFFFFF" w:themeFill="background1"/>
            <w:vAlign w:val="center"/>
            <w:hideMark/>
          </w:tcPr>
          <w:p w:rsidR="00FD08FE" w:rsidRPr="00726881" w:rsidP="004A169C" w14:paraId="03363B02" w14:textId="69C0CA5C">
            <w:pPr>
              <w:rPr>
                <w:rFonts w:asciiTheme="minorHAnsi" w:hAnsiTheme="minorHAnsi" w:cstheme="minorHAnsi"/>
                <w:b/>
                <w:bCs/>
                <w:color w:val="000000"/>
                <w:szCs w:val="24"/>
              </w:rPr>
            </w:pPr>
            <w:r>
              <w:rPr>
                <w:rFonts w:asciiTheme="minorHAnsi" w:hAnsiTheme="minorHAnsi" w:cstheme="minorHAnsi"/>
                <w:b/>
                <w:bCs/>
                <w:color w:val="000000"/>
                <w:szCs w:val="24"/>
              </w:rPr>
              <w:t>40</w:t>
            </w:r>
          </w:p>
        </w:tc>
        <w:tc>
          <w:tcPr>
            <w:tcW w:w="1690" w:type="dxa"/>
            <w:shd w:val="clear" w:color="auto" w:fill="FFFFFF" w:themeFill="background1"/>
            <w:vAlign w:val="center"/>
          </w:tcPr>
          <w:p w:rsidR="00FD08FE" w:rsidRPr="00990027" w:rsidP="004A169C" w14:paraId="593F4F68" w14:textId="7C11E606">
            <w:pPr>
              <w:rPr>
                <w:rFonts w:asciiTheme="minorHAnsi" w:hAnsiTheme="minorHAnsi" w:cstheme="minorHAnsi"/>
                <w:b/>
                <w:bCs/>
                <w:color w:val="000000"/>
                <w:szCs w:val="24"/>
              </w:rPr>
            </w:pPr>
            <w:r>
              <w:rPr>
                <w:rFonts w:asciiTheme="minorHAnsi" w:hAnsiTheme="minorHAnsi" w:cstheme="minorHAnsi"/>
                <w:b/>
                <w:bCs/>
                <w:color w:val="000000"/>
                <w:szCs w:val="24"/>
              </w:rPr>
              <w:t>n/a</w:t>
            </w:r>
          </w:p>
        </w:tc>
        <w:tc>
          <w:tcPr>
            <w:tcW w:w="1290" w:type="dxa"/>
            <w:shd w:val="clear" w:color="auto" w:fill="FFFFFF" w:themeFill="background1"/>
            <w:vAlign w:val="center"/>
          </w:tcPr>
          <w:p w:rsidR="00FD08FE" w:rsidRPr="00990027" w:rsidP="004A169C" w14:paraId="52825D38" w14:textId="11F311A9">
            <w:pPr>
              <w:rPr>
                <w:rFonts w:asciiTheme="minorHAnsi" w:hAnsiTheme="minorHAnsi" w:cstheme="minorHAnsi"/>
                <w:b/>
                <w:bCs/>
                <w:color w:val="000000"/>
                <w:szCs w:val="24"/>
              </w:rPr>
            </w:pPr>
            <w:r>
              <w:rPr>
                <w:rFonts w:asciiTheme="minorHAnsi" w:hAnsiTheme="minorHAnsi" w:cstheme="minorHAnsi"/>
                <w:b/>
                <w:bCs/>
                <w:color w:val="000000"/>
                <w:szCs w:val="24"/>
              </w:rPr>
              <w:t>27,883</w:t>
            </w:r>
          </w:p>
        </w:tc>
        <w:tc>
          <w:tcPr>
            <w:tcW w:w="1490" w:type="dxa"/>
            <w:shd w:val="clear" w:color="auto" w:fill="FFFFFF" w:themeFill="background1"/>
            <w:vAlign w:val="center"/>
          </w:tcPr>
          <w:p w:rsidR="00FD08FE" w:rsidRPr="00990027" w:rsidP="00085D58" w14:paraId="6E3F0E9A" w14:textId="55B27B93">
            <w:pPr>
              <w:jc w:val="right"/>
              <w:rPr>
                <w:rFonts w:asciiTheme="minorHAnsi" w:hAnsiTheme="minorHAnsi" w:cstheme="minorHAnsi"/>
                <w:b/>
                <w:bCs/>
                <w:color w:val="000000"/>
                <w:szCs w:val="24"/>
              </w:rPr>
            </w:pPr>
            <w:r>
              <w:rPr>
                <w:rFonts w:asciiTheme="minorHAnsi" w:hAnsiTheme="minorHAnsi" w:cstheme="minorHAnsi"/>
                <w:b/>
                <w:bCs/>
                <w:color w:val="000000"/>
                <w:szCs w:val="24"/>
              </w:rPr>
              <w:t>$2,829,</w:t>
            </w:r>
            <w:r w:rsidR="0015338C">
              <w:rPr>
                <w:rFonts w:asciiTheme="minorHAnsi" w:hAnsiTheme="minorHAnsi" w:cstheme="minorHAnsi"/>
                <w:b/>
                <w:bCs/>
                <w:color w:val="000000"/>
                <w:szCs w:val="24"/>
              </w:rPr>
              <w:t>8</w:t>
            </w:r>
            <w:r w:rsidR="0015338C">
              <w:rPr>
                <w:rFonts w:asciiTheme="minorHAnsi" w:hAnsiTheme="minorHAnsi" w:cstheme="minorHAnsi"/>
                <w:b/>
                <w:bCs/>
                <w:color w:val="000000"/>
                <w:szCs w:val="24"/>
              </w:rPr>
              <w:t>44</w:t>
            </w:r>
          </w:p>
        </w:tc>
      </w:tr>
      <w:tr w14:paraId="1C1BCF84" w14:textId="77777777" w:rsidTr="1CC48348">
        <w:tblPrEx>
          <w:tblW w:w="9444" w:type="dxa"/>
          <w:tblInd w:w="83" w:type="dxa"/>
          <w:tblLook w:val="04A0"/>
        </w:tblPrEx>
        <w:trPr>
          <w:trHeight w:val="315"/>
        </w:trPr>
        <w:tc>
          <w:tcPr>
            <w:tcW w:w="1914" w:type="dxa"/>
            <w:vAlign w:val="center"/>
            <w:hideMark/>
          </w:tcPr>
          <w:p w:rsidR="00FD08FE" w:rsidRPr="00990027" w:rsidP="004A169C" w14:paraId="67C48CD9" w14:textId="5C3AC90A">
            <w:pPr>
              <w:rPr>
                <w:rFonts w:asciiTheme="minorHAnsi" w:hAnsiTheme="minorHAnsi" w:cstheme="minorHAnsi"/>
                <w:b/>
                <w:bCs/>
                <w:color w:val="000000"/>
                <w:szCs w:val="24"/>
              </w:rPr>
            </w:pPr>
            <w:r w:rsidRPr="00990027">
              <w:rPr>
                <w:rFonts w:asciiTheme="minorHAnsi" w:hAnsiTheme="minorHAnsi" w:cstheme="minorHAnsi"/>
                <w:b/>
                <w:bCs/>
                <w:color w:val="000000"/>
                <w:szCs w:val="24"/>
              </w:rPr>
              <w:t xml:space="preserve">Agency Total </w:t>
            </w:r>
          </w:p>
        </w:tc>
        <w:tc>
          <w:tcPr>
            <w:tcW w:w="1410" w:type="dxa"/>
            <w:vAlign w:val="center"/>
            <w:hideMark/>
          </w:tcPr>
          <w:p w:rsidR="00FD08FE" w:rsidRPr="00990027" w:rsidP="004A169C" w14:paraId="7A5C4588" w14:textId="19D6BF99">
            <w:pPr>
              <w:rPr>
                <w:rFonts w:asciiTheme="minorHAnsi" w:hAnsiTheme="minorHAnsi" w:cstheme="minorHAnsi"/>
                <w:b/>
                <w:bCs/>
                <w:color w:val="000000"/>
                <w:szCs w:val="24"/>
              </w:rPr>
            </w:pPr>
            <w:r w:rsidRPr="00990027">
              <w:rPr>
                <w:rFonts w:asciiTheme="minorHAnsi" w:hAnsiTheme="minorHAnsi" w:cstheme="minorHAnsi"/>
                <w:b/>
                <w:bCs/>
                <w:color w:val="000000"/>
                <w:szCs w:val="24"/>
              </w:rPr>
              <w:t>-</w:t>
            </w:r>
          </w:p>
        </w:tc>
        <w:tc>
          <w:tcPr>
            <w:tcW w:w="1650" w:type="dxa"/>
            <w:vAlign w:val="center"/>
            <w:hideMark/>
          </w:tcPr>
          <w:p w:rsidR="00FD08FE" w:rsidRPr="00990027" w:rsidP="004A169C" w14:paraId="40E47767" w14:textId="38E602DD">
            <w:pPr>
              <w:rPr>
                <w:rFonts w:asciiTheme="minorHAnsi" w:hAnsiTheme="minorHAnsi" w:cstheme="minorHAnsi"/>
                <w:b/>
                <w:bCs/>
                <w:color w:val="000000"/>
                <w:szCs w:val="24"/>
              </w:rPr>
            </w:pPr>
            <w:r w:rsidRPr="00990027">
              <w:rPr>
                <w:rFonts w:asciiTheme="minorHAnsi" w:hAnsiTheme="minorHAnsi" w:cstheme="minorHAnsi"/>
                <w:b/>
                <w:bCs/>
                <w:color w:val="000000"/>
                <w:szCs w:val="24"/>
              </w:rPr>
              <w:t>-</w:t>
            </w:r>
          </w:p>
        </w:tc>
        <w:tc>
          <w:tcPr>
            <w:tcW w:w="1690" w:type="dxa"/>
            <w:vAlign w:val="center"/>
          </w:tcPr>
          <w:p w:rsidR="00FD08FE" w:rsidRPr="00990027" w:rsidP="004A169C" w14:paraId="6DE7B32D" w14:textId="57B1A28A">
            <w:pPr>
              <w:rPr>
                <w:rFonts w:asciiTheme="minorHAnsi" w:hAnsiTheme="minorHAnsi" w:cstheme="minorHAnsi"/>
                <w:b/>
                <w:bCs/>
                <w:color w:val="000000"/>
                <w:szCs w:val="24"/>
              </w:rPr>
            </w:pPr>
            <w:r w:rsidRPr="00990027">
              <w:rPr>
                <w:rFonts w:asciiTheme="minorHAnsi" w:hAnsiTheme="minorHAnsi" w:cstheme="minorHAnsi"/>
                <w:b/>
                <w:bCs/>
                <w:color w:val="000000"/>
                <w:szCs w:val="24"/>
              </w:rPr>
              <w:t>-</w:t>
            </w:r>
          </w:p>
        </w:tc>
        <w:tc>
          <w:tcPr>
            <w:tcW w:w="1290" w:type="dxa"/>
            <w:vAlign w:val="center"/>
          </w:tcPr>
          <w:p w:rsidR="00FD08FE" w:rsidRPr="00990027" w:rsidP="004A169C" w14:paraId="17C59425" w14:textId="7866DD31">
            <w:pPr>
              <w:rPr>
                <w:rFonts w:asciiTheme="minorHAnsi" w:hAnsiTheme="minorHAnsi" w:cstheme="minorHAnsi"/>
                <w:b/>
                <w:bCs/>
                <w:color w:val="000000"/>
                <w:szCs w:val="24"/>
              </w:rPr>
            </w:pPr>
            <w:r w:rsidRPr="00990027">
              <w:rPr>
                <w:rFonts w:asciiTheme="minorHAnsi" w:hAnsiTheme="minorHAnsi" w:cstheme="minorHAnsi"/>
                <w:b/>
                <w:bCs/>
                <w:szCs w:val="24"/>
              </w:rPr>
              <w:t>3,9</w:t>
            </w:r>
            <w:r w:rsidR="003B172F">
              <w:rPr>
                <w:rFonts w:asciiTheme="minorHAnsi" w:hAnsiTheme="minorHAnsi" w:cstheme="minorHAnsi"/>
                <w:b/>
                <w:bCs/>
                <w:szCs w:val="24"/>
              </w:rPr>
              <w:t>63</w:t>
            </w:r>
          </w:p>
        </w:tc>
        <w:tc>
          <w:tcPr>
            <w:tcW w:w="1490" w:type="dxa"/>
            <w:vAlign w:val="center"/>
          </w:tcPr>
          <w:p w:rsidR="00FD08FE" w:rsidRPr="00990027" w:rsidP="00085D58" w14:paraId="11D10E3C" w14:textId="1D408EDF">
            <w:pPr>
              <w:jc w:val="right"/>
              <w:rPr>
                <w:rFonts w:asciiTheme="minorHAnsi" w:hAnsiTheme="minorHAnsi" w:cstheme="minorHAnsi"/>
                <w:b/>
                <w:bCs/>
                <w:color w:val="000000"/>
                <w:szCs w:val="24"/>
              </w:rPr>
            </w:pPr>
            <w:r>
              <w:rPr>
                <w:rFonts w:asciiTheme="minorHAnsi" w:hAnsiTheme="minorHAnsi" w:cstheme="minorHAnsi"/>
                <w:b/>
                <w:bCs/>
                <w:color w:val="000000"/>
                <w:szCs w:val="24"/>
              </w:rPr>
              <w:t>$</w:t>
            </w:r>
            <w:r w:rsidR="001B03EE">
              <w:rPr>
                <w:rFonts w:asciiTheme="minorHAnsi" w:hAnsiTheme="minorHAnsi" w:cstheme="minorHAnsi"/>
                <w:b/>
                <w:bCs/>
                <w:color w:val="000000"/>
                <w:szCs w:val="24"/>
              </w:rPr>
              <w:t>499</w:t>
            </w:r>
            <w:r w:rsidR="00B7615D">
              <w:rPr>
                <w:rFonts w:asciiTheme="minorHAnsi" w:hAnsiTheme="minorHAnsi" w:cstheme="minorHAnsi"/>
                <w:b/>
                <w:bCs/>
                <w:color w:val="000000"/>
                <w:szCs w:val="24"/>
              </w:rPr>
              <w:t>,298</w:t>
            </w:r>
          </w:p>
        </w:tc>
      </w:tr>
    </w:tbl>
    <w:bookmarkEnd w:id="3"/>
    <w:p w:rsidR="00BE0059" w:rsidRPr="00DA0A40" w:rsidP="00534C2C" w14:paraId="17C00FE7" w14:textId="78DF653A">
      <w:pPr>
        <w:rPr>
          <w:rFonts w:asciiTheme="minorHAnsi" w:hAnsiTheme="minorHAnsi" w:cstheme="minorHAnsi"/>
          <w:sz w:val="22"/>
        </w:rPr>
      </w:pPr>
      <w:r w:rsidRPr="00382045">
        <w:rPr>
          <w:rFonts w:asciiTheme="minorHAnsi" w:hAnsiTheme="minorHAnsi" w:cstheme="minorHAnsi"/>
          <w:color w:val="000000"/>
          <w:szCs w:val="24"/>
          <w:vertAlign w:val="superscript"/>
        </w:rPr>
        <w:t>A</w:t>
      </w:r>
      <w:r w:rsidRPr="00DA0A40" w:rsidR="008C1B71">
        <w:rPr>
          <w:rFonts w:asciiTheme="minorHAnsi" w:hAnsiTheme="minorHAnsi" w:cstheme="minorHAnsi"/>
          <w:color w:val="000000"/>
          <w:sz w:val="22"/>
        </w:rPr>
        <w:t>CDX registrations are counted as</w:t>
      </w:r>
      <w:r w:rsidRPr="00DA0A40" w:rsidR="00AC144B">
        <w:rPr>
          <w:rFonts w:asciiTheme="minorHAnsi" w:hAnsiTheme="minorHAnsi" w:cstheme="minorHAnsi"/>
          <w:color w:val="000000"/>
          <w:sz w:val="22"/>
        </w:rPr>
        <w:t xml:space="preserve"> activities that some respondents undertake </w:t>
      </w:r>
      <w:r w:rsidRPr="00DA0A40" w:rsidR="00264F99">
        <w:rPr>
          <w:rFonts w:asciiTheme="minorHAnsi" w:hAnsiTheme="minorHAnsi" w:cstheme="minorHAnsi"/>
          <w:color w:val="000000"/>
          <w:sz w:val="22"/>
        </w:rPr>
        <w:t xml:space="preserve">in service of making an </w:t>
      </w:r>
      <w:r w:rsidRPr="00DA0A40" w:rsidR="00264F99">
        <w:rPr>
          <w:rFonts w:asciiTheme="minorHAnsi" w:hAnsiTheme="minorHAnsi"/>
          <w:color w:val="000000" w:themeColor="text1"/>
          <w:sz w:val="22"/>
          <w:szCs w:val="20"/>
        </w:rPr>
        <w:t>8(e)</w:t>
      </w:r>
      <w:r w:rsidRPr="00DA0A40" w:rsidR="002760C3">
        <w:rPr>
          <w:rFonts w:asciiTheme="minorHAnsi" w:hAnsiTheme="minorHAnsi"/>
          <w:color w:val="000000" w:themeColor="text1"/>
          <w:sz w:val="22"/>
          <w:szCs w:val="20"/>
        </w:rPr>
        <w:t xml:space="preserve"> or FYI submission, but not as submissions on their own.  Therefore</w:t>
      </w:r>
      <w:r w:rsidRPr="00DA0A40" w:rsidR="00755046">
        <w:rPr>
          <w:rFonts w:asciiTheme="minorHAnsi" w:hAnsiTheme="minorHAnsi"/>
          <w:color w:val="000000" w:themeColor="text1"/>
          <w:sz w:val="22"/>
          <w:szCs w:val="20"/>
        </w:rPr>
        <w:t>, the respondent and response figures attributed to</w:t>
      </w:r>
      <w:r w:rsidRPr="00DA0A40" w:rsidR="000250E5">
        <w:rPr>
          <w:rFonts w:asciiTheme="minorHAnsi" w:hAnsiTheme="minorHAnsi" w:cstheme="minorHAnsi"/>
          <w:color w:val="000000"/>
          <w:sz w:val="22"/>
        </w:rPr>
        <w:t xml:space="preserve"> </w:t>
      </w:r>
      <w:r w:rsidRPr="00DA0A40" w:rsidR="000250E5">
        <w:rPr>
          <w:rFonts w:asciiTheme="minorHAnsi" w:hAnsiTheme="minorHAnsi" w:cstheme="minorHAnsi"/>
          <w:color w:val="000000"/>
          <w:sz w:val="22"/>
        </w:rPr>
        <w:t>CDX Registration</w:t>
      </w:r>
      <w:r w:rsidRPr="00DA0A40" w:rsidR="000250E5">
        <w:rPr>
          <w:rFonts w:asciiTheme="minorHAnsi" w:hAnsiTheme="minorHAnsi" w:cstheme="minorHAnsi"/>
          <w:color w:val="000000"/>
          <w:sz w:val="22"/>
          <w:vertAlign w:val="superscript"/>
        </w:rPr>
        <w:t xml:space="preserve"> </w:t>
      </w:r>
      <w:r w:rsidRPr="00DA0A40" w:rsidR="000250E5">
        <w:rPr>
          <w:rFonts w:asciiTheme="minorHAnsi" w:hAnsiTheme="minorHAnsi" w:cstheme="minorHAnsi"/>
          <w:color w:val="000000"/>
          <w:sz w:val="22"/>
        </w:rPr>
        <w:t>and e-Signature</w:t>
      </w:r>
      <w:r w:rsidRPr="00DA0A40" w:rsidR="000250E5">
        <w:rPr>
          <w:rFonts w:asciiTheme="minorHAnsi" w:hAnsiTheme="minorHAnsi" w:cstheme="minorHAnsi"/>
          <w:color w:val="000000"/>
          <w:sz w:val="22"/>
        </w:rPr>
        <w:t xml:space="preserve"> are not reflected in the overall totals</w:t>
      </w:r>
      <w:r w:rsidRPr="00DA0A40" w:rsidR="004F589D">
        <w:rPr>
          <w:rFonts w:asciiTheme="minorHAnsi" w:hAnsiTheme="minorHAnsi" w:cstheme="minorHAnsi"/>
          <w:color w:val="000000"/>
          <w:sz w:val="22"/>
        </w:rPr>
        <w:t xml:space="preserve">. </w:t>
      </w:r>
    </w:p>
    <w:p w:rsidR="00B262D4" w:rsidRPr="000669D2" w:rsidP="002059F4" w14:paraId="526A56DE" w14:textId="26ABA31A">
      <w:pPr>
        <w:pStyle w:val="Heading1"/>
        <w:rPr>
          <w:rFonts w:asciiTheme="minorHAnsi" w:hAnsiTheme="minorHAnsi" w:cstheme="minorHAnsi"/>
          <w:sz w:val="24"/>
          <w:szCs w:val="24"/>
        </w:rPr>
      </w:pPr>
      <w:r w:rsidRPr="000669D2">
        <w:rPr>
          <w:rFonts w:asciiTheme="minorHAnsi" w:hAnsiTheme="minorHAnsi" w:cstheme="minorHAnsi"/>
          <w:sz w:val="24"/>
          <w:szCs w:val="24"/>
        </w:rPr>
        <w:t>Supporting Statement</w:t>
      </w:r>
    </w:p>
    <w:p w:rsidR="002B5E74" w:rsidP="001724A7" w14:paraId="1FB39860" w14:textId="71DC1C23">
      <w:pPr>
        <w:pStyle w:val="Heading2"/>
        <w:keepNext/>
        <w:keepLines/>
        <w:numPr>
          <w:ilvl w:val="0"/>
          <w:numId w:val="9"/>
        </w:numPr>
        <w:pBdr>
          <w:top w:val="none" w:sz="0" w:space="0" w:color="auto"/>
        </w:pBdr>
        <w:tabs>
          <w:tab w:val="clear" w:pos="1080"/>
        </w:tabs>
        <w:spacing w:before="240" w:after="240" w:line="259" w:lineRule="auto"/>
        <w:rPr>
          <w:rFonts w:ascii="Calibri" w:hAnsi="Calibri" w:cs="Calibri"/>
        </w:rPr>
      </w:pPr>
      <w:bookmarkStart w:id="4" w:name="_Toc49148160"/>
      <w:r w:rsidRPr="002B5E74">
        <w:rPr>
          <w:rFonts w:ascii="Calibri" w:hAnsi="Calibri" w:cs="Calibri"/>
        </w:rPr>
        <w:t>NEED AND AUTHORITY FOR THE COLLECTION:</w:t>
      </w:r>
    </w:p>
    <w:p w:rsidR="002B5E74" w:rsidRPr="002B5E74" w:rsidP="002B5E74" w14:paraId="10611ACC" w14:textId="32C737C7">
      <w:pPr>
        <w:pStyle w:val="Heading2"/>
        <w:keepNext/>
        <w:keepLines/>
        <w:numPr>
          <w:ilvl w:val="0"/>
          <w:numId w:val="0"/>
        </w:numPr>
        <w:pBdr>
          <w:top w:val="none" w:sz="0" w:space="0" w:color="auto"/>
          <w:bottom w:val="single" w:sz="4" w:space="1" w:color="auto"/>
        </w:pBdr>
        <w:tabs>
          <w:tab w:val="clear" w:pos="1080"/>
        </w:tabs>
        <w:spacing w:before="240" w:after="240" w:line="259" w:lineRule="auto"/>
        <w:rPr>
          <w:rFonts w:ascii="Calibri" w:hAnsi="Calibri" w:cs="Calibri"/>
          <w:i/>
          <w:iCs/>
        </w:rPr>
      </w:pPr>
      <w:r w:rsidRPr="002B5E74">
        <w:rPr>
          <w:rFonts w:ascii="Calibri" w:hAnsi="Calibri" w:cs="Calibri"/>
          <w:b w:val="0"/>
          <w:i/>
          <w:iCs/>
          <w:color w:val="000000"/>
          <w:shd w:val="clear" w:color="auto" w:fill="FFFFFF"/>
        </w:rPr>
        <w:t>Explain the circumstances that make the collection of information necessary. Identify any legal or administrative requirements that necessitate the collection</w:t>
      </w:r>
      <w:r w:rsidRPr="002B5E74">
        <w:rPr>
          <w:rFonts w:ascii="Calibri" w:hAnsi="Calibri" w:cs="Calibri"/>
          <w:i/>
          <w:iCs/>
        </w:rPr>
        <w:t>.</w:t>
      </w:r>
    </w:p>
    <w:p w:rsidR="00044532" w:rsidRPr="004A169C" w:rsidP="1CC48348" w14:paraId="642AC215" w14:textId="5AE5FC24">
      <w:pPr>
        <w:rPr>
          <w:rFonts w:asciiTheme="minorHAnsi" w:hAnsiTheme="minorHAnsi"/>
        </w:rPr>
      </w:pPr>
      <w:r w:rsidRPr="1CC48348">
        <w:rPr>
          <w:rFonts w:asciiTheme="minorHAnsi" w:hAnsiTheme="minorHAnsi"/>
        </w:rPr>
        <w:t>TSCA s</w:t>
      </w:r>
      <w:r w:rsidRPr="1CC48348" w:rsidR="007971F9">
        <w:rPr>
          <w:rFonts w:asciiTheme="minorHAnsi" w:hAnsiTheme="minorHAnsi"/>
        </w:rPr>
        <w:t xml:space="preserve">ection 8(e) </w:t>
      </w:r>
      <w:r w:rsidRPr="1CC48348" w:rsidR="3EFB5A86">
        <w:rPr>
          <w:rFonts w:asciiTheme="minorHAnsi" w:hAnsiTheme="minorHAnsi"/>
        </w:rPr>
        <w:t>is</w:t>
      </w:r>
      <w:r w:rsidRPr="1CC48348" w:rsidR="007971F9">
        <w:rPr>
          <w:rFonts w:asciiTheme="minorHAnsi" w:hAnsiTheme="minorHAnsi"/>
        </w:rPr>
        <w:t xml:space="preserve"> an important and useful tool for early warning and identification of potential substantial risk situations allowing EPA and others to focus their limited resources on chemicals or mixtures of highest concern. The submission of </w:t>
      </w:r>
      <w:r w:rsidRPr="1CC48348" w:rsidR="7D753526">
        <w:rPr>
          <w:rFonts w:asciiTheme="minorHAnsi" w:hAnsiTheme="minorHAnsi"/>
        </w:rPr>
        <w:t xml:space="preserve">TSCA </w:t>
      </w:r>
      <w:r w:rsidRPr="1CC48348" w:rsidR="007971F9">
        <w:rPr>
          <w:rFonts w:asciiTheme="minorHAnsi" w:hAnsiTheme="minorHAnsi"/>
        </w:rPr>
        <w:t xml:space="preserve">section 8(e) information makes it possible for </w:t>
      </w:r>
      <w:r w:rsidRPr="1CC48348" w:rsidR="03124BBB">
        <w:rPr>
          <w:rFonts w:asciiTheme="minorHAnsi" w:hAnsiTheme="minorHAnsi"/>
        </w:rPr>
        <w:t>EPA</w:t>
      </w:r>
      <w:r w:rsidRPr="1CC48348" w:rsidR="007971F9">
        <w:rPr>
          <w:rFonts w:asciiTheme="minorHAnsi" w:hAnsiTheme="minorHAnsi"/>
        </w:rPr>
        <w:t xml:space="preserve"> and others to learn quickly about potential new chemical hazards/risks posed by exposure to chemical substances, to conduct more complete assessments</w:t>
      </w:r>
      <w:r w:rsidRPr="1CC48348" w:rsidR="04D2D9D4">
        <w:rPr>
          <w:rFonts w:asciiTheme="minorHAnsi" w:hAnsiTheme="minorHAnsi"/>
        </w:rPr>
        <w:t>,</w:t>
      </w:r>
      <w:r w:rsidRPr="1CC48348" w:rsidR="007971F9">
        <w:rPr>
          <w:rFonts w:asciiTheme="minorHAnsi" w:hAnsiTheme="minorHAnsi"/>
        </w:rPr>
        <w:t xml:space="preserve"> and </w:t>
      </w:r>
      <w:r w:rsidRPr="1CC48348" w:rsidR="704714E1">
        <w:rPr>
          <w:rFonts w:asciiTheme="minorHAnsi" w:hAnsiTheme="minorHAnsi"/>
        </w:rPr>
        <w:t xml:space="preserve">to take </w:t>
      </w:r>
      <w:r w:rsidRPr="1CC48348" w:rsidR="007971F9">
        <w:rPr>
          <w:rFonts w:asciiTheme="minorHAnsi" w:hAnsiTheme="minorHAnsi"/>
        </w:rPr>
        <w:t xml:space="preserve">effective action to eliminate or reduce such risks </w:t>
      </w:r>
      <w:r w:rsidRPr="1CC48348" w:rsidR="159D4B08">
        <w:rPr>
          <w:rFonts w:asciiTheme="minorHAnsi" w:hAnsiTheme="minorHAnsi"/>
        </w:rPr>
        <w:t>as needed</w:t>
      </w:r>
      <w:r w:rsidRPr="1CC48348" w:rsidR="007971F9">
        <w:rPr>
          <w:rFonts w:asciiTheme="minorHAnsi" w:hAnsiTheme="minorHAnsi"/>
        </w:rPr>
        <w:t>.</w:t>
      </w:r>
    </w:p>
    <w:p w:rsidR="00044532" w:rsidRPr="004A169C" w:rsidP="1CC48348" w14:paraId="4615F0F0" w14:textId="4FB59D96">
      <w:pPr>
        <w:rPr>
          <w:rFonts w:asciiTheme="minorHAnsi" w:hAnsiTheme="minorHAnsi"/>
        </w:rPr>
      </w:pPr>
      <w:r w:rsidRPr="1CC48348">
        <w:rPr>
          <w:rFonts w:asciiTheme="minorHAnsi" w:hAnsiTheme="minorHAnsi"/>
        </w:rPr>
        <w:t xml:space="preserve">The statutory authority for this information collection is </w:t>
      </w:r>
      <w:r w:rsidRPr="1CC48348" w:rsidR="2ED60626">
        <w:rPr>
          <w:rFonts w:asciiTheme="minorHAnsi" w:hAnsiTheme="minorHAnsi"/>
        </w:rPr>
        <w:t xml:space="preserve">TSCA </w:t>
      </w:r>
      <w:r w:rsidRPr="1CC48348">
        <w:rPr>
          <w:rFonts w:asciiTheme="minorHAnsi" w:hAnsiTheme="minorHAnsi"/>
        </w:rPr>
        <w:t xml:space="preserve">section 8(e) (15 U.S.C. 2607(e)). No formal rulemaking by </w:t>
      </w:r>
      <w:r w:rsidRPr="1CC48348" w:rsidR="220BF979">
        <w:rPr>
          <w:rFonts w:asciiTheme="minorHAnsi" w:hAnsiTheme="minorHAnsi"/>
        </w:rPr>
        <w:t>EPA</w:t>
      </w:r>
      <w:r w:rsidRPr="1CC48348">
        <w:rPr>
          <w:rFonts w:asciiTheme="minorHAnsi" w:hAnsiTheme="minorHAnsi"/>
        </w:rPr>
        <w:t xml:space="preserve"> was required to implement </w:t>
      </w:r>
      <w:r w:rsidRPr="1CC48348" w:rsidR="466D5582">
        <w:rPr>
          <w:rFonts w:asciiTheme="minorHAnsi" w:hAnsiTheme="minorHAnsi"/>
        </w:rPr>
        <w:t xml:space="preserve">TSCA </w:t>
      </w:r>
      <w:r w:rsidRPr="1CC48348">
        <w:rPr>
          <w:rFonts w:asciiTheme="minorHAnsi" w:hAnsiTheme="minorHAnsi"/>
        </w:rPr>
        <w:t xml:space="preserve">section 8(e), in that </w:t>
      </w:r>
      <w:r w:rsidRPr="1CC48348" w:rsidR="3250D95F">
        <w:rPr>
          <w:rFonts w:asciiTheme="minorHAnsi" w:hAnsiTheme="minorHAnsi"/>
        </w:rPr>
        <w:t xml:space="preserve">TSCA </w:t>
      </w:r>
      <w:r w:rsidRPr="1CC48348">
        <w:rPr>
          <w:rFonts w:asciiTheme="minorHAnsi" w:hAnsiTheme="minorHAnsi"/>
        </w:rPr>
        <w:t>section 8(e) was a self-activating reporting provision of TSCA that became immediately effective on January 1, 1977 (</w:t>
      </w:r>
      <w:r w:rsidRPr="1CC48348" w:rsidR="0A5875B7">
        <w:rPr>
          <w:rFonts w:asciiTheme="minorHAnsi" w:hAnsiTheme="minorHAnsi"/>
        </w:rPr>
        <w:t>TSCA’s</w:t>
      </w:r>
      <w:r w:rsidRPr="1CC48348">
        <w:rPr>
          <w:rFonts w:asciiTheme="minorHAnsi" w:hAnsiTheme="minorHAnsi"/>
        </w:rPr>
        <w:t xml:space="preserve"> effective date). </w:t>
      </w:r>
      <w:r w:rsidRPr="1CC48348" w:rsidR="4177E857">
        <w:rPr>
          <w:rFonts w:asciiTheme="minorHAnsi" w:hAnsiTheme="minorHAnsi"/>
        </w:rPr>
        <w:t>T</w:t>
      </w:r>
      <w:r w:rsidRPr="1CC48348">
        <w:rPr>
          <w:rFonts w:asciiTheme="minorHAnsi" w:hAnsiTheme="minorHAnsi"/>
        </w:rPr>
        <w:t xml:space="preserve">o facilitate compliance with </w:t>
      </w:r>
      <w:r w:rsidRPr="1CC48348" w:rsidR="083B47A4">
        <w:rPr>
          <w:rFonts w:asciiTheme="minorHAnsi" w:hAnsiTheme="minorHAnsi"/>
        </w:rPr>
        <w:t xml:space="preserve">TSCA </w:t>
      </w:r>
      <w:r w:rsidRPr="1CC48348">
        <w:rPr>
          <w:rFonts w:asciiTheme="minorHAnsi" w:hAnsiTheme="minorHAnsi"/>
        </w:rPr>
        <w:t xml:space="preserve">section 8(e), </w:t>
      </w:r>
      <w:r w:rsidRPr="1CC48348" w:rsidR="46045E11">
        <w:rPr>
          <w:rFonts w:asciiTheme="minorHAnsi" w:hAnsiTheme="minorHAnsi"/>
        </w:rPr>
        <w:t xml:space="preserve">however, </w:t>
      </w:r>
      <w:r w:rsidRPr="1CC48348">
        <w:rPr>
          <w:rFonts w:asciiTheme="minorHAnsi" w:hAnsiTheme="minorHAnsi"/>
        </w:rPr>
        <w:t xml:space="preserve">EPA clarified the kinds of information that constitute substantial risk information, specified the types of information exempt from the reporting requirements, and outlined </w:t>
      </w:r>
      <w:r w:rsidRPr="1CC48348">
        <w:rPr>
          <w:rFonts w:asciiTheme="minorHAnsi" w:hAnsiTheme="minorHAnsi"/>
        </w:rPr>
        <w:t>standard reporting procedures in published proposed guidance (42 FR 45362; September 9, 1977)</w:t>
      </w:r>
      <w:r w:rsidRPr="1CC48348" w:rsidR="7A14F86F">
        <w:rPr>
          <w:rFonts w:asciiTheme="minorHAnsi" w:hAnsiTheme="minorHAnsi"/>
        </w:rPr>
        <w:t xml:space="preserve">, followed by </w:t>
      </w:r>
      <w:r w:rsidRPr="1CC48348" w:rsidR="0BE12FA8">
        <w:rPr>
          <w:rFonts w:asciiTheme="minorHAnsi" w:hAnsiTheme="minorHAnsi"/>
        </w:rPr>
        <w:t xml:space="preserve">publication of </w:t>
      </w:r>
      <w:r w:rsidRPr="1CC48348" w:rsidR="7A14F86F">
        <w:rPr>
          <w:rFonts w:asciiTheme="minorHAnsi" w:hAnsiTheme="minorHAnsi"/>
        </w:rPr>
        <w:t xml:space="preserve">a final </w:t>
      </w:r>
      <w:r w:rsidRPr="1CC48348">
        <w:rPr>
          <w:rFonts w:asciiTheme="minorHAnsi" w:hAnsiTheme="minorHAnsi"/>
        </w:rPr>
        <w:t>“Statement of Interpretation and Enforcement Policy; Notification of Substantial Risk” (43 FR 11110)</w:t>
      </w:r>
      <w:r w:rsidRPr="1CC48348" w:rsidR="596214C8">
        <w:rPr>
          <w:rFonts w:asciiTheme="minorHAnsi" w:hAnsiTheme="minorHAnsi"/>
        </w:rPr>
        <w:t xml:space="preserve"> in March 1978</w:t>
      </w:r>
      <w:r w:rsidRPr="1CC48348">
        <w:rPr>
          <w:rFonts w:asciiTheme="minorHAnsi" w:hAnsiTheme="minorHAnsi"/>
        </w:rPr>
        <w:t xml:space="preserve">. In June 1991, </w:t>
      </w:r>
      <w:r w:rsidRPr="1CC48348" w:rsidR="3C1C1170">
        <w:rPr>
          <w:rFonts w:asciiTheme="minorHAnsi" w:hAnsiTheme="minorHAnsi"/>
        </w:rPr>
        <w:t xml:space="preserve">EPA further assisted the regulated community with publication of a </w:t>
      </w:r>
      <w:r w:rsidRPr="1CC48348">
        <w:rPr>
          <w:rFonts w:asciiTheme="minorHAnsi" w:hAnsiTheme="minorHAnsi"/>
        </w:rPr>
        <w:t>“Section 8(e) Reporting Guide”</w:t>
      </w:r>
      <w:r w:rsidRPr="1CC48348" w:rsidR="1450AD0D">
        <w:rPr>
          <w:rFonts w:asciiTheme="minorHAnsi" w:hAnsiTheme="minorHAnsi"/>
        </w:rPr>
        <w:t>, offering examples and factors for determining reportability, especially concerning interpretation of acute lethality data. EPA also launched a voluntary Compliance Audit Program (CAP) in 1991 to ensure companies complied with reporting requirements, resulting in settlements with 123 participating companies by 1996.</w:t>
      </w:r>
    </w:p>
    <w:p w:rsidR="00044532" w:rsidRPr="004A169C" w:rsidP="1CC48348" w14:paraId="59618783" w14:textId="3E3FADE7">
      <w:pPr>
        <w:rPr>
          <w:rFonts w:asciiTheme="minorHAnsi" w:hAnsiTheme="minorHAnsi"/>
        </w:rPr>
      </w:pPr>
      <w:r w:rsidRPr="1CC48348">
        <w:rPr>
          <w:rFonts w:asciiTheme="minorHAnsi" w:hAnsiTheme="minorHAnsi"/>
        </w:rPr>
        <w:t xml:space="preserve">In implementing the </w:t>
      </w:r>
      <w:r w:rsidRPr="1CC48348" w:rsidR="46986687">
        <w:rPr>
          <w:rFonts w:asciiTheme="minorHAnsi" w:hAnsiTheme="minorHAnsi"/>
        </w:rPr>
        <w:t xml:space="preserve">TSCA </w:t>
      </w:r>
      <w:r w:rsidRPr="1CC48348">
        <w:rPr>
          <w:rFonts w:asciiTheme="minorHAnsi" w:hAnsiTheme="minorHAnsi"/>
        </w:rPr>
        <w:t>section 8(e) CAP, EPA i</w:t>
      </w:r>
      <w:r w:rsidRPr="1CC48348" w:rsidR="3E2CDA2C">
        <w:rPr>
          <w:rFonts w:asciiTheme="minorHAnsi" w:hAnsiTheme="minorHAnsi"/>
        </w:rPr>
        <w:t>de</w:t>
      </w:r>
      <w:r w:rsidRPr="1CC48348">
        <w:rPr>
          <w:rFonts w:asciiTheme="minorHAnsi" w:hAnsiTheme="minorHAnsi"/>
        </w:rPr>
        <w:t>n</w:t>
      </w:r>
      <w:r w:rsidRPr="1CC48348" w:rsidR="468384E0">
        <w:rPr>
          <w:rFonts w:asciiTheme="minorHAnsi" w:hAnsiTheme="minorHAnsi"/>
        </w:rPr>
        <w:t>tifi</w:t>
      </w:r>
      <w:r w:rsidRPr="1CC48348">
        <w:rPr>
          <w:rFonts w:asciiTheme="minorHAnsi" w:hAnsiTheme="minorHAnsi"/>
        </w:rPr>
        <w:t>ed a need to</w:t>
      </w:r>
      <w:r w:rsidRPr="1CC48348" w:rsidR="24E5FDDD">
        <w:rPr>
          <w:rFonts w:asciiTheme="minorHAnsi" w:hAnsiTheme="minorHAnsi"/>
        </w:rPr>
        <w:t xml:space="preserve"> further refine reporting guidelines. EPA proposed a new guidance in 1993 and revised it in 1995 after receiving industry feedback. This led to the </w:t>
      </w:r>
      <w:r w:rsidRPr="1CC48348" w:rsidR="2295B19E">
        <w:rPr>
          <w:rFonts w:asciiTheme="minorHAnsi" w:hAnsiTheme="minorHAnsi"/>
        </w:rPr>
        <w:t xml:space="preserve">2003 </w:t>
      </w:r>
      <w:r w:rsidRPr="1CC48348" w:rsidR="24E5FDDD">
        <w:rPr>
          <w:rFonts w:asciiTheme="minorHAnsi" w:hAnsiTheme="minorHAnsi"/>
        </w:rPr>
        <w:t xml:space="preserve">publication of </w:t>
      </w:r>
      <w:r w:rsidRPr="1CC48348" w:rsidR="113D9588">
        <w:rPr>
          <w:rFonts w:asciiTheme="minorHAnsi" w:hAnsiTheme="minorHAnsi"/>
        </w:rPr>
        <w:t>the “TSCA Section 8(e); Notification of Substantial Risk; Policy Clarification and Reporting Guidance” (68 FR 33129), which extended the reporting deadline from 15 to 30 days and revised guidance on what informatio</w:t>
      </w:r>
      <w:r w:rsidRPr="1CC48348" w:rsidR="00297B5E">
        <w:rPr>
          <w:rFonts w:asciiTheme="minorHAnsi" w:hAnsiTheme="minorHAnsi"/>
        </w:rPr>
        <w:t>n should be reported</w:t>
      </w:r>
      <w:r w:rsidRPr="1CC48348" w:rsidR="113D9588">
        <w:rPr>
          <w:rFonts w:asciiTheme="minorHAnsi" w:hAnsiTheme="minorHAnsi"/>
        </w:rPr>
        <w:t>.</w:t>
      </w:r>
      <w:r w:rsidRPr="1CC48348" w:rsidR="5FAB9F75">
        <w:rPr>
          <w:rFonts w:asciiTheme="minorHAnsi" w:hAnsiTheme="minorHAnsi"/>
        </w:rPr>
        <w:t xml:space="preserve"> Corrections and clarifications followed in 2005, alongside a question and answer (Q&amp;A) document to assist with understanding reporting requirements.</w:t>
      </w:r>
      <w:r w:rsidRPr="1CC48348" w:rsidR="113D9588">
        <w:rPr>
          <w:rFonts w:asciiTheme="minorHAnsi" w:hAnsiTheme="minorHAnsi"/>
        </w:rPr>
        <w:t xml:space="preserve">  </w:t>
      </w:r>
    </w:p>
    <w:p w:rsidR="002B5E74" w:rsidP="002B5E74" w14:paraId="1C2DF715" w14:textId="77777777">
      <w:pPr>
        <w:rPr>
          <w:rFonts w:asciiTheme="minorHAnsi" w:hAnsiTheme="minorHAnsi"/>
        </w:rPr>
      </w:pPr>
      <w:r w:rsidRPr="1CC48348">
        <w:rPr>
          <w:rFonts w:asciiTheme="minorHAnsi" w:hAnsiTheme="minorHAnsi"/>
        </w:rPr>
        <w:t xml:space="preserve">Since the aforementioned Q&amp;A and guidance documents have not been updated in more than </w:t>
      </w:r>
      <w:r w:rsidRPr="1CC48348" w:rsidR="213C7442">
        <w:rPr>
          <w:rFonts w:asciiTheme="minorHAnsi" w:hAnsiTheme="minorHAnsi"/>
        </w:rPr>
        <w:t>20 year</w:t>
      </w:r>
      <w:r w:rsidRPr="1CC48348">
        <w:rPr>
          <w:rFonts w:asciiTheme="minorHAnsi" w:hAnsiTheme="minorHAnsi"/>
        </w:rPr>
        <w:t>s, EPA is working on consolidating and updating these documents. A draft updated document will be opened for public comment in 2026</w:t>
      </w:r>
      <w:r w:rsidRPr="1CC48348" w:rsidR="6B7026E4">
        <w:rPr>
          <w:rFonts w:asciiTheme="minorHAnsi" w:hAnsiTheme="minorHAnsi"/>
        </w:rPr>
        <w:t>.</w:t>
      </w:r>
    </w:p>
    <w:p w:rsidR="002B5E74" w:rsidRPr="002B5E74" w:rsidP="004A4A78" w14:paraId="1670D0AE" w14:textId="4A6B9488">
      <w:pPr>
        <w:pStyle w:val="Heading2"/>
        <w:numPr>
          <w:ilvl w:val="0"/>
          <w:numId w:val="0"/>
        </w:numPr>
        <w:pBdr>
          <w:top w:val="none" w:sz="0" w:space="0" w:color="auto"/>
        </w:pBdr>
        <w:rPr>
          <w:rFonts w:asciiTheme="minorHAnsi" w:hAnsiTheme="minorHAnsi" w:cstheme="minorHAnsi"/>
        </w:rPr>
      </w:pPr>
      <w:r w:rsidRPr="002B5E74">
        <w:rPr>
          <w:rFonts w:asciiTheme="minorHAnsi" w:hAnsiTheme="minorHAnsi" w:cstheme="minorHAnsi"/>
        </w:rPr>
        <w:t xml:space="preserve">2. PRACTICAL UTILITY/USERS OF THE DATA: </w:t>
      </w:r>
    </w:p>
    <w:p w:rsidR="002B5E74" w:rsidRPr="003C392A" w:rsidP="003C392A" w14:paraId="728E1F47" w14:textId="1D13AA16">
      <w:pPr>
        <w:pStyle w:val="Heading2"/>
        <w:numPr>
          <w:ilvl w:val="0"/>
          <w:numId w:val="0"/>
        </w:numPr>
        <w:pBdr>
          <w:top w:val="none" w:sz="0" w:space="0" w:color="auto"/>
          <w:bottom w:val="single" w:sz="4" w:space="1" w:color="auto"/>
        </w:pBdr>
        <w:rPr>
          <w:rFonts w:asciiTheme="minorHAnsi" w:hAnsiTheme="minorHAnsi" w:cstheme="minorHAnsi"/>
          <w:b w:val="0"/>
          <w:bCs w:val="0"/>
          <w:i/>
          <w:iCs/>
        </w:rPr>
      </w:pPr>
      <w:r w:rsidRPr="003C392A">
        <w:rPr>
          <w:rFonts w:asciiTheme="minorHAnsi" w:hAnsiTheme="minorHAnsi" w:cstheme="minorHAnsi"/>
          <w:b w:val="0"/>
          <w:bCs w:val="0"/>
          <w:i/>
          <w:iCs/>
        </w:rPr>
        <w:t>Indicate how, by whom, and for what purpose the information is to be used. Except for a new collection, indicate the actual use the Agency has made of the information received from the current collection.</w:t>
      </w:r>
    </w:p>
    <w:bookmarkEnd w:id="4"/>
    <w:p w:rsidR="00044532" w:rsidRPr="004A169C" w:rsidP="169DEA55" w14:paraId="49F36D5E" w14:textId="40A38323">
      <w:pPr>
        <w:rPr>
          <w:rFonts w:asciiTheme="minorHAnsi" w:hAnsiTheme="minorHAnsi"/>
        </w:rPr>
      </w:pPr>
      <w:r w:rsidRPr="17EECA3F">
        <w:rPr>
          <w:rFonts w:asciiTheme="minorHAnsi" w:hAnsiTheme="minorHAnsi"/>
        </w:rPr>
        <w:t xml:space="preserve">Since 1977, </w:t>
      </w:r>
      <w:r w:rsidRPr="17EECA3F" w:rsidR="274DC812">
        <w:rPr>
          <w:rFonts w:asciiTheme="minorHAnsi" w:hAnsiTheme="minorHAnsi"/>
        </w:rPr>
        <w:t>EPA</w:t>
      </w:r>
      <w:r w:rsidRPr="17EECA3F">
        <w:rPr>
          <w:rFonts w:asciiTheme="minorHAnsi" w:hAnsiTheme="minorHAnsi"/>
        </w:rPr>
        <w:t xml:space="preserve"> and members of the chemical industry have devoted significant efforts in fulfilling their respective responsibilities under </w:t>
      </w:r>
      <w:r w:rsidRPr="17EECA3F" w:rsidR="07853BEA">
        <w:rPr>
          <w:rFonts w:asciiTheme="minorHAnsi" w:hAnsiTheme="minorHAnsi"/>
        </w:rPr>
        <w:t xml:space="preserve">TSCA </w:t>
      </w:r>
      <w:r w:rsidRPr="17EECA3F">
        <w:rPr>
          <w:rFonts w:asciiTheme="minorHAnsi" w:hAnsiTheme="minorHAnsi"/>
        </w:rPr>
        <w:t xml:space="preserve">section 8(e). Between January 1977 </w:t>
      </w:r>
      <w:r w:rsidRPr="17EECA3F" w:rsidR="1FC46802">
        <w:rPr>
          <w:rFonts w:asciiTheme="minorHAnsi" w:hAnsiTheme="minorHAnsi"/>
        </w:rPr>
        <w:t>and</w:t>
      </w:r>
      <w:r w:rsidRPr="17EECA3F">
        <w:rPr>
          <w:rFonts w:asciiTheme="minorHAnsi" w:hAnsiTheme="minorHAnsi"/>
        </w:rPr>
        <w:t xml:space="preserve"> </w:t>
      </w:r>
      <w:r w:rsidRPr="17EECA3F" w:rsidR="786D238F">
        <w:rPr>
          <w:rFonts w:asciiTheme="minorHAnsi" w:hAnsiTheme="minorHAnsi"/>
        </w:rPr>
        <w:t>mid-</w:t>
      </w:r>
      <w:r w:rsidRPr="17EECA3F" w:rsidR="38B0557A">
        <w:rPr>
          <w:rFonts w:asciiTheme="minorHAnsi" w:hAnsiTheme="minorHAnsi"/>
        </w:rPr>
        <w:t>December 202</w:t>
      </w:r>
      <w:r w:rsidRPr="17EECA3F">
        <w:rPr>
          <w:rFonts w:asciiTheme="minorHAnsi" w:hAnsiTheme="minorHAnsi"/>
        </w:rPr>
        <w:t xml:space="preserve">5, EPA received and screened </w:t>
      </w:r>
      <w:r w:rsidRPr="17EECA3F" w:rsidR="43E8EC1D">
        <w:rPr>
          <w:rFonts w:asciiTheme="minorHAnsi" w:hAnsiTheme="minorHAnsi"/>
        </w:rPr>
        <w:t>25,222</w:t>
      </w:r>
      <w:r w:rsidRPr="17EECA3F">
        <w:rPr>
          <w:rFonts w:asciiTheme="minorHAnsi" w:hAnsiTheme="minorHAnsi"/>
        </w:rPr>
        <w:t xml:space="preserve"> initial </w:t>
      </w:r>
      <w:r w:rsidRPr="17EECA3F" w:rsidR="6A52EAF7">
        <w:rPr>
          <w:rFonts w:asciiTheme="minorHAnsi" w:hAnsiTheme="minorHAnsi"/>
        </w:rPr>
        <w:t xml:space="preserve">TSCA </w:t>
      </w:r>
      <w:r w:rsidRPr="17EECA3F">
        <w:rPr>
          <w:rFonts w:asciiTheme="minorHAnsi" w:hAnsiTheme="minorHAnsi"/>
        </w:rPr>
        <w:t xml:space="preserve">section 8(e) notices (includes CAP and non-CAP submissions) covering a broad range of toxicity and exposure-related data on a wide range of chemicals and chemical mixtures. All incoming </w:t>
      </w:r>
      <w:r w:rsidRPr="17EECA3F" w:rsidR="4F07B144">
        <w:rPr>
          <w:rFonts w:asciiTheme="minorHAnsi" w:hAnsiTheme="minorHAnsi"/>
        </w:rPr>
        <w:t xml:space="preserve">TSCA </w:t>
      </w:r>
      <w:r w:rsidRPr="17EECA3F">
        <w:rPr>
          <w:rFonts w:asciiTheme="minorHAnsi" w:hAnsiTheme="minorHAnsi"/>
        </w:rPr>
        <w:t xml:space="preserve">section 8(e) submissions are reviewed by EPA shortly after receipt. The initial processing of </w:t>
      </w:r>
      <w:r w:rsidRPr="17EECA3F" w:rsidR="05AE4902">
        <w:rPr>
          <w:rFonts w:asciiTheme="minorHAnsi" w:hAnsiTheme="minorHAnsi"/>
        </w:rPr>
        <w:t xml:space="preserve">TSCA </w:t>
      </w:r>
      <w:r w:rsidRPr="17EECA3F">
        <w:rPr>
          <w:rFonts w:asciiTheme="minorHAnsi" w:hAnsiTheme="minorHAnsi"/>
        </w:rPr>
        <w:t>section 8(e) submissions includes a screening level evaluation of the submitted data. Such evaluations are not risk assessments, nor do they consider other available toxicity data on the chemical or exposure-related information on the chemical/mixture being reviewed. The results of screening level evaluations are used for priority-setting to select cases for more detailed assessment, as well as to identify referrals to other Offices and federal agencies.</w:t>
      </w:r>
    </w:p>
    <w:p w:rsidR="00044532" w:rsidRPr="004A169C" w:rsidP="1CC48348" w14:paraId="0DECA523" w14:textId="6FAE8953">
      <w:pPr>
        <w:rPr>
          <w:rFonts w:asciiTheme="minorHAnsi" w:hAnsiTheme="minorHAnsi"/>
        </w:rPr>
      </w:pPr>
      <w:r w:rsidRPr="1CC48348">
        <w:rPr>
          <w:rFonts w:asciiTheme="minorHAnsi" w:hAnsiTheme="minorHAnsi"/>
        </w:rPr>
        <w:t>EPA u</w:t>
      </w:r>
      <w:r w:rsidRPr="1CC48348" w:rsidR="138ACA49">
        <w:rPr>
          <w:rFonts w:asciiTheme="minorHAnsi" w:hAnsiTheme="minorHAnsi"/>
        </w:rPr>
        <w:t>s</w:t>
      </w:r>
      <w:r w:rsidRPr="1CC48348">
        <w:rPr>
          <w:rFonts w:asciiTheme="minorHAnsi" w:hAnsiTheme="minorHAnsi"/>
        </w:rPr>
        <w:t xml:space="preserve">es </w:t>
      </w:r>
      <w:r w:rsidRPr="1CC48348" w:rsidR="38B2683B">
        <w:rPr>
          <w:rFonts w:asciiTheme="minorHAnsi" w:hAnsiTheme="minorHAnsi"/>
        </w:rPr>
        <w:t xml:space="preserve">TSCA </w:t>
      </w:r>
      <w:r w:rsidRPr="1CC48348">
        <w:rPr>
          <w:rFonts w:asciiTheme="minorHAnsi" w:hAnsiTheme="minorHAnsi"/>
        </w:rPr>
        <w:t xml:space="preserve">section 8(e) submission information for hazard/risk identification purposes in the initial stages of the TSCA chemical screening and review program. </w:t>
      </w:r>
      <w:r w:rsidRPr="1CC48348" w:rsidR="31627708">
        <w:rPr>
          <w:rFonts w:asciiTheme="minorHAnsi" w:hAnsiTheme="minorHAnsi"/>
        </w:rPr>
        <w:t>TSCA s</w:t>
      </w:r>
      <w:r w:rsidRPr="1CC48348">
        <w:rPr>
          <w:rFonts w:asciiTheme="minorHAnsi" w:hAnsiTheme="minorHAnsi"/>
        </w:rPr>
        <w:t xml:space="preserve">ection 8(e) data </w:t>
      </w:r>
      <w:r w:rsidRPr="1CC48348">
        <w:rPr>
          <w:rFonts w:asciiTheme="minorHAnsi" w:hAnsiTheme="minorHAnsi"/>
        </w:rPr>
        <w:t xml:space="preserve">are also used in ongoing EPA hazard and exposure assessments of both existing and new </w:t>
      </w:r>
      <w:r w:rsidRPr="1CC48348" w:rsidR="299A87A0">
        <w:rPr>
          <w:rFonts w:asciiTheme="minorHAnsi" w:hAnsiTheme="minorHAnsi"/>
        </w:rPr>
        <w:t>chemicals, development</w:t>
      </w:r>
      <w:r w:rsidRPr="1CC48348">
        <w:rPr>
          <w:rFonts w:asciiTheme="minorHAnsi" w:hAnsiTheme="minorHAnsi"/>
        </w:rPr>
        <w:t xml:space="preserve"> of chemical testing rules under </w:t>
      </w:r>
      <w:r w:rsidRPr="1CC48348" w:rsidR="033A1B77">
        <w:rPr>
          <w:rFonts w:asciiTheme="minorHAnsi" w:hAnsiTheme="minorHAnsi"/>
        </w:rPr>
        <w:t xml:space="preserve">TSCA </w:t>
      </w:r>
      <w:r w:rsidRPr="1CC48348">
        <w:rPr>
          <w:rFonts w:asciiTheme="minorHAnsi" w:hAnsiTheme="minorHAnsi"/>
        </w:rPr>
        <w:t>section 4, a</w:t>
      </w:r>
      <w:r w:rsidRPr="1CC48348" w:rsidR="3391F1AC">
        <w:rPr>
          <w:rFonts w:asciiTheme="minorHAnsi" w:hAnsiTheme="minorHAnsi"/>
        </w:rPr>
        <w:t>nd</w:t>
      </w:r>
      <w:r w:rsidRPr="1CC48348">
        <w:rPr>
          <w:rFonts w:asciiTheme="minorHAnsi" w:hAnsiTheme="minorHAnsi"/>
        </w:rPr>
        <w:t xml:space="preserve"> regulation development under </w:t>
      </w:r>
      <w:r w:rsidRPr="1CC48348" w:rsidR="646A80D1">
        <w:rPr>
          <w:rFonts w:asciiTheme="minorHAnsi" w:hAnsiTheme="minorHAnsi"/>
        </w:rPr>
        <w:t xml:space="preserve">TSCA section 6 and </w:t>
      </w:r>
      <w:r w:rsidRPr="1CC48348">
        <w:rPr>
          <w:rFonts w:asciiTheme="minorHAnsi" w:hAnsiTheme="minorHAnsi"/>
        </w:rPr>
        <w:t xml:space="preserve">other authorities administered by the Agency. In addition, </w:t>
      </w:r>
      <w:r w:rsidRPr="1CC48348" w:rsidR="1363C7D0">
        <w:rPr>
          <w:rFonts w:asciiTheme="minorHAnsi" w:hAnsiTheme="minorHAnsi"/>
        </w:rPr>
        <w:t xml:space="preserve">TSCA </w:t>
      </w:r>
      <w:r w:rsidRPr="1CC48348">
        <w:rPr>
          <w:rFonts w:asciiTheme="minorHAnsi" w:hAnsiTheme="minorHAnsi"/>
        </w:rPr>
        <w:t>section 8(e) submissions have been the basis for chemical advisories to communicate potential health risks and the need for exposure controls, as well as for chemical summaries to identify data availability for chemical hazard and exposure assessment.</w:t>
      </w:r>
    </w:p>
    <w:p w:rsidR="00044532" w:rsidRPr="004A169C" w:rsidP="1CC48348" w14:paraId="5BBBCE1B" w14:textId="098CFF58">
      <w:pPr>
        <w:rPr>
          <w:rFonts w:asciiTheme="minorHAnsi" w:hAnsiTheme="minorHAnsi"/>
        </w:rPr>
      </w:pPr>
      <w:r w:rsidRPr="1CC48348">
        <w:rPr>
          <w:rFonts w:asciiTheme="minorHAnsi" w:hAnsiTheme="minorHAnsi"/>
        </w:rPr>
        <w:t xml:space="preserve">Regardless of the type of </w:t>
      </w:r>
      <w:r w:rsidRPr="1CC48348" w:rsidR="64BF03B0">
        <w:rPr>
          <w:rFonts w:asciiTheme="minorHAnsi" w:hAnsiTheme="minorHAnsi"/>
        </w:rPr>
        <w:t xml:space="preserve">TSCA </w:t>
      </w:r>
      <w:r w:rsidRPr="1CC48348">
        <w:rPr>
          <w:rFonts w:asciiTheme="minorHAnsi" w:hAnsiTheme="minorHAnsi"/>
        </w:rPr>
        <w:t xml:space="preserve">section 8(e) follow-up action or activity taken, all reported information not claimed as TSCA </w:t>
      </w:r>
      <w:r w:rsidRPr="1CC48348" w:rsidR="49E5F0E0">
        <w:rPr>
          <w:rFonts w:asciiTheme="minorHAnsi" w:hAnsiTheme="minorHAnsi"/>
        </w:rPr>
        <w:t>C</w:t>
      </w:r>
      <w:r w:rsidRPr="1CC48348">
        <w:rPr>
          <w:rFonts w:asciiTheme="minorHAnsi" w:hAnsiTheme="minorHAnsi"/>
        </w:rPr>
        <w:t xml:space="preserve">onfidential </w:t>
      </w:r>
      <w:r w:rsidRPr="1CC48348" w:rsidR="74A00B82">
        <w:rPr>
          <w:rFonts w:asciiTheme="minorHAnsi" w:hAnsiTheme="minorHAnsi"/>
        </w:rPr>
        <w:t>B</w:t>
      </w:r>
      <w:r w:rsidRPr="1CC48348">
        <w:rPr>
          <w:rFonts w:asciiTheme="minorHAnsi" w:hAnsiTheme="minorHAnsi"/>
        </w:rPr>
        <w:t xml:space="preserve">usiness </w:t>
      </w:r>
      <w:r w:rsidRPr="1CC48348" w:rsidR="14592FB5">
        <w:rPr>
          <w:rFonts w:asciiTheme="minorHAnsi" w:hAnsiTheme="minorHAnsi"/>
        </w:rPr>
        <w:t>I</w:t>
      </w:r>
      <w:r w:rsidRPr="1CC48348">
        <w:rPr>
          <w:rFonts w:asciiTheme="minorHAnsi" w:hAnsiTheme="minorHAnsi"/>
        </w:rPr>
        <w:t xml:space="preserve">nformation </w:t>
      </w:r>
      <w:r w:rsidRPr="1CC48348" w:rsidR="09B048FB">
        <w:rPr>
          <w:rFonts w:asciiTheme="minorHAnsi" w:hAnsiTheme="minorHAnsi"/>
        </w:rPr>
        <w:t xml:space="preserve">(CBI) </w:t>
      </w:r>
      <w:r w:rsidRPr="1CC48348">
        <w:rPr>
          <w:rFonts w:asciiTheme="minorHAnsi" w:hAnsiTheme="minorHAnsi"/>
        </w:rPr>
        <w:t xml:space="preserve">is made available to other EPA </w:t>
      </w:r>
      <w:r w:rsidRPr="1CC48348" w:rsidR="78B6541D">
        <w:rPr>
          <w:rFonts w:asciiTheme="minorHAnsi" w:hAnsiTheme="minorHAnsi"/>
        </w:rPr>
        <w:t>p</w:t>
      </w:r>
      <w:r w:rsidRPr="1CC48348">
        <w:rPr>
          <w:rFonts w:asciiTheme="minorHAnsi" w:hAnsiTheme="minorHAnsi"/>
        </w:rPr>
        <w:t xml:space="preserve">rogram and </w:t>
      </w:r>
      <w:r w:rsidRPr="1CC48348" w:rsidR="3C9C8A3B">
        <w:rPr>
          <w:rFonts w:asciiTheme="minorHAnsi" w:hAnsiTheme="minorHAnsi"/>
        </w:rPr>
        <w:t>r</w:t>
      </w:r>
      <w:r w:rsidRPr="1CC48348">
        <w:rPr>
          <w:rFonts w:asciiTheme="minorHAnsi" w:hAnsiTheme="minorHAnsi"/>
        </w:rPr>
        <w:t xml:space="preserve">egional </w:t>
      </w:r>
      <w:r w:rsidRPr="1CC48348" w:rsidR="13BDBDB2">
        <w:rPr>
          <w:rFonts w:asciiTheme="minorHAnsi" w:hAnsiTheme="minorHAnsi"/>
        </w:rPr>
        <w:t>o</w:t>
      </w:r>
      <w:r w:rsidRPr="1CC48348">
        <w:rPr>
          <w:rFonts w:asciiTheme="minorHAnsi" w:hAnsiTheme="minorHAnsi"/>
        </w:rPr>
        <w:t xml:space="preserve">ffices, other federal agencies and others (e.g., chemical industry, trade unions, environmental groups, the general public, and international community) who may be interested in the subject chemical or mixture. EPA </w:t>
      </w:r>
      <w:r w:rsidRPr="1CC48348" w:rsidR="229B5BC9">
        <w:rPr>
          <w:rFonts w:asciiTheme="minorHAnsi" w:hAnsiTheme="minorHAnsi"/>
        </w:rPr>
        <w:t>o</w:t>
      </w:r>
      <w:r w:rsidRPr="1CC48348">
        <w:rPr>
          <w:rFonts w:asciiTheme="minorHAnsi" w:hAnsiTheme="minorHAnsi"/>
        </w:rPr>
        <w:t xml:space="preserve">ffices and other federal agencies routinely utilize </w:t>
      </w:r>
      <w:r w:rsidRPr="1CC48348" w:rsidR="60B92A54">
        <w:rPr>
          <w:rFonts w:asciiTheme="minorHAnsi" w:hAnsiTheme="minorHAnsi"/>
        </w:rPr>
        <w:t xml:space="preserve">TSCA </w:t>
      </w:r>
      <w:r w:rsidRPr="1CC48348">
        <w:rPr>
          <w:rFonts w:asciiTheme="minorHAnsi" w:hAnsiTheme="minorHAnsi"/>
        </w:rPr>
        <w:t xml:space="preserve">section 8(e) data in implementing their regulatory programs. The principal vehicle for making the information publicly available </w:t>
      </w:r>
      <w:r w:rsidRPr="1CC48348" w:rsidR="3951E9AF">
        <w:rPr>
          <w:rFonts w:asciiTheme="minorHAnsi" w:hAnsiTheme="minorHAnsi"/>
        </w:rPr>
        <w:t xml:space="preserve">is </w:t>
      </w:r>
      <w:r w:rsidRPr="1CC48348" w:rsidR="003A3B27">
        <w:rPr>
          <w:rFonts w:asciiTheme="minorHAnsi" w:hAnsiTheme="minorHAnsi"/>
        </w:rPr>
        <w:t xml:space="preserve">ChemView. </w:t>
      </w:r>
    </w:p>
    <w:p w:rsidR="00044532" w:rsidRPr="004A169C" w:rsidP="1CC48348" w14:paraId="560A7059" w14:textId="3BA389B5">
      <w:pPr>
        <w:rPr>
          <w:rFonts w:asciiTheme="minorHAnsi" w:hAnsiTheme="minorHAnsi"/>
        </w:rPr>
      </w:pPr>
      <w:r w:rsidRPr="1CC48348">
        <w:rPr>
          <w:rFonts w:asciiTheme="minorHAnsi" w:hAnsiTheme="minorHAnsi"/>
        </w:rPr>
        <w:t xml:space="preserve">EPA’s implementation of </w:t>
      </w:r>
      <w:r w:rsidRPr="1CC48348" w:rsidR="7868E048">
        <w:rPr>
          <w:rFonts w:asciiTheme="minorHAnsi" w:hAnsiTheme="minorHAnsi"/>
        </w:rPr>
        <w:t xml:space="preserve">TSCA </w:t>
      </w:r>
      <w:r w:rsidRPr="1CC48348">
        <w:rPr>
          <w:rFonts w:asciiTheme="minorHAnsi" w:hAnsiTheme="minorHAnsi"/>
        </w:rPr>
        <w:t>section 8(e) has also resulted in heightened corporate awareness of the potential risk of injury posed by exposure to chemical substances. This increased corporate awareness has led to a variety of voluntary corporate actions designed to protect human health and/or the environment. Many companies have reported to EPA that the following types of measures were initiated in direct response to the submitted chemical toxicity and/or exposure data:</w:t>
      </w:r>
    </w:p>
    <w:p w:rsidR="00044532" w:rsidRPr="004A169C" w:rsidP="001724A7" w14:paraId="2D086215" w14:textId="77777777">
      <w:pPr>
        <w:numPr>
          <w:ilvl w:val="0"/>
          <w:numId w:val="6"/>
        </w:numPr>
        <w:autoSpaceDE w:val="0"/>
        <w:autoSpaceDN w:val="0"/>
        <w:adjustRightInd w:val="0"/>
        <w:spacing w:after="0" w:line="240" w:lineRule="auto"/>
        <w:rPr>
          <w:rFonts w:asciiTheme="minorHAnsi" w:hAnsiTheme="minorHAnsi" w:cstheme="minorHAnsi"/>
          <w:szCs w:val="24"/>
        </w:rPr>
      </w:pPr>
      <w:r w:rsidRPr="004A169C">
        <w:rPr>
          <w:rFonts w:asciiTheme="minorHAnsi" w:hAnsiTheme="minorHAnsi" w:cstheme="minorHAnsi"/>
          <w:szCs w:val="24"/>
        </w:rPr>
        <w:t>Notification of workers, customers and others;</w:t>
      </w:r>
    </w:p>
    <w:p w:rsidR="00044532" w:rsidRPr="004A169C" w:rsidP="001724A7" w14:paraId="35A79DF7" w14:textId="77777777">
      <w:pPr>
        <w:numPr>
          <w:ilvl w:val="0"/>
          <w:numId w:val="6"/>
        </w:numPr>
        <w:autoSpaceDE w:val="0"/>
        <w:autoSpaceDN w:val="0"/>
        <w:adjustRightInd w:val="0"/>
        <w:spacing w:after="0" w:line="240" w:lineRule="auto"/>
        <w:rPr>
          <w:rFonts w:asciiTheme="minorHAnsi" w:hAnsiTheme="minorHAnsi" w:cstheme="minorHAnsi"/>
          <w:szCs w:val="24"/>
        </w:rPr>
      </w:pPr>
      <w:r w:rsidRPr="004A169C">
        <w:rPr>
          <w:rFonts w:asciiTheme="minorHAnsi" w:hAnsiTheme="minorHAnsi" w:cstheme="minorHAnsi"/>
          <w:szCs w:val="24"/>
        </w:rPr>
        <w:t>Revision of product labels and Material Safety Data Sheets;</w:t>
      </w:r>
    </w:p>
    <w:p w:rsidR="00044532" w:rsidRPr="004A169C" w:rsidP="001724A7" w14:paraId="7A63DA81" w14:textId="77777777">
      <w:pPr>
        <w:numPr>
          <w:ilvl w:val="0"/>
          <w:numId w:val="6"/>
        </w:numPr>
        <w:autoSpaceDE w:val="0"/>
        <w:autoSpaceDN w:val="0"/>
        <w:adjustRightInd w:val="0"/>
        <w:spacing w:after="0" w:line="240" w:lineRule="auto"/>
        <w:rPr>
          <w:rFonts w:asciiTheme="minorHAnsi" w:hAnsiTheme="minorHAnsi" w:cstheme="minorHAnsi"/>
          <w:szCs w:val="24"/>
        </w:rPr>
      </w:pPr>
      <w:r w:rsidRPr="004A169C">
        <w:rPr>
          <w:rFonts w:asciiTheme="minorHAnsi" w:hAnsiTheme="minorHAnsi" w:cstheme="minorHAnsi"/>
          <w:szCs w:val="24"/>
        </w:rPr>
        <w:t>Modification of manufacturing, processing, and/or handling;</w:t>
      </w:r>
    </w:p>
    <w:p w:rsidR="00044532" w:rsidRPr="004A169C" w:rsidP="001724A7" w14:paraId="63C27588" w14:textId="77777777">
      <w:pPr>
        <w:numPr>
          <w:ilvl w:val="0"/>
          <w:numId w:val="6"/>
        </w:numPr>
        <w:autoSpaceDE w:val="0"/>
        <w:autoSpaceDN w:val="0"/>
        <w:adjustRightInd w:val="0"/>
        <w:spacing w:after="0" w:line="240" w:lineRule="auto"/>
        <w:rPr>
          <w:rFonts w:asciiTheme="minorHAnsi" w:hAnsiTheme="minorHAnsi" w:cstheme="minorHAnsi"/>
          <w:szCs w:val="24"/>
        </w:rPr>
      </w:pPr>
      <w:r w:rsidRPr="004A169C">
        <w:rPr>
          <w:rFonts w:asciiTheme="minorHAnsi" w:hAnsiTheme="minorHAnsi" w:cstheme="minorHAnsi"/>
          <w:szCs w:val="24"/>
        </w:rPr>
        <w:t>Ceasing production/use either temporarily or permanently;</w:t>
      </w:r>
    </w:p>
    <w:p w:rsidR="00044532" w:rsidP="001724A7" w14:paraId="3623C730" w14:textId="2FC9DA87">
      <w:pPr>
        <w:numPr>
          <w:ilvl w:val="0"/>
          <w:numId w:val="6"/>
        </w:numPr>
        <w:autoSpaceDE w:val="0"/>
        <w:autoSpaceDN w:val="0"/>
        <w:adjustRightInd w:val="0"/>
        <w:spacing w:after="0" w:line="240" w:lineRule="auto"/>
        <w:rPr>
          <w:rFonts w:asciiTheme="minorHAnsi" w:hAnsiTheme="minorHAnsi" w:cstheme="minorHAnsi"/>
          <w:szCs w:val="24"/>
        </w:rPr>
      </w:pPr>
      <w:r w:rsidRPr="004A169C">
        <w:rPr>
          <w:rFonts w:asciiTheme="minorHAnsi" w:hAnsiTheme="minorHAnsi" w:cstheme="minorHAnsi"/>
          <w:szCs w:val="24"/>
        </w:rPr>
        <w:t>Initiation of additional toxicity or exposure studies to further define potential risks.</w:t>
      </w:r>
    </w:p>
    <w:p w:rsidR="002B5E74" w:rsidRPr="004A169C" w:rsidP="002B5E74" w14:paraId="385541CF" w14:textId="77777777">
      <w:pPr>
        <w:autoSpaceDE w:val="0"/>
        <w:autoSpaceDN w:val="0"/>
        <w:adjustRightInd w:val="0"/>
        <w:spacing w:after="0" w:line="240" w:lineRule="auto"/>
        <w:ind w:left="1080"/>
        <w:rPr>
          <w:rFonts w:asciiTheme="minorHAnsi" w:hAnsiTheme="minorHAnsi" w:cstheme="minorHAnsi"/>
          <w:szCs w:val="24"/>
        </w:rPr>
      </w:pPr>
    </w:p>
    <w:p w:rsidR="002B5E74" w:rsidP="004A4A78" w14:paraId="2750E680" w14:textId="77777777">
      <w:pPr>
        <w:pStyle w:val="Heading2"/>
        <w:numPr>
          <w:ilvl w:val="0"/>
          <w:numId w:val="0"/>
        </w:numPr>
        <w:pBdr>
          <w:top w:val="none" w:sz="0" w:space="0" w:color="auto"/>
        </w:pBdr>
        <w:ind w:left="360" w:hanging="360"/>
        <w:rPr>
          <w:rFonts w:ascii="Calibri" w:hAnsi="Calibri" w:cs="Calibri"/>
        </w:rPr>
      </w:pPr>
      <w:r w:rsidRPr="00246CC7">
        <w:rPr>
          <w:rFonts w:ascii="Calibri" w:hAnsi="Calibri" w:cs="Calibri"/>
        </w:rPr>
        <w:t>3.</w:t>
      </w:r>
      <w:r>
        <w:rPr>
          <w:rFonts w:ascii="Calibri" w:hAnsi="Calibri" w:cs="Calibri"/>
        </w:rPr>
        <w:t xml:space="preserve"> </w:t>
      </w:r>
      <w:r w:rsidRPr="00246CC7">
        <w:rPr>
          <w:rFonts w:ascii="Calibri" w:hAnsi="Calibri" w:cs="Calibri"/>
        </w:rPr>
        <w:t>USE OF TECHNOLOGY</w:t>
      </w:r>
      <w:r>
        <w:rPr>
          <w:rFonts w:ascii="Calibri" w:hAnsi="Calibri" w:cs="Calibri"/>
        </w:rPr>
        <w:t>:</w:t>
      </w:r>
      <w:r w:rsidRPr="00F93A42">
        <w:rPr>
          <w:rFonts w:ascii="Calibri" w:hAnsi="Calibri" w:cs="Calibri"/>
        </w:rPr>
        <w:t xml:space="preserve"> </w:t>
      </w:r>
    </w:p>
    <w:p w:rsidR="002B5E74" w:rsidRPr="003C392A" w:rsidP="003C392A" w14:paraId="5479E902" w14:textId="54091282">
      <w:pPr>
        <w:pStyle w:val="Heading2"/>
        <w:numPr>
          <w:ilvl w:val="0"/>
          <w:numId w:val="0"/>
        </w:numPr>
        <w:pBdr>
          <w:top w:val="none" w:sz="0" w:space="0" w:color="auto"/>
          <w:bottom w:val="single" w:sz="4" w:space="1" w:color="auto"/>
        </w:pBdr>
        <w:rPr>
          <w:rFonts w:asciiTheme="minorHAnsi" w:hAnsiTheme="minorHAnsi" w:cstheme="minorHAnsi"/>
          <w:b w:val="0"/>
          <w:bCs w:val="0"/>
          <w:i/>
          <w:iCs/>
        </w:rPr>
      </w:pPr>
      <w:r w:rsidRPr="003C392A">
        <w:rPr>
          <w:rFonts w:asciiTheme="minorHAnsi" w:hAnsiTheme="minorHAnsi" w:cstheme="minorHAnsi"/>
          <w:b w:val="0"/>
          <w:bCs w:val="0"/>
          <w:i/>
          <w:i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8C2B73" w:rsidP="169DEA55" w14:paraId="014C08EF" w14:textId="5865CD18">
      <w:pPr>
        <w:rPr>
          <w:rFonts w:asciiTheme="minorHAnsi" w:hAnsiTheme="minorHAnsi"/>
        </w:rPr>
      </w:pPr>
      <w:r w:rsidRPr="1CC48348">
        <w:rPr>
          <w:rFonts w:asciiTheme="minorHAnsi" w:hAnsiTheme="minorHAnsi"/>
        </w:rPr>
        <w:t xml:space="preserve">EPA developed the </w:t>
      </w:r>
      <w:r w:rsidRPr="1CC48348" w:rsidR="19DF6646">
        <w:rPr>
          <w:rFonts w:asciiTheme="minorHAnsi" w:hAnsiTheme="minorHAnsi"/>
        </w:rPr>
        <w:t>Chemical Information Submission System (</w:t>
      </w:r>
      <w:r w:rsidRPr="1CC48348">
        <w:rPr>
          <w:rFonts w:asciiTheme="minorHAnsi" w:hAnsiTheme="minorHAnsi"/>
        </w:rPr>
        <w:t>CIS</w:t>
      </w:r>
      <w:r w:rsidRPr="1CC48348" w:rsidR="00ABF730">
        <w:rPr>
          <w:rFonts w:asciiTheme="minorHAnsi" w:hAnsiTheme="minorHAnsi"/>
        </w:rPr>
        <w:t>S</w:t>
      </w:r>
      <w:r w:rsidRPr="1CC48348" w:rsidR="19DF6646">
        <w:rPr>
          <w:rFonts w:asciiTheme="minorHAnsi" w:hAnsiTheme="minorHAnsi"/>
        </w:rPr>
        <w:t>)</w:t>
      </w:r>
      <w:r w:rsidRPr="1CC48348">
        <w:rPr>
          <w:rFonts w:asciiTheme="minorHAnsi" w:hAnsiTheme="minorHAnsi"/>
        </w:rPr>
        <w:t xml:space="preserve"> reporting tool for use in submitting data electronically to the Agency. The tool is available for use with Windows, Macs, Linux, and UNIX based computers, using “Extensible Markup Language” (XML) specifications for efficient data transmission across the Internet. CISS provides user-friendly navigation, works with CDX to secure online communication, creates a completed Portable Document Format </w:t>
      </w:r>
      <w:r w:rsidRPr="1CC48348">
        <w:rPr>
          <w:rFonts w:asciiTheme="minorHAnsi" w:hAnsiTheme="minorHAnsi"/>
        </w:rPr>
        <w:t>(PDF) for review prior to submission, and enables data, reports, and other information to be submitted easily as PDF attachments (Attachment 1).</w:t>
      </w:r>
    </w:p>
    <w:p w:rsidR="008C2B73" w:rsidRPr="004A169C" w:rsidP="169DEA55" w14:paraId="503AD400" w14:textId="0DB22E9A">
      <w:pPr>
        <w:rPr>
          <w:rFonts w:asciiTheme="minorHAnsi" w:hAnsiTheme="minorHAnsi"/>
        </w:rPr>
      </w:pPr>
      <w:r w:rsidRPr="1CC48348">
        <w:rPr>
          <w:rFonts w:asciiTheme="minorHAnsi" w:eastAsiaTheme="minorEastAsia" w:hAnsiTheme="minorHAnsi"/>
        </w:rPr>
        <w:t>If submitters are claiming information as CBI</w:t>
      </w:r>
      <w:r w:rsidRPr="1CC48348" w:rsidR="74F2F337">
        <w:rPr>
          <w:rFonts w:asciiTheme="minorHAnsi" w:eastAsiaTheme="minorEastAsia" w:hAnsiTheme="minorHAnsi"/>
        </w:rPr>
        <w:t>,</w:t>
      </w:r>
      <w:r w:rsidRPr="1CC48348">
        <w:rPr>
          <w:rFonts w:asciiTheme="minorHAnsi" w:eastAsiaTheme="minorEastAsia" w:hAnsiTheme="minorHAnsi"/>
        </w:rPr>
        <w:t xml:space="preserve"> </w:t>
      </w:r>
      <w:r w:rsidRPr="1CC48348" w:rsidR="44C4A3F5">
        <w:rPr>
          <w:rFonts w:asciiTheme="minorHAnsi" w:eastAsiaTheme="minorEastAsia" w:hAnsiTheme="minorHAnsi"/>
        </w:rPr>
        <w:t xml:space="preserve">they must submit </w:t>
      </w:r>
      <w:r w:rsidRPr="1CC48348" w:rsidR="01B9DC0B">
        <w:rPr>
          <w:rFonts w:asciiTheme="minorHAnsi" w:eastAsiaTheme="minorEastAsia" w:hAnsiTheme="minorHAnsi"/>
        </w:rPr>
        <w:t>via</w:t>
      </w:r>
      <w:r w:rsidRPr="1CC48348">
        <w:rPr>
          <w:rFonts w:asciiTheme="minorHAnsi" w:eastAsiaTheme="minorEastAsia" w:hAnsiTheme="minorHAnsi"/>
        </w:rPr>
        <w:t xml:space="preserve"> </w:t>
      </w:r>
      <w:r w:rsidRPr="1CC48348" w:rsidR="76BB2D5F">
        <w:rPr>
          <w:rFonts w:asciiTheme="minorHAnsi" w:eastAsiaTheme="minorEastAsia" w:hAnsiTheme="minorHAnsi"/>
        </w:rPr>
        <w:t>EP</w:t>
      </w:r>
      <w:r w:rsidRPr="1CC48348">
        <w:rPr>
          <w:rFonts w:asciiTheme="minorHAnsi" w:eastAsiaTheme="minorEastAsia" w:hAnsiTheme="minorHAnsi"/>
        </w:rPr>
        <w:t>A’s electronic information reporting system per the Confidential Business Information Claims under the Toxic Substances Control Act (88 FR 37155, June 7, 2023)</w:t>
      </w:r>
      <w:r w:rsidRPr="1CC48348" w:rsidR="3C17E3CE">
        <w:rPr>
          <w:rFonts w:asciiTheme="minorHAnsi" w:eastAsiaTheme="minorEastAsia" w:hAnsiTheme="minorHAnsi"/>
        </w:rPr>
        <w:t xml:space="preserve"> rule, finalized in 2023</w:t>
      </w:r>
      <w:r w:rsidRPr="1CC48348" w:rsidR="73C030E2">
        <w:rPr>
          <w:rFonts w:asciiTheme="minorHAnsi" w:eastAsiaTheme="minorEastAsia" w:hAnsiTheme="minorHAnsi"/>
        </w:rPr>
        <w:t xml:space="preserve">. Additionally, use of OECD Harmonized Templates (OHTs) is required for all TSCA submissions of health and safety studies under </w:t>
      </w:r>
      <w:r w:rsidRPr="1CC48348" w:rsidR="28C89550">
        <w:rPr>
          <w:rFonts w:asciiTheme="minorHAnsi" w:eastAsiaTheme="minorEastAsia" w:hAnsiTheme="minorHAnsi"/>
        </w:rPr>
        <w:t>this rule</w:t>
      </w:r>
      <w:r w:rsidRPr="1CC48348" w:rsidR="73C030E2">
        <w:rPr>
          <w:rFonts w:asciiTheme="minorHAnsi" w:eastAsiaTheme="minorEastAsia" w:hAnsiTheme="minorHAnsi"/>
        </w:rPr>
        <w:t xml:space="preserve"> when an appropriate template for the data type exists. This rule helps to ensure standardized and consistent data reporting, improving both compliance and data quality across various aspects of chemical regulation under TSCA.</w:t>
      </w:r>
      <w:r w:rsidRPr="1CC48348" w:rsidR="6C2EE5B8">
        <w:rPr>
          <w:rFonts w:asciiTheme="minorHAnsi" w:eastAsiaTheme="minorEastAsia" w:hAnsiTheme="minorHAnsi"/>
        </w:rPr>
        <w:t xml:space="preserve"> </w:t>
      </w:r>
      <w:r w:rsidRPr="1CC48348" w:rsidR="007971F9">
        <w:rPr>
          <w:rFonts w:asciiTheme="minorHAnsi" w:hAnsiTheme="minorHAnsi"/>
        </w:rPr>
        <w:t>All information sent by submitter</w:t>
      </w:r>
      <w:r w:rsidRPr="1CC48348" w:rsidR="4B3753F1">
        <w:rPr>
          <w:rFonts w:asciiTheme="minorHAnsi" w:hAnsiTheme="minorHAnsi"/>
        </w:rPr>
        <w:t>s</w:t>
      </w:r>
      <w:r w:rsidRPr="1CC48348" w:rsidR="007971F9">
        <w:rPr>
          <w:rFonts w:asciiTheme="minorHAnsi" w:hAnsiTheme="minorHAnsi"/>
        </w:rPr>
        <w:t xml:space="preserve"> via CDX is transmitted securely to protect </w:t>
      </w:r>
      <w:r w:rsidRPr="1CC48348" w:rsidR="16E9FDBD">
        <w:rPr>
          <w:rFonts w:asciiTheme="minorHAnsi" w:hAnsiTheme="minorHAnsi"/>
        </w:rPr>
        <w:t>CBI</w:t>
      </w:r>
      <w:r w:rsidRPr="1CC48348" w:rsidR="007971F9">
        <w:rPr>
          <w:rFonts w:asciiTheme="minorHAnsi" w:hAnsiTheme="minorHAnsi"/>
        </w:rPr>
        <w:t xml:space="preserve">. Furthermore, if anything in the submission is claimed as </w:t>
      </w:r>
      <w:r w:rsidRPr="1CC48348" w:rsidR="16E9FDBD">
        <w:rPr>
          <w:rFonts w:asciiTheme="minorHAnsi" w:hAnsiTheme="minorHAnsi"/>
        </w:rPr>
        <w:t xml:space="preserve">CBI </w:t>
      </w:r>
      <w:r w:rsidRPr="1CC48348" w:rsidR="007971F9">
        <w:rPr>
          <w:rFonts w:asciiTheme="minorHAnsi" w:hAnsiTheme="minorHAnsi"/>
        </w:rPr>
        <w:t xml:space="preserve">a non-CBI copy of the submission must be provided by the submitter. The </w:t>
      </w:r>
      <w:hyperlink r:id="rId11">
        <w:r w:rsidRPr="1CC48348" w:rsidR="3E4D0797">
          <w:rPr>
            <w:rStyle w:val="Hyperlink"/>
            <w:rFonts w:asciiTheme="minorHAnsi" w:hAnsiTheme="minorHAnsi"/>
          </w:rPr>
          <w:t>TSCA Section 8(e) Notice User Guide</w:t>
        </w:r>
      </w:hyperlink>
      <w:r w:rsidRPr="1CC48348" w:rsidR="3E4D0797">
        <w:rPr>
          <w:rFonts w:asciiTheme="minorHAnsi" w:hAnsiTheme="minorHAnsi"/>
        </w:rPr>
        <w:t xml:space="preserve"> </w:t>
      </w:r>
      <w:r w:rsidRPr="1CC48348" w:rsidR="007971F9">
        <w:rPr>
          <w:rFonts w:asciiTheme="minorHAnsi" w:hAnsiTheme="minorHAnsi"/>
        </w:rPr>
        <w:t>instruct</w:t>
      </w:r>
      <w:r w:rsidRPr="1CC48348" w:rsidR="34F9DB18">
        <w:rPr>
          <w:rFonts w:asciiTheme="minorHAnsi" w:hAnsiTheme="minorHAnsi"/>
        </w:rPr>
        <w:t>s</w:t>
      </w:r>
      <w:r w:rsidRPr="1CC48348" w:rsidR="007971F9">
        <w:rPr>
          <w:rFonts w:asciiTheme="minorHAnsi" w:hAnsiTheme="minorHAnsi"/>
        </w:rPr>
        <w:t xml:space="preserve"> users on how to submit and substantiate CBI information using CIS</w:t>
      </w:r>
      <w:r w:rsidRPr="1CC48348" w:rsidR="6882C7A0">
        <w:rPr>
          <w:rFonts w:asciiTheme="minorHAnsi" w:hAnsiTheme="minorHAnsi"/>
        </w:rPr>
        <w:t>S</w:t>
      </w:r>
      <w:r w:rsidRPr="1CC48348" w:rsidR="007971F9">
        <w:rPr>
          <w:rFonts w:asciiTheme="minorHAnsi" w:hAnsiTheme="minorHAnsi"/>
        </w:rPr>
        <w:t>.</w:t>
      </w:r>
    </w:p>
    <w:p w:rsidR="008C2B73" w:rsidRPr="00D95784" w:rsidP="169DEA55" w14:paraId="707A4A7F" w14:textId="121EF70E">
      <w:pPr>
        <w:rPr>
          <w:rFonts w:asciiTheme="minorHAnsi" w:hAnsiTheme="minorHAnsi"/>
        </w:rPr>
      </w:pPr>
      <w:r w:rsidRPr="1CC48348">
        <w:rPr>
          <w:rFonts w:asciiTheme="minorHAnsi" w:hAnsiTheme="minorHAnsi"/>
        </w:rPr>
        <w:t>The Agency ensures secure transmission of the data, reports, and other documents sent from the user's desktop through the Internet via the Transport Layer Security (TLS) 1.</w:t>
      </w:r>
      <w:r w:rsidRPr="1CC48348" w:rsidR="620B5B5F">
        <w:rPr>
          <w:rFonts w:asciiTheme="minorHAnsi" w:hAnsiTheme="minorHAnsi"/>
        </w:rPr>
        <w:t>2</w:t>
      </w:r>
      <w:r w:rsidRPr="1CC48348">
        <w:rPr>
          <w:rFonts w:asciiTheme="minorHAnsi" w:hAnsiTheme="minorHAnsi"/>
        </w:rPr>
        <w:t xml:space="preserve"> protocol</w:t>
      </w:r>
      <w:r w:rsidRPr="1CC48348" w:rsidR="4F829AB4">
        <w:rPr>
          <w:rFonts w:asciiTheme="minorHAnsi" w:hAnsiTheme="minorHAnsi"/>
        </w:rPr>
        <w:t>, with a planned update to TLS 1.3 in 2026</w:t>
      </w:r>
      <w:r w:rsidRPr="1CC48348">
        <w:rPr>
          <w:rFonts w:asciiTheme="minorHAnsi" w:hAnsiTheme="minorHAnsi"/>
        </w:rPr>
        <w:t>. TLS 1.</w:t>
      </w:r>
      <w:r w:rsidRPr="1CC48348" w:rsidR="7509C300">
        <w:rPr>
          <w:rFonts w:asciiTheme="minorHAnsi" w:hAnsiTheme="minorHAnsi"/>
        </w:rPr>
        <w:t>2</w:t>
      </w:r>
      <w:r w:rsidRPr="1CC48348">
        <w:rPr>
          <w:rFonts w:asciiTheme="minorHAnsi" w:hAnsiTheme="minorHAnsi"/>
        </w:rPr>
        <w:t xml:space="preserve"> and subsequent versions updated as needed are widely used approaches for securing Internet transactions by the National Institute of Standards and Technology (NIST) as a means for protecting data sent over the Internet.</w:t>
      </w:r>
    </w:p>
    <w:p w:rsidR="008C2B73" w:rsidRPr="004A169C" w:rsidP="169DEA55" w14:paraId="063F5599" w14:textId="005D6F0F">
      <w:pPr>
        <w:rPr>
          <w:rFonts w:asciiTheme="minorHAnsi" w:hAnsiTheme="minorHAnsi"/>
        </w:rPr>
      </w:pPr>
      <w:r w:rsidRPr="1CC48348">
        <w:rPr>
          <w:rFonts w:asciiTheme="minorHAnsi" w:hAnsiTheme="minorHAnsi"/>
        </w:rPr>
        <w:t>In addition, CIS</w:t>
      </w:r>
      <w:r w:rsidRPr="1CC48348" w:rsidR="465D6927">
        <w:rPr>
          <w:rFonts w:asciiTheme="minorHAnsi" w:hAnsiTheme="minorHAnsi"/>
        </w:rPr>
        <w:t>S</w:t>
      </w:r>
      <w:r w:rsidRPr="1CC48348">
        <w:rPr>
          <w:rFonts w:asciiTheme="minorHAnsi" w:hAnsiTheme="minorHAnsi"/>
        </w:rPr>
        <w:t xml:space="preserve"> enables submitter</w:t>
      </w:r>
      <w:r w:rsidRPr="1CC48348" w:rsidR="42FC1EA9">
        <w:rPr>
          <w:rFonts w:asciiTheme="minorHAnsi" w:hAnsiTheme="minorHAnsi"/>
        </w:rPr>
        <w:t>s</w:t>
      </w:r>
      <w:r w:rsidRPr="1CC48348">
        <w:rPr>
          <w:rFonts w:asciiTheme="minorHAnsi" w:hAnsiTheme="minorHAnsi"/>
        </w:rPr>
        <w:t xml:space="preserve"> to electronically sign, encrypt, and transmit submissions, which EPA subsequently provides back to the submitter as an unaltered copy of record. This assures submitter</w:t>
      </w:r>
      <w:r w:rsidRPr="1CC48348" w:rsidR="50090BCF">
        <w:rPr>
          <w:rFonts w:asciiTheme="minorHAnsi" w:hAnsiTheme="minorHAnsi"/>
        </w:rPr>
        <w:t>s</w:t>
      </w:r>
      <w:r w:rsidRPr="1CC48348">
        <w:rPr>
          <w:rFonts w:asciiTheme="minorHAnsi" w:hAnsiTheme="minorHAnsi"/>
        </w:rPr>
        <w:t xml:space="preserve"> that the Agency has received exactly what the submitter sent to EPA. The CIS</w:t>
      </w:r>
      <w:r w:rsidRPr="1CC48348" w:rsidR="76B150D8">
        <w:rPr>
          <w:rFonts w:asciiTheme="minorHAnsi" w:hAnsiTheme="minorHAnsi"/>
        </w:rPr>
        <w:t>S</w:t>
      </w:r>
      <w:r w:rsidRPr="1CC48348">
        <w:rPr>
          <w:rFonts w:asciiTheme="minorHAnsi" w:hAnsiTheme="minorHAnsi"/>
        </w:rPr>
        <w:t xml:space="preserve"> reporting tool encrypts using a module based on </w:t>
      </w:r>
      <w:r w:rsidRPr="1CC48348" w:rsidR="6B2BB589">
        <w:rPr>
          <w:rFonts w:asciiTheme="minorHAnsi" w:hAnsiTheme="minorHAnsi"/>
        </w:rPr>
        <w:t>SHA256 with RSA encryption</w:t>
      </w:r>
      <w:r w:rsidRPr="1CC48348">
        <w:rPr>
          <w:rFonts w:asciiTheme="minorHAnsi" w:hAnsiTheme="minorHAnsi"/>
        </w:rPr>
        <w:t xml:space="preserve">. Details can be found in </w:t>
      </w:r>
      <w:r w:rsidRPr="1CC48348" w:rsidR="2714EF8A">
        <w:rPr>
          <w:rFonts w:asciiTheme="minorHAnsi" w:hAnsiTheme="minorHAnsi"/>
        </w:rPr>
        <w:t>Federal Information Processing Standard (</w:t>
      </w:r>
      <w:r w:rsidRPr="1CC48348">
        <w:rPr>
          <w:rFonts w:asciiTheme="minorHAnsi" w:hAnsiTheme="minorHAnsi"/>
        </w:rPr>
        <w:t>FIPS</w:t>
      </w:r>
      <w:r w:rsidRPr="1CC48348" w:rsidR="4A5FBD5B">
        <w:rPr>
          <w:rFonts w:asciiTheme="minorHAnsi" w:hAnsiTheme="minorHAnsi"/>
        </w:rPr>
        <w:t>)</w:t>
      </w:r>
      <w:r w:rsidRPr="1CC48348">
        <w:rPr>
          <w:rFonts w:asciiTheme="minorHAnsi" w:hAnsiTheme="minorHAnsi"/>
        </w:rPr>
        <w:t xml:space="preserve"> </w:t>
      </w:r>
      <w:r w:rsidRPr="1CC48348" w:rsidR="45CE6FE0">
        <w:rPr>
          <w:rFonts w:asciiTheme="minorHAnsi" w:hAnsiTheme="minorHAnsi"/>
        </w:rPr>
        <w:t>140-2</w:t>
      </w:r>
      <w:r w:rsidRPr="1CC48348">
        <w:rPr>
          <w:rFonts w:asciiTheme="minorHAnsi" w:hAnsiTheme="minorHAnsi"/>
        </w:rPr>
        <w:t xml:space="preserve"> on the NIST website at </w:t>
      </w:r>
      <w:hyperlink r:id="rId12">
        <w:r w:rsidRPr="1CC48348" w:rsidR="2CE8AE13">
          <w:rPr>
            <w:rStyle w:val="Hyperlink"/>
            <w:rFonts w:asciiTheme="minorHAnsi" w:hAnsiTheme="minorHAnsi"/>
          </w:rPr>
          <w:t>http://csrc.nist.gov/publications/PubsFIPS.html</w:t>
        </w:r>
      </w:hyperlink>
      <w:r w:rsidRPr="1CC48348" w:rsidR="4E223BE9">
        <w:rPr>
          <w:rFonts w:asciiTheme="minorHAnsi" w:hAnsiTheme="minorHAnsi"/>
        </w:rPr>
        <w:t>.</w:t>
      </w:r>
      <w:r w:rsidRPr="1CC48348">
        <w:rPr>
          <w:rFonts w:asciiTheme="minorHAnsi" w:hAnsiTheme="minorHAnsi"/>
        </w:rPr>
        <w:t xml:space="preserve"> EPA may incorporate other encryption modules into future versions of the tool. Information submitted via CDX is processed within EPA by secure systems certified for compliance with</w:t>
      </w:r>
      <w:r w:rsidRPr="1CC48348" w:rsidR="2A329FC9">
        <w:rPr>
          <w:rFonts w:asciiTheme="minorHAnsi" w:hAnsiTheme="minorHAnsi"/>
        </w:rPr>
        <w:t xml:space="preserve"> FIPS</w:t>
      </w:r>
      <w:r w:rsidRPr="1CC48348">
        <w:rPr>
          <w:rFonts w:asciiTheme="minorHAnsi" w:hAnsiTheme="minorHAnsi"/>
        </w:rPr>
        <w:t>.</w:t>
      </w:r>
    </w:p>
    <w:p w:rsidR="00DB1644" w:rsidP="1CC48348" w14:paraId="0AEF514E" w14:textId="6601D4DE">
      <w:pPr>
        <w:rPr>
          <w:rFonts w:asciiTheme="minorHAnsi" w:hAnsiTheme="minorHAnsi"/>
        </w:rPr>
      </w:pPr>
      <w:r w:rsidRPr="1CC48348">
        <w:rPr>
          <w:rFonts w:asciiTheme="minorHAnsi" w:hAnsiTheme="minorHAnsi"/>
        </w:rPr>
        <w:t>T</w:t>
      </w:r>
      <w:r w:rsidRPr="1CC48348" w:rsidR="007971F9">
        <w:rPr>
          <w:rFonts w:asciiTheme="minorHAnsi" w:hAnsiTheme="minorHAnsi"/>
        </w:rPr>
        <w:t xml:space="preserve">o facilitate the efficiency in communications and cost savings in submissions and correspondence for both EPA and respondents, EPA has incorporated the following data elements into the </w:t>
      </w:r>
      <w:r w:rsidRPr="1CC48348" w:rsidR="246953F3">
        <w:rPr>
          <w:rFonts w:asciiTheme="minorHAnsi" w:hAnsiTheme="minorHAnsi"/>
        </w:rPr>
        <w:t xml:space="preserve">TSCA section 8(e) </w:t>
      </w:r>
      <w:r w:rsidRPr="1CC48348" w:rsidR="007971F9">
        <w:rPr>
          <w:rFonts w:asciiTheme="minorHAnsi" w:hAnsiTheme="minorHAnsi"/>
        </w:rPr>
        <w:t>reporting tool.</w:t>
      </w:r>
    </w:p>
    <w:p w:rsidR="00DB1644" w:rsidP="1CC48348" w14:paraId="7120869A" w14:textId="77777777">
      <w:pPr>
        <w:spacing w:after="160" w:line="259" w:lineRule="auto"/>
        <w:rPr>
          <w:rFonts w:asciiTheme="minorHAnsi" w:hAnsiTheme="minorHAnsi"/>
        </w:rPr>
      </w:pPr>
      <w:r w:rsidRPr="1CC48348">
        <w:rPr>
          <w:rFonts w:asciiTheme="minorHAnsi" w:hAnsiTheme="minorHAnsi"/>
        </w:rPr>
        <w:br w:type="page"/>
      </w:r>
    </w:p>
    <w:tbl>
      <w:tblPr>
        <w:tblW w:w="9360" w:type="dxa"/>
        <w:jc w:val="center"/>
        <w:tblLayout w:type="fixed"/>
        <w:tblCellMar>
          <w:left w:w="120" w:type="dxa"/>
          <w:right w:w="120" w:type="dxa"/>
        </w:tblCellMar>
        <w:tblLook w:val="0000"/>
      </w:tblPr>
      <w:tblGrid>
        <w:gridCol w:w="2691"/>
        <w:gridCol w:w="6669"/>
      </w:tblGrid>
      <w:tr w14:paraId="13FA3B7B" w14:textId="77777777" w:rsidTr="00BE0059">
        <w:tblPrEx>
          <w:tblW w:w="9360" w:type="dxa"/>
          <w:jc w:val="center"/>
          <w:tblLayout w:type="fixed"/>
          <w:tblCellMar>
            <w:left w:w="120" w:type="dxa"/>
            <w:right w:w="120" w:type="dxa"/>
          </w:tblCellMar>
          <w:tblLook w:val="0000"/>
        </w:tblPrEx>
        <w:trPr>
          <w:jc w:val="center"/>
        </w:trPr>
        <w:tc>
          <w:tcPr>
            <w:tcW w:w="2691" w:type="dxa"/>
            <w:tcBorders>
              <w:top w:val="single" w:sz="7" w:space="0" w:color="000000"/>
              <w:left w:val="single" w:sz="7" w:space="0" w:color="000000"/>
              <w:bottom w:val="single" w:sz="7" w:space="0" w:color="000000"/>
              <w:right w:val="single" w:sz="7" w:space="0" w:color="000000"/>
            </w:tcBorders>
          </w:tcPr>
          <w:p w:rsidR="008C2B73" w:rsidRPr="004A169C" w:rsidP="008C2B73" w14:paraId="48BD8715" w14:textId="77777777">
            <w:pPr>
              <w:rPr>
                <w:rFonts w:asciiTheme="minorHAnsi" w:hAnsiTheme="minorHAnsi" w:cstheme="minorHAnsi"/>
                <w:i/>
                <w:iCs/>
                <w:szCs w:val="24"/>
              </w:rPr>
            </w:pPr>
            <w:r w:rsidRPr="004A169C">
              <w:rPr>
                <w:rFonts w:asciiTheme="minorHAnsi" w:hAnsiTheme="minorHAnsi" w:cstheme="minorHAnsi"/>
                <w:i/>
                <w:iCs/>
                <w:szCs w:val="24"/>
              </w:rPr>
              <w:t>1.  Submission Type</w:t>
            </w:r>
          </w:p>
        </w:tc>
        <w:tc>
          <w:tcPr>
            <w:tcW w:w="6669" w:type="dxa"/>
            <w:tcBorders>
              <w:top w:val="single" w:sz="7" w:space="0" w:color="000000"/>
              <w:left w:val="single" w:sz="7" w:space="0" w:color="000000"/>
              <w:bottom w:val="single" w:sz="7" w:space="0" w:color="000000"/>
              <w:right w:val="single" w:sz="7" w:space="0" w:color="000000"/>
            </w:tcBorders>
          </w:tcPr>
          <w:p w:rsidR="008C2B73" w:rsidRPr="004A169C" w:rsidP="008C2B73" w14:paraId="29F415EF" w14:textId="77777777">
            <w:pPr>
              <w:rPr>
                <w:rFonts w:asciiTheme="minorHAnsi" w:hAnsiTheme="minorHAnsi" w:cstheme="minorHAnsi"/>
                <w:i/>
                <w:iCs/>
                <w:szCs w:val="24"/>
              </w:rPr>
            </w:pPr>
            <w:r w:rsidRPr="004A169C">
              <w:rPr>
                <w:rFonts w:asciiTheme="minorHAnsi" w:hAnsiTheme="minorHAnsi" w:cstheme="minorHAnsi"/>
                <w:i/>
                <w:iCs/>
                <w:szCs w:val="24"/>
              </w:rPr>
              <w:t>Identifies the submission, including the type of submission and whether it is the initial submission, a follow-up or a final report.</w:t>
            </w:r>
          </w:p>
        </w:tc>
      </w:tr>
      <w:tr w14:paraId="51E7DA20" w14:textId="77777777" w:rsidTr="00BE0059">
        <w:tblPrEx>
          <w:tblW w:w="9360" w:type="dxa"/>
          <w:jc w:val="center"/>
          <w:tblLayout w:type="fixed"/>
          <w:tblCellMar>
            <w:left w:w="120" w:type="dxa"/>
            <w:right w:w="120" w:type="dxa"/>
          </w:tblCellMar>
          <w:tblLook w:val="0000"/>
        </w:tblPrEx>
        <w:trPr>
          <w:jc w:val="center"/>
        </w:trPr>
        <w:tc>
          <w:tcPr>
            <w:tcW w:w="2691" w:type="dxa"/>
            <w:tcBorders>
              <w:top w:val="single" w:sz="7" w:space="0" w:color="000000"/>
              <w:left w:val="single" w:sz="7" w:space="0" w:color="000000"/>
              <w:bottom w:val="single" w:sz="7" w:space="0" w:color="000000"/>
              <w:right w:val="single" w:sz="7" w:space="0" w:color="000000"/>
            </w:tcBorders>
          </w:tcPr>
          <w:p w:rsidR="008C2B73" w:rsidRPr="004A169C" w:rsidP="008C2B73" w14:paraId="01C8A65E" w14:textId="77777777">
            <w:pPr>
              <w:rPr>
                <w:rFonts w:asciiTheme="minorHAnsi" w:hAnsiTheme="minorHAnsi" w:cstheme="minorHAnsi"/>
                <w:i/>
                <w:iCs/>
                <w:szCs w:val="24"/>
              </w:rPr>
            </w:pPr>
            <w:r w:rsidRPr="004A169C">
              <w:rPr>
                <w:rFonts w:asciiTheme="minorHAnsi" w:hAnsiTheme="minorHAnsi" w:cstheme="minorHAnsi"/>
                <w:i/>
                <w:iCs/>
                <w:szCs w:val="24"/>
              </w:rPr>
              <w:t>2.  Summary of Attachment</w:t>
            </w:r>
          </w:p>
        </w:tc>
        <w:tc>
          <w:tcPr>
            <w:tcW w:w="6669" w:type="dxa"/>
            <w:tcBorders>
              <w:top w:val="single" w:sz="7" w:space="0" w:color="000000"/>
              <w:left w:val="single" w:sz="7" w:space="0" w:color="000000"/>
              <w:bottom w:val="single" w:sz="7" w:space="0" w:color="000000"/>
              <w:right w:val="single" w:sz="7" w:space="0" w:color="000000"/>
            </w:tcBorders>
          </w:tcPr>
          <w:p w:rsidR="008C2B73" w:rsidRPr="004A169C" w:rsidP="008C2B73" w14:paraId="09A31EF9" w14:textId="77777777">
            <w:pPr>
              <w:rPr>
                <w:rFonts w:asciiTheme="minorHAnsi" w:hAnsiTheme="minorHAnsi" w:cstheme="minorHAnsi"/>
                <w:i/>
                <w:iCs/>
                <w:szCs w:val="24"/>
              </w:rPr>
            </w:pPr>
            <w:r w:rsidRPr="004A169C">
              <w:rPr>
                <w:rFonts w:asciiTheme="minorHAnsi" w:hAnsiTheme="minorHAnsi" w:cstheme="minorHAnsi"/>
                <w:i/>
                <w:iCs/>
                <w:szCs w:val="24"/>
              </w:rPr>
              <w:t>Allows the respondent to provide a summary or abstract of the attached study or report, any internal company tracking number, an EPA tracking number, and an indication of the number of studies submitted.</w:t>
            </w:r>
          </w:p>
        </w:tc>
      </w:tr>
      <w:tr w14:paraId="1B3585BC" w14:textId="77777777" w:rsidTr="00BE0059">
        <w:tblPrEx>
          <w:tblW w:w="9360" w:type="dxa"/>
          <w:jc w:val="center"/>
          <w:tblLayout w:type="fixed"/>
          <w:tblCellMar>
            <w:left w:w="120" w:type="dxa"/>
            <w:right w:w="120" w:type="dxa"/>
          </w:tblCellMar>
          <w:tblLook w:val="0000"/>
        </w:tblPrEx>
        <w:trPr>
          <w:jc w:val="center"/>
        </w:trPr>
        <w:tc>
          <w:tcPr>
            <w:tcW w:w="2691" w:type="dxa"/>
            <w:tcBorders>
              <w:top w:val="single" w:sz="7" w:space="0" w:color="000000"/>
              <w:left w:val="single" w:sz="7" w:space="0" w:color="000000"/>
              <w:bottom w:val="single" w:sz="7" w:space="0" w:color="000000"/>
              <w:right w:val="single" w:sz="7" w:space="0" w:color="000000"/>
            </w:tcBorders>
          </w:tcPr>
          <w:p w:rsidR="008C2B73" w:rsidRPr="004A169C" w:rsidP="008C2B73" w14:paraId="46A7D9C7" w14:textId="77777777">
            <w:pPr>
              <w:rPr>
                <w:rFonts w:asciiTheme="minorHAnsi" w:hAnsiTheme="minorHAnsi" w:cstheme="minorHAnsi"/>
                <w:i/>
                <w:iCs/>
                <w:szCs w:val="24"/>
              </w:rPr>
            </w:pPr>
            <w:r w:rsidRPr="004A169C">
              <w:rPr>
                <w:rFonts w:asciiTheme="minorHAnsi" w:hAnsiTheme="minorHAnsi" w:cstheme="minorHAnsi"/>
                <w:i/>
                <w:iCs/>
                <w:szCs w:val="24"/>
              </w:rPr>
              <w:t xml:space="preserve">3.  Chemical Identification </w:t>
            </w:r>
          </w:p>
        </w:tc>
        <w:tc>
          <w:tcPr>
            <w:tcW w:w="6669" w:type="dxa"/>
            <w:tcBorders>
              <w:top w:val="single" w:sz="7" w:space="0" w:color="000000"/>
              <w:left w:val="single" w:sz="7" w:space="0" w:color="000000"/>
              <w:bottom w:val="single" w:sz="7" w:space="0" w:color="000000"/>
              <w:right w:val="single" w:sz="7" w:space="0" w:color="000000"/>
            </w:tcBorders>
          </w:tcPr>
          <w:p w:rsidR="008C2B73" w:rsidRPr="004A169C" w:rsidP="008C2B73" w14:paraId="305A81E2" w14:textId="77777777">
            <w:pPr>
              <w:rPr>
                <w:rFonts w:asciiTheme="minorHAnsi" w:hAnsiTheme="minorHAnsi" w:cstheme="minorHAnsi"/>
                <w:i/>
                <w:iCs/>
                <w:szCs w:val="24"/>
              </w:rPr>
            </w:pPr>
            <w:r w:rsidRPr="004A169C">
              <w:rPr>
                <w:rFonts w:asciiTheme="minorHAnsi" w:hAnsiTheme="minorHAnsi" w:cstheme="minorHAnsi"/>
                <w:i/>
                <w:iCs/>
                <w:szCs w:val="24"/>
              </w:rPr>
              <w:t>Identifies the chemical(s) addressed in the submission.</w:t>
            </w:r>
          </w:p>
        </w:tc>
      </w:tr>
      <w:tr w14:paraId="2BB4D34C" w14:textId="77777777" w:rsidTr="00BE0059">
        <w:tblPrEx>
          <w:tblW w:w="9360" w:type="dxa"/>
          <w:jc w:val="center"/>
          <w:tblLayout w:type="fixed"/>
          <w:tblCellMar>
            <w:left w:w="120" w:type="dxa"/>
            <w:right w:w="120" w:type="dxa"/>
          </w:tblCellMar>
          <w:tblLook w:val="0000"/>
        </w:tblPrEx>
        <w:trPr>
          <w:jc w:val="center"/>
        </w:trPr>
        <w:tc>
          <w:tcPr>
            <w:tcW w:w="2691" w:type="dxa"/>
            <w:tcBorders>
              <w:top w:val="single" w:sz="7" w:space="0" w:color="000000"/>
              <w:left w:val="single" w:sz="7" w:space="0" w:color="000000"/>
              <w:bottom w:val="single" w:sz="7" w:space="0" w:color="000000"/>
              <w:right w:val="single" w:sz="7" w:space="0" w:color="000000"/>
            </w:tcBorders>
          </w:tcPr>
          <w:p w:rsidR="008C2B73" w:rsidRPr="004A169C" w:rsidP="008C2B73" w14:paraId="6F582D79" w14:textId="77777777">
            <w:pPr>
              <w:rPr>
                <w:rFonts w:asciiTheme="minorHAnsi" w:hAnsiTheme="minorHAnsi" w:cstheme="minorHAnsi"/>
                <w:i/>
                <w:iCs/>
                <w:szCs w:val="24"/>
              </w:rPr>
            </w:pPr>
            <w:r w:rsidRPr="004A169C">
              <w:rPr>
                <w:rFonts w:asciiTheme="minorHAnsi" w:hAnsiTheme="minorHAnsi" w:cstheme="minorHAnsi"/>
                <w:i/>
                <w:iCs/>
                <w:szCs w:val="24"/>
              </w:rPr>
              <w:t xml:space="preserve">4.  Title of Attachment </w:t>
            </w:r>
          </w:p>
        </w:tc>
        <w:tc>
          <w:tcPr>
            <w:tcW w:w="6669" w:type="dxa"/>
            <w:tcBorders>
              <w:top w:val="single" w:sz="7" w:space="0" w:color="000000"/>
              <w:left w:val="single" w:sz="7" w:space="0" w:color="000000"/>
              <w:bottom w:val="single" w:sz="7" w:space="0" w:color="000000"/>
              <w:right w:val="single" w:sz="7" w:space="0" w:color="000000"/>
            </w:tcBorders>
          </w:tcPr>
          <w:p w:rsidR="008C2B73" w:rsidRPr="004A169C" w:rsidP="008C2B73" w14:paraId="24D5734B" w14:textId="77777777">
            <w:pPr>
              <w:rPr>
                <w:rFonts w:asciiTheme="minorHAnsi" w:hAnsiTheme="minorHAnsi" w:cstheme="minorHAnsi"/>
                <w:i/>
                <w:iCs/>
                <w:szCs w:val="24"/>
              </w:rPr>
            </w:pPr>
            <w:r w:rsidRPr="004A169C">
              <w:rPr>
                <w:rFonts w:asciiTheme="minorHAnsi" w:hAnsiTheme="minorHAnsi" w:cstheme="minorHAnsi"/>
                <w:i/>
                <w:iCs/>
                <w:szCs w:val="24"/>
              </w:rPr>
              <w:t>Identifies the title of the attached study or report.</w:t>
            </w:r>
          </w:p>
        </w:tc>
      </w:tr>
      <w:tr w14:paraId="376BA4D5" w14:textId="77777777" w:rsidTr="00BE0059">
        <w:tblPrEx>
          <w:tblW w:w="9360" w:type="dxa"/>
          <w:jc w:val="center"/>
          <w:tblLayout w:type="fixed"/>
          <w:tblCellMar>
            <w:left w:w="120" w:type="dxa"/>
            <w:right w:w="120" w:type="dxa"/>
          </w:tblCellMar>
          <w:tblLook w:val="0000"/>
        </w:tblPrEx>
        <w:trPr>
          <w:jc w:val="center"/>
        </w:trPr>
        <w:tc>
          <w:tcPr>
            <w:tcW w:w="2691" w:type="dxa"/>
            <w:tcBorders>
              <w:top w:val="single" w:sz="7" w:space="0" w:color="000000"/>
              <w:left w:val="single" w:sz="7" w:space="0" w:color="000000"/>
              <w:bottom w:val="single" w:sz="7" w:space="0" w:color="000000"/>
              <w:right w:val="single" w:sz="7" w:space="0" w:color="000000"/>
            </w:tcBorders>
          </w:tcPr>
          <w:p w:rsidR="008C2B73" w:rsidRPr="004A169C" w:rsidP="008C2B73" w14:paraId="531AD649" w14:textId="77777777">
            <w:pPr>
              <w:rPr>
                <w:rFonts w:asciiTheme="minorHAnsi" w:hAnsiTheme="minorHAnsi" w:cstheme="minorHAnsi"/>
                <w:i/>
                <w:iCs/>
                <w:szCs w:val="24"/>
              </w:rPr>
            </w:pPr>
            <w:r w:rsidRPr="004A169C">
              <w:rPr>
                <w:rFonts w:asciiTheme="minorHAnsi" w:hAnsiTheme="minorHAnsi" w:cstheme="minorHAnsi"/>
                <w:i/>
                <w:iCs/>
                <w:szCs w:val="24"/>
              </w:rPr>
              <w:t>5.  Indexing Terms</w:t>
            </w:r>
          </w:p>
        </w:tc>
        <w:tc>
          <w:tcPr>
            <w:tcW w:w="6669" w:type="dxa"/>
            <w:tcBorders>
              <w:top w:val="single" w:sz="7" w:space="0" w:color="000000"/>
              <w:left w:val="single" w:sz="7" w:space="0" w:color="000000"/>
              <w:bottom w:val="single" w:sz="7" w:space="0" w:color="000000"/>
              <w:right w:val="single" w:sz="7" w:space="0" w:color="000000"/>
            </w:tcBorders>
          </w:tcPr>
          <w:p w:rsidR="008C2B73" w:rsidRPr="004A169C" w:rsidP="008C2B73" w14:paraId="479B99E4" w14:textId="77777777">
            <w:pPr>
              <w:rPr>
                <w:rFonts w:asciiTheme="minorHAnsi" w:hAnsiTheme="minorHAnsi" w:cstheme="minorHAnsi"/>
                <w:i/>
                <w:iCs/>
                <w:szCs w:val="24"/>
              </w:rPr>
            </w:pPr>
            <w:r w:rsidRPr="004A169C">
              <w:rPr>
                <w:rFonts w:asciiTheme="minorHAnsi" w:hAnsiTheme="minorHAnsi" w:cstheme="minorHAnsi"/>
                <w:i/>
                <w:iCs/>
                <w:szCs w:val="24"/>
              </w:rPr>
              <w:t>Allows the respondent to identify the proper terms to use for indexing purposes, which facilitates the search and retrieval of the information.</w:t>
            </w:r>
          </w:p>
        </w:tc>
      </w:tr>
      <w:tr w14:paraId="12B08228" w14:textId="77777777" w:rsidTr="00BE0059">
        <w:tblPrEx>
          <w:tblW w:w="9360" w:type="dxa"/>
          <w:jc w:val="center"/>
          <w:tblLayout w:type="fixed"/>
          <w:tblCellMar>
            <w:left w:w="120" w:type="dxa"/>
            <w:right w:w="120" w:type="dxa"/>
          </w:tblCellMar>
          <w:tblLook w:val="0000"/>
        </w:tblPrEx>
        <w:trPr>
          <w:jc w:val="center"/>
        </w:trPr>
        <w:tc>
          <w:tcPr>
            <w:tcW w:w="2691" w:type="dxa"/>
            <w:tcBorders>
              <w:top w:val="single" w:sz="7" w:space="0" w:color="000000"/>
              <w:left w:val="single" w:sz="7" w:space="0" w:color="000000"/>
              <w:bottom w:val="single" w:sz="7" w:space="0" w:color="000000"/>
              <w:right w:val="single" w:sz="7" w:space="0" w:color="000000"/>
            </w:tcBorders>
          </w:tcPr>
          <w:p w:rsidR="008C2B73" w:rsidRPr="004A169C" w:rsidP="008C2B73" w14:paraId="379F5386" w14:textId="77777777">
            <w:pPr>
              <w:rPr>
                <w:rFonts w:asciiTheme="minorHAnsi" w:hAnsiTheme="minorHAnsi" w:cstheme="minorHAnsi"/>
                <w:i/>
                <w:iCs/>
                <w:szCs w:val="24"/>
              </w:rPr>
            </w:pPr>
            <w:r w:rsidRPr="004A169C">
              <w:rPr>
                <w:rFonts w:asciiTheme="minorHAnsi" w:hAnsiTheme="minorHAnsi" w:cstheme="minorHAnsi"/>
                <w:i/>
                <w:iCs/>
                <w:szCs w:val="24"/>
              </w:rPr>
              <w:t>6.  Submitter Information</w:t>
            </w:r>
          </w:p>
        </w:tc>
        <w:tc>
          <w:tcPr>
            <w:tcW w:w="6669" w:type="dxa"/>
            <w:tcBorders>
              <w:top w:val="single" w:sz="7" w:space="0" w:color="000000"/>
              <w:left w:val="single" w:sz="7" w:space="0" w:color="000000"/>
              <w:bottom w:val="single" w:sz="7" w:space="0" w:color="000000"/>
              <w:right w:val="single" w:sz="7" w:space="0" w:color="000000"/>
            </w:tcBorders>
          </w:tcPr>
          <w:p w:rsidR="008C2B73" w:rsidRPr="004A169C" w:rsidP="008C2B73" w14:paraId="765414D7" w14:textId="77777777">
            <w:pPr>
              <w:rPr>
                <w:rFonts w:asciiTheme="minorHAnsi" w:hAnsiTheme="minorHAnsi" w:cstheme="minorHAnsi"/>
                <w:i/>
                <w:iCs/>
                <w:szCs w:val="24"/>
              </w:rPr>
            </w:pPr>
            <w:r w:rsidRPr="004A169C">
              <w:rPr>
                <w:rFonts w:asciiTheme="minorHAnsi" w:hAnsiTheme="minorHAnsi" w:cstheme="minorHAnsi"/>
                <w:i/>
                <w:iCs/>
                <w:szCs w:val="24"/>
              </w:rPr>
              <w:t>Identifies the submitter and/or technical contact, including name, title, company, mailing address, phone and e-mail address.</w:t>
            </w:r>
          </w:p>
        </w:tc>
      </w:tr>
      <w:tr w14:paraId="2D613ADA" w14:textId="77777777" w:rsidTr="00BE0059">
        <w:tblPrEx>
          <w:tblW w:w="9360" w:type="dxa"/>
          <w:jc w:val="center"/>
          <w:tblLayout w:type="fixed"/>
          <w:tblCellMar>
            <w:left w:w="120" w:type="dxa"/>
            <w:right w:w="120" w:type="dxa"/>
          </w:tblCellMar>
          <w:tblLook w:val="0000"/>
        </w:tblPrEx>
        <w:trPr>
          <w:jc w:val="center"/>
        </w:trPr>
        <w:tc>
          <w:tcPr>
            <w:tcW w:w="2691" w:type="dxa"/>
            <w:tcBorders>
              <w:top w:val="single" w:sz="7" w:space="0" w:color="000000"/>
              <w:left w:val="single" w:sz="7" w:space="0" w:color="000000"/>
              <w:bottom w:val="single" w:sz="7" w:space="0" w:color="000000"/>
              <w:right w:val="single" w:sz="7" w:space="0" w:color="000000"/>
            </w:tcBorders>
          </w:tcPr>
          <w:p w:rsidR="008C2B73" w:rsidRPr="004A169C" w:rsidP="008C2B73" w14:paraId="187DEA5C" w14:textId="77777777">
            <w:pPr>
              <w:rPr>
                <w:rFonts w:asciiTheme="minorHAnsi" w:hAnsiTheme="minorHAnsi" w:cstheme="minorHAnsi"/>
                <w:i/>
                <w:iCs/>
                <w:szCs w:val="24"/>
              </w:rPr>
            </w:pPr>
            <w:r w:rsidRPr="004A169C">
              <w:rPr>
                <w:rFonts w:asciiTheme="minorHAnsi" w:hAnsiTheme="minorHAnsi" w:cstheme="minorHAnsi"/>
                <w:i/>
                <w:iCs/>
                <w:szCs w:val="24"/>
              </w:rPr>
              <w:t>7.  Comments</w:t>
            </w:r>
          </w:p>
        </w:tc>
        <w:tc>
          <w:tcPr>
            <w:tcW w:w="6669" w:type="dxa"/>
            <w:tcBorders>
              <w:top w:val="single" w:sz="7" w:space="0" w:color="000000"/>
              <w:left w:val="single" w:sz="7" w:space="0" w:color="000000"/>
              <w:bottom w:val="single" w:sz="7" w:space="0" w:color="000000"/>
              <w:right w:val="single" w:sz="7" w:space="0" w:color="000000"/>
            </w:tcBorders>
          </w:tcPr>
          <w:p w:rsidR="008C2B73" w:rsidRPr="004A169C" w:rsidP="008C2B73" w14:paraId="31949D3F" w14:textId="77777777">
            <w:pPr>
              <w:rPr>
                <w:rFonts w:asciiTheme="minorHAnsi" w:hAnsiTheme="minorHAnsi" w:cstheme="minorHAnsi"/>
                <w:i/>
                <w:iCs/>
                <w:szCs w:val="24"/>
              </w:rPr>
            </w:pPr>
            <w:r w:rsidRPr="004A169C">
              <w:rPr>
                <w:rFonts w:asciiTheme="minorHAnsi" w:hAnsiTheme="minorHAnsi" w:cstheme="minorHAnsi"/>
                <w:i/>
                <w:iCs/>
                <w:szCs w:val="24"/>
              </w:rPr>
              <w:t>Allows the submitter to provide any additional comments, so as to avoid the need for or use of a separate cover letter.</w:t>
            </w:r>
          </w:p>
        </w:tc>
      </w:tr>
    </w:tbl>
    <w:p w:rsidR="008C2B73" w:rsidRPr="004A169C" w:rsidP="1CC48348" w14:paraId="061B832F" w14:textId="77777777">
      <w:pPr>
        <w:spacing w:after="0"/>
        <w:rPr>
          <w:rFonts w:asciiTheme="minorHAnsi" w:hAnsiTheme="minorHAnsi"/>
        </w:rPr>
      </w:pPr>
    </w:p>
    <w:p w:rsidR="008C2B73" w:rsidP="169DEA55" w14:paraId="68844836" w14:textId="026253FD">
      <w:pPr>
        <w:spacing w:after="0"/>
        <w:rPr>
          <w:rFonts w:asciiTheme="minorHAnsi" w:hAnsiTheme="minorHAnsi"/>
        </w:rPr>
      </w:pPr>
      <w:r w:rsidRPr="169DEA55">
        <w:rPr>
          <w:rFonts w:asciiTheme="minorHAnsi" w:hAnsiTheme="minorHAnsi"/>
        </w:rPr>
        <w:t xml:space="preserve">To further facilitate more efficient reporting and industry-EPA cooperation, </w:t>
      </w:r>
      <w:r w:rsidRPr="7FC729C5" w:rsidR="4F0E9643">
        <w:rPr>
          <w:rFonts w:asciiTheme="minorHAnsi" w:hAnsiTheme="minorHAnsi"/>
        </w:rPr>
        <w:t>TSCA section 8(e)</w:t>
      </w:r>
      <w:r w:rsidRPr="169DEA55">
        <w:rPr>
          <w:rFonts w:asciiTheme="minorHAnsi" w:hAnsiTheme="minorHAnsi"/>
        </w:rPr>
        <w:t xml:space="preserve"> indexing terms are now aligned with international standards developed by the Organisation of Economic Cooperation and Development (OECD) for reporting chemical test summaries known as the OECD </w:t>
      </w:r>
      <w:r w:rsidRPr="169DEA55" w:rsidR="01D0B59E">
        <w:rPr>
          <w:rFonts w:asciiTheme="minorHAnsi" w:hAnsiTheme="minorHAnsi"/>
        </w:rPr>
        <w:t>Harmonized</w:t>
      </w:r>
      <w:r w:rsidRPr="169DEA55">
        <w:rPr>
          <w:rFonts w:asciiTheme="minorHAnsi" w:hAnsiTheme="minorHAnsi"/>
        </w:rPr>
        <w:t xml:space="preserve"> Templates</w:t>
      </w:r>
      <w:r w:rsidR="00404242">
        <w:rPr>
          <w:rFonts w:asciiTheme="minorHAnsi" w:hAnsiTheme="minorHAnsi"/>
        </w:rPr>
        <w:t xml:space="preserve"> (OHTs)</w:t>
      </w:r>
      <w:r>
        <w:rPr>
          <w:rStyle w:val="FootnoteReference"/>
          <w:rFonts w:asciiTheme="minorHAnsi" w:hAnsiTheme="minorHAnsi" w:cstheme="minorHAnsi"/>
          <w:szCs w:val="24"/>
        </w:rPr>
        <w:footnoteReference w:id="3"/>
      </w:r>
      <w:r w:rsidR="00E82CA4">
        <w:rPr>
          <w:rFonts w:asciiTheme="minorHAnsi" w:hAnsiTheme="minorHAnsi"/>
        </w:rPr>
        <w:t xml:space="preserve">. Guidance is </w:t>
      </w:r>
      <w:r w:rsidRPr="169DEA55">
        <w:rPr>
          <w:rFonts w:asciiTheme="minorHAnsi" w:hAnsiTheme="minorHAnsi"/>
        </w:rPr>
        <w:t xml:space="preserve">available at </w:t>
      </w:r>
      <w:r w:rsidRPr="006D315B">
        <w:rPr>
          <w:rFonts w:asciiTheme="minorHAnsi" w:hAnsiTheme="minorHAnsi"/>
          <w:i/>
          <w:iCs/>
        </w:rPr>
        <w:t>https://www.oecd.org/en/topics/sub-issues/assessment-of-chemicals/harmonised-templates.htm</w:t>
      </w:r>
      <w:r w:rsidRPr="169DEA55">
        <w:rPr>
          <w:rFonts w:asciiTheme="minorHAnsi" w:hAnsiTheme="minorHAnsi"/>
        </w:rPr>
        <w:t>l</w:t>
      </w:r>
      <w:r w:rsidRPr="169DEA55">
        <w:rPr>
          <w:rFonts w:asciiTheme="minorHAnsi" w:hAnsiTheme="minorHAnsi"/>
        </w:rPr>
        <w:t>.</w:t>
      </w:r>
    </w:p>
    <w:p w:rsidR="008C2B73" w:rsidRPr="004A169C" w:rsidP="00DA0A40" w14:paraId="0122310C" w14:textId="0177A89B">
      <w:pPr>
        <w:spacing w:before="240"/>
        <w:rPr>
          <w:rFonts w:asciiTheme="minorHAnsi" w:hAnsiTheme="minorHAnsi"/>
        </w:rPr>
      </w:pPr>
      <w:r w:rsidRPr="1CC48348">
        <w:rPr>
          <w:rFonts w:asciiTheme="minorHAnsi" w:hAnsiTheme="minorHAnsi"/>
        </w:rPr>
        <w:t>EPA staff will be the primary users of the standardized metadata. EPA employees will use the metadata collected through CDX to identify submission</w:t>
      </w:r>
      <w:r w:rsidRPr="1CC48348" w:rsidR="49CCEBA3">
        <w:rPr>
          <w:rFonts w:asciiTheme="minorHAnsi" w:hAnsiTheme="minorHAnsi"/>
        </w:rPr>
        <w:t>s</w:t>
      </w:r>
      <w:r w:rsidRPr="1CC48348">
        <w:rPr>
          <w:rFonts w:asciiTheme="minorHAnsi" w:hAnsiTheme="minorHAnsi"/>
        </w:rPr>
        <w:t xml:space="preserve"> when </w:t>
      </w:r>
      <w:r w:rsidRPr="1CC48348" w:rsidR="3EC6AFC7">
        <w:rPr>
          <w:rFonts w:asciiTheme="minorHAnsi" w:hAnsiTheme="minorHAnsi"/>
        </w:rPr>
        <w:t>they</w:t>
      </w:r>
      <w:r w:rsidRPr="1CC48348">
        <w:rPr>
          <w:rFonts w:asciiTheme="minorHAnsi" w:hAnsiTheme="minorHAnsi"/>
        </w:rPr>
        <w:t xml:space="preserve"> reach EPA without having to examine portions of a submission that may be very lengthy and complex, and to subsequently use the information to distribute, locate</w:t>
      </w:r>
      <w:r w:rsidRPr="1CC48348" w:rsidR="63D9B32F">
        <w:rPr>
          <w:rFonts w:asciiTheme="minorHAnsi" w:hAnsiTheme="minorHAnsi"/>
        </w:rPr>
        <w:t>,</w:t>
      </w:r>
      <w:r w:rsidRPr="1CC48348">
        <w:rPr>
          <w:rFonts w:asciiTheme="minorHAnsi" w:hAnsiTheme="minorHAnsi"/>
        </w:rPr>
        <w:t xml:space="preserve"> and track submission</w:t>
      </w:r>
      <w:r w:rsidRPr="1CC48348" w:rsidR="26735A9A">
        <w:rPr>
          <w:rFonts w:asciiTheme="minorHAnsi" w:hAnsiTheme="minorHAnsi"/>
        </w:rPr>
        <w:t>s</w:t>
      </w:r>
      <w:r w:rsidRPr="1CC48348">
        <w:rPr>
          <w:rFonts w:asciiTheme="minorHAnsi" w:hAnsiTheme="minorHAnsi"/>
        </w:rPr>
        <w:t xml:space="preserve"> as the</w:t>
      </w:r>
      <w:r w:rsidRPr="1CC48348" w:rsidR="292D08BE">
        <w:rPr>
          <w:rFonts w:asciiTheme="minorHAnsi" w:hAnsiTheme="minorHAnsi"/>
        </w:rPr>
        <w:t>y</w:t>
      </w:r>
      <w:r w:rsidRPr="1CC48348">
        <w:rPr>
          <w:rFonts w:asciiTheme="minorHAnsi" w:hAnsiTheme="minorHAnsi"/>
        </w:rPr>
        <w:t xml:space="preserve"> move through Agency reviews and decision points to index the data and to identify the data within EPA databases in making the data publicly available.</w:t>
      </w:r>
    </w:p>
    <w:p w:rsidR="006D315B" w:rsidP="1CC48348" w14:paraId="1EABF259" w14:textId="77777777">
      <w:pPr>
        <w:rPr>
          <w:rFonts w:asciiTheme="minorHAnsi" w:hAnsiTheme="minorHAnsi"/>
        </w:rPr>
      </w:pPr>
    </w:p>
    <w:p w:rsidR="006D315B" w:rsidP="004A4A78" w14:paraId="55886C80" w14:textId="77777777">
      <w:pPr>
        <w:pStyle w:val="Heading2"/>
        <w:numPr>
          <w:ilvl w:val="0"/>
          <w:numId w:val="0"/>
        </w:numPr>
        <w:pBdr>
          <w:top w:val="none" w:sz="0" w:space="0" w:color="auto"/>
        </w:pBdr>
        <w:rPr>
          <w:rFonts w:ascii="Calibri" w:hAnsi="Calibri" w:cs="Calibri"/>
        </w:rPr>
      </w:pPr>
      <w:r w:rsidRPr="00246CC7">
        <w:rPr>
          <w:rFonts w:ascii="Calibri" w:hAnsi="Calibri" w:cs="Calibri"/>
        </w:rPr>
        <w:t>4.</w:t>
      </w:r>
      <w:r w:rsidRPr="00F93A42">
        <w:rPr>
          <w:rFonts w:ascii="Calibri" w:hAnsi="Calibri" w:cs="Calibri"/>
        </w:rPr>
        <w:t xml:space="preserve"> </w:t>
      </w:r>
      <w:r w:rsidRPr="00246CC7">
        <w:rPr>
          <w:rFonts w:ascii="Calibri" w:hAnsi="Calibri" w:cs="Calibri"/>
        </w:rPr>
        <w:t>EFFORTS TO IDENTIFY DUPLICATION</w:t>
      </w:r>
      <w:r>
        <w:rPr>
          <w:rFonts w:ascii="Calibri" w:hAnsi="Calibri" w:cs="Calibri"/>
        </w:rPr>
        <w:t>:</w:t>
      </w:r>
    </w:p>
    <w:p w:rsidR="006D315B" w:rsidRPr="006D315B" w:rsidP="004A4A78" w14:paraId="6DB754E5" w14:textId="77777777">
      <w:pPr>
        <w:pStyle w:val="Heading2"/>
        <w:numPr>
          <w:ilvl w:val="0"/>
          <w:numId w:val="0"/>
        </w:numPr>
        <w:pBdr>
          <w:top w:val="none" w:sz="0" w:space="0" w:color="auto"/>
          <w:bottom w:val="single" w:sz="4" w:space="1" w:color="auto"/>
        </w:pBdr>
        <w:rPr>
          <w:rFonts w:ascii="Calibri" w:hAnsi="Calibri" w:cs="Calibri"/>
          <w:b w:val="0"/>
          <w:bCs w:val="0"/>
          <w:i/>
          <w:iCs/>
        </w:rPr>
      </w:pPr>
      <w:r w:rsidRPr="006D315B">
        <w:rPr>
          <w:rFonts w:ascii="Calibri" w:hAnsi="Calibri" w:cs="Calibri"/>
          <w:b w:val="0"/>
          <w:i/>
          <w:iCs/>
        </w:rPr>
        <w:t>Describe efforts to identify duplication. Show specifically why any similar information already available cannot be used or modified for use for the purposes described in Item 2 above.</w:t>
      </w:r>
    </w:p>
    <w:p w:rsidR="00044532" w:rsidRPr="004A169C" w:rsidP="1CC48348" w14:paraId="71594499" w14:textId="457CFA54">
      <w:pPr>
        <w:rPr>
          <w:rFonts w:asciiTheme="minorHAnsi" w:hAnsiTheme="minorHAnsi"/>
        </w:rPr>
      </w:pPr>
      <w:r w:rsidRPr="1CC48348">
        <w:rPr>
          <w:rFonts w:asciiTheme="minorHAnsi" w:hAnsiTheme="minorHAnsi"/>
        </w:rPr>
        <w:t>N</w:t>
      </w:r>
      <w:r w:rsidRPr="1CC48348" w:rsidR="007971F9">
        <w:rPr>
          <w:rFonts w:asciiTheme="minorHAnsi" w:hAnsiTheme="minorHAnsi"/>
        </w:rPr>
        <w:t xml:space="preserve">o other </w:t>
      </w:r>
      <w:r w:rsidRPr="1CC48348" w:rsidR="0EFF41EE">
        <w:rPr>
          <w:rFonts w:asciiTheme="minorHAnsi" w:hAnsiTheme="minorHAnsi"/>
        </w:rPr>
        <w:t xml:space="preserve">data </w:t>
      </w:r>
      <w:r w:rsidRPr="1CC48348" w:rsidR="007971F9">
        <w:rPr>
          <w:rFonts w:asciiTheme="minorHAnsi" w:hAnsiTheme="minorHAnsi"/>
        </w:rPr>
        <w:t xml:space="preserve">source can be used in place of the data submitted to EPA under the </w:t>
      </w:r>
      <w:r w:rsidRPr="1CC48348" w:rsidR="1AB48270">
        <w:rPr>
          <w:rFonts w:asciiTheme="minorHAnsi" w:hAnsiTheme="minorHAnsi"/>
        </w:rPr>
        <w:t xml:space="preserve">TSCA </w:t>
      </w:r>
      <w:r w:rsidRPr="1CC48348" w:rsidR="007971F9">
        <w:rPr>
          <w:rFonts w:asciiTheme="minorHAnsi" w:hAnsiTheme="minorHAnsi"/>
        </w:rPr>
        <w:t xml:space="preserve">section 8(e) statutory reporting requirement. The “substantial risk” information required to be reported to EPA is unpublished information not already known to the Agency. </w:t>
      </w:r>
      <w:r w:rsidRPr="1CC48348" w:rsidR="6D85F4F9">
        <w:rPr>
          <w:rFonts w:asciiTheme="minorHAnsi" w:hAnsiTheme="minorHAnsi"/>
        </w:rPr>
        <w:t xml:space="preserve">As discussed above, this information is used in a wide range of statutorily required activities within EPA and by external stakeholders. </w:t>
      </w:r>
      <w:r w:rsidRPr="1CC48348" w:rsidR="007971F9">
        <w:rPr>
          <w:rFonts w:asciiTheme="minorHAnsi" w:hAnsiTheme="minorHAnsi"/>
        </w:rPr>
        <w:t>I</w:t>
      </w:r>
      <w:r w:rsidRPr="1CC48348" w:rsidR="7A644B89">
        <w:rPr>
          <w:rFonts w:asciiTheme="minorHAnsi" w:hAnsiTheme="minorHAnsi"/>
        </w:rPr>
        <w:t xml:space="preserve">mportantly, </w:t>
      </w:r>
      <w:r w:rsidRPr="1CC48348" w:rsidR="007971F9">
        <w:rPr>
          <w:rFonts w:asciiTheme="minorHAnsi" w:hAnsiTheme="minorHAnsi"/>
        </w:rPr>
        <w:t xml:space="preserve">information need not be submitted under </w:t>
      </w:r>
      <w:r w:rsidRPr="1CC48348" w:rsidR="1FC2BB9D">
        <w:rPr>
          <w:rFonts w:asciiTheme="minorHAnsi" w:hAnsiTheme="minorHAnsi"/>
        </w:rPr>
        <w:t xml:space="preserve">TSCA </w:t>
      </w:r>
      <w:r w:rsidRPr="1CC48348" w:rsidR="007971F9">
        <w:rPr>
          <w:rFonts w:asciiTheme="minorHAnsi" w:hAnsiTheme="minorHAnsi"/>
        </w:rPr>
        <w:t xml:space="preserve">section 8(e) if the information has been reported already to EPA pursuant to another </w:t>
      </w:r>
      <w:r w:rsidRPr="1CC48348" w:rsidR="3D007555">
        <w:rPr>
          <w:rFonts w:asciiTheme="minorHAnsi" w:hAnsiTheme="minorHAnsi"/>
        </w:rPr>
        <w:t xml:space="preserve">TSCA </w:t>
      </w:r>
      <w:r w:rsidRPr="1CC48348" w:rsidR="007971F9">
        <w:rPr>
          <w:rFonts w:asciiTheme="minorHAnsi" w:hAnsiTheme="minorHAnsi"/>
        </w:rPr>
        <w:t xml:space="preserve">mandatory information reporting requirement or </w:t>
      </w:r>
      <w:r w:rsidRPr="1CC48348" w:rsidR="02A9BEEE">
        <w:rPr>
          <w:rFonts w:asciiTheme="minorHAnsi" w:hAnsiTheme="minorHAnsi"/>
        </w:rPr>
        <w:t>an</w:t>
      </w:r>
      <w:r w:rsidRPr="1CC48348" w:rsidR="007971F9">
        <w:rPr>
          <w:rFonts w:asciiTheme="minorHAnsi" w:hAnsiTheme="minorHAnsi"/>
        </w:rPr>
        <w:t xml:space="preserve">other authority administered or delegated to the States by EPA. In </w:t>
      </w:r>
      <w:r w:rsidRPr="1CC48348" w:rsidR="52F9D04E">
        <w:rPr>
          <w:rFonts w:asciiTheme="minorHAnsi" w:hAnsiTheme="minorHAnsi"/>
        </w:rPr>
        <w:t>its</w:t>
      </w:r>
      <w:r w:rsidRPr="1CC48348" w:rsidR="007971F9">
        <w:rPr>
          <w:rFonts w:asciiTheme="minorHAnsi" w:hAnsiTheme="minorHAnsi"/>
        </w:rPr>
        <w:t xml:space="preserve"> June 2003 Reporting Guidance, </w:t>
      </w:r>
      <w:r w:rsidRPr="1CC48348" w:rsidR="2471C534">
        <w:rPr>
          <w:rFonts w:asciiTheme="minorHAnsi" w:hAnsiTheme="minorHAnsi"/>
        </w:rPr>
        <w:t>EPA</w:t>
      </w:r>
      <w:r w:rsidRPr="1CC48348" w:rsidR="007971F9">
        <w:rPr>
          <w:rFonts w:asciiTheme="minorHAnsi" w:hAnsiTheme="minorHAnsi"/>
        </w:rPr>
        <w:t xml:space="preserve"> clarified the circumstances under which certain information need not be reported to </w:t>
      </w:r>
      <w:r w:rsidRPr="1CC48348" w:rsidR="5D459C67">
        <w:rPr>
          <w:rFonts w:asciiTheme="minorHAnsi" w:hAnsiTheme="minorHAnsi"/>
        </w:rPr>
        <w:t xml:space="preserve">the </w:t>
      </w:r>
      <w:r w:rsidRPr="1CC48348" w:rsidR="007971F9">
        <w:rPr>
          <w:rFonts w:asciiTheme="minorHAnsi" w:hAnsiTheme="minorHAnsi"/>
        </w:rPr>
        <w:t>A</w:t>
      </w:r>
      <w:r w:rsidRPr="1CC48348" w:rsidR="3DB51984">
        <w:rPr>
          <w:rFonts w:asciiTheme="minorHAnsi" w:hAnsiTheme="minorHAnsi"/>
        </w:rPr>
        <w:t>gency</w:t>
      </w:r>
      <w:r w:rsidRPr="1CC48348" w:rsidR="007971F9">
        <w:rPr>
          <w:rFonts w:asciiTheme="minorHAnsi" w:hAnsiTheme="minorHAnsi"/>
        </w:rPr>
        <w:t xml:space="preserve"> under </w:t>
      </w:r>
      <w:r w:rsidRPr="1CC48348" w:rsidR="7E238AF4">
        <w:rPr>
          <w:rFonts w:asciiTheme="minorHAnsi" w:hAnsiTheme="minorHAnsi"/>
        </w:rPr>
        <w:t xml:space="preserve">TSCA </w:t>
      </w:r>
      <w:r w:rsidRPr="1CC48348" w:rsidR="007971F9">
        <w:rPr>
          <w:rFonts w:asciiTheme="minorHAnsi" w:hAnsiTheme="minorHAnsi"/>
        </w:rPr>
        <w:t xml:space="preserve">section 8(e). This was expected to reduce some of the respondent reporting burden for </w:t>
      </w:r>
      <w:r w:rsidRPr="1CC48348" w:rsidR="5D0AD36C">
        <w:rPr>
          <w:rFonts w:asciiTheme="minorHAnsi" w:hAnsiTheme="minorHAnsi"/>
        </w:rPr>
        <w:t xml:space="preserve">TSCA </w:t>
      </w:r>
      <w:r w:rsidRPr="1CC48348" w:rsidR="007971F9">
        <w:rPr>
          <w:rFonts w:asciiTheme="minorHAnsi" w:hAnsiTheme="minorHAnsi"/>
        </w:rPr>
        <w:t>section 8(e).</w:t>
      </w:r>
    </w:p>
    <w:p w:rsidR="006D315B" w:rsidP="004A4A78" w14:paraId="5015AF0C" w14:textId="77777777">
      <w:pPr>
        <w:pStyle w:val="Heading2"/>
        <w:numPr>
          <w:ilvl w:val="0"/>
          <w:numId w:val="0"/>
        </w:numPr>
        <w:pBdr>
          <w:top w:val="none" w:sz="0" w:space="0" w:color="auto"/>
        </w:pBdr>
        <w:rPr>
          <w:rFonts w:ascii="Calibri" w:hAnsi="Calibri" w:cs="Calibri"/>
        </w:rPr>
      </w:pPr>
      <w:r w:rsidRPr="00246CC7">
        <w:rPr>
          <w:rFonts w:ascii="Calibri" w:hAnsi="Calibri" w:cs="Calibri"/>
        </w:rPr>
        <w:t>5. MINIMIZING BURDEN ON SMALL ENTITIES:</w:t>
      </w:r>
    </w:p>
    <w:p w:rsidR="006D315B" w:rsidRPr="006D315B" w:rsidP="004A4A78" w14:paraId="6AE93094" w14:textId="4BCD72DE">
      <w:pPr>
        <w:pStyle w:val="Heading2"/>
        <w:numPr>
          <w:ilvl w:val="0"/>
          <w:numId w:val="0"/>
        </w:numPr>
        <w:pBdr>
          <w:top w:val="none" w:sz="0" w:space="0" w:color="auto"/>
          <w:bottom w:val="single" w:sz="4" w:space="1" w:color="auto"/>
        </w:pBdr>
        <w:rPr>
          <w:rFonts w:ascii="Calibri" w:hAnsi="Calibri" w:cs="Calibri"/>
          <w:b w:val="0"/>
          <w:bCs w:val="0"/>
          <w:i/>
          <w:iCs/>
        </w:rPr>
      </w:pPr>
      <w:r w:rsidRPr="006D315B">
        <w:rPr>
          <w:rFonts w:ascii="Calibri" w:hAnsi="Calibri" w:cs="Calibri"/>
          <w:b w:val="0"/>
          <w:i/>
          <w:iCs/>
        </w:rPr>
        <w:t>If the collection of information impacts small businesses or other small entities, describe the methods used to minimize burden.</w:t>
      </w:r>
    </w:p>
    <w:p w:rsidR="008C2B73" w:rsidRPr="004A169C" w:rsidP="1CC48348" w14:paraId="264573D6" w14:textId="010444C4">
      <w:pPr>
        <w:rPr>
          <w:rFonts w:asciiTheme="minorHAnsi" w:hAnsiTheme="minorHAnsi"/>
        </w:rPr>
      </w:pPr>
      <w:r w:rsidRPr="1CC48348">
        <w:rPr>
          <w:rFonts w:asciiTheme="minorHAnsi" w:hAnsiTheme="minorHAnsi"/>
        </w:rPr>
        <w:t xml:space="preserve">The statutory obligation to report information under </w:t>
      </w:r>
      <w:r w:rsidRPr="1CC48348" w:rsidR="47955CB4">
        <w:rPr>
          <w:rFonts w:asciiTheme="minorHAnsi" w:hAnsiTheme="minorHAnsi"/>
        </w:rPr>
        <w:t xml:space="preserve">TSCA </w:t>
      </w:r>
      <w:r w:rsidRPr="1CC48348">
        <w:rPr>
          <w:rFonts w:asciiTheme="minorHAnsi" w:hAnsiTheme="minorHAnsi"/>
        </w:rPr>
        <w:t xml:space="preserve">section 8(e) applies to </w:t>
      </w:r>
      <w:r w:rsidRPr="1CC48348">
        <w:rPr>
          <w:rFonts w:asciiTheme="minorHAnsi" w:hAnsiTheme="minorHAnsi"/>
          <w:u w:val="single"/>
        </w:rPr>
        <w:t>all</w:t>
      </w:r>
      <w:r w:rsidRPr="1CC48348">
        <w:rPr>
          <w:rFonts w:asciiTheme="minorHAnsi" w:hAnsiTheme="minorHAnsi"/>
        </w:rPr>
        <w:t xml:space="preserve"> manufacturers, importers, processors, and/or distributors of TSCA-covered chemical substances and mixtures. The statutory language of </w:t>
      </w:r>
      <w:r w:rsidRPr="1CC48348" w:rsidR="703E4879">
        <w:rPr>
          <w:rFonts w:asciiTheme="minorHAnsi" w:hAnsiTheme="minorHAnsi"/>
        </w:rPr>
        <w:t xml:space="preserve">TSCA </w:t>
      </w:r>
      <w:r w:rsidRPr="1CC48348">
        <w:rPr>
          <w:rFonts w:asciiTheme="minorHAnsi" w:hAnsiTheme="minorHAnsi"/>
        </w:rPr>
        <w:t xml:space="preserve">section 8(e) itself does not allow for any reporting exemption or burden minimization based on the size or earnings of a respondent. </w:t>
      </w:r>
      <w:r w:rsidRPr="1CC48348" w:rsidR="1A2057A0">
        <w:rPr>
          <w:rFonts w:asciiTheme="minorHAnsi" w:hAnsiTheme="minorHAnsi"/>
        </w:rPr>
        <w:t>N</w:t>
      </w:r>
      <w:r w:rsidRPr="1CC48348">
        <w:rPr>
          <w:rFonts w:asciiTheme="minorHAnsi" w:hAnsiTheme="minorHAnsi"/>
        </w:rPr>
        <w:t>early all reporting</w:t>
      </w:r>
      <w:r w:rsidRPr="1CC48348" w:rsidR="2E36BACE">
        <w:rPr>
          <w:rFonts w:asciiTheme="minorHAnsi" w:hAnsiTheme="minorHAnsi"/>
        </w:rPr>
        <w:t>, however,</w:t>
      </w:r>
      <w:r w:rsidRPr="1CC48348">
        <w:rPr>
          <w:rFonts w:asciiTheme="minorHAnsi" w:hAnsiTheme="minorHAnsi"/>
        </w:rPr>
        <w:t xml:space="preserve"> is by large and medium size companies. This is </w:t>
      </w:r>
      <w:r w:rsidRPr="1CC48348" w:rsidR="0213F97B">
        <w:rPr>
          <w:rFonts w:asciiTheme="minorHAnsi" w:hAnsiTheme="minorHAnsi"/>
        </w:rPr>
        <w:t>primari</w:t>
      </w:r>
      <w:r w:rsidRPr="1CC48348">
        <w:rPr>
          <w:rFonts w:asciiTheme="minorHAnsi" w:hAnsiTheme="minorHAnsi"/>
        </w:rPr>
        <w:t xml:space="preserve">ly because larger companies </w:t>
      </w:r>
      <w:r w:rsidRPr="1CC48348" w:rsidR="39738F40">
        <w:rPr>
          <w:rFonts w:asciiTheme="minorHAnsi" w:hAnsiTheme="minorHAnsi"/>
        </w:rPr>
        <w:t xml:space="preserve">tend to </w:t>
      </w:r>
      <w:r w:rsidRPr="1CC48348">
        <w:rPr>
          <w:rFonts w:asciiTheme="minorHAnsi" w:hAnsiTheme="minorHAnsi"/>
        </w:rPr>
        <w:t xml:space="preserve">have the financial resources to conduct </w:t>
      </w:r>
      <w:r w:rsidRPr="1CC48348" w:rsidR="5EBF7D97">
        <w:rPr>
          <w:rFonts w:asciiTheme="minorHAnsi" w:hAnsiTheme="minorHAnsi"/>
        </w:rPr>
        <w:t xml:space="preserve">the </w:t>
      </w:r>
      <w:r w:rsidRPr="1CC48348">
        <w:rPr>
          <w:rFonts w:asciiTheme="minorHAnsi" w:hAnsiTheme="minorHAnsi"/>
        </w:rPr>
        <w:t>toxicity testing that co</w:t>
      </w:r>
      <w:r w:rsidRPr="1CC48348" w:rsidR="58468C5D">
        <w:rPr>
          <w:rFonts w:asciiTheme="minorHAnsi" w:hAnsiTheme="minorHAnsi"/>
        </w:rPr>
        <w:t>nstitut</w:t>
      </w:r>
      <w:r w:rsidRPr="1CC48348">
        <w:rPr>
          <w:rFonts w:asciiTheme="minorHAnsi" w:hAnsiTheme="minorHAnsi"/>
        </w:rPr>
        <w:t xml:space="preserve">es most </w:t>
      </w:r>
      <w:r w:rsidRPr="1CC48348" w:rsidR="602D8BCE">
        <w:rPr>
          <w:rFonts w:asciiTheme="minorHAnsi" w:hAnsiTheme="minorHAnsi"/>
        </w:rPr>
        <w:t xml:space="preserve">TSCA </w:t>
      </w:r>
      <w:r w:rsidRPr="1CC48348">
        <w:rPr>
          <w:rFonts w:asciiTheme="minorHAnsi" w:hAnsiTheme="minorHAnsi"/>
        </w:rPr>
        <w:t xml:space="preserve">section 8(e) reporting. Since </w:t>
      </w:r>
      <w:r w:rsidRPr="1CC48348" w:rsidR="4D801A83">
        <w:rPr>
          <w:rFonts w:asciiTheme="minorHAnsi" w:hAnsiTheme="minorHAnsi"/>
        </w:rPr>
        <w:t>TSCA section 8(e) imposes</w:t>
      </w:r>
      <w:r w:rsidRPr="1CC48348">
        <w:rPr>
          <w:rFonts w:asciiTheme="minorHAnsi" w:hAnsiTheme="minorHAnsi"/>
        </w:rPr>
        <w:t xml:space="preserve"> no routine reporting or recordkeeping provisions, the burden on most small entities is </w:t>
      </w:r>
      <w:r w:rsidRPr="1CC48348" w:rsidR="63E1973A">
        <w:rPr>
          <w:rFonts w:asciiTheme="minorHAnsi" w:hAnsiTheme="minorHAnsi"/>
        </w:rPr>
        <w:t>effective</w:t>
      </w:r>
      <w:r w:rsidRPr="1CC48348">
        <w:rPr>
          <w:rFonts w:asciiTheme="minorHAnsi" w:hAnsiTheme="minorHAnsi"/>
        </w:rPr>
        <w:t xml:space="preserve">ly </w:t>
      </w:r>
      <w:r w:rsidRPr="1CC48348" w:rsidR="46D2E68A">
        <w:rPr>
          <w:rFonts w:asciiTheme="minorHAnsi" w:hAnsiTheme="minorHAnsi"/>
        </w:rPr>
        <w:t>zero</w:t>
      </w:r>
      <w:r w:rsidRPr="1CC48348">
        <w:rPr>
          <w:rFonts w:asciiTheme="minorHAnsi" w:hAnsiTheme="minorHAnsi"/>
        </w:rPr>
        <w:t>.</w:t>
      </w:r>
    </w:p>
    <w:p w:rsidR="006D315B" w:rsidRPr="00246CC7" w:rsidP="004A4A78" w14:paraId="70A191A8" w14:textId="77777777">
      <w:pPr>
        <w:pStyle w:val="Heading2"/>
        <w:numPr>
          <w:ilvl w:val="0"/>
          <w:numId w:val="0"/>
        </w:numPr>
        <w:pBdr>
          <w:top w:val="none" w:sz="0" w:space="0" w:color="auto"/>
        </w:pBdr>
        <w:rPr>
          <w:rFonts w:ascii="Calibri" w:hAnsi="Calibri" w:cs="Calibri"/>
          <w:i/>
          <w:iCs/>
        </w:rPr>
      </w:pPr>
      <w:r w:rsidRPr="00246CC7">
        <w:rPr>
          <w:rFonts w:ascii="Calibri" w:hAnsi="Calibri" w:cs="Calibri"/>
        </w:rPr>
        <w:t>6. EFFECTS OF LESS FREQUENT COLLECTION:</w:t>
      </w:r>
    </w:p>
    <w:p w:rsidR="006D315B" w:rsidRPr="006D315B" w:rsidP="006D315B" w14:paraId="015DC0C3" w14:textId="77777777">
      <w:pPr>
        <w:pStyle w:val="Heading2"/>
        <w:numPr>
          <w:ilvl w:val="0"/>
          <w:numId w:val="0"/>
        </w:numPr>
        <w:pBdr>
          <w:top w:val="none" w:sz="0" w:space="0" w:color="auto"/>
          <w:bottom w:val="single" w:sz="4" w:space="1" w:color="auto"/>
        </w:pBdr>
        <w:rPr>
          <w:rFonts w:ascii="Calibri" w:hAnsi="Calibri" w:cs="Calibri"/>
          <w:b w:val="0"/>
          <w:bCs w:val="0"/>
          <w:i/>
          <w:iCs/>
        </w:rPr>
      </w:pPr>
      <w:r w:rsidRPr="006D315B">
        <w:rPr>
          <w:rFonts w:ascii="Calibri" w:hAnsi="Calibri" w:cs="Calibri"/>
          <w:b w:val="0"/>
          <w:i/>
          <w:iCs/>
        </w:rPr>
        <w:t>Describe the consequence to Federal program or policy activities if the collection is not conducted or is conducted less frequently, as well as any technical or legal obstacles to reducing burden.</w:t>
      </w:r>
    </w:p>
    <w:p w:rsidR="00044532" w:rsidRPr="004A169C" w:rsidP="1CC48348" w14:paraId="7372FF71" w14:textId="5E0D2601">
      <w:pPr>
        <w:rPr>
          <w:rFonts w:asciiTheme="minorHAnsi" w:hAnsiTheme="minorHAnsi"/>
        </w:rPr>
      </w:pPr>
      <w:r w:rsidRPr="1CC48348">
        <w:rPr>
          <w:rFonts w:asciiTheme="minorHAnsi" w:hAnsiTheme="minorHAnsi"/>
        </w:rPr>
        <w:t>TSCA s</w:t>
      </w:r>
      <w:r w:rsidRPr="1CC48348" w:rsidR="007971F9">
        <w:rPr>
          <w:rFonts w:asciiTheme="minorHAnsi" w:hAnsiTheme="minorHAnsi"/>
        </w:rPr>
        <w:t>ection 8(e) reporting is self-implementing</w:t>
      </w:r>
      <w:r w:rsidRPr="1CC48348" w:rsidR="0947047F">
        <w:rPr>
          <w:rFonts w:asciiTheme="minorHAnsi" w:hAnsiTheme="minorHAnsi"/>
        </w:rPr>
        <w:t xml:space="preserve"> rather than cyclical</w:t>
      </w:r>
      <w:r w:rsidRPr="1CC48348" w:rsidR="007971F9">
        <w:rPr>
          <w:rFonts w:asciiTheme="minorHAnsi" w:hAnsiTheme="minorHAnsi"/>
        </w:rPr>
        <w:t xml:space="preserve">. The statute states that persons covered under the </w:t>
      </w:r>
      <w:r w:rsidRPr="1CC48348" w:rsidR="08F274F6">
        <w:rPr>
          <w:rFonts w:asciiTheme="minorHAnsi" w:hAnsiTheme="minorHAnsi"/>
        </w:rPr>
        <w:t xml:space="preserve">TSCA </w:t>
      </w:r>
      <w:r w:rsidRPr="1CC48348" w:rsidR="007971F9">
        <w:rPr>
          <w:rFonts w:asciiTheme="minorHAnsi" w:hAnsiTheme="minorHAnsi"/>
        </w:rPr>
        <w:t xml:space="preserve">section 8(e) reporting requirement shall immediately notify the EPA Administrator upon obtaining reportable information. As stated previously, </w:t>
      </w:r>
      <w:r w:rsidRPr="1CC48348" w:rsidR="0BF5D879">
        <w:rPr>
          <w:rFonts w:asciiTheme="minorHAnsi" w:hAnsiTheme="minorHAnsi"/>
        </w:rPr>
        <w:t xml:space="preserve">TSCA </w:t>
      </w:r>
      <w:r w:rsidRPr="1CC48348" w:rsidR="007971F9">
        <w:rPr>
          <w:rFonts w:asciiTheme="minorHAnsi" w:hAnsiTheme="minorHAnsi"/>
        </w:rPr>
        <w:t xml:space="preserve">section 8(e) continues to be an extremely important and useful EPA tool for early identification of potential substantial risk situations and allows the Agency as well as others to focus their resources on those chemicals or mixtures of highest concern. The consequences of EPA’s not </w:t>
      </w:r>
      <w:r w:rsidRPr="1CC48348" w:rsidR="007971F9">
        <w:rPr>
          <w:rFonts w:asciiTheme="minorHAnsi" w:hAnsiTheme="minorHAnsi"/>
        </w:rPr>
        <w:t xml:space="preserve">receiving </w:t>
      </w:r>
      <w:r w:rsidRPr="1CC48348" w:rsidR="1DA722CD">
        <w:rPr>
          <w:rFonts w:asciiTheme="minorHAnsi" w:hAnsiTheme="minorHAnsi"/>
        </w:rPr>
        <w:t xml:space="preserve">TSCA </w:t>
      </w:r>
      <w:r w:rsidRPr="1CC48348" w:rsidR="007971F9">
        <w:rPr>
          <w:rFonts w:asciiTheme="minorHAnsi" w:hAnsiTheme="minorHAnsi"/>
        </w:rPr>
        <w:t>section 8(e) data immediately following receipt by a respondent are serious. The Agency would be prevented from learning about and publicizing new information about substantial risks to health or environmental injury posed by exposure to chemical substances and/or mixtures. Further, EPA would not be in a position to adequately assess and, if necessary, take action to effectively eliminate or reduce such risks in an expeditious manner.</w:t>
      </w:r>
    </w:p>
    <w:p w:rsidR="00F20C72" w:rsidRPr="00387B5D" w:rsidP="00404242" w14:paraId="4F24E31A" w14:textId="098A5AA1">
      <w:pPr>
        <w:tabs>
          <w:tab w:val="left" w:pos="720"/>
        </w:tabs>
        <w:spacing w:after="0"/>
        <w:ind w:hanging="806"/>
        <w:rPr>
          <w:rFonts w:asciiTheme="minorHAnsi" w:hAnsiTheme="minorHAnsi" w:cstheme="minorHAnsi"/>
        </w:rPr>
      </w:pPr>
      <w:r>
        <w:rPr>
          <w:rFonts w:asciiTheme="minorHAnsi" w:eastAsiaTheme="minorEastAsia" w:hAnsiTheme="minorHAnsi"/>
        </w:rPr>
        <w:tab/>
      </w:r>
      <w:r w:rsidRPr="00404242" w:rsidR="0BC3164D">
        <w:rPr>
          <w:rFonts w:asciiTheme="minorHAnsi" w:hAnsiTheme="minorHAnsi"/>
        </w:rPr>
        <w:t xml:space="preserve">Some respondents may be required to submit </w:t>
      </w:r>
      <w:r w:rsidRPr="00404242" w:rsidR="6E65B5E8">
        <w:rPr>
          <w:rFonts w:asciiTheme="minorHAnsi" w:hAnsiTheme="minorHAnsi"/>
        </w:rPr>
        <w:t>information</w:t>
      </w:r>
      <w:r w:rsidRPr="00404242" w:rsidR="0BC3164D">
        <w:rPr>
          <w:rFonts w:asciiTheme="minorHAnsi" w:hAnsiTheme="minorHAnsi"/>
        </w:rPr>
        <w:t xml:space="preserve"> to the agency more often than</w:t>
      </w:r>
      <w:r w:rsidRPr="00404242" w:rsidR="013931EA">
        <w:rPr>
          <w:rFonts w:asciiTheme="minorHAnsi" w:hAnsiTheme="minorHAnsi"/>
        </w:rPr>
        <w:t xml:space="preserve"> </w:t>
      </w:r>
      <w:r w:rsidRPr="00404242" w:rsidR="0BC3164D">
        <w:rPr>
          <w:rFonts w:asciiTheme="minorHAnsi" w:hAnsiTheme="minorHAnsi"/>
        </w:rPr>
        <w:t xml:space="preserve">quarterly. According to the statutory </w:t>
      </w:r>
      <w:r w:rsidRPr="00404242" w:rsidR="616C0F4A">
        <w:rPr>
          <w:rFonts w:asciiTheme="minorHAnsi" w:hAnsiTheme="minorHAnsi"/>
        </w:rPr>
        <w:t>text, individuals subject to TSCA section 8(e) must report the relevant information “immediately</w:t>
      </w:r>
      <w:r w:rsidRPr="00404242" w:rsidR="696CEB50">
        <w:rPr>
          <w:rFonts w:asciiTheme="minorHAnsi" w:hAnsiTheme="minorHAnsi"/>
        </w:rPr>
        <w:t>.</w:t>
      </w:r>
      <w:r w:rsidRPr="00404242" w:rsidR="616C0F4A">
        <w:rPr>
          <w:rFonts w:asciiTheme="minorHAnsi" w:hAnsiTheme="minorHAnsi"/>
        </w:rPr>
        <w:t xml:space="preserve">” </w:t>
      </w:r>
      <w:r w:rsidRPr="00404242" w:rsidR="0D7C96F0">
        <w:rPr>
          <w:rFonts w:asciiTheme="minorHAnsi" w:hAnsiTheme="minorHAnsi"/>
        </w:rPr>
        <w:t>EPA</w:t>
      </w:r>
      <w:r w:rsidRPr="00404242" w:rsidR="616C0F4A">
        <w:rPr>
          <w:rFonts w:asciiTheme="minorHAnsi" w:hAnsiTheme="minorHAnsi"/>
        </w:rPr>
        <w:t xml:space="preserve"> has interpreted </w:t>
      </w:r>
      <w:r w:rsidRPr="00404242" w:rsidR="18C67B56">
        <w:rPr>
          <w:rFonts w:asciiTheme="minorHAnsi" w:hAnsiTheme="minorHAnsi"/>
        </w:rPr>
        <w:t>this</w:t>
      </w:r>
      <w:r w:rsidRPr="00404242" w:rsidR="616C0F4A">
        <w:rPr>
          <w:rFonts w:asciiTheme="minorHAnsi" w:hAnsiTheme="minorHAnsi"/>
        </w:rPr>
        <w:t xml:space="preserve"> in its published guidance documents as </w:t>
      </w:r>
      <w:r w:rsidRPr="00404242" w:rsidR="4579A377">
        <w:rPr>
          <w:rFonts w:asciiTheme="minorHAnsi" w:hAnsiTheme="minorHAnsi"/>
        </w:rPr>
        <w:t>occurring</w:t>
      </w:r>
      <w:r w:rsidRPr="00404242" w:rsidR="616C0F4A">
        <w:rPr>
          <w:rFonts w:asciiTheme="minorHAnsi" w:hAnsiTheme="minorHAnsi"/>
        </w:rPr>
        <w:t xml:space="preserve"> within 30 days</w:t>
      </w:r>
      <w:r w:rsidRPr="00404242" w:rsidR="620E6C0F">
        <w:rPr>
          <w:rFonts w:asciiTheme="minorHAnsi" w:hAnsiTheme="minorHAnsi"/>
        </w:rPr>
        <w:t>.</w:t>
      </w:r>
      <w:r w:rsidRPr="00404242" w:rsidR="4D5C6BF8">
        <w:rPr>
          <w:rFonts w:asciiTheme="minorHAnsi" w:hAnsiTheme="minorHAnsi"/>
        </w:rPr>
        <w:t xml:space="preserve"> </w:t>
      </w:r>
      <w:r w:rsidRPr="00404242" w:rsidR="6D02807C">
        <w:rPr>
          <w:rFonts w:asciiTheme="minorHAnsi" w:hAnsiTheme="minorHAnsi"/>
        </w:rPr>
        <w:t xml:space="preserve">Since </w:t>
      </w:r>
      <w:r w:rsidRPr="00404242" w:rsidR="4D5C6BF8">
        <w:rPr>
          <w:rFonts w:asciiTheme="minorHAnsi" w:hAnsiTheme="minorHAnsi"/>
        </w:rPr>
        <w:t xml:space="preserve">respondents are expected to provide </w:t>
      </w:r>
      <w:r w:rsidRPr="00404242" w:rsidR="361CFA75">
        <w:rPr>
          <w:rFonts w:asciiTheme="minorHAnsi" w:hAnsiTheme="minorHAnsi"/>
        </w:rPr>
        <w:t xml:space="preserve">substantial risk </w:t>
      </w:r>
      <w:r w:rsidRPr="00404242" w:rsidR="4D5C6BF8">
        <w:rPr>
          <w:rFonts w:asciiTheme="minorHAnsi" w:hAnsiTheme="minorHAnsi"/>
        </w:rPr>
        <w:t>information on an ad hoc basis</w:t>
      </w:r>
      <w:r w:rsidRPr="00404242" w:rsidR="03E0AB17">
        <w:rPr>
          <w:rFonts w:asciiTheme="minorHAnsi" w:hAnsiTheme="minorHAnsi"/>
        </w:rPr>
        <w:t xml:space="preserve"> and within 30 days of receipt, </w:t>
      </w:r>
      <w:r w:rsidRPr="00404242" w:rsidR="4D5C6BF8">
        <w:rPr>
          <w:rFonts w:asciiTheme="minorHAnsi" w:hAnsiTheme="minorHAnsi"/>
        </w:rPr>
        <w:t>this may occur more often than quarterly</w:t>
      </w:r>
      <w:r w:rsidRPr="00404242" w:rsidR="035196F2">
        <w:rPr>
          <w:rFonts w:asciiTheme="minorHAnsi" w:hAnsiTheme="minorHAnsi"/>
        </w:rPr>
        <w:t xml:space="preserve"> for some respondents,</w:t>
      </w:r>
      <w:r w:rsidRPr="00404242" w:rsidR="4D5C6BF8">
        <w:rPr>
          <w:rFonts w:asciiTheme="minorHAnsi" w:hAnsiTheme="minorHAnsi"/>
        </w:rPr>
        <w:t xml:space="preserve"> depending on the timing and amount of substantial risk information they have obtained.</w:t>
      </w:r>
      <w:r w:rsidRPr="00404242" w:rsidR="0BC3164D">
        <w:rPr>
          <w:rFonts w:asciiTheme="minorHAnsi" w:hAnsiTheme="minorHAnsi"/>
        </w:rPr>
        <w:t xml:space="preserve"> </w:t>
      </w:r>
    </w:p>
    <w:p w:rsidR="006D315B" w:rsidRPr="00246CC7" w:rsidP="001724A7" w14:paraId="0CC67758" w14:textId="77777777">
      <w:pPr>
        <w:pStyle w:val="Heading2"/>
        <w:keepNext/>
        <w:keepLines/>
        <w:numPr>
          <w:ilvl w:val="0"/>
          <w:numId w:val="10"/>
        </w:numPr>
        <w:pBdr>
          <w:top w:val="none" w:sz="0" w:space="0" w:color="auto"/>
        </w:pBdr>
        <w:tabs>
          <w:tab w:val="clear" w:pos="1080"/>
        </w:tabs>
        <w:spacing w:before="240" w:after="240" w:line="259" w:lineRule="auto"/>
        <w:rPr>
          <w:rFonts w:ascii="Calibri" w:hAnsi="Calibri" w:cs="Calibri"/>
          <w:i/>
          <w:iCs/>
        </w:rPr>
      </w:pPr>
      <w:r w:rsidRPr="00246CC7">
        <w:rPr>
          <w:rFonts w:ascii="Calibri" w:hAnsi="Calibri" w:cs="Calibri"/>
        </w:rPr>
        <w:t>GENERAL GUIDELINES:</w:t>
      </w:r>
    </w:p>
    <w:p w:rsidR="006D315B" w:rsidRPr="006D315B" w:rsidP="004A4A78" w14:paraId="34DD195A" w14:textId="36396EF0">
      <w:pPr>
        <w:pStyle w:val="Heading2"/>
        <w:numPr>
          <w:ilvl w:val="0"/>
          <w:numId w:val="0"/>
        </w:numPr>
        <w:pBdr>
          <w:top w:val="none" w:sz="0" w:space="0" w:color="auto"/>
          <w:bottom w:val="single" w:sz="4" w:space="1" w:color="auto"/>
        </w:pBdr>
        <w:rPr>
          <w:rFonts w:ascii="Calibri" w:hAnsi="Calibri" w:cs="Calibri"/>
          <w:b w:val="0"/>
          <w:bCs w:val="0"/>
          <w:i/>
          <w:iCs/>
        </w:rPr>
      </w:pPr>
      <w:r w:rsidRPr="00DA0A40">
        <w:rPr>
          <w:rFonts w:ascii="Calibri" w:hAnsi="Calibri" w:cs="Calibri"/>
          <w:b w:val="0"/>
          <w:i/>
          <w:iCs/>
        </w:rPr>
        <w:t>E</w:t>
      </w:r>
      <w:r w:rsidRPr="00DA0A40">
        <w:rPr>
          <w:rFonts w:ascii="Calibri" w:hAnsi="Calibri" w:cs="Calibri"/>
          <w:b w:val="0"/>
          <w:i/>
          <w:iCs/>
        </w:rPr>
        <w:t>xplain any special circumstances that require the collection to be conducted in a manner inconsistent with PRA Guidelines at 5 CFR 1320.5(d)(2).</w:t>
      </w:r>
    </w:p>
    <w:p w:rsidR="007839E1" w:rsidRPr="00DA0A40" w:rsidP="00DA0A40" w14:paraId="228EDA20" w14:textId="70BD432B">
      <w:pPr>
        <w:rPr>
          <w:lang w:bidi="en-US"/>
        </w:rPr>
      </w:pPr>
      <w:r>
        <w:rPr>
          <w:rFonts w:ascii="Calibri" w:hAnsi="Calibri" w:cs="Calibri"/>
        </w:rPr>
        <w:t xml:space="preserve">As discussed </w:t>
      </w:r>
      <w:r w:rsidR="00CB4A1A">
        <w:rPr>
          <w:rFonts w:ascii="Calibri" w:hAnsi="Calibri" w:cs="Calibri"/>
        </w:rPr>
        <w:t>in the second paragraph of Q6</w:t>
      </w:r>
      <w:r w:rsidR="00CB4A1A">
        <w:rPr>
          <w:rFonts w:ascii="Calibri" w:hAnsi="Calibri" w:cs="Calibri"/>
        </w:rPr>
        <w:t xml:space="preserve">, </w:t>
      </w:r>
      <w:r w:rsidR="0060646D">
        <w:rPr>
          <w:rFonts w:ascii="Calibri" w:hAnsi="Calibri" w:cs="Calibri"/>
        </w:rPr>
        <w:t xml:space="preserve">under certain </w:t>
      </w:r>
      <w:r w:rsidR="00CB4A1A">
        <w:rPr>
          <w:rFonts w:ascii="Calibri" w:hAnsi="Calibri" w:cs="Calibri"/>
        </w:rPr>
        <w:t xml:space="preserve">circumstances </w:t>
      </w:r>
      <w:r w:rsidR="0060646D">
        <w:rPr>
          <w:rFonts w:ascii="Calibri" w:hAnsi="Calibri" w:cs="Calibri"/>
        </w:rPr>
        <w:t xml:space="preserve">a </w:t>
      </w:r>
      <w:r w:rsidR="00057A96">
        <w:rPr>
          <w:rFonts w:ascii="Calibri" w:hAnsi="Calibri" w:cs="Calibri"/>
        </w:rPr>
        <w:t xml:space="preserve">respondent </w:t>
      </w:r>
      <w:r w:rsidR="005354DA">
        <w:rPr>
          <w:rFonts w:ascii="Calibri" w:hAnsi="Calibri" w:cs="Calibri"/>
        </w:rPr>
        <w:t xml:space="preserve">may be required to report </w:t>
      </w:r>
      <w:r w:rsidR="0060352F">
        <w:rPr>
          <w:rFonts w:ascii="Calibri" w:hAnsi="Calibri" w:cs="Calibri"/>
        </w:rPr>
        <w:t xml:space="preserve">multiple times within a </w:t>
      </w:r>
      <w:r w:rsidR="00353E99">
        <w:rPr>
          <w:rFonts w:ascii="Calibri" w:hAnsi="Calibri" w:cs="Calibri"/>
        </w:rPr>
        <w:t>three</w:t>
      </w:r>
      <w:r w:rsidR="00714610">
        <w:rPr>
          <w:rFonts w:ascii="Calibri" w:hAnsi="Calibri" w:cs="Calibri"/>
        </w:rPr>
        <w:t>-month</w:t>
      </w:r>
      <w:r w:rsidR="0097453B">
        <w:rPr>
          <w:rFonts w:ascii="Calibri" w:hAnsi="Calibri" w:cs="Calibri"/>
        </w:rPr>
        <w:t xml:space="preserve"> period. </w:t>
      </w:r>
      <w:r w:rsidR="00714610">
        <w:rPr>
          <w:rFonts w:ascii="Calibri" w:hAnsi="Calibri" w:cs="Calibri"/>
        </w:rPr>
        <w:t>O</w:t>
      </w:r>
      <w:r w:rsidR="0060352F">
        <w:rPr>
          <w:rFonts w:ascii="Calibri" w:hAnsi="Calibri" w:cs="Calibri"/>
        </w:rPr>
        <w:t xml:space="preserve">therwise, </w:t>
      </w:r>
      <w:r w:rsidR="005546DA">
        <w:rPr>
          <w:rFonts w:ascii="Calibri" w:hAnsi="Calibri" w:cs="Calibri"/>
        </w:rPr>
        <w:t xml:space="preserve">the </w:t>
      </w:r>
      <w:r w:rsidRPr="005C5F33">
        <w:rPr>
          <w:rFonts w:ascii="Calibri" w:hAnsi="Calibri" w:cs="Calibri"/>
        </w:rPr>
        <w:t>proposed collection does not create special circumstances requiring justification under 5 CFR 1320.5</w:t>
      </w:r>
      <w:r>
        <w:rPr>
          <w:rFonts w:ascii="Calibri" w:hAnsi="Calibri" w:cs="Calibri"/>
        </w:rPr>
        <w:t>(d)(2)</w:t>
      </w:r>
      <w:r w:rsidRPr="005C5F33">
        <w:rPr>
          <w:rFonts w:ascii="Calibri" w:hAnsi="Calibri" w:cs="Calibri"/>
        </w:rPr>
        <w:t>.</w:t>
      </w:r>
    </w:p>
    <w:p w:rsidR="006D315B" w:rsidRPr="001E7F2E" w:rsidP="007839E1" w14:paraId="33DF3051" w14:textId="77777777">
      <w:pPr>
        <w:pStyle w:val="Heading2"/>
        <w:keepNext/>
        <w:keepLines/>
        <w:numPr>
          <w:ilvl w:val="0"/>
          <w:numId w:val="10"/>
        </w:numPr>
        <w:pBdr>
          <w:top w:val="none" w:sz="0" w:space="0" w:color="auto"/>
        </w:pBdr>
        <w:tabs>
          <w:tab w:val="clear" w:pos="1080"/>
        </w:tabs>
        <w:spacing w:before="240" w:after="240" w:line="259" w:lineRule="auto"/>
        <w:rPr>
          <w:rFonts w:ascii="Calibri" w:hAnsi="Calibri" w:cs="Calibri"/>
          <w:i/>
          <w:iCs/>
        </w:rPr>
      </w:pPr>
      <w:bookmarkStart w:id="5" w:name="_Hlk167353459"/>
      <w:r w:rsidRPr="001E7F2E">
        <w:rPr>
          <w:rFonts w:ascii="Calibri" w:hAnsi="Calibri" w:cs="Calibri"/>
        </w:rPr>
        <w:t>PUBLIC COMMENT PERIOD AND CONSULTATIONS:</w:t>
      </w:r>
    </w:p>
    <w:p w:rsidR="006D315B" w:rsidRPr="001E7F2E" w:rsidP="004A4A78" w14:paraId="144D5451" w14:textId="77777777">
      <w:pPr>
        <w:pStyle w:val="Heading2"/>
        <w:numPr>
          <w:ilvl w:val="0"/>
          <w:numId w:val="0"/>
        </w:numPr>
        <w:pBdr>
          <w:top w:val="none" w:sz="0" w:space="0" w:color="auto"/>
        </w:pBdr>
        <w:rPr>
          <w:rFonts w:ascii="Calibri" w:hAnsi="Calibri" w:cs="Calibri"/>
          <w:i/>
          <w:iCs/>
        </w:rPr>
      </w:pPr>
      <w:r w:rsidRPr="001E7F2E">
        <w:rPr>
          <w:rFonts w:ascii="Calibri" w:hAnsi="Calibri" w:cs="Calibri"/>
        </w:rPr>
        <w:t>8a. Public Comment</w:t>
      </w:r>
    </w:p>
    <w:p w:rsidR="006D315B" w:rsidRPr="006D315B" w:rsidP="00DA0A40" w14:paraId="75A86670" w14:textId="3FFD3315">
      <w:pPr>
        <w:pStyle w:val="Heading2"/>
        <w:numPr>
          <w:ilvl w:val="0"/>
          <w:numId w:val="0"/>
        </w:numPr>
        <w:pBdr>
          <w:top w:val="none" w:sz="0" w:space="0" w:color="auto"/>
        </w:pBdr>
        <w:rPr>
          <w:rFonts w:ascii="Calibri" w:hAnsi="Calibri" w:cs="Calibri"/>
          <w:b w:val="0"/>
          <w:bCs w:val="0"/>
          <w:i/>
          <w:iCs/>
        </w:rPr>
      </w:pPr>
      <w:r w:rsidRPr="006D315B">
        <w:rPr>
          <w:rFonts w:ascii="Calibri" w:hAnsi="Calibri" w:cs="Calibri"/>
          <w:b w:val="0"/>
          <w:i/>
          <w:iCs/>
        </w:rPr>
        <w:t xml:space="preserve">If applicable, provide a copy and identify the date and page number of publication(s)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A85B27" w:rsidP="00A85B27" w14:paraId="035ECC6F" w14:textId="30AB7A24">
      <w:pPr>
        <w:rPr>
          <w:rFonts w:ascii="Calibri" w:hAnsi="Calibri" w:cs="Calibri"/>
        </w:rPr>
      </w:pPr>
      <w:r w:rsidRPr="1CC48348">
        <w:rPr>
          <w:rFonts w:ascii="Calibri" w:hAnsi="Calibri" w:cs="Calibri"/>
        </w:rPr>
        <w:t xml:space="preserve">Pursuant to 5 CFR 1320.8(d), EPA published a notice in the Federal Register on </w:t>
      </w:r>
      <w:r w:rsidRPr="1CC48348" w:rsidR="00AE0AB4">
        <w:rPr>
          <w:rFonts w:ascii="Calibri" w:hAnsi="Calibri" w:cs="Calibri"/>
        </w:rPr>
        <w:t>July 2, 2025</w:t>
      </w:r>
      <w:r w:rsidRPr="1CC48348">
        <w:rPr>
          <w:rFonts w:ascii="Calibri" w:hAnsi="Calibri" w:cs="Calibri"/>
        </w:rPr>
        <w:t xml:space="preserve"> (90 FR 29005</w:t>
      </w:r>
      <w:r w:rsidR="00E209CA">
        <w:rPr>
          <w:rFonts w:ascii="Calibri" w:hAnsi="Calibri" w:cs="Calibri"/>
        </w:rPr>
        <w:t xml:space="preserve"> </w:t>
      </w:r>
      <w:r w:rsidRPr="1CC48348" w:rsidR="00C933F0">
        <w:rPr>
          <w:rFonts w:ascii="Calibri" w:hAnsi="Calibri" w:cs="Calibri"/>
        </w:rPr>
        <w:t>(</w:t>
      </w:r>
      <w:r w:rsidRPr="1CC48348">
        <w:rPr>
          <w:rFonts w:ascii="Calibri" w:hAnsi="Calibri" w:cs="Calibri"/>
        </w:rPr>
        <w:t>FRL-12649-01-OCSPP), announcing the planned renewal of this information collection activity, soliciting public comment on specific aspects of the ICR and providing a 60-day public comment period.</w:t>
      </w:r>
    </w:p>
    <w:p w:rsidR="002D2247" w:rsidP="002D2247" w14:paraId="0E35C177" w14:textId="34F69386">
      <w:pPr>
        <w:rPr>
          <w:rFonts w:ascii="Calibri" w:eastAsia="Calibri" w:hAnsi="Calibri" w:cs="Calibri"/>
          <w:color w:val="000000" w:themeColor="text1"/>
        </w:rPr>
      </w:pPr>
      <w:r w:rsidRPr="00DA0A40">
        <w:rPr>
          <w:rFonts w:ascii="Calibri" w:eastAsia="Calibri" w:hAnsi="Calibri" w:cs="Calibri"/>
          <w:color w:val="000000" w:themeColor="text1"/>
        </w:rPr>
        <w:t xml:space="preserve">During the public comment period, </w:t>
      </w:r>
      <w:r w:rsidRPr="00DA0A40" w:rsidR="00E209CA">
        <w:rPr>
          <w:rFonts w:ascii="Calibri" w:eastAsia="Calibri" w:hAnsi="Calibri" w:cs="Calibri"/>
          <w:color w:val="000000" w:themeColor="text1"/>
        </w:rPr>
        <w:t xml:space="preserve">the </w:t>
      </w:r>
      <w:r w:rsidRPr="00DA0A40" w:rsidR="00E209CA">
        <w:rPr>
          <w:rFonts w:ascii="Calibri" w:hAnsi="Calibri" w:cs="Calibri"/>
        </w:rPr>
        <w:t>American Chemistry Council (ACC)</w:t>
      </w:r>
      <w:r w:rsidRPr="1CC48348">
        <w:rPr>
          <w:rFonts w:ascii="Calibri" w:eastAsia="Calibri" w:hAnsi="Calibri" w:cs="Calibri"/>
          <w:color w:val="000000" w:themeColor="text1"/>
        </w:rPr>
        <w:t xml:space="preserve"> provided a comment encouraging the Agency to consult with stakeholders most likely to be impacted directly by the obligations imposed by TSCA section 8(e) to ensure the burden and cost estimates are </w:t>
      </w:r>
      <w:r w:rsidRPr="1CC48348">
        <w:rPr>
          <w:rFonts w:ascii="Calibri" w:eastAsia="Calibri" w:hAnsi="Calibri" w:cs="Calibri"/>
          <w:color w:val="000000" w:themeColor="text1"/>
        </w:rPr>
        <w:t xml:space="preserve">reasonable and accurate. EPA fulfilled this obligation through the consultation process outlined </w:t>
      </w:r>
      <w:r>
        <w:rPr>
          <w:rFonts w:ascii="Calibri" w:eastAsia="Calibri" w:hAnsi="Calibri" w:cs="Calibri"/>
          <w:color w:val="000000" w:themeColor="text1"/>
        </w:rPr>
        <w:t>below</w:t>
      </w:r>
      <w:r w:rsidRPr="1CC48348">
        <w:rPr>
          <w:rFonts w:ascii="Calibri" w:eastAsia="Calibri" w:hAnsi="Calibri" w:cs="Calibri"/>
          <w:color w:val="000000" w:themeColor="text1"/>
        </w:rPr>
        <w:t>, during which nine stakeholders involved in TSCA section 8(e) reporting were selected and invited to provide feedback on the Agency’s cost and burden estimates. As illustrated above, this feedback has been taken into account for the purpose of cost and burden estimates, and additional comments provided by these stakeholders are being actively addressed. ACC also commented that the Agency should use data submitted under TSCA section 8(e) to evaluate risk management decisions for new chemicals. EPA historically conducted this type of analysis and plans to continue doing so in the near future.</w:t>
      </w:r>
    </w:p>
    <w:p w:rsidR="006D315B" w:rsidRPr="001E7F2E" w:rsidP="004A4A78" w14:paraId="0A6EAC21" w14:textId="77777777">
      <w:pPr>
        <w:pStyle w:val="Heading2"/>
        <w:numPr>
          <w:ilvl w:val="0"/>
          <w:numId w:val="0"/>
        </w:numPr>
        <w:pBdr>
          <w:top w:val="none" w:sz="0" w:space="0" w:color="auto"/>
        </w:pBdr>
        <w:rPr>
          <w:rFonts w:ascii="Calibri" w:hAnsi="Calibri" w:cs="Calibri"/>
          <w:i/>
          <w:iCs/>
        </w:rPr>
      </w:pPr>
      <w:r w:rsidRPr="001E7F2E">
        <w:rPr>
          <w:rFonts w:ascii="Calibri" w:hAnsi="Calibri" w:cs="Calibri"/>
        </w:rPr>
        <w:t>8b. Consultations</w:t>
      </w:r>
    </w:p>
    <w:p w:rsidR="006D315B" w:rsidRPr="006D315B" w:rsidP="004A4A78" w14:paraId="52CE25BC" w14:textId="77777777">
      <w:pPr>
        <w:pStyle w:val="Heading2"/>
        <w:numPr>
          <w:ilvl w:val="0"/>
          <w:numId w:val="0"/>
        </w:numPr>
        <w:pBdr>
          <w:top w:val="none" w:sz="0" w:space="0" w:color="auto"/>
        </w:pBdr>
        <w:rPr>
          <w:rFonts w:ascii="Calibri" w:hAnsi="Calibri" w:cs="Calibri"/>
          <w:b w:val="0"/>
          <w:bCs w:val="0"/>
          <w:i/>
          <w:iCs/>
        </w:rPr>
      </w:pPr>
      <w:r w:rsidRPr="006D315B">
        <w:rPr>
          <w:rFonts w:ascii="Calibri" w:hAnsi="Calibri" w:cs="Calibri"/>
          <w:b w:val="0"/>
          <w:i/>
          <w:iCs/>
        </w:rPr>
        <w:t xml:space="preserve">Describe efforts to consult with persons outside EPA to obtain their views on the availability of data, frequency of collection, the clarity of instructions and recordkeeping, disclosure, or reporting format (if any), and on the data elements to be recorded, disclosed, or report. </w:t>
      </w:r>
    </w:p>
    <w:p w:rsidR="006D315B" w:rsidRPr="006D315B" w:rsidP="004A4A78" w14:paraId="498A7C88" w14:textId="77777777">
      <w:pPr>
        <w:pStyle w:val="Heading2"/>
        <w:numPr>
          <w:ilvl w:val="0"/>
          <w:numId w:val="0"/>
        </w:numPr>
        <w:pBdr>
          <w:top w:val="none" w:sz="0" w:space="0" w:color="auto"/>
        </w:pBdr>
        <w:rPr>
          <w:rFonts w:ascii="Calibri" w:hAnsi="Calibri" w:cs="Calibri"/>
          <w:b w:val="0"/>
          <w:bCs w:val="0"/>
          <w:i/>
          <w:iCs/>
        </w:rPr>
      </w:pPr>
      <w:r w:rsidRPr="006D315B">
        <w:rPr>
          <w:rFonts w:ascii="Calibri" w:hAnsi="Calibri" w:cs="Calibri"/>
          <w:b w:val="0"/>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bookmarkEnd w:id="5"/>
    <w:p w:rsidR="00AE0AB4" w:rsidRPr="00F93A42" w:rsidP="00AE0AB4" w14:paraId="253178AA" w14:textId="34A4F6EF">
      <w:pPr>
        <w:rPr>
          <w:rFonts w:ascii="Calibri" w:hAnsi="Calibri" w:cs="Calibri"/>
        </w:rPr>
      </w:pPr>
      <w:r w:rsidRPr="1CC48348">
        <w:rPr>
          <w:rFonts w:ascii="Calibri" w:hAnsi="Calibri" w:cs="Calibri"/>
        </w:rPr>
        <w:t xml:space="preserve">The EPA also consulted </w:t>
      </w:r>
      <w:r w:rsidRPr="1CC48348" w:rsidR="6D09887B">
        <w:rPr>
          <w:rFonts w:ascii="Calibri" w:hAnsi="Calibri" w:cs="Calibri"/>
        </w:rPr>
        <w:t>nine</w:t>
      </w:r>
      <w:r w:rsidRPr="1CC48348">
        <w:rPr>
          <w:rFonts w:ascii="Calibri" w:hAnsi="Calibri" w:cs="Calibri"/>
        </w:rPr>
        <w:t xml:space="preserve"> stakeholders, specifically asking them for their assessment of the regulatory burden estimates expressed by the Agency in this ICR (Attachment 2). </w:t>
      </w:r>
      <w:bookmarkStart w:id="6" w:name="_Hlk172121000"/>
      <w:r w:rsidRPr="1CC48348">
        <w:rPr>
          <w:rFonts w:ascii="Calibri" w:hAnsi="Calibri" w:cs="Calibri"/>
        </w:rPr>
        <w:t>The stakeholders consulted were:</w:t>
      </w:r>
      <w:bookmarkEnd w:id="6"/>
    </w:p>
    <w:p w:rsidR="10181D96" w:rsidP="1CC48348" w14:paraId="2AA46E5E" w14:textId="44178513">
      <w:pPr>
        <w:pStyle w:val="ListParagraph"/>
        <w:numPr>
          <w:ilvl w:val="0"/>
          <w:numId w:val="1"/>
        </w:numPr>
        <w:rPr>
          <w:rFonts w:ascii="Calibri" w:hAnsi="Calibri" w:cs="Calibri"/>
        </w:rPr>
      </w:pPr>
      <w:r w:rsidRPr="1CC48348">
        <w:rPr>
          <w:rFonts w:ascii="Calibri" w:hAnsi="Calibri" w:cs="Calibri"/>
        </w:rPr>
        <w:t>3M</w:t>
      </w:r>
    </w:p>
    <w:p w:rsidR="10181D96" w:rsidRPr="005D642D" w:rsidP="1CC48348" w14:paraId="26BA261D" w14:textId="6F2905DC">
      <w:pPr>
        <w:pStyle w:val="ListParagraph"/>
        <w:numPr>
          <w:ilvl w:val="0"/>
          <w:numId w:val="1"/>
        </w:numPr>
        <w:rPr>
          <w:rFonts w:ascii="Calibri" w:hAnsi="Calibri"/>
          <w:b/>
        </w:rPr>
      </w:pPr>
      <w:r w:rsidRPr="1CC48348">
        <w:rPr>
          <w:rFonts w:ascii="Calibri" w:hAnsi="Calibri" w:cs="Calibri"/>
        </w:rPr>
        <w:t>American Chemistry Council (ACC)</w:t>
      </w:r>
    </w:p>
    <w:p w:rsidR="10181D96" w:rsidP="1CC48348" w14:paraId="5F50AF65" w14:textId="031D33BD">
      <w:pPr>
        <w:pStyle w:val="ListParagraph"/>
        <w:numPr>
          <w:ilvl w:val="0"/>
          <w:numId w:val="1"/>
        </w:numPr>
        <w:rPr>
          <w:rFonts w:ascii="Calibri" w:hAnsi="Calibri" w:cs="Calibri"/>
        </w:rPr>
      </w:pPr>
      <w:r>
        <w:rPr>
          <w:rFonts w:ascii="Calibri" w:hAnsi="Calibri" w:cs="Calibri"/>
        </w:rPr>
        <w:t>Re</w:t>
      </w:r>
      <w:r w:rsidRPr="1CC48348">
        <w:rPr>
          <w:rFonts w:ascii="Calibri" w:hAnsi="Calibri" w:cs="Calibri"/>
        </w:rPr>
        <w:t xml:space="preserve">Syngenta </w:t>
      </w:r>
      <w:r w:rsidRPr="1CC48348" w:rsidR="59649FD1">
        <w:rPr>
          <w:rFonts w:ascii="Calibri" w:hAnsi="Calibri" w:cs="Calibri"/>
        </w:rPr>
        <w:t>Crop Protection, LLC</w:t>
      </w:r>
    </w:p>
    <w:p w:rsidR="10181D96" w:rsidP="1CC48348" w14:paraId="7F2184D5" w14:textId="41C3FCB0">
      <w:pPr>
        <w:pStyle w:val="ListParagraph"/>
        <w:numPr>
          <w:ilvl w:val="0"/>
          <w:numId w:val="1"/>
        </w:numPr>
        <w:rPr>
          <w:rFonts w:ascii="Calibri" w:hAnsi="Calibri" w:cs="Calibri"/>
        </w:rPr>
      </w:pPr>
      <w:r w:rsidRPr="1CC48348">
        <w:rPr>
          <w:rFonts w:ascii="Calibri" w:hAnsi="Calibri" w:cs="Calibri"/>
        </w:rPr>
        <w:t>BASF Corporation</w:t>
      </w:r>
    </w:p>
    <w:p w:rsidR="10181D96" w:rsidP="1CC48348" w14:paraId="2DAB0EFA" w14:textId="143432E8">
      <w:pPr>
        <w:pStyle w:val="ListParagraph"/>
        <w:numPr>
          <w:ilvl w:val="0"/>
          <w:numId w:val="1"/>
        </w:numPr>
        <w:rPr>
          <w:rFonts w:ascii="Calibri" w:hAnsi="Calibri" w:cs="Calibri"/>
        </w:rPr>
      </w:pPr>
      <w:r w:rsidRPr="1CC48348">
        <w:rPr>
          <w:rFonts w:ascii="Calibri" w:hAnsi="Calibri" w:cs="Calibri"/>
        </w:rPr>
        <w:t>Corteva Agri</w:t>
      </w:r>
      <w:r w:rsidRPr="1CC48348" w:rsidR="141E60CC">
        <w:rPr>
          <w:rFonts w:ascii="Calibri" w:hAnsi="Calibri" w:cs="Calibri"/>
        </w:rPr>
        <w:t>science</w:t>
      </w:r>
      <w:r w:rsidRPr="1CC48348" w:rsidR="3C4EFB48">
        <w:rPr>
          <w:rFonts w:ascii="Calibri" w:hAnsi="Calibri" w:cs="Calibri"/>
        </w:rPr>
        <w:t>,</w:t>
      </w:r>
      <w:r w:rsidRPr="1CC48348" w:rsidR="141E60CC">
        <w:rPr>
          <w:rFonts w:ascii="Calibri" w:hAnsi="Calibri" w:cs="Calibri"/>
        </w:rPr>
        <w:t xml:space="preserve"> LLC</w:t>
      </w:r>
    </w:p>
    <w:p w:rsidR="10181D96" w:rsidRPr="00D17279" w:rsidP="1CC48348" w14:paraId="05B66AEF" w14:textId="35BF32EB">
      <w:pPr>
        <w:pStyle w:val="ListParagraph"/>
        <w:numPr>
          <w:ilvl w:val="0"/>
          <w:numId w:val="1"/>
        </w:numPr>
        <w:rPr>
          <w:rFonts w:ascii="Calibri" w:hAnsi="Calibri" w:cs="Calibri"/>
        </w:rPr>
      </w:pPr>
      <w:r w:rsidRPr="1CC48348">
        <w:rPr>
          <w:rFonts w:ascii="Calibri" w:hAnsi="Calibri" w:cs="Calibri"/>
        </w:rPr>
        <w:t xml:space="preserve">Momentive Performance </w:t>
      </w:r>
      <w:r w:rsidRPr="1CC48348" w:rsidR="7FD4FA61">
        <w:rPr>
          <w:rFonts w:ascii="Calibri" w:hAnsi="Calibri" w:cs="Calibri"/>
        </w:rPr>
        <w:t>Materials</w:t>
      </w:r>
      <w:r w:rsidRPr="1CC48348">
        <w:rPr>
          <w:rFonts w:ascii="Calibri" w:hAnsi="Calibri" w:cs="Calibri"/>
        </w:rPr>
        <w:t>, Inc.</w:t>
      </w:r>
    </w:p>
    <w:p w:rsidR="10181D96" w:rsidP="1CC48348" w14:paraId="663FC2AF" w14:textId="3FD468F3">
      <w:pPr>
        <w:pStyle w:val="ListParagraph"/>
        <w:numPr>
          <w:ilvl w:val="0"/>
          <w:numId w:val="1"/>
        </w:numPr>
        <w:rPr>
          <w:rFonts w:ascii="Calibri" w:hAnsi="Calibri" w:cs="Calibri"/>
        </w:rPr>
      </w:pPr>
      <w:r w:rsidRPr="1CC48348">
        <w:rPr>
          <w:rFonts w:ascii="Calibri" w:hAnsi="Calibri" w:cs="Calibri"/>
        </w:rPr>
        <w:t>The Chemours Company FC, LLC</w:t>
      </w:r>
    </w:p>
    <w:p w:rsidR="10181D96" w:rsidP="1CC48348" w14:paraId="6526494A" w14:textId="19933E8C">
      <w:pPr>
        <w:pStyle w:val="ListParagraph"/>
        <w:numPr>
          <w:ilvl w:val="0"/>
          <w:numId w:val="1"/>
        </w:numPr>
        <w:rPr>
          <w:rFonts w:ascii="Calibri" w:hAnsi="Calibri" w:cs="Calibri"/>
        </w:rPr>
      </w:pPr>
      <w:r w:rsidRPr="1CC48348">
        <w:rPr>
          <w:rFonts w:ascii="Calibri" w:hAnsi="Calibri" w:cs="Calibri"/>
        </w:rPr>
        <w:t>DuPont</w:t>
      </w:r>
      <w:r w:rsidRPr="1CC48348" w:rsidR="195BCF81">
        <w:rPr>
          <w:rFonts w:ascii="Calibri" w:hAnsi="Calibri" w:cs="Calibri"/>
        </w:rPr>
        <w:t xml:space="preserve"> Specialty Products USA, LLC</w:t>
      </w:r>
    </w:p>
    <w:p w:rsidR="1FA2AAFB" w:rsidP="1CC48348" w14:paraId="4B65F20C" w14:textId="556D615D">
      <w:pPr>
        <w:pStyle w:val="ListParagraph"/>
        <w:numPr>
          <w:ilvl w:val="0"/>
          <w:numId w:val="1"/>
        </w:numPr>
        <w:rPr>
          <w:rFonts w:ascii="Calibri" w:hAnsi="Calibri" w:cs="Calibri"/>
        </w:rPr>
      </w:pPr>
      <w:r w:rsidRPr="1CC48348">
        <w:rPr>
          <w:rFonts w:ascii="Calibri" w:hAnsi="Calibri" w:cs="Calibri"/>
        </w:rPr>
        <w:t xml:space="preserve">The </w:t>
      </w:r>
      <w:r w:rsidRPr="1CC48348" w:rsidR="10181D96">
        <w:rPr>
          <w:rFonts w:ascii="Calibri" w:hAnsi="Calibri" w:cs="Calibri"/>
        </w:rPr>
        <w:t>Dow Chemical Company</w:t>
      </w:r>
    </w:p>
    <w:p w:rsidR="00AE0AB4" w:rsidP="1CC48348" w14:paraId="172FBA70" w14:textId="5CA39C6B">
      <w:pPr>
        <w:spacing w:after="240" w:line="259" w:lineRule="auto"/>
        <w:rPr>
          <w:rFonts w:ascii="Calibri" w:hAnsi="Calibri" w:cs="Calibri"/>
        </w:rPr>
      </w:pPr>
      <w:r w:rsidRPr="1CC48348">
        <w:rPr>
          <w:rFonts w:ascii="Calibri" w:hAnsi="Calibri" w:cs="Calibri"/>
        </w:rPr>
        <w:t xml:space="preserve">Of those consulted, EPA received comments from </w:t>
      </w:r>
      <w:r w:rsidRPr="1CC48348" w:rsidR="5B89EC9C">
        <w:rPr>
          <w:rFonts w:ascii="Calibri" w:hAnsi="Calibri" w:cs="Calibri"/>
        </w:rPr>
        <w:t xml:space="preserve">3M and Syngenta </w:t>
      </w:r>
      <w:r w:rsidRPr="1CC48348">
        <w:rPr>
          <w:rFonts w:ascii="Calibri" w:hAnsi="Calibri" w:cs="Calibri"/>
        </w:rPr>
        <w:t>(Attachment 3). The Agency received substantive comments during the consultations</w:t>
      </w:r>
      <w:r w:rsidRPr="1CC48348" w:rsidR="27257519">
        <w:rPr>
          <w:rFonts w:ascii="Calibri" w:hAnsi="Calibri" w:cs="Calibri"/>
        </w:rPr>
        <w:t>.</w:t>
      </w:r>
      <w:r w:rsidRPr="1CC48348">
        <w:rPr>
          <w:rFonts w:ascii="Calibri" w:hAnsi="Calibri" w:cs="Calibri"/>
        </w:rPr>
        <w:t xml:space="preserve"> </w:t>
      </w:r>
      <w:r w:rsidRPr="1CC48348" w:rsidR="05A1D4BD">
        <w:rPr>
          <w:rFonts w:ascii="Calibri" w:hAnsi="Calibri" w:cs="Calibri"/>
        </w:rPr>
        <w:t>T</w:t>
      </w:r>
      <w:r w:rsidRPr="1CC48348">
        <w:rPr>
          <w:rFonts w:ascii="Calibri" w:hAnsi="Calibri" w:cs="Calibri"/>
        </w:rPr>
        <w:t xml:space="preserve">he Agency’s responses to those comments are summarized below. </w:t>
      </w:r>
      <w:r w:rsidRPr="1CC48348" w:rsidR="00CEC908">
        <w:rPr>
          <w:rFonts w:ascii="Calibri" w:hAnsi="Calibri" w:cs="Calibri"/>
        </w:rPr>
        <w:t xml:space="preserve">The Agency also received comments from </w:t>
      </w:r>
      <w:r w:rsidRPr="1CC48348" w:rsidR="6F1ABD60">
        <w:rPr>
          <w:rFonts w:ascii="Calibri" w:hAnsi="Calibri" w:cs="Calibri"/>
        </w:rPr>
        <w:t xml:space="preserve">the </w:t>
      </w:r>
      <w:r w:rsidRPr="1CC48348" w:rsidR="00CEC908">
        <w:rPr>
          <w:rFonts w:ascii="Calibri" w:hAnsi="Calibri" w:cs="Calibri"/>
        </w:rPr>
        <w:t>A</w:t>
      </w:r>
      <w:r w:rsidRPr="1CC48348" w:rsidR="3AE3A42E">
        <w:rPr>
          <w:rFonts w:ascii="Calibri" w:hAnsi="Calibri" w:cs="Calibri"/>
        </w:rPr>
        <w:t xml:space="preserve">merican </w:t>
      </w:r>
      <w:r w:rsidRPr="1CC48348" w:rsidR="00CEC908">
        <w:rPr>
          <w:rFonts w:ascii="Calibri" w:hAnsi="Calibri" w:cs="Calibri"/>
        </w:rPr>
        <w:t>C</w:t>
      </w:r>
      <w:r w:rsidRPr="1CC48348" w:rsidR="7FF6D9B9">
        <w:rPr>
          <w:rFonts w:ascii="Calibri" w:hAnsi="Calibri" w:cs="Calibri"/>
        </w:rPr>
        <w:t xml:space="preserve">hemistry </w:t>
      </w:r>
      <w:r w:rsidRPr="1CC48348" w:rsidR="00CEC908">
        <w:rPr>
          <w:rFonts w:ascii="Calibri" w:hAnsi="Calibri" w:cs="Calibri"/>
        </w:rPr>
        <w:t>C</w:t>
      </w:r>
      <w:r w:rsidRPr="1CC48348" w:rsidR="2028AB98">
        <w:rPr>
          <w:rFonts w:ascii="Calibri" w:hAnsi="Calibri" w:cs="Calibri"/>
        </w:rPr>
        <w:t>ouncil</w:t>
      </w:r>
      <w:r w:rsidRPr="1CC48348" w:rsidR="00CEC908">
        <w:rPr>
          <w:rFonts w:ascii="Calibri" w:hAnsi="Calibri" w:cs="Calibri"/>
        </w:rPr>
        <w:t xml:space="preserve"> during the comment period, and the Agency’s responses are summarized below (Attachment 4). </w:t>
      </w:r>
      <w:r w:rsidRPr="1CC48348" w:rsidR="63D6D93E">
        <w:rPr>
          <w:rFonts w:ascii="Calibri" w:hAnsi="Calibri" w:cs="Calibri"/>
        </w:rPr>
        <w:t>EPA</w:t>
      </w:r>
      <w:r w:rsidRPr="1CC48348">
        <w:rPr>
          <w:rFonts w:ascii="Calibri" w:hAnsi="Calibri" w:cs="Calibri"/>
        </w:rPr>
        <w:t xml:space="preserve"> thanks </w:t>
      </w:r>
      <w:r w:rsidRPr="1CC48348" w:rsidR="13A3BBBE">
        <w:rPr>
          <w:rFonts w:ascii="Calibri" w:hAnsi="Calibri" w:cs="Calibri"/>
        </w:rPr>
        <w:t>the</w:t>
      </w:r>
      <w:r w:rsidRPr="1CC48348">
        <w:rPr>
          <w:rFonts w:ascii="Calibri" w:hAnsi="Calibri" w:cs="Calibri"/>
        </w:rPr>
        <w:t xml:space="preserve"> commenters for their comments and has considered them in developing this ICR. </w:t>
      </w:r>
    </w:p>
    <w:p w:rsidR="39465528" w:rsidP="7FC729C5" w14:paraId="10BAC088" w14:textId="22389D33">
      <w:pPr>
        <w:rPr>
          <w:rFonts w:ascii="Calibri" w:eastAsia="Calibri" w:hAnsi="Calibri" w:cs="Calibri"/>
        </w:rPr>
      </w:pPr>
      <w:r w:rsidRPr="1CC48348">
        <w:rPr>
          <w:rFonts w:ascii="Calibri" w:hAnsi="Calibri" w:cs="Calibri"/>
        </w:rPr>
        <w:t xml:space="preserve">In response to the consultation questions provided by the Agency, Syngenta Crop Protection, LLC commented that the Agency’s transition to electronic submissions may increase cost and burden for submitters in the short-term, through </w:t>
      </w:r>
      <w:r w:rsidRPr="1CC48348" w:rsidR="47A25F66">
        <w:rPr>
          <w:rFonts w:ascii="Calibri" w:hAnsi="Calibri" w:cs="Calibri"/>
        </w:rPr>
        <w:t xml:space="preserve">a need for increased investments in IT infrastructure, including software development or procurement, system integration, and security measures </w:t>
      </w:r>
      <w:r w:rsidRPr="1CC48348" w:rsidR="60BE18F9">
        <w:rPr>
          <w:rFonts w:ascii="Calibri" w:hAnsi="Calibri" w:cs="Calibri"/>
        </w:rPr>
        <w:t xml:space="preserve">with implementation and operational costs. While Syngenta notes that these investments typically yield long-term benefits, the Agency must maintain a </w:t>
      </w:r>
      <w:r w:rsidRPr="1CC48348" w:rsidR="32A288DC">
        <w:rPr>
          <w:rFonts w:ascii="Calibri" w:hAnsi="Calibri" w:cs="Calibri"/>
        </w:rPr>
        <w:t>user-friendly electronic reporting system</w:t>
      </w:r>
      <w:r w:rsidRPr="1CC48348" w:rsidR="780F5ACA">
        <w:rPr>
          <w:rFonts w:ascii="Calibri" w:hAnsi="Calibri" w:cs="Calibri"/>
        </w:rPr>
        <w:t xml:space="preserve"> for electronic reporting to remain cost-effective</w:t>
      </w:r>
      <w:r w:rsidRPr="1CC48348" w:rsidR="32A288DC">
        <w:rPr>
          <w:rFonts w:ascii="Calibri" w:hAnsi="Calibri" w:cs="Calibri"/>
        </w:rPr>
        <w:t xml:space="preserve">. EPA </w:t>
      </w:r>
      <w:r w:rsidRPr="1CC48348" w:rsidR="11A257DC">
        <w:rPr>
          <w:rFonts w:ascii="Calibri" w:hAnsi="Calibri" w:cs="Calibri"/>
        </w:rPr>
        <w:t>believes</w:t>
      </w:r>
      <w:r w:rsidRPr="1CC48348" w:rsidR="32A288DC">
        <w:rPr>
          <w:rFonts w:ascii="Calibri" w:hAnsi="Calibri" w:cs="Calibri"/>
        </w:rPr>
        <w:t xml:space="preserve"> a user-friendly electronic reporting system is imperative to maintain</w:t>
      </w:r>
      <w:r w:rsidRPr="1CC48348" w:rsidR="0BF28567">
        <w:rPr>
          <w:rFonts w:ascii="Calibri" w:hAnsi="Calibri" w:cs="Calibri"/>
        </w:rPr>
        <w:t xml:space="preserve"> long-term savings in cost- and hour-burden associated with electronic reporting and continue</w:t>
      </w:r>
      <w:r w:rsidRPr="1CC48348" w:rsidR="56E84B3B">
        <w:rPr>
          <w:rFonts w:ascii="Calibri" w:hAnsi="Calibri" w:cs="Calibri"/>
        </w:rPr>
        <w:t>s</w:t>
      </w:r>
      <w:r w:rsidRPr="1CC48348" w:rsidR="0BF28567">
        <w:rPr>
          <w:rFonts w:ascii="Calibri" w:hAnsi="Calibri" w:cs="Calibri"/>
        </w:rPr>
        <w:t xml:space="preserve"> to actively address issues </w:t>
      </w:r>
      <w:r w:rsidRPr="1CC48348" w:rsidR="4D878740">
        <w:rPr>
          <w:rFonts w:ascii="Calibri" w:hAnsi="Calibri" w:cs="Calibri"/>
        </w:rPr>
        <w:t xml:space="preserve">and </w:t>
      </w:r>
      <w:r w:rsidRPr="1CC48348" w:rsidR="0BF28567">
        <w:rPr>
          <w:rFonts w:ascii="Calibri" w:hAnsi="Calibri" w:cs="Calibri"/>
        </w:rPr>
        <w:t>implement improvements</w:t>
      </w:r>
      <w:r w:rsidRPr="1CC48348" w:rsidR="379ABB93">
        <w:rPr>
          <w:rFonts w:ascii="Calibri" w:hAnsi="Calibri" w:cs="Calibri"/>
        </w:rPr>
        <w:t xml:space="preserve"> with the existing electronic reporting system.</w:t>
      </w:r>
      <w:r w:rsidRPr="1CC48348" w:rsidR="04B60888">
        <w:rPr>
          <w:rFonts w:ascii="Calibri" w:hAnsi="Calibri" w:cs="Calibri"/>
        </w:rPr>
        <w:t xml:space="preserve"> Since EPA’s transition to electronic reporting o</w:t>
      </w:r>
      <w:r w:rsidRPr="1CC48348" w:rsidR="04B60888">
        <w:rPr>
          <w:rFonts w:ascii="Calibri" w:eastAsia="Calibri" w:hAnsi="Calibri" w:cs="Calibri"/>
          <w:color w:val="000000" w:themeColor="text1"/>
        </w:rPr>
        <w:t>ccurred more than a decade ago, and electronic submission via EPA’s CDX platform is also required under other TSCA programs which 8(e)-reporters are also reporting under, EPA believes any burdens associated with this transition have already incurred or are attributable elsewhere.</w:t>
      </w:r>
    </w:p>
    <w:p w:rsidR="04B60888" w:rsidP="7FC729C5" w14:paraId="1F209C5D" w14:textId="7D1C56DE">
      <w:pPr>
        <w:rPr>
          <w:rFonts w:ascii="Calibri" w:eastAsia="Calibri" w:hAnsi="Calibri" w:cs="Calibri"/>
          <w:color w:val="000000" w:themeColor="text1"/>
        </w:rPr>
      </w:pPr>
      <w:r w:rsidRPr="1CC48348">
        <w:rPr>
          <w:rFonts w:ascii="Calibri" w:eastAsia="Calibri" w:hAnsi="Calibri" w:cs="Calibri"/>
          <w:color w:val="000000" w:themeColor="text1"/>
        </w:rPr>
        <w:t xml:space="preserve">3M also provided comments in response to the Agency’s consultation questions, noting areas of confusion or outdated information in EPA’s existing TSCA section 8(e) guidance documents, instability of the CDX electronic reporting platform, </w:t>
      </w:r>
      <w:r w:rsidRPr="1CC48348" w:rsidR="75F82611">
        <w:rPr>
          <w:rFonts w:ascii="Calibri" w:eastAsia="Calibri" w:hAnsi="Calibri" w:cs="Calibri"/>
          <w:color w:val="000000" w:themeColor="text1"/>
        </w:rPr>
        <w:t>and insufficient guidance and clarity regarding expectations for submitting information using OECD harmonized templates (OHTs). EPA is aware that the currently published guidance documents available for TSCA section 8(e) reporting are out-of-date. A draft reporting guidance</w:t>
      </w:r>
      <w:r w:rsidRPr="1CC48348" w:rsidR="63750B35">
        <w:rPr>
          <w:rFonts w:ascii="Calibri" w:eastAsia="Calibri" w:hAnsi="Calibri" w:cs="Calibri"/>
          <w:color w:val="000000" w:themeColor="text1"/>
        </w:rPr>
        <w:t xml:space="preserve"> is in progress by EPA</w:t>
      </w:r>
      <w:r w:rsidRPr="1CC48348" w:rsidR="75F82611">
        <w:rPr>
          <w:rFonts w:ascii="Calibri" w:eastAsia="Calibri" w:hAnsi="Calibri" w:cs="Calibri"/>
          <w:color w:val="000000" w:themeColor="text1"/>
        </w:rPr>
        <w:t xml:space="preserve"> </w:t>
      </w:r>
      <w:r w:rsidRPr="1CC48348" w:rsidR="0C73DC6F">
        <w:rPr>
          <w:rFonts w:ascii="Calibri" w:eastAsia="Calibri" w:hAnsi="Calibri" w:cs="Calibri"/>
          <w:color w:val="000000" w:themeColor="text1"/>
        </w:rPr>
        <w:t>and will be made available for</w:t>
      </w:r>
      <w:r w:rsidRPr="1CC48348" w:rsidR="7DA4B541">
        <w:rPr>
          <w:rFonts w:ascii="Calibri" w:eastAsia="Calibri" w:hAnsi="Calibri" w:cs="Calibri"/>
          <w:color w:val="000000" w:themeColor="text1"/>
        </w:rPr>
        <w:t xml:space="preserve"> comment by industry stakeholders</w:t>
      </w:r>
      <w:r w:rsidRPr="1CC48348" w:rsidR="3B68D9DC">
        <w:rPr>
          <w:rFonts w:ascii="Calibri" w:eastAsia="Calibri" w:hAnsi="Calibri" w:cs="Calibri"/>
          <w:color w:val="000000" w:themeColor="text1"/>
        </w:rPr>
        <w:t xml:space="preserve"> in 2026. In the updated reporting guidance,</w:t>
      </w:r>
      <w:r w:rsidRPr="1CC48348" w:rsidR="7DA4B541">
        <w:rPr>
          <w:rFonts w:ascii="Calibri" w:eastAsia="Calibri" w:hAnsi="Calibri" w:cs="Calibri"/>
          <w:color w:val="000000" w:themeColor="text1"/>
        </w:rPr>
        <w:t xml:space="preserve"> EPA </w:t>
      </w:r>
      <w:r w:rsidRPr="1CC48348" w:rsidR="3BC0C3B7">
        <w:rPr>
          <w:rFonts w:ascii="Calibri" w:eastAsia="Calibri" w:hAnsi="Calibri" w:cs="Calibri"/>
          <w:color w:val="000000" w:themeColor="text1"/>
        </w:rPr>
        <w:t xml:space="preserve">plans to address </w:t>
      </w:r>
      <w:r w:rsidRPr="1CC48348" w:rsidR="7DA4B541">
        <w:rPr>
          <w:rFonts w:ascii="Calibri" w:eastAsia="Calibri" w:hAnsi="Calibri" w:cs="Calibri"/>
          <w:color w:val="000000" w:themeColor="text1"/>
        </w:rPr>
        <w:t xml:space="preserve">areas of confusion highlighted by 3M and other stakeholders (namely, guidance on reporting results of New Approach Methodologies (NAMs) </w:t>
      </w:r>
      <w:r w:rsidRPr="1CC48348" w:rsidR="0DB3DC44">
        <w:rPr>
          <w:rFonts w:ascii="Calibri" w:eastAsia="Calibri" w:hAnsi="Calibri" w:cs="Calibri"/>
          <w:color w:val="000000" w:themeColor="text1"/>
        </w:rPr>
        <w:t>and hazard and exposure thresholds for reporting on non-emergency situations involving environmental contamination).</w:t>
      </w:r>
      <w:r w:rsidRPr="1CC48348" w:rsidR="38B05B1D">
        <w:rPr>
          <w:rFonts w:ascii="Calibri" w:eastAsia="Calibri" w:hAnsi="Calibri" w:cs="Calibri"/>
          <w:color w:val="000000" w:themeColor="text1"/>
        </w:rPr>
        <w:t xml:space="preserve"> As addressed above, </w:t>
      </w:r>
      <w:r w:rsidRPr="1CC48348" w:rsidR="6F5D7F2F">
        <w:rPr>
          <w:rFonts w:ascii="Calibri" w:eastAsia="Calibri" w:hAnsi="Calibri" w:cs="Calibri"/>
          <w:color w:val="000000" w:themeColor="text1"/>
        </w:rPr>
        <w:t xml:space="preserve">EPA continues to upgrade its electronic reporting systems, including the CDX platform and </w:t>
      </w:r>
      <w:r w:rsidRPr="1CC48348" w:rsidR="542306BB">
        <w:rPr>
          <w:rFonts w:ascii="Calibri" w:eastAsia="Calibri" w:hAnsi="Calibri" w:cs="Calibri"/>
          <w:color w:val="000000" w:themeColor="text1"/>
        </w:rPr>
        <w:t>is actively working on updating to the most up-to-date version of IUCLID to reduce submitter’s burdens on providing electronic submissions in OHT format.</w:t>
      </w:r>
    </w:p>
    <w:p w:rsidR="006D315B" w:rsidRPr="001E7F2E" w:rsidP="004A4A78" w14:paraId="3A132E7B" w14:textId="77777777">
      <w:pPr>
        <w:pStyle w:val="Heading2"/>
        <w:numPr>
          <w:ilvl w:val="0"/>
          <w:numId w:val="0"/>
        </w:numPr>
        <w:pBdr>
          <w:top w:val="none" w:sz="0" w:space="0" w:color="auto"/>
        </w:pBdr>
        <w:rPr>
          <w:rFonts w:ascii="Calibri" w:hAnsi="Calibri" w:cs="Calibri"/>
          <w:i/>
          <w:iCs/>
        </w:rPr>
      </w:pPr>
      <w:r w:rsidRPr="001E7F2E">
        <w:rPr>
          <w:rFonts w:ascii="Calibri" w:hAnsi="Calibri" w:cs="Calibri"/>
        </w:rPr>
        <w:t>9. PAYMENTS OR GIFTS TO RESPONDENTS</w:t>
      </w:r>
      <w:r>
        <w:rPr>
          <w:rFonts w:ascii="Calibri" w:hAnsi="Calibri" w:cs="Calibri"/>
        </w:rPr>
        <w:t>:</w:t>
      </w:r>
    </w:p>
    <w:p w:rsidR="006D315B" w:rsidRPr="006D315B" w:rsidP="004A4A78" w14:paraId="0CEAEC3E" w14:textId="77777777">
      <w:pPr>
        <w:pStyle w:val="Heading2"/>
        <w:numPr>
          <w:ilvl w:val="0"/>
          <w:numId w:val="0"/>
        </w:numPr>
        <w:pBdr>
          <w:top w:val="none" w:sz="0" w:space="0" w:color="auto"/>
          <w:bottom w:val="single" w:sz="4" w:space="1" w:color="auto"/>
        </w:pBdr>
        <w:rPr>
          <w:rFonts w:ascii="Calibri" w:hAnsi="Calibri" w:cs="Calibri"/>
          <w:b w:val="0"/>
          <w:bCs w:val="0"/>
          <w:i/>
          <w:iCs/>
        </w:rPr>
      </w:pPr>
      <w:r w:rsidRPr="006D315B">
        <w:rPr>
          <w:rFonts w:ascii="Calibri" w:hAnsi="Calibri" w:cs="Calibri"/>
          <w:b w:val="0"/>
          <w:i/>
          <w:iCs/>
        </w:rPr>
        <w:t xml:space="preserve">Explain any decision to provide any payment or gift to respondents, other than remuneration of contractors or grantees. </w:t>
      </w:r>
    </w:p>
    <w:p w:rsidR="006D315B" w:rsidP="006D315B" w14:paraId="2B75CBE9" w14:textId="77777777">
      <w:pPr>
        <w:rPr>
          <w:rFonts w:ascii="Calibri" w:hAnsi="Calibri" w:cs="Calibri"/>
        </w:rPr>
      </w:pPr>
      <w:r w:rsidRPr="00E56A4F">
        <w:rPr>
          <w:rFonts w:ascii="Calibri" w:hAnsi="Calibri" w:cs="Calibri"/>
        </w:rPr>
        <w:t>No payments or gifts are provided to respondents.</w:t>
      </w:r>
    </w:p>
    <w:p w:rsidR="006D315B" w:rsidRPr="001E7F2E" w:rsidP="001724A7" w14:paraId="28E1F841" w14:textId="77777777">
      <w:pPr>
        <w:pStyle w:val="Heading2"/>
        <w:keepNext/>
        <w:keepLines/>
        <w:numPr>
          <w:ilvl w:val="0"/>
          <w:numId w:val="11"/>
        </w:numPr>
        <w:pBdr>
          <w:top w:val="none" w:sz="0" w:space="0" w:color="auto"/>
        </w:pBdr>
        <w:tabs>
          <w:tab w:val="clear" w:pos="1080"/>
        </w:tabs>
        <w:spacing w:before="240" w:after="240" w:line="259" w:lineRule="auto"/>
        <w:rPr>
          <w:rFonts w:ascii="Calibri" w:hAnsi="Calibri" w:cs="Calibri"/>
          <w:i/>
          <w:iCs/>
        </w:rPr>
      </w:pPr>
      <w:r w:rsidRPr="001E7F2E">
        <w:rPr>
          <w:rFonts w:ascii="Calibri" w:hAnsi="Calibri" w:cs="Calibri"/>
        </w:rPr>
        <w:t>PROVISIONS FOR PROTECTION OF INFORMATION:</w:t>
      </w:r>
    </w:p>
    <w:p w:rsidR="006D315B" w:rsidRPr="006D315B" w:rsidP="004A4A78" w14:paraId="7FFD9F0A" w14:textId="2034A550">
      <w:pPr>
        <w:pStyle w:val="Heading2"/>
        <w:numPr>
          <w:ilvl w:val="0"/>
          <w:numId w:val="0"/>
        </w:numPr>
        <w:pBdr>
          <w:top w:val="none" w:sz="0" w:space="0" w:color="auto"/>
          <w:bottom w:val="single" w:sz="4" w:space="1" w:color="auto"/>
        </w:pBdr>
        <w:rPr>
          <w:rFonts w:ascii="Calibri" w:hAnsi="Calibri" w:cs="Calibri"/>
          <w:b w:val="0"/>
          <w:bCs w:val="0"/>
          <w:i/>
          <w:iCs/>
        </w:rPr>
      </w:pPr>
      <w:r w:rsidRPr="006D315B">
        <w:rPr>
          <w:rFonts w:ascii="Calibri" w:hAnsi="Calibri" w:cs="Calibri"/>
          <w:b w:val="0"/>
          <w:i/>
          <w:iCs/>
        </w:rPr>
        <w:t>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00C85DBB" w:rsidP="1CC48348" w14:paraId="07DDF0BE" w14:textId="175C29CA">
      <w:pPr>
        <w:rPr>
          <w:rFonts w:asciiTheme="minorHAnsi" w:hAnsiTheme="minorHAnsi"/>
        </w:rPr>
      </w:pPr>
      <w:r w:rsidRPr="1CC48348">
        <w:rPr>
          <w:rFonts w:asciiTheme="minorHAnsi" w:hAnsiTheme="minorHAnsi"/>
        </w:rPr>
        <w:t xml:space="preserve">Any person submitting a notice to EPA under </w:t>
      </w:r>
      <w:r w:rsidRPr="1CC48348" w:rsidR="6940BAEC">
        <w:rPr>
          <w:rFonts w:asciiTheme="minorHAnsi" w:hAnsiTheme="minorHAnsi"/>
        </w:rPr>
        <w:t xml:space="preserve">TSCA </w:t>
      </w:r>
      <w:r w:rsidRPr="1CC48348">
        <w:rPr>
          <w:rFonts w:asciiTheme="minorHAnsi" w:hAnsiTheme="minorHAnsi"/>
        </w:rPr>
        <w:t xml:space="preserve">section 8(e) may assert a claim of business confidentiality covering information contained in the submission. Any information covered by a claim will be disclosed by EPA only to the extent and by means of the procedures set forth at 40 CFR Part 2. If no confidentiality claim accompanies a </w:t>
      </w:r>
      <w:r w:rsidRPr="1CC48348" w:rsidR="6E207303">
        <w:rPr>
          <w:rFonts w:asciiTheme="minorHAnsi" w:hAnsiTheme="minorHAnsi"/>
        </w:rPr>
        <w:t xml:space="preserve">TSCA </w:t>
      </w:r>
      <w:r w:rsidRPr="1CC48348">
        <w:rPr>
          <w:rFonts w:asciiTheme="minorHAnsi" w:hAnsiTheme="minorHAnsi"/>
        </w:rPr>
        <w:t xml:space="preserve">section 8(e) notice, the submission is </w:t>
      </w:r>
      <w:r w:rsidRPr="1CC48348" w:rsidR="247BA50F">
        <w:rPr>
          <w:rFonts w:asciiTheme="minorHAnsi" w:hAnsiTheme="minorHAnsi"/>
        </w:rPr>
        <w:t>uploaded to ChemView</w:t>
      </w:r>
      <w:r w:rsidRPr="1CC48348">
        <w:rPr>
          <w:rFonts w:asciiTheme="minorHAnsi" w:hAnsiTheme="minorHAnsi"/>
        </w:rPr>
        <w:t xml:space="preserve"> and is available to the public without further notice to the submitting organization. The Agency has established and actively implements well-publicized standard procedures for the handling and safeguarding of information claimed as TSCA Confidential Business Information (TSCA CBI).</w:t>
      </w:r>
    </w:p>
    <w:p w:rsidR="004A4A78" w:rsidRPr="009343BA" w:rsidP="004A4A78" w14:paraId="373F758A" w14:textId="77777777">
      <w:pPr>
        <w:pStyle w:val="Heading2"/>
        <w:numPr>
          <w:ilvl w:val="0"/>
          <w:numId w:val="0"/>
        </w:numPr>
        <w:pBdr>
          <w:top w:val="none" w:sz="0" w:space="0" w:color="auto"/>
        </w:pBdr>
        <w:rPr>
          <w:rFonts w:ascii="Calibri" w:hAnsi="Calibri" w:cs="Calibri"/>
          <w:i/>
          <w:iCs/>
        </w:rPr>
      </w:pPr>
      <w:r w:rsidRPr="009343BA">
        <w:rPr>
          <w:rFonts w:ascii="Calibri" w:hAnsi="Calibri" w:cs="Calibri"/>
        </w:rPr>
        <w:t>11. JUSTIFICATION FOR SENSITIVE QUESTIONS:</w:t>
      </w:r>
    </w:p>
    <w:p w:rsidR="004A4A78" w:rsidRPr="004A4A78" w:rsidP="004A4A78" w14:paraId="188D01EE" w14:textId="77777777">
      <w:pPr>
        <w:pStyle w:val="Heading2"/>
        <w:numPr>
          <w:ilvl w:val="0"/>
          <w:numId w:val="0"/>
        </w:numPr>
        <w:pBdr>
          <w:top w:val="none" w:sz="0" w:space="0" w:color="auto"/>
          <w:bottom w:val="single" w:sz="4" w:space="1" w:color="auto"/>
        </w:pBdr>
        <w:rPr>
          <w:rFonts w:ascii="Calibri" w:hAnsi="Calibri" w:cs="Calibri"/>
          <w:b w:val="0"/>
          <w:bCs w:val="0"/>
          <w:i/>
          <w:iCs/>
        </w:rPr>
      </w:pPr>
      <w:r w:rsidRPr="004A4A78">
        <w:rPr>
          <w:rFonts w:ascii="Calibri" w:hAnsi="Calibri" w:cs="Calibri"/>
          <w:b w:val="0"/>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A4A78" w:rsidRPr="004A4A78" w:rsidP="004A4A78" w14:paraId="1DA0A750" w14:textId="2B156C8C">
      <w:pPr>
        <w:pStyle w:val="BodyText"/>
        <w:spacing w:line="276" w:lineRule="auto"/>
        <w:ind w:right="749"/>
        <w:rPr>
          <w:rFonts w:ascii="Calibri" w:hAnsi="Calibri" w:cs="Calibri"/>
        </w:rPr>
      </w:pPr>
      <w:r w:rsidRPr="00E218E2">
        <w:rPr>
          <w:rFonts w:ascii="Calibri" w:hAnsi="Calibri" w:cs="Calibri"/>
        </w:rPr>
        <w:t>The information collection activities do not include questions of a sensitive nature.</w:t>
      </w:r>
    </w:p>
    <w:p w:rsidR="004A4A78" w:rsidRPr="009343BA" w:rsidP="004A4A78" w14:paraId="3196C173" w14:textId="77777777">
      <w:pPr>
        <w:pStyle w:val="Heading2"/>
        <w:numPr>
          <w:ilvl w:val="0"/>
          <w:numId w:val="0"/>
        </w:numPr>
        <w:pBdr>
          <w:top w:val="none" w:sz="0" w:space="0" w:color="auto"/>
        </w:pBdr>
        <w:spacing w:after="0"/>
        <w:rPr>
          <w:rFonts w:ascii="Calibri" w:hAnsi="Calibri" w:cs="Calibri"/>
          <w:i/>
          <w:iCs/>
        </w:rPr>
      </w:pPr>
      <w:r w:rsidRPr="009343BA">
        <w:rPr>
          <w:rFonts w:ascii="Calibri" w:hAnsi="Calibri" w:cs="Calibri"/>
        </w:rPr>
        <w:t>12. RESPONDENT BURDEN HOURS AND LABOUR COSTS:</w:t>
      </w:r>
    </w:p>
    <w:p w:rsidR="004A4A78" w:rsidRPr="004A4A78" w:rsidP="004A4A78" w14:paraId="233F14C9" w14:textId="77777777">
      <w:pPr>
        <w:pStyle w:val="Heading2"/>
        <w:numPr>
          <w:ilvl w:val="0"/>
          <w:numId w:val="0"/>
        </w:numPr>
        <w:pBdr>
          <w:top w:val="none" w:sz="0" w:space="0" w:color="auto"/>
        </w:pBdr>
        <w:spacing w:after="0"/>
        <w:rPr>
          <w:rFonts w:ascii="Calibri" w:hAnsi="Calibri" w:cs="Calibri"/>
          <w:b w:val="0"/>
          <w:bCs w:val="0"/>
          <w:i/>
          <w:iCs/>
        </w:rPr>
      </w:pPr>
      <w:r w:rsidRPr="004A4A78">
        <w:rPr>
          <w:rFonts w:ascii="Calibri" w:hAnsi="Calibri" w:cs="Calibri"/>
          <w:b w:val="0"/>
          <w:i/>
          <w:iCs/>
        </w:rPr>
        <w:t>Provide estimates of the hour burden of the collection of information.</w:t>
      </w:r>
    </w:p>
    <w:p w:rsidR="004A4A78" w:rsidRPr="009343BA" w:rsidP="001724A7" w14:paraId="460D21E2" w14:textId="77777777">
      <w:pPr>
        <w:pStyle w:val="ListParagraph"/>
        <w:numPr>
          <w:ilvl w:val="0"/>
          <w:numId w:val="12"/>
        </w:numPr>
        <w:spacing w:line="240" w:lineRule="auto"/>
        <w:contextualSpacing w:val="0"/>
        <w:rPr>
          <w:rFonts w:ascii="Calibri" w:hAnsi="Calibri" w:eastAsiaTheme="majorEastAsia" w:cs="Calibri"/>
          <w:bCs/>
          <w:i/>
          <w:iCs/>
        </w:rPr>
      </w:pPr>
      <w:r w:rsidRPr="009343BA">
        <w:rPr>
          <w:rFonts w:ascii="Calibri" w:hAnsi="Calibri" w:eastAsiaTheme="majorEastAsia" w:cs="Calibri"/>
          <w:bCs/>
          <w:i/>
          <w:iCs/>
        </w:rPr>
        <w:t>Indicate the number of respondents, frequency of response, annual hour burden, and an explanation of how the burden was estimated.</w:t>
      </w:r>
    </w:p>
    <w:p w:rsidR="004A4A78" w:rsidP="001724A7" w14:paraId="00D9C428" w14:textId="77777777">
      <w:pPr>
        <w:pStyle w:val="ListParagraph"/>
        <w:numPr>
          <w:ilvl w:val="0"/>
          <w:numId w:val="12"/>
        </w:numPr>
        <w:spacing w:line="240" w:lineRule="auto"/>
        <w:contextualSpacing w:val="0"/>
        <w:rPr>
          <w:rFonts w:ascii="Calibri" w:hAnsi="Calibri" w:eastAsiaTheme="majorEastAsia" w:cs="Calibri"/>
          <w:bCs/>
          <w:i/>
          <w:iCs/>
        </w:rPr>
      </w:pPr>
      <w:r w:rsidRPr="009343BA">
        <w:rPr>
          <w:rFonts w:ascii="Calibri" w:hAnsi="Calibri" w:eastAsiaTheme="majorEastAsia" w:cs="Calibri"/>
          <w:bCs/>
          <w:i/>
          <w:iCs/>
        </w:rPr>
        <w:t xml:space="preserve">If this request for approval covers more than one form, provide separate hour burden estimates for each form and the aggregate the hour burdens. </w:t>
      </w:r>
    </w:p>
    <w:p w:rsidR="004A4A78" w:rsidP="001724A7" w14:paraId="3D46D8F8" w14:textId="77777777">
      <w:pPr>
        <w:pStyle w:val="ListParagraph"/>
        <w:numPr>
          <w:ilvl w:val="0"/>
          <w:numId w:val="12"/>
        </w:numPr>
        <w:pBdr>
          <w:bottom w:val="single" w:sz="6" w:space="1" w:color="auto"/>
        </w:pBdr>
        <w:spacing w:line="240" w:lineRule="auto"/>
        <w:contextualSpacing w:val="0"/>
        <w:rPr>
          <w:rFonts w:ascii="Calibri" w:hAnsi="Calibri" w:eastAsiaTheme="majorEastAsia" w:cs="Calibri"/>
          <w:bCs/>
          <w:i/>
          <w:iCs/>
        </w:rPr>
      </w:pPr>
      <w:r w:rsidRPr="009343BA">
        <w:rPr>
          <w:rFonts w:ascii="Calibri" w:hAnsi="Calibri" w:eastAsiaTheme="majorEastAsia" w:cs="Calibri"/>
          <w:bCs/>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p>
    <w:p w:rsidR="004A4A78" w:rsidP="004A4A78" w14:paraId="7F18E8EB" w14:textId="77777777">
      <w:pPr>
        <w:pStyle w:val="Heading2"/>
        <w:numPr>
          <w:ilvl w:val="0"/>
          <w:numId w:val="0"/>
        </w:numPr>
        <w:pBdr>
          <w:top w:val="none" w:sz="0" w:space="0" w:color="auto"/>
        </w:pBdr>
        <w:spacing w:after="160"/>
        <w:rPr>
          <w:rFonts w:ascii="Calibri" w:hAnsi="Calibri" w:cs="Calibri"/>
          <w:bCs w:val="0"/>
          <w:i/>
          <w:iCs/>
          <w:color w:val="000000" w:themeColor="text1"/>
          <w:sz w:val="22"/>
        </w:rPr>
      </w:pPr>
      <w:r w:rsidRPr="009343BA">
        <w:rPr>
          <w:rFonts w:ascii="Calibri" w:hAnsi="Calibri" w:cs="Calibri"/>
          <w:color w:val="000000" w:themeColor="text1"/>
          <w:sz w:val="22"/>
        </w:rPr>
        <w:t>12a. RESPONDENTS/NAICS CODES</w:t>
      </w:r>
    </w:p>
    <w:p w:rsidR="008C2B73" w:rsidP="1CC48348" w14:paraId="3685B616" w14:textId="0BBAB888">
      <w:pPr>
        <w:rPr>
          <w:rFonts w:asciiTheme="minorHAnsi" w:hAnsiTheme="minorHAnsi"/>
        </w:rPr>
      </w:pPr>
      <w:r w:rsidRPr="1CC48348">
        <w:rPr>
          <w:rFonts w:asciiTheme="minorHAnsi" w:hAnsiTheme="minorHAnsi"/>
        </w:rPr>
        <w:t xml:space="preserve">A statutory </w:t>
      </w:r>
      <w:r w:rsidRPr="1CC48348" w:rsidR="645AD24F">
        <w:rPr>
          <w:rFonts w:asciiTheme="minorHAnsi" w:hAnsiTheme="minorHAnsi"/>
        </w:rPr>
        <w:t xml:space="preserve">TSCA </w:t>
      </w:r>
      <w:r w:rsidRPr="1CC48348">
        <w:rPr>
          <w:rFonts w:asciiTheme="minorHAnsi" w:hAnsiTheme="minorHAnsi"/>
        </w:rPr>
        <w:t>section 8(e) reporting obligation can be incurred by any person who manufactures, imports, processes</w:t>
      </w:r>
      <w:r w:rsidRPr="1CC48348" w:rsidR="5D25ED40">
        <w:rPr>
          <w:rFonts w:asciiTheme="minorHAnsi" w:hAnsiTheme="minorHAnsi"/>
        </w:rPr>
        <w:t>,</w:t>
      </w:r>
      <w:r w:rsidRPr="1CC48348">
        <w:rPr>
          <w:rFonts w:asciiTheme="minorHAnsi" w:hAnsiTheme="minorHAnsi"/>
        </w:rPr>
        <w:t xml:space="preserve"> or distributes a TSCA-covered chemical substance or mixture. EPA’s </w:t>
      </w:r>
      <w:r w:rsidRPr="1CC48348" w:rsidR="19AFBB0F">
        <w:rPr>
          <w:rFonts w:asciiTheme="minorHAnsi" w:hAnsiTheme="minorHAnsi"/>
        </w:rPr>
        <w:t xml:space="preserve">TSCA </w:t>
      </w:r>
      <w:r w:rsidRPr="1CC48348">
        <w:rPr>
          <w:rFonts w:asciiTheme="minorHAnsi" w:hAnsiTheme="minorHAnsi"/>
        </w:rPr>
        <w:t xml:space="preserve">Section 8(e) Policy Statement defines the term “person” broadly to include “any natural person, corporation, firm, company, joint-venture, partnership, sole proprietorship, association, or any other business entity, any State or political subdivision thereof, any municipality, any interstate body and any department, agency, instrumentality of the Federal Government.”  Although this definition is quite broad in terms of subject persons, </w:t>
      </w:r>
      <w:r w:rsidRPr="1CC48348" w:rsidR="5709B477">
        <w:rPr>
          <w:rFonts w:asciiTheme="minorHAnsi" w:hAnsiTheme="minorHAnsi"/>
        </w:rPr>
        <w:t xml:space="preserve">TSCA </w:t>
      </w:r>
      <w:r w:rsidRPr="1CC48348">
        <w:rPr>
          <w:rFonts w:asciiTheme="minorHAnsi" w:hAnsiTheme="minorHAnsi"/>
        </w:rPr>
        <w:t xml:space="preserve">section 8(e) reporting obligations are most typically incurred by companies engaged in activities classified by </w:t>
      </w:r>
      <w:r w:rsidRPr="1CC48348" w:rsidR="00617730">
        <w:rPr>
          <w:rFonts w:asciiTheme="minorHAnsi" w:hAnsiTheme="minorHAnsi"/>
        </w:rPr>
        <w:t>the North American Industrial Classification System (</w:t>
      </w:r>
      <w:r w:rsidRPr="1CC48348">
        <w:rPr>
          <w:rFonts w:asciiTheme="minorHAnsi" w:hAnsiTheme="minorHAnsi"/>
        </w:rPr>
        <w:t>NAICS</w:t>
      </w:r>
      <w:r w:rsidRPr="1CC48348" w:rsidR="00617730">
        <w:rPr>
          <w:rFonts w:asciiTheme="minorHAnsi" w:hAnsiTheme="minorHAnsi"/>
        </w:rPr>
        <w:t>)</w:t>
      </w:r>
      <w:r w:rsidRPr="1CC48348">
        <w:rPr>
          <w:rFonts w:asciiTheme="minorHAnsi" w:hAnsiTheme="minorHAnsi"/>
        </w:rPr>
        <w:t xml:space="preserve"> Codes 325 - </w:t>
      </w:r>
      <w:r w:rsidRPr="1CC48348">
        <w:rPr>
          <w:rFonts w:asciiTheme="minorHAnsi" w:hAnsiTheme="minorHAnsi"/>
        </w:rPr>
        <w:t>Chemicals and Allied Products Manufacturers and 32411- Petroleum and Coal Products Manufacturing.</w:t>
      </w:r>
    </w:p>
    <w:p w:rsidR="004A4A78" w:rsidP="004A4A78" w14:paraId="24F54FBD" w14:textId="77777777">
      <w:pPr>
        <w:pStyle w:val="Heading2"/>
        <w:numPr>
          <w:ilvl w:val="0"/>
          <w:numId w:val="0"/>
        </w:numPr>
        <w:pBdr>
          <w:top w:val="none" w:sz="0" w:space="0" w:color="auto"/>
        </w:pBdr>
        <w:spacing w:after="160"/>
        <w:rPr>
          <w:rFonts w:ascii="Calibri" w:hAnsi="Calibri" w:cs="Calibri"/>
          <w:bCs w:val="0"/>
          <w:i/>
          <w:iCs/>
          <w:color w:val="000000" w:themeColor="text1"/>
          <w:sz w:val="22"/>
        </w:rPr>
      </w:pPr>
      <w:r w:rsidRPr="009343BA">
        <w:rPr>
          <w:rFonts w:ascii="Calibri" w:hAnsi="Calibri" w:cs="Calibri"/>
          <w:color w:val="000000" w:themeColor="text1"/>
          <w:sz w:val="22"/>
        </w:rPr>
        <w:t>12b.</w:t>
      </w:r>
      <w:r w:rsidRPr="009343BA">
        <w:rPr>
          <w:rFonts w:ascii="Calibri" w:hAnsi="Calibri" w:cs="Calibri"/>
          <w:sz w:val="22"/>
        </w:rPr>
        <w:t xml:space="preserve"> </w:t>
      </w:r>
      <w:r w:rsidRPr="009343BA">
        <w:rPr>
          <w:rFonts w:ascii="Calibri" w:hAnsi="Calibri" w:cs="Calibri"/>
          <w:color w:val="000000" w:themeColor="text1"/>
          <w:sz w:val="22"/>
        </w:rPr>
        <w:t>INFORMATION REQUESTED</w:t>
      </w:r>
    </w:p>
    <w:p w:rsidR="00C85DBB" w:rsidRPr="004A169C" w:rsidP="1CC48348" w14:paraId="34A59656" w14:textId="3BB7D2E2">
      <w:pPr>
        <w:rPr>
          <w:rFonts w:asciiTheme="minorHAnsi" w:hAnsiTheme="minorHAnsi"/>
        </w:rPr>
      </w:pPr>
      <w:r w:rsidRPr="1CC48348">
        <w:rPr>
          <w:rFonts w:asciiTheme="minorHAnsi" w:hAnsiTheme="minorHAnsi"/>
        </w:rPr>
        <w:t xml:space="preserve">There is no required collection instrument or reporting form on which </w:t>
      </w:r>
      <w:r w:rsidRPr="1CC48348" w:rsidR="649890BB">
        <w:rPr>
          <w:rFonts w:asciiTheme="minorHAnsi" w:hAnsiTheme="minorHAnsi"/>
        </w:rPr>
        <w:t xml:space="preserve">TSCA </w:t>
      </w:r>
      <w:r w:rsidRPr="1CC48348">
        <w:rPr>
          <w:rFonts w:asciiTheme="minorHAnsi" w:hAnsiTheme="minorHAnsi"/>
        </w:rPr>
        <w:t>section 8(e) information must be submitted to EPA</w:t>
      </w:r>
      <w:r w:rsidRPr="1CC48348" w:rsidR="06E8EE51">
        <w:rPr>
          <w:rFonts w:asciiTheme="minorHAnsi" w:hAnsiTheme="minorHAnsi"/>
        </w:rPr>
        <w:t>.</w:t>
      </w:r>
      <w:r w:rsidRPr="1CC48348">
        <w:rPr>
          <w:rFonts w:asciiTheme="minorHAnsi" w:hAnsiTheme="minorHAnsi"/>
        </w:rPr>
        <w:t xml:space="preserve"> </w:t>
      </w:r>
      <w:r w:rsidRPr="1CC48348" w:rsidR="331AC31B">
        <w:rPr>
          <w:rFonts w:asciiTheme="minorHAnsi" w:hAnsiTheme="minorHAnsi"/>
        </w:rPr>
        <w:t>T</w:t>
      </w:r>
      <w:r w:rsidRPr="1CC48348">
        <w:rPr>
          <w:rFonts w:asciiTheme="minorHAnsi" w:hAnsiTheme="minorHAnsi"/>
        </w:rPr>
        <w:t xml:space="preserve">he </w:t>
      </w:r>
      <w:r w:rsidRPr="1CC48348" w:rsidR="2966E6BB">
        <w:rPr>
          <w:rFonts w:asciiTheme="minorHAnsi" w:hAnsiTheme="minorHAnsi"/>
        </w:rPr>
        <w:t xml:space="preserve">TSCA </w:t>
      </w:r>
      <w:r w:rsidRPr="1CC48348">
        <w:rPr>
          <w:rFonts w:asciiTheme="minorHAnsi" w:hAnsiTheme="minorHAnsi"/>
        </w:rPr>
        <w:t xml:space="preserve">Section 8(e) Policy Statement requires all respondents to ensure that a written </w:t>
      </w:r>
      <w:r w:rsidRPr="1CC48348" w:rsidR="56851AFA">
        <w:rPr>
          <w:rFonts w:asciiTheme="minorHAnsi" w:hAnsiTheme="minorHAnsi"/>
        </w:rPr>
        <w:t xml:space="preserve">TSCA </w:t>
      </w:r>
      <w:r w:rsidRPr="1CC48348">
        <w:rPr>
          <w:rFonts w:asciiTheme="minorHAnsi" w:hAnsiTheme="minorHAnsi"/>
        </w:rPr>
        <w:t>section 8(e) notice:</w:t>
      </w:r>
    </w:p>
    <w:p w:rsidR="00C85DBB" w:rsidRPr="004A169C" w:rsidP="001724A7" w14:paraId="464C59E3" w14:textId="77777777">
      <w:pPr>
        <w:numPr>
          <w:ilvl w:val="0"/>
          <w:numId w:val="7"/>
        </w:numPr>
        <w:autoSpaceDE w:val="0"/>
        <w:autoSpaceDN w:val="0"/>
        <w:adjustRightInd w:val="0"/>
        <w:spacing w:after="0" w:line="240" w:lineRule="auto"/>
        <w:rPr>
          <w:rFonts w:asciiTheme="minorHAnsi" w:hAnsiTheme="minorHAnsi" w:cstheme="minorHAnsi"/>
          <w:szCs w:val="24"/>
        </w:rPr>
      </w:pPr>
      <w:r w:rsidRPr="004A169C">
        <w:rPr>
          <w:rFonts w:asciiTheme="minorHAnsi" w:hAnsiTheme="minorHAnsi" w:cstheme="minorHAnsi"/>
          <w:szCs w:val="24"/>
        </w:rPr>
        <w:t>is sent to EPA by a method verifying the Agency’s receipt;</w:t>
      </w:r>
    </w:p>
    <w:p w:rsidR="00C85DBB" w:rsidRPr="004A169C" w:rsidP="001724A7" w14:paraId="7A2126DD" w14:textId="0F69E2AD">
      <w:pPr>
        <w:numPr>
          <w:ilvl w:val="0"/>
          <w:numId w:val="7"/>
        </w:numPr>
        <w:autoSpaceDE w:val="0"/>
        <w:autoSpaceDN w:val="0"/>
        <w:adjustRightInd w:val="0"/>
        <w:spacing w:after="0" w:line="240" w:lineRule="auto"/>
        <w:rPr>
          <w:rFonts w:asciiTheme="minorHAnsi" w:hAnsiTheme="minorHAnsi"/>
        </w:rPr>
      </w:pPr>
      <w:r w:rsidRPr="1CC48348">
        <w:rPr>
          <w:rFonts w:asciiTheme="minorHAnsi" w:hAnsiTheme="minorHAnsi"/>
        </w:rPr>
        <w:t xml:space="preserve">states that it is being submitted under </w:t>
      </w:r>
      <w:r w:rsidRPr="1CC48348" w:rsidR="6926074F">
        <w:rPr>
          <w:rFonts w:asciiTheme="minorHAnsi" w:hAnsiTheme="minorHAnsi"/>
        </w:rPr>
        <w:t xml:space="preserve">TSCA </w:t>
      </w:r>
      <w:r w:rsidRPr="1CC48348">
        <w:rPr>
          <w:rFonts w:asciiTheme="minorHAnsi" w:hAnsiTheme="minorHAnsi"/>
        </w:rPr>
        <w:t>section 8(e);</w:t>
      </w:r>
    </w:p>
    <w:p w:rsidR="00C85DBB" w:rsidRPr="004A169C" w:rsidP="001724A7" w14:paraId="64DCDE79" w14:textId="77777777">
      <w:pPr>
        <w:numPr>
          <w:ilvl w:val="0"/>
          <w:numId w:val="7"/>
        </w:numPr>
        <w:autoSpaceDE w:val="0"/>
        <w:autoSpaceDN w:val="0"/>
        <w:adjustRightInd w:val="0"/>
        <w:spacing w:after="0" w:line="240" w:lineRule="auto"/>
        <w:rPr>
          <w:rFonts w:asciiTheme="minorHAnsi" w:hAnsiTheme="minorHAnsi" w:cstheme="minorHAnsi"/>
          <w:szCs w:val="24"/>
        </w:rPr>
      </w:pPr>
      <w:r w:rsidRPr="004A169C">
        <w:rPr>
          <w:rFonts w:asciiTheme="minorHAnsi" w:hAnsiTheme="minorHAnsi" w:cstheme="minorHAnsi"/>
          <w:szCs w:val="24"/>
        </w:rPr>
        <w:t>contains the name, address, job title, phone number and signature of the person reporting, and the name and address of the establishment with which the person is associated;</w:t>
      </w:r>
    </w:p>
    <w:p w:rsidR="00C85DBB" w:rsidRPr="004A169C" w:rsidP="001724A7" w14:paraId="084FC145" w14:textId="77777777">
      <w:pPr>
        <w:numPr>
          <w:ilvl w:val="0"/>
          <w:numId w:val="7"/>
        </w:numPr>
        <w:autoSpaceDE w:val="0"/>
        <w:autoSpaceDN w:val="0"/>
        <w:adjustRightInd w:val="0"/>
        <w:spacing w:after="0" w:line="240" w:lineRule="auto"/>
        <w:rPr>
          <w:rFonts w:asciiTheme="minorHAnsi" w:hAnsiTheme="minorHAnsi" w:cstheme="minorHAnsi"/>
          <w:szCs w:val="24"/>
        </w:rPr>
      </w:pPr>
      <w:r w:rsidRPr="004A169C">
        <w:rPr>
          <w:rFonts w:asciiTheme="minorHAnsi" w:hAnsiTheme="minorHAnsi" w:cstheme="minorHAnsi"/>
          <w:szCs w:val="24"/>
        </w:rPr>
        <w:t>identifies the chemical substance(s) or mixture including, if known, the Chemical Abstract Service (CAS) Registry Number(s);</w:t>
      </w:r>
    </w:p>
    <w:p w:rsidR="00C85DBB" w:rsidRPr="004A169C" w:rsidP="001724A7" w14:paraId="76B62A76" w14:textId="77777777">
      <w:pPr>
        <w:numPr>
          <w:ilvl w:val="0"/>
          <w:numId w:val="7"/>
        </w:numPr>
        <w:autoSpaceDE w:val="0"/>
        <w:autoSpaceDN w:val="0"/>
        <w:adjustRightInd w:val="0"/>
        <w:spacing w:after="0" w:line="240" w:lineRule="auto"/>
        <w:rPr>
          <w:rFonts w:asciiTheme="minorHAnsi" w:hAnsiTheme="minorHAnsi" w:cstheme="minorHAnsi"/>
          <w:szCs w:val="24"/>
        </w:rPr>
      </w:pPr>
      <w:r w:rsidRPr="004A169C">
        <w:rPr>
          <w:rFonts w:asciiTheme="minorHAnsi" w:hAnsiTheme="minorHAnsi" w:cstheme="minorHAnsi"/>
          <w:szCs w:val="24"/>
        </w:rPr>
        <w:t>summarizes adverse health/environmental effects being reported including a description of the nature and extent of the risk; and</w:t>
      </w:r>
    </w:p>
    <w:p w:rsidR="008C2B73" w:rsidRPr="004A169C" w:rsidP="001724A7" w14:paraId="63C60E78" w14:textId="11880A96">
      <w:pPr>
        <w:numPr>
          <w:ilvl w:val="0"/>
          <w:numId w:val="7"/>
        </w:numPr>
        <w:autoSpaceDE w:val="0"/>
        <w:autoSpaceDN w:val="0"/>
        <w:adjustRightInd w:val="0"/>
        <w:spacing w:after="0" w:line="240" w:lineRule="auto"/>
        <w:rPr>
          <w:rFonts w:asciiTheme="minorHAnsi" w:hAnsiTheme="minorHAnsi" w:cstheme="minorHAnsi"/>
          <w:szCs w:val="24"/>
        </w:rPr>
      </w:pPr>
      <w:r w:rsidRPr="004A169C">
        <w:rPr>
          <w:rFonts w:asciiTheme="minorHAnsi" w:hAnsiTheme="minorHAnsi" w:cstheme="minorHAnsi"/>
          <w:szCs w:val="24"/>
        </w:rPr>
        <w:t>contains the specific source/summary of the supporting data.</w:t>
      </w:r>
    </w:p>
    <w:p w:rsidR="00474B46" w:rsidRPr="004A169C" w:rsidP="00474B46" w14:paraId="2B0ACA80" w14:textId="77777777">
      <w:pPr>
        <w:autoSpaceDE w:val="0"/>
        <w:autoSpaceDN w:val="0"/>
        <w:adjustRightInd w:val="0"/>
        <w:spacing w:after="0" w:line="240" w:lineRule="auto"/>
        <w:ind w:left="1080"/>
        <w:rPr>
          <w:rFonts w:asciiTheme="minorHAnsi" w:hAnsiTheme="minorHAnsi" w:cstheme="minorHAnsi"/>
          <w:szCs w:val="24"/>
        </w:rPr>
      </w:pPr>
    </w:p>
    <w:p w:rsidR="00C85DBB" w:rsidRPr="004A169C" w:rsidP="1CC48348" w14:paraId="12D4B119" w14:textId="311DFE01">
      <w:pPr>
        <w:rPr>
          <w:rFonts w:asciiTheme="minorHAnsi" w:hAnsiTheme="minorHAnsi"/>
        </w:rPr>
      </w:pPr>
      <w:r w:rsidRPr="1CC48348">
        <w:rPr>
          <w:rFonts w:asciiTheme="minorHAnsi" w:hAnsiTheme="minorHAnsi"/>
        </w:rPr>
        <w:t>EPA is continuing its efforts to implement optional electronic reporting</w:t>
      </w:r>
      <w:r w:rsidRPr="1CC48348">
        <w:rPr>
          <w:rFonts w:asciiTheme="minorHAnsi" w:hAnsiTheme="minorHAnsi"/>
          <w:color w:val="FF0000"/>
        </w:rPr>
        <w:t xml:space="preserve"> </w:t>
      </w:r>
      <w:r w:rsidRPr="1CC48348">
        <w:rPr>
          <w:rFonts w:asciiTheme="minorHAnsi" w:hAnsiTheme="minorHAnsi"/>
        </w:rPr>
        <w:t xml:space="preserve">of </w:t>
      </w:r>
      <w:r w:rsidRPr="1CC48348" w:rsidR="65F8B2EB">
        <w:rPr>
          <w:rFonts w:asciiTheme="minorHAnsi" w:hAnsiTheme="minorHAnsi"/>
        </w:rPr>
        <w:t xml:space="preserve">TSCA </w:t>
      </w:r>
      <w:r w:rsidRPr="1CC48348">
        <w:rPr>
          <w:rFonts w:asciiTheme="minorHAnsi" w:hAnsiTheme="minorHAnsi"/>
        </w:rPr>
        <w:t xml:space="preserve">section 8(e) submissions and FYIs to increase processing efficiency for both the Agency and the regulated community. With the TSCA e-reporting initiative in place for other information collections, submitters of </w:t>
      </w:r>
      <w:r w:rsidRPr="1CC48348" w:rsidR="1F95B59D">
        <w:rPr>
          <w:rFonts w:asciiTheme="minorHAnsi" w:hAnsiTheme="minorHAnsi"/>
        </w:rPr>
        <w:t xml:space="preserve">TSCA </w:t>
      </w:r>
      <w:r w:rsidRPr="1CC48348">
        <w:rPr>
          <w:rFonts w:asciiTheme="minorHAnsi" w:hAnsiTheme="minorHAnsi"/>
        </w:rPr>
        <w:t xml:space="preserve">section 8(e) information have taken advantage of the new reporting option with virtually all reports submitted via CDX. The option to submit </w:t>
      </w:r>
      <w:r w:rsidRPr="1CC48348" w:rsidR="0315CF19">
        <w:rPr>
          <w:rFonts w:asciiTheme="minorHAnsi" w:hAnsiTheme="minorHAnsi"/>
        </w:rPr>
        <w:t xml:space="preserve">TSCA </w:t>
      </w:r>
      <w:r w:rsidRPr="1CC48348">
        <w:rPr>
          <w:rFonts w:asciiTheme="minorHAnsi" w:hAnsiTheme="minorHAnsi"/>
        </w:rPr>
        <w:t>section 8(e) notices and FYIs electronically using the CIS</w:t>
      </w:r>
      <w:r w:rsidRPr="1CC48348" w:rsidR="0FECCF45">
        <w:rPr>
          <w:rFonts w:asciiTheme="minorHAnsi" w:hAnsiTheme="minorHAnsi"/>
        </w:rPr>
        <w:t>S</w:t>
      </w:r>
      <w:r w:rsidRPr="1CC48348">
        <w:rPr>
          <w:rFonts w:asciiTheme="minorHAnsi" w:hAnsiTheme="minorHAnsi"/>
        </w:rPr>
        <w:t xml:space="preserve"> reporting tool and electronic submission via CDX changes the way that companies interact with </w:t>
      </w:r>
      <w:r w:rsidRPr="1CC48348" w:rsidR="00C8EAB0">
        <w:rPr>
          <w:rFonts w:asciiTheme="minorHAnsi" w:hAnsiTheme="minorHAnsi"/>
        </w:rPr>
        <w:t>EP</w:t>
      </w:r>
      <w:r w:rsidRPr="1CC48348">
        <w:rPr>
          <w:rFonts w:asciiTheme="minorHAnsi" w:hAnsiTheme="minorHAnsi"/>
        </w:rPr>
        <w:t>A. Companies are registered with EPA to submit their data electronically to the Agency via CDX</w:t>
      </w:r>
      <w:r w:rsidRPr="1CC48348" w:rsidR="57AD9D11">
        <w:rPr>
          <w:rFonts w:asciiTheme="minorHAnsi" w:hAnsiTheme="minorHAnsi"/>
        </w:rPr>
        <w:t>.</w:t>
      </w:r>
      <w:r w:rsidRPr="1CC48348">
        <w:rPr>
          <w:rFonts w:asciiTheme="minorHAnsi" w:hAnsiTheme="minorHAnsi"/>
        </w:rPr>
        <w:t xml:space="preserve"> </w:t>
      </w:r>
      <w:r w:rsidRPr="1CC48348" w:rsidR="1061BF4C">
        <w:rPr>
          <w:rFonts w:asciiTheme="minorHAnsi" w:hAnsiTheme="minorHAnsi"/>
        </w:rPr>
        <w:t>T</w:t>
      </w:r>
      <w:r w:rsidRPr="1CC48348">
        <w:rPr>
          <w:rFonts w:asciiTheme="minorHAnsi" w:hAnsiTheme="minorHAnsi"/>
        </w:rPr>
        <w:t xml:space="preserve">he Agency in turn is able to communicate back electronically with submitters. This promotes efficiency in communications and cost savings in submissions and correspondence. EPA believes the adoption of electronic communications reduces the reporting burden on industry by reducing both the cost and the time required to review, edit and transmit data to the Agency. All information sent via CDX is transmitted securely to protect CBI. Furthermore, if anything in the submission has been claimed CBI, a sanitized copy of the notice must be provided by the submitter. The Agency also benefits from receiving electronic submissions. Data systems that previously were populated manually are now populated electronically, reducing the potential for human error that exists when data are entered by hand. </w:t>
      </w:r>
      <w:r w:rsidRPr="1CC48348" w:rsidR="0F46F845">
        <w:rPr>
          <w:rFonts w:asciiTheme="minorHAnsi" w:hAnsiTheme="minorHAnsi"/>
        </w:rPr>
        <w:t>EP</w:t>
      </w:r>
      <w:r w:rsidRPr="1CC48348">
        <w:rPr>
          <w:rFonts w:asciiTheme="minorHAnsi" w:hAnsiTheme="minorHAnsi"/>
        </w:rPr>
        <w:t xml:space="preserve">A personnel are also able to communicate more efficiently with submitters electronically, compared to using U.S. mail. </w:t>
      </w:r>
    </w:p>
    <w:p w:rsidR="008C2B73" w:rsidRPr="004A169C" w:rsidP="1CC48348" w14:paraId="43CAE824" w14:textId="2AC781BE">
      <w:pPr>
        <w:rPr>
          <w:rFonts w:asciiTheme="minorHAnsi" w:hAnsiTheme="minorHAnsi"/>
        </w:rPr>
      </w:pPr>
      <w:r w:rsidRPr="1CC48348">
        <w:rPr>
          <w:rFonts w:asciiTheme="minorHAnsi" w:hAnsiTheme="minorHAnsi"/>
        </w:rPr>
        <w:t xml:space="preserve">The overall purpose of </w:t>
      </w:r>
      <w:r w:rsidRPr="1CC48348" w:rsidR="1F708368">
        <w:rPr>
          <w:rFonts w:asciiTheme="minorHAnsi" w:hAnsiTheme="minorHAnsi"/>
        </w:rPr>
        <w:t xml:space="preserve">TSCA </w:t>
      </w:r>
      <w:r w:rsidRPr="1CC48348">
        <w:rPr>
          <w:rFonts w:asciiTheme="minorHAnsi" w:hAnsiTheme="minorHAnsi"/>
        </w:rPr>
        <w:t xml:space="preserve">section 8(e) reporting is to ensure that new information that reasonably supports a conclusion that a chemical substance or mixture presents a “substantial </w:t>
      </w:r>
      <w:r w:rsidRPr="1CC48348">
        <w:rPr>
          <w:rFonts w:asciiTheme="minorHAnsi" w:hAnsiTheme="minorHAnsi"/>
        </w:rPr>
        <w:t xml:space="preserve">risk” of injury to health or the environment is brought to EPA’s attention immediately upon discovery. It should be noted again that </w:t>
      </w:r>
      <w:r w:rsidRPr="1CC48348" w:rsidR="6BD49A51">
        <w:rPr>
          <w:rFonts w:asciiTheme="minorHAnsi" w:hAnsiTheme="minorHAnsi"/>
        </w:rPr>
        <w:t xml:space="preserve">TSCA </w:t>
      </w:r>
      <w:r w:rsidRPr="1CC48348">
        <w:rPr>
          <w:rFonts w:asciiTheme="minorHAnsi" w:hAnsiTheme="minorHAnsi"/>
        </w:rPr>
        <w:t xml:space="preserve">section 8(e) applies to </w:t>
      </w:r>
      <w:r w:rsidRPr="1CC48348">
        <w:rPr>
          <w:rFonts w:asciiTheme="minorHAnsi" w:hAnsiTheme="minorHAnsi"/>
          <w:u w:val="single"/>
        </w:rPr>
        <w:t>all</w:t>
      </w:r>
      <w:r w:rsidRPr="1CC48348">
        <w:rPr>
          <w:rFonts w:asciiTheme="minorHAnsi" w:hAnsiTheme="minorHAnsi"/>
        </w:rPr>
        <w:t xml:space="preserve"> chemical manufacturers, importers, processors, and distributors and applies also to information that a subject person possesses or about which that person has knowledge. Although compliance with </w:t>
      </w:r>
      <w:r w:rsidRPr="1CC48348" w:rsidR="3ABABEA3">
        <w:rPr>
          <w:rFonts w:asciiTheme="minorHAnsi" w:hAnsiTheme="minorHAnsi"/>
        </w:rPr>
        <w:t xml:space="preserve">TSCA </w:t>
      </w:r>
      <w:r w:rsidRPr="1CC48348">
        <w:rPr>
          <w:rFonts w:asciiTheme="minorHAnsi" w:hAnsiTheme="minorHAnsi"/>
        </w:rPr>
        <w:t xml:space="preserve">section 8(e) does not require subject persons to search for information or to make extraordinary efforts to acquire information, </w:t>
      </w:r>
      <w:r w:rsidRPr="1CC48348" w:rsidR="25FD2F3A">
        <w:rPr>
          <w:rFonts w:asciiTheme="minorHAnsi" w:hAnsiTheme="minorHAnsi"/>
        </w:rPr>
        <w:t xml:space="preserve">TSCA </w:t>
      </w:r>
      <w:r w:rsidRPr="1CC48348">
        <w:rPr>
          <w:rFonts w:asciiTheme="minorHAnsi" w:hAnsiTheme="minorHAnsi"/>
        </w:rPr>
        <w:t xml:space="preserve">section 8(e) does apply to information that is “obtained” (i.e., information that a person possesses or about which that person knows). Following a review of existing information and a decision that such information is of the type required under </w:t>
      </w:r>
      <w:r w:rsidRPr="1CC48348" w:rsidR="0C85BBE6">
        <w:rPr>
          <w:rFonts w:asciiTheme="minorHAnsi" w:hAnsiTheme="minorHAnsi"/>
        </w:rPr>
        <w:t xml:space="preserve">TSCA </w:t>
      </w:r>
      <w:r w:rsidRPr="1CC48348">
        <w:rPr>
          <w:rFonts w:asciiTheme="minorHAnsi" w:hAnsiTheme="minorHAnsi"/>
        </w:rPr>
        <w:t xml:space="preserve">section 8(e), respondents must notify EPA in writing </w:t>
      </w:r>
      <w:r w:rsidRPr="1CC48348" w:rsidR="336B5212">
        <w:rPr>
          <w:rFonts w:asciiTheme="minorHAnsi" w:hAnsiTheme="minorHAnsi"/>
        </w:rPr>
        <w:t>“</w:t>
      </w:r>
      <w:r w:rsidRPr="1CC48348">
        <w:rPr>
          <w:rFonts w:asciiTheme="minorHAnsi" w:hAnsiTheme="minorHAnsi"/>
        </w:rPr>
        <w:t>immediately</w:t>
      </w:r>
      <w:r w:rsidRPr="1CC48348" w:rsidR="18BCC229">
        <w:rPr>
          <w:rFonts w:asciiTheme="minorHAnsi" w:hAnsiTheme="minorHAnsi"/>
        </w:rPr>
        <w:t>.”</w:t>
      </w:r>
      <w:r w:rsidRPr="1CC48348">
        <w:rPr>
          <w:rFonts w:asciiTheme="minorHAnsi" w:hAnsiTheme="minorHAnsi"/>
        </w:rPr>
        <w:t xml:space="preserve"> EPA’s June 2003 Reporting Guidance defines the term “immediately” in the context of written </w:t>
      </w:r>
      <w:r w:rsidRPr="1CC48348" w:rsidR="13B87B91">
        <w:rPr>
          <w:rFonts w:asciiTheme="minorHAnsi" w:hAnsiTheme="minorHAnsi"/>
        </w:rPr>
        <w:t xml:space="preserve">TSCA </w:t>
      </w:r>
      <w:r w:rsidRPr="1CC48348">
        <w:rPr>
          <w:rFonts w:asciiTheme="minorHAnsi" w:hAnsiTheme="minorHAnsi"/>
        </w:rPr>
        <w:t>section 8(e) reports to mean within 30 calendar days of the date on which the information was obtained; the immediate reporting of an emergency incident of environmental contamination by a toxic substance is defined as a phone report to EPA or to the National Response Center as soon as a person knows about the incident.</w:t>
      </w:r>
    </w:p>
    <w:p w:rsidR="008C2B73" w:rsidRPr="004A169C" w:rsidP="41771A7D" w14:paraId="54FE76A5" w14:textId="21EB924D">
      <w:pPr>
        <w:rPr>
          <w:rFonts w:asciiTheme="minorHAnsi" w:hAnsiTheme="minorHAnsi"/>
        </w:rPr>
      </w:pPr>
      <w:r w:rsidRPr="41771A7D">
        <w:rPr>
          <w:rFonts w:asciiTheme="minorHAnsi" w:hAnsiTheme="minorHAnsi"/>
        </w:rPr>
        <w:t xml:space="preserve">Considering that </w:t>
      </w:r>
      <w:r w:rsidRPr="41771A7D" w:rsidR="49DCB738">
        <w:rPr>
          <w:rFonts w:asciiTheme="minorHAnsi" w:hAnsiTheme="minorHAnsi"/>
        </w:rPr>
        <w:t xml:space="preserve">TSCA </w:t>
      </w:r>
      <w:r w:rsidRPr="41771A7D">
        <w:rPr>
          <w:rFonts w:asciiTheme="minorHAnsi" w:hAnsiTheme="minorHAnsi"/>
        </w:rPr>
        <w:t xml:space="preserve">section 8(e) submissions are received by the Agency on an </w:t>
      </w:r>
      <w:r w:rsidRPr="41771A7D">
        <w:rPr>
          <w:rFonts w:asciiTheme="minorHAnsi" w:hAnsiTheme="minorHAnsi"/>
          <w:u w:val="single"/>
        </w:rPr>
        <w:t>ad</w:t>
      </w:r>
      <w:r w:rsidRPr="41771A7D">
        <w:rPr>
          <w:rFonts w:asciiTheme="minorHAnsi" w:hAnsiTheme="minorHAnsi"/>
        </w:rPr>
        <w:t xml:space="preserve"> </w:t>
      </w:r>
      <w:r w:rsidRPr="41771A7D">
        <w:rPr>
          <w:rFonts w:asciiTheme="minorHAnsi" w:hAnsiTheme="minorHAnsi"/>
          <w:u w:val="single"/>
        </w:rPr>
        <w:t>hoc</w:t>
      </w:r>
      <w:r w:rsidRPr="41771A7D">
        <w:rPr>
          <w:rFonts w:asciiTheme="minorHAnsi" w:hAnsiTheme="minorHAnsi"/>
        </w:rPr>
        <w:t xml:space="preserve"> basis, there is no standard reporting cycle. Submitters are required to comply with </w:t>
      </w:r>
      <w:r w:rsidRPr="41771A7D" w:rsidR="3CD57D52">
        <w:rPr>
          <w:rFonts w:asciiTheme="minorHAnsi" w:hAnsiTheme="minorHAnsi"/>
        </w:rPr>
        <w:t xml:space="preserve">TSCA </w:t>
      </w:r>
      <w:r w:rsidRPr="41771A7D">
        <w:rPr>
          <w:rFonts w:asciiTheme="minorHAnsi" w:hAnsiTheme="minorHAnsi"/>
        </w:rPr>
        <w:t xml:space="preserve">section 8(e) immediately when they come into possession of or know about </w:t>
      </w:r>
      <w:r w:rsidRPr="41771A7D" w:rsidR="1BCE730C">
        <w:rPr>
          <w:rFonts w:asciiTheme="minorHAnsi" w:hAnsiTheme="minorHAnsi"/>
        </w:rPr>
        <w:t xml:space="preserve">TSCA </w:t>
      </w:r>
      <w:r w:rsidRPr="41771A7D">
        <w:rPr>
          <w:rFonts w:asciiTheme="minorHAnsi" w:hAnsiTheme="minorHAnsi"/>
        </w:rPr>
        <w:t xml:space="preserve">section 8(e)-reportable information. If </w:t>
      </w:r>
      <w:r w:rsidRPr="41771A7D" w:rsidR="16C5823A">
        <w:rPr>
          <w:rFonts w:asciiTheme="minorHAnsi" w:hAnsiTheme="minorHAnsi"/>
        </w:rPr>
        <w:t xml:space="preserve">TSCA </w:t>
      </w:r>
      <w:r w:rsidRPr="41771A7D">
        <w:rPr>
          <w:rFonts w:asciiTheme="minorHAnsi" w:hAnsiTheme="minorHAnsi"/>
        </w:rPr>
        <w:t>section 8(e) information were not made available immediately to EPA, the Agency’s ability to learn about, publicize, effectively assess, and respond appropriately to newly discovered chemical-related risks would be severely impeded, if not completely thwarted.</w:t>
      </w:r>
    </w:p>
    <w:p w:rsidR="004A4A78" w:rsidP="00DA0A40" w14:paraId="170DA189" w14:textId="77777777">
      <w:pPr>
        <w:pStyle w:val="Heading2"/>
        <w:numPr>
          <w:ilvl w:val="0"/>
          <w:numId w:val="0"/>
        </w:numPr>
        <w:pBdr>
          <w:top w:val="none" w:sz="0" w:space="0" w:color="auto"/>
        </w:pBdr>
        <w:spacing w:after="160"/>
        <w:rPr>
          <w:rFonts w:ascii="Calibri" w:hAnsi="Calibri" w:cs="Calibri"/>
          <w:bCs w:val="0"/>
          <w:i/>
          <w:iCs/>
          <w:color w:val="000000" w:themeColor="text1"/>
          <w:sz w:val="22"/>
        </w:rPr>
      </w:pPr>
      <w:r w:rsidRPr="009343BA">
        <w:rPr>
          <w:rFonts w:ascii="Calibri" w:hAnsi="Calibri" w:cs="Calibri"/>
          <w:color w:val="000000" w:themeColor="text1"/>
          <w:sz w:val="22"/>
        </w:rPr>
        <w:t>12c.</w:t>
      </w:r>
      <w:r w:rsidRPr="009343BA">
        <w:rPr>
          <w:rFonts w:ascii="Calibri" w:hAnsi="Calibri" w:cs="Calibri"/>
          <w:sz w:val="22"/>
        </w:rPr>
        <w:t xml:space="preserve"> </w:t>
      </w:r>
      <w:r w:rsidRPr="009343BA">
        <w:rPr>
          <w:rFonts w:ascii="Calibri" w:hAnsi="Calibri" w:cs="Calibri"/>
          <w:color w:val="000000" w:themeColor="text1"/>
          <w:sz w:val="22"/>
        </w:rPr>
        <w:t>RESPONDENT ACTIVITIES AND FREQUENCY</w:t>
      </w:r>
    </w:p>
    <w:p w:rsidR="008C2B73" w:rsidRPr="004A169C" w:rsidP="1CC48348" w14:paraId="0061A285" w14:textId="09297256">
      <w:pPr>
        <w:rPr>
          <w:rFonts w:asciiTheme="minorHAnsi" w:hAnsiTheme="minorHAnsi"/>
          <w:u w:val="single"/>
        </w:rPr>
      </w:pPr>
      <w:r w:rsidRPr="1CC48348">
        <w:rPr>
          <w:rFonts w:asciiTheme="minorHAnsi" w:hAnsiTheme="minorHAnsi"/>
          <w:u w:val="single"/>
        </w:rPr>
        <w:t xml:space="preserve">TSCA </w:t>
      </w:r>
      <w:r w:rsidRPr="1CC48348" w:rsidR="69C71308">
        <w:rPr>
          <w:rFonts w:asciiTheme="minorHAnsi" w:hAnsiTheme="minorHAnsi"/>
          <w:u w:val="single"/>
        </w:rPr>
        <w:t>S</w:t>
      </w:r>
      <w:r w:rsidRPr="1CC48348">
        <w:rPr>
          <w:rFonts w:asciiTheme="minorHAnsi" w:hAnsiTheme="minorHAnsi"/>
          <w:u w:val="single"/>
        </w:rPr>
        <w:t>ection 8(e)</w:t>
      </w:r>
      <w:r w:rsidRPr="1CC48348" w:rsidR="00BE0059">
        <w:rPr>
          <w:rFonts w:asciiTheme="minorHAnsi" w:hAnsiTheme="minorHAnsi"/>
          <w:u w:val="single"/>
        </w:rPr>
        <w:t xml:space="preserve"> </w:t>
      </w:r>
      <w:r w:rsidRPr="1CC48348" w:rsidR="1723B74D">
        <w:rPr>
          <w:rFonts w:asciiTheme="minorHAnsi" w:hAnsiTheme="minorHAnsi"/>
          <w:u w:val="single"/>
        </w:rPr>
        <w:t>S</w:t>
      </w:r>
      <w:r w:rsidRPr="1CC48348" w:rsidR="00BE0059">
        <w:rPr>
          <w:rFonts w:asciiTheme="minorHAnsi" w:hAnsiTheme="minorHAnsi"/>
          <w:u w:val="single"/>
        </w:rPr>
        <w:t>ubmissions</w:t>
      </w:r>
    </w:p>
    <w:p w:rsidR="008C2B73" w:rsidRPr="004A169C" w:rsidP="008C2B73" w14:paraId="4331E01F" w14:textId="7C310A36">
      <w:pPr>
        <w:rPr>
          <w:rFonts w:asciiTheme="minorHAnsi" w:hAnsiTheme="minorHAnsi" w:cstheme="minorHAnsi"/>
          <w:i/>
          <w:szCs w:val="24"/>
        </w:rPr>
      </w:pPr>
      <w:r w:rsidRPr="004A169C">
        <w:rPr>
          <w:rFonts w:asciiTheme="minorHAnsi" w:hAnsiTheme="minorHAnsi" w:cstheme="minorHAnsi"/>
          <w:szCs w:val="24"/>
        </w:rPr>
        <w:t>Pursuant to TSCA section 8(e)(15 U.S.C. 2607(e)), “Any person who manufactures, processes, or distributes in commerce a chemical substance or mixture and who obtains information which reasonably supports the conclusion that such substance or mixture presents a substantial risk of injury to health or the environment shall immediately inform the Administrator of such information unless such person has actual knowledge that the Administrator has been adequately informed of such information.”</w:t>
      </w:r>
    </w:p>
    <w:p w:rsidR="008C2B73" w:rsidRPr="004A169C" w:rsidP="1CC48348" w14:paraId="552656F3" w14:textId="4B02D68E">
      <w:pPr>
        <w:tabs>
          <w:tab w:val="left" w:pos="7020"/>
        </w:tabs>
        <w:rPr>
          <w:rFonts w:asciiTheme="minorHAnsi" w:hAnsiTheme="minorHAnsi"/>
          <w:u w:val="single"/>
        </w:rPr>
      </w:pPr>
      <w:r w:rsidRPr="1CC48348">
        <w:rPr>
          <w:rFonts w:asciiTheme="minorHAnsi" w:hAnsiTheme="minorHAnsi"/>
          <w:u w:val="single"/>
        </w:rPr>
        <w:t xml:space="preserve">FYI </w:t>
      </w:r>
      <w:r w:rsidRPr="1CC48348" w:rsidR="50F546BF">
        <w:rPr>
          <w:rFonts w:asciiTheme="minorHAnsi" w:hAnsiTheme="minorHAnsi"/>
          <w:u w:val="single"/>
        </w:rPr>
        <w:t>V</w:t>
      </w:r>
      <w:r w:rsidRPr="1CC48348">
        <w:rPr>
          <w:rFonts w:asciiTheme="minorHAnsi" w:hAnsiTheme="minorHAnsi"/>
          <w:u w:val="single"/>
        </w:rPr>
        <w:t xml:space="preserve">oluntary </w:t>
      </w:r>
      <w:r w:rsidRPr="1CC48348" w:rsidR="2C80B443">
        <w:rPr>
          <w:rFonts w:asciiTheme="minorHAnsi" w:hAnsiTheme="minorHAnsi"/>
          <w:u w:val="single"/>
        </w:rPr>
        <w:t>S</w:t>
      </w:r>
      <w:r w:rsidRPr="1CC48348">
        <w:rPr>
          <w:rFonts w:asciiTheme="minorHAnsi" w:hAnsiTheme="minorHAnsi"/>
          <w:u w:val="single"/>
        </w:rPr>
        <w:t xml:space="preserve">ubmissions </w:t>
      </w:r>
    </w:p>
    <w:p w:rsidR="00BE0059" w:rsidRPr="004A169C" w:rsidP="00BE0059" w14:paraId="50C7B243" w14:textId="759ABFAC">
      <w:pPr>
        <w:tabs>
          <w:tab w:val="left" w:pos="7020"/>
        </w:tabs>
        <w:rPr>
          <w:rFonts w:asciiTheme="minorHAnsi" w:hAnsiTheme="minorHAnsi" w:cstheme="minorHAnsi"/>
          <w:szCs w:val="24"/>
        </w:rPr>
      </w:pPr>
      <w:r w:rsidRPr="004A169C">
        <w:rPr>
          <w:rFonts w:asciiTheme="minorHAnsi" w:hAnsiTheme="minorHAnsi" w:cstheme="minorHAnsi"/>
          <w:szCs w:val="24"/>
        </w:rPr>
        <w:t>EPA has received FYI submissions covering a wide variety of chemical substances and mixtures from chemical companies, trade associations, unions, public interest groups, civic associations, private citizens, academic institutions, state and other federal agencies, as well as similar organizations and agencies in foreign countries. These submissions contain information on human exposure, epidemiology, toxicity test results, monitoring studies, environmental fate, and other information that may be important to risk assessment.</w:t>
      </w:r>
    </w:p>
    <w:p w:rsidR="00BE0059" w:rsidRPr="004A169C" w:rsidP="1CC48348" w14:paraId="56397F41" w14:textId="3ABC3333">
      <w:pPr>
        <w:tabs>
          <w:tab w:val="left" w:pos="7020"/>
        </w:tabs>
        <w:rPr>
          <w:rFonts w:asciiTheme="minorHAnsi" w:hAnsiTheme="minorHAnsi"/>
        </w:rPr>
      </w:pPr>
      <w:r w:rsidRPr="1CC48348">
        <w:rPr>
          <w:rFonts w:asciiTheme="minorHAnsi" w:hAnsiTheme="minorHAnsi"/>
        </w:rPr>
        <w:t xml:space="preserve">FYI submissions are often submitted to </w:t>
      </w:r>
      <w:r w:rsidRPr="1CC48348" w:rsidR="2579FA8D">
        <w:rPr>
          <w:rFonts w:asciiTheme="minorHAnsi" w:hAnsiTheme="minorHAnsi"/>
        </w:rPr>
        <w:t>EP</w:t>
      </w:r>
      <w:r w:rsidRPr="1CC48348">
        <w:rPr>
          <w:rFonts w:asciiTheme="minorHAnsi" w:hAnsiTheme="minorHAnsi"/>
        </w:rPr>
        <w:t xml:space="preserve">A when a person or company that is not required to submit would like to bring information on a chemical to EPA’s attention. Chemical companies, trade associations, public interest groups, and academic institutions are among those who submit FYIs. These entities who wish to submit information to the Agency electronically will have to register with CDX or otherwise submit information by paper. </w:t>
      </w:r>
    </w:p>
    <w:p w:rsidR="008C2B73" w:rsidRPr="004A169C" w:rsidP="1CC48348" w14:paraId="7ED2341A" w14:textId="59CE3D05">
      <w:pPr>
        <w:tabs>
          <w:tab w:val="left" w:pos="7020"/>
        </w:tabs>
        <w:rPr>
          <w:rFonts w:asciiTheme="minorHAnsi" w:hAnsiTheme="minorHAnsi"/>
          <w:i/>
          <w:iCs/>
        </w:rPr>
      </w:pPr>
      <w:r w:rsidRPr="1CC48348">
        <w:rPr>
          <w:rFonts w:asciiTheme="minorHAnsi" w:hAnsiTheme="minorHAnsi"/>
          <w:color w:val="000000"/>
          <w:shd w:val="clear" w:color="auto" w:fill="FFFFFF"/>
        </w:rPr>
        <w:t>In addition,</w:t>
      </w:r>
      <w:r w:rsidRPr="1CC48348">
        <w:rPr>
          <w:rStyle w:val="apple-converted-space"/>
          <w:rFonts w:asciiTheme="minorHAnsi" w:hAnsiTheme="minorHAnsi"/>
          <w:color w:val="000000"/>
          <w:shd w:val="clear" w:color="auto" w:fill="FFFFFF"/>
        </w:rPr>
        <w:t> </w:t>
      </w:r>
      <w:r w:rsidRPr="1CC48348">
        <w:rPr>
          <w:rFonts w:asciiTheme="minorHAnsi" w:hAnsiTheme="minorHAnsi"/>
          <w:shd w:val="clear" w:color="auto" w:fill="FFFFFF"/>
        </w:rPr>
        <w:t>FYI submissions</w:t>
      </w:r>
      <w:r w:rsidRPr="1CC48348">
        <w:rPr>
          <w:rStyle w:val="apple-converted-space"/>
          <w:rFonts w:asciiTheme="minorHAnsi" w:hAnsiTheme="minorHAnsi"/>
          <w:color w:val="000000"/>
          <w:shd w:val="clear" w:color="auto" w:fill="FFFFFF"/>
        </w:rPr>
        <w:t> </w:t>
      </w:r>
      <w:r w:rsidRPr="1CC48348">
        <w:rPr>
          <w:rFonts w:asciiTheme="minorHAnsi" w:hAnsiTheme="minorHAnsi"/>
          <w:color w:val="000000"/>
          <w:shd w:val="clear" w:color="auto" w:fill="FFFFFF"/>
        </w:rPr>
        <w:t xml:space="preserve">are submissions from a classification system that was established by EPA to distinguish voluntary submissions from “substantial risk” notices submitted formally to EPA under </w:t>
      </w:r>
      <w:r w:rsidRPr="1CC48348" w:rsidR="547F1FD9">
        <w:rPr>
          <w:rFonts w:asciiTheme="minorHAnsi" w:hAnsiTheme="minorHAnsi"/>
          <w:color w:val="000000"/>
          <w:shd w:val="clear" w:color="auto" w:fill="FFFFFF"/>
        </w:rPr>
        <w:t xml:space="preserve">TSCA </w:t>
      </w:r>
      <w:r w:rsidRPr="1CC48348">
        <w:rPr>
          <w:rFonts w:asciiTheme="minorHAnsi" w:hAnsiTheme="minorHAnsi"/>
          <w:color w:val="000000"/>
          <w:shd w:val="clear" w:color="auto" w:fill="FFFFFF"/>
        </w:rPr>
        <w:t xml:space="preserve">section 8(e), discussed above. </w:t>
      </w:r>
      <w:r w:rsidRPr="1CC48348" w:rsidR="4D61CFDD">
        <w:rPr>
          <w:rFonts w:asciiTheme="minorHAnsi" w:hAnsiTheme="minorHAnsi"/>
          <w:color w:val="000000"/>
          <w:shd w:val="clear" w:color="auto" w:fill="FFFFFF"/>
        </w:rPr>
        <w:t>EPA created t</w:t>
      </w:r>
      <w:r w:rsidRPr="1CC48348">
        <w:rPr>
          <w:rFonts w:asciiTheme="minorHAnsi" w:hAnsiTheme="minorHAnsi"/>
          <w:color w:val="000000"/>
          <w:shd w:val="clear" w:color="auto" w:fill="FFFFFF"/>
        </w:rPr>
        <w:t>he FYI classification to capture submissions by persons or organizations not subject to the reporting requirements, but who wish to inform EPA of a potential risk.</w:t>
      </w:r>
    </w:p>
    <w:p w:rsidR="008C2B73" w:rsidP="008C2B73" w14:paraId="07E0A0B2" w14:textId="6106F193">
      <w:pPr>
        <w:rPr>
          <w:rFonts w:asciiTheme="minorHAnsi" w:hAnsiTheme="minorHAnsi" w:cstheme="minorHAnsi"/>
          <w:bCs/>
          <w:szCs w:val="24"/>
        </w:rPr>
      </w:pPr>
      <w:r w:rsidRPr="004A169C">
        <w:rPr>
          <w:rFonts w:asciiTheme="minorHAnsi" w:hAnsiTheme="minorHAnsi" w:cstheme="minorHAnsi"/>
          <w:bCs/>
          <w:szCs w:val="24"/>
        </w:rPr>
        <w:t xml:space="preserve">As stated earlier in this document, </w:t>
      </w:r>
      <w:r w:rsidRPr="004A169C" w:rsidR="003D38E4">
        <w:rPr>
          <w:rFonts w:asciiTheme="minorHAnsi" w:hAnsiTheme="minorHAnsi" w:cstheme="minorHAnsi"/>
          <w:bCs/>
          <w:szCs w:val="24"/>
        </w:rPr>
        <w:t xml:space="preserve">the majority of </w:t>
      </w:r>
      <w:r w:rsidRPr="004A169C">
        <w:rPr>
          <w:rFonts w:asciiTheme="minorHAnsi" w:hAnsiTheme="minorHAnsi" w:cstheme="minorHAnsi"/>
          <w:bCs/>
          <w:szCs w:val="24"/>
        </w:rPr>
        <w:t>submissions are being received in electronic format</w:t>
      </w:r>
      <w:r w:rsidRPr="004A169C" w:rsidR="003D38E4">
        <w:rPr>
          <w:rFonts w:asciiTheme="minorHAnsi" w:hAnsiTheme="minorHAnsi" w:cstheme="minorHAnsi"/>
          <w:bCs/>
          <w:szCs w:val="24"/>
        </w:rPr>
        <w:t xml:space="preserve">. </w:t>
      </w:r>
      <w:r w:rsidRPr="004A169C" w:rsidR="00B40F70">
        <w:rPr>
          <w:rFonts w:asciiTheme="minorHAnsi" w:hAnsiTheme="minorHAnsi" w:cstheme="minorHAnsi"/>
          <w:bCs/>
          <w:szCs w:val="24"/>
        </w:rPr>
        <w:t>Therefore,</w:t>
      </w:r>
      <w:r w:rsidRPr="004A169C">
        <w:rPr>
          <w:rFonts w:asciiTheme="minorHAnsi" w:hAnsiTheme="minorHAnsi" w:cstheme="minorHAnsi"/>
          <w:bCs/>
          <w:szCs w:val="24"/>
        </w:rPr>
        <w:t xml:space="preserve"> </w:t>
      </w:r>
      <w:r w:rsidRPr="004A169C" w:rsidR="003D38E4">
        <w:rPr>
          <w:rFonts w:asciiTheme="minorHAnsi" w:hAnsiTheme="minorHAnsi" w:cstheme="minorHAnsi"/>
          <w:bCs/>
          <w:szCs w:val="24"/>
        </w:rPr>
        <w:t xml:space="preserve">estimates still account for some paper submission as described below </w:t>
      </w:r>
    </w:p>
    <w:p w:rsidR="004A4A78" w:rsidRPr="009343BA" w:rsidP="004A4A78" w14:paraId="1D580410" w14:textId="77777777">
      <w:pPr>
        <w:pStyle w:val="Heading2"/>
        <w:numPr>
          <w:ilvl w:val="0"/>
          <w:numId w:val="0"/>
        </w:numPr>
        <w:pBdr>
          <w:top w:val="none" w:sz="0" w:space="0" w:color="auto"/>
        </w:pBdr>
        <w:spacing w:after="160"/>
        <w:rPr>
          <w:rFonts w:ascii="Calibri" w:hAnsi="Calibri" w:cs="Calibri"/>
          <w:b w:val="0"/>
          <w:bCs w:val="0"/>
          <w:i/>
          <w:iCs/>
          <w:sz w:val="22"/>
        </w:rPr>
      </w:pPr>
      <w:r w:rsidRPr="009343BA">
        <w:rPr>
          <w:rFonts w:ascii="Calibri" w:hAnsi="Calibri" w:cs="Calibri"/>
          <w:color w:val="000000" w:themeColor="text1"/>
          <w:sz w:val="22"/>
        </w:rPr>
        <w:t>12d.</w:t>
      </w:r>
      <w:r w:rsidRPr="009343BA">
        <w:rPr>
          <w:rFonts w:ascii="Calibri" w:hAnsi="Calibri" w:cs="Calibri"/>
          <w:sz w:val="22"/>
        </w:rPr>
        <w:t xml:space="preserve"> </w:t>
      </w:r>
      <w:r w:rsidRPr="009343BA">
        <w:rPr>
          <w:rFonts w:ascii="Calibri" w:hAnsi="Calibri" w:cs="Calibri"/>
          <w:color w:val="000000" w:themeColor="text1"/>
          <w:sz w:val="22"/>
        </w:rPr>
        <w:t>RESPONDENT BURDEN HOURS AND LABOR COSTS</w:t>
      </w:r>
    </w:p>
    <w:p w:rsidR="008C2B73" w:rsidRPr="004A169C" w:rsidP="1CC48348" w14:paraId="0C34F5E1" w14:textId="2D5AC4D1">
      <w:pPr>
        <w:rPr>
          <w:rFonts w:asciiTheme="minorHAnsi" w:hAnsiTheme="minorHAnsi"/>
          <w:u w:val="single"/>
        </w:rPr>
      </w:pPr>
      <w:r w:rsidRPr="1CC48348">
        <w:rPr>
          <w:rFonts w:asciiTheme="minorHAnsi" w:hAnsiTheme="minorHAnsi"/>
          <w:u w:val="single"/>
        </w:rPr>
        <w:t xml:space="preserve">TSCA Section </w:t>
      </w:r>
      <w:r w:rsidRPr="1CC48348" w:rsidR="007971F9">
        <w:rPr>
          <w:rFonts w:asciiTheme="minorHAnsi" w:hAnsiTheme="minorHAnsi"/>
          <w:u w:val="single"/>
        </w:rPr>
        <w:t>8(e) Submissions</w:t>
      </w:r>
    </w:p>
    <w:p w:rsidR="00BE0059" w:rsidRPr="004A169C" w:rsidP="1CC48348" w14:paraId="3C00C98C" w14:textId="0C2B52AC">
      <w:pPr>
        <w:rPr>
          <w:rFonts w:asciiTheme="minorHAnsi" w:hAnsiTheme="minorHAnsi"/>
          <w:i/>
          <w:iCs/>
        </w:rPr>
      </w:pPr>
      <w:r w:rsidRPr="1CC48348">
        <w:rPr>
          <w:rFonts w:asciiTheme="minorHAnsi" w:hAnsiTheme="minorHAnsi"/>
        </w:rPr>
        <w:t xml:space="preserve">EPA estimates that it should take approximately 49 hours per submission to judge and concur on the </w:t>
      </w:r>
      <w:r w:rsidRPr="1CC48348" w:rsidR="54974031">
        <w:rPr>
          <w:rFonts w:asciiTheme="minorHAnsi" w:hAnsiTheme="minorHAnsi"/>
        </w:rPr>
        <w:t xml:space="preserve">TSCA </w:t>
      </w:r>
      <w:r w:rsidRPr="1CC48348">
        <w:rPr>
          <w:rFonts w:asciiTheme="minorHAnsi" w:hAnsiTheme="minorHAnsi"/>
        </w:rPr>
        <w:t>section 8(e)-applicability of obtained information and to prepare and submit the necessary information. This figure is based on an average of 45 hours per submission of managerial staff time to review and evaluate data and an additional 4 hours for staff training on</w:t>
      </w:r>
      <w:r w:rsidRPr="1CC48348" w:rsidR="45AF2106">
        <w:rPr>
          <w:rFonts w:asciiTheme="minorHAnsi" w:hAnsiTheme="minorHAnsi"/>
        </w:rPr>
        <w:t xml:space="preserve"> TSCA</w:t>
      </w:r>
      <w:r w:rsidRPr="1CC48348">
        <w:rPr>
          <w:rFonts w:asciiTheme="minorHAnsi" w:hAnsiTheme="minorHAnsi"/>
        </w:rPr>
        <w:t xml:space="preserve"> section 8(e) regulatory requirements.</w:t>
      </w:r>
      <w:r w:rsidRPr="1CC48348" w:rsidR="005451E3">
        <w:rPr>
          <w:rFonts w:asciiTheme="minorHAnsi" w:hAnsiTheme="minorHAnsi"/>
        </w:rPr>
        <w:t xml:space="preserve"> </w:t>
      </w:r>
      <w:r w:rsidRPr="1CC48348" w:rsidR="00644079">
        <w:rPr>
          <w:rFonts w:asciiTheme="minorHAnsi" w:hAnsiTheme="minorHAnsi"/>
        </w:rPr>
        <w:t>Additionally, t</w:t>
      </w:r>
      <w:r w:rsidRPr="1CC48348" w:rsidR="005451E3">
        <w:rPr>
          <w:rFonts w:asciiTheme="minorHAnsi" w:hAnsiTheme="minorHAnsi"/>
        </w:rPr>
        <w:t xml:space="preserve">he unit burden for recordkeeping is estimated at 1.06 hours of clerical staff time for </w:t>
      </w:r>
      <w:r w:rsidRPr="1CC48348" w:rsidR="00FA5580">
        <w:rPr>
          <w:rFonts w:asciiTheme="minorHAnsi" w:hAnsiTheme="minorHAnsi"/>
        </w:rPr>
        <w:t xml:space="preserve">electronic </w:t>
      </w:r>
      <w:r w:rsidRPr="1CC48348" w:rsidR="7AC48094">
        <w:rPr>
          <w:rFonts w:asciiTheme="minorHAnsi" w:hAnsiTheme="minorHAnsi"/>
        </w:rPr>
        <w:t xml:space="preserve">TSCA section </w:t>
      </w:r>
      <w:r w:rsidRPr="1CC48348" w:rsidR="005451E3">
        <w:rPr>
          <w:rFonts w:asciiTheme="minorHAnsi" w:hAnsiTheme="minorHAnsi"/>
        </w:rPr>
        <w:t>8(e)</w:t>
      </w:r>
      <w:r w:rsidRPr="1CC48348" w:rsidR="00C82C2C">
        <w:rPr>
          <w:rFonts w:asciiTheme="minorHAnsi" w:hAnsiTheme="minorHAnsi"/>
        </w:rPr>
        <w:t xml:space="preserve"> </w:t>
      </w:r>
      <w:r w:rsidRPr="1CC48348" w:rsidR="005451E3">
        <w:rPr>
          <w:rFonts w:asciiTheme="minorHAnsi" w:hAnsiTheme="minorHAnsi"/>
        </w:rPr>
        <w:t>submissions</w:t>
      </w:r>
      <w:r w:rsidRPr="1CC48348" w:rsidR="00FA5580">
        <w:rPr>
          <w:rFonts w:asciiTheme="minorHAnsi" w:hAnsiTheme="minorHAnsi"/>
        </w:rPr>
        <w:t xml:space="preserve"> and 2 hours for paper submissions</w:t>
      </w:r>
      <w:r w:rsidRPr="1CC48348" w:rsidR="005451E3">
        <w:rPr>
          <w:rFonts w:asciiTheme="minorHAnsi" w:hAnsiTheme="minorHAnsi"/>
        </w:rPr>
        <w:t xml:space="preserve">. </w:t>
      </w:r>
      <w:r w:rsidRPr="1CC48348">
        <w:rPr>
          <w:rFonts w:asciiTheme="minorHAnsi" w:hAnsiTheme="minorHAnsi"/>
        </w:rPr>
        <w:t xml:space="preserve"> </w:t>
      </w:r>
    </w:p>
    <w:p w:rsidR="008C2B73" w:rsidRPr="004A169C" w:rsidP="1CC48348" w14:paraId="3C8ED556" w14:textId="6774462F">
      <w:pPr>
        <w:rPr>
          <w:rFonts w:asciiTheme="minorHAnsi" w:hAnsiTheme="minorHAnsi"/>
          <w:i/>
          <w:iCs/>
        </w:rPr>
      </w:pPr>
      <w:r w:rsidRPr="1CC48348">
        <w:rPr>
          <w:rFonts w:asciiTheme="minorHAnsi" w:hAnsiTheme="minorHAnsi"/>
        </w:rPr>
        <w:t xml:space="preserve">To quantify the number of submissions for the current ICR renewal, EPA utilizes data on the number of </w:t>
      </w:r>
      <w:r w:rsidRPr="1CC48348" w:rsidR="4B201ACC">
        <w:rPr>
          <w:rFonts w:asciiTheme="minorHAnsi" w:hAnsiTheme="minorHAnsi"/>
        </w:rPr>
        <w:t xml:space="preserve">TSCA </w:t>
      </w:r>
      <w:r w:rsidRPr="1CC48348">
        <w:rPr>
          <w:rFonts w:asciiTheme="minorHAnsi" w:hAnsiTheme="minorHAnsi"/>
        </w:rPr>
        <w:t xml:space="preserve">section 8(e) submissions for </w:t>
      </w:r>
      <w:r w:rsidRPr="1CC48348" w:rsidR="002A5AC2">
        <w:rPr>
          <w:rFonts w:asciiTheme="minorHAnsi" w:hAnsiTheme="minorHAnsi"/>
        </w:rPr>
        <w:t>calendar</w:t>
      </w:r>
      <w:r w:rsidRPr="1CC48348">
        <w:rPr>
          <w:rFonts w:asciiTheme="minorHAnsi" w:hAnsiTheme="minorHAnsi"/>
        </w:rPr>
        <w:t xml:space="preserve"> years 20</w:t>
      </w:r>
      <w:r w:rsidRPr="1CC48348" w:rsidR="0DECFA11">
        <w:rPr>
          <w:rFonts w:asciiTheme="minorHAnsi" w:hAnsiTheme="minorHAnsi"/>
        </w:rPr>
        <w:t>22</w:t>
      </w:r>
      <w:r w:rsidRPr="1CC48348">
        <w:rPr>
          <w:rFonts w:asciiTheme="minorHAnsi" w:hAnsiTheme="minorHAnsi"/>
        </w:rPr>
        <w:t xml:space="preserve"> through 20</w:t>
      </w:r>
      <w:r w:rsidRPr="1CC48348" w:rsidR="002A5AC2">
        <w:rPr>
          <w:rFonts w:asciiTheme="minorHAnsi" w:hAnsiTheme="minorHAnsi"/>
        </w:rPr>
        <w:t>2</w:t>
      </w:r>
      <w:r w:rsidRPr="1CC48348" w:rsidR="62300BBF">
        <w:rPr>
          <w:rFonts w:asciiTheme="minorHAnsi" w:hAnsiTheme="minorHAnsi"/>
        </w:rPr>
        <w:t>4</w:t>
      </w:r>
      <w:r w:rsidRPr="1CC48348">
        <w:rPr>
          <w:rFonts w:asciiTheme="minorHAnsi" w:hAnsiTheme="minorHAnsi"/>
        </w:rPr>
        <w:t xml:space="preserve">. The average annual number of </w:t>
      </w:r>
      <w:r w:rsidRPr="1CC48348" w:rsidR="04AA14A9">
        <w:rPr>
          <w:rFonts w:asciiTheme="minorHAnsi" w:hAnsiTheme="minorHAnsi"/>
        </w:rPr>
        <w:t xml:space="preserve">TSCA </w:t>
      </w:r>
      <w:r w:rsidRPr="1CC48348">
        <w:rPr>
          <w:rFonts w:asciiTheme="minorHAnsi" w:hAnsiTheme="minorHAnsi"/>
        </w:rPr>
        <w:t xml:space="preserve">section 8(e) submissions </w:t>
      </w:r>
      <w:r w:rsidRPr="1CC48348" w:rsidR="00BA6E62">
        <w:rPr>
          <w:rFonts w:asciiTheme="minorHAnsi" w:hAnsiTheme="minorHAnsi"/>
        </w:rPr>
        <w:t>is</w:t>
      </w:r>
      <w:r w:rsidRPr="1CC48348">
        <w:rPr>
          <w:rFonts w:asciiTheme="minorHAnsi" w:hAnsiTheme="minorHAnsi"/>
        </w:rPr>
        <w:t xml:space="preserve"> </w:t>
      </w:r>
      <w:r w:rsidRPr="1CC48348" w:rsidR="00295262">
        <w:rPr>
          <w:rFonts w:asciiTheme="minorHAnsi" w:hAnsiTheme="minorHAnsi"/>
        </w:rPr>
        <w:t>552</w:t>
      </w:r>
      <w:r w:rsidRPr="1CC48348" w:rsidR="00BA6E62">
        <w:rPr>
          <w:rFonts w:asciiTheme="minorHAnsi" w:hAnsiTheme="minorHAnsi"/>
        </w:rPr>
        <w:t>, co</w:t>
      </w:r>
      <w:r w:rsidRPr="1CC48348" w:rsidR="33F42D41">
        <w:rPr>
          <w:rFonts w:asciiTheme="minorHAnsi" w:hAnsiTheme="minorHAnsi"/>
        </w:rPr>
        <w:t>nstitut</w:t>
      </w:r>
      <w:r w:rsidRPr="1CC48348" w:rsidR="00BA6E62">
        <w:rPr>
          <w:rFonts w:asciiTheme="minorHAnsi" w:hAnsiTheme="minorHAnsi"/>
        </w:rPr>
        <w:t xml:space="preserve">ed of </w:t>
      </w:r>
      <w:r w:rsidR="00945153">
        <w:rPr>
          <w:rFonts w:asciiTheme="minorHAnsi" w:hAnsiTheme="minorHAnsi"/>
        </w:rPr>
        <w:t>547</w:t>
      </w:r>
      <w:r w:rsidRPr="1CC48348" w:rsidR="68AF76E5">
        <w:rPr>
          <w:rFonts w:asciiTheme="minorHAnsi" w:hAnsiTheme="minorHAnsi"/>
        </w:rPr>
        <w:t xml:space="preserve"> </w:t>
      </w:r>
      <w:r w:rsidRPr="1CC48348" w:rsidR="00887E74">
        <w:rPr>
          <w:rFonts w:asciiTheme="minorHAnsi" w:hAnsiTheme="minorHAnsi"/>
        </w:rPr>
        <w:t>electronic</w:t>
      </w:r>
      <w:r w:rsidRPr="1CC48348" w:rsidR="000A1CC9">
        <w:rPr>
          <w:rFonts w:asciiTheme="minorHAnsi" w:hAnsiTheme="minorHAnsi"/>
        </w:rPr>
        <w:t xml:space="preserve"> </w:t>
      </w:r>
      <w:r w:rsidRPr="1CC48348" w:rsidR="00BA6E62">
        <w:rPr>
          <w:rFonts w:asciiTheme="minorHAnsi" w:hAnsiTheme="minorHAnsi"/>
        </w:rPr>
        <w:t>and</w:t>
      </w:r>
      <w:r w:rsidRPr="1CC48348" w:rsidR="006E6A0F">
        <w:rPr>
          <w:rFonts w:asciiTheme="minorHAnsi" w:hAnsiTheme="minorHAnsi"/>
        </w:rPr>
        <w:t xml:space="preserve"> </w:t>
      </w:r>
      <w:r w:rsidR="00945153">
        <w:rPr>
          <w:rFonts w:asciiTheme="minorHAnsi" w:hAnsiTheme="minorHAnsi"/>
        </w:rPr>
        <w:t>5</w:t>
      </w:r>
      <w:r w:rsidRPr="1CC48348" w:rsidR="00945153">
        <w:rPr>
          <w:rFonts w:asciiTheme="minorHAnsi" w:hAnsiTheme="minorHAnsi"/>
        </w:rPr>
        <w:t xml:space="preserve"> </w:t>
      </w:r>
      <w:r w:rsidRPr="1CC48348" w:rsidR="00BA6E62">
        <w:rPr>
          <w:rFonts w:asciiTheme="minorHAnsi" w:hAnsiTheme="minorHAnsi"/>
        </w:rPr>
        <w:t>paper submissions</w:t>
      </w:r>
      <w:r w:rsidRPr="1CC48348">
        <w:rPr>
          <w:rFonts w:asciiTheme="minorHAnsi" w:hAnsiTheme="minorHAnsi"/>
        </w:rPr>
        <w:t xml:space="preserve">, as computed to provide the annual basis for this ICR renewal. </w:t>
      </w:r>
      <w:r w:rsidRPr="1CC48348" w:rsidR="00060631">
        <w:rPr>
          <w:rFonts w:asciiTheme="minorHAnsi" w:hAnsiTheme="minorHAnsi"/>
        </w:rPr>
        <w:fldChar w:fldCharType="begin"/>
      </w:r>
      <w:r w:rsidRPr="1CC48348" w:rsidR="00060631">
        <w:rPr>
          <w:rFonts w:asciiTheme="minorHAnsi" w:hAnsiTheme="minorHAnsi"/>
        </w:rPr>
        <w:instrText xml:space="preserve"> REF _Ref89779395 \h </w:instrText>
      </w:r>
      <w:r w:rsidRPr="1CC48348" w:rsidR="00B71E26">
        <w:rPr>
          <w:rFonts w:asciiTheme="minorHAnsi" w:hAnsiTheme="minorHAnsi"/>
        </w:rPr>
        <w:instrText xml:space="preserve"> \* MERGEFORMAT </w:instrText>
      </w:r>
      <w:r w:rsidRPr="1CC48348" w:rsidR="00060631">
        <w:rPr>
          <w:rFonts w:asciiTheme="minorHAnsi" w:hAnsiTheme="minorHAnsi"/>
        </w:rPr>
        <w:fldChar w:fldCharType="separate"/>
      </w:r>
      <w:r w:rsidRPr="1CC48348" w:rsidR="00C82C2C">
        <w:rPr>
          <w:rFonts w:asciiTheme="minorHAnsi" w:hAnsiTheme="minorHAnsi"/>
        </w:rPr>
        <w:t xml:space="preserve">Table </w:t>
      </w:r>
      <w:r w:rsidRPr="1CC48348" w:rsidR="00C82C2C">
        <w:rPr>
          <w:rFonts w:asciiTheme="minorHAnsi" w:hAnsiTheme="minorHAnsi"/>
          <w:noProof/>
        </w:rPr>
        <w:t>2</w:t>
      </w:r>
      <w:r w:rsidRPr="1CC48348" w:rsidR="00060631">
        <w:rPr>
          <w:rFonts w:asciiTheme="minorHAnsi" w:hAnsiTheme="minorHAnsi"/>
        </w:rPr>
        <w:fldChar w:fldCharType="end"/>
      </w:r>
      <w:r w:rsidRPr="1CC48348" w:rsidR="00060631">
        <w:rPr>
          <w:rFonts w:asciiTheme="minorHAnsi" w:hAnsiTheme="minorHAnsi"/>
        </w:rPr>
        <w:t xml:space="preserve"> </w:t>
      </w:r>
      <w:r w:rsidRPr="1CC48348">
        <w:rPr>
          <w:rFonts w:asciiTheme="minorHAnsi" w:hAnsiTheme="minorHAnsi"/>
        </w:rPr>
        <w:t>provides a summary of estimates for unit burden and the annual burden associated with the mandatory section 8(e) submissions.</w:t>
      </w:r>
    </w:p>
    <w:p w:rsidR="00BE0059" w:rsidRPr="004A169C" w:rsidP="1CC48348" w14:paraId="6BD53D7F" w14:textId="790E84E8">
      <w:pPr>
        <w:rPr>
          <w:rFonts w:asciiTheme="minorHAnsi" w:hAnsiTheme="minorHAnsi"/>
          <w:u w:val="single"/>
        </w:rPr>
      </w:pPr>
      <w:r w:rsidRPr="1CC48348">
        <w:rPr>
          <w:rFonts w:asciiTheme="minorHAnsi" w:hAnsiTheme="minorHAnsi"/>
          <w:u w:val="single"/>
        </w:rPr>
        <w:t>Voluntary FYI Submissions</w:t>
      </w:r>
    </w:p>
    <w:p w:rsidR="00BE0059" w:rsidRPr="004A169C" w:rsidP="41771A7D" w14:paraId="77CEDE89" w14:textId="3F6B9E83">
      <w:pPr>
        <w:rPr>
          <w:rFonts w:asciiTheme="minorHAnsi" w:hAnsiTheme="minorHAnsi"/>
          <w:i/>
          <w:iCs/>
        </w:rPr>
      </w:pPr>
      <w:r w:rsidRPr="41771A7D">
        <w:rPr>
          <w:rFonts w:asciiTheme="minorHAnsi" w:hAnsiTheme="minorHAnsi"/>
        </w:rPr>
        <w:t xml:space="preserve">EPA believes that the burden associated with filing a voluntary FYI submission is on par with the burden related to filing a mandatory submission because the voluntary submissions usually contain information on human exposure, epidemiology, toxicity test results, monitoring studies, environmental fate, and other information that may be pertinent to risk assessment.  Therefore, the burden associated with filing an FYI submission in paper is also estimated at an average of 45 hours per submission of managerial staff time to review and evaluate data plus </w:t>
      </w:r>
      <w:r w:rsidRPr="41771A7D">
        <w:rPr>
          <w:rFonts w:asciiTheme="minorHAnsi" w:hAnsiTheme="minorHAnsi"/>
        </w:rPr>
        <w:t xml:space="preserve">an additional 4 hours for staff training on </w:t>
      </w:r>
      <w:r w:rsidRPr="41771A7D" w:rsidR="5D841695">
        <w:rPr>
          <w:rFonts w:asciiTheme="minorHAnsi" w:hAnsiTheme="minorHAnsi"/>
        </w:rPr>
        <w:t xml:space="preserve">TSCA </w:t>
      </w:r>
      <w:r w:rsidRPr="41771A7D">
        <w:rPr>
          <w:rFonts w:asciiTheme="minorHAnsi" w:hAnsiTheme="minorHAnsi"/>
        </w:rPr>
        <w:t>section 8(e) regulatory requirements.</w:t>
      </w:r>
      <w:r w:rsidRPr="41771A7D" w:rsidR="005451E3">
        <w:rPr>
          <w:rFonts w:asciiTheme="minorHAnsi" w:hAnsiTheme="minorHAnsi"/>
        </w:rPr>
        <w:t xml:space="preserve"> </w:t>
      </w:r>
      <w:r w:rsidRPr="41771A7D" w:rsidR="00644079">
        <w:rPr>
          <w:rFonts w:asciiTheme="minorHAnsi" w:hAnsiTheme="minorHAnsi"/>
        </w:rPr>
        <w:t>Additionally, t</w:t>
      </w:r>
      <w:r w:rsidRPr="41771A7D" w:rsidR="005451E3">
        <w:rPr>
          <w:rFonts w:asciiTheme="minorHAnsi" w:hAnsiTheme="minorHAnsi"/>
        </w:rPr>
        <w:t xml:space="preserve">he unit burden for recordkeeping is estimated at 1.06 hours of clerical staff time for </w:t>
      </w:r>
      <w:r w:rsidRPr="41771A7D" w:rsidR="00C82C2C">
        <w:rPr>
          <w:rFonts w:asciiTheme="minorHAnsi" w:hAnsiTheme="minorHAnsi"/>
        </w:rPr>
        <w:t>FYI</w:t>
      </w:r>
      <w:r w:rsidRPr="41771A7D" w:rsidR="005451E3">
        <w:rPr>
          <w:rFonts w:asciiTheme="minorHAnsi" w:hAnsiTheme="minorHAnsi"/>
        </w:rPr>
        <w:t xml:space="preserve"> submissions</w:t>
      </w:r>
      <w:r w:rsidRPr="41771A7D" w:rsidR="00FA5580">
        <w:rPr>
          <w:rFonts w:asciiTheme="minorHAnsi" w:hAnsiTheme="minorHAnsi"/>
        </w:rPr>
        <w:t xml:space="preserve"> and 2 hours for paper submissions.</w:t>
      </w:r>
      <w:r w:rsidRPr="41771A7D">
        <w:rPr>
          <w:rFonts w:asciiTheme="minorHAnsi" w:hAnsiTheme="minorHAnsi"/>
        </w:rPr>
        <w:t xml:space="preserve"> </w:t>
      </w:r>
    </w:p>
    <w:p w:rsidR="008C2B73" w:rsidRPr="004A169C" w:rsidP="1CC48348" w14:paraId="63C1887F" w14:textId="24D5607B">
      <w:pPr>
        <w:rPr>
          <w:rFonts w:asciiTheme="minorHAnsi" w:hAnsiTheme="minorHAnsi"/>
        </w:rPr>
      </w:pPr>
      <w:r w:rsidRPr="1CC48348">
        <w:rPr>
          <w:rFonts w:asciiTheme="minorHAnsi" w:hAnsiTheme="minorHAnsi"/>
        </w:rPr>
        <w:t xml:space="preserve">To quantify the number of submissions for the current ICR renewal, EPA utilizes data on the number of FYI submissions for </w:t>
      </w:r>
      <w:r w:rsidRPr="1CC48348" w:rsidR="002A5AC2">
        <w:rPr>
          <w:rFonts w:asciiTheme="minorHAnsi" w:hAnsiTheme="minorHAnsi"/>
        </w:rPr>
        <w:t>calendar</w:t>
      </w:r>
      <w:r w:rsidRPr="1CC48348">
        <w:rPr>
          <w:rFonts w:asciiTheme="minorHAnsi" w:hAnsiTheme="minorHAnsi"/>
        </w:rPr>
        <w:t xml:space="preserve"> years 20</w:t>
      </w:r>
      <w:r w:rsidRPr="1CC48348" w:rsidR="16413E39">
        <w:rPr>
          <w:rFonts w:asciiTheme="minorHAnsi" w:hAnsiTheme="minorHAnsi"/>
        </w:rPr>
        <w:t>22</w:t>
      </w:r>
      <w:r w:rsidRPr="1CC48348">
        <w:rPr>
          <w:rFonts w:asciiTheme="minorHAnsi" w:hAnsiTheme="minorHAnsi"/>
        </w:rPr>
        <w:t xml:space="preserve"> through 20</w:t>
      </w:r>
      <w:r w:rsidRPr="1CC48348" w:rsidR="002A5AC2">
        <w:rPr>
          <w:rFonts w:asciiTheme="minorHAnsi" w:hAnsiTheme="minorHAnsi"/>
        </w:rPr>
        <w:t>2</w:t>
      </w:r>
      <w:r w:rsidRPr="1CC48348" w:rsidR="4A94CDD1">
        <w:rPr>
          <w:rFonts w:asciiTheme="minorHAnsi" w:hAnsiTheme="minorHAnsi"/>
        </w:rPr>
        <w:t>4</w:t>
      </w:r>
      <w:r w:rsidRPr="1CC48348">
        <w:rPr>
          <w:rFonts w:asciiTheme="minorHAnsi" w:hAnsiTheme="minorHAnsi"/>
        </w:rPr>
        <w:t xml:space="preserve">. The average annual number of initial FYI </w:t>
      </w:r>
      <w:r w:rsidRPr="0077679E">
        <w:rPr>
          <w:rFonts w:asciiTheme="minorHAnsi" w:hAnsiTheme="minorHAnsi"/>
        </w:rPr>
        <w:t xml:space="preserve">submissions </w:t>
      </w:r>
      <w:r w:rsidRPr="0077679E" w:rsidR="00603BCC">
        <w:rPr>
          <w:rFonts w:asciiTheme="minorHAnsi" w:hAnsiTheme="minorHAnsi"/>
        </w:rPr>
        <w:t>is</w:t>
      </w:r>
      <w:r w:rsidRPr="0077679E" w:rsidR="00295262">
        <w:rPr>
          <w:rFonts w:asciiTheme="minorHAnsi" w:hAnsiTheme="minorHAnsi"/>
        </w:rPr>
        <w:t xml:space="preserve"> 5</w:t>
      </w:r>
      <w:r w:rsidRPr="0077679E">
        <w:rPr>
          <w:rFonts w:asciiTheme="minorHAnsi" w:hAnsiTheme="minorHAnsi"/>
        </w:rPr>
        <w:t>,</w:t>
      </w:r>
      <w:r w:rsidRPr="0077679E" w:rsidR="00603BCC">
        <w:rPr>
          <w:rFonts w:asciiTheme="minorHAnsi" w:hAnsiTheme="minorHAnsi"/>
        </w:rPr>
        <w:t xml:space="preserve"> co</w:t>
      </w:r>
      <w:r w:rsidRPr="0077679E" w:rsidR="2AE84953">
        <w:rPr>
          <w:rFonts w:asciiTheme="minorHAnsi" w:hAnsiTheme="minorHAnsi"/>
        </w:rPr>
        <w:t>n</w:t>
      </w:r>
      <w:r w:rsidRPr="0077679E" w:rsidR="00603BCC">
        <w:rPr>
          <w:rFonts w:asciiTheme="minorHAnsi" w:hAnsiTheme="minorHAnsi"/>
        </w:rPr>
        <w:t>s</w:t>
      </w:r>
      <w:r w:rsidRPr="0077679E" w:rsidR="322211EC">
        <w:rPr>
          <w:rFonts w:asciiTheme="minorHAnsi" w:hAnsiTheme="minorHAnsi"/>
        </w:rPr>
        <w:t>titut</w:t>
      </w:r>
      <w:r w:rsidRPr="0077679E" w:rsidR="00603BCC">
        <w:rPr>
          <w:rFonts w:asciiTheme="minorHAnsi" w:hAnsiTheme="minorHAnsi"/>
        </w:rPr>
        <w:t xml:space="preserve">ed of </w:t>
      </w:r>
      <w:r w:rsidRPr="00DA0A40" w:rsidR="0077679E">
        <w:rPr>
          <w:rFonts w:asciiTheme="minorHAnsi" w:hAnsiTheme="minorHAnsi"/>
        </w:rPr>
        <w:t>4</w:t>
      </w:r>
      <w:r w:rsidRPr="0077679E" w:rsidR="0077679E">
        <w:rPr>
          <w:rFonts w:asciiTheme="minorHAnsi" w:hAnsiTheme="minorHAnsi"/>
        </w:rPr>
        <w:t xml:space="preserve"> </w:t>
      </w:r>
      <w:r w:rsidRPr="0077679E" w:rsidR="00D856E6">
        <w:rPr>
          <w:rFonts w:asciiTheme="minorHAnsi" w:hAnsiTheme="minorHAnsi"/>
        </w:rPr>
        <w:t>electronic</w:t>
      </w:r>
      <w:r w:rsidRPr="0077679E" w:rsidR="00603BCC">
        <w:rPr>
          <w:rFonts w:asciiTheme="minorHAnsi" w:hAnsiTheme="minorHAnsi"/>
        </w:rPr>
        <w:t xml:space="preserve"> and </w:t>
      </w:r>
      <w:r w:rsidRPr="0077679E" w:rsidR="006E6A0F">
        <w:rPr>
          <w:rFonts w:asciiTheme="minorHAnsi" w:hAnsiTheme="minorHAnsi"/>
        </w:rPr>
        <w:t>1</w:t>
      </w:r>
      <w:r w:rsidRPr="0077679E" w:rsidR="00603BCC">
        <w:rPr>
          <w:rFonts w:asciiTheme="minorHAnsi" w:hAnsiTheme="minorHAnsi"/>
        </w:rPr>
        <w:t xml:space="preserve"> paper submission</w:t>
      </w:r>
      <w:r w:rsidRPr="0077679E" w:rsidR="00217226">
        <w:rPr>
          <w:rFonts w:asciiTheme="minorHAnsi" w:hAnsiTheme="minorHAnsi"/>
        </w:rPr>
        <w:t>,</w:t>
      </w:r>
      <w:r w:rsidRPr="0077679E">
        <w:rPr>
          <w:rFonts w:asciiTheme="minorHAnsi" w:hAnsiTheme="minorHAnsi"/>
        </w:rPr>
        <w:t xml:space="preserve"> as</w:t>
      </w:r>
      <w:r w:rsidRPr="1CC48348">
        <w:rPr>
          <w:rFonts w:asciiTheme="minorHAnsi" w:hAnsiTheme="minorHAnsi"/>
        </w:rPr>
        <w:t xml:space="preserve"> computed to provide the annual basis for this ICR renewal. </w:t>
      </w:r>
      <w:r w:rsidRPr="1CC48348" w:rsidR="00060631">
        <w:rPr>
          <w:rFonts w:asciiTheme="minorHAnsi" w:hAnsiTheme="minorHAnsi"/>
        </w:rPr>
        <w:fldChar w:fldCharType="begin"/>
      </w:r>
      <w:r w:rsidRPr="1CC48348" w:rsidR="00060631">
        <w:rPr>
          <w:rFonts w:asciiTheme="minorHAnsi" w:hAnsiTheme="minorHAnsi"/>
        </w:rPr>
        <w:instrText xml:space="preserve"> REF _Ref89779395 \h </w:instrText>
      </w:r>
      <w:r w:rsidRPr="1CC48348" w:rsidR="00B71E26">
        <w:rPr>
          <w:rFonts w:asciiTheme="minorHAnsi" w:hAnsiTheme="minorHAnsi"/>
        </w:rPr>
        <w:instrText xml:space="preserve"> \* MERGEFORMAT </w:instrText>
      </w:r>
      <w:r w:rsidRPr="1CC48348" w:rsidR="00060631">
        <w:rPr>
          <w:rFonts w:asciiTheme="minorHAnsi" w:hAnsiTheme="minorHAnsi"/>
        </w:rPr>
        <w:fldChar w:fldCharType="separate"/>
      </w:r>
      <w:r w:rsidRPr="1CC48348" w:rsidR="00C82C2C">
        <w:rPr>
          <w:rFonts w:asciiTheme="minorHAnsi" w:hAnsiTheme="minorHAnsi"/>
        </w:rPr>
        <w:t xml:space="preserve">Table </w:t>
      </w:r>
      <w:r w:rsidRPr="1CC48348" w:rsidR="00C82C2C">
        <w:rPr>
          <w:rFonts w:asciiTheme="minorHAnsi" w:hAnsiTheme="minorHAnsi"/>
          <w:noProof/>
        </w:rPr>
        <w:t>2</w:t>
      </w:r>
      <w:r w:rsidRPr="1CC48348" w:rsidR="00060631">
        <w:rPr>
          <w:rFonts w:asciiTheme="minorHAnsi" w:hAnsiTheme="minorHAnsi"/>
        </w:rPr>
        <w:fldChar w:fldCharType="end"/>
      </w:r>
      <w:r w:rsidRPr="1CC48348" w:rsidR="00060631">
        <w:rPr>
          <w:rFonts w:asciiTheme="minorHAnsi" w:hAnsiTheme="minorHAnsi"/>
        </w:rPr>
        <w:t xml:space="preserve"> </w:t>
      </w:r>
      <w:r w:rsidRPr="1CC48348">
        <w:rPr>
          <w:rFonts w:asciiTheme="minorHAnsi" w:hAnsiTheme="minorHAnsi"/>
        </w:rPr>
        <w:t>provides a summary of estimates for unit burden and the annual burden associated with the voluntary FYI submissions.</w:t>
      </w:r>
    </w:p>
    <w:p w:rsidR="00060631" w:rsidRPr="004A169C" w:rsidP="41771A7D" w14:paraId="37D518B8" w14:textId="358D8508">
      <w:pPr>
        <w:pStyle w:val="Caption"/>
        <w:rPr>
          <w:rFonts w:asciiTheme="minorHAnsi" w:hAnsiTheme="minorHAnsi" w:cstheme="minorBidi"/>
          <w:i/>
          <w:iCs/>
        </w:rPr>
      </w:pPr>
      <w:bookmarkStart w:id="7" w:name="_Ref89779395"/>
      <w:r w:rsidRPr="41771A7D">
        <w:rPr>
          <w:rFonts w:asciiTheme="minorHAnsi" w:hAnsiTheme="minorHAnsi" w:cstheme="minorBidi"/>
        </w:rPr>
        <w:t xml:space="preserve">Table </w:t>
      </w:r>
      <w:r w:rsidRPr="41771A7D">
        <w:rPr>
          <w:rFonts w:asciiTheme="minorHAnsi" w:hAnsiTheme="minorHAnsi" w:cstheme="minorBidi"/>
        </w:rPr>
        <w:fldChar w:fldCharType="begin"/>
      </w:r>
      <w:r w:rsidRPr="41771A7D">
        <w:rPr>
          <w:rFonts w:asciiTheme="minorHAnsi" w:hAnsiTheme="minorHAnsi" w:cstheme="minorBidi"/>
        </w:rPr>
        <w:instrText xml:space="preserve"> SEQ Table \* ARABIC </w:instrText>
      </w:r>
      <w:r w:rsidRPr="41771A7D">
        <w:rPr>
          <w:rFonts w:asciiTheme="minorHAnsi" w:hAnsiTheme="minorHAnsi" w:cstheme="minorBidi"/>
        </w:rPr>
        <w:fldChar w:fldCharType="separate"/>
      </w:r>
      <w:r w:rsidRPr="41771A7D" w:rsidR="00C82C2C">
        <w:rPr>
          <w:rFonts w:asciiTheme="minorHAnsi" w:hAnsiTheme="minorHAnsi" w:cstheme="minorBidi"/>
          <w:noProof/>
        </w:rPr>
        <w:t>2</w:t>
      </w:r>
      <w:r w:rsidRPr="41771A7D">
        <w:rPr>
          <w:rFonts w:asciiTheme="minorHAnsi" w:hAnsiTheme="minorHAnsi" w:cstheme="minorBidi"/>
          <w:noProof/>
        </w:rPr>
        <w:fldChar w:fldCharType="end"/>
      </w:r>
      <w:bookmarkEnd w:id="7"/>
      <w:r w:rsidRPr="41771A7D">
        <w:rPr>
          <w:rFonts w:asciiTheme="minorHAnsi" w:hAnsiTheme="minorHAnsi" w:cstheme="minorBidi"/>
        </w:rPr>
        <w:t xml:space="preserve">: </w:t>
      </w:r>
      <w:r w:rsidRPr="41771A7D" w:rsidR="227919C8">
        <w:rPr>
          <w:rFonts w:asciiTheme="minorHAnsi" w:hAnsiTheme="minorHAnsi" w:cstheme="minorBidi"/>
        </w:rPr>
        <w:t xml:space="preserve">TSCA </w:t>
      </w:r>
      <w:r w:rsidRPr="41771A7D">
        <w:rPr>
          <w:rFonts w:asciiTheme="minorHAnsi" w:hAnsiTheme="minorHAnsi" w:cstheme="minorBidi"/>
        </w:rPr>
        <w:t>Section 8(e) and FYI Submission Unit and Total Burden</w:t>
      </w:r>
    </w:p>
    <w:tbl>
      <w:tblPr>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5"/>
        <w:gridCol w:w="1082"/>
        <w:gridCol w:w="1190"/>
        <w:gridCol w:w="1080"/>
        <w:gridCol w:w="863"/>
        <w:gridCol w:w="1049"/>
        <w:gridCol w:w="1110"/>
        <w:gridCol w:w="1305"/>
        <w:gridCol w:w="1238"/>
      </w:tblGrid>
      <w:tr w14:paraId="5DAF645A" w14:textId="77777777" w:rsidTr="4A3DF14F">
        <w:tblPrEx>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25"/>
        </w:trPr>
        <w:tc>
          <w:tcPr>
            <w:tcW w:w="1305" w:type="dxa"/>
            <w:shd w:val="clear" w:color="auto" w:fill="D9D9D9" w:themeFill="background1" w:themeFillShade="D9"/>
            <w:vAlign w:val="center"/>
            <w:hideMark/>
          </w:tcPr>
          <w:p w:rsidR="00A26266" w:rsidRPr="00D95784" w:rsidP="7FC729C5" w14:paraId="0C121D19" w14:textId="1AF1AB00">
            <w:pPr>
              <w:rPr>
                <w:rFonts w:asciiTheme="minorHAnsi" w:hAnsiTheme="minorHAnsi"/>
                <w:b/>
                <w:bCs/>
                <w:color w:val="000000"/>
                <w:sz w:val="20"/>
                <w:szCs w:val="20"/>
              </w:rPr>
            </w:pPr>
            <w:bookmarkStart w:id="8" w:name="_Hlk193811680"/>
            <w:r w:rsidRPr="001C738B">
              <w:rPr>
                <w:rFonts w:asciiTheme="minorHAnsi" w:hAnsiTheme="minorHAnsi"/>
                <w:b/>
                <w:bCs/>
                <w:color w:val="000000" w:themeColor="text1"/>
                <w:sz w:val="20"/>
                <w:szCs w:val="20"/>
              </w:rPr>
              <w:t>Activity</w:t>
            </w:r>
          </w:p>
        </w:tc>
        <w:tc>
          <w:tcPr>
            <w:tcW w:w="1082" w:type="dxa"/>
            <w:shd w:val="clear" w:color="auto" w:fill="D9D9D9" w:themeFill="background1" w:themeFillShade="D9"/>
            <w:vAlign w:val="center"/>
          </w:tcPr>
          <w:p w:rsidR="00A26266" w:rsidRPr="00D95784" w:rsidP="7FC729C5" w14:paraId="46CDF7F0" w14:textId="664A3FDA">
            <w:pPr>
              <w:rPr>
                <w:rFonts w:asciiTheme="minorHAnsi" w:hAnsiTheme="minorHAnsi"/>
                <w:b/>
                <w:bCs/>
                <w:color w:val="000000"/>
                <w:sz w:val="20"/>
                <w:szCs w:val="20"/>
              </w:rPr>
            </w:pPr>
            <w:r w:rsidRPr="00D95784">
              <w:rPr>
                <w:rFonts w:asciiTheme="minorHAnsi" w:hAnsiTheme="minorHAnsi"/>
                <w:b/>
                <w:bCs/>
                <w:color w:val="000000" w:themeColor="text1"/>
                <w:sz w:val="20"/>
                <w:szCs w:val="20"/>
              </w:rPr>
              <w:t>Mode</w:t>
            </w:r>
          </w:p>
        </w:tc>
        <w:tc>
          <w:tcPr>
            <w:tcW w:w="3133" w:type="dxa"/>
            <w:gridSpan w:val="3"/>
            <w:shd w:val="clear" w:color="auto" w:fill="D9D9D9" w:themeFill="background1" w:themeFillShade="D9"/>
            <w:vAlign w:val="center"/>
            <w:hideMark/>
          </w:tcPr>
          <w:p w:rsidR="00A26266" w:rsidRPr="001C738B" w:rsidP="7FC729C5" w14:paraId="2DF31137" w14:textId="4439F145">
            <w:pPr>
              <w:rPr>
                <w:rFonts w:asciiTheme="minorHAnsi" w:hAnsiTheme="minorHAnsi"/>
                <w:b/>
                <w:bCs/>
                <w:color w:val="000000"/>
                <w:sz w:val="20"/>
                <w:szCs w:val="20"/>
              </w:rPr>
            </w:pPr>
            <w:r w:rsidRPr="001C738B">
              <w:rPr>
                <w:rFonts w:asciiTheme="minorHAnsi" w:hAnsiTheme="minorHAnsi"/>
                <w:b/>
                <w:bCs/>
                <w:color w:val="000000" w:themeColor="text1"/>
                <w:sz w:val="20"/>
                <w:szCs w:val="20"/>
              </w:rPr>
              <w:t xml:space="preserve">Hours per Submission                       </w:t>
            </w:r>
          </w:p>
        </w:tc>
        <w:tc>
          <w:tcPr>
            <w:tcW w:w="1049" w:type="dxa"/>
            <w:shd w:val="clear" w:color="auto" w:fill="D9D9D9" w:themeFill="background1" w:themeFillShade="D9"/>
            <w:vAlign w:val="center"/>
            <w:hideMark/>
          </w:tcPr>
          <w:p w:rsidR="00A26266" w:rsidRPr="00D95784" w:rsidP="7FC729C5" w14:paraId="60E8293F" w14:textId="1D731E31">
            <w:pPr>
              <w:rPr>
                <w:rFonts w:asciiTheme="minorHAnsi" w:hAnsiTheme="minorHAnsi"/>
                <w:b/>
                <w:bCs/>
                <w:color w:val="000000" w:themeColor="text1"/>
                <w:sz w:val="20"/>
                <w:szCs w:val="20"/>
              </w:rPr>
            </w:pPr>
            <w:r w:rsidRPr="00D95784">
              <w:rPr>
                <w:rFonts w:asciiTheme="minorHAnsi" w:hAnsiTheme="minorHAnsi"/>
                <w:b/>
                <w:bCs/>
                <w:color w:val="000000" w:themeColor="text1"/>
                <w:sz w:val="20"/>
                <w:szCs w:val="20"/>
              </w:rPr>
              <w:t>Unit Burden (</w:t>
            </w:r>
            <w:r w:rsidR="001C738B">
              <w:rPr>
                <w:rFonts w:asciiTheme="minorHAnsi" w:hAnsiTheme="minorHAnsi"/>
                <w:b/>
                <w:bCs/>
                <w:color w:val="000000" w:themeColor="text1"/>
                <w:sz w:val="20"/>
                <w:szCs w:val="20"/>
              </w:rPr>
              <w:t>hrs</w:t>
            </w:r>
            <w:r w:rsidRPr="00D95784">
              <w:rPr>
                <w:rFonts w:asciiTheme="minorHAnsi" w:hAnsiTheme="minorHAnsi"/>
                <w:b/>
                <w:bCs/>
                <w:color w:val="000000" w:themeColor="text1"/>
                <w:sz w:val="20"/>
                <w:szCs w:val="20"/>
              </w:rPr>
              <w:t>)</w:t>
            </w:r>
          </w:p>
        </w:tc>
        <w:tc>
          <w:tcPr>
            <w:tcW w:w="1110" w:type="dxa"/>
            <w:shd w:val="clear" w:color="auto" w:fill="D9D9D9" w:themeFill="background1" w:themeFillShade="D9"/>
            <w:vAlign w:val="center"/>
            <w:hideMark/>
          </w:tcPr>
          <w:p w:rsidR="00A26266" w:rsidRPr="00D95784" w:rsidP="7FC729C5" w14:paraId="45832D8E" w14:textId="26618EB1">
            <w:pPr>
              <w:rPr>
                <w:rFonts w:asciiTheme="minorHAnsi" w:hAnsiTheme="minorHAnsi"/>
                <w:b/>
                <w:bCs/>
                <w:color w:val="000000" w:themeColor="text1"/>
                <w:sz w:val="20"/>
                <w:szCs w:val="20"/>
              </w:rPr>
            </w:pPr>
            <w:r w:rsidRPr="00D95784">
              <w:rPr>
                <w:rFonts w:asciiTheme="minorHAnsi" w:hAnsiTheme="minorHAnsi"/>
                <w:b/>
                <w:bCs/>
                <w:color w:val="000000" w:themeColor="text1"/>
                <w:sz w:val="20"/>
                <w:szCs w:val="20"/>
              </w:rPr>
              <w:t xml:space="preserve"># </w:t>
            </w:r>
            <w:r w:rsidRPr="00D95784" w:rsidR="007971F9">
              <w:rPr>
                <w:rFonts w:asciiTheme="minorHAnsi" w:hAnsiTheme="minorHAnsi"/>
                <w:b/>
                <w:bCs/>
                <w:color w:val="000000" w:themeColor="text1"/>
                <w:sz w:val="20"/>
                <w:szCs w:val="20"/>
              </w:rPr>
              <w:t>of Responses</w:t>
            </w:r>
          </w:p>
        </w:tc>
        <w:tc>
          <w:tcPr>
            <w:tcW w:w="1305" w:type="dxa"/>
            <w:shd w:val="clear" w:color="auto" w:fill="D9D9D9" w:themeFill="background1" w:themeFillShade="D9"/>
            <w:vAlign w:val="center"/>
            <w:hideMark/>
          </w:tcPr>
          <w:p w:rsidR="00A26266" w:rsidRPr="00D95784" w:rsidP="7FC729C5" w14:paraId="547767FE" w14:textId="0C71AA3E">
            <w:pPr>
              <w:rPr>
                <w:rFonts w:asciiTheme="minorHAnsi" w:hAnsiTheme="minorHAnsi"/>
                <w:b/>
                <w:bCs/>
                <w:color w:val="000000" w:themeColor="text1"/>
                <w:sz w:val="20"/>
                <w:szCs w:val="20"/>
              </w:rPr>
            </w:pPr>
            <w:r w:rsidRPr="00D95784">
              <w:rPr>
                <w:rFonts w:asciiTheme="minorHAnsi" w:hAnsiTheme="minorHAnsi"/>
                <w:b/>
                <w:bCs/>
                <w:color w:val="000000" w:themeColor="text1"/>
                <w:sz w:val="20"/>
                <w:szCs w:val="20"/>
              </w:rPr>
              <w:t xml:space="preserve"># </w:t>
            </w:r>
            <w:r w:rsidRPr="00D95784" w:rsidR="007971F9">
              <w:rPr>
                <w:rFonts w:asciiTheme="minorHAnsi" w:hAnsiTheme="minorHAnsi"/>
                <w:b/>
                <w:bCs/>
                <w:color w:val="000000" w:themeColor="text1"/>
                <w:sz w:val="20"/>
                <w:szCs w:val="20"/>
              </w:rPr>
              <w:t>of Respondents</w:t>
            </w:r>
          </w:p>
        </w:tc>
        <w:tc>
          <w:tcPr>
            <w:tcW w:w="1238" w:type="dxa"/>
            <w:shd w:val="clear" w:color="auto" w:fill="D9D9D9" w:themeFill="background1" w:themeFillShade="D9"/>
            <w:vAlign w:val="center"/>
            <w:hideMark/>
          </w:tcPr>
          <w:p w:rsidR="00A26266" w:rsidRPr="00D95784" w:rsidP="7FC729C5" w14:paraId="03DD5916" w14:textId="77777777">
            <w:pPr>
              <w:rPr>
                <w:rFonts w:asciiTheme="minorHAnsi" w:hAnsiTheme="minorHAnsi"/>
                <w:b/>
                <w:bCs/>
                <w:color w:val="000000"/>
                <w:sz w:val="20"/>
                <w:szCs w:val="20"/>
              </w:rPr>
            </w:pPr>
            <w:r w:rsidRPr="00D95784">
              <w:rPr>
                <w:rFonts w:asciiTheme="minorHAnsi" w:hAnsiTheme="minorHAnsi"/>
                <w:b/>
                <w:bCs/>
                <w:color w:val="000000" w:themeColor="text1"/>
                <w:sz w:val="20"/>
                <w:szCs w:val="20"/>
              </w:rPr>
              <w:t>Total Annual Burden</w:t>
            </w:r>
          </w:p>
        </w:tc>
      </w:tr>
      <w:tr w14:paraId="6C0F280E" w14:textId="77777777" w:rsidTr="4A3DF14F">
        <w:tblPrEx>
          <w:tblW w:w="10222" w:type="dxa"/>
          <w:tblLook w:val="04A0"/>
        </w:tblPrEx>
        <w:trPr>
          <w:trHeight w:val="300"/>
        </w:trPr>
        <w:tc>
          <w:tcPr>
            <w:tcW w:w="1305" w:type="dxa"/>
            <w:shd w:val="clear" w:color="auto" w:fill="D9D9D9" w:themeFill="background1" w:themeFillShade="D9"/>
            <w:noWrap/>
            <w:vAlign w:val="center"/>
            <w:hideMark/>
          </w:tcPr>
          <w:p w:rsidR="00A26266" w:rsidRPr="004A169C" w:rsidP="7FC729C5" w14:paraId="2CA9B5DA" w14:textId="77777777">
            <w:pPr>
              <w:rPr>
                <w:rFonts w:asciiTheme="minorHAnsi" w:hAnsiTheme="minorHAnsi"/>
                <w:b/>
                <w:bCs/>
                <w:color w:val="000000"/>
                <w:sz w:val="20"/>
                <w:szCs w:val="20"/>
              </w:rPr>
            </w:pPr>
            <w:r w:rsidRPr="7FC729C5">
              <w:rPr>
                <w:rFonts w:asciiTheme="minorHAnsi" w:hAnsiTheme="minorHAnsi"/>
                <w:b/>
                <w:bCs/>
                <w:color w:val="000000" w:themeColor="text1"/>
                <w:sz w:val="20"/>
                <w:szCs w:val="20"/>
              </w:rPr>
              <w:t> </w:t>
            </w:r>
          </w:p>
        </w:tc>
        <w:tc>
          <w:tcPr>
            <w:tcW w:w="1082" w:type="dxa"/>
            <w:shd w:val="clear" w:color="auto" w:fill="D9D9D9" w:themeFill="background1" w:themeFillShade="D9"/>
            <w:vAlign w:val="center"/>
          </w:tcPr>
          <w:p w:rsidR="00A26266" w:rsidRPr="004A169C" w:rsidP="7FC729C5" w14:paraId="199DA6D1" w14:textId="77777777">
            <w:pPr>
              <w:rPr>
                <w:rFonts w:asciiTheme="minorHAnsi" w:hAnsiTheme="minorHAnsi"/>
                <w:b/>
                <w:bCs/>
                <w:color w:val="000000"/>
                <w:sz w:val="20"/>
                <w:szCs w:val="20"/>
              </w:rPr>
            </w:pPr>
          </w:p>
        </w:tc>
        <w:tc>
          <w:tcPr>
            <w:tcW w:w="1190" w:type="dxa"/>
            <w:shd w:val="clear" w:color="auto" w:fill="D9D9D9" w:themeFill="background1" w:themeFillShade="D9"/>
            <w:noWrap/>
            <w:vAlign w:val="center"/>
            <w:hideMark/>
          </w:tcPr>
          <w:p w:rsidR="00A26266" w:rsidRPr="00D95784" w:rsidP="7FC729C5" w14:paraId="05B227EB" w14:textId="3C97762E">
            <w:pPr>
              <w:rPr>
                <w:rFonts w:asciiTheme="minorHAnsi" w:hAnsiTheme="minorHAnsi"/>
                <w:b/>
                <w:bCs/>
                <w:color w:val="000000"/>
                <w:sz w:val="20"/>
                <w:szCs w:val="20"/>
              </w:rPr>
            </w:pPr>
            <w:r w:rsidRPr="00D95784">
              <w:rPr>
                <w:rFonts w:asciiTheme="minorHAnsi" w:hAnsiTheme="minorHAnsi"/>
                <w:b/>
                <w:bCs/>
                <w:color w:val="000000" w:themeColor="text1"/>
                <w:sz w:val="20"/>
                <w:szCs w:val="20"/>
              </w:rPr>
              <w:t>Managerial</w:t>
            </w:r>
          </w:p>
        </w:tc>
        <w:tc>
          <w:tcPr>
            <w:tcW w:w="1080" w:type="dxa"/>
            <w:shd w:val="clear" w:color="auto" w:fill="D9D9D9" w:themeFill="background1" w:themeFillShade="D9"/>
            <w:noWrap/>
            <w:vAlign w:val="center"/>
            <w:hideMark/>
          </w:tcPr>
          <w:p w:rsidR="00A26266" w:rsidRPr="00D95784" w:rsidP="7FC729C5" w14:paraId="1EB20CEF" w14:textId="71CAFC37">
            <w:pPr>
              <w:rPr>
                <w:rFonts w:asciiTheme="minorHAnsi" w:hAnsiTheme="minorHAnsi"/>
                <w:b/>
                <w:bCs/>
                <w:color w:val="000000"/>
                <w:sz w:val="20"/>
                <w:szCs w:val="20"/>
              </w:rPr>
            </w:pPr>
            <w:r w:rsidRPr="00D95784">
              <w:rPr>
                <w:rFonts w:asciiTheme="minorHAnsi" w:hAnsiTheme="minorHAnsi"/>
                <w:b/>
                <w:bCs/>
                <w:color w:val="000000" w:themeColor="text1"/>
                <w:sz w:val="20"/>
                <w:szCs w:val="20"/>
              </w:rPr>
              <w:t>Technica</w:t>
            </w:r>
            <w:r w:rsidRPr="00D95784" w:rsidR="100AEC6C">
              <w:rPr>
                <w:rFonts w:asciiTheme="minorHAnsi" w:hAnsiTheme="minorHAnsi"/>
                <w:b/>
                <w:bCs/>
                <w:color w:val="000000" w:themeColor="text1"/>
                <w:sz w:val="20"/>
                <w:szCs w:val="20"/>
              </w:rPr>
              <w:t>l</w:t>
            </w:r>
          </w:p>
        </w:tc>
        <w:tc>
          <w:tcPr>
            <w:tcW w:w="863" w:type="dxa"/>
            <w:shd w:val="clear" w:color="auto" w:fill="D9D9D9" w:themeFill="background1" w:themeFillShade="D9"/>
            <w:noWrap/>
            <w:vAlign w:val="center"/>
            <w:hideMark/>
          </w:tcPr>
          <w:p w:rsidR="00A26266" w:rsidRPr="00D95784" w:rsidP="7FC729C5" w14:paraId="2FA6E6E5" w14:textId="1DA5B7D1">
            <w:pPr>
              <w:rPr>
                <w:rFonts w:asciiTheme="minorHAnsi" w:hAnsiTheme="minorHAnsi"/>
                <w:b/>
                <w:bCs/>
                <w:color w:val="000000"/>
                <w:sz w:val="20"/>
                <w:szCs w:val="20"/>
              </w:rPr>
            </w:pPr>
            <w:r w:rsidRPr="00D95784">
              <w:rPr>
                <w:rFonts w:asciiTheme="minorHAnsi" w:hAnsiTheme="minorHAnsi"/>
                <w:b/>
                <w:bCs/>
                <w:color w:val="000000" w:themeColor="text1"/>
                <w:sz w:val="20"/>
                <w:szCs w:val="20"/>
              </w:rPr>
              <w:t>Clerica</w:t>
            </w:r>
            <w:r w:rsidRPr="00D95784" w:rsidR="33B1BD8E">
              <w:rPr>
                <w:rFonts w:asciiTheme="minorHAnsi" w:hAnsiTheme="minorHAnsi"/>
                <w:b/>
                <w:bCs/>
                <w:color w:val="000000" w:themeColor="text1"/>
                <w:sz w:val="20"/>
                <w:szCs w:val="20"/>
              </w:rPr>
              <w:t>l</w:t>
            </w:r>
          </w:p>
        </w:tc>
        <w:tc>
          <w:tcPr>
            <w:tcW w:w="1049" w:type="dxa"/>
            <w:shd w:val="clear" w:color="auto" w:fill="D9D9D9" w:themeFill="background1" w:themeFillShade="D9"/>
            <w:noWrap/>
            <w:vAlign w:val="center"/>
            <w:hideMark/>
          </w:tcPr>
          <w:p w:rsidR="00A26266" w:rsidRPr="004A169C" w:rsidP="7FC729C5" w14:paraId="30F4B044" w14:textId="77777777">
            <w:pPr>
              <w:rPr>
                <w:rFonts w:asciiTheme="minorHAnsi" w:hAnsiTheme="minorHAnsi"/>
                <w:b/>
                <w:bCs/>
                <w:color w:val="000000"/>
                <w:sz w:val="20"/>
                <w:szCs w:val="20"/>
              </w:rPr>
            </w:pPr>
            <w:r w:rsidRPr="7FC729C5">
              <w:rPr>
                <w:rFonts w:asciiTheme="minorHAnsi" w:hAnsiTheme="minorHAnsi"/>
                <w:b/>
                <w:bCs/>
                <w:color w:val="000000" w:themeColor="text1"/>
                <w:sz w:val="20"/>
                <w:szCs w:val="20"/>
              </w:rPr>
              <w:t> </w:t>
            </w:r>
          </w:p>
        </w:tc>
        <w:tc>
          <w:tcPr>
            <w:tcW w:w="1110" w:type="dxa"/>
            <w:shd w:val="clear" w:color="auto" w:fill="D9D9D9" w:themeFill="background1" w:themeFillShade="D9"/>
            <w:noWrap/>
            <w:vAlign w:val="center"/>
            <w:hideMark/>
          </w:tcPr>
          <w:p w:rsidR="00A26266" w:rsidRPr="004A169C" w:rsidP="7FC729C5" w14:paraId="361AE8B6" w14:textId="77777777">
            <w:pPr>
              <w:rPr>
                <w:rFonts w:asciiTheme="minorHAnsi" w:hAnsiTheme="minorHAnsi"/>
                <w:b/>
                <w:bCs/>
                <w:color w:val="000000"/>
                <w:sz w:val="20"/>
                <w:szCs w:val="20"/>
              </w:rPr>
            </w:pPr>
            <w:r w:rsidRPr="7FC729C5">
              <w:rPr>
                <w:rFonts w:asciiTheme="minorHAnsi" w:hAnsiTheme="minorHAnsi"/>
                <w:b/>
                <w:bCs/>
                <w:color w:val="000000" w:themeColor="text1"/>
                <w:sz w:val="20"/>
                <w:szCs w:val="20"/>
              </w:rPr>
              <w:t> </w:t>
            </w:r>
          </w:p>
        </w:tc>
        <w:tc>
          <w:tcPr>
            <w:tcW w:w="1305" w:type="dxa"/>
            <w:shd w:val="clear" w:color="auto" w:fill="D9D9D9" w:themeFill="background1" w:themeFillShade="D9"/>
            <w:noWrap/>
            <w:vAlign w:val="center"/>
            <w:hideMark/>
          </w:tcPr>
          <w:p w:rsidR="00A26266" w:rsidRPr="004A169C" w:rsidP="7FC729C5" w14:paraId="415E56F3" w14:textId="77777777">
            <w:pPr>
              <w:rPr>
                <w:rFonts w:asciiTheme="minorHAnsi" w:hAnsiTheme="minorHAnsi"/>
                <w:b/>
                <w:bCs/>
                <w:color w:val="000000"/>
                <w:sz w:val="20"/>
                <w:szCs w:val="20"/>
              </w:rPr>
            </w:pPr>
            <w:r w:rsidRPr="7FC729C5">
              <w:rPr>
                <w:rFonts w:asciiTheme="minorHAnsi" w:hAnsiTheme="minorHAnsi"/>
                <w:b/>
                <w:bCs/>
                <w:color w:val="000000" w:themeColor="text1"/>
                <w:sz w:val="20"/>
                <w:szCs w:val="20"/>
              </w:rPr>
              <w:t> </w:t>
            </w:r>
          </w:p>
        </w:tc>
        <w:tc>
          <w:tcPr>
            <w:tcW w:w="1238" w:type="dxa"/>
            <w:shd w:val="clear" w:color="auto" w:fill="D9D9D9" w:themeFill="background1" w:themeFillShade="D9"/>
            <w:noWrap/>
            <w:vAlign w:val="center"/>
            <w:hideMark/>
          </w:tcPr>
          <w:p w:rsidR="00A26266" w:rsidRPr="004A169C" w:rsidP="7FC729C5" w14:paraId="5B3A7108" w14:textId="77777777">
            <w:pPr>
              <w:rPr>
                <w:rFonts w:asciiTheme="minorHAnsi" w:hAnsiTheme="minorHAnsi"/>
                <w:b/>
                <w:bCs/>
                <w:color w:val="000000"/>
                <w:sz w:val="20"/>
                <w:szCs w:val="20"/>
              </w:rPr>
            </w:pPr>
            <w:r w:rsidRPr="7FC729C5">
              <w:rPr>
                <w:rFonts w:asciiTheme="minorHAnsi" w:hAnsiTheme="minorHAnsi"/>
                <w:b/>
                <w:bCs/>
                <w:color w:val="000000" w:themeColor="text1"/>
                <w:sz w:val="20"/>
                <w:szCs w:val="20"/>
              </w:rPr>
              <w:t> </w:t>
            </w:r>
          </w:p>
        </w:tc>
      </w:tr>
      <w:tr w14:paraId="66498AA9" w14:textId="77777777" w:rsidTr="4A3DF14F">
        <w:tblPrEx>
          <w:tblW w:w="10222" w:type="dxa"/>
          <w:tblLook w:val="04A0"/>
        </w:tblPrEx>
        <w:trPr>
          <w:trHeight w:val="525"/>
        </w:trPr>
        <w:tc>
          <w:tcPr>
            <w:tcW w:w="1305" w:type="dxa"/>
            <w:vMerge w:val="restart"/>
            <w:vAlign w:val="center"/>
            <w:hideMark/>
          </w:tcPr>
          <w:p w:rsidR="00D32238" w:rsidRPr="004A169C" w:rsidP="1CC48348" w14:paraId="1C808D5C" w14:textId="594D6324">
            <w:pPr>
              <w:rPr>
                <w:rFonts w:asciiTheme="minorHAnsi" w:hAnsiTheme="minorHAnsi"/>
                <w:i/>
                <w:iCs/>
                <w:color w:val="000000"/>
                <w:sz w:val="20"/>
                <w:szCs w:val="20"/>
              </w:rPr>
            </w:pPr>
            <w:r w:rsidRPr="1CC48348">
              <w:rPr>
                <w:rFonts w:asciiTheme="minorHAnsi" w:hAnsiTheme="minorHAnsi"/>
                <w:i/>
                <w:iCs/>
                <w:color w:val="000000" w:themeColor="text1"/>
                <w:sz w:val="20"/>
                <w:szCs w:val="20"/>
              </w:rPr>
              <w:t xml:space="preserve">TSCA </w:t>
            </w:r>
            <w:r w:rsidR="001C738B">
              <w:rPr>
                <w:rFonts w:asciiTheme="minorHAnsi" w:hAnsiTheme="minorHAnsi"/>
                <w:i/>
                <w:iCs/>
                <w:color w:val="000000" w:themeColor="text1"/>
                <w:sz w:val="20"/>
                <w:szCs w:val="20"/>
              </w:rPr>
              <w:t xml:space="preserve">Section </w:t>
            </w:r>
            <w:r w:rsidRPr="1CC48348" w:rsidR="007971F9">
              <w:rPr>
                <w:rFonts w:asciiTheme="minorHAnsi" w:hAnsiTheme="minorHAnsi"/>
                <w:i/>
                <w:iCs/>
                <w:color w:val="000000" w:themeColor="text1"/>
                <w:sz w:val="20"/>
                <w:szCs w:val="20"/>
              </w:rPr>
              <w:t>8(e) submission</w:t>
            </w:r>
          </w:p>
        </w:tc>
        <w:tc>
          <w:tcPr>
            <w:tcW w:w="1082" w:type="dxa"/>
            <w:vAlign w:val="center"/>
          </w:tcPr>
          <w:p w:rsidR="00D32238" w:rsidRPr="004A169C" w:rsidP="7FC729C5" w14:paraId="10311A5E" w14:textId="37B1FEF5">
            <w:pPr>
              <w:rPr>
                <w:rFonts w:asciiTheme="minorHAnsi" w:hAnsiTheme="minorHAnsi"/>
                <w:color w:val="000000"/>
                <w:sz w:val="20"/>
                <w:szCs w:val="20"/>
              </w:rPr>
            </w:pPr>
            <w:r w:rsidRPr="7FC729C5">
              <w:rPr>
                <w:rFonts w:asciiTheme="minorHAnsi" w:hAnsiTheme="minorHAnsi"/>
                <w:color w:val="000000" w:themeColor="text1"/>
                <w:sz w:val="20"/>
                <w:szCs w:val="20"/>
              </w:rPr>
              <w:t>Electronic</w:t>
            </w:r>
          </w:p>
        </w:tc>
        <w:tc>
          <w:tcPr>
            <w:tcW w:w="1190" w:type="dxa"/>
            <w:noWrap/>
            <w:vAlign w:val="center"/>
            <w:hideMark/>
          </w:tcPr>
          <w:p w:rsidR="00D32238" w:rsidRPr="004A169C" w:rsidP="00AA0CBB" w14:paraId="0ABBC809" w14:textId="609D5E22">
            <w:pPr>
              <w:jc w:val="center"/>
              <w:rPr>
                <w:rFonts w:asciiTheme="minorHAnsi" w:hAnsiTheme="minorHAnsi"/>
                <w:color w:val="000000"/>
                <w:sz w:val="20"/>
                <w:szCs w:val="20"/>
              </w:rPr>
            </w:pPr>
            <w:r w:rsidRPr="7FC729C5">
              <w:rPr>
                <w:rFonts w:asciiTheme="minorHAnsi" w:hAnsiTheme="minorHAnsi"/>
                <w:color w:val="000000" w:themeColor="text1"/>
                <w:sz w:val="20"/>
                <w:szCs w:val="20"/>
              </w:rPr>
              <w:t>49</w:t>
            </w:r>
          </w:p>
        </w:tc>
        <w:tc>
          <w:tcPr>
            <w:tcW w:w="1080" w:type="dxa"/>
            <w:noWrap/>
            <w:vAlign w:val="center"/>
            <w:hideMark/>
          </w:tcPr>
          <w:p w:rsidR="00D32238" w:rsidRPr="004A169C" w:rsidP="00AA0CBB" w14:paraId="60F5AAEE" w14:textId="77777777">
            <w:pPr>
              <w:jc w:val="center"/>
              <w:rPr>
                <w:rFonts w:asciiTheme="minorHAnsi" w:hAnsiTheme="minorHAnsi"/>
                <w:color w:val="000000"/>
                <w:sz w:val="20"/>
                <w:szCs w:val="20"/>
              </w:rPr>
            </w:pPr>
            <w:r w:rsidRPr="7FC729C5">
              <w:rPr>
                <w:rFonts w:asciiTheme="minorHAnsi" w:hAnsiTheme="minorHAnsi"/>
                <w:color w:val="000000" w:themeColor="text1"/>
                <w:sz w:val="20"/>
                <w:szCs w:val="20"/>
              </w:rPr>
              <w:t>0</w:t>
            </w:r>
          </w:p>
        </w:tc>
        <w:tc>
          <w:tcPr>
            <w:tcW w:w="863" w:type="dxa"/>
            <w:noWrap/>
            <w:vAlign w:val="center"/>
            <w:hideMark/>
          </w:tcPr>
          <w:p w:rsidR="00D32238" w:rsidRPr="004A169C" w:rsidP="00AA0CBB" w14:paraId="4BAB4600" w14:textId="77777777">
            <w:pPr>
              <w:jc w:val="center"/>
              <w:rPr>
                <w:rFonts w:asciiTheme="minorHAnsi" w:hAnsiTheme="minorHAnsi"/>
                <w:color w:val="000000"/>
                <w:sz w:val="20"/>
                <w:szCs w:val="20"/>
              </w:rPr>
            </w:pPr>
            <w:r w:rsidRPr="7FC729C5">
              <w:rPr>
                <w:rFonts w:asciiTheme="minorHAnsi" w:hAnsiTheme="minorHAnsi"/>
                <w:color w:val="000000" w:themeColor="text1"/>
                <w:sz w:val="20"/>
                <w:szCs w:val="20"/>
              </w:rPr>
              <w:t>1.06</w:t>
            </w:r>
          </w:p>
        </w:tc>
        <w:tc>
          <w:tcPr>
            <w:tcW w:w="1049" w:type="dxa"/>
            <w:noWrap/>
            <w:vAlign w:val="center"/>
            <w:hideMark/>
          </w:tcPr>
          <w:p w:rsidR="00D32238" w:rsidRPr="004A169C" w:rsidP="00AA0CBB" w14:paraId="04A94A2A" w14:textId="3BFE2CEE">
            <w:pPr>
              <w:jc w:val="center"/>
              <w:rPr>
                <w:rFonts w:asciiTheme="minorHAnsi" w:hAnsiTheme="minorHAnsi"/>
                <w:color w:val="000000"/>
                <w:sz w:val="20"/>
                <w:szCs w:val="20"/>
              </w:rPr>
            </w:pPr>
            <w:r w:rsidRPr="7FC729C5">
              <w:rPr>
                <w:rFonts w:asciiTheme="minorHAnsi" w:hAnsiTheme="minorHAnsi"/>
                <w:color w:val="000000" w:themeColor="text1"/>
                <w:sz w:val="20"/>
                <w:szCs w:val="20"/>
              </w:rPr>
              <w:t>50.06</w:t>
            </w:r>
          </w:p>
        </w:tc>
        <w:tc>
          <w:tcPr>
            <w:tcW w:w="1110" w:type="dxa"/>
            <w:noWrap/>
            <w:vAlign w:val="center"/>
          </w:tcPr>
          <w:p w:rsidR="00D32238" w:rsidRPr="004A169C" w:rsidP="00AA0CBB" w14:paraId="6D8EF0C4" w14:textId="17AC4A69">
            <w:pPr>
              <w:jc w:val="center"/>
              <w:rPr>
                <w:rFonts w:asciiTheme="minorHAnsi" w:hAnsiTheme="minorHAnsi"/>
                <w:color w:val="000000"/>
                <w:sz w:val="20"/>
                <w:szCs w:val="20"/>
              </w:rPr>
            </w:pPr>
            <w:r w:rsidRPr="7FC729C5">
              <w:rPr>
                <w:rFonts w:asciiTheme="minorHAnsi" w:hAnsiTheme="minorHAnsi"/>
                <w:color w:val="000000" w:themeColor="text1"/>
                <w:sz w:val="20"/>
                <w:szCs w:val="20"/>
              </w:rPr>
              <w:t>547</w:t>
            </w:r>
          </w:p>
        </w:tc>
        <w:tc>
          <w:tcPr>
            <w:tcW w:w="1305" w:type="dxa"/>
            <w:noWrap/>
            <w:vAlign w:val="center"/>
            <w:hideMark/>
          </w:tcPr>
          <w:p w:rsidR="00D32238" w:rsidRPr="004A169C" w:rsidP="00AA0CBB" w14:paraId="1FB7824C" w14:textId="47AF5BD0">
            <w:pPr>
              <w:jc w:val="center"/>
              <w:rPr>
                <w:rFonts w:asciiTheme="minorHAnsi" w:hAnsiTheme="minorHAnsi"/>
                <w:color w:val="000000"/>
                <w:sz w:val="20"/>
                <w:szCs w:val="20"/>
              </w:rPr>
            </w:pPr>
            <w:r w:rsidRPr="7FC729C5">
              <w:rPr>
                <w:rFonts w:asciiTheme="minorHAnsi" w:hAnsiTheme="minorHAnsi"/>
                <w:color w:val="000000" w:themeColor="text1"/>
                <w:sz w:val="20"/>
                <w:szCs w:val="20"/>
              </w:rPr>
              <w:t>32</w:t>
            </w:r>
          </w:p>
        </w:tc>
        <w:tc>
          <w:tcPr>
            <w:tcW w:w="1238" w:type="dxa"/>
            <w:noWrap/>
            <w:vAlign w:val="center"/>
          </w:tcPr>
          <w:p w:rsidR="00D32238" w:rsidRPr="004A169C" w:rsidP="00AA0CBB" w14:paraId="5E0E5115" w14:textId="2D6217DA">
            <w:pPr>
              <w:jc w:val="center"/>
              <w:rPr>
                <w:rFonts w:asciiTheme="minorHAnsi" w:hAnsiTheme="minorHAnsi"/>
                <w:color w:val="000000"/>
                <w:sz w:val="20"/>
                <w:szCs w:val="20"/>
              </w:rPr>
            </w:pPr>
            <w:r w:rsidRPr="7FC729C5">
              <w:rPr>
                <w:rFonts w:asciiTheme="minorHAnsi" w:hAnsiTheme="minorHAnsi"/>
                <w:color w:val="000000" w:themeColor="text1"/>
                <w:sz w:val="20"/>
                <w:szCs w:val="20"/>
              </w:rPr>
              <w:t>27,383</w:t>
            </w:r>
          </w:p>
        </w:tc>
      </w:tr>
      <w:tr w14:paraId="6C466E5A" w14:textId="77777777" w:rsidTr="4A3DF14F">
        <w:tblPrEx>
          <w:tblW w:w="10222" w:type="dxa"/>
          <w:tblLook w:val="04A0"/>
        </w:tblPrEx>
        <w:trPr>
          <w:trHeight w:val="525"/>
        </w:trPr>
        <w:tc>
          <w:tcPr>
            <w:tcW w:w="1305" w:type="dxa"/>
            <w:vMerge/>
            <w:vAlign w:val="center"/>
          </w:tcPr>
          <w:p w:rsidR="00D32238" w:rsidRPr="004A169C" w:rsidP="004A169C" w14:paraId="3AED212D" w14:textId="77777777">
            <w:pPr>
              <w:rPr>
                <w:rFonts w:asciiTheme="minorHAnsi" w:hAnsiTheme="minorHAnsi" w:cstheme="minorHAnsi"/>
                <w:color w:val="000000"/>
                <w:sz w:val="22"/>
              </w:rPr>
            </w:pPr>
          </w:p>
        </w:tc>
        <w:tc>
          <w:tcPr>
            <w:tcW w:w="1082" w:type="dxa"/>
            <w:vAlign w:val="center"/>
          </w:tcPr>
          <w:p w:rsidR="00D32238" w:rsidRPr="004A169C" w:rsidP="7FC729C5" w14:paraId="361E9723" w14:textId="45066A47">
            <w:pPr>
              <w:rPr>
                <w:rFonts w:asciiTheme="minorHAnsi" w:hAnsiTheme="minorHAnsi"/>
                <w:color w:val="000000"/>
                <w:sz w:val="20"/>
                <w:szCs w:val="20"/>
              </w:rPr>
            </w:pPr>
            <w:r w:rsidRPr="7FC729C5">
              <w:rPr>
                <w:rFonts w:asciiTheme="minorHAnsi" w:hAnsiTheme="minorHAnsi"/>
                <w:color w:val="000000" w:themeColor="text1"/>
                <w:sz w:val="20"/>
                <w:szCs w:val="20"/>
              </w:rPr>
              <w:t>Paper</w:t>
            </w:r>
          </w:p>
        </w:tc>
        <w:tc>
          <w:tcPr>
            <w:tcW w:w="1190" w:type="dxa"/>
            <w:noWrap/>
            <w:vAlign w:val="center"/>
          </w:tcPr>
          <w:p w:rsidR="00D32238" w:rsidRPr="004A169C" w:rsidP="00AA0CBB" w14:paraId="4E98E0BF" w14:textId="726FE811">
            <w:pPr>
              <w:jc w:val="center"/>
              <w:rPr>
                <w:rFonts w:asciiTheme="minorHAnsi" w:hAnsiTheme="minorHAnsi"/>
                <w:color w:val="000000"/>
                <w:sz w:val="20"/>
                <w:szCs w:val="20"/>
              </w:rPr>
            </w:pPr>
            <w:r w:rsidRPr="7FC729C5">
              <w:rPr>
                <w:rFonts w:asciiTheme="minorHAnsi" w:hAnsiTheme="minorHAnsi"/>
                <w:color w:val="000000" w:themeColor="text1"/>
                <w:sz w:val="20"/>
                <w:szCs w:val="20"/>
              </w:rPr>
              <w:t>49</w:t>
            </w:r>
          </w:p>
        </w:tc>
        <w:tc>
          <w:tcPr>
            <w:tcW w:w="1080" w:type="dxa"/>
            <w:noWrap/>
            <w:vAlign w:val="center"/>
          </w:tcPr>
          <w:p w:rsidR="00D32238" w:rsidRPr="004A169C" w:rsidP="00AA0CBB" w14:paraId="59F2E0B8" w14:textId="4A26BDAD">
            <w:pPr>
              <w:jc w:val="center"/>
              <w:rPr>
                <w:rFonts w:asciiTheme="minorHAnsi" w:hAnsiTheme="minorHAnsi"/>
                <w:color w:val="000000"/>
                <w:sz w:val="20"/>
                <w:szCs w:val="20"/>
              </w:rPr>
            </w:pPr>
            <w:r w:rsidRPr="7FC729C5">
              <w:rPr>
                <w:rFonts w:asciiTheme="minorHAnsi" w:hAnsiTheme="minorHAnsi"/>
                <w:color w:val="000000" w:themeColor="text1"/>
                <w:sz w:val="20"/>
                <w:szCs w:val="20"/>
              </w:rPr>
              <w:t>0</w:t>
            </w:r>
          </w:p>
        </w:tc>
        <w:tc>
          <w:tcPr>
            <w:tcW w:w="863" w:type="dxa"/>
            <w:noWrap/>
            <w:vAlign w:val="center"/>
          </w:tcPr>
          <w:p w:rsidR="00D32238" w:rsidRPr="004A169C" w:rsidP="00AA0CBB" w14:paraId="55A3CACF" w14:textId="4B476618">
            <w:pPr>
              <w:jc w:val="center"/>
              <w:rPr>
                <w:rFonts w:asciiTheme="minorHAnsi" w:hAnsiTheme="minorHAnsi"/>
                <w:color w:val="000000"/>
                <w:sz w:val="20"/>
                <w:szCs w:val="20"/>
              </w:rPr>
            </w:pPr>
            <w:r w:rsidRPr="7FC729C5">
              <w:rPr>
                <w:rFonts w:asciiTheme="minorHAnsi" w:hAnsiTheme="minorHAnsi"/>
                <w:color w:val="000000" w:themeColor="text1"/>
                <w:sz w:val="20"/>
                <w:szCs w:val="20"/>
              </w:rPr>
              <w:t>2</w:t>
            </w:r>
          </w:p>
        </w:tc>
        <w:tc>
          <w:tcPr>
            <w:tcW w:w="1049" w:type="dxa"/>
            <w:noWrap/>
            <w:vAlign w:val="center"/>
          </w:tcPr>
          <w:p w:rsidR="00D32238" w:rsidRPr="004A169C" w:rsidP="00AA0CBB" w14:paraId="07A84A7C" w14:textId="64B4F26F">
            <w:pPr>
              <w:jc w:val="center"/>
              <w:rPr>
                <w:rFonts w:asciiTheme="minorHAnsi" w:hAnsiTheme="minorHAnsi"/>
                <w:color w:val="000000"/>
                <w:sz w:val="20"/>
                <w:szCs w:val="20"/>
              </w:rPr>
            </w:pPr>
            <w:r w:rsidRPr="7FC729C5">
              <w:rPr>
                <w:rFonts w:asciiTheme="minorHAnsi" w:hAnsiTheme="minorHAnsi"/>
                <w:color w:val="000000" w:themeColor="text1"/>
                <w:sz w:val="20"/>
                <w:szCs w:val="20"/>
              </w:rPr>
              <w:t>51</w:t>
            </w:r>
          </w:p>
        </w:tc>
        <w:tc>
          <w:tcPr>
            <w:tcW w:w="1110" w:type="dxa"/>
            <w:noWrap/>
            <w:vAlign w:val="center"/>
          </w:tcPr>
          <w:p w:rsidR="00D32238" w:rsidRPr="004A169C" w:rsidP="00AA0CBB" w14:paraId="5E3E1E02" w14:textId="2739BF25">
            <w:pPr>
              <w:jc w:val="center"/>
              <w:rPr>
                <w:rFonts w:asciiTheme="minorHAnsi" w:hAnsiTheme="minorHAnsi"/>
                <w:color w:val="000000"/>
                <w:sz w:val="20"/>
                <w:szCs w:val="20"/>
              </w:rPr>
            </w:pPr>
            <w:r w:rsidRPr="7FC729C5">
              <w:rPr>
                <w:rFonts w:asciiTheme="minorHAnsi" w:hAnsiTheme="minorHAnsi"/>
                <w:color w:val="000000" w:themeColor="text1"/>
                <w:sz w:val="20"/>
                <w:szCs w:val="20"/>
              </w:rPr>
              <w:t>5</w:t>
            </w:r>
          </w:p>
        </w:tc>
        <w:tc>
          <w:tcPr>
            <w:tcW w:w="1305" w:type="dxa"/>
            <w:noWrap/>
            <w:vAlign w:val="center"/>
          </w:tcPr>
          <w:p w:rsidR="00D32238" w:rsidRPr="004A169C" w:rsidP="00AA0CBB" w14:paraId="10121DF4" w14:textId="6D66A3B7">
            <w:pPr>
              <w:jc w:val="center"/>
              <w:rPr>
                <w:rFonts w:asciiTheme="minorHAnsi" w:hAnsiTheme="minorHAnsi"/>
                <w:color w:val="000000"/>
                <w:sz w:val="20"/>
                <w:szCs w:val="20"/>
              </w:rPr>
            </w:pPr>
            <w:r w:rsidRPr="7FC729C5">
              <w:rPr>
                <w:rFonts w:asciiTheme="minorHAnsi" w:hAnsiTheme="minorHAnsi"/>
                <w:color w:val="000000" w:themeColor="text1"/>
                <w:sz w:val="20"/>
                <w:szCs w:val="20"/>
              </w:rPr>
              <w:t>3</w:t>
            </w:r>
          </w:p>
        </w:tc>
        <w:tc>
          <w:tcPr>
            <w:tcW w:w="1238" w:type="dxa"/>
            <w:noWrap/>
            <w:vAlign w:val="center"/>
          </w:tcPr>
          <w:p w:rsidR="00D32238" w:rsidRPr="004A169C" w:rsidP="00AA0CBB" w14:paraId="2213CA59" w14:textId="15A382F1">
            <w:pPr>
              <w:jc w:val="center"/>
              <w:rPr>
                <w:rFonts w:asciiTheme="minorHAnsi" w:hAnsiTheme="minorHAnsi"/>
                <w:color w:val="000000"/>
                <w:sz w:val="20"/>
                <w:szCs w:val="20"/>
              </w:rPr>
            </w:pPr>
            <w:r w:rsidRPr="7FC729C5">
              <w:rPr>
                <w:rFonts w:asciiTheme="minorHAnsi" w:hAnsiTheme="minorHAnsi"/>
                <w:color w:val="000000" w:themeColor="text1"/>
                <w:sz w:val="20"/>
                <w:szCs w:val="20"/>
              </w:rPr>
              <w:t>225</w:t>
            </w:r>
          </w:p>
        </w:tc>
      </w:tr>
      <w:tr w14:paraId="07EEFD17" w14:textId="77777777" w:rsidTr="4A3DF14F">
        <w:tblPrEx>
          <w:tblW w:w="10222" w:type="dxa"/>
          <w:tblLook w:val="04A0"/>
        </w:tblPrEx>
        <w:trPr>
          <w:trHeight w:val="288"/>
        </w:trPr>
        <w:tc>
          <w:tcPr>
            <w:tcW w:w="6569" w:type="dxa"/>
            <w:gridSpan w:val="6"/>
            <w:vAlign w:val="center"/>
          </w:tcPr>
          <w:p w:rsidR="001C738B" w:rsidRPr="001C738B" w:rsidP="7FC729C5" w14:paraId="38162B5E" w14:textId="3CF71F66">
            <w:pPr>
              <w:rPr>
                <w:rFonts w:asciiTheme="minorHAnsi" w:hAnsiTheme="minorHAnsi"/>
                <w:b/>
                <w:bCs/>
                <w:color w:val="000000"/>
                <w:sz w:val="20"/>
                <w:szCs w:val="20"/>
              </w:rPr>
            </w:pPr>
            <w:r w:rsidRPr="001C738B">
              <w:rPr>
                <w:rFonts w:asciiTheme="minorHAnsi" w:hAnsiTheme="minorHAnsi"/>
                <w:b/>
                <w:bCs/>
                <w:i/>
                <w:iCs/>
                <w:color w:val="000000" w:themeColor="text1"/>
                <w:sz w:val="20"/>
                <w:szCs w:val="20"/>
              </w:rPr>
              <w:t xml:space="preserve">Subtotal TSCA </w:t>
            </w:r>
            <w:r>
              <w:rPr>
                <w:rFonts w:asciiTheme="minorHAnsi" w:hAnsiTheme="minorHAnsi"/>
                <w:b/>
                <w:bCs/>
                <w:i/>
                <w:iCs/>
                <w:color w:val="000000" w:themeColor="text1"/>
                <w:sz w:val="20"/>
                <w:szCs w:val="20"/>
              </w:rPr>
              <w:t xml:space="preserve">Section </w:t>
            </w:r>
            <w:r w:rsidRPr="001C738B">
              <w:rPr>
                <w:rFonts w:asciiTheme="minorHAnsi" w:hAnsiTheme="minorHAnsi"/>
                <w:b/>
                <w:bCs/>
                <w:i/>
                <w:iCs/>
                <w:color w:val="000000" w:themeColor="text1"/>
                <w:sz w:val="20"/>
                <w:szCs w:val="20"/>
              </w:rPr>
              <w:t>8(e)</w:t>
            </w:r>
          </w:p>
        </w:tc>
        <w:tc>
          <w:tcPr>
            <w:tcW w:w="1110" w:type="dxa"/>
            <w:noWrap/>
            <w:vAlign w:val="center"/>
          </w:tcPr>
          <w:p w:rsidR="001C738B" w:rsidRPr="001C738B" w:rsidP="00AA0CBB" w14:paraId="458A82A0" w14:textId="3CE31AE9">
            <w:pPr>
              <w:jc w:val="center"/>
              <w:rPr>
                <w:rFonts w:asciiTheme="minorHAnsi" w:hAnsiTheme="minorHAnsi"/>
                <w:b/>
                <w:bCs/>
                <w:color w:val="000000"/>
                <w:sz w:val="20"/>
                <w:szCs w:val="20"/>
              </w:rPr>
            </w:pPr>
            <w:r w:rsidRPr="001C738B">
              <w:rPr>
                <w:rFonts w:asciiTheme="minorHAnsi" w:hAnsiTheme="minorHAnsi"/>
                <w:b/>
                <w:bCs/>
                <w:color w:val="000000" w:themeColor="text1"/>
                <w:sz w:val="20"/>
                <w:szCs w:val="20"/>
              </w:rPr>
              <w:t>552</w:t>
            </w:r>
          </w:p>
        </w:tc>
        <w:tc>
          <w:tcPr>
            <w:tcW w:w="1305" w:type="dxa"/>
            <w:noWrap/>
            <w:vAlign w:val="center"/>
          </w:tcPr>
          <w:p w:rsidR="001C738B" w:rsidRPr="001C738B" w:rsidP="00AA0CBB" w14:paraId="6DC206EB" w14:textId="6F8C41CC">
            <w:pPr>
              <w:jc w:val="center"/>
              <w:rPr>
                <w:rFonts w:asciiTheme="minorHAnsi" w:hAnsiTheme="minorHAnsi"/>
                <w:b/>
                <w:bCs/>
                <w:color w:val="000000"/>
                <w:sz w:val="20"/>
                <w:szCs w:val="20"/>
              </w:rPr>
            </w:pPr>
            <w:r w:rsidRPr="001C738B">
              <w:rPr>
                <w:rFonts w:asciiTheme="minorHAnsi" w:hAnsiTheme="minorHAnsi"/>
                <w:b/>
                <w:bCs/>
                <w:color w:val="000000" w:themeColor="text1"/>
                <w:sz w:val="20"/>
                <w:szCs w:val="20"/>
              </w:rPr>
              <w:t>35</w:t>
            </w:r>
          </w:p>
        </w:tc>
        <w:tc>
          <w:tcPr>
            <w:tcW w:w="1238" w:type="dxa"/>
            <w:noWrap/>
            <w:vAlign w:val="center"/>
          </w:tcPr>
          <w:p w:rsidR="001C738B" w:rsidRPr="001C738B" w:rsidP="00AA0CBB" w14:paraId="47905A8F" w14:textId="72C51130">
            <w:pPr>
              <w:jc w:val="center"/>
              <w:rPr>
                <w:rFonts w:asciiTheme="minorHAnsi" w:hAnsiTheme="minorHAnsi"/>
                <w:b/>
                <w:bCs/>
                <w:color w:val="000000"/>
                <w:sz w:val="20"/>
                <w:szCs w:val="20"/>
              </w:rPr>
            </w:pPr>
            <w:r w:rsidRPr="001C738B">
              <w:rPr>
                <w:rFonts w:asciiTheme="minorHAnsi" w:hAnsiTheme="minorHAnsi"/>
                <w:b/>
                <w:bCs/>
                <w:color w:val="000000" w:themeColor="text1"/>
                <w:sz w:val="20"/>
                <w:szCs w:val="20"/>
              </w:rPr>
              <w:t>27,608</w:t>
            </w:r>
          </w:p>
        </w:tc>
      </w:tr>
      <w:tr w14:paraId="668A6EDC" w14:textId="77777777" w:rsidTr="4A3DF14F">
        <w:tblPrEx>
          <w:tblW w:w="10222" w:type="dxa"/>
          <w:tblLook w:val="04A0"/>
        </w:tblPrEx>
        <w:trPr>
          <w:trHeight w:val="540"/>
        </w:trPr>
        <w:tc>
          <w:tcPr>
            <w:tcW w:w="1305" w:type="dxa"/>
            <w:vMerge w:val="restart"/>
            <w:vAlign w:val="center"/>
          </w:tcPr>
          <w:p w:rsidR="00D32238" w:rsidRPr="004A169C" w:rsidP="7FC729C5" w14:paraId="2E597526" w14:textId="2F8E0222">
            <w:pPr>
              <w:rPr>
                <w:rFonts w:asciiTheme="minorHAnsi" w:hAnsiTheme="minorHAnsi"/>
                <w:i/>
                <w:iCs/>
                <w:color w:val="000000"/>
                <w:sz w:val="20"/>
                <w:szCs w:val="20"/>
              </w:rPr>
            </w:pPr>
            <w:r w:rsidRPr="7FC729C5">
              <w:rPr>
                <w:rFonts w:asciiTheme="minorHAnsi" w:hAnsiTheme="minorHAnsi"/>
                <w:i/>
                <w:iCs/>
                <w:color w:val="000000" w:themeColor="text1"/>
                <w:sz w:val="20"/>
                <w:szCs w:val="20"/>
              </w:rPr>
              <w:t>FYI submission</w:t>
            </w:r>
          </w:p>
        </w:tc>
        <w:tc>
          <w:tcPr>
            <w:tcW w:w="1082" w:type="dxa"/>
            <w:vAlign w:val="center"/>
          </w:tcPr>
          <w:p w:rsidR="00D32238" w:rsidRPr="004A169C" w:rsidP="7FC729C5" w14:paraId="0FFD2B68" w14:textId="75F4B182">
            <w:pPr>
              <w:rPr>
                <w:rFonts w:asciiTheme="minorHAnsi" w:hAnsiTheme="minorHAnsi"/>
                <w:color w:val="000000"/>
                <w:sz w:val="20"/>
                <w:szCs w:val="20"/>
              </w:rPr>
            </w:pPr>
            <w:r w:rsidRPr="7FC729C5">
              <w:rPr>
                <w:rFonts w:asciiTheme="minorHAnsi" w:hAnsiTheme="minorHAnsi"/>
                <w:color w:val="000000" w:themeColor="text1"/>
                <w:sz w:val="20"/>
                <w:szCs w:val="20"/>
              </w:rPr>
              <w:t>Electronic</w:t>
            </w:r>
          </w:p>
        </w:tc>
        <w:tc>
          <w:tcPr>
            <w:tcW w:w="1190" w:type="dxa"/>
            <w:noWrap/>
            <w:vAlign w:val="center"/>
          </w:tcPr>
          <w:p w:rsidR="00D32238" w:rsidRPr="004A169C" w:rsidP="00AA0CBB" w14:paraId="38F00108" w14:textId="474ABC4A">
            <w:pPr>
              <w:jc w:val="center"/>
              <w:rPr>
                <w:rFonts w:asciiTheme="minorHAnsi" w:hAnsiTheme="minorHAnsi"/>
                <w:color w:val="000000"/>
                <w:sz w:val="20"/>
                <w:szCs w:val="20"/>
              </w:rPr>
            </w:pPr>
            <w:r w:rsidRPr="7FC729C5">
              <w:rPr>
                <w:rFonts w:asciiTheme="minorHAnsi" w:hAnsiTheme="minorHAnsi"/>
                <w:color w:val="000000" w:themeColor="text1"/>
                <w:sz w:val="20"/>
                <w:szCs w:val="20"/>
              </w:rPr>
              <w:t>49</w:t>
            </w:r>
          </w:p>
        </w:tc>
        <w:tc>
          <w:tcPr>
            <w:tcW w:w="1080" w:type="dxa"/>
            <w:noWrap/>
            <w:vAlign w:val="center"/>
          </w:tcPr>
          <w:p w:rsidR="00D32238" w:rsidRPr="004A169C" w:rsidP="00AA0CBB" w14:paraId="6A645BA8" w14:textId="19264AA9">
            <w:pPr>
              <w:jc w:val="center"/>
              <w:rPr>
                <w:rFonts w:asciiTheme="minorHAnsi" w:hAnsiTheme="minorHAnsi"/>
                <w:color w:val="000000"/>
                <w:sz w:val="20"/>
                <w:szCs w:val="20"/>
              </w:rPr>
            </w:pPr>
            <w:r w:rsidRPr="7FC729C5">
              <w:rPr>
                <w:rFonts w:asciiTheme="minorHAnsi" w:hAnsiTheme="minorHAnsi"/>
                <w:color w:val="000000" w:themeColor="text1"/>
                <w:sz w:val="20"/>
                <w:szCs w:val="20"/>
              </w:rPr>
              <w:t>0</w:t>
            </w:r>
          </w:p>
        </w:tc>
        <w:tc>
          <w:tcPr>
            <w:tcW w:w="863" w:type="dxa"/>
            <w:noWrap/>
            <w:vAlign w:val="center"/>
          </w:tcPr>
          <w:p w:rsidR="00D32238" w:rsidRPr="004A169C" w:rsidP="00AA0CBB" w14:paraId="271D2E60" w14:textId="6D0AFED2">
            <w:pPr>
              <w:jc w:val="center"/>
              <w:rPr>
                <w:rFonts w:asciiTheme="minorHAnsi" w:hAnsiTheme="minorHAnsi"/>
                <w:color w:val="000000"/>
                <w:sz w:val="20"/>
                <w:szCs w:val="20"/>
              </w:rPr>
            </w:pPr>
            <w:r w:rsidRPr="7FC729C5">
              <w:rPr>
                <w:rFonts w:asciiTheme="minorHAnsi" w:hAnsiTheme="minorHAnsi"/>
                <w:color w:val="000000" w:themeColor="text1"/>
                <w:sz w:val="20"/>
                <w:szCs w:val="20"/>
              </w:rPr>
              <w:t>1.06</w:t>
            </w:r>
          </w:p>
        </w:tc>
        <w:tc>
          <w:tcPr>
            <w:tcW w:w="1049" w:type="dxa"/>
            <w:noWrap/>
            <w:vAlign w:val="center"/>
          </w:tcPr>
          <w:p w:rsidR="00D32238" w:rsidRPr="004A169C" w:rsidP="00AA0CBB" w14:paraId="2588D365" w14:textId="59DEBECA">
            <w:pPr>
              <w:jc w:val="center"/>
              <w:rPr>
                <w:rFonts w:asciiTheme="minorHAnsi" w:hAnsiTheme="minorHAnsi"/>
                <w:color w:val="000000"/>
                <w:sz w:val="20"/>
                <w:szCs w:val="20"/>
              </w:rPr>
            </w:pPr>
            <w:r w:rsidRPr="7FC729C5">
              <w:rPr>
                <w:rFonts w:asciiTheme="minorHAnsi" w:hAnsiTheme="minorHAnsi"/>
                <w:color w:val="000000" w:themeColor="text1"/>
                <w:sz w:val="20"/>
                <w:szCs w:val="20"/>
              </w:rPr>
              <w:t>50.06</w:t>
            </w:r>
          </w:p>
        </w:tc>
        <w:tc>
          <w:tcPr>
            <w:tcW w:w="1110" w:type="dxa"/>
            <w:noWrap/>
            <w:vAlign w:val="center"/>
          </w:tcPr>
          <w:p w:rsidR="00D32238" w:rsidRPr="0077679E" w:rsidP="00AA0CBB" w14:paraId="0D229E37" w14:textId="0D3155CD">
            <w:pPr>
              <w:jc w:val="center"/>
              <w:rPr>
                <w:rFonts w:asciiTheme="minorHAnsi" w:hAnsiTheme="minorHAnsi"/>
                <w:color w:val="000000"/>
                <w:sz w:val="20"/>
                <w:szCs w:val="20"/>
              </w:rPr>
            </w:pPr>
            <w:r w:rsidRPr="0077679E">
              <w:rPr>
                <w:rFonts w:asciiTheme="minorHAnsi" w:hAnsiTheme="minorHAnsi"/>
                <w:color w:val="000000" w:themeColor="text1"/>
                <w:sz w:val="20"/>
                <w:szCs w:val="20"/>
              </w:rPr>
              <w:t>4</w:t>
            </w:r>
          </w:p>
        </w:tc>
        <w:tc>
          <w:tcPr>
            <w:tcW w:w="1305" w:type="dxa"/>
            <w:noWrap/>
            <w:vAlign w:val="center"/>
          </w:tcPr>
          <w:p w:rsidR="00D32238" w:rsidRPr="0077679E" w:rsidP="00AA0CBB" w14:paraId="041C5344" w14:textId="38B55A96">
            <w:pPr>
              <w:jc w:val="center"/>
              <w:rPr>
                <w:rFonts w:asciiTheme="minorHAnsi" w:hAnsiTheme="minorHAnsi"/>
                <w:color w:val="000000"/>
                <w:sz w:val="20"/>
                <w:szCs w:val="20"/>
              </w:rPr>
            </w:pPr>
            <w:r w:rsidRPr="0077679E">
              <w:rPr>
                <w:rFonts w:asciiTheme="minorHAnsi" w:hAnsiTheme="minorHAnsi"/>
                <w:color w:val="000000" w:themeColor="text1"/>
                <w:sz w:val="20"/>
                <w:szCs w:val="20"/>
              </w:rPr>
              <w:t>4</w:t>
            </w:r>
          </w:p>
        </w:tc>
        <w:tc>
          <w:tcPr>
            <w:tcW w:w="1238" w:type="dxa"/>
            <w:noWrap/>
            <w:vAlign w:val="center"/>
          </w:tcPr>
          <w:p w:rsidR="00D32238" w:rsidRPr="004A169C" w:rsidP="00AA0CBB" w14:paraId="4DB2FC6B" w14:textId="2061006A">
            <w:pPr>
              <w:jc w:val="center"/>
              <w:rPr>
                <w:rFonts w:asciiTheme="minorHAnsi" w:hAnsiTheme="minorHAnsi"/>
                <w:color w:val="000000"/>
                <w:sz w:val="20"/>
                <w:szCs w:val="20"/>
              </w:rPr>
            </w:pPr>
            <w:r w:rsidRPr="7FC729C5">
              <w:rPr>
                <w:rFonts w:asciiTheme="minorHAnsi" w:hAnsiTheme="minorHAnsi"/>
                <w:color w:val="000000" w:themeColor="text1"/>
                <w:sz w:val="20"/>
                <w:szCs w:val="20"/>
              </w:rPr>
              <w:t>200</w:t>
            </w:r>
          </w:p>
        </w:tc>
      </w:tr>
      <w:tr w14:paraId="5B234E2C" w14:textId="77777777" w:rsidTr="4A3DF14F">
        <w:tblPrEx>
          <w:tblW w:w="10222" w:type="dxa"/>
          <w:tblLook w:val="04A0"/>
        </w:tblPrEx>
        <w:trPr>
          <w:trHeight w:val="540"/>
        </w:trPr>
        <w:tc>
          <w:tcPr>
            <w:tcW w:w="1305" w:type="dxa"/>
            <w:vMerge/>
            <w:vAlign w:val="center"/>
          </w:tcPr>
          <w:p w:rsidR="00D32238" w:rsidRPr="004A169C" w:rsidP="004A169C" w14:paraId="5FCCB9BE" w14:textId="77777777">
            <w:pPr>
              <w:rPr>
                <w:rFonts w:asciiTheme="minorHAnsi" w:hAnsiTheme="minorHAnsi" w:cstheme="minorHAnsi"/>
                <w:color w:val="000000"/>
                <w:sz w:val="22"/>
              </w:rPr>
            </w:pPr>
          </w:p>
        </w:tc>
        <w:tc>
          <w:tcPr>
            <w:tcW w:w="1082" w:type="dxa"/>
            <w:vAlign w:val="center"/>
          </w:tcPr>
          <w:p w:rsidR="00D32238" w:rsidRPr="004A169C" w:rsidP="7FC729C5" w14:paraId="4BFEA994" w14:textId="50E8CAB7">
            <w:pPr>
              <w:rPr>
                <w:rFonts w:asciiTheme="minorHAnsi" w:hAnsiTheme="minorHAnsi"/>
                <w:color w:val="000000"/>
                <w:sz w:val="20"/>
                <w:szCs w:val="20"/>
              </w:rPr>
            </w:pPr>
            <w:r w:rsidRPr="7FC729C5">
              <w:rPr>
                <w:rFonts w:asciiTheme="minorHAnsi" w:hAnsiTheme="minorHAnsi"/>
                <w:color w:val="000000" w:themeColor="text1"/>
                <w:sz w:val="20"/>
                <w:szCs w:val="20"/>
              </w:rPr>
              <w:t>Paper</w:t>
            </w:r>
          </w:p>
        </w:tc>
        <w:tc>
          <w:tcPr>
            <w:tcW w:w="1190" w:type="dxa"/>
            <w:noWrap/>
            <w:vAlign w:val="center"/>
          </w:tcPr>
          <w:p w:rsidR="00D32238" w:rsidRPr="004A169C" w:rsidP="00AA0CBB" w14:paraId="03BC80C4" w14:textId="0EDBAE62">
            <w:pPr>
              <w:jc w:val="center"/>
              <w:rPr>
                <w:rFonts w:asciiTheme="minorHAnsi" w:hAnsiTheme="minorHAnsi"/>
                <w:color w:val="000000"/>
                <w:sz w:val="20"/>
                <w:szCs w:val="20"/>
              </w:rPr>
            </w:pPr>
            <w:r w:rsidRPr="7FC729C5">
              <w:rPr>
                <w:rFonts w:asciiTheme="minorHAnsi" w:hAnsiTheme="minorHAnsi"/>
                <w:color w:val="000000" w:themeColor="text1"/>
                <w:sz w:val="20"/>
                <w:szCs w:val="20"/>
              </w:rPr>
              <w:t>49</w:t>
            </w:r>
          </w:p>
        </w:tc>
        <w:tc>
          <w:tcPr>
            <w:tcW w:w="1080" w:type="dxa"/>
            <w:noWrap/>
            <w:vAlign w:val="center"/>
          </w:tcPr>
          <w:p w:rsidR="00D32238" w:rsidRPr="004A169C" w:rsidP="00AA0CBB" w14:paraId="71A48530" w14:textId="1CBDAB70">
            <w:pPr>
              <w:jc w:val="center"/>
              <w:rPr>
                <w:rFonts w:asciiTheme="minorHAnsi" w:hAnsiTheme="minorHAnsi"/>
                <w:color w:val="000000"/>
                <w:sz w:val="20"/>
                <w:szCs w:val="20"/>
              </w:rPr>
            </w:pPr>
            <w:r w:rsidRPr="7FC729C5">
              <w:rPr>
                <w:rFonts w:asciiTheme="minorHAnsi" w:hAnsiTheme="minorHAnsi"/>
                <w:color w:val="000000" w:themeColor="text1"/>
                <w:sz w:val="20"/>
                <w:szCs w:val="20"/>
              </w:rPr>
              <w:t>0</w:t>
            </w:r>
          </w:p>
        </w:tc>
        <w:tc>
          <w:tcPr>
            <w:tcW w:w="863" w:type="dxa"/>
            <w:noWrap/>
            <w:vAlign w:val="center"/>
          </w:tcPr>
          <w:p w:rsidR="00D32238" w:rsidRPr="004A169C" w:rsidP="00AA0CBB" w14:paraId="4F968629" w14:textId="3366A641">
            <w:pPr>
              <w:jc w:val="center"/>
              <w:rPr>
                <w:rFonts w:asciiTheme="minorHAnsi" w:hAnsiTheme="minorHAnsi"/>
                <w:color w:val="000000"/>
                <w:sz w:val="20"/>
                <w:szCs w:val="20"/>
              </w:rPr>
            </w:pPr>
            <w:r w:rsidRPr="7FC729C5">
              <w:rPr>
                <w:rFonts w:asciiTheme="minorHAnsi" w:hAnsiTheme="minorHAnsi"/>
                <w:color w:val="000000" w:themeColor="text1"/>
                <w:sz w:val="20"/>
                <w:szCs w:val="20"/>
              </w:rPr>
              <w:t>2</w:t>
            </w:r>
          </w:p>
        </w:tc>
        <w:tc>
          <w:tcPr>
            <w:tcW w:w="1049" w:type="dxa"/>
            <w:noWrap/>
            <w:vAlign w:val="center"/>
          </w:tcPr>
          <w:p w:rsidR="00D32238" w:rsidRPr="004A169C" w:rsidP="00AA0CBB" w14:paraId="5CA5B952" w14:textId="10CF92AD">
            <w:pPr>
              <w:jc w:val="center"/>
              <w:rPr>
                <w:rFonts w:asciiTheme="minorHAnsi" w:hAnsiTheme="minorHAnsi"/>
                <w:color w:val="000000"/>
                <w:sz w:val="20"/>
                <w:szCs w:val="20"/>
              </w:rPr>
            </w:pPr>
            <w:r w:rsidRPr="7FC729C5">
              <w:rPr>
                <w:rFonts w:asciiTheme="minorHAnsi" w:hAnsiTheme="minorHAnsi"/>
                <w:color w:val="000000" w:themeColor="text1"/>
                <w:sz w:val="20"/>
                <w:szCs w:val="20"/>
              </w:rPr>
              <w:t>51</w:t>
            </w:r>
          </w:p>
        </w:tc>
        <w:tc>
          <w:tcPr>
            <w:tcW w:w="1110" w:type="dxa"/>
            <w:noWrap/>
            <w:vAlign w:val="center"/>
          </w:tcPr>
          <w:p w:rsidR="00D32238" w:rsidRPr="0077679E" w:rsidP="00AA0CBB" w14:paraId="5CC3643E" w14:textId="4459A6C4">
            <w:pPr>
              <w:jc w:val="center"/>
              <w:rPr>
                <w:rFonts w:asciiTheme="minorHAnsi" w:hAnsiTheme="minorHAnsi"/>
                <w:color w:val="000000"/>
                <w:sz w:val="20"/>
                <w:szCs w:val="20"/>
              </w:rPr>
            </w:pPr>
            <w:r w:rsidRPr="0077679E">
              <w:rPr>
                <w:rFonts w:asciiTheme="minorHAnsi" w:hAnsiTheme="minorHAnsi"/>
                <w:color w:val="000000" w:themeColor="text1"/>
                <w:sz w:val="20"/>
                <w:szCs w:val="20"/>
              </w:rPr>
              <w:t>1</w:t>
            </w:r>
          </w:p>
        </w:tc>
        <w:tc>
          <w:tcPr>
            <w:tcW w:w="1305" w:type="dxa"/>
            <w:noWrap/>
            <w:vAlign w:val="center"/>
          </w:tcPr>
          <w:p w:rsidR="00D32238" w:rsidRPr="0077679E" w:rsidP="00AA0CBB" w14:paraId="4EE9761D" w14:textId="222EB831">
            <w:pPr>
              <w:jc w:val="center"/>
              <w:rPr>
                <w:rFonts w:asciiTheme="minorHAnsi" w:hAnsiTheme="minorHAnsi"/>
                <w:color w:val="000000"/>
                <w:sz w:val="20"/>
                <w:szCs w:val="20"/>
              </w:rPr>
            </w:pPr>
            <w:r w:rsidRPr="0077679E">
              <w:rPr>
                <w:rFonts w:asciiTheme="minorHAnsi" w:hAnsiTheme="minorHAnsi"/>
                <w:color w:val="000000" w:themeColor="text1"/>
                <w:sz w:val="20"/>
                <w:szCs w:val="20"/>
              </w:rPr>
              <w:t>1</w:t>
            </w:r>
          </w:p>
        </w:tc>
        <w:tc>
          <w:tcPr>
            <w:tcW w:w="1238" w:type="dxa"/>
            <w:noWrap/>
            <w:vAlign w:val="center"/>
          </w:tcPr>
          <w:p w:rsidR="00D32238" w:rsidRPr="004A169C" w:rsidP="00AA0CBB" w14:paraId="6D651D56" w14:textId="3E5F9940">
            <w:pPr>
              <w:jc w:val="center"/>
              <w:rPr>
                <w:rFonts w:asciiTheme="minorHAnsi" w:hAnsiTheme="minorHAnsi"/>
                <w:color w:val="000000"/>
                <w:sz w:val="20"/>
                <w:szCs w:val="20"/>
              </w:rPr>
            </w:pPr>
            <w:r w:rsidRPr="7FC729C5">
              <w:rPr>
                <w:rFonts w:asciiTheme="minorHAnsi" w:hAnsiTheme="minorHAnsi"/>
                <w:color w:val="000000" w:themeColor="text1"/>
                <w:sz w:val="20"/>
                <w:szCs w:val="20"/>
              </w:rPr>
              <w:t>51</w:t>
            </w:r>
          </w:p>
        </w:tc>
      </w:tr>
      <w:tr w14:paraId="2FA1149F" w14:textId="77777777" w:rsidTr="4A3DF14F">
        <w:tblPrEx>
          <w:tblW w:w="10222" w:type="dxa"/>
          <w:tblLook w:val="04A0"/>
        </w:tblPrEx>
        <w:trPr>
          <w:trHeight w:val="289"/>
        </w:trPr>
        <w:tc>
          <w:tcPr>
            <w:tcW w:w="6569" w:type="dxa"/>
            <w:gridSpan w:val="6"/>
            <w:noWrap/>
            <w:vAlign w:val="center"/>
          </w:tcPr>
          <w:p w:rsidR="001C738B" w:rsidRPr="004A169C" w:rsidP="7FC729C5" w14:paraId="1519BF10" w14:textId="280E0C0C">
            <w:pPr>
              <w:rPr>
                <w:rFonts w:asciiTheme="minorHAnsi" w:hAnsiTheme="minorHAnsi"/>
                <w:color w:val="000000"/>
                <w:sz w:val="20"/>
                <w:szCs w:val="20"/>
              </w:rPr>
            </w:pPr>
            <w:r w:rsidRPr="7FC729C5">
              <w:rPr>
                <w:rFonts w:asciiTheme="minorHAnsi" w:hAnsiTheme="minorHAnsi"/>
                <w:b/>
                <w:bCs/>
                <w:i/>
                <w:iCs/>
                <w:color w:val="000000" w:themeColor="text1"/>
                <w:sz w:val="20"/>
                <w:szCs w:val="20"/>
              </w:rPr>
              <w:t>Subtotal FYI</w:t>
            </w:r>
          </w:p>
        </w:tc>
        <w:tc>
          <w:tcPr>
            <w:tcW w:w="1110" w:type="dxa"/>
            <w:noWrap/>
            <w:vAlign w:val="center"/>
          </w:tcPr>
          <w:p w:rsidR="001C738B" w:rsidRPr="0077679E" w:rsidP="00AA0CBB" w14:paraId="17C3867B" w14:textId="7487033D">
            <w:pPr>
              <w:jc w:val="center"/>
              <w:rPr>
                <w:rFonts w:asciiTheme="minorHAnsi" w:hAnsiTheme="minorHAnsi"/>
                <w:b/>
                <w:bCs/>
                <w:color w:val="000000"/>
                <w:sz w:val="20"/>
                <w:szCs w:val="20"/>
              </w:rPr>
            </w:pPr>
            <w:r w:rsidRPr="0077679E">
              <w:rPr>
                <w:rFonts w:asciiTheme="minorHAnsi" w:hAnsiTheme="minorHAnsi"/>
                <w:b/>
                <w:bCs/>
                <w:color w:val="000000" w:themeColor="text1"/>
                <w:sz w:val="20"/>
                <w:szCs w:val="20"/>
              </w:rPr>
              <w:t>5</w:t>
            </w:r>
          </w:p>
        </w:tc>
        <w:tc>
          <w:tcPr>
            <w:tcW w:w="1305" w:type="dxa"/>
            <w:noWrap/>
            <w:vAlign w:val="center"/>
          </w:tcPr>
          <w:p w:rsidR="001C738B" w:rsidRPr="0077679E" w:rsidP="00AA0CBB" w14:paraId="430AE2F7" w14:textId="28E32334">
            <w:pPr>
              <w:jc w:val="center"/>
              <w:rPr>
                <w:rFonts w:asciiTheme="minorHAnsi" w:hAnsiTheme="minorHAnsi"/>
                <w:b/>
                <w:bCs/>
                <w:color w:val="000000"/>
                <w:sz w:val="20"/>
                <w:szCs w:val="20"/>
              </w:rPr>
            </w:pPr>
            <w:r w:rsidRPr="00DA0A40">
              <w:rPr>
                <w:rFonts w:asciiTheme="minorHAnsi" w:hAnsiTheme="minorHAnsi"/>
                <w:b/>
                <w:bCs/>
                <w:color w:val="000000" w:themeColor="text1"/>
                <w:sz w:val="20"/>
                <w:szCs w:val="20"/>
              </w:rPr>
              <w:t>5</w:t>
            </w:r>
          </w:p>
        </w:tc>
        <w:tc>
          <w:tcPr>
            <w:tcW w:w="1238" w:type="dxa"/>
            <w:noWrap/>
            <w:vAlign w:val="center"/>
          </w:tcPr>
          <w:p w:rsidR="001C738B" w:rsidRPr="001C738B" w:rsidP="00AA0CBB" w14:paraId="13B2061C" w14:textId="230C9817">
            <w:pPr>
              <w:jc w:val="center"/>
              <w:rPr>
                <w:rFonts w:asciiTheme="minorHAnsi" w:hAnsiTheme="minorHAnsi"/>
                <w:b/>
                <w:bCs/>
                <w:color w:val="000000"/>
                <w:sz w:val="20"/>
                <w:szCs w:val="20"/>
              </w:rPr>
            </w:pPr>
            <w:r w:rsidRPr="001C738B">
              <w:rPr>
                <w:rFonts w:asciiTheme="minorHAnsi" w:hAnsiTheme="minorHAnsi"/>
                <w:b/>
                <w:bCs/>
                <w:color w:val="000000" w:themeColor="text1"/>
                <w:sz w:val="20"/>
                <w:szCs w:val="20"/>
              </w:rPr>
              <w:t>251</w:t>
            </w:r>
          </w:p>
        </w:tc>
      </w:tr>
      <w:tr w14:paraId="77C27662" w14:textId="77777777" w:rsidTr="4A3DF14F">
        <w:tblPrEx>
          <w:tblW w:w="10222" w:type="dxa"/>
          <w:tblLook w:val="04A0"/>
        </w:tblPrEx>
        <w:trPr>
          <w:trHeight w:val="289"/>
        </w:trPr>
        <w:tc>
          <w:tcPr>
            <w:tcW w:w="6569" w:type="dxa"/>
            <w:gridSpan w:val="6"/>
            <w:noWrap/>
            <w:vAlign w:val="center"/>
            <w:hideMark/>
          </w:tcPr>
          <w:p w:rsidR="00D95784" w:rsidRPr="004A169C" w:rsidP="00D95784" w14:paraId="23A80440" w14:textId="58E09433">
            <w:pPr>
              <w:rPr>
                <w:rFonts w:asciiTheme="minorHAnsi" w:hAnsiTheme="minorHAnsi"/>
                <w:color w:val="000000"/>
                <w:sz w:val="20"/>
                <w:szCs w:val="20"/>
              </w:rPr>
            </w:pPr>
            <w:r>
              <w:rPr>
                <w:rFonts w:asciiTheme="minorHAnsi" w:hAnsiTheme="minorHAnsi"/>
                <w:b/>
                <w:bCs/>
                <w:color w:val="000000" w:themeColor="text1"/>
                <w:sz w:val="20"/>
                <w:szCs w:val="20"/>
              </w:rPr>
              <w:t xml:space="preserve">Overall </w:t>
            </w:r>
            <w:r w:rsidRPr="7FC729C5">
              <w:rPr>
                <w:rFonts w:asciiTheme="minorHAnsi" w:hAnsiTheme="minorHAnsi"/>
                <w:b/>
                <w:bCs/>
                <w:color w:val="000000" w:themeColor="text1"/>
                <w:sz w:val="20"/>
                <w:szCs w:val="20"/>
              </w:rPr>
              <w:t>TOTAL</w:t>
            </w:r>
          </w:p>
          <w:p w:rsidR="001C738B" w:rsidRPr="004A169C" w:rsidP="7FC729C5" w14:paraId="7B52A14E" w14:textId="057DE5A1">
            <w:pPr>
              <w:rPr>
                <w:rFonts w:asciiTheme="minorHAnsi" w:hAnsiTheme="minorHAnsi"/>
                <w:color w:val="000000"/>
                <w:sz w:val="20"/>
                <w:szCs w:val="20"/>
              </w:rPr>
            </w:pPr>
          </w:p>
        </w:tc>
        <w:tc>
          <w:tcPr>
            <w:tcW w:w="1110" w:type="dxa"/>
            <w:noWrap/>
            <w:vAlign w:val="center"/>
            <w:hideMark/>
          </w:tcPr>
          <w:p w:rsidR="001C738B" w:rsidRPr="001C738B" w:rsidP="00AA0CBB" w14:paraId="2C033854" w14:textId="2CCA5789">
            <w:pPr>
              <w:jc w:val="center"/>
              <w:rPr>
                <w:rFonts w:asciiTheme="minorHAnsi" w:hAnsiTheme="minorHAnsi"/>
                <w:b/>
                <w:bCs/>
                <w:color w:val="000000"/>
                <w:sz w:val="20"/>
                <w:szCs w:val="20"/>
              </w:rPr>
            </w:pPr>
            <w:r w:rsidRPr="001C738B">
              <w:rPr>
                <w:rFonts w:asciiTheme="minorHAnsi" w:hAnsiTheme="minorHAnsi"/>
                <w:b/>
                <w:bCs/>
                <w:color w:val="000000" w:themeColor="text1"/>
                <w:sz w:val="20"/>
                <w:szCs w:val="20"/>
              </w:rPr>
              <w:t>5</w:t>
            </w:r>
            <w:r>
              <w:rPr>
                <w:rFonts w:asciiTheme="minorHAnsi" w:hAnsiTheme="minorHAnsi"/>
                <w:b/>
                <w:bCs/>
                <w:color w:val="000000" w:themeColor="text1"/>
                <w:sz w:val="20"/>
                <w:szCs w:val="20"/>
              </w:rPr>
              <w:t>6</w:t>
            </w:r>
            <w:r w:rsidRPr="001C738B">
              <w:rPr>
                <w:rFonts w:asciiTheme="minorHAnsi" w:hAnsiTheme="minorHAnsi"/>
                <w:b/>
                <w:bCs/>
                <w:color w:val="000000" w:themeColor="text1"/>
                <w:sz w:val="20"/>
                <w:szCs w:val="20"/>
              </w:rPr>
              <w:t>7</w:t>
            </w:r>
          </w:p>
        </w:tc>
        <w:tc>
          <w:tcPr>
            <w:tcW w:w="1305" w:type="dxa"/>
            <w:noWrap/>
            <w:vAlign w:val="center"/>
            <w:hideMark/>
          </w:tcPr>
          <w:p w:rsidR="001C738B" w:rsidRPr="001C738B" w:rsidP="00AA0CBB" w14:paraId="1294C642" w14:textId="698CEDD8">
            <w:pPr>
              <w:jc w:val="center"/>
              <w:rPr>
                <w:rFonts w:asciiTheme="minorHAnsi" w:hAnsiTheme="minorHAnsi"/>
                <w:b/>
                <w:bCs/>
                <w:color w:val="000000"/>
                <w:sz w:val="20"/>
                <w:szCs w:val="20"/>
              </w:rPr>
            </w:pPr>
            <w:r w:rsidRPr="001C738B">
              <w:rPr>
                <w:rFonts w:asciiTheme="minorHAnsi" w:hAnsiTheme="minorHAnsi"/>
                <w:b/>
                <w:bCs/>
                <w:color w:val="000000" w:themeColor="text1"/>
                <w:sz w:val="20"/>
                <w:szCs w:val="20"/>
              </w:rPr>
              <w:t>4</w:t>
            </w:r>
            <w:r w:rsidR="0077679E">
              <w:rPr>
                <w:rFonts w:asciiTheme="minorHAnsi" w:hAnsiTheme="minorHAnsi"/>
                <w:b/>
                <w:bCs/>
                <w:color w:val="000000" w:themeColor="text1"/>
                <w:sz w:val="20"/>
                <w:szCs w:val="20"/>
              </w:rPr>
              <w:t>0</w:t>
            </w:r>
          </w:p>
        </w:tc>
        <w:tc>
          <w:tcPr>
            <w:tcW w:w="1238" w:type="dxa"/>
            <w:noWrap/>
            <w:vAlign w:val="center"/>
          </w:tcPr>
          <w:p w:rsidR="001C738B" w:rsidRPr="001C738B" w:rsidP="00AA0CBB" w14:paraId="7086A059" w14:textId="108FF7BF">
            <w:pPr>
              <w:jc w:val="center"/>
              <w:rPr>
                <w:rFonts w:asciiTheme="minorHAnsi" w:hAnsiTheme="minorHAnsi"/>
                <w:b/>
                <w:bCs/>
                <w:color w:val="000000"/>
                <w:sz w:val="20"/>
                <w:szCs w:val="20"/>
              </w:rPr>
            </w:pPr>
            <w:r w:rsidRPr="001C738B">
              <w:rPr>
                <w:rFonts w:asciiTheme="minorHAnsi" w:hAnsiTheme="minorHAnsi"/>
                <w:b/>
                <w:bCs/>
                <w:color w:val="000000" w:themeColor="text1"/>
                <w:sz w:val="20"/>
                <w:szCs w:val="20"/>
              </w:rPr>
              <w:t>27,859</w:t>
            </w:r>
          </w:p>
        </w:tc>
      </w:tr>
      <w:bookmarkEnd w:id="8"/>
    </w:tbl>
    <w:p w:rsidR="008C2B73" w:rsidRPr="004A169C" w:rsidP="008C2B73" w14:paraId="7A4477C6" w14:textId="77777777">
      <w:pPr>
        <w:rPr>
          <w:rFonts w:asciiTheme="minorHAnsi" w:hAnsiTheme="minorHAnsi" w:cstheme="minorHAnsi"/>
          <w:szCs w:val="24"/>
        </w:rPr>
      </w:pPr>
    </w:p>
    <w:p w:rsidR="00BE0059" w:rsidRPr="004A169C" w:rsidP="00BE0059" w14:paraId="6E78F76C" w14:textId="77777777">
      <w:pPr>
        <w:rPr>
          <w:rFonts w:asciiTheme="minorHAnsi" w:hAnsiTheme="minorHAnsi" w:cstheme="minorHAnsi"/>
          <w:iCs/>
          <w:szCs w:val="24"/>
          <w:u w:val="single"/>
        </w:rPr>
      </w:pPr>
      <w:r w:rsidRPr="004A169C">
        <w:rPr>
          <w:rFonts w:asciiTheme="minorHAnsi" w:hAnsiTheme="minorHAnsi" w:cstheme="minorHAnsi"/>
          <w:iCs/>
          <w:szCs w:val="24"/>
          <w:u w:val="single"/>
        </w:rPr>
        <w:t>CDX Registration Activities to Enable Electronic Reporting</w:t>
      </w:r>
    </w:p>
    <w:p w:rsidR="00CE00A5" w:rsidRPr="004A169C" w:rsidP="00CE00A5" w14:paraId="5860C00F" w14:textId="27E85E57">
      <w:pPr>
        <w:rPr>
          <w:rFonts w:asciiTheme="minorHAnsi" w:hAnsiTheme="minorHAnsi"/>
        </w:rPr>
      </w:pPr>
      <w:r w:rsidRPr="0C501E31">
        <w:rPr>
          <w:rFonts w:asciiTheme="minorHAnsi" w:hAnsiTheme="minorHAnsi"/>
        </w:rPr>
        <w:t>To estimate the number of CDX registrants who will submit TSCA section 8(e) and voluntary FYI submissions, EPA averages the total number of distinct TSCA section 8(e) and FYI submitters f</w:t>
      </w:r>
      <w:r>
        <w:rPr>
          <w:rFonts w:asciiTheme="minorHAnsi" w:hAnsiTheme="minorHAnsi"/>
        </w:rPr>
        <w:t>rom</w:t>
      </w:r>
      <w:r w:rsidRPr="0C501E31">
        <w:rPr>
          <w:rFonts w:asciiTheme="minorHAnsi" w:hAnsiTheme="minorHAnsi"/>
        </w:rPr>
        <w:t xml:space="preserve"> submissions for calendar years 2022, 2023, and 2024 to obtain </w:t>
      </w:r>
      <w:r w:rsidRPr="0C501E31" w:rsidR="007B0987">
        <w:rPr>
          <w:rFonts w:asciiTheme="minorHAnsi" w:hAnsiTheme="minorHAnsi"/>
        </w:rPr>
        <w:t>an</w:t>
      </w:r>
      <w:r w:rsidRPr="0C501E31">
        <w:rPr>
          <w:rFonts w:asciiTheme="minorHAnsi" w:hAnsiTheme="minorHAnsi"/>
        </w:rPr>
        <w:t xml:space="preserve"> average of 37 annual registrations for the basis of this ICR renewal. </w:t>
      </w:r>
      <w:r w:rsidRPr="0C501E31">
        <w:rPr>
          <w:rFonts w:asciiTheme="minorHAnsi" w:hAnsiTheme="minorHAnsi"/>
        </w:rPr>
        <w:fldChar w:fldCharType="begin"/>
      </w:r>
      <w:r w:rsidRPr="0C501E31">
        <w:rPr>
          <w:rFonts w:asciiTheme="minorHAnsi" w:hAnsiTheme="minorHAnsi"/>
        </w:rPr>
        <w:instrText xml:space="preserve"> REF _Ref89780433 \h  \* MERGEFORMAT </w:instrText>
      </w:r>
      <w:r w:rsidRPr="0C501E31">
        <w:rPr>
          <w:rFonts w:asciiTheme="minorHAnsi" w:hAnsiTheme="minorHAnsi"/>
        </w:rPr>
        <w:fldChar w:fldCharType="separate"/>
      </w:r>
      <w:r w:rsidRPr="0C501E31">
        <w:rPr>
          <w:rFonts w:asciiTheme="minorHAnsi" w:hAnsiTheme="minorHAnsi"/>
        </w:rPr>
        <w:t xml:space="preserve">Table </w:t>
      </w:r>
      <w:r w:rsidRPr="0C501E31">
        <w:rPr>
          <w:rFonts w:asciiTheme="minorHAnsi" w:hAnsiTheme="minorHAnsi"/>
          <w:noProof/>
        </w:rPr>
        <w:t>3</w:t>
      </w:r>
      <w:r w:rsidRPr="0C501E31">
        <w:rPr>
          <w:rFonts w:asciiTheme="minorHAnsi" w:hAnsiTheme="minorHAnsi"/>
        </w:rPr>
        <w:fldChar w:fldCharType="end"/>
      </w:r>
      <w:r w:rsidRPr="0C501E31">
        <w:rPr>
          <w:rFonts w:asciiTheme="minorHAnsi" w:hAnsiTheme="minorHAnsi"/>
        </w:rPr>
        <w:t xml:space="preserve"> provides a summary of estimates for unit burden and the annual burden associated with CDX registrations. </w:t>
      </w:r>
    </w:p>
    <w:p w:rsidR="00BE0059" w:rsidRPr="004A169C" w:rsidP="41771A7D" w14:paraId="08D44FA4" w14:textId="1B937CD3">
      <w:pPr>
        <w:rPr>
          <w:rFonts w:asciiTheme="minorHAnsi" w:hAnsiTheme="minorHAnsi"/>
          <w:i/>
          <w:iCs/>
        </w:rPr>
      </w:pPr>
      <w:r w:rsidRPr="41771A7D">
        <w:rPr>
          <w:rFonts w:asciiTheme="minorHAnsi" w:hAnsiTheme="minorHAnsi"/>
        </w:rPr>
        <w:t xml:space="preserve">Some </w:t>
      </w:r>
      <w:r w:rsidRPr="41771A7D" w:rsidR="445D290A">
        <w:rPr>
          <w:rFonts w:asciiTheme="minorHAnsi" w:hAnsiTheme="minorHAnsi"/>
        </w:rPr>
        <w:t xml:space="preserve">TSCA </w:t>
      </w:r>
      <w:r w:rsidRPr="41771A7D">
        <w:rPr>
          <w:rFonts w:asciiTheme="minorHAnsi" w:hAnsiTheme="minorHAnsi"/>
        </w:rPr>
        <w:t xml:space="preserve">section 8(e) and FYI submitters may already have registered to use the e-TSCA web reporting tool in CDX (and obtained an accompanying electronic signature) </w:t>
      </w:r>
      <w:r w:rsidRPr="41771A7D">
        <w:rPr>
          <w:rFonts w:asciiTheme="minorHAnsi" w:hAnsiTheme="minorHAnsi"/>
        </w:rPr>
        <w:t>in order to</w:t>
      </w:r>
      <w:r w:rsidRPr="41771A7D">
        <w:rPr>
          <w:rFonts w:asciiTheme="minorHAnsi" w:hAnsiTheme="minorHAnsi"/>
        </w:rPr>
        <w:t xml:space="preserve"> comply with the mandatory electronic reporting requirements of EPA’s e-PMN rule </w:t>
      </w:r>
      <w:r w:rsidRPr="41771A7D" w:rsidR="000A1683">
        <w:rPr>
          <w:rFonts w:asciiTheme="minorHAnsi" w:hAnsiTheme="minorHAnsi"/>
        </w:rPr>
        <w:t>(EPA, 20</w:t>
      </w:r>
      <w:r w:rsidRPr="41771A7D" w:rsidR="003A7EF3">
        <w:rPr>
          <w:rFonts w:asciiTheme="minorHAnsi" w:hAnsiTheme="minorHAnsi"/>
        </w:rPr>
        <w:t>22</w:t>
      </w:r>
      <w:r w:rsidRPr="41771A7D" w:rsidR="000A1683">
        <w:rPr>
          <w:rFonts w:asciiTheme="minorHAnsi" w:hAnsiTheme="minorHAnsi"/>
        </w:rPr>
        <w:t>)</w:t>
      </w:r>
      <w:r w:rsidRPr="41771A7D">
        <w:rPr>
          <w:rFonts w:asciiTheme="minorHAnsi" w:hAnsiTheme="minorHAnsi"/>
        </w:rPr>
        <w:t xml:space="preserve">. Those </w:t>
      </w:r>
      <w:r w:rsidRPr="41771A7D">
        <w:rPr>
          <w:rFonts w:asciiTheme="minorHAnsi" w:hAnsiTheme="minorHAnsi"/>
        </w:rPr>
        <w:t xml:space="preserve">submitters will not need to repeat the CDX registration and e-signature process in order to file </w:t>
      </w:r>
      <w:r w:rsidRPr="41771A7D" w:rsidR="0F093C25">
        <w:rPr>
          <w:rFonts w:asciiTheme="minorHAnsi" w:hAnsiTheme="minorHAnsi"/>
        </w:rPr>
        <w:t xml:space="preserve">TSCA </w:t>
      </w:r>
      <w:r w:rsidRPr="41771A7D">
        <w:rPr>
          <w:rFonts w:asciiTheme="minorHAnsi" w:hAnsiTheme="minorHAnsi"/>
        </w:rPr>
        <w:t xml:space="preserve">section 8(e) and FYI notices. While there may be some overlap in the specific individuals that have already completed CDX activities, EPA is using a conservative assumption that </w:t>
      </w:r>
      <w:r w:rsidR="0044430F">
        <w:rPr>
          <w:rFonts w:asciiTheme="minorHAnsi" w:hAnsiTheme="minorHAnsi"/>
        </w:rPr>
        <w:t xml:space="preserve">most </w:t>
      </w:r>
      <w:r w:rsidRPr="41771A7D">
        <w:rPr>
          <w:rFonts w:asciiTheme="minorHAnsi" w:hAnsiTheme="minorHAnsi"/>
        </w:rPr>
        <w:t xml:space="preserve">submitters who </w:t>
      </w:r>
      <w:r w:rsidRPr="41771A7D" w:rsidR="00FC1E17">
        <w:rPr>
          <w:rFonts w:asciiTheme="minorHAnsi" w:hAnsiTheme="minorHAnsi"/>
        </w:rPr>
        <w:t>file</w:t>
      </w:r>
      <w:r w:rsidRPr="41771A7D">
        <w:rPr>
          <w:rFonts w:asciiTheme="minorHAnsi" w:hAnsiTheme="minorHAnsi"/>
        </w:rPr>
        <w:t xml:space="preserve"> electronically will need to register with CDX and, thus, incur associated burdens. This assumption may overestimate the burdens and costs actually experienced by respondents. The one-time CDX burden includes the following:</w:t>
      </w:r>
    </w:p>
    <w:p w:rsidR="00BE0059" w:rsidRPr="004A169C" w:rsidP="0C501E31" w14:paraId="7A20D6A8" w14:textId="6A8A80A7">
      <w:pPr>
        <w:rPr>
          <w:rFonts w:asciiTheme="minorHAnsi" w:hAnsiTheme="minorHAnsi"/>
          <w:i/>
          <w:iCs/>
        </w:rPr>
      </w:pPr>
      <w:r w:rsidRPr="0C501E31">
        <w:rPr>
          <w:rFonts w:asciiTheme="minorHAnsi" w:hAnsiTheme="minorHAnsi"/>
          <w:u w:val="single"/>
        </w:rPr>
        <w:t>CDX registration</w:t>
      </w:r>
      <w:r w:rsidRPr="0C501E31">
        <w:rPr>
          <w:rFonts w:asciiTheme="minorHAnsi" w:hAnsiTheme="minorHAnsi"/>
        </w:rPr>
        <w:t>: Based on the TSCA section 5 ICR renewal</w:t>
      </w:r>
      <w:r w:rsidRPr="0C501E31" w:rsidR="00E662FE">
        <w:rPr>
          <w:rFonts w:asciiTheme="minorHAnsi" w:hAnsiTheme="minorHAnsi"/>
        </w:rPr>
        <w:t xml:space="preserve"> (OMB Control No. 2070-0038)</w:t>
      </w:r>
      <w:r w:rsidRPr="0C501E31">
        <w:rPr>
          <w:rFonts w:asciiTheme="minorHAnsi" w:hAnsiTheme="minorHAnsi"/>
        </w:rPr>
        <w:t xml:space="preserve">, EPA assumed that companies would spend about </w:t>
      </w:r>
      <w:r w:rsidRPr="0C501E31" w:rsidR="005D3810">
        <w:rPr>
          <w:rFonts w:asciiTheme="minorHAnsi" w:hAnsiTheme="minorHAnsi"/>
        </w:rPr>
        <w:t>15 to 20</w:t>
      </w:r>
      <w:r w:rsidRPr="0C501E31" w:rsidR="00FE3CB9">
        <w:rPr>
          <w:rFonts w:asciiTheme="minorHAnsi" w:hAnsiTheme="minorHAnsi"/>
        </w:rPr>
        <w:t xml:space="preserve"> </w:t>
      </w:r>
      <w:r w:rsidRPr="0C501E31">
        <w:rPr>
          <w:rFonts w:asciiTheme="minorHAnsi" w:hAnsiTheme="minorHAnsi"/>
        </w:rPr>
        <w:t xml:space="preserve">minutes per </w:t>
      </w:r>
      <w:r w:rsidRPr="0C501E31" w:rsidR="00FE3CB9">
        <w:rPr>
          <w:rFonts w:asciiTheme="minorHAnsi" w:hAnsiTheme="minorHAnsi"/>
        </w:rPr>
        <w:t xml:space="preserve">technical </w:t>
      </w:r>
      <w:r w:rsidRPr="0C501E31">
        <w:rPr>
          <w:rFonts w:asciiTheme="minorHAnsi" w:hAnsiTheme="minorHAnsi"/>
        </w:rPr>
        <w:t xml:space="preserve">employee to register with CDX (EPA, </w:t>
      </w:r>
      <w:r w:rsidRPr="0C501E31" w:rsidR="00FE3CB9">
        <w:rPr>
          <w:rFonts w:asciiTheme="minorHAnsi" w:hAnsiTheme="minorHAnsi"/>
        </w:rPr>
        <w:t>2021</w:t>
      </w:r>
      <w:r w:rsidRPr="0C501E31">
        <w:rPr>
          <w:rFonts w:asciiTheme="minorHAnsi" w:hAnsiTheme="minorHAnsi"/>
        </w:rPr>
        <w:t>).</w:t>
      </w:r>
      <w:r w:rsidRPr="0C501E31" w:rsidR="00C35796">
        <w:rPr>
          <w:rFonts w:asciiTheme="minorHAnsi" w:hAnsiTheme="minorHAnsi"/>
        </w:rPr>
        <w:t xml:space="preserve"> This results in an average estimate of 17 minutes to complete registration.</w:t>
      </w:r>
    </w:p>
    <w:p w:rsidR="00BE0059" w:rsidRPr="004A169C" w:rsidP="0C501E31" w14:paraId="72CFE7B5" w14:textId="2E83E426">
      <w:pPr>
        <w:rPr>
          <w:rFonts w:asciiTheme="minorHAnsi" w:hAnsiTheme="minorHAnsi"/>
          <w:i/>
          <w:iCs/>
        </w:rPr>
      </w:pPr>
      <w:r w:rsidRPr="0C501E31">
        <w:rPr>
          <w:rFonts w:asciiTheme="minorHAnsi" w:hAnsiTheme="minorHAnsi"/>
          <w:u w:val="single"/>
        </w:rPr>
        <w:t>CDX electronic signature (labor burden)</w:t>
      </w:r>
      <w:r w:rsidRPr="0C501E31" w:rsidR="3DCAD315">
        <w:rPr>
          <w:rFonts w:asciiTheme="minorHAnsi" w:hAnsiTheme="minorHAnsi"/>
        </w:rPr>
        <w:t>:</w:t>
      </w:r>
      <w:r w:rsidRPr="0C501E31">
        <w:rPr>
          <w:rFonts w:asciiTheme="minorHAnsi" w:hAnsiTheme="minorHAnsi"/>
        </w:rPr>
        <w:t xml:space="preserve"> Based on the TSCA section 5 ICR renewal, EPA assumed that companies’ technical staff would spend 21 minutes preparing, submitting and filing an electronic signature agreement (Authentication of Identity) form to EPA, per employee (EPA, 2015). </w:t>
      </w:r>
    </w:p>
    <w:p w:rsidR="00943A7C" w:rsidRPr="004A169C" w:rsidP="00474B46" w14:paraId="3B9BE526" w14:textId="195B90CE">
      <w:pPr>
        <w:pStyle w:val="Caption"/>
        <w:rPr>
          <w:rFonts w:asciiTheme="minorHAnsi" w:hAnsiTheme="minorHAnsi" w:cstheme="minorHAnsi"/>
          <w:iCs/>
          <w:szCs w:val="24"/>
        </w:rPr>
      </w:pPr>
      <w:bookmarkStart w:id="9" w:name="_Ref89780433"/>
      <w:r w:rsidRPr="004A169C">
        <w:rPr>
          <w:rFonts w:asciiTheme="minorHAnsi" w:hAnsiTheme="minorHAnsi" w:cstheme="minorHAnsi"/>
          <w:szCs w:val="24"/>
        </w:rPr>
        <w:t xml:space="preserve">Table </w:t>
      </w:r>
      <w:r w:rsidRPr="004A169C" w:rsidR="00C82C2C">
        <w:rPr>
          <w:rFonts w:asciiTheme="minorHAnsi" w:hAnsiTheme="minorHAnsi" w:cstheme="minorHAnsi"/>
          <w:szCs w:val="24"/>
        </w:rPr>
        <w:fldChar w:fldCharType="begin"/>
      </w:r>
      <w:r w:rsidRPr="004A169C">
        <w:rPr>
          <w:rFonts w:asciiTheme="minorHAnsi" w:hAnsiTheme="minorHAnsi" w:cstheme="minorHAnsi"/>
          <w:szCs w:val="24"/>
        </w:rPr>
        <w:instrText xml:space="preserve"> SEQ Table \* ARABIC </w:instrText>
      </w:r>
      <w:r w:rsidRPr="004A169C" w:rsidR="00C82C2C">
        <w:rPr>
          <w:rFonts w:asciiTheme="minorHAnsi" w:hAnsiTheme="minorHAnsi" w:cstheme="minorHAnsi"/>
          <w:szCs w:val="24"/>
        </w:rPr>
        <w:fldChar w:fldCharType="separate"/>
      </w:r>
      <w:r w:rsidRPr="004A169C" w:rsidR="00C82C2C">
        <w:rPr>
          <w:rFonts w:asciiTheme="minorHAnsi" w:hAnsiTheme="minorHAnsi" w:cstheme="minorHAnsi"/>
          <w:noProof/>
          <w:szCs w:val="24"/>
        </w:rPr>
        <w:t>3</w:t>
      </w:r>
      <w:r w:rsidRPr="004A169C" w:rsidR="00C82C2C">
        <w:rPr>
          <w:rFonts w:asciiTheme="minorHAnsi" w:hAnsiTheme="minorHAnsi" w:cstheme="minorHAnsi"/>
          <w:noProof/>
          <w:szCs w:val="24"/>
        </w:rPr>
        <w:fldChar w:fldCharType="end"/>
      </w:r>
      <w:bookmarkEnd w:id="9"/>
      <w:r w:rsidRPr="004A169C">
        <w:rPr>
          <w:rFonts w:asciiTheme="minorHAnsi" w:hAnsiTheme="minorHAnsi" w:cstheme="minorHAnsi"/>
          <w:szCs w:val="24"/>
        </w:rPr>
        <w:t>: Estimated Annual Burden Associated with CDX Registration Activities</w:t>
      </w:r>
    </w:p>
    <w:tbl>
      <w:tblPr>
        <w:tblW w:w="899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9"/>
        <w:gridCol w:w="1160"/>
        <w:gridCol w:w="1008"/>
        <w:gridCol w:w="900"/>
        <w:gridCol w:w="1080"/>
        <w:gridCol w:w="1092"/>
        <w:gridCol w:w="1436"/>
        <w:gridCol w:w="990"/>
      </w:tblGrid>
      <w:tr w14:paraId="0B35A087" w14:textId="77777777" w:rsidTr="00DA0A40">
        <w:tblPrEx>
          <w:tblW w:w="899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18"/>
        </w:trPr>
        <w:tc>
          <w:tcPr>
            <w:tcW w:w="1329" w:type="dxa"/>
            <w:vMerge w:val="restart"/>
            <w:shd w:val="clear" w:color="auto" w:fill="D9D9D9" w:themeFill="background1" w:themeFillShade="D9"/>
            <w:vAlign w:val="center"/>
            <w:hideMark/>
          </w:tcPr>
          <w:p w:rsidR="0065496A" w:rsidRPr="004A169C" w:rsidP="7FC729C5" w14:paraId="16FDF07F" w14:textId="77777777">
            <w:pPr>
              <w:rPr>
                <w:rFonts w:asciiTheme="minorHAnsi" w:hAnsiTheme="minorHAnsi"/>
                <w:b/>
                <w:bCs/>
                <w:color w:val="000000"/>
                <w:sz w:val="20"/>
                <w:szCs w:val="20"/>
              </w:rPr>
            </w:pPr>
            <w:r w:rsidRPr="7FC729C5">
              <w:rPr>
                <w:rFonts w:asciiTheme="minorHAnsi" w:hAnsiTheme="minorHAnsi"/>
                <w:b/>
                <w:bCs/>
                <w:color w:val="000000" w:themeColor="text1"/>
                <w:sz w:val="20"/>
                <w:szCs w:val="20"/>
              </w:rPr>
              <w:t>Activity</w:t>
            </w:r>
          </w:p>
        </w:tc>
        <w:tc>
          <w:tcPr>
            <w:tcW w:w="3068" w:type="dxa"/>
            <w:gridSpan w:val="3"/>
            <w:shd w:val="clear" w:color="auto" w:fill="D9D9D9" w:themeFill="background1" w:themeFillShade="D9"/>
            <w:noWrap/>
            <w:vAlign w:val="center"/>
            <w:hideMark/>
          </w:tcPr>
          <w:p w:rsidR="0065496A" w:rsidRPr="004A169C" w:rsidP="7FC729C5" w14:paraId="7CEB5854" w14:textId="79309150">
            <w:pPr>
              <w:rPr>
                <w:rFonts w:asciiTheme="minorHAnsi" w:hAnsiTheme="minorHAnsi"/>
                <w:b/>
                <w:bCs/>
                <w:color w:val="000000"/>
                <w:sz w:val="20"/>
                <w:szCs w:val="20"/>
              </w:rPr>
            </w:pPr>
            <w:r w:rsidRPr="7FC729C5">
              <w:rPr>
                <w:rFonts w:asciiTheme="minorHAnsi" w:hAnsiTheme="minorHAnsi"/>
                <w:b/>
                <w:bCs/>
                <w:color w:val="000000" w:themeColor="text1"/>
                <w:sz w:val="20"/>
                <w:szCs w:val="20"/>
              </w:rPr>
              <w:t>Estimated Hours per Response</w:t>
            </w:r>
          </w:p>
        </w:tc>
        <w:tc>
          <w:tcPr>
            <w:tcW w:w="1080" w:type="dxa"/>
            <w:vMerge w:val="restart"/>
            <w:shd w:val="clear" w:color="auto" w:fill="D9D9D9" w:themeFill="background1" w:themeFillShade="D9"/>
            <w:vAlign w:val="center"/>
          </w:tcPr>
          <w:p w:rsidR="0065496A" w:rsidRPr="004A169C" w:rsidP="7FC729C5" w14:paraId="26FFF4AE" w14:textId="76A76675">
            <w:pPr>
              <w:rPr>
                <w:rFonts w:asciiTheme="minorHAnsi" w:hAnsiTheme="minorHAnsi"/>
                <w:b/>
                <w:bCs/>
                <w:color w:val="000000"/>
                <w:sz w:val="20"/>
                <w:szCs w:val="20"/>
              </w:rPr>
            </w:pPr>
            <w:r w:rsidRPr="7FC729C5">
              <w:rPr>
                <w:rFonts w:asciiTheme="minorHAnsi" w:hAnsiTheme="minorHAnsi"/>
                <w:b/>
                <w:bCs/>
                <w:color w:val="000000" w:themeColor="text1"/>
                <w:sz w:val="20"/>
                <w:szCs w:val="20"/>
              </w:rPr>
              <w:t>Unit Burden (hours)</w:t>
            </w:r>
          </w:p>
        </w:tc>
        <w:tc>
          <w:tcPr>
            <w:tcW w:w="1092" w:type="dxa"/>
            <w:vMerge w:val="restart"/>
            <w:shd w:val="clear" w:color="auto" w:fill="D9D9D9" w:themeFill="background1" w:themeFillShade="D9"/>
            <w:vAlign w:val="center"/>
            <w:hideMark/>
          </w:tcPr>
          <w:p w:rsidR="0065496A" w:rsidRPr="004A169C" w:rsidP="7FC729C5" w14:paraId="445A880F" w14:textId="77777777">
            <w:pPr>
              <w:rPr>
                <w:rFonts w:asciiTheme="minorHAnsi" w:hAnsiTheme="minorHAnsi"/>
                <w:b/>
                <w:bCs/>
                <w:color w:val="000000"/>
                <w:sz w:val="20"/>
                <w:szCs w:val="20"/>
              </w:rPr>
            </w:pPr>
            <w:r w:rsidRPr="7FC729C5">
              <w:rPr>
                <w:rFonts w:asciiTheme="minorHAnsi" w:hAnsiTheme="minorHAnsi"/>
                <w:b/>
                <w:bCs/>
                <w:color w:val="000000" w:themeColor="text1"/>
                <w:sz w:val="20"/>
                <w:szCs w:val="20"/>
              </w:rPr>
              <w:t>Number of Responses</w:t>
            </w:r>
          </w:p>
        </w:tc>
        <w:tc>
          <w:tcPr>
            <w:tcW w:w="1436" w:type="dxa"/>
            <w:vMerge w:val="restart"/>
            <w:shd w:val="clear" w:color="auto" w:fill="D9D9D9" w:themeFill="background1" w:themeFillShade="D9"/>
            <w:vAlign w:val="center"/>
            <w:hideMark/>
          </w:tcPr>
          <w:p w:rsidR="0065496A" w:rsidRPr="004A169C" w:rsidP="7FC729C5" w14:paraId="602280E9" w14:textId="77777777">
            <w:pPr>
              <w:rPr>
                <w:rFonts w:asciiTheme="minorHAnsi" w:hAnsiTheme="minorHAnsi"/>
                <w:b/>
                <w:bCs/>
                <w:color w:val="000000"/>
                <w:sz w:val="20"/>
                <w:szCs w:val="20"/>
              </w:rPr>
            </w:pPr>
            <w:r w:rsidRPr="7FC729C5">
              <w:rPr>
                <w:rFonts w:asciiTheme="minorHAnsi" w:hAnsiTheme="minorHAnsi"/>
                <w:b/>
                <w:bCs/>
                <w:color w:val="000000" w:themeColor="text1"/>
                <w:sz w:val="20"/>
                <w:szCs w:val="20"/>
              </w:rPr>
              <w:t xml:space="preserve">Estimated Number of Annual Respondents </w:t>
            </w:r>
          </w:p>
        </w:tc>
        <w:tc>
          <w:tcPr>
            <w:tcW w:w="990" w:type="dxa"/>
            <w:vMerge w:val="restart"/>
            <w:shd w:val="clear" w:color="auto" w:fill="D9D9D9" w:themeFill="background1" w:themeFillShade="D9"/>
            <w:vAlign w:val="center"/>
            <w:hideMark/>
          </w:tcPr>
          <w:p w:rsidR="0065496A" w:rsidRPr="004A169C" w:rsidP="7FC729C5" w14:paraId="26B86634" w14:textId="77777777">
            <w:pPr>
              <w:rPr>
                <w:rFonts w:asciiTheme="minorHAnsi" w:hAnsiTheme="minorHAnsi"/>
                <w:b/>
                <w:bCs/>
                <w:color w:val="000000"/>
                <w:sz w:val="20"/>
                <w:szCs w:val="20"/>
              </w:rPr>
            </w:pPr>
            <w:r w:rsidRPr="7FC729C5">
              <w:rPr>
                <w:rFonts w:asciiTheme="minorHAnsi" w:hAnsiTheme="minorHAnsi"/>
                <w:b/>
                <w:bCs/>
                <w:color w:val="000000" w:themeColor="text1"/>
                <w:sz w:val="20"/>
                <w:szCs w:val="20"/>
              </w:rPr>
              <w:t>Annual Burden</w:t>
            </w:r>
          </w:p>
        </w:tc>
      </w:tr>
      <w:tr w14:paraId="5D1E6A54" w14:textId="77777777" w:rsidTr="00DA0A40">
        <w:tblPrEx>
          <w:tblW w:w="8995" w:type="dxa"/>
          <w:tblInd w:w="90" w:type="dxa"/>
          <w:tblLook w:val="04A0"/>
        </w:tblPrEx>
        <w:trPr>
          <w:trHeight w:val="684"/>
        </w:trPr>
        <w:tc>
          <w:tcPr>
            <w:tcW w:w="1329" w:type="dxa"/>
            <w:vMerge/>
            <w:vAlign w:val="center"/>
            <w:hideMark/>
          </w:tcPr>
          <w:p w:rsidR="0065496A" w:rsidRPr="004A169C" w:rsidP="004A169C" w14:paraId="235C0109" w14:textId="77777777">
            <w:pPr>
              <w:rPr>
                <w:rFonts w:asciiTheme="minorHAnsi" w:hAnsiTheme="minorHAnsi" w:cstheme="minorHAnsi"/>
                <w:b/>
                <w:bCs/>
                <w:color w:val="000000"/>
                <w:szCs w:val="24"/>
              </w:rPr>
            </w:pPr>
          </w:p>
        </w:tc>
        <w:tc>
          <w:tcPr>
            <w:tcW w:w="1160" w:type="dxa"/>
            <w:shd w:val="clear" w:color="auto" w:fill="D9D9D9" w:themeFill="background1" w:themeFillShade="D9"/>
            <w:noWrap/>
            <w:hideMark/>
          </w:tcPr>
          <w:p w:rsidR="0065496A" w:rsidRPr="004A169C" w:rsidP="7FC729C5" w14:paraId="1BA06D45" w14:textId="77777777">
            <w:pPr>
              <w:jc w:val="center"/>
              <w:rPr>
                <w:rFonts w:asciiTheme="minorHAnsi" w:hAnsiTheme="minorHAnsi"/>
                <w:b/>
                <w:bCs/>
                <w:color w:val="000000"/>
                <w:sz w:val="20"/>
                <w:szCs w:val="20"/>
              </w:rPr>
            </w:pPr>
            <w:r w:rsidRPr="7FC729C5">
              <w:rPr>
                <w:rFonts w:asciiTheme="minorHAnsi" w:hAnsiTheme="minorHAnsi"/>
                <w:b/>
                <w:bCs/>
                <w:color w:val="000000" w:themeColor="text1"/>
                <w:sz w:val="20"/>
                <w:szCs w:val="20"/>
              </w:rPr>
              <w:t>Managerial</w:t>
            </w:r>
          </w:p>
        </w:tc>
        <w:tc>
          <w:tcPr>
            <w:tcW w:w="1008" w:type="dxa"/>
            <w:shd w:val="clear" w:color="auto" w:fill="D9D9D9" w:themeFill="background1" w:themeFillShade="D9"/>
            <w:hideMark/>
          </w:tcPr>
          <w:p w:rsidR="0065496A" w:rsidRPr="004A169C" w:rsidP="7FC729C5" w14:paraId="748CAFFA" w14:textId="5C71D31A">
            <w:pPr>
              <w:jc w:val="center"/>
              <w:rPr>
                <w:rFonts w:asciiTheme="minorHAnsi" w:hAnsiTheme="minorHAnsi"/>
                <w:b/>
                <w:bCs/>
                <w:color w:val="000000"/>
                <w:sz w:val="20"/>
                <w:szCs w:val="20"/>
              </w:rPr>
            </w:pPr>
            <w:r w:rsidRPr="7FC729C5">
              <w:rPr>
                <w:rFonts w:asciiTheme="minorHAnsi" w:hAnsiTheme="minorHAnsi"/>
                <w:b/>
                <w:bCs/>
                <w:color w:val="000000" w:themeColor="text1"/>
                <w:sz w:val="20"/>
                <w:szCs w:val="20"/>
              </w:rPr>
              <w:t>Technica</w:t>
            </w:r>
            <w:r w:rsidRPr="7FC729C5" w:rsidR="1EA44CBF">
              <w:rPr>
                <w:rFonts w:asciiTheme="minorHAnsi" w:hAnsiTheme="minorHAnsi"/>
                <w:b/>
                <w:bCs/>
                <w:color w:val="000000" w:themeColor="text1"/>
                <w:sz w:val="20"/>
                <w:szCs w:val="20"/>
              </w:rPr>
              <w:t>l</w:t>
            </w:r>
          </w:p>
        </w:tc>
        <w:tc>
          <w:tcPr>
            <w:tcW w:w="900" w:type="dxa"/>
            <w:shd w:val="clear" w:color="auto" w:fill="D9D9D9" w:themeFill="background1" w:themeFillShade="D9"/>
            <w:hideMark/>
          </w:tcPr>
          <w:p w:rsidR="0065496A" w:rsidRPr="004A169C" w:rsidP="7FC729C5" w14:paraId="544807B3" w14:textId="553A1DE8">
            <w:pPr>
              <w:jc w:val="center"/>
              <w:rPr>
                <w:rFonts w:asciiTheme="minorHAnsi" w:hAnsiTheme="minorHAnsi"/>
                <w:b/>
                <w:bCs/>
                <w:color w:val="000000"/>
                <w:sz w:val="20"/>
                <w:szCs w:val="20"/>
              </w:rPr>
            </w:pPr>
            <w:r w:rsidRPr="7FC729C5">
              <w:rPr>
                <w:rFonts w:asciiTheme="minorHAnsi" w:hAnsiTheme="minorHAnsi"/>
                <w:b/>
                <w:bCs/>
                <w:color w:val="000000" w:themeColor="text1"/>
                <w:sz w:val="20"/>
                <w:szCs w:val="20"/>
              </w:rPr>
              <w:t>Clerica</w:t>
            </w:r>
            <w:r w:rsidRPr="7FC729C5" w:rsidR="67F160A3">
              <w:rPr>
                <w:rFonts w:asciiTheme="minorHAnsi" w:hAnsiTheme="minorHAnsi"/>
                <w:b/>
                <w:bCs/>
                <w:color w:val="000000" w:themeColor="text1"/>
                <w:sz w:val="20"/>
                <w:szCs w:val="20"/>
              </w:rPr>
              <w:t>l</w:t>
            </w:r>
          </w:p>
        </w:tc>
        <w:tc>
          <w:tcPr>
            <w:tcW w:w="1080" w:type="dxa"/>
            <w:vMerge/>
            <w:vAlign w:val="center"/>
            <w:hideMark/>
          </w:tcPr>
          <w:p w:rsidR="0065496A" w:rsidRPr="004A169C" w:rsidP="004A169C" w14:paraId="6A5C3DDC" w14:textId="00FB49A2">
            <w:pPr>
              <w:rPr>
                <w:rFonts w:asciiTheme="minorHAnsi" w:hAnsiTheme="minorHAnsi" w:cstheme="minorHAnsi"/>
                <w:b/>
                <w:bCs/>
                <w:color w:val="000000"/>
                <w:szCs w:val="24"/>
              </w:rPr>
            </w:pPr>
          </w:p>
        </w:tc>
        <w:tc>
          <w:tcPr>
            <w:tcW w:w="1092" w:type="dxa"/>
            <w:vMerge/>
            <w:vAlign w:val="center"/>
            <w:hideMark/>
          </w:tcPr>
          <w:p w:rsidR="0065496A" w:rsidRPr="004A169C" w:rsidP="004A169C" w14:paraId="6FBE06F9" w14:textId="77777777">
            <w:pPr>
              <w:rPr>
                <w:rFonts w:asciiTheme="minorHAnsi" w:hAnsiTheme="minorHAnsi" w:cstheme="minorHAnsi"/>
                <w:b/>
                <w:bCs/>
                <w:color w:val="000000"/>
                <w:szCs w:val="24"/>
              </w:rPr>
            </w:pPr>
          </w:p>
        </w:tc>
        <w:tc>
          <w:tcPr>
            <w:tcW w:w="1436" w:type="dxa"/>
            <w:vMerge/>
            <w:vAlign w:val="center"/>
            <w:hideMark/>
          </w:tcPr>
          <w:p w:rsidR="0065496A" w:rsidRPr="004A169C" w:rsidP="004A169C" w14:paraId="681E676E" w14:textId="77777777">
            <w:pPr>
              <w:rPr>
                <w:rFonts w:asciiTheme="minorHAnsi" w:hAnsiTheme="minorHAnsi" w:cstheme="minorHAnsi"/>
                <w:b/>
                <w:bCs/>
                <w:color w:val="000000"/>
                <w:szCs w:val="24"/>
              </w:rPr>
            </w:pPr>
          </w:p>
        </w:tc>
        <w:tc>
          <w:tcPr>
            <w:tcW w:w="990" w:type="dxa"/>
            <w:vMerge/>
            <w:vAlign w:val="center"/>
            <w:hideMark/>
          </w:tcPr>
          <w:p w:rsidR="0065496A" w:rsidRPr="004A169C" w:rsidP="004A169C" w14:paraId="7172D33B" w14:textId="77777777">
            <w:pPr>
              <w:rPr>
                <w:rFonts w:asciiTheme="minorHAnsi" w:hAnsiTheme="minorHAnsi" w:cstheme="minorHAnsi"/>
                <w:b/>
                <w:bCs/>
                <w:color w:val="000000"/>
                <w:szCs w:val="24"/>
              </w:rPr>
            </w:pPr>
          </w:p>
        </w:tc>
      </w:tr>
      <w:tr w14:paraId="65466740" w14:textId="77777777" w:rsidTr="00DA0A40">
        <w:tblPrEx>
          <w:tblW w:w="8995" w:type="dxa"/>
          <w:tblInd w:w="90" w:type="dxa"/>
          <w:tblLook w:val="04A0"/>
        </w:tblPrEx>
        <w:trPr>
          <w:trHeight w:val="599"/>
        </w:trPr>
        <w:tc>
          <w:tcPr>
            <w:tcW w:w="1329" w:type="dxa"/>
            <w:vAlign w:val="center"/>
            <w:hideMark/>
          </w:tcPr>
          <w:p w:rsidR="008C2B73" w:rsidRPr="004A169C" w:rsidP="7FC729C5" w14:paraId="014525FD" w14:textId="77777777">
            <w:pPr>
              <w:ind w:firstLine="200" w:firstLineChars="100"/>
              <w:rPr>
                <w:rFonts w:asciiTheme="minorHAnsi" w:hAnsiTheme="minorHAnsi"/>
                <w:color w:val="000000"/>
                <w:sz w:val="20"/>
                <w:szCs w:val="20"/>
              </w:rPr>
            </w:pPr>
            <w:r w:rsidRPr="7FC729C5">
              <w:rPr>
                <w:rFonts w:asciiTheme="minorHAnsi" w:hAnsiTheme="minorHAnsi"/>
                <w:color w:val="000000" w:themeColor="text1"/>
                <w:sz w:val="20"/>
                <w:szCs w:val="20"/>
              </w:rPr>
              <w:t>CDX Registration</w:t>
            </w:r>
          </w:p>
        </w:tc>
        <w:tc>
          <w:tcPr>
            <w:tcW w:w="1160" w:type="dxa"/>
            <w:noWrap/>
            <w:vAlign w:val="center"/>
            <w:hideMark/>
          </w:tcPr>
          <w:p w:rsidR="008C2B73" w:rsidRPr="004A169C" w:rsidP="00AA0CBB" w14:paraId="54CF0984" w14:textId="77777777">
            <w:pPr>
              <w:jc w:val="center"/>
              <w:rPr>
                <w:rFonts w:asciiTheme="minorHAnsi" w:hAnsiTheme="minorHAnsi"/>
                <w:color w:val="000000"/>
                <w:sz w:val="20"/>
                <w:szCs w:val="20"/>
              </w:rPr>
            </w:pPr>
            <w:r w:rsidRPr="7FC729C5">
              <w:rPr>
                <w:rFonts w:asciiTheme="minorHAnsi" w:hAnsiTheme="minorHAnsi"/>
                <w:color w:val="000000" w:themeColor="text1"/>
                <w:sz w:val="20"/>
                <w:szCs w:val="20"/>
              </w:rPr>
              <w:t>0</w:t>
            </w:r>
          </w:p>
        </w:tc>
        <w:tc>
          <w:tcPr>
            <w:tcW w:w="1008" w:type="dxa"/>
            <w:vAlign w:val="center"/>
            <w:hideMark/>
          </w:tcPr>
          <w:p w:rsidR="008C2B73" w:rsidRPr="004A169C" w:rsidP="00AA0CBB" w14:paraId="25ACE60C" w14:textId="62E08298">
            <w:pPr>
              <w:jc w:val="center"/>
              <w:rPr>
                <w:rFonts w:asciiTheme="minorHAnsi" w:hAnsiTheme="minorHAnsi"/>
                <w:color w:val="000000"/>
                <w:sz w:val="20"/>
                <w:szCs w:val="20"/>
              </w:rPr>
            </w:pPr>
            <w:r w:rsidRPr="7FC729C5">
              <w:rPr>
                <w:rFonts w:asciiTheme="minorHAnsi" w:hAnsiTheme="minorHAnsi"/>
                <w:color w:val="000000" w:themeColor="text1"/>
                <w:sz w:val="20"/>
                <w:szCs w:val="20"/>
              </w:rPr>
              <w:t>0.29</w:t>
            </w:r>
          </w:p>
        </w:tc>
        <w:tc>
          <w:tcPr>
            <w:tcW w:w="900" w:type="dxa"/>
            <w:vAlign w:val="center"/>
            <w:hideMark/>
          </w:tcPr>
          <w:p w:rsidR="008C2B73" w:rsidRPr="004A169C" w:rsidP="00AA0CBB" w14:paraId="7502182C" w14:textId="77777777">
            <w:pPr>
              <w:jc w:val="center"/>
              <w:rPr>
                <w:rFonts w:asciiTheme="minorHAnsi" w:hAnsiTheme="minorHAnsi"/>
                <w:color w:val="000000"/>
                <w:sz w:val="20"/>
                <w:szCs w:val="20"/>
              </w:rPr>
            </w:pPr>
            <w:r w:rsidRPr="7FC729C5">
              <w:rPr>
                <w:rFonts w:asciiTheme="minorHAnsi" w:hAnsiTheme="minorHAnsi"/>
                <w:color w:val="000000" w:themeColor="text1"/>
                <w:sz w:val="20"/>
                <w:szCs w:val="20"/>
              </w:rPr>
              <w:t>0</w:t>
            </w:r>
          </w:p>
        </w:tc>
        <w:tc>
          <w:tcPr>
            <w:tcW w:w="1080" w:type="dxa"/>
            <w:vAlign w:val="center"/>
            <w:hideMark/>
          </w:tcPr>
          <w:p w:rsidR="008C2B73" w:rsidRPr="004A169C" w:rsidP="00AA0CBB" w14:paraId="6C664A91" w14:textId="59FEEC71">
            <w:pPr>
              <w:jc w:val="center"/>
              <w:rPr>
                <w:rFonts w:asciiTheme="minorHAnsi" w:hAnsiTheme="minorHAnsi"/>
                <w:color w:val="000000"/>
                <w:sz w:val="20"/>
                <w:szCs w:val="20"/>
              </w:rPr>
            </w:pPr>
            <w:r w:rsidRPr="7FC729C5">
              <w:rPr>
                <w:rFonts w:asciiTheme="minorHAnsi" w:hAnsiTheme="minorHAnsi"/>
                <w:color w:val="000000" w:themeColor="text1"/>
                <w:sz w:val="20"/>
                <w:szCs w:val="20"/>
              </w:rPr>
              <w:t>0.29</w:t>
            </w:r>
          </w:p>
        </w:tc>
        <w:tc>
          <w:tcPr>
            <w:tcW w:w="1092" w:type="dxa"/>
            <w:vMerge w:val="restart"/>
            <w:vAlign w:val="center"/>
          </w:tcPr>
          <w:p w:rsidR="008C2B73" w:rsidRPr="004A169C" w:rsidP="00AA0CBB" w14:paraId="2B477CCF" w14:textId="53E11B8E">
            <w:pPr>
              <w:jc w:val="center"/>
              <w:rPr>
                <w:rFonts w:asciiTheme="minorHAnsi" w:hAnsiTheme="minorHAnsi"/>
                <w:color w:val="000000"/>
                <w:sz w:val="20"/>
                <w:szCs w:val="20"/>
              </w:rPr>
            </w:pPr>
            <w:r w:rsidRPr="7FC729C5">
              <w:rPr>
                <w:rFonts w:asciiTheme="minorHAnsi" w:hAnsiTheme="minorHAnsi"/>
                <w:color w:val="000000" w:themeColor="text1"/>
                <w:sz w:val="20"/>
                <w:szCs w:val="20"/>
              </w:rPr>
              <w:t>37</w:t>
            </w:r>
          </w:p>
        </w:tc>
        <w:tc>
          <w:tcPr>
            <w:tcW w:w="1436" w:type="dxa"/>
            <w:vMerge w:val="restart"/>
            <w:vAlign w:val="center"/>
          </w:tcPr>
          <w:p w:rsidR="008C2B73" w:rsidRPr="004A169C" w:rsidP="00AA0CBB" w14:paraId="708BECD5" w14:textId="7DEAF5E4">
            <w:pPr>
              <w:jc w:val="center"/>
              <w:rPr>
                <w:rFonts w:asciiTheme="minorHAnsi" w:hAnsiTheme="minorHAnsi"/>
                <w:color w:val="000000"/>
                <w:sz w:val="20"/>
                <w:szCs w:val="20"/>
              </w:rPr>
            </w:pPr>
            <w:r w:rsidRPr="7FC729C5">
              <w:rPr>
                <w:rFonts w:asciiTheme="minorHAnsi" w:hAnsiTheme="minorHAnsi"/>
                <w:color w:val="000000" w:themeColor="text1"/>
                <w:sz w:val="20"/>
                <w:szCs w:val="20"/>
              </w:rPr>
              <w:t>37</w:t>
            </w:r>
          </w:p>
        </w:tc>
        <w:tc>
          <w:tcPr>
            <w:tcW w:w="990" w:type="dxa"/>
            <w:vAlign w:val="center"/>
          </w:tcPr>
          <w:p w:rsidR="008C2B73" w:rsidRPr="004A169C" w:rsidP="00AA0CBB" w14:paraId="4309AD33" w14:textId="39E82DD4">
            <w:pPr>
              <w:jc w:val="center"/>
              <w:rPr>
                <w:rFonts w:asciiTheme="minorHAnsi" w:hAnsiTheme="minorHAnsi"/>
                <w:color w:val="000000"/>
                <w:sz w:val="20"/>
                <w:szCs w:val="20"/>
              </w:rPr>
            </w:pPr>
            <w:r w:rsidRPr="7FC729C5">
              <w:rPr>
                <w:rFonts w:asciiTheme="minorHAnsi" w:hAnsiTheme="minorHAnsi"/>
                <w:color w:val="000000" w:themeColor="text1"/>
                <w:sz w:val="20"/>
                <w:szCs w:val="20"/>
              </w:rPr>
              <w:t>11</w:t>
            </w:r>
          </w:p>
        </w:tc>
      </w:tr>
      <w:tr w14:paraId="3B2F6C20" w14:textId="77777777" w:rsidTr="00DA0A40">
        <w:tblPrEx>
          <w:tblW w:w="8995" w:type="dxa"/>
          <w:tblInd w:w="90" w:type="dxa"/>
          <w:tblLook w:val="04A0"/>
        </w:tblPrEx>
        <w:trPr>
          <w:trHeight w:val="599"/>
        </w:trPr>
        <w:tc>
          <w:tcPr>
            <w:tcW w:w="1329" w:type="dxa"/>
            <w:vAlign w:val="center"/>
            <w:hideMark/>
          </w:tcPr>
          <w:p w:rsidR="008C2B73" w:rsidRPr="004A169C" w:rsidP="7FC729C5" w14:paraId="58F3E767" w14:textId="77777777">
            <w:pPr>
              <w:ind w:firstLine="200" w:firstLineChars="100"/>
              <w:rPr>
                <w:rFonts w:asciiTheme="minorHAnsi" w:hAnsiTheme="minorHAnsi"/>
                <w:color w:val="000000"/>
                <w:sz w:val="20"/>
                <w:szCs w:val="20"/>
              </w:rPr>
            </w:pPr>
            <w:r w:rsidRPr="7FC729C5">
              <w:rPr>
                <w:rFonts w:asciiTheme="minorHAnsi" w:hAnsiTheme="minorHAnsi"/>
                <w:color w:val="000000" w:themeColor="text1"/>
                <w:sz w:val="20"/>
                <w:szCs w:val="20"/>
              </w:rPr>
              <w:t>CDX E-Signature</w:t>
            </w:r>
          </w:p>
        </w:tc>
        <w:tc>
          <w:tcPr>
            <w:tcW w:w="1160" w:type="dxa"/>
            <w:noWrap/>
            <w:vAlign w:val="center"/>
            <w:hideMark/>
          </w:tcPr>
          <w:p w:rsidR="008C2B73" w:rsidRPr="004A169C" w:rsidP="00AA0CBB" w14:paraId="20013C80" w14:textId="77777777">
            <w:pPr>
              <w:jc w:val="center"/>
              <w:rPr>
                <w:rFonts w:asciiTheme="minorHAnsi" w:hAnsiTheme="minorHAnsi"/>
                <w:color w:val="000000"/>
                <w:sz w:val="20"/>
                <w:szCs w:val="20"/>
              </w:rPr>
            </w:pPr>
            <w:r w:rsidRPr="7FC729C5">
              <w:rPr>
                <w:rFonts w:asciiTheme="minorHAnsi" w:hAnsiTheme="minorHAnsi"/>
                <w:color w:val="000000" w:themeColor="text1"/>
                <w:sz w:val="20"/>
                <w:szCs w:val="20"/>
              </w:rPr>
              <w:t>0</w:t>
            </w:r>
          </w:p>
        </w:tc>
        <w:tc>
          <w:tcPr>
            <w:tcW w:w="1008" w:type="dxa"/>
            <w:vAlign w:val="center"/>
            <w:hideMark/>
          </w:tcPr>
          <w:p w:rsidR="008C2B73" w:rsidRPr="004A169C" w:rsidP="00AA0CBB" w14:paraId="6A7ACB6C" w14:textId="77777777">
            <w:pPr>
              <w:jc w:val="center"/>
              <w:rPr>
                <w:rFonts w:asciiTheme="minorHAnsi" w:hAnsiTheme="minorHAnsi"/>
                <w:color w:val="000000"/>
                <w:sz w:val="20"/>
                <w:szCs w:val="20"/>
              </w:rPr>
            </w:pPr>
            <w:r w:rsidRPr="7FC729C5">
              <w:rPr>
                <w:rFonts w:asciiTheme="minorHAnsi" w:hAnsiTheme="minorHAnsi"/>
                <w:color w:val="000000" w:themeColor="text1"/>
                <w:sz w:val="20"/>
                <w:szCs w:val="20"/>
              </w:rPr>
              <w:t>0.35</w:t>
            </w:r>
          </w:p>
        </w:tc>
        <w:tc>
          <w:tcPr>
            <w:tcW w:w="900" w:type="dxa"/>
            <w:vAlign w:val="center"/>
            <w:hideMark/>
          </w:tcPr>
          <w:p w:rsidR="008C2B73" w:rsidRPr="004A169C" w:rsidP="00AA0CBB" w14:paraId="03DACEAC" w14:textId="77777777">
            <w:pPr>
              <w:jc w:val="center"/>
              <w:rPr>
                <w:rFonts w:asciiTheme="minorHAnsi" w:hAnsiTheme="minorHAnsi"/>
                <w:color w:val="000000"/>
                <w:sz w:val="20"/>
                <w:szCs w:val="20"/>
              </w:rPr>
            </w:pPr>
            <w:r w:rsidRPr="7FC729C5">
              <w:rPr>
                <w:rFonts w:asciiTheme="minorHAnsi" w:hAnsiTheme="minorHAnsi"/>
                <w:color w:val="000000" w:themeColor="text1"/>
                <w:sz w:val="20"/>
                <w:szCs w:val="20"/>
              </w:rPr>
              <w:t>0</w:t>
            </w:r>
          </w:p>
        </w:tc>
        <w:tc>
          <w:tcPr>
            <w:tcW w:w="1080" w:type="dxa"/>
            <w:vAlign w:val="center"/>
            <w:hideMark/>
          </w:tcPr>
          <w:p w:rsidR="008C2B73" w:rsidRPr="004A169C" w:rsidP="00AA0CBB" w14:paraId="7C374731" w14:textId="77777777">
            <w:pPr>
              <w:jc w:val="center"/>
              <w:rPr>
                <w:rFonts w:asciiTheme="minorHAnsi" w:hAnsiTheme="minorHAnsi"/>
                <w:color w:val="000000"/>
                <w:sz w:val="20"/>
                <w:szCs w:val="20"/>
              </w:rPr>
            </w:pPr>
            <w:r w:rsidRPr="7FC729C5">
              <w:rPr>
                <w:rFonts w:asciiTheme="minorHAnsi" w:hAnsiTheme="minorHAnsi"/>
                <w:color w:val="000000" w:themeColor="text1"/>
                <w:sz w:val="20"/>
                <w:szCs w:val="20"/>
              </w:rPr>
              <w:t>0.35</w:t>
            </w:r>
          </w:p>
        </w:tc>
        <w:tc>
          <w:tcPr>
            <w:tcW w:w="1092" w:type="dxa"/>
            <w:vMerge/>
            <w:vAlign w:val="center"/>
          </w:tcPr>
          <w:p w:rsidR="008C2B73" w:rsidRPr="004A169C" w:rsidP="00AA0CBB" w14:paraId="6FB3112B" w14:textId="77777777">
            <w:pPr>
              <w:jc w:val="center"/>
              <w:rPr>
                <w:rFonts w:asciiTheme="minorHAnsi" w:hAnsiTheme="minorHAnsi" w:cstheme="minorHAnsi"/>
                <w:color w:val="000000"/>
                <w:szCs w:val="24"/>
              </w:rPr>
            </w:pPr>
          </w:p>
        </w:tc>
        <w:tc>
          <w:tcPr>
            <w:tcW w:w="1436" w:type="dxa"/>
            <w:vMerge/>
            <w:vAlign w:val="center"/>
          </w:tcPr>
          <w:p w:rsidR="008C2B73" w:rsidRPr="004A169C" w:rsidP="00AA0CBB" w14:paraId="43A68DE4" w14:textId="77777777">
            <w:pPr>
              <w:jc w:val="center"/>
              <w:rPr>
                <w:rFonts w:asciiTheme="minorHAnsi" w:hAnsiTheme="minorHAnsi" w:cstheme="minorHAnsi"/>
                <w:color w:val="000000"/>
                <w:szCs w:val="24"/>
              </w:rPr>
            </w:pPr>
          </w:p>
        </w:tc>
        <w:tc>
          <w:tcPr>
            <w:tcW w:w="990" w:type="dxa"/>
            <w:vAlign w:val="center"/>
          </w:tcPr>
          <w:p w:rsidR="008C2B73" w:rsidRPr="004A169C" w:rsidP="00AA0CBB" w14:paraId="679E33A0" w14:textId="1B32FD8D">
            <w:pPr>
              <w:jc w:val="center"/>
              <w:rPr>
                <w:rFonts w:asciiTheme="minorHAnsi" w:hAnsiTheme="minorHAnsi"/>
                <w:color w:val="000000"/>
                <w:sz w:val="20"/>
                <w:szCs w:val="20"/>
              </w:rPr>
            </w:pPr>
            <w:r w:rsidRPr="7FC729C5">
              <w:rPr>
                <w:rFonts w:asciiTheme="minorHAnsi" w:hAnsiTheme="minorHAnsi"/>
                <w:color w:val="000000" w:themeColor="text1"/>
                <w:sz w:val="20"/>
                <w:szCs w:val="20"/>
              </w:rPr>
              <w:t>13</w:t>
            </w:r>
          </w:p>
        </w:tc>
      </w:tr>
      <w:tr w14:paraId="6A07A05A" w14:textId="77777777" w:rsidTr="00DA0A40">
        <w:tblPrEx>
          <w:tblW w:w="8995" w:type="dxa"/>
          <w:tblInd w:w="90" w:type="dxa"/>
          <w:tblLook w:val="04A0"/>
        </w:tblPrEx>
        <w:trPr>
          <w:trHeight w:val="359"/>
        </w:trPr>
        <w:tc>
          <w:tcPr>
            <w:tcW w:w="1329" w:type="dxa"/>
            <w:vAlign w:val="center"/>
            <w:hideMark/>
          </w:tcPr>
          <w:p w:rsidR="008C2B73" w:rsidRPr="00B17D82" w:rsidP="7FC729C5" w14:paraId="2553C9CA" w14:textId="77777777">
            <w:pPr>
              <w:rPr>
                <w:rFonts w:asciiTheme="minorHAnsi" w:hAnsiTheme="minorHAnsi"/>
                <w:b/>
                <w:bCs/>
                <w:color w:val="000000"/>
                <w:sz w:val="20"/>
                <w:szCs w:val="20"/>
              </w:rPr>
            </w:pPr>
            <w:r w:rsidRPr="7FC729C5">
              <w:rPr>
                <w:rFonts w:asciiTheme="minorHAnsi" w:hAnsiTheme="minorHAnsi"/>
                <w:b/>
                <w:bCs/>
                <w:color w:val="000000" w:themeColor="text1"/>
                <w:sz w:val="20"/>
                <w:szCs w:val="20"/>
              </w:rPr>
              <w:t>TOTAL</w:t>
            </w:r>
          </w:p>
        </w:tc>
        <w:tc>
          <w:tcPr>
            <w:tcW w:w="1160" w:type="dxa"/>
            <w:noWrap/>
            <w:vAlign w:val="center"/>
            <w:hideMark/>
          </w:tcPr>
          <w:p w:rsidR="008C2B73" w:rsidRPr="00B17D82" w:rsidP="00AA0CBB" w14:paraId="1A710CC6" w14:textId="77777777">
            <w:pPr>
              <w:jc w:val="center"/>
              <w:rPr>
                <w:rFonts w:asciiTheme="minorHAnsi" w:hAnsiTheme="minorHAnsi"/>
                <w:b/>
                <w:bCs/>
                <w:color w:val="000000"/>
                <w:sz w:val="20"/>
                <w:szCs w:val="20"/>
              </w:rPr>
            </w:pPr>
            <w:r w:rsidRPr="7FC729C5">
              <w:rPr>
                <w:rFonts w:asciiTheme="minorHAnsi" w:hAnsiTheme="minorHAnsi"/>
                <w:b/>
                <w:bCs/>
                <w:color w:val="000000" w:themeColor="text1"/>
                <w:sz w:val="20"/>
                <w:szCs w:val="20"/>
              </w:rPr>
              <w:t>0</w:t>
            </w:r>
          </w:p>
        </w:tc>
        <w:tc>
          <w:tcPr>
            <w:tcW w:w="1008" w:type="dxa"/>
            <w:noWrap/>
            <w:vAlign w:val="center"/>
            <w:hideMark/>
          </w:tcPr>
          <w:p w:rsidR="008C2B73" w:rsidRPr="00B17D82" w:rsidP="00AA0CBB" w14:paraId="7E03B8DB" w14:textId="270A6843">
            <w:pPr>
              <w:jc w:val="center"/>
              <w:rPr>
                <w:rFonts w:asciiTheme="minorHAnsi" w:hAnsiTheme="minorHAnsi"/>
                <w:b/>
                <w:bCs/>
                <w:color w:val="000000"/>
                <w:sz w:val="20"/>
                <w:szCs w:val="20"/>
              </w:rPr>
            </w:pPr>
            <w:r w:rsidRPr="7FC729C5">
              <w:rPr>
                <w:rFonts w:asciiTheme="minorHAnsi" w:hAnsiTheme="minorHAnsi"/>
                <w:b/>
                <w:bCs/>
                <w:color w:val="000000" w:themeColor="text1"/>
                <w:sz w:val="20"/>
                <w:szCs w:val="20"/>
              </w:rPr>
              <w:t>0.64</w:t>
            </w:r>
          </w:p>
        </w:tc>
        <w:tc>
          <w:tcPr>
            <w:tcW w:w="900" w:type="dxa"/>
            <w:noWrap/>
            <w:vAlign w:val="center"/>
            <w:hideMark/>
          </w:tcPr>
          <w:p w:rsidR="008C2B73" w:rsidRPr="00B17D82" w:rsidP="00AA0CBB" w14:paraId="6FD79AD9" w14:textId="77777777">
            <w:pPr>
              <w:jc w:val="center"/>
              <w:rPr>
                <w:rFonts w:asciiTheme="minorHAnsi" w:hAnsiTheme="minorHAnsi"/>
                <w:b/>
                <w:bCs/>
                <w:color w:val="000000"/>
                <w:sz w:val="20"/>
                <w:szCs w:val="20"/>
              </w:rPr>
            </w:pPr>
            <w:r w:rsidRPr="7FC729C5">
              <w:rPr>
                <w:rFonts w:asciiTheme="minorHAnsi" w:hAnsiTheme="minorHAnsi"/>
                <w:b/>
                <w:bCs/>
                <w:color w:val="000000" w:themeColor="text1"/>
                <w:sz w:val="20"/>
                <w:szCs w:val="20"/>
              </w:rPr>
              <w:t>0</w:t>
            </w:r>
          </w:p>
        </w:tc>
        <w:tc>
          <w:tcPr>
            <w:tcW w:w="1080" w:type="dxa"/>
            <w:noWrap/>
            <w:vAlign w:val="center"/>
            <w:hideMark/>
          </w:tcPr>
          <w:p w:rsidR="008C2B73" w:rsidRPr="00B17D82" w:rsidP="00AA0CBB" w14:paraId="3D5C693F" w14:textId="554EA07D">
            <w:pPr>
              <w:jc w:val="center"/>
              <w:rPr>
                <w:rFonts w:asciiTheme="minorHAnsi" w:hAnsiTheme="minorHAnsi"/>
                <w:b/>
                <w:bCs/>
                <w:color w:val="000000"/>
                <w:sz w:val="20"/>
                <w:szCs w:val="20"/>
              </w:rPr>
            </w:pPr>
            <w:r w:rsidRPr="7FC729C5">
              <w:rPr>
                <w:rFonts w:asciiTheme="minorHAnsi" w:hAnsiTheme="minorHAnsi"/>
                <w:b/>
                <w:bCs/>
                <w:color w:val="000000" w:themeColor="text1"/>
                <w:sz w:val="20"/>
                <w:szCs w:val="20"/>
              </w:rPr>
              <w:t>0.64</w:t>
            </w:r>
          </w:p>
        </w:tc>
        <w:tc>
          <w:tcPr>
            <w:tcW w:w="1092" w:type="dxa"/>
            <w:noWrap/>
            <w:vAlign w:val="center"/>
          </w:tcPr>
          <w:p w:rsidR="008C2B73" w:rsidRPr="00B17D82" w:rsidP="00AA0CBB" w14:paraId="1D3E7DD1" w14:textId="42224683">
            <w:pPr>
              <w:jc w:val="center"/>
              <w:rPr>
                <w:rFonts w:asciiTheme="minorHAnsi" w:hAnsiTheme="minorHAnsi"/>
                <w:b/>
                <w:bCs/>
                <w:color w:val="000000"/>
                <w:sz w:val="20"/>
                <w:szCs w:val="20"/>
              </w:rPr>
            </w:pPr>
            <w:r w:rsidRPr="7FC729C5">
              <w:rPr>
                <w:rFonts w:asciiTheme="minorHAnsi" w:hAnsiTheme="minorHAnsi"/>
                <w:b/>
                <w:bCs/>
                <w:color w:val="000000" w:themeColor="text1"/>
                <w:sz w:val="20"/>
                <w:szCs w:val="20"/>
              </w:rPr>
              <w:t>37</w:t>
            </w:r>
          </w:p>
        </w:tc>
        <w:tc>
          <w:tcPr>
            <w:tcW w:w="1436" w:type="dxa"/>
            <w:noWrap/>
            <w:vAlign w:val="center"/>
          </w:tcPr>
          <w:p w:rsidR="008C2B73" w:rsidRPr="00B17D82" w:rsidP="00AA0CBB" w14:paraId="016D6BEF" w14:textId="37F7FA4A">
            <w:pPr>
              <w:jc w:val="center"/>
              <w:rPr>
                <w:rFonts w:asciiTheme="minorHAnsi" w:hAnsiTheme="minorHAnsi"/>
                <w:b/>
                <w:bCs/>
                <w:color w:val="000000"/>
                <w:sz w:val="20"/>
                <w:szCs w:val="20"/>
              </w:rPr>
            </w:pPr>
            <w:r w:rsidRPr="7FC729C5">
              <w:rPr>
                <w:rFonts w:asciiTheme="minorHAnsi" w:hAnsiTheme="minorHAnsi"/>
                <w:b/>
                <w:bCs/>
                <w:color w:val="000000" w:themeColor="text1"/>
                <w:sz w:val="20"/>
                <w:szCs w:val="20"/>
              </w:rPr>
              <w:t>37</w:t>
            </w:r>
          </w:p>
        </w:tc>
        <w:tc>
          <w:tcPr>
            <w:tcW w:w="990" w:type="dxa"/>
            <w:vAlign w:val="center"/>
          </w:tcPr>
          <w:p w:rsidR="008C2B73" w:rsidRPr="00B17D82" w:rsidP="00AA0CBB" w14:paraId="5DD25B5B" w14:textId="3F49B589">
            <w:pPr>
              <w:jc w:val="center"/>
              <w:rPr>
                <w:rFonts w:asciiTheme="minorHAnsi" w:hAnsiTheme="minorHAnsi"/>
                <w:b/>
                <w:bCs/>
                <w:color w:val="000000"/>
                <w:sz w:val="20"/>
                <w:szCs w:val="20"/>
              </w:rPr>
            </w:pPr>
            <w:r w:rsidRPr="7FC729C5">
              <w:rPr>
                <w:rFonts w:asciiTheme="minorHAnsi" w:hAnsiTheme="minorHAnsi"/>
                <w:b/>
                <w:bCs/>
                <w:color w:val="000000" w:themeColor="text1"/>
                <w:sz w:val="20"/>
                <w:szCs w:val="20"/>
              </w:rPr>
              <w:t>24</w:t>
            </w:r>
          </w:p>
        </w:tc>
      </w:tr>
    </w:tbl>
    <w:p w:rsidR="00BE0059" w:rsidRPr="00B17D82" w:rsidP="00BE0059" w14:paraId="5CFD1C3E" w14:textId="77777777">
      <w:pPr>
        <w:rPr>
          <w:rFonts w:asciiTheme="minorHAnsi" w:hAnsiTheme="minorHAnsi" w:cstheme="minorHAnsi"/>
          <w:szCs w:val="24"/>
        </w:rPr>
      </w:pPr>
    </w:p>
    <w:p w:rsidR="00047F82" w:rsidRPr="004A169C" w:rsidP="0C501E31" w14:paraId="20B86A22" w14:textId="3E977DF7">
      <w:pPr>
        <w:rPr>
          <w:rFonts w:asciiTheme="minorHAnsi" w:hAnsiTheme="minorHAnsi"/>
        </w:rPr>
      </w:pPr>
      <w:r w:rsidRPr="0C501E31">
        <w:rPr>
          <w:rFonts w:asciiTheme="minorHAnsi" w:hAnsiTheme="minorHAnsi"/>
        </w:rPr>
        <w:t xml:space="preserve">Based on the figures presented in the preceding tables, the </w:t>
      </w:r>
      <w:r w:rsidR="00B52462">
        <w:rPr>
          <w:rFonts w:asciiTheme="minorHAnsi" w:hAnsiTheme="minorHAnsi"/>
        </w:rPr>
        <w:t xml:space="preserve">average annual </w:t>
      </w:r>
      <w:r w:rsidRPr="0C501E31">
        <w:rPr>
          <w:rFonts w:asciiTheme="minorHAnsi" w:hAnsiTheme="minorHAnsi"/>
        </w:rPr>
        <w:t xml:space="preserve">estimated number of </w:t>
      </w:r>
      <w:r w:rsidRPr="0C501E31" w:rsidR="43C91CBD">
        <w:rPr>
          <w:rFonts w:asciiTheme="minorHAnsi" w:hAnsiTheme="minorHAnsi"/>
        </w:rPr>
        <w:t xml:space="preserve">TSCA </w:t>
      </w:r>
      <w:r w:rsidRPr="0C501E31" w:rsidR="002E6F9D">
        <w:rPr>
          <w:rFonts w:asciiTheme="minorHAnsi" w:hAnsiTheme="minorHAnsi"/>
        </w:rPr>
        <w:t>section 8(e)</w:t>
      </w:r>
      <w:r w:rsidR="00A55B39">
        <w:rPr>
          <w:rFonts w:asciiTheme="minorHAnsi" w:hAnsiTheme="minorHAnsi"/>
        </w:rPr>
        <w:t xml:space="preserve"> and</w:t>
      </w:r>
      <w:r w:rsidR="00FD59BC">
        <w:rPr>
          <w:rFonts w:asciiTheme="minorHAnsi" w:hAnsiTheme="minorHAnsi"/>
        </w:rPr>
        <w:t xml:space="preserve"> </w:t>
      </w:r>
      <w:r w:rsidRPr="0C501E31" w:rsidR="002E6F9D">
        <w:rPr>
          <w:rFonts w:asciiTheme="minorHAnsi" w:hAnsiTheme="minorHAnsi"/>
        </w:rPr>
        <w:t xml:space="preserve">FYI </w:t>
      </w:r>
      <w:r w:rsidRPr="0C501E31">
        <w:rPr>
          <w:rFonts w:asciiTheme="minorHAnsi" w:hAnsiTheme="minorHAnsi"/>
        </w:rPr>
        <w:t>responses</w:t>
      </w:r>
      <w:r w:rsidR="00577410">
        <w:rPr>
          <w:rFonts w:asciiTheme="minorHAnsi" w:hAnsiTheme="minorHAnsi"/>
        </w:rPr>
        <w:t xml:space="preserve"> plus </w:t>
      </w:r>
      <w:r w:rsidRPr="0C501E31" w:rsidR="002E6F9D">
        <w:rPr>
          <w:rFonts w:asciiTheme="minorHAnsi" w:hAnsiTheme="minorHAnsi"/>
        </w:rPr>
        <w:t>CDX registrations</w:t>
      </w:r>
      <w:r w:rsidRPr="0C501E31">
        <w:rPr>
          <w:rFonts w:asciiTheme="minorHAnsi" w:hAnsiTheme="minorHAnsi"/>
        </w:rPr>
        <w:t xml:space="preserve"> </w:t>
      </w:r>
      <w:r w:rsidR="004D50BC">
        <w:rPr>
          <w:rFonts w:asciiTheme="minorHAnsi" w:hAnsiTheme="minorHAnsi"/>
        </w:rPr>
        <w:t xml:space="preserve">for the next 3 years is </w:t>
      </w:r>
      <w:r w:rsidR="00B52462">
        <w:rPr>
          <w:rFonts w:asciiTheme="minorHAnsi" w:hAnsiTheme="minorHAnsi"/>
        </w:rPr>
        <w:t>594</w:t>
      </w:r>
      <w:r w:rsidRPr="0C501E31">
        <w:rPr>
          <w:rFonts w:asciiTheme="minorHAnsi" w:hAnsiTheme="minorHAnsi"/>
        </w:rPr>
        <w:t xml:space="preserve">. The </w:t>
      </w:r>
      <w:r w:rsidR="00BF7AE1">
        <w:rPr>
          <w:rFonts w:asciiTheme="minorHAnsi" w:hAnsiTheme="minorHAnsi"/>
        </w:rPr>
        <w:t xml:space="preserve">average annual </w:t>
      </w:r>
      <w:r w:rsidRPr="0C501E31">
        <w:rPr>
          <w:rFonts w:asciiTheme="minorHAnsi" w:hAnsiTheme="minorHAnsi"/>
        </w:rPr>
        <w:t xml:space="preserve">industry reporting burden </w:t>
      </w:r>
      <w:r w:rsidR="00BF7AE1">
        <w:rPr>
          <w:rFonts w:asciiTheme="minorHAnsi" w:hAnsiTheme="minorHAnsi"/>
        </w:rPr>
        <w:t>for th</w:t>
      </w:r>
      <w:r w:rsidR="009442B3">
        <w:rPr>
          <w:rFonts w:asciiTheme="minorHAnsi" w:hAnsiTheme="minorHAnsi"/>
        </w:rPr>
        <w:t>e</w:t>
      </w:r>
      <w:r w:rsidR="00BF7AE1">
        <w:rPr>
          <w:rFonts w:asciiTheme="minorHAnsi" w:hAnsiTheme="minorHAnsi"/>
        </w:rPr>
        <w:t xml:space="preserve"> same period </w:t>
      </w:r>
      <w:r w:rsidRPr="0C501E31">
        <w:rPr>
          <w:rFonts w:asciiTheme="minorHAnsi" w:hAnsiTheme="minorHAnsi"/>
        </w:rPr>
        <w:t xml:space="preserve">totals </w:t>
      </w:r>
      <w:r w:rsidRPr="0C501E31" w:rsidR="00C601C5">
        <w:rPr>
          <w:rFonts w:asciiTheme="minorHAnsi" w:hAnsiTheme="minorHAnsi"/>
          <w:color w:val="000000"/>
        </w:rPr>
        <w:t>27,8</w:t>
      </w:r>
      <w:r w:rsidRPr="0C501E31" w:rsidR="00FB2698">
        <w:rPr>
          <w:rFonts w:asciiTheme="minorHAnsi" w:hAnsiTheme="minorHAnsi"/>
          <w:color w:val="000000"/>
        </w:rPr>
        <w:t>83</w:t>
      </w:r>
      <w:r w:rsidRPr="0C501E31" w:rsidR="004A169C">
        <w:rPr>
          <w:rFonts w:asciiTheme="minorHAnsi" w:hAnsiTheme="minorHAnsi"/>
          <w:color w:val="000000"/>
        </w:rPr>
        <w:t xml:space="preserve"> </w:t>
      </w:r>
      <w:r w:rsidRPr="0C501E31">
        <w:rPr>
          <w:rFonts w:asciiTheme="minorHAnsi" w:hAnsiTheme="minorHAnsi"/>
        </w:rPr>
        <w:t>hours (See also</w:t>
      </w:r>
      <w:r w:rsidRPr="0C501E31" w:rsidR="00347B4C">
        <w:rPr>
          <w:rFonts w:asciiTheme="minorHAnsi" w:hAnsiTheme="minorHAnsi"/>
        </w:rPr>
        <w:t xml:space="preserve"> </w:t>
      </w:r>
      <w:r w:rsidRPr="0C501E31" w:rsidR="00347B4C">
        <w:rPr>
          <w:rFonts w:asciiTheme="minorHAnsi" w:hAnsiTheme="minorHAnsi"/>
        </w:rPr>
        <w:fldChar w:fldCharType="begin"/>
      </w:r>
      <w:r w:rsidRPr="0C501E31" w:rsidR="00347B4C">
        <w:rPr>
          <w:rFonts w:asciiTheme="minorHAnsi" w:hAnsiTheme="minorHAnsi"/>
        </w:rPr>
        <w:instrText xml:space="preserve"> REF _Ref91086875 \h </w:instrText>
      </w:r>
      <w:r w:rsidRPr="0C501E31" w:rsidR="00B71E26">
        <w:rPr>
          <w:rFonts w:asciiTheme="minorHAnsi" w:hAnsiTheme="minorHAnsi"/>
        </w:rPr>
        <w:instrText xml:space="preserve"> \* MERGEFORMAT </w:instrText>
      </w:r>
      <w:r w:rsidRPr="0C501E31" w:rsidR="00347B4C">
        <w:rPr>
          <w:rFonts w:asciiTheme="minorHAnsi" w:hAnsiTheme="minorHAnsi"/>
        </w:rPr>
        <w:fldChar w:fldCharType="separate"/>
      </w:r>
      <w:r w:rsidRPr="0C501E31" w:rsidR="00347B4C">
        <w:rPr>
          <w:rFonts w:asciiTheme="minorHAnsi" w:hAnsiTheme="minorHAnsi"/>
        </w:rPr>
        <w:t xml:space="preserve">Table </w:t>
      </w:r>
      <w:r w:rsidRPr="0C501E31" w:rsidR="00347B4C">
        <w:rPr>
          <w:rFonts w:asciiTheme="minorHAnsi" w:hAnsiTheme="minorHAnsi"/>
          <w:noProof/>
        </w:rPr>
        <w:t>5</w:t>
      </w:r>
      <w:r w:rsidRPr="0C501E31" w:rsidR="00347B4C">
        <w:rPr>
          <w:rFonts w:asciiTheme="minorHAnsi" w:hAnsiTheme="minorHAnsi"/>
        </w:rPr>
        <w:fldChar w:fldCharType="end"/>
      </w:r>
      <w:r w:rsidRPr="0C501E31">
        <w:rPr>
          <w:rFonts w:asciiTheme="minorHAnsi" w:hAnsiTheme="minorHAnsi"/>
        </w:rPr>
        <w:t xml:space="preserve">). Respondents continue to make paper submissions, which comprise </w:t>
      </w:r>
      <w:r w:rsidR="00747A6A">
        <w:rPr>
          <w:rFonts w:asciiTheme="minorHAnsi" w:hAnsiTheme="minorHAnsi"/>
        </w:rPr>
        <w:t xml:space="preserve">roughly </w:t>
      </w:r>
      <w:r w:rsidR="007824FF">
        <w:rPr>
          <w:rFonts w:asciiTheme="minorHAnsi" w:hAnsiTheme="minorHAnsi"/>
        </w:rPr>
        <w:t>1</w:t>
      </w:r>
      <w:r w:rsidRPr="0C501E31">
        <w:rPr>
          <w:rFonts w:asciiTheme="minorHAnsi" w:hAnsiTheme="minorHAnsi"/>
        </w:rPr>
        <w:t>% of all submission</w:t>
      </w:r>
      <w:r w:rsidRPr="0C501E31" w:rsidR="008F19E6">
        <w:rPr>
          <w:rFonts w:asciiTheme="minorHAnsi" w:hAnsiTheme="minorHAnsi"/>
        </w:rPr>
        <w:t>s</w:t>
      </w:r>
      <w:r w:rsidRPr="0C501E31">
        <w:rPr>
          <w:rFonts w:asciiTheme="minorHAnsi" w:hAnsiTheme="minorHAnsi"/>
        </w:rPr>
        <w:t xml:space="preserve">. </w:t>
      </w:r>
    </w:p>
    <w:p w:rsidR="008C2B73" w:rsidRPr="00B17D82" w:rsidP="0C501E31" w14:paraId="24F77890" w14:textId="11D5E676">
      <w:pPr>
        <w:rPr>
          <w:rFonts w:asciiTheme="minorHAnsi" w:hAnsiTheme="minorHAnsi"/>
        </w:rPr>
      </w:pPr>
      <w:r w:rsidRPr="0C501E31">
        <w:rPr>
          <w:rFonts w:asciiTheme="minorHAnsi" w:hAnsiTheme="minorHAnsi"/>
        </w:rPr>
        <w:t xml:space="preserve">EPA estimates submitter costs using burden estimates above along with labor rates obtained from the Bureau of Labor Statistics (BLS). </w:t>
      </w:r>
      <w:r w:rsidRPr="0C501E31" w:rsidR="00CB4E26">
        <w:rPr>
          <w:rFonts w:asciiTheme="minorHAnsi" w:hAnsiTheme="minorHAnsi"/>
        </w:rPr>
        <w:fldChar w:fldCharType="begin"/>
      </w:r>
      <w:r w:rsidRPr="0C501E31" w:rsidR="00CB4E26">
        <w:rPr>
          <w:rFonts w:asciiTheme="minorHAnsi" w:hAnsiTheme="minorHAnsi"/>
        </w:rPr>
        <w:instrText xml:space="preserve"> REF _Ref91086921 \h  \* MERGEFORMAT </w:instrText>
      </w:r>
      <w:r w:rsidRPr="0C501E31" w:rsidR="00CB4E26">
        <w:rPr>
          <w:rFonts w:asciiTheme="minorHAnsi" w:hAnsiTheme="minorHAnsi"/>
        </w:rPr>
        <w:fldChar w:fldCharType="separate"/>
      </w:r>
      <w:r w:rsidRPr="0C501E31" w:rsidR="00CB4E26">
        <w:rPr>
          <w:rFonts w:asciiTheme="minorHAnsi" w:hAnsiTheme="minorHAnsi"/>
        </w:rPr>
        <w:t xml:space="preserve">Table </w:t>
      </w:r>
      <w:r w:rsidRPr="0C501E31" w:rsidR="00CB4E26">
        <w:rPr>
          <w:rFonts w:asciiTheme="minorHAnsi" w:hAnsiTheme="minorHAnsi"/>
          <w:noProof/>
        </w:rPr>
        <w:t>4</w:t>
      </w:r>
      <w:r w:rsidRPr="0C501E31" w:rsidR="00CB4E26">
        <w:rPr>
          <w:rFonts w:asciiTheme="minorHAnsi" w:hAnsiTheme="minorHAnsi"/>
        </w:rPr>
        <w:fldChar w:fldCharType="end"/>
      </w:r>
      <w:r w:rsidRPr="0C501E31" w:rsidR="00CB4E26">
        <w:rPr>
          <w:rFonts w:asciiTheme="minorHAnsi" w:hAnsiTheme="minorHAnsi"/>
        </w:rPr>
        <w:t xml:space="preserve"> </w:t>
      </w:r>
      <w:r w:rsidRPr="0C501E31">
        <w:rPr>
          <w:rFonts w:asciiTheme="minorHAnsi" w:hAnsiTheme="minorHAnsi"/>
        </w:rPr>
        <w:t xml:space="preserve">presents the derivation of the loaded industry wage rates used in this analysis. The wages and fringe benefits for the Managerial, Technical, </w:t>
      </w:r>
      <w:r w:rsidRPr="0C501E31">
        <w:rPr>
          <w:rFonts w:asciiTheme="minorHAnsi" w:hAnsiTheme="minorHAnsi"/>
        </w:rPr>
        <w:t xml:space="preserve">and Clerical labor categories are drawn from the BLS “Employer Costs for Employee Compensation Supplementary Tables Historical Data” for December </w:t>
      </w:r>
      <w:r w:rsidRPr="0C501E31" w:rsidR="00CC6ADE">
        <w:rPr>
          <w:rFonts w:asciiTheme="minorHAnsi" w:hAnsiTheme="minorHAnsi"/>
        </w:rPr>
        <w:t>202</w:t>
      </w:r>
      <w:r w:rsidRPr="0C501E31" w:rsidR="00B80AA9">
        <w:rPr>
          <w:rFonts w:asciiTheme="minorHAnsi" w:hAnsiTheme="minorHAnsi"/>
        </w:rPr>
        <w:t>4</w:t>
      </w:r>
      <w:r w:rsidRPr="0C501E31" w:rsidR="00CC6ADE">
        <w:rPr>
          <w:rFonts w:asciiTheme="minorHAnsi" w:hAnsiTheme="minorHAnsi"/>
        </w:rPr>
        <w:t xml:space="preserve"> </w:t>
      </w:r>
      <w:r w:rsidRPr="0C501E31">
        <w:rPr>
          <w:rFonts w:asciiTheme="minorHAnsi" w:hAnsiTheme="minorHAnsi"/>
        </w:rPr>
        <w:t xml:space="preserve">(BLS, </w:t>
      </w:r>
      <w:r w:rsidRPr="0C501E31" w:rsidR="00B80AA9">
        <w:rPr>
          <w:rFonts w:asciiTheme="minorHAnsi" w:hAnsiTheme="minorHAnsi"/>
        </w:rPr>
        <w:t>2025</w:t>
      </w:r>
      <w:r w:rsidRPr="0C501E31">
        <w:rPr>
          <w:rFonts w:asciiTheme="minorHAnsi" w:hAnsiTheme="minorHAnsi"/>
        </w:rPr>
        <w:t xml:space="preserve">). For each labor category, wages are loaded using fringe benefit rate from BLS plus a </w:t>
      </w:r>
      <w:r w:rsidRPr="0C501E31" w:rsidR="00F25FF8">
        <w:rPr>
          <w:rFonts w:asciiTheme="minorHAnsi" w:hAnsiTheme="minorHAnsi"/>
        </w:rPr>
        <w:t>20</w:t>
      </w:r>
      <w:r w:rsidRPr="0C501E31" w:rsidR="44F5821E">
        <w:rPr>
          <w:rFonts w:asciiTheme="minorHAnsi" w:hAnsiTheme="minorHAnsi"/>
        </w:rPr>
        <w:t>%</w:t>
      </w:r>
      <w:r w:rsidRPr="0C501E31">
        <w:rPr>
          <w:rFonts w:asciiTheme="minorHAnsi" w:hAnsiTheme="minorHAnsi"/>
        </w:rPr>
        <w:t xml:space="preserve"> overhead rate.</w:t>
      </w:r>
      <w:r w:rsidRPr="0C501E31" w:rsidR="00B346A3">
        <w:rPr>
          <w:rFonts w:asciiTheme="minorHAnsi" w:hAnsiTheme="minorHAnsi"/>
        </w:rPr>
        <w:t xml:space="preserve"> </w:t>
      </w:r>
    </w:p>
    <w:p w:rsidR="00644079" w:rsidRPr="006B02F6" w:rsidP="006B02F6" w14:paraId="6EAE8822" w14:textId="7C755519">
      <w:pPr>
        <w:rPr>
          <w:rFonts w:asciiTheme="minorHAnsi" w:hAnsiTheme="minorHAnsi"/>
        </w:rPr>
      </w:pPr>
      <w:r w:rsidRPr="0C501E31">
        <w:rPr>
          <w:rFonts w:asciiTheme="minorHAnsi" w:hAnsiTheme="minorHAnsi"/>
        </w:rPr>
        <w:t>In</w:t>
      </w:r>
      <w:r w:rsidRPr="0C501E31" w:rsidR="00CB4E26">
        <w:rPr>
          <w:rFonts w:asciiTheme="minorHAnsi" w:hAnsiTheme="minorHAnsi"/>
        </w:rPr>
        <w:t xml:space="preserve"> </w:t>
      </w:r>
      <w:r w:rsidRPr="0C501E31" w:rsidR="00CB4E26">
        <w:rPr>
          <w:rFonts w:asciiTheme="minorHAnsi" w:hAnsiTheme="minorHAnsi"/>
        </w:rPr>
        <w:fldChar w:fldCharType="begin"/>
      </w:r>
      <w:r w:rsidRPr="0C501E31" w:rsidR="00CB4E26">
        <w:rPr>
          <w:rFonts w:asciiTheme="minorHAnsi" w:hAnsiTheme="minorHAnsi"/>
        </w:rPr>
        <w:instrText xml:space="preserve"> REF _Ref91086875 \h </w:instrText>
      </w:r>
      <w:r w:rsidRPr="0C501E31" w:rsidR="00B71E26">
        <w:rPr>
          <w:rFonts w:asciiTheme="minorHAnsi" w:hAnsiTheme="minorHAnsi"/>
        </w:rPr>
        <w:instrText xml:space="preserve"> \* MERGEFORMAT </w:instrText>
      </w:r>
      <w:r w:rsidRPr="0C501E31" w:rsidR="00CB4E26">
        <w:rPr>
          <w:rFonts w:asciiTheme="minorHAnsi" w:hAnsiTheme="minorHAnsi"/>
        </w:rPr>
        <w:fldChar w:fldCharType="separate"/>
      </w:r>
      <w:r w:rsidRPr="0C501E31" w:rsidR="00CB4E26">
        <w:rPr>
          <w:rFonts w:asciiTheme="minorHAnsi" w:hAnsiTheme="minorHAnsi"/>
        </w:rPr>
        <w:t xml:space="preserve">Table </w:t>
      </w:r>
      <w:r w:rsidRPr="0C501E31" w:rsidR="00CB4E26">
        <w:rPr>
          <w:rFonts w:asciiTheme="minorHAnsi" w:hAnsiTheme="minorHAnsi"/>
          <w:noProof/>
        </w:rPr>
        <w:t>5</w:t>
      </w:r>
      <w:r w:rsidRPr="0C501E31" w:rsidR="00CB4E26">
        <w:rPr>
          <w:rFonts w:asciiTheme="minorHAnsi" w:hAnsiTheme="minorHAnsi"/>
        </w:rPr>
        <w:fldChar w:fldCharType="end"/>
      </w:r>
      <w:r w:rsidRPr="0C501E31">
        <w:rPr>
          <w:rFonts w:asciiTheme="minorHAnsi" w:hAnsiTheme="minorHAnsi"/>
        </w:rPr>
        <w:t xml:space="preserve">, the unit burden estimates from the previous sections are combined with the wage rates in </w:t>
      </w:r>
      <w:r w:rsidRPr="0C501E31" w:rsidR="00CB4E26">
        <w:rPr>
          <w:rFonts w:asciiTheme="minorHAnsi" w:hAnsiTheme="minorHAnsi"/>
        </w:rPr>
        <w:fldChar w:fldCharType="begin"/>
      </w:r>
      <w:r w:rsidRPr="0C501E31" w:rsidR="00CB4E26">
        <w:rPr>
          <w:rFonts w:asciiTheme="minorHAnsi" w:hAnsiTheme="minorHAnsi"/>
        </w:rPr>
        <w:instrText xml:space="preserve"> REF _Ref91086921 \h </w:instrText>
      </w:r>
      <w:r w:rsidRPr="0C501E31" w:rsidR="00B71E26">
        <w:rPr>
          <w:rFonts w:asciiTheme="minorHAnsi" w:hAnsiTheme="minorHAnsi"/>
        </w:rPr>
        <w:instrText xml:space="preserve"> \* MERGEFORMAT </w:instrText>
      </w:r>
      <w:r w:rsidRPr="0C501E31" w:rsidR="00CB4E26">
        <w:rPr>
          <w:rFonts w:asciiTheme="minorHAnsi" w:hAnsiTheme="minorHAnsi"/>
        </w:rPr>
        <w:fldChar w:fldCharType="separate"/>
      </w:r>
      <w:r w:rsidRPr="0C501E31" w:rsidR="00CB4E26">
        <w:rPr>
          <w:rFonts w:asciiTheme="minorHAnsi" w:hAnsiTheme="minorHAnsi"/>
        </w:rPr>
        <w:t xml:space="preserve">Table </w:t>
      </w:r>
      <w:r w:rsidRPr="0C501E31" w:rsidR="00CB4E26">
        <w:rPr>
          <w:rFonts w:asciiTheme="minorHAnsi" w:hAnsiTheme="minorHAnsi"/>
          <w:noProof/>
        </w:rPr>
        <w:t>4</w:t>
      </w:r>
      <w:r w:rsidRPr="0C501E31" w:rsidR="00CB4E26">
        <w:rPr>
          <w:rFonts w:asciiTheme="minorHAnsi" w:hAnsiTheme="minorHAnsi"/>
        </w:rPr>
        <w:fldChar w:fldCharType="end"/>
      </w:r>
      <w:r w:rsidRPr="0C501E31" w:rsidR="00CB4E26">
        <w:rPr>
          <w:rFonts w:asciiTheme="minorHAnsi" w:hAnsiTheme="minorHAnsi"/>
        </w:rPr>
        <w:t xml:space="preserve"> </w:t>
      </w:r>
      <w:r w:rsidRPr="0C501E31">
        <w:rPr>
          <w:rFonts w:asciiTheme="minorHAnsi" w:hAnsiTheme="minorHAnsi"/>
        </w:rPr>
        <w:t xml:space="preserve">to compute unit costs (per response) and total costs. Overall, the </w:t>
      </w:r>
      <w:r w:rsidR="00CA3C4A">
        <w:rPr>
          <w:rFonts w:asciiTheme="minorHAnsi" w:hAnsiTheme="minorHAnsi"/>
        </w:rPr>
        <w:t>labor</w:t>
      </w:r>
      <w:r w:rsidRPr="0C501E31" w:rsidR="00CA3C4A">
        <w:rPr>
          <w:rFonts w:asciiTheme="minorHAnsi" w:hAnsiTheme="minorHAnsi"/>
        </w:rPr>
        <w:t xml:space="preserve"> </w:t>
      </w:r>
      <w:r w:rsidRPr="0C501E31">
        <w:rPr>
          <w:rFonts w:asciiTheme="minorHAnsi" w:hAnsiTheme="minorHAnsi"/>
        </w:rPr>
        <w:t xml:space="preserve">costs associated with </w:t>
      </w:r>
      <w:r w:rsidRPr="0C501E31" w:rsidR="004250F6">
        <w:rPr>
          <w:rFonts w:asciiTheme="minorHAnsi" w:hAnsiTheme="minorHAnsi"/>
        </w:rPr>
        <w:t>27,8</w:t>
      </w:r>
      <w:r w:rsidRPr="0C501E31" w:rsidR="00FB2698">
        <w:rPr>
          <w:rFonts w:asciiTheme="minorHAnsi" w:hAnsiTheme="minorHAnsi"/>
        </w:rPr>
        <w:t>83</w:t>
      </w:r>
      <w:r w:rsidRPr="0C501E31">
        <w:rPr>
          <w:rFonts w:asciiTheme="minorHAnsi" w:hAnsiTheme="minorHAnsi"/>
        </w:rPr>
        <w:t xml:space="preserve"> hours </w:t>
      </w:r>
      <w:r w:rsidR="00B44704">
        <w:rPr>
          <w:rFonts w:asciiTheme="minorHAnsi" w:hAnsiTheme="minorHAnsi"/>
        </w:rPr>
        <w:t xml:space="preserve">of burden </w:t>
      </w:r>
      <w:r w:rsidRPr="0C501E31" w:rsidR="00A74518">
        <w:rPr>
          <w:rFonts w:asciiTheme="minorHAnsi" w:hAnsiTheme="minorHAnsi"/>
        </w:rPr>
        <w:t>total</w:t>
      </w:r>
      <w:r w:rsidRPr="0C501E31">
        <w:rPr>
          <w:rFonts w:asciiTheme="minorHAnsi" w:hAnsiTheme="minorHAnsi"/>
        </w:rPr>
        <w:t xml:space="preserve"> $</w:t>
      </w:r>
      <w:r w:rsidRPr="0C501E31" w:rsidR="00A0473D">
        <w:rPr>
          <w:rFonts w:asciiTheme="minorHAnsi" w:hAnsiTheme="minorHAnsi"/>
        </w:rPr>
        <w:t>2,829,</w:t>
      </w:r>
      <w:r w:rsidR="0040294B">
        <w:rPr>
          <w:rFonts w:asciiTheme="minorHAnsi" w:hAnsiTheme="minorHAnsi"/>
        </w:rPr>
        <w:t>7</w:t>
      </w:r>
      <w:r w:rsidR="000B757D">
        <w:rPr>
          <w:rFonts w:asciiTheme="minorHAnsi" w:hAnsiTheme="minorHAnsi"/>
        </w:rPr>
        <w:t>05</w:t>
      </w:r>
      <w:r w:rsidRPr="0C501E31">
        <w:rPr>
          <w:rFonts w:asciiTheme="minorHAnsi" w:hAnsiTheme="minorHAnsi"/>
        </w:rPr>
        <w:t>.</w:t>
      </w:r>
    </w:p>
    <w:p w:rsidR="00644079" w:rsidRPr="001E0540" w:rsidP="1CC48348" w14:paraId="460413A8" w14:textId="2D4E38E7">
      <w:pPr>
        <w:pStyle w:val="Caption"/>
        <w:keepNext/>
        <w:rPr>
          <w:rFonts w:asciiTheme="minorHAnsi" w:hAnsiTheme="minorHAnsi" w:cstheme="minorBidi"/>
        </w:rPr>
      </w:pPr>
      <w:bookmarkStart w:id="10" w:name="_Ref91086921"/>
      <w:r w:rsidRPr="1CC48348">
        <w:rPr>
          <w:rFonts w:asciiTheme="minorHAnsi" w:hAnsiTheme="minorHAnsi" w:cstheme="minorBidi"/>
        </w:rPr>
        <w:t xml:space="preserve">Table </w:t>
      </w:r>
      <w:r w:rsidRPr="1CC48348">
        <w:rPr>
          <w:rFonts w:asciiTheme="minorHAnsi" w:hAnsiTheme="minorHAnsi" w:cstheme="minorBidi"/>
        </w:rPr>
        <w:fldChar w:fldCharType="begin"/>
      </w:r>
      <w:r w:rsidRPr="1CC48348">
        <w:rPr>
          <w:rFonts w:asciiTheme="minorHAnsi" w:hAnsiTheme="minorHAnsi" w:cstheme="minorBidi"/>
        </w:rPr>
        <w:instrText xml:space="preserve"> SEQ Table \* ARABIC </w:instrText>
      </w:r>
      <w:r w:rsidRPr="1CC48348">
        <w:rPr>
          <w:rFonts w:asciiTheme="minorHAnsi" w:hAnsiTheme="minorHAnsi" w:cstheme="minorBidi"/>
        </w:rPr>
        <w:fldChar w:fldCharType="separate"/>
      </w:r>
      <w:r w:rsidRPr="1CC48348" w:rsidR="01C0C52C">
        <w:rPr>
          <w:rFonts w:asciiTheme="minorHAnsi" w:hAnsiTheme="minorHAnsi" w:cstheme="minorBidi"/>
          <w:noProof/>
        </w:rPr>
        <w:t>4</w:t>
      </w:r>
      <w:r w:rsidRPr="1CC48348">
        <w:rPr>
          <w:rFonts w:asciiTheme="minorHAnsi" w:hAnsiTheme="minorHAnsi" w:cstheme="minorBidi"/>
          <w:noProof/>
        </w:rPr>
        <w:fldChar w:fldCharType="end"/>
      </w:r>
      <w:bookmarkEnd w:id="10"/>
      <w:r w:rsidRPr="1CC48348">
        <w:rPr>
          <w:rFonts w:asciiTheme="minorHAnsi" w:hAnsiTheme="minorHAnsi" w:cstheme="minorBidi"/>
        </w:rPr>
        <w:t>: Industry Wage Rates (</w:t>
      </w:r>
      <w:r w:rsidRPr="1CC48348" w:rsidR="6C698EFC">
        <w:rPr>
          <w:rFonts w:asciiTheme="minorHAnsi" w:hAnsiTheme="minorHAnsi" w:cstheme="minorBidi"/>
        </w:rPr>
        <w:t>2024</w:t>
      </w:r>
      <w:r w:rsidRPr="1CC48348">
        <w:rPr>
          <w:rFonts w:asciiTheme="minorHAnsi" w:hAnsiTheme="minorHAnsi" w:cstheme="minorBidi"/>
        </w:rPr>
        <w:t>$)</w:t>
      </w:r>
    </w:p>
    <w:tbl>
      <w:tblPr>
        <w:tblStyle w:val="TableGrid"/>
        <w:tblW w:w="0" w:type="auto"/>
        <w:tblInd w:w="-635" w:type="dxa"/>
        <w:tblLook w:val="04A0"/>
      </w:tblPr>
      <w:tblGrid>
        <w:gridCol w:w="1193"/>
        <w:gridCol w:w="1769"/>
        <w:gridCol w:w="587"/>
        <w:gridCol w:w="774"/>
        <w:gridCol w:w="822"/>
        <w:gridCol w:w="1340"/>
        <w:gridCol w:w="1462"/>
        <w:gridCol w:w="990"/>
        <w:gridCol w:w="1048"/>
      </w:tblGrid>
      <w:tr w14:paraId="18F258F4" w14:textId="77777777" w:rsidTr="00DA0A40">
        <w:tblPrEx>
          <w:tblW w:w="0" w:type="auto"/>
          <w:tblInd w:w="-635" w:type="dxa"/>
          <w:tblLook w:val="04A0"/>
        </w:tblPrEx>
        <w:trPr>
          <w:trHeight w:val="819"/>
        </w:trPr>
        <w:tc>
          <w:tcPr>
            <w:tcW w:w="0" w:type="auto"/>
            <w:vMerge w:val="restart"/>
            <w:shd w:val="clear" w:color="auto" w:fill="E7E6E6" w:themeFill="background2"/>
            <w:hideMark/>
          </w:tcPr>
          <w:p w:rsidR="008C2B73" w:rsidRPr="00D95784" w:rsidP="1CC48348" w14:paraId="01C5669D" w14:textId="77777777">
            <w:pPr>
              <w:rPr>
                <w:rFonts w:asciiTheme="minorHAnsi" w:hAnsiTheme="minorHAnsi"/>
                <w:b/>
                <w:bCs/>
                <w:sz w:val="18"/>
                <w:szCs w:val="18"/>
              </w:rPr>
            </w:pPr>
            <w:r w:rsidRPr="00D95784">
              <w:rPr>
                <w:rFonts w:asciiTheme="minorHAnsi" w:hAnsiTheme="minorHAnsi"/>
                <w:b/>
                <w:bCs/>
                <w:sz w:val="18"/>
                <w:szCs w:val="18"/>
              </w:rPr>
              <w:t>Labor Category</w:t>
            </w:r>
          </w:p>
        </w:tc>
        <w:tc>
          <w:tcPr>
            <w:tcW w:w="0" w:type="auto"/>
            <w:vMerge w:val="restart"/>
            <w:shd w:val="clear" w:color="auto" w:fill="E7E6E6" w:themeFill="background2"/>
            <w:hideMark/>
          </w:tcPr>
          <w:p w:rsidR="008C2B73" w:rsidRPr="00D95784" w:rsidP="1CC48348" w14:paraId="0CFE454B" w14:textId="77777777">
            <w:pPr>
              <w:rPr>
                <w:rFonts w:asciiTheme="minorHAnsi" w:hAnsiTheme="minorHAnsi"/>
                <w:b/>
                <w:bCs/>
                <w:sz w:val="18"/>
                <w:szCs w:val="18"/>
              </w:rPr>
            </w:pPr>
            <w:r w:rsidRPr="00D95784">
              <w:rPr>
                <w:rFonts w:asciiTheme="minorHAnsi" w:hAnsiTheme="minorHAnsi"/>
                <w:b/>
                <w:bCs/>
                <w:sz w:val="18"/>
                <w:szCs w:val="18"/>
              </w:rPr>
              <w:t>Data Sources</w:t>
            </w:r>
            <w:r w:rsidRPr="00D95784">
              <w:rPr>
                <w:rFonts w:asciiTheme="minorHAnsi" w:hAnsiTheme="minorHAnsi"/>
                <w:b/>
                <w:bCs/>
                <w:sz w:val="18"/>
                <w:szCs w:val="18"/>
                <w:vertAlign w:val="superscript"/>
              </w:rPr>
              <w:t xml:space="preserve"> a</w:t>
            </w:r>
          </w:p>
        </w:tc>
        <w:tc>
          <w:tcPr>
            <w:tcW w:w="0" w:type="auto"/>
            <w:vMerge w:val="restart"/>
            <w:shd w:val="clear" w:color="auto" w:fill="E7E6E6" w:themeFill="background2"/>
            <w:hideMark/>
          </w:tcPr>
          <w:p w:rsidR="008C2B73" w:rsidRPr="00D95784" w:rsidP="1CC48348" w14:paraId="11B500D4" w14:textId="77777777">
            <w:pPr>
              <w:rPr>
                <w:rFonts w:asciiTheme="minorHAnsi" w:hAnsiTheme="minorHAnsi"/>
                <w:b/>
                <w:bCs/>
                <w:sz w:val="18"/>
                <w:szCs w:val="18"/>
              </w:rPr>
            </w:pPr>
            <w:r w:rsidRPr="00D95784">
              <w:rPr>
                <w:rFonts w:asciiTheme="minorHAnsi" w:hAnsiTheme="minorHAnsi"/>
                <w:b/>
                <w:bCs/>
                <w:sz w:val="18"/>
                <w:szCs w:val="18"/>
              </w:rPr>
              <w:t>Date</w:t>
            </w:r>
          </w:p>
        </w:tc>
        <w:tc>
          <w:tcPr>
            <w:tcW w:w="0" w:type="auto"/>
            <w:shd w:val="clear" w:color="auto" w:fill="E7E6E6" w:themeFill="background2"/>
            <w:hideMark/>
          </w:tcPr>
          <w:p w:rsidR="008C2B73" w:rsidRPr="00D95784" w:rsidP="1CC48348" w14:paraId="67ED806C" w14:textId="77777777">
            <w:pPr>
              <w:rPr>
                <w:rFonts w:asciiTheme="minorHAnsi" w:hAnsiTheme="minorHAnsi"/>
                <w:b/>
                <w:bCs/>
                <w:sz w:val="18"/>
                <w:szCs w:val="18"/>
              </w:rPr>
            </w:pPr>
            <w:r w:rsidRPr="00D95784">
              <w:rPr>
                <w:rFonts w:asciiTheme="minorHAnsi" w:hAnsiTheme="minorHAnsi"/>
                <w:b/>
                <w:bCs/>
                <w:sz w:val="18"/>
                <w:szCs w:val="18"/>
              </w:rPr>
              <w:t>Wage</w:t>
            </w:r>
          </w:p>
        </w:tc>
        <w:tc>
          <w:tcPr>
            <w:tcW w:w="0" w:type="auto"/>
            <w:shd w:val="clear" w:color="auto" w:fill="E7E6E6" w:themeFill="background2"/>
            <w:hideMark/>
          </w:tcPr>
          <w:p w:rsidR="008C2B73" w:rsidRPr="00D95784" w:rsidP="1CC48348" w14:paraId="1D64A1C4" w14:textId="77777777">
            <w:pPr>
              <w:rPr>
                <w:rFonts w:asciiTheme="minorHAnsi" w:hAnsiTheme="minorHAnsi"/>
                <w:b/>
                <w:bCs/>
                <w:sz w:val="18"/>
                <w:szCs w:val="18"/>
              </w:rPr>
            </w:pPr>
            <w:r w:rsidRPr="00D95784">
              <w:rPr>
                <w:rFonts w:asciiTheme="minorHAnsi" w:hAnsiTheme="minorHAnsi"/>
                <w:b/>
                <w:bCs/>
                <w:sz w:val="18"/>
                <w:szCs w:val="18"/>
              </w:rPr>
              <w:t>Fringe Benefit</w:t>
            </w:r>
          </w:p>
        </w:tc>
        <w:tc>
          <w:tcPr>
            <w:tcW w:w="0" w:type="auto"/>
            <w:shd w:val="clear" w:color="auto" w:fill="E7E6E6" w:themeFill="background2"/>
            <w:hideMark/>
          </w:tcPr>
          <w:p w:rsidR="008C2B73" w:rsidRPr="00D95784" w:rsidP="1CC48348" w14:paraId="389E9500" w14:textId="28A21F88">
            <w:pPr>
              <w:rPr>
                <w:rFonts w:asciiTheme="minorHAnsi" w:hAnsiTheme="minorHAnsi"/>
                <w:b/>
                <w:bCs/>
                <w:sz w:val="18"/>
                <w:szCs w:val="18"/>
              </w:rPr>
            </w:pPr>
            <w:r w:rsidRPr="00D95784">
              <w:rPr>
                <w:rFonts w:asciiTheme="minorHAnsi" w:hAnsiTheme="minorHAnsi"/>
                <w:b/>
                <w:bCs/>
                <w:sz w:val="18"/>
                <w:szCs w:val="18"/>
              </w:rPr>
              <w:t xml:space="preserve">Total </w:t>
            </w:r>
            <w:r w:rsidRPr="1CC48348" w:rsidR="5155C8E9">
              <w:rPr>
                <w:rFonts w:asciiTheme="minorHAnsi" w:hAnsiTheme="minorHAnsi"/>
                <w:b/>
                <w:bCs/>
                <w:sz w:val="18"/>
                <w:szCs w:val="18"/>
              </w:rPr>
              <w:t>Compensation</w:t>
            </w:r>
          </w:p>
        </w:tc>
        <w:tc>
          <w:tcPr>
            <w:tcW w:w="0" w:type="auto"/>
            <w:shd w:val="clear" w:color="auto" w:fill="E7E6E6" w:themeFill="background2"/>
            <w:hideMark/>
          </w:tcPr>
          <w:p w:rsidR="008C2B73" w:rsidRPr="00D95784" w:rsidP="1CC48348" w14:paraId="36C6EEB4" w14:textId="2C788F19">
            <w:pPr>
              <w:rPr>
                <w:rFonts w:asciiTheme="minorHAnsi" w:hAnsiTheme="minorHAnsi"/>
                <w:b/>
                <w:bCs/>
                <w:sz w:val="18"/>
                <w:szCs w:val="18"/>
              </w:rPr>
            </w:pPr>
            <w:r w:rsidRPr="00D95784">
              <w:rPr>
                <w:rFonts w:asciiTheme="minorHAnsi" w:hAnsiTheme="minorHAnsi"/>
                <w:b/>
                <w:bCs/>
                <w:sz w:val="18"/>
                <w:szCs w:val="18"/>
              </w:rPr>
              <w:t>Overhead %</w:t>
            </w:r>
            <w:r w:rsidRPr="00D95784" w:rsidR="22D5DDF9">
              <w:rPr>
                <w:rFonts w:asciiTheme="minorHAnsi" w:hAnsiTheme="minorHAnsi"/>
                <w:b/>
                <w:bCs/>
                <w:sz w:val="18"/>
                <w:szCs w:val="18"/>
              </w:rPr>
              <w:t xml:space="preserve"> of Total </w:t>
            </w:r>
            <w:r w:rsidRPr="1CC48348" w:rsidR="4B2BAC2D">
              <w:rPr>
                <w:rFonts w:asciiTheme="minorHAnsi" w:hAnsiTheme="minorHAnsi"/>
                <w:b/>
                <w:bCs/>
                <w:sz w:val="18"/>
                <w:szCs w:val="18"/>
              </w:rPr>
              <w:t>Compensation</w:t>
            </w:r>
            <w:r w:rsidRPr="00D95784">
              <w:rPr>
                <w:rFonts w:asciiTheme="minorHAnsi" w:hAnsiTheme="minorHAnsi"/>
                <w:b/>
                <w:bCs/>
                <w:sz w:val="18"/>
                <w:szCs w:val="18"/>
              </w:rPr>
              <w:t xml:space="preserve"> </w:t>
            </w:r>
            <w:r w:rsidRPr="00D95784">
              <w:rPr>
                <w:rFonts w:asciiTheme="minorHAnsi" w:hAnsiTheme="minorHAnsi"/>
                <w:b/>
                <w:bCs/>
                <w:sz w:val="18"/>
                <w:szCs w:val="18"/>
                <w:vertAlign w:val="superscript"/>
              </w:rPr>
              <w:t>b</w:t>
            </w:r>
          </w:p>
        </w:tc>
        <w:tc>
          <w:tcPr>
            <w:tcW w:w="0" w:type="auto"/>
            <w:shd w:val="clear" w:color="auto" w:fill="E7E6E6" w:themeFill="background2"/>
            <w:hideMark/>
          </w:tcPr>
          <w:p w:rsidR="008C2B73" w:rsidRPr="00D95784" w:rsidP="1CC48348" w14:paraId="08C030BB" w14:textId="78399450">
            <w:pPr>
              <w:rPr>
                <w:rFonts w:asciiTheme="minorHAnsi" w:hAnsiTheme="minorHAnsi"/>
                <w:b/>
                <w:bCs/>
                <w:sz w:val="18"/>
                <w:szCs w:val="18"/>
              </w:rPr>
            </w:pPr>
            <w:r w:rsidRPr="00D95784">
              <w:rPr>
                <w:rFonts w:asciiTheme="minorHAnsi" w:hAnsiTheme="minorHAnsi"/>
                <w:b/>
                <w:bCs/>
                <w:sz w:val="18"/>
                <w:szCs w:val="18"/>
              </w:rPr>
              <w:t>Overhead</w:t>
            </w:r>
          </w:p>
        </w:tc>
        <w:tc>
          <w:tcPr>
            <w:tcW w:w="0" w:type="auto"/>
            <w:shd w:val="clear" w:color="auto" w:fill="E7E6E6" w:themeFill="background2"/>
            <w:hideMark/>
          </w:tcPr>
          <w:p w:rsidR="008C2B73" w:rsidRPr="00D95784" w:rsidP="1CC48348" w14:paraId="501A3865" w14:textId="53FBC5D6">
            <w:pPr>
              <w:rPr>
                <w:rFonts w:asciiTheme="minorHAnsi" w:hAnsiTheme="minorHAnsi"/>
                <w:b/>
                <w:bCs/>
                <w:sz w:val="18"/>
                <w:szCs w:val="18"/>
              </w:rPr>
            </w:pPr>
            <w:r w:rsidRPr="00D95784">
              <w:rPr>
                <w:rFonts w:asciiTheme="minorHAnsi" w:hAnsiTheme="minorHAnsi"/>
                <w:b/>
                <w:bCs/>
                <w:sz w:val="18"/>
                <w:szCs w:val="18"/>
              </w:rPr>
              <w:t xml:space="preserve">Hourly Loaded Wages </w:t>
            </w:r>
            <w:r w:rsidRPr="00D95784" w:rsidR="7CE57756">
              <w:rPr>
                <w:rFonts w:asciiTheme="minorHAnsi" w:hAnsiTheme="minorHAnsi"/>
                <w:b/>
                <w:bCs/>
                <w:sz w:val="18"/>
                <w:szCs w:val="18"/>
                <w:vertAlign w:val="superscript"/>
              </w:rPr>
              <w:t>c</w:t>
            </w:r>
          </w:p>
        </w:tc>
      </w:tr>
      <w:tr w14:paraId="5355950A" w14:textId="77777777" w:rsidTr="00DA0A40">
        <w:tblPrEx>
          <w:tblW w:w="0" w:type="auto"/>
          <w:tblInd w:w="-635" w:type="dxa"/>
          <w:tblLook w:val="04A0"/>
        </w:tblPrEx>
        <w:trPr>
          <w:trHeight w:val="297"/>
        </w:trPr>
        <w:tc>
          <w:tcPr>
            <w:tcW w:w="0" w:type="auto"/>
            <w:vMerge/>
            <w:hideMark/>
          </w:tcPr>
          <w:p w:rsidR="008C2B73" w:rsidRPr="004A169C" w:rsidP="00BE0059" w14:paraId="244B4F73" w14:textId="77777777">
            <w:pPr>
              <w:rPr>
                <w:rFonts w:asciiTheme="minorHAnsi" w:hAnsiTheme="minorHAnsi" w:cstheme="minorHAnsi"/>
                <w:b/>
                <w:bCs/>
                <w:sz w:val="22"/>
              </w:rPr>
            </w:pPr>
          </w:p>
        </w:tc>
        <w:tc>
          <w:tcPr>
            <w:tcW w:w="0" w:type="auto"/>
            <w:vMerge/>
            <w:hideMark/>
          </w:tcPr>
          <w:p w:rsidR="008C2B73" w:rsidRPr="004A169C" w:rsidP="00BE0059" w14:paraId="7833BB33" w14:textId="77777777">
            <w:pPr>
              <w:rPr>
                <w:rFonts w:asciiTheme="minorHAnsi" w:hAnsiTheme="minorHAnsi" w:cstheme="minorHAnsi"/>
                <w:b/>
                <w:bCs/>
                <w:sz w:val="22"/>
              </w:rPr>
            </w:pPr>
          </w:p>
        </w:tc>
        <w:tc>
          <w:tcPr>
            <w:tcW w:w="0" w:type="auto"/>
            <w:vMerge/>
            <w:hideMark/>
          </w:tcPr>
          <w:p w:rsidR="008C2B73" w:rsidRPr="004A169C" w:rsidP="00BE0059" w14:paraId="73A19E37" w14:textId="77777777">
            <w:pPr>
              <w:rPr>
                <w:rFonts w:asciiTheme="minorHAnsi" w:hAnsiTheme="minorHAnsi" w:cstheme="minorHAnsi"/>
                <w:b/>
                <w:bCs/>
                <w:sz w:val="22"/>
              </w:rPr>
            </w:pPr>
          </w:p>
        </w:tc>
        <w:tc>
          <w:tcPr>
            <w:tcW w:w="0" w:type="auto"/>
            <w:shd w:val="clear" w:color="auto" w:fill="E7E6E6" w:themeFill="background2"/>
            <w:hideMark/>
          </w:tcPr>
          <w:p w:rsidR="008C2B73" w:rsidRPr="00D95784" w:rsidP="1CC48348" w14:paraId="1A3FAC94" w14:textId="77777777">
            <w:pPr>
              <w:rPr>
                <w:rFonts w:asciiTheme="minorHAnsi" w:hAnsiTheme="minorHAnsi"/>
                <w:b/>
                <w:bCs/>
                <w:i/>
                <w:iCs/>
                <w:sz w:val="18"/>
                <w:szCs w:val="18"/>
              </w:rPr>
            </w:pPr>
            <w:r w:rsidRPr="00D95784">
              <w:rPr>
                <w:rFonts w:asciiTheme="minorHAnsi" w:hAnsiTheme="minorHAnsi"/>
                <w:b/>
                <w:bCs/>
                <w:i/>
                <w:iCs/>
                <w:sz w:val="18"/>
                <w:szCs w:val="18"/>
              </w:rPr>
              <w:t>(a)</w:t>
            </w:r>
          </w:p>
        </w:tc>
        <w:tc>
          <w:tcPr>
            <w:tcW w:w="0" w:type="auto"/>
            <w:shd w:val="clear" w:color="auto" w:fill="E7E6E6" w:themeFill="background2"/>
            <w:hideMark/>
          </w:tcPr>
          <w:p w:rsidR="008C2B73" w:rsidRPr="00D95784" w:rsidP="1CC48348" w14:paraId="17CC6257" w14:textId="77777777">
            <w:pPr>
              <w:rPr>
                <w:rFonts w:asciiTheme="minorHAnsi" w:hAnsiTheme="minorHAnsi"/>
                <w:b/>
                <w:bCs/>
                <w:i/>
                <w:iCs/>
                <w:sz w:val="18"/>
                <w:szCs w:val="18"/>
              </w:rPr>
            </w:pPr>
            <w:r w:rsidRPr="00D95784">
              <w:rPr>
                <w:rFonts w:asciiTheme="minorHAnsi" w:hAnsiTheme="minorHAnsi"/>
                <w:b/>
                <w:bCs/>
                <w:i/>
                <w:iCs/>
                <w:sz w:val="18"/>
                <w:szCs w:val="18"/>
              </w:rPr>
              <w:t>(b)</w:t>
            </w:r>
          </w:p>
        </w:tc>
        <w:tc>
          <w:tcPr>
            <w:tcW w:w="0" w:type="auto"/>
            <w:shd w:val="clear" w:color="auto" w:fill="E7E6E6" w:themeFill="background2"/>
            <w:hideMark/>
          </w:tcPr>
          <w:p w:rsidR="008C2B73" w:rsidRPr="00D95784" w:rsidP="1CC48348" w14:paraId="16E55C67" w14:textId="7CE1777C">
            <w:pPr>
              <w:rPr>
                <w:rFonts w:asciiTheme="minorHAnsi" w:hAnsiTheme="minorHAnsi"/>
                <w:b/>
                <w:bCs/>
                <w:i/>
                <w:iCs/>
                <w:sz w:val="18"/>
                <w:szCs w:val="18"/>
              </w:rPr>
            </w:pPr>
            <w:r w:rsidRPr="00D95784">
              <w:rPr>
                <w:rFonts w:asciiTheme="minorHAnsi" w:hAnsiTheme="minorHAnsi"/>
                <w:b/>
                <w:bCs/>
                <w:i/>
                <w:iCs/>
                <w:sz w:val="18"/>
                <w:szCs w:val="18"/>
              </w:rPr>
              <w:t>(c) =(a)</w:t>
            </w:r>
            <w:r w:rsidRPr="00D95784" w:rsidR="7CE57756">
              <w:rPr>
                <w:rFonts w:asciiTheme="minorHAnsi" w:hAnsiTheme="minorHAnsi"/>
                <w:b/>
                <w:bCs/>
                <w:i/>
                <w:iCs/>
                <w:sz w:val="18"/>
                <w:szCs w:val="18"/>
              </w:rPr>
              <w:t>+(b)</w:t>
            </w:r>
          </w:p>
        </w:tc>
        <w:tc>
          <w:tcPr>
            <w:tcW w:w="0" w:type="auto"/>
            <w:shd w:val="clear" w:color="auto" w:fill="E7E6E6" w:themeFill="background2"/>
            <w:hideMark/>
          </w:tcPr>
          <w:p w:rsidR="008C2B73" w:rsidRPr="00D95784" w:rsidP="1CC48348" w14:paraId="7816A91E" w14:textId="77777777">
            <w:pPr>
              <w:rPr>
                <w:rFonts w:asciiTheme="minorHAnsi" w:hAnsiTheme="minorHAnsi"/>
                <w:b/>
                <w:bCs/>
                <w:i/>
                <w:iCs/>
                <w:sz w:val="18"/>
                <w:szCs w:val="18"/>
              </w:rPr>
            </w:pPr>
            <w:r w:rsidRPr="00D95784">
              <w:rPr>
                <w:rFonts w:asciiTheme="minorHAnsi" w:hAnsiTheme="minorHAnsi"/>
                <w:b/>
                <w:bCs/>
                <w:i/>
                <w:iCs/>
                <w:sz w:val="18"/>
                <w:szCs w:val="18"/>
              </w:rPr>
              <w:t>(d)</w:t>
            </w:r>
          </w:p>
        </w:tc>
        <w:tc>
          <w:tcPr>
            <w:tcW w:w="0" w:type="auto"/>
            <w:shd w:val="clear" w:color="auto" w:fill="E7E6E6" w:themeFill="background2"/>
            <w:hideMark/>
          </w:tcPr>
          <w:p w:rsidR="008C2B73" w:rsidRPr="00D95784" w:rsidP="1CC48348" w14:paraId="1862CB9A" w14:textId="70B1BA98">
            <w:pPr>
              <w:rPr>
                <w:rFonts w:asciiTheme="minorHAnsi" w:hAnsiTheme="minorHAnsi"/>
                <w:b/>
                <w:bCs/>
                <w:i/>
                <w:iCs/>
                <w:sz w:val="18"/>
                <w:szCs w:val="18"/>
              </w:rPr>
            </w:pPr>
            <w:r w:rsidRPr="00D95784">
              <w:rPr>
                <w:rFonts w:asciiTheme="minorHAnsi" w:hAnsiTheme="minorHAnsi"/>
                <w:b/>
                <w:bCs/>
                <w:i/>
                <w:iCs/>
                <w:sz w:val="18"/>
                <w:szCs w:val="18"/>
              </w:rPr>
              <w:t>(e)=(c</w:t>
            </w:r>
            <w:r w:rsidRPr="00D95784" w:rsidR="7CE57756">
              <w:rPr>
                <w:rFonts w:asciiTheme="minorHAnsi" w:hAnsiTheme="minorHAnsi"/>
                <w:b/>
                <w:bCs/>
                <w:i/>
                <w:iCs/>
                <w:sz w:val="18"/>
                <w:szCs w:val="18"/>
              </w:rPr>
              <w:t>)*(</w:t>
            </w:r>
            <w:r w:rsidRPr="00D95784">
              <w:rPr>
                <w:rFonts w:asciiTheme="minorHAnsi" w:hAnsiTheme="minorHAnsi"/>
                <w:b/>
                <w:bCs/>
                <w:i/>
                <w:iCs/>
                <w:sz w:val="18"/>
                <w:szCs w:val="18"/>
              </w:rPr>
              <w:t>d)</w:t>
            </w:r>
          </w:p>
        </w:tc>
        <w:tc>
          <w:tcPr>
            <w:tcW w:w="0" w:type="auto"/>
            <w:shd w:val="clear" w:color="auto" w:fill="E7E6E6" w:themeFill="background2"/>
            <w:hideMark/>
          </w:tcPr>
          <w:p w:rsidR="008C2B73" w:rsidRPr="00D95784" w:rsidP="1CC48348" w14:paraId="21299569" w14:textId="6D503E72">
            <w:pPr>
              <w:rPr>
                <w:rFonts w:asciiTheme="minorHAnsi" w:hAnsiTheme="minorHAnsi"/>
                <w:b/>
                <w:bCs/>
                <w:i/>
                <w:iCs/>
                <w:sz w:val="18"/>
                <w:szCs w:val="18"/>
              </w:rPr>
            </w:pPr>
            <w:r w:rsidRPr="00D95784">
              <w:rPr>
                <w:rFonts w:asciiTheme="minorHAnsi" w:hAnsiTheme="minorHAnsi"/>
                <w:b/>
                <w:bCs/>
                <w:i/>
                <w:iCs/>
                <w:sz w:val="18"/>
                <w:szCs w:val="18"/>
              </w:rPr>
              <w:t>(f)=(</w:t>
            </w:r>
            <w:r w:rsidRPr="00D95784" w:rsidR="7CE57756">
              <w:rPr>
                <w:rFonts w:asciiTheme="minorHAnsi" w:hAnsiTheme="minorHAnsi"/>
                <w:b/>
                <w:bCs/>
                <w:i/>
                <w:iCs/>
                <w:sz w:val="18"/>
                <w:szCs w:val="18"/>
              </w:rPr>
              <w:t>c)+(</w:t>
            </w:r>
            <w:r w:rsidRPr="00D95784">
              <w:rPr>
                <w:rFonts w:asciiTheme="minorHAnsi" w:hAnsiTheme="minorHAnsi"/>
                <w:b/>
                <w:bCs/>
                <w:i/>
                <w:iCs/>
                <w:sz w:val="18"/>
                <w:szCs w:val="18"/>
              </w:rPr>
              <w:t>e)</w:t>
            </w:r>
          </w:p>
        </w:tc>
      </w:tr>
      <w:tr w14:paraId="53400C6A" w14:textId="77777777" w:rsidTr="00DA0A40">
        <w:tblPrEx>
          <w:tblW w:w="0" w:type="auto"/>
          <w:tblInd w:w="-635" w:type="dxa"/>
          <w:tblLook w:val="04A0"/>
        </w:tblPrEx>
        <w:trPr>
          <w:trHeight w:val="874"/>
        </w:trPr>
        <w:tc>
          <w:tcPr>
            <w:tcW w:w="0" w:type="auto"/>
            <w:hideMark/>
          </w:tcPr>
          <w:p w:rsidR="00B80AA9" w:rsidRPr="00D95784" w:rsidP="00C7272B" w14:paraId="15438DCE" w14:textId="77777777">
            <w:pPr>
              <w:rPr>
                <w:rFonts w:asciiTheme="minorHAnsi" w:hAnsiTheme="minorHAnsi"/>
                <w:sz w:val="18"/>
                <w:szCs w:val="18"/>
              </w:rPr>
            </w:pPr>
            <w:r w:rsidRPr="00D95784">
              <w:rPr>
                <w:rFonts w:asciiTheme="minorHAnsi" w:hAnsiTheme="minorHAnsi"/>
                <w:sz w:val="18"/>
                <w:szCs w:val="18"/>
              </w:rPr>
              <w:t>Managerial</w:t>
            </w:r>
          </w:p>
        </w:tc>
        <w:tc>
          <w:tcPr>
            <w:tcW w:w="0" w:type="auto"/>
            <w:hideMark/>
          </w:tcPr>
          <w:p w:rsidR="00B80AA9" w:rsidRPr="00D95784" w:rsidP="1CC48348" w14:paraId="5BA3E443" w14:textId="77777777">
            <w:pPr>
              <w:rPr>
                <w:rFonts w:asciiTheme="minorHAnsi" w:hAnsiTheme="minorHAnsi"/>
                <w:sz w:val="18"/>
                <w:szCs w:val="18"/>
              </w:rPr>
            </w:pPr>
            <w:r w:rsidRPr="00D95784">
              <w:rPr>
                <w:rFonts w:asciiTheme="minorHAnsi" w:hAnsiTheme="minorHAnsi"/>
                <w:sz w:val="18"/>
                <w:szCs w:val="18"/>
              </w:rPr>
              <w:t>BLS ECEC, Private Manufacturing industries, “Mgt, Business, and Financial”</w:t>
            </w:r>
          </w:p>
        </w:tc>
        <w:tc>
          <w:tcPr>
            <w:tcW w:w="0" w:type="auto"/>
            <w:vAlign w:val="center"/>
            <w:hideMark/>
          </w:tcPr>
          <w:p w:rsidR="00B80AA9" w:rsidRPr="00D95784" w:rsidP="004D1E48" w14:paraId="3978C2AB" w14:textId="6303AE6B">
            <w:pPr>
              <w:jc w:val="center"/>
              <w:rPr>
                <w:rFonts w:asciiTheme="minorHAnsi" w:hAnsiTheme="minorHAnsi"/>
                <w:sz w:val="18"/>
                <w:szCs w:val="18"/>
              </w:rPr>
            </w:pPr>
            <w:r w:rsidRPr="00D95784">
              <w:rPr>
                <w:rFonts w:asciiTheme="minorHAnsi" w:hAnsiTheme="minorHAnsi"/>
                <w:sz w:val="18"/>
                <w:szCs w:val="18"/>
              </w:rPr>
              <w:t>Dec-24</w:t>
            </w:r>
          </w:p>
        </w:tc>
        <w:tc>
          <w:tcPr>
            <w:tcW w:w="0" w:type="auto"/>
            <w:vAlign w:val="center"/>
            <w:hideMark/>
          </w:tcPr>
          <w:p w:rsidR="00B80AA9" w:rsidRPr="004D1E48" w:rsidP="1CC48348" w14:paraId="68D0FC46" w14:textId="5A07BBBF">
            <w:pPr>
              <w:jc w:val="center"/>
              <w:rPr>
                <w:rFonts w:asciiTheme="minorHAnsi" w:hAnsiTheme="minorHAnsi"/>
                <w:sz w:val="20"/>
                <w:szCs w:val="20"/>
              </w:rPr>
            </w:pPr>
            <w:r w:rsidRPr="004D1E48">
              <w:rPr>
                <w:rFonts w:asciiTheme="minorHAnsi" w:hAnsiTheme="minorHAnsi"/>
                <w:sz w:val="20"/>
                <w:szCs w:val="20"/>
              </w:rPr>
              <w:t xml:space="preserve">$58.01 </w:t>
            </w:r>
          </w:p>
        </w:tc>
        <w:tc>
          <w:tcPr>
            <w:tcW w:w="0" w:type="auto"/>
            <w:vAlign w:val="center"/>
            <w:hideMark/>
          </w:tcPr>
          <w:p w:rsidR="00B80AA9" w:rsidRPr="004D1E48" w:rsidP="1CC48348" w14:paraId="346B07AF" w14:textId="067A650F">
            <w:pPr>
              <w:jc w:val="center"/>
              <w:rPr>
                <w:rFonts w:asciiTheme="minorHAnsi" w:hAnsiTheme="minorHAnsi"/>
                <w:sz w:val="20"/>
                <w:szCs w:val="20"/>
              </w:rPr>
            </w:pPr>
            <w:r w:rsidRPr="004D1E48">
              <w:rPr>
                <w:rFonts w:asciiTheme="minorHAnsi" w:hAnsiTheme="minorHAnsi"/>
                <w:sz w:val="20"/>
                <w:szCs w:val="20"/>
              </w:rPr>
              <w:t xml:space="preserve">$26.57 </w:t>
            </w:r>
          </w:p>
        </w:tc>
        <w:tc>
          <w:tcPr>
            <w:tcW w:w="0" w:type="auto"/>
            <w:vAlign w:val="center"/>
            <w:hideMark/>
          </w:tcPr>
          <w:p w:rsidR="00B80AA9" w:rsidRPr="004D1E48" w:rsidP="1CC48348" w14:paraId="0912A0E4" w14:textId="0B867E07">
            <w:pPr>
              <w:jc w:val="center"/>
              <w:rPr>
                <w:rFonts w:asciiTheme="minorHAnsi" w:hAnsiTheme="minorHAnsi"/>
                <w:sz w:val="20"/>
                <w:szCs w:val="20"/>
              </w:rPr>
            </w:pPr>
            <w:r w:rsidRPr="004D1E48">
              <w:rPr>
                <w:rFonts w:asciiTheme="minorHAnsi" w:hAnsiTheme="minorHAnsi"/>
                <w:sz w:val="20"/>
                <w:szCs w:val="20"/>
              </w:rPr>
              <w:t>$84.58</w:t>
            </w:r>
          </w:p>
        </w:tc>
        <w:tc>
          <w:tcPr>
            <w:tcW w:w="0" w:type="auto"/>
            <w:vAlign w:val="center"/>
            <w:hideMark/>
          </w:tcPr>
          <w:p w:rsidR="00B80AA9" w:rsidRPr="004D1E48" w:rsidP="1CC48348" w14:paraId="2AB2F5EA" w14:textId="759EE7FB">
            <w:pPr>
              <w:jc w:val="center"/>
              <w:rPr>
                <w:rFonts w:asciiTheme="minorHAnsi" w:hAnsiTheme="minorHAnsi"/>
                <w:sz w:val="20"/>
                <w:szCs w:val="20"/>
              </w:rPr>
            </w:pPr>
            <w:r w:rsidRPr="004D1E48">
              <w:rPr>
                <w:rFonts w:asciiTheme="minorHAnsi" w:hAnsiTheme="minorHAnsi"/>
                <w:sz w:val="20"/>
                <w:szCs w:val="20"/>
              </w:rPr>
              <w:t>20%</w:t>
            </w:r>
          </w:p>
        </w:tc>
        <w:tc>
          <w:tcPr>
            <w:tcW w:w="0" w:type="auto"/>
            <w:vAlign w:val="center"/>
            <w:hideMark/>
          </w:tcPr>
          <w:p w:rsidR="00B80AA9" w:rsidRPr="004D1E48" w:rsidP="1CC48348" w14:paraId="2E90D67E" w14:textId="6C3688E8">
            <w:pPr>
              <w:jc w:val="center"/>
              <w:rPr>
                <w:rFonts w:asciiTheme="minorHAnsi" w:hAnsiTheme="minorHAnsi"/>
                <w:sz w:val="20"/>
                <w:szCs w:val="20"/>
              </w:rPr>
            </w:pPr>
            <w:r w:rsidRPr="004D1E48">
              <w:rPr>
                <w:rFonts w:asciiTheme="minorHAnsi" w:hAnsiTheme="minorHAnsi"/>
                <w:sz w:val="20"/>
                <w:szCs w:val="20"/>
              </w:rPr>
              <w:t xml:space="preserve">$16.92 </w:t>
            </w:r>
          </w:p>
        </w:tc>
        <w:tc>
          <w:tcPr>
            <w:tcW w:w="0" w:type="auto"/>
            <w:vAlign w:val="center"/>
            <w:hideMark/>
          </w:tcPr>
          <w:p w:rsidR="00B80AA9" w:rsidRPr="004D1E48" w:rsidP="1CC48348" w14:paraId="05817A5E" w14:textId="032F2EE3">
            <w:pPr>
              <w:jc w:val="center"/>
              <w:rPr>
                <w:rFonts w:asciiTheme="minorHAnsi" w:hAnsiTheme="minorHAnsi"/>
                <w:sz w:val="20"/>
                <w:szCs w:val="20"/>
              </w:rPr>
            </w:pPr>
            <w:r w:rsidRPr="004D1E48">
              <w:rPr>
                <w:rFonts w:asciiTheme="minorHAnsi" w:hAnsiTheme="minorHAnsi"/>
                <w:color w:val="000000" w:themeColor="text1"/>
                <w:sz w:val="20"/>
                <w:szCs w:val="20"/>
              </w:rPr>
              <w:t xml:space="preserve">$101.50 </w:t>
            </w:r>
          </w:p>
        </w:tc>
      </w:tr>
      <w:tr w14:paraId="2CA6F97F" w14:textId="77777777" w:rsidTr="00DA0A40">
        <w:tblPrEx>
          <w:tblW w:w="0" w:type="auto"/>
          <w:tblInd w:w="-635" w:type="dxa"/>
          <w:tblLook w:val="04A0"/>
        </w:tblPrEx>
        <w:trPr>
          <w:trHeight w:val="631"/>
        </w:trPr>
        <w:tc>
          <w:tcPr>
            <w:tcW w:w="0" w:type="auto"/>
            <w:hideMark/>
          </w:tcPr>
          <w:p w:rsidR="00B80AA9" w:rsidRPr="00D95784" w:rsidP="1CC48348" w14:paraId="5B29150C" w14:textId="77777777">
            <w:pPr>
              <w:rPr>
                <w:rFonts w:asciiTheme="minorHAnsi" w:hAnsiTheme="minorHAnsi"/>
                <w:sz w:val="18"/>
                <w:szCs w:val="18"/>
              </w:rPr>
            </w:pPr>
            <w:r w:rsidRPr="00D95784">
              <w:rPr>
                <w:rFonts w:asciiTheme="minorHAnsi" w:hAnsiTheme="minorHAnsi"/>
                <w:sz w:val="18"/>
                <w:szCs w:val="18"/>
              </w:rPr>
              <w:t>Professional / Technical</w:t>
            </w:r>
          </w:p>
        </w:tc>
        <w:tc>
          <w:tcPr>
            <w:tcW w:w="0" w:type="auto"/>
            <w:hideMark/>
          </w:tcPr>
          <w:p w:rsidR="00B80AA9" w:rsidRPr="00D95784" w:rsidP="1CC48348" w14:paraId="521965B2" w14:textId="77777777">
            <w:pPr>
              <w:rPr>
                <w:rFonts w:asciiTheme="minorHAnsi" w:hAnsiTheme="minorHAnsi"/>
                <w:sz w:val="18"/>
                <w:szCs w:val="18"/>
              </w:rPr>
            </w:pPr>
            <w:r w:rsidRPr="00D95784">
              <w:rPr>
                <w:rFonts w:asciiTheme="minorHAnsi" w:hAnsiTheme="minorHAnsi"/>
                <w:sz w:val="18"/>
                <w:szCs w:val="18"/>
              </w:rPr>
              <w:t>BLS ECEC, Private Manufacturing industries, “Professional and related“</w:t>
            </w:r>
          </w:p>
        </w:tc>
        <w:tc>
          <w:tcPr>
            <w:tcW w:w="0" w:type="auto"/>
            <w:vAlign w:val="center"/>
            <w:hideMark/>
          </w:tcPr>
          <w:p w:rsidR="00B80AA9" w:rsidRPr="00D95784" w:rsidP="004D1E48" w14:paraId="335F2C91" w14:textId="44265EA8">
            <w:pPr>
              <w:jc w:val="center"/>
              <w:rPr>
                <w:rFonts w:asciiTheme="minorHAnsi" w:hAnsiTheme="minorHAnsi"/>
                <w:sz w:val="18"/>
                <w:szCs w:val="18"/>
              </w:rPr>
            </w:pPr>
            <w:r w:rsidRPr="00D95784">
              <w:rPr>
                <w:rFonts w:asciiTheme="minorHAnsi" w:hAnsiTheme="minorHAnsi"/>
                <w:sz w:val="18"/>
                <w:szCs w:val="18"/>
              </w:rPr>
              <w:t>Dec-24</w:t>
            </w:r>
          </w:p>
        </w:tc>
        <w:tc>
          <w:tcPr>
            <w:tcW w:w="0" w:type="auto"/>
            <w:vAlign w:val="bottom"/>
            <w:hideMark/>
          </w:tcPr>
          <w:p w:rsidR="00B80AA9" w:rsidRPr="004D1E48" w:rsidP="1CC48348" w14:paraId="653D746A" w14:textId="0F0A229C">
            <w:pPr>
              <w:jc w:val="center"/>
              <w:rPr>
                <w:rFonts w:asciiTheme="minorHAnsi" w:hAnsiTheme="minorHAnsi"/>
                <w:sz w:val="20"/>
                <w:szCs w:val="20"/>
              </w:rPr>
            </w:pPr>
            <w:r w:rsidRPr="004D1E48">
              <w:rPr>
                <w:rFonts w:asciiTheme="minorHAnsi" w:hAnsiTheme="minorHAnsi"/>
                <w:sz w:val="20"/>
                <w:szCs w:val="20"/>
              </w:rPr>
              <w:t xml:space="preserve">$47.87 </w:t>
            </w:r>
          </w:p>
        </w:tc>
        <w:tc>
          <w:tcPr>
            <w:tcW w:w="0" w:type="auto"/>
            <w:vAlign w:val="bottom"/>
            <w:hideMark/>
          </w:tcPr>
          <w:p w:rsidR="00B80AA9" w:rsidRPr="004D1E48" w:rsidP="1CC48348" w14:paraId="01A7FA20" w14:textId="12DE8168">
            <w:pPr>
              <w:jc w:val="center"/>
              <w:rPr>
                <w:rFonts w:asciiTheme="minorHAnsi" w:hAnsiTheme="minorHAnsi"/>
                <w:sz w:val="20"/>
                <w:szCs w:val="20"/>
              </w:rPr>
            </w:pPr>
            <w:r w:rsidRPr="004D1E48">
              <w:rPr>
                <w:rFonts w:asciiTheme="minorHAnsi" w:hAnsiTheme="minorHAnsi"/>
                <w:sz w:val="20"/>
                <w:szCs w:val="20"/>
              </w:rPr>
              <w:t xml:space="preserve">$23.11 </w:t>
            </w:r>
          </w:p>
        </w:tc>
        <w:tc>
          <w:tcPr>
            <w:tcW w:w="0" w:type="auto"/>
            <w:vAlign w:val="bottom"/>
            <w:hideMark/>
          </w:tcPr>
          <w:p w:rsidR="00B80AA9" w:rsidRPr="004D1E48" w:rsidP="1CC48348" w14:paraId="24335B85" w14:textId="7D17383D">
            <w:pPr>
              <w:jc w:val="center"/>
              <w:rPr>
                <w:rFonts w:asciiTheme="minorHAnsi" w:hAnsiTheme="minorHAnsi"/>
                <w:sz w:val="20"/>
                <w:szCs w:val="20"/>
              </w:rPr>
            </w:pPr>
            <w:r w:rsidRPr="004D1E48">
              <w:rPr>
                <w:rFonts w:asciiTheme="minorHAnsi" w:hAnsiTheme="minorHAnsi"/>
                <w:sz w:val="20"/>
                <w:szCs w:val="20"/>
              </w:rPr>
              <w:t xml:space="preserve">$70.98 </w:t>
            </w:r>
          </w:p>
        </w:tc>
        <w:tc>
          <w:tcPr>
            <w:tcW w:w="0" w:type="auto"/>
            <w:vAlign w:val="bottom"/>
            <w:hideMark/>
          </w:tcPr>
          <w:p w:rsidR="00B80AA9" w:rsidRPr="004D1E48" w:rsidP="1CC48348" w14:paraId="614AB224" w14:textId="7ED5649B">
            <w:pPr>
              <w:jc w:val="center"/>
              <w:rPr>
                <w:rFonts w:asciiTheme="minorHAnsi" w:hAnsiTheme="minorHAnsi"/>
                <w:sz w:val="20"/>
                <w:szCs w:val="20"/>
              </w:rPr>
            </w:pPr>
            <w:r w:rsidRPr="004D1E48">
              <w:rPr>
                <w:rFonts w:asciiTheme="minorHAnsi" w:hAnsiTheme="minorHAnsi"/>
                <w:sz w:val="20"/>
                <w:szCs w:val="20"/>
              </w:rPr>
              <w:t>20%</w:t>
            </w:r>
          </w:p>
        </w:tc>
        <w:tc>
          <w:tcPr>
            <w:tcW w:w="0" w:type="auto"/>
            <w:vAlign w:val="bottom"/>
            <w:hideMark/>
          </w:tcPr>
          <w:p w:rsidR="00B80AA9" w:rsidRPr="004D1E48" w:rsidP="1CC48348" w14:paraId="09A0F698" w14:textId="5B81969A">
            <w:pPr>
              <w:jc w:val="center"/>
              <w:rPr>
                <w:rFonts w:asciiTheme="minorHAnsi" w:hAnsiTheme="minorHAnsi"/>
                <w:sz w:val="20"/>
                <w:szCs w:val="20"/>
              </w:rPr>
            </w:pPr>
            <w:r w:rsidRPr="004D1E48">
              <w:rPr>
                <w:rFonts w:asciiTheme="minorHAnsi" w:hAnsiTheme="minorHAnsi"/>
                <w:sz w:val="20"/>
                <w:szCs w:val="20"/>
              </w:rPr>
              <w:t xml:space="preserve">$14.20 </w:t>
            </w:r>
          </w:p>
        </w:tc>
        <w:tc>
          <w:tcPr>
            <w:tcW w:w="0" w:type="auto"/>
            <w:vAlign w:val="bottom"/>
            <w:hideMark/>
          </w:tcPr>
          <w:p w:rsidR="00B80AA9" w:rsidRPr="004D1E48" w:rsidP="1CC48348" w14:paraId="7F20E966" w14:textId="157B7B5F">
            <w:pPr>
              <w:jc w:val="center"/>
              <w:rPr>
                <w:rFonts w:asciiTheme="minorHAnsi" w:hAnsiTheme="minorHAnsi"/>
                <w:sz w:val="20"/>
                <w:szCs w:val="20"/>
              </w:rPr>
            </w:pPr>
            <w:r w:rsidRPr="004D1E48">
              <w:rPr>
                <w:rFonts w:asciiTheme="minorHAnsi" w:hAnsiTheme="minorHAnsi"/>
                <w:sz w:val="20"/>
                <w:szCs w:val="20"/>
              </w:rPr>
              <w:t xml:space="preserve">$85.18 </w:t>
            </w:r>
          </w:p>
        </w:tc>
      </w:tr>
      <w:tr w14:paraId="68112D69" w14:textId="77777777" w:rsidTr="00DA0A40">
        <w:tblPrEx>
          <w:tblW w:w="0" w:type="auto"/>
          <w:tblInd w:w="-635" w:type="dxa"/>
          <w:tblLook w:val="04A0"/>
        </w:tblPrEx>
        <w:trPr>
          <w:trHeight w:val="836"/>
        </w:trPr>
        <w:tc>
          <w:tcPr>
            <w:tcW w:w="0" w:type="auto"/>
            <w:hideMark/>
          </w:tcPr>
          <w:p w:rsidR="00B80AA9" w:rsidRPr="00D95784" w:rsidP="1CC48348" w14:paraId="1CBE5854" w14:textId="77777777">
            <w:pPr>
              <w:rPr>
                <w:rFonts w:asciiTheme="minorHAnsi" w:hAnsiTheme="minorHAnsi"/>
                <w:sz w:val="18"/>
                <w:szCs w:val="18"/>
              </w:rPr>
            </w:pPr>
            <w:r w:rsidRPr="00D95784">
              <w:rPr>
                <w:rFonts w:asciiTheme="minorHAnsi" w:hAnsiTheme="minorHAnsi"/>
                <w:sz w:val="18"/>
                <w:szCs w:val="18"/>
              </w:rPr>
              <w:t>Clerical</w:t>
            </w:r>
          </w:p>
        </w:tc>
        <w:tc>
          <w:tcPr>
            <w:tcW w:w="0" w:type="auto"/>
            <w:hideMark/>
          </w:tcPr>
          <w:p w:rsidR="00B80AA9" w:rsidRPr="00D95784" w:rsidP="1CC48348" w14:paraId="4D4F442A" w14:textId="77777777">
            <w:pPr>
              <w:rPr>
                <w:rFonts w:asciiTheme="minorHAnsi" w:hAnsiTheme="minorHAnsi"/>
                <w:sz w:val="18"/>
                <w:szCs w:val="18"/>
              </w:rPr>
            </w:pPr>
            <w:r w:rsidRPr="00D95784">
              <w:rPr>
                <w:rFonts w:asciiTheme="minorHAnsi" w:hAnsiTheme="minorHAnsi"/>
                <w:sz w:val="18"/>
                <w:szCs w:val="18"/>
              </w:rPr>
              <w:t>BLS ECEC, Private Manufacturing industries, “Office and Administrative Support”</w:t>
            </w:r>
          </w:p>
        </w:tc>
        <w:tc>
          <w:tcPr>
            <w:tcW w:w="0" w:type="auto"/>
            <w:vAlign w:val="center"/>
            <w:hideMark/>
          </w:tcPr>
          <w:p w:rsidR="00B80AA9" w:rsidRPr="00D95784" w:rsidP="004D1E48" w14:paraId="74F6DB31" w14:textId="3D38B4CB">
            <w:pPr>
              <w:jc w:val="center"/>
              <w:rPr>
                <w:rFonts w:asciiTheme="minorHAnsi" w:hAnsiTheme="minorHAnsi"/>
                <w:sz w:val="18"/>
                <w:szCs w:val="18"/>
              </w:rPr>
            </w:pPr>
            <w:r w:rsidRPr="00D95784">
              <w:rPr>
                <w:rFonts w:asciiTheme="minorHAnsi" w:hAnsiTheme="minorHAnsi"/>
                <w:sz w:val="18"/>
                <w:szCs w:val="18"/>
              </w:rPr>
              <w:t>Dec-24</w:t>
            </w:r>
          </w:p>
        </w:tc>
        <w:tc>
          <w:tcPr>
            <w:tcW w:w="0" w:type="auto"/>
            <w:vAlign w:val="bottom"/>
            <w:hideMark/>
          </w:tcPr>
          <w:p w:rsidR="00B80AA9" w:rsidRPr="004D1E48" w:rsidP="1CC48348" w14:paraId="3D43E222" w14:textId="437C9BF3">
            <w:pPr>
              <w:jc w:val="center"/>
              <w:rPr>
                <w:rFonts w:asciiTheme="minorHAnsi" w:hAnsiTheme="minorHAnsi"/>
                <w:sz w:val="20"/>
                <w:szCs w:val="20"/>
              </w:rPr>
            </w:pPr>
            <w:r w:rsidRPr="004D1E48">
              <w:rPr>
                <w:rFonts w:asciiTheme="minorHAnsi" w:hAnsiTheme="minorHAnsi"/>
                <w:sz w:val="20"/>
                <w:szCs w:val="20"/>
              </w:rPr>
              <w:t xml:space="preserve">$24.84 </w:t>
            </w:r>
          </w:p>
        </w:tc>
        <w:tc>
          <w:tcPr>
            <w:tcW w:w="0" w:type="auto"/>
            <w:vAlign w:val="bottom"/>
            <w:hideMark/>
          </w:tcPr>
          <w:p w:rsidR="00B80AA9" w:rsidRPr="004D1E48" w:rsidP="1CC48348" w14:paraId="70470B97" w14:textId="1E7788B4">
            <w:pPr>
              <w:jc w:val="center"/>
              <w:rPr>
                <w:rFonts w:asciiTheme="minorHAnsi" w:hAnsiTheme="minorHAnsi"/>
                <w:sz w:val="20"/>
                <w:szCs w:val="20"/>
              </w:rPr>
            </w:pPr>
            <w:r w:rsidRPr="004D1E48">
              <w:rPr>
                <w:rFonts w:asciiTheme="minorHAnsi" w:hAnsiTheme="minorHAnsi"/>
                <w:sz w:val="20"/>
                <w:szCs w:val="20"/>
              </w:rPr>
              <w:t xml:space="preserve">$11.34 </w:t>
            </w:r>
          </w:p>
        </w:tc>
        <w:tc>
          <w:tcPr>
            <w:tcW w:w="0" w:type="auto"/>
            <w:vAlign w:val="bottom"/>
            <w:hideMark/>
          </w:tcPr>
          <w:p w:rsidR="00B80AA9" w:rsidRPr="004D1E48" w:rsidP="1CC48348" w14:paraId="70948681" w14:textId="6AC4298B">
            <w:pPr>
              <w:jc w:val="center"/>
              <w:rPr>
                <w:rFonts w:asciiTheme="minorHAnsi" w:hAnsiTheme="minorHAnsi"/>
                <w:sz w:val="20"/>
                <w:szCs w:val="20"/>
              </w:rPr>
            </w:pPr>
            <w:r w:rsidRPr="004D1E48">
              <w:rPr>
                <w:rFonts w:asciiTheme="minorHAnsi" w:hAnsiTheme="minorHAnsi"/>
                <w:sz w:val="20"/>
                <w:szCs w:val="20"/>
              </w:rPr>
              <w:t xml:space="preserve">$36.18 </w:t>
            </w:r>
          </w:p>
        </w:tc>
        <w:tc>
          <w:tcPr>
            <w:tcW w:w="0" w:type="auto"/>
            <w:vAlign w:val="bottom"/>
            <w:hideMark/>
          </w:tcPr>
          <w:p w:rsidR="00B80AA9" w:rsidRPr="004D1E48" w:rsidP="1CC48348" w14:paraId="0CF8FD60" w14:textId="027AB6A1">
            <w:pPr>
              <w:jc w:val="center"/>
              <w:rPr>
                <w:rFonts w:asciiTheme="minorHAnsi" w:hAnsiTheme="minorHAnsi"/>
                <w:sz w:val="20"/>
                <w:szCs w:val="20"/>
              </w:rPr>
            </w:pPr>
            <w:r w:rsidRPr="004D1E48">
              <w:rPr>
                <w:rFonts w:asciiTheme="minorHAnsi" w:hAnsiTheme="minorHAnsi"/>
                <w:sz w:val="20"/>
                <w:szCs w:val="20"/>
              </w:rPr>
              <w:t>20%</w:t>
            </w:r>
          </w:p>
        </w:tc>
        <w:tc>
          <w:tcPr>
            <w:tcW w:w="0" w:type="auto"/>
            <w:vAlign w:val="bottom"/>
            <w:hideMark/>
          </w:tcPr>
          <w:p w:rsidR="00B80AA9" w:rsidRPr="004D1E48" w:rsidP="1CC48348" w14:paraId="471CFEC0" w14:textId="38BCFF01">
            <w:pPr>
              <w:jc w:val="center"/>
              <w:rPr>
                <w:rFonts w:asciiTheme="minorHAnsi" w:hAnsiTheme="minorHAnsi"/>
                <w:sz w:val="20"/>
                <w:szCs w:val="20"/>
              </w:rPr>
            </w:pPr>
            <w:r w:rsidRPr="004D1E48">
              <w:rPr>
                <w:rFonts w:asciiTheme="minorHAnsi" w:hAnsiTheme="minorHAnsi"/>
                <w:sz w:val="20"/>
                <w:szCs w:val="20"/>
              </w:rPr>
              <w:t xml:space="preserve">$7.24 </w:t>
            </w:r>
          </w:p>
        </w:tc>
        <w:tc>
          <w:tcPr>
            <w:tcW w:w="0" w:type="auto"/>
            <w:vAlign w:val="bottom"/>
            <w:hideMark/>
          </w:tcPr>
          <w:p w:rsidR="00B80AA9" w:rsidRPr="004D1E48" w:rsidP="1CC48348" w14:paraId="3E65F267" w14:textId="458F8BE7">
            <w:pPr>
              <w:jc w:val="center"/>
              <w:rPr>
                <w:rFonts w:asciiTheme="minorHAnsi" w:hAnsiTheme="minorHAnsi"/>
                <w:sz w:val="20"/>
                <w:szCs w:val="20"/>
              </w:rPr>
            </w:pPr>
            <w:r w:rsidRPr="004D1E48">
              <w:rPr>
                <w:rFonts w:asciiTheme="minorHAnsi" w:hAnsiTheme="minorHAnsi"/>
                <w:sz w:val="20"/>
                <w:szCs w:val="20"/>
              </w:rPr>
              <w:t xml:space="preserve">$43.42 </w:t>
            </w:r>
          </w:p>
        </w:tc>
      </w:tr>
      <w:tr w14:paraId="2CF74239" w14:textId="77777777" w:rsidTr="00DA0A40">
        <w:tblPrEx>
          <w:tblW w:w="0" w:type="auto"/>
          <w:tblInd w:w="-635" w:type="dxa"/>
          <w:tblLook w:val="04A0"/>
        </w:tblPrEx>
        <w:trPr>
          <w:trHeight w:val="285"/>
        </w:trPr>
        <w:tc>
          <w:tcPr>
            <w:tcW w:w="0" w:type="auto"/>
            <w:gridSpan w:val="9"/>
            <w:hideMark/>
          </w:tcPr>
          <w:p w:rsidR="008C2B73" w:rsidRPr="004A169C" w:rsidP="1CC48348" w14:paraId="760806BC" w14:textId="77777777">
            <w:pPr>
              <w:rPr>
                <w:rFonts w:asciiTheme="minorHAnsi" w:hAnsiTheme="minorHAnsi"/>
                <w:b/>
                <w:bCs/>
                <w:sz w:val="18"/>
                <w:szCs w:val="18"/>
              </w:rPr>
            </w:pPr>
            <w:r w:rsidRPr="1CC48348">
              <w:rPr>
                <w:rFonts w:asciiTheme="minorHAnsi" w:hAnsiTheme="minorHAnsi"/>
                <w:b/>
                <w:bCs/>
                <w:sz w:val="18"/>
                <w:szCs w:val="18"/>
              </w:rPr>
              <w:t>Footnotes</w:t>
            </w:r>
          </w:p>
        </w:tc>
      </w:tr>
      <w:tr w14:paraId="363FF6AC" w14:textId="77777777" w:rsidTr="00DA0A40">
        <w:tblPrEx>
          <w:tblW w:w="0" w:type="auto"/>
          <w:tblInd w:w="-635" w:type="dxa"/>
          <w:tblLook w:val="04A0"/>
        </w:tblPrEx>
        <w:trPr>
          <w:trHeight w:val="548"/>
        </w:trPr>
        <w:tc>
          <w:tcPr>
            <w:tcW w:w="0" w:type="auto"/>
            <w:gridSpan w:val="9"/>
            <w:vAlign w:val="center"/>
            <w:hideMark/>
          </w:tcPr>
          <w:p w:rsidR="00412862" w:rsidRPr="004A169C" w:rsidP="1CC48348" w14:paraId="24B45C26" w14:textId="2EF6F2CA">
            <w:pPr>
              <w:rPr>
                <w:rFonts w:asciiTheme="minorHAnsi" w:hAnsiTheme="minorHAnsi"/>
                <w:sz w:val="18"/>
                <w:szCs w:val="18"/>
              </w:rPr>
            </w:pPr>
            <w:r w:rsidRPr="1CC48348">
              <w:rPr>
                <w:rFonts w:asciiTheme="minorHAnsi" w:hAnsiTheme="minorHAnsi"/>
                <w:color w:val="000000" w:themeColor="text1"/>
                <w:sz w:val="18"/>
                <w:szCs w:val="18"/>
                <w:vertAlign w:val="superscript"/>
              </w:rPr>
              <w:t>a</w:t>
            </w:r>
            <w:r w:rsidRPr="1CC48348">
              <w:rPr>
                <w:rFonts w:asciiTheme="minorHAnsi" w:hAnsiTheme="minorHAnsi"/>
                <w:color w:val="000000" w:themeColor="text1"/>
                <w:sz w:val="18"/>
                <w:szCs w:val="18"/>
              </w:rPr>
              <w:t xml:space="preserve"> </w:t>
            </w:r>
            <w:r w:rsidRPr="1CC48348" w:rsidR="4D382CBF">
              <w:rPr>
                <w:rFonts w:asciiTheme="minorHAnsi" w:hAnsiTheme="minorHAnsi"/>
                <w:color w:val="000000" w:themeColor="text1"/>
                <w:sz w:val="18"/>
                <w:szCs w:val="18"/>
              </w:rPr>
              <w:t>Source</w:t>
            </w:r>
            <w:r w:rsidRPr="1CC48348" w:rsidR="4D382CBF">
              <w:rPr>
                <w:rFonts w:asciiTheme="minorHAnsi" w:hAnsiTheme="minorHAnsi"/>
                <w:color w:val="000000" w:themeColor="text1"/>
                <w:sz w:val="18"/>
                <w:szCs w:val="18"/>
              </w:rPr>
              <w:t>: Employer Costs for Employee Compensation. Table 4. Private industry workers by occupational and industry group. December 2022. (U.S. Bureau of Labor Statistics 2023).</w:t>
            </w:r>
          </w:p>
        </w:tc>
      </w:tr>
      <w:tr w14:paraId="0B6A6DD9" w14:textId="77777777" w:rsidTr="00DA0A40">
        <w:tblPrEx>
          <w:tblW w:w="0" w:type="auto"/>
          <w:tblInd w:w="-635" w:type="dxa"/>
          <w:tblLook w:val="04A0"/>
        </w:tblPrEx>
        <w:trPr>
          <w:trHeight w:val="583"/>
        </w:trPr>
        <w:tc>
          <w:tcPr>
            <w:tcW w:w="0" w:type="auto"/>
            <w:gridSpan w:val="9"/>
            <w:vAlign w:val="center"/>
            <w:hideMark/>
          </w:tcPr>
          <w:p w:rsidR="00412862" w:rsidRPr="004A169C" w:rsidP="1CC48348" w14:paraId="4EE6E84B" w14:textId="7109B42C">
            <w:pPr>
              <w:rPr>
                <w:rFonts w:asciiTheme="minorHAnsi" w:hAnsiTheme="minorHAnsi"/>
                <w:sz w:val="18"/>
                <w:szCs w:val="18"/>
              </w:rPr>
            </w:pPr>
            <w:r w:rsidRPr="1CC48348">
              <w:rPr>
                <w:rFonts w:asciiTheme="minorHAnsi" w:hAnsiTheme="minorHAnsi"/>
                <w:color w:val="000000" w:themeColor="text1"/>
                <w:sz w:val="18"/>
                <w:szCs w:val="18"/>
                <w:vertAlign w:val="superscript"/>
              </w:rPr>
              <w:t>b</w:t>
            </w:r>
            <w:r w:rsidRPr="1CC48348">
              <w:rPr>
                <w:rFonts w:asciiTheme="minorHAnsi" w:hAnsiTheme="minorHAnsi"/>
                <w:color w:val="000000" w:themeColor="text1"/>
                <w:sz w:val="18"/>
                <w:szCs w:val="18"/>
              </w:rPr>
              <w:t xml:space="preserve"> </w:t>
            </w:r>
            <w:r w:rsidRPr="1CC48348">
              <w:rPr>
                <w:rFonts w:asciiTheme="minorHAnsi" w:hAnsiTheme="minorHAnsi"/>
                <w:color w:val="000000" w:themeColor="text1"/>
                <w:sz w:val="18"/>
                <w:szCs w:val="18"/>
              </w:rPr>
              <w:t>An</w:t>
            </w:r>
            <w:r w:rsidRPr="1CC48348">
              <w:rPr>
                <w:rFonts w:asciiTheme="minorHAnsi" w:hAnsiTheme="minorHAnsi"/>
                <w:color w:val="000000" w:themeColor="text1"/>
                <w:sz w:val="18"/>
                <w:szCs w:val="18"/>
              </w:rPr>
              <w:t xml:space="preserve"> overhead rate of 20% is used based on assumptions in Handbook on Valuing Changes in Time Use Induced by Regulatory Requirements and Other U.S. EPA Actions (EPA 2020)</w:t>
            </w:r>
          </w:p>
        </w:tc>
      </w:tr>
      <w:tr w14:paraId="1025EF9C" w14:textId="77777777" w:rsidTr="00DA0A40">
        <w:tblPrEx>
          <w:tblW w:w="0" w:type="auto"/>
          <w:tblInd w:w="-635" w:type="dxa"/>
          <w:tblLook w:val="04A0"/>
        </w:tblPrEx>
        <w:trPr>
          <w:trHeight w:val="223"/>
        </w:trPr>
        <w:tc>
          <w:tcPr>
            <w:tcW w:w="0" w:type="auto"/>
            <w:gridSpan w:val="9"/>
            <w:vAlign w:val="center"/>
            <w:hideMark/>
          </w:tcPr>
          <w:p w:rsidR="00412862" w:rsidRPr="004A169C" w:rsidP="1CC48348" w14:paraId="0D04E731" w14:textId="0D19F3A8">
            <w:pPr>
              <w:rPr>
                <w:rFonts w:asciiTheme="minorHAnsi" w:hAnsiTheme="minorHAnsi"/>
                <w:sz w:val="18"/>
                <w:szCs w:val="18"/>
              </w:rPr>
            </w:pPr>
            <w:r w:rsidRPr="1CC48348">
              <w:rPr>
                <w:rFonts w:asciiTheme="minorHAnsi" w:hAnsiTheme="minorHAnsi"/>
                <w:color w:val="000000" w:themeColor="text1"/>
                <w:sz w:val="18"/>
                <w:szCs w:val="18"/>
                <w:vertAlign w:val="superscript"/>
              </w:rPr>
              <w:t xml:space="preserve">c </w:t>
            </w:r>
            <w:r w:rsidRPr="1CC48348">
              <w:rPr>
                <w:rFonts w:asciiTheme="minorHAnsi" w:hAnsiTheme="minorHAnsi"/>
                <w:color w:val="000000" w:themeColor="text1"/>
                <w:sz w:val="18"/>
                <w:szCs w:val="18"/>
              </w:rPr>
              <w:t>Wage data are rounded to the closest cent in this analysis.</w:t>
            </w:r>
          </w:p>
        </w:tc>
      </w:tr>
    </w:tbl>
    <w:p w:rsidR="004A169C" w:rsidP="009A2858" w14:paraId="0BA07BF4" w14:textId="5B500676">
      <w:pPr>
        <w:pStyle w:val="Caption"/>
        <w:rPr>
          <w:rFonts w:asciiTheme="minorHAnsi" w:hAnsiTheme="minorHAnsi" w:cstheme="minorHAnsi"/>
          <w:szCs w:val="24"/>
        </w:rPr>
      </w:pPr>
    </w:p>
    <w:p w:rsidR="004A169C" w14:paraId="2814B7D5" w14:textId="77777777">
      <w:pPr>
        <w:spacing w:after="160" w:line="259" w:lineRule="auto"/>
        <w:rPr>
          <w:rFonts w:asciiTheme="minorHAnsi" w:hAnsiTheme="minorHAnsi" w:cstheme="minorHAnsi"/>
          <w:b/>
          <w:bCs/>
          <w:color w:val="000000" w:themeColor="text1"/>
          <w:szCs w:val="24"/>
        </w:rPr>
      </w:pPr>
      <w:r>
        <w:rPr>
          <w:rFonts w:asciiTheme="minorHAnsi" w:hAnsiTheme="minorHAnsi" w:cstheme="minorHAnsi"/>
          <w:szCs w:val="24"/>
        </w:rPr>
        <w:br w:type="page"/>
      </w:r>
    </w:p>
    <w:p w:rsidR="008C2B73" w:rsidRPr="00514EE0" w:rsidP="55F53025" w14:paraId="7A4FA0F0" w14:textId="36FB2561">
      <w:pPr>
        <w:pStyle w:val="Caption"/>
        <w:rPr>
          <w:rFonts w:asciiTheme="minorHAnsi" w:hAnsiTheme="minorHAnsi" w:cstheme="minorBidi"/>
        </w:rPr>
      </w:pPr>
      <w:bookmarkStart w:id="11" w:name="_Ref91086875"/>
      <w:r w:rsidRPr="17EECA3F">
        <w:rPr>
          <w:rFonts w:asciiTheme="minorHAnsi" w:hAnsiTheme="minorHAnsi" w:cstheme="minorBidi"/>
        </w:rPr>
        <w:t xml:space="preserve">Table </w:t>
      </w:r>
      <w:r w:rsidRPr="17EECA3F">
        <w:rPr>
          <w:rFonts w:asciiTheme="minorHAnsi" w:hAnsiTheme="minorHAnsi" w:cstheme="minorBidi"/>
        </w:rPr>
        <w:fldChar w:fldCharType="begin"/>
      </w:r>
      <w:r w:rsidRPr="17EECA3F">
        <w:rPr>
          <w:rFonts w:asciiTheme="minorHAnsi" w:hAnsiTheme="minorHAnsi" w:cstheme="minorBidi"/>
        </w:rPr>
        <w:instrText xml:space="preserve"> SEQ Table \* ARABIC </w:instrText>
      </w:r>
      <w:r w:rsidRPr="17EECA3F">
        <w:rPr>
          <w:rFonts w:asciiTheme="minorHAnsi" w:hAnsiTheme="minorHAnsi" w:cstheme="minorBidi"/>
        </w:rPr>
        <w:fldChar w:fldCharType="separate"/>
      </w:r>
      <w:r w:rsidRPr="17EECA3F" w:rsidR="00C82C2C">
        <w:rPr>
          <w:rFonts w:asciiTheme="minorHAnsi" w:hAnsiTheme="minorHAnsi" w:cstheme="minorBidi"/>
          <w:noProof/>
        </w:rPr>
        <w:t>5</w:t>
      </w:r>
      <w:r w:rsidRPr="17EECA3F">
        <w:rPr>
          <w:rFonts w:asciiTheme="minorHAnsi" w:hAnsiTheme="minorHAnsi" w:cstheme="minorBidi"/>
          <w:noProof/>
        </w:rPr>
        <w:fldChar w:fldCharType="end"/>
      </w:r>
      <w:bookmarkEnd w:id="11"/>
      <w:r w:rsidRPr="17EECA3F">
        <w:rPr>
          <w:rFonts w:asciiTheme="minorHAnsi" w:hAnsiTheme="minorHAnsi" w:cstheme="minorBidi"/>
        </w:rPr>
        <w:t>: Industry Annual Reporting Costs (</w:t>
      </w:r>
      <w:r w:rsidRPr="17EECA3F" w:rsidR="00514EE0">
        <w:rPr>
          <w:rFonts w:asciiTheme="minorHAnsi" w:hAnsiTheme="minorHAnsi" w:cstheme="minorBidi"/>
        </w:rPr>
        <w:t>2024</w:t>
      </w:r>
      <w:r w:rsidRPr="17EECA3F">
        <w:rPr>
          <w:rFonts w:asciiTheme="minorHAnsi" w:hAnsiTheme="minorHAnsi" w:cstheme="minorBidi"/>
        </w:rPr>
        <w:t>$)</w:t>
      </w:r>
    </w:p>
    <w:tbl>
      <w:tblPr>
        <w:tblW w:w="10065" w:type="dxa"/>
        <w:tblLook w:val="04A0"/>
      </w:tblPr>
      <w:tblGrid>
        <w:gridCol w:w="1199"/>
        <w:gridCol w:w="979"/>
        <w:gridCol w:w="1093"/>
        <w:gridCol w:w="1127"/>
        <w:gridCol w:w="1122"/>
        <w:gridCol w:w="1312"/>
        <w:gridCol w:w="1349"/>
        <w:gridCol w:w="1884"/>
      </w:tblGrid>
      <w:tr w14:paraId="53A890E8" w14:textId="77777777" w:rsidTr="00401033">
        <w:tblPrEx>
          <w:tblW w:w="10065" w:type="dxa"/>
          <w:tblLook w:val="04A0"/>
        </w:tblPrEx>
        <w:trPr>
          <w:trHeight w:val="1290"/>
        </w:trPr>
        <w:tc>
          <w:tcPr>
            <w:tcW w:w="119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55F53025" w:rsidRPr="00C7272B" w:rsidP="55F53025" w14:paraId="48A6229E" w14:textId="31F8D0AC">
            <w:pPr>
              <w:rPr>
                <w:rFonts w:eastAsia="Aptos" w:asciiTheme="minorHAnsi" w:hAnsiTheme="minorHAnsi" w:cstheme="minorHAnsi"/>
                <w:b/>
                <w:bCs/>
                <w:color w:val="000000" w:themeColor="text1"/>
                <w:sz w:val="18"/>
                <w:szCs w:val="18"/>
              </w:rPr>
            </w:pPr>
            <w:r w:rsidRPr="00C7272B">
              <w:rPr>
                <w:rFonts w:eastAsia="Aptos" w:asciiTheme="minorHAnsi" w:hAnsiTheme="minorHAnsi" w:cstheme="minorHAnsi"/>
                <w:b/>
                <w:bCs/>
                <w:color w:val="000000" w:themeColor="text1"/>
                <w:sz w:val="18"/>
                <w:szCs w:val="18"/>
              </w:rPr>
              <w:t>Activity</w:t>
            </w:r>
          </w:p>
        </w:tc>
        <w:tc>
          <w:tcPr>
            <w:tcW w:w="97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55F53025" w:rsidRPr="00C7272B" w:rsidP="55F53025" w14:paraId="7F6428BC" w14:textId="6224C594">
            <w:pPr>
              <w:rPr>
                <w:rFonts w:eastAsia="Aptos" w:asciiTheme="minorHAnsi" w:hAnsiTheme="minorHAnsi" w:cstheme="minorHAnsi"/>
                <w:b/>
                <w:bCs/>
                <w:color w:val="000000" w:themeColor="text1"/>
                <w:sz w:val="18"/>
                <w:szCs w:val="18"/>
              </w:rPr>
            </w:pPr>
            <w:r w:rsidRPr="00C7272B">
              <w:rPr>
                <w:rFonts w:eastAsia="Aptos" w:asciiTheme="minorHAnsi" w:hAnsiTheme="minorHAnsi" w:cstheme="minorHAnsi"/>
                <w:b/>
                <w:bCs/>
                <w:color w:val="000000" w:themeColor="text1"/>
                <w:sz w:val="18"/>
                <w:szCs w:val="18"/>
              </w:rPr>
              <w:t>Unit Burden (hrs)</w:t>
            </w:r>
          </w:p>
        </w:tc>
        <w:tc>
          <w:tcPr>
            <w:tcW w:w="109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55F53025" w:rsidRPr="00C7272B" w:rsidP="55F53025" w14:paraId="56EE0452" w14:textId="27A39BBB">
            <w:pPr>
              <w:rPr>
                <w:rFonts w:eastAsia="Aptos" w:asciiTheme="minorHAnsi" w:hAnsiTheme="minorHAnsi" w:cstheme="minorHAnsi"/>
                <w:b/>
                <w:bCs/>
                <w:color w:val="000000" w:themeColor="text1"/>
                <w:sz w:val="18"/>
                <w:szCs w:val="18"/>
              </w:rPr>
            </w:pPr>
            <w:r w:rsidRPr="00C7272B">
              <w:rPr>
                <w:rFonts w:eastAsia="Aptos" w:asciiTheme="minorHAnsi" w:hAnsiTheme="minorHAnsi" w:cstheme="minorHAnsi"/>
                <w:b/>
                <w:bCs/>
                <w:color w:val="000000" w:themeColor="text1"/>
                <w:sz w:val="18"/>
                <w:szCs w:val="18"/>
              </w:rPr>
              <w:t>Weighted Average Wage Rate</w:t>
            </w:r>
          </w:p>
        </w:tc>
        <w:tc>
          <w:tcPr>
            <w:tcW w:w="11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55F53025" w:rsidRPr="00C7272B" w:rsidP="55F53025" w14:paraId="19FB7043" w14:textId="63453510">
            <w:pPr>
              <w:rPr>
                <w:rFonts w:eastAsia="Aptos" w:asciiTheme="minorHAnsi" w:hAnsiTheme="minorHAnsi" w:cstheme="minorHAnsi"/>
                <w:b/>
                <w:bCs/>
                <w:color w:val="000000" w:themeColor="text1"/>
                <w:sz w:val="18"/>
                <w:szCs w:val="18"/>
              </w:rPr>
            </w:pPr>
            <w:r w:rsidRPr="00C7272B">
              <w:rPr>
                <w:rFonts w:eastAsia="Aptos" w:asciiTheme="minorHAnsi" w:hAnsiTheme="minorHAnsi" w:cstheme="minorHAnsi"/>
                <w:b/>
                <w:bCs/>
                <w:color w:val="000000" w:themeColor="text1"/>
                <w:sz w:val="18"/>
                <w:szCs w:val="18"/>
              </w:rPr>
              <w:t>Unit Cost (per response)</w:t>
            </w:r>
          </w:p>
        </w:tc>
        <w:tc>
          <w:tcPr>
            <w:tcW w:w="1122" w:type="dxa"/>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Mar>
              <w:left w:w="108" w:type="dxa"/>
              <w:right w:w="108" w:type="dxa"/>
            </w:tcMar>
            <w:vAlign w:val="center"/>
          </w:tcPr>
          <w:p w:rsidR="55F53025" w:rsidRPr="00C7272B" w:rsidP="55F53025" w14:paraId="5AC83B40" w14:textId="21442694">
            <w:pPr>
              <w:rPr>
                <w:rFonts w:eastAsia="Aptos" w:asciiTheme="minorHAnsi" w:hAnsiTheme="minorHAnsi" w:cstheme="minorHAnsi"/>
                <w:b/>
                <w:bCs/>
                <w:color w:val="000000" w:themeColor="text1"/>
                <w:sz w:val="18"/>
                <w:szCs w:val="18"/>
              </w:rPr>
            </w:pPr>
            <w:r w:rsidRPr="00C7272B">
              <w:rPr>
                <w:rFonts w:eastAsia="Aptos" w:asciiTheme="minorHAnsi" w:hAnsiTheme="minorHAnsi" w:cstheme="minorHAnsi"/>
                <w:b/>
                <w:bCs/>
                <w:color w:val="000000" w:themeColor="text1"/>
                <w:sz w:val="18"/>
                <w:szCs w:val="18"/>
              </w:rPr>
              <w:t>Number</w:t>
            </w:r>
            <w:r w:rsidRPr="00C7272B">
              <w:rPr>
                <w:rFonts w:eastAsia="Aptos" w:asciiTheme="minorHAnsi" w:hAnsiTheme="minorHAnsi" w:cstheme="minorHAnsi"/>
                <w:b/>
                <w:bCs/>
                <w:color w:val="000000" w:themeColor="text1"/>
                <w:sz w:val="18"/>
                <w:szCs w:val="18"/>
              </w:rPr>
              <w:t xml:space="preserve"> of Responses</w:t>
            </w:r>
          </w:p>
        </w:tc>
        <w:tc>
          <w:tcPr>
            <w:tcW w:w="1312" w:type="dxa"/>
            <w:tcBorders>
              <w:top w:val="single" w:sz="8" w:space="0" w:color="auto"/>
              <w:left w:val="single" w:sz="8" w:space="0" w:color="000000" w:themeColor="text1"/>
              <w:bottom w:val="single" w:sz="8" w:space="0" w:color="auto"/>
              <w:right w:val="single" w:sz="8" w:space="0" w:color="000000" w:themeColor="text1"/>
            </w:tcBorders>
            <w:shd w:val="clear" w:color="auto" w:fill="D9D9D9" w:themeFill="background1" w:themeFillShade="D9"/>
            <w:tcMar>
              <w:left w:w="108" w:type="dxa"/>
              <w:right w:w="108" w:type="dxa"/>
            </w:tcMar>
            <w:vAlign w:val="center"/>
          </w:tcPr>
          <w:p w:rsidR="17EEC616" w:rsidRPr="00C7272B" w:rsidP="55F53025" w14:paraId="753D3716" w14:textId="495B7A43">
            <w:pPr>
              <w:rPr>
                <w:rFonts w:eastAsia="Aptos" w:asciiTheme="minorHAnsi" w:hAnsiTheme="minorHAnsi" w:cstheme="minorHAnsi"/>
                <w:b/>
                <w:bCs/>
                <w:color w:val="000000" w:themeColor="text1"/>
                <w:sz w:val="18"/>
                <w:szCs w:val="18"/>
              </w:rPr>
            </w:pPr>
            <w:r w:rsidRPr="00C7272B">
              <w:rPr>
                <w:rFonts w:eastAsia="Aptos" w:asciiTheme="minorHAnsi" w:hAnsiTheme="minorHAnsi" w:cstheme="minorHAnsi"/>
                <w:b/>
                <w:bCs/>
                <w:color w:val="000000" w:themeColor="text1"/>
                <w:sz w:val="18"/>
                <w:szCs w:val="18"/>
              </w:rPr>
              <w:t>Number</w:t>
            </w:r>
            <w:r w:rsidRPr="00C7272B">
              <w:rPr>
                <w:rFonts w:eastAsia="Aptos" w:asciiTheme="minorHAnsi" w:hAnsiTheme="minorHAnsi" w:cstheme="minorHAnsi"/>
                <w:b/>
                <w:bCs/>
                <w:color w:val="000000" w:themeColor="text1"/>
                <w:sz w:val="18"/>
                <w:szCs w:val="18"/>
              </w:rPr>
              <w:t xml:space="preserve"> of Respondents</w:t>
            </w:r>
          </w:p>
        </w:tc>
        <w:tc>
          <w:tcPr>
            <w:tcW w:w="1349" w:type="dxa"/>
            <w:tcBorders>
              <w:top w:val="single" w:sz="8" w:space="0" w:color="auto"/>
              <w:left w:val="single" w:sz="8" w:space="0" w:color="000000" w:themeColor="text1"/>
              <w:bottom w:val="single" w:sz="8" w:space="0" w:color="auto"/>
              <w:right w:val="single" w:sz="8" w:space="0" w:color="auto"/>
            </w:tcBorders>
            <w:shd w:val="clear" w:color="auto" w:fill="D9D9D9" w:themeFill="background1" w:themeFillShade="D9"/>
            <w:tcMar>
              <w:left w:w="108" w:type="dxa"/>
              <w:right w:w="108" w:type="dxa"/>
            </w:tcMar>
            <w:vAlign w:val="center"/>
          </w:tcPr>
          <w:p w:rsidR="55F53025" w:rsidRPr="00C7272B" w:rsidP="55F53025" w14:paraId="55BF72CA" w14:textId="0A7A05A4">
            <w:pPr>
              <w:rPr>
                <w:rFonts w:eastAsia="Aptos" w:asciiTheme="minorHAnsi" w:hAnsiTheme="minorHAnsi" w:cstheme="minorHAnsi"/>
                <w:b/>
                <w:bCs/>
                <w:color w:val="000000" w:themeColor="text1"/>
                <w:sz w:val="18"/>
                <w:szCs w:val="18"/>
              </w:rPr>
            </w:pPr>
            <w:r w:rsidRPr="00C7272B">
              <w:rPr>
                <w:rFonts w:eastAsia="Aptos" w:asciiTheme="minorHAnsi" w:hAnsiTheme="minorHAnsi" w:cstheme="minorHAnsi"/>
                <w:b/>
                <w:bCs/>
                <w:color w:val="000000" w:themeColor="text1"/>
                <w:sz w:val="18"/>
                <w:szCs w:val="18"/>
              </w:rPr>
              <w:t>Annual Burden Hours</w:t>
            </w:r>
          </w:p>
        </w:tc>
        <w:tc>
          <w:tcPr>
            <w:tcW w:w="1884" w:type="dxa"/>
            <w:tcBorders>
              <w:top w:val="single" w:sz="8" w:space="0" w:color="auto"/>
              <w:left w:val="single" w:sz="8" w:space="0" w:color="auto"/>
              <w:bottom w:val="single" w:sz="2" w:space="0" w:color="auto"/>
              <w:right w:val="single" w:sz="8" w:space="0" w:color="auto"/>
            </w:tcBorders>
            <w:shd w:val="clear" w:color="auto" w:fill="D9D9D9" w:themeFill="background1" w:themeFillShade="D9"/>
            <w:tcMar>
              <w:left w:w="108" w:type="dxa"/>
              <w:right w:w="108" w:type="dxa"/>
            </w:tcMar>
            <w:vAlign w:val="center"/>
          </w:tcPr>
          <w:p w:rsidR="55F53025" w:rsidRPr="00C7272B" w:rsidP="55F53025" w14:paraId="24980AB7" w14:textId="7FFC3E30">
            <w:pPr>
              <w:rPr>
                <w:rFonts w:eastAsia="Aptos" w:asciiTheme="minorHAnsi" w:hAnsiTheme="minorHAnsi" w:cstheme="minorHAnsi"/>
                <w:b/>
                <w:bCs/>
                <w:color w:val="000000" w:themeColor="text1"/>
                <w:sz w:val="18"/>
                <w:szCs w:val="18"/>
              </w:rPr>
            </w:pPr>
            <w:r w:rsidRPr="00C7272B">
              <w:rPr>
                <w:rFonts w:eastAsia="Aptos" w:asciiTheme="minorHAnsi" w:hAnsiTheme="minorHAnsi" w:cstheme="minorHAnsi"/>
                <w:b/>
                <w:bCs/>
                <w:color w:val="000000" w:themeColor="text1"/>
                <w:sz w:val="18"/>
                <w:szCs w:val="18"/>
              </w:rPr>
              <w:t>Annual Cost</w:t>
            </w:r>
          </w:p>
        </w:tc>
      </w:tr>
      <w:tr w14:paraId="548F3612" w14:textId="77777777" w:rsidTr="00C7272B">
        <w:tblPrEx>
          <w:tblW w:w="10065" w:type="dxa"/>
          <w:tblLook w:val="04A0"/>
        </w:tblPrEx>
        <w:trPr>
          <w:trHeight w:val="270"/>
        </w:trPr>
        <w:tc>
          <w:tcPr>
            <w:tcW w:w="10065" w:type="dxa"/>
            <w:gridSpan w:val="8"/>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00C7272B" w14:paraId="11E345EC" w14:textId="3940DB45">
            <w:pPr>
              <w:rPr>
                <w:rFonts w:eastAsia="Calibri" w:asciiTheme="minorHAnsi" w:hAnsiTheme="minorHAnsi" w:cstheme="minorHAnsi"/>
                <w:b/>
                <w:bCs/>
                <w:color w:val="000000" w:themeColor="text1"/>
                <w:sz w:val="22"/>
              </w:rPr>
            </w:pPr>
            <w:r w:rsidRPr="00C7272B">
              <w:rPr>
                <w:rFonts w:eastAsia="Calibri" w:asciiTheme="minorHAnsi" w:hAnsiTheme="minorHAnsi" w:cstheme="minorHAnsi"/>
                <w:b/>
                <w:bCs/>
                <w:color w:val="000000" w:themeColor="text1"/>
                <w:sz w:val="20"/>
                <w:szCs w:val="20"/>
              </w:rPr>
              <w:t>TSCA Section 8(e) Submission</w:t>
            </w:r>
          </w:p>
        </w:tc>
      </w:tr>
      <w:tr w14:paraId="26FD9344" w14:textId="77777777" w:rsidTr="00401033">
        <w:tblPrEx>
          <w:tblW w:w="10065" w:type="dxa"/>
          <w:tblLook w:val="04A0"/>
        </w:tblPrEx>
        <w:trPr>
          <w:trHeight w:val="465"/>
        </w:trPr>
        <w:tc>
          <w:tcPr>
            <w:tcW w:w="1199" w:type="dxa"/>
            <w:tcBorders>
              <w:top w:val="single" w:sz="8" w:space="0" w:color="auto"/>
              <w:left w:val="single" w:sz="8" w:space="0" w:color="auto"/>
              <w:bottom w:val="single" w:sz="2" w:space="0" w:color="auto"/>
              <w:right w:val="single" w:sz="8" w:space="0" w:color="auto"/>
            </w:tcBorders>
            <w:tcMar>
              <w:left w:w="108" w:type="dxa"/>
              <w:right w:w="108" w:type="dxa"/>
            </w:tcMar>
            <w:vAlign w:val="center"/>
          </w:tcPr>
          <w:p w:rsidR="55F53025" w:rsidRPr="00C7272B" w:rsidP="55F53025" w14:paraId="4E2443C1" w14:textId="42FC9C34">
            <w:pPr>
              <w:rPr>
                <w:rFonts w:eastAsia="Aptos" w:asciiTheme="minorHAnsi" w:hAnsiTheme="minorHAnsi" w:cstheme="minorHAnsi"/>
                <w:color w:val="000000" w:themeColor="text1"/>
                <w:sz w:val="22"/>
              </w:rPr>
            </w:pPr>
            <w:r w:rsidRPr="00C7272B">
              <w:rPr>
                <w:rFonts w:eastAsia="Aptos" w:asciiTheme="minorHAnsi" w:hAnsiTheme="minorHAnsi" w:cstheme="minorHAnsi"/>
                <w:color w:val="000000" w:themeColor="text1"/>
                <w:sz w:val="20"/>
                <w:szCs w:val="20"/>
              </w:rPr>
              <w:t>Electronic Submission</w:t>
            </w:r>
          </w:p>
        </w:tc>
        <w:tc>
          <w:tcPr>
            <w:tcW w:w="979" w:type="dxa"/>
            <w:tcBorders>
              <w:top w:val="single" w:sz="8" w:space="0" w:color="auto"/>
              <w:left w:val="single" w:sz="8" w:space="0" w:color="auto"/>
              <w:bottom w:val="single" w:sz="2" w:space="0" w:color="auto"/>
              <w:right w:val="single" w:sz="8" w:space="0" w:color="auto"/>
            </w:tcBorders>
            <w:tcMar>
              <w:left w:w="108" w:type="dxa"/>
              <w:right w:w="108" w:type="dxa"/>
            </w:tcMar>
            <w:vAlign w:val="center"/>
          </w:tcPr>
          <w:p w:rsidR="55F53025" w:rsidRPr="00C7272B" w:rsidP="00AA0CBB" w14:paraId="7673636A" w14:textId="5552C586">
            <w:pPr>
              <w:jc w:val="center"/>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50.06</w:t>
            </w:r>
          </w:p>
        </w:tc>
        <w:tc>
          <w:tcPr>
            <w:tcW w:w="1093" w:type="dxa"/>
            <w:tcBorders>
              <w:top w:val="single" w:sz="8" w:space="0" w:color="auto"/>
              <w:left w:val="single" w:sz="8" w:space="0" w:color="auto"/>
              <w:bottom w:val="single" w:sz="2" w:space="0" w:color="auto"/>
              <w:right w:val="single" w:sz="8" w:space="0" w:color="auto"/>
            </w:tcBorders>
            <w:tcMar>
              <w:left w:w="108" w:type="dxa"/>
              <w:right w:w="108" w:type="dxa"/>
            </w:tcMar>
            <w:vAlign w:val="center"/>
          </w:tcPr>
          <w:p w:rsidR="55F53025" w:rsidRPr="00C7272B" w:rsidP="00AA0CBB" w14:paraId="360D991C" w14:textId="7F68AC0A">
            <w:pPr>
              <w:jc w:val="right"/>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 xml:space="preserve">$101.50 </w:t>
            </w:r>
          </w:p>
        </w:tc>
        <w:tc>
          <w:tcPr>
            <w:tcW w:w="1127" w:type="dxa"/>
            <w:tcBorders>
              <w:top w:val="single" w:sz="8" w:space="0" w:color="auto"/>
              <w:left w:val="single" w:sz="8" w:space="0" w:color="auto"/>
              <w:bottom w:val="single" w:sz="2" w:space="0" w:color="auto"/>
              <w:right w:val="single" w:sz="8" w:space="0" w:color="auto"/>
            </w:tcBorders>
            <w:tcMar>
              <w:left w:w="108" w:type="dxa"/>
              <w:right w:w="108" w:type="dxa"/>
            </w:tcMar>
            <w:vAlign w:val="center"/>
          </w:tcPr>
          <w:p w:rsidR="55F53025" w:rsidRPr="00C7272B" w:rsidP="00AA0CBB" w14:paraId="58ED90CF" w14:textId="5D901D59">
            <w:pPr>
              <w:jc w:val="right"/>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 xml:space="preserve">$5,081 </w:t>
            </w:r>
          </w:p>
        </w:tc>
        <w:tc>
          <w:tcPr>
            <w:tcW w:w="1122" w:type="dxa"/>
            <w:tcBorders>
              <w:top w:val="single" w:sz="8" w:space="0" w:color="auto"/>
              <w:left w:val="single" w:sz="8" w:space="0" w:color="auto"/>
              <w:bottom w:val="single" w:sz="2" w:space="0" w:color="auto"/>
              <w:right w:val="single" w:sz="8" w:space="0" w:color="auto"/>
            </w:tcBorders>
            <w:tcMar>
              <w:left w:w="108" w:type="dxa"/>
              <w:right w:w="108" w:type="dxa"/>
            </w:tcMar>
            <w:vAlign w:val="center"/>
          </w:tcPr>
          <w:p w:rsidR="55F53025" w:rsidRPr="00C7272B" w:rsidP="00AA0CBB" w14:paraId="059F428F" w14:textId="12870097">
            <w:pPr>
              <w:jc w:val="center"/>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547</w:t>
            </w:r>
          </w:p>
        </w:tc>
        <w:tc>
          <w:tcPr>
            <w:tcW w:w="1312" w:type="dxa"/>
            <w:tcBorders>
              <w:top w:val="single" w:sz="8" w:space="0" w:color="auto"/>
              <w:left w:val="single" w:sz="8" w:space="0" w:color="auto"/>
              <w:bottom w:val="single" w:sz="2" w:space="0" w:color="auto"/>
              <w:right w:val="nil"/>
            </w:tcBorders>
            <w:tcMar>
              <w:left w:w="108" w:type="dxa"/>
              <w:right w:w="108" w:type="dxa"/>
            </w:tcMar>
            <w:vAlign w:val="center"/>
          </w:tcPr>
          <w:p w:rsidR="55F53025" w:rsidRPr="00C7272B" w:rsidP="00AA0CBB" w14:paraId="1A8E48BE" w14:textId="5E421AEE">
            <w:pPr>
              <w:jc w:val="center"/>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32</w:t>
            </w:r>
          </w:p>
        </w:tc>
        <w:tc>
          <w:tcPr>
            <w:tcW w:w="1349" w:type="dxa"/>
            <w:tcBorders>
              <w:top w:val="single" w:sz="8" w:space="0" w:color="auto"/>
              <w:left w:val="single" w:sz="8" w:space="0" w:color="auto"/>
              <w:bottom w:val="single" w:sz="2" w:space="0" w:color="auto"/>
              <w:right w:val="single" w:sz="8" w:space="0" w:color="auto"/>
            </w:tcBorders>
            <w:tcMar>
              <w:left w:w="108" w:type="dxa"/>
              <w:right w:w="108" w:type="dxa"/>
            </w:tcMar>
            <w:vAlign w:val="center"/>
          </w:tcPr>
          <w:p w:rsidR="55F53025" w:rsidRPr="00C7272B" w:rsidP="00AA0CBB" w14:paraId="51337B72" w14:textId="3978400A">
            <w:pPr>
              <w:jc w:val="center"/>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27,383</w:t>
            </w:r>
          </w:p>
        </w:tc>
        <w:tc>
          <w:tcPr>
            <w:tcW w:w="1884" w:type="dxa"/>
            <w:tcBorders>
              <w:top w:val="single" w:sz="8" w:space="0" w:color="auto"/>
              <w:left w:val="single" w:sz="8" w:space="0" w:color="auto"/>
              <w:bottom w:val="single" w:sz="2" w:space="0" w:color="auto"/>
              <w:right w:val="single" w:sz="8" w:space="0" w:color="auto"/>
            </w:tcBorders>
            <w:tcMar>
              <w:left w:w="108" w:type="dxa"/>
              <w:right w:w="108" w:type="dxa"/>
            </w:tcMar>
            <w:vAlign w:val="center"/>
          </w:tcPr>
          <w:p w:rsidR="55F53025" w:rsidRPr="00C7272B" w:rsidP="00AA0CBB" w14:paraId="4342150E" w14:textId="1E5712F7">
            <w:pPr>
              <w:jc w:val="right"/>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 xml:space="preserve">$2,779,374.50 </w:t>
            </w:r>
          </w:p>
        </w:tc>
      </w:tr>
      <w:tr w14:paraId="284150B5" w14:textId="77777777" w:rsidTr="00401033">
        <w:tblPrEx>
          <w:tblW w:w="10065" w:type="dxa"/>
          <w:tblLook w:val="04A0"/>
        </w:tblPrEx>
        <w:trPr>
          <w:trHeight w:val="465"/>
        </w:trPr>
        <w:tc>
          <w:tcPr>
            <w:tcW w:w="1199" w:type="dxa"/>
            <w:tcBorders>
              <w:top w:val="single" w:sz="2"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55F53025" w14:paraId="4A8C0FDB" w14:textId="0585D66F">
            <w:pPr>
              <w:rPr>
                <w:rFonts w:eastAsia="Aptos" w:asciiTheme="minorHAnsi" w:hAnsiTheme="minorHAnsi" w:cstheme="minorHAnsi"/>
                <w:color w:val="000000" w:themeColor="text1"/>
                <w:sz w:val="22"/>
              </w:rPr>
            </w:pPr>
            <w:r w:rsidRPr="00C7272B">
              <w:rPr>
                <w:rFonts w:eastAsia="Aptos" w:asciiTheme="minorHAnsi" w:hAnsiTheme="minorHAnsi" w:cstheme="minorHAnsi"/>
                <w:color w:val="000000" w:themeColor="text1"/>
                <w:sz w:val="20"/>
                <w:szCs w:val="20"/>
              </w:rPr>
              <w:t>Paper Submission</w:t>
            </w:r>
          </w:p>
        </w:tc>
        <w:tc>
          <w:tcPr>
            <w:tcW w:w="979" w:type="dxa"/>
            <w:tcBorders>
              <w:top w:val="single" w:sz="2"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00AA0CBB" w14:paraId="13B2E8D5" w14:textId="7744B01E">
            <w:pPr>
              <w:jc w:val="center"/>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51</w:t>
            </w:r>
          </w:p>
        </w:tc>
        <w:tc>
          <w:tcPr>
            <w:tcW w:w="1093" w:type="dxa"/>
            <w:tcBorders>
              <w:top w:val="single" w:sz="2"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00AA0CBB" w14:paraId="12F73A91" w14:textId="3DB02480">
            <w:pPr>
              <w:jc w:val="right"/>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 xml:space="preserve">$101.50 </w:t>
            </w:r>
          </w:p>
        </w:tc>
        <w:tc>
          <w:tcPr>
            <w:tcW w:w="1127" w:type="dxa"/>
            <w:tcBorders>
              <w:top w:val="single" w:sz="2"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00AA0CBB" w14:paraId="5FD3918B" w14:textId="505472EE">
            <w:pPr>
              <w:jc w:val="right"/>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 xml:space="preserve">$5,177 </w:t>
            </w:r>
          </w:p>
        </w:tc>
        <w:tc>
          <w:tcPr>
            <w:tcW w:w="1122" w:type="dxa"/>
            <w:tcBorders>
              <w:top w:val="single" w:sz="2"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00AA0CBB" w14:paraId="2A9C862E" w14:textId="3BE44A8D">
            <w:pPr>
              <w:jc w:val="center"/>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5</w:t>
            </w:r>
          </w:p>
        </w:tc>
        <w:tc>
          <w:tcPr>
            <w:tcW w:w="1312" w:type="dxa"/>
            <w:tcBorders>
              <w:top w:val="single" w:sz="2" w:space="0" w:color="auto"/>
              <w:left w:val="single" w:sz="8" w:space="0" w:color="auto"/>
              <w:bottom w:val="single" w:sz="8" w:space="0" w:color="auto"/>
              <w:right w:val="nil"/>
            </w:tcBorders>
            <w:tcMar>
              <w:left w:w="108" w:type="dxa"/>
              <w:right w:w="108" w:type="dxa"/>
            </w:tcMar>
            <w:vAlign w:val="center"/>
          </w:tcPr>
          <w:p w:rsidR="55F53025" w:rsidRPr="00C7272B" w:rsidP="00AA0CBB" w14:paraId="1BA0A783" w14:textId="7883325E">
            <w:pPr>
              <w:jc w:val="center"/>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3</w:t>
            </w:r>
          </w:p>
        </w:tc>
        <w:tc>
          <w:tcPr>
            <w:tcW w:w="1349" w:type="dxa"/>
            <w:tcBorders>
              <w:top w:val="single" w:sz="2"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00AA0CBB" w14:paraId="504D0A3B" w14:textId="7D787853">
            <w:pPr>
              <w:jc w:val="center"/>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225</w:t>
            </w:r>
          </w:p>
        </w:tc>
        <w:tc>
          <w:tcPr>
            <w:tcW w:w="1884" w:type="dxa"/>
            <w:tcBorders>
              <w:top w:val="single" w:sz="2"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00AA0CBB" w14:paraId="118D997C" w14:textId="7D112C09">
            <w:pPr>
              <w:jc w:val="right"/>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 xml:space="preserve">$22,837.50 </w:t>
            </w:r>
          </w:p>
        </w:tc>
      </w:tr>
      <w:tr w14:paraId="5508BCB7" w14:textId="77777777" w:rsidTr="00401033">
        <w:tblPrEx>
          <w:tblW w:w="10065" w:type="dxa"/>
          <w:tblLook w:val="04A0"/>
        </w:tblPrEx>
        <w:trPr>
          <w:trHeight w:val="225"/>
        </w:trPr>
        <w:tc>
          <w:tcPr>
            <w:tcW w:w="4398"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55F53025" w14:paraId="7E71B2A7" w14:textId="78A81AE5">
            <w:pPr>
              <w:rPr>
                <w:rFonts w:eastAsia="Aptos" w:asciiTheme="minorHAnsi" w:hAnsiTheme="minorHAnsi" w:cstheme="minorHAnsi"/>
                <w:b/>
                <w:bCs/>
                <w:i/>
                <w:iCs/>
                <w:color w:val="000000" w:themeColor="text1"/>
                <w:sz w:val="22"/>
              </w:rPr>
            </w:pPr>
            <w:r w:rsidRPr="00C7272B">
              <w:rPr>
                <w:rFonts w:eastAsia="Aptos" w:asciiTheme="minorHAnsi" w:hAnsiTheme="minorHAnsi" w:cstheme="minorHAnsi"/>
                <w:b/>
                <w:bCs/>
                <w:i/>
                <w:iCs/>
                <w:color w:val="000000" w:themeColor="text1"/>
                <w:sz w:val="20"/>
                <w:szCs w:val="20"/>
              </w:rPr>
              <w:t>Subtotal TSCA § 8(e)</w:t>
            </w:r>
          </w:p>
        </w:tc>
        <w:tc>
          <w:tcPr>
            <w:tcW w:w="1122" w:type="dxa"/>
            <w:tcBorders>
              <w:top w:val="single" w:sz="8" w:space="0" w:color="auto"/>
              <w:left w:val="nil"/>
              <w:bottom w:val="single" w:sz="8" w:space="0" w:color="auto"/>
              <w:right w:val="single" w:sz="8" w:space="0" w:color="auto"/>
            </w:tcBorders>
            <w:tcMar>
              <w:left w:w="108" w:type="dxa"/>
              <w:right w:w="108" w:type="dxa"/>
            </w:tcMar>
            <w:vAlign w:val="center"/>
          </w:tcPr>
          <w:p w:rsidR="55F53025" w:rsidRPr="00C7272B" w:rsidP="00AA0CBB" w14:paraId="3582B566" w14:textId="06C6AA68">
            <w:pPr>
              <w:jc w:val="center"/>
              <w:rPr>
                <w:rFonts w:eastAsia="Calibri" w:asciiTheme="minorHAnsi" w:hAnsiTheme="minorHAnsi" w:cstheme="minorHAnsi"/>
                <w:b/>
                <w:bCs/>
                <w:color w:val="000000" w:themeColor="text1"/>
                <w:sz w:val="22"/>
              </w:rPr>
            </w:pPr>
            <w:r w:rsidRPr="00C7272B">
              <w:rPr>
                <w:rFonts w:eastAsia="Calibri" w:asciiTheme="minorHAnsi" w:hAnsiTheme="minorHAnsi" w:cstheme="minorHAnsi"/>
                <w:b/>
                <w:bCs/>
                <w:color w:val="000000" w:themeColor="text1"/>
                <w:sz w:val="20"/>
                <w:szCs w:val="20"/>
              </w:rPr>
              <w:t>552</w:t>
            </w:r>
          </w:p>
        </w:tc>
        <w:tc>
          <w:tcPr>
            <w:tcW w:w="1312" w:type="dxa"/>
            <w:tcBorders>
              <w:top w:val="single" w:sz="8" w:space="0" w:color="auto"/>
              <w:left w:val="single" w:sz="8" w:space="0" w:color="auto"/>
              <w:bottom w:val="single" w:sz="8" w:space="0" w:color="auto"/>
              <w:right w:val="nil"/>
            </w:tcBorders>
            <w:tcMar>
              <w:left w:w="108" w:type="dxa"/>
              <w:right w:w="108" w:type="dxa"/>
            </w:tcMar>
            <w:vAlign w:val="center"/>
          </w:tcPr>
          <w:p w:rsidR="55F53025" w:rsidRPr="00C7272B" w:rsidP="00AA0CBB" w14:paraId="23A5A1C0" w14:textId="05B61461">
            <w:pPr>
              <w:jc w:val="center"/>
              <w:rPr>
                <w:rFonts w:eastAsia="Calibri" w:asciiTheme="minorHAnsi" w:hAnsiTheme="minorHAnsi" w:cstheme="minorHAnsi"/>
                <w:b/>
                <w:bCs/>
                <w:color w:val="000000" w:themeColor="text1"/>
                <w:sz w:val="22"/>
              </w:rPr>
            </w:pPr>
            <w:r w:rsidRPr="00C7272B">
              <w:rPr>
                <w:rFonts w:eastAsia="Calibri" w:asciiTheme="minorHAnsi" w:hAnsiTheme="minorHAnsi" w:cstheme="minorHAnsi"/>
                <w:b/>
                <w:bCs/>
                <w:color w:val="000000" w:themeColor="text1"/>
                <w:sz w:val="20"/>
                <w:szCs w:val="20"/>
              </w:rPr>
              <w:t>35</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00AA0CBB" w14:paraId="39989E52" w14:textId="44C51F5E">
            <w:pPr>
              <w:jc w:val="center"/>
              <w:rPr>
                <w:rFonts w:eastAsia="Calibri" w:asciiTheme="minorHAnsi" w:hAnsiTheme="minorHAnsi" w:cstheme="minorHAnsi"/>
                <w:b/>
                <w:bCs/>
                <w:color w:val="000000" w:themeColor="text1"/>
                <w:sz w:val="22"/>
              </w:rPr>
            </w:pPr>
            <w:r w:rsidRPr="00C7272B">
              <w:rPr>
                <w:rFonts w:eastAsia="Calibri" w:asciiTheme="minorHAnsi" w:hAnsiTheme="minorHAnsi" w:cstheme="minorHAnsi"/>
                <w:b/>
                <w:bCs/>
                <w:color w:val="000000" w:themeColor="text1"/>
                <w:sz w:val="20"/>
                <w:szCs w:val="20"/>
              </w:rPr>
              <w:t>27,608</w:t>
            </w:r>
          </w:p>
        </w:tc>
        <w:tc>
          <w:tcPr>
            <w:tcW w:w="18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00AA0CBB" w14:paraId="36906AA0" w14:textId="2D28FD01">
            <w:pPr>
              <w:jc w:val="right"/>
              <w:rPr>
                <w:rFonts w:eastAsia="Calibri" w:asciiTheme="minorHAnsi" w:hAnsiTheme="minorHAnsi" w:cstheme="minorHAnsi"/>
                <w:b/>
                <w:bCs/>
                <w:color w:val="000000" w:themeColor="text1"/>
                <w:sz w:val="22"/>
              </w:rPr>
            </w:pPr>
            <w:r w:rsidRPr="00C7272B">
              <w:rPr>
                <w:rFonts w:eastAsia="Calibri" w:asciiTheme="minorHAnsi" w:hAnsiTheme="minorHAnsi" w:cstheme="minorHAnsi"/>
                <w:b/>
                <w:bCs/>
                <w:color w:val="000000" w:themeColor="text1"/>
                <w:sz w:val="20"/>
                <w:szCs w:val="20"/>
              </w:rPr>
              <w:t xml:space="preserve">$2,802,212.00 </w:t>
            </w:r>
          </w:p>
        </w:tc>
      </w:tr>
      <w:tr w14:paraId="5B1BBD4C" w14:textId="77777777" w:rsidTr="00C7272B">
        <w:tblPrEx>
          <w:tblW w:w="10065" w:type="dxa"/>
          <w:tblLook w:val="04A0"/>
        </w:tblPrEx>
        <w:trPr>
          <w:trHeight w:val="330"/>
        </w:trPr>
        <w:tc>
          <w:tcPr>
            <w:tcW w:w="10065" w:type="dxa"/>
            <w:gridSpan w:val="8"/>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00C7272B" w14:paraId="7770C950" w14:textId="55257DB3">
            <w:pPr>
              <w:rPr>
                <w:rFonts w:eastAsia="Calibri" w:asciiTheme="minorHAnsi" w:hAnsiTheme="minorHAnsi" w:cstheme="minorHAnsi"/>
                <w:b/>
                <w:bCs/>
                <w:color w:val="000000" w:themeColor="text1"/>
                <w:sz w:val="22"/>
              </w:rPr>
            </w:pPr>
            <w:r w:rsidRPr="00C7272B">
              <w:rPr>
                <w:rFonts w:eastAsia="Calibri" w:asciiTheme="minorHAnsi" w:hAnsiTheme="minorHAnsi" w:cstheme="minorHAnsi"/>
                <w:b/>
                <w:bCs/>
                <w:color w:val="000000" w:themeColor="text1"/>
                <w:sz w:val="20"/>
                <w:szCs w:val="20"/>
              </w:rPr>
              <w:t>FYI Submission</w:t>
            </w:r>
          </w:p>
        </w:tc>
      </w:tr>
      <w:tr w14:paraId="4CCF3F86" w14:textId="77777777" w:rsidTr="00401033">
        <w:tblPrEx>
          <w:tblW w:w="10065" w:type="dxa"/>
          <w:tblLook w:val="04A0"/>
        </w:tblPrEx>
        <w:trPr>
          <w:trHeight w:val="465"/>
        </w:trPr>
        <w:tc>
          <w:tcPr>
            <w:tcW w:w="1199" w:type="dxa"/>
            <w:tcBorders>
              <w:top w:val="single" w:sz="8" w:space="0" w:color="auto"/>
              <w:left w:val="single" w:sz="8" w:space="0" w:color="auto"/>
              <w:bottom w:val="single" w:sz="2" w:space="0" w:color="auto"/>
              <w:right w:val="single" w:sz="8" w:space="0" w:color="auto"/>
            </w:tcBorders>
            <w:tcMar>
              <w:left w:w="108" w:type="dxa"/>
              <w:right w:w="108" w:type="dxa"/>
            </w:tcMar>
            <w:vAlign w:val="center"/>
          </w:tcPr>
          <w:p w:rsidR="55F53025" w:rsidRPr="00C7272B" w:rsidP="55F53025" w14:paraId="758ADBE3" w14:textId="3F1F63D7">
            <w:pPr>
              <w:rPr>
                <w:rFonts w:eastAsia="Aptos" w:asciiTheme="minorHAnsi" w:hAnsiTheme="minorHAnsi" w:cstheme="minorHAnsi"/>
                <w:color w:val="000000" w:themeColor="text1"/>
                <w:sz w:val="22"/>
              </w:rPr>
            </w:pPr>
            <w:r w:rsidRPr="00C7272B">
              <w:rPr>
                <w:rFonts w:eastAsia="Aptos" w:asciiTheme="minorHAnsi" w:hAnsiTheme="minorHAnsi" w:cstheme="minorHAnsi"/>
                <w:color w:val="000000" w:themeColor="text1"/>
                <w:sz w:val="20"/>
                <w:szCs w:val="20"/>
              </w:rPr>
              <w:t>Electronic Submission</w:t>
            </w:r>
          </w:p>
        </w:tc>
        <w:tc>
          <w:tcPr>
            <w:tcW w:w="979" w:type="dxa"/>
            <w:tcBorders>
              <w:top w:val="nil"/>
              <w:left w:val="single" w:sz="8" w:space="0" w:color="auto"/>
              <w:bottom w:val="single" w:sz="2" w:space="0" w:color="auto"/>
              <w:right w:val="single" w:sz="8" w:space="0" w:color="auto"/>
            </w:tcBorders>
            <w:tcMar>
              <w:left w:w="108" w:type="dxa"/>
              <w:right w:w="108" w:type="dxa"/>
            </w:tcMar>
            <w:vAlign w:val="center"/>
          </w:tcPr>
          <w:p w:rsidR="55F53025" w:rsidRPr="00C7272B" w:rsidP="00AA0CBB" w14:paraId="4F1E69C4" w14:textId="51925AAE">
            <w:pPr>
              <w:jc w:val="center"/>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50.06</w:t>
            </w:r>
          </w:p>
        </w:tc>
        <w:tc>
          <w:tcPr>
            <w:tcW w:w="1093" w:type="dxa"/>
            <w:tcBorders>
              <w:top w:val="nil"/>
              <w:left w:val="single" w:sz="8" w:space="0" w:color="auto"/>
              <w:bottom w:val="single" w:sz="2" w:space="0" w:color="auto"/>
              <w:right w:val="single" w:sz="8" w:space="0" w:color="auto"/>
            </w:tcBorders>
            <w:tcMar>
              <w:left w:w="108" w:type="dxa"/>
              <w:right w:w="108" w:type="dxa"/>
            </w:tcMar>
            <w:vAlign w:val="center"/>
          </w:tcPr>
          <w:p w:rsidR="55F53025" w:rsidRPr="00C7272B" w:rsidP="00AA0CBB" w14:paraId="3C6D7F42" w14:textId="62CC8F52">
            <w:pPr>
              <w:jc w:val="right"/>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 xml:space="preserve">$101.50 </w:t>
            </w:r>
          </w:p>
        </w:tc>
        <w:tc>
          <w:tcPr>
            <w:tcW w:w="1127" w:type="dxa"/>
            <w:tcBorders>
              <w:top w:val="nil"/>
              <w:left w:val="single" w:sz="8" w:space="0" w:color="auto"/>
              <w:bottom w:val="single" w:sz="2" w:space="0" w:color="auto"/>
              <w:right w:val="single" w:sz="8" w:space="0" w:color="auto"/>
            </w:tcBorders>
            <w:tcMar>
              <w:left w:w="108" w:type="dxa"/>
              <w:right w:w="108" w:type="dxa"/>
            </w:tcMar>
            <w:vAlign w:val="center"/>
          </w:tcPr>
          <w:p w:rsidR="55F53025" w:rsidRPr="00C7272B" w:rsidP="00AA0CBB" w14:paraId="27BD14D9" w14:textId="35765D1C">
            <w:pPr>
              <w:jc w:val="right"/>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 xml:space="preserve">$4,671 </w:t>
            </w:r>
          </w:p>
        </w:tc>
        <w:tc>
          <w:tcPr>
            <w:tcW w:w="1122" w:type="dxa"/>
            <w:tcBorders>
              <w:top w:val="nil"/>
              <w:left w:val="single" w:sz="8" w:space="0" w:color="auto"/>
              <w:bottom w:val="single" w:sz="2" w:space="0" w:color="auto"/>
              <w:right w:val="single" w:sz="8" w:space="0" w:color="auto"/>
            </w:tcBorders>
            <w:tcMar>
              <w:left w:w="108" w:type="dxa"/>
              <w:right w:w="108" w:type="dxa"/>
            </w:tcMar>
            <w:vAlign w:val="center"/>
          </w:tcPr>
          <w:p w:rsidR="55F53025" w:rsidRPr="00C7272B" w:rsidP="00AA0CBB" w14:paraId="622F51D5" w14:textId="7AA8DC21">
            <w:pPr>
              <w:jc w:val="center"/>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4</w:t>
            </w:r>
          </w:p>
        </w:tc>
        <w:tc>
          <w:tcPr>
            <w:tcW w:w="1312" w:type="dxa"/>
            <w:tcBorders>
              <w:top w:val="nil"/>
              <w:left w:val="single" w:sz="8" w:space="0" w:color="auto"/>
              <w:bottom w:val="single" w:sz="2" w:space="0" w:color="auto"/>
              <w:right w:val="nil"/>
            </w:tcBorders>
            <w:tcMar>
              <w:left w:w="108" w:type="dxa"/>
              <w:right w:w="108" w:type="dxa"/>
            </w:tcMar>
            <w:vAlign w:val="center"/>
          </w:tcPr>
          <w:p w:rsidR="55F53025" w:rsidRPr="00C7272B" w:rsidP="00AA0CBB" w14:paraId="1AFBF307" w14:textId="06DFA799">
            <w:pPr>
              <w:jc w:val="center"/>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4</w:t>
            </w:r>
          </w:p>
        </w:tc>
        <w:tc>
          <w:tcPr>
            <w:tcW w:w="1349" w:type="dxa"/>
            <w:tcBorders>
              <w:top w:val="nil"/>
              <w:left w:val="single" w:sz="8" w:space="0" w:color="auto"/>
              <w:bottom w:val="single" w:sz="2" w:space="0" w:color="auto"/>
              <w:right w:val="single" w:sz="8" w:space="0" w:color="auto"/>
            </w:tcBorders>
            <w:tcMar>
              <w:left w:w="108" w:type="dxa"/>
              <w:right w:w="108" w:type="dxa"/>
            </w:tcMar>
            <w:vAlign w:val="center"/>
          </w:tcPr>
          <w:p w:rsidR="55F53025" w:rsidRPr="00C7272B" w:rsidP="00AA0CBB" w14:paraId="497885FB" w14:textId="0BC77B0D">
            <w:pPr>
              <w:jc w:val="center"/>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200</w:t>
            </w:r>
          </w:p>
        </w:tc>
        <w:tc>
          <w:tcPr>
            <w:tcW w:w="1884" w:type="dxa"/>
            <w:tcBorders>
              <w:top w:val="nil"/>
              <w:left w:val="single" w:sz="8" w:space="0" w:color="auto"/>
              <w:bottom w:val="single" w:sz="2" w:space="0" w:color="auto"/>
              <w:right w:val="single" w:sz="8" w:space="0" w:color="auto"/>
            </w:tcBorders>
            <w:tcMar>
              <w:left w:w="108" w:type="dxa"/>
              <w:right w:w="108" w:type="dxa"/>
            </w:tcMar>
            <w:vAlign w:val="center"/>
          </w:tcPr>
          <w:p w:rsidR="55F53025" w:rsidRPr="00C7272B" w:rsidP="00AA0CBB" w14:paraId="0F0DB2F3" w14:textId="3C4D32AD">
            <w:pPr>
              <w:jc w:val="right"/>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 xml:space="preserve">$20,300.00 </w:t>
            </w:r>
          </w:p>
        </w:tc>
      </w:tr>
      <w:tr w14:paraId="355D3445" w14:textId="77777777" w:rsidTr="00401033">
        <w:tblPrEx>
          <w:tblW w:w="10065" w:type="dxa"/>
          <w:tblLook w:val="04A0"/>
        </w:tblPrEx>
        <w:trPr>
          <w:trHeight w:val="465"/>
        </w:trPr>
        <w:tc>
          <w:tcPr>
            <w:tcW w:w="1199" w:type="dxa"/>
            <w:tcBorders>
              <w:top w:val="single" w:sz="2"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55F53025" w14:paraId="2AC42D6B" w14:textId="13CBB415">
            <w:pPr>
              <w:rPr>
                <w:rFonts w:eastAsia="Aptos" w:asciiTheme="minorHAnsi" w:hAnsiTheme="minorHAnsi" w:cstheme="minorHAnsi"/>
                <w:color w:val="000000" w:themeColor="text1"/>
                <w:sz w:val="22"/>
              </w:rPr>
            </w:pPr>
            <w:r w:rsidRPr="00C7272B">
              <w:rPr>
                <w:rFonts w:eastAsia="Aptos" w:asciiTheme="minorHAnsi" w:hAnsiTheme="minorHAnsi" w:cstheme="minorHAnsi"/>
                <w:color w:val="000000" w:themeColor="text1"/>
                <w:sz w:val="20"/>
                <w:szCs w:val="20"/>
              </w:rPr>
              <w:t>Paper Submission</w:t>
            </w:r>
          </w:p>
        </w:tc>
        <w:tc>
          <w:tcPr>
            <w:tcW w:w="979" w:type="dxa"/>
            <w:tcBorders>
              <w:top w:val="single" w:sz="2"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00AA0CBB" w14:paraId="1A219A62" w14:textId="597A5126">
            <w:pPr>
              <w:jc w:val="center"/>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51</w:t>
            </w:r>
          </w:p>
        </w:tc>
        <w:tc>
          <w:tcPr>
            <w:tcW w:w="1093" w:type="dxa"/>
            <w:tcBorders>
              <w:top w:val="single" w:sz="2"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00AA0CBB" w14:paraId="27C060E8" w14:textId="50160BBB">
            <w:pPr>
              <w:jc w:val="right"/>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 xml:space="preserve">$101.50 </w:t>
            </w:r>
          </w:p>
        </w:tc>
        <w:tc>
          <w:tcPr>
            <w:tcW w:w="1127" w:type="dxa"/>
            <w:tcBorders>
              <w:top w:val="single" w:sz="2"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00AA0CBB" w14:paraId="247F7687" w14:textId="5DECF637">
            <w:pPr>
              <w:jc w:val="right"/>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 xml:space="preserve">$4,706 </w:t>
            </w:r>
          </w:p>
        </w:tc>
        <w:tc>
          <w:tcPr>
            <w:tcW w:w="1122" w:type="dxa"/>
            <w:tcBorders>
              <w:top w:val="single" w:sz="2"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00AA0CBB" w14:paraId="74AE19AB" w14:textId="571C9E7F">
            <w:pPr>
              <w:jc w:val="center"/>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1</w:t>
            </w:r>
          </w:p>
        </w:tc>
        <w:tc>
          <w:tcPr>
            <w:tcW w:w="1312" w:type="dxa"/>
            <w:tcBorders>
              <w:top w:val="single" w:sz="2" w:space="0" w:color="auto"/>
              <w:left w:val="single" w:sz="8" w:space="0" w:color="auto"/>
              <w:bottom w:val="single" w:sz="8" w:space="0" w:color="auto"/>
              <w:right w:val="nil"/>
            </w:tcBorders>
            <w:tcMar>
              <w:left w:w="108" w:type="dxa"/>
              <w:right w:w="108" w:type="dxa"/>
            </w:tcMar>
            <w:vAlign w:val="center"/>
          </w:tcPr>
          <w:p w:rsidR="55F53025" w:rsidRPr="00C7272B" w:rsidP="00AA0CBB" w14:paraId="08F741B1" w14:textId="67B3EA77">
            <w:pPr>
              <w:jc w:val="center"/>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1</w:t>
            </w:r>
          </w:p>
        </w:tc>
        <w:tc>
          <w:tcPr>
            <w:tcW w:w="1349" w:type="dxa"/>
            <w:tcBorders>
              <w:top w:val="single" w:sz="2"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00AA0CBB" w14:paraId="5DE61949" w14:textId="675B8294">
            <w:pPr>
              <w:jc w:val="center"/>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51</w:t>
            </w:r>
          </w:p>
        </w:tc>
        <w:tc>
          <w:tcPr>
            <w:tcW w:w="1884" w:type="dxa"/>
            <w:tcBorders>
              <w:top w:val="single" w:sz="2"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00AA0CBB" w14:paraId="1F8986AB" w14:textId="2EE2C168">
            <w:pPr>
              <w:jc w:val="right"/>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 xml:space="preserve">$5,176.50 </w:t>
            </w:r>
          </w:p>
        </w:tc>
      </w:tr>
      <w:tr w14:paraId="296CB4A2" w14:textId="77777777" w:rsidTr="00401033">
        <w:tblPrEx>
          <w:tblW w:w="10065" w:type="dxa"/>
          <w:tblLook w:val="04A0"/>
        </w:tblPrEx>
        <w:trPr>
          <w:trHeight w:val="585"/>
        </w:trPr>
        <w:tc>
          <w:tcPr>
            <w:tcW w:w="4398"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55F53025" w14:paraId="572CD9A9" w14:textId="5272CB73">
            <w:pPr>
              <w:rPr>
                <w:rFonts w:eastAsia="Aptos" w:asciiTheme="minorHAnsi" w:hAnsiTheme="minorHAnsi" w:cstheme="minorHAnsi"/>
                <w:b/>
                <w:bCs/>
                <w:i/>
                <w:iCs/>
                <w:color w:val="000000" w:themeColor="text1"/>
                <w:sz w:val="22"/>
              </w:rPr>
            </w:pPr>
            <w:r w:rsidRPr="00C7272B">
              <w:rPr>
                <w:rFonts w:eastAsia="Aptos" w:asciiTheme="minorHAnsi" w:hAnsiTheme="minorHAnsi" w:cstheme="minorHAnsi"/>
                <w:b/>
                <w:bCs/>
                <w:i/>
                <w:iCs/>
                <w:color w:val="000000" w:themeColor="text1"/>
                <w:sz w:val="20"/>
                <w:szCs w:val="20"/>
              </w:rPr>
              <w:t>Subtotal FYI</w:t>
            </w:r>
          </w:p>
        </w:tc>
        <w:tc>
          <w:tcPr>
            <w:tcW w:w="1122" w:type="dxa"/>
            <w:tcBorders>
              <w:top w:val="single" w:sz="8" w:space="0" w:color="auto"/>
              <w:left w:val="nil"/>
              <w:bottom w:val="single" w:sz="8" w:space="0" w:color="auto"/>
              <w:right w:val="single" w:sz="8" w:space="0" w:color="auto"/>
            </w:tcBorders>
            <w:tcMar>
              <w:left w:w="108" w:type="dxa"/>
              <w:right w:w="108" w:type="dxa"/>
            </w:tcMar>
            <w:vAlign w:val="center"/>
          </w:tcPr>
          <w:p w:rsidR="55F53025" w:rsidRPr="00C7272B" w:rsidP="00AA0CBB" w14:paraId="42983464" w14:textId="4C3CFB9E">
            <w:pPr>
              <w:jc w:val="center"/>
              <w:rPr>
                <w:rFonts w:eastAsia="Calibri" w:asciiTheme="minorHAnsi" w:hAnsiTheme="minorHAnsi" w:cstheme="minorHAnsi"/>
                <w:b/>
                <w:bCs/>
                <w:color w:val="000000" w:themeColor="text1"/>
                <w:sz w:val="22"/>
              </w:rPr>
            </w:pPr>
            <w:r w:rsidRPr="00C7272B">
              <w:rPr>
                <w:rFonts w:eastAsia="Calibri" w:asciiTheme="minorHAnsi" w:hAnsiTheme="minorHAnsi" w:cstheme="minorHAnsi"/>
                <w:b/>
                <w:bCs/>
                <w:color w:val="000000" w:themeColor="text1"/>
                <w:sz w:val="20"/>
                <w:szCs w:val="20"/>
              </w:rPr>
              <w:t>5</w:t>
            </w:r>
          </w:p>
        </w:tc>
        <w:tc>
          <w:tcPr>
            <w:tcW w:w="1312" w:type="dxa"/>
            <w:tcBorders>
              <w:top w:val="single" w:sz="8" w:space="0" w:color="auto"/>
              <w:left w:val="single" w:sz="8" w:space="0" w:color="auto"/>
              <w:bottom w:val="single" w:sz="8" w:space="0" w:color="auto"/>
              <w:right w:val="nil"/>
            </w:tcBorders>
            <w:tcMar>
              <w:left w:w="108" w:type="dxa"/>
              <w:right w:w="108" w:type="dxa"/>
            </w:tcMar>
            <w:vAlign w:val="center"/>
          </w:tcPr>
          <w:p w:rsidR="55F53025" w:rsidRPr="00C7272B" w:rsidP="00AA0CBB" w14:paraId="3E180F26" w14:textId="3C4EA707">
            <w:pPr>
              <w:jc w:val="center"/>
              <w:rPr>
                <w:rFonts w:eastAsia="Calibri" w:asciiTheme="minorHAnsi" w:hAnsiTheme="minorHAnsi" w:cstheme="minorHAnsi"/>
                <w:b/>
                <w:bCs/>
                <w:color w:val="000000" w:themeColor="text1"/>
                <w:sz w:val="22"/>
              </w:rPr>
            </w:pPr>
            <w:r>
              <w:rPr>
                <w:rFonts w:eastAsia="Calibri" w:asciiTheme="minorHAnsi" w:hAnsiTheme="minorHAnsi" w:cstheme="minorHAnsi"/>
                <w:b/>
                <w:bCs/>
                <w:color w:val="000000" w:themeColor="text1"/>
                <w:sz w:val="20"/>
                <w:szCs w:val="20"/>
              </w:rPr>
              <w:t>5</w:t>
            </w:r>
          </w:p>
        </w:tc>
        <w:tc>
          <w:tcPr>
            <w:tcW w:w="13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00AA0CBB" w14:paraId="417D3CD7" w14:textId="5D2D7870">
            <w:pPr>
              <w:jc w:val="center"/>
              <w:rPr>
                <w:rFonts w:eastAsia="Calibri" w:asciiTheme="minorHAnsi" w:hAnsiTheme="minorHAnsi" w:cstheme="minorHAnsi"/>
                <w:b/>
                <w:bCs/>
                <w:color w:val="000000" w:themeColor="text1"/>
                <w:sz w:val="22"/>
              </w:rPr>
            </w:pPr>
            <w:r w:rsidRPr="00C7272B">
              <w:rPr>
                <w:rFonts w:eastAsia="Calibri" w:asciiTheme="minorHAnsi" w:hAnsiTheme="minorHAnsi" w:cstheme="minorHAnsi"/>
                <w:b/>
                <w:bCs/>
                <w:color w:val="000000" w:themeColor="text1"/>
                <w:sz w:val="20"/>
                <w:szCs w:val="20"/>
              </w:rPr>
              <w:t>251</w:t>
            </w:r>
          </w:p>
        </w:tc>
        <w:tc>
          <w:tcPr>
            <w:tcW w:w="18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00AA0CBB" w14:paraId="1BB6E336" w14:textId="1030064F">
            <w:pPr>
              <w:jc w:val="right"/>
              <w:rPr>
                <w:rFonts w:eastAsia="Calibri" w:asciiTheme="minorHAnsi" w:hAnsiTheme="minorHAnsi" w:cstheme="minorHAnsi"/>
                <w:b/>
                <w:bCs/>
                <w:color w:val="000000" w:themeColor="text1"/>
                <w:sz w:val="22"/>
              </w:rPr>
            </w:pPr>
            <w:r w:rsidRPr="00C7272B">
              <w:rPr>
                <w:rFonts w:eastAsia="Calibri" w:asciiTheme="minorHAnsi" w:hAnsiTheme="minorHAnsi" w:cstheme="minorHAnsi"/>
                <w:b/>
                <w:bCs/>
                <w:color w:val="000000" w:themeColor="text1"/>
                <w:sz w:val="20"/>
                <w:szCs w:val="20"/>
              </w:rPr>
              <w:t xml:space="preserve">$25,476.50 </w:t>
            </w:r>
          </w:p>
        </w:tc>
      </w:tr>
      <w:tr w14:paraId="0B631B2F" w14:textId="77777777" w:rsidTr="00C7272B">
        <w:tblPrEx>
          <w:tblW w:w="10065" w:type="dxa"/>
          <w:tblLook w:val="04A0"/>
        </w:tblPrEx>
        <w:trPr>
          <w:trHeight w:val="345"/>
        </w:trPr>
        <w:tc>
          <w:tcPr>
            <w:tcW w:w="10065" w:type="dxa"/>
            <w:gridSpan w:val="8"/>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00C7272B" w14:paraId="4DB9E915" w14:textId="6DC06D50">
            <w:pPr>
              <w:rPr>
                <w:rFonts w:eastAsia="Calibri" w:asciiTheme="minorHAnsi" w:hAnsiTheme="minorHAnsi" w:cstheme="minorHAnsi"/>
                <w:b/>
                <w:bCs/>
                <w:color w:val="000000" w:themeColor="text1"/>
                <w:sz w:val="22"/>
              </w:rPr>
            </w:pPr>
            <w:r w:rsidRPr="00C7272B">
              <w:rPr>
                <w:rFonts w:eastAsia="Calibri" w:asciiTheme="minorHAnsi" w:hAnsiTheme="minorHAnsi" w:cstheme="minorHAnsi"/>
                <w:b/>
                <w:bCs/>
                <w:color w:val="000000" w:themeColor="text1"/>
                <w:sz w:val="20"/>
                <w:szCs w:val="20"/>
              </w:rPr>
              <w:t>CDX</w:t>
            </w:r>
            <w:r w:rsidRPr="00C7272B" w:rsidR="00C7272B">
              <w:rPr>
                <w:rFonts w:eastAsia="Calibri" w:asciiTheme="minorHAnsi" w:hAnsiTheme="minorHAnsi" w:cstheme="minorHAnsi"/>
                <w:b/>
                <w:bCs/>
                <w:color w:val="000000" w:themeColor="text1"/>
                <w:sz w:val="20"/>
                <w:szCs w:val="20"/>
              </w:rPr>
              <w:t xml:space="preserve"> Activities</w:t>
            </w:r>
          </w:p>
        </w:tc>
      </w:tr>
      <w:tr w14:paraId="20D92906" w14:textId="77777777" w:rsidTr="00DA0A40">
        <w:tblPrEx>
          <w:tblW w:w="10065" w:type="dxa"/>
          <w:tblLook w:val="04A0"/>
        </w:tblPrEx>
        <w:trPr>
          <w:trHeight w:val="480"/>
        </w:trPr>
        <w:tc>
          <w:tcPr>
            <w:tcW w:w="1199" w:type="dxa"/>
            <w:tcBorders>
              <w:top w:val="single" w:sz="8" w:space="0" w:color="auto"/>
              <w:left w:val="single" w:sz="8" w:space="0" w:color="auto"/>
              <w:bottom w:val="single" w:sz="8" w:space="0" w:color="auto"/>
              <w:right w:val="nil"/>
            </w:tcBorders>
            <w:tcMar>
              <w:left w:w="108" w:type="dxa"/>
              <w:right w:w="108" w:type="dxa"/>
            </w:tcMar>
            <w:vAlign w:val="center"/>
          </w:tcPr>
          <w:p w:rsidR="55F53025" w:rsidRPr="00C7272B" w:rsidP="55F53025" w14:paraId="4DD202CC" w14:textId="3AF92240">
            <w:pPr>
              <w:rPr>
                <w:rFonts w:eastAsia="Aptos" w:asciiTheme="minorHAnsi" w:hAnsiTheme="minorHAnsi" w:cstheme="minorHAnsi"/>
                <w:color w:val="000000" w:themeColor="text1"/>
                <w:sz w:val="22"/>
              </w:rPr>
            </w:pPr>
            <w:r w:rsidRPr="00C7272B">
              <w:rPr>
                <w:rFonts w:eastAsia="Aptos" w:asciiTheme="minorHAnsi" w:hAnsiTheme="minorHAnsi" w:cstheme="minorHAnsi"/>
                <w:color w:val="000000" w:themeColor="text1"/>
                <w:sz w:val="20"/>
                <w:szCs w:val="20"/>
              </w:rPr>
              <w:t>CDX Registration</w:t>
            </w:r>
          </w:p>
        </w:tc>
        <w:tc>
          <w:tcPr>
            <w:tcW w:w="979" w:type="dxa"/>
            <w:tcBorders>
              <w:top w:val="nil"/>
              <w:left w:val="single" w:sz="8" w:space="0" w:color="auto"/>
              <w:bottom w:val="single" w:sz="8" w:space="0" w:color="auto"/>
              <w:right w:val="single" w:sz="8" w:space="0" w:color="auto"/>
            </w:tcBorders>
            <w:tcMar>
              <w:left w:w="108" w:type="dxa"/>
              <w:right w:w="108" w:type="dxa"/>
            </w:tcMar>
            <w:vAlign w:val="center"/>
          </w:tcPr>
          <w:p w:rsidR="55F53025" w:rsidRPr="00C7272B" w:rsidP="00AA0CBB" w14:paraId="1F7B242B" w14:textId="168E5237">
            <w:pPr>
              <w:jc w:val="center"/>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0.29</w:t>
            </w:r>
          </w:p>
        </w:tc>
        <w:tc>
          <w:tcPr>
            <w:tcW w:w="1093" w:type="dxa"/>
            <w:tcBorders>
              <w:top w:val="nil"/>
              <w:left w:val="single" w:sz="8" w:space="0" w:color="auto"/>
              <w:bottom w:val="single" w:sz="8" w:space="0" w:color="auto"/>
              <w:right w:val="single" w:sz="8" w:space="0" w:color="auto"/>
            </w:tcBorders>
            <w:tcMar>
              <w:left w:w="108" w:type="dxa"/>
              <w:right w:w="108" w:type="dxa"/>
            </w:tcMar>
            <w:vAlign w:val="center"/>
          </w:tcPr>
          <w:p w:rsidR="55F53025" w:rsidRPr="00C7272B" w:rsidP="00AA0CBB" w14:paraId="0EABE8D1" w14:textId="1DFBA3DF">
            <w:pPr>
              <w:jc w:val="right"/>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 xml:space="preserve">$85.18 </w:t>
            </w:r>
          </w:p>
        </w:tc>
        <w:tc>
          <w:tcPr>
            <w:tcW w:w="1127" w:type="dxa"/>
            <w:tcBorders>
              <w:top w:val="nil"/>
              <w:left w:val="single" w:sz="8" w:space="0" w:color="auto"/>
              <w:bottom w:val="single" w:sz="8" w:space="0" w:color="auto"/>
              <w:right w:val="single" w:sz="4" w:space="0" w:color="auto"/>
            </w:tcBorders>
            <w:tcMar>
              <w:left w:w="108" w:type="dxa"/>
              <w:right w:w="108" w:type="dxa"/>
            </w:tcMar>
            <w:vAlign w:val="center"/>
          </w:tcPr>
          <w:p w:rsidR="55F53025" w:rsidRPr="00C7272B" w:rsidP="00AA0CBB" w14:paraId="3995CB47" w14:textId="060860D6">
            <w:pPr>
              <w:jc w:val="right"/>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 xml:space="preserve">$25 </w:t>
            </w:r>
          </w:p>
        </w:tc>
        <w:tc>
          <w:tcPr>
            <w:tcW w:w="1122"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55F53025" w:rsidRPr="00C7272B" w:rsidP="00AA0CBB" w14:paraId="58B5571F" w14:textId="306A96A1">
            <w:pPr>
              <w:jc w:val="center"/>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3</w:t>
            </w:r>
            <w:r>
              <w:rPr>
                <w:rFonts w:eastAsia="Calibri" w:asciiTheme="minorHAnsi" w:hAnsiTheme="minorHAnsi" w:cstheme="minorHAnsi"/>
                <w:color w:val="000000" w:themeColor="text1"/>
                <w:sz w:val="20"/>
                <w:szCs w:val="20"/>
              </w:rPr>
              <w:t>7</w:t>
            </w:r>
          </w:p>
        </w:tc>
        <w:tc>
          <w:tcPr>
            <w:tcW w:w="1312"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55F53025" w:rsidRPr="00C7272B" w:rsidP="00AA0CBB" w14:paraId="78A97248" w14:textId="04216539">
            <w:pPr>
              <w:jc w:val="center"/>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3</w:t>
            </w:r>
            <w:r>
              <w:rPr>
                <w:rFonts w:eastAsia="Calibri" w:asciiTheme="minorHAnsi" w:hAnsiTheme="minorHAnsi" w:cstheme="minorHAnsi"/>
                <w:color w:val="000000" w:themeColor="text1"/>
                <w:sz w:val="20"/>
                <w:szCs w:val="20"/>
              </w:rPr>
              <w:t>7</w:t>
            </w:r>
          </w:p>
        </w:tc>
        <w:tc>
          <w:tcPr>
            <w:tcW w:w="1349" w:type="dxa"/>
            <w:tcBorders>
              <w:top w:val="nil"/>
              <w:left w:val="single" w:sz="4" w:space="0" w:color="auto"/>
              <w:bottom w:val="single" w:sz="8" w:space="0" w:color="auto"/>
              <w:right w:val="single" w:sz="8" w:space="0" w:color="auto"/>
            </w:tcBorders>
            <w:tcMar>
              <w:left w:w="108" w:type="dxa"/>
              <w:right w:w="108" w:type="dxa"/>
            </w:tcMar>
            <w:vAlign w:val="center"/>
          </w:tcPr>
          <w:p w:rsidR="55F53025" w:rsidRPr="00C7272B" w:rsidP="00AA0CBB" w14:paraId="47E104B7" w14:textId="49C9F284">
            <w:pPr>
              <w:jc w:val="center"/>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11</w:t>
            </w:r>
          </w:p>
        </w:tc>
        <w:tc>
          <w:tcPr>
            <w:tcW w:w="1884" w:type="dxa"/>
            <w:tcBorders>
              <w:top w:val="nil"/>
              <w:left w:val="nil"/>
              <w:bottom w:val="single" w:sz="8" w:space="0" w:color="auto"/>
              <w:right w:val="single" w:sz="8" w:space="0" w:color="auto"/>
            </w:tcBorders>
            <w:tcMar>
              <w:left w:w="108" w:type="dxa"/>
              <w:right w:w="108" w:type="dxa"/>
            </w:tcMar>
            <w:vAlign w:val="center"/>
          </w:tcPr>
          <w:p w:rsidR="55F53025" w:rsidRPr="00C7272B" w:rsidP="00AA0CBB" w14:paraId="0DD79C8D" w14:textId="1035012B">
            <w:pPr>
              <w:jc w:val="right"/>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$9</w:t>
            </w:r>
            <w:r w:rsidR="00432D49">
              <w:rPr>
                <w:rFonts w:eastAsia="Calibri" w:asciiTheme="minorHAnsi" w:hAnsiTheme="minorHAnsi" w:cstheme="minorHAnsi"/>
                <w:color w:val="000000" w:themeColor="text1"/>
                <w:sz w:val="20"/>
                <w:szCs w:val="20"/>
              </w:rPr>
              <w:t>13</w:t>
            </w:r>
            <w:r w:rsidRPr="00C7272B">
              <w:rPr>
                <w:rFonts w:eastAsia="Calibri" w:asciiTheme="minorHAnsi" w:hAnsiTheme="minorHAnsi" w:cstheme="minorHAnsi"/>
                <w:color w:val="000000" w:themeColor="text1"/>
                <w:sz w:val="20"/>
                <w:szCs w:val="20"/>
              </w:rPr>
              <w:t xml:space="preserve">.98 </w:t>
            </w:r>
          </w:p>
        </w:tc>
      </w:tr>
      <w:tr w14:paraId="6271928B" w14:textId="77777777" w:rsidTr="00DA0A40">
        <w:tblPrEx>
          <w:tblW w:w="10065" w:type="dxa"/>
          <w:tblLook w:val="04A0"/>
        </w:tblPrEx>
        <w:trPr>
          <w:trHeight w:val="495"/>
        </w:trPr>
        <w:tc>
          <w:tcPr>
            <w:tcW w:w="11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55F53025" w14:paraId="136ED56A" w14:textId="3C889861">
            <w:pPr>
              <w:rPr>
                <w:rFonts w:eastAsia="Aptos" w:asciiTheme="minorHAnsi" w:hAnsiTheme="minorHAnsi" w:cstheme="minorHAnsi"/>
                <w:color w:val="000000" w:themeColor="text1"/>
                <w:sz w:val="22"/>
              </w:rPr>
            </w:pPr>
            <w:r w:rsidRPr="00C7272B">
              <w:rPr>
                <w:rFonts w:eastAsia="Aptos" w:asciiTheme="minorHAnsi" w:hAnsiTheme="minorHAnsi" w:cstheme="minorHAnsi"/>
                <w:color w:val="000000" w:themeColor="text1"/>
                <w:sz w:val="20"/>
                <w:szCs w:val="20"/>
              </w:rPr>
              <w:t>CDX E-Signature</w:t>
            </w:r>
          </w:p>
        </w:tc>
        <w:tc>
          <w:tcPr>
            <w:tcW w:w="9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00AA0CBB" w14:paraId="4F49BB31" w14:textId="2B43ECF7">
            <w:pPr>
              <w:jc w:val="center"/>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0.35</w:t>
            </w:r>
          </w:p>
        </w:tc>
        <w:tc>
          <w:tcPr>
            <w:tcW w:w="10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00AA0CBB" w14:paraId="67784B28" w14:textId="6FEA8D55">
            <w:pPr>
              <w:jc w:val="right"/>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 xml:space="preserve">$85.18 </w:t>
            </w:r>
          </w:p>
        </w:tc>
        <w:tc>
          <w:tcPr>
            <w:tcW w:w="1127" w:type="dxa"/>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55F53025" w:rsidRPr="00C7272B" w:rsidP="00AA0CBB" w14:paraId="40B7642B" w14:textId="2FF37FFA">
            <w:pPr>
              <w:jc w:val="right"/>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 xml:space="preserve">$30 </w:t>
            </w:r>
          </w:p>
        </w:tc>
        <w:tc>
          <w:tcPr>
            <w:tcW w:w="1122" w:type="dxa"/>
            <w:vMerge/>
            <w:tcBorders>
              <w:top w:val="single" w:sz="4" w:space="0" w:color="auto"/>
              <w:left w:val="single" w:sz="4" w:space="0" w:color="auto"/>
              <w:bottom w:val="single" w:sz="4" w:space="0" w:color="auto"/>
              <w:right w:val="single" w:sz="4" w:space="0" w:color="auto"/>
            </w:tcBorders>
            <w:vAlign w:val="center"/>
          </w:tcPr>
          <w:p w:rsidR="00BD6507" w:rsidRPr="00C7272B" w:rsidP="00AA0CBB" w14:paraId="5EDD9B3D" w14:textId="77777777">
            <w:pPr>
              <w:jc w:val="center"/>
              <w:rPr>
                <w:rFonts w:asciiTheme="minorHAnsi" w:hAnsiTheme="minorHAnsi" w:cstheme="minorHAnsi"/>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BD6507" w:rsidRPr="00C7272B" w:rsidP="00AA0CBB" w14:paraId="12AE5705" w14:textId="77777777">
            <w:pPr>
              <w:jc w:val="center"/>
              <w:rPr>
                <w:rFonts w:asciiTheme="minorHAnsi" w:hAnsiTheme="minorHAnsi" w:cstheme="minorHAnsi"/>
              </w:rPr>
            </w:pPr>
          </w:p>
        </w:tc>
        <w:tc>
          <w:tcPr>
            <w:tcW w:w="1349" w:type="dxa"/>
            <w:tcBorders>
              <w:top w:val="single" w:sz="8" w:space="0" w:color="auto"/>
              <w:left w:val="single" w:sz="4" w:space="0" w:color="auto"/>
              <w:bottom w:val="single" w:sz="8" w:space="0" w:color="auto"/>
              <w:right w:val="single" w:sz="8" w:space="0" w:color="auto"/>
            </w:tcBorders>
            <w:tcMar>
              <w:left w:w="108" w:type="dxa"/>
              <w:right w:w="108" w:type="dxa"/>
            </w:tcMar>
            <w:vAlign w:val="center"/>
          </w:tcPr>
          <w:p w:rsidR="55F53025" w:rsidRPr="00C7272B" w:rsidP="00AA0CBB" w14:paraId="3C14B5DC" w14:textId="4AF66277">
            <w:pPr>
              <w:jc w:val="center"/>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13</w:t>
            </w:r>
          </w:p>
        </w:tc>
        <w:tc>
          <w:tcPr>
            <w:tcW w:w="1884" w:type="dxa"/>
            <w:tcBorders>
              <w:top w:val="single" w:sz="8" w:space="0" w:color="auto"/>
              <w:left w:val="nil"/>
              <w:bottom w:val="single" w:sz="8" w:space="0" w:color="auto"/>
              <w:right w:val="single" w:sz="8" w:space="0" w:color="auto"/>
            </w:tcBorders>
            <w:tcMar>
              <w:left w:w="108" w:type="dxa"/>
              <w:right w:w="108" w:type="dxa"/>
            </w:tcMar>
            <w:vAlign w:val="center"/>
          </w:tcPr>
          <w:p w:rsidR="55F53025" w:rsidRPr="00C7272B" w:rsidP="00AA0CBB" w14:paraId="1FBAD30C" w14:textId="5C7A90B5">
            <w:pPr>
              <w:jc w:val="right"/>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$1,10</w:t>
            </w:r>
            <w:r w:rsidR="00432D49">
              <w:rPr>
                <w:rFonts w:eastAsia="Calibri" w:asciiTheme="minorHAnsi" w:hAnsiTheme="minorHAnsi" w:cstheme="minorHAnsi"/>
                <w:color w:val="000000" w:themeColor="text1"/>
                <w:sz w:val="20"/>
                <w:szCs w:val="20"/>
              </w:rPr>
              <w:t>3.08</w:t>
            </w:r>
            <w:r w:rsidRPr="00C7272B">
              <w:rPr>
                <w:rFonts w:eastAsia="Calibri" w:asciiTheme="minorHAnsi" w:hAnsiTheme="minorHAnsi" w:cstheme="minorHAnsi"/>
                <w:color w:val="000000" w:themeColor="text1"/>
                <w:sz w:val="20"/>
                <w:szCs w:val="20"/>
              </w:rPr>
              <w:t xml:space="preserve"> </w:t>
            </w:r>
          </w:p>
        </w:tc>
      </w:tr>
      <w:tr w14:paraId="08226CCA" w14:textId="77777777" w:rsidTr="00DA0A40">
        <w:tblPrEx>
          <w:tblW w:w="10065" w:type="dxa"/>
          <w:tblLook w:val="04A0"/>
        </w:tblPrEx>
        <w:trPr>
          <w:trHeight w:val="495"/>
        </w:trPr>
        <w:tc>
          <w:tcPr>
            <w:tcW w:w="1199" w:type="dxa"/>
            <w:tcBorders>
              <w:top w:val="single" w:sz="8" w:space="0" w:color="auto"/>
              <w:left w:val="single" w:sz="8" w:space="0" w:color="auto"/>
              <w:bottom w:val="single" w:sz="8" w:space="0" w:color="auto"/>
              <w:right w:val="nil"/>
            </w:tcBorders>
            <w:tcMar>
              <w:left w:w="108" w:type="dxa"/>
              <w:right w:w="108" w:type="dxa"/>
            </w:tcMar>
            <w:vAlign w:val="center"/>
          </w:tcPr>
          <w:p w:rsidR="55F53025" w:rsidRPr="00401033" w:rsidP="55F53025" w14:paraId="45FC1FFA" w14:textId="650E5189">
            <w:pPr>
              <w:rPr>
                <w:rFonts w:eastAsia="Aptos" w:asciiTheme="minorHAnsi" w:hAnsiTheme="minorHAnsi" w:cstheme="minorHAnsi"/>
                <w:color w:val="000000" w:themeColor="text1"/>
                <w:sz w:val="22"/>
                <w:vertAlign w:val="superscript"/>
                <w:lang w:val="it-IT"/>
              </w:rPr>
            </w:pPr>
            <w:r w:rsidRPr="00C7272B">
              <w:rPr>
                <w:rFonts w:eastAsia="Aptos" w:asciiTheme="minorHAnsi" w:hAnsiTheme="minorHAnsi" w:cstheme="minorHAnsi"/>
                <w:color w:val="000000" w:themeColor="text1"/>
                <w:sz w:val="20"/>
                <w:szCs w:val="20"/>
                <w:lang w:val="it-IT"/>
              </w:rPr>
              <w:t>CDX E-Signature non-labor</w:t>
            </w:r>
          </w:p>
        </w:tc>
        <w:tc>
          <w:tcPr>
            <w:tcW w:w="9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00AA0CBB" w14:paraId="7E79E5C2" w14:textId="2D54F12E">
            <w:pPr>
              <w:jc w:val="center"/>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N/A</w:t>
            </w:r>
          </w:p>
        </w:tc>
        <w:tc>
          <w:tcPr>
            <w:tcW w:w="10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F53025" w:rsidRPr="00C7272B" w:rsidP="00AA0CBB" w14:paraId="7D8869E1" w14:textId="613405A7">
            <w:pPr>
              <w:jc w:val="right"/>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N/A</w:t>
            </w:r>
          </w:p>
        </w:tc>
        <w:tc>
          <w:tcPr>
            <w:tcW w:w="1127" w:type="dxa"/>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55F53025" w:rsidRPr="00C7272B" w:rsidP="00AA0CBB" w14:paraId="29C58BE2" w14:textId="28A358FE">
            <w:pPr>
              <w:jc w:val="right"/>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 xml:space="preserve">$3.75 </w:t>
            </w:r>
          </w:p>
        </w:tc>
        <w:tc>
          <w:tcPr>
            <w:tcW w:w="1122" w:type="dxa"/>
            <w:vMerge/>
            <w:tcBorders>
              <w:top w:val="single" w:sz="4" w:space="0" w:color="auto"/>
              <w:left w:val="single" w:sz="4" w:space="0" w:color="auto"/>
              <w:bottom w:val="single" w:sz="4" w:space="0" w:color="auto"/>
              <w:right w:val="single" w:sz="4" w:space="0" w:color="auto"/>
            </w:tcBorders>
            <w:vAlign w:val="center"/>
          </w:tcPr>
          <w:p w:rsidR="00BD6507" w:rsidRPr="00C7272B" w:rsidP="00AA0CBB" w14:paraId="0B84A5FA" w14:textId="77777777">
            <w:pPr>
              <w:jc w:val="center"/>
              <w:rPr>
                <w:rFonts w:asciiTheme="minorHAnsi" w:hAnsiTheme="minorHAnsi" w:cstheme="minorHAnsi"/>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BD6507" w:rsidRPr="00C7272B" w:rsidP="00AA0CBB" w14:paraId="19CAAC1B" w14:textId="77777777">
            <w:pPr>
              <w:jc w:val="center"/>
              <w:rPr>
                <w:rFonts w:asciiTheme="minorHAnsi" w:hAnsiTheme="minorHAnsi" w:cstheme="minorHAnsi"/>
              </w:rPr>
            </w:pPr>
          </w:p>
        </w:tc>
        <w:tc>
          <w:tcPr>
            <w:tcW w:w="1349" w:type="dxa"/>
            <w:tcBorders>
              <w:top w:val="single" w:sz="8" w:space="0" w:color="auto"/>
              <w:left w:val="single" w:sz="4" w:space="0" w:color="auto"/>
              <w:bottom w:val="single" w:sz="8" w:space="0" w:color="auto"/>
              <w:right w:val="single" w:sz="8" w:space="0" w:color="auto"/>
            </w:tcBorders>
            <w:tcMar>
              <w:left w:w="108" w:type="dxa"/>
              <w:right w:w="108" w:type="dxa"/>
            </w:tcMar>
            <w:vAlign w:val="center"/>
          </w:tcPr>
          <w:p w:rsidR="55F53025" w:rsidRPr="00C7272B" w:rsidP="00AA0CBB" w14:paraId="5EC2460B" w14:textId="3785A5C6">
            <w:pPr>
              <w:jc w:val="center"/>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N/A</w:t>
            </w:r>
          </w:p>
        </w:tc>
        <w:tc>
          <w:tcPr>
            <w:tcW w:w="1884" w:type="dxa"/>
            <w:tcBorders>
              <w:top w:val="single" w:sz="8" w:space="0" w:color="auto"/>
              <w:left w:val="nil"/>
              <w:bottom w:val="single" w:sz="8" w:space="0" w:color="auto"/>
              <w:right w:val="single" w:sz="8" w:space="0" w:color="auto"/>
            </w:tcBorders>
            <w:tcMar>
              <w:left w:w="108" w:type="dxa"/>
              <w:right w:w="108" w:type="dxa"/>
            </w:tcMar>
            <w:vAlign w:val="center"/>
          </w:tcPr>
          <w:p w:rsidR="55F53025" w:rsidRPr="00C7272B" w:rsidP="00AA0CBB" w14:paraId="1C6FCA3E" w14:textId="43F165A1">
            <w:pPr>
              <w:jc w:val="right"/>
              <w:rPr>
                <w:rFonts w:eastAsia="Calibri" w:asciiTheme="minorHAnsi" w:hAnsiTheme="minorHAnsi" w:cstheme="minorHAnsi"/>
                <w:color w:val="000000" w:themeColor="text1"/>
                <w:sz w:val="22"/>
              </w:rPr>
            </w:pPr>
            <w:r w:rsidRPr="00C7272B">
              <w:rPr>
                <w:rFonts w:eastAsia="Calibri" w:asciiTheme="minorHAnsi" w:hAnsiTheme="minorHAnsi" w:cstheme="minorHAnsi"/>
                <w:color w:val="000000" w:themeColor="text1"/>
                <w:sz w:val="20"/>
                <w:szCs w:val="20"/>
              </w:rPr>
              <w:t>$1</w:t>
            </w:r>
            <w:r w:rsidR="002E5A94">
              <w:rPr>
                <w:rFonts w:eastAsia="Calibri" w:asciiTheme="minorHAnsi" w:hAnsiTheme="minorHAnsi" w:cstheme="minorHAnsi"/>
                <w:color w:val="000000" w:themeColor="text1"/>
                <w:sz w:val="20"/>
                <w:szCs w:val="20"/>
              </w:rPr>
              <w:t>38.75</w:t>
            </w:r>
            <w:r w:rsidRPr="00C7272B">
              <w:rPr>
                <w:rFonts w:eastAsia="Calibri" w:asciiTheme="minorHAnsi" w:hAnsiTheme="minorHAnsi" w:cstheme="minorHAnsi"/>
                <w:color w:val="000000" w:themeColor="text1"/>
                <w:sz w:val="20"/>
                <w:szCs w:val="20"/>
              </w:rPr>
              <w:t xml:space="preserve"> </w:t>
            </w:r>
          </w:p>
        </w:tc>
      </w:tr>
      <w:tr w14:paraId="43B5F252" w14:textId="77777777" w:rsidTr="00DA0A40">
        <w:tblPrEx>
          <w:tblW w:w="10065" w:type="dxa"/>
          <w:tblLook w:val="04A0"/>
        </w:tblPrEx>
        <w:trPr>
          <w:trHeight w:val="540"/>
        </w:trPr>
        <w:tc>
          <w:tcPr>
            <w:tcW w:w="4398" w:type="dxa"/>
            <w:gridSpan w:val="4"/>
            <w:tcBorders>
              <w:top w:val="single" w:sz="8" w:space="0" w:color="auto"/>
              <w:left w:val="single" w:sz="8" w:space="0" w:color="auto"/>
              <w:bottom w:val="single" w:sz="12" w:space="0" w:color="auto"/>
              <w:right w:val="single" w:sz="8" w:space="0" w:color="auto"/>
            </w:tcBorders>
            <w:tcMar>
              <w:left w:w="108" w:type="dxa"/>
              <w:right w:w="108" w:type="dxa"/>
            </w:tcMar>
            <w:vAlign w:val="center"/>
          </w:tcPr>
          <w:p w:rsidR="55F53025" w:rsidRPr="00C7272B" w:rsidP="55F53025" w14:paraId="4F15C097" w14:textId="045EA54C">
            <w:pPr>
              <w:rPr>
                <w:rFonts w:eastAsia="Aptos" w:asciiTheme="minorHAnsi" w:hAnsiTheme="minorHAnsi" w:cstheme="minorHAnsi"/>
                <w:b/>
                <w:bCs/>
                <w:i/>
                <w:iCs/>
                <w:color w:val="000000" w:themeColor="text1"/>
                <w:sz w:val="22"/>
              </w:rPr>
            </w:pPr>
            <w:r w:rsidRPr="00C7272B">
              <w:rPr>
                <w:rFonts w:eastAsia="Aptos" w:asciiTheme="minorHAnsi" w:hAnsiTheme="minorHAnsi" w:cstheme="minorHAnsi"/>
                <w:b/>
                <w:bCs/>
                <w:i/>
                <w:iCs/>
                <w:color w:val="000000" w:themeColor="text1"/>
                <w:sz w:val="20"/>
                <w:szCs w:val="20"/>
              </w:rPr>
              <w:t xml:space="preserve">Subtotal CDX </w:t>
            </w:r>
          </w:p>
        </w:tc>
        <w:tc>
          <w:tcPr>
            <w:tcW w:w="1122" w:type="dxa"/>
            <w:tcBorders>
              <w:top w:val="single" w:sz="4" w:space="0" w:color="auto"/>
              <w:left w:val="nil"/>
              <w:bottom w:val="single" w:sz="12" w:space="0" w:color="auto"/>
              <w:right w:val="single" w:sz="8" w:space="0" w:color="auto"/>
            </w:tcBorders>
            <w:tcMar>
              <w:left w:w="108" w:type="dxa"/>
              <w:right w:w="108" w:type="dxa"/>
            </w:tcMar>
            <w:vAlign w:val="center"/>
          </w:tcPr>
          <w:p w:rsidR="55F53025" w:rsidRPr="00C7272B" w:rsidP="00AA0CBB" w14:paraId="3A775BEF" w14:textId="1ED4A124">
            <w:pPr>
              <w:jc w:val="center"/>
              <w:rPr>
                <w:rFonts w:eastAsia="Calibri" w:asciiTheme="minorHAnsi" w:hAnsiTheme="minorHAnsi" w:cstheme="minorHAnsi"/>
                <w:b/>
                <w:bCs/>
                <w:color w:val="000000" w:themeColor="text1"/>
                <w:sz w:val="22"/>
              </w:rPr>
            </w:pPr>
            <w:r w:rsidRPr="00C7272B">
              <w:rPr>
                <w:rFonts w:eastAsia="Calibri" w:asciiTheme="minorHAnsi" w:hAnsiTheme="minorHAnsi" w:cstheme="minorHAnsi"/>
                <w:b/>
                <w:bCs/>
                <w:color w:val="000000" w:themeColor="text1"/>
                <w:sz w:val="20"/>
                <w:szCs w:val="20"/>
              </w:rPr>
              <w:t>3</w:t>
            </w:r>
            <w:r>
              <w:rPr>
                <w:rFonts w:eastAsia="Calibri" w:asciiTheme="minorHAnsi" w:hAnsiTheme="minorHAnsi" w:cstheme="minorHAnsi"/>
                <w:b/>
                <w:bCs/>
                <w:color w:val="000000" w:themeColor="text1"/>
                <w:sz w:val="20"/>
                <w:szCs w:val="20"/>
              </w:rPr>
              <w:t>7</w:t>
            </w:r>
          </w:p>
        </w:tc>
        <w:tc>
          <w:tcPr>
            <w:tcW w:w="1312" w:type="dxa"/>
            <w:tcBorders>
              <w:top w:val="single" w:sz="4" w:space="0" w:color="auto"/>
              <w:left w:val="single" w:sz="8" w:space="0" w:color="auto"/>
              <w:bottom w:val="single" w:sz="12" w:space="0" w:color="auto"/>
              <w:right w:val="single" w:sz="8" w:space="0" w:color="auto"/>
            </w:tcBorders>
            <w:tcMar>
              <w:left w:w="108" w:type="dxa"/>
              <w:right w:w="108" w:type="dxa"/>
            </w:tcMar>
            <w:vAlign w:val="center"/>
          </w:tcPr>
          <w:p w:rsidR="55F53025" w:rsidRPr="00C7272B" w:rsidP="00AA0CBB" w14:paraId="6DC5125C" w14:textId="5E3698C6">
            <w:pPr>
              <w:jc w:val="center"/>
              <w:rPr>
                <w:rFonts w:eastAsia="Calibri" w:asciiTheme="minorHAnsi" w:hAnsiTheme="minorHAnsi" w:cstheme="minorHAnsi"/>
                <w:b/>
                <w:bCs/>
                <w:color w:val="000000" w:themeColor="text1"/>
                <w:sz w:val="22"/>
              </w:rPr>
            </w:pPr>
            <w:r>
              <w:rPr>
                <w:rFonts w:eastAsia="Calibri" w:asciiTheme="minorHAnsi" w:hAnsiTheme="minorHAnsi" w:cstheme="minorHAnsi"/>
                <w:b/>
                <w:bCs/>
                <w:color w:val="000000" w:themeColor="text1"/>
                <w:sz w:val="20"/>
                <w:szCs w:val="20"/>
              </w:rPr>
              <w:t>n/a</w:t>
            </w:r>
          </w:p>
        </w:tc>
        <w:tc>
          <w:tcPr>
            <w:tcW w:w="1349" w:type="dxa"/>
            <w:tcBorders>
              <w:top w:val="single" w:sz="8" w:space="0" w:color="auto"/>
              <w:left w:val="single" w:sz="8" w:space="0" w:color="auto"/>
              <w:bottom w:val="single" w:sz="12" w:space="0" w:color="auto"/>
              <w:right w:val="single" w:sz="8" w:space="0" w:color="auto"/>
            </w:tcBorders>
            <w:tcMar>
              <w:left w:w="108" w:type="dxa"/>
              <w:right w:w="108" w:type="dxa"/>
            </w:tcMar>
            <w:vAlign w:val="center"/>
          </w:tcPr>
          <w:p w:rsidR="55F53025" w:rsidRPr="00C7272B" w:rsidP="00AA0CBB" w14:paraId="6FE8C13B" w14:textId="5DF28C1D">
            <w:pPr>
              <w:jc w:val="center"/>
              <w:rPr>
                <w:rFonts w:eastAsia="Calibri" w:asciiTheme="minorHAnsi" w:hAnsiTheme="minorHAnsi" w:cstheme="minorHAnsi"/>
                <w:b/>
                <w:bCs/>
                <w:color w:val="000000" w:themeColor="text1"/>
                <w:sz w:val="22"/>
              </w:rPr>
            </w:pPr>
            <w:r w:rsidRPr="00C7272B">
              <w:rPr>
                <w:rFonts w:eastAsia="Calibri" w:asciiTheme="minorHAnsi" w:hAnsiTheme="minorHAnsi" w:cstheme="minorHAnsi"/>
                <w:b/>
                <w:bCs/>
                <w:color w:val="000000" w:themeColor="text1"/>
                <w:sz w:val="20"/>
                <w:szCs w:val="20"/>
              </w:rPr>
              <w:t>24</w:t>
            </w:r>
          </w:p>
        </w:tc>
        <w:tc>
          <w:tcPr>
            <w:tcW w:w="1884" w:type="dxa"/>
            <w:tcBorders>
              <w:top w:val="nil"/>
              <w:left w:val="single" w:sz="8" w:space="0" w:color="auto"/>
              <w:bottom w:val="single" w:sz="12" w:space="0" w:color="auto"/>
              <w:right w:val="single" w:sz="8" w:space="0" w:color="auto"/>
            </w:tcBorders>
            <w:tcMar>
              <w:left w:w="108" w:type="dxa"/>
              <w:right w:w="108" w:type="dxa"/>
            </w:tcMar>
            <w:vAlign w:val="center"/>
          </w:tcPr>
          <w:p w:rsidR="55F53025" w:rsidRPr="00C7272B" w:rsidP="00AA0CBB" w14:paraId="1FB0E024" w14:textId="4BF09018">
            <w:pPr>
              <w:jc w:val="right"/>
              <w:rPr>
                <w:rFonts w:eastAsia="Calibri" w:asciiTheme="minorHAnsi" w:hAnsiTheme="minorHAnsi" w:cstheme="minorHAnsi"/>
                <w:b/>
                <w:bCs/>
                <w:color w:val="000000" w:themeColor="text1"/>
                <w:sz w:val="22"/>
              </w:rPr>
            </w:pPr>
            <w:r w:rsidRPr="00C7272B">
              <w:rPr>
                <w:rFonts w:eastAsia="Calibri" w:asciiTheme="minorHAnsi" w:hAnsiTheme="minorHAnsi" w:cstheme="minorHAnsi"/>
                <w:b/>
                <w:bCs/>
                <w:color w:val="000000" w:themeColor="text1"/>
                <w:sz w:val="20"/>
                <w:szCs w:val="20"/>
              </w:rPr>
              <w:t>$2,1</w:t>
            </w:r>
            <w:r w:rsidR="002E5A94">
              <w:rPr>
                <w:rFonts w:eastAsia="Calibri" w:asciiTheme="minorHAnsi" w:hAnsiTheme="minorHAnsi" w:cstheme="minorHAnsi"/>
                <w:b/>
                <w:bCs/>
                <w:color w:val="000000" w:themeColor="text1"/>
                <w:sz w:val="20"/>
                <w:szCs w:val="20"/>
              </w:rPr>
              <w:t>55</w:t>
            </w:r>
            <w:r w:rsidRPr="00C7272B">
              <w:rPr>
                <w:rFonts w:eastAsia="Calibri" w:asciiTheme="minorHAnsi" w:hAnsiTheme="minorHAnsi" w:cstheme="minorHAnsi"/>
                <w:b/>
                <w:bCs/>
                <w:color w:val="000000" w:themeColor="text1"/>
                <w:sz w:val="20"/>
                <w:szCs w:val="20"/>
              </w:rPr>
              <w:t>.</w:t>
            </w:r>
            <w:r w:rsidRPr="00C7272B" w:rsidR="002E5A94">
              <w:rPr>
                <w:rFonts w:eastAsia="Calibri" w:asciiTheme="minorHAnsi" w:hAnsiTheme="minorHAnsi" w:cstheme="minorHAnsi"/>
                <w:b/>
                <w:bCs/>
                <w:color w:val="000000" w:themeColor="text1"/>
                <w:sz w:val="20"/>
                <w:szCs w:val="20"/>
              </w:rPr>
              <w:t>8</w:t>
            </w:r>
            <w:r w:rsidR="002E5A94">
              <w:rPr>
                <w:rFonts w:eastAsia="Calibri" w:asciiTheme="minorHAnsi" w:hAnsiTheme="minorHAnsi" w:cstheme="minorHAnsi"/>
                <w:b/>
                <w:bCs/>
                <w:color w:val="000000" w:themeColor="text1"/>
                <w:sz w:val="20"/>
                <w:szCs w:val="20"/>
              </w:rPr>
              <w:t>1</w:t>
            </w:r>
            <w:r w:rsidRPr="00C7272B" w:rsidR="002E5A94">
              <w:rPr>
                <w:rFonts w:eastAsia="Calibri" w:asciiTheme="minorHAnsi" w:hAnsiTheme="minorHAnsi" w:cstheme="minorHAnsi"/>
                <w:b/>
                <w:bCs/>
                <w:color w:val="000000" w:themeColor="text1"/>
                <w:sz w:val="20"/>
                <w:szCs w:val="20"/>
              </w:rPr>
              <w:t xml:space="preserve"> </w:t>
            </w:r>
          </w:p>
        </w:tc>
      </w:tr>
      <w:tr w14:paraId="65ABB0CF" w14:textId="77777777" w:rsidTr="00401033">
        <w:tblPrEx>
          <w:tblW w:w="10065" w:type="dxa"/>
          <w:tblLook w:val="04A0"/>
        </w:tblPrEx>
        <w:trPr>
          <w:trHeight w:val="465"/>
        </w:trPr>
        <w:tc>
          <w:tcPr>
            <w:tcW w:w="4398" w:type="dxa"/>
            <w:gridSpan w:val="4"/>
            <w:tcBorders>
              <w:top w:val="single" w:sz="12" w:space="0" w:color="auto"/>
              <w:left w:val="single" w:sz="12" w:space="0" w:color="auto"/>
              <w:bottom w:val="single" w:sz="12" w:space="0" w:color="auto"/>
              <w:right w:val="single" w:sz="8" w:space="0" w:color="auto"/>
            </w:tcBorders>
            <w:tcMar>
              <w:left w:w="108" w:type="dxa"/>
              <w:right w:w="108" w:type="dxa"/>
            </w:tcMar>
            <w:vAlign w:val="center"/>
          </w:tcPr>
          <w:p w:rsidR="55F53025" w:rsidRPr="00C7272B" w:rsidP="55F53025" w14:paraId="44F655F3" w14:textId="479CEB87">
            <w:pPr>
              <w:rPr>
                <w:rFonts w:eastAsia="Aptos" w:asciiTheme="minorHAnsi" w:hAnsiTheme="minorHAnsi" w:cstheme="minorHAnsi"/>
                <w:b/>
                <w:bCs/>
                <w:color w:val="000000" w:themeColor="text1"/>
                <w:sz w:val="22"/>
              </w:rPr>
            </w:pPr>
            <w:r>
              <w:rPr>
                <w:rFonts w:eastAsia="Aptos" w:asciiTheme="minorHAnsi" w:hAnsiTheme="minorHAnsi" w:cstheme="minorHAnsi"/>
                <w:b/>
                <w:bCs/>
                <w:color w:val="000000" w:themeColor="text1"/>
                <w:sz w:val="20"/>
                <w:szCs w:val="20"/>
              </w:rPr>
              <w:t xml:space="preserve">Overall </w:t>
            </w:r>
            <w:r w:rsidRPr="00C7272B">
              <w:rPr>
                <w:rFonts w:eastAsia="Aptos" w:asciiTheme="minorHAnsi" w:hAnsiTheme="minorHAnsi" w:cstheme="minorHAnsi"/>
                <w:b/>
                <w:bCs/>
                <w:color w:val="000000" w:themeColor="text1"/>
                <w:sz w:val="20"/>
                <w:szCs w:val="20"/>
              </w:rPr>
              <w:t>Total</w:t>
            </w:r>
          </w:p>
        </w:tc>
        <w:tc>
          <w:tcPr>
            <w:tcW w:w="1122" w:type="dxa"/>
            <w:tcBorders>
              <w:top w:val="single" w:sz="12" w:space="0" w:color="auto"/>
              <w:left w:val="nil"/>
              <w:bottom w:val="single" w:sz="12" w:space="0" w:color="auto"/>
              <w:right w:val="single" w:sz="8" w:space="0" w:color="auto"/>
            </w:tcBorders>
            <w:tcMar>
              <w:left w:w="108" w:type="dxa"/>
              <w:right w:w="108" w:type="dxa"/>
            </w:tcMar>
            <w:vAlign w:val="center"/>
          </w:tcPr>
          <w:p w:rsidR="55F53025" w:rsidRPr="00C7272B" w:rsidP="00AA0CBB" w14:paraId="77376482" w14:textId="66D4B691">
            <w:pPr>
              <w:jc w:val="center"/>
              <w:rPr>
                <w:rFonts w:eastAsia="Calibri" w:asciiTheme="minorHAnsi" w:hAnsiTheme="minorHAnsi" w:cstheme="minorHAnsi"/>
                <w:b/>
                <w:bCs/>
                <w:color w:val="000000" w:themeColor="text1"/>
                <w:sz w:val="22"/>
              </w:rPr>
            </w:pPr>
            <w:r w:rsidRPr="00C7272B">
              <w:rPr>
                <w:rFonts w:eastAsia="Calibri" w:asciiTheme="minorHAnsi" w:hAnsiTheme="minorHAnsi" w:cstheme="minorHAnsi"/>
                <w:b/>
                <w:bCs/>
                <w:color w:val="000000" w:themeColor="text1"/>
                <w:sz w:val="20"/>
                <w:szCs w:val="20"/>
              </w:rPr>
              <w:t>5</w:t>
            </w:r>
            <w:r>
              <w:rPr>
                <w:rFonts w:eastAsia="Calibri" w:asciiTheme="minorHAnsi" w:hAnsiTheme="minorHAnsi" w:cstheme="minorHAnsi"/>
                <w:b/>
                <w:bCs/>
                <w:color w:val="000000" w:themeColor="text1"/>
                <w:sz w:val="20"/>
                <w:szCs w:val="20"/>
              </w:rPr>
              <w:t>67</w:t>
            </w:r>
            <w:r w:rsidRPr="00382045" w:rsidR="00B911B5">
              <w:rPr>
                <w:rFonts w:asciiTheme="minorHAnsi" w:hAnsiTheme="minorHAnsi" w:cstheme="minorHAnsi"/>
                <w:color w:val="000000"/>
                <w:szCs w:val="24"/>
                <w:vertAlign w:val="superscript"/>
              </w:rPr>
              <w:t>A</w:t>
            </w:r>
          </w:p>
        </w:tc>
        <w:tc>
          <w:tcPr>
            <w:tcW w:w="1312" w:type="dxa"/>
            <w:tcBorders>
              <w:top w:val="single" w:sz="12" w:space="0" w:color="auto"/>
              <w:left w:val="single" w:sz="8" w:space="0" w:color="auto"/>
              <w:bottom w:val="single" w:sz="12" w:space="0" w:color="auto"/>
              <w:right w:val="single" w:sz="8" w:space="0" w:color="auto"/>
            </w:tcBorders>
            <w:tcMar>
              <w:left w:w="108" w:type="dxa"/>
              <w:right w:w="108" w:type="dxa"/>
            </w:tcMar>
            <w:vAlign w:val="center"/>
          </w:tcPr>
          <w:p w:rsidR="55F53025" w:rsidRPr="00C7272B" w:rsidP="00AA0CBB" w14:paraId="67D8B8DF" w14:textId="096CCE51">
            <w:pPr>
              <w:jc w:val="center"/>
              <w:rPr>
                <w:rFonts w:eastAsia="Calibri" w:asciiTheme="minorHAnsi" w:hAnsiTheme="minorHAnsi" w:cstheme="minorHAnsi"/>
                <w:b/>
                <w:bCs/>
                <w:color w:val="000000" w:themeColor="text1"/>
                <w:sz w:val="22"/>
              </w:rPr>
            </w:pPr>
            <w:r>
              <w:rPr>
                <w:rFonts w:eastAsia="Calibri" w:asciiTheme="minorHAnsi" w:hAnsiTheme="minorHAnsi" w:cstheme="minorHAnsi"/>
                <w:b/>
                <w:bCs/>
                <w:color w:val="000000" w:themeColor="text1"/>
                <w:sz w:val="20"/>
                <w:szCs w:val="20"/>
              </w:rPr>
              <w:t>40</w:t>
            </w:r>
            <w:r w:rsidRPr="00382045">
              <w:rPr>
                <w:rFonts w:asciiTheme="minorHAnsi" w:hAnsiTheme="minorHAnsi" w:cstheme="minorHAnsi"/>
                <w:color w:val="000000"/>
                <w:szCs w:val="24"/>
                <w:vertAlign w:val="superscript"/>
              </w:rPr>
              <w:t>A</w:t>
            </w:r>
          </w:p>
        </w:tc>
        <w:tc>
          <w:tcPr>
            <w:tcW w:w="1349" w:type="dxa"/>
            <w:tcBorders>
              <w:top w:val="single" w:sz="12" w:space="0" w:color="auto"/>
              <w:left w:val="single" w:sz="8" w:space="0" w:color="auto"/>
              <w:bottom w:val="single" w:sz="12" w:space="0" w:color="auto"/>
              <w:right w:val="single" w:sz="8" w:space="0" w:color="auto"/>
            </w:tcBorders>
            <w:tcMar>
              <w:left w:w="108" w:type="dxa"/>
              <w:right w:w="108" w:type="dxa"/>
            </w:tcMar>
            <w:vAlign w:val="center"/>
          </w:tcPr>
          <w:p w:rsidR="55F53025" w:rsidRPr="00C7272B" w:rsidP="00AA0CBB" w14:paraId="68ADC871" w14:textId="4D677988">
            <w:pPr>
              <w:jc w:val="center"/>
              <w:rPr>
                <w:rFonts w:eastAsia="Calibri" w:asciiTheme="minorHAnsi" w:hAnsiTheme="minorHAnsi" w:cstheme="minorHAnsi"/>
                <w:b/>
                <w:bCs/>
                <w:color w:val="000000" w:themeColor="text1"/>
                <w:sz w:val="22"/>
              </w:rPr>
            </w:pPr>
            <w:r w:rsidRPr="00C7272B">
              <w:rPr>
                <w:rFonts w:eastAsia="Calibri" w:asciiTheme="minorHAnsi" w:hAnsiTheme="minorHAnsi" w:cstheme="minorHAnsi"/>
                <w:b/>
                <w:bCs/>
                <w:color w:val="000000" w:themeColor="text1"/>
                <w:sz w:val="20"/>
                <w:szCs w:val="20"/>
              </w:rPr>
              <w:t>27,883</w:t>
            </w:r>
          </w:p>
        </w:tc>
        <w:tc>
          <w:tcPr>
            <w:tcW w:w="1884" w:type="dxa"/>
            <w:tcBorders>
              <w:top w:val="single" w:sz="12" w:space="0" w:color="auto"/>
              <w:left w:val="single" w:sz="8" w:space="0" w:color="auto"/>
              <w:bottom w:val="single" w:sz="12" w:space="0" w:color="auto"/>
              <w:right w:val="single" w:sz="12" w:space="0" w:color="auto"/>
            </w:tcBorders>
            <w:tcMar>
              <w:left w:w="108" w:type="dxa"/>
              <w:right w:w="108" w:type="dxa"/>
            </w:tcMar>
            <w:vAlign w:val="center"/>
          </w:tcPr>
          <w:p w:rsidR="55F53025" w:rsidRPr="00C7272B" w:rsidP="00AA0CBB" w14:paraId="14D211E1" w14:textId="107F9FF4">
            <w:pPr>
              <w:jc w:val="right"/>
              <w:rPr>
                <w:rFonts w:eastAsia="Calibri" w:asciiTheme="minorHAnsi" w:hAnsiTheme="minorHAnsi" w:cstheme="minorHAnsi"/>
                <w:b/>
                <w:bCs/>
                <w:color w:val="000000" w:themeColor="text1"/>
                <w:sz w:val="22"/>
              </w:rPr>
            </w:pPr>
            <w:r w:rsidRPr="00C7272B">
              <w:rPr>
                <w:rFonts w:eastAsia="Calibri" w:asciiTheme="minorHAnsi" w:hAnsiTheme="minorHAnsi" w:cstheme="minorHAnsi"/>
                <w:b/>
                <w:bCs/>
                <w:color w:val="000000" w:themeColor="text1"/>
                <w:sz w:val="20"/>
                <w:szCs w:val="20"/>
              </w:rPr>
              <w:t>$2,829,8</w:t>
            </w:r>
            <w:r w:rsidR="002E5A94">
              <w:rPr>
                <w:rFonts w:eastAsia="Calibri" w:asciiTheme="minorHAnsi" w:hAnsiTheme="minorHAnsi" w:cstheme="minorHAnsi"/>
                <w:b/>
                <w:bCs/>
                <w:color w:val="000000" w:themeColor="text1"/>
                <w:sz w:val="20"/>
                <w:szCs w:val="20"/>
              </w:rPr>
              <w:t>44</w:t>
            </w:r>
          </w:p>
        </w:tc>
      </w:tr>
    </w:tbl>
    <w:p w:rsidR="62220301" w:rsidP="55F53025" w14:paraId="6C733BD1" w14:textId="76686FAF">
      <w:pPr>
        <w:rPr>
          <w:rFonts w:asciiTheme="minorHAnsi" w:hAnsiTheme="minorHAnsi"/>
        </w:rPr>
      </w:pPr>
      <w:r w:rsidRPr="00382045">
        <w:rPr>
          <w:rFonts w:asciiTheme="minorHAnsi" w:hAnsiTheme="minorHAnsi" w:cstheme="minorHAnsi"/>
          <w:color w:val="000000"/>
          <w:szCs w:val="24"/>
          <w:vertAlign w:val="superscript"/>
        </w:rPr>
        <w:t>A</w:t>
      </w:r>
      <w:r w:rsidRPr="00382045">
        <w:rPr>
          <w:rFonts w:asciiTheme="minorHAnsi" w:hAnsiTheme="minorHAnsi" w:cstheme="minorHAnsi"/>
          <w:color w:val="000000"/>
          <w:sz w:val="22"/>
        </w:rPr>
        <w:t xml:space="preserve">CDX registrations are counted as activities that some respondents undertake in service of making an </w:t>
      </w:r>
      <w:r w:rsidRPr="00382045">
        <w:rPr>
          <w:rFonts w:asciiTheme="minorHAnsi" w:hAnsiTheme="minorHAnsi"/>
          <w:color w:val="000000" w:themeColor="text1"/>
          <w:sz w:val="22"/>
          <w:szCs w:val="20"/>
        </w:rPr>
        <w:t>8(e) or FYI submission, but not as submissions on their own.  Therefore, the respondent and response figures attributed to</w:t>
      </w:r>
      <w:r w:rsidRPr="00382045">
        <w:rPr>
          <w:rFonts w:asciiTheme="minorHAnsi" w:hAnsiTheme="minorHAnsi" w:cstheme="minorHAnsi"/>
          <w:color w:val="000000"/>
          <w:sz w:val="22"/>
        </w:rPr>
        <w:t xml:space="preserve"> CDX Registration</w:t>
      </w:r>
      <w:r w:rsidRPr="00382045">
        <w:rPr>
          <w:rFonts w:asciiTheme="minorHAnsi" w:hAnsiTheme="minorHAnsi" w:cstheme="minorHAnsi"/>
          <w:color w:val="000000"/>
          <w:sz w:val="22"/>
          <w:vertAlign w:val="superscript"/>
        </w:rPr>
        <w:t xml:space="preserve"> </w:t>
      </w:r>
      <w:r w:rsidRPr="00382045">
        <w:rPr>
          <w:rFonts w:asciiTheme="minorHAnsi" w:hAnsiTheme="minorHAnsi" w:cstheme="minorHAnsi"/>
          <w:color w:val="000000"/>
          <w:sz w:val="22"/>
        </w:rPr>
        <w:t>and e-Signature are not reflected in the overall totals.</w:t>
      </w:r>
    </w:p>
    <w:p w:rsidR="004A4A78" w:rsidRPr="009343BA" w:rsidP="004A4A78" w14:paraId="679824A0" w14:textId="77777777">
      <w:pPr>
        <w:pStyle w:val="Heading2"/>
        <w:numPr>
          <w:ilvl w:val="0"/>
          <w:numId w:val="0"/>
        </w:numPr>
        <w:rPr>
          <w:rFonts w:ascii="Calibri" w:hAnsi="Calibri" w:cs="Calibri"/>
          <w:i/>
          <w:iCs/>
        </w:rPr>
      </w:pPr>
      <w:r w:rsidRPr="009343BA">
        <w:rPr>
          <w:rFonts w:ascii="Calibri" w:hAnsi="Calibri" w:cs="Calibri"/>
        </w:rPr>
        <w:t>13. RESPONDENT CAPITAL AND O&amp;M COSTS:</w:t>
      </w:r>
    </w:p>
    <w:p w:rsidR="004A4A78" w:rsidRPr="004A4A78" w:rsidP="004A4A78" w14:paraId="52C20915" w14:textId="77777777">
      <w:pPr>
        <w:pStyle w:val="Heading2"/>
        <w:numPr>
          <w:ilvl w:val="0"/>
          <w:numId w:val="0"/>
        </w:numPr>
        <w:rPr>
          <w:rFonts w:ascii="Calibri" w:hAnsi="Calibri" w:cs="Calibri"/>
          <w:i/>
          <w:iCs/>
        </w:rPr>
      </w:pPr>
      <w:r w:rsidRPr="004A4A78">
        <w:rPr>
          <w:rFonts w:ascii="Calibri" w:hAnsi="Calibri" w:cs="Calibri"/>
          <w:b w:val="0"/>
          <w:i/>
          <w:iCs/>
        </w:rPr>
        <w:t xml:space="preserve"> Provide an estimate for the total annual cost burden to respondents or recordkeepers resulting from the collection of information.</w:t>
      </w:r>
    </w:p>
    <w:p w:rsidR="004A4A78" w:rsidRPr="009343BA" w:rsidP="004A4A78" w14:paraId="78E3473D" w14:textId="77777777">
      <w:pPr>
        <w:spacing w:line="240" w:lineRule="auto"/>
        <w:rPr>
          <w:rFonts w:ascii="Calibri" w:hAnsi="Calibri" w:cs="Calibri"/>
          <w:i/>
          <w:iCs/>
        </w:rPr>
      </w:pPr>
      <w:r w:rsidRPr="009343BA">
        <w:rPr>
          <w:rFonts w:ascii="Calibri" w:hAnsi="Calibri" w:cs="Calibri"/>
          <w:i/>
          <w:i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A4A78" w:rsidRPr="009343BA" w:rsidP="004A4A78" w14:paraId="4230DC7B" w14:textId="77777777">
      <w:pPr>
        <w:spacing w:line="240" w:lineRule="auto"/>
        <w:rPr>
          <w:rFonts w:ascii="Calibri" w:hAnsi="Calibri" w:cs="Calibri"/>
          <w:i/>
          <w:iCs/>
        </w:rPr>
      </w:pPr>
      <w:r w:rsidRPr="009343BA">
        <w:rPr>
          <w:rFonts w:ascii="Calibri" w:hAnsi="Calibri" w:cs="Calibri"/>
          <w:i/>
          <w:i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A4A78" w:rsidP="004A4A78" w14:paraId="6787351F" w14:textId="77777777">
      <w:pPr>
        <w:pBdr>
          <w:bottom w:val="single" w:sz="6" w:space="1" w:color="auto"/>
        </w:pBdr>
        <w:spacing w:line="240" w:lineRule="auto"/>
        <w:rPr>
          <w:rFonts w:ascii="Calibri" w:hAnsi="Calibri" w:cs="Calibri"/>
          <w:i/>
          <w:iCs/>
        </w:rPr>
      </w:pPr>
      <w:r w:rsidRPr="009343BA">
        <w:rPr>
          <w:rFonts w:ascii="Calibri" w:hAnsi="Calibri" w:cs="Calibr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C5AD6" w:rsidRPr="00B17D82" w:rsidP="00FC5AD6" w14:paraId="104B896E" w14:textId="3C653382">
      <w:pPr>
        <w:rPr>
          <w:rFonts w:asciiTheme="minorHAnsi" w:hAnsiTheme="minorHAnsi"/>
        </w:rPr>
      </w:pPr>
      <w:bookmarkStart w:id="12" w:name="_Toc49148207"/>
      <w:r w:rsidRPr="0C501E31">
        <w:rPr>
          <w:rFonts w:asciiTheme="minorHAnsi" w:hAnsiTheme="minorHAnsi"/>
        </w:rPr>
        <w:t>Non-labor costs include a $0.73 stamp and a $0.02 standard business envelope for each of five required electronic signature agreements (USPS, 2025). The total non-labor cost for electronic signature agreements equals $3.75. This amounts to $</w:t>
      </w:r>
      <w:r w:rsidR="00804FC0">
        <w:rPr>
          <w:rFonts w:asciiTheme="minorHAnsi" w:hAnsiTheme="minorHAnsi"/>
        </w:rPr>
        <w:t>138.75</w:t>
      </w:r>
      <w:r w:rsidRPr="0C501E31">
        <w:rPr>
          <w:rFonts w:asciiTheme="minorHAnsi" w:hAnsiTheme="minorHAnsi"/>
        </w:rPr>
        <w:t xml:space="preserve"> in non-labor costs per year and is shown in </w:t>
      </w:r>
      <w:r w:rsidRPr="0C501E31">
        <w:rPr>
          <w:rFonts w:asciiTheme="minorHAnsi" w:hAnsiTheme="minorHAnsi"/>
        </w:rPr>
        <w:fldChar w:fldCharType="begin"/>
      </w:r>
      <w:r w:rsidRPr="0C501E31">
        <w:rPr>
          <w:rFonts w:asciiTheme="minorHAnsi" w:hAnsiTheme="minorHAnsi"/>
        </w:rPr>
        <w:instrText xml:space="preserve"> REF _Ref91086875 \h  \* MERGEFORMAT </w:instrText>
      </w:r>
      <w:r w:rsidRPr="0C501E31">
        <w:rPr>
          <w:rFonts w:asciiTheme="minorHAnsi" w:hAnsiTheme="minorHAnsi"/>
        </w:rPr>
        <w:fldChar w:fldCharType="separate"/>
      </w:r>
      <w:r w:rsidRPr="0C501E31">
        <w:rPr>
          <w:rFonts w:asciiTheme="minorHAnsi" w:hAnsiTheme="minorHAnsi"/>
        </w:rPr>
        <w:t xml:space="preserve">Table </w:t>
      </w:r>
      <w:r w:rsidRPr="0C501E31">
        <w:rPr>
          <w:rFonts w:asciiTheme="minorHAnsi" w:hAnsiTheme="minorHAnsi"/>
          <w:noProof/>
        </w:rPr>
        <w:t>5</w:t>
      </w:r>
      <w:r w:rsidRPr="0C501E31">
        <w:rPr>
          <w:rFonts w:asciiTheme="minorHAnsi" w:hAnsiTheme="minorHAnsi"/>
        </w:rPr>
        <w:fldChar w:fldCharType="end"/>
      </w:r>
      <w:r w:rsidRPr="0C501E31">
        <w:rPr>
          <w:rFonts w:asciiTheme="minorHAnsi" w:hAnsiTheme="minorHAnsi"/>
        </w:rPr>
        <w:t>.</w:t>
      </w:r>
      <w:r w:rsidR="00FE7137">
        <w:rPr>
          <w:rFonts w:asciiTheme="minorHAnsi" w:hAnsiTheme="minorHAnsi"/>
        </w:rPr>
        <w:t xml:space="preserve"> </w:t>
      </w:r>
    </w:p>
    <w:bookmarkEnd w:id="12"/>
    <w:p w:rsidR="004A4A78" w:rsidRPr="009343BA" w:rsidP="004A4A78" w14:paraId="18DFC568" w14:textId="77777777">
      <w:pPr>
        <w:pStyle w:val="Heading2"/>
        <w:numPr>
          <w:ilvl w:val="0"/>
          <w:numId w:val="0"/>
        </w:numPr>
        <w:pBdr>
          <w:top w:val="none" w:sz="0" w:space="0" w:color="auto"/>
        </w:pBdr>
        <w:rPr>
          <w:rFonts w:ascii="Calibri" w:hAnsi="Calibri" w:cs="Calibri"/>
          <w:i/>
          <w:iCs/>
        </w:rPr>
      </w:pPr>
      <w:r w:rsidRPr="009343BA">
        <w:rPr>
          <w:rFonts w:ascii="Calibri" w:hAnsi="Calibri" w:cs="Calibri"/>
        </w:rPr>
        <w:t>14. AGENCY COSTS:</w:t>
      </w:r>
    </w:p>
    <w:p w:rsidR="004A4A78" w:rsidRPr="004A4A78" w:rsidP="004A4A78" w14:paraId="5BA4E98A" w14:textId="77777777">
      <w:pPr>
        <w:pStyle w:val="Heading2"/>
        <w:numPr>
          <w:ilvl w:val="0"/>
          <w:numId w:val="0"/>
        </w:numPr>
        <w:pBdr>
          <w:top w:val="none" w:sz="0" w:space="0" w:color="auto"/>
          <w:bottom w:val="single" w:sz="4" w:space="1" w:color="auto"/>
        </w:pBdr>
        <w:rPr>
          <w:rFonts w:ascii="Calibri" w:hAnsi="Calibri" w:cs="Calibri"/>
          <w:b w:val="0"/>
          <w:bCs w:val="0"/>
          <w:i/>
          <w:iCs/>
        </w:rPr>
      </w:pPr>
      <w:r w:rsidRPr="004A4A78">
        <w:rPr>
          <w:rFonts w:ascii="Calibri" w:hAnsi="Calibri" w:cs="Calibri"/>
          <w:b w:val="0"/>
          <w:i/>
          <w:iCs/>
        </w:rPr>
        <w:t xml:space="preserve">Provide </w:t>
      </w:r>
      <w:bookmarkStart w:id="13" w:name="_Hlk82508788"/>
      <w:r w:rsidRPr="004A4A78">
        <w:rPr>
          <w:rFonts w:ascii="Calibri" w:hAnsi="Calibri" w:cs="Calibri"/>
          <w:b w:val="0"/>
          <w:i/>
          <w:iCs/>
        </w:rPr>
        <w:t>estimates of annualized cost to the Federal government.</w:t>
      </w:r>
      <w:bookmarkEnd w:id="13"/>
      <w:r w:rsidRPr="004A4A78">
        <w:rPr>
          <w:rFonts w:ascii="Calibri" w:hAnsi="Calibri" w:cs="Calibri"/>
          <w:b w:val="0"/>
          <w:i/>
          <w:iCs/>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1724A7" w:rsidRPr="001724A7" w:rsidP="001724A7" w14:paraId="68999CB2" w14:textId="77777777">
      <w:pPr>
        <w:pStyle w:val="Heading3"/>
        <w:numPr>
          <w:ilvl w:val="0"/>
          <w:numId w:val="0"/>
        </w:numPr>
        <w:ind w:left="360" w:hanging="360"/>
        <w:rPr>
          <w:rFonts w:asciiTheme="minorHAnsi" w:hAnsiTheme="minorHAnsi" w:cstheme="minorHAnsi"/>
        </w:rPr>
      </w:pPr>
      <w:r w:rsidRPr="001724A7">
        <w:rPr>
          <w:rFonts w:asciiTheme="minorHAnsi" w:hAnsiTheme="minorHAnsi" w:cstheme="minorHAnsi"/>
        </w:rPr>
        <w:t>14a. AGENCY ACTIVITIES AND FREQUENCY</w:t>
      </w:r>
    </w:p>
    <w:p w:rsidR="008C2B73" w:rsidRPr="00B17D82" w:rsidP="0C501E31" w14:paraId="5A3F2C36" w14:textId="66916DB9">
      <w:pPr>
        <w:rPr>
          <w:rFonts w:asciiTheme="minorHAnsi" w:hAnsiTheme="minorHAnsi"/>
        </w:rPr>
      </w:pPr>
      <w:r w:rsidRPr="0C501E31">
        <w:rPr>
          <w:rFonts w:asciiTheme="minorHAnsi" w:hAnsiTheme="minorHAnsi"/>
        </w:rPr>
        <w:t xml:space="preserve">As explained in additional detail in the following sections, </w:t>
      </w:r>
      <w:r w:rsidRPr="0C501E31" w:rsidR="71A3CC94">
        <w:rPr>
          <w:rFonts w:asciiTheme="minorHAnsi" w:hAnsiTheme="minorHAnsi"/>
        </w:rPr>
        <w:t>EPA</w:t>
      </w:r>
      <w:r w:rsidRPr="0C501E31">
        <w:rPr>
          <w:rFonts w:asciiTheme="minorHAnsi" w:hAnsiTheme="minorHAnsi"/>
        </w:rPr>
        <w:t xml:space="preserve">’s </w:t>
      </w:r>
      <w:r w:rsidRPr="0C501E31" w:rsidR="7751A082">
        <w:rPr>
          <w:rFonts w:asciiTheme="minorHAnsi" w:hAnsiTheme="minorHAnsi"/>
        </w:rPr>
        <w:t xml:space="preserve">TSCA </w:t>
      </w:r>
      <w:r w:rsidRPr="0C501E31">
        <w:rPr>
          <w:rFonts w:asciiTheme="minorHAnsi" w:hAnsiTheme="minorHAnsi"/>
        </w:rPr>
        <w:t xml:space="preserve">section 8(e) activities involve answering general and specific </w:t>
      </w:r>
      <w:r w:rsidRPr="0C501E31" w:rsidR="7D7C68BE">
        <w:rPr>
          <w:rFonts w:asciiTheme="minorHAnsi" w:hAnsiTheme="minorHAnsi"/>
        </w:rPr>
        <w:t xml:space="preserve">TSCA </w:t>
      </w:r>
      <w:r w:rsidRPr="0C501E31">
        <w:rPr>
          <w:rFonts w:asciiTheme="minorHAnsi" w:hAnsiTheme="minorHAnsi"/>
        </w:rPr>
        <w:t xml:space="preserve">section 8(e)-related questions, development and maintenance of computerized information tracking (including data extraction, entry and quality </w:t>
      </w:r>
      <w:r w:rsidRPr="0C501E31">
        <w:rPr>
          <w:rFonts w:asciiTheme="minorHAnsi" w:hAnsiTheme="minorHAnsi"/>
        </w:rPr>
        <w:t xml:space="preserve">assurance/control), microfilming, confidential (restricted-access) and non-confidential (public-access) </w:t>
      </w:r>
      <w:r w:rsidRPr="0C501E31" w:rsidR="451F7B84">
        <w:rPr>
          <w:rFonts w:asciiTheme="minorHAnsi" w:hAnsiTheme="minorHAnsi"/>
        </w:rPr>
        <w:t xml:space="preserve">TSCA </w:t>
      </w:r>
      <w:r w:rsidRPr="0C501E31">
        <w:rPr>
          <w:rFonts w:asciiTheme="minorHAnsi" w:hAnsiTheme="minorHAnsi"/>
        </w:rPr>
        <w:t xml:space="preserve">section 8(e) information filing, initial evaluation of all submitted </w:t>
      </w:r>
      <w:r w:rsidRPr="0C501E31" w:rsidR="3CBC9F3A">
        <w:rPr>
          <w:rFonts w:asciiTheme="minorHAnsi" w:hAnsiTheme="minorHAnsi"/>
        </w:rPr>
        <w:t xml:space="preserve">TSCA </w:t>
      </w:r>
      <w:r w:rsidRPr="0C501E31">
        <w:rPr>
          <w:rFonts w:asciiTheme="minorHAnsi" w:hAnsiTheme="minorHAnsi"/>
        </w:rPr>
        <w:t xml:space="preserve">section 8(e) information (including review of TSCA CBI substantiations), and the posting of </w:t>
      </w:r>
      <w:r w:rsidRPr="0C501E31" w:rsidR="52CAC2E4">
        <w:rPr>
          <w:rFonts w:asciiTheme="minorHAnsi" w:hAnsiTheme="minorHAnsi"/>
        </w:rPr>
        <w:t xml:space="preserve">TSCA </w:t>
      </w:r>
      <w:r w:rsidRPr="0C501E31">
        <w:rPr>
          <w:rFonts w:asciiTheme="minorHAnsi" w:hAnsiTheme="minorHAnsi"/>
        </w:rPr>
        <w:t>section 8(e)-related information on the Internet for public access.</w:t>
      </w:r>
    </w:p>
    <w:p w:rsidR="008C2B73" w:rsidRPr="00B17D82" w:rsidP="41771A7D" w14:paraId="781760D6" w14:textId="4A4F47D1">
      <w:pPr>
        <w:rPr>
          <w:rFonts w:asciiTheme="minorHAnsi" w:hAnsiTheme="minorHAnsi"/>
        </w:rPr>
      </w:pPr>
      <w:r w:rsidRPr="1CC48348">
        <w:rPr>
          <w:rFonts w:asciiTheme="minorHAnsi" w:hAnsiTheme="minorHAnsi"/>
        </w:rPr>
        <w:t xml:space="preserve">EPA will continue to use case numbers to identify </w:t>
      </w:r>
      <w:r w:rsidRPr="1CC48348" w:rsidR="4FF761BC">
        <w:rPr>
          <w:rFonts w:asciiTheme="minorHAnsi" w:hAnsiTheme="minorHAnsi"/>
        </w:rPr>
        <w:t xml:space="preserve">TSCA </w:t>
      </w:r>
      <w:r w:rsidRPr="1CC48348">
        <w:rPr>
          <w:rFonts w:asciiTheme="minorHAnsi" w:hAnsiTheme="minorHAnsi"/>
        </w:rPr>
        <w:t xml:space="preserve">section 8(e) submissions through the format: 8EHQ-YY-XXXX. Previously issued case numbers will remain the same, such as initial submissions were assigned as Sequence A; </w:t>
      </w:r>
      <w:r w:rsidRPr="1CC48348" w:rsidR="009F0BFB">
        <w:rPr>
          <w:rFonts w:asciiTheme="minorHAnsi" w:hAnsiTheme="minorHAnsi"/>
        </w:rPr>
        <w:t xml:space="preserve">study amendments </w:t>
      </w:r>
      <w:r w:rsidRPr="1CC48348">
        <w:rPr>
          <w:rFonts w:asciiTheme="minorHAnsi" w:hAnsiTheme="minorHAnsi"/>
        </w:rPr>
        <w:t xml:space="preserve">were assigned Sequence B, C, D, etc. Internal EPA tracking of </w:t>
      </w:r>
      <w:r w:rsidRPr="1CC48348" w:rsidR="18F89C64">
        <w:rPr>
          <w:rFonts w:asciiTheme="minorHAnsi" w:hAnsiTheme="minorHAnsi"/>
        </w:rPr>
        <w:t xml:space="preserve">TSCA </w:t>
      </w:r>
      <w:r w:rsidRPr="1CC48348">
        <w:rPr>
          <w:rFonts w:asciiTheme="minorHAnsi" w:hAnsiTheme="minorHAnsi"/>
        </w:rPr>
        <w:t>section 8(e) submissions will still be handled via non-confidential and confidential computerized data bases.</w:t>
      </w:r>
    </w:p>
    <w:p w:rsidR="008C2B73" w:rsidRPr="00B17D82" w:rsidP="41771A7D" w14:paraId="56A42A6B" w14:textId="2E16B7D9">
      <w:pPr>
        <w:rPr>
          <w:rFonts w:asciiTheme="minorHAnsi" w:hAnsiTheme="minorHAnsi"/>
        </w:rPr>
      </w:pPr>
      <w:r w:rsidRPr="41771A7D">
        <w:rPr>
          <w:rFonts w:asciiTheme="minorHAnsi" w:hAnsiTheme="minorHAnsi"/>
        </w:rPr>
        <w:t xml:space="preserve">In order to assure that the public is kept apprised of new adverse chemical-related toxicity and exposure information, the Agency provides public access to and actively disseminates non-confidential </w:t>
      </w:r>
      <w:r w:rsidRPr="41771A7D" w:rsidR="6FFAC189">
        <w:rPr>
          <w:rFonts w:asciiTheme="minorHAnsi" w:hAnsiTheme="minorHAnsi"/>
        </w:rPr>
        <w:t xml:space="preserve">TSCA </w:t>
      </w:r>
      <w:r w:rsidRPr="41771A7D">
        <w:rPr>
          <w:rFonts w:asciiTheme="minorHAnsi" w:hAnsiTheme="minorHAnsi"/>
        </w:rPr>
        <w:t>section 8(e) submission information in many ways. Examples of EPA’s public access/outreach activities follow.</w:t>
      </w:r>
    </w:p>
    <w:p w:rsidR="008C2B73" w:rsidRPr="00B17D82" w:rsidP="2A808E10" w14:paraId="6AB3B2E5" w14:textId="6401CF30">
      <w:pPr>
        <w:rPr>
          <w:rFonts w:asciiTheme="minorHAnsi" w:hAnsiTheme="minorHAnsi"/>
          <w:color w:val="FF0000"/>
        </w:rPr>
      </w:pPr>
      <w:r w:rsidRPr="41771A7D">
        <w:rPr>
          <w:rFonts w:asciiTheme="minorHAnsi" w:hAnsiTheme="minorHAnsi"/>
        </w:rPr>
        <w:t xml:space="preserve">Non-confidential </w:t>
      </w:r>
      <w:r w:rsidRPr="41771A7D" w:rsidR="14BB547E">
        <w:rPr>
          <w:rFonts w:asciiTheme="minorHAnsi" w:hAnsiTheme="minorHAnsi"/>
        </w:rPr>
        <w:t xml:space="preserve">TSCA section </w:t>
      </w:r>
      <w:r w:rsidRPr="41771A7D">
        <w:rPr>
          <w:rFonts w:asciiTheme="minorHAnsi" w:hAnsiTheme="minorHAnsi"/>
        </w:rPr>
        <w:t xml:space="preserve">8(e) </w:t>
      </w:r>
      <w:r w:rsidRPr="41771A7D" w:rsidR="19219AB8">
        <w:rPr>
          <w:rFonts w:asciiTheme="minorHAnsi" w:hAnsiTheme="minorHAnsi"/>
        </w:rPr>
        <w:t xml:space="preserve">and FYI </w:t>
      </w:r>
      <w:r w:rsidRPr="41771A7D">
        <w:rPr>
          <w:rFonts w:asciiTheme="minorHAnsi" w:hAnsiTheme="minorHAnsi"/>
        </w:rPr>
        <w:t xml:space="preserve">submissions, status reports, submission summaries, and EPA follow-up letters can be viewed/copied in EPA’s Chemview database </w:t>
      </w:r>
      <w:r w:rsidRPr="41771A7D" w:rsidR="5D27742E">
        <w:rPr>
          <w:rFonts w:asciiTheme="minorHAnsi" w:hAnsiTheme="minorHAnsi"/>
        </w:rPr>
        <w:t xml:space="preserve">at </w:t>
      </w:r>
      <w:r w:rsidRPr="41771A7D" w:rsidR="1ADD9A70">
        <w:rPr>
          <w:rFonts w:asciiTheme="minorHAnsi" w:hAnsiTheme="minorHAnsi"/>
        </w:rPr>
        <w:t xml:space="preserve"> </w:t>
      </w:r>
      <w:hyperlink r:id="rId13" w:history="1">
        <w:r w:rsidRPr="41771A7D" w:rsidR="1ADD9A70">
          <w:rPr>
            <w:rStyle w:val="Hyperlink"/>
            <w:rFonts w:asciiTheme="minorHAnsi" w:hAnsiTheme="minorHAnsi"/>
          </w:rPr>
          <w:t>https://chemview.epa.gov/chemview/</w:t>
        </w:r>
      </w:hyperlink>
      <w:r w:rsidRPr="41771A7D" w:rsidR="1ADD9A70">
        <w:rPr>
          <w:rFonts w:asciiTheme="minorHAnsi" w:hAnsiTheme="minorHAnsi"/>
        </w:rPr>
        <w:t xml:space="preserve"> </w:t>
      </w:r>
    </w:p>
    <w:p w:rsidR="008C2B73" w:rsidP="2A808E10" w14:paraId="3E943D3B" w14:textId="6CF6BE1D">
      <w:pPr>
        <w:rPr>
          <w:rFonts w:asciiTheme="minorHAnsi" w:hAnsiTheme="minorHAnsi"/>
        </w:rPr>
      </w:pPr>
      <w:r w:rsidRPr="2A808E10">
        <w:rPr>
          <w:rFonts w:asciiTheme="minorHAnsi" w:hAnsiTheme="minorHAnsi"/>
        </w:rPr>
        <w:t xml:space="preserve">Under established Freedom of Information Act (FOIA) procedures, EPA responds to requests from industry, other stakeholders and the public. </w:t>
      </w:r>
    </w:p>
    <w:p w:rsidR="001724A7" w:rsidRPr="001724A7" w:rsidP="001724A7" w14:paraId="1E3DCAED" w14:textId="77777777">
      <w:pPr>
        <w:pStyle w:val="Heading3"/>
        <w:numPr>
          <w:ilvl w:val="0"/>
          <w:numId w:val="0"/>
        </w:numPr>
        <w:rPr>
          <w:rFonts w:asciiTheme="minorHAnsi" w:hAnsiTheme="minorHAnsi" w:cstheme="minorHAnsi"/>
        </w:rPr>
      </w:pPr>
      <w:r w:rsidRPr="001724A7">
        <w:rPr>
          <w:rFonts w:asciiTheme="minorHAnsi" w:hAnsiTheme="minorHAnsi" w:cstheme="minorHAnsi"/>
        </w:rPr>
        <w:t>14b. AGENCY BURDEN AND LABOR COST</w:t>
      </w:r>
    </w:p>
    <w:p w:rsidR="00BE0059" w:rsidP="0C501E31" w14:paraId="62C0A4CF" w14:textId="0D42E369">
      <w:pPr>
        <w:rPr>
          <w:rFonts w:asciiTheme="minorHAnsi" w:hAnsiTheme="minorHAnsi"/>
        </w:rPr>
      </w:pPr>
      <w:r w:rsidRPr="17EECA3F">
        <w:rPr>
          <w:rFonts w:asciiTheme="minorHAnsi" w:hAnsiTheme="minorHAnsi"/>
        </w:rPr>
        <w:t xml:space="preserve">For this ICR, EPA estimates that a GS-13, Step 5, staff member spends 7.1 hours to initially review, process, and/or answer questions on each </w:t>
      </w:r>
      <w:r w:rsidRPr="17EECA3F" w:rsidR="00D856E6">
        <w:rPr>
          <w:rFonts w:asciiTheme="minorHAnsi" w:hAnsiTheme="minorHAnsi"/>
        </w:rPr>
        <w:t>electronic</w:t>
      </w:r>
      <w:r w:rsidRPr="17EECA3F" w:rsidR="000A0277">
        <w:rPr>
          <w:rFonts w:asciiTheme="minorHAnsi" w:hAnsiTheme="minorHAnsi"/>
        </w:rPr>
        <w:t xml:space="preserve"> </w:t>
      </w:r>
      <w:r w:rsidRPr="17EECA3F">
        <w:rPr>
          <w:rFonts w:asciiTheme="minorHAnsi" w:hAnsiTheme="minorHAnsi"/>
        </w:rPr>
        <w:t>submission.</w:t>
      </w:r>
      <w:r w:rsidRPr="17EECA3F" w:rsidR="000A0277">
        <w:rPr>
          <w:rFonts w:asciiTheme="minorHAnsi" w:hAnsiTheme="minorHAnsi"/>
        </w:rPr>
        <w:t xml:space="preserve"> EPA </w:t>
      </w:r>
      <w:r w:rsidRPr="17EECA3F" w:rsidR="003F6D9E">
        <w:rPr>
          <w:rFonts w:asciiTheme="minorHAnsi" w:hAnsiTheme="minorHAnsi"/>
        </w:rPr>
        <w:t xml:space="preserve">also </w:t>
      </w:r>
      <w:r w:rsidRPr="17EECA3F" w:rsidR="000A0277">
        <w:rPr>
          <w:rFonts w:asciiTheme="minorHAnsi" w:hAnsiTheme="minorHAnsi"/>
        </w:rPr>
        <w:t>estimates</w:t>
      </w:r>
      <w:r w:rsidRPr="17EECA3F" w:rsidR="00945119">
        <w:rPr>
          <w:rFonts w:asciiTheme="minorHAnsi" w:hAnsiTheme="minorHAnsi"/>
        </w:rPr>
        <w:t xml:space="preserve"> the time to </w:t>
      </w:r>
      <w:r w:rsidRPr="17EECA3F" w:rsidR="000A0277">
        <w:rPr>
          <w:rFonts w:asciiTheme="minorHAnsi" w:hAnsiTheme="minorHAnsi"/>
        </w:rPr>
        <w:t xml:space="preserve">process, copy, </w:t>
      </w:r>
      <w:r w:rsidRPr="17EECA3F" w:rsidR="00945119">
        <w:rPr>
          <w:rFonts w:asciiTheme="minorHAnsi" w:hAnsiTheme="minorHAnsi"/>
        </w:rPr>
        <w:t xml:space="preserve">and </w:t>
      </w:r>
      <w:r w:rsidRPr="17EECA3F" w:rsidR="000A0277">
        <w:rPr>
          <w:rFonts w:asciiTheme="minorHAnsi" w:hAnsiTheme="minorHAnsi"/>
        </w:rPr>
        <w:t>file</w:t>
      </w:r>
      <w:r w:rsidRPr="17EECA3F" w:rsidR="00945119">
        <w:rPr>
          <w:rFonts w:asciiTheme="minorHAnsi" w:hAnsiTheme="minorHAnsi"/>
        </w:rPr>
        <w:t xml:space="preserve"> paper submissions in addition to the tasks described for </w:t>
      </w:r>
      <w:r w:rsidRPr="17EECA3F" w:rsidR="00D856E6">
        <w:rPr>
          <w:rFonts w:asciiTheme="minorHAnsi" w:hAnsiTheme="minorHAnsi"/>
        </w:rPr>
        <w:t>electronic</w:t>
      </w:r>
      <w:r w:rsidRPr="17EECA3F" w:rsidR="00945119">
        <w:rPr>
          <w:rFonts w:asciiTheme="minorHAnsi" w:hAnsiTheme="minorHAnsi"/>
        </w:rPr>
        <w:t xml:space="preserve"> submissions</w:t>
      </w:r>
      <w:r w:rsidRPr="17EECA3F" w:rsidR="000A0277">
        <w:rPr>
          <w:rFonts w:asciiTheme="minorHAnsi" w:hAnsiTheme="minorHAnsi"/>
        </w:rPr>
        <w:t xml:space="preserve"> result</w:t>
      </w:r>
      <w:r w:rsidRPr="17EECA3F" w:rsidR="00945119">
        <w:rPr>
          <w:rFonts w:asciiTheme="minorHAnsi" w:hAnsiTheme="minorHAnsi"/>
        </w:rPr>
        <w:t xml:space="preserve">s </w:t>
      </w:r>
      <w:r w:rsidRPr="17EECA3F" w:rsidR="000A0277">
        <w:rPr>
          <w:rFonts w:asciiTheme="minorHAnsi" w:hAnsiTheme="minorHAnsi"/>
        </w:rPr>
        <w:t xml:space="preserve">in an average of 8.5 hours. </w:t>
      </w:r>
      <w:r w:rsidRPr="17EECA3F" w:rsidR="3E682A00">
        <w:rPr>
          <w:rFonts w:asciiTheme="minorHAnsi" w:hAnsiTheme="minorHAnsi"/>
        </w:rPr>
        <w:t>EP</w:t>
      </w:r>
      <w:r w:rsidRPr="17EECA3F">
        <w:rPr>
          <w:rFonts w:asciiTheme="minorHAnsi" w:hAnsiTheme="minorHAnsi"/>
        </w:rPr>
        <w:t>A</w:t>
      </w:r>
      <w:r w:rsidRPr="17EECA3F" w:rsidR="716DE3AF">
        <w:rPr>
          <w:rFonts w:asciiTheme="minorHAnsi" w:hAnsiTheme="minorHAnsi"/>
        </w:rPr>
        <w:t>’s</w:t>
      </w:r>
      <w:r w:rsidRPr="17EECA3F">
        <w:rPr>
          <w:rFonts w:asciiTheme="minorHAnsi" w:hAnsiTheme="minorHAnsi"/>
        </w:rPr>
        <w:t xml:space="preserve"> wage rate is presented in</w:t>
      </w:r>
      <w:r w:rsidRPr="17EECA3F" w:rsidR="009A2858">
        <w:rPr>
          <w:rFonts w:asciiTheme="minorHAnsi" w:hAnsiTheme="minorHAnsi"/>
        </w:rPr>
        <w:t xml:space="preserve"> </w:t>
      </w:r>
      <w:r w:rsidRPr="17EECA3F" w:rsidR="009A2858">
        <w:rPr>
          <w:rFonts w:asciiTheme="minorHAnsi" w:hAnsiTheme="minorHAnsi"/>
        </w:rPr>
        <w:fldChar w:fldCharType="begin"/>
      </w:r>
      <w:r w:rsidRPr="17EECA3F" w:rsidR="009A2858">
        <w:rPr>
          <w:rFonts w:asciiTheme="minorHAnsi" w:hAnsiTheme="minorHAnsi"/>
        </w:rPr>
        <w:instrText xml:space="preserve"> REF _Ref89781197 \h </w:instrText>
      </w:r>
      <w:r w:rsidRPr="17EECA3F" w:rsidR="00B71E26">
        <w:rPr>
          <w:rFonts w:asciiTheme="minorHAnsi" w:hAnsiTheme="minorHAnsi"/>
        </w:rPr>
        <w:instrText xml:space="preserve"> \* MERGEFORMAT </w:instrText>
      </w:r>
      <w:r w:rsidRPr="17EECA3F" w:rsidR="009A2858">
        <w:rPr>
          <w:rFonts w:asciiTheme="minorHAnsi" w:hAnsiTheme="minorHAnsi"/>
        </w:rPr>
        <w:fldChar w:fldCharType="separate"/>
      </w:r>
      <w:r w:rsidRPr="17EECA3F" w:rsidR="00C82C2C">
        <w:rPr>
          <w:rFonts w:asciiTheme="minorHAnsi" w:hAnsiTheme="minorHAnsi"/>
        </w:rPr>
        <w:t xml:space="preserve">Table </w:t>
      </w:r>
      <w:r w:rsidRPr="17EECA3F" w:rsidR="00C82C2C">
        <w:rPr>
          <w:rFonts w:asciiTheme="minorHAnsi" w:hAnsiTheme="minorHAnsi"/>
          <w:noProof/>
        </w:rPr>
        <w:t>6</w:t>
      </w:r>
      <w:r w:rsidRPr="17EECA3F" w:rsidR="009A2858">
        <w:rPr>
          <w:rFonts w:asciiTheme="minorHAnsi" w:hAnsiTheme="minorHAnsi"/>
        </w:rPr>
        <w:fldChar w:fldCharType="end"/>
      </w:r>
      <w:r w:rsidRPr="17EECA3F">
        <w:rPr>
          <w:rFonts w:asciiTheme="minorHAnsi" w:hAnsiTheme="minorHAnsi"/>
        </w:rPr>
        <w:t xml:space="preserve">.  Given </w:t>
      </w:r>
      <w:r w:rsidRPr="17EECA3F" w:rsidR="00B93BB0">
        <w:rPr>
          <w:rFonts w:asciiTheme="minorHAnsi" w:hAnsiTheme="minorHAnsi"/>
        </w:rPr>
        <w:t>547</w:t>
      </w:r>
      <w:r w:rsidRPr="17EECA3F" w:rsidR="00E37035">
        <w:rPr>
          <w:rFonts w:asciiTheme="minorHAnsi" w:hAnsiTheme="minorHAnsi"/>
        </w:rPr>
        <w:t xml:space="preserve"> </w:t>
      </w:r>
      <w:r w:rsidRPr="17EECA3F" w:rsidR="2A9867E3">
        <w:rPr>
          <w:rFonts w:asciiTheme="minorHAnsi" w:hAnsiTheme="minorHAnsi"/>
        </w:rPr>
        <w:t>TSCA s</w:t>
      </w:r>
      <w:r w:rsidRPr="17EECA3F">
        <w:rPr>
          <w:rFonts w:asciiTheme="minorHAnsi" w:hAnsiTheme="minorHAnsi"/>
        </w:rPr>
        <w:t xml:space="preserve">ection 8(e) and </w:t>
      </w:r>
      <w:r w:rsidRPr="17EECA3F" w:rsidR="007D4C03">
        <w:rPr>
          <w:rFonts w:asciiTheme="minorHAnsi" w:hAnsiTheme="minorHAnsi"/>
        </w:rPr>
        <w:t>4</w:t>
      </w:r>
      <w:r w:rsidRPr="17EECA3F" w:rsidR="00F72D54">
        <w:rPr>
          <w:rFonts w:asciiTheme="minorHAnsi" w:hAnsiTheme="minorHAnsi"/>
        </w:rPr>
        <w:t xml:space="preserve"> </w:t>
      </w:r>
      <w:r w:rsidRPr="17EECA3F">
        <w:rPr>
          <w:rFonts w:asciiTheme="minorHAnsi" w:hAnsiTheme="minorHAnsi"/>
        </w:rPr>
        <w:t xml:space="preserve">FYI </w:t>
      </w:r>
      <w:r w:rsidRPr="17EECA3F" w:rsidR="00D856E6">
        <w:rPr>
          <w:rFonts w:asciiTheme="minorHAnsi" w:hAnsiTheme="minorHAnsi"/>
        </w:rPr>
        <w:t>electronic</w:t>
      </w:r>
      <w:r w:rsidRPr="17EECA3F" w:rsidR="00945119">
        <w:rPr>
          <w:rFonts w:asciiTheme="minorHAnsi" w:hAnsiTheme="minorHAnsi"/>
        </w:rPr>
        <w:t xml:space="preserve"> </w:t>
      </w:r>
      <w:r w:rsidRPr="17EECA3F">
        <w:rPr>
          <w:rFonts w:asciiTheme="minorHAnsi" w:hAnsiTheme="minorHAnsi"/>
        </w:rPr>
        <w:t xml:space="preserve">submissions, yielding </w:t>
      </w:r>
      <w:r w:rsidRPr="17EECA3F" w:rsidR="00E77349">
        <w:rPr>
          <w:rFonts w:asciiTheme="minorHAnsi" w:hAnsiTheme="minorHAnsi"/>
        </w:rPr>
        <w:t>5</w:t>
      </w:r>
      <w:r w:rsidR="00E77349">
        <w:rPr>
          <w:rFonts w:asciiTheme="minorHAnsi" w:hAnsiTheme="minorHAnsi"/>
        </w:rPr>
        <w:t>51</w:t>
      </w:r>
      <w:r w:rsidRPr="17EECA3F" w:rsidR="00E77349">
        <w:rPr>
          <w:rFonts w:asciiTheme="minorHAnsi" w:hAnsiTheme="minorHAnsi"/>
        </w:rPr>
        <w:t xml:space="preserve"> </w:t>
      </w:r>
      <w:r w:rsidRPr="17EECA3F">
        <w:rPr>
          <w:rFonts w:asciiTheme="minorHAnsi" w:hAnsiTheme="minorHAnsi"/>
        </w:rPr>
        <w:t xml:space="preserve">total </w:t>
      </w:r>
      <w:r w:rsidRPr="17EECA3F" w:rsidR="00D856E6">
        <w:rPr>
          <w:rFonts w:asciiTheme="minorHAnsi" w:hAnsiTheme="minorHAnsi"/>
        </w:rPr>
        <w:t>electronic</w:t>
      </w:r>
      <w:r w:rsidRPr="17EECA3F" w:rsidR="00684C89">
        <w:rPr>
          <w:rFonts w:asciiTheme="minorHAnsi" w:hAnsiTheme="minorHAnsi"/>
        </w:rPr>
        <w:t xml:space="preserve"> </w:t>
      </w:r>
      <w:r w:rsidRPr="17EECA3F">
        <w:rPr>
          <w:rFonts w:asciiTheme="minorHAnsi" w:hAnsiTheme="minorHAnsi"/>
        </w:rPr>
        <w:t xml:space="preserve">submissions, with each requiring 7.1 hours of EPA staff time, annual agency burden </w:t>
      </w:r>
      <w:r w:rsidRPr="17EECA3F" w:rsidR="003F6D9E">
        <w:rPr>
          <w:rFonts w:asciiTheme="minorHAnsi" w:hAnsiTheme="minorHAnsi"/>
        </w:rPr>
        <w:t>is</w:t>
      </w:r>
      <w:r w:rsidRPr="17EECA3F" w:rsidR="021B157D">
        <w:rPr>
          <w:rFonts w:asciiTheme="minorHAnsi" w:hAnsiTheme="minorHAnsi"/>
        </w:rPr>
        <w:t xml:space="preserve"> </w:t>
      </w:r>
      <w:r w:rsidRPr="17EECA3F" w:rsidR="00B93BB0">
        <w:rPr>
          <w:rFonts w:asciiTheme="minorHAnsi" w:hAnsiTheme="minorHAnsi"/>
        </w:rPr>
        <w:t>3,</w:t>
      </w:r>
      <w:r w:rsidR="007674FE">
        <w:rPr>
          <w:rFonts w:asciiTheme="minorHAnsi" w:hAnsiTheme="minorHAnsi"/>
        </w:rPr>
        <w:t>912</w:t>
      </w:r>
      <w:r w:rsidRPr="17EECA3F" w:rsidR="007674FE">
        <w:rPr>
          <w:rFonts w:asciiTheme="minorHAnsi" w:hAnsiTheme="minorHAnsi"/>
        </w:rPr>
        <w:t xml:space="preserve"> </w:t>
      </w:r>
      <w:r w:rsidRPr="17EECA3F">
        <w:rPr>
          <w:rFonts w:asciiTheme="minorHAnsi" w:hAnsiTheme="minorHAnsi"/>
        </w:rPr>
        <w:t xml:space="preserve">hours. </w:t>
      </w:r>
      <w:r w:rsidRPr="17EECA3F" w:rsidR="00684C89">
        <w:rPr>
          <w:rFonts w:asciiTheme="minorHAnsi" w:hAnsiTheme="minorHAnsi"/>
        </w:rPr>
        <w:t xml:space="preserve">In addition, given </w:t>
      </w:r>
      <w:r w:rsidRPr="17EECA3F" w:rsidR="00B93BB0">
        <w:rPr>
          <w:rFonts w:asciiTheme="minorHAnsi" w:hAnsiTheme="minorHAnsi"/>
        </w:rPr>
        <w:t>5</w:t>
      </w:r>
      <w:r w:rsidRPr="17EECA3F" w:rsidR="00684C89">
        <w:rPr>
          <w:rFonts w:asciiTheme="minorHAnsi" w:hAnsiTheme="minorHAnsi"/>
        </w:rPr>
        <w:t xml:space="preserve"> </w:t>
      </w:r>
      <w:r w:rsidRPr="17EECA3F" w:rsidR="7F46951F">
        <w:rPr>
          <w:rFonts w:asciiTheme="minorHAnsi" w:hAnsiTheme="minorHAnsi"/>
        </w:rPr>
        <w:t xml:space="preserve">TSCA </w:t>
      </w:r>
      <w:r w:rsidRPr="17EECA3F" w:rsidR="63A963F5">
        <w:rPr>
          <w:rFonts w:asciiTheme="minorHAnsi" w:hAnsiTheme="minorHAnsi"/>
        </w:rPr>
        <w:t>s</w:t>
      </w:r>
      <w:r w:rsidRPr="17EECA3F" w:rsidR="00684C89">
        <w:rPr>
          <w:rFonts w:asciiTheme="minorHAnsi" w:hAnsiTheme="minorHAnsi"/>
        </w:rPr>
        <w:t xml:space="preserve">ection 8(e) and </w:t>
      </w:r>
      <w:r w:rsidRPr="17EECA3F" w:rsidR="00B93BB0">
        <w:rPr>
          <w:rFonts w:asciiTheme="minorHAnsi" w:hAnsiTheme="minorHAnsi"/>
        </w:rPr>
        <w:t>1</w:t>
      </w:r>
      <w:r w:rsidRPr="17EECA3F" w:rsidR="00684C89">
        <w:rPr>
          <w:rFonts w:asciiTheme="minorHAnsi" w:hAnsiTheme="minorHAnsi"/>
        </w:rPr>
        <w:t xml:space="preserve"> FYI paper submissions, yielding </w:t>
      </w:r>
      <w:r w:rsidRPr="17EECA3F" w:rsidR="00B93BB0">
        <w:rPr>
          <w:rFonts w:asciiTheme="minorHAnsi" w:hAnsiTheme="minorHAnsi"/>
        </w:rPr>
        <w:t>6</w:t>
      </w:r>
      <w:r w:rsidRPr="17EECA3F" w:rsidR="00684C89">
        <w:rPr>
          <w:rFonts w:asciiTheme="minorHAnsi" w:hAnsiTheme="minorHAnsi"/>
        </w:rPr>
        <w:t xml:space="preserve"> total paper submissions, with each requiring 8.5 hours of EPA staff time, annual agency burden is </w:t>
      </w:r>
      <w:r w:rsidRPr="17EECA3F" w:rsidR="00B93BB0">
        <w:rPr>
          <w:rFonts w:asciiTheme="minorHAnsi" w:hAnsiTheme="minorHAnsi"/>
        </w:rPr>
        <w:t>51</w:t>
      </w:r>
      <w:r w:rsidRPr="17EECA3F" w:rsidR="00684C89">
        <w:rPr>
          <w:rFonts w:asciiTheme="minorHAnsi" w:hAnsiTheme="minorHAnsi"/>
        </w:rPr>
        <w:t xml:space="preserve"> hours. Total annual agency burden is </w:t>
      </w:r>
      <w:r w:rsidRPr="17EECA3F" w:rsidR="00B93BB0">
        <w:rPr>
          <w:rFonts w:asciiTheme="minorHAnsi" w:hAnsiTheme="minorHAnsi"/>
        </w:rPr>
        <w:t>3,</w:t>
      </w:r>
      <w:r w:rsidRPr="17EECA3F" w:rsidR="000A1D32">
        <w:rPr>
          <w:rFonts w:asciiTheme="minorHAnsi" w:hAnsiTheme="minorHAnsi"/>
        </w:rPr>
        <w:t>9</w:t>
      </w:r>
      <w:r w:rsidR="000A1D32">
        <w:rPr>
          <w:rFonts w:asciiTheme="minorHAnsi" w:hAnsiTheme="minorHAnsi"/>
        </w:rPr>
        <w:t>63</w:t>
      </w:r>
      <w:r w:rsidRPr="17EECA3F" w:rsidR="000A1D32">
        <w:rPr>
          <w:rFonts w:asciiTheme="minorHAnsi" w:hAnsiTheme="minorHAnsi"/>
        </w:rPr>
        <w:t xml:space="preserve"> </w:t>
      </w:r>
      <w:r w:rsidRPr="17EECA3F" w:rsidR="00684C89">
        <w:rPr>
          <w:rFonts w:asciiTheme="minorHAnsi" w:hAnsiTheme="minorHAnsi"/>
        </w:rPr>
        <w:t xml:space="preserve">hours.  </w:t>
      </w:r>
    </w:p>
    <w:p w:rsidR="00CA767F" w:rsidP="0C501E31" w14:paraId="6BDBD74E" w14:textId="6B5AE6FF">
      <w:pPr>
        <w:rPr>
          <w:rFonts w:asciiTheme="minorHAnsi" w:hAnsiTheme="minorHAnsi"/>
          <w:b/>
          <w:bCs/>
        </w:rPr>
      </w:pPr>
      <w:r w:rsidRPr="00401033">
        <w:rPr>
          <w:rFonts w:asciiTheme="minorHAnsi" w:hAnsiTheme="minorHAnsi"/>
          <w:b/>
          <w:bCs/>
        </w:rPr>
        <w:t>14c. Agency Non-Labor Costs</w:t>
      </w:r>
    </w:p>
    <w:p w:rsidR="00B44704" w:rsidP="0C501E31" w14:paraId="0DDCA7FE" w14:textId="77777777">
      <w:pPr>
        <w:rPr>
          <w:rFonts w:asciiTheme="minorHAnsi" w:hAnsiTheme="minorHAnsi"/>
        </w:rPr>
      </w:pPr>
      <w:r w:rsidRPr="007E6337">
        <w:rPr>
          <w:rFonts w:asciiTheme="minorHAnsi" w:hAnsiTheme="minorHAnsi"/>
        </w:rPr>
        <w:t>There are no anticipated non-labor costs for the Agency.</w:t>
      </w:r>
    </w:p>
    <w:p w:rsidR="00CA767F" w:rsidRPr="00401033" w:rsidP="0C501E31" w14:paraId="760DC756" w14:textId="5991C993">
      <w:pPr>
        <w:rPr>
          <w:rFonts w:asciiTheme="minorHAnsi" w:hAnsiTheme="minorHAnsi"/>
          <w:b/>
          <w:bCs/>
        </w:rPr>
      </w:pPr>
      <w:r w:rsidRPr="00401033">
        <w:rPr>
          <w:rFonts w:asciiTheme="minorHAnsi" w:hAnsiTheme="minorHAnsi"/>
          <w:b/>
          <w:bCs/>
        </w:rPr>
        <w:t>14d. Agency Total Costs</w:t>
      </w:r>
    </w:p>
    <w:p w:rsidR="00401033" w:rsidP="0C501E31" w14:paraId="781F285F" w14:textId="0FD5AC45">
      <w:pPr>
        <w:rPr>
          <w:rFonts w:asciiTheme="minorHAnsi" w:hAnsiTheme="minorHAnsi"/>
        </w:rPr>
      </w:pPr>
      <w:r w:rsidRPr="17EECA3F">
        <w:rPr>
          <w:rFonts w:asciiTheme="minorHAnsi" w:hAnsiTheme="minorHAnsi"/>
        </w:rPr>
        <w:t xml:space="preserve">Applying the agency wage rate in </w:t>
      </w:r>
      <w:r w:rsidRPr="17EECA3F">
        <w:rPr>
          <w:rFonts w:asciiTheme="minorHAnsi" w:hAnsiTheme="minorHAnsi"/>
        </w:rPr>
        <w:fldChar w:fldCharType="begin"/>
      </w:r>
      <w:r w:rsidRPr="17EECA3F">
        <w:rPr>
          <w:rFonts w:asciiTheme="minorHAnsi" w:hAnsiTheme="minorHAnsi"/>
        </w:rPr>
        <w:instrText xml:space="preserve"> REF _Ref89781197 \h  \* MERGEFORMAT </w:instrText>
      </w:r>
      <w:r w:rsidRPr="17EECA3F">
        <w:rPr>
          <w:rFonts w:asciiTheme="minorHAnsi" w:hAnsiTheme="minorHAnsi"/>
        </w:rPr>
        <w:fldChar w:fldCharType="separate"/>
      </w:r>
      <w:r w:rsidRPr="17EECA3F">
        <w:rPr>
          <w:rFonts w:asciiTheme="minorHAnsi" w:hAnsiTheme="minorHAnsi"/>
        </w:rPr>
        <w:t xml:space="preserve">Table </w:t>
      </w:r>
      <w:r w:rsidRPr="17EECA3F">
        <w:rPr>
          <w:rFonts w:asciiTheme="minorHAnsi" w:hAnsiTheme="minorHAnsi"/>
          <w:noProof/>
        </w:rPr>
        <w:t>6</w:t>
      </w:r>
      <w:r w:rsidRPr="17EECA3F">
        <w:rPr>
          <w:rFonts w:asciiTheme="minorHAnsi" w:hAnsiTheme="minorHAnsi"/>
        </w:rPr>
        <w:fldChar w:fldCharType="end"/>
      </w:r>
      <w:r w:rsidRPr="17EECA3F">
        <w:rPr>
          <w:rFonts w:asciiTheme="minorHAnsi" w:hAnsiTheme="minorHAnsi"/>
        </w:rPr>
        <w:t xml:space="preserve"> yields annual agency costs at $</w:t>
      </w:r>
      <w:r w:rsidR="00D1388D">
        <w:rPr>
          <w:rFonts w:asciiTheme="minorHAnsi" w:hAnsiTheme="minorHAnsi"/>
        </w:rPr>
        <w:t>499</w:t>
      </w:r>
      <w:r w:rsidR="001B03EE">
        <w:rPr>
          <w:rFonts w:asciiTheme="minorHAnsi" w:hAnsiTheme="minorHAnsi"/>
        </w:rPr>
        <w:t>,298</w:t>
      </w:r>
      <w:r w:rsidRPr="17EECA3F">
        <w:rPr>
          <w:rFonts w:asciiTheme="minorHAnsi" w:hAnsiTheme="minorHAnsi"/>
        </w:rPr>
        <w:t xml:space="preserve"> (see also </w:t>
      </w:r>
      <w:r w:rsidRPr="17EECA3F">
        <w:rPr>
          <w:rFonts w:asciiTheme="minorHAnsi" w:hAnsiTheme="minorHAnsi"/>
        </w:rPr>
        <w:fldChar w:fldCharType="begin"/>
      </w:r>
      <w:r w:rsidRPr="17EECA3F">
        <w:rPr>
          <w:rFonts w:asciiTheme="minorHAnsi" w:hAnsiTheme="minorHAnsi"/>
        </w:rPr>
        <w:instrText xml:space="preserve"> REF _Ref89782564 \h  \* MERGEFORMAT </w:instrText>
      </w:r>
      <w:r w:rsidRPr="17EECA3F">
        <w:rPr>
          <w:rFonts w:asciiTheme="minorHAnsi" w:hAnsiTheme="minorHAnsi"/>
        </w:rPr>
        <w:fldChar w:fldCharType="separate"/>
      </w:r>
      <w:r w:rsidRPr="17EECA3F">
        <w:rPr>
          <w:rFonts w:asciiTheme="minorHAnsi" w:hAnsiTheme="minorHAnsi"/>
        </w:rPr>
        <w:t xml:space="preserve">Table </w:t>
      </w:r>
      <w:r w:rsidRPr="17EECA3F">
        <w:rPr>
          <w:rFonts w:asciiTheme="minorHAnsi" w:hAnsiTheme="minorHAnsi"/>
          <w:noProof/>
        </w:rPr>
        <w:t>1</w:t>
      </w:r>
      <w:r w:rsidRPr="17EECA3F">
        <w:rPr>
          <w:rFonts w:asciiTheme="minorHAnsi" w:hAnsiTheme="minorHAnsi"/>
        </w:rPr>
        <w:fldChar w:fldCharType="end"/>
      </w:r>
      <w:r w:rsidRPr="17EECA3F">
        <w:rPr>
          <w:rFonts w:asciiTheme="minorHAnsi" w:hAnsiTheme="minorHAnsi"/>
        </w:rPr>
        <w:t>).</w:t>
      </w:r>
    </w:p>
    <w:p w:rsidR="00EA5C6E" w:rsidRPr="00A0473D" w:rsidP="0C501E31" w14:paraId="4FD9CCD4" w14:textId="1C522068">
      <w:pPr>
        <w:pStyle w:val="Caption"/>
        <w:rPr>
          <w:rFonts w:asciiTheme="minorHAnsi" w:hAnsiTheme="minorHAnsi" w:cstheme="minorBidi"/>
          <w:lang w:bidi="en-US"/>
        </w:rPr>
      </w:pPr>
      <w:bookmarkStart w:id="14" w:name="_Ref89781197"/>
      <w:r w:rsidRPr="17EECA3F">
        <w:rPr>
          <w:rFonts w:asciiTheme="minorHAnsi" w:hAnsiTheme="minorHAnsi" w:cstheme="minorBidi"/>
        </w:rPr>
        <w:t xml:space="preserve">Table </w:t>
      </w:r>
      <w:r w:rsidRPr="17EECA3F">
        <w:rPr>
          <w:rFonts w:asciiTheme="minorHAnsi" w:hAnsiTheme="minorHAnsi" w:cstheme="minorBidi"/>
        </w:rPr>
        <w:fldChar w:fldCharType="begin"/>
      </w:r>
      <w:r w:rsidRPr="17EECA3F">
        <w:rPr>
          <w:rFonts w:asciiTheme="minorHAnsi" w:hAnsiTheme="minorHAnsi" w:cstheme="minorBidi"/>
        </w:rPr>
        <w:instrText xml:space="preserve"> SEQ Table \* ARABIC </w:instrText>
      </w:r>
      <w:r w:rsidRPr="17EECA3F">
        <w:rPr>
          <w:rFonts w:asciiTheme="minorHAnsi" w:hAnsiTheme="minorHAnsi" w:cstheme="minorBidi"/>
        </w:rPr>
        <w:fldChar w:fldCharType="separate"/>
      </w:r>
      <w:r w:rsidRPr="17EECA3F" w:rsidR="00C82C2C">
        <w:rPr>
          <w:rFonts w:asciiTheme="minorHAnsi" w:hAnsiTheme="minorHAnsi" w:cstheme="minorBidi"/>
          <w:noProof/>
        </w:rPr>
        <w:t>6</w:t>
      </w:r>
      <w:r w:rsidRPr="17EECA3F">
        <w:rPr>
          <w:rFonts w:asciiTheme="minorHAnsi" w:hAnsiTheme="minorHAnsi" w:cstheme="minorBidi"/>
          <w:noProof/>
        </w:rPr>
        <w:fldChar w:fldCharType="end"/>
      </w:r>
      <w:bookmarkEnd w:id="14"/>
      <w:r w:rsidRPr="17EECA3F">
        <w:rPr>
          <w:rFonts w:asciiTheme="minorHAnsi" w:hAnsiTheme="minorHAnsi" w:cstheme="minorBidi"/>
        </w:rPr>
        <w:t>: Agency Wage Rate (</w:t>
      </w:r>
      <w:r w:rsidRPr="17EECA3F" w:rsidR="00A0473D">
        <w:rPr>
          <w:rFonts w:asciiTheme="minorHAnsi" w:hAnsiTheme="minorHAnsi" w:cstheme="minorBidi"/>
        </w:rPr>
        <w:t>2024</w:t>
      </w:r>
      <w:r w:rsidRPr="17EECA3F">
        <w:rPr>
          <w:rFonts w:asciiTheme="minorHAnsi" w:hAnsiTheme="minorHAnsi" w:cstheme="minorBidi"/>
        </w:rPr>
        <w:t xml:space="preserve">$) </w:t>
      </w:r>
    </w:p>
    <w:tbl>
      <w:tblPr>
        <w:tblW w:w="10846" w:type="dxa"/>
        <w:tblLayout w:type="fixed"/>
        <w:tblCellMar>
          <w:top w:w="15" w:type="dxa"/>
          <w:bottom w:w="15" w:type="dxa"/>
        </w:tblCellMar>
        <w:tblLook w:val="04A0"/>
      </w:tblPr>
      <w:tblGrid>
        <w:gridCol w:w="897"/>
        <w:gridCol w:w="1620"/>
        <w:gridCol w:w="900"/>
        <w:gridCol w:w="990"/>
        <w:gridCol w:w="1096"/>
        <w:gridCol w:w="1308"/>
        <w:gridCol w:w="1330"/>
        <w:gridCol w:w="1072"/>
        <w:gridCol w:w="1134"/>
        <w:gridCol w:w="499"/>
      </w:tblGrid>
      <w:tr w14:paraId="33DED28F" w14:textId="77777777" w:rsidTr="00E42BCE">
        <w:tblPrEx>
          <w:tblW w:w="10846" w:type="dxa"/>
          <w:tblLayout w:type="fixed"/>
          <w:tblCellMar>
            <w:top w:w="15" w:type="dxa"/>
            <w:bottom w:w="15" w:type="dxa"/>
          </w:tblCellMar>
          <w:tblLook w:val="04A0"/>
        </w:tblPrEx>
        <w:trPr>
          <w:gridAfter w:val="1"/>
          <w:wAfter w:w="499" w:type="dxa"/>
          <w:trHeight w:val="1275"/>
        </w:trPr>
        <w:tc>
          <w:tcPr>
            <w:tcW w:w="897" w:type="dxa"/>
            <w:vMerge w:val="restart"/>
            <w:tcBorders>
              <w:top w:val="single" w:sz="4" w:space="0" w:color="auto"/>
              <w:left w:val="single" w:sz="2" w:space="0" w:color="auto"/>
              <w:bottom w:val="nil"/>
              <w:right w:val="single" w:sz="2" w:space="0" w:color="auto"/>
            </w:tcBorders>
            <w:shd w:val="clear" w:color="auto" w:fill="D9D9D9" w:themeFill="background1" w:themeFillShade="D9"/>
            <w:vAlign w:val="center"/>
            <w:hideMark/>
          </w:tcPr>
          <w:p w:rsidR="00071DEB" w:rsidRPr="004A169C" w:rsidP="1CC48348" w14:paraId="1F5733D2" w14:textId="77777777">
            <w:pPr>
              <w:spacing w:after="0" w:line="240" w:lineRule="auto"/>
              <w:rPr>
                <w:rFonts w:eastAsia="Times New Roman" w:asciiTheme="minorHAnsi" w:hAnsiTheme="minorHAnsi"/>
                <w:b/>
                <w:bCs/>
                <w:color w:val="000000"/>
                <w:sz w:val="18"/>
                <w:szCs w:val="18"/>
              </w:rPr>
            </w:pPr>
            <w:r w:rsidRPr="1CC48348">
              <w:rPr>
                <w:rFonts w:eastAsia="Times New Roman" w:asciiTheme="minorHAnsi" w:hAnsiTheme="minorHAnsi"/>
                <w:b/>
                <w:bCs/>
                <w:color w:val="000000" w:themeColor="text1"/>
                <w:sz w:val="18"/>
                <w:szCs w:val="18"/>
              </w:rPr>
              <w:t>Labor Category</w:t>
            </w:r>
          </w:p>
        </w:tc>
        <w:tc>
          <w:tcPr>
            <w:tcW w:w="1620" w:type="dxa"/>
            <w:vMerge w:val="restart"/>
            <w:tcBorders>
              <w:top w:val="single" w:sz="4" w:space="0" w:color="auto"/>
              <w:left w:val="single" w:sz="2" w:space="0" w:color="auto"/>
              <w:bottom w:val="nil"/>
              <w:right w:val="single" w:sz="2" w:space="0" w:color="auto"/>
            </w:tcBorders>
            <w:shd w:val="clear" w:color="auto" w:fill="D9D9D9" w:themeFill="background1" w:themeFillShade="D9"/>
            <w:vAlign w:val="center"/>
            <w:hideMark/>
          </w:tcPr>
          <w:p w:rsidR="00071DEB" w:rsidRPr="004A169C" w:rsidP="1CC48348" w14:paraId="6F6BB9CE" w14:textId="77777777">
            <w:pPr>
              <w:spacing w:after="0" w:line="240" w:lineRule="auto"/>
              <w:rPr>
                <w:rFonts w:eastAsia="Times New Roman" w:asciiTheme="minorHAnsi" w:hAnsiTheme="minorHAnsi"/>
                <w:b/>
                <w:bCs/>
                <w:color w:val="000000"/>
                <w:sz w:val="18"/>
                <w:szCs w:val="18"/>
              </w:rPr>
            </w:pPr>
            <w:r w:rsidRPr="1CC48348">
              <w:rPr>
                <w:rFonts w:eastAsia="Times New Roman" w:asciiTheme="minorHAnsi" w:hAnsiTheme="minorHAnsi"/>
                <w:b/>
                <w:bCs/>
                <w:color w:val="000000" w:themeColor="text1"/>
                <w:sz w:val="18"/>
                <w:szCs w:val="18"/>
              </w:rPr>
              <w:t>Data Source for Wage Information</w:t>
            </w:r>
          </w:p>
        </w:tc>
        <w:tc>
          <w:tcPr>
            <w:tcW w:w="900" w:type="dxa"/>
            <w:tcBorders>
              <w:top w:val="single" w:sz="4" w:space="0" w:color="auto"/>
              <w:left w:val="single" w:sz="2" w:space="0" w:color="auto"/>
              <w:bottom w:val="single" w:sz="8" w:space="0" w:color="auto"/>
              <w:right w:val="single" w:sz="8" w:space="0" w:color="auto"/>
            </w:tcBorders>
            <w:shd w:val="clear" w:color="auto" w:fill="D9D9D9" w:themeFill="background1" w:themeFillShade="D9"/>
            <w:vAlign w:val="center"/>
            <w:hideMark/>
          </w:tcPr>
          <w:p w:rsidR="00071DEB" w:rsidRPr="004A169C" w:rsidP="1CC48348" w14:paraId="12C40EB9" w14:textId="77777777">
            <w:pPr>
              <w:spacing w:after="0" w:line="240" w:lineRule="auto"/>
              <w:rPr>
                <w:rFonts w:eastAsia="Times New Roman" w:asciiTheme="minorHAnsi" w:hAnsiTheme="minorHAnsi"/>
                <w:b/>
                <w:bCs/>
                <w:color w:val="000000"/>
                <w:sz w:val="18"/>
                <w:szCs w:val="18"/>
              </w:rPr>
            </w:pPr>
            <w:r w:rsidRPr="1CC48348">
              <w:rPr>
                <w:rFonts w:eastAsia="Times New Roman" w:asciiTheme="minorHAnsi" w:hAnsiTheme="minorHAnsi"/>
                <w:b/>
                <w:bCs/>
                <w:color w:val="000000" w:themeColor="text1"/>
                <w:sz w:val="18"/>
                <w:szCs w:val="18"/>
              </w:rPr>
              <w:t>Wage ($/hour)</w:t>
            </w:r>
          </w:p>
        </w:tc>
        <w:tc>
          <w:tcPr>
            <w:tcW w:w="990"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071DEB" w:rsidRPr="004A169C" w:rsidP="1CC48348" w14:paraId="06757E7E" w14:textId="77777777">
            <w:pPr>
              <w:spacing w:after="0" w:line="240" w:lineRule="auto"/>
              <w:rPr>
                <w:rFonts w:eastAsia="Times New Roman" w:asciiTheme="minorHAnsi" w:hAnsiTheme="minorHAnsi"/>
                <w:b/>
                <w:bCs/>
                <w:color w:val="000000"/>
                <w:sz w:val="18"/>
                <w:szCs w:val="18"/>
              </w:rPr>
            </w:pPr>
            <w:r w:rsidRPr="1CC48348">
              <w:rPr>
                <w:rFonts w:eastAsia="Times New Roman" w:asciiTheme="minorHAnsi" w:hAnsiTheme="minorHAnsi"/>
                <w:b/>
                <w:bCs/>
                <w:color w:val="000000" w:themeColor="text1"/>
                <w:sz w:val="18"/>
                <w:szCs w:val="18"/>
              </w:rPr>
              <w:t>Fringes as % wage</w:t>
            </w:r>
            <w:r w:rsidRPr="1CC48348">
              <w:rPr>
                <w:rFonts w:eastAsia="Times New Roman" w:asciiTheme="minorHAnsi" w:hAnsiTheme="minorHAnsi"/>
                <w:b/>
                <w:bCs/>
                <w:color w:val="000000" w:themeColor="text1"/>
                <w:sz w:val="18"/>
                <w:szCs w:val="18"/>
                <w:vertAlign w:val="superscript"/>
              </w:rPr>
              <w:t>b</w:t>
            </w:r>
          </w:p>
        </w:tc>
        <w:tc>
          <w:tcPr>
            <w:tcW w:w="1096"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071DEB" w:rsidRPr="004A169C" w:rsidP="1CC48348" w14:paraId="64824C7D" w14:textId="77777777">
            <w:pPr>
              <w:spacing w:after="0" w:line="240" w:lineRule="auto"/>
              <w:rPr>
                <w:rFonts w:eastAsia="Times New Roman" w:asciiTheme="minorHAnsi" w:hAnsiTheme="minorHAnsi"/>
                <w:b/>
                <w:bCs/>
                <w:color w:val="000000"/>
                <w:sz w:val="18"/>
                <w:szCs w:val="18"/>
              </w:rPr>
            </w:pPr>
            <w:r w:rsidRPr="1CC48348">
              <w:rPr>
                <w:rFonts w:eastAsia="Times New Roman" w:asciiTheme="minorHAnsi" w:hAnsiTheme="minorHAnsi"/>
                <w:b/>
                <w:bCs/>
                <w:color w:val="000000" w:themeColor="text1"/>
                <w:sz w:val="18"/>
                <w:szCs w:val="18"/>
              </w:rPr>
              <w:t>Fringe Benefit</w:t>
            </w:r>
          </w:p>
        </w:tc>
        <w:tc>
          <w:tcPr>
            <w:tcW w:w="1308"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071DEB" w:rsidRPr="004A169C" w:rsidP="1CC48348" w14:paraId="75BD3165" w14:textId="77777777">
            <w:pPr>
              <w:spacing w:after="0" w:line="240" w:lineRule="auto"/>
              <w:rPr>
                <w:rFonts w:eastAsia="Times New Roman" w:asciiTheme="minorHAnsi" w:hAnsiTheme="minorHAnsi"/>
                <w:b/>
                <w:bCs/>
                <w:color w:val="000000"/>
                <w:sz w:val="18"/>
                <w:szCs w:val="18"/>
              </w:rPr>
            </w:pPr>
            <w:r w:rsidRPr="1CC48348">
              <w:rPr>
                <w:rFonts w:eastAsia="Times New Roman" w:asciiTheme="minorHAnsi" w:hAnsiTheme="minorHAnsi"/>
                <w:b/>
                <w:bCs/>
                <w:color w:val="000000" w:themeColor="text1"/>
                <w:sz w:val="18"/>
                <w:szCs w:val="18"/>
              </w:rPr>
              <w:t>Total Compensation</w:t>
            </w:r>
          </w:p>
        </w:tc>
        <w:tc>
          <w:tcPr>
            <w:tcW w:w="1330"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071DEB" w:rsidRPr="004A169C" w:rsidP="1CC48348" w14:paraId="761CF5A9" w14:textId="77777777">
            <w:pPr>
              <w:spacing w:after="0" w:line="240" w:lineRule="auto"/>
              <w:rPr>
                <w:rFonts w:eastAsia="Times New Roman" w:asciiTheme="minorHAnsi" w:hAnsiTheme="minorHAnsi"/>
                <w:b/>
                <w:bCs/>
                <w:color w:val="000000"/>
                <w:sz w:val="18"/>
                <w:szCs w:val="18"/>
              </w:rPr>
            </w:pPr>
            <w:r w:rsidRPr="1CC48348">
              <w:rPr>
                <w:rFonts w:eastAsia="Times New Roman" w:asciiTheme="minorHAnsi" w:hAnsiTheme="minorHAnsi"/>
                <w:b/>
                <w:bCs/>
                <w:color w:val="000000" w:themeColor="text1"/>
                <w:sz w:val="18"/>
                <w:szCs w:val="18"/>
              </w:rPr>
              <w:t>Overhead as % total compensation</w:t>
            </w:r>
            <w:r w:rsidRPr="1CC48348">
              <w:rPr>
                <w:rFonts w:eastAsia="Times New Roman" w:asciiTheme="minorHAnsi" w:hAnsiTheme="minorHAnsi"/>
                <w:b/>
                <w:bCs/>
                <w:color w:val="000000" w:themeColor="text1"/>
                <w:sz w:val="18"/>
                <w:szCs w:val="18"/>
                <w:vertAlign w:val="superscript"/>
              </w:rPr>
              <w:t>c</w:t>
            </w:r>
          </w:p>
        </w:tc>
        <w:tc>
          <w:tcPr>
            <w:tcW w:w="1072"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071DEB" w:rsidRPr="004A169C" w:rsidP="1CC48348" w14:paraId="50094BE8" w14:textId="77777777">
            <w:pPr>
              <w:spacing w:after="0" w:line="240" w:lineRule="auto"/>
              <w:rPr>
                <w:rFonts w:eastAsia="Times New Roman" w:asciiTheme="minorHAnsi" w:hAnsiTheme="minorHAnsi"/>
                <w:b/>
                <w:bCs/>
                <w:color w:val="000000"/>
                <w:sz w:val="18"/>
                <w:szCs w:val="18"/>
              </w:rPr>
            </w:pPr>
            <w:r w:rsidRPr="1CC48348">
              <w:rPr>
                <w:rFonts w:eastAsia="Times New Roman" w:asciiTheme="minorHAnsi" w:hAnsiTheme="minorHAnsi"/>
                <w:b/>
                <w:bCs/>
                <w:color w:val="000000" w:themeColor="text1"/>
                <w:sz w:val="18"/>
                <w:szCs w:val="18"/>
              </w:rPr>
              <w:t>Overhead</w:t>
            </w:r>
          </w:p>
        </w:tc>
        <w:tc>
          <w:tcPr>
            <w:tcW w:w="1134"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071DEB" w:rsidRPr="004A169C" w:rsidP="1CC48348" w14:paraId="0FB1D255" w14:textId="77777777">
            <w:pPr>
              <w:spacing w:after="0" w:line="240" w:lineRule="auto"/>
              <w:rPr>
                <w:rFonts w:eastAsia="Times New Roman" w:asciiTheme="minorHAnsi" w:hAnsiTheme="minorHAnsi"/>
                <w:b/>
                <w:bCs/>
                <w:color w:val="000000"/>
                <w:sz w:val="18"/>
                <w:szCs w:val="18"/>
              </w:rPr>
            </w:pPr>
            <w:r w:rsidRPr="1CC48348">
              <w:rPr>
                <w:rFonts w:eastAsia="Times New Roman" w:asciiTheme="minorHAnsi" w:hAnsiTheme="minorHAnsi"/>
                <w:b/>
                <w:bCs/>
                <w:color w:val="000000" w:themeColor="text1"/>
                <w:sz w:val="18"/>
                <w:szCs w:val="18"/>
              </w:rPr>
              <w:t>Loaded Wage ($/hr)</w:t>
            </w:r>
          </w:p>
        </w:tc>
      </w:tr>
      <w:tr w14:paraId="3F09D70A" w14:textId="77777777" w:rsidTr="00E42BCE">
        <w:tblPrEx>
          <w:tblW w:w="10846" w:type="dxa"/>
          <w:tblLayout w:type="fixed"/>
          <w:tblCellMar>
            <w:top w:w="15" w:type="dxa"/>
            <w:bottom w:w="15" w:type="dxa"/>
          </w:tblCellMar>
          <w:tblLook w:val="04A0"/>
        </w:tblPrEx>
        <w:trPr>
          <w:gridAfter w:val="1"/>
          <w:wAfter w:w="499" w:type="dxa"/>
          <w:trHeight w:val="510"/>
        </w:trPr>
        <w:tc>
          <w:tcPr>
            <w:tcW w:w="897" w:type="dxa"/>
            <w:vMerge/>
            <w:tcBorders>
              <w:left w:val="single" w:sz="2" w:space="0" w:color="auto"/>
              <w:right w:val="single" w:sz="2" w:space="0" w:color="auto"/>
            </w:tcBorders>
            <w:vAlign w:val="center"/>
            <w:hideMark/>
          </w:tcPr>
          <w:p w:rsidR="00071DEB" w:rsidRPr="004A169C" w:rsidP="004A169C" w14:paraId="06407CF6" w14:textId="77777777">
            <w:pPr>
              <w:spacing w:after="0" w:line="240" w:lineRule="auto"/>
              <w:rPr>
                <w:rFonts w:eastAsia="Times New Roman" w:asciiTheme="minorHAnsi" w:hAnsiTheme="minorHAnsi" w:cstheme="minorHAnsi"/>
                <w:b/>
                <w:bCs/>
                <w:color w:val="000000"/>
                <w:sz w:val="22"/>
              </w:rPr>
            </w:pPr>
          </w:p>
        </w:tc>
        <w:tc>
          <w:tcPr>
            <w:tcW w:w="1620" w:type="dxa"/>
            <w:vMerge/>
            <w:tcBorders>
              <w:left w:val="single" w:sz="2" w:space="0" w:color="auto"/>
              <w:right w:val="single" w:sz="2" w:space="0" w:color="auto"/>
            </w:tcBorders>
            <w:vAlign w:val="center"/>
            <w:hideMark/>
          </w:tcPr>
          <w:p w:rsidR="00071DEB" w:rsidRPr="004A169C" w:rsidP="004A169C" w14:paraId="7306A801" w14:textId="77777777">
            <w:pPr>
              <w:spacing w:after="0" w:line="240" w:lineRule="auto"/>
              <w:rPr>
                <w:rFonts w:eastAsia="Times New Roman" w:asciiTheme="minorHAnsi" w:hAnsiTheme="minorHAnsi" w:cstheme="minorHAnsi"/>
                <w:b/>
                <w:bCs/>
                <w:color w:val="000000"/>
                <w:sz w:val="22"/>
              </w:rPr>
            </w:pPr>
          </w:p>
        </w:tc>
        <w:tc>
          <w:tcPr>
            <w:tcW w:w="900" w:type="dxa"/>
            <w:tcBorders>
              <w:top w:val="nil"/>
              <w:left w:val="single" w:sz="2" w:space="0" w:color="auto"/>
              <w:bottom w:val="single" w:sz="8" w:space="0" w:color="auto"/>
              <w:right w:val="single" w:sz="8" w:space="0" w:color="auto"/>
            </w:tcBorders>
            <w:shd w:val="clear" w:color="auto" w:fill="D9D9D9" w:themeFill="background1" w:themeFillShade="D9"/>
            <w:vAlign w:val="center"/>
            <w:hideMark/>
          </w:tcPr>
          <w:p w:rsidR="00071DEB" w:rsidRPr="004A169C" w:rsidP="1CC48348" w14:paraId="616828DF" w14:textId="77777777">
            <w:pPr>
              <w:spacing w:after="0" w:line="240" w:lineRule="auto"/>
              <w:rPr>
                <w:rFonts w:eastAsia="Times New Roman" w:asciiTheme="minorHAnsi" w:hAnsiTheme="minorHAnsi"/>
                <w:b/>
                <w:bCs/>
                <w:color w:val="000000"/>
                <w:sz w:val="18"/>
                <w:szCs w:val="18"/>
              </w:rPr>
            </w:pPr>
            <w:r w:rsidRPr="1CC48348">
              <w:rPr>
                <w:rFonts w:eastAsia="Times New Roman" w:asciiTheme="minorHAnsi" w:hAnsiTheme="minorHAnsi"/>
                <w:b/>
                <w:bCs/>
                <w:color w:val="000000" w:themeColor="text1"/>
                <w:sz w:val="18"/>
                <w:szCs w:val="18"/>
              </w:rPr>
              <w:t>(a)</w:t>
            </w:r>
          </w:p>
        </w:tc>
        <w:tc>
          <w:tcPr>
            <w:tcW w:w="990" w:type="dxa"/>
            <w:tcBorders>
              <w:top w:val="nil"/>
              <w:left w:val="nil"/>
              <w:bottom w:val="single" w:sz="8" w:space="0" w:color="auto"/>
              <w:right w:val="single" w:sz="8" w:space="0" w:color="auto"/>
            </w:tcBorders>
            <w:shd w:val="clear" w:color="auto" w:fill="D9D9D9" w:themeFill="background1" w:themeFillShade="D9"/>
            <w:vAlign w:val="center"/>
            <w:hideMark/>
          </w:tcPr>
          <w:p w:rsidR="00071DEB" w:rsidRPr="004A169C" w:rsidP="1CC48348" w14:paraId="73F4CC40" w14:textId="77777777">
            <w:pPr>
              <w:spacing w:after="0" w:line="240" w:lineRule="auto"/>
              <w:rPr>
                <w:rFonts w:eastAsia="Times New Roman" w:asciiTheme="minorHAnsi" w:hAnsiTheme="minorHAnsi"/>
                <w:b/>
                <w:bCs/>
                <w:color w:val="000000"/>
                <w:sz w:val="18"/>
                <w:szCs w:val="18"/>
              </w:rPr>
            </w:pPr>
            <w:r w:rsidRPr="1CC48348">
              <w:rPr>
                <w:rFonts w:eastAsia="Times New Roman" w:asciiTheme="minorHAnsi" w:hAnsiTheme="minorHAnsi"/>
                <w:b/>
                <w:bCs/>
                <w:color w:val="000000" w:themeColor="text1"/>
                <w:sz w:val="18"/>
                <w:szCs w:val="18"/>
              </w:rPr>
              <w:t>(b)</w:t>
            </w:r>
          </w:p>
        </w:tc>
        <w:tc>
          <w:tcPr>
            <w:tcW w:w="1096" w:type="dxa"/>
            <w:tcBorders>
              <w:top w:val="nil"/>
              <w:left w:val="nil"/>
              <w:bottom w:val="single" w:sz="8" w:space="0" w:color="auto"/>
              <w:right w:val="single" w:sz="8" w:space="0" w:color="auto"/>
            </w:tcBorders>
            <w:shd w:val="clear" w:color="auto" w:fill="D9D9D9" w:themeFill="background1" w:themeFillShade="D9"/>
            <w:vAlign w:val="center"/>
            <w:hideMark/>
          </w:tcPr>
          <w:p w:rsidR="00071DEB" w:rsidRPr="004A169C" w:rsidP="1CC48348" w14:paraId="114C99E8" w14:textId="77777777">
            <w:pPr>
              <w:spacing w:after="0" w:line="240" w:lineRule="auto"/>
              <w:rPr>
                <w:rFonts w:eastAsia="Times New Roman" w:asciiTheme="minorHAnsi" w:hAnsiTheme="minorHAnsi"/>
                <w:b/>
                <w:bCs/>
                <w:color w:val="000000"/>
                <w:sz w:val="18"/>
                <w:szCs w:val="18"/>
              </w:rPr>
            </w:pPr>
            <w:r w:rsidRPr="1CC48348">
              <w:rPr>
                <w:rFonts w:eastAsia="Times New Roman" w:asciiTheme="minorHAnsi" w:hAnsiTheme="minorHAnsi"/>
                <w:b/>
                <w:bCs/>
                <w:color w:val="000000" w:themeColor="text1"/>
                <w:sz w:val="18"/>
                <w:szCs w:val="18"/>
              </w:rPr>
              <w:t>(c) = (a)*(b)</w:t>
            </w:r>
          </w:p>
        </w:tc>
        <w:tc>
          <w:tcPr>
            <w:tcW w:w="1308" w:type="dxa"/>
            <w:tcBorders>
              <w:top w:val="nil"/>
              <w:left w:val="nil"/>
              <w:bottom w:val="single" w:sz="8" w:space="0" w:color="auto"/>
              <w:right w:val="single" w:sz="8" w:space="0" w:color="auto"/>
            </w:tcBorders>
            <w:shd w:val="clear" w:color="auto" w:fill="D9D9D9" w:themeFill="background1" w:themeFillShade="D9"/>
            <w:vAlign w:val="center"/>
            <w:hideMark/>
          </w:tcPr>
          <w:p w:rsidR="00071DEB" w:rsidRPr="004A169C" w:rsidP="1CC48348" w14:paraId="42B90710" w14:textId="77777777">
            <w:pPr>
              <w:spacing w:after="0" w:line="240" w:lineRule="auto"/>
              <w:rPr>
                <w:rFonts w:eastAsia="Times New Roman" w:asciiTheme="minorHAnsi" w:hAnsiTheme="minorHAnsi"/>
                <w:b/>
                <w:bCs/>
                <w:color w:val="000000"/>
                <w:sz w:val="18"/>
                <w:szCs w:val="18"/>
              </w:rPr>
            </w:pPr>
            <w:r w:rsidRPr="1CC48348">
              <w:rPr>
                <w:rFonts w:eastAsia="Times New Roman" w:asciiTheme="minorHAnsi" w:hAnsiTheme="minorHAnsi"/>
                <w:b/>
                <w:bCs/>
                <w:color w:val="000000" w:themeColor="text1"/>
                <w:sz w:val="18"/>
                <w:szCs w:val="18"/>
              </w:rPr>
              <w:t>(d) = (a)+(c)</w:t>
            </w:r>
          </w:p>
        </w:tc>
        <w:tc>
          <w:tcPr>
            <w:tcW w:w="1330" w:type="dxa"/>
            <w:tcBorders>
              <w:top w:val="nil"/>
              <w:left w:val="nil"/>
              <w:bottom w:val="single" w:sz="8" w:space="0" w:color="auto"/>
              <w:right w:val="single" w:sz="8" w:space="0" w:color="auto"/>
            </w:tcBorders>
            <w:shd w:val="clear" w:color="auto" w:fill="D9D9D9" w:themeFill="background1" w:themeFillShade="D9"/>
            <w:vAlign w:val="center"/>
            <w:hideMark/>
          </w:tcPr>
          <w:p w:rsidR="00071DEB" w:rsidRPr="004A169C" w:rsidP="1CC48348" w14:paraId="4F50C9FA" w14:textId="77777777">
            <w:pPr>
              <w:spacing w:after="0" w:line="240" w:lineRule="auto"/>
              <w:rPr>
                <w:rFonts w:eastAsia="Times New Roman" w:asciiTheme="minorHAnsi" w:hAnsiTheme="minorHAnsi"/>
                <w:b/>
                <w:bCs/>
                <w:color w:val="000000"/>
                <w:sz w:val="18"/>
                <w:szCs w:val="18"/>
              </w:rPr>
            </w:pPr>
            <w:r w:rsidRPr="1CC48348">
              <w:rPr>
                <w:rFonts w:eastAsia="Times New Roman" w:asciiTheme="minorHAnsi" w:hAnsiTheme="minorHAnsi"/>
                <w:b/>
                <w:bCs/>
                <w:color w:val="000000" w:themeColor="text1"/>
                <w:sz w:val="18"/>
                <w:szCs w:val="18"/>
              </w:rPr>
              <w:t>(e)</w:t>
            </w:r>
          </w:p>
        </w:tc>
        <w:tc>
          <w:tcPr>
            <w:tcW w:w="1072" w:type="dxa"/>
            <w:tcBorders>
              <w:top w:val="nil"/>
              <w:left w:val="nil"/>
              <w:bottom w:val="single" w:sz="8" w:space="0" w:color="auto"/>
              <w:right w:val="single" w:sz="8" w:space="0" w:color="auto"/>
            </w:tcBorders>
            <w:shd w:val="clear" w:color="auto" w:fill="D9D9D9" w:themeFill="background1" w:themeFillShade="D9"/>
            <w:vAlign w:val="center"/>
            <w:hideMark/>
          </w:tcPr>
          <w:p w:rsidR="00071DEB" w:rsidRPr="004A169C" w:rsidP="1CC48348" w14:paraId="69615B80" w14:textId="77777777">
            <w:pPr>
              <w:spacing w:after="0" w:line="240" w:lineRule="auto"/>
              <w:rPr>
                <w:rFonts w:eastAsia="Times New Roman" w:asciiTheme="minorHAnsi" w:hAnsiTheme="minorHAnsi"/>
                <w:b/>
                <w:bCs/>
                <w:color w:val="000000"/>
                <w:sz w:val="18"/>
                <w:szCs w:val="18"/>
              </w:rPr>
            </w:pPr>
            <w:r w:rsidRPr="1CC48348">
              <w:rPr>
                <w:rFonts w:eastAsia="Times New Roman" w:asciiTheme="minorHAnsi" w:hAnsiTheme="minorHAnsi"/>
                <w:b/>
                <w:bCs/>
                <w:color w:val="000000" w:themeColor="text1"/>
                <w:sz w:val="18"/>
                <w:szCs w:val="18"/>
              </w:rPr>
              <w:t xml:space="preserve">(f) = (d)*(e) </w:t>
            </w:r>
          </w:p>
        </w:tc>
        <w:tc>
          <w:tcPr>
            <w:tcW w:w="1134" w:type="dxa"/>
            <w:tcBorders>
              <w:top w:val="nil"/>
              <w:left w:val="nil"/>
              <w:bottom w:val="single" w:sz="8" w:space="0" w:color="auto"/>
              <w:right w:val="single" w:sz="8" w:space="0" w:color="auto"/>
            </w:tcBorders>
            <w:shd w:val="clear" w:color="auto" w:fill="D9D9D9" w:themeFill="background1" w:themeFillShade="D9"/>
            <w:vAlign w:val="center"/>
            <w:hideMark/>
          </w:tcPr>
          <w:p w:rsidR="00071DEB" w:rsidRPr="004A169C" w:rsidP="1CC48348" w14:paraId="57003BFA" w14:textId="77777777">
            <w:pPr>
              <w:spacing w:after="0" w:line="240" w:lineRule="auto"/>
              <w:rPr>
                <w:rFonts w:eastAsia="Times New Roman" w:asciiTheme="minorHAnsi" w:hAnsiTheme="minorHAnsi"/>
                <w:b/>
                <w:bCs/>
                <w:color w:val="000000"/>
                <w:sz w:val="18"/>
                <w:szCs w:val="18"/>
              </w:rPr>
            </w:pPr>
            <w:r w:rsidRPr="1CC48348">
              <w:rPr>
                <w:rFonts w:eastAsia="Times New Roman" w:asciiTheme="minorHAnsi" w:hAnsiTheme="minorHAnsi"/>
                <w:b/>
                <w:bCs/>
                <w:color w:val="000000" w:themeColor="text1"/>
                <w:sz w:val="18"/>
                <w:szCs w:val="18"/>
              </w:rPr>
              <w:t>(g) = (d)+(f)</w:t>
            </w:r>
          </w:p>
        </w:tc>
      </w:tr>
      <w:tr w14:paraId="2901D129" w14:textId="77777777" w:rsidTr="00E42BCE">
        <w:tblPrEx>
          <w:tblW w:w="10846" w:type="dxa"/>
          <w:tblLayout w:type="fixed"/>
          <w:tblCellMar>
            <w:top w:w="15" w:type="dxa"/>
            <w:bottom w:w="15" w:type="dxa"/>
          </w:tblCellMar>
          <w:tblLook w:val="04A0"/>
        </w:tblPrEx>
        <w:trPr>
          <w:gridAfter w:val="1"/>
          <w:wAfter w:w="499" w:type="dxa"/>
          <w:trHeight w:val="476"/>
        </w:trPr>
        <w:tc>
          <w:tcPr>
            <w:tcW w:w="897" w:type="dxa"/>
            <w:vMerge w:val="restart"/>
            <w:tcBorders>
              <w:top w:val="single" w:sz="8" w:space="0" w:color="000000" w:themeColor="text1"/>
              <w:left w:val="single" w:sz="2" w:space="0" w:color="auto"/>
              <w:bottom w:val="nil"/>
              <w:right w:val="single" w:sz="2" w:space="0" w:color="auto"/>
            </w:tcBorders>
            <w:vAlign w:val="center"/>
            <w:hideMark/>
          </w:tcPr>
          <w:p w:rsidR="00071DEB" w:rsidRPr="004A169C" w:rsidP="1CC48348" w14:paraId="778B5FB7" w14:textId="77777777">
            <w:pPr>
              <w:spacing w:after="0" w:line="240" w:lineRule="auto"/>
              <w:rPr>
                <w:rFonts w:eastAsia="Times New Roman" w:asciiTheme="minorHAnsi" w:hAnsiTheme="minorHAnsi"/>
                <w:color w:val="000000"/>
                <w:sz w:val="18"/>
                <w:szCs w:val="18"/>
              </w:rPr>
            </w:pPr>
            <w:r w:rsidRPr="1CC48348">
              <w:rPr>
                <w:rFonts w:eastAsia="Times New Roman" w:asciiTheme="minorHAnsi" w:hAnsiTheme="minorHAnsi"/>
                <w:color w:val="000000" w:themeColor="text1"/>
                <w:sz w:val="18"/>
                <w:szCs w:val="18"/>
              </w:rPr>
              <w:t>EPA staff</w:t>
            </w:r>
          </w:p>
        </w:tc>
        <w:tc>
          <w:tcPr>
            <w:tcW w:w="1620" w:type="dxa"/>
            <w:vMerge w:val="restart"/>
            <w:tcBorders>
              <w:top w:val="single" w:sz="8" w:space="0" w:color="000000" w:themeColor="text1"/>
              <w:left w:val="single" w:sz="2" w:space="0" w:color="auto"/>
              <w:bottom w:val="nil"/>
              <w:right w:val="single" w:sz="2" w:space="0" w:color="auto"/>
            </w:tcBorders>
            <w:vAlign w:val="center"/>
            <w:hideMark/>
          </w:tcPr>
          <w:p w:rsidR="00071DEB" w:rsidRPr="004A169C" w:rsidP="1CC48348" w14:paraId="38E3DB74" w14:textId="77777777">
            <w:pPr>
              <w:spacing w:after="0" w:line="240" w:lineRule="auto"/>
              <w:rPr>
                <w:rFonts w:eastAsia="Times New Roman" w:asciiTheme="minorHAnsi" w:hAnsiTheme="minorHAnsi"/>
                <w:color w:val="000000"/>
                <w:sz w:val="18"/>
                <w:szCs w:val="18"/>
              </w:rPr>
            </w:pPr>
            <w:r w:rsidRPr="00C7272B">
              <w:rPr>
                <w:rFonts w:eastAsia="Times New Roman" w:asciiTheme="minorHAnsi" w:hAnsiTheme="minorHAnsi"/>
                <w:color w:val="000000" w:themeColor="text1"/>
                <w:sz w:val="18"/>
                <w:szCs w:val="18"/>
              </w:rPr>
              <w:t>Annual federal staff cost: OPM Washington-Baltimore-Northern Virginia, DC-MD-PA-VA-WV area,</w:t>
            </w:r>
            <w:r w:rsidRPr="00C7272B">
              <w:rPr>
                <w:rFonts w:eastAsia="Times New Roman" w:asciiTheme="minorHAnsi" w:hAnsiTheme="minorHAnsi"/>
                <w:color w:val="000000" w:themeColor="text1"/>
                <w:sz w:val="18"/>
                <w:szCs w:val="18"/>
                <w:u w:val="single"/>
              </w:rPr>
              <w:t xml:space="preserve"> </w:t>
            </w:r>
            <w:r w:rsidRPr="00C7272B">
              <w:rPr>
                <w:rFonts w:eastAsia="Times New Roman" w:asciiTheme="minorHAnsi" w:hAnsiTheme="minorHAnsi"/>
                <w:color w:val="000000" w:themeColor="text1"/>
                <w:sz w:val="18"/>
                <w:szCs w:val="18"/>
              </w:rPr>
              <w:t xml:space="preserve">GS-13 Step 5 pay rates </w:t>
            </w:r>
            <w:r w:rsidRPr="00C7272B">
              <w:rPr>
                <w:rFonts w:eastAsia="Times New Roman" w:asciiTheme="minorHAnsi" w:hAnsiTheme="minorHAnsi"/>
                <w:color w:val="000000" w:themeColor="text1"/>
                <w:sz w:val="18"/>
                <w:szCs w:val="18"/>
                <w:vertAlign w:val="superscript"/>
              </w:rPr>
              <w:t>a</w:t>
            </w:r>
          </w:p>
        </w:tc>
        <w:tc>
          <w:tcPr>
            <w:tcW w:w="900" w:type="dxa"/>
            <w:vMerge w:val="restart"/>
            <w:tcBorders>
              <w:top w:val="single" w:sz="8" w:space="0" w:color="auto"/>
              <w:left w:val="single" w:sz="2" w:space="0" w:color="auto"/>
              <w:bottom w:val="nil"/>
              <w:right w:val="single" w:sz="2" w:space="0" w:color="auto"/>
            </w:tcBorders>
            <w:vAlign w:val="center"/>
            <w:hideMark/>
          </w:tcPr>
          <w:p w:rsidR="00071DEB" w:rsidRPr="004A169C" w:rsidP="00AA0CBB" w14:paraId="1866C13E" w14:textId="15B1E79D">
            <w:pPr>
              <w:spacing w:after="0" w:line="240" w:lineRule="auto"/>
              <w:jc w:val="right"/>
              <w:rPr>
                <w:rFonts w:eastAsia="Times New Roman" w:asciiTheme="minorHAnsi" w:hAnsiTheme="minorHAnsi"/>
                <w:color w:val="000000"/>
                <w:sz w:val="18"/>
                <w:szCs w:val="18"/>
              </w:rPr>
            </w:pPr>
            <w:r w:rsidRPr="1CC48348">
              <w:rPr>
                <w:rFonts w:eastAsia="Times New Roman" w:asciiTheme="minorHAnsi" w:hAnsiTheme="minorHAnsi"/>
                <w:color w:val="000000" w:themeColor="text1"/>
                <w:sz w:val="18"/>
                <w:szCs w:val="18"/>
              </w:rPr>
              <w:t>$</w:t>
            </w:r>
            <w:r w:rsidRPr="1CC48348" w:rsidR="0F49506B">
              <w:rPr>
                <w:rFonts w:eastAsia="Times New Roman" w:asciiTheme="minorHAnsi" w:hAnsiTheme="minorHAnsi"/>
                <w:color w:val="000000" w:themeColor="text1"/>
                <w:sz w:val="18"/>
                <w:szCs w:val="18"/>
              </w:rPr>
              <w:t>64.06</w:t>
            </w:r>
            <w:r w:rsidRPr="1CC48348">
              <w:rPr>
                <w:rFonts w:eastAsia="Times New Roman" w:asciiTheme="minorHAnsi" w:hAnsiTheme="minorHAnsi"/>
                <w:color w:val="000000" w:themeColor="text1"/>
                <w:sz w:val="18"/>
                <w:szCs w:val="18"/>
              </w:rPr>
              <w:t xml:space="preserve"> </w:t>
            </w:r>
          </w:p>
        </w:tc>
        <w:tc>
          <w:tcPr>
            <w:tcW w:w="990" w:type="dxa"/>
            <w:vMerge w:val="restart"/>
            <w:tcBorders>
              <w:top w:val="single" w:sz="8" w:space="0" w:color="auto"/>
              <w:left w:val="single" w:sz="2" w:space="0" w:color="auto"/>
              <w:bottom w:val="nil"/>
              <w:right w:val="single" w:sz="2" w:space="0" w:color="auto"/>
            </w:tcBorders>
            <w:vAlign w:val="center"/>
            <w:hideMark/>
          </w:tcPr>
          <w:p w:rsidR="00071DEB" w:rsidRPr="004A169C" w:rsidP="00AA0CBB" w14:paraId="391021AB" w14:textId="77777777">
            <w:pPr>
              <w:spacing w:after="0" w:line="240" w:lineRule="auto"/>
              <w:jc w:val="right"/>
              <w:rPr>
                <w:rFonts w:eastAsia="Times New Roman" w:asciiTheme="minorHAnsi" w:hAnsiTheme="minorHAnsi"/>
                <w:color w:val="000000"/>
                <w:sz w:val="18"/>
                <w:szCs w:val="18"/>
              </w:rPr>
            </w:pPr>
            <w:r w:rsidRPr="1CC48348">
              <w:rPr>
                <w:rFonts w:eastAsia="Times New Roman" w:asciiTheme="minorHAnsi" w:hAnsiTheme="minorHAnsi"/>
                <w:color w:val="000000" w:themeColor="text1"/>
                <w:sz w:val="18"/>
                <w:szCs w:val="18"/>
              </w:rPr>
              <w:t>63.90%</w:t>
            </w:r>
          </w:p>
        </w:tc>
        <w:tc>
          <w:tcPr>
            <w:tcW w:w="1096" w:type="dxa"/>
            <w:vMerge w:val="restart"/>
            <w:tcBorders>
              <w:top w:val="single" w:sz="8" w:space="0" w:color="auto"/>
              <w:left w:val="single" w:sz="2" w:space="0" w:color="auto"/>
              <w:bottom w:val="nil"/>
              <w:right w:val="single" w:sz="2" w:space="0" w:color="auto"/>
            </w:tcBorders>
            <w:vAlign w:val="center"/>
            <w:hideMark/>
          </w:tcPr>
          <w:p w:rsidR="00071DEB" w:rsidRPr="004A169C" w:rsidP="00AA0CBB" w14:paraId="3AE8752A" w14:textId="650F1D7E">
            <w:pPr>
              <w:spacing w:after="0" w:line="240" w:lineRule="auto"/>
              <w:jc w:val="right"/>
              <w:rPr>
                <w:rFonts w:eastAsia="Times New Roman" w:asciiTheme="minorHAnsi" w:hAnsiTheme="minorHAnsi"/>
                <w:color w:val="000000"/>
                <w:sz w:val="18"/>
                <w:szCs w:val="18"/>
              </w:rPr>
            </w:pPr>
            <w:r w:rsidRPr="1CC48348">
              <w:rPr>
                <w:rFonts w:eastAsia="Times New Roman" w:asciiTheme="minorHAnsi" w:hAnsiTheme="minorHAnsi"/>
                <w:color w:val="000000" w:themeColor="text1"/>
                <w:sz w:val="18"/>
                <w:szCs w:val="18"/>
              </w:rPr>
              <w:t>$</w:t>
            </w:r>
            <w:r w:rsidRPr="1CC48348" w:rsidR="0C4BE2A3">
              <w:rPr>
                <w:rFonts w:eastAsia="Times New Roman" w:asciiTheme="minorHAnsi" w:hAnsiTheme="minorHAnsi"/>
                <w:color w:val="000000" w:themeColor="text1"/>
                <w:sz w:val="18"/>
                <w:szCs w:val="18"/>
              </w:rPr>
              <w:t>40.93</w:t>
            </w:r>
          </w:p>
        </w:tc>
        <w:tc>
          <w:tcPr>
            <w:tcW w:w="1308" w:type="dxa"/>
            <w:vMerge w:val="restart"/>
            <w:tcBorders>
              <w:top w:val="single" w:sz="8" w:space="0" w:color="auto"/>
              <w:left w:val="single" w:sz="2" w:space="0" w:color="auto"/>
              <w:bottom w:val="nil"/>
              <w:right w:val="single" w:sz="2" w:space="0" w:color="auto"/>
            </w:tcBorders>
            <w:vAlign w:val="center"/>
            <w:hideMark/>
          </w:tcPr>
          <w:p w:rsidR="00071DEB" w:rsidRPr="004A169C" w:rsidP="00AA0CBB" w14:paraId="02E39026" w14:textId="0FEB521A">
            <w:pPr>
              <w:spacing w:after="0" w:line="240" w:lineRule="auto"/>
              <w:jc w:val="right"/>
              <w:rPr>
                <w:rFonts w:eastAsia="Times New Roman" w:asciiTheme="minorHAnsi" w:hAnsiTheme="minorHAnsi"/>
                <w:color w:val="000000"/>
                <w:sz w:val="18"/>
                <w:szCs w:val="18"/>
              </w:rPr>
            </w:pPr>
            <w:r w:rsidRPr="1CC48348">
              <w:rPr>
                <w:rFonts w:eastAsia="Times New Roman" w:asciiTheme="minorHAnsi" w:hAnsiTheme="minorHAnsi"/>
                <w:color w:val="000000" w:themeColor="text1"/>
                <w:sz w:val="18"/>
                <w:szCs w:val="18"/>
              </w:rPr>
              <w:t>$</w:t>
            </w:r>
            <w:r w:rsidRPr="1CC48348" w:rsidR="0C4BE2A3">
              <w:rPr>
                <w:rFonts w:eastAsia="Times New Roman" w:asciiTheme="minorHAnsi" w:hAnsiTheme="minorHAnsi"/>
                <w:color w:val="000000" w:themeColor="text1"/>
                <w:sz w:val="18"/>
                <w:szCs w:val="18"/>
              </w:rPr>
              <w:t>104.99</w:t>
            </w:r>
            <w:r w:rsidRPr="1CC48348">
              <w:rPr>
                <w:rFonts w:eastAsia="Times New Roman" w:asciiTheme="minorHAnsi" w:hAnsiTheme="minorHAnsi"/>
                <w:color w:val="000000" w:themeColor="text1"/>
                <w:sz w:val="18"/>
                <w:szCs w:val="18"/>
              </w:rPr>
              <w:t xml:space="preserve"> </w:t>
            </w:r>
          </w:p>
        </w:tc>
        <w:tc>
          <w:tcPr>
            <w:tcW w:w="1330" w:type="dxa"/>
            <w:vMerge w:val="restart"/>
            <w:tcBorders>
              <w:top w:val="single" w:sz="8" w:space="0" w:color="auto"/>
              <w:left w:val="single" w:sz="2" w:space="0" w:color="auto"/>
              <w:bottom w:val="nil"/>
              <w:right w:val="single" w:sz="2" w:space="0" w:color="auto"/>
            </w:tcBorders>
            <w:vAlign w:val="center"/>
            <w:hideMark/>
          </w:tcPr>
          <w:p w:rsidR="00071DEB" w:rsidRPr="004A169C" w:rsidP="00AA0CBB" w14:paraId="6F1DA4A5" w14:textId="1DD1E934">
            <w:pPr>
              <w:spacing w:after="0" w:line="240" w:lineRule="auto"/>
              <w:jc w:val="right"/>
              <w:rPr>
                <w:rFonts w:eastAsia="Times New Roman" w:asciiTheme="minorHAnsi" w:hAnsiTheme="minorHAnsi"/>
                <w:color w:val="000000"/>
                <w:sz w:val="18"/>
                <w:szCs w:val="18"/>
              </w:rPr>
            </w:pPr>
            <w:r w:rsidRPr="1CC48348">
              <w:rPr>
                <w:rFonts w:eastAsia="Times New Roman" w:asciiTheme="minorHAnsi" w:hAnsiTheme="minorHAnsi"/>
                <w:color w:val="000000" w:themeColor="text1"/>
                <w:sz w:val="18"/>
                <w:szCs w:val="18"/>
              </w:rPr>
              <w:t>20%</w:t>
            </w:r>
          </w:p>
        </w:tc>
        <w:tc>
          <w:tcPr>
            <w:tcW w:w="1072" w:type="dxa"/>
            <w:vMerge w:val="restart"/>
            <w:tcBorders>
              <w:top w:val="single" w:sz="8" w:space="0" w:color="auto"/>
              <w:left w:val="single" w:sz="2" w:space="0" w:color="auto"/>
              <w:bottom w:val="nil"/>
              <w:right w:val="single" w:sz="2" w:space="0" w:color="auto"/>
            </w:tcBorders>
            <w:vAlign w:val="center"/>
            <w:hideMark/>
          </w:tcPr>
          <w:p w:rsidR="00071DEB" w:rsidRPr="004A169C" w:rsidP="00AA0CBB" w14:paraId="5F42398A" w14:textId="26E559A7">
            <w:pPr>
              <w:spacing w:after="0" w:line="240" w:lineRule="auto"/>
              <w:jc w:val="right"/>
              <w:rPr>
                <w:rFonts w:eastAsia="Times New Roman" w:asciiTheme="minorHAnsi" w:hAnsiTheme="minorHAnsi"/>
                <w:color w:val="000000"/>
                <w:sz w:val="18"/>
                <w:szCs w:val="18"/>
              </w:rPr>
            </w:pPr>
            <w:r w:rsidRPr="1CC48348">
              <w:rPr>
                <w:rFonts w:eastAsia="Times New Roman" w:asciiTheme="minorHAnsi" w:hAnsiTheme="minorHAnsi"/>
                <w:color w:val="000000" w:themeColor="text1"/>
                <w:sz w:val="18"/>
                <w:szCs w:val="18"/>
              </w:rPr>
              <w:t>$</w:t>
            </w:r>
            <w:r w:rsidRPr="1CC48348" w:rsidR="0C4BE2A3">
              <w:rPr>
                <w:rFonts w:eastAsia="Times New Roman" w:asciiTheme="minorHAnsi" w:hAnsiTheme="minorHAnsi"/>
                <w:color w:val="000000" w:themeColor="text1"/>
                <w:sz w:val="18"/>
                <w:szCs w:val="18"/>
              </w:rPr>
              <w:t>21.00</w:t>
            </w:r>
            <w:r w:rsidRPr="1CC48348">
              <w:rPr>
                <w:rFonts w:eastAsia="Times New Roman" w:asciiTheme="minorHAnsi" w:hAnsiTheme="minorHAnsi"/>
                <w:color w:val="000000" w:themeColor="text1"/>
                <w:sz w:val="18"/>
                <w:szCs w:val="18"/>
              </w:rPr>
              <w:t xml:space="preserve"> </w:t>
            </w:r>
          </w:p>
        </w:tc>
        <w:tc>
          <w:tcPr>
            <w:tcW w:w="1134" w:type="dxa"/>
            <w:vMerge w:val="restart"/>
            <w:tcBorders>
              <w:top w:val="single" w:sz="8" w:space="0" w:color="auto"/>
              <w:left w:val="single" w:sz="2" w:space="0" w:color="auto"/>
              <w:bottom w:val="nil"/>
              <w:right w:val="single" w:sz="2" w:space="0" w:color="auto"/>
            </w:tcBorders>
            <w:vAlign w:val="center"/>
            <w:hideMark/>
          </w:tcPr>
          <w:p w:rsidR="00071DEB" w:rsidRPr="004A169C" w:rsidP="00AA0CBB" w14:paraId="0AA64DC2" w14:textId="17EC78B9">
            <w:pPr>
              <w:spacing w:after="0" w:line="240" w:lineRule="auto"/>
              <w:jc w:val="right"/>
              <w:rPr>
                <w:rFonts w:eastAsia="Times New Roman" w:asciiTheme="minorHAnsi" w:hAnsiTheme="minorHAnsi"/>
                <w:color w:val="000000"/>
                <w:sz w:val="18"/>
                <w:szCs w:val="18"/>
              </w:rPr>
            </w:pPr>
            <w:r w:rsidRPr="1CC48348">
              <w:rPr>
                <w:rFonts w:eastAsia="Times New Roman" w:asciiTheme="minorHAnsi" w:hAnsiTheme="minorHAnsi"/>
                <w:color w:val="000000" w:themeColor="text1"/>
                <w:sz w:val="18"/>
                <w:szCs w:val="18"/>
              </w:rPr>
              <w:t>$</w:t>
            </w:r>
            <w:r w:rsidRPr="1CC48348" w:rsidR="0C4BE2A3">
              <w:rPr>
                <w:rFonts w:eastAsia="Times New Roman" w:asciiTheme="minorHAnsi" w:hAnsiTheme="minorHAnsi"/>
                <w:color w:val="000000" w:themeColor="text1"/>
                <w:sz w:val="18"/>
                <w:szCs w:val="18"/>
              </w:rPr>
              <w:t>125.99</w:t>
            </w:r>
            <w:r w:rsidRPr="1CC48348">
              <w:rPr>
                <w:rFonts w:eastAsia="Times New Roman" w:asciiTheme="minorHAnsi" w:hAnsiTheme="minorHAnsi"/>
                <w:color w:val="000000" w:themeColor="text1"/>
                <w:sz w:val="18"/>
                <w:szCs w:val="18"/>
              </w:rPr>
              <w:t xml:space="preserve"> </w:t>
            </w:r>
          </w:p>
        </w:tc>
      </w:tr>
      <w:tr w14:paraId="0C1AB906" w14:textId="77777777" w:rsidTr="00E42BCE">
        <w:tblPrEx>
          <w:tblW w:w="10846" w:type="dxa"/>
          <w:tblLayout w:type="fixed"/>
          <w:tblCellMar>
            <w:top w:w="15" w:type="dxa"/>
            <w:bottom w:w="15" w:type="dxa"/>
          </w:tblCellMar>
          <w:tblLook w:val="04A0"/>
        </w:tblPrEx>
        <w:trPr>
          <w:trHeight w:val="1545"/>
        </w:trPr>
        <w:tc>
          <w:tcPr>
            <w:tcW w:w="897" w:type="dxa"/>
            <w:vMerge/>
            <w:tcBorders>
              <w:left w:val="single" w:sz="2" w:space="0" w:color="auto"/>
              <w:right w:val="single" w:sz="2" w:space="0" w:color="auto"/>
            </w:tcBorders>
            <w:vAlign w:val="center"/>
            <w:hideMark/>
          </w:tcPr>
          <w:p w:rsidR="00071DEB" w:rsidRPr="004A169C" w:rsidP="004A169C" w14:paraId="45C1E8E3" w14:textId="77777777">
            <w:pPr>
              <w:spacing w:after="0" w:line="240" w:lineRule="auto"/>
              <w:rPr>
                <w:rFonts w:eastAsia="Times New Roman" w:asciiTheme="minorHAnsi" w:hAnsiTheme="minorHAnsi" w:cstheme="minorHAnsi"/>
                <w:color w:val="000000"/>
                <w:sz w:val="22"/>
              </w:rPr>
            </w:pPr>
          </w:p>
        </w:tc>
        <w:tc>
          <w:tcPr>
            <w:tcW w:w="1620" w:type="dxa"/>
            <w:vMerge/>
            <w:tcBorders>
              <w:left w:val="single" w:sz="2" w:space="0" w:color="auto"/>
              <w:right w:val="single" w:sz="2" w:space="0" w:color="auto"/>
            </w:tcBorders>
            <w:vAlign w:val="center"/>
            <w:hideMark/>
          </w:tcPr>
          <w:p w:rsidR="00071DEB" w:rsidRPr="004A169C" w:rsidP="004A169C" w14:paraId="3B1021E2" w14:textId="77777777">
            <w:pPr>
              <w:spacing w:after="0" w:line="240" w:lineRule="auto"/>
              <w:rPr>
                <w:rFonts w:eastAsia="Times New Roman" w:asciiTheme="minorHAnsi" w:hAnsiTheme="minorHAnsi" w:cstheme="minorHAnsi"/>
                <w:color w:val="000000"/>
                <w:sz w:val="22"/>
              </w:rPr>
            </w:pPr>
          </w:p>
        </w:tc>
        <w:tc>
          <w:tcPr>
            <w:tcW w:w="900" w:type="dxa"/>
            <w:vMerge/>
            <w:tcBorders>
              <w:left w:val="single" w:sz="2" w:space="0" w:color="auto"/>
              <w:right w:val="single" w:sz="2" w:space="0" w:color="auto"/>
            </w:tcBorders>
            <w:vAlign w:val="center"/>
            <w:hideMark/>
          </w:tcPr>
          <w:p w:rsidR="00071DEB" w:rsidRPr="004A169C" w:rsidP="004A169C" w14:paraId="74F0B7A3" w14:textId="77777777">
            <w:pPr>
              <w:spacing w:after="0" w:line="240" w:lineRule="auto"/>
              <w:rPr>
                <w:rFonts w:eastAsia="Times New Roman" w:asciiTheme="minorHAnsi" w:hAnsiTheme="minorHAnsi" w:cstheme="minorHAnsi"/>
                <w:color w:val="000000"/>
                <w:sz w:val="22"/>
              </w:rPr>
            </w:pPr>
          </w:p>
        </w:tc>
        <w:tc>
          <w:tcPr>
            <w:tcW w:w="990" w:type="dxa"/>
            <w:vMerge/>
            <w:tcBorders>
              <w:left w:val="single" w:sz="2" w:space="0" w:color="auto"/>
              <w:right w:val="single" w:sz="2" w:space="0" w:color="auto"/>
            </w:tcBorders>
            <w:vAlign w:val="center"/>
            <w:hideMark/>
          </w:tcPr>
          <w:p w:rsidR="00071DEB" w:rsidRPr="004A169C" w:rsidP="004A169C" w14:paraId="51C1CE91" w14:textId="77777777">
            <w:pPr>
              <w:spacing w:after="0" w:line="240" w:lineRule="auto"/>
              <w:rPr>
                <w:rFonts w:eastAsia="Times New Roman" w:asciiTheme="minorHAnsi" w:hAnsiTheme="minorHAnsi" w:cstheme="minorHAnsi"/>
                <w:color w:val="000000"/>
                <w:sz w:val="22"/>
              </w:rPr>
            </w:pPr>
          </w:p>
        </w:tc>
        <w:tc>
          <w:tcPr>
            <w:tcW w:w="1096" w:type="dxa"/>
            <w:vMerge/>
            <w:tcBorders>
              <w:left w:val="single" w:sz="2" w:space="0" w:color="auto"/>
              <w:right w:val="single" w:sz="2" w:space="0" w:color="auto"/>
            </w:tcBorders>
            <w:vAlign w:val="center"/>
            <w:hideMark/>
          </w:tcPr>
          <w:p w:rsidR="00071DEB" w:rsidRPr="004A169C" w:rsidP="004A169C" w14:paraId="131E6F50" w14:textId="77777777">
            <w:pPr>
              <w:spacing w:after="0" w:line="240" w:lineRule="auto"/>
              <w:rPr>
                <w:rFonts w:eastAsia="Times New Roman" w:asciiTheme="minorHAnsi" w:hAnsiTheme="minorHAnsi" w:cstheme="minorHAnsi"/>
                <w:color w:val="000000"/>
                <w:sz w:val="22"/>
              </w:rPr>
            </w:pPr>
          </w:p>
        </w:tc>
        <w:tc>
          <w:tcPr>
            <w:tcW w:w="1308" w:type="dxa"/>
            <w:vMerge/>
            <w:tcBorders>
              <w:left w:val="single" w:sz="2" w:space="0" w:color="auto"/>
              <w:right w:val="single" w:sz="2" w:space="0" w:color="auto"/>
            </w:tcBorders>
            <w:vAlign w:val="center"/>
            <w:hideMark/>
          </w:tcPr>
          <w:p w:rsidR="00071DEB" w:rsidRPr="004A169C" w:rsidP="004A169C" w14:paraId="11A1135A" w14:textId="77777777">
            <w:pPr>
              <w:spacing w:after="0" w:line="240" w:lineRule="auto"/>
              <w:rPr>
                <w:rFonts w:eastAsia="Times New Roman" w:asciiTheme="minorHAnsi" w:hAnsiTheme="minorHAnsi" w:cstheme="minorHAnsi"/>
                <w:color w:val="000000"/>
                <w:sz w:val="22"/>
              </w:rPr>
            </w:pPr>
          </w:p>
        </w:tc>
        <w:tc>
          <w:tcPr>
            <w:tcW w:w="1330" w:type="dxa"/>
            <w:vMerge/>
            <w:tcBorders>
              <w:left w:val="single" w:sz="2" w:space="0" w:color="auto"/>
              <w:right w:val="single" w:sz="2" w:space="0" w:color="auto"/>
            </w:tcBorders>
            <w:vAlign w:val="center"/>
            <w:hideMark/>
          </w:tcPr>
          <w:p w:rsidR="00071DEB" w:rsidRPr="004A169C" w:rsidP="004A169C" w14:paraId="6B701B84" w14:textId="77777777">
            <w:pPr>
              <w:spacing w:after="0" w:line="240" w:lineRule="auto"/>
              <w:rPr>
                <w:rFonts w:eastAsia="Times New Roman" w:asciiTheme="minorHAnsi" w:hAnsiTheme="minorHAnsi" w:cstheme="minorHAnsi"/>
                <w:color w:val="000000"/>
                <w:sz w:val="22"/>
              </w:rPr>
            </w:pPr>
          </w:p>
        </w:tc>
        <w:tc>
          <w:tcPr>
            <w:tcW w:w="1072" w:type="dxa"/>
            <w:vMerge/>
            <w:tcBorders>
              <w:left w:val="single" w:sz="2" w:space="0" w:color="auto"/>
              <w:right w:val="single" w:sz="2" w:space="0" w:color="auto"/>
            </w:tcBorders>
            <w:vAlign w:val="center"/>
            <w:hideMark/>
          </w:tcPr>
          <w:p w:rsidR="00071DEB" w:rsidRPr="004A169C" w:rsidP="004A169C" w14:paraId="46DC7D28" w14:textId="77777777">
            <w:pPr>
              <w:spacing w:after="0" w:line="240" w:lineRule="auto"/>
              <w:rPr>
                <w:rFonts w:eastAsia="Times New Roman" w:asciiTheme="minorHAnsi" w:hAnsiTheme="minorHAnsi" w:cstheme="minorHAnsi"/>
                <w:color w:val="000000"/>
                <w:sz w:val="22"/>
              </w:rPr>
            </w:pPr>
          </w:p>
        </w:tc>
        <w:tc>
          <w:tcPr>
            <w:tcW w:w="1134" w:type="dxa"/>
            <w:vMerge/>
            <w:tcBorders>
              <w:left w:val="single" w:sz="2" w:space="0" w:color="auto"/>
              <w:right w:val="single" w:sz="2" w:space="0" w:color="auto"/>
            </w:tcBorders>
            <w:vAlign w:val="center"/>
            <w:hideMark/>
          </w:tcPr>
          <w:p w:rsidR="00071DEB" w:rsidRPr="004A169C" w:rsidP="004A169C" w14:paraId="13BA3815" w14:textId="77777777">
            <w:pPr>
              <w:spacing w:after="0" w:line="240" w:lineRule="auto"/>
              <w:rPr>
                <w:rFonts w:eastAsia="Times New Roman" w:asciiTheme="minorHAnsi" w:hAnsiTheme="minorHAnsi" w:cstheme="minorHAnsi"/>
                <w:color w:val="000000"/>
                <w:sz w:val="22"/>
              </w:rPr>
            </w:pPr>
          </w:p>
        </w:tc>
        <w:tc>
          <w:tcPr>
            <w:tcW w:w="499" w:type="dxa"/>
            <w:tcBorders>
              <w:top w:val="nil"/>
              <w:left w:val="single" w:sz="2" w:space="0" w:color="auto"/>
              <w:bottom w:val="nil"/>
              <w:right w:val="nil"/>
            </w:tcBorders>
            <w:noWrap/>
            <w:vAlign w:val="center"/>
            <w:hideMark/>
          </w:tcPr>
          <w:p w:rsidR="00071DEB" w:rsidRPr="004A169C" w:rsidP="1CC48348" w14:paraId="6A063B38" w14:textId="77777777">
            <w:pPr>
              <w:spacing w:after="0" w:line="240" w:lineRule="auto"/>
              <w:rPr>
                <w:rFonts w:eastAsia="Times New Roman" w:asciiTheme="minorHAnsi" w:hAnsiTheme="minorHAnsi"/>
                <w:color w:val="000000"/>
                <w:sz w:val="18"/>
                <w:szCs w:val="18"/>
              </w:rPr>
            </w:pPr>
          </w:p>
        </w:tc>
      </w:tr>
      <w:tr w14:paraId="64D5D5A1" w14:textId="77777777" w:rsidTr="00C7272B">
        <w:tblPrEx>
          <w:tblW w:w="10846" w:type="dxa"/>
          <w:tblLayout w:type="fixed"/>
          <w:tblCellMar>
            <w:top w:w="15" w:type="dxa"/>
            <w:bottom w:w="15" w:type="dxa"/>
          </w:tblCellMar>
          <w:tblLook w:val="04A0"/>
        </w:tblPrEx>
        <w:trPr>
          <w:trHeight w:val="255"/>
        </w:trPr>
        <w:tc>
          <w:tcPr>
            <w:tcW w:w="10347" w:type="dxa"/>
            <w:gridSpan w:val="9"/>
            <w:tcBorders>
              <w:top w:val="single" w:sz="8" w:space="0" w:color="000000" w:themeColor="text1"/>
              <w:left w:val="single" w:sz="8" w:space="0" w:color="auto"/>
              <w:bottom w:val="nil"/>
              <w:right w:val="single" w:sz="2" w:space="0" w:color="auto"/>
            </w:tcBorders>
            <w:vAlign w:val="center"/>
            <w:hideMark/>
          </w:tcPr>
          <w:p w:rsidR="00071DEB" w:rsidRPr="004A169C" w:rsidP="1CC48348" w14:paraId="7838E14F" w14:textId="77777777">
            <w:pPr>
              <w:spacing w:after="0" w:line="240" w:lineRule="auto"/>
              <w:rPr>
                <w:rFonts w:eastAsia="Times New Roman" w:asciiTheme="minorHAnsi" w:hAnsiTheme="minorHAnsi"/>
                <w:color w:val="000000"/>
                <w:sz w:val="18"/>
                <w:szCs w:val="18"/>
              </w:rPr>
            </w:pPr>
            <w:r w:rsidRPr="1CC48348">
              <w:rPr>
                <w:rFonts w:eastAsia="Times New Roman" w:asciiTheme="minorHAnsi" w:hAnsiTheme="minorHAnsi"/>
                <w:color w:val="000000" w:themeColor="text1"/>
                <w:sz w:val="18"/>
                <w:szCs w:val="18"/>
              </w:rPr>
              <w:t>Footnotes:</w:t>
            </w:r>
          </w:p>
        </w:tc>
        <w:tc>
          <w:tcPr>
            <w:tcW w:w="499" w:type="dxa"/>
            <w:tcBorders>
              <w:left w:val="single" w:sz="2" w:space="0" w:color="auto"/>
            </w:tcBorders>
            <w:vAlign w:val="center"/>
            <w:hideMark/>
          </w:tcPr>
          <w:p w:rsidR="00071DEB" w:rsidRPr="004A169C" w:rsidP="1CC48348" w14:paraId="39289480" w14:textId="77777777">
            <w:pPr>
              <w:spacing w:after="0" w:line="240" w:lineRule="auto"/>
              <w:rPr>
                <w:rFonts w:eastAsia="Times New Roman" w:asciiTheme="minorHAnsi" w:hAnsiTheme="minorHAnsi"/>
                <w:sz w:val="18"/>
                <w:szCs w:val="18"/>
              </w:rPr>
            </w:pPr>
          </w:p>
        </w:tc>
      </w:tr>
      <w:tr w14:paraId="6EAA0A84" w14:textId="77777777" w:rsidTr="00C7272B">
        <w:tblPrEx>
          <w:tblW w:w="10846" w:type="dxa"/>
          <w:tblLayout w:type="fixed"/>
          <w:tblCellMar>
            <w:top w:w="15" w:type="dxa"/>
            <w:bottom w:w="15" w:type="dxa"/>
          </w:tblCellMar>
          <w:tblLook w:val="04A0"/>
        </w:tblPrEx>
        <w:trPr>
          <w:trHeight w:val="255"/>
        </w:trPr>
        <w:tc>
          <w:tcPr>
            <w:tcW w:w="10347" w:type="dxa"/>
            <w:gridSpan w:val="9"/>
            <w:tcBorders>
              <w:top w:val="nil"/>
              <w:left w:val="single" w:sz="8" w:space="0" w:color="auto"/>
              <w:bottom w:val="nil"/>
              <w:right w:val="single" w:sz="2" w:space="0" w:color="auto"/>
            </w:tcBorders>
            <w:vAlign w:val="center"/>
            <w:hideMark/>
          </w:tcPr>
          <w:p w:rsidR="00071DEB" w:rsidRPr="004A169C" w:rsidP="1CC48348" w14:paraId="7A71673D" w14:textId="2E6F9F2A">
            <w:pPr>
              <w:spacing w:after="0" w:line="240" w:lineRule="auto"/>
              <w:rPr>
                <w:rFonts w:eastAsia="Times New Roman" w:asciiTheme="minorHAnsi" w:hAnsiTheme="minorHAnsi"/>
                <w:color w:val="000000"/>
                <w:sz w:val="18"/>
                <w:szCs w:val="18"/>
              </w:rPr>
            </w:pPr>
            <w:r w:rsidRPr="1CC48348">
              <w:rPr>
                <w:rFonts w:eastAsia="Times New Roman" w:asciiTheme="minorHAnsi" w:hAnsiTheme="minorHAnsi"/>
                <w:color w:val="000000" w:themeColor="text1"/>
                <w:sz w:val="18"/>
                <w:szCs w:val="18"/>
                <w:vertAlign w:val="superscript"/>
              </w:rPr>
              <w:t>a</w:t>
            </w:r>
            <w:r w:rsidRPr="1CC48348">
              <w:rPr>
                <w:rFonts w:eastAsia="Times New Roman" w:asciiTheme="minorHAnsi" w:hAnsiTheme="minorHAnsi"/>
                <w:color w:val="000000" w:themeColor="text1"/>
                <w:sz w:val="18"/>
                <w:szCs w:val="18"/>
              </w:rPr>
              <w:t xml:space="preserve"> </w:t>
            </w:r>
            <w:r w:rsidRPr="1CC48348" w:rsidR="0F49506B">
              <w:rPr>
                <w:rFonts w:eastAsia="Times New Roman" w:asciiTheme="minorHAnsi" w:hAnsiTheme="minorHAnsi"/>
                <w:color w:val="000000" w:themeColor="text1"/>
                <w:sz w:val="18"/>
                <w:szCs w:val="18"/>
              </w:rPr>
              <w:t>Source: U.S. Office of Personnel Management. (2024). Salary Table 2024-DCB. Retrieved May 8, 2025 from Pay &amp; Leave: Salaries &amp; Wages: https://www.opm.gov/policy-data-oversight/pay-leave/salaries-wages/salary-tables/24Tables/html/DCB_h.aspx.</w:t>
            </w:r>
          </w:p>
        </w:tc>
        <w:tc>
          <w:tcPr>
            <w:tcW w:w="499" w:type="dxa"/>
            <w:tcBorders>
              <w:left w:val="single" w:sz="2" w:space="0" w:color="auto"/>
            </w:tcBorders>
            <w:vAlign w:val="center"/>
            <w:hideMark/>
          </w:tcPr>
          <w:p w:rsidR="00071DEB" w:rsidRPr="004A169C" w:rsidP="1CC48348" w14:paraId="6B92829F" w14:textId="77777777">
            <w:pPr>
              <w:spacing w:after="0" w:line="240" w:lineRule="auto"/>
              <w:rPr>
                <w:rFonts w:eastAsia="Times New Roman" w:asciiTheme="minorHAnsi" w:hAnsiTheme="minorHAnsi"/>
                <w:sz w:val="18"/>
                <w:szCs w:val="18"/>
              </w:rPr>
            </w:pPr>
          </w:p>
        </w:tc>
      </w:tr>
      <w:tr w14:paraId="479059DC" w14:textId="77777777" w:rsidTr="00C7272B">
        <w:tblPrEx>
          <w:tblW w:w="10846" w:type="dxa"/>
          <w:tblLayout w:type="fixed"/>
          <w:tblCellMar>
            <w:top w:w="15" w:type="dxa"/>
            <w:bottom w:w="15" w:type="dxa"/>
          </w:tblCellMar>
          <w:tblLook w:val="04A0"/>
        </w:tblPrEx>
        <w:trPr>
          <w:trHeight w:val="255"/>
        </w:trPr>
        <w:tc>
          <w:tcPr>
            <w:tcW w:w="10347" w:type="dxa"/>
            <w:gridSpan w:val="9"/>
            <w:tcBorders>
              <w:top w:val="nil"/>
              <w:left w:val="single" w:sz="8" w:space="0" w:color="auto"/>
              <w:bottom w:val="nil"/>
              <w:right w:val="single" w:sz="4" w:space="0" w:color="auto"/>
            </w:tcBorders>
            <w:vAlign w:val="center"/>
            <w:hideMark/>
          </w:tcPr>
          <w:p w:rsidR="00071DEB" w:rsidRPr="004A169C" w:rsidP="1CC48348" w14:paraId="0C62546E" w14:textId="01D2762B">
            <w:pPr>
              <w:spacing w:after="0" w:line="240" w:lineRule="auto"/>
              <w:rPr>
                <w:rFonts w:eastAsia="Times New Roman" w:asciiTheme="minorHAnsi" w:hAnsiTheme="minorHAnsi"/>
                <w:color w:val="000000"/>
                <w:sz w:val="18"/>
                <w:szCs w:val="18"/>
              </w:rPr>
            </w:pPr>
            <w:r w:rsidRPr="1CC48348">
              <w:rPr>
                <w:rFonts w:eastAsia="Times New Roman" w:asciiTheme="minorHAnsi" w:hAnsiTheme="minorHAnsi"/>
                <w:color w:val="000000" w:themeColor="text1"/>
                <w:sz w:val="18"/>
                <w:szCs w:val="18"/>
                <w:vertAlign w:val="superscript"/>
              </w:rPr>
              <w:t>b</w:t>
            </w:r>
            <w:r w:rsidRPr="1CC48348">
              <w:rPr>
                <w:rFonts w:eastAsia="Times New Roman" w:asciiTheme="minorHAnsi" w:hAnsiTheme="minorHAnsi"/>
                <w:color w:val="000000" w:themeColor="text1"/>
                <w:sz w:val="18"/>
                <w:szCs w:val="18"/>
              </w:rPr>
              <w:t xml:space="preserve"> Source: Falk, J. 2012. “Comparing Benefits and Total Compensation in the Federal Government and the Private Sector.” Congressional Budget Office Working Paper Series. </w:t>
            </w:r>
            <w:hyperlink r:id="rId14">
              <w:r w:rsidRPr="1CC48348" w:rsidR="00617730">
                <w:rPr>
                  <w:rStyle w:val="Hyperlink"/>
                  <w:rFonts w:asciiTheme="minorHAnsi" w:hAnsiTheme="minorHAnsi"/>
                  <w:sz w:val="18"/>
                  <w:szCs w:val="18"/>
                </w:rPr>
                <w:t>https://www.cbo.gov/sites/default/files/112th-congress-2011-2012/workingpaper/2012-04fedbenefitswp0.pdf</w:t>
              </w:r>
            </w:hyperlink>
          </w:p>
        </w:tc>
        <w:tc>
          <w:tcPr>
            <w:tcW w:w="499" w:type="dxa"/>
            <w:tcBorders>
              <w:left w:val="single" w:sz="4" w:space="0" w:color="auto"/>
            </w:tcBorders>
            <w:vAlign w:val="center"/>
            <w:hideMark/>
          </w:tcPr>
          <w:p w:rsidR="00071DEB" w:rsidRPr="004A169C" w:rsidP="1CC48348" w14:paraId="334DB7C9" w14:textId="77777777">
            <w:pPr>
              <w:spacing w:after="0" w:line="240" w:lineRule="auto"/>
              <w:rPr>
                <w:rFonts w:eastAsia="Times New Roman" w:asciiTheme="minorHAnsi" w:hAnsiTheme="minorHAnsi"/>
                <w:sz w:val="18"/>
                <w:szCs w:val="18"/>
              </w:rPr>
            </w:pPr>
          </w:p>
        </w:tc>
      </w:tr>
      <w:tr w14:paraId="6C66A889" w14:textId="77777777" w:rsidTr="00C7272B">
        <w:tblPrEx>
          <w:tblW w:w="10846" w:type="dxa"/>
          <w:tblLayout w:type="fixed"/>
          <w:tblCellMar>
            <w:top w:w="15" w:type="dxa"/>
            <w:bottom w:w="15" w:type="dxa"/>
          </w:tblCellMar>
          <w:tblLook w:val="04A0"/>
        </w:tblPrEx>
        <w:trPr>
          <w:trHeight w:val="540"/>
        </w:trPr>
        <w:tc>
          <w:tcPr>
            <w:tcW w:w="10347" w:type="dxa"/>
            <w:gridSpan w:val="9"/>
            <w:tcBorders>
              <w:top w:val="nil"/>
              <w:left w:val="single" w:sz="8" w:space="0" w:color="auto"/>
              <w:bottom w:val="single" w:sz="8" w:space="0" w:color="auto"/>
              <w:right w:val="single" w:sz="4" w:space="0" w:color="auto"/>
            </w:tcBorders>
            <w:vAlign w:val="center"/>
            <w:hideMark/>
          </w:tcPr>
          <w:p w:rsidR="00071DEB" w:rsidRPr="004A169C" w:rsidP="1CC48348" w14:paraId="07D41D79" w14:textId="559DA499">
            <w:pPr>
              <w:spacing w:after="0" w:line="240" w:lineRule="auto"/>
              <w:rPr>
                <w:rFonts w:eastAsia="Times New Roman" w:asciiTheme="minorHAnsi" w:hAnsiTheme="minorHAnsi"/>
                <w:color w:val="000000"/>
                <w:sz w:val="18"/>
                <w:szCs w:val="18"/>
              </w:rPr>
            </w:pPr>
            <w:r w:rsidRPr="1CC48348">
              <w:rPr>
                <w:rFonts w:eastAsia="Times New Roman" w:asciiTheme="minorHAnsi" w:hAnsiTheme="minorHAnsi"/>
                <w:color w:val="000000" w:themeColor="text1"/>
                <w:sz w:val="18"/>
                <w:szCs w:val="18"/>
                <w:vertAlign w:val="superscript"/>
              </w:rPr>
              <w:t>c</w:t>
            </w:r>
            <w:r w:rsidRPr="1CC48348">
              <w:rPr>
                <w:rFonts w:eastAsia="Times New Roman" w:asciiTheme="minorHAnsi" w:hAnsiTheme="minorHAnsi"/>
                <w:color w:val="000000" w:themeColor="text1"/>
                <w:sz w:val="18"/>
                <w:szCs w:val="18"/>
              </w:rPr>
              <w:t xml:space="preserve"> </w:t>
            </w:r>
            <w:r w:rsidRPr="1CC48348">
              <w:rPr>
                <w:rFonts w:eastAsia="Times New Roman" w:asciiTheme="minorHAnsi" w:hAnsiTheme="minorHAnsi"/>
                <w:color w:val="000000" w:themeColor="text1"/>
                <w:sz w:val="18"/>
                <w:szCs w:val="18"/>
              </w:rPr>
              <w:t>An</w:t>
            </w:r>
            <w:r w:rsidRPr="1CC48348">
              <w:rPr>
                <w:rFonts w:eastAsia="Times New Roman" w:asciiTheme="minorHAnsi" w:hAnsiTheme="minorHAnsi"/>
                <w:color w:val="000000" w:themeColor="text1"/>
                <w:sz w:val="18"/>
                <w:szCs w:val="18"/>
              </w:rPr>
              <w:t xml:space="preserve"> overhead rate of 20% is used based on assumptions in </w:t>
            </w:r>
            <w:r w:rsidRPr="1CC48348">
              <w:rPr>
                <w:rFonts w:eastAsia="Times New Roman" w:asciiTheme="minorHAnsi" w:hAnsiTheme="minorHAnsi"/>
                <w:i/>
                <w:iCs/>
                <w:color w:val="000000" w:themeColor="text1"/>
                <w:sz w:val="18"/>
                <w:szCs w:val="18"/>
              </w:rPr>
              <w:t xml:space="preserve">Handbook on Valuing Changes in Time Use Induced by Regulatory Requirements and Other U.S. EPA Actions </w:t>
            </w:r>
            <w:r w:rsidRPr="1CC48348">
              <w:rPr>
                <w:rFonts w:eastAsia="Times New Roman" w:asciiTheme="minorHAnsi" w:hAnsiTheme="minorHAnsi"/>
                <w:color w:val="000000" w:themeColor="text1"/>
                <w:sz w:val="18"/>
                <w:szCs w:val="18"/>
              </w:rPr>
              <w:t>(EPA 2020).</w:t>
            </w:r>
          </w:p>
        </w:tc>
        <w:tc>
          <w:tcPr>
            <w:tcW w:w="499" w:type="dxa"/>
            <w:tcBorders>
              <w:left w:val="single" w:sz="4" w:space="0" w:color="auto"/>
            </w:tcBorders>
            <w:vAlign w:val="center"/>
            <w:hideMark/>
          </w:tcPr>
          <w:p w:rsidR="00071DEB" w:rsidRPr="004A169C" w:rsidP="1CC48348" w14:paraId="6F7B688C" w14:textId="77777777">
            <w:pPr>
              <w:spacing w:after="0" w:line="240" w:lineRule="auto"/>
              <w:rPr>
                <w:rFonts w:eastAsia="Times New Roman" w:asciiTheme="minorHAnsi" w:hAnsiTheme="minorHAnsi"/>
                <w:sz w:val="18"/>
                <w:szCs w:val="18"/>
              </w:rPr>
            </w:pPr>
          </w:p>
        </w:tc>
      </w:tr>
    </w:tbl>
    <w:p w:rsidR="001724A7" w:rsidRPr="009343BA" w:rsidP="001724A7" w14:paraId="4D5D81DA" w14:textId="77777777">
      <w:pPr>
        <w:rPr>
          <w:rFonts w:ascii="Calibri" w:hAnsi="Calibri" w:cs="Calibri"/>
        </w:rPr>
      </w:pPr>
      <w:bookmarkStart w:id="15" w:name="_Hlk91751878"/>
      <w:bookmarkStart w:id="16" w:name="_Hlk114164249"/>
    </w:p>
    <w:p w:rsidR="001724A7" w:rsidRPr="006E3159" w:rsidP="001724A7" w14:paraId="174B6290" w14:textId="77777777">
      <w:pPr>
        <w:pStyle w:val="Heading2"/>
        <w:numPr>
          <w:ilvl w:val="0"/>
          <w:numId w:val="0"/>
        </w:numPr>
        <w:pBdr>
          <w:top w:val="none" w:sz="0" w:space="0" w:color="auto"/>
        </w:pBdr>
        <w:rPr>
          <w:rFonts w:ascii="Calibri" w:hAnsi="Calibri" w:cs="Calibri"/>
          <w:i/>
          <w:iCs/>
        </w:rPr>
      </w:pPr>
      <w:r w:rsidRPr="006E3159">
        <w:rPr>
          <w:rFonts w:ascii="Calibri" w:hAnsi="Calibri" w:cs="Calibri"/>
        </w:rPr>
        <w:t>15. CHANGE IN BURDEN</w:t>
      </w:r>
      <w:r>
        <w:rPr>
          <w:rFonts w:ascii="Calibri" w:hAnsi="Calibri" w:cs="Calibri"/>
        </w:rPr>
        <w:t>:</w:t>
      </w:r>
    </w:p>
    <w:p w:rsidR="001724A7" w:rsidRPr="001724A7" w:rsidP="001724A7" w14:paraId="4210E409" w14:textId="0B725BD7">
      <w:pPr>
        <w:pStyle w:val="Heading2"/>
        <w:numPr>
          <w:ilvl w:val="0"/>
          <w:numId w:val="0"/>
        </w:numPr>
        <w:pBdr>
          <w:top w:val="none" w:sz="0" w:space="0" w:color="auto"/>
          <w:bottom w:val="single" w:sz="4" w:space="1" w:color="auto"/>
        </w:pBdr>
        <w:rPr>
          <w:rFonts w:ascii="Calibri" w:hAnsi="Calibri" w:cs="Calibri"/>
          <w:b w:val="0"/>
          <w:bCs w:val="0"/>
          <w:i/>
          <w:iCs/>
        </w:rPr>
      </w:pPr>
      <w:r w:rsidRPr="001724A7">
        <w:rPr>
          <w:rFonts w:ascii="Calibri" w:hAnsi="Calibri" w:cs="Calibri"/>
          <w:b w:val="0"/>
          <w:i/>
          <w:iCs/>
        </w:rPr>
        <w:t>Explain the reasons for any program changes or adjustments reported on the burden worksheet.</w:t>
      </w:r>
    </w:p>
    <w:p w:rsidR="00F300BC" w:rsidRPr="004A169C" w:rsidP="7FC729C5" w14:paraId="74FCB613" w14:textId="630509B3">
      <w:pPr>
        <w:rPr>
          <w:rFonts w:asciiTheme="minorHAnsi" w:hAnsiTheme="minorHAnsi"/>
        </w:rPr>
      </w:pPr>
      <w:r w:rsidRPr="17EECA3F">
        <w:rPr>
          <w:rFonts w:asciiTheme="minorHAnsi" w:hAnsiTheme="minorHAnsi"/>
        </w:rPr>
        <w:t>Th</w:t>
      </w:r>
      <w:r w:rsidRPr="17EECA3F" w:rsidR="007D4C03">
        <w:rPr>
          <w:rFonts w:asciiTheme="minorHAnsi" w:hAnsiTheme="minorHAnsi"/>
        </w:rPr>
        <w:t>ere is an increase in</w:t>
      </w:r>
      <w:r w:rsidRPr="17EECA3F" w:rsidR="00684C89">
        <w:rPr>
          <w:rFonts w:asciiTheme="minorHAnsi" w:hAnsiTheme="minorHAnsi"/>
        </w:rPr>
        <w:t xml:space="preserve"> industry reporting burden of</w:t>
      </w:r>
      <w:r w:rsidRPr="17EECA3F" w:rsidR="00D65F76">
        <w:rPr>
          <w:rFonts w:asciiTheme="minorHAnsi" w:hAnsiTheme="minorHAnsi"/>
        </w:rPr>
        <w:t xml:space="preserve"> </w:t>
      </w:r>
      <w:r w:rsidRPr="17EECA3F" w:rsidR="00B93BB0">
        <w:rPr>
          <w:rFonts w:asciiTheme="minorHAnsi" w:hAnsiTheme="minorHAnsi"/>
        </w:rPr>
        <w:t>10,248</w:t>
      </w:r>
      <w:r w:rsidRPr="17EECA3F" w:rsidR="004A169C">
        <w:rPr>
          <w:rFonts w:asciiTheme="minorHAnsi" w:hAnsiTheme="minorHAnsi"/>
        </w:rPr>
        <w:t xml:space="preserve"> </w:t>
      </w:r>
      <w:r w:rsidRPr="17EECA3F">
        <w:rPr>
          <w:rFonts w:asciiTheme="minorHAnsi" w:hAnsiTheme="minorHAnsi"/>
        </w:rPr>
        <w:t>hours from that currently in the OMB inventory (from</w:t>
      </w:r>
      <w:r w:rsidRPr="17EECA3F" w:rsidR="00E21A5E">
        <w:rPr>
          <w:rFonts w:asciiTheme="minorHAnsi" w:hAnsiTheme="minorHAnsi"/>
        </w:rPr>
        <w:t xml:space="preserve"> 17,635</w:t>
      </w:r>
      <w:r w:rsidRPr="17EECA3F">
        <w:rPr>
          <w:rFonts w:asciiTheme="minorHAnsi" w:hAnsiTheme="minorHAnsi"/>
        </w:rPr>
        <w:t xml:space="preserve"> </w:t>
      </w:r>
      <w:r w:rsidRPr="17EECA3F" w:rsidR="00B75808">
        <w:rPr>
          <w:rFonts w:asciiTheme="minorHAnsi" w:hAnsiTheme="minorHAnsi"/>
        </w:rPr>
        <w:t xml:space="preserve">to </w:t>
      </w:r>
      <w:r w:rsidRPr="17EECA3F" w:rsidR="00E21A5E">
        <w:rPr>
          <w:rFonts w:asciiTheme="minorHAnsi" w:hAnsiTheme="minorHAnsi"/>
          <w:color w:val="000000" w:themeColor="text1"/>
        </w:rPr>
        <w:t>27,8</w:t>
      </w:r>
      <w:r w:rsidRPr="17EECA3F" w:rsidR="00FB2698">
        <w:rPr>
          <w:rFonts w:asciiTheme="minorHAnsi" w:hAnsiTheme="minorHAnsi"/>
          <w:color w:val="000000" w:themeColor="text1"/>
        </w:rPr>
        <w:t>83</w:t>
      </w:r>
      <w:r w:rsidRPr="17EECA3F" w:rsidR="00B219C7">
        <w:rPr>
          <w:rFonts w:asciiTheme="minorHAnsi" w:hAnsiTheme="minorHAnsi"/>
          <w:color w:val="000000" w:themeColor="text1"/>
        </w:rPr>
        <w:t xml:space="preserve"> </w:t>
      </w:r>
      <w:r w:rsidRPr="17EECA3F">
        <w:rPr>
          <w:rFonts w:asciiTheme="minorHAnsi" w:hAnsiTheme="minorHAnsi"/>
        </w:rPr>
        <w:t xml:space="preserve">hours). This reflects an overall </w:t>
      </w:r>
      <w:r w:rsidRPr="17EECA3F" w:rsidR="007D4C03">
        <w:rPr>
          <w:rFonts w:asciiTheme="minorHAnsi" w:hAnsiTheme="minorHAnsi"/>
        </w:rPr>
        <w:t>in</w:t>
      </w:r>
      <w:r w:rsidRPr="17EECA3F">
        <w:rPr>
          <w:rFonts w:asciiTheme="minorHAnsi" w:hAnsiTheme="minorHAnsi"/>
        </w:rPr>
        <w:t xml:space="preserve">crease in the number of </w:t>
      </w:r>
      <w:r w:rsidRPr="17EECA3F" w:rsidR="607DD162">
        <w:rPr>
          <w:rFonts w:asciiTheme="minorHAnsi" w:hAnsiTheme="minorHAnsi"/>
        </w:rPr>
        <w:t xml:space="preserve">TSCA </w:t>
      </w:r>
      <w:r w:rsidRPr="17EECA3F">
        <w:rPr>
          <w:rFonts w:asciiTheme="minorHAnsi" w:hAnsiTheme="minorHAnsi"/>
        </w:rPr>
        <w:t xml:space="preserve">section 8(e) submissions, which </w:t>
      </w:r>
      <w:r w:rsidRPr="17EECA3F" w:rsidR="007D4C03">
        <w:rPr>
          <w:rFonts w:asciiTheme="minorHAnsi" w:hAnsiTheme="minorHAnsi"/>
        </w:rPr>
        <w:t>in</w:t>
      </w:r>
      <w:r w:rsidRPr="17EECA3F">
        <w:rPr>
          <w:rFonts w:asciiTheme="minorHAnsi" w:hAnsiTheme="minorHAnsi"/>
        </w:rPr>
        <w:t xml:space="preserve">creased from </w:t>
      </w:r>
      <w:r w:rsidRPr="17EECA3F" w:rsidR="00E21A5E">
        <w:rPr>
          <w:rFonts w:asciiTheme="minorHAnsi" w:hAnsiTheme="minorHAnsi"/>
        </w:rPr>
        <w:t>343 to 55</w:t>
      </w:r>
      <w:r w:rsidRPr="17EECA3F" w:rsidR="00FB2698">
        <w:rPr>
          <w:rFonts w:asciiTheme="minorHAnsi" w:hAnsiTheme="minorHAnsi"/>
        </w:rPr>
        <w:t>2</w:t>
      </w:r>
      <w:r w:rsidRPr="17EECA3F">
        <w:rPr>
          <w:rFonts w:asciiTheme="minorHAnsi" w:hAnsiTheme="minorHAnsi"/>
        </w:rPr>
        <w:t xml:space="preserve">. </w:t>
      </w:r>
      <w:bookmarkEnd w:id="15"/>
      <w:r w:rsidRPr="17EECA3F" w:rsidR="004A169C">
        <w:rPr>
          <w:rFonts w:asciiTheme="minorHAnsi" w:hAnsiTheme="minorHAnsi"/>
        </w:rPr>
        <w:t xml:space="preserve">This change in an adjustment. </w:t>
      </w:r>
    </w:p>
    <w:bookmarkEnd w:id="16"/>
    <w:p w:rsidR="001724A7" w:rsidRPr="006E3159" w:rsidP="001724A7" w14:paraId="17EA7CDE" w14:textId="77777777">
      <w:pPr>
        <w:pStyle w:val="Heading2"/>
        <w:numPr>
          <w:ilvl w:val="0"/>
          <w:numId w:val="0"/>
        </w:numPr>
        <w:pBdr>
          <w:top w:val="none" w:sz="0" w:space="0" w:color="auto"/>
        </w:pBdr>
        <w:rPr>
          <w:rFonts w:ascii="Calibri" w:hAnsi="Calibri" w:cs="Calibri"/>
          <w:i/>
          <w:iCs/>
        </w:rPr>
      </w:pPr>
      <w:r w:rsidRPr="006E3159">
        <w:rPr>
          <w:rFonts w:ascii="Calibri" w:hAnsi="Calibri" w:cs="Calibri"/>
        </w:rPr>
        <w:t>16. PUBLICATION OF DATA:</w:t>
      </w:r>
    </w:p>
    <w:p w:rsidR="001724A7" w:rsidRPr="001724A7" w:rsidP="001724A7" w14:paraId="19C51330" w14:textId="1A7A40C0">
      <w:pPr>
        <w:pStyle w:val="Heading2"/>
        <w:numPr>
          <w:ilvl w:val="0"/>
          <w:numId w:val="0"/>
        </w:numPr>
        <w:pBdr>
          <w:top w:val="none" w:sz="0" w:space="0" w:color="auto"/>
          <w:bottom w:val="single" w:sz="4" w:space="1" w:color="auto"/>
        </w:pBdr>
        <w:rPr>
          <w:rFonts w:ascii="Calibri" w:hAnsi="Calibri" w:cs="Calibri"/>
          <w:b w:val="0"/>
          <w:bCs w:val="0"/>
          <w:i/>
          <w:iCs/>
        </w:rPr>
      </w:pPr>
      <w:r w:rsidRPr="001724A7">
        <w:rPr>
          <w:rFonts w:ascii="Calibri" w:hAnsi="Calibri" w:cs="Calibri"/>
          <w:b w:val="0"/>
          <w:i/>
          <w:iCs/>
        </w:rPr>
        <w:t>For collections whose results will be published, outline the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724A7" w:rsidRPr="00E56A4F" w:rsidP="001724A7" w14:paraId="4EB98E06" w14:textId="5501DFD0">
      <w:pPr>
        <w:rPr>
          <w:rFonts w:ascii="Calibri" w:hAnsi="Calibri" w:cs="Calibri"/>
          <w:lang w:bidi="en-US"/>
        </w:rPr>
      </w:pPr>
      <w:r w:rsidRPr="00E56A4F">
        <w:rPr>
          <w:rFonts w:ascii="Calibri" w:hAnsi="Calibri" w:cs="Calibri"/>
          <w:lang w:bidi="en-US"/>
        </w:rPr>
        <w:t>The Agency does not intend to publish results of this information collection.</w:t>
      </w:r>
    </w:p>
    <w:p w:rsidR="001724A7" w:rsidRPr="006E3159" w:rsidP="001724A7" w14:paraId="3F8A48FB" w14:textId="77777777">
      <w:pPr>
        <w:pStyle w:val="Heading2"/>
        <w:numPr>
          <w:ilvl w:val="0"/>
          <w:numId w:val="0"/>
        </w:numPr>
        <w:pBdr>
          <w:top w:val="none" w:sz="0" w:space="0" w:color="auto"/>
        </w:pBdr>
        <w:rPr>
          <w:rFonts w:ascii="Calibri" w:hAnsi="Calibri" w:cs="Calibri"/>
          <w:i/>
          <w:iCs/>
        </w:rPr>
      </w:pPr>
      <w:r w:rsidRPr="006E3159">
        <w:rPr>
          <w:rFonts w:ascii="Calibri" w:hAnsi="Calibri" w:cs="Calibri"/>
        </w:rPr>
        <w:t>17. DISPLAY OF OMB CONTROL NUMBER AND EXPIRATION DATE ON INSTRUMENTS:</w:t>
      </w:r>
    </w:p>
    <w:p w:rsidR="001724A7" w:rsidRPr="001724A7" w:rsidP="001724A7" w14:paraId="371EA5FE" w14:textId="77777777">
      <w:pPr>
        <w:pStyle w:val="Heading2"/>
        <w:numPr>
          <w:ilvl w:val="0"/>
          <w:numId w:val="0"/>
        </w:numPr>
        <w:pBdr>
          <w:top w:val="none" w:sz="0" w:space="0" w:color="auto"/>
          <w:bottom w:val="single" w:sz="4" w:space="1" w:color="auto"/>
        </w:pBdr>
        <w:rPr>
          <w:rFonts w:ascii="Calibri" w:hAnsi="Calibri" w:cs="Calibri"/>
          <w:b w:val="0"/>
          <w:bCs w:val="0"/>
          <w:i/>
          <w:iCs/>
        </w:rPr>
      </w:pPr>
      <w:r w:rsidRPr="001724A7">
        <w:rPr>
          <w:rFonts w:ascii="Calibri" w:hAnsi="Calibri" w:cs="Calibri"/>
          <w:b w:val="0"/>
          <w:i/>
          <w:iCs/>
        </w:rPr>
        <w:t xml:space="preserve">If seeking approval to not display the expiration date for OMB approval of the information collection, explain the reasons why display would be inappropriate. </w:t>
      </w:r>
    </w:p>
    <w:p w:rsidR="001724A7" w:rsidP="001724A7" w14:paraId="2DD2CED3" w14:textId="77777777">
      <w:pPr>
        <w:rPr>
          <w:rFonts w:ascii="Calibri" w:hAnsi="Calibri" w:eastAsiaTheme="majorEastAsia" w:cs="Calibri"/>
          <w:szCs w:val="26"/>
          <w:lang w:bidi="en-US"/>
        </w:rPr>
      </w:pPr>
      <w:r w:rsidRPr="00CC73B9">
        <w:rPr>
          <w:rFonts w:ascii="Calibri" w:hAnsi="Calibri" w:eastAsiaTheme="majorEastAsia" w:cs="Calibri"/>
          <w:szCs w:val="26"/>
          <w:lang w:bidi="en-US"/>
        </w:rPr>
        <w:t xml:space="preserve">The Agency plans to display the expiration date for OMB approval of the information collection on all instruments. </w:t>
      </w:r>
    </w:p>
    <w:p w:rsidR="001724A7" w:rsidRPr="006E3159" w:rsidP="001724A7" w14:paraId="62AE2993" w14:textId="77777777">
      <w:pPr>
        <w:pStyle w:val="Heading2"/>
        <w:numPr>
          <w:ilvl w:val="0"/>
          <w:numId w:val="0"/>
        </w:numPr>
        <w:pBdr>
          <w:top w:val="none" w:sz="0" w:space="0" w:color="auto"/>
        </w:pBdr>
        <w:rPr>
          <w:rFonts w:ascii="Calibri" w:hAnsi="Calibri" w:cs="Calibri"/>
          <w:i/>
          <w:iCs/>
        </w:rPr>
      </w:pPr>
      <w:r w:rsidRPr="006E3159">
        <w:rPr>
          <w:rFonts w:ascii="Calibri" w:hAnsi="Calibri" w:cs="Calibri"/>
        </w:rPr>
        <w:t>18. CERTIFICATION STATEMENT:</w:t>
      </w:r>
    </w:p>
    <w:p w:rsidR="001724A7" w:rsidRPr="001724A7" w:rsidP="001724A7" w14:paraId="4E7DC9EA" w14:textId="77777777">
      <w:pPr>
        <w:pStyle w:val="Heading2"/>
        <w:numPr>
          <w:ilvl w:val="0"/>
          <w:numId w:val="0"/>
        </w:numPr>
        <w:pBdr>
          <w:top w:val="none" w:sz="0" w:space="0" w:color="auto"/>
          <w:bottom w:val="single" w:sz="4" w:space="1" w:color="auto"/>
        </w:pBdr>
        <w:rPr>
          <w:rFonts w:ascii="Calibri" w:hAnsi="Calibri" w:cs="Calibri"/>
          <w:b w:val="0"/>
          <w:bCs w:val="0"/>
          <w:i/>
          <w:iCs/>
        </w:rPr>
      </w:pPr>
      <w:r w:rsidRPr="001724A7">
        <w:rPr>
          <w:rFonts w:ascii="Calibri" w:hAnsi="Calibri" w:cs="Calibri"/>
          <w:b w:val="0"/>
          <w:i/>
          <w:iCs/>
        </w:rPr>
        <w:t>Explain each exception to the topics of the certification statement identified in “Certification for Paperwork Reduction Act Submissions.”</w:t>
      </w:r>
    </w:p>
    <w:p w:rsidR="001724A7" w:rsidP="001724A7" w14:paraId="4AB7E3DC" w14:textId="77777777">
      <w:pPr>
        <w:rPr>
          <w:rFonts w:ascii="Calibri" w:hAnsi="Calibri" w:cs="Calibri"/>
          <w:lang w:bidi="en-US"/>
        </w:rPr>
      </w:pPr>
      <w:r w:rsidRPr="00CC73B9">
        <w:rPr>
          <w:rFonts w:ascii="Calibri" w:hAnsi="Calibri" w:cs="Calibri"/>
          <w:lang w:bidi="en-US"/>
        </w:rPr>
        <w:t>This information collection complies with all provisions of the Certification for Paperwork Reduction Act Submissions.</w:t>
      </w:r>
    </w:p>
    <w:p w:rsidR="00B2154A" w:rsidRPr="004A169C" w:rsidP="00B2154A" w14:paraId="26D6380C" w14:textId="27E81276">
      <w:pPr>
        <w:rPr>
          <w:rFonts w:asciiTheme="minorHAnsi" w:hAnsiTheme="minorHAnsi" w:cstheme="minorHAnsi"/>
          <w:szCs w:val="24"/>
        </w:rPr>
      </w:pPr>
      <w:r>
        <w:rPr>
          <w:rFonts w:asciiTheme="minorHAnsi" w:hAnsiTheme="minorHAnsi" w:cstheme="minorHAnsi"/>
          <w:szCs w:val="24"/>
        </w:rPr>
        <w:t xml:space="preserve"> BURDEN STATEMENT</w:t>
      </w:r>
      <w:r w:rsidR="006B02F6">
        <w:rPr>
          <w:rFonts w:asciiTheme="minorHAnsi" w:hAnsiTheme="minorHAnsi" w:cstheme="minorHAnsi"/>
          <w:szCs w:val="24"/>
        </w:rPr>
        <w:t xml:space="preserve">: </w:t>
      </w:r>
      <w:r w:rsidRPr="004A169C" w:rsidR="007971F9">
        <w:rPr>
          <w:rFonts w:asciiTheme="minorHAnsi" w:hAnsiTheme="minorHAnsi" w:cstheme="minorHAnsi"/>
          <w:szCs w:val="24"/>
        </w:rPr>
        <w:t xml:space="preserve">This collection of information is approved by OMB under the Paperwork Reduction Act, 44 U.S.C. 3501 et seq. (OMB Control No. 2070-0046). Responses to this collection of information are mandatory for certain persons, as specified at 15 USC 2607(e). An agency may not conduct or sponsor, and a person is not required to respond to, a collection of information unless it displays a currently valid OMB control number. The public reporting and recordkeeping burden for this collection of information is estimated to be 50 hours per response. Send comments on the Agency’s need for this information, the accuracy of the provided burden estimates and any suggested methods for minimizing respondent burden to the </w:t>
      </w:r>
      <w:r w:rsidRPr="006117DE" w:rsidR="006117DE">
        <w:rPr>
          <w:rFonts w:asciiTheme="minorHAnsi" w:hAnsiTheme="minorHAnsi" w:cstheme="minorHAnsi"/>
        </w:rPr>
        <w:t>Data &amp; Enterprise Program</w:t>
      </w:r>
      <w:r w:rsidRPr="006117DE" w:rsidR="007971F9">
        <w:rPr>
          <w:rFonts w:asciiTheme="minorHAnsi" w:hAnsiTheme="minorHAnsi" w:cstheme="minorHAnsi"/>
          <w:szCs w:val="24"/>
        </w:rPr>
        <w:t xml:space="preserve"> </w:t>
      </w:r>
      <w:r w:rsidR="006117DE">
        <w:rPr>
          <w:rFonts w:asciiTheme="minorHAnsi" w:hAnsiTheme="minorHAnsi" w:cstheme="minorHAnsi"/>
          <w:szCs w:val="24"/>
        </w:rPr>
        <w:t xml:space="preserve">Deputy Division </w:t>
      </w:r>
      <w:r w:rsidRPr="004A169C" w:rsidR="007971F9">
        <w:rPr>
          <w:rFonts w:asciiTheme="minorHAnsi" w:hAnsiTheme="minorHAnsi" w:cstheme="minorHAnsi"/>
          <w:szCs w:val="24"/>
        </w:rPr>
        <w:t>Director, U.S. Environmental Protection Agency (2821T), 1200 Pennsylvania Ave., NW, Washington, D.C. 20460. Include the OMB control number in any correspondence. Do not send the completed form to this address.</w:t>
      </w:r>
    </w:p>
    <w:p w:rsidR="00A85B27" w:rsidRPr="00F93A42" w:rsidP="00A85B27" w14:paraId="6F9D10C2" w14:textId="77777777">
      <w:pPr>
        <w:rPr>
          <w:rFonts w:ascii="Calibri" w:hAnsi="Calibri" w:cs="Calibri"/>
        </w:rPr>
      </w:pPr>
      <w:r w:rsidRPr="00F93A42">
        <w:rPr>
          <w:rFonts w:ascii="Calibri" w:hAnsi="Calibri" w:cs="Calibri"/>
        </w:rPr>
        <w:t xml:space="preserve">You can also provide comments to the Office of Information and Regulatory Affairs, Office of Management and Budget via </w:t>
      </w:r>
      <w:r w:rsidRPr="00F93A42">
        <w:rPr>
          <w:rStyle w:val="Hyperlink"/>
          <w:rFonts w:ascii="Calibri" w:hAnsi="Calibri" w:cs="Calibri"/>
        </w:rPr>
        <w:t>http</w:t>
      </w:r>
      <w:r>
        <w:rPr>
          <w:rStyle w:val="Hyperlink"/>
          <w:rFonts w:ascii="Calibri" w:hAnsi="Calibri" w:cs="Calibri"/>
        </w:rPr>
        <w:t>s</w:t>
      </w:r>
      <w:r w:rsidRPr="00F93A42">
        <w:rPr>
          <w:rStyle w:val="Hyperlink"/>
          <w:rFonts w:ascii="Calibri" w:hAnsi="Calibri" w:cs="Calibri"/>
        </w:rPr>
        <w:t>://www.reginfo.gov/public/do/PRAMain</w:t>
      </w:r>
      <w:r w:rsidRPr="00F93A42">
        <w:rPr>
          <w:rFonts w:ascii="Calibri" w:hAnsi="Calibri" w:cs="Calibri"/>
        </w:rPr>
        <w:t>. Find this particular information collection by selecting ‘‘Currently under 30-day Review—Open for Public Comments’’ or by using the search function.</w:t>
      </w:r>
    </w:p>
    <w:p w:rsidR="004A169C" w:rsidP="00A85B27" w14:paraId="3EAB2F5F" w14:textId="3283C406">
      <w:pPr>
        <w:numPr>
          <w:ilvl w:val="12"/>
          <w:numId w:val="0"/>
        </w:numPr>
        <w:rPr>
          <w:rFonts w:asciiTheme="minorHAnsi" w:hAnsiTheme="minorHAnsi" w:cstheme="minorHAnsi"/>
          <w:color w:val="0F0F0F"/>
          <w:szCs w:val="24"/>
        </w:rPr>
      </w:pPr>
      <w:r w:rsidRPr="00F93A42">
        <w:rPr>
          <w:rFonts w:ascii="Calibri" w:hAnsi="Calibri" w:cs="Calibri"/>
        </w:rPr>
        <w:t>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w:t>
      </w:r>
      <w:r w:rsidRPr="004A169C" w:rsidR="007971F9">
        <w:rPr>
          <w:rFonts w:asciiTheme="minorHAnsi" w:hAnsiTheme="minorHAnsi" w:cstheme="minorHAnsi"/>
          <w:color w:val="0F0F0F"/>
          <w:szCs w:val="24"/>
        </w:rPr>
        <w:t>. </w:t>
      </w:r>
    </w:p>
    <w:p w:rsidR="00A640A9" w:rsidRPr="004A169C" w:rsidP="002059F4" w14:paraId="4CFB748D" w14:textId="12211AEA">
      <w:pPr>
        <w:pStyle w:val="Heading1"/>
        <w:rPr>
          <w:rFonts w:asciiTheme="minorHAnsi" w:hAnsiTheme="minorHAnsi" w:cstheme="minorHAnsi"/>
          <w:sz w:val="24"/>
          <w:szCs w:val="24"/>
        </w:rPr>
      </w:pPr>
      <w:r w:rsidRPr="004A169C">
        <w:rPr>
          <w:rFonts w:asciiTheme="minorHAnsi" w:hAnsiTheme="minorHAnsi" w:cstheme="minorHAnsi"/>
          <w:sz w:val="24"/>
          <w:szCs w:val="24"/>
        </w:rPr>
        <w:t>List of Attachments</w:t>
      </w:r>
    </w:p>
    <w:p w:rsidR="0026304B" w:rsidRPr="004A169C" w:rsidP="0026304B" w14:paraId="4BA9D995" w14:textId="6DE41FB8">
      <w:pPr>
        <w:rPr>
          <w:rFonts w:asciiTheme="minorHAnsi" w:hAnsiTheme="minorHAnsi" w:cstheme="minorHAnsi"/>
          <w:szCs w:val="24"/>
          <w:lang w:bidi="en-US"/>
        </w:rPr>
      </w:pPr>
      <w:r w:rsidRPr="004A169C">
        <w:rPr>
          <w:rFonts w:asciiTheme="minorHAnsi" w:hAnsiTheme="minorHAnsi" w:cstheme="minorHAnsi"/>
          <w:szCs w:val="24"/>
          <w:lang w:bidi="en-US"/>
        </w:rPr>
        <w:t xml:space="preserve">The attachments listed below can be found in the docket for this ICR or by using the hyperlink that is provided in the list below. The docket for this ICR is accessible electronically through </w:t>
      </w:r>
      <w:hyperlink r:id="rId15" w:history="1">
        <w:r w:rsidRPr="004A169C">
          <w:rPr>
            <w:rStyle w:val="Hyperlink"/>
            <w:rFonts w:asciiTheme="minorHAnsi" w:hAnsiTheme="minorHAnsi" w:cstheme="minorHAnsi"/>
            <w:szCs w:val="24"/>
          </w:rPr>
          <w:t>http://www.regulations.gov</w:t>
        </w:r>
      </w:hyperlink>
      <w:r w:rsidRPr="004A169C">
        <w:rPr>
          <w:rFonts w:asciiTheme="minorHAnsi" w:hAnsiTheme="minorHAnsi" w:cstheme="minorHAnsi"/>
          <w:szCs w:val="24"/>
          <w:lang w:bidi="en-US"/>
        </w:rPr>
        <w:t xml:space="preserve"> using Docket ID Number: </w:t>
      </w:r>
      <w:r w:rsidRPr="004A169C">
        <w:rPr>
          <w:rFonts w:asciiTheme="minorHAnsi" w:hAnsiTheme="minorHAnsi" w:cstheme="minorHAnsi"/>
          <w:szCs w:val="24"/>
        </w:rPr>
        <w:t>EPA-HQ-</w:t>
      </w:r>
      <w:r w:rsidRPr="004A169C" w:rsidR="00270BE8">
        <w:rPr>
          <w:rFonts w:asciiTheme="minorHAnsi" w:hAnsiTheme="minorHAnsi" w:cstheme="minorHAnsi"/>
          <w:szCs w:val="24"/>
        </w:rPr>
        <w:t>OPPT</w:t>
      </w:r>
      <w:r w:rsidRPr="004A169C">
        <w:rPr>
          <w:rFonts w:asciiTheme="minorHAnsi" w:hAnsiTheme="minorHAnsi" w:cstheme="minorHAnsi"/>
          <w:szCs w:val="24"/>
        </w:rPr>
        <w:t>-</w:t>
      </w:r>
      <w:r w:rsidRPr="004A169C" w:rsidR="00270BE8">
        <w:rPr>
          <w:rFonts w:asciiTheme="minorHAnsi" w:hAnsiTheme="minorHAnsi" w:cstheme="minorHAnsi"/>
          <w:szCs w:val="24"/>
        </w:rPr>
        <w:t>2015-0744</w:t>
      </w:r>
      <w:r w:rsidRPr="004A169C">
        <w:rPr>
          <w:rFonts w:asciiTheme="minorHAnsi" w:hAnsiTheme="minorHAnsi" w:cstheme="minorHAnsi"/>
          <w:szCs w:val="24"/>
          <w:lang w:bidi="en-US"/>
        </w:rPr>
        <w:t>.</w:t>
      </w:r>
    </w:p>
    <w:tbl>
      <w:tblPr>
        <w:tblStyle w:val="TableGrid"/>
        <w:tblW w:w="0" w:type="auto"/>
        <w:tblLook w:val="04A0"/>
      </w:tblPr>
      <w:tblGrid>
        <w:gridCol w:w="670"/>
        <w:gridCol w:w="8680"/>
      </w:tblGrid>
      <w:tr w14:paraId="3C28984B" w14:textId="77777777" w:rsidTr="0C501E31">
        <w:tblPrEx>
          <w:tblW w:w="0" w:type="auto"/>
          <w:tblLook w:val="04A0"/>
        </w:tblPrEx>
        <w:tc>
          <w:tcPr>
            <w:tcW w:w="670" w:type="dxa"/>
          </w:tcPr>
          <w:p w:rsidR="0026304B" w:rsidRPr="004A169C" w:rsidP="0026304B" w14:paraId="20CF178A" w14:textId="5677487C">
            <w:pPr>
              <w:widowControl w:val="0"/>
              <w:spacing w:before="40" w:after="40" w:line="240" w:lineRule="auto"/>
              <w:rPr>
                <w:rFonts w:asciiTheme="minorHAnsi" w:hAnsiTheme="minorHAnsi" w:cstheme="minorHAnsi"/>
                <w:b/>
                <w:bCs/>
                <w:szCs w:val="24"/>
                <w:lang w:bidi="en-US"/>
              </w:rPr>
            </w:pPr>
            <w:r w:rsidRPr="004A169C">
              <w:rPr>
                <w:rFonts w:asciiTheme="minorHAnsi" w:hAnsiTheme="minorHAnsi" w:cstheme="minorHAnsi"/>
                <w:b/>
                <w:bCs/>
                <w:szCs w:val="24"/>
                <w:lang w:bidi="en-US"/>
              </w:rPr>
              <w:t>Ref.</w:t>
            </w:r>
          </w:p>
        </w:tc>
        <w:tc>
          <w:tcPr>
            <w:tcW w:w="8680" w:type="dxa"/>
          </w:tcPr>
          <w:p w:rsidR="0026304B" w:rsidRPr="004A169C" w:rsidP="0026304B" w14:paraId="43C6C962" w14:textId="6A01ED44">
            <w:pPr>
              <w:widowControl w:val="0"/>
              <w:spacing w:before="40" w:after="40" w:line="240" w:lineRule="auto"/>
              <w:rPr>
                <w:rFonts w:asciiTheme="minorHAnsi" w:hAnsiTheme="minorHAnsi" w:cstheme="minorHAnsi"/>
                <w:b/>
                <w:bCs/>
                <w:szCs w:val="24"/>
                <w:lang w:bidi="en-US"/>
              </w:rPr>
            </w:pPr>
            <w:r w:rsidRPr="004A169C">
              <w:rPr>
                <w:rFonts w:asciiTheme="minorHAnsi" w:hAnsiTheme="minorHAnsi" w:cstheme="minorHAnsi"/>
                <w:b/>
                <w:bCs/>
                <w:szCs w:val="24"/>
                <w:lang w:bidi="en-US"/>
              </w:rPr>
              <w:t>Title (</w:t>
            </w:r>
            <w:r w:rsidRPr="004A169C" w:rsidR="00FE3CB9">
              <w:rPr>
                <w:rFonts w:asciiTheme="minorHAnsi" w:hAnsiTheme="minorHAnsi" w:cstheme="minorHAnsi"/>
                <w:b/>
                <w:bCs/>
                <w:szCs w:val="24"/>
                <w:lang w:bidi="en-US"/>
              </w:rPr>
              <w:t>h</w:t>
            </w:r>
            <w:r w:rsidRPr="004A169C">
              <w:rPr>
                <w:rFonts w:asciiTheme="minorHAnsi" w:hAnsiTheme="minorHAnsi" w:cstheme="minorHAnsi"/>
                <w:b/>
                <w:bCs/>
                <w:szCs w:val="24"/>
                <w:lang w:bidi="en-US"/>
              </w:rPr>
              <w:t>yperlink)</w:t>
            </w:r>
          </w:p>
        </w:tc>
      </w:tr>
      <w:tr w14:paraId="0A3FB372" w14:textId="77777777" w:rsidTr="0C501E31">
        <w:tblPrEx>
          <w:tblW w:w="0" w:type="auto"/>
          <w:tblLook w:val="04A0"/>
        </w:tblPrEx>
        <w:tc>
          <w:tcPr>
            <w:tcW w:w="670" w:type="dxa"/>
          </w:tcPr>
          <w:p w:rsidR="009F0BFB" w:rsidRPr="004A169C" w:rsidP="0026304B" w14:paraId="1908C95E" w14:textId="26E44F13">
            <w:pPr>
              <w:widowControl w:val="0"/>
              <w:spacing w:before="40" w:after="40" w:line="240" w:lineRule="auto"/>
              <w:rPr>
                <w:rFonts w:asciiTheme="minorHAnsi" w:hAnsiTheme="minorHAnsi" w:cstheme="minorHAnsi"/>
                <w:szCs w:val="24"/>
                <w:lang w:bidi="en-US"/>
              </w:rPr>
            </w:pPr>
            <w:r>
              <w:rPr>
                <w:rFonts w:asciiTheme="minorHAnsi" w:hAnsiTheme="minorHAnsi" w:cstheme="minorHAnsi"/>
                <w:szCs w:val="24"/>
                <w:lang w:bidi="en-US"/>
              </w:rPr>
              <w:t>1</w:t>
            </w:r>
            <w:r w:rsidRPr="004A169C" w:rsidR="007971F9">
              <w:rPr>
                <w:rFonts w:asciiTheme="minorHAnsi" w:hAnsiTheme="minorHAnsi" w:cstheme="minorHAnsi"/>
                <w:szCs w:val="24"/>
                <w:lang w:bidi="en-US"/>
              </w:rPr>
              <w:t xml:space="preserve">. </w:t>
            </w:r>
          </w:p>
        </w:tc>
        <w:tc>
          <w:tcPr>
            <w:tcW w:w="8680" w:type="dxa"/>
          </w:tcPr>
          <w:p w:rsidR="009F0BFB" w:rsidRPr="004A169C" w:rsidP="0C501E31" w14:paraId="0121D6F2" w14:textId="2678D835">
            <w:pPr>
              <w:widowControl w:val="0"/>
              <w:spacing w:before="40" w:after="40" w:line="240" w:lineRule="auto"/>
              <w:rPr>
                <w:rFonts w:asciiTheme="minorHAnsi" w:hAnsiTheme="minorHAnsi"/>
              </w:rPr>
            </w:pPr>
            <w:r w:rsidRPr="00D95784">
              <w:rPr>
                <w:rFonts w:asciiTheme="minorHAnsi" w:eastAsiaTheme="minorEastAsia" w:hAnsiTheme="minorHAnsi"/>
              </w:rPr>
              <w:t>EPA Form 9600-030 8e and FYI Submissions</w:t>
            </w:r>
            <w:r>
              <w:t xml:space="preserve"> </w:t>
            </w:r>
          </w:p>
        </w:tc>
      </w:tr>
      <w:tr w14:paraId="463607DB" w14:textId="77777777" w:rsidTr="0C501E31">
        <w:tblPrEx>
          <w:tblW w:w="0" w:type="auto"/>
          <w:tblLook w:val="04A0"/>
        </w:tblPrEx>
        <w:tc>
          <w:tcPr>
            <w:tcW w:w="670" w:type="dxa"/>
          </w:tcPr>
          <w:p w:rsidR="00BB59D1" w:rsidRPr="004A169C" w:rsidP="0026304B" w14:paraId="7954A07D" w14:textId="682F3208">
            <w:pPr>
              <w:widowControl w:val="0"/>
              <w:spacing w:before="40" w:after="40" w:line="240" w:lineRule="auto"/>
              <w:rPr>
                <w:rFonts w:asciiTheme="minorHAnsi" w:hAnsiTheme="minorHAnsi" w:cstheme="minorHAnsi"/>
                <w:szCs w:val="24"/>
                <w:lang w:bidi="en-US"/>
              </w:rPr>
            </w:pPr>
            <w:r>
              <w:rPr>
                <w:rFonts w:asciiTheme="minorHAnsi" w:hAnsiTheme="minorHAnsi" w:cstheme="minorHAnsi"/>
                <w:szCs w:val="24"/>
                <w:lang w:bidi="en-US"/>
              </w:rPr>
              <w:t>2</w:t>
            </w:r>
            <w:r w:rsidRPr="004A169C" w:rsidR="007971F9">
              <w:rPr>
                <w:rFonts w:asciiTheme="minorHAnsi" w:hAnsiTheme="minorHAnsi" w:cstheme="minorHAnsi"/>
                <w:szCs w:val="24"/>
                <w:lang w:bidi="en-US"/>
              </w:rPr>
              <w:t>.</w:t>
            </w:r>
          </w:p>
        </w:tc>
        <w:tc>
          <w:tcPr>
            <w:tcW w:w="8680" w:type="dxa"/>
          </w:tcPr>
          <w:p w:rsidR="00BB59D1" w:rsidRPr="004A169C" w:rsidP="0026304B" w14:paraId="3E9DC908" w14:textId="6B42F71B">
            <w:pPr>
              <w:widowControl w:val="0"/>
              <w:spacing w:before="40" w:after="40" w:line="240" w:lineRule="auto"/>
              <w:rPr>
                <w:rFonts w:asciiTheme="minorHAnsi" w:hAnsiTheme="minorHAnsi" w:cstheme="minorHAnsi"/>
                <w:szCs w:val="24"/>
              </w:rPr>
            </w:pPr>
            <w:r w:rsidRPr="004A169C">
              <w:rPr>
                <w:rFonts w:asciiTheme="minorHAnsi" w:hAnsiTheme="minorHAnsi" w:cstheme="minorHAnsi"/>
                <w:szCs w:val="24"/>
              </w:rPr>
              <w:t>Consultation</w:t>
            </w:r>
            <w:r w:rsidRPr="004A169C" w:rsidR="00E662FE">
              <w:rPr>
                <w:rFonts w:asciiTheme="minorHAnsi" w:hAnsiTheme="minorHAnsi" w:cstheme="minorHAnsi"/>
                <w:szCs w:val="24"/>
              </w:rPr>
              <w:t xml:space="preserve"> </w:t>
            </w:r>
          </w:p>
        </w:tc>
      </w:tr>
      <w:tr w14:paraId="53777C5D" w14:textId="77777777" w:rsidTr="0C501E31">
        <w:tblPrEx>
          <w:tblW w:w="0" w:type="auto"/>
          <w:tblLook w:val="04A0"/>
        </w:tblPrEx>
        <w:tc>
          <w:tcPr>
            <w:tcW w:w="670" w:type="dxa"/>
          </w:tcPr>
          <w:p w:rsidR="00AE0AB4" w:rsidP="0026304B" w14:paraId="2DB5010A" w14:textId="05D322DC">
            <w:pPr>
              <w:widowControl w:val="0"/>
              <w:spacing w:before="40" w:after="40" w:line="240" w:lineRule="auto"/>
              <w:rPr>
                <w:rFonts w:asciiTheme="minorHAnsi" w:hAnsiTheme="minorHAnsi" w:cstheme="minorHAnsi"/>
                <w:szCs w:val="24"/>
                <w:lang w:bidi="en-US"/>
              </w:rPr>
            </w:pPr>
            <w:r>
              <w:rPr>
                <w:rFonts w:asciiTheme="minorHAnsi" w:hAnsiTheme="minorHAnsi" w:cstheme="minorHAnsi"/>
                <w:szCs w:val="24"/>
                <w:lang w:bidi="en-US"/>
              </w:rPr>
              <w:t xml:space="preserve">3. </w:t>
            </w:r>
          </w:p>
        </w:tc>
        <w:tc>
          <w:tcPr>
            <w:tcW w:w="8680" w:type="dxa"/>
          </w:tcPr>
          <w:p w:rsidR="00AE0AB4" w:rsidRPr="004A169C" w:rsidP="0026304B" w14:paraId="13F5B041" w14:textId="23BC100A">
            <w:pPr>
              <w:widowControl w:val="0"/>
              <w:spacing w:before="40" w:after="40" w:line="240" w:lineRule="auto"/>
              <w:rPr>
                <w:rFonts w:asciiTheme="minorHAnsi" w:hAnsiTheme="minorHAnsi" w:cstheme="minorHAnsi"/>
                <w:szCs w:val="24"/>
              </w:rPr>
            </w:pPr>
            <w:r>
              <w:rPr>
                <w:rFonts w:asciiTheme="minorHAnsi" w:hAnsiTheme="minorHAnsi" w:cstheme="minorHAnsi"/>
                <w:szCs w:val="24"/>
              </w:rPr>
              <w:t xml:space="preserve">Consultation Responses </w:t>
            </w:r>
          </w:p>
        </w:tc>
      </w:tr>
      <w:tr w14:paraId="58765A23" w14:textId="77777777" w:rsidTr="0C501E31">
        <w:tblPrEx>
          <w:tblW w:w="0" w:type="auto"/>
          <w:tblLook w:val="04A0"/>
        </w:tblPrEx>
        <w:tc>
          <w:tcPr>
            <w:tcW w:w="670" w:type="dxa"/>
          </w:tcPr>
          <w:p w:rsidR="00F87787" w:rsidP="0026304B" w14:paraId="3400A269" w14:textId="2ECDD18E">
            <w:pPr>
              <w:widowControl w:val="0"/>
              <w:spacing w:before="40" w:after="40" w:line="240" w:lineRule="auto"/>
              <w:rPr>
                <w:rFonts w:asciiTheme="minorHAnsi" w:hAnsiTheme="minorHAnsi" w:cstheme="minorHAnsi"/>
                <w:szCs w:val="24"/>
                <w:lang w:bidi="en-US"/>
              </w:rPr>
            </w:pPr>
            <w:r>
              <w:rPr>
                <w:rFonts w:asciiTheme="minorHAnsi" w:hAnsiTheme="minorHAnsi" w:cstheme="minorHAnsi"/>
                <w:szCs w:val="24"/>
                <w:lang w:bidi="en-US"/>
              </w:rPr>
              <w:t>4.</w:t>
            </w:r>
          </w:p>
        </w:tc>
        <w:tc>
          <w:tcPr>
            <w:tcW w:w="8680" w:type="dxa"/>
          </w:tcPr>
          <w:p w:rsidR="00F87787" w:rsidP="005D642D" w14:paraId="17635310" w14:textId="52914C29">
            <w:pPr>
              <w:spacing w:after="0"/>
              <w:rPr>
                <w:rFonts w:asciiTheme="minorHAnsi" w:hAnsiTheme="minorHAnsi" w:cstheme="minorHAnsi"/>
                <w:szCs w:val="24"/>
              </w:rPr>
            </w:pPr>
            <w:r>
              <w:rPr>
                <w:rFonts w:asciiTheme="minorHAnsi" w:hAnsiTheme="minorHAnsi" w:cstheme="minorHAnsi"/>
                <w:szCs w:val="24"/>
              </w:rPr>
              <w:t>Response to Comments</w:t>
            </w:r>
          </w:p>
        </w:tc>
      </w:tr>
      <w:tr w14:paraId="0CB13F03" w14:textId="77777777" w:rsidTr="0C501E31">
        <w:tblPrEx>
          <w:tblW w:w="0" w:type="auto"/>
          <w:tblLook w:val="04A0"/>
        </w:tblPrEx>
        <w:tc>
          <w:tcPr>
            <w:tcW w:w="670" w:type="dxa"/>
          </w:tcPr>
          <w:p w:rsidR="00AE0AB4" w:rsidP="0026304B" w14:paraId="0E50369B" w14:textId="5F0D2791">
            <w:pPr>
              <w:widowControl w:val="0"/>
              <w:spacing w:before="40" w:after="40" w:line="240" w:lineRule="auto"/>
              <w:rPr>
                <w:rFonts w:asciiTheme="minorHAnsi" w:hAnsiTheme="minorHAnsi" w:cstheme="minorHAnsi"/>
                <w:szCs w:val="24"/>
                <w:lang w:bidi="en-US"/>
              </w:rPr>
            </w:pPr>
            <w:r>
              <w:rPr>
                <w:rFonts w:asciiTheme="minorHAnsi" w:hAnsiTheme="minorHAnsi" w:cstheme="minorHAnsi"/>
                <w:szCs w:val="24"/>
                <w:lang w:bidi="en-US"/>
              </w:rPr>
              <w:t>5</w:t>
            </w:r>
          </w:p>
        </w:tc>
        <w:tc>
          <w:tcPr>
            <w:tcW w:w="8680" w:type="dxa"/>
          </w:tcPr>
          <w:p w:rsidR="00AE0AB4" w:rsidRPr="005D642D" w:rsidP="005D642D" w14:paraId="364B9573" w14:textId="3B892353">
            <w:pPr>
              <w:spacing w:after="0"/>
              <w:rPr>
                <w:rFonts w:ascii="Calibri" w:hAnsi="Calibri"/>
                <w:b/>
              </w:rPr>
            </w:pPr>
            <w:r>
              <w:rPr>
                <w:rFonts w:asciiTheme="minorHAnsi" w:hAnsiTheme="minorHAnsi" w:cstheme="minorHAnsi"/>
                <w:szCs w:val="24"/>
              </w:rPr>
              <w:t xml:space="preserve">ACC Comments </w:t>
            </w:r>
          </w:p>
        </w:tc>
      </w:tr>
    </w:tbl>
    <w:p w:rsidR="0026304B" w:rsidRPr="004A169C" w:rsidP="0026304B" w14:paraId="402D83F5" w14:textId="1DADCFF4">
      <w:pPr>
        <w:rPr>
          <w:rFonts w:asciiTheme="minorHAnsi" w:hAnsiTheme="minorHAnsi" w:cstheme="minorHAnsi"/>
          <w:szCs w:val="24"/>
          <w:lang w:bidi="en-US"/>
        </w:rPr>
      </w:pPr>
    </w:p>
    <w:p w:rsidR="00F300BC" w:rsidRPr="004A169C" w:rsidP="00F300BC" w14:paraId="300F9384" w14:textId="6707C4F7">
      <w:pPr>
        <w:pStyle w:val="Heading1"/>
        <w:rPr>
          <w:rFonts w:asciiTheme="minorHAnsi" w:hAnsiTheme="minorHAnsi" w:cstheme="minorHAnsi"/>
          <w:sz w:val="24"/>
          <w:szCs w:val="24"/>
        </w:rPr>
      </w:pPr>
      <w:r w:rsidRPr="004A169C">
        <w:rPr>
          <w:rFonts w:asciiTheme="minorHAnsi" w:hAnsiTheme="minorHAnsi" w:cstheme="minorHAnsi"/>
          <w:sz w:val="24"/>
          <w:szCs w:val="24"/>
        </w:rPr>
        <w:t xml:space="preserve">List of References </w:t>
      </w:r>
    </w:p>
    <w:p w:rsidR="00E662FE" w:rsidRPr="004A169C" w:rsidP="00270BE8" w14:paraId="4A7A7899" w14:textId="7E68CD74">
      <w:pPr>
        <w:ind w:left="720" w:hanging="720"/>
        <w:rPr>
          <w:rStyle w:val="Hyperlink"/>
          <w:rFonts w:asciiTheme="minorHAnsi" w:hAnsiTheme="minorHAnsi" w:cstheme="minorHAnsi"/>
          <w:szCs w:val="24"/>
          <w:lang w:bidi="en-US"/>
        </w:rPr>
      </w:pPr>
      <w:hyperlink r:id="rId16" w:history="1">
        <w:r w:rsidRPr="004A169C">
          <w:rPr>
            <w:rStyle w:val="Hyperlink"/>
            <w:rFonts w:asciiTheme="minorHAnsi" w:hAnsiTheme="minorHAnsi" w:cstheme="minorHAnsi"/>
            <w:szCs w:val="24"/>
            <w:lang w:bidi="en-US"/>
          </w:rPr>
          <w:t>15 U.S.C. 2607(e)</w:t>
        </w:r>
      </w:hyperlink>
    </w:p>
    <w:p w:rsidR="00270BE8" w:rsidP="00270BE8" w14:paraId="1943468B" w14:textId="00A044C2">
      <w:pPr>
        <w:ind w:left="720" w:hanging="720"/>
        <w:rPr>
          <w:rFonts w:asciiTheme="minorHAnsi" w:hAnsiTheme="minorHAnsi" w:cstheme="minorHAnsi"/>
          <w:color w:val="000000" w:themeColor="text1"/>
          <w:szCs w:val="24"/>
        </w:rPr>
      </w:pPr>
      <w:r w:rsidRPr="004A169C">
        <w:rPr>
          <w:rFonts w:asciiTheme="minorHAnsi" w:hAnsiTheme="minorHAnsi" w:cstheme="minorHAnsi"/>
          <w:color w:val="000000" w:themeColor="text1"/>
          <w:szCs w:val="24"/>
        </w:rPr>
        <w:t xml:space="preserve">U.S. Bureau of Labor Statistics (BLS). </w:t>
      </w:r>
      <w:r w:rsidRPr="004A169C" w:rsidR="00CC6ADE">
        <w:rPr>
          <w:rFonts w:asciiTheme="minorHAnsi" w:hAnsiTheme="minorHAnsi" w:cstheme="minorHAnsi"/>
          <w:color w:val="000000" w:themeColor="text1"/>
          <w:szCs w:val="24"/>
        </w:rPr>
        <w:t>2021</w:t>
      </w:r>
      <w:r w:rsidRPr="004A169C">
        <w:rPr>
          <w:rFonts w:asciiTheme="minorHAnsi" w:hAnsiTheme="minorHAnsi" w:cstheme="minorHAnsi"/>
          <w:color w:val="000000" w:themeColor="text1"/>
          <w:szCs w:val="24"/>
        </w:rPr>
        <w:t xml:space="preserve">, Employer Costs for Employee Compensation Supplementary Tables: December 2006 – December </w:t>
      </w:r>
      <w:r w:rsidRPr="004A169C" w:rsidR="00CC6ADE">
        <w:rPr>
          <w:rFonts w:asciiTheme="minorHAnsi" w:hAnsiTheme="minorHAnsi" w:cstheme="minorHAnsi"/>
          <w:color w:val="000000" w:themeColor="text1"/>
          <w:szCs w:val="24"/>
        </w:rPr>
        <w:t>2020</w:t>
      </w:r>
      <w:r w:rsidRPr="004A169C">
        <w:rPr>
          <w:rFonts w:asciiTheme="minorHAnsi" w:hAnsiTheme="minorHAnsi" w:cstheme="minorHAnsi"/>
          <w:color w:val="000000" w:themeColor="text1"/>
          <w:szCs w:val="24"/>
        </w:rPr>
        <w:t xml:space="preserve">. Accessed March </w:t>
      </w:r>
      <w:r w:rsidRPr="004A169C" w:rsidR="00910214">
        <w:rPr>
          <w:rFonts w:asciiTheme="minorHAnsi" w:hAnsiTheme="minorHAnsi" w:cstheme="minorHAnsi"/>
          <w:color w:val="000000" w:themeColor="text1"/>
          <w:szCs w:val="24"/>
        </w:rPr>
        <w:t>18</w:t>
      </w:r>
      <w:r w:rsidRPr="004A169C">
        <w:rPr>
          <w:rFonts w:asciiTheme="minorHAnsi" w:hAnsiTheme="minorHAnsi" w:cstheme="minorHAnsi"/>
          <w:color w:val="000000" w:themeColor="text1"/>
          <w:szCs w:val="24"/>
        </w:rPr>
        <w:t>, 20</w:t>
      </w:r>
      <w:r w:rsidRPr="004A169C" w:rsidR="00910214">
        <w:rPr>
          <w:rFonts w:asciiTheme="minorHAnsi" w:hAnsiTheme="minorHAnsi" w:cstheme="minorHAnsi"/>
          <w:color w:val="000000" w:themeColor="text1"/>
          <w:szCs w:val="24"/>
        </w:rPr>
        <w:t>21</w:t>
      </w:r>
      <w:r w:rsidRPr="004A169C">
        <w:rPr>
          <w:rFonts w:asciiTheme="minorHAnsi" w:hAnsiTheme="minorHAnsi" w:cstheme="minorHAnsi"/>
          <w:color w:val="000000" w:themeColor="text1"/>
          <w:szCs w:val="24"/>
        </w:rPr>
        <w:t>. Available at:</w:t>
      </w:r>
      <w:r w:rsidRPr="004A169C" w:rsidR="0A245E36">
        <w:rPr>
          <w:rFonts w:asciiTheme="minorHAnsi" w:hAnsiTheme="minorHAnsi" w:cstheme="minorHAnsi"/>
          <w:szCs w:val="24"/>
        </w:rPr>
        <w:t xml:space="preserve"> </w:t>
      </w:r>
      <w:hyperlink r:id="rId17" w:history="1">
        <w:r w:rsidRPr="004A169C" w:rsidR="00474B46">
          <w:rPr>
            <w:rStyle w:val="Hyperlink"/>
            <w:rFonts w:asciiTheme="minorHAnsi" w:hAnsiTheme="minorHAnsi" w:cstheme="minorHAnsi"/>
            <w:szCs w:val="24"/>
          </w:rPr>
          <w:t>https://www.bls.gov/web/ecec/ecsuphst.pdf</w:t>
        </w:r>
      </w:hyperlink>
      <w:r w:rsidRPr="004A169C">
        <w:rPr>
          <w:rFonts w:asciiTheme="minorHAnsi" w:hAnsiTheme="minorHAnsi" w:cstheme="minorHAnsi"/>
          <w:color w:val="000000" w:themeColor="text1"/>
          <w:szCs w:val="24"/>
        </w:rPr>
        <w:t xml:space="preserve">. </w:t>
      </w:r>
    </w:p>
    <w:p w:rsidR="00C933F0" w:rsidRPr="004A169C" w:rsidP="00270BE8" w14:paraId="32CA0E73" w14:textId="6EAADF07">
      <w:pPr>
        <w:ind w:left="720" w:hanging="720"/>
        <w:rPr>
          <w:rFonts w:asciiTheme="minorHAnsi" w:hAnsiTheme="minorHAnsi" w:cstheme="minorHAnsi"/>
          <w:szCs w:val="24"/>
        </w:rPr>
      </w:pPr>
      <w:r w:rsidRPr="00D95784">
        <w:rPr>
          <w:rFonts w:asciiTheme="minorHAnsi" w:hAnsiTheme="minorHAnsi" w:cstheme="minorHAnsi"/>
          <w:szCs w:val="24"/>
        </w:rPr>
        <w:t>U.S. EPA. (2023). Economic Analysis for the Final Rule: Procedures for Review of CBI Claims for the Identity of Chemicals on the TSCA Inventory (April 2, 2023).</w:t>
      </w:r>
    </w:p>
    <w:p w:rsidR="00270BE8" w:rsidP="00270BE8" w14:paraId="44F5EF9A" w14:textId="4B02D414">
      <w:pPr>
        <w:spacing w:after="240"/>
        <w:ind w:left="720" w:hanging="720"/>
        <w:rPr>
          <w:rFonts w:asciiTheme="minorHAnsi" w:hAnsiTheme="minorHAnsi" w:cstheme="minorHAnsi"/>
          <w:szCs w:val="24"/>
        </w:rPr>
      </w:pPr>
      <w:r w:rsidRPr="004A169C">
        <w:rPr>
          <w:rFonts w:asciiTheme="minorHAnsi" w:hAnsiTheme="minorHAnsi" w:cstheme="minorHAnsi"/>
          <w:szCs w:val="24"/>
        </w:rPr>
        <w:t>U</w:t>
      </w:r>
      <w:r w:rsidR="00F81B53">
        <w:rPr>
          <w:rFonts w:asciiTheme="minorHAnsi" w:hAnsiTheme="minorHAnsi" w:cstheme="minorHAnsi"/>
          <w:szCs w:val="24"/>
        </w:rPr>
        <w:t>.</w:t>
      </w:r>
      <w:r w:rsidRPr="004A169C">
        <w:rPr>
          <w:rFonts w:asciiTheme="minorHAnsi" w:hAnsiTheme="minorHAnsi" w:cstheme="minorHAnsi"/>
          <w:szCs w:val="24"/>
        </w:rPr>
        <w:t>S</w:t>
      </w:r>
      <w:r w:rsidR="00F81B53">
        <w:rPr>
          <w:rFonts w:asciiTheme="minorHAnsi" w:hAnsiTheme="minorHAnsi" w:cstheme="minorHAnsi"/>
          <w:szCs w:val="24"/>
        </w:rPr>
        <w:t>.</w:t>
      </w:r>
      <w:r w:rsidRPr="004A169C">
        <w:rPr>
          <w:rFonts w:asciiTheme="minorHAnsi" w:hAnsiTheme="minorHAnsi" w:cstheme="minorHAnsi"/>
          <w:szCs w:val="24"/>
        </w:rPr>
        <w:t xml:space="preserve"> EPA</w:t>
      </w:r>
      <w:r w:rsidRPr="004A169C" w:rsidR="00FE3CB9">
        <w:rPr>
          <w:rFonts w:asciiTheme="minorHAnsi" w:hAnsiTheme="minorHAnsi" w:cstheme="minorHAnsi"/>
          <w:szCs w:val="24"/>
        </w:rPr>
        <w:t>.</w:t>
      </w:r>
      <w:r w:rsidRPr="004A169C">
        <w:rPr>
          <w:rFonts w:asciiTheme="minorHAnsi" w:hAnsiTheme="minorHAnsi" w:cstheme="minorHAnsi"/>
          <w:szCs w:val="24"/>
        </w:rPr>
        <w:t xml:space="preserve"> 2015. Information Collection Request (ICR): Premanufacture Review Reporting and Exemption Requirements for New Chemical Substances and Significant New Use Reporting Requirements for Chemical Substances. EPA ICR No: </w:t>
      </w:r>
      <w:r w:rsidR="003A7EF3">
        <w:rPr>
          <w:rFonts w:asciiTheme="minorHAnsi" w:hAnsiTheme="minorHAnsi" w:cstheme="minorHAnsi"/>
          <w:szCs w:val="24"/>
        </w:rPr>
        <w:t>2702.01</w:t>
      </w:r>
      <w:r w:rsidRPr="004A169C">
        <w:rPr>
          <w:rFonts w:asciiTheme="minorHAnsi" w:hAnsiTheme="minorHAnsi" w:cstheme="minorHAnsi"/>
          <w:szCs w:val="24"/>
        </w:rPr>
        <w:t>0574.15. OMB Control No: 2070-00</w:t>
      </w:r>
      <w:r w:rsidR="003A7EF3">
        <w:rPr>
          <w:rFonts w:asciiTheme="minorHAnsi" w:hAnsiTheme="minorHAnsi" w:cstheme="minorHAnsi"/>
          <w:szCs w:val="24"/>
        </w:rPr>
        <w:t>38</w:t>
      </w:r>
      <w:r w:rsidRPr="004A169C">
        <w:rPr>
          <w:rFonts w:asciiTheme="minorHAnsi" w:hAnsiTheme="minorHAnsi" w:cstheme="minorHAnsi"/>
          <w:szCs w:val="24"/>
        </w:rPr>
        <w:t xml:space="preserve">. Available at </w:t>
      </w:r>
      <w:hyperlink r:id="rId18" w:history="1">
        <w:r w:rsidRPr="0098032E" w:rsidR="004A169C">
          <w:rPr>
            <w:rStyle w:val="Hyperlink"/>
            <w:rFonts w:asciiTheme="minorHAnsi" w:hAnsiTheme="minorHAnsi" w:cstheme="minorHAnsi"/>
            <w:szCs w:val="24"/>
          </w:rPr>
          <w:t>https://www.regulations.gov/document/EPA-HQ-OPPT-2021-0660-0019</w:t>
        </w:r>
      </w:hyperlink>
      <w:r w:rsidR="004A169C">
        <w:rPr>
          <w:rFonts w:asciiTheme="minorHAnsi" w:hAnsiTheme="minorHAnsi" w:cstheme="minorHAnsi"/>
          <w:szCs w:val="24"/>
        </w:rPr>
        <w:t xml:space="preserve"> </w:t>
      </w:r>
    </w:p>
    <w:p w:rsidR="00C933F0" w:rsidRPr="004A169C" w:rsidP="00270BE8" w14:paraId="7C92635C" w14:textId="38178073">
      <w:pPr>
        <w:spacing w:after="240"/>
        <w:ind w:left="720" w:hanging="720"/>
        <w:rPr>
          <w:rFonts w:asciiTheme="minorHAnsi" w:hAnsiTheme="minorHAnsi" w:cstheme="minorHAnsi"/>
          <w:szCs w:val="24"/>
        </w:rPr>
      </w:pPr>
      <w:r>
        <w:rPr>
          <w:rFonts w:asciiTheme="minorHAnsi" w:hAnsiTheme="minorHAnsi" w:cstheme="minorHAnsi"/>
          <w:szCs w:val="24"/>
        </w:rPr>
        <w:t xml:space="preserve">U.S. EPA 2013 CDX User Guide Section 8(e) Notice User Guide – Primary Authorized Official </w:t>
      </w:r>
      <w:hyperlink r:id="rId19" w:history="1">
        <w:r w:rsidRPr="00C42CC5">
          <w:rPr>
            <w:rStyle w:val="Hyperlink"/>
            <w:rFonts w:asciiTheme="minorHAnsi" w:hAnsiTheme="minorHAnsi" w:cstheme="minorHAnsi"/>
            <w:szCs w:val="24"/>
          </w:rPr>
          <w:t>https://www.epa.gov/sites/default/files/2015-09/documents/section_8e_notice_user_guide-primary_authorized_official_v4.0p.pdf</w:t>
        </w:r>
      </w:hyperlink>
      <w:r>
        <w:rPr>
          <w:rFonts w:asciiTheme="minorHAnsi" w:hAnsiTheme="minorHAnsi" w:cstheme="minorHAnsi"/>
          <w:szCs w:val="24"/>
        </w:rPr>
        <w:t xml:space="preserve"> </w:t>
      </w:r>
    </w:p>
    <w:p w:rsidR="00873DBE" w:rsidRPr="004A169C" w:rsidP="00270BE8" w14:paraId="2A0DF7EE" w14:textId="57E3D75B">
      <w:pPr>
        <w:spacing w:after="240"/>
        <w:ind w:left="720" w:hanging="720"/>
        <w:rPr>
          <w:rFonts w:asciiTheme="minorHAnsi" w:hAnsiTheme="minorHAnsi" w:cstheme="minorHAnsi"/>
          <w:szCs w:val="24"/>
        </w:rPr>
      </w:pPr>
      <w:r w:rsidRPr="004A169C">
        <w:rPr>
          <w:rFonts w:asciiTheme="minorHAnsi" w:hAnsiTheme="minorHAnsi" w:cstheme="minorHAnsi"/>
          <w:szCs w:val="24"/>
        </w:rPr>
        <w:t>U</w:t>
      </w:r>
      <w:r w:rsidR="00F81B53">
        <w:rPr>
          <w:rFonts w:asciiTheme="minorHAnsi" w:hAnsiTheme="minorHAnsi" w:cstheme="minorHAnsi"/>
          <w:szCs w:val="24"/>
        </w:rPr>
        <w:t>.</w:t>
      </w:r>
      <w:r w:rsidRPr="004A169C">
        <w:rPr>
          <w:rFonts w:asciiTheme="minorHAnsi" w:hAnsiTheme="minorHAnsi" w:cstheme="minorHAnsi"/>
          <w:szCs w:val="24"/>
        </w:rPr>
        <w:t>S</w:t>
      </w:r>
      <w:r w:rsidR="00F81B53">
        <w:rPr>
          <w:rFonts w:asciiTheme="minorHAnsi" w:hAnsiTheme="minorHAnsi" w:cstheme="minorHAnsi"/>
          <w:szCs w:val="24"/>
        </w:rPr>
        <w:t>.</w:t>
      </w:r>
      <w:r w:rsidRPr="004A169C">
        <w:rPr>
          <w:rFonts w:asciiTheme="minorHAnsi" w:hAnsiTheme="minorHAnsi" w:cstheme="minorHAnsi"/>
          <w:szCs w:val="24"/>
        </w:rPr>
        <w:t xml:space="preserve"> EPA. 2021. About CDX System Information. </w:t>
      </w:r>
      <w:r w:rsidRPr="004A169C" w:rsidR="008E40CE">
        <w:rPr>
          <w:rFonts w:asciiTheme="minorHAnsi" w:hAnsiTheme="minorHAnsi" w:cstheme="minorHAnsi"/>
          <w:szCs w:val="24"/>
        </w:rPr>
        <w:t xml:space="preserve">Accessed December 27, 2021. </w:t>
      </w:r>
      <w:r w:rsidRPr="004A169C">
        <w:rPr>
          <w:rFonts w:asciiTheme="minorHAnsi" w:hAnsiTheme="minorHAnsi" w:cstheme="minorHAnsi"/>
          <w:szCs w:val="24"/>
        </w:rPr>
        <w:t>Available at https://cdx.epa.gov/About/AboutSystemInformation#REG2.</w:t>
      </w:r>
    </w:p>
    <w:p w:rsidR="00474B46" w:rsidRPr="004A169C" w:rsidP="00474B46" w14:paraId="3B848817" w14:textId="2133AED5">
      <w:pPr>
        <w:spacing w:after="0" w:line="240" w:lineRule="auto"/>
        <w:rPr>
          <w:rFonts w:asciiTheme="minorHAnsi" w:hAnsiTheme="minorHAnsi" w:cstheme="minorHAnsi"/>
          <w:szCs w:val="24"/>
        </w:rPr>
      </w:pPr>
      <w:r w:rsidRPr="004A169C">
        <w:rPr>
          <w:rFonts w:asciiTheme="minorHAnsi" w:hAnsiTheme="minorHAnsi" w:cstheme="minorHAnsi"/>
          <w:szCs w:val="24"/>
        </w:rPr>
        <w:t>U</w:t>
      </w:r>
      <w:r w:rsidR="00F81B53">
        <w:rPr>
          <w:rFonts w:asciiTheme="minorHAnsi" w:hAnsiTheme="minorHAnsi" w:cstheme="minorHAnsi"/>
          <w:szCs w:val="24"/>
        </w:rPr>
        <w:t>.</w:t>
      </w:r>
      <w:r w:rsidRPr="004A169C">
        <w:rPr>
          <w:rFonts w:asciiTheme="minorHAnsi" w:hAnsiTheme="minorHAnsi" w:cstheme="minorHAnsi"/>
          <w:szCs w:val="24"/>
        </w:rPr>
        <w:t>S</w:t>
      </w:r>
      <w:r w:rsidR="00F81B53">
        <w:rPr>
          <w:rFonts w:asciiTheme="minorHAnsi" w:hAnsiTheme="minorHAnsi" w:cstheme="minorHAnsi"/>
          <w:szCs w:val="24"/>
        </w:rPr>
        <w:t>.</w:t>
      </w:r>
      <w:r w:rsidRPr="004A169C">
        <w:rPr>
          <w:rFonts w:asciiTheme="minorHAnsi" w:hAnsiTheme="minorHAnsi" w:cstheme="minorHAnsi"/>
          <w:szCs w:val="24"/>
        </w:rPr>
        <w:t xml:space="preserve"> Postal Service. 2020. U.S. Postal Service Announces New Prices for 2020</w:t>
      </w:r>
      <w:r w:rsidRPr="004A169C" w:rsidR="008E40CE">
        <w:rPr>
          <w:rFonts w:asciiTheme="minorHAnsi" w:hAnsiTheme="minorHAnsi" w:cstheme="minorHAnsi"/>
          <w:szCs w:val="24"/>
        </w:rPr>
        <w:t>.</w:t>
      </w:r>
    </w:p>
    <w:p w:rsidR="00F300BC" w:rsidRPr="004A169C" w:rsidP="00FB743D" w14:paraId="301C1CBC" w14:textId="4F638625">
      <w:pPr>
        <w:spacing w:after="0" w:line="240" w:lineRule="auto"/>
        <w:ind w:left="720"/>
        <w:rPr>
          <w:rFonts w:asciiTheme="minorHAnsi" w:hAnsiTheme="minorHAnsi" w:cstheme="minorHAnsi"/>
          <w:szCs w:val="24"/>
          <w:lang w:bidi="en-US"/>
        </w:rPr>
      </w:pPr>
      <w:r w:rsidRPr="004A169C">
        <w:rPr>
          <w:rFonts w:asciiTheme="minorHAnsi" w:hAnsiTheme="minorHAnsi" w:cstheme="minorHAnsi"/>
          <w:szCs w:val="24"/>
        </w:rPr>
        <w:t xml:space="preserve">Accessed January 6, 2022. </w:t>
      </w:r>
      <w:r w:rsidRPr="004A169C" w:rsidR="00B30460">
        <w:rPr>
          <w:rFonts w:asciiTheme="minorHAnsi" w:hAnsiTheme="minorHAnsi" w:cstheme="minorHAnsi"/>
          <w:szCs w:val="24"/>
        </w:rPr>
        <w:t xml:space="preserve">Available at </w:t>
      </w:r>
      <w:hyperlink r:id="rId20" w:history="1">
        <w:r w:rsidRPr="004A169C" w:rsidR="00FB743D">
          <w:rPr>
            <w:rStyle w:val="Hyperlink"/>
            <w:rFonts w:asciiTheme="minorHAnsi" w:hAnsiTheme="minorHAnsi" w:cstheme="minorHAnsi"/>
            <w:szCs w:val="24"/>
          </w:rPr>
          <w:t>https://about.usps.com/newsroom/national-releases/2019/1009-usps-announces-new-prices-for-2020.htm</w:t>
        </w:r>
      </w:hyperlink>
      <w:r w:rsidRPr="004A169C" w:rsidR="00B30460">
        <w:rPr>
          <w:rFonts w:asciiTheme="minorHAnsi" w:hAnsiTheme="minorHAnsi" w:cstheme="minorHAnsi"/>
          <w:szCs w:val="24"/>
        </w:rPr>
        <w:t xml:space="preserve">. </w:t>
      </w:r>
    </w:p>
    <w:sectPr w:rsidSect="002059F4">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1289069"/>
      <w:docPartObj>
        <w:docPartGallery w:val="Page Numbers (Bottom of Page)"/>
        <w:docPartUnique/>
      </w:docPartObj>
    </w:sdtPr>
    <w:sdtEndPr>
      <w:rPr>
        <w:rFonts w:ascii="Calibri" w:hAnsi="Calibri" w:cs="Calibri"/>
        <w:noProof/>
      </w:rPr>
    </w:sdtEndPr>
    <w:sdtContent>
      <w:p w:rsidR="00673184" w:rsidRPr="00D95784" w:rsidP="00D95784" w14:paraId="1FDD3C08" w14:textId="41C6BC36">
        <w:pPr>
          <w:pStyle w:val="Footer"/>
          <w:jc w:val="center"/>
          <w:rPr>
            <w:rFonts w:ascii="Calibri" w:hAnsi="Calibri" w:cs="Calibri"/>
          </w:rPr>
        </w:pPr>
        <w:r w:rsidRPr="00D95784">
          <w:rPr>
            <w:rFonts w:ascii="Calibri" w:hAnsi="Calibri" w:cs="Calibri"/>
          </w:rPr>
          <w:fldChar w:fldCharType="begin"/>
        </w:r>
        <w:r w:rsidRPr="00D95784">
          <w:rPr>
            <w:rFonts w:ascii="Calibri" w:hAnsi="Calibri" w:cs="Calibri"/>
          </w:rPr>
          <w:instrText xml:space="preserve"> PAGE   \* MERGEFORMAT </w:instrText>
        </w:r>
        <w:r w:rsidRPr="00D95784">
          <w:rPr>
            <w:rFonts w:ascii="Calibri" w:hAnsi="Calibri" w:cs="Calibri"/>
          </w:rPr>
          <w:fldChar w:fldCharType="separate"/>
        </w:r>
        <w:r w:rsidRPr="00D95784">
          <w:rPr>
            <w:rFonts w:ascii="Calibri" w:hAnsi="Calibri" w:cs="Calibri"/>
            <w:noProof/>
          </w:rPr>
          <w:t>2</w:t>
        </w:r>
        <w:r w:rsidRPr="00D95784">
          <w:rPr>
            <w:rFonts w:ascii="Calibri" w:hAnsi="Calibri" w:cs="Calibr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184" w:rsidP="41771A7D" w14:paraId="79EB01F2" w14:textId="2E861F03">
    <w:pPr>
      <w:pStyle w:val="Footer"/>
      <w:spacing w:before="120"/>
      <w:jc w:val="center"/>
      <w:rPr>
        <w:rFonts w:asciiTheme="minorHAnsi" w:eastAsiaTheme="minorEastAsia" w:hAnsiTheme="minorHAnsi"/>
        <w:sz w:val="20"/>
        <w:szCs w:val="20"/>
      </w:rPr>
    </w:pPr>
    <w:sdt>
      <w:sdtPr>
        <w:rPr>
          <w:rFonts w:asciiTheme="minorHAnsi" w:eastAsiaTheme="minorEastAsia" w:hAnsiTheme="minorHAnsi"/>
          <w:sz w:val="20"/>
          <w:szCs w:val="20"/>
        </w:rPr>
        <w:id w:val="1988427682"/>
        <w:docPartObj>
          <w:docPartGallery w:val="Page Numbers (Top of Page)"/>
          <w:docPartUnique/>
        </w:docPartObj>
      </w:sdtPr>
      <w:sdtContent>
        <w:r w:rsidRPr="41771A7D" w:rsidR="00D62354">
          <w:rPr>
            <w:rFonts w:asciiTheme="minorHAnsi" w:eastAsiaTheme="minorEastAsia" w:hAnsiTheme="minorHAnsi"/>
            <w:b/>
            <w:bCs/>
            <w:sz w:val="20"/>
            <w:szCs w:val="20"/>
          </w:rPr>
          <w:fldChar w:fldCharType="begin"/>
        </w:r>
        <w:r w:rsidRPr="41771A7D" w:rsidR="00D62354">
          <w:rPr>
            <w:b/>
            <w:bCs/>
            <w:sz w:val="20"/>
            <w:szCs w:val="20"/>
          </w:rPr>
          <w:instrText xml:space="preserve"> PAGE </w:instrText>
        </w:r>
        <w:r w:rsidRPr="41771A7D" w:rsidR="00D62354">
          <w:rPr>
            <w:b/>
            <w:bCs/>
            <w:sz w:val="20"/>
            <w:szCs w:val="20"/>
          </w:rPr>
          <w:fldChar w:fldCharType="separate"/>
        </w:r>
        <w:r w:rsidRPr="41771A7D" w:rsidR="41771A7D">
          <w:rPr>
            <w:rFonts w:asciiTheme="minorHAnsi" w:eastAsiaTheme="minorEastAsia" w:hAnsiTheme="minorHAnsi"/>
            <w:b/>
            <w:bCs/>
            <w:sz w:val="20"/>
            <w:szCs w:val="20"/>
          </w:rPr>
          <w:t>2</w:t>
        </w:r>
        <w:r w:rsidRPr="41771A7D" w:rsidR="00D62354">
          <w:rPr>
            <w:rFonts w:asciiTheme="minorHAnsi" w:eastAsiaTheme="minorEastAsia" w:hAnsiTheme="minorHAnsi"/>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0E0E" w14:paraId="6CE9A059" w14:textId="77777777">
      <w:pPr>
        <w:spacing w:after="0" w:line="240" w:lineRule="auto"/>
      </w:pPr>
      <w:r>
        <w:separator/>
      </w:r>
    </w:p>
  </w:footnote>
  <w:footnote w:type="continuationSeparator" w:id="1">
    <w:p w:rsidR="00800E0E" w14:paraId="3B94F10D" w14:textId="77777777">
      <w:pPr>
        <w:spacing w:after="0" w:line="240" w:lineRule="auto"/>
      </w:pPr>
      <w:r>
        <w:continuationSeparator/>
      </w:r>
    </w:p>
  </w:footnote>
  <w:footnote w:type="continuationNotice" w:id="2">
    <w:p w:rsidR="00800E0E" w14:paraId="2D80A84E" w14:textId="77777777">
      <w:pPr>
        <w:spacing w:after="0" w:line="240" w:lineRule="auto"/>
      </w:pPr>
    </w:p>
  </w:footnote>
  <w:footnote w:id="3">
    <w:p w:rsidR="00897C62" w14:paraId="567156D6" w14:textId="729B1CF9">
      <w:pPr>
        <w:pStyle w:val="FootnoteText"/>
      </w:pPr>
      <w:r>
        <w:rPr>
          <w:rStyle w:val="FootnoteReference"/>
        </w:rPr>
        <w:footnoteRef/>
      </w:r>
      <w:r>
        <w:t xml:space="preserve"> </w:t>
      </w:r>
      <w:hyperlink r:id="rId1" w:history="1">
        <w:r w:rsidRPr="004A4958">
          <w:rPr>
            <w:rStyle w:val="Hyperlink"/>
            <w:rFonts w:asciiTheme="minorHAnsi" w:hAnsiTheme="minorHAnsi" w:cstheme="minorHAnsi"/>
            <w:szCs w:val="24"/>
          </w:rPr>
          <w:t>https://www.oecd.org/en/topics/sub-issues/assessment-of-chemicals/harmonised-templates.html</w:t>
        </w:r>
      </w:hyperlink>
      <w:r>
        <w:rPr>
          <w:rFonts w:asciiTheme="minorHAnsi" w:hAnsiTheme="minorHAnsi" w:cstheme="minorHAnsi"/>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184" w:rsidRPr="004A169C" w:rsidP="41771A7D" w14:paraId="224E3199" w14:textId="201FCA7E">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6AF2237"/>
    <w:multiLevelType w:val="hybridMultilevel"/>
    <w:tmpl w:val="CD0832E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2305E64"/>
    <w:multiLevelType w:val="hybridMultilevel"/>
    <w:tmpl w:val="CBC03F5C"/>
    <w:lvl w:ilvl="0">
      <w:start w:val="1"/>
      <w:numFmt w:val="lowerLetter"/>
      <w:pStyle w:val="Heading3"/>
      <w:lvlText w:val="%1)"/>
      <w:lvlJc w:val="center"/>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E84638A"/>
    <w:multiLevelType w:val="hybridMultilevel"/>
    <w:tmpl w:val="CDA4C57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366A4E"/>
    <w:multiLevelType w:val="hybridMultilevel"/>
    <w:tmpl w:val="B816B0FC"/>
    <w:lvl w:ilvl="0">
      <w:start w:val="7"/>
      <w:numFmt w:val="decimal"/>
      <w:lvlText w:val="%1."/>
      <w:lvlJc w:val="left"/>
      <w:pPr>
        <w:ind w:left="360" w:hanging="360"/>
      </w:pPr>
      <w:rPr>
        <w:rFonts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71D105C"/>
    <w:multiLevelType w:val="hybridMultilevel"/>
    <w:tmpl w:val="1008749E"/>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7">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4E0DC1D5"/>
    <w:multiLevelType w:val="hybridMultilevel"/>
    <w:tmpl w:val="E24614DE"/>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C527F15"/>
    <w:multiLevelType w:val="hybridMultilevel"/>
    <w:tmpl w:val="5DC2657E"/>
    <w:lvl w:ilvl="0">
      <w:start w:val="1"/>
      <w:numFmt w:val="decimal"/>
      <w:pStyle w:val="Heading2"/>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97C0AC1"/>
    <w:multiLevelType w:val="hybridMultilevel"/>
    <w:tmpl w:val="3B9EAB36"/>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ED8216F"/>
    <w:multiLevelType w:val="hybridMultilevel"/>
    <w:tmpl w:val="EF38B9C6"/>
    <w:lvl w:ilvl="0">
      <w:start w:val="10"/>
      <w:numFmt w:val="decimal"/>
      <w:lvlText w:val="%1."/>
      <w:lvlJc w:val="left"/>
      <w:pPr>
        <w:ind w:left="360" w:hanging="360"/>
      </w:pPr>
      <w:rPr>
        <w:rFonts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25079280">
    <w:abstractNumId w:val="8"/>
  </w:num>
  <w:num w:numId="2" w16cid:durableId="859585674">
    <w:abstractNumId w:val="6"/>
  </w:num>
  <w:num w:numId="3" w16cid:durableId="375080879">
    <w:abstractNumId w:val="7"/>
  </w:num>
  <w:num w:numId="4" w16cid:durableId="620653564">
    <w:abstractNumId w:val="9"/>
  </w:num>
  <w:num w:numId="5" w16cid:durableId="1412968086">
    <w:abstractNumId w:val="2"/>
  </w:num>
  <w:num w:numId="6" w16cid:durableId="246621009">
    <w:abstractNumId w:val="5"/>
  </w:num>
  <w:num w:numId="7" w16cid:durableId="2078243721">
    <w:abstractNumId w:val="10"/>
  </w:num>
  <w:num w:numId="8" w16cid:durableId="133773494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753163910">
    <w:abstractNumId w:val="1"/>
  </w:num>
  <w:num w:numId="10" w16cid:durableId="651760421">
    <w:abstractNumId w:val="4"/>
  </w:num>
  <w:num w:numId="11" w16cid:durableId="810098163">
    <w:abstractNumId w:val="11"/>
  </w:num>
  <w:num w:numId="12" w16cid:durableId="196241814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4B97"/>
    <w:rsid w:val="00005530"/>
    <w:rsid w:val="0000670B"/>
    <w:rsid w:val="00006B5B"/>
    <w:rsid w:val="00013650"/>
    <w:rsid w:val="00013687"/>
    <w:rsid w:val="00015DAC"/>
    <w:rsid w:val="00016468"/>
    <w:rsid w:val="000250E5"/>
    <w:rsid w:val="0003181D"/>
    <w:rsid w:val="000371B8"/>
    <w:rsid w:val="00041540"/>
    <w:rsid w:val="00043102"/>
    <w:rsid w:val="00044532"/>
    <w:rsid w:val="000453DB"/>
    <w:rsid w:val="00047F82"/>
    <w:rsid w:val="00052228"/>
    <w:rsid w:val="00057A96"/>
    <w:rsid w:val="00060631"/>
    <w:rsid w:val="00061DFC"/>
    <w:rsid w:val="00062575"/>
    <w:rsid w:val="000638D8"/>
    <w:rsid w:val="0006464F"/>
    <w:rsid w:val="000656A4"/>
    <w:rsid w:val="00066923"/>
    <w:rsid w:val="000669D2"/>
    <w:rsid w:val="00067B67"/>
    <w:rsid w:val="00071DEB"/>
    <w:rsid w:val="00073171"/>
    <w:rsid w:val="0007765B"/>
    <w:rsid w:val="00083280"/>
    <w:rsid w:val="00085D58"/>
    <w:rsid w:val="00086DC2"/>
    <w:rsid w:val="00093779"/>
    <w:rsid w:val="000937CD"/>
    <w:rsid w:val="000951CF"/>
    <w:rsid w:val="00096415"/>
    <w:rsid w:val="00097C0A"/>
    <w:rsid w:val="000A0277"/>
    <w:rsid w:val="000A1683"/>
    <w:rsid w:val="000A1CC9"/>
    <w:rsid w:val="000A1D32"/>
    <w:rsid w:val="000B723A"/>
    <w:rsid w:val="000B757D"/>
    <w:rsid w:val="000C03EB"/>
    <w:rsid w:val="000D0B6E"/>
    <w:rsid w:val="000D5E31"/>
    <w:rsid w:val="000D6317"/>
    <w:rsid w:val="000E3103"/>
    <w:rsid w:val="000F0222"/>
    <w:rsid w:val="000F3685"/>
    <w:rsid w:val="000F6C50"/>
    <w:rsid w:val="00103B2E"/>
    <w:rsid w:val="001064A9"/>
    <w:rsid w:val="00107247"/>
    <w:rsid w:val="00111D6A"/>
    <w:rsid w:val="0012070B"/>
    <w:rsid w:val="00120736"/>
    <w:rsid w:val="001278AD"/>
    <w:rsid w:val="0013232B"/>
    <w:rsid w:val="00136C5B"/>
    <w:rsid w:val="00142B69"/>
    <w:rsid w:val="001461EC"/>
    <w:rsid w:val="001506AC"/>
    <w:rsid w:val="00151CEE"/>
    <w:rsid w:val="0015338C"/>
    <w:rsid w:val="00157ED0"/>
    <w:rsid w:val="00161ED7"/>
    <w:rsid w:val="00162D05"/>
    <w:rsid w:val="00163B9B"/>
    <w:rsid w:val="00171502"/>
    <w:rsid w:val="00171766"/>
    <w:rsid w:val="001724A7"/>
    <w:rsid w:val="00174CD9"/>
    <w:rsid w:val="00183A5E"/>
    <w:rsid w:val="0018575F"/>
    <w:rsid w:val="00192218"/>
    <w:rsid w:val="00196DA1"/>
    <w:rsid w:val="001A1F20"/>
    <w:rsid w:val="001A4BBA"/>
    <w:rsid w:val="001A5EB6"/>
    <w:rsid w:val="001B03EE"/>
    <w:rsid w:val="001B40C0"/>
    <w:rsid w:val="001B45B0"/>
    <w:rsid w:val="001B53C7"/>
    <w:rsid w:val="001C0376"/>
    <w:rsid w:val="001C3187"/>
    <w:rsid w:val="001C738B"/>
    <w:rsid w:val="001E0540"/>
    <w:rsid w:val="001E0DDA"/>
    <w:rsid w:val="001E5236"/>
    <w:rsid w:val="001E6CB6"/>
    <w:rsid w:val="001E7F2E"/>
    <w:rsid w:val="001F3A1D"/>
    <w:rsid w:val="0020006C"/>
    <w:rsid w:val="002059F4"/>
    <w:rsid w:val="002061D9"/>
    <w:rsid w:val="00212B5E"/>
    <w:rsid w:val="00215B24"/>
    <w:rsid w:val="00217226"/>
    <w:rsid w:val="00217448"/>
    <w:rsid w:val="0022704E"/>
    <w:rsid w:val="0022BDA6"/>
    <w:rsid w:val="0023075A"/>
    <w:rsid w:val="00230B70"/>
    <w:rsid w:val="0023556A"/>
    <w:rsid w:val="0023602B"/>
    <w:rsid w:val="00241734"/>
    <w:rsid w:val="00242DDC"/>
    <w:rsid w:val="00246956"/>
    <w:rsid w:val="00246CC7"/>
    <w:rsid w:val="00253362"/>
    <w:rsid w:val="00253A81"/>
    <w:rsid w:val="0026304B"/>
    <w:rsid w:val="00264F99"/>
    <w:rsid w:val="002667DE"/>
    <w:rsid w:val="00270BE8"/>
    <w:rsid w:val="00271285"/>
    <w:rsid w:val="00271338"/>
    <w:rsid w:val="002760C3"/>
    <w:rsid w:val="00276973"/>
    <w:rsid w:val="00280B91"/>
    <w:rsid w:val="002910C3"/>
    <w:rsid w:val="002917DB"/>
    <w:rsid w:val="00294757"/>
    <w:rsid w:val="00294EAC"/>
    <w:rsid w:val="00295262"/>
    <w:rsid w:val="0029773B"/>
    <w:rsid w:val="00297B5E"/>
    <w:rsid w:val="002A2F7F"/>
    <w:rsid w:val="002A3714"/>
    <w:rsid w:val="002A5AC2"/>
    <w:rsid w:val="002A6FFB"/>
    <w:rsid w:val="002B290C"/>
    <w:rsid w:val="002B4194"/>
    <w:rsid w:val="002B5E74"/>
    <w:rsid w:val="002C3348"/>
    <w:rsid w:val="002C68AF"/>
    <w:rsid w:val="002D2247"/>
    <w:rsid w:val="002D4FEB"/>
    <w:rsid w:val="002D57CA"/>
    <w:rsid w:val="002E02E7"/>
    <w:rsid w:val="002E210C"/>
    <w:rsid w:val="002E3A57"/>
    <w:rsid w:val="002E5A94"/>
    <w:rsid w:val="002E6F9D"/>
    <w:rsid w:val="002F072D"/>
    <w:rsid w:val="002F07ED"/>
    <w:rsid w:val="002F0984"/>
    <w:rsid w:val="002F21F7"/>
    <w:rsid w:val="002F2887"/>
    <w:rsid w:val="002F777E"/>
    <w:rsid w:val="002F7F04"/>
    <w:rsid w:val="003041B0"/>
    <w:rsid w:val="00304C5A"/>
    <w:rsid w:val="00310886"/>
    <w:rsid w:val="0032290C"/>
    <w:rsid w:val="0032687A"/>
    <w:rsid w:val="00332C4B"/>
    <w:rsid w:val="003336CE"/>
    <w:rsid w:val="003368D0"/>
    <w:rsid w:val="00341D6A"/>
    <w:rsid w:val="0034253B"/>
    <w:rsid w:val="00344B5C"/>
    <w:rsid w:val="00347B4C"/>
    <w:rsid w:val="00353E99"/>
    <w:rsid w:val="00357047"/>
    <w:rsid w:val="003645F8"/>
    <w:rsid w:val="00364E2F"/>
    <w:rsid w:val="00365211"/>
    <w:rsid w:val="00365A6F"/>
    <w:rsid w:val="003751AD"/>
    <w:rsid w:val="00375BC1"/>
    <w:rsid w:val="00377490"/>
    <w:rsid w:val="00377DB0"/>
    <w:rsid w:val="00382045"/>
    <w:rsid w:val="003832B9"/>
    <w:rsid w:val="003845EA"/>
    <w:rsid w:val="003853A3"/>
    <w:rsid w:val="003853DC"/>
    <w:rsid w:val="00385B6E"/>
    <w:rsid w:val="003872BC"/>
    <w:rsid w:val="00387B5D"/>
    <w:rsid w:val="0038A973"/>
    <w:rsid w:val="00392ABB"/>
    <w:rsid w:val="00393ED4"/>
    <w:rsid w:val="003951A1"/>
    <w:rsid w:val="00395C2C"/>
    <w:rsid w:val="003A327C"/>
    <w:rsid w:val="003A3B27"/>
    <w:rsid w:val="003A6B3A"/>
    <w:rsid w:val="003A7EF3"/>
    <w:rsid w:val="003B172F"/>
    <w:rsid w:val="003B4059"/>
    <w:rsid w:val="003B709E"/>
    <w:rsid w:val="003C262C"/>
    <w:rsid w:val="003C3547"/>
    <w:rsid w:val="003C392A"/>
    <w:rsid w:val="003C48A3"/>
    <w:rsid w:val="003C540A"/>
    <w:rsid w:val="003D096C"/>
    <w:rsid w:val="003D09E2"/>
    <w:rsid w:val="003D2075"/>
    <w:rsid w:val="003D38E4"/>
    <w:rsid w:val="003D70C8"/>
    <w:rsid w:val="003E219D"/>
    <w:rsid w:val="003E2F88"/>
    <w:rsid w:val="003E5CB4"/>
    <w:rsid w:val="003F0F18"/>
    <w:rsid w:val="003F1A38"/>
    <w:rsid w:val="003F6CB7"/>
    <w:rsid w:val="003F6D9E"/>
    <w:rsid w:val="00401033"/>
    <w:rsid w:val="0040250A"/>
    <w:rsid w:val="0040294B"/>
    <w:rsid w:val="00404242"/>
    <w:rsid w:val="00405BD0"/>
    <w:rsid w:val="00406AB4"/>
    <w:rsid w:val="00406B4D"/>
    <w:rsid w:val="00407022"/>
    <w:rsid w:val="00412862"/>
    <w:rsid w:val="004216F4"/>
    <w:rsid w:val="00422F9A"/>
    <w:rsid w:val="004250F6"/>
    <w:rsid w:val="00426689"/>
    <w:rsid w:val="004319FE"/>
    <w:rsid w:val="00432D49"/>
    <w:rsid w:val="00433DB3"/>
    <w:rsid w:val="0044430F"/>
    <w:rsid w:val="00444F3A"/>
    <w:rsid w:val="00452B10"/>
    <w:rsid w:val="00452CC3"/>
    <w:rsid w:val="0045503C"/>
    <w:rsid w:val="004573FF"/>
    <w:rsid w:val="00461214"/>
    <w:rsid w:val="00462631"/>
    <w:rsid w:val="004653AF"/>
    <w:rsid w:val="0046570A"/>
    <w:rsid w:val="00466868"/>
    <w:rsid w:val="00474B46"/>
    <w:rsid w:val="00475CE3"/>
    <w:rsid w:val="0047636A"/>
    <w:rsid w:val="00483711"/>
    <w:rsid w:val="0049003D"/>
    <w:rsid w:val="004917AF"/>
    <w:rsid w:val="00495693"/>
    <w:rsid w:val="004A0907"/>
    <w:rsid w:val="004A169C"/>
    <w:rsid w:val="004A2845"/>
    <w:rsid w:val="004A4958"/>
    <w:rsid w:val="004A4A78"/>
    <w:rsid w:val="004A7019"/>
    <w:rsid w:val="004A73E2"/>
    <w:rsid w:val="004A79E8"/>
    <w:rsid w:val="004B001D"/>
    <w:rsid w:val="004B0D1D"/>
    <w:rsid w:val="004C2DAC"/>
    <w:rsid w:val="004C3B3F"/>
    <w:rsid w:val="004C3EE4"/>
    <w:rsid w:val="004C5B6A"/>
    <w:rsid w:val="004D1E48"/>
    <w:rsid w:val="004D50BC"/>
    <w:rsid w:val="004E1AD1"/>
    <w:rsid w:val="004F589D"/>
    <w:rsid w:val="004F736E"/>
    <w:rsid w:val="00502D91"/>
    <w:rsid w:val="00503AEA"/>
    <w:rsid w:val="00504C1B"/>
    <w:rsid w:val="005056E4"/>
    <w:rsid w:val="00514EE0"/>
    <w:rsid w:val="00515F16"/>
    <w:rsid w:val="00521D31"/>
    <w:rsid w:val="005276D2"/>
    <w:rsid w:val="0053131E"/>
    <w:rsid w:val="00534AA1"/>
    <w:rsid w:val="00534C2C"/>
    <w:rsid w:val="005354DA"/>
    <w:rsid w:val="005361D5"/>
    <w:rsid w:val="00541462"/>
    <w:rsid w:val="005451E3"/>
    <w:rsid w:val="00551637"/>
    <w:rsid w:val="005546DA"/>
    <w:rsid w:val="00555904"/>
    <w:rsid w:val="0055596F"/>
    <w:rsid w:val="005645B8"/>
    <w:rsid w:val="00566EA2"/>
    <w:rsid w:val="00574FA7"/>
    <w:rsid w:val="00575DC0"/>
    <w:rsid w:val="00577410"/>
    <w:rsid w:val="0059087E"/>
    <w:rsid w:val="00595EF1"/>
    <w:rsid w:val="005A2C15"/>
    <w:rsid w:val="005A39EA"/>
    <w:rsid w:val="005A78C8"/>
    <w:rsid w:val="005C5F33"/>
    <w:rsid w:val="005C73D8"/>
    <w:rsid w:val="005D3810"/>
    <w:rsid w:val="005D642D"/>
    <w:rsid w:val="005D6FB8"/>
    <w:rsid w:val="005F567A"/>
    <w:rsid w:val="005F768A"/>
    <w:rsid w:val="00601A44"/>
    <w:rsid w:val="0060352F"/>
    <w:rsid w:val="00603BCC"/>
    <w:rsid w:val="00604027"/>
    <w:rsid w:val="0060438E"/>
    <w:rsid w:val="0060646D"/>
    <w:rsid w:val="00611698"/>
    <w:rsid w:val="006117DE"/>
    <w:rsid w:val="006139B7"/>
    <w:rsid w:val="00614476"/>
    <w:rsid w:val="00617730"/>
    <w:rsid w:val="006254C2"/>
    <w:rsid w:val="00630001"/>
    <w:rsid w:val="00636625"/>
    <w:rsid w:val="00637BBF"/>
    <w:rsid w:val="00640195"/>
    <w:rsid w:val="006415CA"/>
    <w:rsid w:val="00644079"/>
    <w:rsid w:val="00646169"/>
    <w:rsid w:val="0064734A"/>
    <w:rsid w:val="00647840"/>
    <w:rsid w:val="00650F1D"/>
    <w:rsid w:val="00654856"/>
    <w:rsid w:val="0065496A"/>
    <w:rsid w:val="00655335"/>
    <w:rsid w:val="006619C4"/>
    <w:rsid w:val="00666FEA"/>
    <w:rsid w:val="006729C8"/>
    <w:rsid w:val="00673184"/>
    <w:rsid w:val="0067608D"/>
    <w:rsid w:val="00677BEE"/>
    <w:rsid w:val="0068298D"/>
    <w:rsid w:val="00684C89"/>
    <w:rsid w:val="006916D0"/>
    <w:rsid w:val="00691E2D"/>
    <w:rsid w:val="006943C3"/>
    <w:rsid w:val="00694471"/>
    <w:rsid w:val="006A00A7"/>
    <w:rsid w:val="006A07BE"/>
    <w:rsid w:val="006A1BAF"/>
    <w:rsid w:val="006A2F5E"/>
    <w:rsid w:val="006A58C8"/>
    <w:rsid w:val="006A5F18"/>
    <w:rsid w:val="006B02F6"/>
    <w:rsid w:val="006B52E1"/>
    <w:rsid w:val="006C0C31"/>
    <w:rsid w:val="006C1E42"/>
    <w:rsid w:val="006C4542"/>
    <w:rsid w:val="006D315B"/>
    <w:rsid w:val="006D65D0"/>
    <w:rsid w:val="006E08CB"/>
    <w:rsid w:val="006E2888"/>
    <w:rsid w:val="006E3159"/>
    <w:rsid w:val="006E6A0F"/>
    <w:rsid w:val="006F0D44"/>
    <w:rsid w:val="006F259A"/>
    <w:rsid w:val="006F3735"/>
    <w:rsid w:val="006F3935"/>
    <w:rsid w:val="006F4587"/>
    <w:rsid w:val="006F7D1E"/>
    <w:rsid w:val="00702778"/>
    <w:rsid w:val="00710616"/>
    <w:rsid w:val="00711B3A"/>
    <w:rsid w:val="00714610"/>
    <w:rsid w:val="00715C21"/>
    <w:rsid w:val="00716306"/>
    <w:rsid w:val="00717ED3"/>
    <w:rsid w:val="0072153B"/>
    <w:rsid w:val="00725424"/>
    <w:rsid w:val="00726881"/>
    <w:rsid w:val="007301F7"/>
    <w:rsid w:val="0073054C"/>
    <w:rsid w:val="00736483"/>
    <w:rsid w:val="007369A9"/>
    <w:rsid w:val="00742AF3"/>
    <w:rsid w:val="00744493"/>
    <w:rsid w:val="00745A03"/>
    <w:rsid w:val="00747A6A"/>
    <w:rsid w:val="00747B16"/>
    <w:rsid w:val="00755046"/>
    <w:rsid w:val="007674FE"/>
    <w:rsid w:val="00773DB2"/>
    <w:rsid w:val="00775B86"/>
    <w:rsid w:val="0077679E"/>
    <w:rsid w:val="0077776F"/>
    <w:rsid w:val="007824FF"/>
    <w:rsid w:val="00782944"/>
    <w:rsid w:val="007839E1"/>
    <w:rsid w:val="00783CFC"/>
    <w:rsid w:val="00786C96"/>
    <w:rsid w:val="007901B2"/>
    <w:rsid w:val="00790EC2"/>
    <w:rsid w:val="00792002"/>
    <w:rsid w:val="0079430B"/>
    <w:rsid w:val="007971F9"/>
    <w:rsid w:val="007A01E7"/>
    <w:rsid w:val="007A3C9E"/>
    <w:rsid w:val="007A3DE7"/>
    <w:rsid w:val="007A4FA1"/>
    <w:rsid w:val="007B0987"/>
    <w:rsid w:val="007B244D"/>
    <w:rsid w:val="007B3187"/>
    <w:rsid w:val="007B5BC9"/>
    <w:rsid w:val="007C1238"/>
    <w:rsid w:val="007C2799"/>
    <w:rsid w:val="007C49FB"/>
    <w:rsid w:val="007D4676"/>
    <w:rsid w:val="007D4C03"/>
    <w:rsid w:val="007D7497"/>
    <w:rsid w:val="007D7596"/>
    <w:rsid w:val="007E0AFB"/>
    <w:rsid w:val="007E1426"/>
    <w:rsid w:val="007E54DF"/>
    <w:rsid w:val="007E6337"/>
    <w:rsid w:val="007E78FA"/>
    <w:rsid w:val="007F3A69"/>
    <w:rsid w:val="007F7963"/>
    <w:rsid w:val="00800E0E"/>
    <w:rsid w:val="00803823"/>
    <w:rsid w:val="008042C1"/>
    <w:rsid w:val="00804FC0"/>
    <w:rsid w:val="008103DE"/>
    <w:rsid w:val="008140EE"/>
    <w:rsid w:val="008204F5"/>
    <w:rsid w:val="00821336"/>
    <w:rsid w:val="00823060"/>
    <w:rsid w:val="00824C5C"/>
    <w:rsid w:val="00831D58"/>
    <w:rsid w:val="0084022D"/>
    <w:rsid w:val="00844CC6"/>
    <w:rsid w:val="008466BC"/>
    <w:rsid w:val="008572A8"/>
    <w:rsid w:val="00863C6D"/>
    <w:rsid w:val="008645F4"/>
    <w:rsid w:val="0086469D"/>
    <w:rsid w:val="00865E33"/>
    <w:rsid w:val="008736F0"/>
    <w:rsid w:val="00873DBE"/>
    <w:rsid w:val="008777B5"/>
    <w:rsid w:val="00880BC4"/>
    <w:rsid w:val="008851C4"/>
    <w:rsid w:val="008851E4"/>
    <w:rsid w:val="00885220"/>
    <w:rsid w:val="00887E74"/>
    <w:rsid w:val="0089351A"/>
    <w:rsid w:val="00894E5D"/>
    <w:rsid w:val="00897C62"/>
    <w:rsid w:val="00897D7E"/>
    <w:rsid w:val="008A048E"/>
    <w:rsid w:val="008A094B"/>
    <w:rsid w:val="008C1B71"/>
    <w:rsid w:val="008C2B73"/>
    <w:rsid w:val="008C31D3"/>
    <w:rsid w:val="008D0052"/>
    <w:rsid w:val="008D1FEB"/>
    <w:rsid w:val="008D3FD5"/>
    <w:rsid w:val="008D74F8"/>
    <w:rsid w:val="008E40CE"/>
    <w:rsid w:val="008E451B"/>
    <w:rsid w:val="008E45C7"/>
    <w:rsid w:val="008F19E6"/>
    <w:rsid w:val="008F4038"/>
    <w:rsid w:val="008F49F0"/>
    <w:rsid w:val="00900287"/>
    <w:rsid w:val="00910214"/>
    <w:rsid w:val="00917D41"/>
    <w:rsid w:val="00931C0C"/>
    <w:rsid w:val="0093316B"/>
    <w:rsid w:val="009343BA"/>
    <w:rsid w:val="00934769"/>
    <w:rsid w:val="00935F39"/>
    <w:rsid w:val="00942F1C"/>
    <w:rsid w:val="00943A7C"/>
    <w:rsid w:val="009442B3"/>
    <w:rsid w:val="00945119"/>
    <w:rsid w:val="00945153"/>
    <w:rsid w:val="009464FA"/>
    <w:rsid w:val="009505AD"/>
    <w:rsid w:val="009660D6"/>
    <w:rsid w:val="009675F4"/>
    <w:rsid w:val="009719A9"/>
    <w:rsid w:val="009729E2"/>
    <w:rsid w:val="0097453B"/>
    <w:rsid w:val="009767E8"/>
    <w:rsid w:val="00977E8E"/>
    <w:rsid w:val="0098032E"/>
    <w:rsid w:val="009803E7"/>
    <w:rsid w:val="00990027"/>
    <w:rsid w:val="00993D9E"/>
    <w:rsid w:val="009A2858"/>
    <w:rsid w:val="009A7738"/>
    <w:rsid w:val="009B12A0"/>
    <w:rsid w:val="009C187C"/>
    <w:rsid w:val="009D1902"/>
    <w:rsid w:val="009D1F0F"/>
    <w:rsid w:val="009D3C80"/>
    <w:rsid w:val="009F0BFB"/>
    <w:rsid w:val="009F0D69"/>
    <w:rsid w:val="009F52D6"/>
    <w:rsid w:val="009F596B"/>
    <w:rsid w:val="009F5CF4"/>
    <w:rsid w:val="00A00720"/>
    <w:rsid w:val="00A042D3"/>
    <w:rsid w:val="00A0473D"/>
    <w:rsid w:val="00A07907"/>
    <w:rsid w:val="00A13E06"/>
    <w:rsid w:val="00A15DA9"/>
    <w:rsid w:val="00A160A4"/>
    <w:rsid w:val="00A16B7C"/>
    <w:rsid w:val="00A20E41"/>
    <w:rsid w:val="00A22B80"/>
    <w:rsid w:val="00A2303A"/>
    <w:rsid w:val="00A26266"/>
    <w:rsid w:val="00A26CD9"/>
    <w:rsid w:val="00A27A2A"/>
    <w:rsid w:val="00A305AD"/>
    <w:rsid w:val="00A30E6E"/>
    <w:rsid w:val="00A31D5C"/>
    <w:rsid w:val="00A33137"/>
    <w:rsid w:val="00A34E87"/>
    <w:rsid w:val="00A37847"/>
    <w:rsid w:val="00A43FCB"/>
    <w:rsid w:val="00A46CEC"/>
    <w:rsid w:val="00A46F3E"/>
    <w:rsid w:val="00A47159"/>
    <w:rsid w:val="00A536DA"/>
    <w:rsid w:val="00A55B39"/>
    <w:rsid w:val="00A56015"/>
    <w:rsid w:val="00A56BBB"/>
    <w:rsid w:val="00A5A390"/>
    <w:rsid w:val="00A62217"/>
    <w:rsid w:val="00A62296"/>
    <w:rsid w:val="00A640A9"/>
    <w:rsid w:val="00A72919"/>
    <w:rsid w:val="00A72D9C"/>
    <w:rsid w:val="00A74518"/>
    <w:rsid w:val="00A76F65"/>
    <w:rsid w:val="00A85561"/>
    <w:rsid w:val="00A85A2C"/>
    <w:rsid w:val="00A85B27"/>
    <w:rsid w:val="00A85B28"/>
    <w:rsid w:val="00A92DD1"/>
    <w:rsid w:val="00A943FB"/>
    <w:rsid w:val="00A94B5D"/>
    <w:rsid w:val="00A94D35"/>
    <w:rsid w:val="00A97576"/>
    <w:rsid w:val="00AA03CF"/>
    <w:rsid w:val="00AA0CBB"/>
    <w:rsid w:val="00AA3C10"/>
    <w:rsid w:val="00AA503C"/>
    <w:rsid w:val="00AA7A7A"/>
    <w:rsid w:val="00AB48A0"/>
    <w:rsid w:val="00AB7ED9"/>
    <w:rsid w:val="00ABBFCA"/>
    <w:rsid w:val="00ABF730"/>
    <w:rsid w:val="00AC0066"/>
    <w:rsid w:val="00AC0D47"/>
    <w:rsid w:val="00AC144B"/>
    <w:rsid w:val="00AC2D5E"/>
    <w:rsid w:val="00AD2BE1"/>
    <w:rsid w:val="00AD7842"/>
    <w:rsid w:val="00AE030C"/>
    <w:rsid w:val="00AE0AB4"/>
    <w:rsid w:val="00AE31A1"/>
    <w:rsid w:val="00AE47C0"/>
    <w:rsid w:val="00AE4A47"/>
    <w:rsid w:val="00AE59F2"/>
    <w:rsid w:val="00AF2ED0"/>
    <w:rsid w:val="00AF7021"/>
    <w:rsid w:val="00AF7129"/>
    <w:rsid w:val="00B002FA"/>
    <w:rsid w:val="00B0227E"/>
    <w:rsid w:val="00B10468"/>
    <w:rsid w:val="00B11683"/>
    <w:rsid w:val="00B1352E"/>
    <w:rsid w:val="00B15BC5"/>
    <w:rsid w:val="00B17D82"/>
    <w:rsid w:val="00B2154A"/>
    <w:rsid w:val="00B219C7"/>
    <w:rsid w:val="00B23162"/>
    <w:rsid w:val="00B262D4"/>
    <w:rsid w:val="00B27AEE"/>
    <w:rsid w:val="00B27DB7"/>
    <w:rsid w:val="00B30460"/>
    <w:rsid w:val="00B336A9"/>
    <w:rsid w:val="00B33E4E"/>
    <w:rsid w:val="00B346A3"/>
    <w:rsid w:val="00B36743"/>
    <w:rsid w:val="00B40F70"/>
    <w:rsid w:val="00B440E8"/>
    <w:rsid w:val="00B44704"/>
    <w:rsid w:val="00B46915"/>
    <w:rsid w:val="00B51D57"/>
    <w:rsid w:val="00B52166"/>
    <w:rsid w:val="00B52462"/>
    <w:rsid w:val="00B55F96"/>
    <w:rsid w:val="00B575D5"/>
    <w:rsid w:val="00B57BED"/>
    <w:rsid w:val="00B614A5"/>
    <w:rsid w:val="00B61ECA"/>
    <w:rsid w:val="00B63A76"/>
    <w:rsid w:val="00B71E26"/>
    <w:rsid w:val="00B75808"/>
    <w:rsid w:val="00B7615D"/>
    <w:rsid w:val="00B76216"/>
    <w:rsid w:val="00B80AA9"/>
    <w:rsid w:val="00B81D20"/>
    <w:rsid w:val="00B911B5"/>
    <w:rsid w:val="00B912E4"/>
    <w:rsid w:val="00B93BB0"/>
    <w:rsid w:val="00B969BA"/>
    <w:rsid w:val="00BA6E62"/>
    <w:rsid w:val="00BB0C2C"/>
    <w:rsid w:val="00BB22A0"/>
    <w:rsid w:val="00BB2F8E"/>
    <w:rsid w:val="00BB59D1"/>
    <w:rsid w:val="00BB5B91"/>
    <w:rsid w:val="00BB7017"/>
    <w:rsid w:val="00BB7282"/>
    <w:rsid w:val="00BC6C43"/>
    <w:rsid w:val="00BC6D25"/>
    <w:rsid w:val="00BC7A0C"/>
    <w:rsid w:val="00BD1BAB"/>
    <w:rsid w:val="00BD52B2"/>
    <w:rsid w:val="00BD5A73"/>
    <w:rsid w:val="00BD6507"/>
    <w:rsid w:val="00BE0059"/>
    <w:rsid w:val="00BE0D76"/>
    <w:rsid w:val="00BE1C78"/>
    <w:rsid w:val="00BE2583"/>
    <w:rsid w:val="00BE461C"/>
    <w:rsid w:val="00BE7546"/>
    <w:rsid w:val="00BF04C3"/>
    <w:rsid w:val="00BF52B6"/>
    <w:rsid w:val="00BF6711"/>
    <w:rsid w:val="00BF7AE1"/>
    <w:rsid w:val="00C002F5"/>
    <w:rsid w:val="00C0168B"/>
    <w:rsid w:val="00C01896"/>
    <w:rsid w:val="00C0621D"/>
    <w:rsid w:val="00C06667"/>
    <w:rsid w:val="00C068EE"/>
    <w:rsid w:val="00C11DCA"/>
    <w:rsid w:val="00C12B06"/>
    <w:rsid w:val="00C12EA2"/>
    <w:rsid w:val="00C13C64"/>
    <w:rsid w:val="00C16374"/>
    <w:rsid w:val="00C237E2"/>
    <w:rsid w:val="00C24418"/>
    <w:rsid w:val="00C27B48"/>
    <w:rsid w:val="00C35796"/>
    <w:rsid w:val="00C42CC5"/>
    <w:rsid w:val="00C42EF5"/>
    <w:rsid w:val="00C4406C"/>
    <w:rsid w:val="00C455D4"/>
    <w:rsid w:val="00C52235"/>
    <w:rsid w:val="00C5240E"/>
    <w:rsid w:val="00C55513"/>
    <w:rsid w:val="00C56605"/>
    <w:rsid w:val="00C569A2"/>
    <w:rsid w:val="00C601C5"/>
    <w:rsid w:val="00C60793"/>
    <w:rsid w:val="00C608C8"/>
    <w:rsid w:val="00C61D56"/>
    <w:rsid w:val="00C624CE"/>
    <w:rsid w:val="00C62B7F"/>
    <w:rsid w:val="00C6353F"/>
    <w:rsid w:val="00C660EB"/>
    <w:rsid w:val="00C7069B"/>
    <w:rsid w:val="00C720D3"/>
    <w:rsid w:val="00C7272B"/>
    <w:rsid w:val="00C77262"/>
    <w:rsid w:val="00C81FAD"/>
    <w:rsid w:val="00C82C2C"/>
    <w:rsid w:val="00C8375E"/>
    <w:rsid w:val="00C84271"/>
    <w:rsid w:val="00C84D97"/>
    <w:rsid w:val="00C85DBB"/>
    <w:rsid w:val="00C8EAB0"/>
    <w:rsid w:val="00C90BA0"/>
    <w:rsid w:val="00C933F0"/>
    <w:rsid w:val="00C95D8B"/>
    <w:rsid w:val="00CA0B22"/>
    <w:rsid w:val="00CA3C4A"/>
    <w:rsid w:val="00CA767F"/>
    <w:rsid w:val="00CB0074"/>
    <w:rsid w:val="00CB4A1A"/>
    <w:rsid w:val="00CB4E26"/>
    <w:rsid w:val="00CB6A40"/>
    <w:rsid w:val="00CC4D3C"/>
    <w:rsid w:val="00CC6ADE"/>
    <w:rsid w:val="00CC73B9"/>
    <w:rsid w:val="00CD0C56"/>
    <w:rsid w:val="00CD0D67"/>
    <w:rsid w:val="00CD1E1F"/>
    <w:rsid w:val="00CD400F"/>
    <w:rsid w:val="00CD420D"/>
    <w:rsid w:val="00CD536C"/>
    <w:rsid w:val="00CE00A5"/>
    <w:rsid w:val="00CE06DA"/>
    <w:rsid w:val="00CE4BAD"/>
    <w:rsid w:val="00CE58ED"/>
    <w:rsid w:val="00CEC908"/>
    <w:rsid w:val="00CF7028"/>
    <w:rsid w:val="00D01870"/>
    <w:rsid w:val="00D025F8"/>
    <w:rsid w:val="00D0290A"/>
    <w:rsid w:val="00D03BFF"/>
    <w:rsid w:val="00D06D20"/>
    <w:rsid w:val="00D1168D"/>
    <w:rsid w:val="00D12436"/>
    <w:rsid w:val="00D127D4"/>
    <w:rsid w:val="00D1388D"/>
    <w:rsid w:val="00D17279"/>
    <w:rsid w:val="00D22425"/>
    <w:rsid w:val="00D278E1"/>
    <w:rsid w:val="00D32238"/>
    <w:rsid w:val="00D32FC8"/>
    <w:rsid w:val="00D424F8"/>
    <w:rsid w:val="00D46592"/>
    <w:rsid w:val="00D51B35"/>
    <w:rsid w:val="00D51BC2"/>
    <w:rsid w:val="00D53902"/>
    <w:rsid w:val="00D5501A"/>
    <w:rsid w:val="00D5575C"/>
    <w:rsid w:val="00D62354"/>
    <w:rsid w:val="00D62B01"/>
    <w:rsid w:val="00D63099"/>
    <w:rsid w:val="00D630AA"/>
    <w:rsid w:val="00D643D0"/>
    <w:rsid w:val="00D65F76"/>
    <w:rsid w:val="00D73EEB"/>
    <w:rsid w:val="00D76936"/>
    <w:rsid w:val="00D80D21"/>
    <w:rsid w:val="00D83509"/>
    <w:rsid w:val="00D856E6"/>
    <w:rsid w:val="00D85CD3"/>
    <w:rsid w:val="00D8694C"/>
    <w:rsid w:val="00D923B8"/>
    <w:rsid w:val="00D95784"/>
    <w:rsid w:val="00DA0A40"/>
    <w:rsid w:val="00DA385F"/>
    <w:rsid w:val="00DA4CE7"/>
    <w:rsid w:val="00DA72F5"/>
    <w:rsid w:val="00DB1644"/>
    <w:rsid w:val="00DB1F1B"/>
    <w:rsid w:val="00DB656C"/>
    <w:rsid w:val="00DC44B2"/>
    <w:rsid w:val="00DC4972"/>
    <w:rsid w:val="00DC5ABB"/>
    <w:rsid w:val="00DC6056"/>
    <w:rsid w:val="00DC6905"/>
    <w:rsid w:val="00DC7E50"/>
    <w:rsid w:val="00DD3644"/>
    <w:rsid w:val="00DD3B69"/>
    <w:rsid w:val="00DD4464"/>
    <w:rsid w:val="00DD4F84"/>
    <w:rsid w:val="00DD52A5"/>
    <w:rsid w:val="00DD6617"/>
    <w:rsid w:val="00DE2410"/>
    <w:rsid w:val="00DE5258"/>
    <w:rsid w:val="00DE5415"/>
    <w:rsid w:val="00DF4378"/>
    <w:rsid w:val="00DF591D"/>
    <w:rsid w:val="00DF7314"/>
    <w:rsid w:val="00E00221"/>
    <w:rsid w:val="00E00E93"/>
    <w:rsid w:val="00E01C47"/>
    <w:rsid w:val="00E07467"/>
    <w:rsid w:val="00E101E9"/>
    <w:rsid w:val="00E13704"/>
    <w:rsid w:val="00E14613"/>
    <w:rsid w:val="00E16CAC"/>
    <w:rsid w:val="00E20366"/>
    <w:rsid w:val="00E209CA"/>
    <w:rsid w:val="00E218E2"/>
    <w:rsid w:val="00E21A5E"/>
    <w:rsid w:val="00E2262F"/>
    <w:rsid w:val="00E27EDB"/>
    <w:rsid w:val="00E30005"/>
    <w:rsid w:val="00E30863"/>
    <w:rsid w:val="00E30CAA"/>
    <w:rsid w:val="00E3295E"/>
    <w:rsid w:val="00E349F2"/>
    <w:rsid w:val="00E37035"/>
    <w:rsid w:val="00E40026"/>
    <w:rsid w:val="00E42BCE"/>
    <w:rsid w:val="00E453DD"/>
    <w:rsid w:val="00E52507"/>
    <w:rsid w:val="00E537D7"/>
    <w:rsid w:val="00E56A4F"/>
    <w:rsid w:val="00E5714E"/>
    <w:rsid w:val="00E662FE"/>
    <w:rsid w:val="00E71E48"/>
    <w:rsid w:val="00E76AC6"/>
    <w:rsid w:val="00E77349"/>
    <w:rsid w:val="00E802A3"/>
    <w:rsid w:val="00E82A20"/>
    <w:rsid w:val="00E82CA4"/>
    <w:rsid w:val="00EA107A"/>
    <w:rsid w:val="00EA5C6E"/>
    <w:rsid w:val="00EB35EC"/>
    <w:rsid w:val="00EB36E4"/>
    <w:rsid w:val="00EC0057"/>
    <w:rsid w:val="00EC352F"/>
    <w:rsid w:val="00EC6713"/>
    <w:rsid w:val="00EC7270"/>
    <w:rsid w:val="00ED1C42"/>
    <w:rsid w:val="00ED1C50"/>
    <w:rsid w:val="00ED6E52"/>
    <w:rsid w:val="00EE2A4B"/>
    <w:rsid w:val="00EE34F2"/>
    <w:rsid w:val="00EF0291"/>
    <w:rsid w:val="00EF15E9"/>
    <w:rsid w:val="00EF5826"/>
    <w:rsid w:val="00EF5A45"/>
    <w:rsid w:val="00EF6576"/>
    <w:rsid w:val="00F00489"/>
    <w:rsid w:val="00F03CE8"/>
    <w:rsid w:val="00F04731"/>
    <w:rsid w:val="00F10807"/>
    <w:rsid w:val="00F12992"/>
    <w:rsid w:val="00F13CA4"/>
    <w:rsid w:val="00F2024C"/>
    <w:rsid w:val="00F20C72"/>
    <w:rsid w:val="00F25C0F"/>
    <w:rsid w:val="00F25FF8"/>
    <w:rsid w:val="00F300BC"/>
    <w:rsid w:val="00F3177A"/>
    <w:rsid w:val="00F31907"/>
    <w:rsid w:val="00F31AB4"/>
    <w:rsid w:val="00F4329E"/>
    <w:rsid w:val="00F437D8"/>
    <w:rsid w:val="00F44A36"/>
    <w:rsid w:val="00F47DAC"/>
    <w:rsid w:val="00F47EF1"/>
    <w:rsid w:val="00F52322"/>
    <w:rsid w:val="00F56433"/>
    <w:rsid w:val="00F71BB6"/>
    <w:rsid w:val="00F72300"/>
    <w:rsid w:val="00F72D54"/>
    <w:rsid w:val="00F733B9"/>
    <w:rsid w:val="00F76E17"/>
    <w:rsid w:val="00F81B53"/>
    <w:rsid w:val="00F852BB"/>
    <w:rsid w:val="00F87787"/>
    <w:rsid w:val="00F87F6D"/>
    <w:rsid w:val="00F9056C"/>
    <w:rsid w:val="00F93A42"/>
    <w:rsid w:val="00FA03A3"/>
    <w:rsid w:val="00FA21C9"/>
    <w:rsid w:val="00FA2492"/>
    <w:rsid w:val="00FA3F85"/>
    <w:rsid w:val="00FA5580"/>
    <w:rsid w:val="00FB2698"/>
    <w:rsid w:val="00FB743D"/>
    <w:rsid w:val="00FC1E17"/>
    <w:rsid w:val="00FC2B64"/>
    <w:rsid w:val="00FC2F07"/>
    <w:rsid w:val="00FC52B7"/>
    <w:rsid w:val="00FC5AD6"/>
    <w:rsid w:val="00FD08FE"/>
    <w:rsid w:val="00FD497D"/>
    <w:rsid w:val="00FD59BC"/>
    <w:rsid w:val="00FD609E"/>
    <w:rsid w:val="00FE3CB9"/>
    <w:rsid w:val="00FE7137"/>
    <w:rsid w:val="00FF07CB"/>
    <w:rsid w:val="00FF699A"/>
    <w:rsid w:val="01131ADF"/>
    <w:rsid w:val="013931EA"/>
    <w:rsid w:val="014746AC"/>
    <w:rsid w:val="01B9DC0B"/>
    <w:rsid w:val="01C0C52C"/>
    <w:rsid w:val="01D0B59E"/>
    <w:rsid w:val="01D53D2A"/>
    <w:rsid w:val="020EF74E"/>
    <w:rsid w:val="0213F97B"/>
    <w:rsid w:val="021B157D"/>
    <w:rsid w:val="0230302E"/>
    <w:rsid w:val="0278D8FC"/>
    <w:rsid w:val="028ACF5D"/>
    <w:rsid w:val="02A7E8F2"/>
    <w:rsid w:val="02A9BEEE"/>
    <w:rsid w:val="02E28ECC"/>
    <w:rsid w:val="03029F21"/>
    <w:rsid w:val="03124BBB"/>
    <w:rsid w:val="0315CF19"/>
    <w:rsid w:val="033A1B77"/>
    <w:rsid w:val="033DD76A"/>
    <w:rsid w:val="034A8EBB"/>
    <w:rsid w:val="035196F2"/>
    <w:rsid w:val="037539FA"/>
    <w:rsid w:val="03755094"/>
    <w:rsid w:val="0378777F"/>
    <w:rsid w:val="03877D87"/>
    <w:rsid w:val="0393D6E2"/>
    <w:rsid w:val="03B31DBC"/>
    <w:rsid w:val="03E0AB17"/>
    <w:rsid w:val="041012DA"/>
    <w:rsid w:val="04227CD5"/>
    <w:rsid w:val="04516C9B"/>
    <w:rsid w:val="048CD978"/>
    <w:rsid w:val="04AA14A9"/>
    <w:rsid w:val="04B60888"/>
    <w:rsid w:val="04D2D9D4"/>
    <w:rsid w:val="04E81EAC"/>
    <w:rsid w:val="04FC3861"/>
    <w:rsid w:val="04FE3817"/>
    <w:rsid w:val="050C09E1"/>
    <w:rsid w:val="05119A2A"/>
    <w:rsid w:val="055FEE39"/>
    <w:rsid w:val="058265E4"/>
    <w:rsid w:val="05A1D4BD"/>
    <w:rsid w:val="05AE4902"/>
    <w:rsid w:val="05C9F650"/>
    <w:rsid w:val="06756DBA"/>
    <w:rsid w:val="06B188E6"/>
    <w:rsid w:val="06C1348A"/>
    <w:rsid w:val="06DCAB74"/>
    <w:rsid w:val="06E2F421"/>
    <w:rsid w:val="06E8EE51"/>
    <w:rsid w:val="07059F48"/>
    <w:rsid w:val="070D73E2"/>
    <w:rsid w:val="07486DC9"/>
    <w:rsid w:val="07853BEA"/>
    <w:rsid w:val="07BB4ADA"/>
    <w:rsid w:val="07D99FE8"/>
    <w:rsid w:val="07DE0415"/>
    <w:rsid w:val="07E5A0D7"/>
    <w:rsid w:val="07F7EA27"/>
    <w:rsid w:val="080E3AF6"/>
    <w:rsid w:val="083B47A4"/>
    <w:rsid w:val="08624EAF"/>
    <w:rsid w:val="08A27553"/>
    <w:rsid w:val="08B2A94D"/>
    <w:rsid w:val="08B2D2DB"/>
    <w:rsid w:val="08F274F6"/>
    <w:rsid w:val="0947047F"/>
    <w:rsid w:val="09B048FB"/>
    <w:rsid w:val="09C1B4E9"/>
    <w:rsid w:val="09C9C155"/>
    <w:rsid w:val="0A151104"/>
    <w:rsid w:val="0A1CC553"/>
    <w:rsid w:val="0A245E36"/>
    <w:rsid w:val="0A5875B7"/>
    <w:rsid w:val="0A7457A3"/>
    <w:rsid w:val="0A874B29"/>
    <w:rsid w:val="0A8BBC2D"/>
    <w:rsid w:val="0ACA3E9E"/>
    <w:rsid w:val="0B38DFB4"/>
    <w:rsid w:val="0B5DE068"/>
    <w:rsid w:val="0B60549E"/>
    <w:rsid w:val="0B685DF2"/>
    <w:rsid w:val="0B84027D"/>
    <w:rsid w:val="0BC3164D"/>
    <w:rsid w:val="0BCE90CC"/>
    <w:rsid w:val="0BE12FA8"/>
    <w:rsid w:val="0BEF346B"/>
    <w:rsid w:val="0BF28567"/>
    <w:rsid w:val="0BF5D879"/>
    <w:rsid w:val="0C4BE2A3"/>
    <w:rsid w:val="0C4C5040"/>
    <w:rsid w:val="0C501E31"/>
    <w:rsid w:val="0C57D825"/>
    <w:rsid w:val="0C64B3E3"/>
    <w:rsid w:val="0C64B946"/>
    <w:rsid w:val="0C6D74EB"/>
    <w:rsid w:val="0C7065B9"/>
    <w:rsid w:val="0C73DC6F"/>
    <w:rsid w:val="0C85BBE6"/>
    <w:rsid w:val="0CB67E0C"/>
    <w:rsid w:val="0CC956BD"/>
    <w:rsid w:val="0D7C96F0"/>
    <w:rsid w:val="0DB3DC44"/>
    <w:rsid w:val="0DECFA11"/>
    <w:rsid w:val="0DF61556"/>
    <w:rsid w:val="0E37857E"/>
    <w:rsid w:val="0E48C4C9"/>
    <w:rsid w:val="0E86C81D"/>
    <w:rsid w:val="0EE7DDFC"/>
    <w:rsid w:val="0EEE5164"/>
    <w:rsid w:val="0EFF41EE"/>
    <w:rsid w:val="0F028A8A"/>
    <w:rsid w:val="0F093C25"/>
    <w:rsid w:val="0F14B8D1"/>
    <w:rsid w:val="0F46F845"/>
    <w:rsid w:val="0F49506B"/>
    <w:rsid w:val="0FECCF45"/>
    <w:rsid w:val="1001F254"/>
    <w:rsid w:val="100AEC6C"/>
    <w:rsid w:val="10181D96"/>
    <w:rsid w:val="1061BF4C"/>
    <w:rsid w:val="10C13EFB"/>
    <w:rsid w:val="112D6834"/>
    <w:rsid w:val="112FDDAB"/>
    <w:rsid w:val="11303193"/>
    <w:rsid w:val="113D9588"/>
    <w:rsid w:val="11A257DC"/>
    <w:rsid w:val="11AB1BED"/>
    <w:rsid w:val="11CCF8B2"/>
    <w:rsid w:val="11F5836B"/>
    <w:rsid w:val="122FDDB6"/>
    <w:rsid w:val="125077C1"/>
    <w:rsid w:val="127FAE0E"/>
    <w:rsid w:val="1297E121"/>
    <w:rsid w:val="1299C130"/>
    <w:rsid w:val="12AC81AA"/>
    <w:rsid w:val="12BAFC64"/>
    <w:rsid w:val="12DB401D"/>
    <w:rsid w:val="12E5D1F1"/>
    <w:rsid w:val="1309AC1C"/>
    <w:rsid w:val="13577B3E"/>
    <w:rsid w:val="1363C7D0"/>
    <w:rsid w:val="137ECCB0"/>
    <w:rsid w:val="138ACA49"/>
    <w:rsid w:val="13970285"/>
    <w:rsid w:val="13A3BBBE"/>
    <w:rsid w:val="13B87B91"/>
    <w:rsid w:val="13BDBDB2"/>
    <w:rsid w:val="141E60CC"/>
    <w:rsid w:val="143118FF"/>
    <w:rsid w:val="1435CBDA"/>
    <w:rsid w:val="1447B660"/>
    <w:rsid w:val="1450AD0D"/>
    <w:rsid w:val="14592FB5"/>
    <w:rsid w:val="14A7E8FF"/>
    <w:rsid w:val="14AB356C"/>
    <w:rsid w:val="14BB547E"/>
    <w:rsid w:val="14DEDA42"/>
    <w:rsid w:val="1540A583"/>
    <w:rsid w:val="159D4B08"/>
    <w:rsid w:val="15C55BC3"/>
    <w:rsid w:val="15CB3D3E"/>
    <w:rsid w:val="15DAB3BC"/>
    <w:rsid w:val="1606C0FA"/>
    <w:rsid w:val="16413E39"/>
    <w:rsid w:val="164E162D"/>
    <w:rsid w:val="166DD24B"/>
    <w:rsid w:val="169BD21D"/>
    <w:rsid w:val="169DEA55"/>
    <w:rsid w:val="16C5823A"/>
    <w:rsid w:val="16E9FDBD"/>
    <w:rsid w:val="170C12EB"/>
    <w:rsid w:val="1723B74D"/>
    <w:rsid w:val="176B905F"/>
    <w:rsid w:val="17A858F3"/>
    <w:rsid w:val="17AB0041"/>
    <w:rsid w:val="17EEC616"/>
    <w:rsid w:val="17EECA3F"/>
    <w:rsid w:val="18325CC7"/>
    <w:rsid w:val="18859777"/>
    <w:rsid w:val="18B17749"/>
    <w:rsid w:val="18BCC229"/>
    <w:rsid w:val="18C16272"/>
    <w:rsid w:val="18C3DF55"/>
    <w:rsid w:val="18C67B56"/>
    <w:rsid w:val="18F3E3BB"/>
    <w:rsid w:val="18F89C64"/>
    <w:rsid w:val="19105F1D"/>
    <w:rsid w:val="19219AB8"/>
    <w:rsid w:val="195BCF81"/>
    <w:rsid w:val="196D7231"/>
    <w:rsid w:val="197ACEFC"/>
    <w:rsid w:val="19AFBB0F"/>
    <w:rsid w:val="19DF6646"/>
    <w:rsid w:val="19F35B1F"/>
    <w:rsid w:val="1A193BAC"/>
    <w:rsid w:val="1A1B0F37"/>
    <w:rsid w:val="1A2057A0"/>
    <w:rsid w:val="1A811F55"/>
    <w:rsid w:val="1A866547"/>
    <w:rsid w:val="1AB48270"/>
    <w:rsid w:val="1AC5B376"/>
    <w:rsid w:val="1ADD9A70"/>
    <w:rsid w:val="1AE22C94"/>
    <w:rsid w:val="1AE980F8"/>
    <w:rsid w:val="1B06860E"/>
    <w:rsid w:val="1B3BA214"/>
    <w:rsid w:val="1B517647"/>
    <w:rsid w:val="1B62D0EE"/>
    <w:rsid w:val="1B8AB932"/>
    <w:rsid w:val="1BA19E46"/>
    <w:rsid w:val="1BA554A9"/>
    <w:rsid w:val="1BA83E26"/>
    <w:rsid w:val="1BCE730C"/>
    <w:rsid w:val="1BDDF731"/>
    <w:rsid w:val="1BE6621F"/>
    <w:rsid w:val="1C223E67"/>
    <w:rsid w:val="1C3A8259"/>
    <w:rsid w:val="1C5F84B3"/>
    <w:rsid w:val="1C6B7F5C"/>
    <w:rsid w:val="1CC48348"/>
    <w:rsid w:val="1D4A3DE6"/>
    <w:rsid w:val="1D864E19"/>
    <w:rsid w:val="1DA41F72"/>
    <w:rsid w:val="1DA722CD"/>
    <w:rsid w:val="1DD433B3"/>
    <w:rsid w:val="1E11878D"/>
    <w:rsid w:val="1E37DC6D"/>
    <w:rsid w:val="1E4BF964"/>
    <w:rsid w:val="1EA44CBF"/>
    <w:rsid w:val="1EC782FF"/>
    <w:rsid w:val="1F109C4B"/>
    <w:rsid w:val="1F1F87CF"/>
    <w:rsid w:val="1F2807AB"/>
    <w:rsid w:val="1F2A81ED"/>
    <w:rsid w:val="1F49E82B"/>
    <w:rsid w:val="1F708368"/>
    <w:rsid w:val="1F7F0ADE"/>
    <w:rsid w:val="1F8E33EE"/>
    <w:rsid w:val="1F95B59D"/>
    <w:rsid w:val="1FA2AAFB"/>
    <w:rsid w:val="1FC2BB9D"/>
    <w:rsid w:val="1FC46802"/>
    <w:rsid w:val="2028AB98"/>
    <w:rsid w:val="203F10CA"/>
    <w:rsid w:val="2085B912"/>
    <w:rsid w:val="20E15B04"/>
    <w:rsid w:val="21061EBE"/>
    <w:rsid w:val="211DDF4A"/>
    <w:rsid w:val="213C7442"/>
    <w:rsid w:val="215D46E1"/>
    <w:rsid w:val="2164676A"/>
    <w:rsid w:val="21E0BD0D"/>
    <w:rsid w:val="220BF979"/>
    <w:rsid w:val="221AFF16"/>
    <w:rsid w:val="2220C97F"/>
    <w:rsid w:val="227919C8"/>
    <w:rsid w:val="2295B19E"/>
    <w:rsid w:val="229B5BC9"/>
    <w:rsid w:val="22A52B6F"/>
    <w:rsid w:val="22B575F3"/>
    <w:rsid w:val="22BF9C0F"/>
    <w:rsid w:val="22D5DDF9"/>
    <w:rsid w:val="22EC7769"/>
    <w:rsid w:val="2309CBD9"/>
    <w:rsid w:val="23442982"/>
    <w:rsid w:val="23EBF302"/>
    <w:rsid w:val="2413BB65"/>
    <w:rsid w:val="244A20B4"/>
    <w:rsid w:val="245CFE7B"/>
    <w:rsid w:val="246953F3"/>
    <w:rsid w:val="2471C534"/>
    <w:rsid w:val="247BA50F"/>
    <w:rsid w:val="24819EF6"/>
    <w:rsid w:val="24A193DD"/>
    <w:rsid w:val="24A8B311"/>
    <w:rsid w:val="24B585CA"/>
    <w:rsid w:val="24E5FDDD"/>
    <w:rsid w:val="25439916"/>
    <w:rsid w:val="256CE2E2"/>
    <w:rsid w:val="2579FA8D"/>
    <w:rsid w:val="25C1ACD9"/>
    <w:rsid w:val="25C9F9B2"/>
    <w:rsid w:val="25FD2F3A"/>
    <w:rsid w:val="2602436B"/>
    <w:rsid w:val="26111083"/>
    <w:rsid w:val="26596938"/>
    <w:rsid w:val="265CE8AB"/>
    <w:rsid w:val="2671B346"/>
    <w:rsid w:val="26735A9A"/>
    <w:rsid w:val="2712649A"/>
    <w:rsid w:val="2714EF8A"/>
    <w:rsid w:val="271ACE09"/>
    <w:rsid w:val="27257519"/>
    <w:rsid w:val="274DC812"/>
    <w:rsid w:val="27560C97"/>
    <w:rsid w:val="27C19AA8"/>
    <w:rsid w:val="27E95C50"/>
    <w:rsid w:val="27FBAE70"/>
    <w:rsid w:val="2817B1C5"/>
    <w:rsid w:val="283B2872"/>
    <w:rsid w:val="28B2EC18"/>
    <w:rsid w:val="28C89550"/>
    <w:rsid w:val="28F592AE"/>
    <w:rsid w:val="290CF89C"/>
    <w:rsid w:val="292D08BE"/>
    <w:rsid w:val="2966E6BB"/>
    <w:rsid w:val="2981FE82"/>
    <w:rsid w:val="298A634B"/>
    <w:rsid w:val="299A87A0"/>
    <w:rsid w:val="29B8895D"/>
    <w:rsid w:val="29B95C9D"/>
    <w:rsid w:val="29CAA32A"/>
    <w:rsid w:val="2A0A586C"/>
    <w:rsid w:val="2A0FFF84"/>
    <w:rsid w:val="2A329FC9"/>
    <w:rsid w:val="2A6A9BB3"/>
    <w:rsid w:val="2A78BFCE"/>
    <w:rsid w:val="2A7C89BB"/>
    <w:rsid w:val="2A808E10"/>
    <w:rsid w:val="2A9867E3"/>
    <w:rsid w:val="2AA0CA9F"/>
    <w:rsid w:val="2AE4E478"/>
    <w:rsid w:val="2AE84953"/>
    <w:rsid w:val="2B14CF88"/>
    <w:rsid w:val="2B15FC53"/>
    <w:rsid w:val="2B98D1F7"/>
    <w:rsid w:val="2BB1B9EB"/>
    <w:rsid w:val="2BD4DA0E"/>
    <w:rsid w:val="2C0BA10F"/>
    <w:rsid w:val="2C14F270"/>
    <w:rsid w:val="2C3A3B14"/>
    <w:rsid w:val="2C426DC3"/>
    <w:rsid w:val="2C80B443"/>
    <w:rsid w:val="2CE8AE13"/>
    <w:rsid w:val="2D4F0F43"/>
    <w:rsid w:val="2D6153AF"/>
    <w:rsid w:val="2D7CA046"/>
    <w:rsid w:val="2D8A3B40"/>
    <w:rsid w:val="2D8C5241"/>
    <w:rsid w:val="2E16C32B"/>
    <w:rsid w:val="2E34974E"/>
    <w:rsid w:val="2E36BACE"/>
    <w:rsid w:val="2E37B390"/>
    <w:rsid w:val="2E9A00C7"/>
    <w:rsid w:val="2ED60626"/>
    <w:rsid w:val="2F054BCB"/>
    <w:rsid w:val="2F05EBE5"/>
    <w:rsid w:val="2F3EDE61"/>
    <w:rsid w:val="2F8C28CE"/>
    <w:rsid w:val="300571D2"/>
    <w:rsid w:val="303F3AF3"/>
    <w:rsid w:val="30606358"/>
    <w:rsid w:val="30741A02"/>
    <w:rsid w:val="30C38C16"/>
    <w:rsid w:val="311DEE33"/>
    <w:rsid w:val="31223CA6"/>
    <w:rsid w:val="313B3861"/>
    <w:rsid w:val="31605A61"/>
    <w:rsid w:val="31627708"/>
    <w:rsid w:val="3196C0E8"/>
    <w:rsid w:val="31C4E9B0"/>
    <w:rsid w:val="31DD32E8"/>
    <w:rsid w:val="31E62879"/>
    <w:rsid w:val="320A0B95"/>
    <w:rsid w:val="322211EC"/>
    <w:rsid w:val="3250D95F"/>
    <w:rsid w:val="3259541D"/>
    <w:rsid w:val="32698193"/>
    <w:rsid w:val="3279924A"/>
    <w:rsid w:val="32A288DC"/>
    <w:rsid w:val="32C3EC8C"/>
    <w:rsid w:val="32DCA468"/>
    <w:rsid w:val="32E5326B"/>
    <w:rsid w:val="331AC31B"/>
    <w:rsid w:val="3326E8D6"/>
    <w:rsid w:val="336B5212"/>
    <w:rsid w:val="3391F1AC"/>
    <w:rsid w:val="33B1BD8E"/>
    <w:rsid w:val="33F42D41"/>
    <w:rsid w:val="33FEFE5C"/>
    <w:rsid w:val="3424F352"/>
    <w:rsid w:val="34A4D9C2"/>
    <w:rsid w:val="34C6BF24"/>
    <w:rsid w:val="34D0F8CE"/>
    <w:rsid w:val="34D2B8D8"/>
    <w:rsid w:val="34F9DB18"/>
    <w:rsid w:val="3529EE86"/>
    <w:rsid w:val="353BEE3D"/>
    <w:rsid w:val="3557FADC"/>
    <w:rsid w:val="3570FE1B"/>
    <w:rsid w:val="35BA1D4C"/>
    <w:rsid w:val="35EC6EBE"/>
    <w:rsid w:val="35F7D326"/>
    <w:rsid w:val="361CFA75"/>
    <w:rsid w:val="363BC5D4"/>
    <w:rsid w:val="36977060"/>
    <w:rsid w:val="3698F0BC"/>
    <w:rsid w:val="3728D845"/>
    <w:rsid w:val="372F9152"/>
    <w:rsid w:val="376E3CAE"/>
    <w:rsid w:val="37820153"/>
    <w:rsid w:val="3792F92D"/>
    <w:rsid w:val="379ABB93"/>
    <w:rsid w:val="37CC994B"/>
    <w:rsid w:val="3803ADF2"/>
    <w:rsid w:val="382B41DE"/>
    <w:rsid w:val="3883779D"/>
    <w:rsid w:val="38B0557A"/>
    <w:rsid w:val="38B05B1D"/>
    <w:rsid w:val="38B2683B"/>
    <w:rsid w:val="38D8D5FC"/>
    <w:rsid w:val="38E2A624"/>
    <w:rsid w:val="38F30220"/>
    <w:rsid w:val="39465528"/>
    <w:rsid w:val="3951E9AF"/>
    <w:rsid w:val="39738F40"/>
    <w:rsid w:val="397546F8"/>
    <w:rsid w:val="397B908E"/>
    <w:rsid w:val="397C7908"/>
    <w:rsid w:val="39CACD9D"/>
    <w:rsid w:val="39F2A9F5"/>
    <w:rsid w:val="3A035FEF"/>
    <w:rsid w:val="3A619FB3"/>
    <w:rsid w:val="3AA2CF85"/>
    <w:rsid w:val="3ABABEA3"/>
    <w:rsid w:val="3AE3A42E"/>
    <w:rsid w:val="3B16447E"/>
    <w:rsid w:val="3B68D9DC"/>
    <w:rsid w:val="3B763097"/>
    <w:rsid w:val="3BB8FDFE"/>
    <w:rsid w:val="3BC0C3B7"/>
    <w:rsid w:val="3BCFBD45"/>
    <w:rsid w:val="3C17E3CE"/>
    <w:rsid w:val="3C1C1170"/>
    <w:rsid w:val="3C25C623"/>
    <w:rsid w:val="3C4EFB48"/>
    <w:rsid w:val="3C9C8A3B"/>
    <w:rsid w:val="3CB2BFD9"/>
    <w:rsid w:val="3CBC9F3A"/>
    <w:rsid w:val="3CBD9A6F"/>
    <w:rsid w:val="3CD57D52"/>
    <w:rsid w:val="3CFE8B16"/>
    <w:rsid w:val="3D007555"/>
    <w:rsid w:val="3D44C41C"/>
    <w:rsid w:val="3D994C56"/>
    <w:rsid w:val="3DB51984"/>
    <w:rsid w:val="3DCAD315"/>
    <w:rsid w:val="3DD56795"/>
    <w:rsid w:val="3DD6E70D"/>
    <w:rsid w:val="3DE3BC60"/>
    <w:rsid w:val="3E2CDA2C"/>
    <w:rsid w:val="3E4D0797"/>
    <w:rsid w:val="3E58619E"/>
    <w:rsid w:val="3E5E930C"/>
    <w:rsid w:val="3E682A00"/>
    <w:rsid w:val="3EC26B84"/>
    <w:rsid w:val="3EC6AFC7"/>
    <w:rsid w:val="3EFB5A86"/>
    <w:rsid w:val="3EFCA1C3"/>
    <w:rsid w:val="3F3568EF"/>
    <w:rsid w:val="3F534E8B"/>
    <w:rsid w:val="3FBBEEEB"/>
    <w:rsid w:val="3FF1391D"/>
    <w:rsid w:val="40019FAA"/>
    <w:rsid w:val="4017B852"/>
    <w:rsid w:val="4024CB49"/>
    <w:rsid w:val="4073E46B"/>
    <w:rsid w:val="40A06446"/>
    <w:rsid w:val="40B5E26E"/>
    <w:rsid w:val="4104B2FB"/>
    <w:rsid w:val="417102D2"/>
    <w:rsid w:val="41771A7D"/>
    <w:rsid w:val="4177E857"/>
    <w:rsid w:val="417F2A74"/>
    <w:rsid w:val="4182641F"/>
    <w:rsid w:val="41AEDA20"/>
    <w:rsid w:val="41CA0C2A"/>
    <w:rsid w:val="41CED442"/>
    <w:rsid w:val="41F2A552"/>
    <w:rsid w:val="42040347"/>
    <w:rsid w:val="420DEA56"/>
    <w:rsid w:val="422DF35D"/>
    <w:rsid w:val="42341178"/>
    <w:rsid w:val="42493A76"/>
    <w:rsid w:val="42B94B3F"/>
    <w:rsid w:val="42FC1EA9"/>
    <w:rsid w:val="43259D59"/>
    <w:rsid w:val="4336B7FE"/>
    <w:rsid w:val="43465323"/>
    <w:rsid w:val="439C0845"/>
    <w:rsid w:val="43C91CBD"/>
    <w:rsid w:val="43E8EC1D"/>
    <w:rsid w:val="440D6FEC"/>
    <w:rsid w:val="441A81FD"/>
    <w:rsid w:val="44264CF7"/>
    <w:rsid w:val="4437957F"/>
    <w:rsid w:val="445D290A"/>
    <w:rsid w:val="44798577"/>
    <w:rsid w:val="44C4A3F5"/>
    <w:rsid w:val="44F5821E"/>
    <w:rsid w:val="44F7AD69"/>
    <w:rsid w:val="451F7B84"/>
    <w:rsid w:val="453C28C5"/>
    <w:rsid w:val="456DACE6"/>
    <w:rsid w:val="4579A377"/>
    <w:rsid w:val="45AF2106"/>
    <w:rsid w:val="45B2F59E"/>
    <w:rsid w:val="45CE6FE0"/>
    <w:rsid w:val="45D27419"/>
    <w:rsid w:val="45D7B131"/>
    <w:rsid w:val="4600B5E7"/>
    <w:rsid w:val="46045E11"/>
    <w:rsid w:val="465D6927"/>
    <w:rsid w:val="466D5582"/>
    <w:rsid w:val="46726579"/>
    <w:rsid w:val="468384E0"/>
    <w:rsid w:val="468E630B"/>
    <w:rsid w:val="4696B7AE"/>
    <w:rsid w:val="46986687"/>
    <w:rsid w:val="46D2E68A"/>
    <w:rsid w:val="47675EBF"/>
    <w:rsid w:val="4768FBCF"/>
    <w:rsid w:val="47955CB4"/>
    <w:rsid w:val="47A25F66"/>
    <w:rsid w:val="47A9A0C6"/>
    <w:rsid w:val="4849ACE3"/>
    <w:rsid w:val="4895EED1"/>
    <w:rsid w:val="48B6D13A"/>
    <w:rsid w:val="493D42A3"/>
    <w:rsid w:val="496C4DFD"/>
    <w:rsid w:val="49739D48"/>
    <w:rsid w:val="49744C78"/>
    <w:rsid w:val="49A1B7B6"/>
    <w:rsid w:val="49CCEBA3"/>
    <w:rsid w:val="49DCB738"/>
    <w:rsid w:val="49E5F0E0"/>
    <w:rsid w:val="49FF7186"/>
    <w:rsid w:val="4A340187"/>
    <w:rsid w:val="4A3DF14F"/>
    <w:rsid w:val="4A45DD80"/>
    <w:rsid w:val="4A5FBD5B"/>
    <w:rsid w:val="4A60C09A"/>
    <w:rsid w:val="4A94CDD1"/>
    <w:rsid w:val="4AAED259"/>
    <w:rsid w:val="4AC91853"/>
    <w:rsid w:val="4B201ACC"/>
    <w:rsid w:val="4B2BAC2D"/>
    <w:rsid w:val="4B3753F1"/>
    <w:rsid w:val="4B972236"/>
    <w:rsid w:val="4C04B235"/>
    <w:rsid w:val="4C0EA636"/>
    <w:rsid w:val="4C412AA6"/>
    <w:rsid w:val="4CC2B055"/>
    <w:rsid w:val="4CDEAAD7"/>
    <w:rsid w:val="4CE11A9B"/>
    <w:rsid w:val="4D13FC3C"/>
    <w:rsid w:val="4D146EBE"/>
    <w:rsid w:val="4D382CBF"/>
    <w:rsid w:val="4D5C6BF8"/>
    <w:rsid w:val="4D6120DA"/>
    <w:rsid w:val="4D61CFDD"/>
    <w:rsid w:val="4D801A83"/>
    <w:rsid w:val="4D8709AF"/>
    <w:rsid w:val="4D878740"/>
    <w:rsid w:val="4D8AEA70"/>
    <w:rsid w:val="4D99CB06"/>
    <w:rsid w:val="4DA5C5E9"/>
    <w:rsid w:val="4DB9EB8B"/>
    <w:rsid w:val="4DD0197A"/>
    <w:rsid w:val="4E04416C"/>
    <w:rsid w:val="4E223BE9"/>
    <w:rsid w:val="4E264797"/>
    <w:rsid w:val="4E297D6C"/>
    <w:rsid w:val="4E6FD8E9"/>
    <w:rsid w:val="4E7E7FF0"/>
    <w:rsid w:val="4E87B044"/>
    <w:rsid w:val="4E958C8E"/>
    <w:rsid w:val="4EB0EAEB"/>
    <w:rsid w:val="4EFF3265"/>
    <w:rsid w:val="4F07B144"/>
    <w:rsid w:val="4F0E9643"/>
    <w:rsid w:val="4F829AB4"/>
    <w:rsid w:val="4FDE292A"/>
    <w:rsid w:val="4FE0B0F1"/>
    <w:rsid w:val="4FF4785F"/>
    <w:rsid w:val="4FF761BC"/>
    <w:rsid w:val="50090BCF"/>
    <w:rsid w:val="50B311EB"/>
    <w:rsid w:val="50B3CE10"/>
    <w:rsid w:val="50B75E81"/>
    <w:rsid w:val="50C5EE12"/>
    <w:rsid w:val="50CBBC18"/>
    <w:rsid w:val="50CE73B3"/>
    <w:rsid w:val="50EF3728"/>
    <w:rsid w:val="50F546BF"/>
    <w:rsid w:val="51023663"/>
    <w:rsid w:val="5102C1E7"/>
    <w:rsid w:val="511221B5"/>
    <w:rsid w:val="5155C8E9"/>
    <w:rsid w:val="517C2543"/>
    <w:rsid w:val="5187D4DE"/>
    <w:rsid w:val="519ED7C4"/>
    <w:rsid w:val="51CAF2C2"/>
    <w:rsid w:val="51EA91E5"/>
    <w:rsid w:val="521D200C"/>
    <w:rsid w:val="52232F39"/>
    <w:rsid w:val="52503CAC"/>
    <w:rsid w:val="527DA653"/>
    <w:rsid w:val="52CAC2E4"/>
    <w:rsid w:val="52F9D04E"/>
    <w:rsid w:val="530FA150"/>
    <w:rsid w:val="53814223"/>
    <w:rsid w:val="538DA9A2"/>
    <w:rsid w:val="53E32A32"/>
    <w:rsid w:val="54098E80"/>
    <w:rsid w:val="541FAB0B"/>
    <w:rsid w:val="541FD0B3"/>
    <w:rsid w:val="542306BB"/>
    <w:rsid w:val="547BF395"/>
    <w:rsid w:val="547F1FD9"/>
    <w:rsid w:val="5485D4DD"/>
    <w:rsid w:val="54974031"/>
    <w:rsid w:val="54A514DE"/>
    <w:rsid w:val="550C99EC"/>
    <w:rsid w:val="5537E86B"/>
    <w:rsid w:val="5565E25F"/>
    <w:rsid w:val="558E56A3"/>
    <w:rsid w:val="559B192D"/>
    <w:rsid w:val="55F53025"/>
    <w:rsid w:val="5621576C"/>
    <w:rsid w:val="56851AFA"/>
    <w:rsid w:val="56A3E33D"/>
    <w:rsid w:val="56A67241"/>
    <w:rsid w:val="56C59EA8"/>
    <w:rsid w:val="56CE629E"/>
    <w:rsid w:val="56CF1E01"/>
    <w:rsid w:val="56E84B3B"/>
    <w:rsid w:val="56FB7A77"/>
    <w:rsid w:val="5709B477"/>
    <w:rsid w:val="572325CC"/>
    <w:rsid w:val="572A6E93"/>
    <w:rsid w:val="57693652"/>
    <w:rsid w:val="57AD9D11"/>
    <w:rsid w:val="57EF3A30"/>
    <w:rsid w:val="58468C5D"/>
    <w:rsid w:val="587A4CC6"/>
    <w:rsid w:val="5887DF1F"/>
    <w:rsid w:val="58BB57BD"/>
    <w:rsid w:val="590701FE"/>
    <w:rsid w:val="596214C8"/>
    <w:rsid w:val="59649FD1"/>
    <w:rsid w:val="596EB477"/>
    <w:rsid w:val="5976E197"/>
    <w:rsid w:val="59791653"/>
    <w:rsid w:val="597B98DF"/>
    <w:rsid w:val="59A0DD18"/>
    <w:rsid w:val="59D42005"/>
    <w:rsid w:val="59DB75D4"/>
    <w:rsid w:val="59F6109F"/>
    <w:rsid w:val="5A3941FC"/>
    <w:rsid w:val="5A547B0C"/>
    <w:rsid w:val="5ABF9BEC"/>
    <w:rsid w:val="5AD4E424"/>
    <w:rsid w:val="5B158204"/>
    <w:rsid w:val="5B6D28C9"/>
    <w:rsid w:val="5B883C44"/>
    <w:rsid w:val="5B89EC9C"/>
    <w:rsid w:val="5BD13B63"/>
    <w:rsid w:val="5BEFC59C"/>
    <w:rsid w:val="5C4366BF"/>
    <w:rsid w:val="5C452716"/>
    <w:rsid w:val="5C67AFF0"/>
    <w:rsid w:val="5C711850"/>
    <w:rsid w:val="5CDBBF75"/>
    <w:rsid w:val="5D069B54"/>
    <w:rsid w:val="5D0AD36C"/>
    <w:rsid w:val="5D1515B8"/>
    <w:rsid w:val="5D25ED40"/>
    <w:rsid w:val="5D27742E"/>
    <w:rsid w:val="5D39AC80"/>
    <w:rsid w:val="5D459C67"/>
    <w:rsid w:val="5D61BE50"/>
    <w:rsid w:val="5D676BF5"/>
    <w:rsid w:val="5D6EDE03"/>
    <w:rsid w:val="5D841695"/>
    <w:rsid w:val="5DB169FF"/>
    <w:rsid w:val="5DDD1E6D"/>
    <w:rsid w:val="5DF6E584"/>
    <w:rsid w:val="5E14A9A0"/>
    <w:rsid w:val="5E2239AC"/>
    <w:rsid w:val="5E2FF3DB"/>
    <w:rsid w:val="5E64D676"/>
    <w:rsid w:val="5E7B7842"/>
    <w:rsid w:val="5E97C36B"/>
    <w:rsid w:val="5EB0A168"/>
    <w:rsid w:val="5EBF7D97"/>
    <w:rsid w:val="5FAB9F75"/>
    <w:rsid w:val="5FD5D0BA"/>
    <w:rsid w:val="5FE5AD62"/>
    <w:rsid w:val="602D8BCE"/>
    <w:rsid w:val="6045180F"/>
    <w:rsid w:val="6060254E"/>
    <w:rsid w:val="607DD162"/>
    <w:rsid w:val="60B7A61B"/>
    <w:rsid w:val="60B92A54"/>
    <w:rsid w:val="60BE18F9"/>
    <w:rsid w:val="60C2266B"/>
    <w:rsid w:val="611F2699"/>
    <w:rsid w:val="616C0F4A"/>
    <w:rsid w:val="61DC4F97"/>
    <w:rsid w:val="61F3F0A6"/>
    <w:rsid w:val="620B5B5F"/>
    <w:rsid w:val="620E6C0F"/>
    <w:rsid w:val="62220301"/>
    <w:rsid w:val="62300BBF"/>
    <w:rsid w:val="6299F977"/>
    <w:rsid w:val="63750B35"/>
    <w:rsid w:val="6385E6C9"/>
    <w:rsid w:val="63A963F5"/>
    <w:rsid w:val="63D6D93E"/>
    <w:rsid w:val="63D9B32F"/>
    <w:rsid w:val="63E1973A"/>
    <w:rsid w:val="645AD24F"/>
    <w:rsid w:val="646A80D1"/>
    <w:rsid w:val="649890BB"/>
    <w:rsid w:val="64BF03B0"/>
    <w:rsid w:val="64DCA671"/>
    <w:rsid w:val="6510DC3C"/>
    <w:rsid w:val="6547609E"/>
    <w:rsid w:val="65B8D28F"/>
    <w:rsid w:val="65E73D80"/>
    <w:rsid w:val="65F8B2EB"/>
    <w:rsid w:val="66ECCCAE"/>
    <w:rsid w:val="6727E5BC"/>
    <w:rsid w:val="67A683EC"/>
    <w:rsid w:val="67BB1D47"/>
    <w:rsid w:val="67F160A3"/>
    <w:rsid w:val="6817D0ED"/>
    <w:rsid w:val="683BF985"/>
    <w:rsid w:val="686B9823"/>
    <w:rsid w:val="6882C7A0"/>
    <w:rsid w:val="688F7098"/>
    <w:rsid w:val="68ADE932"/>
    <w:rsid w:val="68AF76E5"/>
    <w:rsid w:val="6911ED6C"/>
    <w:rsid w:val="6924FB08"/>
    <w:rsid w:val="6926074F"/>
    <w:rsid w:val="6940BAEC"/>
    <w:rsid w:val="696CEB50"/>
    <w:rsid w:val="69C71308"/>
    <w:rsid w:val="6A03AEF6"/>
    <w:rsid w:val="6A52EAF7"/>
    <w:rsid w:val="6A5B595A"/>
    <w:rsid w:val="6A64DB54"/>
    <w:rsid w:val="6A766383"/>
    <w:rsid w:val="6AA3F8A1"/>
    <w:rsid w:val="6ABF6E39"/>
    <w:rsid w:val="6AD2ED19"/>
    <w:rsid w:val="6AE15914"/>
    <w:rsid w:val="6AF23340"/>
    <w:rsid w:val="6B2BB589"/>
    <w:rsid w:val="6B4CDA1C"/>
    <w:rsid w:val="6B7026E4"/>
    <w:rsid w:val="6B77E7B6"/>
    <w:rsid w:val="6BD49A51"/>
    <w:rsid w:val="6BE21DD7"/>
    <w:rsid w:val="6BE3550D"/>
    <w:rsid w:val="6C15F4D8"/>
    <w:rsid w:val="6C2EE5B8"/>
    <w:rsid w:val="6C698EFC"/>
    <w:rsid w:val="6C6BC11F"/>
    <w:rsid w:val="6C7E2FAF"/>
    <w:rsid w:val="6CA6413F"/>
    <w:rsid w:val="6CF35AF3"/>
    <w:rsid w:val="6D02807C"/>
    <w:rsid w:val="6D09887B"/>
    <w:rsid w:val="6D70651F"/>
    <w:rsid w:val="6D85F4F9"/>
    <w:rsid w:val="6DC32B80"/>
    <w:rsid w:val="6E0F3267"/>
    <w:rsid w:val="6E1A827F"/>
    <w:rsid w:val="6E207303"/>
    <w:rsid w:val="6E65B5E8"/>
    <w:rsid w:val="6E8601D6"/>
    <w:rsid w:val="6EF55723"/>
    <w:rsid w:val="6F08780D"/>
    <w:rsid w:val="6F1ABD60"/>
    <w:rsid w:val="6F1AC011"/>
    <w:rsid w:val="6F4DF7A9"/>
    <w:rsid w:val="6F502C45"/>
    <w:rsid w:val="6F5D7F2F"/>
    <w:rsid w:val="6FD0D5CB"/>
    <w:rsid w:val="6FD72D30"/>
    <w:rsid w:val="6FFAC189"/>
    <w:rsid w:val="7026C207"/>
    <w:rsid w:val="703E4879"/>
    <w:rsid w:val="70405F8F"/>
    <w:rsid w:val="704714E1"/>
    <w:rsid w:val="70597E02"/>
    <w:rsid w:val="7118506B"/>
    <w:rsid w:val="711DF3CB"/>
    <w:rsid w:val="711E0860"/>
    <w:rsid w:val="7135929D"/>
    <w:rsid w:val="715B6236"/>
    <w:rsid w:val="716DE3AF"/>
    <w:rsid w:val="71701ACA"/>
    <w:rsid w:val="718CBD62"/>
    <w:rsid w:val="71A3CC94"/>
    <w:rsid w:val="71A40662"/>
    <w:rsid w:val="71A7E68B"/>
    <w:rsid w:val="71A9D08B"/>
    <w:rsid w:val="71BBAB98"/>
    <w:rsid w:val="71CC37C9"/>
    <w:rsid w:val="71FA61C8"/>
    <w:rsid w:val="721B32E5"/>
    <w:rsid w:val="721C5445"/>
    <w:rsid w:val="72534D95"/>
    <w:rsid w:val="727927B3"/>
    <w:rsid w:val="72975F5D"/>
    <w:rsid w:val="72C463CB"/>
    <w:rsid w:val="7300A8BC"/>
    <w:rsid w:val="73121DE4"/>
    <w:rsid w:val="7354C2BA"/>
    <w:rsid w:val="736305CB"/>
    <w:rsid w:val="73BCBE39"/>
    <w:rsid w:val="73BDB9F6"/>
    <w:rsid w:val="73C030E2"/>
    <w:rsid w:val="743CE9B4"/>
    <w:rsid w:val="745FCA65"/>
    <w:rsid w:val="74A00B82"/>
    <w:rsid w:val="74C1BF36"/>
    <w:rsid w:val="74E8C3D2"/>
    <w:rsid w:val="74F2F337"/>
    <w:rsid w:val="7509C300"/>
    <w:rsid w:val="7578681F"/>
    <w:rsid w:val="759E23B8"/>
    <w:rsid w:val="75A49E7E"/>
    <w:rsid w:val="75B3D62F"/>
    <w:rsid w:val="75F82611"/>
    <w:rsid w:val="75FC0773"/>
    <w:rsid w:val="76B150D8"/>
    <w:rsid w:val="76BB2D5F"/>
    <w:rsid w:val="77014F74"/>
    <w:rsid w:val="7751A082"/>
    <w:rsid w:val="77626A85"/>
    <w:rsid w:val="777580C8"/>
    <w:rsid w:val="77B11661"/>
    <w:rsid w:val="77B4A204"/>
    <w:rsid w:val="77FBDC49"/>
    <w:rsid w:val="78053B2B"/>
    <w:rsid w:val="780B5F20"/>
    <w:rsid w:val="780F5ACA"/>
    <w:rsid w:val="781109C3"/>
    <w:rsid w:val="785C1AE5"/>
    <w:rsid w:val="7868E048"/>
    <w:rsid w:val="786D238F"/>
    <w:rsid w:val="7877DDF4"/>
    <w:rsid w:val="78B21BBF"/>
    <w:rsid w:val="78B6541D"/>
    <w:rsid w:val="78CFAFBC"/>
    <w:rsid w:val="78F67BB6"/>
    <w:rsid w:val="795B7FCB"/>
    <w:rsid w:val="798990D2"/>
    <w:rsid w:val="79900C6B"/>
    <w:rsid w:val="79991BDC"/>
    <w:rsid w:val="79C47893"/>
    <w:rsid w:val="79F13580"/>
    <w:rsid w:val="7A14F86F"/>
    <w:rsid w:val="7A644B89"/>
    <w:rsid w:val="7AC48094"/>
    <w:rsid w:val="7AE94788"/>
    <w:rsid w:val="7AFBDC42"/>
    <w:rsid w:val="7B0F0175"/>
    <w:rsid w:val="7B160E84"/>
    <w:rsid w:val="7B1F2A9C"/>
    <w:rsid w:val="7B44107C"/>
    <w:rsid w:val="7BF711FB"/>
    <w:rsid w:val="7C0C2038"/>
    <w:rsid w:val="7C4D2B18"/>
    <w:rsid w:val="7C78ADA2"/>
    <w:rsid w:val="7CC68C96"/>
    <w:rsid w:val="7CE57756"/>
    <w:rsid w:val="7D753526"/>
    <w:rsid w:val="7D7B68AE"/>
    <w:rsid w:val="7D7C68BE"/>
    <w:rsid w:val="7DA3FC68"/>
    <w:rsid w:val="7DA4B541"/>
    <w:rsid w:val="7DAD90A4"/>
    <w:rsid w:val="7DDC3FBC"/>
    <w:rsid w:val="7E238AF4"/>
    <w:rsid w:val="7E835E3A"/>
    <w:rsid w:val="7E83D262"/>
    <w:rsid w:val="7E9EDF9B"/>
    <w:rsid w:val="7EE0371B"/>
    <w:rsid w:val="7F0B0DB7"/>
    <w:rsid w:val="7F28A7B5"/>
    <w:rsid w:val="7F2C642C"/>
    <w:rsid w:val="7F46951F"/>
    <w:rsid w:val="7F616DC6"/>
    <w:rsid w:val="7F659D72"/>
    <w:rsid w:val="7F662862"/>
    <w:rsid w:val="7FC729C5"/>
    <w:rsid w:val="7FD4FA61"/>
    <w:rsid w:val="7FF6D9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299A91"/>
  <w15:chartTrackingRefBased/>
  <w15:docId w15:val="{B330CD07-726D-4BDC-BD58-CEDE8C9C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5B8"/>
    <w:pPr>
      <w:spacing w:after="200" w:line="276" w:lineRule="auto"/>
    </w:pPr>
    <w:rPr>
      <w:rFonts w:ascii="Arial" w:hAnsi="Arial"/>
      <w:sz w:val="24"/>
    </w:rPr>
  </w:style>
  <w:style w:type="paragraph" w:styleId="Heading1">
    <w:name w:val="heading 1"/>
    <w:basedOn w:val="Normal"/>
    <w:next w:val="Normal"/>
    <w:link w:val="Heading1Char"/>
    <w:uiPriority w:val="9"/>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iPriority w:val="9"/>
    <w:unhideWhenUsed/>
    <w:qFormat/>
    <w:rsid w:val="00253A81"/>
    <w:pPr>
      <w:numPr>
        <w:numId w:val="4"/>
      </w:numPr>
      <w:pBdr>
        <w:top w:val="single" w:sz="4" w:space="1" w:color="auto"/>
      </w:pBdr>
      <w:tabs>
        <w:tab w:val="left" w:pos="1080"/>
      </w:tabs>
      <w:spacing w:line="240" w:lineRule="auto"/>
      <w:ind w:left="360"/>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iPriority w:val="9"/>
    <w:unhideWhenUsed/>
    <w:qFormat/>
    <w:rsid w:val="007A01E7"/>
    <w:pPr>
      <w:numPr>
        <w:numId w:val="5"/>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iPriority w:val="9"/>
    <w:unhideWhenUsed/>
    <w:qFormat/>
    <w:rsid w:val="005645B8"/>
    <w:pPr>
      <w:numPr>
        <w:ilvl w:val="3"/>
        <w:numId w:val="2"/>
      </w:numPr>
      <w:tabs>
        <w:tab w:val="left" w:pos="1620"/>
      </w:tabs>
      <w:outlineLvl w:val="3"/>
    </w:pPr>
    <w:rPr>
      <w:rFonts w:cs="Times New Roman"/>
      <w:b/>
      <w:bCs/>
      <w:i/>
      <w:szCs w:val="24"/>
    </w:rPr>
  </w:style>
  <w:style w:type="paragraph" w:styleId="Heading5">
    <w:name w:val="heading 5"/>
    <w:basedOn w:val="Normal"/>
    <w:next w:val="Normal"/>
    <w:link w:val="Heading5Char"/>
    <w:uiPriority w:val="9"/>
    <w:semiHidden/>
    <w:unhideWhenUsed/>
    <w:qFormat/>
    <w:rsid w:val="003D09E2"/>
    <w:pPr>
      <w:keepNext/>
      <w:keepLines/>
      <w:numPr>
        <w:ilvl w:val="4"/>
        <w:numId w:val="3"/>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3"/>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D09E2"/>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9E2"/>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9E2"/>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E7"/>
    <w:rPr>
      <w:rFonts w:ascii="Arial" w:hAnsi="Arial" w:eastAsiaTheme="majorEastAsia" w:cstheme="majorBidi"/>
      <w:b/>
      <w:bCs/>
      <w:caps/>
      <w:sz w:val="28"/>
      <w:szCs w:val="28"/>
      <w:lang w:bidi="en-US"/>
    </w:rPr>
  </w:style>
  <w:style w:type="paragraph" w:styleId="ListParagraph">
    <w:name w:val="List Paragraph"/>
    <w:basedOn w:val="Normal"/>
    <w:uiPriority w:val="34"/>
    <w:qFormat/>
    <w:rsid w:val="005645B8"/>
    <w:pPr>
      <w:ind w:left="720"/>
      <w:contextualSpacing/>
    </w:pPr>
  </w:style>
  <w:style w:type="character" w:customStyle="1" w:styleId="Heading2Char">
    <w:name w:val="Heading 2 Char"/>
    <w:basedOn w:val="DefaultParagraphFont"/>
    <w:link w:val="Heading2"/>
    <w:uiPriority w:val="9"/>
    <w:rsid w:val="00253A81"/>
    <w:rPr>
      <w:rFonts w:ascii="Arial" w:hAnsi="Arial" w:eastAsiaTheme="majorEastAsia" w:cstheme="majorBidi"/>
      <w:b/>
      <w:bCs/>
      <w:sz w:val="24"/>
      <w:szCs w:val="26"/>
      <w:lang w:bidi="en-US"/>
    </w:rPr>
  </w:style>
  <w:style w:type="character" w:customStyle="1" w:styleId="Heading3Char">
    <w:name w:val="Heading 3 Char"/>
    <w:basedOn w:val="DefaultParagraphFont"/>
    <w:link w:val="Heading3"/>
    <w:uiPriority w:val="9"/>
    <w:rsid w:val="007A01E7"/>
    <w:rPr>
      <w:rFonts w:ascii="Arial" w:hAnsi="Arial" w:cs="Times New Roman"/>
      <w:b/>
      <w:bCs/>
      <w:sz w:val="24"/>
      <w:szCs w:val="24"/>
    </w:rPr>
  </w:style>
  <w:style w:type="character" w:customStyle="1" w:styleId="Heading4Char">
    <w:name w:val="Heading 4 Char"/>
    <w:basedOn w:val="DefaultParagraphFont"/>
    <w:link w:val="Heading4"/>
    <w:uiPriority w:val="9"/>
    <w:rsid w:val="005645B8"/>
    <w:rPr>
      <w:rFonts w:ascii="Arial" w:hAnsi="Arial" w:cs="Times New Roman"/>
      <w:b/>
      <w:bCs/>
      <w:i/>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9E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5645B8"/>
    <w:pPr>
      <w:spacing w:after="0" w:line="240" w:lineRule="auto"/>
    </w:pPr>
  </w:style>
  <w:style w:type="paragraph" w:styleId="FootnoteText">
    <w:name w:val="footnote text"/>
    <w:basedOn w:val="Normal"/>
    <w:link w:val="FootnoteTextChar"/>
    <w:unhideWhenUsed/>
    <w:rsid w:val="005645B8"/>
    <w:pPr>
      <w:spacing w:after="0" w:line="240" w:lineRule="auto"/>
    </w:pPr>
    <w:rPr>
      <w:sz w:val="20"/>
      <w:szCs w:val="20"/>
    </w:rPr>
  </w:style>
  <w:style w:type="character" w:customStyle="1" w:styleId="FootnoteTextChar">
    <w:name w:val="Footnote Text Char"/>
    <w:basedOn w:val="DefaultParagraphFont"/>
    <w:link w:val="FootnoteText"/>
    <w:rsid w:val="005645B8"/>
    <w:rPr>
      <w:rFonts w:ascii="Arial" w:hAnsi="Arial"/>
      <w:sz w:val="20"/>
      <w:szCs w:val="20"/>
    </w:rPr>
  </w:style>
  <w:style w:type="character" w:styleId="FootnoteReference">
    <w:name w:val="footnote reference"/>
    <w:basedOn w:val="DefaultParagraphFont"/>
    <w:unhideWhenUsed/>
    <w:rsid w:val="005645B8"/>
    <w:rPr>
      <w:vertAlign w:val="superscript"/>
    </w:rPr>
  </w:style>
  <w:style w:type="table" w:styleId="TableGrid">
    <w:name w:val="Table Grid"/>
    <w:basedOn w:val="TableNormal"/>
    <w:uiPriority w:val="59"/>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E31"/>
    <w:rPr>
      <w:sz w:val="16"/>
      <w:szCs w:val="16"/>
    </w:rPr>
  </w:style>
  <w:style w:type="paragraph" w:styleId="CommentText">
    <w:name w:val="annotation text"/>
    <w:basedOn w:val="Normal"/>
    <w:link w:val="CommentTextChar"/>
    <w:uiPriority w:val="99"/>
    <w:unhideWhenUsed/>
    <w:rsid w:val="000D5E31"/>
    <w:pPr>
      <w:spacing w:line="240" w:lineRule="auto"/>
    </w:pPr>
    <w:rPr>
      <w:sz w:val="20"/>
      <w:szCs w:val="20"/>
    </w:rPr>
  </w:style>
  <w:style w:type="character" w:customStyle="1" w:styleId="CommentTextChar">
    <w:name w:val="Comment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uiPriority w:val="99"/>
    <w:semiHidden/>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line="240" w:lineRule="auto"/>
    </w:pPr>
    <w:rPr>
      <w:sz w:val="20"/>
      <w:szCs w:val="20"/>
    </w:rPr>
  </w:style>
  <w:style w:type="paragraph" w:styleId="Header">
    <w:name w:val="header"/>
    <w:basedOn w:val="Normal"/>
    <w:link w:val="HeaderChar"/>
    <w:uiPriority w:val="99"/>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E2"/>
    <w:rPr>
      <w:rFonts w:ascii="Arial" w:hAnsi="Arial"/>
      <w:sz w:val="24"/>
    </w:rPr>
  </w:style>
  <w:style w:type="paragraph" w:styleId="Footer">
    <w:name w:val="footer"/>
    <w:basedOn w:val="Normal"/>
    <w:link w:val="FooterChar"/>
    <w:uiPriority w:val="99"/>
    <w:unhideWhenUsed/>
    <w:rsid w:val="003D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basedOn w:val="Normal"/>
    <w:next w:val="Normal"/>
    <w:uiPriority w:val="35"/>
    <w:unhideWhenUsed/>
    <w:qFormat/>
    <w:rsid w:val="003D09E2"/>
    <w:pPr>
      <w:spacing w:line="240" w:lineRule="auto"/>
    </w:pPr>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uiPriority w:val="99"/>
    <w:semiHidden/>
    <w:rsid w:val="003D09E2"/>
    <w:rPr>
      <w:rFonts w:ascii="Consolas" w:hAnsi="Consolas"/>
      <w:sz w:val="20"/>
      <w:szCs w:val="20"/>
    </w:rPr>
  </w:style>
  <w:style w:type="paragraph" w:styleId="HTMLPreformatted">
    <w:name w:val="HTML Preformatted"/>
    <w:basedOn w:val="Normal"/>
    <w:link w:val="HTMLPreformattedChar"/>
    <w:uiPriority w:val="99"/>
    <w:semiHidden/>
    <w:unhideWhenUsed/>
    <w:rsid w:val="003D09E2"/>
    <w:pPr>
      <w:spacing w:after="0" w:line="240" w:lineRule="auto"/>
    </w:pPr>
    <w:rPr>
      <w:rFonts w:ascii="Consolas" w:hAnsi="Consolas"/>
      <w:sz w:val="20"/>
      <w:szCs w:val="20"/>
    </w:rPr>
  </w:style>
  <w:style w:type="paragraph" w:styleId="BodyText">
    <w:name w:val="Body Text"/>
    <w:basedOn w:val="Normal"/>
    <w:link w:val="BodyTextChar"/>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paragraph" w:styleId="Title">
    <w:name w:val="Title"/>
    <w:basedOn w:val="Normal"/>
    <w:next w:val="Normal"/>
    <w:link w:val="TitleChar"/>
    <w:uiPriority w:val="10"/>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059F4"/>
    <w:rPr>
      <w:rFonts w:ascii="Arial" w:hAnsi="Arial" w:eastAsiaTheme="majorEastAsia" w:cstheme="majorBidi"/>
      <w:b/>
      <w:spacing w:val="-10"/>
      <w:kern w:val="28"/>
      <w:sz w:val="28"/>
      <w:szCs w:val="56"/>
    </w:rPr>
  </w:style>
  <w:style w:type="paragraph" w:styleId="PlainText">
    <w:name w:val="Plain Text"/>
    <w:basedOn w:val="Normal"/>
    <w:link w:val="PlainTextChar"/>
    <w:uiPriority w:val="99"/>
    <w:unhideWhenUsed/>
    <w:rsid w:val="008C2B7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C2B73"/>
    <w:rPr>
      <w:rFonts w:ascii="Consolas" w:hAnsi="Consolas"/>
      <w:sz w:val="21"/>
      <w:szCs w:val="21"/>
    </w:rPr>
  </w:style>
  <w:style w:type="character" w:customStyle="1" w:styleId="apple-converted-space">
    <w:name w:val="apple-converted-space"/>
    <w:basedOn w:val="DefaultParagraphFont"/>
    <w:rsid w:val="008C2B73"/>
  </w:style>
  <w:style w:type="character" w:customStyle="1" w:styleId="font391">
    <w:name w:val="font391"/>
    <w:basedOn w:val="DefaultParagraphFont"/>
    <w:rsid w:val="00071DEB"/>
    <w:rPr>
      <w:rFonts w:ascii="Times New Roman" w:hAnsi="Times New Roman" w:cs="Times New Roman" w:hint="default"/>
      <w:b/>
      <w:bCs/>
      <w:i w:val="0"/>
      <w:iCs w:val="0"/>
      <w:strike w:val="0"/>
      <w:dstrike w:val="0"/>
      <w:color w:val="000000"/>
      <w:sz w:val="20"/>
      <w:szCs w:val="20"/>
      <w:u w:val="none"/>
      <w:effect w:val="none"/>
    </w:rPr>
  </w:style>
  <w:style w:type="character" w:customStyle="1" w:styleId="font181">
    <w:name w:val="font181"/>
    <w:basedOn w:val="DefaultParagraphFont"/>
    <w:rsid w:val="00071DEB"/>
    <w:rPr>
      <w:rFonts w:ascii="Times New Roman" w:hAnsi="Times New Roman" w:cs="Times New Roman" w:hint="default"/>
      <w:b w:val="0"/>
      <w:bCs w:val="0"/>
      <w:i w:val="0"/>
      <w:iCs w:val="0"/>
      <w:color w:val="000000"/>
      <w:sz w:val="16"/>
      <w:szCs w:val="16"/>
      <w:u w:val="single"/>
    </w:rPr>
  </w:style>
  <w:style w:type="character" w:customStyle="1" w:styleId="font171">
    <w:name w:val="font171"/>
    <w:basedOn w:val="DefaultParagraphFont"/>
    <w:rsid w:val="00071DEB"/>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font191">
    <w:name w:val="font191"/>
    <w:basedOn w:val="DefaultParagraphFont"/>
    <w:rsid w:val="00071DEB"/>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font411">
    <w:name w:val="font411"/>
    <w:basedOn w:val="DefaultParagraphFont"/>
    <w:rsid w:val="00071DEB"/>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431">
    <w:name w:val="font431"/>
    <w:basedOn w:val="DefaultParagraphFont"/>
    <w:rsid w:val="00071DEB"/>
    <w:rPr>
      <w:rFonts w:ascii="Times New Roman" w:hAnsi="Times New Roman" w:cs="Times New Roman" w:hint="default"/>
      <w:b w:val="0"/>
      <w:bCs w:val="0"/>
      <w:i/>
      <w:iCs/>
      <w:strike w:val="0"/>
      <w:dstrike w:val="0"/>
      <w:color w:val="000000"/>
      <w:sz w:val="18"/>
      <w:szCs w:val="18"/>
      <w:u w:val="none"/>
      <w:effect w:val="none"/>
    </w:rPr>
  </w:style>
  <w:style w:type="character" w:customStyle="1" w:styleId="font301">
    <w:name w:val="font301"/>
    <w:basedOn w:val="DefaultParagraphFont"/>
    <w:rsid w:val="00071DEB"/>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normaltextrun">
    <w:name w:val="normaltextrun"/>
    <w:basedOn w:val="DefaultParagraphFont"/>
    <w:rsid w:val="00BB59D1"/>
  </w:style>
  <w:style w:type="character" w:styleId="FollowedHyperlink">
    <w:name w:val="FollowedHyperlink"/>
    <w:basedOn w:val="DefaultParagraphFont"/>
    <w:uiPriority w:val="99"/>
    <w:semiHidden/>
    <w:unhideWhenUsed/>
    <w:rsid w:val="00422F9A"/>
    <w:rPr>
      <w:color w:val="954F72" w:themeColor="followedHyperlink"/>
      <w:u w:val="single"/>
    </w:rPr>
  </w:style>
  <w:style w:type="paragraph" w:customStyle="1" w:styleId="Level1">
    <w:name w:val="Level 1"/>
    <w:basedOn w:val="Normal"/>
    <w:rsid w:val="002B5E74"/>
    <w:pPr>
      <w:widowControl w:val="0"/>
      <w:numPr>
        <w:numId w:val="8"/>
      </w:numPr>
      <w:autoSpaceDE w:val="0"/>
      <w:autoSpaceDN w:val="0"/>
      <w:adjustRightInd w:val="0"/>
      <w:spacing w:after="0" w:line="240" w:lineRule="auto"/>
      <w:ind w:left="720" w:hanging="720"/>
      <w:outlineLvl w:val="0"/>
    </w:pPr>
    <w:rPr>
      <w:rFonts w:ascii="Times New Roman" w:eastAsia="Times New Roman" w:hAnsi="Times New Roman" w:cs="Times New Roman"/>
      <w:szCs w:val="24"/>
      <w:lang w:eastAsia="ko-KR"/>
    </w:rPr>
  </w:style>
  <w:style w:type="character" w:customStyle="1" w:styleId="eop">
    <w:name w:val="eop"/>
    <w:basedOn w:val="DefaultParagraphFont"/>
    <w:rsid w:val="00401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hemview.epa.gov/chemview" TargetMode="External" /><Relationship Id="rId11" Type="http://schemas.openxmlformats.org/officeDocument/2006/relationships/hyperlink" Target="https://www.epa.gov/assessing-and-managing-chemicals-under-tsca/section-8e-notice-user-guide-primary-authorized" TargetMode="External" /><Relationship Id="rId12" Type="http://schemas.openxmlformats.org/officeDocument/2006/relationships/hyperlink" Target="http://csrc.nist.gov/publications/PubsFIPS.html" TargetMode="External" /><Relationship Id="rId13" Type="http://schemas.openxmlformats.org/officeDocument/2006/relationships/hyperlink" Target="https://chemview.epa.gov/chemview/" TargetMode="External" /><Relationship Id="rId14" Type="http://schemas.openxmlformats.org/officeDocument/2006/relationships/hyperlink" Target="https://www.cbo.gov/sites/default/files/112th-congress-2011-2012/workingpaper/2012-04fedbenefitswp0.pdf" TargetMode="External" /><Relationship Id="rId15" Type="http://schemas.openxmlformats.org/officeDocument/2006/relationships/hyperlink" Target="http://www.regulations.gov" TargetMode="External" /><Relationship Id="rId16" Type="http://schemas.openxmlformats.org/officeDocument/2006/relationships/hyperlink" Target="https://www.govinfo.gov/content/pkg/USCODE-2012-title15/pdf/USCODE-2012-title15-chap53-subchapI-sec2607.pdf" TargetMode="External" /><Relationship Id="rId17" Type="http://schemas.openxmlformats.org/officeDocument/2006/relationships/hyperlink" Target="https://www.bls.gov/web/ecec/ecsuphst.pdf" TargetMode="External" /><Relationship Id="rId18" Type="http://schemas.openxmlformats.org/officeDocument/2006/relationships/hyperlink" Target="https://www.regulations.gov/document/EPA-HQ-OPPT-2021-0660-0019" TargetMode="External" /><Relationship Id="rId19" Type="http://schemas.openxmlformats.org/officeDocument/2006/relationships/hyperlink" Target="https://www.epa.gov/sites/default/files/2015-09/documents/section_8e_notice_user_guide-primary_authorized_official_v4.0p.pdf" TargetMode="External" /><Relationship Id="rId2" Type="http://schemas.openxmlformats.org/officeDocument/2006/relationships/settings" Target="settings.xml" /><Relationship Id="rId20" Type="http://schemas.openxmlformats.org/officeDocument/2006/relationships/hyperlink" Target="https://about.usps.com/newsroom/national-releases/2019/1009-usps-announces-new-prices-for-2020.htm" TargetMode="External" /><Relationship Id="rId21" Type="http://schemas.openxmlformats.org/officeDocument/2006/relationships/footer" Target="footer1.xml" /><Relationship Id="rId22" Type="http://schemas.openxmlformats.org/officeDocument/2006/relationships/header" Target="header1.xm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oecd.org/en/topics/sub-issues/assessment-of-chemicals/harmonised-template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CategoryDescription xmlns="http://schemas.microsoft.com/sharepoint.v3" xsi:nil="true"/>
    <_ip_UnifiedCompliancePolicyUIAction xmlns="http://schemas.microsoft.com/sharepoint/v3" xsi:nil="true"/>
    <_ip_UnifiedCompliancePolicyProperties xmlns="http://schemas.microsoft.com/sharepoint/v3" xsi:nil="true"/>
    <FRN_x0020_List_x0020_Item_x0020_ID xmlns="118f882f-1e32-4cf2-ad69-9de43d57f4c6">5399</FRN_x0020_List_x0020_Item_x0020_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4b37f94e4e8b44cf830ff591ff4305da">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70ad03a41baf324bf9da056ebd0d0b92"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0E069-059C-4701-97A9-707801C9691E}">
  <ds:schemaRefs>
    <ds:schemaRef ds:uri="Microsoft.SharePoint.Taxonomy.ContentTypeSync"/>
  </ds:schemaRefs>
</ds:datastoreItem>
</file>

<file path=customXml/itemProps2.xml><?xml version="1.0" encoding="utf-8"?>
<ds:datastoreItem xmlns:ds="http://schemas.openxmlformats.org/officeDocument/2006/customXml" ds:itemID="{44905671-8A76-45C7-AE59-E120B505B13E}">
  <ds:schemaRefs>
    <ds:schemaRef ds:uri="http://schemas.microsoft.com/sharepoint/v3/contenttype/forms"/>
  </ds:schemaRefs>
</ds:datastoreItem>
</file>

<file path=customXml/itemProps3.xml><?xml version="1.0" encoding="utf-8"?>
<ds:datastoreItem xmlns:ds="http://schemas.openxmlformats.org/officeDocument/2006/customXml" ds:itemID="{FF444B56-BA86-4284-B1F7-B5381B365F4F}">
  <ds:schemaRefs>
    <ds:schemaRef ds:uri="http://schemas.microsoft.com/sharepoint/v3"/>
    <ds:schemaRef ds:uri="4ffa91fb-a0ff-4ac5-b2db-65c790d184a4"/>
    <ds:schemaRef ds:uri="http://purl.org/dc/dcmitype/"/>
    <ds:schemaRef ds:uri="118f882f-1e32-4cf2-ad69-9de43d57f4c6"/>
    <ds:schemaRef ds:uri="http://schemas.microsoft.com/office/2006/documentManagement/types"/>
    <ds:schemaRef ds:uri="http://purl.org/dc/terms/"/>
    <ds:schemaRef ds:uri="http://schemas.microsoft.com/sharepoint.v3"/>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a5d1ca4e-0a3f-4119-b619-e20b93ebd1aa"/>
    <ds:schemaRef ds:uri="http://purl.org/dc/elements/1.1/"/>
  </ds:schemaRefs>
</ds:datastoreItem>
</file>

<file path=customXml/itemProps4.xml><?xml version="1.0" encoding="utf-8"?>
<ds:datastoreItem xmlns:ds="http://schemas.openxmlformats.org/officeDocument/2006/customXml" ds:itemID="{83599066-E9D9-43F6-9BF9-58EC2F7A23F8}">
  <ds:schemaRefs>
    <ds:schemaRef ds:uri="http://schemas.openxmlformats.org/officeDocument/2006/bibliography"/>
  </ds:schemaRefs>
</ds:datastoreItem>
</file>

<file path=customXml/itemProps5.xml><?xml version="1.0" encoding="utf-8"?>
<ds:datastoreItem xmlns:ds="http://schemas.openxmlformats.org/officeDocument/2006/customXml" ds:itemID="{1B5380D7-31FE-4B93-9F44-C1233B9DE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8367</Words>
  <Characters>47698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55954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 Comments;siu.carolyn@epa.gov</dc:creator>
  <cp:lastModifiedBy>Schultz, Eric</cp:lastModifiedBy>
  <cp:revision>3</cp:revision>
  <dcterms:created xsi:type="dcterms:W3CDTF">2026-04-15T01:12:00Z</dcterms:created>
  <dcterms:modified xsi:type="dcterms:W3CDTF">2026-04-15T01:13:00Z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0x010100E8F945D3E4F86649B7BD7D579B37A57A</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MediaServiceImageTags">
    <vt:lpwstr/>
  </property>
  <property fmtid="{D5CDD505-2E9C-101B-9397-08002B2CF9AE}" pid="10" name="TaxKeyword">
    <vt:lpwstr/>
  </property>
  <property fmtid="{D5CDD505-2E9C-101B-9397-08002B2CF9AE}" pid="11" name="TriggerFlowInfo">
    <vt:lpwstr/>
  </property>
  <property fmtid="{D5CDD505-2E9C-101B-9397-08002B2CF9AE}" pid="12" name="_ExtendedDescription">
    <vt:lpwstr/>
  </property>
</Properties>
</file>