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6614" w:rsidRPr="00922E95" w:rsidP="002E09F9" w14:paraId="59B11DAC" w14:textId="4488C3E0">
      <w:pPr>
        <w:spacing w:after="0"/>
        <w:jc w:val="center"/>
        <w:rPr>
          <w:rFonts w:ascii="Calibri" w:hAnsi="Calibri" w:cs="Calibri"/>
          <w:b/>
          <w:bCs/>
          <w:sz w:val="32"/>
          <w:szCs w:val="32"/>
        </w:rPr>
      </w:pPr>
      <w:r w:rsidRPr="00922E95">
        <w:rPr>
          <w:rFonts w:ascii="Calibri" w:hAnsi="Calibri" w:cs="Calibri"/>
          <w:b/>
          <w:bCs/>
          <w:sz w:val="32"/>
          <w:szCs w:val="32"/>
        </w:rPr>
        <w:t xml:space="preserve">Attachment </w:t>
      </w:r>
      <w:r w:rsidR="001F5FDA">
        <w:rPr>
          <w:rFonts w:ascii="Calibri" w:hAnsi="Calibri" w:cs="Calibri"/>
          <w:b/>
          <w:bCs/>
          <w:sz w:val="32"/>
          <w:szCs w:val="32"/>
        </w:rPr>
        <w:t>C</w:t>
      </w:r>
    </w:p>
    <w:p w:rsidR="002E09F9" w:rsidRPr="00922E95" w:rsidP="002E09F9" w14:paraId="0F64FA72" w14:textId="4FCAF023">
      <w:pPr>
        <w:spacing w:after="0"/>
        <w:jc w:val="center"/>
        <w:rPr>
          <w:rFonts w:ascii="Calibri" w:hAnsi="Calibri" w:cs="Calibri"/>
          <w:sz w:val="28"/>
          <w:szCs w:val="28"/>
        </w:rPr>
      </w:pPr>
      <w:r w:rsidRPr="00922E95">
        <w:rPr>
          <w:rFonts w:ascii="Calibri" w:hAnsi="Calibri" w:cs="Calibri"/>
          <w:sz w:val="28"/>
          <w:szCs w:val="28"/>
        </w:rPr>
        <w:t>Methodology and Data Used to Calculate Respondent Burdens and Costs and Estimated Wage Rates</w:t>
      </w:r>
    </w:p>
    <w:p w:rsidR="002E09F9" w:rsidRPr="00922E95" w:rsidP="002E09F9" w14:paraId="2BCDCA1C" w14:textId="77777777">
      <w:pPr>
        <w:spacing w:after="0"/>
        <w:jc w:val="center"/>
        <w:rPr>
          <w:rFonts w:ascii="Calibri" w:hAnsi="Calibri" w:cs="Calibri"/>
          <w:sz w:val="28"/>
          <w:szCs w:val="28"/>
        </w:rPr>
      </w:pPr>
    </w:p>
    <w:p w:rsidR="000A1B18" w:rsidRPr="00922E95" w:rsidP="000A1B18" w14:paraId="614B02B1" w14:textId="1BC113AD">
      <w:pPr>
        <w:rPr>
          <w:rFonts w:ascii="Calibri" w:hAnsi="Calibri" w:cs="Calibri"/>
        </w:rPr>
      </w:pPr>
      <w:r w:rsidRPr="00922E95">
        <w:rPr>
          <w:rFonts w:ascii="Calibri" w:hAnsi="Calibri" w:cs="Calibri"/>
        </w:rPr>
        <w:t xml:space="preserve">To calculate the full costs of the burden associated with compliance with the rule governing pesticide research that involves human subjects, OPP obtains unloaded hourly wage rates from the BLS National Industry-Specific Occupational Employment and Wage Estimates.  </w:t>
      </w:r>
      <w:r w:rsidRPr="00922E95" w:rsidR="00F55473">
        <w:rPr>
          <w:rFonts w:ascii="Calibri" w:hAnsi="Calibri" w:cs="Calibri"/>
        </w:rPr>
        <w:t>T</w:t>
      </w:r>
      <w:r w:rsidRPr="00922E95">
        <w:rPr>
          <w:rFonts w:ascii="Calibri" w:hAnsi="Calibri" w:cs="Calibri"/>
        </w:rPr>
        <w:t xml:space="preserve">he unloaded hourly wage </w:t>
      </w:r>
      <w:r w:rsidRPr="00922E95" w:rsidR="00F55473">
        <w:rPr>
          <w:rFonts w:ascii="Calibri" w:hAnsi="Calibri" w:cs="Calibri"/>
        </w:rPr>
        <w:t xml:space="preserve">is multiplied </w:t>
      </w:r>
      <w:r w:rsidRPr="00922E95">
        <w:rPr>
          <w:rFonts w:ascii="Calibri" w:hAnsi="Calibri" w:cs="Calibri"/>
        </w:rPr>
        <w:t>by a benefits percentage factor to account for non-wage remuneration including leave, health benefits, and other compensation</w:t>
      </w:r>
      <w:r w:rsidRPr="00922E95" w:rsidR="00F55473">
        <w:rPr>
          <w:rFonts w:ascii="Calibri" w:hAnsi="Calibri" w:cs="Calibri"/>
        </w:rPr>
        <w:t xml:space="preserve"> to obtain the loaded hourly wage rate.  For all non-farm, nonfederal civilian employees, BLS estimates non-wage benefits to be 45.1 percent of wages</w:t>
      </w:r>
      <w:r w:rsidRPr="00922E95">
        <w:rPr>
          <w:rFonts w:ascii="Calibri" w:hAnsi="Calibri" w:cs="Calibri"/>
        </w:rPr>
        <w:t xml:space="preserve">.  </w:t>
      </w:r>
      <w:r w:rsidRPr="00922E95" w:rsidR="00F55473">
        <w:rPr>
          <w:rFonts w:ascii="Calibri" w:hAnsi="Calibri" w:cs="Calibri"/>
        </w:rPr>
        <w:t>Finally, the loaded hourly wage rate is multiplied by a percentage factor representing overhead costs of labor, such as office space and equipment, to obtain the fully loaded hourly wage rate.  Following EPA guidelines that overhead ranges between 20 and 70 percent of the loaded wage rate, uses an overhead factor of 50 percent.</w:t>
      </w:r>
    </w:p>
    <w:p w:rsidR="00F55473" w:rsidRPr="00922E95" w:rsidP="00AC50C1" w14:paraId="3713D701" w14:textId="04ADE70D">
      <w:pPr>
        <w:spacing w:after="0"/>
        <w:rPr>
          <w:rFonts w:ascii="Calibri" w:hAnsi="Calibri" w:cs="Calibri"/>
        </w:rPr>
      </w:pPr>
      <w:r w:rsidRPr="00922E95">
        <w:rPr>
          <w:rFonts w:ascii="Calibri" w:hAnsi="Calibri" w:cs="Calibri"/>
        </w:rPr>
        <w:t xml:space="preserve">For entities submitting information about studies involving human subjects, </w:t>
      </w:r>
      <w:r w:rsidRPr="00922E95" w:rsidR="00C70392">
        <w:rPr>
          <w:rFonts w:ascii="Calibri" w:hAnsi="Calibri" w:cs="Calibri"/>
        </w:rPr>
        <w:t xml:space="preserve">OPP obtains wages for employment within the North American Industry Classification System (NAICS) </w:t>
      </w:r>
      <w:r w:rsidRPr="00922E95" w:rsidR="00682313">
        <w:rPr>
          <w:rFonts w:ascii="Calibri" w:hAnsi="Calibri" w:cs="Calibri"/>
        </w:rPr>
        <w:t xml:space="preserve">category </w:t>
      </w:r>
      <w:r w:rsidRPr="00922E95" w:rsidR="00C70392">
        <w:rPr>
          <w:rFonts w:ascii="Calibri" w:hAnsi="Calibri" w:cs="Calibri"/>
        </w:rPr>
        <w:t>for Research and Development in the Physical, Engineering, and Life Sciences, NAICS 541710.  Standard Occupational Codes for the relevant categories are:</w:t>
      </w:r>
    </w:p>
    <w:p w:rsidR="00C70392" w:rsidRPr="00922E95" w:rsidP="00C70392" w14:paraId="29AB8B20" w14:textId="77777777">
      <w:pPr>
        <w:pStyle w:val="ListParagraph"/>
        <w:numPr>
          <w:ilvl w:val="0"/>
          <w:numId w:val="5"/>
        </w:numPr>
        <w:spacing w:after="0" w:line="240" w:lineRule="auto"/>
        <w:rPr>
          <w:rFonts w:ascii="Calibri" w:hAnsi="Calibri" w:cs="Calibri"/>
        </w:rPr>
      </w:pPr>
      <w:r w:rsidRPr="00922E95">
        <w:rPr>
          <w:rFonts w:ascii="Calibri" w:hAnsi="Calibri" w:cs="Calibri"/>
        </w:rPr>
        <w:t>Management – 11-0000, Management Occupations</w:t>
      </w:r>
    </w:p>
    <w:p w:rsidR="00C70392" w:rsidRPr="00922E95" w:rsidP="00C70392" w14:paraId="20A562CB" w14:textId="77777777">
      <w:pPr>
        <w:pStyle w:val="ListParagraph"/>
        <w:numPr>
          <w:ilvl w:val="0"/>
          <w:numId w:val="5"/>
        </w:numPr>
        <w:spacing w:after="0" w:line="240" w:lineRule="auto"/>
        <w:rPr>
          <w:rFonts w:ascii="Calibri" w:hAnsi="Calibri" w:cs="Calibri"/>
        </w:rPr>
      </w:pPr>
      <w:r w:rsidRPr="00922E95">
        <w:rPr>
          <w:rFonts w:ascii="Calibri" w:hAnsi="Calibri" w:cs="Calibri"/>
        </w:rPr>
        <w:t>Technical – 19-0000, Life, Physical, and Social Science Occupations</w:t>
      </w:r>
    </w:p>
    <w:p w:rsidR="00C70392" w:rsidRPr="00922E95" w:rsidP="00C70392" w14:paraId="796A29E0" w14:textId="77777777">
      <w:pPr>
        <w:pStyle w:val="ListParagraph"/>
        <w:numPr>
          <w:ilvl w:val="0"/>
          <w:numId w:val="5"/>
        </w:numPr>
        <w:spacing w:after="0" w:line="240" w:lineRule="auto"/>
        <w:rPr>
          <w:rFonts w:ascii="Calibri" w:hAnsi="Calibri" w:cs="Calibri"/>
        </w:rPr>
      </w:pPr>
      <w:r w:rsidRPr="00922E95">
        <w:rPr>
          <w:rFonts w:ascii="Calibri" w:hAnsi="Calibri" w:cs="Calibri"/>
        </w:rPr>
        <w:t>Clerical – 43-0000, Office and Administrative Support Occupations</w:t>
      </w:r>
    </w:p>
    <w:p w:rsidR="00C70392" w:rsidRPr="00922E95" w:rsidP="000A1B18" w14:paraId="0A6CEBC1" w14:textId="77777777">
      <w:pPr>
        <w:rPr>
          <w:rFonts w:ascii="Calibri" w:hAnsi="Calibri" w:cs="Calibri"/>
        </w:rPr>
      </w:pPr>
    </w:p>
    <w:p w:rsidR="002E09F9" w:rsidRPr="00922E95" w:rsidP="002E09F9" w14:paraId="3CFED9BB" w14:textId="0B42F7B7">
      <w:pPr>
        <w:spacing w:after="0"/>
        <w:rPr>
          <w:rFonts w:ascii="Calibri" w:hAnsi="Calibri" w:cs="Calibri"/>
          <w:b/>
          <w:bCs/>
          <w:sz w:val="56"/>
          <w:szCs w:val="56"/>
        </w:rPr>
      </w:pPr>
      <w:r w:rsidRPr="00922E95">
        <w:rPr>
          <w:rFonts w:ascii="Calibri" w:hAnsi="Calibri" w:cs="Calibri"/>
          <w:b/>
          <w:bCs/>
          <w:sz w:val="36"/>
          <w:szCs w:val="36"/>
        </w:rPr>
        <w:t xml:space="preserve">Wages, </w:t>
      </w:r>
      <w:r w:rsidRPr="00922E95">
        <w:rPr>
          <w:rFonts w:ascii="Calibri" w:hAnsi="Calibri" w:cs="Calibri"/>
          <w:b/>
          <w:bCs/>
          <w:sz w:val="36"/>
          <w:szCs w:val="36"/>
        </w:rPr>
        <w:t>NAICS - 541710</w:t>
      </w:r>
    </w:p>
    <w:tbl>
      <w:tblPr>
        <w:tblStyle w:val="TableGrid"/>
        <w:tblW w:w="9360" w:type="dxa"/>
        <w:tblLook w:val="04A0"/>
      </w:tblPr>
      <w:tblGrid>
        <w:gridCol w:w="2723"/>
        <w:gridCol w:w="2599"/>
        <w:gridCol w:w="2197"/>
        <w:gridCol w:w="1841"/>
      </w:tblGrid>
      <w:tr w14:paraId="34F01360" w14:textId="77777777" w:rsidTr="001A3157">
        <w:tblPrEx>
          <w:tblW w:w="9360" w:type="dxa"/>
          <w:tblLook w:val="04A0"/>
        </w:tblPrEx>
        <w:tc>
          <w:tcPr>
            <w:tcW w:w="2723" w:type="dxa"/>
            <w:vMerge w:val="restart"/>
            <w:vAlign w:val="bottom"/>
          </w:tcPr>
          <w:p w:rsidR="001A3157" w:rsidRPr="00922E95" w:rsidP="001A3157" w14:paraId="19E2E9D4" w14:textId="39E2A4A7">
            <w:pPr>
              <w:rPr>
                <w:rFonts w:ascii="Calibri" w:hAnsi="Calibri" w:cs="Calibri"/>
              </w:rPr>
            </w:pPr>
            <w:r w:rsidRPr="00922E95">
              <w:rPr>
                <w:rFonts w:ascii="Calibri" w:hAnsi="Calibri" w:cs="Calibri"/>
              </w:rPr>
              <w:t>Wage</w:t>
            </w:r>
          </w:p>
        </w:tc>
        <w:tc>
          <w:tcPr>
            <w:tcW w:w="6637" w:type="dxa"/>
            <w:gridSpan w:val="3"/>
          </w:tcPr>
          <w:p w:rsidR="001A3157" w:rsidRPr="00922E95" w:rsidP="002706AA" w14:paraId="52237298" w14:textId="025386B1">
            <w:pPr>
              <w:jc w:val="center"/>
              <w:rPr>
                <w:rFonts w:ascii="Calibri" w:hAnsi="Calibri" w:cs="Calibri"/>
              </w:rPr>
            </w:pPr>
            <w:r w:rsidRPr="00922E95">
              <w:rPr>
                <w:rFonts w:ascii="Calibri" w:hAnsi="Calibri" w:cs="Calibri"/>
              </w:rPr>
              <w:t>Labor Category</w:t>
            </w:r>
          </w:p>
        </w:tc>
      </w:tr>
      <w:tr w14:paraId="7DC48612" w14:textId="77777777" w:rsidTr="001A3157">
        <w:tblPrEx>
          <w:tblW w:w="9360" w:type="dxa"/>
          <w:tblLook w:val="04A0"/>
        </w:tblPrEx>
        <w:tc>
          <w:tcPr>
            <w:tcW w:w="2723" w:type="dxa"/>
            <w:vMerge/>
            <w:tcBorders>
              <w:bottom w:val="double" w:sz="4" w:space="0" w:color="auto"/>
            </w:tcBorders>
          </w:tcPr>
          <w:p w:rsidR="001A3157" w:rsidRPr="00922E95" w:rsidP="002E09F9" w14:paraId="6B10C011" w14:textId="6595AB89">
            <w:pPr>
              <w:rPr>
                <w:rFonts w:ascii="Calibri" w:hAnsi="Calibri" w:cs="Calibri"/>
              </w:rPr>
            </w:pPr>
          </w:p>
        </w:tc>
        <w:tc>
          <w:tcPr>
            <w:tcW w:w="2599" w:type="dxa"/>
            <w:tcBorders>
              <w:bottom w:val="double" w:sz="4" w:space="0" w:color="auto"/>
            </w:tcBorders>
            <w:vAlign w:val="bottom"/>
          </w:tcPr>
          <w:p w:rsidR="001A3157" w:rsidRPr="00922E95" w:rsidP="001A3157" w14:paraId="6814A929" w14:textId="70E08AC9">
            <w:pPr>
              <w:jc w:val="center"/>
              <w:rPr>
                <w:rFonts w:ascii="Calibri" w:hAnsi="Calibri" w:cs="Calibri"/>
                <w:sz w:val="28"/>
                <w:szCs w:val="28"/>
              </w:rPr>
            </w:pPr>
            <w:r w:rsidRPr="00922E95">
              <w:rPr>
                <w:rFonts w:ascii="Calibri" w:hAnsi="Calibri" w:cs="Calibri"/>
              </w:rPr>
              <w:t>Managerial</w:t>
            </w:r>
          </w:p>
        </w:tc>
        <w:tc>
          <w:tcPr>
            <w:tcW w:w="2197" w:type="dxa"/>
            <w:tcBorders>
              <w:bottom w:val="double" w:sz="4" w:space="0" w:color="auto"/>
            </w:tcBorders>
            <w:vAlign w:val="bottom"/>
          </w:tcPr>
          <w:p w:rsidR="001A3157" w:rsidRPr="00922E95" w:rsidP="001A3157" w14:paraId="57A63C95" w14:textId="3D796E97">
            <w:pPr>
              <w:jc w:val="center"/>
              <w:rPr>
                <w:rFonts w:ascii="Calibri" w:hAnsi="Calibri" w:cs="Calibri"/>
                <w:sz w:val="28"/>
                <w:szCs w:val="28"/>
              </w:rPr>
            </w:pPr>
            <w:r w:rsidRPr="00922E95">
              <w:rPr>
                <w:rFonts w:ascii="Calibri" w:hAnsi="Calibri" w:cs="Calibri"/>
              </w:rPr>
              <w:t>Technical</w:t>
            </w:r>
          </w:p>
        </w:tc>
        <w:tc>
          <w:tcPr>
            <w:tcW w:w="1841" w:type="dxa"/>
            <w:tcBorders>
              <w:bottom w:val="double" w:sz="4" w:space="0" w:color="auto"/>
            </w:tcBorders>
            <w:vAlign w:val="bottom"/>
          </w:tcPr>
          <w:p w:rsidR="001A3157" w:rsidRPr="00922E95" w:rsidP="001A3157" w14:paraId="55E2EDAA" w14:textId="54820E3A">
            <w:pPr>
              <w:jc w:val="center"/>
              <w:rPr>
                <w:rFonts w:ascii="Calibri" w:hAnsi="Calibri" w:cs="Calibri"/>
                <w:sz w:val="28"/>
                <w:szCs w:val="28"/>
              </w:rPr>
            </w:pPr>
            <w:r w:rsidRPr="00922E95">
              <w:rPr>
                <w:rFonts w:ascii="Calibri" w:hAnsi="Calibri" w:cs="Calibri"/>
              </w:rPr>
              <w:t>Clerical</w:t>
            </w:r>
          </w:p>
        </w:tc>
      </w:tr>
      <w:tr w14:paraId="39632917" w14:textId="77777777" w:rsidTr="001A3157">
        <w:tblPrEx>
          <w:tblW w:w="9360" w:type="dxa"/>
          <w:tblLook w:val="04A0"/>
        </w:tblPrEx>
        <w:tc>
          <w:tcPr>
            <w:tcW w:w="2723" w:type="dxa"/>
            <w:tcBorders>
              <w:top w:val="double" w:sz="4" w:space="0" w:color="auto"/>
              <w:bottom w:val="single" w:sz="4" w:space="0" w:color="auto"/>
            </w:tcBorders>
          </w:tcPr>
          <w:p w:rsidR="001A3157" w:rsidRPr="00922E95" w:rsidP="002E09F9" w14:paraId="77584F48" w14:textId="2B23689E">
            <w:pPr>
              <w:rPr>
                <w:rFonts w:ascii="Calibri" w:hAnsi="Calibri" w:cs="Calibri"/>
                <w:sz w:val="28"/>
                <w:szCs w:val="28"/>
              </w:rPr>
            </w:pPr>
            <w:r w:rsidRPr="00922E95">
              <w:rPr>
                <w:rFonts w:ascii="Calibri" w:hAnsi="Calibri" w:cs="Calibri"/>
              </w:rPr>
              <w:t xml:space="preserve">Unloaded Hourly Rate </w:t>
            </w:r>
            <w:r w:rsidRPr="00922E95">
              <w:rPr>
                <w:rFonts w:ascii="Calibri" w:hAnsi="Calibri" w:cs="Calibri"/>
                <w:vertAlign w:val="superscript"/>
              </w:rPr>
              <w:t>1</w:t>
            </w:r>
          </w:p>
        </w:tc>
        <w:tc>
          <w:tcPr>
            <w:tcW w:w="2599" w:type="dxa"/>
            <w:tcBorders>
              <w:top w:val="double" w:sz="4" w:space="0" w:color="auto"/>
              <w:bottom w:val="single" w:sz="4" w:space="0" w:color="auto"/>
            </w:tcBorders>
          </w:tcPr>
          <w:p w:rsidR="001A3157" w:rsidRPr="00922E95" w:rsidP="001A3157" w14:paraId="4F562758" w14:textId="54616987">
            <w:pPr>
              <w:tabs>
                <w:tab w:val="decimal" w:pos="1378"/>
              </w:tabs>
              <w:rPr>
                <w:rFonts w:ascii="Calibri" w:hAnsi="Calibri" w:cs="Calibri"/>
                <w:sz w:val="28"/>
                <w:szCs w:val="28"/>
              </w:rPr>
            </w:pPr>
            <w:r w:rsidRPr="00922E95">
              <w:rPr>
                <w:rFonts w:ascii="Calibri" w:hAnsi="Calibri" w:cs="Calibri"/>
              </w:rPr>
              <w:t>$102.86</w:t>
            </w:r>
          </w:p>
        </w:tc>
        <w:tc>
          <w:tcPr>
            <w:tcW w:w="2197" w:type="dxa"/>
            <w:tcBorders>
              <w:top w:val="double" w:sz="4" w:space="0" w:color="auto"/>
              <w:bottom w:val="single" w:sz="4" w:space="0" w:color="auto"/>
            </w:tcBorders>
          </w:tcPr>
          <w:p w:rsidR="001A3157" w:rsidRPr="00922E95" w:rsidP="001A3157" w14:paraId="51A2C122" w14:textId="649DDD12">
            <w:pPr>
              <w:tabs>
                <w:tab w:val="decimal" w:pos="1165"/>
              </w:tabs>
              <w:rPr>
                <w:rFonts w:ascii="Calibri" w:hAnsi="Calibri" w:cs="Calibri"/>
                <w:sz w:val="28"/>
                <w:szCs w:val="28"/>
              </w:rPr>
            </w:pPr>
            <w:r w:rsidRPr="00922E95">
              <w:rPr>
                <w:rFonts w:ascii="Calibri" w:hAnsi="Calibri" w:cs="Calibri"/>
              </w:rPr>
              <w:t>$51.89</w:t>
            </w:r>
          </w:p>
        </w:tc>
        <w:tc>
          <w:tcPr>
            <w:tcW w:w="1841" w:type="dxa"/>
            <w:tcBorders>
              <w:top w:val="double" w:sz="4" w:space="0" w:color="auto"/>
              <w:bottom w:val="single" w:sz="4" w:space="0" w:color="auto"/>
            </w:tcBorders>
          </w:tcPr>
          <w:p w:rsidR="001A3157" w:rsidRPr="00922E95" w:rsidP="001A3157" w14:paraId="16F7BEE6" w14:textId="1C63BF83">
            <w:pPr>
              <w:tabs>
                <w:tab w:val="decimal" w:pos="914"/>
              </w:tabs>
              <w:rPr>
                <w:rFonts w:ascii="Calibri" w:hAnsi="Calibri" w:cs="Calibri"/>
                <w:sz w:val="28"/>
                <w:szCs w:val="28"/>
              </w:rPr>
            </w:pPr>
            <w:r w:rsidRPr="00922E95">
              <w:rPr>
                <w:rFonts w:ascii="Calibri" w:hAnsi="Calibri" w:cs="Calibri"/>
              </w:rPr>
              <w:t>$32.87</w:t>
            </w:r>
          </w:p>
        </w:tc>
      </w:tr>
      <w:tr w14:paraId="35F8BFCB" w14:textId="77777777" w:rsidTr="001A3157">
        <w:tblPrEx>
          <w:tblW w:w="9360" w:type="dxa"/>
          <w:tblLook w:val="04A0"/>
        </w:tblPrEx>
        <w:tc>
          <w:tcPr>
            <w:tcW w:w="2723" w:type="dxa"/>
            <w:tcBorders>
              <w:bottom w:val="single" w:sz="12" w:space="0" w:color="auto"/>
            </w:tcBorders>
          </w:tcPr>
          <w:p w:rsidR="001A3157" w:rsidRPr="00922E95" w:rsidP="002E09F9" w14:paraId="4835D5E0" w14:textId="67660F9E">
            <w:pPr>
              <w:rPr>
                <w:rFonts w:ascii="Calibri" w:hAnsi="Calibri" w:cs="Calibri"/>
                <w:sz w:val="28"/>
                <w:szCs w:val="28"/>
              </w:rPr>
            </w:pPr>
            <w:r w:rsidRPr="00922E95">
              <w:rPr>
                <w:rFonts w:ascii="Calibri" w:hAnsi="Calibri" w:cs="Calibri"/>
              </w:rPr>
              <w:t xml:space="preserve">Benefits per hour </w:t>
            </w:r>
            <w:r w:rsidRPr="00922E95">
              <w:rPr>
                <w:rFonts w:ascii="Calibri" w:hAnsi="Calibri" w:cs="Calibri"/>
                <w:vertAlign w:val="superscript"/>
              </w:rPr>
              <w:t>2</w:t>
            </w:r>
          </w:p>
        </w:tc>
        <w:tc>
          <w:tcPr>
            <w:tcW w:w="2599" w:type="dxa"/>
            <w:tcBorders>
              <w:bottom w:val="single" w:sz="12" w:space="0" w:color="auto"/>
            </w:tcBorders>
          </w:tcPr>
          <w:p w:rsidR="001A3157" w:rsidRPr="00922E95" w:rsidP="001A3157" w14:paraId="3C86D290" w14:textId="39B6BEBC">
            <w:pPr>
              <w:tabs>
                <w:tab w:val="decimal" w:pos="1378"/>
              </w:tabs>
              <w:rPr>
                <w:rFonts w:ascii="Calibri" w:hAnsi="Calibri" w:cs="Calibri"/>
                <w:sz w:val="28"/>
                <w:szCs w:val="28"/>
              </w:rPr>
            </w:pPr>
            <w:r w:rsidRPr="00922E95">
              <w:rPr>
                <w:rFonts w:ascii="Calibri" w:hAnsi="Calibri" w:cs="Calibri"/>
              </w:rPr>
              <w:t>$46.43</w:t>
            </w:r>
          </w:p>
        </w:tc>
        <w:tc>
          <w:tcPr>
            <w:tcW w:w="2197" w:type="dxa"/>
            <w:tcBorders>
              <w:bottom w:val="single" w:sz="12" w:space="0" w:color="auto"/>
            </w:tcBorders>
          </w:tcPr>
          <w:p w:rsidR="001A3157" w:rsidRPr="00922E95" w:rsidP="001A3157" w14:paraId="50A7F803" w14:textId="0C596F7E">
            <w:pPr>
              <w:tabs>
                <w:tab w:val="decimal" w:pos="1165"/>
              </w:tabs>
              <w:rPr>
                <w:rFonts w:ascii="Calibri" w:hAnsi="Calibri" w:cs="Calibri"/>
                <w:sz w:val="28"/>
                <w:szCs w:val="28"/>
              </w:rPr>
            </w:pPr>
            <w:r w:rsidRPr="00922E95">
              <w:rPr>
                <w:rFonts w:ascii="Calibri" w:hAnsi="Calibri" w:cs="Calibri"/>
              </w:rPr>
              <w:t>$23.42</w:t>
            </w:r>
          </w:p>
        </w:tc>
        <w:tc>
          <w:tcPr>
            <w:tcW w:w="1841" w:type="dxa"/>
            <w:tcBorders>
              <w:bottom w:val="single" w:sz="12" w:space="0" w:color="auto"/>
            </w:tcBorders>
          </w:tcPr>
          <w:p w:rsidR="001A3157" w:rsidRPr="00922E95" w:rsidP="001A3157" w14:paraId="16C8F201" w14:textId="3B449FA7">
            <w:pPr>
              <w:tabs>
                <w:tab w:val="decimal" w:pos="914"/>
              </w:tabs>
              <w:rPr>
                <w:rFonts w:ascii="Calibri" w:hAnsi="Calibri" w:cs="Calibri"/>
                <w:sz w:val="28"/>
                <w:szCs w:val="28"/>
              </w:rPr>
            </w:pPr>
            <w:r w:rsidRPr="00922E95">
              <w:rPr>
                <w:rFonts w:ascii="Calibri" w:hAnsi="Calibri" w:cs="Calibri"/>
              </w:rPr>
              <w:t>$14.84</w:t>
            </w:r>
          </w:p>
        </w:tc>
      </w:tr>
      <w:tr w14:paraId="5C1B6BF0" w14:textId="77777777" w:rsidTr="001A3157">
        <w:tblPrEx>
          <w:tblW w:w="9360" w:type="dxa"/>
          <w:tblLook w:val="04A0"/>
        </w:tblPrEx>
        <w:tc>
          <w:tcPr>
            <w:tcW w:w="2723" w:type="dxa"/>
            <w:tcBorders>
              <w:top w:val="single" w:sz="12" w:space="0" w:color="auto"/>
              <w:bottom w:val="single" w:sz="4" w:space="0" w:color="auto"/>
            </w:tcBorders>
          </w:tcPr>
          <w:p w:rsidR="001A3157" w:rsidRPr="00922E95" w:rsidP="002E09F9" w14:paraId="22E2A7C3" w14:textId="2FE5616E">
            <w:pPr>
              <w:rPr>
                <w:rFonts w:ascii="Calibri" w:hAnsi="Calibri" w:cs="Calibri"/>
                <w:sz w:val="28"/>
                <w:szCs w:val="28"/>
              </w:rPr>
            </w:pPr>
            <w:r w:rsidRPr="00922E95">
              <w:rPr>
                <w:rFonts w:ascii="Calibri" w:hAnsi="Calibri" w:cs="Calibri"/>
              </w:rPr>
              <w:t>Loaded Hourly Rate</w:t>
            </w:r>
          </w:p>
        </w:tc>
        <w:tc>
          <w:tcPr>
            <w:tcW w:w="2599" w:type="dxa"/>
            <w:tcBorders>
              <w:top w:val="single" w:sz="12" w:space="0" w:color="auto"/>
              <w:bottom w:val="single" w:sz="4" w:space="0" w:color="auto"/>
            </w:tcBorders>
          </w:tcPr>
          <w:p w:rsidR="001A3157" w:rsidRPr="00922E95" w:rsidP="001A3157" w14:paraId="09251BDB" w14:textId="52ADA3F5">
            <w:pPr>
              <w:tabs>
                <w:tab w:val="decimal" w:pos="1378"/>
              </w:tabs>
              <w:rPr>
                <w:rFonts w:ascii="Calibri" w:hAnsi="Calibri" w:cs="Calibri"/>
                <w:sz w:val="28"/>
                <w:szCs w:val="28"/>
              </w:rPr>
            </w:pPr>
            <w:r w:rsidRPr="00922E95">
              <w:rPr>
                <w:rFonts w:ascii="Calibri" w:hAnsi="Calibri" w:cs="Calibri"/>
              </w:rPr>
              <w:t>$149.29</w:t>
            </w:r>
          </w:p>
        </w:tc>
        <w:tc>
          <w:tcPr>
            <w:tcW w:w="2197" w:type="dxa"/>
            <w:tcBorders>
              <w:top w:val="single" w:sz="12" w:space="0" w:color="auto"/>
              <w:bottom w:val="single" w:sz="4" w:space="0" w:color="auto"/>
            </w:tcBorders>
          </w:tcPr>
          <w:p w:rsidR="001A3157" w:rsidRPr="00922E95" w:rsidP="001A3157" w14:paraId="7210C9D7" w14:textId="0F85634B">
            <w:pPr>
              <w:tabs>
                <w:tab w:val="decimal" w:pos="1165"/>
              </w:tabs>
              <w:rPr>
                <w:rFonts w:ascii="Calibri" w:hAnsi="Calibri" w:cs="Calibri"/>
                <w:sz w:val="28"/>
                <w:szCs w:val="28"/>
              </w:rPr>
            </w:pPr>
            <w:r w:rsidRPr="00922E95">
              <w:rPr>
                <w:rFonts w:ascii="Calibri" w:hAnsi="Calibri" w:cs="Calibri"/>
              </w:rPr>
              <w:t>$75.31</w:t>
            </w:r>
          </w:p>
        </w:tc>
        <w:tc>
          <w:tcPr>
            <w:tcW w:w="1841" w:type="dxa"/>
            <w:tcBorders>
              <w:top w:val="single" w:sz="12" w:space="0" w:color="auto"/>
              <w:bottom w:val="single" w:sz="4" w:space="0" w:color="auto"/>
            </w:tcBorders>
          </w:tcPr>
          <w:p w:rsidR="001A3157" w:rsidRPr="00922E95" w:rsidP="001A3157" w14:paraId="5CA90B17" w14:textId="40A820DE">
            <w:pPr>
              <w:tabs>
                <w:tab w:val="decimal" w:pos="914"/>
              </w:tabs>
              <w:rPr>
                <w:rFonts w:ascii="Calibri" w:hAnsi="Calibri" w:cs="Calibri"/>
                <w:sz w:val="28"/>
                <w:szCs w:val="28"/>
              </w:rPr>
            </w:pPr>
            <w:r w:rsidRPr="00922E95">
              <w:rPr>
                <w:rFonts w:ascii="Calibri" w:hAnsi="Calibri" w:cs="Calibri"/>
              </w:rPr>
              <w:t>$47.71</w:t>
            </w:r>
          </w:p>
        </w:tc>
      </w:tr>
      <w:tr w14:paraId="34E7E6EE" w14:textId="77777777" w:rsidTr="001A3157">
        <w:tblPrEx>
          <w:tblW w:w="9360" w:type="dxa"/>
          <w:tblLook w:val="04A0"/>
        </w:tblPrEx>
        <w:tc>
          <w:tcPr>
            <w:tcW w:w="2723" w:type="dxa"/>
            <w:tcBorders>
              <w:bottom w:val="single" w:sz="12" w:space="0" w:color="auto"/>
            </w:tcBorders>
          </w:tcPr>
          <w:p w:rsidR="001A3157" w:rsidRPr="00922E95" w:rsidP="002E09F9" w14:paraId="5C4B5739" w14:textId="60F0C252">
            <w:pPr>
              <w:rPr>
                <w:rFonts w:ascii="Calibri" w:hAnsi="Calibri" w:cs="Calibri"/>
                <w:sz w:val="28"/>
                <w:szCs w:val="28"/>
              </w:rPr>
            </w:pPr>
            <w:r w:rsidRPr="00922E95">
              <w:rPr>
                <w:rFonts w:ascii="Calibri" w:hAnsi="Calibri" w:cs="Calibri"/>
              </w:rPr>
              <w:t xml:space="preserve">Overhead per hour </w:t>
            </w:r>
            <w:r w:rsidRPr="00922E95">
              <w:rPr>
                <w:rFonts w:ascii="Calibri" w:hAnsi="Calibri" w:cs="Calibri"/>
                <w:vertAlign w:val="superscript"/>
              </w:rPr>
              <w:t>3</w:t>
            </w:r>
          </w:p>
        </w:tc>
        <w:tc>
          <w:tcPr>
            <w:tcW w:w="2599" w:type="dxa"/>
            <w:tcBorders>
              <w:bottom w:val="single" w:sz="12" w:space="0" w:color="auto"/>
            </w:tcBorders>
          </w:tcPr>
          <w:p w:rsidR="001A3157" w:rsidRPr="00922E95" w:rsidP="001A3157" w14:paraId="1F6640EB" w14:textId="1793ABF9">
            <w:pPr>
              <w:tabs>
                <w:tab w:val="decimal" w:pos="1378"/>
              </w:tabs>
              <w:rPr>
                <w:rFonts w:ascii="Calibri" w:hAnsi="Calibri" w:cs="Calibri"/>
                <w:sz w:val="28"/>
                <w:szCs w:val="28"/>
              </w:rPr>
            </w:pPr>
            <w:r w:rsidRPr="00922E95">
              <w:rPr>
                <w:rFonts w:ascii="Calibri" w:hAnsi="Calibri" w:cs="Calibri"/>
              </w:rPr>
              <w:t>$74.65</w:t>
            </w:r>
          </w:p>
        </w:tc>
        <w:tc>
          <w:tcPr>
            <w:tcW w:w="2197" w:type="dxa"/>
            <w:tcBorders>
              <w:bottom w:val="single" w:sz="12" w:space="0" w:color="auto"/>
            </w:tcBorders>
          </w:tcPr>
          <w:p w:rsidR="001A3157" w:rsidRPr="00922E95" w:rsidP="001A3157" w14:paraId="01BC0040" w14:textId="2513630C">
            <w:pPr>
              <w:tabs>
                <w:tab w:val="decimal" w:pos="1165"/>
              </w:tabs>
              <w:rPr>
                <w:rFonts w:ascii="Calibri" w:hAnsi="Calibri" w:cs="Calibri"/>
                <w:sz w:val="28"/>
                <w:szCs w:val="28"/>
              </w:rPr>
            </w:pPr>
            <w:r w:rsidRPr="00922E95">
              <w:rPr>
                <w:rFonts w:ascii="Calibri" w:hAnsi="Calibri" w:cs="Calibri"/>
              </w:rPr>
              <w:t>$37.66</w:t>
            </w:r>
          </w:p>
        </w:tc>
        <w:tc>
          <w:tcPr>
            <w:tcW w:w="1841" w:type="dxa"/>
            <w:tcBorders>
              <w:bottom w:val="single" w:sz="12" w:space="0" w:color="auto"/>
            </w:tcBorders>
          </w:tcPr>
          <w:p w:rsidR="001A3157" w:rsidRPr="00922E95" w:rsidP="001A3157" w14:paraId="5FE02492" w14:textId="2D4767EB">
            <w:pPr>
              <w:tabs>
                <w:tab w:val="decimal" w:pos="914"/>
              </w:tabs>
              <w:rPr>
                <w:rFonts w:ascii="Calibri" w:hAnsi="Calibri" w:cs="Calibri"/>
                <w:sz w:val="28"/>
                <w:szCs w:val="28"/>
              </w:rPr>
            </w:pPr>
            <w:r w:rsidRPr="00922E95">
              <w:rPr>
                <w:rFonts w:ascii="Calibri" w:hAnsi="Calibri" w:cs="Calibri"/>
              </w:rPr>
              <w:t>$23.85</w:t>
            </w:r>
          </w:p>
        </w:tc>
      </w:tr>
      <w:tr w14:paraId="6D115318" w14:textId="77777777" w:rsidTr="001A3157">
        <w:tblPrEx>
          <w:tblW w:w="9360" w:type="dxa"/>
          <w:tblLook w:val="04A0"/>
        </w:tblPrEx>
        <w:tc>
          <w:tcPr>
            <w:tcW w:w="2723" w:type="dxa"/>
            <w:tcBorders>
              <w:top w:val="single" w:sz="12" w:space="0" w:color="auto"/>
            </w:tcBorders>
          </w:tcPr>
          <w:p w:rsidR="001A3157" w:rsidRPr="00922E95" w:rsidP="002E09F9" w14:paraId="3F9315E6" w14:textId="44807362">
            <w:pPr>
              <w:rPr>
                <w:rFonts w:ascii="Calibri" w:hAnsi="Calibri" w:cs="Calibri"/>
                <w:sz w:val="28"/>
                <w:szCs w:val="28"/>
              </w:rPr>
            </w:pPr>
            <w:r w:rsidRPr="00922E95">
              <w:rPr>
                <w:rFonts w:ascii="Calibri" w:hAnsi="Calibri" w:cs="Calibri"/>
              </w:rPr>
              <w:t>Fully Loaded Hourly Rate</w:t>
            </w:r>
          </w:p>
        </w:tc>
        <w:tc>
          <w:tcPr>
            <w:tcW w:w="2599" w:type="dxa"/>
            <w:tcBorders>
              <w:top w:val="single" w:sz="12" w:space="0" w:color="auto"/>
            </w:tcBorders>
          </w:tcPr>
          <w:p w:rsidR="001A3157" w:rsidRPr="00922E95" w:rsidP="001A3157" w14:paraId="2A779F16" w14:textId="276A7DDC">
            <w:pPr>
              <w:tabs>
                <w:tab w:val="decimal" w:pos="1378"/>
              </w:tabs>
              <w:rPr>
                <w:rFonts w:ascii="Calibri" w:hAnsi="Calibri" w:cs="Calibri"/>
                <w:sz w:val="28"/>
                <w:szCs w:val="28"/>
              </w:rPr>
            </w:pPr>
            <w:r w:rsidRPr="00922E95">
              <w:rPr>
                <w:rFonts w:ascii="Calibri" w:hAnsi="Calibri" w:cs="Calibri"/>
              </w:rPr>
              <w:t>$223.94</w:t>
            </w:r>
          </w:p>
        </w:tc>
        <w:tc>
          <w:tcPr>
            <w:tcW w:w="2197" w:type="dxa"/>
            <w:tcBorders>
              <w:top w:val="single" w:sz="12" w:space="0" w:color="auto"/>
            </w:tcBorders>
          </w:tcPr>
          <w:p w:rsidR="001A3157" w:rsidRPr="00922E95" w:rsidP="001A3157" w14:paraId="1A0B9C47" w14:textId="1A7B0ADF">
            <w:pPr>
              <w:tabs>
                <w:tab w:val="decimal" w:pos="1165"/>
              </w:tabs>
              <w:rPr>
                <w:rFonts w:ascii="Calibri" w:hAnsi="Calibri" w:cs="Calibri"/>
                <w:sz w:val="28"/>
                <w:szCs w:val="28"/>
              </w:rPr>
            </w:pPr>
            <w:r w:rsidRPr="00922E95">
              <w:rPr>
                <w:rFonts w:ascii="Calibri" w:hAnsi="Calibri" w:cs="Calibri"/>
              </w:rPr>
              <w:t>$112.97</w:t>
            </w:r>
          </w:p>
        </w:tc>
        <w:tc>
          <w:tcPr>
            <w:tcW w:w="1841" w:type="dxa"/>
            <w:tcBorders>
              <w:top w:val="single" w:sz="12" w:space="0" w:color="auto"/>
            </w:tcBorders>
          </w:tcPr>
          <w:p w:rsidR="001A3157" w:rsidRPr="00922E95" w:rsidP="001A3157" w14:paraId="422A5525" w14:textId="2DFE6CCA">
            <w:pPr>
              <w:tabs>
                <w:tab w:val="decimal" w:pos="914"/>
              </w:tabs>
              <w:rPr>
                <w:rFonts w:ascii="Calibri" w:hAnsi="Calibri" w:cs="Calibri"/>
                <w:sz w:val="28"/>
                <w:szCs w:val="28"/>
              </w:rPr>
            </w:pPr>
            <w:r w:rsidRPr="00922E95">
              <w:rPr>
                <w:rFonts w:ascii="Calibri" w:hAnsi="Calibri" w:cs="Calibri"/>
              </w:rPr>
              <w:t>$71.56</w:t>
            </w:r>
          </w:p>
        </w:tc>
      </w:tr>
    </w:tbl>
    <w:p w:rsidR="002E09F9" w:rsidRPr="00922E95" w:rsidP="002E09F9" w14:paraId="7F5AAAAA" w14:textId="62D98B5C">
      <w:pPr>
        <w:pStyle w:val="ListParagraph"/>
        <w:numPr>
          <w:ilvl w:val="0"/>
          <w:numId w:val="3"/>
        </w:numPr>
        <w:spacing w:after="0"/>
        <w:rPr>
          <w:rFonts w:ascii="Calibri" w:hAnsi="Calibri" w:cs="Calibri"/>
          <w:b/>
          <w:bCs/>
          <w:sz w:val="16"/>
          <w:szCs w:val="16"/>
        </w:rPr>
      </w:pPr>
      <w:r w:rsidRPr="00922E95">
        <w:rPr>
          <w:rFonts w:ascii="Calibri" w:hAnsi="Calibri" w:cs="Calibri"/>
          <w:sz w:val="16"/>
          <w:szCs w:val="16"/>
        </w:rPr>
        <w:t xml:space="preserve">Source: BLS </w:t>
      </w:r>
      <w:hyperlink r:id="rId8" w:anchor="/industry/541710" w:history="1">
        <w:r w:rsidRPr="00922E95">
          <w:rPr>
            <w:rStyle w:val="Hyperlink"/>
            <w:rFonts w:ascii="Calibri" w:hAnsi="Calibri" w:cs="Calibri"/>
            <w:sz w:val="16"/>
            <w:szCs w:val="16"/>
          </w:rPr>
          <w:t>https://data.bls.gov/oes/#/industry/541710</w:t>
        </w:r>
      </w:hyperlink>
      <w:r w:rsidRPr="00922E95">
        <w:rPr>
          <w:rFonts w:ascii="Calibri" w:hAnsi="Calibri" w:cs="Calibri"/>
          <w:sz w:val="16"/>
          <w:szCs w:val="16"/>
        </w:rPr>
        <w:t xml:space="preserve">  </w:t>
      </w:r>
      <w:r w:rsidRPr="00922E95">
        <w:rPr>
          <w:rFonts w:ascii="Calibri" w:hAnsi="Calibri" w:cs="Calibri"/>
          <w:b/>
          <w:bCs/>
          <w:sz w:val="16"/>
          <w:szCs w:val="16"/>
        </w:rPr>
        <w:t>(MAY 2024 Data) Last modified: April 2, 2025</w:t>
      </w:r>
    </w:p>
    <w:p w:rsidR="002E09F9" w:rsidRPr="00922E95" w:rsidP="002E09F9" w14:paraId="2D3188EA" w14:textId="35D92059">
      <w:pPr>
        <w:spacing w:after="0"/>
        <w:rPr>
          <w:rFonts w:ascii="Calibri" w:hAnsi="Calibri" w:cs="Calibri"/>
          <w:sz w:val="16"/>
          <w:szCs w:val="16"/>
        </w:rPr>
      </w:pPr>
      <w:r w:rsidRPr="00922E95">
        <w:rPr>
          <w:rFonts w:ascii="Calibri" w:hAnsi="Calibri" w:cs="Calibri"/>
          <w:sz w:val="16"/>
          <w:szCs w:val="16"/>
        </w:rPr>
        <w:t xml:space="preserve">NAICS - 541710 </w:t>
      </w:r>
      <w:bookmarkStart w:id="0" w:name="_Hlk202269136"/>
      <w:r w:rsidRPr="00922E95">
        <w:rPr>
          <w:rFonts w:ascii="Calibri" w:hAnsi="Calibri" w:cs="Calibri"/>
          <w:sz w:val="16"/>
          <w:szCs w:val="16"/>
        </w:rPr>
        <w:t>Research and Development in the Physical, Engineering, and Life Sciences</w:t>
      </w:r>
      <w:bookmarkEnd w:id="0"/>
    </w:p>
    <w:p w:rsidR="002E09F9" w:rsidRPr="00922E95" w:rsidP="002E09F9" w14:paraId="68DE2896" w14:textId="7518AD59">
      <w:pPr>
        <w:spacing w:after="0"/>
        <w:rPr>
          <w:rFonts w:ascii="Calibri" w:hAnsi="Calibri" w:cs="Calibri"/>
          <w:sz w:val="16"/>
          <w:szCs w:val="16"/>
        </w:rPr>
      </w:pPr>
      <w:r w:rsidRPr="00922E95">
        <w:rPr>
          <w:rFonts w:ascii="Calibri" w:hAnsi="Calibri" w:cs="Calibri"/>
          <w:sz w:val="16"/>
          <w:szCs w:val="16"/>
        </w:rPr>
        <w:t>Standard Occupational Codes:</w:t>
      </w:r>
    </w:p>
    <w:p w:rsidR="002E09F9" w:rsidRPr="00922E95" w:rsidP="002E09F9" w14:paraId="185E6335" w14:textId="2A83C9DE">
      <w:pPr>
        <w:spacing w:after="0"/>
        <w:rPr>
          <w:rFonts w:ascii="Calibri" w:hAnsi="Calibri" w:cs="Calibri"/>
          <w:sz w:val="16"/>
          <w:szCs w:val="16"/>
        </w:rPr>
      </w:pPr>
      <w:r w:rsidRPr="00922E95">
        <w:rPr>
          <w:rFonts w:ascii="Calibri" w:hAnsi="Calibri" w:cs="Calibri"/>
          <w:sz w:val="16"/>
          <w:szCs w:val="16"/>
        </w:rPr>
        <w:t>Management – 11-0000, Management Occupations</w:t>
      </w:r>
    </w:p>
    <w:p w:rsidR="002E09F9" w:rsidRPr="00922E95" w:rsidP="002E09F9" w14:paraId="1B28CFB5" w14:textId="33533A49">
      <w:pPr>
        <w:spacing w:after="0"/>
        <w:rPr>
          <w:rFonts w:ascii="Calibri" w:hAnsi="Calibri" w:cs="Calibri"/>
          <w:sz w:val="16"/>
          <w:szCs w:val="16"/>
        </w:rPr>
      </w:pPr>
      <w:r w:rsidRPr="00922E95">
        <w:rPr>
          <w:rFonts w:ascii="Calibri" w:hAnsi="Calibri" w:cs="Calibri"/>
          <w:sz w:val="16"/>
          <w:szCs w:val="16"/>
        </w:rPr>
        <w:t>Technical – 19-0000, Life, Physical, and Social Science Occupations</w:t>
      </w:r>
    </w:p>
    <w:p w:rsidR="002E09F9" w:rsidRPr="00922E95" w:rsidP="002E09F9" w14:paraId="2E02AA58" w14:textId="3C0B2A1E">
      <w:pPr>
        <w:spacing w:after="0"/>
        <w:rPr>
          <w:rFonts w:ascii="Calibri" w:hAnsi="Calibri" w:cs="Calibri"/>
          <w:sz w:val="16"/>
          <w:szCs w:val="16"/>
        </w:rPr>
      </w:pPr>
      <w:r w:rsidRPr="00922E95">
        <w:rPr>
          <w:rFonts w:ascii="Calibri" w:hAnsi="Calibri" w:cs="Calibri"/>
          <w:sz w:val="16"/>
          <w:szCs w:val="16"/>
        </w:rPr>
        <w:t>Clerical – 43-0000, Office and Administrative Support Occupations</w:t>
      </w:r>
    </w:p>
    <w:p w:rsidR="002E09F9" w:rsidRPr="00922E95" w:rsidP="002E09F9" w14:paraId="14ECEE69" w14:textId="25CFACC3">
      <w:pPr>
        <w:pStyle w:val="ListParagraph"/>
        <w:numPr>
          <w:ilvl w:val="0"/>
          <w:numId w:val="3"/>
        </w:numPr>
        <w:spacing w:after="0"/>
        <w:rPr>
          <w:rFonts w:ascii="Calibri" w:hAnsi="Calibri" w:cs="Calibri"/>
          <w:sz w:val="16"/>
          <w:szCs w:val="16"/>
        </w:rPr>
      </w:pPr>
      <w:r w:rsidRPr="00922E95">
        <w:rPr>
          <w:rFonts w:ascii="Calibri" w:hAnsi="Calibri" w:cs="Calibri"/>
          <w:sz w:val="16"/>
          <w:szCs w:val="16"/>
        </w:rPr>
        <w:t xml:space="preserve">The average </w:t>
      </w:r>
      <w:r w:rsidRPr="00922E95" w:rsidR="001A3157">
        <w:rPr>
          <w:rFonts w:ascii="Calibri" w:hAnsi="Calibri" w:cs="Calibri"/>
          <w:sz w:val="16"/>
          <w:szCs w:val="16"/>
        </w:rPr>
        <w:t xml:space="preserve">benefits </w:t>
      </w:r>
      <w:r w:rsidRPr="00922E95">
        <w:rPr>
          <w:rFonts w:ascii="Calibri" w:hAnsi="Calibri" w:cs="Calibri"/>
          <w:sz w:val="16"/>
          <w:szCs w:val="16"/>
        </w:rPr>
        <w:t>for non-farm, nonfederal civilian workers</w:t>
      </w:r>
      <w:r w:rsidRPr="00922E95" w:rsidR="001A3157">
        <w:rPr>
          <w:rFonts w:ascii="Calibri" w:hAnsi="Calibri" w:cs="Calibri"/>
          <w:sz w:val="16"/>
          <w:szCs w:val="16"/>
        </w:rPr>
        <w:t xml:space="preserve"> are 45.1% of wage per hour.</w:t>
      </w:r>
    </w:p>
    <w:p w:rsidR="002E09F9" w:rsidRPr="00922E95" w:rsidP="002E09F9" w14:paraId="6AF1714B" w14:textId="51A07B62">
      <w:pPr>
        <w:pStyle w:val="ListParagraph"/>
        <w:numPr>
          <w:ilvl w:val="0"/>
          <w:numId w:val="3"/>
        </w:numPr>
        <w:spacing w:after="0"/>
        <w:rPr>
          <w:rFonts w:ascii="Calibri" w:hAnsi="Calibri" w:cs="Calibri"/>
          <w:sz w:val="16"/>
          <w:szCs w:val="16"/>
        </w:rPr>
      </w:pPr>
      <w:r w:rsidRPr="00922E95">
        <w:rPr>
          <w:rFonts w:ascii="Calibri" w:hAnsi="Calibri" w:cs="Calibri"/>
          <w:sz w:val="16"/>
          <w:szCs w:val="16"/>
        </w:rPr>
        <w:t xml:space="preserve">Overhead percentage is 50% of loaded hourly wage per </w:t>
      </w:r>
      <w:r w:rsidRPr="00922E95">
        <w:rPr>
          <w:rFonts w:ascii="Calibri" w:hAnsi="Calibri" w:cs="Calibri"/>
          <w:sz w:val="16"/>
          <w:szCs w:val="16"/>
        </w:rPr>
        <w:t>U.S. Environmental Protection Agency, EPA Air Pollution Control Cost Manual, Sixth Edition, EPA-452-001, January 2002, pg. 2-34. The loading for indirect costs is within the range of 20-70% of the load labor rate (wage + benefits) suggested in EPA guidance.</w:t>
      </w:r>
    </w:p>
    <w:p w:rsidR="002E09F9" w:rsidRPr="00922E95" w:rsidP="002E09F9" w14:paraId="4471FA0D" w14:textId="77777777">
      <w:pPr>
        <w:spacing w:after="0"/>
        <w:rPr>
          <w:rFonts w:ascii="Calibri" w:hAnsi="Calibri" w:cs="Calibri"/>
        </w:rPr>
      </w:pPr>
    </w:p>
    <w:p w:rsidR="00682313" w:rsidRPr="00922E95" w14:paraId="53461AB4" w14:textId="77777777">
      <w:pPr>
        <w:rPr>
          <w:rFonts w:ascii="Calibri" w:hAnsi="Calibri" w:cs="Calibri"/>
        </w:rPr>
      </w:pPr>
      <w:r w:rsidRPr="00922E95">
        <w:rPr>
          <w:rFonts w:ascii="Calibri" w:hAnsi="Calibri" w:cs="Calibri"/>
        </w:rPr>
        <w:br w:type="page"/>
      </w:r>
    </w:p>
    <w:p w:rsidR="001A3157" w:rsidRPr="00922E95" w:rsidP="001A3157" w14:paraId="319F845A" w14:textId="5ACF06D6">
      <w:pPr>
        <w:rPr>
          <w:rFonts w:ascii="Calibri" w:hAnsi="Calibri" w:cs="Calibri"/>
        </w:rPr>
      </w:pPr>
      <w:r w:rsidRPr="00922E95">
        <w:rPr>
          <w:rFonts w:ascii="Calibri" w:hAnsi="Calibri" w:cs="Calibri"/>
        </w:rPr>
        <w:t xml:space="preserve">For Agency </w:t>
      </w:r>
      <w:r w:rsidRPr="00922E95" w:rsidR="00682313">
        <w:rPr>
          <w:rFonts w:ascii="Calibri" w:hAnsi="Calibri" w:cs="Calibri"/>
        </w:rPr>
        <w:t>labor</w:t>
      </w:r>
      <w:r w:rsidRPr="00922E95">
        <w:rPr>
          <w:rFonts w:ascii="Calibri" w:hAnsi="Calibri" w:cs="Calibri"/>
        </w:rPr>
        <w:t xml:space="preserve">, OPP obtains wages for employment within the NAICS </w:t>
      </w:r>
      <w:r w:rsidRPr="00922E95" w:rsidR="00682313">
        <w:rPr>
          <w:rFonts w:ascii="Calibri" w:hAnsi="Calibri" w:cs="Calibri"/>
        </w:rPr>
        <w:t xml:space="preserve">category </w:t>
      </w:r>
      <w:r w:rsidRPr="00922E95">
        <w:rPr>
          <w:rFonts w:ascii="Calibri" w:hAnsi="Calibri" w:cs="Calibri"/>
        </w:rPr>
        <w:t xml:space="preserve">for </w:t>
      </w:r>
      <w:r w:rsidRPr="00922E95" w:rsidR="00682313">
        <w:rPr>
          <w:rFonts w:ascii="Calibri" w:hAnsi="Calibri" w:cs="Calibri"/>
        </w:rPr>
        <w:t>the Federal Executive Branch</w:t>
      </w:r>
      <w:r w:rsidRPr="00922E95">
        <w:rPr>
          <w:rFonts w:ascii="Calibri" w:hAnsi="Calibri" w:cs="Calibri"/>
        </w:rPr>
        <w:t xml:space="preserve">, NAICS </w:t>
      </w:r>
      <w:r w:rsidRPr="00922E95" w:rsidR="00682313">
        <w:rPr>
          <w:rFonts w:ascii="Calibri" w:hAnsi="Calibri" w:cs="Calibri"/>
        </w:rPr>
        <w:t xml:space="preserve">99910, and the </w:t>
      </w:r>
      <w:r w:rsidRPr="00922E95">
        <w:rPr>
          <w:rFonts w:ascii="Calibri" w:hAnsi="Calibri" w:cs="Calibri"/>
        </w:rPr>
        <w:t xml:space="preserve">Standard Occupational Codes </w:t>
      </w:r>
      <w:r w:rsidRPr="00922E95" w:rsidR="00682313">
        <w:rPr>
          <w:rFonts w:ascii="Calibri" w:hAnsi="Calibri" w:cs="Calibri"/>
        </w:rPr>
        <w:t>listed above.</w:t>
      </w:r>
    </w:p>
    <w:p w:rsidR="002E09F9" w:rsidRPr="00922E95" w:rsidP="002E09F9" w14:paraId="20FE8A1F" w14:textId="77777777">
      <w:pPr>
        <w:spacing w:after="0"/>
        <w:rPr>
          <w:rFonts w:ascii="Calibri" w:hAnsi="Calibri" w:cs="Calibri"/>
        </w:rPr>
      </w:pPr>
    </w:p>
    <w:p w:rsidR="002E09F9" w:rsidRPr="00922E95" w:rsidP="002E09F9" w14:paraId="21119977" w14:textId="4F931D91">
      <w:pPr>
        <w:spacing w:after="0"/>
        <w:rPr>
          <w:rFonts w:ascii="Calibri" w:hAnsi="Calibri" w:cs="Calibri"/>
          <w:b/>
          <w:bCs/>
          <w:sz w:val="56"/>
          <w:szCs w:val="56"/>
        </w:rPr>
      </w:pPr>
      <w:r w:rsidRPr="00922E95">
        <w:rPr>
          <w:rFonts w:ascii="Calibri" w:hAnsi="Calibri" w:cs="Calibri"/>
          <w:b/>
          <w:bCs/>
          <w:sz w:val="36"/>
          <w:szCs w:val="36"/>
        </w:rPr>
        <w:t xml:space="preserve">Wages, </w:t>
      </w:r>
      <w:r w:rsidRPr="00922E95">
        <w:rPr>
          <w:rFonts w:ascii="Calibri" w:hAnsi="Calibri" w:cs="Calibri"/>
          <w:b/>
          <w:bCs/>
          <w:sz w:val="36"/>
          <w:szCs w:val="36"/>
        </w:rPr>
        <w:t>NAICS - 999100</w:t>
      </w:r>
    </w:p>
    <w:tbl>
      <w:tblPr>
        <w:tblStyle w:val="TableGrid"/>
        <w:tblW w:w="9360" w:type="dxa"/>
        <w:tblLook w:val="04A0"/>
      </w:tblPr>
      <w:tblGrid>
        <w:gridCol w:w="2827"/>
        <w:gridCol w:w="2520"/>
        <w:gridCol w:w="2184"/>
        <w:gridCol w:w="1829"/>
      </w:tblGrid>
      <w:tr w14:paraId="6852ED1C" w14:textId="77777777" w:rsidTr="00682313">
        <w:tblPrEx>
          <w:tblW w:w="9360" w:type="dxa"/>
          <w:tblLook w:val="04A0"/>
        </w:tblPrEx>
        <w:tc>
          <w:tcPr>
            <w:tcW w:w="2827" w:type="dxa"/>
            <w:vMerge w:val="restart"/>
            <w:vAlign w:val="bottom"/>
          </w:tcPr>
          <w:p w:rsidR="00682313" w:rsidRPr="00922E95" w:rsidP="00682313" w14:paraId="7D3802C2" w14:textId="16B31A49">
            <w:pPr>
              <w:rPr>
                <w:rFonts w:ascii="Calibri" w:hAnsi="Calibri" w:cs="Calibri"/>
              </w:rPr>
            </w:pPr>
            <w:r w:rsidRPr="00922E95">
              <w:rPr>
                <w:rFonts w:ascii="Calibri" w:hAnsi="Calibri" w:cs="Calibri"/>
              </w:rPr>
              <w:t>Labour Category</w:t>
            </w:r>
          </w:p>
        </w:tc>
        <w:tc>
          <w:tcPr>
            <w:tcW w:w="6533" w:type="dxa"/>
            <w:gridSpan w:val="3"/>
          </w:tcPr>
          <w:p w:rsidR="00682313" w:rsidRPr="00922E95" w:rsidP="002706AA" w14:paraId="7C47C4B9" w14:textId="0B1F7CA5">
            <w:pPr>
              <w:jc w:val="center"/>
              <w:rPr>
                <w:rFonts w:ascii="Calibri" w:hAnsi="Calibri" w:cs="Calibri"/>
              </w:rPr>
            </w:pPr>
            <w:r w:rsidRPr="00922E95">
              <w:rPr>
                <w:rFonts w:ascii="Calibri" w:hAnsi="Calibri" w:cs="Calibri"/>
              </w:rPr>
              <w:t>Labor Category</w:t>
            </w:r>
          </w:p>
        </w:tc>
      </w:tr>
      <w:tr w14:paraId="6A2DC602" w14:textId="77777777" w:rsidTr="00682313">
        <w:tblPrEx>
          <w:tblW w:w="9360" w:type="dxa"/>
          <w:tblLook w:val="04A0"/>
        </w:tblPrEx>
        <w:tc>
          <w:tcPr>
            <w:tcW w:w="2827" w:type="dxa"/>
            <w:vMerge/>
            <w:tcBorders>
              <w:bottom w:val="double" w:sz="4" w:space="0" w:color="auto"/>
            </w:tcBorders>
          </w:tcPr>
          <w:p w:rsidR="00682313" w:rsidRPr="00922E95" w:rsidP="009C1A9D" w14:paraId="3B392C2B" w14:textId="5CCF45BC">
            <w:pPr>
              <w:rPr>
                <w:rFonts w:ascii="Calibri" w:hAnsi="Calibri" w:cs="Calibri"/>
              </w:rPr>
            </w:pPr>
          </w:p>
        </w:tc>
        <w:tc>
          <w:tcPr>
            <w:tcW w:w="2520" w:type="dxa"/>
            <w:tcBorders>
              <w:bottom w:val="double" w:sz="4" w:space="0" w:color="auto"/>
            </w:tcBorders>
            <w:vAlign w:val="bottom"/>
          </w:tcPr>
          <w:p w:rsidR="00682313" w:rsidRPr="00922E95" w:rsidP="00682313" w14:paraId="56BC55E2" w14:textId="77777777">
            <w:pPr>
              <w:jc w:val="center"/>
              <w:rPr>
                <w:rFonts w:ascii="Calibri" w:hAnsi="Calibri" w:cs="Calibri"/>
                <w:sz w:val="28"/>
                <w:szCs w:val="28"/>
              </w:rPr>
            </w:pPr>
            <w:r w:rsidRPr="00922E95">
              <w:rPr>
                <w:rFonts w:ascii="Calibri" w:hAnsi="Calibri" w:cs="Calibri"/>
              </w:rPr>
              <w:t>Managerial</w:t>
            </w:r>
          </w:p>
        </w:tc>
        <w:tc>
          <w:tcPr>
            <w:tcW w:w="2184" w:type="dxa"/>
            <w:tcBorders>
              <w:bottom w:val="double" w:sz="4" w:space="0" w:color="auto"/>
            </w:tcBorders>
            <w:vAlign w:val="bottom"/>
          </w:tcPr>
          <w:p w:rsidR="00682313" w:rsidRPr="00922E95" w:rsidP="00682313" w14:paraId="7D4BC0AE" w14:textId="77777777">
            <w:pPr>
              <w:jc w:val="center"/>
              <w:rPr>
                <w:rFonts w:ascii="Calibri" w:hAnsi="Calibri" w:cs="Calibri"/>
                <w:sz w:val="28"/>
                <w:szCs w:val="28"/>
              </w:rPr>
            </w:pPr>
            <w:r w:rsidRPr="00922E95">
              <w:rPr>
                <w:rFonts w:ascii="Calibri" w:hAnsi="Calibri" w:cs="Calibri"/>
              </w:rPr>
              <w:t>Technical</w:t>
            </w:r>
          </w:p>
        </w:tc>
        <w:tc>
          <w:tcPr>
            <w:tcW w:w="1829" w:type="dxa"/>
            <w:tcBorders>
              <w:bottom w:val="double" w:sz="4" w:space="0" w:color="auto"/>
            </w:tcBorders>
            <w:vAlign w:val="bottom"/>
          </w:tcPr>
          <w:p w:rsidR="00682313" w:rsidRPr="00922E95" w:rsidP="00682313" w14:paraId="6943D420" w14:textId="77777777">
            <w:pPr>
              <w:jc w:val="center"/>
              <w:rPr>
                <w:rFonts w:ascii="Calibri" w:hAnsi="Calibri" w:cs="Calibri"/>
                <w:sz w:val="28"/>
                <w:szCs w:val="28"/>
              </w:rPr>
            </w:pPr>
            <w:r w:rsidRPr="00922E95">
              <w:rPr>
                <w:rFonts w:ascii="Calibri" w:hAnsi="Calibri" w:cs="Calibri"/>
              </w:rPr>
              <w:t>Clerical</w:t>
            </w:r>
          </w:p>
        </w:tc>
      </w:tr>
      <w:tr w14:paraId="5E6C92D4" w14:textId="77777777" w:rsidTr="00682313">
        <w:tblPrEx>
          <w:tblW w:w="9360" w:type="dxa"/>
          <w:tblLook w:val="04A0"/>
        </w:tblPrEx>
        <w:tc>
          <w:tcPr>
            <w:tcW w:w="2827" w:type="dxa"/>
            <w:tcBorders>
              <w:top w:val="double" w:sz="4" w:space="0" w:color="auto"/>
            </w:tcBorders>
          </w:tcPr>
          <w:p w:rsidR="00682313" w:rsidRPr="00922E95" w:rsidP="00682313" w14:paraId="79123AA0" w14:textId="42C995A4">
            <w:pPr>
              <w:rPr>
                <w:rFonts w:ascii="Calibri" w:hAnsi="Calibri" w:cs="Calibri"/>
                <w:sz w:val="28"/>
                <w:szCs w:val="28"/>
              </w:rPr>
            </w:pPr>
            <w:r w:rsidRPr="00922E95">
              <w:rPr>
                <w:rFonts w:ascii="Calibri" w:hAnsi="Calibri" w:cs="Calibri"/>
              </w:rPr>
              <w:t xml:space="preserve">Unloaded Hourly Rate </w:t>
            </w:r>
            <w:r w:rsidRPr="00922E95">
              <w:rPr>
                <w:rFonts w:ascii="Calibri" w:hAnsi="Calibri" w:cs="Calibri"/>
                <w:vertAlign w:val="superscript"/>
              </w:rPr>
              <w:t>1</w:t>
            </w:r>
          </w:p>
        </w:tc>
        <w:tc>
          <w:tcPr>
            <w:tcW w:w="2520" w:type="dxa"/>
            <w:tcBorders>
              <w:top w:val="double" w:sz="4" w:space="0" w:color="auto"/>
            </w:tcBorders>
          </w:tcPr>
          <w:p w:rsidR="00682313" w:rsidRPr="00922E95" w:rsidP="00682313" w14:paraId="3F1EE054" w14:textId="14A04E0A">
            <w:pPr>
              <w:tabs>
                <w:tab w:val="decimal" w:pos="1315"/>
              </w:tabs>
              <w:rPr>
                <w:rFonts w:ascii="Calibri" w:hAnsi="Calibri" w:cs="Calibri"/>
                <w:sz w:val="28"/>
                <w:szCs w:val="28"/>
              </w:rPr>
            </w:pPr>
            <w:r w:rsidRPr="00922E95">
              <w:rPr>
                <w:rFonts w:ascii="Calibri" w:hAnsi="Calibri" w:cs="Calibri"/>
              </w:rPr>
              <w:t>$73.56</w:t>
            </w:r>
          </w:p>
        </w:tc>
        <w:tc>
          <w:tcPr>
            <w:tcW w:w="2184" w:type="dxa"/>
            <w:tcBorders>
              <w:top w:val="double" w:sz="4" w:space="0" w:color="auto"/>
            </w:tcBorders>
          </w:tcPr>
          <w:p w:rsidR="00682313" w:rsidRPr="00922E95" w:rsidP="00682313" w14:paraId="34B5A34F" w14:textId="64DE8223">
            <w:pPr>
              <w:tabs>
                <w:tab w:val="decimal" w:pos="1111"/>
              </w:tabs>
              <w:rPr>
                <w:rFonts w:ascii="Calibri" w:hAnsi="Calibri" w:cs="Calibri"/>
                <w:sz w:val="28"/>
                <w:szCs w:val="28"/>
              </w:rPr>
            </w:pPr>
            <w:r w:rsidRPr="00922E95">
              <w:rPr>
                <w:rFonts w:ascii="Calibri" w:hAnsi="Calibri" w:cs="Calibri"/>
              </w:rPr>
              <w:t>$49.11</w:t>
            </w:r>
          </w:p>
        </w:tc>
        <w:tc>
          <w:tcPr>
            <w:tcW w:w="1829" w:type="dxa"/>
            <w:tcBorders>
              <w:top w:val="double" w:sz="4" w:space="0" w:color="auto"/>
            </w:tcBorders>
          </w:tcPr>
          <w:p w:rsidR="00682313" w:rsidRPr="00922E95" w:rsidP="00682313" w14:paraId="57AE8D38" w14:textId="473374DF">
            <w:pPr>
              <w:tabs>
                <w:tab w:val="decimal" w:pos="912"/>
              </w:tabs>
              <w:rPr>
                <w:rFonts w:ascii="Calibri" w:hAnsi="Calibri" w:cs="Calibri"/>
                <w:sz w:val="28"/>
                <w:szCs w:val="28"/>
              </w:rPr>
            </w:pPr>
            <w:r w:rsidRPr="00922E95">
              <w:rPr>
                <w:rFonts w:ascii="Calibri" w:hAnsi="Calibri" w:cs="Calibri"/>
              </w:rPr>
              <w:t>$27.11</w:t>
            </w:r>
          </w:p>
        </w:tc>
      </w:tr>
      <w:tr w14:paraId="32B75733" w14:textId="77777777" w:rsidTr="00682313">
        <w:tblPrEx>
          <w:tblW w:w="9360" w:type="dxa"/>
          <w:tblLook w:val="04A0"/>
        </w:tblPrEx>
        <w:tc>
          <w:tcPr>
            <w:tcW w:w="2827" w:type="dxa"/>
          </w:tcPr>
          <w:p w:rsidR="00682313" w:rsidRPr="00922E95" w:rsidP="00682313" w14:paraId="5E9A1037" w14:textId="7289A34B">
            <w:pPr>
              <w:rPr>
                <w:rFonts w:ascii="Calibri" w:hAnsi="Calibri" w:cs="Calibri"/>
                <w:sz w:val="28"/>
                <w:szCs w:val="28"/>
              </w:rPr>
            </w:pPr>
            <w:r w:rsidRPr="00922E95">
              <w:rPr>
                <w:rFonts w:ascii="Calibri" w:hAnsi="Calibri" w:cs="Calibri"/>
              </w:rPr>
              <w:t xml:space="preserve">Benefits per hour </w:t>
            </w:r>
            <w:r w:rsidRPr="00922E95">
              <w:rPr>
                <w:rFonts w:ascii="Calibri" w:hAnsi="Calibri" w:cs="Calibri"/>
                <w:vertAlign w:val="superscript"/>
              </w:rPr>
              <w:t>2</w:t>
            </w:r>
          </w:p>
        </w:tc>
        <w:tc>
          <w:tcPr>
            <w:tcW w:w="2520" w:type="dxa"/>
          </w:tcPr>
          <w:p w:rsidR="00682313" w:rsidRPr="00922E95" w:rsidP="00682313" w14:paraId="093F86DE" w14:textId="1C176807">
            <w:pPr>
              <w:tabs>
                <w:tab w:val="decimal" w:pos="1315"/>
              </w:tabs>
              <w:rPr>
                <w:rFonts w:ascii="Calibri" w:hAnsi="Calibri" w:cs="Calibri"/>
                <w:sz w:val="28"/>
                <w:szCs w:val="28"/>
              </w:rPr>
            </w:pPr>
            <w:r w:rsidRPr="00922E95">
              <w:rPr>
                <w:rFonts w:ascii="Calibri" w:hAnsi="Calibri" w:cs="Calibri"/>
              </w:rPr>
              <w:t>$33.21</w:t>
            </w:r>
          </w:p>
        </w:tc>
        <w:tc>
          <w:tcPr>
            <w:tcW w:w="2184" w:type="dxa"/>
          </w:tcPr>
          <w:p w:rsidR="00682313" w:rsidRPr="00922E95" w:rsidP="00682313" w14:paraId="71FDF8CD" w14:textId="48FEA64A">
            <w:pPr>
              <w:tabs>
                <w:tab w:val="decimal" w:pos="1111"/>
              </w:tabs>
              <w:rPr>
                <w:rFonts w:ascii="Calibri" w:hAnsi="Calibri" w:cs="Calibri"/>
                <w:sz w:val="28"/>
                <w:szCs w:val="28"/>
              </w:rPr>
            </w:pPr>
            <w:r w:rsidRPr="00922E95">
              <w:rPr>
                <w:rFonts w:ascii="Calibri" w:hAnsi="Calibri" w:cs="Calibri"/>
              </w:rPr>
              <w:t>$22.17</w:t>
            </w:r>
          </w:p>
        </w:tc>
        <w:tc>
          <w:tcPr>
            <w:tcW w:w="1829" w:type="dxa"/>
          </w:tcPr>
          <w:p w:rsidR="00682313" w:rsidRPr="00922E95" w:rsidP="00682313" w14:paraId="2215A067" w14:textId="6C3E453D">
            <w:pPr>
              <w:tabs>
                <w:tab w:val="decimal" w:pos="912"/>
              </w:tabs>
              <w:rPr>
                <w:rFonts w:ascii="Calibri" w:hAnsi="Calibri" w:cs="Calibri"/>
                <w:sz w:val="28"/>
                <w:szCs w:val="28"/>
              </w:rPr>
            </w:pPr>
            <w:r w:rsidRPr="00922E95">
              <w:rPr>
                <w:rFonts w:ascii="Calibri" w:hAnsi="Calibri" w:cs="Calibri"/>
              </w:rPr>
              <w:t>$12.24</w:t>
            </w:r>
          </w:p>
        </w:tc>
      </w:tr>
      <w:tr w14:paraId="08A0526E" w14:textId="77777777" w:rsidTr="00682313">
        <w:tblPrEx>
          <w:tblW w:w="9360" w:type="dxa"/>
          <w:tblLook w:val="04A0"/>
        </w:tblPrEx>
        <w:tc>
          <w:tcPr>
            <w:tcW w:w="2827" w:type="dxa"/>
          </w:tcPr>
          <w:p w:rsidR="00682313" w:rsidRPr="00922E95" w:rsidP="00682313" w14:paraId="3E9919D1" w14:textId="31E12E4A">
            <w:pPr>
              <w:rPr>
                <w:rFonts w:ascii="Calibri" w:hAnsi="Calibri" w:cs="Calibri"/>
                <w:sz w:val="28"/>
                <w:szCs w:val="28"/>
              </w:rPr>
            </w:pPr>
            <w:r w:rsidRPr="00922E95">
              <w:rPr>
                <w:rFonts w:ascii="Calibri" w:hAnsi="Calibri" w:cs="Calibri"/>
              </w:rPr>
              <w:t>Loaded Hourly Rate</w:t>
            </w:r>
          </w:p>
        </w:tc>
        <w:tc>
          <w:tcPr>
            <w:tcW w:w="2520" w:type="dxa"/>
          </w:tcPr>
          <w:p w:rsidR="00682313" w:rsidRPr="00922E95" w:rsidP="00682313" w14:paraId="5C8C5905" w14:textId="2BF325A1">
            <w:pPr>
              <w:tabs>
                <w:tab w:val="decimal" w:pos="1315"/>
              </w:tabs>
              <w:rPr>
                <w:rFonts w:ascii="Calibri" w:hAnsi="Calibri" w:cs="Calibri"/>
                <w:sz w:val="28"/>
                <w:szCs w:val="28"/>
              </w:rPr>
            </w:pPr>
            <w:r w:rsidRPr="00922E95">
              <w:rPr>
                <w:rFonts w:ascii="Calibri" w:hAnsi="Calibri" w:cs="Calibri"/>
              </w:rPr>
              <w:t>$106.77</w:t>
            </w:r>
          </w:p>
        </w:tc>
        <w:tc>
          <w:tcPr>
            <w:tcW w:w="2184" w:type="dxa"/>
          </w:tcPr>
          <w:p w:rsidR="00682313" w:rsidRPr="00922E95" w:rsidP="00682313" w14:paraId="270BE2A8" w14:textId="29F75DB1">
            <w:pPr>
              <w:tabs>
                <w:tab w:val="decimal" w:pos="1111"/>
              </w:tabs>
              <w:rPr>
                <w:rFonts w:ascii="Calibri" w:hAnsi="Calibri" w:cs="Calibri"/>
                <w:sz w:val="28"/>
                <w:szCs w:val="28"/>
              </w:rPr>
            </w:pPr>
            <w:r w:rsidRPr="00922E95">
              <w:rPr>
                <w:rFonts w:ascii="Calibri" w:hAnsi="Calibri" w:cs="Calibri"/>
              </w:rPr>
              <w:t>$71.28</w:t>
            </w:r>
          </w:p>
        </w:tc>
        <w:tc>
          <w:tcPr>
            <w:tcW w:w="1829" w:type="dxa"/>
          </w:tcPr>
          <w:p w:rsidR="00682313" w:rsidRPr="00922E95" w:rsidP="00682313" w14:paraId="3F966B54" w14:textId="11D21EBA">
            <w:pPr>
              <w:tabs>
                <w:tab w:val="decimal" w:pos="912"/>
              </w:tabs>
              <w:rPr>
                <w:rFonts w:ascii="Calibri" w:hAnsi="Calibri" w:cs="Calibri"/>
                <w:sz w:val="28"/>
                <w:szCs w:val="28"/>
              </w:rPr>
            </w:pPr>
            <w:r w:rsidRPr="00922E95">
              <w:rPr>
                <w:rFonts w:ascii="Calibri" w:hAnsi="Calibri" w:cs="Calibri"/>
              </w:rPr>
              <w:t>$39.35</w:t>
            </w:r>
          </w:p>
        </w:tc>
      </w:tr>
      <w:tr w14:paraId="1FDECC2E" w14:textId="77777777" w:rsidTr="00682313">
        <w:tblPrEx>
          <w:tblW w:w="9360" w:type="dxa"/>
          <w:tblLook w:val="04A0"/>
        </w:tblPrEx>
        <w:tc>
          <w:tcPr>
            <w:tcW w:w="2827" w:type="dxa"/>
          </w:tcPr>
          <w:p w:rsidR="00682313" w:rsidRPr="00922E95" w:rsidP="00682313" w14:paraId="6E56A283" w14:textId="3AEA7CA1">
            <w:pPr>
              <w:rPr>
                <w:rFonts w:ascii="Calibri" w:hAnsi="Calibri" w:cs="Calibri"/>
                <w:sz w:val="28"/>
                <w:szCs w:val="28"/>
              </w:rPr>
            </w:pPr>
            <w:r w:rsidRPr="00922E95">
              <w:rPr>
                <w:rFonts w:ascii="Calibri" w:hAnsi="Calibri" w:cs="Calibri"/>
              </w:rPr>
              <w:t xml:space="preserve">Overhead per hour </w:t>
            </w:r>
            <w:r w:rsidRPr="00922E95">
              <w:rPr>
                <w:rFonts w:ascii="Calibri" w:hAnsi="Calibri" w:cs="Calibri"/>
                <w:vertAlign w:val="superscript"/>
              </w:rPr>
              <w:t>3</w:t>
            </w:r>
          </w:p>
        </w:tc>
        <w:tc>
          <w:tcPr>
            <w:tcW w:w="2520" w:type="dxa"/>
          </w:tcPr>
          <w:p w:rsidR="00682313" w:rsidRPr="00922E95" w:rsidP="00682313" w14:paraId="4037B6C3" w14:textId="44F18DBA">
            <w:pPr>
              <w:tabs>
                <w:tab w:val="decimal" w:pos="1315"/>
              </w:tabs>
              <w:rPr>
                <w:rFonts w:ascii="Calibri" w:hAnsi="Calibri" w:cs="Calibri"/>
                <w:sz w:val="28"/>
                <w:szCs w:val="28"/>
              </w:rPr>
            </w:pPr>
            <w:r w:rsidRPr="00922E95">
              <w:rPr>
                <w:rFonts w:ascii="Calibri" w:hAnsi="Calibri" w:cs="Calibri"/>
              </w:rPr>
              <w:t>$53.38</w:t>
            </w:r>
          </w:p>
        </w:tc>
        <w:tc>
          <w:tcPr>
            <w:tcW w:w="2184" w:type="dxa"/>
          </w:tcPr>
          <w:p w:rsidR="00682313" w:rsidRPr="00922E95" w:rsidP="00682313" w14:paraId="0EB5FAB5" w14:textId="01D6EF57">
            <w:pPr>
              <w:tabs>
                <w:tab w:val="decimal" w:pos="1111"/>
              </w:tabs>
              <w:rPr>
                <w:rFonts w:ascii="Calibri" w:hAnsi="Calibri" w:cs="Calibri"/>
                <w:sz w:val="28"/>
                <w:szCs w:val="28"/>
              </w:rPr>
            </w:pPr>
            <w:r w:rsidRPr="00922E95">
              <w:rPr>
                <w:rFonts w:ascii="Calibri" w:hAnsi="Calibri" w:cs="Calibri"/>
              </w:rPr>
              <w:t>$35.64</w:t>
            </w:r>
          </w:p>
        </w:tc>
        <w:tc>
          <w:tcPr>
            <w:tcW w:w="1829" w:type="dxa"/>
          </w:tcPr>
          <w:p w:rsidR="00682313" w:rsidRPr="00922E95" w:rsidP="00682313" w14:paraId="26A4EB2C" w14:textId="2DA89D1F">
            <w:pPr>
              <w:tabs>
                <w:tab w:val="decimal" w:pos="912"/>
              </w:tabs>
              <w:rPr>
                <w:rFonts w:ascii="Calibri" w:hAnsi="Calibri" w:cs="Calibri"/>
                <w:sz w:val="28"/>
                <w:szCs w:val="28"/>
              </w:rPr>
            </w:pPr>
            <w:r w:rsidRPr="00922E95">
              <w:rPr>
                <w:rFonts w:ascii="Calibri" w:hAnsi="Calibri" w:cs="Calibri"/>
              </w:rPr>
              <w:t>$19.67</w:t>
            </w:r>
          </w:p>
        </w:tc>
      </w:tr>
      <w:tr w14:paraId="4663FC34" w14:textId="77777777" w:rsidTr="00682313">
        <w:tblPrEx>
          <w:tblW w:w="9360" w:type="dxa"/>
          <w:tblLook w:val="04A0"/>
        </w:tblPrEx>
        <w:tc>
          <w:tcPr>
            <w:tcW w:w="2827" w:type="dxa"/>
          </w:tcPr>
          <w:p w:rsidR="00682313" w:rsidRPr="00922E95" w:rsidP="00682313" w14:paraId="414BC858" w14:textId="58E3EF55">
            <w:pPr>
              <w:rPr>
                <w:rFonts w:ascii="Calibri" w:hAnsi="Calibri" w:cs="Calibri"/>
                <w:sz w:val="28"/>
                <w:szCs w:val="28"/>
              </w:rPr>
            </w:pPr>
            <w:r w:rsidRPr="00922E95">
              <w:rPr>
                <w:rFonts w:ascii="Calibri" w:hAnsi="Calibri" w:cs="Calibri"/>
              </w:rPr>
              <w:t>Fully Loaded Hourly Rate</w:t>
            </w:r>
          </w:p>
        </w:tc>
        <w:tc>
          <w:tcPr>
            <w:tcW w:w="2520" w:type="dxa"/>
          </w:tcPr>
          <w:p w:rsidR="00682313" w:rsidRPr="00922E95" w:rsidP="00682313" w14:paraId="3E19BB26" w14:textId="38A070CD">
            <w:pPr>
              <w:tabs>
                <w:tab w:val="decimal" w:pos="1315"/>
              </w:tabs>
              <w:rPr>
                <w:rFonts w:ascii="Calibri" w:hAnsi="Calibri" w:cs="Calibri"/>
                <w:sz w:val="28"/>
                <w:szCs w:val="28"/>
              </w:rPr>
            </w:pPr>
            <w:r w:rsidRPr="00922E95">
              <w:rPr>
                <w:rFonts w:ascii="Calibri" w:hAnsi="Calibri" w:cs="Calibri"/>
              </w:rPr>
              <w:t>$160.15</w:t>
            </w:r>
          </w:p>
        </w:tc>
        <w:tc>
          <w:tcPr>
            <w:tcW w:w="2184" w:type="dxa"/>
          </w:tcPr>
          <w:p w:rsidR="00682313" w:rsidRPr="00922E95" w:rsidP="00682313" w14:paraId="79A40824" w14:textId="7E143E56">
            <w:pPr>
              <w:tabs>
                <w:tab w:val="decimal" w:pos="1111"/>
              </w:tabs>
              <w:rPr>
                <w:rFonts w:ascii="Calibri" w:hAnsi="Calibri" w:cs="Calibri"/>
                <w:sz w:val="28"/>
                <w:szCs w:val="28"/>
              </w:rPr>
            </w:pPr>
            <w:r w:rsidRPr="00922E95">
              <w:rPr>
                <w:rFonts w:ascii="Calibri" w:hAnsi="Calibri" w:cs="Calibri"/>
              </w:rPr>
              <w:t>$106.92</w:t>
            </w:r>
          </w:p>
        </w:tc>
        <w:tc>
          <w:tcPr>
            <w:tcW w:w="1829" w:type="dxa"/>
          </w:tcPr>
          <w:p w:rsidR="00682313" w:rsidRPr="00922E95" w:rsidP="00682313" w14:paraId="5B43781E" w14:textId="69A86F96">
            <w:pPr>
              <w:tabs>
                <w:tab w:val="decimal" w:pos="912"/>
              </w:tabs>
              <w:rPr>
                <w:rFonts w:ascii="Calibri" w:hAnsi="Calibri" w:cs="Calibri"/>
                <w:sz w:val="28"/>
                <w:szCs w:val="28"/>
              </w:rPr>
            </w:pPr>
            <w:r w:rsidRPr="00922E95">
              <w:rPr>
                <w:rFonts w:ascii="Calibri" w:hAnsi="Calibri" w:cs="Calibri"/>
              </w:rPr>
              <w:t>$59.02</w:t>
            </w:r>
          </w:p>
        </w:tc>
      </w:tr>
    </w:tbl>
    <w:p w:rsidR="002E09F9" w:rsidRPr="00922E95" w:rsidP="00682313" w14:paraId="04CF208D" w14:textId="29D211F0">
      <w:pPr>
        <w:pStyle w:val="ListParagraph"/>
        <w:numPr>
          <w:ilvl w:val="0"/>
          <w:numId w:val="4"/>
        </w:numPr>
        <w:spacing w:after="0"/>
        <w:ind w:left="360"/>
        <w:rPr>
          <w:rFonts w:ascii="Calibri" w:hAnsi="Calibri" w:cs="Calibri"/>
          <w:b/>
          <w:bCs/>
          <w:sz w:val="16"/>
          <w:szCs w:val="16"/>
        </w:rPr>
      </w:pPr>
      <w:r w:rsidRPr="00922E95">
        <w:rPr>
          <w:rFonts w:ascii="Calibri" w:hAnsi="Calibri" w:cs="Calibri"/>
          <w:sz w:val="16"/>
          <w:szCs w:val="16"/>
        </w:rPr>
        <w:t>Source: BLS</w:t>
      </w:r>
      <w:r w:rsidRPr="00922E95">
        <w:rPr>
          <w:rFonts w:ascii="Calibri" w:hAnsi="Calibri" w:cs="Calibri"/>
        </w:rPr>
        <w:t xml:space="preserve"> </w:t>
      </w:r>
      <w:hyperlink r:id="rId8" w:anchor="/industry/999100" w:history="1">
        <w:r w:rsidRPr="00922E95">
          <w:rPr>
            <w:rStyle w:val="Hyperlink"/>
            <w:rFonts w:ascii="Calibri" w:hAnsi="Calibri" w:cs="Calibri"/>
            <w:sz w:val="16"/>
            <w:szCs w:val="16"/>
          </w:rPr>
          <w:t>https://data.bls.gov/oes/#/industry/999100</w:t>
        </w:r>
      </w:hyperlink>
      <w:r w:rsidRPr="00922E95">
        <w:rPr>
          <w:rFonts w:ascii="Calibri" w:hAnsi="Calibri" w:cs="Calibri"/>
          <w:sz w:val="16"/>
          <w:szCs w:val="16"/>
        </w:rPr>
        <w:t xml:space="preserve"> </w:t>
      </w:r>
      <w:r w:rsidRPr="00922E95">
        <w:rPr>
          <w:rFonts w:ascii="Calibri" w:hAnsi="Calibri" w:cs="Calibri"/>
          <w:b/>
          <w:bCs/>
          <w:sz w:val="16"/>
          <w:szCs w:val="16"/>
        </w:rPr>
        <w:t>(MAY 2024 Data) Last modified: April 2, 2025</w:t>
      </w:r>
    </w:p>
    <w:p w:rsidR="002E09F9" w:rsidRPr="00922E95" w:rsidP="002E09F9" w14:paraId="0A978652" w14:textId="5D18F544">
      <w:pPr>
        <w:spacing w:after="0"/>
        <w:rPr>
          <w:rFonts w:ascii="Calibri" w:hAnsi="Calibri" w:cs="Calibri"/>
          <w:sz w:val="16"/>
          <w:szCs w:val="16"/>
        </w:rPr>
      </w:pPr>
      <w:r w:rsidRPr="00922E95">
        <w:rPr>
          <w:rFonts w:ascii="Calibri" w:hAnsi="Calibri" w:cs="Calibri"/>
          <w:sz w:val="16"/>
          <w:szCs w:val="16"/>
        </w:rPr>
        <w:t xml:space="preserve"> NAICS 999100 - Federal Executive Branch Standard Occupational Codes:</w:t>
      </w:r>
    </w:p>
    <w:p w:rsidR="002E09F9" w:rsidRPr="00922E95" w:rsidP="002E09F9" w14:paraId="72089B74" w14:textId="73BE661A">
      <w:pPr>
        <w:spacing w:after="0"/>
        <w:rPr>
          <w:rFonts w:ascii="Calibri" w:hAnsi="Calibri" w:cs="Calibri"/>
          <w:sz w:val="16"/>
          <w:szCs w:val="16"/>
        </w:rPr>
      </w:pPr>
      <w:r w:rsidRPr="00922E95">
        <w:rPr>
          <w:rFonts w:ascii="Calibri" w:hAnsi="Calibri" w:cs="Calibri"/>
          <w:sz w:val="16"/>
          <w:szCs w:val="16"/>
        </w:rPr>
        <w:t>Management – 11-0000, Management Occupations</w:t>
      </w:r>
    </w:p>
    <w:p w:rsidR="002E09F9" w:rsidRPr="00922E95" w:rsidP="002E09F9" w14:paraId="7CC6F268" w14:textId="0E653C02">
      <w:pPr>
        <w:spacing w:after="0"/>
        <w:rPr>
          <w:rFonts w:ascii="Calibri" w:hAnsi="Calibri" w:cs="Calibri"/>
          <w:sz w:val="16"/>
          <w:szCs w:val="16"/>
        </w:rPr>
      </w:pPr>
      <w:r w:rsidRPr="00922E95">
        <w:rPr>
          <w:rFonts w:ascii="Calibri" w:hAnsi="Calibri" w:cs="Calibri"/>
          <w:sz w:val="16"/>
          <w:szCs w:val="16"/>
        </w:rPr>
        <w:t>Technical – 19-0000, Life, Physical, and Social Science Occupations</w:t>
      </w:r>
    </w:p>
    <w:p w:rsidR="002E09F9" w:rsidRPr="00922E95" w:rsidP="002E09F9" w14:paraId="774E7903" w14:textId="7C0D2728">
      <w:pPr>
        <w:spacing w:after="0"/>
        <w:rPr>
          <w:rFonts w:ascii="Calibri" w:hAnsi="Calibri" w:cs="Calibri"/>
          <w:sz w:val="16"/>
          <w:szCs w:val="16"/>
        </w:rPr>
      </w:pPr>
      <w:r w:rsidRPr="00922E95">
        <w:rPr>
          <w:rFonts w:ascii="Calibri" w:hAnsi="Calibri" w:cs="Calibri"/>
          <w:sz w:val="16"/>
          <w:szCs w:val="16"/>
        </w:rPr>
        <w:t>Clerical   –  43-0000, Office and Administrative Support Occupations</w:t>
      </w:r>
    </w:p>
    <w:p w:rsidR="00682313" w:rsidRPr="00922E95" w:rsidP="00682313" w14:paraId="66997041" w14:textId="77777777">
      <w:pPr>
        <w:pStyle w:val="ListParagraph"/>
        <w:numPr>
          <w:ilvl w:val="0"/>
          <w:numId w:val="6"/>
        </w:numPr>
        <w:spacing w:after="0"/>
        <w:rPr>
          <w:rFonts w:ascii="Calibri" w:hAnsi="Calibri" w:cs="Calibri"/>
          <w:sz w:val="16"/>
          <w:szCs w:val="16"/>
        </w:rPr>
      </w:pPr>
      <w:r w:rsidRPr="00922E95">
        <w:rPr>
          <w:rFonts w:ascii="Calibri" w:hAnsi="Calibri" w:cs="Calibri"/>
          <w:sz w:val="16"/>
          <w:szCs w:val="16"/>
        </w:rPr>
        <w:t>The average benefits for non-farm, nonfederal civilian workers are 45.1% of wage per hour.</w:t>
      </w:r>
    </w:p>
    <w:p w:rsidR="00682313" w:rsidRPr="00922E95" w:rsidP="00682313" w14:paraId="277463A1" w14:textId="77777777">
      <w:pPr>
        <w:pStyle w:val="ListParagraph"/>
        <w:numPr>
          <w:ilvl w:val="0"/>
          <w:numId w:val="6"/>
        </w:numPr>
        <w:spacing w:after="0"/>
        <w:rPr>
          <w:rFonts w:ascii="Calibri" w:hAnsi="Calibri" w:cs="Calibri"/>
          <w:sz w:val="16"/>
          <w:szCs w:val="16"/>
        </w:rPr>
      </w:pPr>
      <w:r w:rsidRPr="00922E95">
        <w:rPr>
          <w:rFonts w:ascii="Calibri" w:hAnsi="Calibri" w:cs="Calibri"/>
          <w:sz w:val="16"/>
          <w:szCs w:val="16"/>
        </w:rPr>
        <w:t>Overhead percentage is 50% of loaded hourly wage per U.S. Environmental Protection Agency, EPA Air Pollution Control Cost Manual, Sixth Edition, EPA-452-001, January 2002, pg. 2-34. The loading for indirect costs is within the range of 20-70% of the load labor rate (wage + benefits) suggested in EPA guidance.</w:t>
      </w:r>
    </w:p>
    <w:p w:rsidR="002E09F9" w:rsidRPr="00922E95" w:rsidP="002E09F9" w14:paraId="4F30E016" w14:textId="77777777">
      <w:pPr>
        <w:spacing w:after="0"/>
        <w:rPr>
          <w:rFonts w:ascii="Calibri" w:hAnsi="Calibri" w:cs="Calibri"/>
          <w:sz w:val="16"/>
          <w:szCs w:val="16"/>
        </w:rPr>
      </w:pPr>
    </w:p>
    <w:p w:rsidR="002E09F9" w:rsidP="002E09F9" w14:paraId="769D11BB" w14:textId="77777777">
      <w:pPr>
        <w:spacing w:after="0"/>
        <w:rPr>
          <w:rFonts w:ascii="Calibri" w:hAnsi="Calibri" w:cs="Calibri"/>
          <w:sz w:val="16"/>
          <w:szCs w:val="16"/>
        </w:rPr>
      </w:pPr>
    </w:p>
    <w:p w:rsidR="002E09F9" w:rsidRPr="002E09F9" w:rsidP="002E09F9" w14:paraId="52CE594A" w14:textId="77777777">
      <w:pPr>
        <w:spacing w:after="0"/>
        <w:rPr>
          <w:rFonts w:ascii="Calibri" w:hAnsi="Calibri" w:cs="Calibri"/>
          <w:sz w:val="24"/>
          <w:szCs w:val="24"/>
        </w:rPr>
      </w:pPr>
    </w:p>
    <w:sectPr w:rsidSect="00C70392">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9F9" w:rsidP="002E09F9" w14:paraId="217F91CE" w14:textId="15D38E31">
    <w:pPr>
      <w:pStyle w:val="Header"/>
      <w:jc w:val="right"/>
    </w:pPr>
    <w:r>
      <w:t>OMB Control No. 2070-0169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D5869"/>
    <w:multiLevelType w:val="hybridMultilevel"/>
    <w:tmpl w:val="79AE8C9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7D4FC1"/>
    <w:multiLevelType w:val="hybridMultilevel"/>
    <w:tmpl w:val="D6B4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3659B7"/>
    <w:multiLevelType w:val="hybridMultilevel"/>
    <w:tmpl w:val="1AE8A810"/>
    <w:lvl w:ilvl="0">
      <w:start w:val="2"/>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F5013D"/>
    <w:multiLevelType w:val="hybridMultilevel"/>
    <w:tmpl w:val="62B05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975A37"/>
    <w:multiLevelType w:val="hybridMultilevel"/>
    <w:tmpl w:val="EF6CB43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D167AC"/>
    <w:multiLevelType w:val="hybridMultilevel"/>
    <w:tmpl w:val="87147B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80653900">
    <w:abstractNumId w:val="5"/>
  </w:num>
  <w:num w:numId="2" w16cid:durableId="584152958">
    <w:abstractNumId w:val="1"/>
  </w:num>
  <w:num w:numId="3" w16cid:durableId="1873810776">
    <w:abstractNumId w:val="0"/>
  </w:num>
  <w:num w:numId="4" w16cid:durableId="1795827690">
    <w:abstractNumId w:val="4"/>
  </w:num>
  <w:num w:numId="5" w16cid:durableId="801272089">
    <w:abstractNumId w:val="3"/>
  </w:num>
  <w:num w:numId="6" w16cid:durableId="197984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F9"/>
    <w:rsid w:val="00062F60"/>
    <w:rsid w:val="000A1B18"/>
    <w:rsid w:val="000B26A1"/>
    <w:rsid w:val="00194F72"/>
    <w:rsid w:val="001A3157"/>
    <w:rsid w:val="001F5FDA"/>
    <w:rsid w:val="002706AA"/>
    <w:rsid w:val="002E09F9"/>
    <w:rsid w:val="002E281B"/>
    <w:rsid w:val="00302080"/>
    <w:rsid w:val="003B1CBD"/>
    <w:rsid w:val="003F3C59"/>
    <w:rsid w:val="0048003F"/>
    <w:rsid w:val="0056054F"/>
    <w:rsid w:val="00682313"/>
    <w:rsid w:val="006D6236"/>
    <w:rsid w:val="00731E2F"/>
    <w:rsid w:val="00843305"/>
    <w:rsid w:val="00922E95"/>
    <w:rsid w:val="009C1A9D"/>
    <w:rsid w:val="009C5BCF"/>
    <w:rsid w:val="00AC50C1"/>
    <w:rsid w:val="00AE789E"/>
    <w:rsid w:val="00C66614"/>
    <w:rsid w:val="00C70392"/>
    <w:rsid w:val="00D908DF"/>
    <w:rsid w:val="00DB58AC"/>
    <w:rsid w:val="00F55473"/>
    <w:rsid w:val="00FF2B06"/>
    <w:rsid w:val="00FF2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AE1F3"/>
  <w15:chartTrackingRefBased/>
  <w15:docId w15:val="{76BEBEB5-0BE9-44D4-9ED4-7A49E119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F9"/>
    <w:rPr>
      <w:rFonts w:eastAsiaTheme="majorEastAsia" w:cstheme="majorBidi"/>
      <w:color w:val="272727" w:themeColor="text1" w:themeTint="D8"/>
    </w:rPr>
  </w:style>
  <w:style w:type="paragraph" w:styleId="Title">
    <w:name w:val="Title"/>
    <w:basedOn w:val="Normal"/>
    <w:next w:val="Normal"/>
    <w:link w:val="TitleChar"/>
    <w:uiPriority w:val="10"/>
    <w:qFormat/>
    <w:rsid w:val="002E0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F9"/>
    <w:pPr>
      <w:spacing w:before="160"/>
      <w:jc w:val="center"/>
    </w:pPr>
    <w:rPr>
      <w:i/>
      <w:iCs/>
      <w:color w:val="404040" w:themeColor="text1" w:themeTint="BF"/>
    </w:rPr>
  </w:style>
  <w:style w:type="character" w:customStyle="1" w:styleId="QuoteChar">
    <w:name w:val="Quote Char"/>
    <w:basedOn w:val="DefaultParagraphFont"/>
    <w:link w:val="Quote"/>
    <w:uiPriority w:val="29"/>
    <w:rsid w:val="002E09F9"/>
    <w:rPr>
      <w:i/>
      <w:iCs/>
      <w:color w:val="404040" w:themeColor="text1" w:themeTint="BF"/>
    </w:rPr>
  </w:style>
  <w:style w:type="paragraph" w:styleId="ListParagraph">
    <w:name w:val="List Paragraph"/>
    <w:basedOn w:val="Normal"/>
    <w:uiPriority w:val="34"/>
    <w:qFormat/>
    <w:rsid w:val="002E09F9"/>
    <w:pPr>
      <w:ind w:left="720"/>
      <w:contextualSpacing/>
    </w:pPr>
  </w:style>
  <w:style w:type="character" w:styleId="IntenseEmphasis">
    <w:name w:val="Intense Emphasis"/>
    <w:basedOn w:val="DefaultParagraphFont"/>
    <w:uiPriority w:val="21"/>
    <w:qFormat/>
    <w:rsid w:val="002E09F9"/>
    <w:rPr>
      <w:i/>
      <w:iCs/>
      <w:color w:val="0F4761" w:themeColor="accent1" w:themeShade="BF"/>
    </w:rPr>
  </w:style>
  <w:style w:type="paragraph" w:styleId="IntenseQuote">
    <w:name w:val="Intense Quote"/>
    <w:basedOn w:val="Normal"/>
    <w:next w:val="Normal"/>
    <w:link w:val="IntenseQuoteChar"/>
    <w:uiPriority w:val="30"/>
    <w:qFormat/>
    <w:rsid w:val="002E0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9F9"/>
    <w:rPr>
      <w:i/>
      <w:iCs/>
      <w:color w:val="0F4761" w:themeColor="accent1" w:themeShade="BF"/>
    </w:rPr>
  </w:style>
  <w:style w:type="character" w:styleId="IntenseReference">
    <w:name w:val="Intense Reference"/>
    <w:basedOn w:val="DefaultParagraphFont"/>
    <w:uiPriority w:val="32"/>
    <w:qFormat/>
    <w:rsid w:val="002E09F9"/>
    <w:rPr>
      <w:b/>
      <w:bCs/>
      <w:smallCaps/>
      <w:color w:val="0F4761" w:themeColor="accent1" w:themeShade="BF"/>
      <w:spacing w:val="5"/>
    </w:rPr>
  </w:style>
  <w:style w:type="paragraph" w:styleId="Header">
    <w:name w:val="header"/>
    <w:basedOn w:val="Normal"/>
    <w:link w:val="HeaderChar"/>
    <w:uiPriority w:val="99"/>
    <w:unhideWhenUsed/>
    <w:rsid w:val="002E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9F9"/>
  </w:style>
  <w:style w:type="paragraph" w:styleId="Footer">
    <w:name w:val="footer"/>
    <w:basedOn w:val="Normal"/>
    <w:link w:val="FooterChar"/>
    <w:uiPriority w:val="99"/>
    <w:unhideWhenUsed/>
    <w:rsid w:val="002E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9F9"/>
  </w:style>
  <w:style w:type="character" w:styleId="CommentReference">
    <w:name w:val="annotation reference"/>
    <w:basedOn w:val="DefaultParagraphFont"/>
    <w:semiHidden/>
    <w:unhideWhenUsed/>
    <w:rsid w:val="002E09F9"/>
    <w:rPr>
      <w:sz w:val="16"/>
      <w:szCs w:val="16"/>
    </w:rPr>
  </w:style>
  <w:style w:type="paragraph" w:styleId="CommentText">
    <w:name w:val="annotation text"/>
    <w:basedOn w:val="Normal"/>
    <w:link w:val="CommentTextChar"/>
    <w:unhideWhenUsed/>
    <w:rsid w:val="002E09F9"/>
    <w:pPr>
      <w:spacing w:after="24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rsid w:val="002E09F9"/>
    <w:rPr>
      <w:rFonts w:ascii="Arial" w:hAnsi="Arial"/>
      <w:kern w:val="0"/>
      <w:sz w:val="20"/>
      <w:szCs w:val="20"/>
      <w14:ligatures w14:val="none"/>
    </w:rPr>
  </w:style>
  <w:style w:type="table" w:styleId="TableGrid">
    <w:name w:val="Table Grid"/>
    <w:basedOn w:val="TableNormal"/>
    <w:uiPriority w:val="39"/>
    <w:rsid w:val="002E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9F9"/>
    <w:rPr>
      <w:color w:val="467886" w:themeColor="hyperlink"/>
      <w:u w:val="single"/>
    </w:rPr>
  </w:style>
  <w:style w:type="character" w:styleId="UnresolvedMention">
    <w:name w:val="Unresolved Mention"/>
    <w:basedOn w:val="DefaultParagraphFont"/>
    <w:uiPriority w:val="99"/>
    <w:semiHidden/>
    <w:unhideWhenUsed/>
    <w:rsid w:val="002E09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054F"/>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56054F"/>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5427</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0f73a55eb2d30559db0872aa5bf75a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4050d01c40d4a11f9e328797803a8e3b"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CE2A49A-7F59-4DC2-AB1F-EDADC82D108A}">
  <ds:schemaRefs>
    <ds:schemaRef ds:uri="http://schemas.microsoft.com/sharepoint/v3/contenttype/forms"/>
  </ds:schemaRefs>
</ds:datastoreItem>
</file>

<file path=customXml/itemProps2.xml><?xml version="1.0" encoding="utf-8"?>
<ds:datastoreItem xmlns:ds="http://schemas.openxmlformats.org/officeDocument/2006/customXml" ds:itemID="{42A76DC5-405F-4A63-9B96-9E1C8003B16D}">
  <ds:schemaRefs>
    <ds:schemaRef ds:uri="http://schemas.microsoft.com/sharepoint.v3"/>
    <ds:schemaRef ds:uri="http://schemas.microsoft.com/office/2006/documentManagement/types"/>
    <ds:schemaRef ds:uri="http://purl.org/dc/dcmitype/"/>
    <ds:schemaRef ds:uri="http://schemas.microsoft.com/sharepoint/v3"/>
    <ds:schemaRef ds:uri="118f882f-1e32-4cf2-ad69-9de43d57f4c6"/>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a5d1ca4e-0a3f-4119-b619-e20b93ebd1aa"/>
    <ds:schemaRef ds:uri="4ffa91fb-a0ff-4ac5-b2db-65c790d184a4"/>
  </ds:schemaRefs>
</ds:datastoreItem>
</file>

<file path=customXml/itemProps3.xml><?xml version="1.0" encoding="utf-8"?>
<ds:datastoreItem xmlns:ds="http://schemas.openxmlformats.org/officeDocument/2006/customXml" ds:itemID="{2A220D0D-787C-4DE8-AD95-FBA9DC32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21F02-39E1-49CE-AF16-E46E0B95BE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Carolyn</dc:creator>
  <cp:lastModifiedBy>Johnson, Amaris</cp:lastModifiedBy>
  <cp:revision>2</cp:revision>
  <dcterms:created xsi:type="dcterms:W3CDTF">2025-10-31T21:30:00Z</dcterms:created>
  <dcterms:modified xsi:type="dcterms:W3CDTF">2025-10-31T21:30:00Z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