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01E4" w:rsidP="00DE7A1C" w14:paraId="35CF890C" w14:textId="77777777">
      <w:pPr>
        <w:rPr>
          <w:noProof/>
        </w:rPr>
      </w:pPr>
    </w:p>
    <w:p w:rsidR="00041909" w:rsidP="00313D14" w14:paraId="75C95265" w14:textId="100635FA">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476AE002" w14:textId="77777777"/>
    <w:p w:rsidR="00D928FD" w:rsidP="00313D14" w14:paraId="6A20752E" w14:textId="77777777">
      <w:r>
        <w:tab/>
      </w:r>
    </w:p>
    <w:p w:rsidR="00D928FD" w14:paraId="7A3C5859" w14:textId="77777777"/>
    <w:p w:rsidR="00D928FD" w14:paraId="78164B16" w14:textId="77777777"/>
    <w:p w:rsidR="00D928FD" w14:paraId="0A4B7578" w14:textId="77777777"/>
    <w:p w:rsidR="001F3A8F" w:rsidP="00313D14" w14:paraId="0BE6346B" w14:textId="3C19EA4F">
      <w:r>
        <w:rPr>
          <w:noProof/>
        </w:rPr>
        <mc:AlternateContent>
          <mc:Choice Requires="wps">
            <w:drawing>
              <wp:anchor distT="0" distB="0" distL="114300" distR="114300" simplePos="0" relativeHeight="251667456" behindDoc="0" locked="0" layoutInCell="1" allowOverlap="1">
                <wp:simplePos x="0" y="0"/>
                <wp:positionH relativeFrom="margin">
                  <wp:posOffset>388620</wp:posOffset>
                </wp:positionH>
                <wp:positionV relativeFrom="margin">
                  <wp:posOffset>3695700</wp:posOffset>
                </wp:positionV>
                <wp:extent cx="5318760" cy="4747260"/>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4747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E054DF" w14:textId="19057083">
                            <w:pPr>
                              <w:pStyle w:val="Boxtext"/>
                              <w:rPr>
                                <w:rFonts w:ascii="Times New Roman" w:hAnsi="Times New Roman"/>
                                <w:sz w:val="36"/>
                                <w:szCs w:val="36"/>
                              </w:rPr>
                            </w:pPr>
                            <w:bookmarkStart w:id="0" w:name="_Toc466046933"/>
                            <w:bookmarkStart w:id="1" w:name="_Toc199483355"/>
                            <w:r>
                              <w:rPr>
                                <w:rStyle w:val="Heading1Char"/>
                              </w:rPr>
                              <w:t>Part A</w:t>
                            </w:r>
                            <w:r w:rsidRPr="00E054DF">
                              <w:rPr>
                                <w:rStyle w:val="Heading1Char"/>
                              </w:rPr>
                              <w:t xml:space="preserve">: </w:t>
                            </w:r>
                            <w:bookmarkEnd w:id="0"/>
                            <w:r w:rsidR="00F43F66">
                              <w:rPr>
                                <w:rStyle w:val="Heading1Char"/>
                              </w:rPr>
                              <w:t>Justifications</w:t>
                            </w:r>
                            <w:bookmarkEnd w:id="1"/>
                            <w:r>
                              <w:br/>
                            </w:r>
                            <w:r w:rsidRPr="00E054DF">
                              <w:rPr>
                                <w:rFonts w:ascii="Times New Roman" w:hAnsi="Times New Roman"/>
                                <w:sz w:val="36"/>
                                <w:szCs w:val="36"/>
                              </w:rPr>
                              <w:t>OMB No. 1905-0</w:t>
                            </w:r>
                            <w:r w:rsidR="000C3218">
                              <w:rPr>
                                <w:rFonts w:ascii="Times New Roman" w:hAnsi="Times New Roman"/>
                                <w:sz w:val="36"/>
                                <w:szCs w:val="36"/>
                              </w:rPr>
                              <w:t>165</w:t>
                            </w:r>
                          </w:p>
                          <w:p w:rsidR="000C3218" w:rsidRPr="00421713" w:rsidP="000C3218" w14:textId="77777777">
                            <w:pPr>
                              <w:spacing w:before="120" w:after="0" w:line="240" w:lineRule="auto"/>
                              <w:rPr>
                                <w:sz w:val="24"/>
                                <w:szCs w:val="24"/>
                              </w:rPr>
                            </w:pPr>
                            <w:r w:rsidRPr="00421713">
                              <w:rPr>
                                <w:sz w:val="24"/>
                                <w:szCs w:val="24"/>
                              </w:rPr>
                              <w:t>Form EIA-800</w:t>
                            </w:r>
                            <w:r>
                              <w:rPr>
                                <w:sz w:val="24"/>
                                <w:szCs w:val="24"/>
                              </w:rPr>
                              <w:t xml:space="preserve"> </w:t>
                            </w:r>
                            <w:r w:rsidRPr="009B2F09">
                              <w:rPr>
                                <w:i/>
                                <w:sz w:val="24"/>
                                <w:szCs w:val="24"/>
                              </w:rPr>
                              <w:t>Weekly Refinery Report</w:t>
                            </w:r>
                          </w:p>
                          <w:p w:rsidR="000C3218" w:rsidRPr="00421713" w:rsidP="000C3218" w14:textId="77777777">
                            <w:pPr>
                              <w:spacing w:before="60" w:after="0" w:line="240" w:lineRule="auto"/>
                              <w:rPr>
                                <w:sz w:val="24"/>
                                <w:szCs w:val="24"/>
                              </w:rPr>
                            </w:pPr>
                            <w:r w:rsidRPr="00421713">
                              <w:rPr>
                                <w:sz w:val="24"/>
                                <w:szCs w:val="24"/>
                              </w:rPr>
                              <w:t>Form EIA-802</w:t>
                            </w:r>
                            <w:r>
                              <w:rPr>
                                <w:sz w:val="24"/>
                                <w:szCs w:val="24"/>
                              </w:rPr>
                              <w:t xml:space="preserve"> </w:t>
                            </w:r>
                            <w:r w:rsidRPr="009B2F09">
                              <w:rPr>
                                <w:i/>
                                <w:sz w:val="24"/>
                                <w:szCs w:val="24"/>
                              </w:rPr>
                              <w:t>Weekly Product Pipeline Report</w:t>
                            </w:r>
                          </w:p>
                          <w:p w:rsidR="000C3218" w:rsidRPr="00421713" w:rsidP="000C3218" w14:textId="77777777">
                            <w:pPr>
                              <w:spacing w:before="60" w:after="0" w:line="240" w:lineRule="auto"/>
                              <w:rPr>
                                <w:sz w:val="24"/>
                                <w:szCs w:val="24"/>
                              </w:rPr>
                            </w:pPr>
                            <w:r w:rsidRPr="00421713">
                              <w:rPr>
                                <w:sz w:val="24"/>
                                <w:szCs w:val="24"/>
                              </w:rPr>
                              <w:t>Form EIA-803</w:t>
                            </w:r>
                            <w:r>
                              <w:rPr>
                                <w:sz w:val="24"/>
                                <w:szCs w:val="24"/>
                              </w:rPr>
                              <w:t xml:space="preserve"> </w:t>
                            </w:r>
                            <w:r w:rsidRPr="009B2F09">
                              <w:rPr>
                                <w:i/>
                                <w:sz w:val="24"/>
                                <w:szCs w:val="24"/>
                              </w:rPr>
                              <w:t>Weekly Crude Oil Stocks Report</w:t>
                            </w:r>
                          </w:p>
                          <w:p w:rsidR="000C3218" w:rsidRPr="00421713" w:rsidP="000C3218" w14:textId="77777777">
                            <w:pPr>
                              <w:spacing w:before="60" w:after="0" w:line="240" w:lineRule="auto"/>
                              <w:rPr>
                                <w:sz w:val="24"/>
                                <w:szCs w:val="24"/>
                              </w:rPr>
                            </w:pPr>
                            <w:r w:rsidRPr="00421713">
                              <w:rPr>
                                <w:sz w:val="24"/>
                                <w:szCs w:val="24"/>
                              </w:rPr>
                              <w:t>Form EIA-804</w:t>
                            </w:r>
                            <w:r>
                              <w:rPr>
                                <w:sz w:val="24"/>
                                <w:szCs w:val="24"/>
                              </w:rPr>
                              <w:t xml:space="preserve"> </w:t>
                            </w:r>
                            <w:r w:rsidRPr="009B2F09">
                              <w:rPr>
                                <w:i/>
                                <w:sz w:val="24"/>
                                <w:szCs w:val="24"/>
                              </w:rPr>
                              <w:t>Weekly Imports Report</w:t>
                            </w:r>
                          </w:p>
                          <w:p w:rsidR="000C3218" w:rsidP="000C3218" w14:textId="77777777">
                            <w:pPr>
                              <w:spacing w:before="60" w:after="0" w:line="240" w:lineRule="auto"/>
                              <w:rPr>
                                <w:i/>
                                <w:sz w:val="24"/>
                                <w:szCs w:val="24"/>
                              </w:rPr>
                            </w:pPr>
                            <w:r w:rsidRPr="00421713">
                              <w:rPr>
                                <w:sz w:val="24"/>
                                <w:szCs w:val="24"/>
                              </w:rPr>
                              <w:t>Form EIA-805</w:t>
                            </w:r>
                            <w:r>
                              <w:rPr>
                                <w:sz w:val="24"/>
                                <w:szCs w:val="24"/>
                              </w:rPr>
                              <w:t xml:space="preserve"> </w:t>
                            </w:r>
                            <w:r w:rsidRPr="009B2F09">
                              <w:rPr>
                                <w:i/>
                                <w:sz w:val="24"/>
                                <w:szCs w:val="24"/>
                              </w:rPr>
                              <w:t>Weekly Bulk Terminal Report</w:t>
                            </w:r>
                          </w:p>
                          <w:p w:rsidR="000C3218" w:rsidRPr="00421713" w:rsidP="000C3218" w14:textId="77777777">
                            <w:pPr>
                              <w:spacing w:before="60" w:after="0" w:line="240" w:lineRule="auto"/>
                              <w:rPr>
                                <w:sz w:val="24"/>
                                <w:szCs w:val="24"/>
                              </w:rPr>
                            </w:pPr>
                            <w:r w:rsidRPr="00421713">
                              <w:rPr>
                                <w:sz w:val="24"/>
                                <w:szCs w:val="24"/>
                              </w:rPr>
                              <w:t>Form EIA-80</w:t>
                            </w:r>
                            <w:r>
                              <w:rPr>
                                <w:sz w:val="24"/>
                                <w:szCs w:val="24"/>
                              </w:rPr>
                              <w:t xml:space="preserve">6 </w:t>
                            </w:r>
                            <w:r w:rsidRPr="009B2F09">
                              <w:rPr>
                                <w:i/>
                                <w:sz w:val="24"/>
                                <w:szCs w:val="24"/>
                              </w:rPr>
                              <w:t xml:space="preserve">Weekly </w:t>
                            </w:r>
                            <w:r>
                              <w:rPr>
                                <w:i/>
                                <w:sz w:val="24"/>
                                <w:szCs w:val="24"/>
                              </w:rPr>
                              <w:t>Natural Gas Liquids</w:t>
                            </w:r>
                            <w:r w:rsidRPr="009B2F09">
                              <w:rPr>
                                <w:i/>
                                <w:sz w:val="24"/>
                                <w:szCs w:val="24"/>
                              </w:rPr>
                              <w:t xml:space="preserve"> Report</w:t>
                            </w:r>
                          </w:p>
                          <w:p w:rsidR="000C3218" w:rsidRPr="00421713" w:rsidP="000C3218" w14:textId="77777777">
                            <w:pPr>
                              <w:spacing w:before="60" w:after="0" w:line="240" w:lineRule="auto"/>
                              <w:rPr>
                                <w:sz w:val="24"/>
                                <w:szCs w:val="24"/>
                              </w:rPr>
                            </w:pPr>
                            <w:r w:rsidRPr="00421713">
                              <w:rPr>
                                <w:sz w:val="24"/>
                                <w:szCs w:val="24"/>
                              </w:rPr>
                              <w:t>Form EIA-809</w:t>
                            </w:r>
                            <w:r>
                              <w:rPr>
                                <w:sz w:val="24"/>
                                <w:szCs w:val="24"/>
                              </w:rPr>
                              <w:t xml:space="preserve"> </w:t>
                            </w:r>
                            <w:r w:rsidRPr="009B2F09">
                              <w:rPr>
                                <w:i/>
                                <w:sz w:val="24"/>
                                <w:szCs w:val="24"/>
                              </w:rPr>
                              <w:t>Weekly Oxygenate Report</w:t>
                            </w:r>
                          </w:p>
                          <w:p w:rsidR="000C3218" w:rsidRPr="00421713" w:rsidP="000C3218" w14:textId="77777777">
                            <w:pPr>
                              <w:spacing w:before="60" w:after="0" w:line="240" w:lineRule="auto"/>
                              <w:rPr>
                                <w:sz w:val="24"/>
                                <w:szCs w:val="24"/>
                              </w:rPr>
                            </w:pPr>
                            <w:r w:rsidRPr="00421713">
                              <w:rPr>
                                <w:sz w:val="24"/>
                                <w:szCs w:val="24"/>
                              </w:rPr>
                              <w:t>Form EIA-810</w:t>
                            </w:r>
                            <w:r>
                              <w:rPr>
                                <w:sz w:val="24"/>
                                <w:szCs w:val="24"/>
                              </w:rPr>
                              <w:t xml:space="preserve"> </w:t>
                            </w:r>
                            <w:r w:rsidRPr="009B2F09">
                              <w:rPr>
                                <w:i/>
                                <w:sz w:val="24"/>
                                <w:szCs w:val="24"/>
                              </w:rPr>
                              <w:t>Monthly Refinery Report</w:t>
                            </w:r>
                          </w:p>
                          <w:p w:rsidR="000C3218" w:rsidRPr="00421713" w:rsidP="000C3218" w14:textId="77777777">
                            <w:pPr>
                              <w:spacing w:before="60" w:after="0" w:line="240" w:lineRule="auto"/>
                              <w:rPr>
                                <w:sz w:val="24"/>
                                <w:szCs w:val="24"/>
                              </w:rPr>
                            </w:pPr>
                            <w:r w:rsidRPr="00421713">
                              <w:rPr>
                                <w:sz w:val="24"/>
                                <w:szCs w:val="24"/>
                              </w:rPr>
                              <w:t>Form EIA-812</w:t>
                            </w:r>
                            <w:r>
                              <w:rPr>
                                <w:sz w:val="24"/>
                                <w:szCs w:val="24"/>
                              </w:rPr>
                              <w:t xml:space="preserve"> </w:t>
                            </w:r>
                            <w:r w:rsidRPr="009B2F09">
                              <w:rPr>
                                <w:i/>
                                <w:sz w:val="24"/>
                                <w:szCs w:val="24"/>
                              </w:rPr>
                              <w:t>Monthly Product Pipeline Report</w:t>
                            </w:r>
                          </w:p>
                          <w:p w:rsidR="000C3218" w:rsidRPr="00421713" w:rsidP="000C3218" w14:textId="77777777">
                            <w:pPr>
                              <w:spacing w:before="60" w:after="0" w:line="240" w:lineRule="auto"/>
                              <w:rPr>
                                <w:sz w:val="24"/>
                                <w:szCs w:val="24"/>
                              </w:rPr>
                            </w:pPr>
                            <w:r w:rsidRPr="00421713">
                              <w:rPr>
                                <w:sz w:val="24"/>
                                <w:szCs w:val="24"/>
                              </w:rPr>
                              <w:t>Form EIA-813</w:t>
                            </w:r>
                            <w:r>
                              <w:rPr>
                                <w:sz w:val="24"/>
                                <w:szCs w:val="24"/>
                              </w:rPr>
                              <w:t xml:space="preserve"> </w:t>
                            </w:r>
                            <w:r w:rsidRPr="009B2F09">
                              <w:rPr>
                                <w:i/>
                                <w:sz w:val="24"/>
                                <w:szCs w:val="24"/>
                              </w:rPr>
                              <w:t>Monthly Crude Oil Report</w:t>
                            </w:r>
                          </w:p>
                          <w:p w:rsidR="000C3218" w:rsidRPr="00421713" w:rsidP="000C3218" w14:textId="77777777">
                            <w:pPr>
                              <w:spacing w:before="60" w:after="0" w:line="240" w:lineRule="auto"/>
                              <w:rPr>
                                <w:sz w:val="24"/>
                                <w:szCs w:val="24"/>
                              </w:rPr>
                            </w:pPr>
                            <w:r w:rsidRPr="00421713">
                              <w:rPr>
                                <w:sz w:val="24"/>
                                <w:szCs w:val="24"/>
                              </w:rPr>
                              <w:t>Form EIA-814</w:t>
                            </w:r>
                            <w:r>
                              <w:rPr>
                                <w:sz w:val="24"/>
                                <w:szCs w:val="24"/>
                              </w:rPr>
                              <w:t xml:space="preserve"> </w:t>
                            </w:r>
                            <w:r w:rsidRPr="009B2F09">
                              <w:rPr>
                                <w:i/>
                                <w:sz w:val="24"/>
                                <w:szCs w:val="24"/>
                              </w:rPr>
                              <w:t>Monthly Imports Report</w:t>
                            </w:r>
                          </w:p>
                          <w:p w:rsidR="000C3218" w:rsidRPr="00421713" w:rsidP="000C3218" w14:textId="77777777">
                            <w:pPr>
                              <w:spacing w:before="60" w:after="0" w:line="240" w:lineRule="auto"/>
                              <w:rPr>
                                <w:sz w:val="24"/>
                                <w:szCs w:val="24"/>
                              </w:rPr>
                            </w:pPr>
                            <w:r w:rsidRPr="00421713">
                              <w:rPr>
                                <w:sz w:val="24"/>
                                <w:szCs w:val="24"/>
                              </w:rPr>
                              <w:t>Form EIA-815</w:t>
                            </w:r>
                            <w:r>
                              <w:rPr>
                                <w:sz w:val="24"/>
                                <w:szCs w:val="24"/>
                              </w:rPr>
                              <w:t xml:space="preserve"> </w:t>
                            </w:r>
                            <w:r w:rsidRPr="009B2F09">
                              <w:rPr>
                                <w:i/>
                                <w:sz w:val="24"/>
                                <w:szCs w:val="24"/>
                              </w:rPr>
                              <w:t>Monthly Bulk Terminal Report</w:t>
                            </w:r>
                          </w:p>
                          <w:p w:rsidR="000C3218" w:rsidRPr="00421713" w:rsidP="000C3218" w14:textId="77777777">
                            <w:pPr>
                              <w:spacing w:before="60" w:after="0" w:line="240" w:lineRule="auto"/>
                              <w:rPr>
                                <w:sz w:val="24"/>
                                <w:szCs w:val="24"/>
                              </w:rPr>
                            </w:pPr>
                            <w:r w:rsidRPr="00421713">
                              <w:rPr>
                                <w:sz w:val="24"/>
                                <w:szCs w:val="24"/>
                              </w:rPr>
                              <w:t>Form EIA-816</w:t>
                            </w:r>
                            <w:r>
                              <w:rPr>
                                <w:sz w:val="24"/>
                                <w:szCs w:val="24"/>
                              </w:rPr>
                              <w:t xml:space="preserve"> </w:t>
                            </w:r>
                            <w:r w:rsidRPr="009B2F09">
                              <w:rPr>
                                <w:i/>
                                <w:sz w:val="24"/>
                                <w:szCs w:val="24"/>
                              </w:rPr>
                              <w:t>Monthly Natural Gas Liquids Report</w:t>
                            </w:r>
                          </w:p>
                          <w:p w:rsidR="000C3218" w:rsidRPr="00421713" w:rsidP="000C3218" w14:textId="77777777">
                            <w:pPr>
                              <w:spacing w:before="60" w:after="0" w:line="240" w:lineRule="auto"/>
                              <w:rPr>
                                <w:sz w:val="24"/>
                                <w:szCs w:val="24"/>
                              </w:rPr>
                            </w:pPr>
                            <w:r w:rsidRPr="00421713">
                              <w:rPr>
                                <w:sz w:val="24"/>
                                <w:szCs w:val="24"/>
                              </w:rPr>
                              <w:t>Form EIA-817</w:t>
                            </w:r>
                            <w:r>
                              <w:rPr>
                                <w:sz w:val="24"/>
                                <w:szCs w:val="24"/>
                              </w:rPr>
                              <w:t xml:space="preserve"> </w:t>
                            </w:r>
                            <w:r w:rsidRPr="009B2F09">
                              <w:rPr>
                                <w:i/>
                                <w:sz w:val="24"/>
                                <w:szCs w:val="24"/>
                              </w:rPr>
                              <w:t>Monthly Tanker and</w:t>
                            </w:r>
                            <w:r w:rsidRPr="00421713">
                              <w:rPr>
                                <w:sz w:val="24"/>
                                <w:szCs w:val="24"/>
                              </w:rPr>
                              <w:t xml:space="preserve"> </w:t>
                            </w:r>
                            <w:r w:rsidRPr="009B2F09">
                              <w:rPr>
                                <w:i/>
                                <w:sz w:val="24"/>
                                <w:szCs w:val="24"/>
                              </w:rPr>
                              <w:t>Barge Movement Report</w:t>
                            </w:r>
                          </w:p>
                          <w:p w:rsidR="000C3218" w:rsidRPr="00421713" w:rsidP="000C3218" w14:textId="0C353F0F">
                            <w:pPr>
                              <w:spacing w:before="60" w:after="0" w:line="240" w:lineRule="auto"/>
                              <w:rPr>
                                <w:sz w:val="24"/>
                                <w:szCs w:val="24"/>
                              </w:rPr>
                            </w:pPr>
                            <w:r w:rsidRPr="00421713">
                              <w:rPr>
                                <w:sz w:val="24"/>
                                <w:szCs w:val="24"/>
                              </w:rPr>
                              <w:t>Form EIA-819</w:t>
                            </w:r>
                            <w:r>
                              <w:rPr>
                                <w:sz w:val="24"/>
                                <w:szCs w:val="24"/>
                              </w:rPr>
                              <w:t xml:space="preserve"> </w:t>
                            </w:r>
                            <w:r w:rsidRPr="004C0CC7">
                              <w:rPr>
                                <w:i/>
                                <w:sz w:val="24"/>
                                <w:szCs w:val="24"/>
                              </w:rPr>
                              <w:t xml:space="preserve">Monthly </w:t>
                            </w:r>
                            <w:r w:rsidR="00F45F7B">
                              <w:rPr>
                                <w:i/>
                                <w:sz w:val="24"/>
                                <w:szCs w:val="24"/>
                              </w:rPr>
                              <w:t xml:space="preserve">Report of </w:t>
                            </w:r>
                            <w:r w:rsidR="004C0CC7">
                              <w:rPr>
                                <w:i/>
                                <w:sz w:val="24"/>
                                <w:szCs w:val="24"/>
                              </w:rPr>
                              <w:t xml:space="preserve">Fuels from Non-Biogenic Waste and </w:t>
                            </w:r>
                            <w:r w:rsidRPr="004C0CC7">
                              <w:rPr>
                                <w:i/>
                                <w:sz w:val="24"/>
                                <w:szCs w:val="24"/>
                              </w:rPr>
                              <w:t>Biofuels</w:t>
                            </w:r>
                          </w:p>
                          <w:p w:rsidR="000C3218" w:rsidP="000C3218" w14:textId="77777777">
                            <w:pPr>
                              <w:spacing w:before="60" w:after="0" w:line="240" w:lineRule="auto"/>
                              <w:rPr>
                                <w:i/>
                                <w:sz w:val="24"/>
                                <w:szCs w:val="24"/>
                              </w:rPr>
                            </w:pPr>
                            <w:r w:rsidRPr="00421713">
                              <w:rPr>
                                <w:sz w:val="24"/>
                                <w:szCs w:val="24"/>
                              </w:rPr>
                              <w:t>Form EIA-820</w:t>
                            </w:r>
                            <w:r>
                              <w:rPr>
                                <w:sz w:val="24"/>
                                <w:szCs w:val="24"/>
                              </w:rPr>
                              <w:t xml:space="preserve"> </w:t>
                            </w:r>
                            <w:r w:rsidRPr="009B2F09">
                              <w:rPr>
                                <w:i/>
                                <w:sz w:val="24"/>
                                <w:szCs w:val="24"/>
                              </w:rPr>
                              <w:t>Annual Refinery</w:t>
                            </w:r>
                            <w:r w:rsidRPr="00421713">
                              <w:rPr>
                                <w:sz w:val="24"/>
                                <w:szCs w:val="24"/>
                              </w:rPr>
                              <w:t xml:space="preserve"> </w:t>
                            </w:r>
                            <w:r w:rsidRPr="009B2F09">
                              <w:rPr>
                                <w:i/>
                                <w:sz w:val="24"/>
                                <w:szCs w:val="24"/>
                              </w:rPr>
                              <w:t>Report</w:t>
                            </w:r>
                          </w:p>
                          <w:p w:rsidR="00D80C98" w:rsidRPr="00D80C98" w:rsidP="000C3218" w14:textId="6029AD8E">
                            <w:pPr>
                              <w:spacing w:before="60" w:after="0" w:line="240" w:lineRule="auto"/>
                              <w:rPr>
                                <w:iCs/>
                                <w:sz w:val="24"/>
                                <w:szCs w:val="24"/>
                              </w:rPr>
                            </w:pPr>
                            <w:r>
                              <w:rPr>
                                <w:iCs/>
                                <w:sz w:val="24"/>
                                <w:szCs w:val="24"/>
                              </w:rPr>
                              <w:t xml:space="preserve">Form EIA-830 </w:t>
                            </w:r>
                            <w:r>
                              <w:rPr>
                                <w:i/>
                                <w:sz w:val="24"/>
                                <w:szCs w:val="24"/>
                              </w:rPr>
                              <w:t xml:space="preserve">Annual Storage Capacity Report </w:t>
                            </w:r>
                            <w:r>
                              <w:rPr>
                                <w:iCs/>
                                <w:sz w:val="24"/>
                                <w:szCs w:val="24"/>
                              </w:rPr>
                              <w:t>(standby)</w:t>
                            </w:r>
                          </w:p>
                          <w:p w:rsidR="00E054DF" w:rsidRPr="0059212D" w:rsidP="000C3218" w14:textId="5EA17534">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373.8pt;margin-top:291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054DF" w:rsidRPr="00E054DF" w:rsidP="00E054DF" w14:paraId="06B387FF" w14:textId="19057083">
                      <w:pPr>
                        <w:pStyle w:val="Boxtext"/>
                        <w:rPr>
                          <w:rFonts w:ascii="Times New Roman" w:hAnsi="Times New Roman"/>
                          <w:sz w:val="36"/>
                          <w:szCs w:val="36"/>
                        </w:rPr>
                      </w:pPr>
                      <w:bookmarkStart w:id="0" w:name="_Toc466046933"/>
                      <w:bookmarkStart w:id="1" w:name="_Toc199483355"/>
                      <w:r>
                        <w:rPr>
                          <w:rStyle w:val="Heading1Char"/>
                        </w:rPr>
                        <w:t>Part A</w:t>
                      </w:r>
                      <w:r w:rsidRPr="00E054DF">
                        <w:rPr>
                          <w:rStyle w:val="Heading1Char"/>
                        </w:rPr>
                        <w:t xml:space="preserve">: </w:t>
                      </w:r>
                      <w:bookmarkEnd w:id="0"/>
                      <w:r w:rsidR="00F43F66">
                        <w:rPr>
                          <w:rStyle w:val="Heading1Char"/>
                        </w:rPr>
                        <w:t>Justifications</w:t>
                      </w:r>
                      <w:bookmarkEnd w:id="1"/>
                      <w:r>
                        <w:br/>
                      </w:r>
                      <w:r w:rsidRPr="00E054DF">
                        <w:rPr>
                          <w:rFonts w:ascii="Times New Roman" w:hAnsi="Times New Roman"/>
                          <w:sz w:val="36"/>
                          <w:szCs w:val="36"/>
                        </w:rPr>
                        <w:t>OMB No. 1905-0</w:t>
                      </w:r>
                      <w:r w:rsidR="000C3218">
                        <w:rPr>
                          <w:rFonts w:ascii="Times New Roman" w:hAnsi="Times New Roman"/>
                          <w:sz w:val="36"/>
                          <w:szCs w:val="36"/>
                        </w:rPr>
                        <w:t>165</w:t>
                      </w:r>
                    </w:p>
                    <w:p w:rsidR="000C3218" w:rsidRPr="00421713" w:rsidP="000C3218" w14:paraId="731A26DA" w14:textId="77777777">
                      <w:pPr>
                        <w:spacing w:before="120" w:after="0" w:line="240" w:lineRule="auto"/>
                        <w:rPr>
                          <w:sz w:val="24"/>
                          <w:szCs w:val="24"/>
                        </w:rPr>
                      </w:pPr>
                      <w:r w:rsidRPr="00421713">
                        <w:rPr>
                          <w:sz w:val="24"/>
                          <w:szCs w:val="24"/>
                        </w:rPr>
                        <w:t>Form EIA-800</w:t>
                      </w:r>
                      <w:r>
                        <w:rPr>
                          <w:sz w:val="24"/>
                          <w:szCs w:val="24"/>
                        </w:rPr>
                        <w:t xml:space="preserve"> </w:t>
                      </w:r>
                      <w:r w:rsidRPr="009B2F09">
                        <w:rPr>
                          <w:i/>
                          <w:sz w:val="24"/>
                          <w:szCs w:val="24"/>
                        </w:rPr>
                        <w:t>Weekly Refinery Report</w:t>
                      </w:r>
                    </w:p>
                    <w:p w:rsidR="000C3218" w:rsidRPr="00421713" w:rsidP="000C3218" w14:paraId="4D5166AA" w14:textId="77777777">
                      <w:pPr>
                        <w:spacing w:before="60" w:after="0" w:line="240" w:lineRule="auto"/>
                        <w:rPr>
                          <w:sz w:val="24"/>
                          <w:szCs w:val="24"/>
                        </w:rPr>
                      </w:pPr>
                      <w:r w:rsidRPr="00421713">
                        <w:rPr>
                          <w:sz w:val="24"/>
                          <w:szCs w:val="24"/>
                        </w:rPr>
                        <w:t>Form EIA-802</w:t>
                      </w:r>
                      <w:r>
                        <w:rPr>
                          <w:sz w:val="24"/>
                          <w:szCs w:val="24"/>
                        </w:rPr>
                        <w:t xml:space="preserve"> </w:t>
                      </w:r>
                      <w:r w:rsidRPr="009B2F09">
                        <w:rPr>
                          <w:i/>
                          <w:sz w:val="24"/>
                          <w:szCs w:val="24"/>
                        </w:rPr>
                        <w:t>Weekly Product Pipeline Report</w:t>
                      </w:r>
                    </w:p>
                    <w:p w:rsidR="000C3218" w:rsidRPr="00421713" w:rsidP="000C3218" w14:paraId="46DC7022" w14:textId="77777777">
                      <w:pPr>
                        <w:spacing w:before="60" w:after="0" w:line="240" w:lineRule="auto"/>
                        <w:rPr>
                          <w:sz w:val="24"/>
                          <w:szCs w:val="24"/>
                        </w:rPr>
                      </w:pPr>
                      <w:r w:rsidRPr="00421713">
                        <w:rPr>
                          <w:sz w:val="24"/>
                          <w:szCs w:val="24"/>
                        </w:rPr>
                        <w:t>Form EIA-803</w:t>
                      </w:r>
                      <w:r>
                        <w:rPr>
                          <w:sz w:val="24"/>
                          <w:szCs w:val="24"/>
                        </w:rPr>
                        <w:t xml:space="preserve"> </w:t>
                      </w:r>
                      <w:r w:rsidRPr="009B2F09">
                        <w:rPr>
                          <w:i/>
                          <w:sz w:val="24"/>
                          <w:szCs w:val="24"/>
                        </w:rPr>
                        <w:t>Weekly Crude Oil Stocks Report</w:t>
                      </w:r>
                    </w:p>
                    <w:p w:rsidR="000C3218" w:rsidRPr="00421713" w:rsidP="000C3218" w14:paraId="11C6A32B" w14:textId="77777777">
                      <w:pPr>
                        <w:spacing w:before="60" w:after="0" w:line="240" w:lineRule="auto"/>
                        <w:rPr>
                          <w:sz w:val="24"/>
                          <w:szCs w:val="24"/>
                        </w:rPr>
                      </w:pPr>
                      <w:r w:rsidRPr="00421713">
                        <w:rPr>
                          <w:sz w:val="24"/>
                          <w:szCs w:val="24"/>
                        </w:rPr>
                        <w:t>Form EIA-804</w:t>
                      </w:r>
                      <w:r>
                        <w:rPr>
                          <w:sz w:val="24"/>
                          <w:szCs w:val="24"/>
                        </w:rPr>
                        <w:t xml:space="preserve"> </w:t>
                      </w:r>
                      <w:r w:rsidRPr="009B2F09">
                        <w:rPr>
                          <w:i/>
                          <w:sz w:val="24"/>
                          <w:szCs w:val="24"/>
                        </w:rPr>
                        <w:t>Weekly Imports Report</w:t>
                      </w:r>
                    </w:p>
                    <w:p w:rsidR="000C3218" w:rsidP="000C3218" w14:paraId="0C6E61CB" w14:textId="77777777">
                      <w:pPr>
                        <w:spacing w:before="60" w:after="0" w:line="240" w:lineRule="auto"/>
                        <w:rPr>
                          <w:i/>
                          <w:sz w:val="24"/>
                          <w:szCs w:val="24"/>
                        </w:rPr>
                      </w:pPr>
                      <w:r w:rsidRPr="00421713">
                        <w:rPr>
                          <w:sz w:val="24"/>
                          <w:szCs w:val="24"/>
                        </w:rPr>
                        <w:t>Form EIA-805</w:t>
                      </w:r>
                      <w:r>
                        <w:rPr>
                          <w:sz w:val="24"/>
                          <w:szCs w:val="24"/>
                        </w:rPr>
                        <w:t xml:space="preserve"> </w:t>
                      </w:r>
                      <w:r w:rsidRPr="009B2F09">
                        <w:rPr>
                          <w:i/>
                          <w:sz w:val="24"/>
                          <w:szCs w:val="24"/>
                        </w:rPr>
                        <w:t>Weekly Bulk Terminal Report</w:t>
                      </w:r>
                    </w:p>
                    <w:p w:rsidR="000C3218" w:rsidRPr="00421713" w:rsidP="000C3218" w14:paraId="01AA72EE" w14:textId="77777777">
                      <w:pPr>
                        <w:spacing w:before="60" w:after="0" w:line="240" w:lineRule="auto"/>
                        <w:rPr>
                          <w:sz w:val="24"/>
                          <w:szCs w:val="24"/>
                        </w:rPr>
                      </w:pPr>
                      <w:r w:rsidRPr="00421713">
                        <w:rPr>
                          <w:sz w:val="24"/>
                          <w:szCs w:val="24"/>
                        </w:rPr>
                        <w:t>Form EIA-80</w:t>
                      </w:r>
                      <w:r>
                        <w:rPr>
                          <w:sz w:val="24"/>
                          <w:szCs w:val="24"/>
                        </w:rPr>
                        <w:t xml:space="preserve">6 </w:t>
                      </w:r>
                      <w:r w:rsidRPr="009B2F09">
                        <w:rPr>
                          <w:i/>
                          <w:sz w:val="24"/>
                          <w:szCs w:val="24"/>
                        </w:rPr>
                        <w:t xml:space="preserve">Weekly </w:t>
                      </w:r>
                      <w:r>
                        <w:rPr>
                          <w:i/>
                          <w:sz w:val="24"/>
                          <w:szCs w:val="24"/>
                        </w:rPr>
                        <w:t>Natural Gas Liquids</w:t>
                      </w:r>
                      <w:r w:rsidRPr="009B2F09">
                        <w:rPr>
                          <w:i/>
                          <w:sz w:val="24"/>
                          <w:szCs w:val="24"/>
                        </w:rPr>
                        <w:t xml:space="preserve"> Report</w:t>
                      </w:r>
                    </w:p>
                    <w:p w:rsidR="000C3218" w:rsidRPr="00421713" w:rsidP="000C3218" w14:paraId="0307C132" w14:textId="77777777">
                      <w:pPr>
                        <w:spacing w:before="60" w:after="0" w:line="240" w:lineRule="auto"/>
                        <w:rPr>
                          <w:sz w:val="24"/>
                          <w:szCs w:val="24"/>
                        </w:rPr>
                      </w:pPr>
                      <w:r w:rsidRPr="00421713">
                        <w:rPr>
                          <w:sz w:val="24"/>
                          <w:szCs w:val="24"/>
                        </w:rPr>
                        <w:t>Form EIA-809</w:t>
                      </w:r>
                      <w:r>
                        <w:rPr>
                          <w:sz w:val="24"/>
                          <w:szCs w:val="24"/>
                        </w:rPr>
                        <w:t xml:space="preserve"> </w:t>
                      </w:r>
                      <w:r w:rsidRPr="009B2F09">
                        <w:rPr>
                          <w:i/>
                          <w:sz w:val="24"/>
                          <w:szCs w:val="24"/>
                        </w:rPr>
                        <w:t>Weekly Oxygenate Report</w:t>
                      </w:r>
                    </w:p>
                    <w:p w:rsidR="000C3218" w:rsidRPr="00421713" w:rsidP="000C3218" w14:paraId="5B8B5F80" w14:textId="77777777">
                      <w:pPr>
                        <w:spacing w:before="60" w:after="0" w:line="240" w:lineRule="auto"/>
                        <w:rPr>
                          <w:sz w:val="24"/>
                          <w:szCs w:val="24"/>
                        </w:rPr>
                      </w:pPr>
                      <w:r w:rsidRPr="00421713">
                        <w:rPr>
                          <w:sz w:val="24"/>
                          <w:szCs w:val="24"/>
                        </w:rPr>
                        <w:t>Form EIA-810</w:t>
                      </w:r>
                      <w:r>
                        <w:rPr>
                          <w:sz w:val="24"/>
                          <w:szCs w:val="24"/>
                        </w:rPr>
                        <w:t xml:space="preserve"> </w:t>
                      </w:r>
                      <w:r w:rsidRPr="009B2F09">
                        <w:rPr>
                          <w:i/>
                          <w:sz w:val="24"/>
                          <w:szCs w:val="24"/>
                        </w:rPr>
                        <w:t>Monthly Refinery Report</w:t>
                      </w:r>
                    </w:p>
                    <w:p w:rsidR="000C3218" w:rsidRPr="00421713" w:rsidP="000C3218" w14:paraId="0CDB9527" w14:textId="77777777">
                      <w:pPr>
                        <w:spacing w:before="60" w:after="0" w:line="240" w:lineRule="auto"/>
                        <w:rPr>
                          <w:sz w:val="24"/>
                          <w:szCs w:val="24"/>
                        </w:rPr>
                      </w:pPr>
                      <w:r w:rsidRPr="00421713">
                        <w:rPr>
                          <w:sz w:val="24"/>
                          <w:szCs w:val="24"/>
                        </w:rPr>
                        <w:t>Form EIA-812</w:t>
                      </w:r>
                      <w:r>
                        <w:rPr>
                          <w:sz w:val="24"/>
                          <w:szCs w:val="24"/>
                        </w:rPr>
                        <w:t xml:space="preserve"> </w:t>
                      </w:r>
                      <w:r w:rsidRPr="009B2F09">
                        <w:rPr>
                          <w:i/>
                          <w:sz w:val="24"/>
                          <w:szCs w:val="24"/>
                        </w:rPr>
                        <w:t>Monthly Product Pipeline Report</w:t>
                      </w:r>
                    </w:p>
                    <w:p w:rsidR="000C3218" w:rsidRPr="00421713" w:rsidP="000C3218" w14:paraId="5EF5BB54" w14:textId="77777777">
                      <w:pPr>
                        <w:spacing w:before="60" w:after="0" w:line="240" w:lineRule="auto"/>
                        <w:rPr>
                          <w:sz w:val="24"/>
                          <w:szCs w:val="24"/>
                        </w:rPr>
                      </w:pPr>
                      <w:r w:rsidRPr="00421713">
                        <w:rPr>
                          <w:sz w:val="24"/>
                          <w:szCs w:val="24"/>
                        </w:rPr>
                        <w:t>Form EIA-813</w:t>
                      </w:r>
                      <w:r>
                        <w:rPr>
                          <w:sz w:val="24"/>
                          <w:szCs w:val="24"/>
                        </w:rPr>
                        <w:t xml:space="preserve"> </w:t>
                      </w:r>
                      <w:r w:rsidRPr="009B2F09">
                        <w:rPr>
                          <w:i/>
                          <w:sz w:val="24"/>
                          <w:szCs w:val="24"/>
                        </w:rPr>
                        <w:t>Monthly Crude Oil Report</w:t>
                      </w:r>
                    </w:p>
                    <w:p w:rsidR="000C3218" w:rsidRPr="00421713" w:rsidP="000C3218" w14:paraId="14206E45" w14:textId="77777777">
                      <w:pPr>
                        <w:spacing w:before="60" w:after="0" w:line="240" w:lineRule="auto"/>
                        <w:rPr>
                          <w:sz w:val="24"/>
                          <w:szCs w:val="24"/>
                        </w:rPr>
                      </w:pPr>
                      <w:r w:rsidRPr="00421713">
                        <w:rPr>
                          <w:sz w:val="24"/>
                          <w:szCs w:val="24"/>
                        </w:rPr>
                        <w:t>Form EIA-814</w:t>
                      </w:r>
                      <w:r>
                        <w:rPr>
                          <w:sz w:val="24"/>
                          <w:szCs w:val="24"/>
                        </w:rPr>
                        <w:t xml:space="preserve"> </w:t>
                      </w:r>
                      <w:r w:rsidRPr="009B2F09">
                        <w:rPr>
                          <w:i/>
                          <w:sz w:val="24"/>
                          <w:szCs w:val="24"/>
                        </w:rPr>
                        <w:t>Monthly Imports Report</w:t>
                      </w:r>
                    </w:p>
                    <w:p w:rsidR="000C3218" w:rsidRPr="00421713" w:rsidP="000C3218" w14:paraId="3B32FDFF" w14:textId="77777777">
                      <w:pPr>
                        <w:spacing w:before="60" w:after="0" w:line="240" w:lineRule="auto"/>
                        <w:rPr>
                          <w:sz w:val="24"/>
                          <w:szCs w:val="24"/>
                        </w:rPr>
                      </w:pPr>
                      <w:r w:rsidRPr="00421713">
                        <w:rPr>
                          <w:sz w:val="24"/>
                          <w:szCs w:val="24"/>
                        </w:rPr>
                        <w:t>Form EIA-815</w:t>
                      </w:r>
                      <w:r>
                        <w:rPr>
                          <w:sz w:val="24"/>
                          <w:szCs w:val="24"/>
                        </w:rPr>
                        <w:t xml:space="preserve"> </w:t>
                      </w:r>
                      <w:r w:rsidRPr="009B2F09">
                        <w:rPr>
                          <w:i/>
                          <w:sz w:val="24"/>
                          <w:szCs w:val="24"/>
                        </w:rPr>
                        <w:t>Monthly Bulk Terminal Report</w:t>
                      </w:r>
                    </w:p>
                    <w:p w:rsidR="000C3218" w:rsidRPr="00421713" w:rsidP="000C3218" w14:paraId="2E46EA91" w14:textId="77777777">
                      <w:pPr>
                        <w:spacing w:before="60" w:after="0" w:line="240" w:lineRule="auto"/>
                        <w:rPr>
                          <w:sz w:val="24"/>
                          <w:szCs w:val="24"/>
                        </w:rPr>
                      </w:pPr>
                      <w:r w:rsidRPr="00421713">
                        <w:rPr>
                          <w:sz w:val="24"/>
                          <w:szCs w:val="24"/>
                        </w:rPr>
                        <w:t>Form EIA-816</w:t>
                      </w:r>
                      <w:r>
                        <w:rPr>
                          <w:sz w:val="24"/>
                          <w:szCs w:val="24"/>
                        </w:rPr>
                        <w:t xml:space="preserve"> </w:t>
                      </w:r>
                      <w:r w:rsidRPr="009B2F09">
                        <w:rPr>
                          <w:i/>
                          <w:sz w:val="24"/>
                          <w:szCs w:val="24"/>
                        </w:rPr>
                        <w:t>Monthly Natural Gas Liquids Report</w:t>
                      </w:r>
                    </w:p>
                    <w:p w:rsidR="000C3218" w:rsidRPr="00421713" w:rsidP="000C3218" w14:paraId="71A188BA" w14:textId="77777777">
                      <w:pPr>
                        <w:spacing w:before="60" w:after="0" w:line="240" w:lineRule="auto"/>
                        <w:rPr>
                          <w:sz w:val="24"/>
                          <w:szCs w:val="24"/>
                        </w:rPr>
                      </w:pPr>
                      <w:r w:rsidRPr="00421713">
                        <w:rPr>
                          <w:sz w:val="24"/>
                          <w:szCs w:val="24"/>
                        </w:rPr>
                        <w:t>Form EIA-817</w:t>
                      </w:r>
                      <w:r>
                        <w:rPr>
                          <w:sz w:val="24"/>
                          <w:szCs w:val="24"/>
                        </w:rPr>
                        <w:t xml:space="preserve"> </w:t>
                      </w:r>
                      <w:r w:rsidRPr="009B2F09">
                        <w:rPr>
                          <w:i/>
                          <w:sz w:val="24"/>
                          <w:szCs w:val="24"/>
                        </w:rPr>
                        <w:t>Monthly Tanker and</w:t>
                      </w:r>
                      <w:r w:rsidRPr="00421713">
                        <w:rPr>
                          <w:sz w:val="24"/>
                          <w:szCs w:val="24"/>
                        </w:rPr>
                        <w:t xml:space="preserve"> </w:t>
                      </w:r>
                      <w:r w:rsidRPr="009B2F09">
                        <w:rPr>
                          <w:i/>
                          <w:sz w:val="24"/>
                          <w:szCs w:val="24"/>
                        </w:rPr>
                        <w:t>Barge Movement Report</w:t>
                      </w:r>
                    </w:p>
                    <w:p w:rsidR="000C3218" w:rsidRPr="00421713" w:rsidP="000C3218" w14:paraId="5D072F6B" w14:textId="0C353F0F">
                      <w:pPr>
                        <w:spacing w:before="60" w:after="0" w:line="240" w:lineRule="auto"/>
                        <w:rPr>
                          <w:sz w:val="24"/>
                          <w:szCs w:val="24"/>
                        </w:rPr>
                      </w:pPr>
                      <w:r w:rsidRPr="00421713">
                        <w:rPr>
                          <w:sz w:val="24"/>
                          <w:szCs w:val="24"/>
                        </w:rPr>
                        <w:t>Form EIA-819</w:t>
                      </w:r>
                      <w:r>
                        <w:rPr>
                          <w:sz w:val="24"/>
                          <w:szCs w:val="24"/>
                        </w:rPr>
                        <w:t xml:space="preserve"> </w:t>
                      </w:r>
                      <w:r w:rsidRPr="004C0CC7">
                        <w:rPr>
                          <w:i/>
                          <w:sz w:val="24"/>
                          <w:szCs w:val="24"/>
                        </w:rPr>
                        <w:t xml:space="preserve">Monthly </w:t>
                      </w:r>
                      <w:r w:rsidR="00F45F7B">
                        <w:rPr>
                          <w:i/>
                          <w:sz w:val="24"/>
                          <w:szCs w:val="24"/>
                        </w:rPr>
                        <w:t xml:space="preserve">Report of </w:t>
                      </w:r>
                      <w:r w:rsidR="004C0CC7">
                        <w:rPr>
                          <w:i/>
                          <w:sz w:val="24"/>
                          <w:szCs w:val="24"/>
                        </w:rPr>
                        <w:t xml:space="preserve">Fuels from Non-Biogenic Waste and </w:t>
                      </w:r>
                      <w:r w:rsidRPr="004C0CC7">
                        <w:rPr>
                          <w:i/>
                          <w:sz w:val="24"/>
                          <w:szCs w:val="24"/>
                        </w:rPr>
                        <w:t>Biofuels</w:t>
                      </w:r>
                    </w:p>
                    <w:p w:rsidR="000C3218" w:rsidP="000C3218" w14:paraId="77B312C7" w14:textId="77777777">
                      <w:pPr>
                        <w:spacing w:before="60" w:after="0" w:line="240" w:lineRule="auto"/>
                        <w:rPr>
                          <w:i/>
                          <w:sz w:val="24"/>
                          <w:szCs w:val="24"/>
                        </w:rPr>
                      </w:pPr>
                      <w:r w:rsidRPr="00421713">
                        <w:rPr>
                          <w:sz w:val="24"/>
                          <w:szCs w:val="24"/>
                        </w:rPr>
                        <w:t>Form EIA-820</w:t>
                      </w:r>
                      <w:r>
                        <w:rPr>
                          <w:sz w:val="24"/>
                          <w:szCs w:val="24"/>
                        </w:rPr>
                        <w:t xml:space="preserve"> </w:t>
                      </w:r>
                      <w:r w:rsidRPr="009B2F09">
                        <w:rPr>
                          <w:i/>
                          <w:sz w:val="24"/>
                          <w:szCs w:val="24"/>
                        </w:rPr>
                        <w:t>Annual Refinery</w:t>
                      </w:r>
                      <w:r w:rsidRPr="00421713">
                        <w:rPr>
                          <w:sz w:val="24"/>
                          <w:szCs w:val="24"/>
                        </w:rPr>
                        <w:t xml:space="preserve"> </w:t>
                      </w:r>
                      <w:r w:rsidRPr="009B2F09">
                        <w:rPr>
                          <w:i/>
                          <w:sz w:val="24"/>
                          <w:szCs w:val="24"/>
                        </w:rPr>
                        <w:t>Report</w:t>
                      </w:r>
                    </w:p>
                    <w:p w:rsidR="00D80C98" w:rsidRPr="00D80C98" w:rsidP="000C3218" w14:paraId="393B0E6A" w14:textId="6029AD8E">
                      <w:pPr>
                        <w:spacing w:before="60" w:after="0" w:line="240" w:lineRule="auto"/>
                        <w:rPr>
                          <w:iCs/>
                          <w:sz w:val="24"/>
                          <w:szCs w:val="24"/>
                        </w:rPr>
                      </w:pPr>
                      <w:r>
                        <w:rPr>
                          <w:iCs/>
                          <w:sz w:val="24"/>
                          <w:szCs w:val="24"/>
                        </w:rPr>
                        <w:t xml:space="preserve">Form EIA-830 </w:t>
                      </w:r>
                      <w:r>
                        <w:rPr>
                          <w:i/>
                          <w:sz w:val="24"/>
                          <w:szCs w:val="24"/>
                        </w:rPr>
                        <w:t xml:space="preserve">Annual Storage Capacity Report </w:t>
                      </w:r>
                      <w:r>
                        <w:rPr>
                          <w:iCs/>
                          <w:sz w:val="24"/>
                          <w:szCs w:val="24"/>
                        </w:rPr>
                        <w:t>(standby)</w:t>
                      </w:r>
                    </w:p>
                    <w:p w:rsidR="00E054DF" w:rsidRPr="0059212D" w:rsidP="000C3218" w14:paraId="3074ED52" w14:textId="5EA17534">
                      <w:pPr>
                        <w:rPr>
                          <w:i/>
                          <w:sz w:val="28"/>
                          <w:szCs w:val="28"/>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margin">
                  <wp:posOffset>3333750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E054DF" w14:textId="0A7F6A61">
                            <w:pPr>
                              <w:rPr>
                                <w:rFonts w:ascii="Franklin Gothic Medium" w:hAnsi="Franklin Gothic Medium"/>
                                <w:color w:val="7F7F7F"/>
                                <w:sz w:val="36"/>
                              </w:rPr>
                            </w:pPr>
                            <w:r>
                              <w:rPr>
                                <w:rFonts w:ascii="Franklin Gothic Medium" w:hAnsi="Franklin Gothic Medium"/>
                                <w:color w:val="7F7F7F"/>
                                <w:sz w:val="36"/>
                              </w:rPr>
                              <w:t xml:space="preserve">April </w:t>
                            </w:r>
                            <w:r w:rsidR="006F3C72">
                              <w:rPr>
                                <w:rFonts w:ascii="Franklin Gothic Medium" w:hAnsi="Franklin Gothic Medium"/>
                                <w:color w:val="7F7F7F"/>
                                <w:sz w:val="36"/>
                              </w:rPr>
                              <w:t>2026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6" type="#_x0000_t202" style="width:187.2pt;height:37.6pt;margin-top:26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E054DF" w14:paraId="25E3E0D5" w14:textId="0A7F6A61">
                      <w:pPr>
                        <w:rPr>
                          <w:rFonts w:ascii="Franklin Gothic Medium" w:hAnsi="Franklin Gothic Medium"/>
                          <w:color w:val="7F7F7F"/>
                          <w:sz w:val="36"/>
                        </w:rPr>
                      </w:pPr>
                      <w:r>
                        <w:rPr>
                          <w:rFonts w:ascii="Franklin Gothic Medium" w:hAnsi="Franklin Gothic Medium"/>
                          <w:color w:val="7F7F7F"/>
                          <w:sz w:val="36"/>
                        </w:rPr>
                        <w:t xml:space="preserve">April </w:t>
                      </w:r>
                      <w:r w:rsidR="006F3C72">
                        <w:rPr>
                          <w:rFonts w:ascii="Franklin Gothic Medium" w:hAnsi="Franklin Gothic Medium"/>
                          <w:color w:val="7F7F7F"/>
                          <w:sz w:val="36"/>
                        </w:rPr>
                        <w:t>2026</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-106045</wp:posOffset>
                </wp:positionH>
                <wp:positionV relativeFrom="paragraph">
                  <wp:posOffset>44450</wp:posOffset>
                </wp:positionV>
                <wp:extent cx="6116320" cy="12573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6320" cy="1257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9F61F7" w:rsidP="00313D14" w14:textId="607B2425">
                            <w:pPr>
                              <w:spacing w:line="276" w:lineRule="auto"/>
                              <w:rPr>
                                <w:b/>
                                <w:sz w:val="60"/>
                                <w:szCs w:val="60"/>
                              </w:rPr>
                            </w:pPr>
                            <w:r>
                              <w:rPr>
                                <w:rFonts w:ascii="Times New Roman" w:hAnsi="Times New Roman"/>
                                <w:b/>
                                <w:color w:val="139CD8"/>
                                <w:sz w:val="60"/>
                                <w:szCs w:val="60"/>
                              </w:rPr>
                              <w:t xml:space="preserve">Supporting Statement for </w:t>
                            </w:r>
                            <w:r w:rsidR="000C3218">
                              <w:rPr>
                                <w:rFonts w:ascii="Times New Roman" w:hAnsi="Times New Roman"/>
                                <w:b/>
                                <w:color w:val="139CD8"/>
                                <w:sz w:val="60"/>
                                <w:szCs w:val="60"/>
                              </w:rPr>
                              <w:t>Petroleum Supply Reporting System</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7" type="#_x0000_t202" style="width:481.6pt;height:99pt;margin-top:3.5pt;margin-left:-8.3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9F61F7" w:rsidP="00313D14" w14:paraId="5FA76503" w14:textId="607B2425">
                      <w:pPr>
                        <w:spacing w:line="276" w:lineRule="auto"/>
                        <w:rPr>
                          <w:b/>
                          <w:sz w:val="60"/>
                          <w:szCs w:val="60"/>
                        </w:rPr>
                      </w:pPr>
                      <w:r>
                        <w:rPr>
                          <w:rFonts w:ascii="Times New Roman" w:hAnsi="Times New Roman"/>
                          <w:b/>
                          <w:color w:val="139CD8"/>
                          <w:sz w:val="60"/>
                          <w:szCs w:val="60"/>
                        </w:rPr>
                        <w:t xml:space="preserve">Supporting Statement for </w:t>
                      </w:r>
                      <w:r w:rsidR="000C3218">
                        <w:rPr>
                          <w:rFonts w:ascii="Times New Roman" w:hAnsi="Times New Roman"/>
                          <w:b/>
                          <w:color w:val="139CD8"/>
                          <w:sz w:val="60"/>
                          <w:szCs w:val="60"/>
                        </w:rPr>
                        <w:t>Petroleum Supply Reporting System</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E054DF" w:rsidP="004D236B" w14:paraId="773797FF"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2ACEFE96"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6209782A"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686B7CCF">
                            <w:r w:rsidRPr="00583CFD">
                              <w:rPr>
                                <w:noProof/>
                              </w:rPr>
                              <w:drawing>
                                <wp:inline distT="0" distB="0" distL="0" distR="0">
                                  <wp:extent cx="2162175" cy="476250"/>
                                  <wp:effectExtent l="0" t="0" r="0" b="0"/>
                                  <wp:docPr id="1566735079"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35079"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9"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474DDC78" w14:textId="686B7CCF">
                      <w:drawing>
                        <wp:inline distT="0" distB="0" distL="0" distR="0">
                          <wp:extent cx="2162175" cy="476250"/>
                          <wp:effectExtent l="0" t="0" r="0" b="0"/>
                          <wp:docPr id="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001F3A8F">
        <w:br w:type="page"/>
      </w:r>
    </w:p>
    <w:p w:rsidR="00755C3D" w14:paraId="1975ACB6" w14:textId="77777777">
      <w:pPr>
        <w:sectPr w:rsidSect="00206D5A">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526F92AA" w14:textId="77777777"/>
    <w:p w:rsidR="001F3A8F" w14:paraId="1D5A67B7" w14:textId="77777777"/>
    <w:p w:rsidR="001F3A8F" w14:paraId="304996CC" w14:textId="77777777"/>
    <w:p w:rsidR="001F3A8F" w14:paraId="122AD63F" w14:textId="77777777"/>
    <w:p w:rsidR="001F3A8F" w14:paraId="1069E2F7" w14:textId="77777777"/>
    <w:p w:rsidR="001F3A8F" w14:paraId="4934DA6C" w14:textId="77777777"/>
    <w:p w:rsidR="001F3A8F" w14:paraId="0BAC4006" w14:textId="77777777"/>
    <w:p w:rsidR="001F3A8F" w14:paraId="6A20D109" w14:textId="77777777"/>
    <w:p w:rsidR="001F3A8F" w14:paraId="08004294" w14:textId="77777777"/>
    <w:p w:rsidR="001F3A8F" w14:paraId="0D06E85B" w14:textId="77777777"/>
    <w:p w:rsidR="001F3A8F" w14:paraId="5D0CB490" w14:textId="77777777"/>
    <w:p w:rsidR="001F3A8F" w14:paraId="4B77D96B" w14:textId="77777777"/>
    <w:p w:rsidR="001F3A8F" w14:paraId="4FDCC74B" w14:textId="77777777"/>
    <w:p w:rsidR="001F3A8F" w14:paraId="63D677E3" w14:textId="77777777"/>
    <w:p w:rsidR="001F3A8F" w14:paraId="35C23208" w14:textId="77777777"/>
    <w:p w:rsidR="001F3A8F" w14:paraId="76062C54" w14:textId="77777777"/>
    <w:p w:rsidR="001F3A8F" w14:paraId="65DF8108" w14:textId="77777777"/>
    <w:p w:rsidR="001F3A8F" w14:paraId="4A660D1C" w14:textId="77777777"/>
    <w:p w:rsidR="001F3A8F" w14:paraId="4811D904" w14:textId="77777777"/>
    <w:p w:rsidR="001F3A8F" w14:paraId="6FBF533B" w14:textId="77777777"/>
    <w:p w:rsidR="001F3A8F" w:rsidP="00D928FD" w14:paraId="19E8E40A" w14:textId="77777777"/>
    <w:p w:rsidR="005D602C" w14:paraId="168112CD" w14:textId="77777777">
      <w:pPr>
        <w:pStyle w:val="Boxtext"/>
        <w:sectPr w:rsidSect="009F61F7">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49614FFF" w14:textId="77777777"/>
    <w:p w:rsidR="000C3218" w:rsidRPr="000C3218" w:rsidP="000C3218" w14:paraId="63321744" w14:textId="77777777"/>
    <w:p w:rsidR="000C3218" w:rsidP="000C3218" w14:paraId="66ACBBC0" w14:textId="50C63A4D">
      <w:pPr>
        <w:tabs>
          <w:tab w:val="left" w:pos="1320"/>
        </w:tabs>
      </w:pPr>
      <w:r>
        <w:tab/>
      </w:r>
    </w:p>
    <w:p w:rsidR="000C3218" w:rsidRPr="000C3218" w:rsidP="000C3218" w14:paraId="70BAFAAB" w14:textId="0BAB96D6">
      <w:pPr>
        <w:tabs>
          <w:tab w:val="left" w:pos="1320"/>
        </w:tabs>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tab/>
      </w:r>
    </w:p>
    <w:p w:rsidR="00AD6244" w:rsidP="00E054DF" w14:paraId="502F54CD" w14:textId="7C075240">
      <w:pPr>
        <w:pStyle w:val="TOCHeading"/>
      </w:pPr>
      <w:r>
        <w:t>Table of Contents</w:t>
      </w:r>
    </w:p>
    <w:p w:rsidR="00946B4E" w14:paraId="1C617189" w14:textId="534A0B53">
      <w:pPr>
        <w:pStyle w:val="TOC1"/>
        <w:rPr>
          <w:rFonts w:asciiTheme="minorHAnsi" w:eastAsiaTheme="minorEastAsia" w:hAnsiTheme="minorHAnsi" w:cstheme="minorBidi"/>
          <w:noProof/>
          <w:color w:val="auto"/>
          <w:kern w:val="2"/>
          <w:sz w:val="24"/>
          <w:szCs w:val="24"/>
          <w14:ligatures w14:val="standardContextual"/>
        </w:rPr>
      </w:pPr>
      <w:r w:rsidRPr="00E054DF">
        <w:rPr>
          <w:b/>
          <w:bCs/>
          <w:noProof/>
          <w:color w:val="auto"/>
        </w:rPr>
        <w:fldChar w:fldCharType="begin"/>
      </w:r>
      <w:r>
        <w:rPr>
          <w:b/>
          <w:bCs/>
          <w:noProof/>
        </w:rPr>
        <w:instrText xml:space="preserve"> TOC \o "1-5" \h \z \u </w:instrText>
      </w:r>
      <w:r w:rsidRPr="00E054DF">
        <w:rPr>
          <w:b/>
          <w:bCs/>
          <w:noProof/>
          <w:color w:val="auto"/>
        </w:rPr>
        <w:fldChar w:fldCharType="separate"/>
      </w:r>
      <w:hyperlink w:anchor="_Toc199483355" w:history="1">
        <w:r w:rsidRPr="00171ADB">
          <w:rPr>
            <w:rStyle w:val="Hyperlink"/>
            <w:noProof/>
          </w:rPr>
          <w:t>Part A: Justifications</w:t>
        </w:r>
        <w:r>
          <w:rPr>
            <w:noProof/>
            <w:webHidden/>
          </w:rPr>
          <w:tab/>
        </w:r>
        <w:r>
          <w:rPr>
            <w:noProof/>
            <w:webHidden/>
          </w:rPr>
          <w:fldChar w:fldCharType="begin"/>
        </w:r>
        <w:r>
          <w:rPr>
            <w:noProof/>
            <w:webHidden/>
          </w:rPr>
          <w:instrText xml:space="preserve"> PAGEREF _Toc199483355 \h </w:instrText>
        </w:r>
        <w:r>
          <w:rPr>
            <w:noProof/>
            <w:webHidden/>
          </w:rPr>
          <w:fldChar w:fldCharType="separate"/>
        </w:r>
        <w:r w:rsidR="004427DD">
          <w:rPr>
            <w:noProof/>
            <w:webHidden/>
          </w:rPr>
          <w:t xml:space="preserve"> </w:t>
        </w:r>
        <w:r>
          <w:rPr>
            <w:noProof/>
            <w:webHidden/>
          </w:rPr>
          <w:fldChar w:fldCharType="end"/>
        </w:r>
      </w:hyperlink>
    </w:p>
    <w:p w:rsidR="00946B4E" w14:paraId="614D5176" w14:textId="2E545078">
      <w:pPr>
        <w:pStyle w:val="TOC2"/>
        <w:rPr>
          <w:rFonts w:asciiTheme="minorHAnsi" w:eastAsiaTheme="minorEastAsia" w:hAnsiTheme="minorHAnsi" w:cstheme="minorBidi"/>
          <w:noProof/>
          <w:color w:val="auto"/>
          <w:kern w:val="2"/>
          <w:sz w:val="24"/>
          <w:szCs w:val="24"/>
          <w14:ligatures w14:val="standardContextual"/>
        </w:rPr>
      </w:pPr>
      <w:hyperlink w:anchor="_Toc199483356" w:history="1">
        <w:r w:rsidRPr="00171ADB">
          <w:rPr>
            <w:rStyle w:val="Hyperlink"/>
            <w:noProof/>
          </w:rPr>
          <w:t>Introduction</w:t>
        </w:r>
        <w:r>
          <w:rPr>
            <w:noProof/>
            <w:webHidden/>
          </w:rPr>
          <w:tab/>
        </w:r>
        <w:r>
          <w:rPr>
            <w:noProof/>
            <w:webHidden/>
          </w:rPr>
          <w:fldChar w:fldCharType="begin"/>
        </w:r>
        <w:r>
          <w:rPr>
            <w:noProof/>
            <w:webHidden/>
          </w:rPr>
          <w:instrText xml:space="preserve"> PAGEREF _Toc199483356 \h </w:instrText>
        </w:r>
        <w:r>
          <w:rPr>
            <w:noProof/>
            <w:webHidden/>
          </w:rPr>
          <w:fldChar w:fldCharType="separate"/>
        </w:r>
        <w:r w:rsidR="004427DD">
          <w:rPr>
            <w:noProof/>
            <w:webHidden/>
          </w:rPr>
          <w:t>2</w:t>
        </w:r>
        <w:r>
          <w:rPr>
            <w:noProof/>
            <w:webHidden/>
          </w:rPr>
          <w:fldChar w:fldCharType="end"/>
        </w:r>
      </w:hyperlink>
    </w:p>
    <w:p w:rsidR="00946B4E" w14:paraId="6E3AFAA6" w14:textId="2B17C41D">
      <w:pPr>
        <w:pStyle w:val="TOC2"/>
        <w:rPr>
          <w:rFonts w:asciiTheme="minorHAnsi" w:eastAsiaTheme="minorEastAsia" w:hAnsiTheme="minorHAnsi" w:cstheme="minorBidi"/>
          <w:noProof/>
          <w:color w:val="auto"/>
          <w:kern w:val="2"/>
          <w:sz w:val="24"/>
          <w:szCs w:val="24"/>
          <w14:ligatures w14:val="standardContextual"/>
        </w:rPr>
      </w:pPr>
      <w:hyperlink w:anchor="_Toc199483357" w:history="1">
        <w:r w:rsidRPr="00171ADB">
          <w:rPr>
            <w:rStyle w:val="Hyperlink"/>
            <w:noProof/>
          </w:rPr>
          <w:t>A.1. Legal Justification</w:t>
        </w:r>
        <w:r>
          <w:rPr>
            <w:noProof/>
            <w:webHidden/>
          </w:rPr>
          <w:tab/>
        </w:r>
        <w:r>
          <w:rPr>
            <w:noProof/>
            <w:webHidden/>
          </w:rPr>
          <w:fldChar w:fldCharType="begin"/>
        </w:r>
        <w:r>
          <w:rPr>
            <w:noProof/>
            <w:webHidden/>
          </w:rPr>
          <w:instrText xml:space="preserve"> PAGEREF _Toc199483357 \h </w:instrText>
        </w:r>
        <w:r>
          <w:rPr>
            <w:noProof/>
            <w:webHidden/>
          </w:rPr>
          <w:fldChar w:fldCharType="separate"/>
        </w:r>
        <w:r w:rsidR="004427DD">
          <w:rPr>
            <w:noProof/>
            <w:webHidden/>
          </w:rPr>
          <w:t>7</w:t>
        </w:r>
        <w:r>
          <w:rPr>
            <w:noProof/>
            <w:webHidden/>
          </w:rPr>
          <w:fldChar w:fldCharType="end"/>
        </w:r>
      </w:hyperlink>
    </w:p>
    <w:p w:rsidR="00946B4E" w14:paraId="67AEA9E3" w14:textId="5F68C057">
      <w:pPr>
        <w:pStyle w:val="TOC2"/>
        <w:rPr>
          <w:rFonts w:asciiTheme="minorHAnsi" w:eastAsiaTheme="minorEastAsia" w:hAnsiTheme="minorHAnsi" w:cstheme="minorBidi"/>
          <w:noProof/>
          <w:color w:val="auto"/>
          <w:kern w:val="2"/>
          <w:sz w:val="24"/>
          <w:szCs w:val="24"/>
          <w14:ligatures w14:val="standardContextual"/>
        </w:rPr>
      </w:pPr>
      <w:hyperlink w:anchor="_Toc199483358" w:history="1">
        <w:r w:rsidRPr="00171ADB">
          <w:rPr>
            <w:rStyle w:val="Hyperlink"/>
            <w:noProof/>
          </w:rPr>
          <w:t>A.2. Needs and Uses of Data</w:t>
        </w:r>
        <w:r>
          <w:rPr>
            <w:noProof/>
            <w:webHidden/>
          </w:rPr>
          <w:tab/>
        </w:r>
        <w:r>
          <w:rPr>
            <w:noProof/>
            <w:webHidden/>
          </w:rPr>
          <w:fldChar w:fldCharType="begin"/>
        </w:r>
        <w:r>
          <w:rPr>
            <w:noProof/>
            <w:webHidden/>
          </w:rPr>
          <w:instrText xml:space="preserve"> PAGEREF _Toc199483358 \h </w:instrText>
        </w:r>
        <w:r>
          <w:rPr>
            <w:noProof/>
            <w:webHidden/>
          </w:rPr>
          <w:fldChar w:fldCharType="separate"/>
        </w:r>
        <w:r w:rsidR="004427DD">
          <w:rPr>
            <w:noProof/>
            <w:webHidden/>
          </w:rPr>
          <w:t>8</w:t>
        </w:r>
        <w:r>
          <w:rPr>
            <w:noProof/>
            <w:webHidden/>
          </w:rPr>
          <w:fldChar w:fldCharType="end"/>
        </w:r>
      </w:hyperlink>
    </w:p>
    <w:p w:rsidR="00946B4E" w14:paraId="32B865C6" w14:textId="45AF696F">
      <w:pPr>
        <w:pStyle w:val="TOC2"/>
        <w:rPr>
          <w:rFonts w:asciiTheme="minorHAnsi" w:eastAsiaTheme="minorEastAsia" w:hAnsiTheme="minorHAnsi" w:cstheme="minorBidi"/>
          <w:noProof/>
          <w:color w:val="auto"/>
          <w:kern w:val="2"/>
          <w:sz w:val="24"/>
          <w:szCs w:val="24"/>
          <w14:ligatures w14:val="standardContextual"/>
        </w:rPr>
      </w:pPr>
      <w:hyperlink w:anchor="_Toc199483359" w:history="1">
        <w:r w:rsidRPr="00171ADB">
          <w:rPr>
            <w:rStyle w:val="Hyperlink"/>
            <w:noProof/>
          </w:rPr>
          <w:t>A.3. Use of Technology</w:t>
        </w:r>
        <w:r>
          <w:rPr>
            <w:noProof/>
            <w:webHidden/>
          </w:rPr>
          <w:tab/>
        </w:r>
        <w:r>
          <w:rPr>
            <w:noProof/>
            <w:webHidden/>
          </w:rPr>
          <w:fldChar w:fldCharType="begin"/>
        </w:r>
        <w:r>
          <w:rPr>
            <w:noProof/>
            <w:webHidden/>
          </w:rPr>
          <w:instrText xml:space="preserve"> PAGEREF _Toc199483359 \h </w:instrText>
        </w:r>
        <w:r>
          <w:rPr>
            <w:noProof/>
            <w:webHidden/>
          </w:rPr>
          <w:fldChar w:fldCharType="separate"/>
        </w:r>
        <w:r w:rsidR="004427DD">
          <w:rPr>
            <w:noProof/>
            <w:webHidden/>
          </w:rPr>
          <w:t>11</w:t>
        </w:r>
        <w:r>
          <w:rPr>
            <w:noProof/>
            <w:webHidden/>
          </w:rPr>
          <w:fldChar w:fldCharType="end"/>
        </w:r>
      </w:hyperlink>
    </w:p>
    <w:p w:rsidR="00946B4E" w14:paraId="67251D84" w14:textId="2F9F1E95">
      <w:pPr>
        <w:pStyle w:val="TOC2"/>
        <w:rPr>
          <w:rFonts w:asciiTheme="minorHAnsi" w:eastAsiaTheme="minorEastAsia" w:hAnsiTheme="minorHAnsi" w:cstheme="minorBidi"/>
          <w:noProof/>
          <w:color w:val="auto"/>
          <w:kern w:val="2"/>
          <w:sz w:val="24"/>
          <w:szCs w:val="24"/>
          <w14:ligatures w14:val="standardContextual"/>
        </w:rPr>
      </w:pPr>
      <w:hyperlink w:anchor="_Toc199483360" w:history="1">
        <w:r w:rsidRPr="00171ADB">
          <w:rPr>
            <w:rStyle w:val="Hyperlink"/>
            <w:noProof/>
          </w:rPr>
          <w:t>A.4. Efforts to Identify Duplication</w:t>
        </w:r>
        <w:r>
          <w:rPr>
            <w:noProof/>
            <w:webHidden/>
          </w:rPr>
          <w:tab/>
        </w:r>
        <w:r>
          <w:rPr>
            <w:noProof/>
            <w:webHidden/>
          </w:rPr>
          <w:fldChar w:fldCharType="begin"/>
        </w:r>
        <w:r>
          <w:rPr>
            <w:noProof/>
            <w:webHidden/>
          </w:rPr>
          <w:instrText xml:space="preserve"> PAGEREF _Toc199483360 \h </w:instrText>
        </w:r>
        <w:r>
          <w:rPr>
            <w:noProof/>
            <w:webHidden/>
          </w:rPr>
          <w:fldChar w:fldCharType="separate"/>
        </w:r>
        <w:r w:rsidR="004427DD">
          <w:rPr>
            <w:noProof/>
            <w:webHidden/>
          </w:rPr>
          <w:t>11</w:t>
        </w:r>
        <w:r>
          <w:rPr>
            <w:noProof/>
            <w:webHidden/>
          </w:rPr>
          <w:fldChar w:fldCharType="end"/>
        </w:r>
      </w:hyperlink>
    </w:p>
    <w:p w:rsidR="00946B4E" w14:paraId="15EA40D3" w14:textId="0F193084">
      <w:pPr>
        <w:pStyle w:val="TOC2"/>
        <w:rPr>
          <w:rFonts w:asciiTheme="minorHAnsi" w:eastAsiaTheme="minorEastAsia" w:hAnsiTheme="minorHAnsi" w:cstheme="minorBidi"/>
          <w:noProof/>
          <w:color w:val="auto"/>
          <w:kern w:val="2"/>
          <w:sz w:val="24"/>
          <w:szCs w:val="24"/>
          <w14:ligatures w14:val="standardContextual"/>
        </w:rPr>
      </w:pPr>
      <w:hyperlink w:anchor="_Toc199483361" w:history="1">
        <w:r w:rsidRPr="00171ADB">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_Toc199483361 \h </w:instrText>
        </w:r>
        <w:r>
          <w:rPr>
            <w:noProof/>
            <w:webHidden/>
          </w:rPr>
          <w:fldChar w:fldCharType="separate"/>
        </w:r>
        <w:r w:rsidR="004427DD">
          <w:rPr>
            <w:noProof/>
            <w:webHidden/>
          </w:rPr>
          <w:t>16</w:t>
        </w:r>
        <w:r>
          <w:rPr>
            <w:noProof/>
            <w:webHidden/>
          </w:rPr>
          <w:fldChar w:fldCharType="end"/>
        </w:r>
      </w:hyperlink>
    </w:p>
    <w:p w:rsidR="00946B4E" w14:paraId="56C59965" w14:textId="197D33D0">
      <w:pPr>
        <w:pStyle w:val="TOC2"/>
        <w:rPr>
          <w:rFonts w:asciiTheme="minorHAnsi" w:eastAsiaTheme="minorEastAsia" w:hAnsiTheme="minorHAnsi" w:cstheme="minorBidi"/>
          <w:noProof/>
          <w:color w:val="auto"/>
          <w:kern w:val="2"/>
          <w:sz w:val="24"/>
          <w:szCs w:val="24"/>
          <w14:ligatures w14:val="standardContextual"/>
        </w:rPr>
      </w:pPr>
      <w:hyperlink w:anchor="_Toc199483362" w:history="1">
        <w:r w:rsidRPr="00171ADB">
          <w:rPr>
            <w:rStyle w:val="Hyperlink"/>
            <w:noProof/>
          </w:rPr>
          <w:t>A.6. Consequences of Less-Frequent Reporting</w:t>
        </w:r>
        <w:r>
          <w:rPr>
            <w:noProof/>
            <w:webHidden/>
          </w:rPr>
          <w:tab/>
        </w:r>
        <w:r>
          <w:rPr>
            <w:noProof/>
            <w:webHidden/>
          </w:rPr>
          <w:fldChar w:fldCharType="begin"/>
        </w:r>
        <w:r>
          <w:rPr>
            <w:noProof/>
            <w:webHidden/>
          </w:rPr>
          <w:instrText xml:space="preserve"> PAGEREF _Toc199483362 \h </w:instrText>
        </w:r>
        <w:r>
          <w:rPr>
            <w:noProof/>
            <w:webHidden/>
          </w:rPr>
          <w:fldChar w:fldCharType="separate"/>
        </w:r>
        <w:r w:rsidR="004427DD">
          <w:rPr>
            <w:noProof/>
            <w:webHidden/>
          </w:rPr>
          <w:t>16</w:t>
        </w:r>
        <w:r>
          <w:rPr>
            <w:noProof/>
            <w:webHidden/>
          </w:rPr>
          <w:fldChar w:fldCharType="end"/>
        </w:r>
      </w:hyperlink>
    </w:p>
    <w:p w:rsidR="00946B4E" w14:paraId="759AA11D" w14:textId="0E166277">
      <w:pPr>
        <w:pStyle w:val="TOC2"/>
        <w:rPr>
          <w:rFonts w:asciiTheme="minorHAnsi" w:eastAsiaTheme="minorEastAsia" w:hAnsiTheme="minorHAnsi" w:cstheme="minorBidi"/>
          <w:noProof/>
          <w:color w:val="auto"/>
          <w:kern w:val="2"/>
          <w:sz w:val="24"/>
          <w:szCs w:val="24"/>
          <w14:ligatures w14:val="standardContextual"/>
        </w:rPr>
      </w:pPr>
      <w:hyperlink w:anchor="_Toc199483363" w:history="1">
        <w:r w:rsidRPr="00171ADB">
          <w:rPr>
            <w:rStyle w:val="Hyperlink"/>
            <w:noProof/>
          </w:rPr>
          <w:t>A.7. Compliance with 5 CFR 1320.5</w:t>
        </w:r>
        <w:r>
          <w:rPr>
            <w:noProof/>
            <w:webHidden/>
          </w:rPr>
          <w:tab/>
        </w:r>
        <w:r>
          <w:rPr>
            <w:noProof/>
            <w:webHidden/>
          </w:rPr>
          <w:fldChar w:fldCharType="begin"/>
        </w:r>
        <w:r>
          <w:rPr>
            <w:noProof/>
            <w:webHidden/>
          </w:rPr>
          <w:instrText xml:space="preserve"> PAGEREF _Toc199483363 \h </w:instrText>
        </w:r>
        <w:r>
          <w:rPr>
            <w:noProof/>
            <w:webHidden/>
          </w:rPr>
          <w:fldChar w:fldCharType="separate"/>
        </w:r>
        <w:r w:rsidR="004427DD">
          <w:rPr>
            <w:noProof/>
            <w:webHidden/>
          </w:rPr>
          <w:t>17</w:t>
        </w:r>
        <w:r>
          <w:rPr>
            <w:noProof/>
            <w:webHidden/>
          </w:rPr>
          <w:fldChar w:fldCharType="end"/>
        </w:r>
      </w:hyperlink>
    </w:p>
    <w:p w:rsidR="00946B4E" w14:paraId="4823C52E" w14:textId="0DCBC833">
      <w:pPr>
        <w:pStyle w:val="TOC2"/>
        <w:rPr>
          <w:rFonts w:asciiTheme="minorHAnsi" w:eastAsiaTheme="minorEastAsia" w:hAnsiTheme="minorHAnsi" w:cstheme="minorBidi"/>
          <w:noProof/>
          <w:color w:val="auto"/>
          <w:kern w:val="2"/>
          <w:sz w:val="24"/>
          <w:szCs w:val="24"/>
          <w14:ligatures w14:val="standardContextual"/>
        </w:rPr>
      </w:pPr>
      <w:hyperlink w:anchor="_Toc199483364" w:history="1">
        <w:r w:rsidRPr="00171ADB">
          <w:rPr>
            <w:rStyle w:val="Hyperlink"/>
            <w:noProof/>
          </w:rPr>
          <w:t>A.8. Summary of Consultations Outside of the Agency</w:t>
        </w:r>
        <w:r>
          <w:rPr>
            <w:noProof/>
            <w:webHidden/>
          </w:rPr>
          <w:tab/>
        </w:r>
        <w:r>
          <w:rPr>
            <w:noProof/>
            <w:webHidden/>
          </w:rPr>
          <w:fldChar w:fldCharType="begin"/>
        </w:r>
        <w:r>
          <w:rPr>
            <w:noProof/>
            <w:webHidden/>
          </w:rPr>
          <w:instrText xml:space="preserve"> PAGEREF _Toc199483364 \h </w:instrText>
        </w:r>
        <w:r>
          <w:rPr>
            <w:noProof/>
            <w:webHidden/>
          </w:rPr>
          <w:fldChar w:fldCharType="separate"/>
        </w:r>
        <w:r w:rsidR="004427DD">
          <w:rPr>
            <w:noProof/>
            <w:webHidden/>
          </w:rPr>
          <w:t>17</w:t>
        </w:r>
        <w:r>
          <w:rPr>
            <w:noProof/>
            <w:webHidden/>
          </w:rPr>
          <w:fldChar w:fldCharType="end"/>
        </w:r>
      </w:hyperlink>
    </w:p>
    <w:p w:rsidR="00946B4E" w14:paraId="1F504211" w14:textId="175CCBDD">
      <w:pPr>
        <w:pStyle w:val="TOC2"/>
        <w:rPr>
          <w:rFonts w:asciiTheme="minorHAnsi" w:eastAsiaTheme="minorEastAsia" w:hAnsiTheme="minorHAnsi" w:cstheme="minorBidi"/>
          <w:noProof/>
          <w:color w:val="auto"/>
          <w:kern w:val="2"/>
          <w:sz w:val="24"/>
          <w:szCs w:val="24"/>
          <w14:ligatures w14:val="standardContextual"/>
        </w:rPr>
      </w:pPr>
      <w:hyperlink w:anchor="_Toc199483365" w:history="1">
        <w:r w:rsidRPr="00171ADB">
          <w:rPr>
            <w:rStyle w:val="Hyperlink"/>
            <w:noProof/>
          </w:rPr>
          <w:t>A.9. Payments or Gifts to Respondents</w:t>
        </w:r>
        <w:r>
          <w:rPr>
            <w:noProof/>
            <w:webHidden/>
          </w:rPr>
          <w:tab/>
        </w:r>
        <w:r>
          <w:rPr>
            <w:noProof/>
            <w:webHidden/>
          </w:rPr>
          <w:fldChar w:fldCharType="begin"/>
        </w:r>
        <w:r>
          <w:rPr>
            <w:noProof/>
            <w:webHidden/>
          </w:rPr>
          <w:instrText xml:space="preserve"> PAGEREF _Toc199483365 \h </w:instrText>
        </w:r>
        <w:r>
          <w:rPr>
            <w:noProof/>
            <w:webHidden/>
          </w:rPr>
          <w:fldChar w:fldCharType="separate"/>
        </w:r>
        <w:r w:rsidR="004427DD">
          <w:rPr>
            <w:noProof/>
            <w:webHidden/>
          </w:rPr>
          <w:t>17</w:t>
        </w:r>
        <w:r>
          <w:rPr>
            <w:noProof/>
            <w:webHidden/>
          </w:rPr>
          <w:fldChar w:fldCharType="end"/>
        </w:r>
      </w:hyperlink>
    </w:p>
    <w:p w:rsidR="00946B4E" w14:paraId="65033D2C" w14:textId="470AD33A">
      <w:pPr>
        <w:pStyle w:val="TOC2"/>
        <w:rPr>
          <w:rFonts w:asciiTheme="minorHAnsi" w:eastAsiaTheme="minorEastAsia" w:hAnsiTheme="minorHAnsi" w:cstheme="minorBidi"/>
          <w:noProof/>
          <w:color w:val="auto"/>
          <w:kern w:val="2"/>
          <w:sz w:val="24"/>
          <w:szCs w:val="24"/>
          <w14:ligatures w14:val="standardContextual"/>
        </w:rPr>
      </w:pPr>
      <w:hyperlink w:anchor="_Toc199483366" w:history="1">
        <w:r w:rsidRPr="00171ADB">
          <w:rPr>
            <w:rStyle w:val="Hyperlink"/>
            <w:noProof/>
          </w:rPr>
          <w:t>A.10. Provisions for Protection of Information</w:t>
        </w:r>
        <w:r>
          <w:rPr>
            <w:noProof/>
            <w:webHidden/>
          </w:rPr>
          <w:tab/>
        </w:r>
        <w:r>
          <w:rPr>
            <w:noProof/>
            <w:webHidden/>
          </w:rPr>
          <w:fldChar w:fldCharType="begin"/>
        </w:r>
        <w:r>
          <w:rPr>
            <w:noProof/>
            <w:webHidden/>
          </w:rPr>
          <w:instrText xml:space="preserve"> PAGEREF _Toc199483366 \h </w:instrText>
        </w:r>
        <w:r>
          <w:rPr>
            <w:noProof/>
            <w:webHidden/>
          </w:rPr>
          <w:fldChar w:fldCharType="separate"/>
        </w:r>
        <w:r w:rsidR="004427DD">
          <w:rPr>
            <w:noProof/>
            <w:webHidden/>
          </w:rPr>
          <w:t>17</w:t>
        </w:r>
        <w:r>
          <w:rPr>
            <w:noProof/>
            <w:webHidden/>
          </w:rPr>
          <w:fldChar w:fldCharType="end"/>
        </w:r>
      </w:hyperlink>
    </w:p>
    <w:p w:rsidR="00946B4E" w14:paraId="484EA743" w14:textId="63A17EB7">
      <w:pPr>
        <w:pStyle w:val="TOC2"/>
        <w:rPr>
          <w:rFonts w:asciiTheme="minorHAnsi" w:eastAsiaTheme="minorEastAsia" w:hAnsiTheme="minorHAnsi" w:cstheme="minorBidi"/>
          <w:noProof/>
          <w:color w:val="auto"/>
          <w:kern w:val="2"/>
          <w:sz w:val="24"/>
          <w:szCs w:val="24"/>
          <w14:ligatures w14:val="standardContextual"/>
        </w:rPr>
      </w:pPr>
      <w:hyperlink w:anchor="_Toc199483367" w:history="1">
        <w:r w:rsidRPr="00171ADB">
          <w:rPr>
            <w:rStyle w:val="Hyperlink"/>
            <w:noProof/>
          </w:rPr>
          <w:t>A.11. Justification for Sensitive Questions</w:t>
        </w:r>
        <w:r>
          <w:rPr>
            <w:noProof/>
            <w:webHidden/>
          </w:rPr>
          <w:tab/>
        </w:r>
        <w:r>
          <w:rPr>
            <w:noProof/>
            <w:webHidden/>
          </w:rPr>
          <w:fldChar w:fldCharType="begin"/>
        </w:r>
        <w:r>
          <w:rPr>
            <w:noProof/>
            <w:webHidden/>
          </w:rPr>
          <w:instrText xml:space="preserve"> PAGEREF _Toc199483367 \h </w:instrText>
        </w:r>
        <w:r>
          <w:rPr>
            <w:noProof/>
            <w:webHidden/>
          </w:rPr>
          <w:fldChar w:fldCharType="separate"/>
        </w:r>
        <w:r w:rsidR="004427DD">
          <w:rPr>
            <w:noProof/>
            <w:webHidden/>
          </w:rPr>
          <w:t>18</w:t>
        </w:r>
        <w:r>
          <w:rPr>
            <w:noProof/>
            <w:webHidden/>
          </w:rPr>
          <w:fldChar w:fldCharType="end"/>
        </w:r>
      </w:hyperlink>
    </w:p>
    <w:p w:rsidR="00946B4E" w14:paraId="0C738CDC" w14:textId="03E37D22">
      <w:pPr>
        <w:pStyle w:val="TOC2"/>
        <w:rPr>
          <w:rFonts w:asciiTheme="minorHAnsi" w:eastAsiaTheme="minorEastAsia" w:hAnsiTheme="minorHAnsi" w:cstheme="minorBidi"/>
          <w:noProof/>
          <w:color w:val="auto"/>
          <w:kern w:val="2"/>
          <w:sz w:val="24"/>
          <w:szCs w:val="24"/>
          <w14:ligatures w14:val="standardContextual"/>
        </w:rPr>
      </w:pPr>
      <w:hyperlink w:anchor="_Toc199483368" w:history="1">
        <w:r w:rsidRPr="00171ADB">
          <w:rPr>
            <w:rStyle w:val="Hyperlink"/>
            <w:noProof/>
          </w:rPr>
          <w:t>A.12. Estimate of Respondent Burden Hours and Cost</w:t>
        </w:r>
        <w:r>
          <w:rPr>
            <w:noProof/>
            <w:webHidden/>
          </w:rPr>
          <w:tab/>
        </w:r>
        <w:r>
          <w:rPr>
            <w:noProof/>
            <w:webHidden/>
          </w:rPr>
          <w:fldChar w:fldCharType="begin"/>
        </w:r>
        <w:r>
          <w:rPr>
            <w:noProof/>
            <w:webHidden/>
          </w:rPr>
          <w:instrText xml:space="preserve"> PAGEREF _Toc199483368 \h </w:instrText>
        </w:r>
        <w:r>
          <w:rPr>
            <w:noProof/>
            <w:webHidden/>
          </w:rPr>
          <w:fldChar w:fldCharType="separate"/>
        </w:r>
        <w:r w:rsidR="004427DD">
          <w:rPr>
            <w:noProof/>
            <w:webHidden/>
          </w:rPr>
          <w:t>18</w:t>
        </w:r>
        <w:r>
          <w:rPr>
            <w:noProof/>
            <w:webHidden/>
          </w:rPr>
          <w:fldChar w:fldCharType="end"/>
        </w:r>
      </w:hyperlink>
    </w:p>
    <w:p w:rsidR="00946B4E" w14:paraId="47EF8D64" w14:textId="3F54C75F">
      <w:pPr>
        <w:pStyle w:val="TOC2"/>
        <w:rPr>
          <w:rFonts w:asciiTheme="minorHAnsi" w:eastAsiaTheme="minorEastAsia" w:hAnsiTheme="minorHAnsi" w:cstheme="minorBidi"/>
          <w:noProof/>
          <w:color w:val="auto"/>
          <w:kern w:val="2"/>
          <w:sz w:val="24"/>
          <w:szCs w:val="24"/>
          <w14:ligatures w14:val="standardContextual"/>
        </w:rPr>
      </w:pPr>
      <w:hyperlink w:anchor="_Toc199483369" w:history="1">
        <w:r w:rsidRPr="00171ADB">
          <w:rPr>
            <w:rStyle w:val="Hyperlink"/>
            <w:noProof/>
          </w:rPr>
          <w:t>A.13. Annual Cost to the Federal Government</w:t>
        </w:r>
        <w:r>
          <w:rPr>
            <w:noProof/>
            <w:webHidden/>
          </w:rPr>
          <w:tab/>
        </w:r>
        <w:r>
          <w:rPr>
            <w:noProof/>
            <w:webHidden/>
          </w:rPr>
          <w:fldChar w:fldCharType="begin"/>
        </w:r>
        <w:r>
          <w:rPr>
            <w:noProof/>
            <w:webHidden/>
          </w:rPr>
          <w:instrText xml:space="preserve"> PAGEREF _Toc199483369 \h </w:instrText>
        </w:r>
        <w:r>
          <w:rPr>
            <w:noProof/>
            <w:webHidden/>
          </w:rPr>
          <w:fldChar w:fldCharType="separate"/>
        </w:r>
        <w:r w:rsidR="004427DD">
          <w:rPr>
            <w:noProof/>
            <w:webHidden/>
          </w:rPr>
          <w:t>19</w:t>
        </w:r>
        <w:r>
          <w:rPr>
            <w:noProof/>
            <w:webHidden/>
          </w:rPr>
          <w:fldChar w:fldCharType="end"/>
        </w:r>
      </w:hyperlink>
    </w:p>
    <w:p w:rsidR="00946B4E" w14:paraId="4C101B61" w14:textId="67660AB0">
      <w:pPr>
        <w:pStyle w:val="TOC2"/>
        <w:rPr>
          <w:rFonts w:asciiTheme="minorHAnsi" w:eastAsiaTheme="minorEastAsia" w:hAnsiTheme="minorHAnsi" w:cstheme="minorBidi"/>
          <w:noProof/>
          <w:color w:val="auto"/>
          <w:kern w:val="2"/>
          <w:sz w:val="24"/>
          <w:szCs w:val="24"/>
          <w14:ligatures w14:val="standardContextual"/>
        </w:rPr>
      </w:pPr>
      <w:hyperlink w:anchor="_Toc199483370" w:history="1">
        <w:r w:rsidRPr="00171ADB">
          <w:rPr>
            <w:rStyle w:val="Hyperlink"/>
            <w:noProof/>
          </w:rPr>
          <w:t>A.14. Changes in Burden</w:t>
        </w:r>
        <w:r>
          <w:rPr>
            <w:noProof/>
            <w:webHidden/>
          </w:rPr>
          <w:tab/>
        </w:r>
        <w:r>
          <w:rPr>
            <w:noProof/>
            <w:webHidden/>
          </w:rPr>
          <w:fldChar w:fldCharType="begin"/>
        </w:r>
        <w:r>
          <w:rPr>
            <w:noProof/>
            <w:webHidden/>
          </w:rPr>
          <w:instrText xml:space="preserve"> PAGEREF _Toc199483370 \h </w:instrText>
        </w:r>
        <w:r>
          <w:rPr>
            <w:noProof/>
            <w:webHidden/>
          </w:rPr>
          <w:fldChar w:fldCharType="separate"/>
        </w:r>
        <w:r w:rsidR="004427DD">
          <w:rPr>
            <w:noProof/>
            <w:webHidden/>
          </w:rPr>
          <w:t>20</w:t>
        </w:r>
        <w:r>
          <w:rPr>
            <w:noProof/>
            <w:webHidden/>
          </w:rPr>
          <w:fldChar w:fldCharType="end"/>
        </w:r>
      </w:hyperlink>
    </w:p>
    <w:p w:rsidR="00946B4E" w14:paraId="20F74137" w14:textId="40A0FE90">
      <w:pPr>
        <w:pStyle w:val="TOC2"/>
        <w:rPr>
          <w:rFonts w:asciiTheme="minorHAnsi" w:eastAsiaTheme="minorEastAsia" w:hAnsiTheme="minorHAnsi" w:cstheme="minorBidi"/>
          <w:noProof/>
          <w:color w:val="auto"/>
          <w:kern w:val="2"/>
          <w:sz w:val="24"/>
          <w:szCs w:val="24"/>
          <w14:ligatures w14:val="standardContextual"/>
        </w:rPr>
      </w:pPr>
      <w:hyperlink w:anchor="_Toc199483371" w:history="1">
        <w:r w:rsidRPr="00171ADB">
          <w:rPr>
            <w:rStyle w:val="Hyperlink"/>
            <w:noProof/>
          </w:rPr>
          <w:t>A.15. Reasons for Changes in Burden</w:t>
        </w:r>
        <w:r>
          <w:rPr>
            <w:noProof/>
            <w:webHidden/>
          </w:rPr>
          <w:tab/>
        </w:r>
        <w:r>
          <w:rPr>
            <w:noProof/>
            <w:webHidden/>
          </w:rPr>
          <w:fldChar w:fldCharType="begin"/>
        </w:r>
        <w:r>
          <w:rPr>
            <w:noProof/>
            <w:webHidden/>
          </w:rPr>
          <w:instrText xml:space="preserve"> PAGEREF _Toc199483371 \h </w:instrText>
        </w:r>
        <w:r>
          <w:rPr>
            <w:noProof/>
            <w:webHidden/>
          </w:rPr>
          <w:fldChar w:fldCharType="separate"/>
        </w:r>
        <w:r w:rsidR="004427DD">
          <w:rPr>
            <w:noProof/>
            <w:webHidden/>
          </w:rPr>
          <w:t>21</w:t>
        </w:r>
        <w:r>
          <w:rPr>
            <w:noProof/>
            <w:webHidden/>
          </w:rPr>
          <w:fldChar w:fldCharType="end"/>
        </w:r>
      </w:hyperlink>
    </w:p>
    <w:p w:rsidR="00946B4E" w14:paraId="488DA0D0" w14:textId="3277D12C">
      <w:pPr>
        <w:pStyle w:val="TOC2"/>
        <w:rPr>
          <w:rFonts w:asciiTheme="minorHAnsi" w:eastAsiaTheme="minorEastAsia" w:hAnsiTheme="minorHAnsi" w:cstheme="minorBidi"/>
          <w:noProof/>
          <w:color w:val="auto"/>
          <w:kern w:val="2"/>
          <w:sz w:val="24"/>
          <w:szCs w:val="24"/>
          <w14:ligatures w14:val="standardContextual"/>
        </w:rPr>
      </w:pPr>
      <w:hyperlink w:anchor="_Toc199483372" w:history="1">
        <w:r w:rsidRPr="00171ADB">
          <w:rPr>
            <w:rStyle w:val="Hyperlink"/>
            <w:noProof/>
          </w:rPr>
          <w:t>A.16. Collection, Tabulation, and Publication Plans</w:t>
        </w:r>
        <w:r>
          <w:rPr>
            <w:noProof/>
            <w:webHidden/>
          </w:rPr>
          <w:tab/>
        </w:r>
        <w:r>
          <w:rPr>
            <w:noProof/>
            <w:webHidden/>
          </w:rPr>
          <w:fldChar w:fldCharType="begin"/>
        </w:r>
        <w:r>
          <w:rPr>
            <w:noProof/>
            <w:webHidden/>
          </w:rPr>
          <w:instrText xml:space="preserve"> PAGEREF _Toc199483372 \h </w:instrText>
        </w:r>
        <w:r>
          <w:rPr>
            <w:noProof/>
            <w:webHidden/>
          </w:rPr>
          <w:fldChar w:fldCharType="separate"/>
        </w:r>
        <w:r w:rsidR="004427DD">
          <w:rPr>
            <w:noProof/>
            <w:webHidden/>
          </w:rPr>
          <w:t>21</w:t>
        </w:r>
        <w:r>
          <w:rPr>
            <w:noProof/>
            <w:webHidden/>
          </w:rPr>
          <w:fldChar w:fldCharType="end"/>
        </w:r>
      </w:hyperlink>
    </w:p>
    <w:p w:rsidR="00946B4E" w14:paraId="7C5F307D" w14:textId="14DBD22F">
      <w:pPr>
        <w:pStyle w:val="TOC2"/>
        <w:rPr>
          <w:rFonts w:asciiTheme="minorHAnsi" w:eastAsiaTheme="minorEastAsia" w:hAnsiTheme="minorHAnsi" w:cstheme="minorBidi"/>
          <w:noProof/>
          <w:color w:val="auto"/>
          <w:kern w:val="2"/>
          <w:sz w:val="24"/>
          <w:szCs w:val="24"/>
          <w14:ligatures w14:val="standardContextual"/>
        </w:rPr>
      </w:pPr>
      <w:hyperlink w:anchor="_Toc199483373" w:history="1">
        <w:r w:rsidRPr="00171ADB">
          <w:rPr>
            <w:rStyle w:val="Hyperlink"/>
            <w:noProof/>
          </w:rPr>
          <w:t>A.17. OMB Number and Expiration Date</w:t>
        </w:r>
        <w:r>
          <w:rPr>
            <w:noProof/>
            <w:webHidden/>
          </w:rPr>
          <w:tab/>
        </w:r>
        <w:r>
          <w:rPr>
            <w:noProof/>
            <w:webHidden/>
          </w:rPr>
          <w:fldChar w:fldCharType="begin"/>
        </w:r>
        <w:r>
          <w:rPr>
            <w:noProof/>
            <w:webHidden/>
          </w:rPr>
          <w:instrText xml:space="preserve"> PAGEREF _Toc199483373 \h </w:instrText>
        </w:r>
        <w:r>
          <w:rPr>
            <w:noProof/>
            <w:webHidden/>
          </w:rPr>
          <w:fldChar w:fldCharType="separate"/>
        </w:r>
        <w:r w:rsidR="004427DD">
          <w:rPr>
            <w:noProof/>
            <w:webHidden/>
          </w:rPr>
          <w:t>22</w:t>
        </w:r>
        <w:r>
          <w:rPr>
            <w:noProof/>
            <w:webHidden/>
          </w:rPr>
          <w:fldChar w:fldCharType="end"/>
        </w:r>
      </w:hyperlink>
    </w:p>
    <w:p w:rsidR="00946B4E" w14:paraId="6AD41EF3" w14:textId="3933EE06">
      <w:pPr>
        <w:pStyle w:val="TOC2"/>
        <w:rPr>
          <w:rFonts w:asciiTheme="minorHAnsi" w:eastAsiaTheme="minorEastAsia" w:hAnsiTheme="minorHAnsi" w:cstheme="minorBidi"/>
          <w:noProof/>
          <w:color w:val="auto"/>
          <w:kern w:val="2"/>
          <w:sz w:val="24"/>
          <w:szCs w:val="24"/>
          <w14:ligatures w14:val="standardContextual"/>
        </w:rPr>
      </w:pPr>
      <w:hyperlink w:anchor="_Toc199483374" w:history="1">
        <w:r w:rsidRPr="00171ADB">
          <w:rPr>
            <w:rStyle w:val="Hyperlink"/>
            <w:noProof/>
          </w:rPr>
          <w:t>A.18. Certification Statement</w:t>
        </w:r>
        <w:r>
          <w:rPr>
            <w:noProof/>
            <w:webHidden/>
          </w:rPr>
          <w:tab/>
        </w:r>
        <w:r>
          <w:rPr>
            <w:noProof/>
            <w:webHidden/>
          </w:rPr>
          <w:fldChar w:fldCharType="begin"/>
        </w:r>
        <w:r>
          <w:rPr>
            <w:noProof/>
            <w:webHidden/>
          </w:rPr>
          <w:instrText xml:space="preserve"> PAGEREF _Toc199483374 \h </w:instrText>
        </w:r>
        <w:r>
          <w:rPr>
            <w:noProof/>
            <w:webHidden/>
          </w:rPr>
          <w:fldChar w:fldCharType="separate"/>
        </w:r>
        <w:r w:rsidR="004427DD">
          <w:rPr>
            <w:noProof/>
            <w:webHidden/>
          </w:rPr>
          <w:t>22</w:t>
        </w:r>
        <w:r>
          <w:rPr>
            <w:noProof/>
            <w:webHidden/>
          </w:rPr>
          <w:fldChar w:fldCharType="end"/>
        </w:r>
      </w:hyperlink>
    </w:p>
    <w:p w:rsidR="00AD6244" w14:paraId="6B7C2E01" w14:textId="66B42DB6">
      <w:r w:rsidRPr="00E054DF">
        <w:rPr>
          <w:b/>
          <w:bCs/>
          <w:noProof/>
          <w:color w:val="000000"/>
        </w:rPr>
        <w:fldChar w:fldCharType="end"/>
      </w:r>
    </w:p>
    <w:p w:rsidR="002542D4" w:rsidRPr="00BB64D7" w:rsidP="008947EF" w14:paraId="5CB70426" w14:textId="7DC4378C">
      <w:pPr>
        <w:pStyle w:val="Heading2"/>
        <w:rPr>
          <w:noProof/>
        </w:rPr>
      </w:pPr>
      <w:r>
        <w:rPr>
          <w:noProof/>
        </w:rPr>
        <w:br w:type="page"/>
      </w:r>
      <w:bookmarkStart w:id="2" w:name="_Toc492634200"/>
      <w:bookmarkStart w:id="3" w:name="_Toc199483356"/>
      <w:r w:rsidRPr="00BB64D7">
        <w:rPr>
          <w:noProof/>
        </w:rPr>
        <w:t>Introduction</w:t>
      </w:r>
      <w:bookmarkEnd w:id="2"/>
      <w:bookmarkEnd w:id="3"/>
    </w:p>
    <w:p w:rsidR="000C3218" w:rsidP="000C3218" w14:paraId="731650FF" w14:textId="53D416B7">
      <w:pPr>
        <w:spacing w:after="0"/>
      </w:pPr>
      <w:r w:rsidRPr="7788A1DB">
        <w:rPr>
          <w:noProof/>
        </w:rPr>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w:t>
      </w:r>
      <w:r w:rsidR="7644CB11">
        <w:t>EIA’s Office of Energy Production Conversion and Delivery (EPCD) uses the Petroleum Supply Reporting System (PSRS) to collect data on U.S. supplies of crude oil, hydrocarbon gas liquids, petroleum products, and biofuels. The PSRS comprise</w:t>
      </w:r>
      <w:r w:rsidR="45862459">
        <w:t>s</w:t>
      </w:r>
      <w:r w:rsidR="7644CB11">
        <w:t xml:space="preserve"> 7 weekly surveys that make up the Weekly Petroleum Supply Reporting System (WPSRS), 8 monthly surveys that make up the Monthly Petroleum Supply Reporting System (MPSRS), </w:t>
      </w:r>
      <w:r w:rsidR="3DFF2D5C">
        <w:t xml:space="preserve">one standby emergency survey, </w:t>
      </w:r>
      <w:r w:rsidR="7644CB11">
        <w:t>and one annual survey of refineries.</w:t>
      </w:r>
    </w:p>
    <w:p w:rsidR="000C3218" w:rsidP="000C3218" w14:paraId="3A2E2EA3" w14:textId="77777777">
      <w:pPr>
        <w:spacing w:after="0"/>
        <w:rPr>
          <w:szCs w:val="24"/>
        </w:rPr>
      </w:pPr>
    </w:p>
    <w:p w:rsidR="000C3218" w:rsidP="000C3218" w14:paraId="18C0018D" w14:textId="4986A750">
      <w:r>
        <w:t>Below is a network diagram showing the relationship of the surveys in this ICR to each other and how EIA collects different pieces of information to assess supply conditions in the crude oil and upstream refined petroleum product markets.</w:t>
      </w:r>
    </w:p>
    <w:p w:rsidR="001F2998" w:rsidRPr="001F2998" w:rsidP="001F2998" w14:paraId="376E53C9" w14:textId="5ECDE7BA">
      <w:pPr>
        <w:rPr>
          <w:iCs/>
          <w:noProof/>
        </w:rPr>
      </w:pPr>
      <w:r w:rsidRPr="001F2998">
        <w:rPr>
          <w:iCs/>
          <w:noProof/>
        </w:rPr>
        <w:drawing>
          <wp:inline distT="0" distB="0" distL="0" distR="0">
            <wp:extent cx="5943600" cy="3634105"/>
            <wp:effectExtent l="0" t="0" r="0" b="4445"/>
            <wp:docPr id="474183001" name="Picture 2"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83001" name="Picture 2" descr="Timeline&#10;&#10;AI-generated content may be incorrect."/>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34105"/>
                    </a:xfrm>
                    <a:prstGeom prst="rect">
                      <a:avLst/>
                    </a:prstGeom>
                    <a:noFill/>
                    <a:ln>
                      <a:noFill/>
                    </a:ln>
                  </pic:spPr>
                </pic:pic>
              </a:graphicData>
            </a:graphic>
          </wp:inline>
        </w:drawing>
      </w:r>
    </w:p>
    <w:p w:rsidR="000C3218" w:rsidP="002542D4" w14:paraId="4B69785C" w14:textId="7203062A">
      <w:pPr>
        <w:rPr>
          <w:iCs/>
          <w:noProof/>
        </w:rPr>
      </w:pPr>
    </w:p>
    <w:p w:rsidR="00F24517" w:rsidP="00262F5C" w14:paraId="10664EC0" w14:textId="6E4299A4">
      <w:pPr>
        <w:rPr>
          <w:b/>
          <w:szCs w:val="24"/>
        </w:rPr>
      </w:pPr>
    </w:p>
    <w:p w:rsidR="00630D97" w:rsidP="00262F5C" w14:paraId="70862AF4" w14:textId="77777777">
      <w:pPr>
        <w:rPr>
          <w:b/>
          <w:szCs w:val="24"/>
        </w:rPr>
      </w:pPr>
    </w:p>
    <w:p w:rsidR="00630D97" w:rsidP="00262F5C" w14:paraId="13212338" w14:textId="77777777">
      <w:pPr>
        <w:rPr>
          <w:b/>
          <w:szCs w:val="24"/>
        </w:rPr>
      </w:pPr>
    </w:p>
    <w:p w:rsidR="00F24517" w:rsidP="00262F5C" w14:paraId="3ADD778E" w14:textId="77777777">
      <w:pPr>
        <w:rPr>
          <w:b/>
          <w:szCs w:val="24"/>
        </w:rPr>
      </w:pPr>
    </w:p>
    <w:p w:rsidR="00262F5C" w:rsidRPr="00DE4069" w:rsidP="00DE4069" w14:paraId="430E2308" w14:textId="7B9767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b/>
          <w:color w:val="0070C0"/>
          <w:szCs w:val="24"/>
        </w:rPr>
      </w:pPr>
      <w:r w:rsidRPr="00DE4069">
        <w:rPr>
          <w:b/>
          <w:color w:val="0070C0"/>
          <w:szCs w:val="24"/>
        </w:rPr>
        <w:t xml:space="preserve">Table </w:t>
      </w:r>
      <w:r w:rsidR="00DE4069">
        <w:rPr>
          <w:b/>
          <w:color w:val="0070C0"/>
          <w:szCs w:val="24"/>
        </w:rPr>
        <w:t>A</w:t>
      </w:r>
      <w:r w:rsidRPr="00DE4069">
        <w:rPr>
          <w:b/>
          <w:color w:val="0070C0"/>
          <w:szCs w:val="24"/>
        </w:rPr>
        <w:t>1. Petroleum Supply Reporting System Data Collection Forms and their Descriptions</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5"/>
        <w:gridCol w:w="6660"/>
      </w:tblGrid>
      <w:tr w14:paraId="3EA96DEF" w14:textId="77777777" w:rsidTr="7788A1DB">
        <w:tblPrEx>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jc w:val="center"/>
        </w:trPr>
        <w:tc>
          <w:tcPr>
            <w:tcW w:w="3235" w:type="dxa"/>
            <w:shd w:val="clear" w:color="auto" w:fill="00B0F0"/>
            <w:vAlign w:val="center"/>
          </w:tcPr>
          <w:p w:rsidR="00262F5C" w:rsidRPr="009B2F09" w14:paraId="521DA461" w14:textId="77777777">
            <w:pPr>
              <w:widowControl w:val="0"/>
              <w:autoSpaceDE w:val="0"/>
              <w:autoSpaceDN w:val="0"/>
              <w:adjustRightInd w:val="0"/>
              <w:spacing w:after="58" w:line="240" w:lineRule="auto"/>
              <w:jc w:val="center"/>
              <w:rPr>
                <w:rFonts w:eastAsia="Times New Roman"/>
                <w:b/>
                <w:bCs/>
              </w:rPr>
            </w:pPr>
            <w:r w:rsidRPr="00AE01E2">
              <w:rPr>
                <w:rFonts w:eastAsia="Times New Roman"/>
                <w:b/>
                <w:bCs/>
              </w:rPr>
              <w:t>Survey</w:t>
            </w:r>
          </w:p>
        </w:tc>
        <w:tc>
          <w:tcPr>
            <w:tcW w:w="6660" w:type="dxa"/>
            <w:shd w:val="clear" w:color="auto" w:fill="00B0F0"/>
            <w:vAlign w:val="center"/>
          </w:tcPr>
          <w:p w:rsidR="00262F5C" w:rsidRPr="00262F5C" w14:paraId="56380876" w14:textId="77777777">
            <w:pPr>
              <w:spacing w:after="0" w:line="240" w:lineRule="auto"/>
              <w:jc w:val="center"/>
              <w:rPr>
                <w:rFonts w:eastAsia="Times New Roman"/>
                <w:b/>
                <w:bCs/>
                <w:color w:val="000000"/>
              </w:rPr>
            </w:pPr>
            <w:r w:rsidRPr="00592054">
              <w:rPr>
                <w:rFonts w:eastAsia="Times New Roman"/>
                <w:b/>
                <w:bCs/>
                <w:color w:val="000000"/>
              </w:rPr>
              <w:t>Description</w:t>
            </w:r>
          </w:p>
        </w:tc>
      </w:tr>
      <w:tr w14:paraId="68E304D0" w14:textId="77777777" w:rsidTr="7788A1DB">
        <w:tblPrEx>
          <w:tblW w:w="9895" w:type="dxa"/>
          <w:jc w:val="center"/>
          <w:tblLayout w:type="fixed"/>
          <w:tblLook w:val="0000"/>
        </w:tblPrEx>
        <w:trPr>
          <w:cantSplit/>
          <w:trHeight w:val="1358"/>
          <w:jc w:val="center"/>
        </w:trPr>
        <w:tc>
          <w:tcPr>
            <w:tcW w:w="3235" w:type="dxa"/>
          </w:tcPr>
          <w:p w:rsidR="00262F5C" w:rsidRPr="00AD2B19" w14:paraId="04EB4637" w14:textId="77777777">
            <w:pPr>
              <w:spacing w:after="0"/>
            </w:pPr>
            <w:r w:rsidRPr="00AD2B19">
              <w:t>Form</w:t>
            </w:r>
            <w:r w:rsidRPr="00AD2B19">
              <w:t xml:space="preserve"> EIA-800</w:t>
            </w:r>
          </w:p>
          <w:p w:rsidR="00262F5C" w:rsidRPr="00592054" w14:paraId="50F15E08" w14:textId="77777777">
            <w:pPr>
              <w:spacing w:after="0"/>
              <w:rPr>
                <w:sz w:val="18"/>
                <w:szCs w:val="18"/>
              </w:rPr>
            </w:pPr>
            <w:r w:rsidRPr="00AD2B19">
              <w:t>Weekly Refinery Report</w:t>
            </w:r>
          </w:p>
        </w:tc>
        <w:tc>
          <w:tcPr>
            <w:tcW w:w="6660" w:type="dxa"/>
          </w:tcPr>
          <w:p w:rsidR="00262F5C" w:rsidRPr="00592054" w14:paraId="56B13FA2" w14:textId="6E93DF97">
            <w:pPr>
              <w:spacing w:line="240" w:lineRule="auto"/>
              <w:rPr>
                <w:rFonts w:eastAsia="Times New Roman"/>
                <w:bCs/>
                <w:sz w:val="18"/>
                <w:szCs w:val="18"/>
              </w:rPr>
            </w:pPr>
            <w:r>
              <w:t xml:space="preserve">Respondents are operators of petroleum refineries in the U.S.  EIA selects respondents for the weekly sample from the list of petroleum refineries reporting on Form EIA-810. Data </w:t>
            </w:r>
            <w:r>
              <w:t>include</w:t>
            </w:r>
            <w:r>
              <w:t xml:space="preserve"> refinery input, production, and stocks of crude oil, refinery feedstocks, natural gas liquids, refinery </w:t>
            </w:r>
            <w:r>
              <w:t>olefins</w:t>
            </w:r>
            <w:r>
              <w:t>, and selected petroleum products. Reported data are for individual petroleum refineries.</w:t>
            </w:r>
          </w:p>
        </w:tc>
      </w:tr>
      <w:tr w14:paraId="5F8B2755" w14:textId="77777777" w:rsidTr="7788A1DB">
        <w:tblPrEx>
          <w:tblW w:w="9895" w:type="dxa"/>
          <w:jc w:val="center"/>
          <w:tblLayout w:type="fixed"/>
          <w:tblLook w:val="0000"/>
        </w:tblPrEx>
        <w:trPr>
          <w:cantSplit/>
          <w:jc w:val="center"/>
        </w:trPr>
        <w:tc>
          <w:tcPr>
            <w:tcW w:w="3235" w:type="dxa"/>
          </w:tcPr>
          <w:p w:rsidR="00262F5C" w:rsidRPr="00AD2B19" w14:paraId="683C8D08" w14:textId="77777777">
            <w:pPr>
              <w:spacing w:after="0"/>
            </w:pPr>
            <w:r w:rsidRPr="00AD2B19">
              <w:t>Form</w:t>
            </w:r>
            <w:r w:rsidRPr="00AD2B19">
              <w:t xml:space="preserve"> EIA-802 </w:t>
            </w:r>
          </w:p>
          <w:p w:rsidR="00262F5C" w:rsidRPr="00AD2B19" w14:paraId="75FB5434" w14:textId="77777777">
            <w:pPr>
              <w:spacing w:after="0"/>
            </w:pPr>
            <w:r w:rsidRPr="00AD2B19">
              <w:t>Weekly Product Pipeline Report</w:t>
            </w:r>
          </w:p>
          <w:p w:rsidR="00262F5C" w:rsidRPr="00592054" w14:paraId="45DA4919" w14:textId="77777777">
            <w:pPr>
              <w:widowControl w:val="0"/>
              <w:autoSpaceDE w:val="0"/>
              <w:autoSpaceDN w:val="0"/>
              <w:adjustRightInd w:val="0"/>
              <w:spacing w:after="0" w:line="240" w:lineRule="auto"/>
              <w:rPr>
                <w:rFonts w:eastAsia="Times New Roman"/>
                <w:sz w:val="18"/>
                <w:szCs w:val="18"/>
              </w:rPr>
            </w:pPr>
          </w:p>
        </w:tc>
        <w:tc>
          <w:tcPr>
            <w:tcW w:w="6660" w:type="dxa"/>
          </w:tcPr>
          <w:p w:rsidR="00262F5C" w:rsidRPr="00592054" w14:paraId="623327CF" w14:textId="4A7ACD5D">
            <w:pPr>
              <w:spacing w:line="240" w:lineRule="auto"/>
              <w:rPr>
                <w:rFonts w:eastAsia="Times New Roman"/>
                <w:bCs/>
                <w:iCs/>
                <w:sz w:val="18"/>
                <w:szCs w:val="18"/>
              </w:rPr>
            </w:pPr>
            <w:r>
              <w:t xml:space="preserve">Respondents are operators of pipelines carrying natural gas liquids and selected biofuels and petroleum products in the U.S. EIA selects respondents for the weekly sample from the list of pipeline operators reporting on Form EIA-812. Data </w:t>
            </w:r>
            <w:r>
              <w:t>include</w:t>
            </w:r>
            <w:r>
              <w:t xml:space="preserve"> stocks. Reporting </w:t>
            </w:r>
            <w:r>
              <w:t>are</w:t>
            </w:r>
            <w:r>
              <w:t xml:space="preserve"> by pipeline operating company with stocks reported by PADD and sub-PADD of PADD 1.</w:t>
            </w:r>
          </w:p>
        </w:tc>
      </w:tr>
      <w:tr w14:paraId="67CA7823" w14:textId="77777777" w:rsidTr="7788A1DB">
        <w:tblPrEx>
          <w:tblW w:w="9895" w:type="dxa"/>
          <w:jc w:val="center"/>
          <w:tblLayout w:type="fixed"/>
          <w:tblLook w:val="0000"/>
        </w:tblPrEx>
        <w:trPr>
          <w:cantSplit/>
          <w:jc w:val="center"/>
        </w:trPr>
        <w:tc>
          <w:tcPr>
            <w:tcW w:w="3235" w:type="dxa"/>
          </w:tcPr>
          <w:p w:rsidR="00262F5C" w:rsidRPr="00AD2B19" w14:paraId="7870E0BC" w14:textId="77777777">
            <w:pPr>
              <w:spacing w:after="0"/>
            </w:pPr>
            <w:r w:rsidRPr="00AD2B19">
              <w:t>Form</w:t>
            </w:r>
            <w:r w:rsidRPr="00AD2B19">
              <w:t xml:space="preserve"> EIA-803</w:t>
            </w:r>
          </w:p>
          <w:p w:rsidR="00262F5C" w:rsidRPr="00592054" w14:paraId="1D6A8BFA" w14:textId="77777777">
            <w:pPr>
              <w:spacing w:after="0"/>
              <w:rPr>
                <w:rFonts w:eastAsia="Times New Roman"/>
                <w:sz w:val="18"/>
                <w:szCs w:val="18"/>
              </w:rPr>
            </w:pPr>
            <w:r w:rsidRPr="00AD2B19">
              <w:t>Weekly Crude Oil Stocks Report</w:t>
            </w:r>
          </w:p>
        </w:tc>
        <w:tc>
          <w:tcPr>
            <w:tcW w:w="6660" w:type="dxa"/>
          </w:tcPr>
          <w:p w:rsidR="00262F5C" w:rsidRPr="00592054" w14:paraId="1B88BD14" w14:textId="45E53C4D">
            <w:pPr>
              <w:spacing w:line="240" w:lineRule="auto"/>
              <w:rPr>
                <w:rFonts w:eastAsia="Times New Roman"/>
                <w:bCs/>
                <w:iCs/>
                <w:sz w:val="18"/>
                <w:szCs w:val="18"/>
              </w:rPr>
            </w:pPr>
            <w:r>
              <w:t xml:space="preserve">Respondents are operators of crude oil tank farms and crude oil pipelines in the U.S., and shippers of Alaskan crude oil by water within the U.S. EIA selects respondents for the weekly sample from the list of operators reporting on Form EIA-813. Data include stocks of crude oil, including stocks held by the U.S. Strategic Petroleum Reserve. Reported data are by operating </w:t>
            </w:r>
            <w:r>
              <w:t>company</w:t>
            </w:r>
            <w:r>
              <w:t xml:space="preserve"> with stocks reported by PADD and separate stocks reported for Cushing, Oklahoma.</w:t>
            </w:r>
          </w:p>
        </w:tc>
      </w:tr>
      <w:tr w14:paraId="3E517FAA" w14:textId="77777777" w:rsidTr="7788A1DB">
        <w:tblPrEx>
          <w:tblW w:w="9895" w:type="dxa"/>
          <w:jc w:val="center"/>
          <w:tblLayout w:type="fixed"/>
          <w:tblLook w:val="0000"/>
        </w:tblPrEx>
        <w:trPr>
          <w:cantSplit/>
          <w:jc w:val="center"/>
        </w:trPr>
        <w:tc>
          <w:tcPr>
            <w:tcW w:w="3235" w:type="dxa"/>
          </w:tcPr>
          <w:p w:rsidR="00262F5C" w:rsidRPr="00AD2B19" w14:paraId="5D6FC8AE" w14:textId="77777777">
            <w:pPr>
              <w:widowControl w:val="0"/>
              <w:autoSpaceDE w:val="0"/>
              <w:autoSpaceDN w:val="0"/>
              <w:adjustRightInd w:val="0"/>
              <w:spacing w:after="0" w:line="240" w:lineRule="auto"/>
            </w:pPr>
            <w:r w:rsidRPr="00AD2B19">
              <w:t>Form</w:t>
            </w:r>
            <w:r w:rsidRPr="00AD2B19">
              <w:t xml:space="preserve"> EIA-804</w:t>
            </w:r>
          </w:p>
          <w:p w:rsidR="00262F5C" w:rsidRPr="00AD2B19" w14:paraId="24729F9E" w14:textId="77777777">
            <w:pPr>
              <w:widowControl w:val="0"/>
              <w:autoSpaceDE w:val="0"/>
              <w:autoSpaceDN w:val="0"/>
              <w:adjustRightInd w:val="0"/>
              <w:spacing w:after="0" w:line="240" w:lineRule="auto"/>
              <w:rPr>
                <w:rFonts w:eastAsia="Times New Roman"/>
              </w:rPr>
            </w:pPr>
            <w:r w:rsidRPr="00AD2B19">
              <w:t>Weekly Imports Report</w:t>
            </w:r>
          </w:p>
        </w:tc>
        <w:tc>
          <w:tcPr>
            <w:tcW w:w="6660" w:type="dxa"/>
          </w:tcPr>
          <w:p w:rsidR="00262F5C" w:rsidRPr="00592054" w14:paraId="5C623328" w14:textId="76E08C8D">
            <w:pPr>
              <w:spacing w:line="240" w:lineRule="auto"/>
              <w:rPr>
                <w:rFonts w:eastAsia="Times New Roman"/>
                <w:bCs/>
                <w:iCs/>
                <w:sz w:val="18"/>
                <w:szCs w:val="18"/>
              </w:rPr>
            </w:pPr>
            <w:r>
              <w:t>Respondents are importers of crude oil, refinery feedstocks, natural gas liquids, biofuels, and petroleum products. EIA selects respondents for the weekly sample from the list of importers reporting on Form EIA-814. Reported data include imports of in-scope products originating from non-U.S. sources to the 50 states and District of Columbia by PADD of entry.</w:t>
            </w:r>
          </w:p>
        </w:tc>
      </w:tr>
      <w:tr w14:paraId="2677BFA2" w14:textId="77777777" w:rsidTr="7788A1DB">
        <w:tblPrEx>
          <w:tblW w:w="9895" w:type="dxa"/>
          <w:jc w:val="center"/>
          <w:tblLayout w:type="fixed"/>
          <w:tblLook w:val="0000"/>
        </w:tblPrEx>
        <w:trPr>
          <w:cantSplit/>
          <w:jc w:val="center"/>
        </w:trPr>
        <w:tc>
          <w:tcPr>
            <w:tcW w:w="3235" w:type="dxa"/>
          </w:tcPr>
          <w:p w:rsidR="00262F5C" w:rsidRPr="00AD2B19" w14:paraId="579B7971" w14:textId="77777777">
            <w:pPr>
              <w:spacing w:after="0"/>
            </w:pPr>
            <w:r w:rsidRPr="00AD2B19">
              <w:t>Form</w:t>
            </w:r>
            <w:r w:rsidRPr="00AD2B19">
              <w:t xml:space="preserve"> EIA-805 </w:t>
            </w:r>
          </w:p>
          <w:p w:rsidR="00262F5C" w:rsidRPr="00AD2B19" w14:paraId="028ED858" w14:textId="77777777">
            <w:pPr>
              <w:spacing w:after="0"/>
            </w:pPr>
            <w:r w:rsidRPr="00AD2B19">
              <w:t>Weekly Bulk Terminal Report</w:t>
            </w:r>
          </w:p>
          <w:p w:rsidR="00262F5C" w:rsidRPr="00592054" w14:paraId="3D0E57D9" w14:textId="77777777">
            <w:pPr>
              <w:widowControl w:val="0"/>
              <w:autoSpaceDE w:val="0"/>
              <w:autoSpaceDN w:val="0"/>
              <w:adjustRightInd w:val="0"/>
              <w:spacing w:after="0" w:line="240" w:lineRule="auto"/>
              <w:rPr>
                <w:rFonts w:eastAsia="Times New Roman"/>
                <w:sz w:val="18"/>
                <w:szCs w:val="18"/>
              </w:rPr>
            </w:pPr>
          </w:p>
        </w:tc>
        <w:tc>
          <w:tcPr>
            <w:tcW w:w="6660" w:type="dxa"/>
          </w:tcPr>
          <w:p w:rsidR="00262F5C" w:rsidRPr="00592054" w14:paraId="6A4CFC4B" w14:textId="5ADE3EF1">
            <w:pPr>
              <w:widowControl w:val="0"/>
              <w:autoSpaceDE w:val="0"/>
              <w:autoSpaceDN w:val="0"/>
              <w:adjustRightInd w:val="0"/>
              <w:spacing w:after="58" w:line="240" w:lineRule="auto"/>
              <w:rPr>
                <w:rFonts w:eastAsia="Times New Roman"/>
                <w:sz w:val="18"/>
                <w:szCs w:val="18"/>
              </w:rPr>
            </w:pPr>
            <w:r>
              <w:t xml:space="preserve">Respondents are operators of commercial bulk terminals, and certain end-user storage facilities, storing natural gas liquids, biofuels, refinery feedstocks, and petroleum products. Data include blending activity reported as input and production, and stocks. EIA selects respondents for the weekly sample from the list of operators reporting on Form EIA-815. Reported data </w:t>
            </w:r>
            <w:r>
              <w:t>are</w:t>
            </w:r>
            <w:r>
              <w:t xml:space="preserve"> for individual terminal facilities.</w:t>
            </w:r>
          </w:p>
        </w:tc>
      </w:tr>
      <w:tr w14:paraId="69A1F848" w14:textId="77777777" w:rsidTr="7788A1DB">
        <w:tblPrEx>
          <w:tblW w:w="9895" w:type="dxa"/>
          <w:jc w:val="center"/>
          <w:tblLayout w:type="fixed"/>
          <w:tblLook w:val="0000"/>
        </w:tblPrEx>
        <w:trPr>
          <w:cantSplit/>
          <w:jc w:val="center"/>
        </w:trPr>
        <w:tc>
          <w:tcPr>
            <w:tcW w:w="3235" w:type="dxa"/>
          </w:tcPr>
          <w:p w:rsidR="00262F5C" w:rsidRPr="00AD2B19" w14:paraId="5AFF8364" w14:textId="77777777">
            <w:pPr>
              <w:widowControl w:val="0"/>
              <w:autoSpaceDE w:val="0"/>
              <w:autoSpaceDN w:val="0"/>
              <w:adjustRightInd w:val="0"/>
              <w:spacing w:after="0" w:line="240" w:lineRule="auto"/>
            </w:pPr>
            <w:r w:rsidRPr="00AD2B19">
              <w:t>Form</w:t>
            </w:r>
            <w:r w:rsidRPr="00AD2B19">
              <w:t xml:space="preserve"> EIA-806 Weekly Natural Gas Liquids Report</w:t>
            </w:r>
          </w:p>
        </w:tc>
        <w:tc>
          <w:tcPr>
            <w:tcW w:w="6660" w:type="dxa"/>
          </w:tcPr>
          <w:p w:rsidR="00262F5C" w:rsidRPr="00592054" w14:paraId="17606F7E" w14:textId="5D378987">
            <w:pPr>
              <w:spacing w:after="0" w:line="240" w:lineRule="auto"/>
              <w:rPr>
                <w:rFonts w:cs="Arial"/>
                <w:color w:val="333333"/>
                <w:sz w:val="18"/>
                <w:szCs w:val="18"/>
                <w:shd w:val="clear" w:color="auto" w:fill="FFFFFF"/>
              </w:rPr>
            </w:pPr>
            <w:r>
              <w:t>Respondents are operators of natural gas processing plants and natural gas liquids fractionators. Products reported include total natural gas liquids (NGL) produced and stored as mixed products, and fractionated stocks reported as ethane, propane, normal butane, isobutane, natural gasoline, and the combination of condensate and scrubber oil. EIA selects respondents for the weekly sample from the list of operators reporting on Form EIA-816. Reported data are for individual natural gas processing plants.</w:t>
            </w:r>
          </w:p>
        </w:tc>
      </w:tr>
      <w:tr w14:paraId="3468B3EA" w14:textId="77777777" w:rsidTr="7788A1DB">
        <w:tblPrEx>
          <w:tblW w:w="9895" w:type="dxa"/>
          <w:jc w:val="center"/>
          <w:tblLayout w:type="fixed"/>
          <w:tblLook w:val="0000"/>
        </w:tblPrEx>
        <w:trPr>
          <w:cantSplit/>
          <w:jc w:val="center"/>
        </w:trPr>
        <w:tc>
          <w:tcPr>
            <w:tcW w:w="3235" w:type="dxa"/>
          </w:tcPr>
          <w:p w:rsidR="00262F5C" w:rsidRPr="00AD2B19" w14:paraId="05BED540" w14:textId="77777777">
            <w:pPr>
              <w:widowControl w:val="0"/>
              <w:autoSpaceDE w:val="0"/>
              <w:autoSpaceDN w:val="0"/>
              <w:adjustRightInd w:val="0"/>
              <w:spacing w:after="0" w:line="240" w:lineRule="auto"/>
            </w:pPr>
            <w:r w:rsidRPr="00AD2B19">
              <w:t>Form</w:t>
            </w:r>
            <w:r w:rsidRPr="00AD2B19">
              <w:t xml:space="preserve"> EIA-809</w:t>
            </w:r>
          </w:p>
          <w:p w:rsidR="00262F5C" w:rsidRPr="00592054" w14:paraId="0507ABBB" w14:textId="77777777">
            <w:pPr>
              <w:widowControl w:val="0"/>
              <w:autoSpaceDE w:val="0"/>
              <w:autoSpaceDN w:val="0"/>
              <w:adjustRightInd w:val="0"/>
              <w:spacing w:after="0" w:line="240" w:lineRule="auto"/>
              <w:rPr>
                <w:rFonts w:eastAsia="Times New Roman"/>
                <w:sz w:val="18"/>
                <w:szCs w:val="18"/>
              </w:rPr>
            </w:pPr>
            <w:r w:rsidRPr="00AD2B19">
              <w:t>Weekly Oxygenate Report</w:t>
            </w:r>
          </w:p>
        </w:tc>
        <w:tc>
          <w:tcPr>
            <w:tcW w:w="6660" w:type="dxa"/>
          </w:tcPr>
          <w:p w:rsidR="00262F5C" w:rsidRPr="00592054" w14:paraId="1253D03F" w14:textId="77109E64">
            <w:pPr>
              <w:spacing w:after="0" w:line="240" w:lineRule="auto"/>
              <w:rPr>
                <w:sz w:val="18"/>
                <w:szCs w:val="18"/>
              </w:rPr>
            </w:pPr>
            <w:r>
              <w:t>Respondents are operators of fuel ethanol producing plants. Products reported include denatured and undenatured fuel ethanol. EIA selects respondents for the weekly sample from the list of fuel ethanol plant operators reporting on Form EIA-819. Reported data are for individual fuel ethanol plants.</w:t>
            </w:r>
          </w:p>
        </w:tc>
      </w:tr>
      <w:tr w14:paraId="54BBED69" w14:textId="77777777" w:rsidTr="7788A1DB">
        <w:tblPrEx>
          <w:tblW w:w="9895" w:type="dxa"/>
          <w:jc w:val="center"/>
          <w:tblLayout w:type="fixed"/>
          <w:tblLook w:val="0000"/>
        </w:tblPrEx>
        <w:trPr>
          <w:cantSplit/>
          <w:trHeight w:val="737"/>
          <w:jc w:val="center"/>
        </w:trPr>
        <w:tc>
          <w:tcPr>
            <w:tcW w:w="3235" w:type="dxa"/>
          </w:tcPr>
          <w:p w:rsidR="00262F5C" w:rsidRPr="00AD2B19" w14:paraId="2FCAE63C" w14:textId="77777777">
            <w:pPr>
              <w:widowControl w:val="0"/>
              <w:autoSpaceDE w:val="0"/>
              <w:autoSpaceDN w:val="0"/>
              <w:adjustRightInd w:val="0"/>
              <w:spacing w:after="0" w:line="240" w:lineRule="auto"/>
            </w:pPr>
            <w:r w:rsidRPr="00AD2B19">
              <w:t>Form</w:t>
            </w:r>
            <w:r w:rsidRPr="00AD2B19">
              <w:t xml:space="preserve"> EIA-810</w:t>
            </w:r>
          </w:p>
          <w:p w:rsidR="00262F5C" w:rsidRPr="00AD2B19" w14:paraId="15EF578D" w14:textId="77777777">
            <w:pPr>
              <w:widowControl w:val="0"/>
              <w:autoSpaceDE w:val="0"/>
              <w:autoSpaceDN w:val="0"/>
              <w:adjustRightInd w:val="0"/>
              <w:spacing w:after="0" w:line="240" w:lineRule="auto"/>
              <w:rPr>
                <w:rFonts w:eastAsia="Times New Roman"/>
              </w:rPr>
            </w:pPr>
            <w:r w:rsidRPr="00AD2B19">
              <w:t>Monthly Refinery Report</w:t>
            </w:r>
          </w:p>
        </w:tc>
        <w:tc>
          <w:tcPr>
            <w:tcW w:w="6660" w:type="dxa"/>
          </w:tcPr>
          <w:p w:rsidR="00262F5C" w:rsidRPr="00AD2B19" w14:paraId="19FE8834" w14:textId="70E82F85">
            <w:pPr>
              <w:spacing w:after="0" w:line="240" w:lineRule="auto"/>
              <w:rPr>
                <w:rFonts w:eastAsia="Times New Roman"/>
                <w:color w:val="000000"/>
              </w:rPr>
            </w:pPr>
            <w:r w:rsidRPr="00AD2B19">
              <w:t xml:space="preserve">Respondents are all operators of petroleum refineries in the U.S. and U.S. territories. Respondents also include non-refinery operators of refinery processing units such as distillation, cracking, and treating.  Reported data include distillation capacity, crude oil quality, receipts, input, production, shipments, use and loss, and stocks. Products reported include crude oil, natural gas liquids, refinery feedstocks, biofuels, and petroleum products. Reported data are for individual </w:t>
            </w:r>
            <w:r w:rsidR="00E62FBD">
              <w:t>refineries</w:t>
            </w:r>
            <w:r w:rsidRPr="00AD2B19">
              <w:t>.</w:t>
            </w:r>
          </w:p>
        </w:tc>
      </w:tr>
      <w:tr w14:paraId="213A4821" w14:textId="77777777" w:rsidTr="7788A1DB">
        <w:tblPrEx>
          <w:tblW w:w="9895" w:type="dxa"/>
          <w:jc w:val="center"/>
          <w:tblLayout w:type="fixed"/>
          <w:tblLook w:val="0000"/>
        </w:tblPrEx>
        <w:trPr>
          <w:cantSplit/>
          <w:jc w:val="center"/>
        </w:trPr>
        <w:tc>
          <w:tcPr>
            <w:tcW w:w="3235" w:type="dxa"/>
          </w:tcPr>
          <w:p w:rsidR="00262F5C" w:rsidRPr="00AD2B19" w14:paraId="488FA9AA" w14:textId="77777777">
            <w:pPr>
              <w:widowControl w:val="0"/>
              <w:autoSpaceDE w:val="0"/>
              <w:autoSpaceDN w:val="0"/>
              <w:adjustRightInd w:val="0"/>
              <w:spacing w:after="0" w:line="240" w:lineRule="auto"/>
            </w:pPr>
            <w:r w:rsidRPr="00AD2B19">
              <w:t>Form</w:t>
            </w:r>
            <w:r w:rsidRPr="00AD2B19">
              <w:t xml:space="preserve"> EIA-812 </w:t>
            </w:r>
          </w:p>
          <w:p w:rsidR="00262F5C" w:rsidRPr="00AD2B19" w14:paraId="4A6CB467" w14:textId="77777777">
            <w:pPr>
              <w:widowControl w:val="0"/>
              <w:autoSpaceDE w:val="0"/>
              <w:autoSpaceDN w:val="0"/>
              <w:adjustRightInd w:val="0"/>
              <w:spacing w:after="0" w:line="240" w:lineRule="auto"/>
              <w:rPr>
                <w:rFonts w:eastAsia="Times New Roman"/>
              </w:rPr>
            </w:pPr>
            <w:r w:rsidRPr="00AD2B19">
              <w:t>Monthly Product Pipeline Report</w:t>
            </w:r>
          </w:p>
        </w:tc>
        <w:tc>
          <w:tcPr>
            <w:tcW w:w="6660" w:type="dxa"/>
          </w:tcPr>
          <w:p w:rsidR="00262F5C" w:rsidRPr="00AD2B19" w14:paraId="47519E7F" w14:textId="7269DEA4">
            <w:pPr>
              <w:widowControl w:val="0"/>
              <w:autoSpaceDE w:val="0"/>
              <w:autoSpaceDN w:val="0"/>
              <w:adjustRightInd w:val="0"/>
              <w:spacing w:after="58" w:line="240" w:lineRule="auto"/>
              <w:rPr>
                <w:rFonts w:eastAsia="Times New Roman"/>
                <w:color w:val="000000"/>
              </w:rPr>
            </w:pPr>
            <w:r w:rsidRPr="00AD2B19">
              <w:t>Respondents are all operators of pipelines for natural gas liquids, selected biofuels, and petroleum products in the U.S. Reported data stocks and inter-PADD movements. Reported data are for pipeline operating companies reporting stocks by PADD and sub-PADD of PADD 1 and inter-PADD movements.</w:t>
            </w:r>
          </w:p>
        </w:tc>
      </w:tr>
      <w:tr w14:paraId="2D60568A" w14:textId="77777777" w:rsidTr="7788A1DB">
        <w:tblPrEx>
          <w:tblW w:w="9895" w:type="dxa"/>
          <w:jc w:val="center"/>
          <w:tblLayout w:type="fixed"/>
          <w:tblLook w:val="0000"/>
        </w:tblPrEx>
        <w:trPr>
          <w:cantSplit/>
          <w:jc w:val="center"/>
        </w:trPr>
        <w:tc>
          <w:tcPr>
            <w:tcW w:w="3235" w:type="dxa"/>
          </w:tcPr>
          <w:p w:rsidR="00262F5C" w:rsidRPr="00AD2B19" w14:paraId="53EDD33C" w14:textId="77777777">
            <w:pPr>
              <w:widowControl w:val="0"/>
              <w:autoSpaceDE w:val="0"/>
              <w:autoSpaceDN w:val="0"/>
              <w:adjustRightInd w:val="0"/>
              <w:spacing w:after="0" w:line="240" w:lineRule="auto"/>
            </w:pPr>
            <w:r w:rsidRPr="00AD2B19">
              <w:t>Form</w:t>
            </w:r>
            <w:r w:rsidRPr="00AD2B19">
              <w:t xml:space="preserve"> EIA-813 </w:t>
            </w:r>
          </w:p>
          <w:p w:rsidR="00262F5C" w:rsidRPr="00AD2B19" w14:paraId="65CD75F1" w14:textId="77777777">
            <w:pPr>
              <w:widowControl w:val="0"/>
              <w:autoSpaceDE w:val="0"/>
              <w:autoSpaceDN w:val="0"/>
              <w:adjustRightInd w:val="0"/>
              <w:spacing w:after="0" w:line="240" w:lineRule="auto"/>
            </w:pPr>
            <w:r w:rsidRPr="00AD2B19">
              <w:t>Monthly Crude Oil Report</w:t>
            </w:r>
          </w:p>
        </w:tc>
        <w:tc>
          <w:tcPr>
            <w:tcW w:w="6660" w:type="dxa"/>
          </w:tcPr>
          <w:p w:rsidR="00262F5C" w:rsidRPr="00AD2B19" w14:paraId="163293E4" w14:textId="4E1B39D6">
            <w:pPr>
              <w:widowControl w:val="0"/>
              <w:autoSpaceDE w:val="0"/>
              <w:autoSpaceDN w:val="0"/>
              <w:adjustRightInd w:val="0"/>
              <w:spacing w:after="58" w:line="240" w:lineRule="auto"/>
              <w:rPr>
                <w:rFonts w:eastAsia="Times New Roman"/>
                <w:color w:val="000000"/>
              </w:rPr>
            </w:pPr>
            <w:r w:rsidRPr="00AD2B19">
              <w:t xml:space="preserve">Respondents are all operators of crude oil tank farms (including underground storage) in the U.S., crude oil pipelines in the U.S., and shippers of Alaskan crude oil by water between U.S. locations. Data </w:t>
            </w:r>
            <w:r w:rsidRPr="00AD2B19">
              <w:t>include</w:t>
            </w:r>
            <w:r w:rsidRPr="00AD2B19">
              <w:t xml:space="preserve"> monthly stocks (including stocks of Alaskan crude oil in transit by water) and inter-PADD movements by pipeline. Stocks data include crude oil held by the U.S. Strategic Petroleum Reserve. Reported data are by operating </w:t>
            </w:r>
            <w:r w:rsidRPr="00AD2B19">
              <w:t>company</w:t>
            </w:r>
            <w:r w:rsidRPr="00AD2B19">
              <w:t xml:space="preserve"> with stocks reported by PADD, separate stocks at Cushing, Oklahoma, and inter-PADD movements by pipeline.  </w:t>
            </w:r>
          </w:p>
        </w:tc>
      </w:tr>
      <w:tr w14:paraId="7D10C43E" w14:textId="77777777" w:rsidTr="7788A1DB">
        <w:tblPrEx>
          <w:tblW w:w="9895" w:type="dxa"/>
          <w:jc w:val="center"/>
          <w:tblLayout w:type="fixed"/>
          <w:tblLook w:val="0000"/>
        </w:tblPrEx>
        <w:trPr>
          <w:cantSplit/>
          <w:jc w:val="center"/>
        </w:trPr>
        <w:tc>
          <w:tcPr>
            <w:tcW w:w="3235" w:type="dxa"/>
          </w:tcPr>
          <w:p w:rsidR="00262F5C" w:rsidRPr="00AD2B19" w14:paraId="63E4B543" w14:textId="77777777">
            <w:pPr>
              <w:widowControl w:val="0"/>
              <w:autoSpaceDE w:val="0"/>
              <w:autoSpaceDN w:val="0"/>
              <w:adjustRightInd w:val="0"/>
              <w:spacing w:after="0" w:line="240" w:lineRule="auto"/>
            </w:pPr>
            <w:r w:rsidRPr="00AD2B19">
              <w:t>Form</w:t>
            </w:r>
            <w:r w:rsidRPr="00AD2B19">
              <w:t xml:space="preserve"> EIA-814 </w:t>
            </w:r>
          </w:p>
          <w:p w:rsidR="00262F5C" w:rsidRPr="00AD2B19" w14:paraId="580AAFF8" w14:textId="77777777">
            <w:pPr>
              <w:widowControl w:val="0"/>
              <w:autoSpaceDE w:val="0"/>
              <w:autoSpaceDN w:val="0"/>
              <w:adjustRightInd w:val="0"/>
              <w:spacing w:after="0" w:line="240" w:lineRule="auto"/>
            </w:pPr>
            <w:r w:rsidRPr="00AD2B19">
              <w:t>Monthly Imports Report</w:t>
            </w:r>
          </w:p>
        </w:tc>
        <w:tc>
          <w:tcPr>
            <w:tcW w:w="6660" w:type="dxa"/>
          </w:tcPr>
          <w:p w:rsidR="00262F5C" w:rsidRPr="00AD2B19" w14:paraId="2D0D94C3" w14:textId="5C937D4D">
            <w:pPr>
              <w:widowControl w:val="0"/>
              <w:autoSpaceDE w:val="0"/>
              <w:autoSpaceDN w:val="0"/>
              <w:adjustRightInd w:val="0"/>
              <w:spacing w:after="58" w:line="240" w:lineRule="auto"/>
              <w:rPr>
                <w:rFonts w:eastAsia="Times New Roman"/>
                <w:color w:val="000000"/>
              </w:rPr>
            </w:pPr>
            <w:r w:rsidRPr="00AD2B19">
              <w:t>Respondents are all importers of crude oil, refinery feedstocks, natural gas liquids, biofuels, and petroleum products. Reported data include imports of in-scope products originating from non-U.S. sources and U.S. territories to the 50 states and District of Columbia. Reported data also include products originating from non-U.S. sources and imported to U.S. territories.  Importers report all imports by port or entry. Importers provide additional information on processing locations (petroleum refineries and certain storage and blending facilities) for crude oil and refinery feedstocks. Reporting is by importer.</w:t>
            </w:r>
          </w:p>
        </w:tc>
      </w:tr>
      <w:tr w14:paraId="1FA49FFB" w14:textId="77777777" w:rsidTr="7788A1DB">
        <w:tblPrEx>
          <w:tblW w:w="9895" w:type="dxa"/>
          <w:jc w:val="center"/>
          <w:tblLayout w:type="fixed"/>
          <w:tblLook w:val="0000"/>
        </w:tblPrEx>
        <w:trPr>
          <w:cantSplit/>
          <w:jc w:val="center"/>
        </w:trPr>
        <w:tc>
          <w:tcPr>
            <w:tcW w:w="3235" w:type="dxa"/>
          </w:tcPr>
          <w:p w:rsidR="00262F5C" w:rsidRPr="00AD2B19" w14:paraId="074582B3" w14:textId="77777777">
            <w:pPr>
              <w:widowControl w:val="0"/>
              <w:autoSpaceDE w:val="0"/>
              <w:autoSpaceDN w:val="0"/>
              <w:adjustRightInd w:val="0"/>
              <w:spacing w:after="0" w:line="240" w:lineRule="auto"/>
            </w:pPr>
            <w:r w:rsidRPr="00AD2B19">
              <w:t>Form</w:t>
            </w:r>
            <w:r w:rsidRPr="00AD2B19">
              <w:t xml:space="preserve"> EIA-815 </w:t>
            </w:r>
          </w:p>
          <w:p w:rsidR="00262F5C" w:rsidRPr="00AD2B19" w14:paraId="10B3D064" w14:textId="77777777">
            <w:pPr>
              <w:widowControl w:val="0"/>
              <w:autoSpaceDE w:val="0"/>
              <w:autoSpaceDN w:val="0"/>
              <w:adjustRightInd w:val="0"/>
              <w:spacing w:after="0" w:line="240" w:lineRule="auto"/>
            </w:pPr>
            <w:r w:rsidRPr="00AD2B19">
              <w:t>Monthly Bulk Terminal Report</w:t>
            </w:r>
          </w:p>
        </w:tc>
        <w:tc>
          <w:tcPr>
            <w:tcW w:w="6660" w:type="dxa"/>
          </w:tcPr>
          <w:p w:rsidR="00262F5C" w:rsidRPr="00AD2B19" w14:paraId="5D4E4B1E" w14:textId="37BC59A6">
            <w:pPr>
              <w:widowControl w:val="0"/>
              <w:autoSpaceDE w:val="0"/>
              <w:autoSpaceDN w:val="0"/>
              <w:adjustRightInd w:val="0"/>
              <w:spacing w:after="58" w:line="240" w:lineRule="auto"/>
              <w:rPr>
                <w:rFonts w:eastAsia="Times New Roman"/>
                <w:color w:val="000000"/>
              </w:rPr>
            </w:pPr>
            <w:r w:rsidRPr="00AD2B19">
              <w:t xml:space="preserve">Respondents are </w:t>
            </w:r>
            <w:r w:rsidR="00D23CE2">
              <w:t xml:space="preserve">all </w:t>
            </w:r>
            <w:r w:rsidRPr="00AD2B19">
              <w:t xml:space="preserve">operators of commercial bulk terminals, and certain end-user storage facilities holding natural gas liquids, storing natural gas liquids, biofuels, refinery feedstocks, and petroleum products in the U.S. and U.S. territories. Data </w:t>
            </w:r>
            <w:r w:rsidRPr="00AD2B19">
              <w:t>include</w:t>
            </w:r>
            <w:r w:rsidRPr="00AD2B19">
              <w:t xml:space="preserve"> input and production (i.e. blending activity), receipts, shipments, use and loss, and stocks. Reported data </w:t>
            </w:r>
            <w:r w:rsidRPr="00AD2B19">
              <w:t>are</w:t>
            </w:r>
            <w:r w:rsidRPr="00AD2B19">
              <w:t xml:space="preserve"> for individual terminal facilities.</w:t>
            </w:r>
          </w:p>
        </w:tc>
      </w:tr>
      <w:tr w14:paraId="15FDC5BE" w14:textId="77777777" w:rsidTr="7788A1DB">
        <w:tblPrEx>
          <w:tblW w:w="9895" w:type="dxa"/>
          <w:jc w:val="center"/>
          <w:tblLayout w:type="fixed"/>
          <w:tblLook w:val="0000"/>
        </w:tblPrEx>
        <w:trPr>
          <w:cantSplit/>
          <w:jc w:val="center"/>
        </w:trPr>
        <w:tc>
          <w:tcPr>
            <w:tcW w:w="3235" w:type="dxa"/>
            <w:tcBorders>
              <w:bottom w:val="single" w:sz="4" w:space="0" w:color="auto"/>
            </w:tcBorders>
          </w:tcPr>
          <w:p w:rsidR="00262F5C" w:rsidRPr="00AD2B19" w14:paraId="099A311C" w14:textId="77777777">
            <w:pPr>
              <w:widowControl w:val="0"/>
              <w:autoSpaceDE w:val="0"/>
              <w:autoSpaceDN w:val="0"/>
              <w:adjustRightInd w:val="0"/>
              <w:spacing w:after="0" w:line="240" w:lineRule="auto"/>
            </w:pPr>
            <w:r w:rsidRPr="00AD2B19">
              <w:t>Form</w:t>
            </w:r>
            <w:r w:rsidRPr="00AD2B19">
              <w:t xml:space="preserve"> EIA-816</w:t>
            </w:r>
          </w:p>
          <w:p w:rsidR="00262F5C" w:rsidRPr="00AD2B19" w14:paraId="7B5AB93D" w14:textId="77777777">
            <w:pPr>
              <w:widowControl w:val="0"/>
              <w:autoSpaceDE w:val="0"/>
              <w:autoSpaceDN w:val="0"/>
              <w:adjustRightInd w:val="0"/>
              <w:spacing w:after="0" w:line="240" w:lineRule="auto"/>
            </w:pPr>
            <w:r w:rsidRPr="00AD2B19">
              <w:t>Monthly Natural Gas Plant Liquids Report</w:t>
            </w:r>
          </w:p>
        </w:tc>
        <w:tc>
          <w:tcPr>
            <w:tcW w:w="6660" w:type="dxa"/>
            <w:tcBorders>
              <w:bottom w:val="single" w:sz="4" w:space="0" w:color="auto"/>
            </w:tcBorders>
          </w:tcPr>
          <w:p w:rsidR="00262F5C" w:rsidRPr="00AD2B19" w14:paraId="62815098" w14:textId="6826C53D">
            <w:pPr>
              <w:widowControl w:val="0"/>
              <w:autoSpaceDE w:val="0"/>
              <w:autoSpaceDN w:val="0"/>
              <w:adjustRightInd w:val="0"/>
              <w:spacing w:after="58" w:line="240" w:lineRule="auto"/>
              <w:rPr>
                <w:rFonts w:eastAsia="Times New Roman"/>
                <w:color w:val="000000"/>
              </w:rPr>
            </w:pPr>
            <w:r w:rsidRPr="00AD2B19">
              <w:t>Respondents are all operators of natural gas processing plants, natural gas liquids fractionators, and isomerization plants in the U.S. Products reported include natural gas liquids (NGL) produced and stored on a product component basis (i.e. ethane, propane, normal butane, isobutane, natural gasoline, and the combination of condensate and scrubber oil). Data include receipts, inputs, production, shipments, use and loss, and stocks.</w:t>
            </w:r>
            <w:r w:rsidR="00447832">
              <w:t xml:space="preserve"> </w:t>
            </w:r>
            <w:r w:rsidRPr="00AD2B19">
              <w:t>Reported data are for individual natural gas processing plants.</w:t>
            </w:r>
          </w:p>
        </w:tc>
      </w:tr>
      <w:tr w14:paraId="5D7716C9" w14:textId="77777777" w:rsidTr="7788A1DB">
        <w:tblPrEx>
          <w:tblW w:w="9895" w:type="dxa"/>
          <w:jc w:val="center"/>
          <w:tblLayout w:type="fixed"/>
          <w:tblLook w:val="0000"/>
        </w:tblPrEx>
        <w:trPr>
          <w:cantSplit/>
          <w:jc w:val="center"/>
        </w:trPr>
        <w:tc>
          <w:tcPr>
            <w:tcW w:w="3235" w:type="dxa"/>
            <w:tcBorders>
              <w:bottom w:val="single" w:sz="4" w:space="0" w:color="auto"/>
            </w:tcBorders>
          </w:tcPr>
          <w:p w:rsidR="00262F5C" w:rsidRPr="00AD2B19" w14:paraId="4397BA6D" w14:textId="77777777">
            <w:pPr>
              <w:widowControl w:val="0"/>
              <w:autoSpaceDE w:val="0"/>
              <w:autoSpaceDN w:val="0"/>
              <w:adjustRightInd w:val="0"/>
              <w:spacing w:after="0" w:line="240" w:lineRule="auto"/>
            </w:pPr>
            <w:r w:rsidRPr="00AD2B19">
              <w:t>Form</w:t>
            </w:r>
            <w:r w:rsidRPr="00AD2B19">
              <w:t xml:space="preserve"> EIA-817 </w:t>
            </w:r>
          </w:p>
          <w:p w:rsidR="00262F5C" w:rsidRPr="00AD2B19" w14:paraId="2ED7CE7A" w14:textId="77777777">
            <w:pPr>
              <w:widowControl w:val="0"/>
              <w:autoSpaceDE w:val="0"/>
              <w:autoSpaceDN w:val="0"/>
              <w:adjustRightInd w:val="0"/>
              <w:spacing w:after="0" w:line="240" w:lineRule="auto"/>
            </w:pPr>
            <w:r w:rsidRPr="00AD2B19">
              <w:t>Monthly Tanker and Barge Movement Report</w:t>
            </w:r>
          </w:p>
        </w:tc>
        <w:tc>
          <w:tcPr>
            <w:tcW w:w="6660" w:type="dxa"/>
            <w:tcBorders>
              <w:bottom w:val="single" w:sz="4" w:space="0" w:color="auto"/>
            </w:tcBorders>
          </w:tcPr>
          <w:p w:rsidR="00262F5C" w:rsidRPr="00AD2B19" w14:paraId="2818E0DC" w14:textId="78092B5C">
            <w:pPr>
              <w:widowControl w:val="0"/>
              <w:autoSpaceDE w:val="0"/>
              <w:autoSpaceDN w:val="0"/>
              <w:adjustRightInd w:val="0"/>
              <w:spacing w:after="58" w:line="240" w:lineRule="auto"/>
              <w:rPr>
                <w:rFonts w:eastAsia="Times New Roman"/>
                <w:color w:val="000000"/>
              </w:rPr>
            </w:pPr>
            <w:r w:rsidRPr="00AD2B19">
              <w:t>Respondents are all inter-PADD shippers of crude oil, refinery feedstocks, natural gas liquids, biofuels, and petroleum products by tanker or barge. Reported data are by shipper.</w:t>
            </w:r>
          </w:p>
        </w:tc>
      </w:tr>
      <w:tr w14:paraId="4E061CD5" w14:textId="77777777" w:rsidTr="7788A1DB">
        <w:tblPrEx>
          <w:tblW w:w="9895" w:type="dxa"/>
          <w:jc w:val="center"/>
          <w:tblLayout w:type="fixed"/>
          <w:tblLook w:val="0000"/>
        </w:tblPrEx>
        <w:trPr>
          <w:cantSplit/>
          <w:jc w:val="center"/>
        </w:trPr>
        <w:tc>
          <w:tcPr>
            <w:tcW w:w="3235" w:type="dxa"/>
          </w:tcPr>
          <w:p w:rsidR="00262F5C" w:rsidRPr="00AD2B19" w14:paraId="3CB20612" w14:textId="77777777">
            <w:pPr>
              <w:widowControl w:val="0"/>
              <w:autoSpaceDE w:val="0"/>
              <w:autoSpaceDN w:val="0"/>
              <w:adjustRightInd w:val="0"/>
              <w:spacing w:after="0" w:line="240" w:lineRule="auto"/>
            </w:pPr>
            <w:r w:rsidRPr="00AD2B19">
              <w:t>Form</w:t>
            </w:r>
            <w:r w:rsidRPr="00AD2B19">
              <w:t xml:space="preserve"> EIA-819 </w:t>
            </w:r>
          </w:p>
          <w:p w:rsidR="00262F5C" w:rsidRPr="00AD2B19" w14:paraId="149FAD58" w14:textId="6ACEB710">
            <w:pPr>
              <w:widowControl w:val="0"/>
              <w:autoSpaceDE w:val="0"/>
              <w:autoSpaceDN w:val="0"/>
              <w:adjustRightInd w:val="0"/>
              <w:spacing w:after="0" w:line="240" w:lineRule="auto"/>
            </w:pPr>
            <w:r w:rsidRPr="00AD2B19">
              <w:t xml:space="preserve">Monthly </w:t>
            </w:r>
            <w:r w:rsidR="000731CE">
              <w:t xml:space="preserve">Report </w:t>
            </w:r>
            <w:r w:rsidR="000731CE">
              <w:t>of</w:t>
            </w:r>
            <w:r w:rsidR="000731CE">
              <w:t xml:space="preserve"> </w:t>
            </w:r>
            <w:r w:rsidR="003972A7">
              <w:t>Fuels from Non-Biogenic Waste and B</w:t>
            </w:r>
            <w:r w:rsidRPr="00AD2B19">
              <w:t xml:space="preserve">iofuels </w:t>
            </w:r>
          </w:p>
          <w:p w:rsidR="00262F5C" w:rsidRPr="00AD2B19" w14:paraId="4CC9C36A" w14:textId="77777777">
            <w:pPr>
              <w:widowControl w:val="0"/>
              <w:autoSpaceDE w:val="0"/>
              <w:autoSpaceDN w:val="0"/>
              <w:adjustRightInd w:val="0"/>
              <w:spacing w:after="0" w:line="240" w:lineRule="auto"/>
            </w:pPr>
          </w:p>
          <w:p w:rsidR="00262F5C" w:rsidRPr="00AD2B19" w14:paraId="735A870E" w14:textId="77777777">
            <w:pPr>
              <w:widowControl w:val="0"/>
              <w:autoSpaceDE w:val="0"/>
              <w:autoSpaceDN w:val="0"/>
              <w:adjustRightInd w:val="0"/>
              <w:spacing w:after="0" w:line="240" w:lineRule="auto"/>
            </w:pPr>
          </w:p>
        </w:tc>
        <w:tc>
          <w:tcPr>
            <w:tcW w:w="6660" w:type="dxa"/>
          </w:tcPr>
          <w:p w:rsidR="00262F5C" w:rsidRPr="00AD2B19" w14:paraId="72FC2436" w14:textId="6C7D05CA">
            <w:pPr>
              <w:widowControl w:val="0"/>
              <w:autoSpaceDE w:val="0"/>
              <w:autoSpaceDN w:val="0"/>
              <w:adjustRightInd w:val="0"/>
              <w:spacing w:after="58" w:line="240" w:lineRule="auto"/>
              <w:rPr>
                <w:rFonts w:eastAsia="Times New Roman"/>
                <w:color w:val="000000"/>
              </w:rPr>
            </w:pPr>
            <w:r w:rsidRPr="00AD2B19">
              <w:t xml:space="preserve">Respondents are all producers of biofuels and fuel oxygenates (e.g. Methyl Tertiary Butyl Ether) in the U.S. and U.S. territories. Monthly Data </w:t>
            </w:r>
            <w:r w:rsidRPr="00AD2B19">
              <w:t>include</w:t>
            </w:r>
            <w:r w:rsidRPr="00AD2B19">
              <w:t xml:space="preserve"> production capacity, receipts, inputs, production, shipments, use and loss, and stocks as well as biofuel feedstocks (corn, soybean oil, etc.) consumed. Operators report annual fuels and </w:t>
            </w:r>
            <w:r w:rsidRPr="00AD2B19">
              <w:t>feedstocks</w:t>
            </w:r>
            <w:r w:rsidRPr="00AD2B19">
              <w:t xml:space="preserve"> consumed for plant operations each year, normally with data for the month of February. Reported data are for individual plants.</w:t>
            </w:r>
          </w:p>
        </w:tc>
      </w:tr>
      <w:tr w14:paraId="37E3A18C" w14:textId="77777777" w:rsidTr="7788A1DB">
        <w:tblPrEx>
          <w:tblW w:w="9895" w:type="dxa"/>
          <w:jc w:val="center"/>
          <w:tblLayout w:type="fixed"/>
          <w:tblLook w:val="0000"/>
        </w:tblPrEx>
        <w:trPr>
          <w:cantSplit/>
          <w:jc w:val="center"/>
        </w:trPr>
        <w:tc>
          <w:tcPr>
            <w:tcW w:w="3235" w:type="dxa"/>
          </w:tcPr>
          <w:p w:rsidR="00262F5C" w:rsidRPr="00AD2B19" w14:paraId="5B8D02E6" w14:textId="77777777">
            <w:pPr>
              <w:widowControl w:val="0"/>
              <w:autoSpaceDE w:val="0"/>
              <w:autoSpaceDN w:val="0"/>
              <w:adjustRightInd w:val="0"/>
              <w:spacing w:after="0" w:line="240" w:lineRule="auto"/>
            </w:pPr>
            <w:r w:rsidRPr="00AD2B19">
              <w:t>Form</w:t>
            </w:r>
            <w:r w:rsidRPr="00AD2B19">
              <w:t xml:space="preserve"> EIA-820 </w:t>
            </w:r>
          </w:p>
          <w:p w:rsidR="00262F5C" w:rsidRPr="00AD2B19" w14:paraId="4BB5247F" w14:textId="77777777">
            <w:pPr>
              <w:widowControl w:val="0"/>
              <w:autoSpaceDE w:val="0"/>
              <w:autoSpaceDN w:val="0"/>
              <w:adjustRightInd w:val="0"/>
              <w:spacing w:after="0" w:line="240" w:lineRule="auto"/>
            </w:pPr>
            <w:r w:rsidRPr="00AD2B19">
              <w:t>Annual Refinery Report</w:t>
            </w:r>
          </w:p>
        </w:tc>
        <w:tc>
          <w:tcPr>
            <w:tcW w:w="6660" w:type="dxa"/>
          </w:tcPr>
          <w:p w:rsidR="00262F5C" w:rsidRPr="00AD2B19" w14:paraId="7F45E809" w14:textId="5D7D438C">
            <w:pPr>
              <w:widowControl w:val="0"/>
              <w:autoSpaceDE w:val="0"/>
              <w:autoSpaceDN w:val="0"/>
              <w:adjustRightInd w:val="0"/>
              <w:spacing w:after="58" w:line="240" w:lineRule="auto"/>
              <w:rPr>
                <w:rFonts w:eastAsia="Times New Roman"/>
                <w:color w:val="000000"/>
              </w:rPr>
            </w:pPr>
            <w:r w:rsidRPr="00AD2B19">
              <w:t xml:space="preserve">Respondents are all operators of petroleum refineries in the U.S. and U.S. territories. Respondents also include non-refinery operators of refinery processing units such as distillation, cracking, and treating.  Reported data include annual fuels and </w:t>
            </w:r>
            <w:r w:rsidRPr="00AD2B19">
              <w:t>feedstocks</w:t>
            </w:r>
            <w:r w:rsidRPr="00AD2B19">
              <w:t xml:space="preserve"> consumed, annual crude oil receipts by method of transportation, distillation capacity, downstream unit input capacities, and production capacities.</w:t>
            </w:r>
            <w:r w:rsidR="00447832">
              <w:t xml:space="preserve"> </w:t>
            </w:r>
            <w:r w:rsidRPr="00AD2B19">
              <w:t>Reported data are for individual petroleum refineries.</w:t>
            </w:r>
          </w:p>
        </w:tc>
      </w:tr>
      <w:tr w14:paraId="2E2809EE" w14:textId="77777777" w:rsidTr="7788A1DB">
        <w:tblPrEx>
          <w:tblW w:w="9895" w:type="dxa"/>
          <w:jc w:val="center"/>
          <w:tblLayout w:type="fixed"/>
          <w:tblLook w:val="0000"/>
        </w:tblPrEx>
        <w:trPr>
          <w:cantSplit/>
          <w:jc w:val="center"/>
        </w:trPr>
        <w:tc>
          <w:tcPr>
            <w:tcW w:w="3235" w:type="dxa"/>
          </w:tcPr>
          <w:p w:rsidR="00447832" w14:paraId="16CE2401" w14:textId="77777777">
            <w:pPr>
              <w:widowControl w:val="0"/>
              <w:autoSpaceDE w:val="0"/>
              <w:autoSpaceDN w:val="0"/>
              <w:adjustRightInd w:val="0"/>
              <w:spacing w:after="0" w:line="240" w:lineRule="auto"/>
            </w:pPr>
            <w:r>
              <w:t>Form</w:t>
            </w:r>
            <w:r>
              <w:t xml:space="preserve"> EIA-830</w:t>
            </w:r>
          </w:p>
          <w:p w:rsidR="00447832" w:rsidRPr="00AD2B19" w14:paraId="591C827E" w14:textId="7A2683B3">
            <w:pPr>
              <w:widowControl w:val="0"/>
              <w:autoSpaceDE w:val="0"/>
              <w:autoSpaceDN w:val="0"/>
              <w:adjustRightInd w:val="0"/>
              <w:spacing w:after="0" w:line="240" w:lineRule="auto"/>
            </w:pPr>
            <w:r>
              <w:t xml:space="preserve">Annual Storage Capacity </w:t>
            </w:r>
            <w:r w:rsidR="008934C5">
              <w:t xml:space="preserve">Report </w:t>
            </w:r>
            <w:r>
              <w:t>(standby)</w:t>
            </w:r>
          </w:p>
        </w:tc>
        <w:tc>
          <w:tcPr>
            <w:tcW w:w="6660" w:type="dxa"/>
          </w:tcPr>
          <w:p w:rsidR="00447832" w:rsidRPr="00AD2B19" w14:paraId="35C6FEC1" w14:textId="7D7AD334">
            <w:pPr>
              <w:widowControl w:val="0"/>
              <w:autoSpaceDE w:val="0"/>
              <w:autoSpaceDN w:val="0"/>
              <w:adjustRightInd w:val="0"/>
              <w:spacing w:after="58" w:line="240" w:lineRule="auto"/>
            </w:pPr>
            <w:r>
              <w:t xml:space="preserve">Respondents </w:t>
            </w:r>
            <w:r w:rsidR="0359CB5E">
              <w:t>are</w:t>
            </w:r>
            <w:r>
              <w:t xml:space="preserve"> all operators of petroleum refineries in the U.S. and U.S. territories, including non-refinery operators of refinery processing units such as distillation, cracking, and treating</w:t>
            </w:r>
            <w:r w:rsidR="0BB2FB2D">
              <w:t xml:space="preserve">; all operators of crude oil tank farms (including underground storage) in the U.S., crude oil pipelines in the U.S., and shippers of Alaskan crude oil by water between U.S. locations; and </w:t>
            </w:r>
            <w:r w:rsidR="17104C92">
              <w:t xml:space="preserve">all operators of commercial bulk terminals, and certain end-user storage facilities holding natural gas liquids, storing natural gas liquids, biofuels, refinery feedstocks, and petroleum products in the U.S. and U.S. territories. </w:t>
            </w:r>
            <w:r w:rsidR="54A4AC98">
              <w:t xml:space="preserve">Reported data </w:t>
            </w:r>
            <w:r w:rsidR="4D7CA922">
              <w:t xml:space="preserve">are </w:t>
            </w:r>
            <w:r w:rsidR="4235F533">
              <w:t>storage capacity</w:t>
            </w:r>
            <w:r w:rsidR="18FF5B87">
              <w:t xml:space="preserve">. Reported data </w:t>
            </w:r>
            <w:r w:rsidR="4D7CA922">
              <w:t>are</w:t>
            </w:r>
            <w:r w:rsidR="0DAA8C93">
              <w:t xml:space="preserve"> individual refineries, crude oil tank farms, and individual terminal facilities.</w:t>
            </w:r>
          </w:p>
        </w:tc>
      </w:tr>
    </w:tbl>
    <w:p w:rsidR="00F24517" w:rsidP="002542D4" w14:paraId="1F37F8F5" w14:textId="77777777"/>
    <w:p w:rsidR="007A548C" w:rsidP="00943C8F" w14:paraId="7A3C89B8" w14:textId="6DFC2305">
      <w:r>
        <w:t>EIA requests a three-year extension with changes for 1</w:t>
      </w:r>
      <w:r w:rsidR="5693345D">
        <w:t>7</w:t>
      </w:r>
      <w:r>
        <w:t xml:space="preserve"> surveys in the PSRS under OMB No. 1905-0165. EIA </w:t>
      </w:r>
      <w:r w:rsidR="24475A42">
        <w:t xml:space="preserve">is making </w:t>
      </w:r>
      <w:r>
        <w:t>minor modifications to the instructions for all PSRS surveys to align the language with each other for consistency in presentation, without substantially changing the intention of the instruction language.</w:t>
      </w:r>
      <w:r w:rsidR="135C3999">
        <w:t xml:space="preserve"> EIA </w:t>
      </w:r>
      <w:r w:rsidR="24475A42">
        <w:t>is making a minor</w:t>
      </w:r>
      <w:r w:rsidR="69246CED">
        <w:t xml:space="preserve"> modification of the contents of a list in Form EIA-804, </w:t>
      </w:r>
      <w:r w:rsidR="135C3999">
        <w:t>three modifications to Form EIA-819 form and instructions</w:t>
      </w:r>
      <w:r w:rsidR="3AB3D301">
        <w:t xml:space="preserve">, one </w:t>
      </w:r>
      <w:r w:rsidR="244899B1">
        <w:t xml:space="preserve">significant </w:t>
      </w:r>
      <w:r w:rsidR="3AB3D301">
        <w:t xml:space="preserve">modification each </w:t>
      </w:r>
      <w:r w:rsidR="6B30B38B">
        <w:t>to Forms EIA-810, EIA-813, and EIA-815,</w:t>
      </w:r>
      <w:r w:rsidR="3BF432E8">
        <w:t xml:space="preserve"> and</w:t>
      </w:r>
      <w:r w:rsidR="6B30B38B">
        <w:t xml:space="preserve"> a new</w:t>
      </w:r>
      <w:r w:rsidR="09E9B5B4">
        <w:t xml:space="preserve"> Form EIA-830 as a stan</w:t>
      </w:r>
      <w:r w:rsidR="68CC8660">
        <w:t>d</w:t>
      </w:r>
      <w:r w:rsidR="09E9B5B4">
        <w:t>by annual form.</w:t>
      </w:r>
    </w:p>
    <w:p w:rsidR="00F13B92" w:rsidP="00F13B92" w14:paraId="7CD8EC21" w14:textId="3AB49BBF">
      <w:r>
        <w:t>Changes</w:t>
      </w:r>
      <w:r w:rsidR="3BF432E8">
        <w:t xml:space="preserve"> to Form EIA-804 include: </w:t>
      </w:r>
    </w:p>
    <w:p w:rsidR="00F13B92" w:rsidRPr="00943C8F" w:rsidP="00811265" w14:paraId="1903AA8C" w14:textId="03F631AE">
      <w:pPr>
        <w:pStyle w:val="ListParagraph"/>
      </w:pPr>
      <w:r>
        <w:t xml:space="preserve">EIA </w:t>
      </w:r>
      <w:r w:rsidR="5690B9AB">
        <w:t xml:space="preserve">is </w:t>
      </w:r>
      <w:r>
        <w:t xml:space="preserve">updating the list of countries in Part 4 Total U.S. Crude Oil Imports by Country of Origin of the Form EIA-804. The current country list is out-of-date, demonstrating significant reductions in import volumes from listed countries and significant contributions to import volumes from unlisted countries, resulting in respondents reporting most of their imports in the Other category. EIA </w:t>
      </w:r>
      <w:r w:rsidR="5690B9AB">
        <w:t xml:space="preserve">is </w:t>
      </w:r>
      <w:r>
        <w:t xml:space="preserve">removing Azerbaijan, China, Indonesia, Oman, and Thailand, replacing these five countries with Guyana, Kazakhstan, United Arab Emirates (UAE), Ghana, and Senegal. This change in the list of origin countries will improve EIA’s published snapshot of U.S. crude oil trade in the </w:t>
      </w:r>
      <w:r w:rsidRPr="7788A1DB">
        <w:rPr>
          <w:i/>
          <w:iCs/>
        </w:rPr>
        <w:t>Weekly Petroleum Status Report (WPSR)</w:t>
      </w:r>
      <w:r>
        <w:t>.</w:t>
      </w:r>
    </w:p>
    <w:p w:rsidR="00943C8F" w:rsidRPr="00943C8F" w:rsidP="00943C8F" w14:paraId="03EAE990" w14:textId="51A0B733">
      <w:r>
        <w:t>Changes</w:t>
      </w:r>
      <w:r w:rsidR="38511579">
        <w:t xml:space="preserve"> to Form EIA-819</w:t>
      </w:r>
      <w:r w:rsidR="244899B1">
        <w:t xml:space="preserve"> include</w:t>
      </w:r>
      <w:r w:rsidR="3AB3D301">
        <w:t>:</w:t>
      </w:r>
      <w:r w:rsidR="135C3999">
        <w:t> </w:t>
      </w:r>
    </w:p>
    <w:p w:rsidR="00943C8F" w:rsidRPr="00943C8F" w:rsidP="00943C8F" w14:paraId="660EE7FE" w14:textId="37981233">
      <w:pPr>
        <w:numPr>
          <w:ilvl w:val="0"/>
          <w:numId w:val="29"/>
        </w:numPr>
      </w:pPr>
      <w:r>
        <w:t xml:space="preserve">EIA </w:t>
      </w:r>
      <w:r w:rsidR="5690B9AB">
        <w:t xml:space="preserve">is </w:t>
      </w:r>
      <w:r>
        <w:t xml:space="preserve">changing the name of the form from </w:t>
      </w:r>
      <w:r w:rsidRPr="7788A1DB">
        <w:rPr>
          <w:i/>
          <w:iCs/>
        </w:rPr>
        <w:t>Monthly Biofuels Fuel Oxygenates, Isooctane, and Isooctene Report</w:t>
      </w:r>
      <w:r>
        <w:t xml:space="preserve"> to </w:t>
      </w:r>
      <w:r w:rsidRPr="7788A1DB">
        <w:rPr>
          <w:i/>
          <w:iCs/>
        </w:rPr>
        <w:t>Monthly Report of Fuels from Non-Biogenic Waste and Biofuels</w:t>
      </w:r>
      <w:r>
        <w:t xml:space="preserve"> to allow the data collection to evolve with industry changes in non-traditional technologies and feedstocks to produce fuels to supplement traditional petroleum fuels. </w:t>
      </w:r>
    </w:p>
    <w:p w:rsidR="00943C8F" w:rsidRPr="00943C8F" w:rsidP="00943C8F" w14:paraId="64E6DB54" w14:textId="254D5832">
      <w:pPr>
        <w:numPr>
          <w:ilvl w:val="0"/>
          <w:numId w:val="30"/>
        </w:numPr>
      </w:pPr>
      <w:r>
        <w:t xml:space="preserve">EIA </w:t>
      </w:r>
      <w:r w:rsidR="5690B9AB">
        <w:t xml:space="preserve">is </w:t>
      </w:r>
      <w:r>
        <w:t>revisi</w:t>
      </w:r>
      <w:r w:rsidR="5690B9AB">
        <w:t>ng</w:t>
      </w:r>
      <w:r>
        <w:t xml:space="preserve"> the disclosure language in the instructions to align treatment of EIA-819 data with that of all other PSRS surveys. The </w:t>
      </w:r>
      <w:r w:rsidR="5690B9AB">
        <w:t xml:space="preserve">previous </w:t>
      </w:r>
      <w:r>
        <w:t xml:space="preserve">disclosure rules for feedstock consumption are a remnant of the discontinued EIA-22M, </w:t>
      </w:r>
      <w:r w:rsidRPr="7788A1DB">
        <w:rPr>
          <w:i/>
          <w:iCs/>
        </w:rPr>
        <w:t>Monthly Biodiesel Production Survey.</w:t>
      </w:r>
      <w:r>
        <w:t xml:space="preserve"> Industry has repeatedly expressed interest in getting more data on feedstock consumption for all plants and separately for biodiesel and renewable diesel plants. The </w:t>
      </w:r>
      <w:r w:rsidR="5690B9AB">
        <w:t xml:space="preserve">previous </w:t>
      </w:r>
      <w:r>
        <w:t xml:space="preserve">disclosure rules </w:t>
      </w:r>
      <w:r w:rsidR="5690B9AB">
        <w:t xml:space="preserve">did </w:t>
      </w:r>
      <w:r>
        <w:t xml:space="preserve">not allow for publishing that level of detail. The revision would treat biofuel feedstock consumption the same as all other petroleum supply feedstock data, allowing for publication of aggregate data that may allow for estimation of information reported by a specific respondent when few respondents </w:t>
      </w:r>
      <w:r w:rsidR="25A4612C">
        <w:t>report,</w:t>
      </w:r>
      <w:r>
        <w:t xml:space="preserve"> or the data is dominated by one or two large respondents. </w:t>
      </w:r>
    </w:p>
    <w:p w:rsidR="00943C8F" w:rsidRPr="00943C8F" w:rsidP="00943C8F" w14:paraId="0779207A" w14:textId="4C31EE2D">
      <w:pPr>
        <w:numPr>
          <w:ilvl w:val="0"/>
          <w:numId w:val="31"/>
        </w:numPr>
      </w:pPr>
      <w:r>
        <w:t xml:space="preserve">EIA </w:t>
      </w:r>
      <w:r w:rsidR="5690B9AB">
        <w:t xml:space="preserve">will </w:t>
      </w:r>
      <w:r>
        <w:t>discontinu</w:t>
      </w:r>
      <w:r w:rsidR="5690B9AB">
        <w:t>e</w:t>
      </w:r>
      <w:r>
        <w:t xml:space="preserve"> Part 10 of the Form EIA-819. Respondents have not reported any data in part 10a since its inception. EIA eliminated the data collected in part 10b from petroleum balances published in the </w:t>
      </w:r>
      <w:r w:rsidRPr="7788A1DB">
        <w:rPr>
          <w:i/>
          <w:iCs/>
        </w:rPr>
        <w:t>Petroleum Supply Monthly</w:t>
      </w:r>
      <w:r>
        <w:t xml:space="preserve"> beginning in 2019. We continued to collect and publish Methyl Tertiary Butyl Ether (MTBE) and Ethyl Tertiary Butyl Ether (ETBE) production, but EIA has determined this data collection has limited use.   </w:t>
      </w:r>
    </w:p>
    <w:p w:rsidR="00FB3AA1" w:rsidP="002542D4" w14:paraId="6530D190" w14:textId="4AB36BC2">
      <w:pPr>
        <w:rPr>
          <w:noProof/>
        </w:rPr>
      </w:pPr>
      <w:r w:rsidRPr="7788A1DB">
        <w:rPr>
          <w:noProof/>
        </w:rPr>
        <w:t>Changes</w:t>
      </w:r>
      <w:r w:rsidRPr="7788A1DB" w:rsidR="244899B1">
        <w:rPr>
          <w:noProof/>
        </w:rPr>
        <w:t xml:space="preserve"> to Form EIA-810 include</w:t>
      </w:r>
      <w:r w:rsidRPr="7788A1DB" w:rsidR="4BD2BBCE">
        <w:rPr>
          <w:noProof/>
        </w:rPr>
        <w:t>s</w:t>
      </w:r>
      <w:r w:rsidRPr="7788A1DB" w:rsidR="244899B1">
        <w:rPr>
          <w:noProof/>
        </w:rPr>
        <w:t>:</w:t>
      </w:r>
    </w:p>
    <w:p w:rsidR="00982427" w:rsidP="00F13B92" w14:paraId="473988BA" w14:textId="678FDDAE">
      <w:pPr>
        <w:pStyle w:val="ListParagraph"/>
        <w:rPr>
          <w:noProof/>
        </w:rPr>
      </w:pPr>
      <w:r w:rsidRPr="7788A1DB">
        <w:rPr>
          <w:noProof/>
        </w:rPr>
        <w:t xml:space="preserve">EIA </w:t>
      </w:r>
      <w:r w:rsidRPr="7788A1DB" w:rsidR="59C6E2E1">
        <w:rPr>
          <w:noProof/>
        </w:rPr>
        <w:t xml:space="preserve">is </w:t>
      </w:r>
      <w:r w:rsidRPr="7788A1DB">
        <w:rPr>
          <w:noProof/>
        </w:rPr>
        <w:t>removing</w:t>
      </w:r>
      <w:r w:rsidRPr="7788A1DB" w:rsidR="64F107CA">
        <w:rPr>
          <w:noProof/>
        </w:rPr>
        <w:t xml:space="preserve"> Part</w:t>
      </w:r>
      <w:r w:rsidRPr="7788A1DB" w:rsidR="43AEECED">
        <w:rPr>
          <w:noProof/>
        </w:rPr>
        <w:t xml:space="preserve"> 6 Annual Storage Capacity Supplement</w:t>
      </w:r>
      <w:r w:rsidRPr="7788A1DB" w:rsidR="11107F63">
        <w:rPr>
          <w:noProof/>
        </w:rPr>
        <w:t xml:space="preserve"> of the Form EIA-810.</w:t>
      </w:r>
      <w:r w:rsidRPr="7788A1DB" w:rsidR="4BD2BBCE">
        <w:rPr>
          <w:noProof/>
        </w:rPr>
        <w:t xml:space="preserve"> EIA is </w:t>
      </w:r>
      <w:r w:rsidRPr="7788A1DB" w:rsidR="59C6E2E1">
        <w:rPr>
          <w:noProof/>
        </w:rPr>
        <w:t xml:space="preserve">creating </w:t>
      </w:r>
      <w:r w:rsidRPr="7788A1DB" w:rsidR="4BD2BBCE">
        <w:rPr>
          <w:noProof/>
        </w:rPr>
        <w:t xml:space="preserve">a new </w:t>
      </w:r>
      <w:r w:rsidRPr="7788A1DB" w:rsidR="46FF3C53">
        <w:rPr>
          <w:noProof/>
        </w:rPr>
        <w:t xml:space="preserve">Form EIA-830, </w:t>
      </w:r>
      <w:r w:rsidRPr="7788A1DB" w:rsidR="46FF3C53">
        <w:rPr>
          <w:i/>
          <w:iCs/>
          <w:noProof/>
        </w:rPr>
        <w:t>Annual Storage Capacity Report</w:t>
      </w:r>
      <w:r w:rsidRPr="7788A1DB" w:rsidR="658DC0AA">
        <w:rPr>
          <w:noProof/>
        </w:rPr>
        <w:t>, to collect storage capacity on an as-needed basis</w:t>
      </w:r>
      <w:r w:rsidRPr="7788A1DB" w:rsidR="0B2237D6">
        <w:rPr>
          <w:noProof/>
        </w:rPr>
        <w:t>. The annual supplement to a monthly form was confusing for respondents</w:t>
      </w:r>
      <w:r w:rsidRPr="7788A1DB" w:rsidR="01D3E337">
        <w:rPr>
          <w:noProof/>
        </w:rPr>
        <w:t>, resulting in unnecessary burden on respondents filling out the supplement</w:t>
      </w:r>
      <w:r w:rsidRPr="7788A1DB" w:rsidR="06C75153">
        <w:rPr>
          <w:noProof/>
        </w:rPr>
        <w:t xml:space="preserve"> monthly instead of annually, and additional burden on staff to perform non-response follow-up for respondents forgetting to file the annual supplement.</w:t>
      </w:r>
      <w:r w:rsidRPr="7788A1DB" w:rsidR="2C8FA402">
        <w:rPr>
          <w:noProof/>
        </w:rPr>
        <w:t xml:space="preserve"> The information collected on Part 6 </w:t>
      </w:r>
      <w:r w:rsidRPr="7788A1DB" w:rsidR="59C6E2E1">
        <w:rPr>
          <w:noProof/>
        </w:rPr>
        <w:t>was</w:t>
      </w:r>
      <w:r w:rsidRPr="7788A1DB" w:rsidR="2C8FA402">
        <w:rPr>
          <w:noProof/>
        </w:rPr>
        <w:t xml:space="preserve"> </w:t>
      </w:r>
      <w:r w:rsidRPr="7788A1DB" w:rsidR="7ECDC4B5">
        <w:rPr>
          <w:noProof/>
        </w:rPr>
        <w:t xml:space="preserve">moved to Form EIA-830, </w:t>
      </w:r>
      <w:r w:rsidRPr="7788A1DB" w:rsidR="7ECDC4B5">
        <w:rPr>
          <w:i/>
          <w:iCs/>
          <w:noProof/>
        </w:rPr>
        <w:t>Annual Storage Capacity Report</w:t>
      </w:r>
      <w:r w:rsidRPr="7788A1DB" w:rsidR="7ECDC4B5">
        <w:rPr>
          <w:noProof/>
        </w:rPr>
        <w:t xml:space="preserve"> (standby).</w:t>
      </w:r>
    </w:p>
    <w:p w:rsidR="00455935" w:rsidP="00455935" w14:paraId="514427E9" w14:textId="7F7D0B2C">
      <w:pPr>
        <w:rPr>
          <w:noProof/>
        </w:rPr>
      </w:pPr>
      <w:r w:rsidRPr="7788A1DB">
        <w:rPr>
          <w:noProof/>
        </w:rPr>
        <w:t>Changes</w:t>
      </w:r>
      <w:r w:rsidRPr="7788A1DB" w:rsidR="0B0BF116">
        <w:rPr>
          <w:noProof/>
        </w:rPr>
        <w:t xml:space="preserve"> to Form EIA-813 includes:</w:t>
      </w:r>
    </w:p>
    <w:p w:rsidR="00AB67BB" w:rsidP="00F13B92" w14:paraId="34B85964" w14:textId="60C260A4">
      <w:pPr>
        <w:pStyle w:val="ListParagraph"/>
        <w:rPr>
          <w:noProof/>
        </w:rPr>
      </w:pPr>
      <w:r w:rsidRPr="7788A1DB">
        <w:rPr>
          <w:noProof/>
        </w:rPr>
        <w:t xml:space="preserve">EIA </w:t>
      </w:r>
      <w:r w:rsidRPr="7788A1DB" w:rsidR="59C6E2E1">
        <w:rPr>
          <w:noProof/>
        </w:rPr>
        <w:t xml:space="preserve">is </w:t>
      </w:r>
      <w:r w:rsidRPr="7788A1DB">
        <w:rPr>
          <w:noProof/>
        </w:rPr>
        <w:t>removing Part</w:t>
      </w:r>
      <w:r w:rsidRPr="7788A1DB" w:rsidR="0A4308F2">
        <w:rPr>
          <w:noProof/>
        </w:rPr>
        <w:t>s 6, 7, and 8</w:t>
      </w:r>
      <w:r w:rsidRPr="7788A1DB" w:rsidR="5A6E1665">
        <w:rPr>
          <w:noProof/>
        </w:rPr>
        <w:t xml:space="preserve"> Annual Supplement for Storage Capacity and </w:t>
      </w:r>
      <w:r w:rsidRPr="7788A1DB" w:rsidR="06E81C6C">
        <w:rPr>
          <w:noProof/>
        </w:rPr>
        <w:t>Stocks in Tanks and Underground Caverns</w:t>
      </w:r>
      <w:r w:rsidRPr="7788A1DB" w:rsidR="2C8FA402">
        <w:rPr>
          <w:noProof/>
        </w:rPr>
        <w:t xml:space="preserve"> of the Form EIA-813. The annual supplement to a monthly form was confusing for respondents, resulting in unnecessary burden on respondents filling out the supplement monthly instead of annually, and additional burden on staff to perform non-response follow-up for respondents forgetting to file the annual supplement.</w:t>
      </w:r>
      <w:r w:rsidRPr="7788A1DB" w:rsidR="7ECDC4B5">
        <w:rPr>
          <w:noProof/>
        </w:rPr>
        <w:t xml:space="preserve"> The information collected on Parts 6, 7, and 8 </w:t>
      </w:r>
      <w:r w:rsidRPr="7788A1DB" w:rsidR="59C6E2E1">
        <w:rPr>
          <w:noProof/>
        </w:rPr>
        <w:t>was</w:t>
      </w:r>
      <w:r w:rsidRPr="7788A1DB" w:rsidR="7ECDC4B5">
        <w:rPr>
          <w:noProof/>
        </w:rPr>
        <w:t xml:space="preserve"> moved to Form EIA-830, </w:t>
      </w:r>
      <w:r w:rsidRPr="7788A1DB" w:rsidR="7ECDC4B5">
        <w:rPr>
          <w:i/>
          <w:iCs/>
          <w:noProof/>
        </w:rPr>
        <w:t>Annual Storage Capacity Report</w:t>
      </w:r>
      <w:r w:rsidRPr="7788A1DB" w:rsidR="7ECDC4B5">
        <w:rPr>
          <w:noProof/>
        </w:rPr>
        <w:t xml:space="preserve"> (standby).</w:t>
      </w:r>
    </w:p>
    <w:p w:rsidR="008947EF" w:rsidP="008947EF" w14:paraId="5C21A665" w14:textId="645948B2">
      <w:pPr>
        <w:rPr>
          <w:noProof/>
        </w:rPr>
      </w:pPr>
      <w:bookmarkStart w:id="4" w:name="_Toc492634201"/>
      <w:bookmarkStart w:id="5" w:name="_Toc199483357"/>
      <w:r w:rsidRPr="7788A1DB">
        <w:rPr>
          <w:noProof/>
        </w:rPr>
        <w:t>Changes</w:t>
      </w:r>
      <w:r w:rsidRPr="7788A1DB" w:rsidR="4EE1CC74">
        <w:rPr>
          <w:noProof/>
        </w:rPr>
        <w:t xml:space="preserve"> to Form EIA-815 includes:</w:t>
      </w:r>
    </w:p>
    <w:p w:rsidR="008947EF" w:rsidP="00F13B92" w14:paraId="11F95F83" w14:textId="3CFC8BFD">
      <w:pPr>
        <w:pStyle w:val="ListParagraph"/>
        <w:rPr>
          <w:noProof/>
        </w:rPr>
      </w:pPr>
      <w:r w:rsidRPr="7788A1DB">
        <w:rPr>
          <w:noProof/>
        </w:rPr>
        <w:t xml:space="preserve">EIA </w:t>
      </w:r>
      <w:r w:rsidRPr="7788A1DB" w:rsidR="282B4AF9">
        <w:rPr>
          <w:noProof/>
        </w:rPr>
        <w:t xml:space="preserve">is </w:t>
      </w:r>
      <w:r w:rsidRPr="7788A1DB">
        <w:rPr>
          <w:noProof/>
        </w:rPr>
        <w:t>removing Part</w:t>
      </w:r>
      <w:r w:rsidRPr="7788A1DB" w:rsidR="2A17F064">
        <w:rPr>
          <w:noProof/>
        </w:rPr>
        <w:t xml:space="preserve"> 4</w:t>
      </w:r>
      <w:r w:rsidRPr="7788A1DB">
        <w:rPr>
          <w:noProof/>
        </w:rPr>
        <w:t xml:space="preserve"> Annual Supplement for Storage Capacity of the Form EIA-81</w:t>
      </w:r>
      <w:r w:rsidRPr="7788A1DB" w:rsidR="2A17F064">
        <w:rPr>
          <w:noProof/>
        </w:rPr>
        <w:t>5</w:t>
      </w:r>
      <w:r w:rsidRPr="7788A1DB">
        <w:rPr>
          <w:noProof/>
        </w:rPr>
        <w:t>. The annual supplement to a monthly form was confusing for respondents, resulting in unnecessary burden on respondents filling out the supplement monthly instead of annually, and additional burden on staff to perform non-response follow-up for respondents forgetting to file the annual supplement. The information collected on Part</w:t>
      </w:r>
      <w:r w:rsidRPr="7788A1DB" w:rsidR="2A17F064">
        <w:rPr>
          <w:noProof/>
        </w:rPr>
        <w:t xml:space="preserve"> 4 </w:t>
      </w:r>
      <w:r w:rsidRPr="7788A1DB" w:rsidR="282B4AF9">
        <w:rPr>
          <w:noProof/>
        </w:rPr>
        <w:t>was</w:t>
      </w:r>
      <w:r w:rsidRPr="7788A1DB">
        <w:rPr>
          <w:noProof/>
        </w:rPr>
        <w:t xml:space="preserve"> moved to Form EIA-830, </w:t>
      </w:r>
      <w:r w:rsidRPr="7788A1DB">
        <w:rPr>
          <w:i/>
          <w:iCs/>
          <w:noProof/>
        </w:rPr>
        <w:t>Annual Storage Capacity Report</w:t>
      </w:r>
      <w:r w:rsidRPr="7788A1DB">
        <w:rPr>
          <w:noProof/>
        </w:rPr>
        <w:t xml:space="preserve"> (standby).</w:t>
      </w:r>
    </w:p>
    <w:p w:rsidR="004E0C1D" w:rsidP="00503464" w14:paraId="6D092F88" w14:textId="0D87AF4D">
      <w:pPr>
        <w:rPr>
          <w:noProof/>
        </w:rPr>
      </w:pPr>
      <w:r w:rsidRPr="7788A1DB">
        <w:rPr>
          <w:noProof/>
        </w:rPr>
        <w:t xml:space="preserve">Adding </w:t>
      </w:r>
      <w:r w:rsidRPr="7788A1DB" w:rsidR="30272C33">
        <w:rPr>
          <w:noProof/>
        </w:rPr>
        <w:t>Form EIA-830, Annual Storage Capacity Report (standby)</w:t>
      </w:r>
    </w:p>
    <w:p w:rsidR="00503464" w:rsidRPr="00503464" w:rsidP="00503464" w14:paraId="03862FD6" w14:textId="611AAE76">
      <w:pPr>
        <w:rPr>
          <w:noProof/>
        </w:rPr>
      </w:pPr>
      <w:r w:rsidRPr="7788A1DB">
        <w:rPr>
          <w:noProof/>
        </w:rPr>
        <w:t xml:space="preserve">EIA </w:t>
      </w:r>
      <w:r w:rsidRPr="7788A1DB" w:rsidR="6F083CCD">
        <w:rPr>
          <w:noProof/>
        </w:rPr>
        <w:t>will</w:t>
      </w:r>
      <w:r w:rsidRPr="7788A1DB">
        <w:rPr>
          <w:noProof/>
        </w:rPr>
        <w:t xml:space="preserve"> collect the data previously collected on annual supplements to </w:t>
      </w:r>
      <w:r w:rsidRPr="7788A1DB" w:rsidR="7F134484">
        <w:rPr>
          <w:noProof/>
        </w:rPr>
        <w:t xml:space="preserve">monthly </w:t>
      </w:r>
      <w:r w:rsidRPr="7788A1DB">
        <w:rPr>
          <w:noProof/>
        </w:rPr>
        <w:t>Forms EIA-810, EIA-813, and EIA-815</w:t>
      </w:r>
      <w:r w:rsidRPr="7788A1DB" w:rsidR="7F134484">
        <w:rPr>
          <w:noProof/>
        </w:rPr>
        <w:t xml:space="preserve"> on a new form, EIA-830, </w:t>
      </w:r>
      <w:r w:rsidRPr="7788A1DB" w:rsidR="7F134484">
        <w:rPr>
          <w:i/>
          <w:iCs/>
          <w:noProof/>
        </w:rPr>
        <w:t>Annual Storage Capacity Report</w:t>
      </w:r>
      <w:r w:rsidRPr="7788A1DB" w:rsidR="7F134484">
        <w:rPr>
          <w:noProof/>
        </w:rPr>
        <w:t xml:space="preserve"> (standby). Creating a stand-alone annual form for storage capacity will eliminate </w:t>
      </w:r>
      <w:r w:rsidRPr="7788A1DB" w:rsidR="02657760">
        <w:rPr>
          <w:noProof/>
        </w:rPr>
        <w:t xml:space="preserve">unnecessary burden on respondents and staff caused by respondents filling out the annual supplement each month with the rest of their monthly submission, and </w:t>
      </w:r>
      <w:r w:rsidRPr="7788A1DB" w:rsidR="2FA7A8A0">
        <w:rPr>
          <w:noProof/>
        </w:rPr>
        <w:t>the increased data collection efforts needed to</w:t>
      </w:r>
      <w:r w:rsidRPr="7788A1DB" w:rsidR="78DF4F60">
        <w:rPr>
          <w:noProof/>
        </w:rPr>
        <w:t xml:space="preserve"> obtain annual data that respondents are not accustomed to reporting</w:t>
      </w:r>
      <w:r w:rsidRPr="7788A1DB" w:rsidR="33C859B5">
        <w:rPr>
          <w:noProof/>
        </w:rPr>
        <w:t xml:space="preserve"> on their monthly submissions</w:t>
      </w:r>
      <w:r w:rsidRPr="7788A1DB" w:rsidR="749B6EC7">
        <w:rPr>
          <w:noProof/>
        </w:rPr>
        <w:t xml:space="preserve">. </w:t>
      </w:r>
      <w:r w:rsidRPr="7788A1DB" w:rsidR="3D81C92E">
        <w:rPr>
          <w:noProof/>
        </w:rPr>
        <w:t>The</w:t>
      </w:r>
      <w:r w:rsidRPr="7788A1DB" w:rsidR="749B6EC7">
        <w:rPr>
          <w:noProof/>
        </w:rPr>
        <w:t xml:space="preserve"> new Form EIA-830 </w:t>
      </w:r>
      <w:r w:rsidRPr="7788A1DB" w:rsidR="3D81C92E">
        <w:rPr>
          <w:noProof/>
        </w:rPr>
        <w:t xml:space="preserve">is </w:t>
      </w:r>
      <w:r w:rsidRPr="7788A1DB" w:rsidR="749B6EC7">
        <w:rPr>
          <w:noProof/>
        </w:rPr>
        <w:t xml:space="preserve">designated as a standby form to be activated as needed in times of significant market change or emergency. </w:t>
      </w:r>
      <w:r w:rsidRPr="7788A1DB" w:rsidR="7EC8AF92">
        <w:rPr>
          <w:noProof/>
        </w:rPr>
        <w:t xml:space="preserve">Annual </w:t>
      </w:r>
      <w:r w:rsidRPr="7788A1DB" w:rsidR="5F384A8E">
        <w:rPr>
          <w:noProof/>
        </w:rPr>
        <w:t xml:space="preserve">storage capacity data, while of some utility, has some shortcomings. One example is that storage tanks can be “turned over” quickly, meaning they are re-dedicated to storing a different product than the one reported on a periodic storage capacity survey. Another issue is that new tanks can be built, or old tanks disassembled and retired from service in a fairly short period of time. Some storage capacity consists of caverns, including salt caverns, which can be expanded quickly. In the case of salt caverns, capacity can be quickly expanded by simply pumping in water to dissolve more of the salt to create additional space. These three factors result in the storage capacity data being a snapshot in time, and the data can change quickly after it is collected and published, meaning its relevance can be short-lived. </w:t>
      </w:r>
      <w:r w:rsidRPr="7788A1DB" w:rsidR="21B3A00A">
        <w:rPr>
          <w:noProof/>
        </w:rPr>
        <w:t>A standby survey maintains the opportunity for EIA to collect this data</w:t>
      </w:r>
      <w:r w:rsidRPr="7788A1DB" w:rsidR="517C4FDA">
        <w:rPr>
          <w:noProof/>
        </w:rPr>
        <w:t xml:space="preserve"> if needed; for example, in times of emergency when a snapshot of available capacity would be helpful or when market conditions </w:t>
      </w:r>
      <w:r w:rsidRPr="7788A1DB" w:rsidR="3391CEFB">
        <w:rPr>
          <w:noProof/>
        </w:rPr>
        <w:t>change drastically that may affect availability of storge capacity.</w:t>
      </w:r>
    </w:p>
    <w:p w:rsidR="005B5365" w:rsidP="005B5365" w14:paraId="530AF3A5" w14:textId="77777777">
      <w:pPr>
        <w:rPr>
          <w:noProof/>
        </w:rPr>
      </w:pPr>
    </w:p>
    <w:p w:rsidR="002542D4" w:rsidRPr="00BB64D7" w:rsidP="008947EF" w14:paraId="58CAEF0E" w14:textId="49528510">
      <w:pPr>
        <w:pStyle w:val="Heading2"/>
        <w:rPr>
          <w:noProof/>
        </w:rPr>
      </w:pPr>
      <w:r w:rsidRPr="00BB64D7">
        <w:rPr>
          <w:noProof/>
        </w:rPr>
        <w:t>A.1. Legal Justification</w:t>
      </w:r>
      <w:bookmarkEnd w:id="4"/>
      <w:bookmarkEnd w:id="5"/>
    </w:p>
    <w:p w:rsidR="00404AAD" w:rsidP="00404AAD" w14:paraId="5F2FACB2" w14:textId="77777777">
      <w:r w:rsidRPr="00F61D0B">
        <w:t>The authority for this mandatory data collection is provided by the following provisions:</w:t>
      </w:r>
    </w:p>
    <w:p w:rsidR="00404AAD" w:rsidRPr="00404AAD" w:rsidP="00404AAD" w14:paraId="69786CF7" w14:textId="77777777">
      <w:pPr>
        <w:numPr>
          <w:ilvl w:val="0"/>
          <w:numId w:val="22"/>
        </w:numPr>
      </w:pPr>
      <w:r w:rsidRPr="00404AAD">
        <w:t>Title 15 U.S.C. §772(b), which establishes the mandatory reporting requirement of owners and operators of businesses in the U.S. to make available energy supply and consumption data to the EIA Administrator. </w:t>
      </w:r>
    </w:p>
    <w:p w:rsidR="00404AAD" w:rsidRPr="00404AAD" w:rsidP="00404AAD" w14:paraId="2F483CD9" w14:textId="6A56891E">
      <w:pPr>
        <w:numPr>
          <w:ilvl w:val="0"/>
          <w:numId w:val="22"/>
        </w:numPr>
      </w:pPr>
      <w:r w:rsidRPr="00404AAD">
        <w:t>Title 15 U.S.C. §764(a, b) which establishes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 </w:t>
      </w:r>
    </w:p>
    <w:p w:rsidR="00404AAD" w:rsidRPr="00404AAD" w:rsidP="00404AAD" w14:paraId="6E651C7B" w14:textId="296E0013">
      <w:pPr>
        <w:numPr>
          <w:ilvl w:val="0"/>
          <w:numId w:val="22"/>
        </w:numPr>
      </w:pPr>
      <w:r w:rsidRPr="00404AAD">
        <w:t>Title 15 U.S.C. §790(a), which establishes a National Energy Information System that is the enclave containing the energy data collected by EIA, which allows EIA to describe and analyze energy supply and consumption in the U.S. This enclave allows EIA to perform statistical and forecasting activities to meet the needs of the Department of Energy, Congress, and the States. </w:t>
      </w:r>
    </w:p>
    <w:p w:rsidR="00404AAD" w:rsidRPr="00404AAD" w:rsidP="00404AAD" w14:paraId="5689D8EC" w14:textId="2BF91B3F">
      <w:pPr>
        <w:numPr>
          <w:ilvl w:val="0"/>
          <w:numId w:val="22"/>
        </w:numPr>
      </w:pPr>
      <w:r w:rsidRPr="00404AAD">
        <w:t>Title 42 Section 6274, which continues Title 15 Section 772 in the context of transmitting data to the International Energy Agency, subject to limitations on the disclosure of identifiable information. </w:t>
      </w:r>
    </w:p>
    <w:p w:rsidR="002542D4" w:rsidRPr="002542D4" w:rsidP="002542D4" w14:paraId="22274B97" w14:textId="77777777">
      <w:pPr>
        <w:rPr>
          <w:noProof/>
        </w:rPr>
      </w:pPr>
    </w:p>
    <w:p w:rsidR="002542D4" w:rsidP="008947EF" w14:paraId="588BABC2" w14:textId="77777777">
      <w:pPr>
        <w:pStyle w:val="Heading2"/>
        <w:rPr>
          <w:noProof/>
        </w:rPr>
      </w:pPr>
      <w:bookmarkStart w:id="6" w:name="_Toc492634202"/>
      <w:bookmarkStart w:id="7" w:name="_Toc199483358"/>
      <w:r w:rsidRPr="00BB64D7">
        <w:rPr>
          <w:noProof/>
        </w:rPr>
        <w:t>A.2. Needs and Uses of Data</w:t>
      </w:r>
      <w:bookmarkEnd w:id="6"/>
      <w:bookmarkEnd w:id="7"/>
    </w:p>
    <w:p w:rsidR="00404AAD" w:rsidP="00404AAD" w14:paraId="715F2414" w14:textId="77777777">
      <w:pPr>
        <w:spacing w:before="120"/>
        <w:rPr>
          <w:b/>
          <w:szCs w:val="24"/>
        </w:rPr>
      </w:pPr>
      <w:r w:rsidRPr="005C6DD6">
        <w:rPr>
          <w:szCs w:val="24"/>
        </w:rPr>
        <w:t>The purpose of the PSRS package of surveys is to collect detailed petroleum industry data to meet EIA’s mandates and energy data users’ needs for credible, reliable, and timely energy information. Data on production, receipts, inputs, movements, and stocks of crude oil, petroleum products, natural gas plant liquids, and related biofuels in the United States is required to adequately evaluate the petroleum industry.</w:t>
      </w:r>
      <w:r w:rsidRPr="00404AAD">
        <w:rPr>
          <w:b/>
          <w:szCs w:val="24"/>
        </w:rPr>
        <w:t xml:space="preserve"> </w:t>
      </w:r>
    </w:p>
    <w:p w:rsidR="00404AAD" w:rsidP="00404AAD" w14:paraId="400C3105" w14:textId="23821C0F">
      <w:pPr>
        <w:spacing w:before="120"/>
      </w:pPr>
      <w:r w:rsidRPr="00404AAD">
        <w:rPr>
          <w:bCs/>
          <w:szCs w:val="24"/>
        </w:rPr>
        <w:t xml:space="preserve">The PSRS data collection </w:t>
      </w:r>
      <w:r>
        <w:rPr>
          <w:bCs/>
          <w:szCs w:val="24"/>
        </w:rPr>
        <w:t>is</w:t>
      </w:r>
      <w:r w:rsidRPr="005C6DD6">
        <w:t xml:space="preserve"> used to address significant energy industry issues.</w:t>
      </w:r>
      <w:r>
        <w:t xml:space="preserve"> </w:t>
      </w:r>
      <w:r w:rsidRPr="005C6DD6">
        <w:rPr>
          <w:szCs w:val="24"/>
        </w:rPr>
        <w:t xml:space="preserve">EIA </w:t>
      </w:r>
      <w:r>
        <w:rPr>
          <w:szCs w:val="24"/>
        </w:rPr>
        <w:t>routinely</w:t>
      </w:r>
      <w:r w:rsidRPr="005C6DD6">
        <w:rPr>
          <w:szCs w:val="24"/>
        </w:rPr>
        <w:t xml:space="preserve"> evaluate</w:t>
      </w:r>
      <w:r w:rsidR="00C61B2B">
        <w:rPr>
          <w:szCs w:val="24"/>
        </w:rPr>
        <w:t>s</w:t>
      </w:r>
      <w:r w:rsidRPr="005C6DD6">
        <w:rPr>
          <w:szCs w:val="24"/>
        </w:rPr>
        <w:t xml:space="preserve"> the significance of </w:t>
      </w:r>
      <w:r w:rsidR="00C61B2B">
        <w:rPr>
          <w:szCs w:val="24"/>
        </w:rPr>
        <w:t xml:space="preserve">numerous </w:t>
      </w:r>
      <w:r w:rsidRPr="005C6DD6">
        <w:rPr>
          <w:szCs w:val="24"/>
        </w:rPr>
        <w:t>important issues related to the energy industry, and the petroleum and biofuels supply industries, in particular. The data collected by the PSRS surveys are among those data that are required to address these issues.</w:t>
      </w:r>
      <w:r>
        <w:rPr>
          <w:szCs w:val="24"/>
        </w:rPr>
        <w:t xml:space="preserve"> </w:t>
      </w:r>
      <w:r w:rsidRPr="005C6DD6">
        <w:t>Alternative data sources do not adequately satisfy the needs of EIA and its user communities.</w:t>
      </w:r>
      <w:r>
        <w:t xml:space="preserve"> </w:t>
      </w:r>
      <w:r>
        <w:rPr>
          <w:szCs w:val="24"/>
        </w:rPr>
        <w:t xml:space="preserve">The PSRS is the only source of comprehensive and, to the extent possible, internally consistent data on supply and disposition of crude oil, hydrocarbon gas liquids, petroleum products, and biofuels. PSRS data are essential for any analyses that require national and sub-national volumetric balances for the U.S. EIA requires PSRS data </w:t>
      </w:r>
      <w:r w:rsidR="00CB6CF6">
        <w:rPr>
          <w:szCs w:val="24"/>
        </w:rPr>
        <w:t>to</w:t>
      </w:r>
      <w:r>
        <w:rPr>
          <w:szCs w:val="24"/>
        </w:rPr>
        <w:t xml:space="preserve"> estimate demand for hydrocarbon gas liquids, petroleum products, and biofuels measured as product supplied. Product supplied is the most complete and comprehensive available measure demand for natural gas liquids, petroleum products, and biofuels. </w:t>
      </w:r>
      <w:r w:rsidRPr="00881F75">
        <w:t xml:space="preserve">Timely data </w:t>
      </w:r>
      <w:r w:rsidRPr="00881F75">
        <w:t>are</w:t>
      </w:r>
      <w:r w:rsidRPr="00881F75">
        <w:t xml:space="preserve"> essential to policy makers and industry planners who make decisions affecting all aspects of the natural gas industry. Consultants, investors, and financial actors rely on EIA data for accurate, current information on the energy sector, promoting sound decision-making and efficient markets.</w:t>
      </w:r>
    </w:p>
    <w:p w:rsidR="00404AAD" w:rsidRPr="005342F6" w:rsidP="00404AAD" w14:paraId="452CD973" w14:textId="77777777">
      <w:pPr>
        <w:spacing w:before="120"/>
        <w:rPr>
          <w:b/>
          <w:szCs w:val="24"/>
        </w:rPr>
      </w:pPr>
      <w:r w:rsidRPr="005342F6">
        <w:rPr>
          <w:b/>
          <w:szCs w:val="24"/>
        </w:rPr>
        <w:t>Uses of data by International Agencies</w:t>
      </w:r>
    </w:p>
    <w:p w:rsidR="00404AAD" w:rsidRPr="007F21A3" w:rsidP="00F13B92" w14:paraId="649EED63" w14:textId="3ED449EE">
      <w:pPr>
        <w:pStyle w:val="ListParagraph"/>
        <w:numPr>
          <w:ilvl w:val="0"/>
          <w:numId w:val="38"/>
        </w:numPr>
      </w:pPr>
      <w:r>
        <w:t xml:space="preserve">National Energy Board (NEB) uses respondent level data from </w:t>
      </w:r>
      <w:r>
        <w:t>all natural</w:t>
      </w:r>
      <w:r>
        <w:t xml:space="preserve"> gas and petroleum surveys to assist in its duties as the national energy and safety regulator of Canada. </w:t>
      </w:r>
    </w:p>
    <w:p w:rsidR="00404AAD" w:rsidRPr="005342F6" w:rsidP="00404AAD" w14:paraId="4005DC49" w14:textId="77777777">
      <w:pPr>
        <w:spacing w:before="120"/>
        <w:rPr>
          <w:b/>
          <w:szCs w:val="24"/>
        </w:rPr>
      </w:pPr>
      <w:r>
        <w:rPr>
          <w:b/>
          <w:szCs w:val="24"/>
        </w:rPr>
        <w:t xml:space="preserve">Uses of data by </w:t>
      </w:r>
      <w:r w:rsidRPr="005342F6">
        <w:rPr>
          <w:b/>
          <w:szCs w:val="24"/>
        </w:rPr>
        <w:t>Federal</w:t>
      </w:r>
      <w:r>
        <w:rPr>
          <w:b/>
          <w:szCs w:val="24"/>
        </w:rPr>
        <w:t xml:space="preserve"> Agencies</w:t>
      </w:r>
      <w:r w:rsidRPr="005342F6">
        <w:rPr>
          <w:b/>
          <w:szCs w:val="24"/>
        </w:rPr>
        <w:t xml:space="preserve"> </w:t>
      </w:r>
    </w:p>
    <w:p w:rsidR="00404AAD" w:rsidRPr="00671CE9" w:rsidP="00F13B92" w14:paraId="3BE0B6E2" w14:textId="77777777">
      <w:pPr>
        <w:pStyle w:val="ListParagraph"/>
      </w:pPr>
      <w:r>
        <w:t xml:space="preserve">Defense Logistics Agency Energy (DLAE) uses data from EIA-810 </w:t>
      </w:r>
      <w:r>
        <w:rPr>
          <w:i/>
        </w:rPr>
        <w:t>Monthly Refinery Report</w:t>
      </w:r>
      <w:r>
        <w:t xml:space="preserve"> to determine the appropriate standards for classifying small businesses.</w:t>
      </w:r>
    </w:p>
    <w:p w:rsidR="00404AAD" w:rsidRPr="00671CE9" w:rsidP="00F13B92" w14:paraId="36D4D830" w14:textId="77777777">
      <w:pPr>
        <w:pStyle w:val="ListParagraph"/>
      </w:pPr>
      <w:r>
        <w:t xml:space="preserve">U.S. Small Business Administration (SBA) uses data from EIA-810 </w:t>
      </w:r>
      <w:r>
        <w:rPr>
          <w:i/>
        </w:rPr>
        <w:t>Monthly Refinery Report</w:t>
      </w:r>
      <w:r>
        <w:t xml:space="preserve">. The agency uses the data to evaluate the structure of the petroleum refining industry in terms of total refining capacity, production of kerosene-type jet fuel production and other refined petroleum products purchased by the Defense Fuel Supply Energy to determine an appropriate size standard for a small business in the current petroleum refining industry. </w:t>
      </w:r>
    </w:p>
    <w:p w:rsidR="00404AAD" w:rsidRPr="00671CE9" w:rsidP="00F13B92" w14:paraId="1E768C58" w14:textId="2D2F39CA">
      <w:pPr>
        <w:pStyle w:val="ListParagraph"/>
      </w:pPr>
      <w:r>
        <w:t xml:space="preserve">Federal Trade Commission (FTC) uses data from Forms EIA-810 </w:t>
      </w:r>
      <w:r w:rsidRPr="00EB3474">
        <w:t>Monthly Refinery Report</w:t>
      </w:r>
      <w:r>
        <w:t xml:space="preserve">, EIA-812 </w:t>
      </w:r>
      <w:r w:rsidRPr="00EB3474">
        <w:t>Monthly Product Pipeline Report</w:t>
      </w:r>
      <w:r>
        <w:t xml:space="preserve">, EIA-814 </w:t>
      </w:r>
      <w:r w:rsidRPr="00EB3474">
        <w:t>Monthly Imports Report</w:t>
      </w:r>
      <w:r>
        <w:t xml:space="preserve">, EIA-815 </w:t>
      </w:r>
      <w:r w:rsidRPr="00EB3474">
        <w:t>Monthly Bulk Terminal and Blender Report</w:t>
      </w:r>
      <w:r>
        <w:t xml:space="preserve">, EIA-819 </w:t>
      </w:r>
      <w:r w:rsidRPr="00EB3474">
        <w:t xml:space="preserve">Monthly </w:t>
      </w:r>
      <w:r w:rsidR="000731CE">
        <w:t xml:space="preserve">Report of </w:t>
      </w:r>
      <w:r w:rsidRPr="00EB3474" w:rsidR="00EB3474">
        <w:t>Fuels from Non-Biogenic Waste and Biofuels</w:t>
      </w:r>
      <w:r>
        <w:t xml:space="preserve">, and EIA-820 </w:t>
      </w:r>
      <w:r w:rsidRPr="00EB3474">
        <w:t>Annual Refinery Report</w:t>
      </w:r>
      <w:r>
        <w:t xml:space="preserve">. FTC uses the data to determine whether actors engaged in activity that lessens market competition, intentionally manipulate product supply and transportation, or actively provide misleading information related to the wholesale price of crude oil or petroleum products. </w:t>
      </w:r>
    </w:p>
    <w:p w:rsidR="00404AAD" w:rsidRPr="00671CE9" w:rsidP="00F13B92" w14:paraId="44F2DCD1" w14:textId="4CE749A1">
      <w:pPr>
        <w:pStyle w:val="ListParagraph"/>
      </w:pPr>
      <w:r>
        <w:t xml:space="preserve">U.S. Environmental Protection Agency (EPA) uses data from EIA-810 </w:t>
      </w:r>
      <w:r w:rsidRPr="00EB3474">
        <w:t>Monthly Refinery Report</w:t>
      </w:r>
      <w:r>
        <w:t xml:space="preserve">, EIA-814 </w:t>
      </w:r>
      <w:r w:rsidRPr="00EB3474">
        <w:t>Monthly Imports Report</w:t>
      </w:r>
      <w:r>
        <w:t xml:space="preserve">, EIA-815 </w:t>
      </w:r>
      <w:r w:rsidRPr="00EB3474">
        <w:t>Monthly Bulk Terminal and Blender Report</w:t>
      </w:r>
      <w:r>
        <w:t xml:space="preserve">, and EIA-819 </w:t>
      </w:r>
      <w:r w:rsidRPr="00EB3474">
        <w:t xml:space="preserve">Monthly </w:t>
      </w:r>
      <w:r w:rsidR="000731CE">
        <w:t xml:space="preserve">Report of </w:t>
      </w:r>
      <w:r w:rsidRPr="00EB3474" w:rsidR="00EB3474">
        <w:t xml:space="preserve">Fuels from Non-Biogenic Waste and </w:t>
      </w:r>
      <w:r w:rsidRPr="00EB3474">
        <w:t>Biofuels</w:t>
      </w:r>
      <w:r>
        <w:t xml:space="preserve">. EPA uses this data in carrying out its regulatory and auditing duties </w:t>
      </w:r>
      <w:r w:rsidR="00C61B2B">
        <w:t>in</w:t>
      </w:r>
      <w:r>
        <w:t xml:space="preserve"> the petroleum industry.</w:t>
      </w:r>
    </w:p>
    <w:p w:rsidR="00404AAD" w:rsidRPr="0064057A" w:rsidP="00F13B92" w14:paraId="340E1764" w14:textId="77777777">
      <w:pPr>
        <w:pStyle w:val="ListParagraph"/>
      </w:pPr>
      <w:r>
        <w:t xml:space="preserve">U.S. Coast Guard (USCG) uses a combination of </w:t>
      </w:r>
      <w:r w:rsidRPr="00EB3474">
        <w:t>Petroleum Supply Reporting System</w:t>
      </w:r>
      <w:r>
        <w:t xml:space="preserve"> supply data during the winter months to inform ice breaking planning and vessel movements directed at ensuring a continuous flow of water-borne energy supplies to the populace of the American Northeast. USCG also uses the data to coordinate and assess fuel supplies for the First Coast Guard District. </w:t>
      </w:r>
    </w:p>
    <w:p w:rsidR="00404AAD" w:rsidP="00F13B92" w14:paraId="1BA42C86" w14:textId="2D1D8050">
      <w:pPr>
        <w:pStyle w:val="ListParagraph"/>
      </w:pPr>
      <w:r>
        <w:t xml:space="preserve">DOE Office of Fossil Energy uses all the PSRS data to support the management </w:t>
      </w:r>
      <w:r w:rsidR="00C61B2B">
        <w:t>of</w:t>
      </w:r>
      <w:r>
        <w:t xml:space="preserve"> the Strategic Petroleum Reserve, Naval Petroleum and Oil Shale Reserves, and Northeast Home Heating Oil Reserve programs.</w:t>
      </w:r>
    </w:p>
    <w:p w:rsidR="00404AAD" w:rsidRPr="00404AAD" w:rsidP="00F13B92" w14:paraId="044CD851" w14:textId="77777777">
      <w:pPr>
        <w:pStyle w:val="ListParagraph"/>
        <w:rPr>
          <w:rFonts w:eastAsia="Times New Roman"/>
          <w:color w:val="000000"/>
          <w:sz w:val="19"/>
          <w:szCs w:val="19"/>
        </w:rPr>
      </w:pPr>
      <w:r w:rsidRPr="7CFA38F5">
        <w:t>The Federal Highway Administration of the Department of Transportation uses gasoline demand measured as product supplied for analysis of weekly fluctuation of gasoline demand, which is an important part of any analysis of construction trends, materials and operating costs associated with highway repair and construction, and changes in traffic volume</w:t>
      </w:r>
      <w:r w:rsidRPr="00404AAD">
        <w:rPr>
          <w:rFonts w:ascii="Arial" w:eastAsia="Arial" w:hAnsi="Arial" w:cs="Arial"/>
          <w:color w:val="000000"/>
          <w:sz w:val="19"/>
          <w:szCs w:val="19"/>
        </w:rPr>
        <w:t xml:space="preserve"> (</w:t>
      </w:r>
      <w:hyperlink r:id="rId15">
        <w:r w:rsidRPr="7CFA38F5">
          <w:rPr>
            <w:rStyle w:val="Hyperlink"/>
            <w:rFonts w:ascii="Arial" w:eastAsia="Arial" w:hAnsi="Arial" w:cs="Arial"/>
            <w:sz w:val="19"/>
            <w:szCs w:val="19"/>
          </w:rPr>
          <w:t>https://www.fhwa.dot.gov/policyinformation/weeklyreports/</w:t>
        </w:r>
      </w:hyperlink>
      <w:r w:rsidRPr="00404AAD">
        <w:rPr>
          <w:rFonts w:ascii="Arial" w:eastAsia="Arial" w:hAnsi="Arial" w:cs="Arial"/>
          <w:color w:val="000000"/>
          <w:sz w:val="19"/>
          <w:szCs w:val="19"/>
        </w:rPr>
        <w:t>).</w:t>
      </w:r>
    </w:p>
    <w:p w:rsidR="00404AAD" w:rsidRPr="005342F6" w:rsidP="00404AAD" w14:paraId="64C15CDE" w14:textId="27D3F2C5">
      <w:pPr>
        <w:spacing w:before="120"/>
        <w:rPr>
          <w:b/>
        </w:rPr>
      </w:pPr>
      <w:r w:rsidRPr="005342F6">
        <w:rPr>
          <w:b/>
        </w:rPr>
        <w:t>Data Uses</w:t>
      </w:r>
      <w:r w:rsidRPr="005342F6">
        <w:rPr>
          <w:b/>
        </w:rPr>
        <w:t xml:space="preserve"> by third parties</w:t>
      </w:r>
    </w:p>
    <w:p w:rsidR="00404AAD" w:rsidP="00F13B92" w14:paraId="691496EC" w14:textId="2756314D">
      <w:pPr>
        <w:pStyle w:val="ListParagraph"/>
      </w:pPr>
      <w:r>
        <w:t>Boston College used data from EIA-810</w:t>
      </w:r>
      <w:r w:rsidR="00EB3474">
        <w:t xml:space="preserve"> </w:t>
      </w:r>
      <w:r w:rsidR="00EB3474">
        <w:rPr>
          <w:i/>
          <w:iCs/>
        </w:rPr>
        <w:t>Monthly Refinery Report</w:t>
      </w:r>
      <w:r>
        <w:t xml:space="preserve"> and EIA-820</w:t>
      </w:r>
      <w:r w:rsidR="00381499">
        <w:t xml:space="preserve"> </w:t>
      </w:r>
      <w:r w:rsidR="00381499">
        <w:rPr>
          <w:i/>
          <w:iCs/>
        </w:rPr>
        <w:t>Annual Refinery Report</w:t>
      </w:r>
      <w:r>
        <w:t xml:space="preserve"> to assist in their studies of the impacts of environmental regulation and hydraulic fracking on the national oil refining industry. </w:t>
      </w:r>
    </w:p>
    <w:p w:rsidR="00404AAD" w:rsidP="00F13B92" w14:paraId="55EED99D" w14:textId="731F3A5C">
      <w:pPr>
        <w:pStyle w:val="ListParagraph"/>
      </w:pPr>
      <w:r>
        <w:t>University of Utah used data from EIA-819</w:t>
      </w:r>
      <w:r w:rsidR="00381499">
        <w:t xml:space="preserve"> </w:t>
      </w:r>
      <w:r w:rsidR="00381499">
        <w:rPr>
          <w:i/>
          <w:iCs/>
        </w:rPr>
        <w:t xml:space="preserve">Monthly </w:t>
      </w:r>
      <w:r w:rsidR="000731CE">
        <w:rPr>
          <w:i/>
          <w:iCs/>
        </w:rPr>
        <w:t xml:space="preserve">Report of </w:t>
      </w:r>
      <w:r w:rsidR="00381499">
        <w:rPr>
          <w:i/>
          <w:iCs/>
        </w:rPr>
        <w:t>Fuels from Non-Biogenic Waste and Biofuels</w:t>
      </w:r>
      <w:r>
        <w:t xml:space="preserve"> to study county level trends and economic relationships surrounding production </w:t>
      </w:r>
      <w:r>
        <w:t>facilities. The study included analysis of corporate-government-community relations, and firm entry, exit, and adaptation.</w:t>
      </w:r>
    </w:p>
    <w:p w:rsidR="00404AAD" w:rsidP="00F13B92" w14:paraId="471F3BDE" w14:textId="77777777">
      <w:pPr>
        <w:pStyle w:val="ListParagraph"/>
      </w:pPr>
      <w:r>
        <w:t xml:space="preserve">Yale used refinery and petroleum sales data to study the effects of emissions policies on competitive conditions in wholesale gasoline markets. </w:t>
      </w:r>
    </w:p>
    <w:p w:rsidR="00404AAD" w:rsidP="00F13B92" w14:paraId="144899B4" w14:textId="5D84D95F">
      <w:pPr>
        <w:pStyle w:val="ListParagraph"/>
      </w:pPr>
      <w:r>
        <w:t xml:space="preserve">University of California, Irvine used data from EIA-810 </w:t>
      </w:r>
      <w:r w:rsidR="00381499">
        <w:rPr>
          <w:i/>
          <w:iCs/>
        </w:rPr>
        <w:t xml:space="preserve">Monthly Refinery Report </w:t>
      </w:r>
      <w:r>
        <w:t xml:space="preserve">to study the relationship between refinery outages and earnings and to determine whether </w:t>
      </w:r>
      <w:r w:rsidR="00C61B2B">
        <w:t xml:space="preserve">economic motivations </w:t>
      </w:r>
      <w:r>
        <w:t xml:space="preserve">affected </w:t>
      </w:r>
      <w:r w:rsidR="00C61B2B">
        <w:t>outages</w:t>
      </w:r>
      <w:r>
        <w:t xml:space="preserve">. </w:t>
      </w:r>
    </w:p>
    <w:p w:rsidR="00404AAD" w:rsidP="00142819" w14:paraId="7701CC53" w14:textId="38F3A472">
      <w:pPr>
        <w:spacing w:before="100" w:beforeAutospacing="1" w:after="100" w:afterAutospacing="1" w:line="240" w:lineRule="auto"/>
        <w:rPr>
          <w:szCs w:val="24"/>
        </w:rPr>
      </w:pPr>
      <w:r>
        <w:rPr>
          <w:szCs w:val="24"/>
        </w:rPr>
        <w:t xml:space="preserve">EIA publishes </w:t>
      </w:r>
      <w:r w:rsidRPr="005C6DD6">
        <w:rPr>
          <w:szCs w:val="24"/>
        </w:rPr>
        <w:t xml:space="preserve">PSRS </w:t>
      </w:r>
      <w:r>
        <w:rPr>
          <w:szCs w:val="24"/>
        </w:rPr>
        <w:t xml:space="preserve">data, </w:t>
      </w:r>
      <w:r w:rsidRPr="005C6DD6">
        <w:rPr>
          <w:szCs w:val="24"/>
        </w:rPr>
        <w:t xml:space="preserve">on </w:t>
      </w:r>
      <w:r>
        <w:rPr>
          <w:szCs w:val="24"/>
        </w:rPr>
        <w:t xml:space="preserve">the </w:t>
      </w:r>
      <w:r w:rsidRPr="005C6DD6">
        <w:rPr>
          <w:szCs w:val="24"/>
        </w:rPr>
        <w:t>EIA website</w:t>
      </w:r>
      <w:r>
        <w:rPr>
          <w:szCs w:val="24"/>
        </w:rPr>
        <w:t xml:space="preserve">, </w:t>
      </w:r>
      <w:r w:rsidRPr="005C6DD6">
        <w:rPr>
          <w:szCs w:val="24"/>
        </w:rPr>
        <w:t>in the Weekly Petroleum Status Report (</w:t>
      </w:r>
      <w:hyperlink r:id="rId16" w:history="1">
        <w:r w:rsidRPr="005922AC">
          <w:rPr>
            <w:rStyle w:val="Hyperlink"/>
            <w:szCs w:val="24"/>
          </w:rPr>
          <w:t>WPSR</w:t>
        </w:r>
      </w:hyperlink>
      <w:r w:rsidRPr="005C6DD6">
        <w:rPr>
          <w:szCs w:val="24"/>
        </w:rPr>
        <w:t>), Petroleum Supply Monthly (</w:t>
      </w:r>
      <w:hyperlink r:id="rId17" w:history="1">
        <w:r w:rsidRPr="005922AC">
          <w:rPr>
            <w:rStyle w:val="Hyperlink"/>
            <w:szCs w:val="24"/>
          </w:rPr>
          <w:t>PSM</w:t>
        </w:r>
      </w:hyperlink>
      <w:r w:rsidRPr="005C6DD6">
        <w:rPr>
          <w:szCs w:val="24"/>
        </w:rPr>
        <w:t>), Petroleum Supply Annual (</w:t>
      </w:r>
      <w:hyperlink r:id="rId18" w:history="1">
        <w:r w:rsidRPr="005922AC">
          <w:rPr>
            <w:rStyle w:val="Hyperlink"/>
            <w:szCs w:val="24"/>
          </w:rPr>
          <w:t>PSA</w:t>
        </w:r>
      </w:hyperlink>
      <w:r w:rsidRPr="005C6DD6">
        <w:rPr>
          <w:szCs w:val="24"/>
        </w:rPr>
        <w:t>),</w:t>
      </w:r>
      <w:r w:rsidRPr="005C6DD6">
        <w:rPr>
          <w:i/>
          <w:szCs w:val="24"/>
        </w:rPr>
        <w:t xml:space="preserve"> </w:t>
      </w:r>
      <w:r w:rsidRPr="005C6DD6">
        <w:rPr>
          <w:szCs w:val="24"/>
        </w:rPr>
        <w:t>Monthly Energy Review (</w:t>
      </w:r>
      <w:hyperlink r:id="rId19" w:history="1">
        <w:r w:rsidRPr="005922AC">
          <w:rPr>
            <w:rStyle w:val="Hyperlink"/>
            <w:szCs w:val="24"/>
          </w:rPr>
          <w:t>MER</w:t>
        </w:r>
      </w:hyperlink>
      <w:r w:rsidRPr="005C6DD6">
        <w:rPr>
          <w:szCs w:val="24"/>
        </w:rPr>
        <w:t>),</w:t>
      </w:r>
      <w:r w:rsidRPr="005C6DD6">
        <w:rPr>
          <w:i/>
          <w:szCs w:val="24"/>
        </w:rPr>
        <w:t xml:space="preserve"> </w:t>
      </w:r>
      <w:r w:rsidRPr="005C6DD6">
        <w:rPr>
          <w:szCs w:val="24"/>
        </w:rPr>
        <w:t>Short</w:t>
      </w:r>
      <w:r w:rsidRPr="005C6DD6">
        <w:rPr>
          <w:szCs w:val="24"/>
        </w:rPr>
        <w:noBreakHyphen/>
        <w:t>Term Energy Outlook (</w:t>
      </w:r>
      <w:hyperlink r:id="rId20" w:history="1">
        <w:r w:rsidRPr="005922AC">
          <w:rPr>
            <w:rStyle w:val="Hyperlink"/>
            <w:szCs w:val="24"/>
          </w:rPr>
          <w:t>STEO</w:t>
        </w:r>
      </w:hyperlink>
      <w:r w:rsidRPr="005C6DD6">
        <w:rPr>
          <w:szCs w:val="24"/>
        </w:rPr>
        <w:t>), Annual Energy Outlook (</w:t>
      </w:r>
      <w:hyperlink r:id="rId21" w:history="1">
        <w:r w:rsidRPr="005922AC">
          <w:rPr>
            <w:rStyle w:val="Hyperlink"/>
            <w:szCs w:val="24"/>
          </w:rPr>
          <w:t>AEO</w:t>
        </w:r>
      </w:hyperlink>
      <w:r w:rsidRPr="005C6DD6">
        <w:rPr>
          <w:szCs w:val="24"/>
        </w:rPr>
        <w:t xml:space="preserve">), </w:t>
      </w:r>
      <w:hyperlink r:id="rId22" w:history="1">
        <w:r w:rsidRPr="005922AC">
          <w:rPr>
            <w:rStyle w:val="Hyperlink"/>
            <w:szCs w:val="24"/>
          </w:rPr>
          <w:t>Refinery Capacity Report</w:t>
        </w:r>
      </w:hyperlink>
      <w:r w:rsidRPr="005C6DD6">
        <w:rPr>
          <w:i/>
          <w:szCs w:val="24"/>
        </w:rPr>
        <w:t>,</w:t>
      </w:r>
      <w:r w:rsidRPr="005C6DD6">
        <w:rPr>
          <w:szCs w:val="24"/>
        </w:rPr>
        <w:t xml:space="preserve"> and </w:t>
      </w:r>
      <w:r w:rsidR="00827B97">
        <w:rPr>
          <w:szCs w:val="24"/>
        </w:rPr>
        <w:t xml:space="preserve">many </w:t>
      </w:r>
      <w:r w:rsidRPr="005C6DD6">
        <w:rPr>
          <w:szCs w:val="24"/>
        </w:rPr>
        <w:t xml:space="preserve">other EIA </w:t>
      </w:r>
      <w:r w:rsidRPr="005C6DD6" w:rsidR="00142819">
        <w:rPr>
          <w:szCs w:val="24"/>
        </w:rPr>
        <w:t>products. Data</w:t>
      </w:r>
      <w:r w:rsidRPr="005C6DD6">
        <w:rPr>
          <w:szCs w:val="24"/>
        </w:rPr>
        <w:t xml:space="preserve"> collected weekly appear</w:t>
      </w:r>
      <w:r w:rsidR="00827B97">
        <w:rPr>
          <w:szCs w:val="24"/>
        </w:rPr>
        <w:t>s</w:t>
      </w:r>
      <w:r w:rsidRPr="005C6DD6">
        <w:rPr>
          <w:szCs w:val="24"/>
        </w:rPr>
        <w:t xml:space="preserve"> in the WPSR</w:t>
      </w:r>
      <w:r w:rsidR="00901F30">
        <w:rPr>
          <w:szCs w:val="24"/>
        </w:rPr>
        <w:t xml:space="preserve"> publication</w:t>
      </w:r>
      <w:r w:rsidRPr="005C6DD6">
        <w:rPr>
          <w:szCs w:val="24"/>
        </w:rPr>
        <w:t>.</w:t>
      </w:r>
      <w:r>
        <w:rPr>
          <w:szCs w:val="24"/>
        </w:rPr>
        <w:t xml:space="preserve"> </w:t>
      </w:r>
      <w:r w:rsidRPr="005C6DD6">
        <w:rPr>
          <w:szCs w:val="24"/>
        </w:rPr>
        <w:t>Th</w:t>
      </w:r>
      <w:r>
        <w:rPr>
          <w:szCs w:val="24"/>
        </w:rPr>
        <w:t>e</w:t>
      </w:r>
      <w:r w:rsidRPr="005C6DD6">
        <w:rPr>
          <w:szCs w:val="24"/>
        </w:rPr>
        <w:t>s</w:t>
      </w:r>
      <w:r>
        <w:rPr>
          <w:szCs w:val="24"/>
        </w:rPr>
        <w:t>e</w:t>
      </w:r>
      <w:r w:rsidRPr="005C6DD6">
        <w:rPr>
          <w:szCs w:val="24"/>
        </w:rPr>
        <w:t xml:space="preserve"> summar</w:t>
      </w:r>
      <w:r>
        <w:rPr>
          <w:szCs w:val="24"/>
        </w:rPr>
        <w:t>ies</w:t>
      </w:r>
      <w:r w:rsidRPr="005C6DD6">
        <w:rPr>
          <w:szCs w:val="24"/>
        </w:rPr>
        <w:t xml:space="preserve"> of petroleum supply, demand, and inventories </w:t>
      </w:r>
      <w:r>
        <w:rPr>
          <w:szCs w:val="24"/>
        </w:rPr>
        <w:t>are</w:t>
      </w:r>
      <w:r w:rsidRPr="005C6DD6">
        <w:rPr>
          <w:szCs w:val="24"/>
        </w:rPr>
        <w:t xml:space="preserve"> the only weekly government source</w:t>
      </w:r>
      <w:r>
        <w:rPr>
          <w:szCs w:val="24"/>
        </w:rPr>
        <w:t>s</w:t>
      </w:r>
      <w:r w:rsidRPr="005C6DD6">
        <w:rPr>
          <w:szCs w:val="24"/>
        </w:rPr>
        <w:t xml:space="preserve"> of consistent data regarding the </w:t>
      </w:r>
      <w:r w:rsidRPr="005C6DD6">
        <w:rPr>
          <w:szCs w:val="24"/>
        </w:rPr>
        <w:t>current status</w:t>
      </w:r>
      <w:r w:rsidRPr="005C6DD6">
        <w:rPr>
          <w:szCs w:val="24"/>
        </w:rPr>
        <w:t xml:space="preserve"> of petroleum supply and disposition in the United States.</w:t>
      </w:r>
    </w:p>
    <w:p w:rsidR="00404AAD" w:rsidRPr="005C6DD6" w:rsidP="00404AAD" w14:paraId="1B08732E" w14:textId="126CE639">
      <w:pPr>
        <w:rPr>
          <w:szCs w:val="24"/>
        </w:rPr>
      </w:pPr>
      <w:r w:rsidRPr="005C6DD6">
        <w:rPr>
          <w:szCs w:val="24"/>
        </w:rPr>
        <w:t>EIA instituted the WPSR in April 1979.</w:t>
      </w:r>
      <w:r>
        <w:rPr>
          <w:szCs w:val="24"/>
        </w:rPr>
        <w:t xml:space="preserve"> EIA </w:t>
      </w:r>
      <w:r w:rsidRPr="005C6DD6">
        <w:rPr>
          <w:szCs w:val="24"/>
        </w:rPr>
        <w:t xml:space="preserve">designed </w:t>
      </w:r>
      <w:r>
        <w:rPr>
          <w:szCs w:val="24"/>
        </w:rPr>
        <w:t xml:space="preserve">the WPSR </w:t>
      </w:r>
      <w:r w:rsidRPr="005C6DD6">
        <w:rPr>
          <w:szCs w:val="24"/>
        </w:rPr>
        <w:t xml:space="preserve">to provide </w:t>
      </w:r>
      <w:r>
        <w:rPr>
          <w:szCs w:val="24"/>
        </w:rPr>
        <w:t xml:space="preserve">timely </w:t>
      </w:r>
      <w:r w:rsidRPr="005C6DD6">
        <w:rPr>
          <w:szCs w:val="24"/>
        </w:rPr>
        <w:t xml:space="preserve">information </w:t>
      </w:r>
      <w:r>
        <w:rPr>
          <w:szCs w:val="24"/>
        </w:rPr>
        <w:t xml:space="preserve">to promote efficient markets and response to events affecting supplies of crude oil, hydrocarbon gas liquids, petroleum products, and biofuels. The combination of timely WPSR data with </w:t>
      </w:r>
      <w:r w:rsidR="00827B97">
        <w:rPr>
          <w:szCs w:val="24"/>
        </w:rPr>
        <w:t xml:space="preserve">a </w:t>
      </w:r>
      <w:r>
        <w:rPr>
          <w:szCs w:val="24"/>
        </w:rPr>
        <w:t>historical context of consistent monthly and annual data provide</w:t>
      </w:r>
      <w:r w:rsidR="00827B97">
        <w:rPr>
          <w:szCs w:val="24"/>
        </w:rPr>
        <w:t>s</w:t>
      </w:r>
      <w:r>
        <w:rPr>
          <w:szCs w:val="24"/>
        </w:rPr>
        <w:t xml:space="preserve"> critical elements for effective assessments and analyses of events that affect fuel supplies and markets. For example, EIA and others relied heavily on WPSR data, and other PSRS data, to assess regional supplies of gasoline and other fuel products following a cyber-attack that disrupted pipeline movements in the U.S. in May 2021. PSRS data also find regular application for supply and market assessments relating to natural disasters, especially hurricanes affecting the U.S. Gulf Coast, and other events.</w:t>
      </w:r>
    </w:p>
    <w:p w:rsidR="00404AAD" w:rsidRPr="005C6DD6" w:rsidP="00404AAD" w14:paraId="2E377C43" w14:textId="0E593509">
      <w:pPr>
        <w:rPr>
          <w:szCs w:val="24"/>
        </w:rPr>
      </w:pPr>
      <w:r>
        <w:rPr>
          <w:szCs w:val="24"/>
        </w:rPr>
        <w:t xml:space="preserve">Disseminating the </w:t>
      </w:r>
      <w:r w:rsidRPr="005C6DD6">
        <w:rPr>
          <w:szCs w:val="24"/>
        </w:rPr>
        <w:t xml:space="preserve">WPSR </w:t>
      </w:r>
      <w:r>
        <w:rPr>
          <w:szCs w:val="24"/>
        </w:rPr>
        <w:t>electronically in 2018 generated over</w:t>
      </w:r>
      <w:r w:rsidRPr="005C6DD6">
        <w:rPr>
          <w:szCs w:val="24"/>
        </w:rPr>
        <w:t xml:space="preserve"> </w:t>
      </w:r>
      <w:r>
        <w:rPr>
          <w:szCs w:val="24"/>
        </w:rPr>
        <w:t>2.5</w:t>
      </w:r>
      <w:r w:rsidRPr="005C6DD6">
        <w:rPr>
          <w:szCs w:val="24"/>
        </w:rPr>
        <w:t xml:space="preserve"> million </w:t>
      </w:r>
      <w:r>
        <w:rPr>
          <w:szCs w:val="24"/>
        </w:rPr>
        <w:t>page</w:t>
      </w:r>
      <w:r>
        <w:rPr>
          <w:szCs w:val="24"/>
        </w:rPr>
        <w:t xml:space="preserve"> views. </w:t>
      </w:r>
      <w:r w:rsidRPr="005C6DD6">
        <w:rPr>
          <w:szCs w:val="24"/>
        </w:rPr>
        <w:t xml:space="preserve">Customers of the WPSR represent federal and state government energy </w:t>
      </w:r>
      <w:r w:rsidRPr="005C6DD6">
        <w:rPr>
          <w:szCs w:val="24"/>
        </w:rPr>
        <w:t>staffs</w:t>
      </w:r>
      <w:r w:rsidRPr="005C6DD6">
        <w:rPr>
          <w:szCs w:val="24"/>
        </w:rPr>
        <w:t xml:space="preserve">, managers and analysts with the petroleum, </w:t>
      </w:r>
      <w:r w:rsidRPr="005C6DD6">
        <w:rPr>
          <w:szCs w:val="24"/>
        </w:rPr>
        <w:t>financial</w:t>
      </w:r>
      <w:r w:rsidRPr="005C6DD6">
        <w:rPr>
          <w:szCs w:val="24"/>
        </w:rPr>
        <w:t xml:space="preserve">, and other industries, the news media, </w:t>
      </w:r>
      <w:r>
        <w:rPr>
          <w:szCs w:val="24"/>
        </w:rPr>
        <w:t xml:space="preserve">academia, </w:t>
      </w:r>
      <w:r w:rsidRPr="005C6DD6">
        <w:rPr>
          <w:szCs w:val="24"/>
        </w:rPr>
        <w:t xml:space="preserve">and diverse groups in the </w:t>
      </w:r>
      <w:r w:rsidRPr="005C6DD6">
        <w:rPr>
          <w:szCs w:val="24"/>
        </w:rPr>
        <w:t>general public</w:t>
      </w:r>
      <w:r w:rsidRPr="005C6DD6">
        <w:rPr>
          <w:szCs w:val="24"/>
        </w:rPr>
        <w:t>.</w:t>
      </w:r>
      <w:r>
        <w:rPr>
          <w:szCs w:val="24"/>
        </w:rPr>
        <w:t xml:space="preserve"> </w:t>
      </w:r>
      <w:r w:rsidR="00827B97">
        <w:rPr>
          <w:szCs w:val="24"/>
        </w:rPr>
        <w:t xml:space="preserve">EIA uses the data </w:t>
      </w:r>
      <w:r w:rsidRPr="005C6DD6">
        <w:rPr>
          <w:szCs w:val="24"/>
        </w:rPr>
        <w:t>as a source of current information required to develop meaningful supply and demand forecasts published monthly in the Short-Term Energy Outlook (STEO)</w:t>
      </w:r>
      <w:r w:rsidR="00827B97">
        <w:rPr>
          <w:szCs w:val="24"/>
        </w:rPr>
        <w:t xml:space="preserve"> and </w:t>
      </w:r>
      <w:r w:rsidRPr="005C6DD6">
        <w:rPr>
          <w:szCs w:val="24"/>
        </w:rPr>
        <w:t>to provide timely information for United States petroleum supply forecasts each month to the International Energy Agency (IEA).</w:t>
      </w:r>
    </w:p>
    <w:p w:rsidR="00404AAD" w:rsidRPr="005C6DD6" w:rsidP="00404AAD" w14:paraId="21A6D3EF" w14:textId="78AA7BE2">
      <w:pPr>
        <w:rPr>
          <w:szCs w:val="24"/>
        </w:rPr>
      </w:pPr>
      <w:r>
        <w:rPr>
          <w:szCs w:val="24"/>
        </w:rPr>
        <w:t xml:space="preserve">Electronic dissemination improves the timeliness of the Petroleum Supply data and enables financial markets to operate efficiently. </w:t>
      </w:r>
      <w:r w:rsidRPr="005C6DD6">
        <w:rPr>
          <w:szCs w:val="24"/>
        </w:rPr>
        <w:t xml:space="preserve">The WPSR </w:t>
      </w:r>
      <w:r w:rsidR="00901F30">
        <w:rPr>
          <w:szCs w:val="24"/>
        </w:rPr>
        <w:t>is</w:t>
      </w:r>
      <w:r w:rsidRPr="005C6DD6">
        <w:rPr>
          <w:szCs w:val="24"/>
        </w:rPr>
        <w:t xml:space="preserve"> well-regarded by customers and ha</w:t>
      </w:r>
      <w:r w:rsidR="00A444E3">
        <w:rPr>
          <w:szCs w:val="24"/>
        </w:rPr>
        <w:t>s</w:t>
      </w:r>
      <w:r w:rsidRPr="005C6DD6">
        <w:rPr>
          <w:szCs w:val="24"/>
        </w:rPr>
        <w:t xml:space="preserve"> become necessary information and analytical tools that users heavily rely upon for timely data.</w:t>
      </w:r>
    </w:p>
    <w:p w:rsidR="00404AAD" w:rsidRPr="005C6DD6" w:rsidP="00404AAD" w14:paraId="181D3724" w14:textId="74DD36ED">
      <w:pPr>
        <w:rPr>
          <w:szCs w:val="24"/>
        </w:rPr>
      </w:pPr>
      <w:r w:rsidRPr="005C6DD6">
        <w:rPr>
          <w:szCs w:val="24"/>
        </w:rPr>
        <w:t xml:space="preserve">While </w:t>
      </w:r>
      <w:r w:rsidR="00827B97">
        <w:rPr>
          <w:szCs w:val="24"/>
        </w:rPr>
        <w:t xml:space="preserve">EIA presents </w:t>
      </w:r>
      <w:r w:rsidRPr="005C6DD6">
        <w:rPr>
          <w:szCs w:val="24"/>
        </w:rPr>
        <w:t xml:space="preserve">more complete, detailed and accurate data in the publication, </w:t>
      </w:r>
      <w:r w:rsidRPr="00827B97">
        <w:rPr>
          <w:i/>
          <w:iCs/>
          <w:szCs w:val="24"/>
        </w:rPr>
        <w:t>Petroleum Supply Monthly (PSM)</w:t>
      </w:r>
      <w:r w:rsidRPr="005C6DD6">
        <w:rPr>
          <w:szCs w:val="24"/>
        </w:rPr>
        <w:t>, the monthly surveys do not capture short-term changes in petroleum market conditions.</w:t>
      </w:r>
      <w:r>
        <w:rPr>
          <w:szCs w:val="24"/>
        </w:rPr>
        <w:t xml:space="preserve"> </w:t>
      </w:r>
      <w:r w:rsidRPr="005C6DD6">
        <w:rPr>
          <w:szCs w:val="24"/>
        </w:rPr>
        <w:t xml:space="preserve">Hence, there are well-defined needs for petroleum supply data to be collected both on a weekly and monthly basis </w:t>
      </w:r>
      <w:r w:rsidRPr="005C6DD6" w:rsidR="00A56852">
        <w:rPr>
          <w:szCs w:val="24"/>
        </w:rPr>
        <w:t>to</w:t>
      </w:r>
      <w:r w:rsidRPr="005C6DD6">
        <w:rPr>
          <w:szCs w:val="24"/>
        </w:rPr>
        <w:t xml:space="preserve"> meet data requirements of governments, industry, and the </w:t>
      </w:r>
      <w:r w:rsidRPr="005C6DD6">
        <w:rPr>
          <w:szCs w:val="24"/>
        </w:rPr>
        <w:t>general public</w:t>
      </w:r>
      <w:r w:rsidRPr="005C6DD6">
        <w:rPr>
          <w:szCs w:val="24"/>
        </w:rPr>
        <w:t>.</w:t>
      </w:r>
      <w:r>
        <w:rPr>
          <w:szCs w:val="24"/>
        </w:rPr>
        <w:t xml:space="preserve"> </w:t>
      </w:r>
      <w:r w:rsidRPr="005C6DD6">
        <w:rPr>
          <w:szCs w:val="24"/>
        </w:rPr>
        <w:t xml:space="preserve">Altering either data collection effort </w:t>
      </w:r>
      <w:r w:rsidRPr="005C6DD6" w:rsidR="00F36ECD">
        <w:rPr>
          <w:szCs w:val="24"/>
        </w:rPr>
        <w:t>to</w:t>
      </w:r>
      <w:r w:rsidRPr="005C6DD6">
        <w:rPr>
          <w:szCs w:val="24"/>
        </w:rPr>
        <w:t xml:space="preserve"> eliminate what appears to be duplication would </w:t>
      </w:r>
      <w:r w:rsidR="00827B97">
        <w:rPr>
          <w:szCs w:val="24"/>
        </w:rPr>
        <w:t>cause</w:t>
      </w:r>
      <w:r w:rsidRPr="005C6DD6">
        <w:rPr>
          <w:szCs w:val="24"/>
        </w:rPr>
        <w:t xml:space="preserve"> disruption to the availability of necessary, valid, and timely petroleum supply information.</w:t>
      </w:r>
    </w:p>
    <w:p w:rsidR="00404AAD" w:rsidP="00404AAD" w14:paraId="33D92636" w14:textId="77777777">
      <w:pPr>
        <w:rPr>
          <w:szCs w:val="24"/>
        </w:rPr>
      </w:pPr>
      <w:r>
        <w:rPr>
          <w:szCs w:val="24"/>
        </w:rPr>
        <w:t>The</w:t>
      </w:r>
      <w:r w:rsidRPr="005C6DD6">
        <w:rPr>
          <w:szCs w:val="24"/>
        </w:rPr>
        <w:t xml:space="preserve"> data collected </w:t>
      </w:r>
      <w:r>
        <w:rPr>
          <w:szCs w:val="24"/>
        </w:rPr>
        <w:t>by PSRS</w:t>
      </w:r>
      <w:r w:rsidRPr="005C6DD6">
        <w:rPr>
          <w:szCs w:val="24"/>
        </w:rPr>
        <w:t xml:space="preserve"> are unique.</w:t>
      </w:r>
      <w:r>
        <w:rPr>
          <w:szCs w:val="24"/>
        </w:rPr>
        <w:t xml:space="preserve"> </w:t>
      </w:r>
      <w:r w:rsidRPr="005C6DD6">
        <w:rPr>
          <w:szCs w:val="24"/>
        </w:rPr>
        <w:t>While some data are available from other federal agencies and/or from private or industry sources, these data cannot adequately replace the high quality, independent, internally consistent, and timely data provided by these petroleum supply survey forms.</w:t>
      </w:r>
      <w:r w:rsidRPr="00CE3CA7">
        <w:rPr>
          <w:szCs w:val="24"/>
        </w:rPr>
        <w:t xml:space="preserve"> </w:t>
      </w:r>
    </w:p>
    <w:p w:rsidR="00404AAD" w:rsidP="00404AAD" w14:paraId="2C9BC00F" w14:textId="24398416">
      <w:pPr>
        <w:rPr>
          <w:szCs w:val="24"/>
        </w:rPr>
      </w:pPr>
      <w:r w:rsidRPr="005C6DD6">
        <w:rPr>
          <w:szCs w:val="24"/>
        </w:rPr>
        <w:t>Form</w:t>
      </w:r>
      <w:r w:rsidRPr="005C6DD6">
        <w:rPr>
          <w:szCs w:val="24"/>
        </w:rPr>
        <w:t xml:space="preserve"> EIA-820</w:t>
      </w:r>
      <w:r w:rsidR="00381499">
        <w:rPr>
          <w:szCs w:val="24"/>
        </w:rPr>
        <w:t xml:space="preserve"> </w:t>
      </w:r>
      <w:r w:rsidR="00381499">
        <w:rPr>
          <w:i/>
          <w:iCs/>
          <w:szCs w:val="24"/>
        </w:rPr>
        <w:t>Annual Refinery Report</w:t>
      </w:r>
      <w:r w:rsidRPr="005C6DD6">
        <w:rPr>
          <w:szCs w:val="24"/>
        </w:rPr>
        <w:t xml:space="preserve"> is an annual survey used to collect current and projected capacity data, fuels consumed, natural gas used as input for production of hydrogen at refineries, and crude oil receipts by method of transportation.</w:t>
      </w:r>
      <w:r>
        <w:rPr>
          <w:szCs w:val="24"/>
        </w:rPr>
        <w:t xml:space="preserve"> </w:t>
      </w:r>
      <w:r w:rsidRPr="005C6DD6">
        <w:rPr>
          <w:szCs w:val="24"/>
        </w:rPr>
        <w:t xml:space="preserve">EIA analysts, other federal and state government agencies, energy analysts, and a wide range of groups in the </w:t>
      </w:r>
      <w:r w:rsidRPr="005C6DD6">
        <w:rPr>
          <w:szCs w:val="24"/>
        </w:rPr>
        <w:t>general public</w:t>
      </w:r>
      <w:r w:rsidRPr="005C6DD6">
        <w:rPr>
          <w:szCs w:val="24"/>
        </w:rPr>
        <w:t xml:space="preserve"> </w:t>
      </w:r>
      <w:r w:rsidR="00827B97">
        <w:rPr>
          <w:szCs w:val="24"/>
        </w:rPr>
        <w:t xml:space="preserve">use this information </w:t>
      </w:r>
      <w:r w:rsidRPr="005C6DD6">
        <w:rPr>
          <w:szCs w:val="24"/>
        </w:rPr>
        <w:t>to analyze the refinery industry.</w:t>
      </w:r>
      <w:r>
        <w:rPr>
          <w:szCs w:val="24"/>
        </w:rPr>
        <w:t xml:space="preserve"> </w:t>
      </w:r>
      <w:r w:rsidR="00827B97">
        <w:rPr>
          <w:szCs w:val="24"/>
        </w:rPr>
        <w:t xml:space="preserve">EIA publishes the data on our </w:t>
      </w:r>
      <w:r w:rsidRPr="005C6DD6">
        <w:rPr>
          <w:color w:val="000000"/>
          <w:szCs w:val="24"/>
        </w:rPr>
        <w:t>Refinery Capacity Report</w:t>
      </w:r>
      <w:r w:rsidR="00827B97">
        <w:rPr>
          <w:color w:val="000000"/>
          <w:szCs w:val="24"/>
        </w:rPr>
        <w:t xml:space="preserve"> webpage</w:t>
      </w:r>
      <w:r w:rsidRPr="005C6DD6">
        <w:rPr>
          <w:szCs w:val="24"/>
        </w:rPr>
        <w:t>.</w:t>
      </w:r>
    </w:p>
    <w:p w:rsidR="00404AAD" w:rsidRPr="003104AC" w:rsidP="00404AAD" w14:paraId="6E23BC23" w14:textId="4A4BE757">
      <w:r w:rsidRPr="003F3134">
        <w:t xml:space="preserve">EIA’s petroleum supply program provides </w:t>
      </w:r>
      <w:hyperlink r:id="rId23" w:history="1">
        <w:r w:rsidRPr="00C715A9">
          <w:rPr>
            <w:rStyle w:val="Hyperlink"/>
          </w:rPr>
          <w:t>Congress</w:t>
        </w:r>
      </w:hyperlink>
      <w:r w:rsidRPr="003F3134">
        <w:t>, other government agencies, businesses, trade associations, and private research and consulting organizations with data for analysis, projections, and monitoring purposes.</w:t>
      </w:r>
      <w:r>
        <w:t xml:space="preserve"> </w:t>
      </w:r>
      <w:r w:rsidRPr="003F3134">
        <w:t xml:space="preserve">EIA’s petroleum data </w:t>
      </w:r>
      <w:r w:rsidR="00827B97">
        <w:t>is</w:t>
      </w:r>
      <w:r w:rsidRPr="003F3134">
        <w:t xml:space="preserve"> published</w:t>
      </w:r>
      <w:r w:rsidRPr="003104AC">
        <w:t xml:space="preserve"> in papers, trade journals, and technical reports as well as cited and republished in reports by consulting firms, financial institutions, and </w:t>
      </w:r>
      <w:r w:rsidR="00827B97">
        <w:t>many</w:t>
      </w:r>
      <w:r w:rsidRPr="003104AC">
        <w:t xml:space="preserve"> other entities.</w:t>
      </w:r>
      <w:r>
        <w:t xml:space="preserve"> </w:t>
      </w:r>
      <w:r w:rsidRPr="003104AC">
        <w:t xml:space="preserve">Major media publications use or republish EIA reports and data such as: </w:t>
      </w:r>
      <w:hyperlink r:id="rId24" w:history="1">
        <w:r w:rsidRPr="008C6A9E">
          <w:rPr>
            <w:rStyle w:val="Hyperlink"/>
          </w:rPr>
          <w:t>The Wall Street Journal</w:t>
        </w:r>
      </w:hyperlink>
      <w:r w:rsidRPr="003104AC">
        <w:t xml:space="preserve">, Bloomberg, </w:t>
      </w:r>
      <w:hyperlink r:id="rId25" w:history="1">
        <w:r w:rsidRPr="008C6A9E">
          <w:rPr>
            <w:rStyle w:val="Hyperlink"/>
          </w:rPr>
          <w:t>Reuters</w:t>
        </w:r>
      </w:hyperlink>
      <w:r w:rsidRPr="003104AC">
        <w:t xml:space="preserve">, </w:t>
      </w:r>
      <w:hyperlink r:id="rId26" w:history="1">
        <w:r w:rsidRPr="006B226E">
          <w:rPr>
            <w:rStyle w:val="Hyperlink"/>
          </w:rPr>
          <w:t>Platts</w:t>
        </w:r>
      </w:hyperlink>
      <w:r w:rsidRPr="003104AC">
        <w:t xml:space="preserve">, </w:t>
      </w:r>
      <w:hyperlink r:id="rId27" w:history="1">
        <w:r w:rsidRPr="008C6A9E">
          <w:rPr>
            <w:rStyle w:val="Hyperlink"/>
          </w:rPr>
          <w:t>Marketwatch</w:t>
        </w:r>
      </w:hyperlink>
      <w:r w:rsidRPr="003104AC">
        <w:t xml:space="preserve">, </w:t>
      </w:r>
      <w:hyperlink r:id="rId28" w:anchor="4e09584227ba" w:history="1">
        <w:r w:rsidRPr="00C715A9">
          <w:rPr>
            <w:rStyle w:val="Hyperlink"/>
          </w:rPr>
          <w:t>Forbes</w:t>
        </w:r>
      </w:hyperlink>
      <w:r w:rsidRPr="003104AC">
        <w:t xml:space="preserve">, The Economist, </w:t>
      </w:r>
      <w:hyperlink r:id="rId29" w:history="1">
        <w:r w:rsidRPr="00C715A9">
          <w:rPr>
            <w:rStyle w:val="Hyperlink"/>
          </w:rPr>
          <w:t>Fox Business</w:t>
        </w:r>
      </w:hyperlink>
      <w:r w:rsidRPr="003104AC">
        <w:t xml:space="preserve">, as well as energy trade press publications and </w:t>
      </w:r>
      <w:r w:rsidR="00827B97">
        <w:t>many</w:t>
      </w:r>
      <w:r w:rsidRPr="003104AC">
        <w:t xml:space="preserve"> smaller scale and local publications.</w:t>
      </w:r>
    </w:p>
    <w:p w:rsidR="00404AAD" w:rsidRPr="00404AAD" w:rsidP="00404AAD" w14:paraId="76623C8E" w14:textId="77777777"/>
    <w:p w:rsidR="002542D4" w:rsidRPr="00BB64D7" w:rsidP="008947EF" w14:paraId="3A3EA65D" w14:textId="77777777">
      <w:pPr>
        <w:pStyle w:val="Heading2"/>
        <w:rPr>
          <w:noProof/>
        </w:rPr>
      </w:pPr>
      <w:bookmarkStart w:id="8" w:name="_Toc492634203"/>
      <w:bookmarkStart w:id="9" w:name="_Toc199483359"/>
      <w:r w:rsidRPr="00BB64D7">
        <w:rPr>
          <w:noProof/>
        </w:rPr>
        <w:t>A.3. Use of Technology</w:t>
      </w:r>
      <w:bookmarkEnd w:id="8"/>
      <w:bookmarkEnd w:id="9"/>
    </w:p>
    <w:p w:rsidR="00404AAD" w:rsidP="00404AAD" w14:paraId="755DA1BD" w14:textId="2695EF55">
      <w:pPr>
        <w:rPr>
          <w:szCs w:val="24"/>
        </w:rPr>
      </w:pPr>
      <w:r w:rsidRPr="002F43A6">
        <w:rPr>
          <w:szCs w:val="24"/>
        </w:rPr>
        <w:t>To reduce respondent burden, EIA requires that respondents use our Secure File Transfer system to submit their data f</w:t>
      </w:r>
      <w:r>
        <w:rPr>
          <w:szCs w:val="24"/>
        </w:rPr>
        <w:t xml:space="preserve">or most PSRS forms. </w:t>
      </w:r>
      <w:r w:rsidRPr="002F43A6">
        <w:rPr>
          <w:szCs w:val="24"/>
        </w:rPr>
        <w:t xml:space="preserve">With this Internet-based option, EIA uses security protocols to protect the information against unauthorized access during transmission. EIA provides a spreadsheet version of </w:t>
      </w:r>
      <w:r>
        <w:rPr>
          <w:szCs w:val="24"/>
        </w:rPr>
        <w:t>the forms</w:t>
      </w:r>
      <w:r w:rsidRPr="002F43A6">
        <w:rPr>
          <w:szCs w:val="24"/>
        </w:rPr>
        <w:t xml:space="preserve"> on its website. Respondents may complete the forms using their own automated system or manually and submit the form using EIA’s Secure File Transfer website. EIA does not accept email, fax, or paper forms. </w:t>
      </w:r>
      <w:r>
        <w:rPr>
          <w:szCs w:val="24"/>
        </w:rPr>
        <w:t>EIA provides the option for companies reporting on Form EIA-819 to use an electronic reporting portal and webform. EIA plans to expand this reporting option to other surveys in the future.</w:t>
      </w:r>
    </w:p>
    <w:p w:rsidR="00404AAD" w:rsidP="00404AAD" w14:paraId="2412D808" w14:textId="112271E9">
      <w:pPr>
        <w:spacing w:after="120"/>
      </w:pPr>
      <w:r>
        <w:t xml:space="preserve">Gatekeeper software is used to control the release of embargoed information products such as WPSR every week so that all users have equal access to timely information.  </w:t>
      </w:r>
    </w:p>
    <w:p w:rsidR="002542D4" w:rsidRPr="002542D4" w:rsidP="002542D4" w14:paraId="24D4772C" w14:textId="77777777">
      <w:pPr>
        <w:rPr>
          <w:noProof/>
        </w:rPr>
      </w:pPr>
    </w:p>
    <w:p w:rsidR="002542D4" w:rsidRPr="00BB64D7" w:rsidP="008947EF" w14:paraId="05ECA256" w14:textId="77777777">
      <w:pPr>
        <w:pStyle w:val="Heading2"/>
        <w:rPr>
          <w:noProof/>
        </w:rPr>
      </w:pPr>
      <w:bookmarkStart w:id="10" w:name="_Toc492634204"/>
      <w:bookmarkStart w:id="11" w:name="_Toc199483360"/>
      <w:r w:rsidRPr="00BB64D7">
        <w:rPr>
          <w:noProof/>
        </w:rPr>
        <w:t>A.4. Efforts to Identify Duplication</w:t>
      </w:r>
      <w:bookmarkEnd w:id="10"/>
      <w:bookmarkEnd w:id="11"/>
    </w:p>
    <w:p w:rsidR="00404AAD" w:rsidP="00404AAD" w14:paraId="5BD16985" w14:textId="08809D3E">
      <w:pPr>
        <w:spacing w:before="120"/>
        <w:rPr>
          <w:szCs w:val="24"/>
        </w:rPr>
      </w:pPr>
      <w:r>
        <w:rPr>
          <w:szCs w:val="24"/>
        </w:rPr>
        <w:t>Other organizations produce c</w:t>
      </w:r>
      <w:r>
        <w:rPr>
          <w:szCs w:val="24"/>
        </w:rPr>
        <w:t xml:space="preserve">omparable data for selected petroleum balance components, but EIA is the only source of complete volumetric balance data required to estimate demand for petroleum products. EIA measures demand as </w:t>
      </w:r>
      <w:r w:rsidRPr="005342F6">
        <w:rPr>
          <w:i/>
          <w:szCs w:val="24"/>
        </w:rPr>
        <w:t>product supplied</w:t>
      </w:r>
      <w:r>
        <w:rPr>
          <w:szCs w:val="24"/>
        </w:rPr>
        <w:t xml:space="preserve"> in this data collection program. </w:t>
      </w:r>
      <w:r>
        <w:rPr>
          <w:szCs w:val="24"/>
        </w:rPr>
        <w:t>Besides</w:t>
      </w:r>
      <w:r>
        <w:rPr>
          <w:szCs w:val="24"/>
        </w:rPr>
        <w:t xml:space="preserve"> petroleum balance data, EIA collects and reports data on refinery capacities, biofuel production capacities, and storage capacities. EIA evaluated data sources from other organizations that are </w:t>
      </w:r>
      <w:r>
        <w:rPr>
          <w:szCs w:val="24"/>
        </w:rPr>
        <w:t>similar to</w:t>
      </w:r>
      <w:r>
        <w:rPr>
          <w:szCs w:val="24"/>
        </w:rPr>
        <w:t xml:space="preserve"> petroleum supply data collected on EIA surveys. </w:t>
      </w:r>
    </w:p>
    <w:p w:rsidR="00404AAD" w:rsidP="00404AAD" w14:paraId="0BC9FD1E" w14:textId="77777777">
      <w:pPr>
        <w:spacing w:before="120"/>
        <w:rPr>
          <w:szCs w:val="24"/>
        </w:rPr>
      </w:pPr>
      <w:r>
        <w:rPr>
          <w:szCs w:val="24"/>
        </w:rPr>
        <w:t xml:space="preserve">EIA evaluated the following data sources as being potentially duplicative of data collected in the PSRS. </w:t>
      </w:r>
    </w:p>
    <w:p w:rsidR="00404AAD" w:rsidP="00404AAD" w14:paraId="5F002DA8" w14:textId="77777777">
      <w:pPr>
        <w:spacing w:before="120"/>
        <w:rPr>
          <w:b/>
          <w:szCs w:val="24"/>
        </w:rPr>
      </w:pPr>
      <w:r w:rsidRPr="009A4669">
        <w:rPr>
          <w:b/>
          <w:szCs w:val="24"/>
        </w:rPr>
        <w:t xml:space="preserve">U.S. Census Bureau </w:t>
      </w:r>
      <w:r>
        <w:rPr>
          <w:b/>
          <w:szCs w:val="24"/>
        </w:rPr>
        <w:t xml:space="preserve">(USCB) </w:t>
      </w:r>
      <w:r w:rsidRPr="009A4669">
        <w:rPr>
          <w:b/>
          <w:szCs w:val="24"/>
        </w:rPr>
        <w:t>petroleum trade (export</w:t>
      </w:r>
      <w:r>
        <w:rPr>
          <w:b/>
          <w:szCs w:val="24"/>
        </w:rPr>
        <w:t xml:space="preserve"> and import</w:t>
      </w:r>
      <w:r w:rsidRPr="009A4669">
        <w:rPr>
          <w:b/>
          <w:szCs w:val="24"/>
        </w:rPr>
        <w:t>) data</w:t>
      </w:r>
    </w:p>
    <w:p w:rsidR="00404AAD" w:rsidP="00404AAD" w14:paraId="24E463FE" w14:textId="797ABBA9">
      <w:pPr>
        <w:spacing w:before="120"/>
        <w:rPr>
          <w:szCs w:val="24"/>
        </w:rPr>
      </w:pPr>
      <w:r>
        <w:rPr>
          <w:szCs w:val="24"/>
        </w:rPr>
        <w:t>Monthly trade (export and import) statistics are official trade statistics for the U.S. and are a principal federal economic indicator. EIA uses USCB export statistics in monthly and annual reports of petroleum and biofuels</w:t>
      </w:r>
      <w:r w:rsidR="00E9275B">
        <w:rPr>
          <w:szCs w:val="24"/>
        </w:rPr>
        <w:t>,</w:t>
      </w:r>
      <w:r>
        <w:rPr>
          <w:szCs w:val="24"/>
        </w:rPr>
        <w:t xml:space="preserve"> avoiding the necessity of collecting monthly export data. EIA </w:t>
      </w:r>
      <w:r w:rsidR="00E9275B">
        <w:rPr>
          <w:szCs w:val="24"/>
        </w:rPr>
        <w:t>can</w:t>
      </w:r>
      <w:r>
        <w:rPr>
          <w:szCs w:val="24"/>
        </w:rPr>
        <w:t xml:space="preserve"> estimate weekly U.S. export quantities using preliminary data provided by U.S. Customs and Border Protection (CBP) through a data sharing agreement established through the International Trade Data System (ITDS) process. EIA collects weekly petroleum and biofuel import data on Form EIA-804 </w:t>
      </w:r>
      <w:r w:rsidRPr="00477A20">
        <w:rPr>
          <w:i/>
          <w:szCs w:val="24"/>
        </w:rPr>
        <w:t>Weekly Import Report</w:t>
      </w:r>
      <w:r>
        <w:rPr>
          <w:szCs w:val="24"/>
        </w:rPr>
        <w:t xml:space="preserve"> and Form EIA-814 </w:t>
      </w:r>
      <w:r w:rsidRPr="00477A20">
        <w:rPr>
          <w:i/>
          <w:szCs w:val="24"/>
        </w:rPr>
        <w:t>Monthly Import Report</w:t>
      </w:r>
      <w:r>
        <w:rPr>
          <w:szCs w:val="24"/>
        </w:rPr>
        <w:t>. EIA makes use of weekly data from CBP and monthly data from USCB and CBP for validation of EIA import survey data.</w:t>
      </w:r>
    </w:p>
    <w:p w:rsidR="00404AAD" w:rsidP="00404AAD" w14:paraId="68DCD892" w14:textId="1970EC47">
      <w:pPr>
        <w:spacing w:before="120"/>
        <w:rPr>
          <w:szCs w:val="24"/>
        </w:rPr>
      </w:pPr>
      <w:r>
        <w:rPr>
          <w:szCs w:val="24"/>
        </w:rPr>
        <w:t xml:space="preserve">EIA is working with CBP to obtain import data reported to CBP that </w:t>
      </w:r>
      <w:r>
        <w:rPr>
          <w:szCs w:val="24"/>
        </w:rPr>
        <w:t>are</w:t>
      </w:r>
      <w:r>
        <w:rPr>
          <w:szCs w:val="24"/>
        </w:rPr>
        <w:t xml:space="preserve"> comparable to current EIA survey data. EIA </w:t>
      </w:r>
      <w:r w:rsidR="00E9275B">
        <w:rPr>
          <w:szCs w:val="24"/>
        </w:rPr>
        <w:t>can currently</w:t>
      </w:r>
      <w:r>
        <w:rPr>
          <w:szCs w:val="24"/>
        </w:rPr>
        <w:t xml:space="preserve"> access CBP data with near real time import entry data for crude oil and petroleum products, but CBP </w:t>
      </w:r>
      <w:r w:rsidR="00E9275B">
        <w:rPr>
          <w:szCs w:val="24"/>
        </w:rPr>
        <w:t>currently cannot</w:t>
      </w:r>
      <w:r>
        <w:rPr>
          <w:szCs w:val="24"/>
        </w:rPr>
        <w:t xml:space="preserve"> provide EIA with foreign trade zone (FTZ) admission data. FTZ admissions data are important because many U.S. oil refineries and petroleum and biofuel storage facilities have FTZ status. In addition, Form EIA-814 calls for importers of crude oil and unfinished oils (processed refinery feedstocks) to report the processing refinery, but this information is currently unavailable in data that EIA receives from CBP. EIA will continue working with USCB and CBP on trade data </w:t>
      </w:r>
      <w:r w:rsidR="001A3A72">
        <w:rPr>
          <w:szCs w:val="24"/>
        </w:rPr>
        <w:t>to</w:t>
      </w:r>
      <w:r>
        <w:rPr>
          <w:szCs w:val="24"/>
        </w:rPr>
        <w:t xml:space="preserve"> make the best possible use of all available trade data and avoid unnecessary duplication of data collected on EIA surveys.</w:t>
      </w:r>
    </w:p>
    <w:p w:rsidR="00404AAD" w:rsidRPr="009A4669" w:rsidP="00404AAD" w14:paraId="7B6D35F2" w14:textId="77777777">
      <w:pPr>
        <w:spacing w:before="120"/>
        <w:rPr>
          <w:b/>
          <w:szCs w:val="24"/>
        </w:rPr>
      </w:pPr>
      <w:r w:rsidRPr="009A4669">
        <w:rPr>
          <w:b/>
          <w:szCs w:val="24"/>
        </w:rPr>
        <w:t>American Petroleum Institute</w:t>
      </w:r>
      <w:r>
        <w:rPr>
          <w:b/>
          <w:szCs w:val="24"/>
        </w:rPr>
        <w:t xml:space="preserve"> Weekly Statistical Bulletin</w:t>
      </w:r>
    </w:p>
    <w:p w:rsidR="00404AAD" w:rsidP="00404AAD" w14:paraId="27BB8E1C" w14:textId="5D435E91">
      <w:pPr>
        <w:spacing w:before="120"/>
        <w:rPr>
          <w:szCs w:val="24"/>
        </w:rPr>
      </w:pPr>
      <w:r>
        <w:rPr>
          <w:szCs w:val="24"/>
        </w:rPr>
        <w:t>The American Petroleum Institute (API) produces the Weekly Statistical Bulletin (WSB) that contains many of the same national and regional measures (inventories, refinery and blender operations, and imports) that appear in the Weekly Petroleum Status Report (WPSR) produced by EIA. API produces petroleum data that are the most nearly comparable to EIA data in terms of timeliness, completeness, level of detail, and internal consistency. API presents the following information on their website (</w:t>
      </w:r>
      <w:hyperlink r:id="rId30" w:history="1">
        <w:r w:rsidRPr="00B85CD0">
          <w:rPr>
            <w:rStyle w:val="Hyperlink"/>
            <w:szCs w:val="24"/>
          </w:rPr>
          <w:t>https://www.api.org/products-and-services/statistics/api-weekly-statistical-bulletin</w:t>
        </w:r>
      </w:hyperlink>
      <w:r>
        <w:rPr>
          <w:szCs w:val="24"/>
        </w:rPr>
        <w:t>) about the WSB and WPSR.</w:t>
      </w:r>
    </w:p>
    <w:p w:rsidR="00404AAD" w:rsidRPr="009A4669" w:rsidP="00F13B92" w14:paraId="61479220" w14:textId="40330062">
      <w:pPr>
        <w:pStyle w:val="ListParagraph"/>
        <w:numPr>
          <w:ilvl w:val="0"/>
          <w:numId w:val="39"/>
        </w:numPr>
      </w:pPr>
      <w:r w:rsidRPr="009A4669">
        <w:t>API collects an exact copy of the data submitted to EIA. Respondents send data to API using the same weekly survey forms EIA uses.</w:t>
      </w:r>
    </w:p>
    <w:p w:rsidR="00404AAD" w:rsidP="00F13B92" w14:paraId="369C4769" w14:textId="2C5B7299">
      <w:pPr>
        <w:pStyle w:val="ListParagraph"/>
        <w:numPr>
          <w:ilvl w:val="0"/>
          <w:numId w:val="39"/>
        </w:numPr>
      </w:pPr>
      <w:r w:rsidRPr="009A4669">
        <w:t>Both API and EIA are on record stating that their reported weekly data cover roughly 90% of the industry. Since API and EIA need only estimate the remaining 10%, differences in their weekly estimates can be largely attributed to statistical noise.</w:t>
      </w:r>
    </w:p>
    <w:p w:rsidR="00404AAD" w:rsidP="00404AAD" w14:paraId="246C52AD" w14:textId="77777777">
      <w:r>
        <w:t>The key takeaway from the first point is that API uses EIA survey reports as the primary data source for the WSB. EIA survey data are voluntarily submitted to API by some number of the same companies that report to EIA. EIA is unable to determine the exact number of survey reports received by API because EIA and API do not share any individual company data. API and EIA both use the same EIA survey reports as their primary weekly data sources, but there is no pre-release coordination about published data values. API and EIA each independently produce their own separate weekly petroleum reports.</w:t>
      </w:r>
    </w:p>
    <w:p w:rsidR="00404AAD" w:rsidP="00404AAD" w14:paraId="6AAC6DEB" w14:textId="77777777">
      <w:r>
        <w:t xml:space="preserve">The key takeaway from the second point is that both API and EIA collect weekly survey data that accounts for approximately 90 percent of the industry, and both API and EIA use monthly data from the EIA </w:t>
      </w:r>
      <w:r w:rsidRPr="009A4669">
        <w:rPr>
          <w:i/>
        </w:rPr>
        <w:t>Petroleum Supply Monthly</w:t>
      </w:r>
      <w:r>
        <w:t xml:space="preserve"> (based on monthly EIA survey data) as the benchmark for 100% of the industry. Furthermore, both API and EIA use data from the EIA </w:t>
      </w:r>
      <w:r w:rsidRPr="009A4669">
        <w:rPr>
          <w:i/>
        </w:rPr>
        <w:t>Petroleum Supply Monthly</w:t>
      </w:r>
      <w:r>
        <w:t xml:space="preserve"> and revised data from the EIA </w:t>
      </w:r>
      <w:r w:rsidRPr="009A4669">
        <w:rPr>
          <w:i/>
        </w:rPr>
        <w:t>Petroleum Supply Annual</w:t>
      </w:r>
      <w:r>
        <w:t xml:space="preserve"> as the historical data of record.</w:t>
      </w:r>
    </w:p>
    <w:p w:rsidR="00404AAD" w:rsidP="00404AAD" w14:paraId="7401BD9D" w14:textId="77777777">
      <w:r>
        <w:t xml:space="preserve">API produces a </w:t>
      </w:r>
      <w:r w:rsidRPr="009A4669">
        <w:rPr>
          <w:i/>
        </w:rPr>
        <w:t>Monthly Statistical Report</w:t>
      </w:r>
      <w:r>
        <w:t xml:space="preserve"> that is posted to the API web site.</w:t>
      </w:r>
    </w:p>
    <w:p w:rsidR="00404AAD" w:rsidP="00404AAD" w14:paraId="01D429CC" w14:textId="77777777">
      <w:hyperlink r:id="rId31" w:history="1">
        <w:r w:rsidRPr="00BF2AA5">
          <w:rPr>
            <w:rStyle w:val="Hyperlink"/>
          </w:rPr>
          <w:t>https://www.api.org/~/media/Files/News/2018/18-July/Monthly_Statistical_Report_June_2018.pdf</w:t>
        </w:r>
      </w:hyperlink>
    </w:p>
    <w:p w:rsidR="00404AAD" w:rsidP="00404AAD" w14:paraId="43543107" w14:textId="77777777">
      <w:r>
        <w:t xml:space="preserve">Data in the API </w:t>
      </w:r>
      <w:r w:rsidRPr="009A4669">
        <w:rPr>
          <w:i/>
        </w:rPr>
        <w:t>Monthly Statistical Report</w:t>
      </w:r>
      <w:r>
        <w:t xml:space="preserve"> </w:t>
      </w:r>
      <w:r>
        <w:t>are</w:t>
      </w:r>
      <w:r>
        <w:t xml:space="preserve"> based on WSB data converted to a monthly basis. EIA reports similar data in Appendix A of the WPSR. </w:t>
      </w:r>
    </w:p>
    <w:p w:rsidR="00404AAD" w:rsidRPr="00E9275B" w:rsidP="00404AAD" w14:paraId="0FE9C30C" w14:textId="3209ADDA">
      <w:pPr>
        <w:rPr>
          <w:rStyle w:val="Hyperlink"/>
        </w:rPr>
      </w:pPr>
      <w:hyperlink r:id="rId32" w:history="1">
        <w:r w:rsidRPr="00E9275B">
          <w:rPr>
            <w:rStyle w:val="Hyperlink"/>
          </w:rPr>
          <w:t>https://www.eia.gov/petroleum/supply/weekly/pdf/appendixa.pdf</w:t>
        </w:r>
      </w:hyperlink>
    </w:p>
    <w:p w:rsidR="00404AAD" w:rsidRPr="00D20ED2" w:rsidP="00404AAD" w14:paraId="15EC6440" w14:textId="77777777">
      <w:r>
        <w:t xml:space="preserve">There are no API data that </w:t>
      </w:r>
      <w:r>
        <w:t>are</w:t>
      </w:r>
      <w:r>
        <w:t xml:space="preserve"> comparable to data collected by EIA monthly petroleum supply surveys.</w:t>
      </w:r>
    </w:p>
    <w:p w:rsidR="00404AAD" w:rsidP="00404AAD" w14:paraId="28CEAA44" w14:textId="77777777">
      <w:r>
        <w:t>While EIA weekly petroleum data could be viewed as duplicating API weekly data, the above discussion demonstrates that the current API data collection and WSB report methodology would require significant modification if either EIA weekly or monthly data were unavailable. It is worth noting that API charges a fee to users of their WSB. The fact that users of the WSB pay for the data when similar data are available on the EIA web site again points to the high value of petroleum supply data to people working in the oil industry, finance, and other sectors.</w:t>
      </w:r>
    </w:p>
    <w:p w:rsidR="00404AAD" w:rsidP="00404AAD" w14:paraId="1B66C354" w14:textId="77777777">
      <w:pPr>
        <w:rPr>
          <w:b/>
        </w:rPr>
      </w:pPr>
      <w:r>
        <w:rPr>
          <w:b/>
        </w:rPr>
        <w:t>Other data evaluated by EIA</w:t>
      </w:r>
    </w:p>
    <w:p w:rsidR="00404AAD" w:rsidP="00404AAD" w14:paraId="50603213" w14:textId="689F8AB1">
      <w:r>
        <w:t xml:space="preserve">Other private sector organizations and government agencies produce estimates of selected components of U.S. and regional petroleum and biofuel balances, but none produce detailed, comprehensive, and internally consistent balance data that are comparable to data produced by EIA from petroleum supply surveys. The following are some known examples of data that are </w:t>
      </w:r>
      <w:r>
        <w:t>similar to</w:t>
      </w:r>
      <w:r>
        <w:t xml:space="preserve"> some data collected and reported by EIA.</w:t>
      </w:r>
    </w:p>
    <w:p w:rsidR="00404AAD" w:rsidP="00404AAD" w14:paraId="156DE476" w14:textId="77777777">
      <w:r w:rsidRPr="009A4669">
        <w:rPr>
          <w:b/>
        </w:rPr>
        <w:t>MasterCard Spending Pulse</w:t>
      </w:r>
      <w:r>
        <w:t xml:space="preserve"> – The MasterCard Spending Pulse is a weekly report that includes estimates of gasoline demand. The </w:t>
      </w:r>
      <w:r>
        <w:t>report documentation</w:t>
      </w:r>
      <w:r>
        <w:t xml:space="preserve"> states </w:t>
      </w:r>
      <w:r>
        <w:t>estimates</w:t>
      </w:r>
      <w:r>
        <w:t xml:space="preserve"> of gasoline demand are based on aggregate sales activity in the MasterCard payments network, coupled with survey-based estimates for certain other payment forms, such as cash and check. Gasoline demand measured as product supplied has the advantage of being consistent with other components of the petroleum and biofuel supply balance developed from EIA survey data and so product supplied is not replaceable by the MasterCard Spending Pulse estimates of gasoline demand.</w:t>
      </w:r>
    </w:p>
    <w:p w:rsidR="00404AAD" w:rsidP="00404AAD" w14:paraId="33E24960" w14:textId="77777777">
      <w:r w:rsidRPr="00AA6D96">
        <w:rPr>
          <w:b/>
        </w:rPr>
        <w:t>GasBuddy</w:t>
      </w:r>
      <w:r>
        <w:t xml:space="preserve"> - </w:t>
      </w:r>
      <w:r w:rsidRPr="00AA6D96">
        <w:t>GasBuddy develops and maintains proprietary predictive models for U.S. gasoline demand published by the </w:t>
      </w:r>
      <w:hyperlink r:id="rId33" w:tgtFrame="_blank" w:history="1">
        <w:r w:rsidRPr="00AA6D96">
          <w:t>EIA</w:t>
        </w:r>
      </w:hyperlink>
      <w:r w:rsidRPr="00AA6D96">
        <w:t>. GasBuddy makes its prediction every week for the prior week’s demand, two days in advance of the EIA release and releases that prediction Wednesday morning ahead of the EIA release.</w:t>
      </w:r>
      <w:r>
        <w:t xml:space="preserve">  GasBuddy predicts EIA gasoline demand measured as product supplied, but GasBuddy estimates cannot replace product supplied.</w:t>
      </w:r>
    </w:p>
    <w:p w:rsidR="00404AAD" w:rsidP="00404AAD" w14:paraId="0B25BECC" w14:textId="77777777">
      <w:r>
        <w:rPr>
          <w:b/>
        </w:rPr>
        <w:t>F</w:t>
      </w:r>
      <w:r w:rsidRPr="009A4669">
        <w:rPr>
          <w:b/>
        </w:rPr>
        <w:t xml:space="preserve">uel consumption </w:t>
      </w:r>
      <w:r>
        <w:rPr>
          <w:b/>
        </w:rPr>
        <w:t>estimates</w:t>
      </w:r>
      <w:r w:rsidRPr="009A4669">
        <w:rPr>
          <w:b/>
        </w:rPr>
        <w:t xml:space="preserve"> from the Bureau of Transportation Statistics</w:t>
      </w:r>
      <w:r>
        <w:rPr>
          <w:b/>
        </w:rPr>
        <w:t xml:space="preserve"> - </w:t>
      </w:r>
      <w:r>
        <w:t>The Bureau of Transportation Statistics (BTS) of the U.S. Department of Transportation makes available annual estimates of transportation fuel consumption. These data are useful for many applications such as informing transportation policy decisions and as input to models of transportation fuel consumption, especially when consumption data are needed for different sectors, but BTS data not a replacement for demand measured as product supplied reported by EIA because the data available from BTS are only reported annually rather than weekly, monthly, and annually as are the product supplied data, and the BTS data are not necessarily consistent with petroleum and biofuel supply balances produced by EIA.</w:t>
      </w:r>
    </w:p>
    <w:p w:rsidR="00404AAD" w:rsidRPr="009A4669" w:rsidP="00404AAD" w14:paraId="42154032" w14:textId="14484D4E">
      <w:r w:rsidRPr="009A4669">
        <w:rPr>
          <w:b/>
        </w:rPr>
        <w:t>Data produced by private</w:t>
      </w:r>
      <w:r>
        <w:rPr>
          <w:b/>
        </w:rPr>
        <w:t>-</w:t>
      </w:r>
      <w:r w:rsidRPr="009A4669">
        <w:rPr>
          <w:b/>
        </w:rPr>
        <w:t>sector companies using remote sensing and data from public records and other sources</w:t>
      </w:r>
      <w:r>
        <w:rPr>
          <w:b/>
        </w:rPr>
        <w:t xml:space="preserve"> </w:t>
      </w:r>
      <w:r>
        <w:t xml:space="preserve">– Notable examples of data collected from remote sensing and public records include estimates of crude oil stock levels at Cushing, Oklahoma produced by Wood Mackenzie (successor to </w:t>
      </w:r>
      <w:r>
        <w:t>Genscape</w:t>
      </w:r>
      <w:r>
        <w:t xml:space="preserve">), and estimates of natural gas liquids production from Bentek, </w:t>
      </w:r>
      <w:r>
        <w:t>PointLogic</w:t>
      </w:r>
      <w:r>
        <w:t xml:space="preserve">, and Wood Mackenzie. Data sources include aerial and satellite imagery, public information on natural gas flows through pipelines, and other public information. Remote sensing and public information are used to create estimates of crude oil inventory levels and production at natural gas processing plants. In all cases, EIA data </w:t>
      </w:r>
      <w:r>
        <w:t>play</w:t>
      </w:r>
      <w:r>
        <w:t xml:space="preserve"> a role in the methodology used to estimate inventory levels or production at natural gas processing plants. At the very least, </w:t>
      </w:r>
      <w:r w:rsidR="00E9275B">
        <w:t xml:space="preserve">Companies use </w:t>
      </w:r>
      <w:r>
        <w:t xml:space="preserve">EIA data to demonstrate credibility of their estimates to current and potential clients. In other cases, EIA data provide historical data, such as regional composition of mixed natural gas liquids that are key input information to estimation methods used by private- sector companies. Many of the </w:t>
      </w:r>
      <w:r>
        <w:t>private-sector</w:t>
      </w:r>
      <w:r>
        <w:t xml:space="preserve"> estimates of petroleum supply activities that are widely viewed as useful and perhaps even critical for efficient operation of petroleum markets would not exist in their current form without EIA data.</w:t>
      </w:r>
    </w:p>
    <w:p w:rsidR="00404AAD" w:rsidP="00404AAD" w14:paraId="444C9ED2" w14:textId="77777777">
      <w:r>
        <w:rPr>
          <w:b/>
        </w:rPr>
        <w:t xml:space="preserve">Public data for the renewable fuel standard from the </w:t>
      </w:r>
      <w:r w:rsidRPr="009A4669">
        <w:rPr>
          <w:b/>
        </w:rPr>
        <w:t>U.S. Environmental Protection Agency (EPA)</w:t>
      </w:r>
      <w:r>
        <w:rPr>
          <w:b/>
        </w:rPr>
        <w:t xml:space="preserve"> </w:t>
      </w:r>
      <w:r>
        <w:t>– EPA provides public data through a “custom report” feature available on the agency website.</w:t>
      </w:r>
    </w:p>
    <w:p w:rsidR="00404AAD" w:rsidP="00404AAD" w14:paraId="4A75C444" w14:textId="77777777">
      <w:hyperlink r:id="rId34" w:history="1">
        <w:r w:rsidRPr="003D3E59">
          <w:rPr>
            <w:rStyle w:val="Hyperlink"/>
          </w:rPr>
          <w:t>https://www.epa.gov/fuels-registration-reporting-and-compliance-help/custom-renewable-fuel-standard-report</w:t>
        </w:r>
      </w:hyperlink>
    </w:p>
    <w:p w:rsidR="00404AAD" w:rsidP="00404AAD" w14:paraId="22F746B6" w14:textId="77777777">
      <w:r>
        <w:t>EPA makes the following reports available.</w:t>
      </w:r>
    </w:p>
    <w:p w:rsidR="00404AAD" w:rsidP="00F13B92" w14:paraId="03607E13" w14:textId="77777777">
      <w:pPr>
        <w:pStyle w:val="ListParagraph"/>
        <w:numPr>
          <w:ilvl w:val="0"/>
          <w:numId w:val="28"/>
        </w:numPr>
      </w:pPr>
      <w:r>
        <w:t>Renewable identification number (RIN) generation summary</w:t>
      </w:r>
    </w:p>
    <w:p w:rsidR="00404AAD" w:rsidP="00F13B92" w14:paraId="27D15D18" w14:textId="77777777">
      <w:pPr>
        <w:pStyle w:val="ListParagraph"/>
        <w:numPr>
          <w:ilvl w:val="0"/>
          <w:numId w:val="28"/>
        </w:numPr>
      </w:pPr>
      <w:r>
        <w:t>RIN generation by month</w:t>
      </w:r>
    </w:p>
    <w:p w:rsidR="00404AAD" w:rsidP="00F13B92" w14:paraId="25ED326B" w14:textId="77777777">
      <w:pPr>
        <w:pStyle w:val="ListParagraph"/>
        <w:numPr>
          <w:ilvl w:val="0"/>
          <w:numId w:val="28"/>
        </w:numPr>
      </w:pPr>
      <w:r>
        <w:t>RIN generation by producer</w:t>
      </w:r>
    </w:p>
    <w:p w:rsidR="00404AAD" w:rsidP="00F13B92" w14:paraId="17B3FE67" w14:textId="77777777">
      <w:pPr>
        <w:pStyle w:val="ListParagraph"/>
        <w:numPr>
          <w:ilvl w:val="0"/>
          <w:numId w:val="28"/>
        </w:numPr>
      </w:pPr>
      <w:r>
        <w:t>Total available RINs to date</w:t>
      </w:r>
    </w:p>
    <w:p w:rsidR="00404AAD" w:rsidP="00F13B92" w14:paraId="6F336C7D" w14:textId="77777777">
      <w:pPr>
        <w:pStyle w:val="ListParagraph"/>
        <w:numPr>
          <w:ilvl w:val="0"/>
          <w:numId w:val="28"/>
        </w:numPr>
      </w:pPr>
      <w:r>
        <w:t>Total production by fuel type</w:t>
      </w:r>
    </w:p>
    <w:p w:rsidR="00404AAD" w:rsidP="00F13B92" w14:paraId="22D5E4A8" w14:textId="77777777">
      <w:pPr>
        <w:pStyle w:val="ListParagraph"/>
        <w:numPr>
          <w:ilvl w:val="0"/>
          <w:numId w:val="28"/>
        </w:numPr>
      </w:pPr>
      <w:r>
        <w:t>Total Retirements by fuel (D code)</w:t>
      </w:r>
    </w:p>
    <w:p w:rsidR="00404AAD" w:rsidP="00F13B92" w14:paraId="02B1D495" w14:textId="77777777">
      <w:pPr>
        <w:pStyle w:val="ListParagraph"/>
        <w:numPr>
          <w:ilvl w:val="0"/>
          <w:numId w:val="28"/>
        </w:numPr>
      </w:pPr>
      <w:r>
        <w:t>Total separations by fuel (D code)</w:t>
      </w:r>
    </w:p>
    <w:p w:rsidR="00404AAD" w:rsidP="00404AAD" w14:paraId="7B34F98B" w14:textId="7AB4EBF5">
      <w:r>
        <w:t>In addition to data relating to RIN activity, EPA reports include production data that are conceptually similar to biofuel production data collected on surveys by EIA. However, public EPA reports only provide production at the U.S. level</w:t>
      </w:r>
      <w:r w:rsidR="00E9275B">
        <w:t>,</w:t>
      </w:r>
      <w:r>
        <w:t xml:space="preserve"> while survey data allow EIA to analyze and publish regional </w:t>
      </w:r>
      <w:r w:rsidR="00E9275B">
        <w:t>and</w:t>
      </w:r>
      <w:r>
        <w:t xml:space="preserve"> national data. In addition, survey data allow</w:t>
      </w:r>
      <w:r w:rsidR="00F55DEB">
        <w:t xml:space="preserve">s </w:t>
      </w:r>
      <w:r>
        <w:t xml:space="preserve">EIA to track blending activity at biofuel plants involving biofuel and petroleum fuels (e.g., addition of denaturant barrels to ethanol). Blending activity data </w:t>
      </w:r>
      <w:r w:rsidR="00F55DEB">
        <w:t>is</w:t>
      </w:r>
      <w:r>
        <w:t xml:space="preserve"> unavailable </w:t>
      </w:r>
      <w:r>
        <w:t xml:space="preserve">from EPA reports, but blending data </w:t>
      </w:r>
      <w:r>
        <w:t>are</w:t>
      </w:r>
      <w:r>
        <w:t xml:space="preserve"> required </w:t>
      </w:r>
      <w:r w:rsidR="001A3A72">
        <w:t>for</w:t>
      </w:r>
      <w:r>
        <w:t xml:space="preserve"> EIA to produce internally consistent and comprehensive regional and national volumetric balance data for biofuels and petroleum.</w:t>
      </w:r>
    </w:p>
    <w:p w:rsidR="00404AAD" w:rsidP="00404AAD" w14:paraId="3A564A27" w14:textId="423E82C3">
      <w:r w:rsidRPr="009A4669">
        <w:rPr>
          <w:b/>
        </w:rPr>
        <w:t>Refinery and biofuel capacity data</w:t>
      </w:r>
      <w:r>
        <w:rPr>
          <w:b/>
        </w:rPr>
        <w:t xml:space="preserve"> </w:t>
      </w:r>
      <w:r>
        <w:t xml:space="preserve">– </w:t>
      </w:r>
      <w:r w:rsidR="00F55DEB">
        <w:t xml:space="preserve">The </w:t>
      </w:r>
      <w:r w:rsidRPr="009A4669" w:rsidR="00F55DEB">
        <w:rPr>
          <w:i/>
        </w:rPr>
        <w:t>Oil and Gas Journal</w:t>
      </w:r>
      <w:r w:rsidR="00F55DEB">
        <w:rPr>
          <w:i/>
        </w:rPr>
        <w:t xml:space="preserve"> </w:t>
      </w:r>
      <w:r w:rsidR="00F55DEB">
        <w:t xml:space="preserve">(OGJ) reports annually </w:t>
      </w:r>
      <w:r>
        <w:t xml:space="preserve">U.S. and world refinery capacity data based on a survey. The U.S. refinery capacity data reported by OGJ are </w:t>
      </w:r>
      <w:r>
        <w:t>similar to</w:t>
      </w:r>
      <w:r>
        <w:t xml:space="preserve"> EIA data collected on Form EIA-820 and reported on the EIA website.</w:t>
      </w:r>
    </w:p>
    <w:p w:rsidR="00404AAD" w:rsidP="00404AAD" w14:paraId="1B677FEE" w14:textId="77777777">
      <w:hyperlink r:id="rId22" w:history="1">
        <w:r w:rsidRPr="00BF2AA5">
          <w:rPr>
            <w:rStyle w:val="Hyperlink"/>
          </w:rPr>
          <w:t>https://www.eia.gov/petroleum/refinerycapacity/</w:t>
        </w:r>
      </w:hyperlink>
    </w:p>
    <w:p w:rsidR="00404AAD" w:rsidP="00404AAD" w14:paraId="6CA3850E" w14:textId="06015CCD">
      <w:r>
        <w:t xml:space="preserve">The Renewable Fuels Association (RFA) and the National Biodiesel Board (NBB) report </w:t>
      </w:r>
      <w:r>
        <w:t>U.S. production capacity of biofuel (fuel ethanol, biodiesel, and renewable diesel fuel. Both RFA and NBB are trade associations representing the fuel ethanol and bio/renewable diesel fuel industries</w:t>
      </w:r>
      <w:r>
        <w:t>,</w:t>
      </w:r>
      <w:r>
        <w:t xml:space="preserve"> respectively. Biofuel production capacity data reported by RFA and NBB are </w:t>
      </w:r>
      <w:r>
        <w:t>similar to</w:t>
      </w:r>
      <w:r>
        <w:t xml:space="preserve"> data collected on Form EIA-819 (for ethanol and biodiesel) and reported on the EIA website. </w:t>
      </w:r>
    </w:p>
    <w:p w:rsidR="00404AAD" w:rsidP="00404AAD" w14:paraId="583461BF" w14:textId="26AD159B">
      <w:r>
        <w:t xml:space="preserve">While EIA, OGJ, RFA, and NBB all report similar data on refinery and biofuel plant capacities, we believe the mandatory data collected on EIA surveys are necessary </w:t>
      </w:r>
      <w:r w:rsidR="00E90E2E">
        <w:t>to</w:t>
      </w:r>
      <w:r>
        <w:t xml:space="preserve"> meet requirements for accurate and reliable capacity data to support informed policy decisions, especially relating to clean fuel and biofuel standards, market transparency, emergency preparedness, and public understanding of energy.</w:t>
      </w:r>
    </w:p>
    <w:p w:rsidR="00404AAD" w:rsidP="00404AAD" w14:paraId="6C96B95F" w14:textId="709A9206">
      <w:pPr>
        <w:rPr>
          <w:szCs w:val="24"/>
        </w:rPr>
      </w:pPr>
      <w:r>
        <w:rPr>
          <w:b/>
        </w:rPr>
        <w:t xml:space="preserve">U.S. Department of Agriculture, National Agriculture Statistics Service </w:t>
      </w:r>
      <w:r>
        <w:t xml:space="preserve">– </w:t>
      </w:r>
      <w:r w:rsidRPr="002C59E8">
        <w:rPr>
          <w:szCs w:val="24"/>
        </w:rPr>
        <w:t xml:space="preserve">There are several points of data that could be duplicative collections. The data points relate to the collection of corn and sorghum feedstocks </w:t>
      </w:r>
      <w:r w:rsidRPr="002C59E8" w:rsidR="0015386C">
        <w:rPr>
          <w:szCs w:val="24"/>
        </w:rPr>
        <w:t>to produce</w:t>
      </w:r>
      <w:r w:rsidRPr="002C59E8">
        <w:rPr>
          <w:szCs w:val="24"/>
        </w:rPr>
        <w:t xml:space="preserve"> fuel ethanol and the collection of other feedstocks </w:t>
      </w:r>
      <w:r w:rsidRPr="002C59E8" w:rsidR="00B657FC">
        <w:rPr>
          <w:szCs w:val="24"/>
        </w:rPr>
        <w:t>to produce</w:t>
      </w:r>
      <w:r>
        <w:rPr>
          <w:szCs w:val="24"/>
        </w:rPr>
        <w:t xml:space="preserve"> </w:t>
      </w:r>
      <w:r w:rsidRPr="002C59E8">
        <w:rPr>
          <w:szCs w:val="24"/>
        </w:rPr>
        <w:t xml:space="preserve">inedible products. </w:t>
      </w:r>
    </w:p>
    <w:p w:rsidR="00404AAD" w:rsidP="00404AAD" w14:paraId="6D525B4F" w14:textId="76937315">
      <w:pPr>
        <w:rPr>
          <w:szCs w:val="24"/>
        </w:rPr>
      </w:pPr>
      <w:r w:rsidRPr="002C59E8">
        <w:rPr>
          <w:szCs w:val="24"/>
        </w:rPr>
        <w:t xml:space="preserve">NASS surveys 3758 and 3759 (OMB 0535-0254) collect data from Dry Mill and Wet Mill producers. These producers take corn </w:t>
      </w:r>
      <w:r>
        <w:rPr>
          <w:szCs w:val="24"/>
        </w:rPr>
        <w:t xml:space="preserve">or sorghum </w:t>
      </w:r>
      <w:r w:rsidRPr="002C59E8">
        <w:rPr>
          <w:szCs w:val="24"/>
        </w:rPr>
        <w:t>as a feedstock and</w:t>
      </w:r>
      <w:r w:rsidR="00F55DEB">
        <w:rPr>
          <w:szCs w:val="24"/>
        </w:rPr>
        <w:t>,</w:t>
      </w:r>
      <w:r w:rsidRPr="002C59E8">
        <w:rPr>
          <w:szCs w:val="24"/>
        </w:rPr>
        <w:t xml:space="preserve"> through a wet or dry process, convert the corn or sorghum into alcohols that can be used for beverages, industry, or fuel. NASS uses these surveys to </w:t>
      </w:r>
      <w:r>
        <w:rPr>
          <w:szCs w:val="24"/>
        </w:rPr>
        <w:t>balance</w:t>
      </w:r>
      <w:r w:rsidRPr="002C59E8">
        <w:rPr>
          <w:szCs w:val="24"/>
        </w:rPr>
        <w:t xml:space="preserve"> outputs from the agricultural products, corn or sorghum</w:t>
      </w:r>
      <w:r>
        <w:rPr>
          <w:szCs w:val="24"/>
        </w:rPr>
        <w:t xml:space="preserve"> (or “other” which sometimes includes wheat)</w:t>
      </w:r>
      <w:r w:rsidRPr="002C59E8">
        <w:rPr>
          <w:szCs w:val="24"/>
        </w:rPr>
        <w:t>. EIA-819 also collects corn and sorghum feedstocks used in the production of fuel alcohol.</w:t>
      </w:r>
      <w:r>
        <w:rPr>
          <w:szCs w:val="24"/>
        </w:rPr>
        <w:t xml:space="preserve"> The following are important distinctions between </w:t>
      </w:r>
      <w:r>
        <w:rPr>
          <w:szCs w:val="24"/>
        </w:rPr>
        <w:t>the NASS</w:t>
      </w:r>
      <w:r>
        <w:rPr>
          <w:szCs w:val="24"/>
        </w:rPr>
        <w:t xml:space="preserve"> data and EIA data. </w:t>
      </w:r>
    </w:p>
    <w:p w:rsidR="00404AAD" w:rsidRPr="00E24A55" w:rsidP="00F13B92" w14:paraId="0B85D1D3" w14:textId="77777777">
      <w:pPr>
        <w:pStyle w:val="ListParagraph"/>
        <w:numPr>
          <w:ilvl w:val="0"/>
          <w:numId w:val="40"/>
        </w:numPr>
        <w:rPr>
          <w:b/>
        </w:rPr>
      </w:pPr>
      <w:r>
        <w:t xml:space="preserve">NASS collects company level data whereas EIA collects facility level data. NASS receives approximately 130 reports each month which represent about 90 percent of total capacity. Company level reporting causes under-coverage of the market. EIA collects facility level information which results in the receipt of 200 reports. The company level data is used to publish </w:t>
      </w:r>
      <w:r>
        <w:t>a national statistic</w:t>
      </w:r>
      <w:r>
        <w:t xml:space="preserve"> whereas the facility level data is used to publish regional statistics.</w:t>
      </w:r>
    </w:p>
    <w:p w:rsidR="00404AAD" w:rsidRPr="00AD2896" w:rsidP="00F13B92" w14:paraId="27CF4353" w14:textId="77777777">
      <w:pPr>
        <w:pStyle w:val="ListParagraph"/>
        <w:numPr>
          <w:ilvl w:val="0"/>
          <w:numId w:val="40"/>
        </w:numPr>
      </w:pPr>
      <w:r>
        <w:t xml:space="preserve">The reporting units for both surveys are different. </w:t>
      </w:r>
      <w:r>
        <w:t>The NASS</w:t>
      </w:r>
      <w:r>
        <w:t xml:space="preserve"> surveys collect data in 1000 bushels and EIA-819 collects data in pounds. Agricultural commodities have different conversions from pounds to bushels and this will be a persistent source of reporting error.  </w:t>
      </w:r>
    </w:p>
    <w:p w:rsidR="00404AAD" w:rsidRPr="00F0463E" w:rsidP="00F13B92" w14:paraId="55569F6B" w14:textId="77777777">
      <w:pPr>
        <w:pStyle w:val="ListParagraph"/>
        <w:numPr>
          <w:ilvl w:val="0"/>
          <w:numId w:val="40"/>
        </w:numPr>
      </w:pPr>
      <w:r>
        <w:t>The collection methodology is different between the two surveys. Data is due to EIA no later than 20 days after the reporting period. Data is due to NASS about a week before the end of the month after the reporting period. For example, March data is due to EIA no later than April 20</w:t>
      </w:r>
      <w:r w:rsidRPr="00F35AD1">
        <w:t>th</w:t>
      </w:r>
      <w:r>
        <w:t xml:space="preserve"> whereas data is due to NASS between the 22</w:t>
      </w:r>
      <w:r w:rsidRPr="00F35AD1">
        <w:t>nd</w:t>
      </w:r>
      <w:r>
        <w:t xml:space="preserve"> and 26</w:t>
      </w:r>
      <w:r w:rsidRPr="00F35AD1">
        <w:t>th</w:t>
      </w:r>
      <w:r>
        <w:t xml:space="preserve"> of April. NASS publishes March data on the 1</w:t>
      </w:r>
      <w:r w:rsidRPr="00F35AD1">
        <w:t>st</w:t>
      </w:r>
      <w:r>
        <w:t xml:space="preserve"> of May whereas EIA publishes March data around the end of May.</w:t>
      </w:r>
    </w:p>
    <w:p w:rsidR="00404AAD" w:rsidRPr="00C833C2" w:rsidP="00F13B92" w14:paraId="536FCA99" w14:textId="51BC1159">
      <w:pPr>
        <w:pStyle w:val="ListParagraph"/>
        <w:numPr>
          <w:ilvl w:val="0"/>
          <w:numId w:val="40"/>
        </w:numPr>
      </w:pPr>
      <w:r>
        <w:t>Response rates are different. NASS response rates are at least 90% of total production capacity. EIA’s response rates are usually 100%. This is in large part due to EIA’s mandatory data collection ability (15 U.S.C. §772b) and ability to impose civil monetary penalties for non-response or false reporting (10 C.F.R. 207.7).</w:t>
      </w:r>
    </w:p>
    <w:p w:rsidR="00404AAD" w:rsidRPr="000238A5" w:rsidP="00404AAD" w14:paraId="02BC3C4F" w14:textId="7B09F78A">
      <w:pPr>
        <w:rPr>
          <w:szCs w:val="24"/>
        </w:rPr>
      </w:pPr>
      <w:r>
        <w:t xml:space="preserve">EIA and NASS </w:t>
      </w:r>
      <w:r w:rsidR="00F55DEB">
        <w:t xml:space="preserve">agreed </w:t>
      </w:r>
      <w:r>
        <w:t xml:space="preserve">to share data on corn and grain sorghum consumed </w:t>
      </w:r>
      <w:r w:rsidR="00031B41">
        <w:t>to produce</w:t>
      </w:r>
      <w:r>
        <w:t xml:space="preserve"> fuel ethanol. Beginning with data for January 2021, EIA provides NASS with a monthly file of plant-level data from Form EIA-819. NASS uses data from Form EIA-819 to revise data published in their Grain </w:t>
      </w:r>
      <w:r>
        <w:t>Crushings</w:t>
      </w:r>
      <w:r>
        <w:t xml:space="preserve"> and Co-products Production Report.</w:t>
      </w:r>
    </w:p>
    <w:p w:rsidR="00404AAD" w:rsidP="00404AAD" w14:paraId="0A624552" w14:textId="545B252B">
      <w:r>
        <w:t>The other seemingly similar data collection is NASS Form M311N (OMB 0535-0254) that is used to collect data on the production of animal and vegetable fats and oils and their separation</w:t>
      </w:r>
      <w:r w:rsidR="00F55DEB">
        <w:t xml:space="preserve"> of</w:t>
      </w:r>
      <w:r>
        <w:t xml:space="preserve"> edible and inedible uses. Besides the fact that Form M311N also collects company level data and has the same reporting methodology noted previously, EIA-819 collects information on almost the same items. For example, both NASS and EIA collect information on Tallow. NASS collects data on the production of Tallow, its separation into different classes of Tallow, and its separation into edible and inedible uses. The inedible use of Tallow includes feedstocks for biofuel production. However, biofuel production is not the only inedible use for Tallow. Inedible uses for Tallow include the production of soap, animal feeds, lubrication, and even nitroglycerin. This example applies to the rest of the EIA-819 feedstocks in Section 9. The production of biofuels is not the only inedible use of such feedstocks and does not represent a duplication of efforts by NASS and EIA.  </w:t>
      </w:r>
    </w:p>
    <w:p w:rsidR="002542D4" w:rsidRPr="002542D4" w:rsidP="002542D4" w14:paraId="62FE9755" w14:textId="77777777">
      <w:pPr>
        <w:rPr>
          <w:noProof/>
        </w:rPr>
      </w:pPr>
    </w:p>
    <w:p w:rsidR="002542D4" w:rsidRPr="00BB64D7" w:rsidP="008947EF" w14:paraId="5C00844C" w14:textId="77777777">
      <w:pPr>
        <w:pStyle w:val="Heading2"/>
        <w:rPr>
          <w:noProof/>
        </w:rPr>
      </w:pPr>
      <w:bookmarkStart w:id="12" w:name="_Toc492634205"/>
      <w:bookmarkStart w:id="13" w:name="_Toc199483361"/>
      <w:r w:rsidRPr="00BB64D7">
        <w:rPr>
          <w:noProof/>
        </w:rPr>
        <w:t>A.5. Provisions for Reducing Burden on Small Businesses</w:t>
      </w:r>
      <w:bookmarkEnd w:id="12"/>
      <w:bookmarkEnd w:id="13"/>
      <w:r w:rsidRPr="00BB64D7">
        <w:rPr>
          <w:noProof/>
        </w:rPr>
        <w:t xml:space="preserve"> </w:t>
      </w:r>
    </w:p>
    <w:p w:rsidR="00404AAD" w:rsidP="00404AAD" w14:paraId="5275B2D9" w14:textId="4FA155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
        <w:t xml:space="preserve">Minimizing burden to small businesses is a primary concern to EIA. Alternative modes of data collection seek to reduce respondent burden. For example, some respondents </w:t>
      </w:r>
      <w:r w:rsidR="00F55DEB">
        <w:t xml:space="preserve">can upload </w:t>
      </w:r>
      <w:r>
        <w:t xml:space="preserve">data, thus reducing the need for data entry.  EIA uses the cut-off sampling method to minimize reporting burden on the weekly surveys. </w:t>
      </w:r>
      <w:r w:rsidR="00F55DEB">
        <w:t>Respondents’</w:t>
      </w:r>
      <w:r>
        <w:t xml:space="preserve"> use of electronic reporting reduces reporting burden by eliminating paperwork and reducing the need for follow-up calls and resubmissions of the forms. EIA staff members are available during normal business hours to </w:t>
      </w:r>
      <w:r>
        <w:t>provide assistance</w:t>
      </w:r>
      <w:r>
        <w:t xml:space="preserve"> by telephone.</w:t>
      </w:r>
    </w:p>
    <w:p w:rsidR="00404AAD" w:rsidRPr="005C6DD6" w:rsidP="00404AAD" w14:paraId="085B127E" w14:textId="77777777">
      <w:pPr>
        <w:spacing w:after="240"/>
        <w:rPr>
          <w:szCs w:val="24"/>
        </w:rPr>
      </w:pPr>
      <w:r w:rsidRPr="005C6DD6">
        <w:rPr>
          <w:szCs w:val="24"/>
        </w:rPr>
        <w:t>The PSRS collect</w:t>
      </w:r>
      <w:r>
        <w:rPr>
          <w:szCs w:val="24"/>
        </w:rPr>
        <w:t xml:space="preserve">s </w:t>
      </w:r>
      <w:r w:rsidRPr="005C6DD6">
        <w:rPr>
          <w:szCs w:val="24"/>
        </w:rPr>
        <w:t>the minimum information necessary to fulfill EIA's responsibility to provide meaningful, timely, objective, and accurate petroleum supply data.</w:t>
      </w:r>
      <w:r>
        <w:rPr>
          <w:szCs w:val="24"/>
        </w:rPr>
        <w:t xml:space="preserve"> </w:t>
      </w:r>
      <w:r w:rsidRPr="005C6DD6">
        <w:rPr>
          <w:szCs w:val="24"/>
        </w:rPr>
        <w:t xml:space="preserve"> </w:t>
      </w:r>
    </w:p>
    <w:p w:rsidR="002542D4" w:rsidRPr="002542D4" w:rsidP="002542D4" w14:paraId="079CE67C" w14:textId="77777777">
      <w:pPr>
        <w:rPr>
          <w:noProof/>
        </w:rPr>
      </w:pPr>
    </w:p>
    <w:p w:rsidR="002542D4" w:rsidRPr="00BB64D7" w:rsidP="008947EF" w14:paraId="2942D16E" w14:textId="77777777">
      <w:pPr>
        <w:pStyle w:val="Heading2"/>
        <w:rPr>
          <w:noProof/>
        </w:rPr>
      </w:pPr>
      <w:bookmarkStart w:id="14" w:name="_Toc492634206"/>
      <w:bookmarkStart w:id="15" w:name="_Toc199483362"/>
      <w:r w:rsidRPr="00BB64D7">
        <w:rPr>
          <w:noProof/>
        </w:rPr>
        <w:t>A.6. Consequences of Less-Frequent Reporting</w:t>
      </w:r>
      <w:bookmarkEnd w:id="14"/>
      <w:bookmarkEnd w:id="15"/>
    </w:p>
    <w:p w:rsidR="00404AAD" w:rsidRPr="005C6DD6" w:rsidP="00404AAD" w14:paraId="5DCB1D8A" w14:textId="53BE3738">
      <w:pPr>
        <w:rPr>
          <w:szCs w:val="24"/>
        </w:rPr>
      </w:pPr>
      <w:r w:rsidRPr="005C6DD6">
        <w:rPr>
          <w:szCs w:val="24"/>
        </w:rPr>
        <w:t>EIA is recognized as the major collector of comprehensive, internally consistent, and reliable United States energy supply and demand data.</w:t>
      </w:r>
      <w:r>
        <w:rPr>
          <w:szCs w:val="24"/>
        </w:rPr>
        <w:t xml:space="preserve"> </w:t>
      </w:r>
      <w:r w:rsidRPr="005C6DD6">
        <w:rPr>
          <w:szCs w:val="24"/>
        </w:rPr>
        <w:t>All sectors of the economy rely on EIA for energy statistics and consider its publications to be timely</w:t>
      </w:r>
      <w:r w:rsidR="00F55DEB">
        <w:rPr>
          <w:szCs w:val="24"/>
        </w:rPr>
        <w:t>,</w:t>
      </w:r>
      <w:r w:rsidRPr="005C6DD6">
        <w:rPr>
          <w:szCs w:val="24"/>
        </w:rPr>
        <w:t xml:space="preserve"> unbiased indicators of current energy conditions and incipient trends.</w:t>
      </w:r>
      <w:r>
        <w:rPr>
          <w:szCs w:val="24"/>
        </w:rPr>
        <w:t xml:space="preserve"> </w:t>
      </w:r>
      <w:r w:rsidRPr="005C6DD6">
        <w:rPr>
          <w:szCs w:val="24"/>
        </w:rPr>
        <w:t xml:space="preserve">Less frequent reporting would degrade EIA’s capability to meet its mandate </w:t>
      </w:r>
      <w:r w:rsidR="00F55DEB">
        <w:rPr>
          <w:szCs w:val="24"/>
        </w:rPr>
        <w:t xml:space="preserve">to </w:t>
      </w:r>
      <w:r w:rsidRPr="005C6DD6">
        <w:rPr>
          <w:szCs w:val="24"/>
        </w:rPr>
        <w:t>provid</w:t>
      </w:r>
      <w:r w:rsidR="00F55DEB">
        <w:rPr>
          <w:szCs w:val="24"/>
        </w:rPr>
        <w:t>e</w:t>
      </w:r>
      <w:r w:rsidRPr="005C6DD6">
        <w:rPr>
          <w:szCs w:val="24"/>
        </w:rPr>
        <w:t xml:space="preserve"> timely and reliable energy information.</w:t>
      </w:r>
      <w:r>
        <w:rPr>
          <w:szCs w:val="24"/>
        </w:rPr>
        <w:t xml:space="preserve"> </w:t>
      </w:r>
      <w:r w:rsidRPr="005C6DD6">
        <w:rPr>
          <w:szCs w:val="24"/>
        </w:rPr>
        <w:t xml:space="preserve">Data </w:t>
      </w:r>
      <w:r w:rsidRPr="005C6DD6">
        <w:rPr>
          <w:szCs w:val="24"/>
        </w:rPr>
        <w:t>are</w:t>
      </w:r>
      <w:r w:rsidRPr="005C6DD6">
        <w:rPr>
          <w:szCs w:val="24"/>
        </w:rPr>
        <w:t xml:space="preserve"> required at </w:t>
      </w:r>
      <w:r>
        <w:rPr>
          <w:szCs w:val="24"/>
        </w:rPr>
        <w:t xml:space="preserve">the weekly, </w:t>
      </w:r>
      <w:r w:rsidRPr="005C6DD6">
        <w:rPr>
          <w:szCs w:val="24"/>
        </w:rPr>
        <w:t>monthly</w:t>
      </w:r>
      <w:r>
        <w:rPr>
          <w:szCs w:val="24"/>
        </w:rPr>
        <w:t>, and annual</w:t>
      </w:r>
      <w:r w:rsidRPr="005C6DD6">
        <w:rPr>
          <w:szCs w:val="24"/>
        </w:rPr>
        <w:t xml:space="preserve"> levels </w:t>
      </w:r>
      <w:r w:rsidRPr="005C6DD6" w:rsidR="004E101F">
        <w:rPr>
          <w:szCs w:val="24"/>
        </w:rPr>
        <w:t>to</w:t>
      </w:r>
      <w:r w:rsidRPr="005C6DD6">
        <w:rPr>
          <w:szCs w:val="24"/>
        </w:rPr>
        <w:t xml:space="preserve"> satisfy EIA’s programmatic needs as described in Section </w:t>
      </w:r>
      <w:r>
        <w:rPr>
          <w:szCs w:val="24"/>
        </w:rPr>
        <w:t>A.</w:t>
      </w:r>
      <w:r w:rsidRPr="005C6DD6">
        <w:rPr>
          <w:szCs w:val="24"/>
        </w:rPr>
        <w:t>2 above.</w:t>
      </w:r>
      <w:r>
        <w:rPr>
          <w:szCs w:val="24"/>
        </w:rPr>
        <w:t xml:space="preserve">  </w:t>
      </w:r>
    </w:p>
    <w:p w:rsidR="00404AAD" w:rsidRPr="005C6DD6" w:rsidP="00404AAD" w14:paraId="6DAA72A4" w14:textId="18727287">
      <w:pPr>
        <w:rPr>
          <w:szCs w:val="24"/>
        </w:rPr>
      </w:pPr>
      <w:r>
        <w:rPr>
          <w:szCs w:val="24"/>
        </w:rPr>
        <w:t xml:space="preserve">EIA began collecting weekly data since 1979 using </w:t>
      </w:r>
      <w:r w:rsidRPr="005C6DD6">
        <w:rPr>
          <w:szCs w:val="24"/>
        </w:rPr>
        <w:t>Forms EIA-800 through EIA-804</w:t>
      </w:r>
      <w:r w:rsidR="00F55DEB">
        <w:rPr>
          <w:szCs w:val="24"/>
        </w:rPr>
        <w:t xml:space="preserve">, on </w:t>
      </w:r>
      <w:r w:rsidRPr="005C6DD6">
        <w:rPr>
          <w:szCs w:val="24"/>
        </w:rPr>
        <w:t>Form EIA-805 since 2004</w:t>
      </w:r>
      <w:r w:rsidR="00C92D6F">
        <w:rPr>
          <w:szCs w:val="24"/>
        </w:rPr>
        <w:t>,</w:t>
      </w:r>
      <w:r w:rsidRPr="005C6DD6">
        <w:rPr>
          <w:szCs w:val="24"/>
        </w:rPr>
        <w:t xml:space="preserve"> </w:t>
      </w:r>
      <w:r w:rsidR="00A85A84">
        <w:rPr>
          <w:szCs w:val="24"/>
        </w:rPr>
        <w:t xml:space="preserve">on Form EIA-806 since </w:t>
      </w:r>
      <w:r w:rsidR="00A97C0E">
        <w:rPr>
          <w:szCs w:val="24"/>
        </w:rPr>
        <w:t xml:space="preserve">2023, </w:t>
      </w:r>
      <w:r w:rsidRPr="005C6DD6" w:rsidR="008E1690">
        <w:rPr>
          <w:szCs w:val="24"/>
        </w:rPr>
        <w:t>and</w:t>
      </w:r>
      <w:r w:rsidRPr="005C6DD6">
        <w:rPr>
          <w:szCs w:val="24"/>
        </w:rPr>
        <w:t xml:space="preserve"> Form EIA-809 since 2010.</w:t>
      </w:r>
      <w:r>
        <w:rPr>
          <w:szCs w:val="24"/>
        </w:rPr>
        <w:t xml:space="preserve"> </w:t>
      </w:r>
      <w:r w:rsidRPr="005C6DD6">
        <w:rPr>
          <w:szCs w:val="24"/>
        </w:rPr>
        <w:t xml:space="preserve">The data </w:t>
      </w:r>
      <w:r w:rsidRPr="005C6DD6">
        <w:rPr>
          <w:szCs w:val="24"/>
        </w:rPr>
        <w:t>are</w:t>
      </w:r>
      <w:r w:rsidRPr="005C6DD6">
        <w:rPr>
          <w:szCs w:val="24"/>
        </w:rPr>
        <w:t xml:space="preserve"> used to generate the Weekly Petroleum Status Report.</w:t>
      </w:r>
      <w:r>
        <w:rPr>
          <w:szCs w:val="24"/>
        </w:rPr>
        <w:t xml:space="preserve"> </w:t>
      </w:r>
      <w:r w:rsidRPr="005C6DD6">
        <w:rPr>
          <w:szCs w:val="24"/>
        </w:rPr>
        <w:t xml:space="preserve">The reports generated from the weekly data are very much in demand </w:t>
      </w:r>
      <w:r w:rsidRPr="005C6DD6">
        <w:rPr>
          <w:szCs w:val="24"/>
        </w:rPr>
        <w:t>by</w:t>
      </w:r>
      <w:r w:rsidRPr="005C6DD6">
        <w:rPr>
          <w:szCs w:val="24"/>
        </w:rPr>
        <w:t xml:space="preserve"> a wide audience</w:t>
      </w:r>
      <w:r>
        <w:rPr>
          <w:szCs w:val="24"/>
        </w:rPr>
        <w:t xml:space="preserve"> and routinely relied upon by financial traders and analysts to assess current conditions in petroleum markets</w:t>
      </w:r>
      <w:r w:rsidRPr="005C6DD6">
        <w:rPr>
          <w:szCs w:val="24"/>
        </w:rPr>
        <w:t>.</w:t>
      </w:r>
      <w:r w:rsidR="00C92D6F">
        <w:rPr>
          <w:szCs w:val="24"/>
        </w:rPr>
        <w:t xml:space="preserve"> EIA collects </w:t>
      </w:r>
      <w:r w:rsidR="00C92D6F">
        <w:rPr>
          <w:szCs w:val="24"/>
        </w:rPr>
        <w:t>f</w:t>
      </w:r>
      <w:r w:rsidRPr="005C6DD6">
        <w:rPr>
          <w:szCs w:val="24"/>
        </w:rPr>
        <w:t>orms EIA-810</w:t>
      </w:r>
      <w:r w:rsidRPr="005C6DD6">
        <w:rPr>
          <w:szCs w:val="24"/>
        </w:rPr>
        <w:t xml:space="preserve"> through EIA-819 </w:t>
      </w:r>
      <w:r w:rsidRPr="005C6DD6" w:rsidR="00B324D1">
        <w:rPr>
          <w:szCs w:val="24"/>
        </w:rPr>
        <w:t>monthly</w:t>
      </w:r>
      <w:r w:rsidRPr="005C6DD6">
        <w:rPr>
          <w:szCs w:val="24"/>
        </w:rPr>
        <w:t xml:space="preserve"> </w:t>
      </w:r>
      <w:r w:rsidRPr="005C6DD6" w:rsidR="00A93877">
        <w:rPr>
          <w:szCs w:val="24"/>
        </w:rPr>
        <w:t>and</w:t>
      </w:r>
      <w:r w:rsidRPr="005C6DD6">
        <w:rPr>
          <w:szCs w:val="24"/>
        </w:rPr>
        <w:t xml:space="preserve"> publish</w:t>
      </w:r>
      <w:r w:rsidR="00C92D6F">
        <w:rPr>
          <w:szCs w:val="24"/>
        </w:rPr>
        <w:t>es the data</w:t>
      </w:r>
      <w:r w:rsidRPr="005C6DD6">
        <w:rPr>
          <w:szCs w:val="24"/>
        </w:rPr>
        <w:t xml:space="preserve"> in the Petroleum Supply Monthly, Monthly Energy Review, </w:t>
      </w:r>
      <w:r>
        <w:rPr>
          <w:szCs w:val="24"/>
        </w:rPr>
        <w:t xml:space="preserve">and the </w:t>
      </w:r>
      <w:r w:rsidRPr="005C6DD6">
        <w:rPr>
          <w:szCs w:val="24"/>
        </w:rPr>
        <w:t>Petroleum Supply Annual</w:t>
      </w:r>
      <w:r>
        <w:rPr>
          <w:szCs w:val="24"/>
        </w:rPr>
        <w:t xml:space="preserve">. </w:t>
      </w:r>
      <w:r w:rsidRPr="005C6DD6">
        <w:rPr>
          <w:szCs w:val="24"/>
        </w:rPr>
        <w:t xml:space="preserve">Monthly data are essential for </w:t>
      </w:r>
      <w:r w:rsidR="00C92D6F">
        <w:rPr>
          <w:szCs w:val="24"/>
        </w:rPr>
        <w:t xml:space="preserve">the </w:t>
      </w:r>
      <w:r w:rsidRPr="005C6DD6">
        <w:rPr>
          <w:szCs w:val="24"/>
        </w:rPr>
        <w:t>assessment of seasonal changes in petroleum supplies and markets and to capture market adjustments to changes in prices and levels of economic activity.</w:t>
      </w:r>
      <w:r>
        <w:rPr>
          <w:szCs w:val="24"/>
        </w:rPr>
        <w:t xml:space="preserve"> The monthly data </w:t>
      </w:r>
      <w:r>
        <w:rPr>
          <w:szCs w:val="24"/>
        </w:rPr>
        <w:t>are</w:t>
      </w:r>
      <w:r>
        <w:rPr>
          <w:szCs w:val="24"/>
        </w:rPr>
        <w:t xml:space="preserve"> also required to fulfill the requirements of the International Energy Agency (IEA) agreement and meet the analytic requirements of EIA and other data users. </w:t>
      </w:r>
      <w:r w:rsidRPr="005C6DD6">
        <w:rPr>
          <w:szCs w:val="24"/>
        </w:rPr>
        <w:t>Annual data collected on Form EIA-820 are adequate for analysis and assessment of detailed refinery capacities, fuels and hydrogen feedstocks consumed, and crude oil receipts by method of transportation.</w:t>
      </w:r>
    </w:p>
    <w:p w:rsidR="002542D4" w:rsidRPr="002542D4" w:rsidP="002542D4" w14:paraId="1440CE6F" w14:textId="77777777">
      <w:pPr>
        <w:rPr>
          <w:noProof/>
        </w:rPr>
      </w:pPr>
    </w:p>
    <w:p w:rsidR="002542D4" w:rsidRPr="00BB64D7" w:rsidP="008947EF" w14:paraId="153C2702" w14:textId="77777777">
      <w:pPr>
        <w:pStyle w:val="Heading2"/>
        <w:rPr>
          <w:noProof/>
        </w:rPr>
      </w:pPr>
      <w:bookmarkStart w:id="16" w:name="_Toc492634207"/>
      <w:bookmarkStart w:id="17" w:name="_Toc199483363"/>
      <w:r w:rsidRPr="00BB64D7">
        <w:rPr>
          <w:noProof/>
        </w:rPr>
        <w:t>A.7. Compliance with 5 CFR 1320.5</w:t>
      </w:r>
      <w:bookmarkEnd w:id="16"/>
      <w:bookmarkEnd w:id="17"/>
    </w:p>
    <w:p w:rsidR="00404AAD" w:rsidP="00404AAD" w14:paraId="0ED79792" w14:textId="09FDA215">
      <w:pPr>
        <w:rPr>
          <w:b/>
          <w:bCs/>
        </w:rPr>
      </w:pPr>
      <w:r>
        <w:t>EIA describes above t</w:t>
      </w:r>
      <w:r w:rsidRPr="004E1172">
        <w:t>he justification requiring respondents to report information more frequently than every quarter.</w:t>
      </w:r>
      <w:r>
        <w:t xml:space="preserve"> There are no other special circumstances for these collections.</w:t>
      </w:r>
    </w:p>
    <w:p w:rsidR="002542D4" w:rsidRPr="002542D4" w:rsidP="002542D4" w14:paraId="257531A1" w14:textId="77777777">
      <w:pPr>
        <w:rPr>
          <w:b/>
          <w:bCs/>
          <w:noProof/>
        </w:rPr>
      </w:pPr>
    </w:p>
    <w:p w:rsidR="002542D4" w:rsidRPr="00BB64D7" w:rsidP="008947EF" w14:paraId="1BFDB473" w14:textId="77777777">
      <w:pPr>
        <w:pStyle w:val="Heading2"/>
        <w:rPr>
          <w:noProof/>
        </w:rPr>
      </w:pPr>
      <w:bookmarkStart w:id="18" w:name="_Toc492634208"/>
      <w:bookmarkStart w:id="19" w:name="_Toc199483364"/>
      <w:r w:rsidRPr="00BB64D7">
        <w:rPr>
          <w:noProof/>
        </w:rPr>
        <w:t>A.8. Summary of Consultations Outside of the Agency</w:t>
      </w:r>
      <w:bookmarkEnd w:id="18"/>
      <w:bookmarkEnd w:id="19"/>
    </w:p>
    <w:p w:rsidR="00404AAD" w:rsidP="00404AAD" w14:paraId="4F546FCF" w14:textId="37592CF5">
      <w:r>
        <w:t xml:space="preserve">In 2025, EIA conducted pretesting to examine the feasibility of collecting biodiesel and renewable fuel information on a weekly basis and collecting subproducts of </w:t>
      </w:r>
      <w:r>
        <w:t>leaded</w:t>
      </w:r>
      <w:r>
        <w:t xml:space="preserve"> and unleaded aviation fuel. We tested the aviation fuel questions on the EIA-810, Monthly Refinery Report, using unmoderated cognitive interviews over the web via the Qualtrics platform. We tested the new biodiesel and renewable fuel question on the EIA-809, Weekly Oxygenate Report, with virtual moderated interviews via Microsoft Teams.  </w:t>
      </w:r>
    </w:p>
    <w:p w:rsidR="00404AAD" w:rsidP="7788A1DB" w14:paraId="5D7DF50E" w14:textId="45EC9C52">
      <w:r>
        <w:t xml:space="preserve">The EIA-810 pretesting aimed to assess if respondents could separate and report aviation gasoline into </w:t>
      </w:r>
      <w:r>
        <w:t>leaded</w:t>
      </w:r>
      <w:r>
        <w:t xml:space="preserve"> and unleaded components. We identified four eligible respondents for the study. We sent several email invitations to potential participants and followed up with phone calls towards the end of data collection. Only one respondent participated in the pretesting, which made it difficult to draw conclusions about the feasibility of asking these new questions. The respondent who completed the interview reported difficulty providing the requested information. Furthermore, based on the configuration of the records for the establishment, this respondent would not be able to provide this information in the future. Future research needs to include more respondents to draw valid conclusions about the feasibility of asking new </w:t>
      </w:r>
      <w:r>
        <w:t>leaded</w:t>
      </w:r>
      <w:r>
        <w:t xml:space="preserve"> and unleaded aviation gasoline questions on the EIA-810. </w:t>
      </w:r>
    </w:p>
    <w:p w:rsidR="00404AAD" w:rsidP="7788A1DB" w14:paraId="5649A771" w14:textId="0A824FF6">
      <w:r>
        <w:t xml:space="preserve">The EIA-809 pretesting aimed to assess if respondents could report biodiesel and renewable fuel weekly on the EIA-809 Weekly Oxygenate Report, </w:t>
      </w:r>
      <w:r>
        <w:t>similar to</w:t>
      </w:r>
      <w:r>
        <w:t xml:space="preserve"> how they currently report monthly on the EIA-819 Monthly Oxygenate Report. We identified 182 eligible respondents for the EIA-809 pretesting. Five respondents participated in the </w:t>
      </w:r>
      <w:r>
        <w:t>moderated</w:t>
      </w:r>
      <w:r>
        <w:t xml:space="preserve"> cognitive interviews to test the feasibility of adding weekly biodiesel and renewable fuel questions to </w:t>
      </w:r>
      <w:r>
        <w:t>the EIA</w:t>
      </w:r>
      <w:r>
        <w:t xml:space="preserve">-809. </w:t>
      </w:r>
    </w:p>
    <w:p w:rsidR="00404AAD" w:rsidP="7788A1DB" w14:paraId="38931C4F" w14:textId="48CEAF71">
      <w:r>
        <w:t xml:space="preserve">On </w:t>
      </w:r>
      <w:r w:rsidR="363371C7">
        <w:t>September 29</w:t>
      </w:r>
      <w:r>
        <w:t>,</w:t>
      </w:r>
      <w:r w:rsidR="0607588A">
        <w:t xml:space="preserve"> 2025,</w:t>
      </w:r>
      <w:r>
        <w:t xml:space="preserve"> EIA published a 60-day Federal Register Notice at </w:t>
      </w:r>
      <w:r w:rsidR="45B5FBB8">
        <w:t>90</w:t>
      </w:r>
      <w:r>
        <w:t xml:space="preserve"> FR </w:t>
      </w:r>
      <w:r w:rsidR="45B5FBB8">
        <w:t>46589</w:t>
      </w:r>
      <w:r>
        <w:t xml:space="preserve">, outlining proposed changes to the Petroleum Supply Reporting System and inviting interested parties to comment. EIA </w:t>
      </w:r>
      <w:r w:rsidR="53CADFDA">
        <w:t xml:space="preserve">received one comment </w:t>
      </w:r>
      <w:r w:rsidR="14D852FA">
        <w:t>and</w:t>
      </w:r>
      <w:r w:rsidR="7EC17AA5">
        <w:t xml:space="preserve"> </w:t>
      </w:r>
      <w:r>
        <w:t xml:space="preserve">responded to </w:t>
      </w:r>
      <w:r w:rsidR="7EC17AA5">
        <w:t>the comment</w:t>
      </w:r>
      <w:r>
        <w:t xml:space="preserve"> </w:t>
      </w:r>
      <w:r w:rsidR="255C3518">
        <w:t xml:space="preserve">The U.S. Bureau of Economic Analysis (BEA) expressed strong support for the continued collection for the petroleum sector and the proposed changes for the collection.  </w:t>
      </w:r>
      <w:r w:rsidR="4AF94C22">
        <w:t xml:space="preserve">They </w:t>
      </w:r>
      <w:r w:rsidR="255C3518">
        <w:t>provid</w:t>
      </w:r>
      <w:r w:rsidR="1433ECC3">
        <w:t>ed</w:t>
      </w:r>
      <w:r w:rsidR="255C3518">
        <w:t xml:space="preserve"> positive comments about EIA’s </w:t>
      </w:r>
      <w:r w:rsidR="5A5A6B0A">
        <w:t>petroleum</w:t>
      </w:r>
      <w:r w:rsidR="255C3518">
        <w:t xml:space="preserve"> data collection and outlined</w:t>
      </w:r>
      <w:r w:rsidR="1433ECC3">
        <w:t xml:space="preserve"> </w:t>
      </w:r>
      <w:r w:rsidR="255C3518">
        <w:t>BEA’s usage of specific data. </w:t>
      </w:r>
    </w:p>
    <w:p w:rsidR="002542D4" w:rsidRPr="002542D4" w:rsidP="002542D4" w14:paraId="1E669B1C" w14:textId="77777777">
      <w:pPr>
        <w:rPr>
          <w:b/>
          <w:bCs/>
          <w:noProof/>
        </w:rPr>
      </w:pPr>
    </w:p>
    <w:p w:rsidR="002542D4" w:rsidRPr="00BB64D7" w:rsidP="008947EF" w14:paraId="6159529E" w14:textId="77777777">
      <w:pPr>
        <w:pStyle w:val="Heading2"/>
        <w:rPr>
          <w:noProof/>
        </w:rPr>
      </w:pPr>
      <w:bookmarkStart w:id="20" w:name="_Toc492634209"/>
      <w:bookmarkStart w:id="21" w:name="_Toc199483365"/>
      <w:r w:rsidRPr="00BB64D7">
        <w:rPr>
          <w:noProof/>
        </w:rPr>
        <w:t>A.9. Payments or Gifts to Respondents</w:t>
      </w:r>
      <w:bookmarkEnd w:id="20"/>
      <w:bookmarkEnd w:id="21"/>
      <w:r w:rsidRPr="00BB64D7">
        <w:rPr>
          <w:noProof/>
        </w:rPr>
        <w:t xml:space="preserve"> </w:t>
      </w:r>
    </w:p>
    <w:p w:rsidR="00404AAD" w:rsidRPr="00903267" w:rsidP="00404AAD" w14:paraId="605D9BE9" w14:textId="77777777">
      <w:r>
        <w:t>There are no plans to pay respondents to respond to these surveys.</w:t>
      </w:r>
    </w:p>
    <w:p w:rsidR="002542D4" w:rsidRPr="002542D4" w:rsidP="002542D4" w14:paraId="421C43F3" w14:textId="77777777">
      <w:pPr>
        <w:rPr>
          <w:b/>
          <w:bCs/>
          <w:noProof/>
        </w:rPr>
      </w:pPr>
    </w:p>
    <w:p w:rsidR="002542D4" w:rsidRPr="00BB64D7" w:rsidP="008947EF" w14:paraId="516797D2" w14:textId="77777777">
      <w:pPr>
        <w:pStyle w:val="Heading2"/>
        <w:rPr>
          <w:noProof/>
        </w:rPr>
      </w:pPr>
      <w:bookmarkStart w:id="22" w:name="_Toc492634210"/>
      <w:bookmarkStart w:id="23" w:name="_Toc199483366"/>
      <w:r w:rsidRPr="00BB64D7">
        <w:rPr>
          <w:noProof/>
        </w:rPr>
        <w:t>A.10. Provisions for Protection of Information</w:t>
      </w:r>
      <w:bookmarkEnd w:id="22"/>
      <w:bookmarkEnd w:id="23"/>
      <w:r w:rsidRPr="00BB64D7">
        <w:rPr>
          <w:noProof/>
        </w:rPr>
        <w:t xml:space="preserve"> </w:t>
      </w:r>
    </w:p>
    <w:p w:rsidR="000A4CC2" w:rsidRPr="00AA13DB" w:rsidP="000A4CC2" w14:paraId="0E738661" w14:textId="77777777">
      <w:pPr>
        <w:pStyle w:val="BodyText2"/>
        <w:spacing w:after="0" w:afterAutospacing="0" w:line="240" w:lineRule="auto"/>
        <w:ind w:firstLine="0"/>
        <w:rPr>
          <w:color w:val="000000"/>
        </w:rPr>
      </w:pPr>
      <w:r>
        <w:rPr>
          <w:szCs w:val="24"/>
        </w:rPr>
        <w:t xml:space="preserve">Information reported on Form EIA-814 </w:t>
      </w:r>
      <w:r w:rsidRPr="009871A8">
        <w:rPr>
          <w:szCs w:val="24"/>
        </w:rPr>
        <w:t>are</w:t>
      </w:r>
      <w:r w:rsidRPr="009871A8">
        <w:rPr>
          <w:szCs w:val="24"/>
        </w:rPr>
        <w:t xml:space="preserve"> considered public information. EIA may release these data elements in company-identifiable form and not protect them from disclosure in identifiable form when releasing statistical aggregate information. </w:t>
      </w:r>
      <w:r w:rsidRPr="00AA13DB">
        <w:rPr>
          <w:color w:val="000000"/>
        </w:rPr>
        <w:t xml:space="preserve">Forms EIA-810, 819 and 820 </w:t>
      </w:r>
      <w:r>
        <w:rPr>
          <w:color w:val="000000"/>
        </w:rPr>
        <w:t>have special provisions because production and distillation capacity are data elements that are not protected</w:t>
      </w:r>
      <w:r w:rsidRPr="00AA13DB">
        <w:rPr>
          <w:color w:val="000000"/>
        </w:rPr>
        <w:t>:</w:t>
      </w:r>
    </w:p>
    <w:p w:rsidR="000A4CC2" w:rsidRPr="003F3134" w:rsidP="00F13B92" w14:paraId="00F6DEBB" w14:textId="77777777">
      <w:pPr>
        <w:pStyle w:val="ListParagraph"/>
      </w:pPr>
      <w:r w:rsidRPr="003F3134">
        <w:rPr>
          <w:b/>
        </w:rPr>
        <w:t>Form EIA-810:</w:t>
      </w:r>
      <w:r w:rsidRPr="003F3134">
        <w:t xml:space="preserve"> The data collected on Form EIA-810, </w:t>
      </w:r>
      <w:r w:rsidRPr="009871A8">
        <w:rPr>
          <w:i/>
          <w:iCs/>
        </w:rPr>
        <w:t>Monthly Refinery Report</w:t>
      </w:r>
      <w:r w:rsidRPr="003F3134">
        <w:t>,</w:t>
      </w:r>
      <w:r>
        <w:t xml:space="preserve"> </w:t>
      </w:r>
      <w:r w:rsidRPr="003F3134">
        <w:t>is used to report aggregate statistics on and conduct analyses of the operation of U.S. petroleum refineries.</w:t>
      </w:r>
      <w:r>
        <w:t xml:space="preserve"> </w:t>
      </w:r>
      <w:r w:rsidRPr="003F3134">
        <w:t>Information on operable atmospheric crude oil distillation capacity reported on Form EIA-810 is not considered confidential and may be publicly released in identifiable form.</w:t>
      </w:r>
    </w:p>
    <w:p w:rsidR="000A4CC2" w:rsidRPr="002E570C" w:rsidP="00F13B92" w14:paraId="19CB54D9" w14:textId="44BB5B9A">
      <w:pPr>
        <w:pStyle w:val="ListParagraph"/>
      </w:pPr>
      <w:r w:rsidRPr="003F3134">
        <w:rPr>
          <w:b/>
          <w:snapToGrid w:val="0"/>
        </w:rPr>
        <w:t>Form</w:t>
      </w:r>
      <w:r w:rsidRPr="003F3134">
        <w:rPr>
          <w:b/>
          <w:snapToGrid w:val="0"/>
        </w:rPr>
        <w:t xml:space="preserve"> EIA-819</w:t>
      </w:r>
      <w:r w:rsidRPr="003F3134">
        <w:rPr>
          <w:b/>
        </w:rPr>
        <w:t>:</w:t>
      </w:r>
      <w:r w:rsidRPr="003F3134">
        <w:t xml:space="preserve"> In</w:t>
      </w:r>
      <w:r w:rsidRPr="003F3134">
        <w:rPr>
          <w:snapToGrid w:val="0"/>
        </w:rPr>
        <w:t xml:space="preserve">formation on </w:t>
      </w:r>
      <w:r>
        <w:rPr>
          <w:snapToGrid w:val="0"/>
        </w:rPr>
        <w:t>production capacities for ethanol, biodiesel, and renewable fuels and intermediate products</w:t>
      </w:r>
      <w:r w:rsidRPr="003F3134">
        <w:rPr>
          <w:snapToGrid w:val="0"/>
        </w:rPr>
        <w:t xml:space="preserve"> reported </w:t>
      </w:r>
      <w:r>
        <w:rPr>
          <w:snapToGrid w:val="0"/>
        </w:rPr>
        <w:t xml:space="preserve">in Parts 3, 5, and 7 </w:t>
      </w:r>
      <w:r w:rsidRPr="003F3134">
        <w:rPr>
          <w:snapToGrid w:val="0"/>
        </w:rPr>
        <w:t>on Form EIA-819</w:t>
      </w:r>
      <w:r w:rsidRPr="000A4CC2">
        <w:rPr>
          <w:i/>
          <w:iCs/>
          <w:snapToGrid w:val="0"/>
        </w:rPr>
        <w:t xml:space="preserve">, </w:t>
      </w:r>
      <w:r w:rsidRPr="003B1B9A">
        <w:rPr>
          <w:i/>
          <w:iCs/>
          <w:snapToGrid w:val="0"/>
        </w:rPr>
        <w:t xml:space="preserve">Monthly </w:t>
      </w:r>
      <w:r w:rsidR="006C7E72">
        <w:rPr>
          <w:i/>
          <w:iCs/>
          <w:snapToGrid w:val="0"/>
        </w:rPr>
        <w:t xml:space="preserve">Report of </w:t>
      </w:r>
      <w:r w:rsidR="003B1B9A">
        <w:rPr>
          <w:i/>
          <w:iCs/>
          <w:snapToGrid w:val="0"/>
        </w:rPr>
        <w:t xml:space="preserve">Fuels from Non-Biogenic Waste and </w:t>
      </w:r>
      <w:r w:rsidRPr="003B1B9A">
        <w:rPr>
          <w:i/>
          <w:iCs/>
          <w:snapToGrid w:val="0"/>
        </w:rPr>
        <w:t>Biofuels</w:t>
      </w:r>
      <w:r w:rsidRPr="003B1B9A">
        <w:rPr>
          <w:snapToGrid w:val="0"/>
        </w:rPr>
        <w:t>,</w:t>
      </w:r>
      <w:r w:rsidRPr="003F3134">
        <w:rPr>
          <w:snapToGrid w:val="0"/>
        </w:rPr>
        <w:t xml:space="preserve"> </w:t>
      </w:r>
      <w:r>
        <w:rPr>
          <w:snapToGrid w:val="0"/>
        </w:rPr>
        <w:t>are</w:t>
      </w:r>
      <w:r w:rsidRPr="003F3134">
        <w:rPr>
          <w:snapToGrid w:val="0"/>
        </w:rPr>
        <w:t xml:space="preserve"> considered public information and may be released in identifiable form by company and site.</w:t>
      </w:r>
      <w:r>
        <w:rPr>
          <w:snapToGrid w:val="0"/>
        </w:rPr>
        <w:t xml:space="preserve"> </w:t>
      </w:r>
      <w:r w:rsidRPr="003F3134">
        <w:rPr>
          <w:snapToGrid w:val="0"/>
        </w:rPr>
        <w:t>All other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r>
        <w:rPr>
          <w:snapToGrid w:val="0"/>
        </w:rPr>
        <w:t xml:space="preserve"> </w:t>
      </w:r>
    </w:p>
    <w:p w:rsidR="000A4CC2" w:rsidP="00F13B92" w14:paraId="2882C30E" w14:textId="79EC3035">
      <w:pPr>
        <w:pStyle w:val="ListParagraph"/>
      </w:pPr>
      <w:r w:rsidRPr="003104AC">
        <w:rPr>
          <w:b/>
        </w:rPr>
        <w:t>Form EIA-820:</w:t>
      </w:r>
      <w:r w:rsidRPr="003104AC">
        <w:t xml:space="preserve"> Information on operable atmospheric crude oil distillation capacity, downstream charge capacity, and production capacity reported on Form EIA-820</w:t>
      </w:r>
      <w:r>
        <w:t xml:space="preserve">, </w:t>
      </w:r>
      <w:r>
        <w:rPr>
          <w:i/>
          <w:iCs/>
        </w:rPr>
        <w:t>Annual Refinery Report,</w:t>
      </w:r>
      <w:r w:rsidRPr="003104AC">
        <w:t xml:space="preserve"> </w:t>
      </w:r>
      <w:r>
        <w:t xml:space="preserve">are not considered confidential and </w:t>
      </w:r>
      <w:r w:rsidRPr="003104AC">
        <w:t xml:space="preserve">will be </w:t>
      </w:r>
      <w:r>
        <w:t>publicly released in</w:t>
      </w:r>
      <w:r w:rsidRPr="003104AC">
        <w:t xml:space="preserve"> identifiable form.</w:t>
      </w:r>
      <w:r>
        <w:t xml:space="preserve"> </w:t>
      </w:r>
      <w:r w:rsidRPr="003104AC">
        <w:t>In addition to the use of the information by EIA for statistical purposes, the information may be made available, upon request, to other federal agencies authorized by law to receive such information for any non-statistical purposes such as administrative, regulatory, law enforcement, or adjudicatory purposes.</w:t>
      </w:r>
    </w:p>
    <w:p w:rsidR="009871A8" w:rsidP="00404AAD" w14:paraId="5384DB0F" w14:textId="21ED1CF1">
      <w:pPr>
        <w:rPr>
          <w:szCs w:val="24"/>
        </w:rPr>
      </w:pPr>
      <w:r w:rsidRPr="009871A8">
        <w:rPr>
          <w:szCs w:val="24"/>
        </w:rPr>
        <w:t>EIA will protect and not disclose to the public all other information reported on Form</w:t>
      </w:r>
      <w:r>
        <w:rPr>
          <w:szCs w:val="24"/>
        </w:rPr>
        <w:t xml:space="preserve">s </w:t>
      </w:r>
      <w:r w:rsidRPr="00AB2394">
        <w:rPr>
          <w:color w:val="000000"/>
        </w:rPr>
        <w:t>EIA-800, 802, 803, 80</w:t>
      </w:r>
      <w:r>
        <w:rPr>
          <w:color w:val="000000"/>
        </w:rPr>
        <w:t xml:space="preserve">4, 805, 809, 810, 812, 813, 815, 816, </w:t>
      </w:r>
      <w:r w:rsidRPr="00AB2394">
        <w:rPr>
          <w:color w:val="000000"/>
        </w:rPr>
        <w:t>817, 819, and 820</w:t>
      </w:r>
      <w:r w:rsidRPr="009871A8">
        <w:rPr>
          <w:szCs w:val="24"/>
        </w:rPr>
        <w:t xml:space="preserve">, to the extent that the information satisfies the criteria for exemption under the Freedom of Information Act (FOIA), 5 U.S.C. §552, the </w:t>
      </w:r>
      <w:r>
        <w:rPr>
          <w:szCs w:val="24"/>
        </w:rPr>
        <w:t>Department of Energy (</w:t>
      </w:r>
      <w:r w:rsidRPr="009871A8">
        <w:rPr>
          <w:szCs w:val="24"/>
        </w:rPr>
        <w:t>DOE</w:t>
      </w:r>
      <w:r>
        <w:rPr>
          <w:szCs w:val="24"/>
        </w:rPr>
        <w:t>)</w:t>
      </w:r>
      <w:r w:rsidRPr="009871A8">
        <w:rPr>
          <w:szCs w:val="24"/>
        </w:rPr>
        <w:t xml:space="preserve"> regulations, 10 C.F.R. §1004.11, implementing the FOIA, and the Trade Secrets Act, 18 U.S.C. §1905. </w:t>
      </w:r>
    </w:p>
    <w:p w:rsidR="009871A8" w:rsidP="009871A8" w14:paraId="46FE2E06" w14:textId="77777777">
      <w:r w:rsidRPr="009871A8">
        <w:t xml:space="preserve">The Federal Energy Administration Act requires EIA to provide company-specific data to other federal agencies when requested for official use. EIA may also make the information reported on </w:t>
      </w:r>
      <w:r w:rsidRPr="009871A8">
        <w:t>the Form</w:t>
      </w:r>
      <w:r w:rsidRPr="009871A8">
        <w:t xml:space="preserve"> EIA-23L available, upon request, to another component of the Department of Energy (DOE); to any Committee of Congress, to the Government Accountability Office, or to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 </w:t>
      </w:r>
    </w:p>
    <w:p w:rsidR="00404AAD" w:rsidP="009871A8" w14:paraId="0F1354AB" w14:textId="2EA78BCD">
      <w:r w:rsidRPr="009871A8">
        <w:rPr>
          <w:color w:val="000000"/>
        </w:rPr>
        <w:t xml:space="preserve">EIA </w:t>
      </w:r>
      <w:r>
        <w:rPr>
          <w:color w:val="000000"/>
        </w:rPr>
        <w:t xml:space="preserve">does not </w:t>
      </w:r>
      <w:r w:rsidRPr="009871A8">
        <w:rPr>
          <w:color w:val="000000"/>
        </w:rPr>
        <w:t>appl</w:t>
      </w:r>
      <w:r>
        <w:rPr>
          <w:color w:val="000000"/>
        </w:rPr>
        <w:t>y</w:t>
      </w:r>
      <w:r w:rsidRPr="009871A8">
        <w:rPr>
          <w:color w:val="000000"/>
        </w:rPr>
        <w:t xml:space="preserve"> disclosure limitation procedures to the protected statistical data published from </w:t>
      </w:r>
      <w:r>
        <w:rPr>
          <w:color w:val="000000"/>
        </w:rPr>
        <w:t>these surveys’ information</w:t>
      </w:r>
      <w:r w:rsidRPr="00FE469B">
        <w:rPr>
          <w:color w:val="000000"/>
        </w:rPr>
        <w:t>.</w:t>
      </w:r>
      <w:r>
        <w:rPr>
          <w:color w:val="000000"/>
        </w:rPr>
        <w:t xml:space="preserve"> </w:t>
      </w:r>
      <w:r w:rsidRPr="00FE469B">
        <w:rPr>
          <w:color w:val="000000"/>
        </w:rPr>
        <w:t>Thus, there may be some statistics that are based on data from fewer than three respondents, or that are dominated by data from one or two la</w:t>
      </w:r>
      <w:r w:rsidRPr="00684026">
        <w:rPr>
          <w:color w:val="000000"/>
        </w:rPr>
        <w:t>rge respondents.</w:t>
      </w:r>
      <w:r>
        <w:rPr>
          <w:color w:val="000000"/>
        </w:rPr>
        <w:t xml:space="preserve"> </w:t>
      </w:r>
      <w:r w:rsidRPr="00684026">
        <w:rPr>
          <w:color w:val="000000"/>
        </w:rPr>
        <w:t>In these cases, it may be possible for a knowledgeable person to estimate the information rep</w:t>
      </w:r>
      <w:r>
        <w:rPr>
          <w:color w:val="000000"/>
        </w:rPr>
        <w:t xml:space="preserve">orted by a specific respondent. </w:t>
      </w:r>
      <w:r w:rsidRPr="003104AC">
        <w:rPr>
          <w:color w:val="000000"/>
        </w:rPr>
        <w:t xml:space="preserve">Company specific data are also provided to other DOE offices for the purpose of examining specific petroleum operations in the context of emergency response planning </w:t>
      </w:r>
      <w:r>
        <w:t>and actual emergencies.</w:t>
      </w:r>
    </w:p>
    <w:p w:rsidR="002542D4" w:rsidRPr="002542D4" w:rsidP="002542D4" w14:paraId="0EFEEA45" w14:textId="77777777">
      <w:pPr>
        <w:rPr>
          <w:b/>
          <w:bCs/>
          <w:noProof/>
        </w:rPr>
      </w:pPr>
    </w:p>
    <w:p w:rsidR="002542D4" w:rsidRPr="00BB64D7" w:rsidP="008947EF" w14:paraId="646DFFF4" w14:textId="77777777">
      <w:pPr>
        <w:pStyle w:val="Heading2"/>
        <w:rPr>
          <w:noProof/>
        </w:rPr>
      </w:pPr>
      <w:bookmarkStart w:id="24" w:name="_Toc492634211"/>
      <w:bookmarkStart w:id="25" w:name="_Toc199483367"/>
      <w:r w:rsidRPr="00BB64D7">
        <w:rPr>
          <w:noProof/>
        </w:rPr>
        <w:t>A.11. Justification for Sensitive Questions</w:t>
      </w:r>
      <w:bookmarkEnd w:id="24"/>
      <w:bookmarkEnd w:id="25"/>
      <w:r w:rsidRPr="00BB64D7">
        <w:rPr>
          <w:noProof/>
        </w:rPr>
        <w:t xml:space="preserve"> </w:t>
      </w:r>
    </w:p>
    <w:p w:rsidR="00404AAD" w:rsidP="00404AAD" w14:paraId="5DF36E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80" w:lineRule="atLeast"/>
        <w:rPr>
          <w:color w:val="000000"/>
        </w:rPr>
      </w:pPr>
      <w:r w:rsidRPr="004E1172">
        <w:rPr>
          <w:color w:val="000000"/>
        </w:rPr>
        <w:t>There are no questions of a se</w:t>
      </w:r>
      <w:r>
        <w:rPr>
          <w:color w:val="000000"/>
        </w:rPr>
        <w:t xml:space="preserve">nsitive nature asked </w:t>
      </w:r>
      <w:r>
        <w:rPr>
          <w:color w:val="000000"/>
        </w:rPr>
        <w:t>on</w:t>
      </w:r>
      <w:r>
        <w:rPr>
          <w:color w:val="000000"/>
        </w:rPr>
        <w:t xml:space="preserve"> the </w:t>
      </w:r>
      <w:r w:rsidRPr="004E1172">
        <w:rPr>
          <w:color w:val="000000"/>
        </w:rPr>
        <w:t xml:space="preserve">surveys in the Petroleum </w:t>
      </w:r>
      <w:r>
        <w:rPr>
          <w:color w:val="000000"/>
        </w:rPr>
        <w:t>Supply Reporting System</w:t>
      </w:r>
      <w:r w:rsidRPr="004E1172">
        <w:rPr>
          <w:color w:val="000000"/>
        </w:rPr>
        <w:t>.</w:t>
      </w:r>
    </w:p>
    <w:p w:rsidR="002542D4" w:rsidRPr="002542D4" w:rsidP="002542D4" w14:paraId="769C7052" w14:textId="77777777">
      <w:pPr>
        <w:rPr>
          <w:b/>
          <w:bCs/>
          <w:noProof/>
        </w:rPr>
      </w:pPr>
    </w:p>
    <w:p w:rsidR="002542D4" w:rsidRPr="00BB64D7" w:rsidP="008947EF" w14:paraId="6A8E030E" w14:textId="77777777">
      <w:pPr>
        <w:pStyle w:val="Heading2"/>
        <w:rPr>
          <w:noProof/>
        </w:rPr>
      </w:pPr>
      <w:bookmarkStart w:id="26" w:name="_Toc492634212"/>
      <w:bookmarkStart w:id="27" w:name="_Toc199483368"/>
      <w:r w:rsidRPr="00BB64D7">
        <w:rPr>
          <w:noProof/>
        </w:rPr>
        <w:t>A.12. Estimate of Respondent Burden Hours and Cost</w:t>
      </w:r>
      <w:bookmarkEnd w:id="26"/>
      <w:bookmarkEnd w:id="27"/>
      <w:r w:rsidRPr="00BB64D7">
        <w:rPr>
          <w:noProof/>
        </w:rPr>
        <w:t xml:space="preserve"> </w:t>
      </w:r>
    </w:p>
    <w:p w:rsidR="00FB3AA1" w:rsidP="00FB3AA1" w14:paraId="63704877" w14:textId="6B91AA40">
      <w:r>
        <w:t>The overall annual burden for this package is estimated to be $</w:t>
      </w:r>
      <w:r w:rsidR="720A7A5B">
        <w:t>16</w:t>
      </w:r>
      <w:r>
        <w:t>,</w:t>
      </w:r>
      <w:r w:rsidR="55368237">
        <w:t>7</w:t>
      </w:r>
      <w:r w:rsidR="73C5FCE9">
        <w:t>16</w:t>
      </w:r>
      <w:r>
        <w:t>,</w:t>
      </w:r>
      <w:r w:rsidR="73C5FCE9">
        <w:t>181</w:t>
      </w:r>
      <w:r>
        <w:t xml:space="preserve">. Based on the reporting burden, the cost to respondents is estimated to be: </w:t>
      </w:r>
      <w:r w:rsidR="55368237">
        <w:t>176,071</w:t>
      </w:r>
      <w:r>
        <w:t xml:space="preserve"> hours x $</w:t>
      </w:r>
      <w:r w:rsidR="042A0737">
        <w:t>94.9</w:t>
      </w:r>
      <w:r w:rsidR="73C5FCE9">
        <w:t>4</w:t>
      </w:r>
      <w:r>
        <w:t xml:space="preserve"> per hour. Table A</w:t>
      </w:r>
      <w:r w:rsidR="177E1B2A">
        <w:t>2</w:t>
      </w:r>
      <w:r>
        <w:t xml:space="preserve"> shows how the overall annual burden is calculated for this package. An average cost per hour of $</w:t>
      </w:r>
      <w:r w:rsidR="5107768B">
        <w:t>94.9</w:t>
      </w:r>
      <w:r w:rsidR="73C5FCE9">
        <w:t>4</w:t>
      </w:r>
      <w:r>
        <w:t xml:space="preserve"> is used because that is the weighted average salary plus benefits for EIA employees in FY202</w:t>
      </w:r>
      <w:r w:rsidR="45862459">
        <w:t>5</w:t>
      </w:r>
      <w:r>
        <w:t>. EIA estimates that there are no additional costs to respondents associated with the surveys in the Petroleum Supply Reporting System other than the costs associated with the burden hours. The changes to the forms in this package will not result in any changes to the reporting requirements of the existing collection of information. Respondents do not need to develop, acquire, or install any new hardware, software, or programs to comply with these reporting requirements.</w:t>
      </w:r>
    </w:p>
    <w:p w:rsidR="002542D4" w:rsidRPr="002542D4" w:rsidP="002542D4" w14:paraId="6AA86812" w14:textId="35BD7210">
      <w:pPr>
        <w:rPr>
          <w:b/>
          <w:bCs/>
          <w:noProof/>
        </w:rPr>
      </w:pPr>
      <w:bookmarkStart w:id="28" w:name="_MON_1539789608"/>
      <w:bookmarkEnd w:id="28"/>
      <w:r>
        <w:rPr>
          <w:noProof/>
        </w:rPr>
        <w:drawing>
          <wp:inline distT="0" distB="0" distL="0" distR="0">
            <wp:extent cx="5943600" cy="3662045"/>
            <wp:effectExtent l="0" t="0" r="0" b="0"/>
            <wp:docPr id="1809516935"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6935" name="Picture 1" descr="Table&#10;&#10;AI-generated content may be incorrect."/>
                    <pic:cNvPicPr/>
                  </pic:nvPicPr>
                  <pic:blipFill>
                    <a:blip xmlns:r="http://schemas.openxmlformats.org/officeDocument/2006/relationships" r:embed="rId35"/>
                    <a:stretch>
                      <a:fillRect/>
                    </a:stretch>
                  </pic:blipFill>
                  <pic:spPr>
                    <a:xfrm>
                      <a:off x="0" y="0"/>
                      <a:ext cx="5943600" cy="3662045"/>
                    </a:xfrm>
                    <a:prstGeom prst="rect">
                      <a:avLst/>
                    </a:prstGeom>
                  </pic:spPr>
                </pic:pic>
              </a:graphicData>
            </a:graphic>
          </wp:inline>
        </w:drawing>
      </w:r>
    </w:p>
    <w:p w:rsidR="002542D4" w:rsidRPr="00BB64D7" w:rsidP="008947EF" w14:paraId="59AD7618" w14:textId="2CDC1B0A">
      <w:pPr>
        <w:pStyle w:val="Heading2"/>
        <w:rPr>
          <w:noProof/>
        </w:rPr>
      </w:pPr>
      <w:bookmarkStart w:id="29" w:name="_Toc492634213"/>
      <w:bookmarkStart w:id="30" w:name="_Toc199483369"/>
      <w:r w:rsidRPr="00BB64D7">
        <w:rPr>
          <w:noProof/>
        </w:rPr>
        <w:t>A.13. Annual Cost to the Federal Government</w:t>
      </w:r>
      <w:bookmarkEnd w:id="29"/>
      <w:bookmarkEnd w:id="30"/>
    </w:p>
    <w:p w:rsidR="00FB3AA1" w:rsidRPr="00CA35A6" w:rsidP="00FB3AA1" w14:paraId="6D1BF1C6" w14:textId="55D6BB40">
      <w:r>
        <w:t>The annual cost estimate for 1</w:t>
      </w:r>
      <w:r w:rsidR="1CAE4599">
        <w:t>7</w:t>
      </w:r>
      <w:r>
        <w:t xml:space="preserve"> surveys in the Petroleum Supply Reporting System is $5,</w:t>
      </w:r>
      <w:r w:rsidR="18D5EFF2">
        <w:t>087</w:t>
      </w:r>
      <w:r>
        <w:t>,</w:t>
      </w:r>
      <w:r w:rsidR="5CF95E6E">
        <w:t>186</w:t>
      </w:r>
      <w:r>
        <w:t>.</w:t>
      </w:r>
      <w:r w:rsidR="5CF95E6E">
        <w:t>2</w:t>
      </w:r>
      <w:r>
        <w:t xml:space="preserve">0, which includes personnel, development/maintenance, collection, processing, analysis, publication, and contractor costs. </w:t>
      </w:r>
    </w:p>
    <w:p w:rsidR="002542D4" w:rsidRPr="002542D4" w:rsidP="002542D4" w14:paraId="427A2B6D" w14:textId="77777777">
      <w:pPr>
        <w:rPr>
          <w:b/>
          <w:noProof/>
        </w:rPr>
        <w:sectPr w:rsidSect="008F4CBD">
          <w:headerReference w:type="even" r:id="rId36"/>
          <w:headerReference w:type="default" r:id="rId37"/>
          <w:footerReference w:type="even" r:id="rId38"/>
          <w:headerReference w:type="first" r:id="rId39"/>
          <w:footerReference w:type="first" r:id="rId40"/>
          <w:pgSz w:w="12240" w:h="15840"/>
          <w:pgMar w:top="1440" w:right="1440" w:bottom="1440" w:left="1440" w:header="720" w:footer="720" w:gutter="0"/>
          <w:pgNumType w:start="1"/>
          <w:cols w:space="720"/>
          <w:docGrid w:linePitch="360"/>
        </w:sectPr>
      </w:pPr>
    </w:p>
    <w:p w:rsidR="002542D4" w:rsidRPr="00BB64D7" w:rsidP="008947EF" w14:paraId="63E0D720" w14:textId="77777777">
      <w:pPr>
        <w:pStyle w:val="Heading2"/>
        <w:rPr>
          <w:noProof/>
        </w:rPr>
      </w:pPr>
      <w:bookmarkStart w:id="31" w:name="_Toc492634214"/>
      <w:bookmarkStart w:id="32" w:name="_Toc199483370"/>
      <w:r w:rsidRPr="00BB64D7">
        <w:rPr>
          <w:noProof/>
        </w:rPr>
        <w:t>A.14. Changes in Burden</w:t>
      </w:r>
      <w:bookmarkEnd w:id="31"/>
      <w:bookmarkEnd w:id="32"/>
      <w:r w:rsidRPr="00BB64D7">
        <w:rPr>
          <w:noProof/>
        </w:rPr>
        <w:t xml:space="preserve"> </w:t>
      </w:r>
    </w:p>
    <w:p w:rsidR="003F3069" w:rsidRPr="000A4CC2" w:rsidP="003F3069" w14:paraId="40013A69" w14:textId="77777777">
      <w:pPr>
        <w:rPr>
          <w:noProof/>
        </w:rPr>
      </w:pPr>
      <w:bookmarkStart w:id="33" w:name="_MON_1566376226"/>
      <w:bookmarkEnd w:id="33"/>
      <w:r w:rsidRPr="000A4CC2">
        <w:rPr>
          <w:noProof/>
        </w:rPr>
        <w:t>Table A</w:t>
      </w:r>
      <w:r>
        <w:rPr>
          <w:noProof/>
        </w:rPr>
        <w:t>3</w:t>
      </w:r>
      <w:r w:rsidRPr="000A4CC2">
        <w:rPr>
          <w:noProof/>
        </w:rPr>
        <w:t xml:space="preserve">. below shows the changes in burden hours calculated for the proposed </w:t>
      </w:r>
      <w:r>
        <w:rPr>
          <w:noProof/>
        </w:rPr>
        <w:t>PSRS</w:t>
      </w:r>
      <w:r w:rsidRPr="000A4CC2">
        <w:rPr>
          <w:noProof/>
        </w:rPr>
        <w:t xml:space="preserve"> surveys package. </w:t>
      </w:r>
      <w:r>
        <w:rPr>
          <w:noProof/>
        </w:rPr>
        <w:t>The respondent and burden changes are attributed to market changes affecting the number of survey respondents across the PSRS surveys, elimination of the annual supplement on three surveys, and the addition of a new annual survey.</w:t>
      </w:r>
    </w:p>
    <w:p w:rsidR="002542D4" w:rsidP="002542D4" w14:paraId="4FBD1B4F" w14:textId="3F1C8BD1">
      <w:pPr>
        <w:rPr>
          <w:b/>
          <w:bCs/>
          <w:noProof/>
        </w:rPr>
      </w:pPr>
    </w:p>
    <w:p w:rsidR="00884FF8" w:rsidRPr="002542D4" w:rsidP="002542D4" w14:paraId="3F069F93" w14:textId="54D32795">
      <w:pPr>
        <w:rPr>
          <w:b/>
          <w:bCs/>
          <w:noProof/>
        </w:rPr>
      </w:pPr>
      <w:r w:rsidRPr="00884FF8">
        <w:rPr>
          <w:b/>
          <w:bCs/>
          <w:noProof/>
        </w:rPr>
        <w:drawing>
          <wp:inline distT="0" distB="0" distL="0" distR="0">
            <wp:extent cx="8229600" cy="3453130"/>
            <wp:effectExtent l="0" t="0" r="0" b="0"/>
            <wp:docPr id="1684479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79135" name=""/>
                    <pic:cNvPicPr/>
                  </pic:nvPicPr>
                  <pic:blipFill>
                    <a:blip xmlns:r="http://schemas.openxmlformats.org/officeDocument/2006/relationships" r:embed="rId41"/>
                    <a:stretch>
                      <a:fillRect/>
                    </a:stretch>
                  </pic:blipFill>
                  <pic:spPr>
                    <a:xfrm>
                      <a:off x="0" y="0"/>
                      <a:ext cx="8229600" cy="3453130"/>
                    </a:xfrm>
                    <a:prstGeom prst="rect">
                      <a:avLst/>
                    </a:prstGeom>
                  </pic:spPr>
                </pic:pic>
              </a:graphicData>
            </a:graphic>
          </wp:inline>
        </w:drawing>
      </w:r>
    </w:p>
    <w:p w:rsidR="002542D4" w:rsidRPr="002542D4" w:rsidP="002542D4" w14:paraId="24CD7EF1" w14:textId="77777777">
      <w:pPr>
        <w:rPr>
          <w:b/>
          <w:bCs/>
          <w:noProof/>
        </w:rPr>
      </w:pPr>
    </w:p>
    <w:p w:rsidR="002542D4" w:rsidRPr="002542D4" w:rsidP="002542D4" w14:paraId="7A8BA3D6" w14:textId="77777777">
      <w:pPr>
        <w:rPr>
          <w:b/>
          <w:noProof/>
        </w:rPr>
        <w:sectPr w:rsidSect="00BB64D7">
          <w:footerReference w:type="default" r:id="rId42"/>
          <w:pgSz w:w="15840" w:h="12240" w:orient="landscape"/>
          <w:pgMar w:top="1440" w:right="1440" w:bottom="1440" w:left="1440" w:header="720" w:footer="720" w:gutter="0"/>
          <w:cols w:space="720"/>
          <w:docGrid w:linePitch="360"/>
        </w:sectPr>
      </w:pPr>
    </w:p>
    <w:p w:rsidR="002542D4" w:rsidRPr="00BB64D7" w:rsidP="008947EF" w14:paraId="5A194319" w14:textId="77777777">
      <w:pPr>
        <w:pStyle w:val="Heading2"/>
        <w:rPr>
          <w:noProof/>
        </w:rPr>
      </w:pPr>
      <w:bookmarkStart w:id="34" w:name="_Toc492634215"/>
      <w:bookmarkStart w:id="35" w:name="_Toc199483371"/>
      <w:r w:rsidRPr="00BB64D7">
        <w:rPr>
          <w:noProof/>
        </w:rPr>
        <w:t>A.15. Reasons for Changes in Burden</w:t>
      </w:r>
      <w:bookmarkEnd w:id="34"/>
      <w:bookmarkEnd w:id="35"/>
    </w:p>
    <w:p w:rsidR="00900A5C" w:rsidRPr="000A4CC2" w:rsidP="00900A5C" w14:paraId="3CF34317" w14:textId="1BBF4213">
      <w:pPr>
        <w:rPr>
          <w:noProof/>
        </w:rPr>
      </w:pPr>
      <w:r w:rsidRPr="7788A1DB">
        <w:rPr>
          <w:noProof/>
        </w:rPr>
        <w:t>Market consolidation</w:t>
      </w:r>
      <w:r w:rsidRPr="7788A1DB" w:rsidR="68342CC6">
        <w:rPr>
          <w:noProof/>
        </w:rPr>
        <w:t xml:space="preserve">, facility closures, </w:t>
      </w:r>
      <w:r w:rsidRPr="7788A1DB" w:rsidR="661C0799">
        <w:rPr>
          <w:noProof/>
        </w:rPr>
        <w:t>and sampl</w:t>
      </w:r>
      <w:r w:rsidRPr="7788A1DB" w:rsidR="2C61BA43">
        <w:rPr>
          <w:noProof/>
        </w:rPr>
        <w:t>ing methodology contribute to fluc</w:t>
      </w:r>
      <w:r w:rsidR="00E2271B">
        <w:rPr>
          <w:noProof/>
        </w:rPr>
        <w:t>t</w:t>
      </w:r>
      <w:r w:rsidRPr="7788A1DB" w:rsidR="2C61BA43">
        <w:rPr>
          <w:noProof/>
        </w:rPr>
        <w:t>uations in the number of respondents</w:t>
      </w:r>
      <w:r w:rsidRPr="7788A1DB" w:rsidR="4BB31267">
        <w:rPr>
          <w:noProof/>
        </w:rPr>
        <w:t xml:space="preserve">, thereby affecting the total responses and burden hours. </w:t>
      </w:r>
      <w:r w:rsidRPr="7788A1DB" w:rsidR="56B2AE7F">
        <w:rPr>
          <w:noProof/>
        </w:rPr>
        <w:t xml:space="preserve">The total responses increased with the addition of the proposed Form EIA-830, </w:t>
      </w:r>
      <w:r w:rsidRPr="7788A1DB" w:rsidR="56B2AE7F">
        <w:rPr>
          <w:i/>
          <w:iCs/>
          <w:noProof/>
        </w:rPr>
        <w:t>Annual Storage Capacity Report</w:t>
      </w:r>
      <w:r w:rsidRPr="7788A1DB" w:rsidR="56B2AE7F">
        <w:rPr>
          <w:noProof/>
        </w:rPr>
        <w:t xml:space="preserve"> (standby). However, because th</w:t>
      </w:r>
      <w:r w:rsidRPr="7788A1DB" w:rsidR="11528B7A">
        <w:rPr>
          <w:noProof/>
        </w:rPr>
        <w:t>e</w:t>
      </w:r>
      <w:r w:rsidRPr="7788A1DB" w:rsidR="56B2AE7F">
        <w:rPr>
          <w:noProof/>
        </w:rPr>
        <w:t xml:space="preserve"> standby form </w:t>
      </w:r>
      <w:r w:rsidRPr="7788A1DB" w:rsidR="11528B7A">
        <w:rPr>
          <w:noProof/>
        </w:rPr>
        <w:t xml:space="preserve">will be </w:t>
      </w:r>
      <w:r w:rsidRPr="7788A1DB" w:rsidR="56B2AE7F">
        <w:rPr>
          <w:noProof/>
        </w:rPr>
        <w:t xml:space="preserve">used only as needed, EIA anticipates the actual burden being lower. We only anticipate using the proposed standby form every three to five years. The burden hours per response decreased with the </w:t>
      </w:r>
      <w:r w:rsidRPr="7788A1DB" w:rsidR="2C69D410">
        <w:rPr>
          <w:noProof/>
        </w:rPr>
        <w:t>elimination of the annual supplement on three surveys.</w:t>
      </w:r>
      <w:r w:rsidRPr="7788A1DB" w:rsidR="01D5D334">
        <w:rPr>
          <w:noProof/>
        </w:rPr>
        <w:t xml:space="preserve"> </w:t>
      </w:r>
      <w:r w:rsidRPr="7788A1DB" w:rsidR="4BB31267">
        <w:rPr>
          <w:noProof/>
        </w:rPr>
        <w:t>The burden hours per response remain unchanged</w:t>
      </w:r>
      <w:r w:rsidRPr="7788A1DB" w:rsidR="01D5D334">
        <w:rPr>
          <w:noProof/>
        </w:rPr>
        <w:t xml:space="preserve"> for the </w:t>
      </w:r>
      <w:r w:rsidRPr="7788A1DB" w:rsidR="4077C276">
        <w:rPr>
          <w:noProof/>
        </w:rPr>
        <w:t xml:space="preserve">12 </w:t>
      </w:r>
      <w:r w:rsidRPr="7788A1DB" w:rsidR="01D5D334">
        <w:rPr>
          <w:noProof/>
        </w:rPr>
        <w:t>unmodified surveys</w:t>
      </w:r>
      <w:r w:rsidRPr="7788A1DB" w:rsidR="2E0A94C6">
        <w:rPr>
          <w:noProof/>
        </w:rPr>
        <w:t>.</w:t>
      </w:r>
      <w:r w:rsidRPr="7788A1DB" w:rsidR="0ADE9EF2">
        <w:rPr>
          <w:noProof/>
        </w:rPr>
        <w:t xml:space="preserve"> T</w:t>
      </w:r>
      <w:r w:rsidRPr="7788A1DB" w:rsidR="64A813DC">
        <w:rPr>
          <w:noProof/>
        </w:rPr>
        <w:t>he modifications to the Form EIA-819 will eliminate</w:t>
      </w:r>
      <w:r w:rsidRPr="7788A1DB" w:rsidR="0ADE9EF2">
        <w:rPr>
          <w:noProof/>
        </w:rPr>
        <w:t xml:space="preserve"> or add</w:t>
      </w:r>
      <w:r w:rsidRPr="7788A1DB" w:rsidR="64A813DC">
        <w:rPr>
          <w:noProof/>
        </w:rPr>
        <w:t xml:space="preserve"> entire respondents without affecting the burden of remaining respondents.</w:t>
      </w:r>
      <w:r w:rsidRPr="7788A1DB" w:rsidR="0ADE9EF2">
        <w:rPr>
          <w:noProof/>
        </w:rPr>
        <w:t xml:space="preserve"> The number of respondents remai</w:t>
      </w:r>
      <w:r w:rsidR="009B782D">
        <w:rPr>
          <w:noProof/>
        </w:rPr>
        <w:t>n</w:t>
      </w:r>
      <w:r w:rsidRPr="7788A1DB" w:rsidR="0ADE9EF2">
        <w:rPr>
          <w:noProof/>
        </w:rPr>
        <w:t>s the same because the frame additions and removals are expected to balance each other.</w:t>
      </w:r>
    </w:p>
    <w:p w:rsidR="002542D4" w:rsidRPr="00BB64D7" w:rsidP="008947EF" w14:paraId="3368E043" w14:textId="36455310">
      <w:pPr>
        <w:pStyle w:val="Heading2"/>
        <w:rPr>
          <w:noProof/>
        </w:rPr>
      </w:pPr>
      <w:bookmarkStart w:id="36" w:name="_Toc492634216"/>
      <w:bookmarkStart w:id="37" w:name="_Toc199483372"/>
      <w:r w:rsidRPr="00BB64D7">
        <w:rPr>
          <w:noProof/>
        </w:rPr>
        <w:t>A.16. Collection, Tabulation, and Publication Plans</w:t>
      </w:r>
      <w:bookmarkEnd w:id="36"/>
      <w:bookmarkEnd w:id="37"/>
      <w:r w:rsidRPr="00BB64D7">
        <w:rPr>
          <w:noProof/>
        </w:rPr>
        <w:t xml:space="preserve"> </w:t>
      </w:r>
    </w:p>
    <w:p w:rsidR="00FB3AA1" w:rsidP="00FB3AA1" w14:paraId="258096F3" w14:textId="221AC4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r w:rsidRPr="00DE4069">
        <w:rPr>
          <w:rFonts w:cs="Arial"/>
        </w:rPr>
        <w:t xml:space="preserve">Plans to tabulate and publish data collected by the </w:t>
      </w:r>
      <w:r w:rsidR="007A4F93">
        <w:rPr>
          <w:rFonts w:cs="Arial"/>
        </w:rPr>
        <w:t>PSRS</w:t>
      </w:r>
      <w:r w:rsidRPr="00DE4069">
        <w:rPr>
          <w:rFonts w:cs="Arial"/>
        </w:rPr>
        <w:t xml:space="preserve"> surveys are as follows</w:t>
      </w:r>
      <w:r>
        <w:rPr>
          <w:rFonts w:cs="Arial"/>
        </w:rPr>
        <w:t>:</w:t>
      </w:r>
    </w:p>
    <w:p w:rsidR="00FB3AA1" w:rsidRPr="00E15B99" w:rsidP="00FB3AA1" w14:paraId="512BA87D" w14:textId="2437D35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0070C0"/>
        </w:rPr>
      </w:pPr>
      <w:r w:rsidRPr="00E15B99">
        <w:rPr>
          <w:b/>
          <w:color w:val="0070C0"/>
          <w:szCs w:val="24"/>
        </w:rPr>
        <w:t>Table A</w:t>
      </w:r>
      <w:r w:rsidR="00DE4069">
        <w:rPr>
          <w:b/>
          <w:color w:val="0070C0"/>
          <w:szCs w:val="24"/>
        </w:rPr>
        <w:t>4</w:t>
      </w:r>
      <w:r w:rsidRPr="00E15B99">
        <w:rPr>
          <w:b/>
          <w:color w:val="0070C0"/>
          <w:szCs w:val="24"/>
        </w:rPr>
        <w:t>. Annual Survey Collection, Tabulation, and Publication Plans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5"/>
        <w:gridCol w:w="7560"/>
      </w:tblGrid>
      <w:tr w14:paraId="77D0A5D2" w14:textId="77777777">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9715" w:type="dxa"/>
            <w:gridSpan w:val="2"/>
            <w:shd w:val="clear" w:color="auto" w:fill="00B0F0"/>
            <w:vAlign w:val="center"/>
          </w:tcPr>
          <w:p w:rsidR="00FB3AA1" w:rsidRPr="00EA29A9" w14:paraId="12EBB6CE" w14:textId="77777777">
            <w:pPr>
              <w:spacing w:before="120" w:after="120"/>
              <w:jc w:val="center"/>
              <w:rPr>
                <w:rFonts w:cs="Arial"/>
                <w:b/>
                <w:bCs/>
              </w:rPr>
            </w:pPr>
            <w:r>
              <w:rPr>
                <w:rFonts w:cs="Arial"/>
                <w:b/>
                <w:bCs/>
              </w:rPr>
              <w:t>Annual Survey</w:t>
            </w:r>
          </w:p>
        </w:tc>
      </w:tr>
      <w:tr w14:paraId="7B391083" w14:textId="77777777">
        <w:tblPrEx>
          <w:tblW w:w="9715" w:type="dxa"/>
          <w:tblLayout w:type="fixed"/>
          <w:tblLook w:val="0000"/>
        </w:tblPrEx>
        <w:trPr>
          <w:trHeight w:val="259"/>
        </w:trPr>
        <w:tc>
          <w:tcPr>
            <w:tcW w:w="2155" w:type="dxa"/>
          </w:tcPr>
          <w:p w:rsidR="00FB3AA1" w:rsidRPr="00FA104E" w14:paraId="1A7650D8" w14:textId="77777777">
            <w:pPr>
              <w:spacing w:before="120" w:after="120"/>
              <w:rPr>
                <w:rFonts w:cs="Arial"/>
              </w:rPr>
            </w:pPr>
            <w:r>
              <w:rPr>
                <w:rFonts w:cs="Arial"/>
              </w:rPr>
              <w:t>Form</w:t>
            </w:r>
          </w:p>
        </w:tc>
        <w:tc>
          <w:tcPr>
            <w:tcW w:w="7560" w:type="dxa"/>
          </w:tcPr>
          <w:p w:rsidR="00FB3AA1" w:rsidRPr="00FA104E" w14:paraId="48082325" w14:textId="77777777">
            <w:pPr>
              <w:spacing w:before="120" w:after="120"/>
              <w:rPr>
                <w:rFonts w:cs="Arial"/>
              </w:rPr>
            </w:pPr>
            <w:r>
              <w:rPr>
                <w:rFonts w:cs="Arial"/>
              </w:rPr>
              <w:t>EIA-820</w:t>
            </w:r>
          </w:p>
        </w:tc>
      </w:tr>
      <w:tr w14:paraId="05F0B90C" w14:textId="77777777">
        <w:tblPrEx>
          <w:tblW w:w="9715" w:type="dxa"/>
          <w:tblLayout w:type="fixed"/>
          <w:tblLook w:val="0000"/>
        </w:tblPrEx>
        <w:trPr>
          <w:trHeight w:val="259"/>
        </w:trPr>
        <w:tc>
          <w:tcPr>
            <w:tcW w:w="2155" w:type="dxa"/>
          </w:tcPr>
          <w:p w:rsidR="00FB3AA1" w:rsidRPr="00FA104E" w14:paraId="573B7C22" w14:textId="77777777">
            <w:pPr>
              <w:spacing w:after="0" w:line="240" w:lineRule="auto"/>
              <w:rPr>
                <w:rFonts w:cs="Arial"/>
              </w:rPr>
            </w:pPr>
            <w:r>
              <w:rPr>
                <w:rFonts w:cs="Arial"/>
              </w:rPr>
              <w:t>Due Date</w:t>
            </w:r>
          </w:p>
        </w:tc>
        <w:tc>
          <w:tcPr>
            <w:tcW w:w="7560" w:type="dxa"/>
          </w:tcPr>
          <w:p w:rsidR="00FB3AA1" w:rsidRPr="00FA104E" w14:paraId="2015F8A6" w14:textId="77777777">
            <w:pPr>
              <w:spacing w:before="120" w:after="120"/>
              <w:rPr>
                <w:rFonts w:cs="Arial"/>
              </w:rPr>
            </w:pPr>
            <w:r>
              <w:rPr>
                <w:rFonts w:cs="Arial"/>
              </w:rPr>
              <w:t>February 15 of the designated report year</w:t>
            </w:r>
          </w:p>
        </w:tc>
      </w:tr>
      <w:tr w14:paraId="37B04A8C" w14:textId="77777777">
        <w:tblPrEx>
          <w:tblW w:w="9715" w:type="dxa"/>
          <w:tblLayout w:type="fixed"/>
          <w:tblLook w:val="0000"/>
        </w:tblPrEx>
        <w:trPr>
          <w:trHeight w:val="259"/>
        </w:trPr>
        <w:tc>
          <w:tcPr>
            <w:tcW w:w="2155" w:type="dxa"/>
          </w:tcPr>
          <w:p w:rsidR="00FB3AA1" w:rsidRPr="00FA104E" w14:paraId="7EF7B26F" w14:textId="77777777">
            <w:pPr>
              <w:spacing w:after="0" w:line="240" w:lineRule="auto"/>
              <w:rPr>
                <w:rFonts w:cs="Arial"/>
              </w:rPr>
            </w:pPr>
            <w:r>
              <w:rPr>
                <w:rFonts w:cs="Arial"/>
              </w:rPr>
              <w:t>Period</w:t>
            </w:r>
          </w:p>
        </w:tc>
        <w:tc>
          <w:tcPr>
            <w:tcW w:w="7560" w:type="dxa"/>
          </w:tcPr>
          <w:p w:rsidR="00FB3AA1" w:rsidRPr="00FA104E" w14:paraId="7F854B8D" w14:textId="77777777">
            <w:pPr>
              <w:spacing w:before="120" w:after="120"/>
              <w:rPr>
                <w:rFonts w:cs="Arial"/>
              </w:rPr>
            </w:pPr>
            <w:r>
              <w:rPr>
                <w:rFonts w:cs="Arial"/>
              </w:rPr>
              <w:t>Annual</w:t>
            </w:r>
          </w:p>
        </w:tc>
      </w:tr>
      <w:tr w14:paraId="79063469" w14:textId="77777777">
        <w:tblPrEx>
          <w:tblW w:w="9715" w:type="dxa"/>
          <w:tblLayout w:type="fixed"/>
          <w:tblLook w:val="0000"/>
        </w:tblPrEx>
        <w:trPr>
          <w:trHeight w:val="259"/>
        </w:trPr>
        <w:tc>
          <w:tcPr>
            <w:tcW w:w="2155" w:type="dxa"/>
          </w:tcPr>
          <w:p w:rsidR="00FB3AA1" w14:paraId="0128AD1D" w14:textId="77777777">
            <w:pPr>
              <w:spacing w:after="0" w:line="240" w:lineRule="auto"/>
              <w:rPr>
                <w:rFonts w:cs="Arial"/>
              </w:rPr>
            </w:pPr>
            <w:r>
              <w:rPr>
                <w:rFonts w:cs="Arial"/>
              </w:rPr>
              <w:t>Primary Publication</w:t>
            </w:r>
          </w:p>
        </w:tc>
        <w:tc>
          <w:tcPr>
            <w:tcW w:w="7560" w:type="dxa"/>
          </w:tcPr>
          <w:p w:rsidR="00FB3AA1" w14:paraId="1085D342" w14:textId="77777777">
            <w:pPr>
              <w:spacing w:before="120" w:after="120"/>
              <w:rPr>
                <w:rFonts w:cs="Arial"/>
              </w:rPr>
            </w:pPr>
            <w:r>
              <w:rPr>
                <w:rFonts w:cs="Arial"/>
                <w:i/>
              </w:rPr>
              <w:t xml:space="preserve">Annual Refinery Capacity Report </w:t>
            </w:r>
            <w:hyperlink r:id="rId22" w:history="1">
              <w:r w:rsidRPr="00702FA3">
                <w:rPr>
                  <w:rStyle w:val="Hyperlink"/>
                </w:rPr>
                <w:t>https://www.eia.gov/petroleum/refinerycapacity/</w:t>
              </w:r>
            </w:hyperlink>
          </w:p>
        </w:tc>
      </w:tr>
      <w:tr w14:paraId="62FB06EC" w14:textId="77777777">
        <w:tblPrEx>
          <w:tblW w:w="9715" w:type="dxa"/>
          <w:tblLayout w:type="fixed"/>
          <w:tblLook w:val="0000"/>
        </w:tblPrEx>
        <w:trPr>
          <w:trHeight w:val="259"/>
        </w:trPr>
        <w:tc>
          <w:tcPr>
            <w:tcW w:w="2155" w:type="dxa"/>
          </w:tcPr>
          <w:p w:rsidR="00FB3AA1" w14:paraId="7E1596A4" w14:textId="77777777">
            <w:pPr>
              <w:spacing w:after="0" w:line="240" w:lineRule="auto"/>
              <w:rPr>
                <w:rFonts w:cs="Arial"/>
              </w:rPr>
            </w:pPr>
            <w:r>
              <w:rPr>
                <w:rFonts w:cs="Arial"/>
              </w:rPr>
              <w:t>On EIA website</w:t>
            </w:r>
          </w:p>
        </w:tc>
        <w:tc>
          <w:tcPr>
            <w:tcW w:w="7560" w:type="dxa"/>
          </w:tcPr>
          <w:p w:rsidR="00FB3AA1" w14:paraId="1D4108CB" w14:textId="77777777">
            <w:pPr>
              <w:spacing w:before="120" w:after="120"/>
              <w:rPr>
                <w:rFonts w:cs="Arial"/>
              </w:rPr>
            </w:pPr>
            <w:r>
              <w:rPr>
                <w:rFonts w:cs="Arial"/>
              </w:rPr>
              <w:t>June</w:t>
            </w:r>
          </w:p>
        </w:tc>
      </w:tr>
    </w:tbl>
    <w:p w:rsidR="00FB3AA1" w:rsidP="00FB3AA1" w14:paraId="7582A6E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rsidR="00FB3AA1" w:rsidRPr="00E15B99" w:rsidP="00FB3AA1" w14:paraId="3049C5C2" w14:textId="7FF88B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0070C0"/>
        </w:rPr>
      </w:pPr>
      <w:r w:rsidRPr="00E15B99">
        <w:rPr>
          <w:b/>
          <w:color w:val="0070C0"/>
          <w:szCs w:val="24"/>
        </w:rPr>
        <w:t>Table A</w:t>
      </w:r>
      <w:r w:rsidR="00DE4069">
        <w:rPr>
          <w:b/>
          <w:color w:val="0070C0"/>
          <w:szCs w:val="24"/>
        </w:rPr>
        <w:t>5</w:t>
      </w:r>
      <w:r w:rsidRPr="00E15B99">
        <w:rPr>
          <w:b/>
          <w:color w:val="0070C0"/>
          <w:szCs w:val="24"/>
        </w:rPr>
        <w:t>. Monthly Survey Collection, Tabulation, and Publication Plans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5"/>
        <w:gridCol w:w="7560"/>
      </w:tblGrid>
      <w:tr w14:paraId="0C81EC11" w14:textId="77777777">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9715" w:type="dxa"/>
            <w:gridSpan w:val="2"/>
            <w:shd w:val="clear" w:color="auto" w:fill="00B0F0"/>
            <w:vAlign w:val="center"/>
          </w:tcPr>
          <w:p w:rsidR="00FB3AA1" w:rsidRPr="00EA29A9" w14:paraId="1934753A" w14:textId="77777777">
            <w:pPr>
              <w:spacing w:before="120" w:after="120"/>
              <w:jc w:val="center"/>
              <w:rPr>
                <w:rFonts w:cs="Arial"/>
                <w:b/>
                <w:bCs/>
              </w:rPr>
            </w:pPr>
            <w:r>
              <w:rPr>
                <w:rFonts w:cs="Arial"/>
                <w:b/>
                <w:bCs/>
              </w:rPr>
              <w:t>Monthly Surveys</w:t>
            </w:r>
          </w:p>
        </w:tc>
      </w:tr>
      <w:tr w14:paraId="715F58F9" w14:textId="77777777">
        <w:tblPrEx>
          <w:tblW w:w="9715" w:type="dxa"/>
          <w:tblLayout w:type="fixed"/>
          <w:tblLook w:val="0000"/>
        </w:tblPrEx>
        <w:trPr>
          <w:trHeight w:val="259"/>
        </w:trPr>
        <w:tc>
          <w:tcPr>
            <w:tcW w:w="2155" w:type="dxa"/>
          </w:tcPr>
          <w:p w:rsidR="00FB3AA1" w:rsidRPr="00FA104E" w14:paraId="6F4A1247" w14:textId="77777777">
            <w:pPr>
              <w:spacing w:before="120" w:after="120"/>
              <w:rPr>
                <w:rFonts w:cs="Arial"/>
              </w:rPr>
            </w:pPr>
            <w:r>
              <w:rPr>
                <w:rFonts w:cs="Arial"/>
              </w:rPr>
              <w:t>Forms</w:t>
            </w:r>
          </w:p>
        </w:tc>
        <w:tc>
          <w:tcPr>
            <w:tcW w:w="7560" w:type="dxa"/>
          </w:tcPr>
          <w:p w:rsidR="00FB3AA1" w:rsidRPr="00FA104E" w14:paraId="07AC204A" w14:textId="77777777">
            <w:pPr>
              <w:spacing w:before="120" w:after="120"/>
              <w:rPr>
                <w:rFonts w:cs="Arial"/>
              </w:rPr>
            </w:pPr>
            <w:r>
              <w:rPr>
                <w:rFonts w:cs="Arial"/>
              </w:rPr>
              <w:t>EIA-810, EIA-812, EIA-813, EIA-814, EIA-815, EIA-816, EIA-817, EIA-819</w:t>
            </w:r>
          </w:p>
        </w:tc>
      </w:tr>
      <w:tr w14:paraId="14D3402D" w14:textId="77777777">
        <w:tblPrEx>
          <w:tblW w:w="9715" w:type="dxa"/>
          <w:tblLayout w:type="fixed"/>
          <w:tblLook w:val="0000"/>
        </w:tblPrEx>
        <w:trPr>
          <w:trHeight w:val="259"/>
        </w:trPr>
        <w:tc>
          <w:tcPr>
            <w:tcW w:w="2155" w:type="dxa"/>
          </w:tcPr>
          <w:p w:rsidR="00FB3AA1" w:rsidRPr="00FA104E" w14:paraId="71E53B18" w14:textId="77777777">
            <w:pPr>
              <w:spacing w:after="0" w:line="240" w:lineRule="auto"/>
              <w:rPr>
                <w:rFonts w:cs="Arial"/>
              </w:rPr>
            </w:pPr>
            <w:r>
              <w:rPr>
                <w:rFonts w:cs="Arial"/>
              </w:rPr>
              <w:t>Due Date</w:t>
            </w:r>
          </w:p>
        </w:tc>
        <w:tc>
          <w:tcPr>
            <w:tcW w:w="7560" w:type="dxa"/>
          </w:tcPr>
          <w:p w:rsidR="00FB3AA1" w:rsidRPr="00FA104E" w14:paraId="021904A1" w14:textId="77777777">
            <w:pPr>
              <w:spacing w:before="120" w:after="120"/>
              <w:rPr>
                <w:rFonts w:cs="Arial"/>
              </w:rPr>
            </w:pPr>
            <w:r>
              <w:rPr>
                <w:rFonts w:cs="Arial"/>
              </w:rPr>
              <w:t>20</w:t>
            </w:r>
            <w:r w:rsidRPr="00C01A26">
              <w:rPr>
                <w:rFonts w:cs="Arial"/>
                <w:vertAlign w:val="superscript"/>
              </w:rPr>
              <w:t>th</w:t>
            </w:r>
            <w:r>
              <w:rPr>
                <w:rFonts w:cs="Arial"/>
              </w:rPr>
              <w:t xml:space="preserve"> calendar day following the end of the report period month</w:t>
            </w:r>
          </w:p>
        </w:tc>
      </w:tr>
      <w:tr w14:paraId="5F8D7EA2" w14:textId="77777777">
        <w:tblPrEx>
          <w:tblW w:w="9715" w:type="dxa"/>
          <w:tblLayout w:type="fixed"/>
          <w:tblLook w:val="0000"/>
        </w:tblPrEx>
        <w:trPr>
          <w:trHeight w:val="458"/>
        </w:trPr>
        <w:tc>
          <w:tcPr>
            <w:tcW w:w="2155" w:type="dxa"/>
          </w:tcPr>
          <w:p w:rsidR="00FB3AA1" w:rsidRPr="00FA104E" w14:paraId="0751ADDC" w14:textId="77777777">
            <w:pPr>
              <w:spacing w:after="0" w:line="240" w:lineRule="auto"/>
              <w:rPr>
                <w:rFonts w:cs="Arial"/>
              </w:rPr>
            </w:pPr>
            <w:r>
              <w:rPr>
                <w:rFonts w:cs="Arial"/>
              </w:rPr>
              <w:t>Period</w:t>
            </w:r>
          </w:p>
        </w:tc>
        <w:tc>
          <w:tcPr>
            <w:tcW w:w="7560" w:type="dxa"/>
          </w:tcPr>
          <w:p w:rsidR="00FB3AA1" w:rsidRPr="00FA104E" w14:paraId="63877B2E" w14:textId="77777777">
            <w:pPr>
              <w:spacing w:before="120" w:after="120"/>
              <w:rPr>
                <w:rFonts w:cs="Arial"/>
              </w:rPr>
            </w:pPr>
            <w:r>
              <w:rPr>
                <w:rFonts w:cs="Arial"/>
              </w:rPr>
              <w:t>Monthly</w:t>
            </w:r>
          </w:p>
        </w:tc>
      </w:tr>
      <w:tr w14:paraId="10BFA2DB" w14:textId="77777777">
        <w:tblPrEx>
          <w:tblW w:w="9715" w:type="dxa"/>
          <w:tblLayout w:type="fixed"/>
          <w:tblLook w:val="0000"/>
        </w:tblPrEx>
        <w:trPr>
          <w:trHeight w:val="259"/>
        </w:trPr>
        <w:tc>
          <w:tcPr>
            <w:tcW w:w="2155" w:type="dxa"/>
          </w:tcPr>
          <w:p w:rsidR="00FB3AA1" w14:paraId="523FEE68" w14:textId="77777777">
            <w:pPr>
              <w:spacing w:after="0" w:line="240" w:lineRule="auto"/>
              <w:rPr>
                <w:rFonts w:cs="Arial"/>
              </w:rPr>
            </w:pPr>
            <w:r>
              <w:rPr>
                <w:rFonts w:cs="Arial"/>
              </w:rPr>
              <w:t>Primary Publications</w:t>
            </w:r>
          </w:p>
        </w:tc>
        <w:tc>
          <w:tcPr>
            <w:tcW w:w="7560" w:type="dxa"/>
          </w:tcPr>
          <w:p w:rsidR="00FB3AA1" w14:paraId="79A9F8A6" w14:textId="77777777">
            <w:pPr>
              <w:spacing w:after="0" w:line="240" w:lineRule="auto"/>
              <w:rPr>
                <w:rFonts w:cs="Arial"/>
                <w:i/>
              </w:rPr>
            </w:pPr>
            <w:r>
              <w:rPr>
                <w:rFonts w:cs="Arial"/>
                <w:i/>
              </w:rPr>
              <w:t>Petroleum Supply Monthly</w:t>
            </w:r>
          </w:p>
          <w:p w:rsidR="00FB3AA1" w14:paraId="08B4F597" w14:textId="77777777">
            <w:pPr>
              <w:spacing w:after="0" w:line="240" w:lineRule="auto"/>
            </w:pPr>
            <w:r w:rsidRPr="00FA104E">
              <w:rPr>
                <w:rFonts w:cs="Arial"/>
                <w:i/>
              </w:rPr>
              <w:t xml:space="preserve"> </w:t>
            </w:r>
            <w:hyperlink r:id="rId17" w:history="1">
              <w:r w:rsidRPr="00702FA3">
                <w:rPr>
                  <w:rStyle w:val="Hyperlink"/>
                </w:rPr>
                <w:t>https://www.eia.gov/petroleum/supply/monthly/</w:t>
              </w:r>
            </w:hyperlink>
            <w:r>
              <w:t xml:space="preserve"> </w:t>
            </w:r>
          </w:p>
          <w:p w:rsidR="00FB3AA1" w:rsidRPr="005537CA" w14:paraId="0ACEAF85" w14:textId="23E637F7">
            <w:pPr>
              <w:spacing w:after="0" w:line="240" w:lineRule="auto"/>
              <w:rPr>
                <w:rFonts w:cs="Arial"/>
                <w:i/>
              </w:rPr>
            </w:pPr>
          </w:p>
          <w:p w:rsidR="00FB3AA1" w14:paraId="36302BE0" w14:textId="77777777">
            <w:pPr>
              <w:spacing w:after="0" w:line="240" w:lineRule="auto"/>
              <w:rPr>
                <w:rFonts w:cs="Arial"/>
                <w:i/>
              </w:rPr>
            </w:pPr>
            <w:r>
              <w:rPr>
                <w:rFonts w:cs="Arial"/>
                <w:i/>
              </w:rPr>
              <w:t xml:space="preserve">Monthly Energy Review </w:t>
            </w:r>
          </w:p>
          <w:p w:rsidR="00FB3AA1" w14:paraId="711010CE" w14:textId="77777777">
            <w:pPr>
              <w:spacing w:after="0" w:line="240" w:lineRule="auto"/>
            </w:pPr>
            <w:hyperlink r:id="rId19" w:history="1">
              <w:r w:rsidRPr="00702FA3">
                <w:rPr>
                  <w:rStyle w:val="Hyperlink"/>
                </w:rPr>
                <w:t>https://www.eia.gov/totalenergy/data/monthly/</w:t>
              </w:r>
            </w:hyperlink>
            <w:r>
              <w:t xml:space="preserve"> </w:t>
            </w:r>
          </w:p>
          <w:p w:rsidR="00FB3AA1" w:rsidRPr="007C0F25" w14:paraId="1061A646" w14:textId="77777777">
            <w:pPr>
              <w:spacing w:after="0" w:line="240" w:lineRule="auto"/>
              <w:rPr>
                <w:rFonts w:cs="Arial"/>
                <w:i/>
              </w:rPr>
            </w:pPr>
          </w:p>
          <w:p w:rsidR="00FB3AA1" w:rsidP="00262A29" w14:paraId="350EB843" w14:textId="49E13C7E">
            <w:pPr>
              <w:spacing w:after="0" w:line="240" w:lineRule="auto"/>
              <w:rPr>
                <w:rFonts w:cs="Arial"/>
              </w:rPr>
            </w:pPr>
            <w:r>
              <w:rPr>
                <w:rFonts w:cs="Arial"/>
                <w:i/>
              </w:rPr>
              <w:t xml:space="preserve">Petroleum Supply Annual </w:t>
            </w:r>
            <w:hyperlink r:id="rId18" w:history="1">
              <w:r w:rsidRPr="00702FA3">
                <w:rPr>
                  <w:rStyle w:val="Hyperlink"/>
                </w:rPr>
                <w:t>https://www.eia.gov/petroleum/supply/annual/volume1/</w:t>
              </w:r>
            </w:hyperlink>
            <w:r>
              <w:t xml:space="preserve"> </w:t>
            </w:r>
          </w:p>
        </w:tc>
      </w:tr>
      <w:tr w14:paraId="1DF71789" w14:textId="77777777">
        <w:tblPrEx>
          <w:tblW w:w="9715" w:type="dxa"/>
          <w:tblLayout w:type="fixed"/>
          <w:tblLook w:val="0000"/>
        </w:tblPrEx>
        <w:trPr>
          <w:trHeight w:val="259"/>
        </w:trPr>
        <w:tc>
          <w:tcPr>
            <w:tcW w:w="2155" w:type="dxa"/>
          </w:tcPr>
          <w:p w:rsidR="00FB3AA1" w14:paraId="22D76E19" w14:textId="77777777">
            <w:pPr>
              <w:spacing w:after="0" w:line="240" w:lineRule="auto"/>
              <w:rPr>
                <w:rFonts w:cs="Arial"/>
              </w:rPr>
            </w:pPr>
            <w:r>
              <w:rPr>
                <w:rFonts w:cs="Arial"/>
              </w:rPr>
              <w:t>On EIA website</w:t>
            </w:r>
          </w:p>
        </w:tc>
        <w:tc>
          <w:tcPr>
            <w:tcW w:w="7560" w:type="dxa"/>
          </w:tcPr>
          <w:p w:rsidR="00FB3AA1" w14:paraId="3DA773F3" w14:textId="77777777">
            <w:pPr>
              <w:spacing w:before="120" w:after="120"/>
              <w:rPr>
                <w:rFonts w:cs="Arial"/>
              </w:rPr>
            </w:pPr>
            <w:r>
              <w:rPr>
                <w:rFonts w:cs="Arial"/>
              </w:rPr>
              <w:t>Last business day of the month 2 months after the report period</w:t>
            </w:r>
          </w:p>
          <w:p w:rsidR="00FB3AA1" w14:paraId="5C17F3F6" w14:textId="5C072A0C">
            <w:pPr>
              <w:spacing w:before="120" w:after="120"/>
              <w:rPr>
                <w:rFonts w:cs="Arial"/>
              </w:rPr>
            </w:pPr>
            <w:r>
              <w:rPr>
                <w:rFonts w:cs="Arial"/>
              </w:rPr>
              <w:t>Ex: For the September report period, data are due before October 20</w:t>
            </w:r>
            <w:r w:rsidRPr="007C0F25">
              <w:rPr>
                <w:rFonts w:cs="Arial"/>
                <w:vertAlign w:val="superscript"/>
              </w:rPr>
              <w:t>th</w:t>
            </w:r>
            <w:r>
              <w:rPr>
                <w:rFonts w:cs="Arial"/>
              </w:rPr>
              <w:t xml:space="preserve"> and will be posted on EIA’s website on November 30</w:t>
            </w:r>
            <w:r w:rsidRPr="007C0F25">
              <w:rPr>
                <w:rFonts w:cs="Arial"/>
                <w:vertAlign w:val="superscript"/>
              </w:rPr>
              <w:t>th</w:t>
            </w:r>
          </w:p>
        </w:tc>
      </w:tr>
    </w:tbl>
    <w:p w:rsidR="00FB3AA1" w:rsidP="00FB3AA1" w14:paraId="2B4E9D3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rsidR="00FB3AA1" w:rsidRPr="00E15B99" w:rsidP="00FB3AA1" w14:paraId="01F21489" w14:textId="55CAD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0070C0"/>
        </w:rPr>
      </w:pPr>
      <w:r w:rsidRPr="00E15B99">
        <w:rPr>
          <w:b/>
          <w:color w:val="0070C0"/>
          <w:szCs w:val="24"/>
        </w:rPr>
        <w:t xml:space="preserve">Table </w:t>
      </w:r>
      <w:r w:rsidR="00DE4069">
        <w:rPr>
          <w:b/>
          <w:color w:val="0070C0"/>
          <w:szCs w:val="24"/>
        </w:rPr>
        <w:t>A6</w:t>
      </w:r>
      <w:r w:rsidRPr="00E15B99">
        <w:rPr>
          <w:b/>
          <w:color w:val="0070C0"/>
          <w:szCs w:val="24"/>
        </w:rPr>
        <w:t>. Weekly Survey Collection, Tabulation, and Publication Plans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5"/>
        <w:gridCol w:w="7560"/>
      </w:tblGrid>
      <w:tr w14:paraId="10BD85B2" w14:textId="77777777">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9715" w:type="dxa"/>
            <w:gridSpan w:val="2"/>
            <w:shd w:val="clear" w:color="auto" w:fill="00B0F0"/>
            <w:vAlign w:val="center"/>
          </w:tcPr>
          <w:p w:rsidR="00FB3AA1" w:rsidRPr="00EA29A9" w14:paraId="3F0A7F2C" w14:textId="77777777">
            <w:pPr>
              <w:spacing w:before="120" w:after="120"/>
              <w:jc w:val="center"/>
              <w:rPr>
                <w:rFonts w:cs="Arial"/>
                <w:b/>
                <w:bCs/>
              </w:rPr>
            </w:pPr>
            <w:r>
              <w:rPr>
                <w:rFonts w:cs="Arial"/>
                <w:b/>
                <w:bCs/>
              </w:rPr>
              <w:t>Weekly Surveys</w:t>
            </w:r>
          </w:p>
        </w:tc>
      </w:tr>
      <w:tr w14:paraId="7848AF31" w14:textId="77777777">
        <w:tblPrEx>
          <w:tblW w:w="9715" w:type="dxa"/>
          <w:tblLayout w:type="fixed"/>
          <w:tblLook w:val="0000"/>
        </w:tblPrEx>
        <w:trPr>
          <w:trHeight w:val="259"/>
        </w:trPr>
        <w:tc>
          <w:tcPr>
            <w:tcW w:w="2155" w:type="dxa"/>
          </w:tcPr>
          <w:p w:rsidR="00FB3AA1" w:rsidRPr="00FA104E" w14:paraId="51BEA573" w14:textId="77777777">
            <w:pPr>
              <w:spacing w:before="120" w:after="120"/>
              <w:rPr>
                <w:rFonts w:cs="Arial"/>
              </w:rPr>
            </w:pPr>
            <w:r>
              <w:rPr>
                <w:rFonts w:cs="Arial"/>
              </w:rPr>
              <w:t>Forms</w:t>
            </w:r>
          </w:p>
        </w:tc>
        <w:tc>
          <w:tcPr>
            <w:tcW w:w="7560" w:type="dxa"/>
          </w:tcPr>
          <w:p w:rsidR="00FB3AA1" w:rsidRPr="00FA104E" w14:paraId="19DE17ED" w14:textId="77777777">
            <w:pPr>
              <w:spacing w:before="120" w:after="120"/>
              <w:rPr>
                <w:rFonts w:cs="Arial"/>
              </w:rPr>
            </w:pPr>
            <w:r>
              <w:rPr>
                <w:rFonts w:cs="Arial"/>
              </w:rPr>
              <w:t>EIA-800, EIA-802, EIA-803, EIA-804, EIA-805, EIA-806, EIA-809</w:t>
            </w:r>
          </w:p>
        </w:tc>
      </w:tr>
      <w:tr w14:paraId="01239DEF" w14:textId="77777777">
        <w:tblPrEx>
          <w:tblW w:w="9715" w:type="dxa"/>
          <w:tblLayout w:type="fixed"/>
          <w:tblLook w:val="0000"/>
        </w:tblPrEx>
        <w:trPr>
          <w:trHeight w:val="259"/>
        </w:trPr>
        <w:tc>
          <w:tcPr>
            <w:tcW w:w="2155" w:type="dxa"/>
          </w:tcPr>
          <w:p w:rsidR="00FB3AA1" w:rsidRPr="00FA104E" w14:paraId="1775F1AD" w14:textId="77777777">
            <w:pPr>
              <w:spacing w:after="0" w:line="240" w:lineRule="auto"/>
              <w:rPr>
                <w:rFonts w:cs="Arial"/>
              </w:rPr>
            </w:pPr>
            <w:r>
              <w:rPr>
                <w:rFonts w:cs="Arial"/>
              </w:rPr>
              <w:t>Due Date</w:t>
            </w:r>
          </w:p>
        </w:tc>
        <w:tc>
          <w:tcPr>
            <w:tcW w:w="7560" w:type="dxa"/>
          </w:tcPr>
          <w:p w:rsidR="00FB3AA1" w:rsidRPr="00FA104E" w14:paraId="22C52B87" w14:textId="77777777">
            <w:pPr>
              <w:spacing w:before="120" w:after="120"/>
              <w:rPr>
                <w:rFonts w:cs="Arial"/>
              </w:rPr>
            </w:pPr>
            <w:r>
              <w:rPr>
                <w:rFonts w:cs="Arial"/>
              </w:rPr>
              <w:t xml:space="preserve">5PM Eastern Time (ET) on the Monday following report period. </w:t>
            </w:r>
          </w:p>
        </w:tc>
      </w:tr>
      <w:tr w14:paraId="55568F11" w14:textId="77777777">
        <w:tblPrEx>
          <w:tblW w:w="9715" w:type="dxa"/>
          <w:tblLayout w:type="fixed"/>
          <w:tblLook w:val="0000"/>
        </w:tblPrEx>
        <w:trPr>
          <w:trHeight w:val="458"/>
        </w:trPr>
        <w:tc>
          <w:tcPr>
            <w:tcW w:w="2155" w:type="dxa"/>
          </w:tcPr>
          <w:p w:rsidR="00FB3AA1" w:rsidRPr="00FA104E" w14:paraId="4E6E7CAA" w14:textId="77777777">
            <w:pPr>
              <w:spacing w:after="0" w:line="240" w:lineRule="auto"/>
              <w:rPr>
                <w:rFonts w:cs="Arial"/>
              </w:rPr>
            </w:pPr>
            <w:r>
              <w:rPr>
                <w:rFonts w:cs="Arial"/>
              </w:rPr>
              <w:t>Period</w:t>
            </w:r>
          </w:p>
        </w:tc>
        <w:tc>
          <w:tcPr>
            <w:tcW w:w="7560" w:type="dxa"/>
          </w:tcPr>
          <w:p w:rsidR="00FB3AA1" w:rsidRPr="00FA104E" w14:paraId="7FB1715A" w14:textId="77777777">
            <w:pPr>
              <w:spacing w:before="120" w:after="120"/>
              <w:rPr>
                <w:rFonts w:cs="Arial"/>
              </w:rPr>
            </w:pPr>
            <w:r>
              <w:rPr>
                <w:rFonts w:cs="Arial"/>
              </w:rPr>
              <w:t>The weekly report period begins at 7:01 a.m. ET on Friday and ends at 7:00 a.m. ET the following Friday</w:t>
            </w:r>
          </w:p>
        </w:tc>
      </w:tr>
      <w:tr w14:paraId="7C9F95A2" w14:textId="77777777">
        <w:tblPrEx>
          <w:tblW w:w="9715" w:type="dxa"/>
          <w:tblLayout w:type="fixed"/>
          <w:tblLook w:val="0000"/>
        </w:tblPrEx>
        <w:trPr>
          <w:trHeight w:val="259"/>
        </w:trPr>
        <w:tc>
          <w:tcPr>
            <w:tcW w:w="2155" w:type="dxa"/>
          </w:tcPr>
          <w:p w:rsidR="00FB3AA1" w14:paraId="74BB654D" w14:textId="77777777">
            <w:pPr>
              <w:spacing w:after="0" w:line="240" w:lineRule="auto"/>
              <w:rPr>
                <w:rFonts w:cs="Arial"/>
              </w:rPr>
            </w:pPr>
            <w:r>
              <w:rPr>
                <w:rFonts w:cs="Arial"/>
              </w:rPr>
              <w:t>Primary Publications</w:t>
            </w:r>
          </w:p>
        </w:tc>
        <w:tc>
          <w:tcPr>
            <w:tcW w:w="7560" w:type="dxa"/>
          </w:tcPr>
          <w:p w:rsidR="00FB3AA1" w14:paraId="542A2AE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i/>
              </w:rPr>
            </w:pPr>
            <w:r>
              <w:rPr>
                <w:rFonts w:cs="Arial"/>
                <w:i/>
              </w:rPr>
              <w:t>Weekly Petroleum Status Report</w:t>
            </w:r>
          </w:p>
          <w:p w:rsidR="00FB3AA1" w:rsidRPr="00CA60D5" w:rsidP="00CA60D5" w14:paraId="71058A82" w14:textId="3DFAFD3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color w:val="1396D8"/>
                <w:u w:val="single"/>
              </w:rPr>
            </w:pPr>
            <w:r>
              <w:rPr>
                <w:rFonts w:cs="Arial"/>
                <w:i/>
              </w:rPr>
              <w:t xml:space="preserve"> </w:t>
            </w:r>
            <w:hyperlink r:id="rId16" w:history="1">
              <w:r w:rsidRPr="00702FA3">
                <w:rPr>
                  <w:rStyle w:val="Hyperlink"/>
                </w:rPr>
                <w:t>https://www.eia.gov/petroleum/supply/weekly/</w:t>
              </w:r>
            </w:hyperlink>
            <w:r>
              <w:t xml:space="preserve">  </w:t>
            </w:r>
          </w:p>
        </w:tc>
      </w:tr>
      <w:tr w14:paraId="793BF36B" w14:textId="77777777">
        <w:tblPrEx>
          <w:tblW w:w="9715" w:type="dxa"/>
          <w:tblLayout w:type="fixed"/>
          <w:tblLook w:val="0000"/>
        </w:tblPrEx>
        <w:trPr>
          <w:trHeight w:val="259"/>
        </w:trPr>
        <w:tc>
          <w:tcPr>
            <w:tcW w:w="2155" w:type="dxa"/>
          </w:tcPr>
          <w:p w:rsidR="00FB3AA1" w14:paraId="113C6429" w14:textId="77777777">
            <w:pPr>
              <w:spacing w:after="0" w:line="240" w:lineRule="auto"/>
              <w:rPr>
                <w:rFonts w:cs="Arial"/>
              </w:rPr>
            </w:pPr>
            <w:r>
              <w:rPr>
                <w:rFonts w:cs="Arial"/>
              </w:rPr>
              <w:t>On EIA website</w:t>
            </w:r>
          </w:p>
        </w:tc>
        <w:tc>
          <w:tcPr>
            <w:tcW w:w="7560" w:type="dxa"/>
          </w:tcPr>
          <w:p w:rsidR="00FB3AA1" w14:paraId="54DB398F" w14:textId="4F481AD3">
            <w:pPr>
              <w:spacing w:before="120" w:after="120"/>
              <w:rPr>
                <w:rFonts w:cs="Arial"/>
              </w:rPr>
            </w:pPr>
            <w:r>
              <w:rPr>
                <w:rFonts w:cs="Arial"/>
              </w:rPr>
              <w:t xml:space="preserve">Every Wednesday for the report period ending the previous Friday. Tables are released electronically in CSV and XLS formats at 10:30 a.m. using </w:t>
            </w:r>
            <w:r w:rsidR="00CA60D5">
              <w:rPr>
                <w:rFonts w:cs="Arial"/>
              </w:rPr>
              <w:t>signed URLs</w:t>
            </w:r>
            <w:r>
              <w:rPr>
                <w:rFonts w:cs="Arial"/>
              </w:rPr>
              <w:t>. All other PDF and HTML files are released at 1:00 p.m.</w:t>
            </w:r>
          </w:p>
        </w:tc>
      </w:tr>
    </w:tbl>
    <w:p w:rsidR="002542D4" w:rsidRPr="002542D4" w:rsidP="002542D4" w14:paraId="475BA11A" w14:textId="77777777">
      <w:pPr>
        <w:rPr>
          <w:noProof/>
        </w:rPr>
      </w:pPr>
    </w:p>
    <w:p w:rsidR="002542D4" w:rsidRPr="00BB64D7" w:rsidP="008947EF" w14:paraId="2140304C" w14:textId="77777777">
      <w:pPr>
        <w:pStyle w:val="Heading2"/>
        <w:rPr>
          <w:noProof/>
        </w:rPr>
      </w:pPr>
      <w:bookmarkStart w:id="38" w:name="_Toc492634217"/>
      <w:bookmarkStart w:id="39" w:name="_Toc199483373"/>
      <w:r w:rsidRPr="00BB64D7">
        <w:rPr>
          <w:noProof/>
        </w:rPr>
        <w:t>A.17. OMB Number and Expiration Date</w:t>
      </w:r>
      <w:bookmarkEnd w:id="38"/>
      <w:bookmarkEnd w:id="39"/>
      <w:r w:rsidRPr="00BB64D7">
        <w:rPr>
          <w:noProof/>
        </w:rPr>
        <w:t xml:space="preserve"> </w:t>
      </w:r>
    </w:p>
    <w:p w:rsidR="00FB3AA1" w:rsidRPr="002E0255" w:rsidP="00FB3AA1" w14:paraId="3FC24269" w14:textId="77777777">
      <w:pPr>
        <w:rPr>
          <w:rFonts w:cs="Arial"/>
          <w:bCs/>
        </w:rPr>
      </w:pPr>
      <w:r>
        <w:rPr>
          <w:rFonts w:cs="Arial"/>
          <w:bCs/>
        </w:rPr>
        <w:t>The OMB</w:t>
      </w:r>
      <w:r>
        <w:rPr>
          <w:rFonts w:cs="Arial"/>
          <w:bCs/>
        </w:rPr>
        <w:t xml:space="preserve"> number 1905-0165</w:t>
      </w:r>
      <w:r w:rsidRPr="002E0255">
        <w:rPr>
          <w:rFonts w:cs="Arial"/>
          <w:bCs/>
        </w:rPr>
        <w:t xml:space="preserve"> and expiration date will be displayed on the data collection form</w:t>
      </w:r>
      <w:r>
        <w:rPr>
          <w:rFonts w:cs="Arial"/>
          <w:bCs/>
        </w:rPr>
        <w:t>s</w:t>
      </w:r>
      <w:r w:rsidRPr="002E0255">
        <w:rPr>
          <w:rFonts w:cs="Arial"/>
          <w:bCs/>
        </w:rPr>
        <w:t xml:space="preserve"> and</w:t>
      </w:r>
      <w:r>
        <w:rPr>
          <w:rFonts w:cs="Arial"/>
          <w:bCs/>
        </w:rPr>
        <w:t xml:space="preserve"> </w:t>
      </w:r>
      <w:r w:rsidRPr="002E0255">
        <w:rPr>
          <w:rFonts w:cs="Arial"/>
          <w:bCs/>
        </w:rPr>
        <w:t>instructions.</w:t>
      </w:r>
    </w:p>
    <w:p w:rsidR="002542D4" w:rsidRPr="002542D4" w:rsidP="002542D4" w14:paraId="38005096" w14:textId="77777777">
      <w:pPr>
        <w:rPr>
          <w:b/>
          <w:bCs/>
          <w:noProof/>
        </w:rPr>
      </w:pPr>
    </w:p>
    <w:p w:rsidR="002542D4" w:rsidRPr="00BB64D7" w:rsidP="008947EF" w14:paraId="7F204A41" w14:textId="77777777">
      <w:pPr>
        <w:pStyle w:val="Heading2"/>
        <w:rPr>
          <w:noProof/>
        </w:rPr>
      </w:pPr>
      <w:bookmarkStart w:id="40" w:name="_Toc492634218"/>
      <w:bookmarkStart w:id="41" w:name="_Toc199483374"/>
      <w:r w:rsidRPr="00BB64D7">
        <w:rPr>
          <w:noProof/>
        </w:rPr>
        <w:t>A.18. Certification Statement</w:t>
      </w:r>
      <w:bookmarkEnd w:id="40"/>
      <w:bookmarkEnd w:id="41"/>
      <w:r w:rsidRPr="00BB64D7">
        <w:rPr>
          <w:noProof/>
        </w:rPr>
        <w:t xml:space="preserve"> </w:t>
      </w:r>
    </w:p>
    <w:p w:rsidR="00612A58" w:rsidP="00FB3AA1" w14:paraId="2D0922D0" w14:textId="509495A2">
      <w:pPr>
        <w:rPr>
          <w:noProof/>
        </w:rPr>
      </w:pPr>
      <w:r w:rsidRPr="002E0255">
        <w:rPr>
          <w:rFonts w:cs="Arial"/>
        </w:rPr>
        <w:t>There are no exceptions to the certification statement identified in Item 19, "Certification for Paperwork Reduction Act Submissions," of OMB Form 83-I. This information collection request complies with 5 C</w:t>
      </w:r>
      <w:r>
        <w:rPr>
          <w:rFonts w:cs="Arial"/>
        </w:rPr>
        <w:t>.</w:t>
      </w:r>
      <w:r w:rsidRPr="002E0255">
        <w:rPr>
          <w:rFonts w:cs="Arial"/>
        </w:rPr>
        <w:t>F</w:t>
      </w:r>
      <w:r>
        <w:rPr>
          <w:rFonts w:cs="Arial"/>
        </w:rPr>
        <w:t>.</w:t>
      </w:r>
      <w:r w:rsidRPr="002E0255">
        <w:rPr>
          <w:rFonts w:cs="Arial"/>
        </w:rPr>
        <w:t>R</w:t>
      </w:r>
      <w:r>
        <w:rPr>
          <w:rFonts w:cs="Arial"/>
        </w:rPr>
        <w:t>.</w:t>
      </w:r>
      <w:r w:rsidRPr="002E0255">
        <w:rPr>
          <w:rFonts w:cs="Arial"/>
        </w:rPr>
        <w:t xml:space="preserve"> </w:t>
      </w:r>
      <w:r>
        <w:rPr>
          <w:rFonts w:cs="Arial"/>
        </w:rPr>
        <w:t>§</w:t>
      </w:r>
      <w:r w:rsidRPr="002E0255">
        <w:rPr>
          <w:rFonts w:cs="Arial"/>
        </w:rPr>
        <w:t>1320.9.</w:t>
      </w:r>
    </w:p>
    <w:sectPr w:rsidSect="00DE4069">
      <w:headerReference w:type="even" r:id="rId43"/>
      <w:headerReference w:type="default" r:id="rId44"/>
      <w:footerReference w:type="even" r:id="rId45"/>
      <w:headerReference w:type="first" r:id="rId46"/>
      <w:footerReference w:type="first" r:id="rId47"/>
      <w:footnotePr>
        <w:pos w:val="beneathText"/>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38793500" w14:textId="499CD13B">
    <w:pPr>
      <w:pStyle w:val="Footer"/>
    </w:pPr>
    <w:r w:rsidRPr="00CB180D">
      <w:t xml:space="preserve">U.S. Energy Information Administration   |   </w:t>
    </w:r>
    <w:r w:rsidR="000C3218">
      <w:t>Petroleum Supply Reporting System</w:t>
    </w:r>
    <w:r>
      <w:tab/>
    </w:r>
    <w:r>
      <w:fldChar w:fldCharType="begin"/>
    </w:r>
    <w:r>
      <w:instrText xml:space="preserve"> PAGE   \* MERGEFORMAT </w:instrText>
    </w:r>
    <w:r>
      <w:fldChar w:fldCharType="separate"/>
    </w:r>
    <w:r w:rsidR="00385B7A">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4B5A326"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3740C6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729C532"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687ECC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P="00760677" w14:paraId="2E16DE58"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P="00760677" w14:paraId="40D5FEE7"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2542D4" w:rsidP="00760677" w14:paraId="6CA0BAA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RPr="001F3A8F" w:rsidP="00BB64D7" w14:paraId="72CEED90" w14:textId="5D445400">
    <w:pPr>
      <w:pStyle w:val="Footer"/>
      <w:tabs>
        <w:tab w:val="left" w:pos="8655"/>
        <w:tab w:val="clear" w:pos="9720"/>
      </w:tabs>
    </w:pPr>
    <w:r w:rsidRPr="00CB180D">
      <w:t>U.S. Energy Information Administration   |</w:t>
    </w:r>
    <w:r>
      <w:t xml:space="preserve">   </w:t>
    </w:r>
    <w:r w:rsidR="00DE4069">
      <w:rPr>
        <w:rStyle w:val="PlaceholderText"/>
      </w:rPr>
      <w:t>Petroleum Supply Reporting System</w:t>
    </w:r>
    <w:r>
      <w:t xml:space="preserve"> </w:t>
    </w:r>
    <w:r>
      <w:tab/>
      <w:t xml:space="preserve"> </w:t>
    </w:r>
    <w:r>
      <w:fldChar w:fldCharType="begin"/>
    </w:r>
    <w:r>
      <w:instrText xml:space="preserve"> PAGE   \* MERGEFORMAT </w:instrText>
    </w:r>
    <w:r>
      <w:fldChar w:fldCharType="separate"/>
    </w:r>
    <w:r w:rsidR="00385B7A">
      <w:rPr>
        <w:noProof/>
      </w:rPr>
      <w:t>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29B95A95"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4E4B8B4"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558E86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RPr="00373208" w:rsidP="00041909" w14:paraId="632C396D"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RPr="00F8298C" w:rsidP="00041909" w14:paraId="544E908F" w14:textId="4854AB71">
    <w:pPr>
      <w:pStyle w:val="Header"/>
    </w:pPr>
    <w:r>
      <w:t>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2D4" w:rsidP="00041909" w14:paraId="002E3F49" w14:textId="77777777">
    <w:pPr>
      <w:pStyle w:val="Header"/>
    </w:pPr>
    <w:r>
      <w:t>December 2011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519E5ACA" w14:textId="77777777">
    <w:pPr>
      <w:pStyle w:val="Header"/>
    </w:pPr>
    <w:r>
      <w:t>September 2011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06D50A37" w14:textId="5CC9415B">
    <w:pPr>
      <w:pStyle w:val="Header"/>
    </w:pPr>
    <w:r>
      <w:t>February</w:t>
    </w:r>
    <w:r w:rsidR="00147FFB">
      <w:t xml:space="preserve"> 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6CCF7F39"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1F40F4D"/>
    <w:multiLevelType w:val="multilevel"/>
    <w:tmpl w:val="4C28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FC10DC"/>
    <w:multiLevelType w:val="multilevel"/>
    <w:tmpl w:val="B69ADCF2"/>
    <w:numStyleLink w:val="EIAbullets"/>
  </w:abstractNum>
  <w:abstractNum w:abstractNumId="9">
    <w:nsid w:val="0CFA779D"/>
    <w:multiLevelType w:val="hybridMultilevel"/>
    <w:tmpl w:val="3BDE0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917CAF"/>
    <w:multiLevelType w:val="hybridMultilevel"/>
    <w:tmpl w:val="A798E7B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8369B9"/>
    <w:multiLevelType w:val="multilevel"/>
    <w:tmpl w:val="49AA6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E5181C"/>
    <w:multiLevelType w:val="multilevel"/>
    <w:tmpl w:val="B69ADCF2"/>
    <w:numStyleLink w:val="EIAbullets"/>
  </w:abstractNum>
  <w:abstractNum w:abstractNumId="13">
    <w:nsid w:val="147D411B"/>
    <w:multiLevelType w:val="multilevel"/>
    <w:tmpl w:val="D1F0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FD2379"/>
    <w:multiLevelType w:val="hybridMultilevel"/>
    <w:tmpl w:val="9724D84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7E6225"/>
    <w:multiLevelType w:val="multilevel"/>
    <w:tmpl w:val="B69ADCF2"/>
    <w:numStyleLink w:val="EIAbullets"/>
  </w:abstractNum>
  <w:abstractNum w:abstractNumId="18">
    <w:nsid w:val="209B0B43"/>
    <w:multiLevelType w:val="multilevel"/>
    <w:tmpl w:val="7444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1B7F46"/>
    <w:multiLevelType w:val="multilevel"/>
    <w:tmpl w:val="B69ADCF2"/>
    <w:styleLink w:val="EIAbullets"/>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20">
    <w:nsid w:val="3705688B"/>
    <w:multiLevelType w:val="hybridMultilevel"/>
    <w:tmpl w:val="06C650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861E46"/>
    <w:multiLevelType w:val="multilevel"/>
    <w:tmpl w:val="B69ADCF2"/>
    <w:numStyleLink w:val="EIAbullets"/>
  </w:abstractNum>
  <w:abstractNum w:abstractNumId="22">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CF152A"/>
    <w:multiLevelType w:val="hybridMultilevel"/>
    <w:tmpl w:val="B4CCAC2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6F128F"/>
    <w:multiLevelType w:val="multilevel"/>
    <w:tmpl w:val="4A145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DD29E3"/>
    <w:multiLevelType w:val="multilevel"/>
    <w:tmpl w:val="6C987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BA4579"/>
    <w:multiLevelType w:val="multilevel"/>
    <w:tmpl w:val="3B2C7070"/>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46BA2386"/>
    <w:multiLevelType w:val="multilevel"/>
    <w:tmpl w:val="B69ADCF2"/>
    <w:numStyleLink w:val="EIAbullets"/>
  </w:abstractNum>
  <w:abstractNum w:abstractNumId="28">
    <w:nsid w:val="48400604"/>
    <w:multiLevelType w:val="multilevel"/>
    <w:tmpl w:val="CBA63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BF29EA"/>
    <w:multiLevelType w:val="multilevel"/>
    <w:tmpl w:val="B69ADCF2"/>
    <w:numStyleLink w:val="EIAbullets"/>
  </w:abstractNum>
  <w:abstractNum w:abstractNumId="30">
    <w:nsid w:val="63103AAE"/>
    <w:multiLevelType w:val="hybridMultilevel"/>
    <w:tmpl w:val="1242D0B2"/>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2B2CBD"/>
    <w:multiLevelType w:val="multilevel"/>
    <w:tmpl w:val="B69ADCF2"/>
    <w:numStyleLink w:val="EIAbullets"/>
  </w:abstractNum>
  <w:abstractNum w:abstractNumId="32">
    <w:nsid w:val="679F1DA9"/>
    <w:multiLevelType w:val="multilevel"/>
    <w:tmpl w:val="2730E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A352BA"/>
    <w:multiLevelType w:val="hybridMultilevel"/>
    <w:tmpl w:val="176CF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942688"/>
    <w:multiLevelType w:val="hybridMultilevel"/>
    <w:tmpl w:val="867021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F863061"/>
    <w:multiLevelType w:val="multilevel"/>
    <w:tmpl w:val="AE02192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37">
    <w:nsid w:val="79D77E80"/>
    <w:multiLevelType w:val="multilevel"/>
    <w:tmpl w:val="6B60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A3635C"/>
    <w:multiLevelType w:val="multilevel"/>
    <w:tmpl w:val="F306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F07598"/>
    <w:multiLevelType w:val="hybridMultilevel"/>
    <w:tmpl w:val="4FE6B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2697448">
    <w:abstractNumId w:val="3"/>
  </w:num>
  <w:num w:numId="2" w16cid:durableId="1424956174">
    <w:abstractNumId w:val="6"/>
  </w:num>
  <w:num w:numId="3" w16cid:durableId="533617513">
    <w:abstractNumId w:val="4"/>
  </w:num>
  <w:num w:numId="4" w16cid:durableId="152646127">
    <w:abstractNumId w:val="2"/>
  </w:num>
  <w:num w:numId="5" w16cid:durableId="1275206951">
    <w:abstractNumId w:val="1"/>
  </w:num>
  <w:num w:numId="6" w16cid:durableId="448864609">
    <w:abstractNumId w:val="0"/>
  </w:num>
  <w:num w:numId="7" w16cid:durableId="1007752750">
    <w:abstractNumId w:val="36"/>
  </w:num>
  <w:num w:numId="8" w16cid:durableId="665402327">
    <w:abstractNumId w:val="19"/>
  </w:num>
  <w:num w:numId="9" w16cid:durableId="1457142434">
    <w:abstractNumId w:val="27"/>
  </w:num>
  <w:num w:numId="10" w16cid:durableId="500239312">
    <w:abstractNumId w:val="12"/>
  </w:num>
  <w:num w:numId="11" w16cid:durableId="1618760161">
    <w:abstractNumId w:val="14"/>
  </w:num>
  <w:num w:numId="12" w16cid:durableId="1894846348">
    <w:abstractNumId w:val="17"/>
  </w:num>
  <w:num w:numId="13" w16cid:durableId="253512499">
    <w:abstractNumId w:val="21"/>
  </w:num>
  <w:num w:numId="14" w16cid:durableId="596789066">
    <w:abstractNumId w:val="16"/>
  </w:num>
  <w:num w:numId="15" w16cid:durableId="771241845">
    <w:abstractNumId w:val="8"/>
  </w:num>
  <w:num w:numId="16" w16cid:durableId="869613690">
    <w:abstractNumId w:val="34"/>
  </w:num>
  <w:num w:numId="17" w16cid:durableId="1281766225">
    <w:abstractNumId w:val="29"/>
  </w:num>
  <w:num w:numId="18" w16cid:durableId="1924949801">
    <w:abstractNumId w:val="22"/>
  </w:num>
  <w:num w:numId="19" w16cid:durableId="1724401526">
    <w:abstractNumId w:val="31"/>
  </w:num>
  <w:num w:numId="20" w16cid:durableId="748621403">
    <w:abstractNumId w:val="5"/>
  </w:num>
  <w:num w:numId="21" w16cid:durableId="1585794181">
    <w:abstractNumId w:val="33"/>
  </w:num>
  <w:num w:numId="22" w16cid:durableId="632760752">
    <w:abstractNumId w:val="37"/>
  </w:num>
  <w:num w:numId="23" w16cid:durableId="1096946639">
    <w:abstractNumId w:val="11"/>
  </w:num>
  <w:num w:numId="24" w16cid:durableId="1657569164">
    <w:abstractNumId w:val="18"/>
  </w:num>
  <w:num w:numId="25" w16cid:durableId="962031193">
    <w:abstractNumId w:val="32"/>
  </w:num>
  <w:num w:numId="26" w16cid:durableId="1742092930">
    <w:abstractNumId w:val="9"/>
  </w:num>
  <w:num w:numId="27" w16cid:durableId="1209337067">
    <w:abstractNumId w:val="35"/>
  </w:num>
  <w:num w:numId="28" w16cid:durableId="1950120176">
    <w:abstractNumId w:val="39"/>
  </w:num>
  <w:num w:numId="29" w16cid:durableId="144246769">
    <w:abstractNumId w:val="25"/>
  </w:num>
  <w:num w:numId="30" w16cid:durableId="2075541592">
    <w:abstractNumId w:val="28"/>
  </w:num>
  <w:num w:numId="31" w16cid:durableId="640500584">
    <w:abstractNumId w:val="24"/>
  </w:num>
  <w:num w:numId="32" w16cid:durableId="1420062591">
    <w:abstractNumId w:val="20"/>
  </w:num>
  <w:num w:numId="33" w16cid:durableId="2001998193">
    <w:abstractNumId w:val="20"/>
    <w:lvlOverride w:ilvl="0">
      <w:startOverride w:val="1"/>
    </w:lvlOverride>
  </w:num>
  <w:num w:numId="34" w16cid:durableId="843474376">
    <w:abstractNumId w:val="20"/>
    <w:lvlOverride w:ilvl="0">
      <w:startOverride w:val="1"/>
    </w:lvlOverride>
  </w:num>
  <w:num w:numId="35" w16cid:durableId="727652990">
    <w:abstractNumId w:val="38"/>
  </w:num>
  <w:num w:numId="36" w16cid:durableId="1395542564">
    <w:abstractNumId w:val="7"/>
  </w:num>
  <w:num w:numId="37" w16cid:durableId="1321153710">
    <w:abstractNumId w:val="13"/>
  </w:num>
  <w:num w:numId="38" w16cid:durableId="216013097">
    <w:abstractNumId w:val="20"/>
    <w:lvlOverride w:ilvl="0">
      <w:startOverride w:val="1"/>
    </w:lvlOverride>
  </w:num>
  <w:num w:numId="39" w16cid:durableId="377776964">
    <w:abstractNumId w:val="10"/>
  </w:num>
  <w:num w:numId="40" w16cid:durableId="560941028">
    <w:abstractNumId w:val="15"/>
  </w:num>
  <w:num w:numId="41" w16cid:durableId="314339619">
    <w:abstractNumId w:val="23"/>
  </w:num>
  <w:num w:numId="42" w16cid:durableId="648444611">
    <w:abstractNumId w:val="23"/>
  </w:num>
  <w:num w:numId="43" w16cid:durableId="193155106">
    <w:abstractNumId w:val="30"/>
  </w:num>
  <w:num w:numId="44" w16cid:durableId="186771284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18"/>
    <w:rsid w:val="0000019D"/>
    <w:rsid w:val="000008B5"/>
    <w:rsid w:val="00001759"/>
    <w:rsid w:val="0000364C"/>
    <w:rsid w:val="00004135"/>
    <w:rsid w:val="000041A1"/>
    <w:rsid w:val="000053BB"/>
    <w:rsid w:val="00011064"/>
    <w:rsid w:val="00011B3F"/>
    <w:rsid w:val="00013373"/>
    <w:rsid w:val="000142E5"/>
    <w:rsid w:val="00015DA7"/>
    <w:rsid w:val="000238A5"/>
    <w:rsid w:val="000248CE"/>
    <w:rsid w:val="000316CB"/>
    <w:rsid w:val="00031B41"/>
    <w:rsid w:val="000342E0"/>
    <w:rsid w:val="00034A4B"/>
    <w:rsid w:val="000355EA"/>
    <w:rsid w:val="00041909"/>
    <w:rsid w:val="00042657"/>
    <w:rsid w:val="00046593"/>
    <w:rsid w:val="00047C08"/>
    <w:rsid w:val="00054FF3"/>
    <w:rsid w:val="000556B6"/>
    <w:rsid w:val="00055769"/>
    <w:rsid w:val="00056EC3"/>
    <w:rsid w:val="00057692"/>
    <w:rsid w:val="000621DC"/>
    <w:rsid w:val="00062CFE"/>
    <w:rsid w:val="00063FA9"/>
    <w:rsid w:val="0006429A"/>
    <w:rsid w:val="00067B2B"/>
    <w:rsid w:val="0007129A"/>
    <w:rsid w:val="000731CE"/>
    <w:rsid w:val="00074D95"/>
    <w:rsid w:val="00075BBB"/>
    <w:rsid w:val="0007760A"/>
    <w:rsid w:val="000819F2"/>
    <w:rsid w:val="000831C4"/>
    <w:rsid w:val="00083C90"/>
    <w:rsid w:val="000844CA"/>
    <w:rsid w:val="00085E32"/>
    <w:rsid w:val="00091CC7"/>
    <w:rsid w:val="00097E97"/>
    <w:rsid w:val="000A4CC2"/>
    <w:rsid w:val="000A5C70"/>
    <w:rsid w:val="000A7005"/>
    <w:rsid w:val="000A7986"/>
    <w:rsid w:val="000B3FBE"/>
    <w:rsid w:val="000B6E50"/>
    <w:rsid w:val="000C0130"/>
    <w:rsid w:val="000C3218"/>
    <w:rsid w:val="000C3BC4"/>
    <w:rsid w:val="000C4381"/>
    <w:rsid w:val="000C4F90"/>
    <w:rsid w:val="000C5311"/>
    <w:rsid w:val="000C5996"/>
    <w:rsid w:val="000D3912"/>
    <w:rsid w:val="000E044C"/>
    <w:rsid w:val="000F040A"/>
    <w:rsid w:val="000F67F2"/>
    <w:rsid w:val="001022FE"/>
    <w:rsid w:val="00102EEC"/>
    <w:rsid w:val="001034E8"/>
    <w:rsid w:val="00107609"/>
    <w:rsid w:val="00112A69"/>
    <w:rsid w:val="00114452"/>
    <w:rsid w:val="0011541D"/>
    <w:rsid w:val="0011697B"/>
    <w:rsid w:val="00132F4A"/>
    <w:rsid w:val="00137534"/>
    <w:rsid w:val="001379C5"/>
    <w:rsid w:val="00140D25"/>
    <w:rsid w:val="00142819"/>
    <w:rsid w:val="00142A38"/>
    <w:rsid w:val="00143053"/>
    <w:rsid w:val="00143C40"/>
    <w:rsid w:val="00147FFB"/>
    <w:rsid w:val="0015386C"/>
    <w:rsid w:val="001545BC"/>
    <w:rsid w:val="00157C35"/>
    <w:rsid w:val="00160925"/>
    <w:rsid w:val="00160D58"/>
    <w:rsid w:val="00161457"/>
    <w:rsid w:val="0016239D"/>
    <w:rsid w:val="00163792"/>
    <w:rsid w:val="00167425"/>
    <w:rsid w:val="00170751"/>
    <w:rsid w:val="00171ADB"/>
    <w:rsid w:val="00175361"/>
    <w:rsid w:val="00175EA0"/>
    <w:rsid w:val="00176795"/>
    <w:rsid w:val="001807A3"/>
    <w:rsid w:val="0018267C"/>
    <w:rsid w:val="0018681F"/>
    <w:rsid w:val="0019421C"/>
    <w:rsid w:val="001947D5"/>
    <w:rsid w:val="001A3A72"/>
    <w:rsid w:val="001A4250"/>
    <w:rsid w:val="001A6E1E"/>
    <w:rsid w:val="001A79BD"/>
    <w:rsid w:val="001B0E69"/>
    <w:rsid w:val="001B2220"/>
    <w:rsid w:val="001B2AF4"/>
    <w:rsid w:val="001C01B1"/>
    <w:rsid w:val="001C74E1"/>
    <w:rsid w:val="001D03A8"/>
    <w:rsid w:val="001D2633"/>
    <w:rsid w:val="001D26B5"/>
    <w:rsid w:val="001D2E96"/>
    <w:rsid w:val="001D420C"/>
    <w:rsid w:val="001D5FE1"/>
    <w:rsid w:val="001D6EC2"/>
    <w:rsid w:val="001E2336"/>
    <w:rsid w:val="001F1133"/>
    <w:rsid w:val="001F2998"/>
    <w:rsid w:val="001F3A8F"/>
    <w:rsid w:val="001F4868"/>
    <w:rsid w:val="002008B4"/>
    <w:rsid w:val="00201F24"/>
    <w:rsid w:val="00202D47"/>
    <w:rsid w:val="00203ACE"/>
    <w:rsid w:val="00206D5A"/>
    <w:rsid w:val="00207B9F"/>
    <w:rsid w:val="002127CE"/>
    <w:rsid w:val="00215842"/>
    <w:rsid w:val="002207DF"/>
    <w:rsid w:val="00221AC2"/>
    <w:rsid w:val="00224002"/>
    <w:rsid w:val="00227E4B"/>
    <w:rsid w:val="0023015A"/>
    <w:rsid w:val="00231171"/>
    <w:rsid w:val="002330DD"/>
    <w:rsid w:val="0023708A"/>
    <w:rsid w:val="00244EC5"/>
    <w:rsid w:val="0025022D"/>
    <w:rsid w:val="0025199F"/>
    <w:rsid w:val="00252B27"/>
    <w:rsid w:val="002530BB"/>
    <w:rsid w:val="002542D4"/>
    <w:rsid w:val="002556F3"/>
    <w:rsid w:val="00256A2F"/>
    <w:rsid w:val="00257A2E"/>
    <w:rsid w:val="00260EDF"/>
    <w:rsid w:val="00262A29"/>
    <w:rsid w:val="00262F5C"/>
    <w:rsid w:val="00264148"/>
    <w:rsid w:val="00267A8E"/>
    <w:rsid w:val="00271426"/>
    <w:rsid w:val="00271908"/>
    <w:rsid w:val="00274179"/>
    <w:rsid w:val="00280642"/>
    <w:rsid w:val="0028748E"/>
    <w:rsid w:val="00287AFD"/>
    <w:rsid w:val="002B02DE"/>
    <w:rsid w:val="002B0FD2"/>
    <w:rsid w:val="002B4951"/>
    <w:rsid w:val="002B5EC9"/>
    <w:rsid w:val="002C2059"/>
    <w:rsid w:val="002C378C"/>
    <w:rsid w:val="002C59E8"/>
    <w:rsid w:val="002D3981"/>
    <w:rsid w:val="002D4FE9"/>
    <w:rsid w:val="002E0255"/>
    <w:rsid w:val="002E10AE"/>
    <w:rsid w:val="002E18F8"/>
    <w:rsid w:val="002E1D3D"/>
    <w:rsid w:val="002E3FD5"/>
    <w:rsid w:val="002E5071"/>
    <w:rsid w:val="002E570C"/>
    <w:rsid w:val="002E7A38"/>
    <w:rsid w:val="002F2EE4"/>
    <w:rsid w:val="002F43A6"/>
    <w:rsid w:val="002F62AE"/>
    <w:rsid w:val="002F7133"/>
    <w:rsid w:val="0030055D"/>
    <w:rsid w:val="00306516"/>
    <w:rsid w:val="00307B61"/>
    <w:rsid w:val="003104AC"/>
    <w:rsid w:val="0031300D"/>
    <w:rsid w:val="00313D14"/>
    <w:rsid w:val="00323236"/>
    <w:rsid w:val="003237FA"/>
    <w:rsid w:val="00325C96"/>
    <w:rsid w:val="00330D13"/>
    <w:rsid w:val="00334188"/>
    <w:rsid w:val="00337189"/>
    <w:rsid w:val="003402CA"/>
    <w:rsid w:val="00340E04"/>
    <w:rsid w:val="003469CB"/>
    <w:rsid w:val="00346BDC"/>
    <w:rsid w:val="00350C8B"/>
    <w:rsid w:val="00356531"/>
    <w:rsid w:val="00360A02"/>
    <w:rsid w:val="0036246F"/>
    <w:rsid w:val="00363331"/>
    <w:rsid w:val="0036361B"/>
    <w:rsid w:val="00371E14"/>
    <w:rsid w:val="00372B0F"/>
    <w:rsid w:val="00373208"/>
    <w:rsid w:val="00381499"/>
    <w:rsid w:val="00382FA6"/>
    <w:rsid w:val="00383DB3"/>
    <w:rsid w:val="003854B2"/>
    <w:rsid w:val="00385AE6"/>
    <w:rsid w:val="00385B7A"/>
    <w:rsid w:val="00387C8D"/>
    <w:rsid w:val="00392DD0"/>
    <w:rsid w:val="003942C0"/>
    <w:rsid w:val="003956A1"/>
    <w:rsid w:val="00396BCB"/>
    <w:rsid w:val="003972A7"/>
    <w:rsid w:val="00397825"/>
    <w:rsid w:val="003A1073"/>
    <w:rsid w:val="003A10F3"/>
    <w:rsid w:val="003A2AA1"/>
    <w:rsid w:val="003A3906"/>
    <w:rsid w:val="003A41BD"/>
    <w:rsid w:val="003A4D72"/>
    <w:rsid w:val="003B03A4"/>
    <w:rsid w:val="003B1186"/>
    <w:rsid w:val="003B1B9A"/>
    <w:rsid w:val="003C03EA"/>
    <w:rsid w:val="003C690C"/>
    <w:rsid w:val="003C74E8"/>
    <w:rsid w:val="003C7641"/>
    <w:rsid w:val="003D3E59"/>
    <w:rsid w:val="003E3BDD"/>
    <w:rsid w:val="003E40FA"/>
    <w:rsid w:val="003F0B5B"/>
    <w:rsid w:val="003F19B6"/>
    <w:rsid w:val="003F24ED"/>
    <w:rsid w:val="003F3069"/>
    <w:rsid w:val="003F3134"/>
    <w:rsid w:val="003F3866"/>
    <w:rsid w:val="003F529E"/>
    <w:rsid w:val="003F7569"/>
    <w:rsid w:val="004020B2"/>
    <w:rsid w:val="00404AAD"/>
    <w:rsid w:val="00411560"/>
    <w:rsid w:val="00420586"/>
    <w:rsid w:val="00420847"/>
    <w:rsid w:val="00421713"/>
    <w:rsid w:val="0042608E"/>
    <w:rsid w:val="00426481"/>
    <w:rsid w:val="00426CFA"/>
    <w:rsid w:val="00431CD7"/>
    <w:rsid w:val="00432966"/>
    <w:rsid w:val="00433C96"/>
    <w:rsid w:val="00441B7B"/>
    <w:rsid w:val="004427DD"/>
    <w:rsid w:val="00447832"/>
    <w:rsid w:val="00452605"/>
    <w:rsid w:val="00455935"/>
    <w:rsid w:val="0045608E"/>
    <w:rsid w:val="0045662F"/>
    <w:rsid w:val="004602E9"/>
    <w:rsid w:val="00466959"/>
    <w:rsid w:val="004711BF"/>
    <w:rsid w:val="00473143"/>
    <w:rsid w:val="004735C3"/>
    <w:rsid w:val="0047784B"/>
    <w:rsid w:val="00477A20"/>
    <w:rsid w:val="004854EE"/>
    <w:rsid w:val="004946F0"/>
    <w:rsid w:val="00497C2A"/>
    <w:rsid w:val="004A3314"/>
    <w:rsid w:val="004A3AC7"/>
    <w:rsid w:val="004A729E"/>
    <w:rsid w:val="004B058E"/>
    <w:rsid w:val="004B1075"/>
    <w:rsid w:val="004B2B28"/>
    <w:rsid w:val="004B552A"/>
    <w:rsid w:val="004C0CC7"/>
    <w:rsid w:val="004C14D5"/>
    <w:rsid w:val="004C277B"/>
    <w:rsid w:val="004C4C53"/>
    <w:rsid w:val="004C6933"/>
    <w:rsid w:val="004D05FB"/>
    <w:rsid w:val="004D0F05"/>
    <w:rsid w:val="004D236B"/>
    <w:rsid w:val="004D29C7"/>
    <w:rsid w:val="004E0C1D"/>
    <w:rsid w:val="004E101F"/>
    <w:rsid w:val="004E1172"/>
    <w:rsid w:val="004E22F3"/>
    <w:rsid w:val="004E33B3"/>
    <w:rsid w:val="004E5446"/>
    <w:rsid w:val="004E6204"/>
    <w:rsid w:val="004F2096"/>
    <w:rsid w:val="00503464"/>
    <w:rsid w:val="00504119"/>
    <w:rsid w:val="0050544B"/>
    <w:rsid w:val="00505571"/>
    <w:rsid w:val="005065CF"/>
    <w:rsid w:val="00506BB4"/>
    <w:rsid w:val="0050705F"/>
    <w:rsid w:val="00514516"/>
    <w:rsid w:val="005170D3"/>
    <w:rsid w:val="00523115"/>
    <w:rsid w:val="005233AC"/>
    <w:rsid w:val="0052493A"/>
    <w:rsid w:val="00524A83"/>
    <w:rsid w:val="00533881"/>
    <w:rsid w:val="005342F6"/>
    <w:rsid w:val="0053525B"/>
    <w:rsid w:val="00535CAF"/>
    <w:rsid w:val="00536054"/>
    <w:rsid w:val="0053654B"/>
    <w:rsid w:val="00536A44"/>
    <w:rsid w:val="00536CE1"/>
    <w:rsid w:val="00537C90"/>
    <w:rsid w:val="00540CC5"/>
    <w:rsid w:val="0054180D"/>
    <w:rsid w:val="0054664E"/>
    <w:rsid w:val="0054713B"/>
    <w:rsid w:val="00547B53"/>
    <w:rsid w:val="00550B86"/>
    <w:rsid w:val="00552509"/>
    <w:rsid w:val="005537CA"/>
    <w:rsid w:val="0055726C"/>
    <w:rsid w:val="00560D43"/>
    <w:rsid w:val="00562A92"/>
    <w:rsid w:val="00563592"/>
    <w:rsid w:val="00571D8F"/>
    <w:rsid w:val="0057272F"/>
    <w:rsid w:val="0057367D"/>
    <w:rsid w:val="005746DF"/>
    <w:rsid w:val="0058053A"/>
    <w:rsid w:val="005826B3"/>
    <w:rsid w:val="00585BE3"/>
    <w:rsid w:val="00590293"/>
    <w:rsid w:val="0059136A"/>
    <w:rsid w:val="00592054"/>
    <w:rsid w:val="0059212D"/>
    <w:rsid w:val="005922AC"/>
    <w:rsid w:val="005943EC"/>
    <w:rsid w:val="005974EC"/>
    <w:rsid w:val="005A3CEC"/>
    <w:rsid w:val="005A4E93"/>
    <w:rsid w:val="005A7B2D"/>
    <w:rsid w:val="005B0329"/>
    <w:rsid w:val="005B25AC"/>
    <w:rsid w:val="005B2B58"/>
    <w:rsid w:val="005B2D37"/>
    <w:rsid w:val="005B380D"/>
    <w:rsid w:val="005B4863"/>
    <w:rsid w:val="005B5365"/>
    <w:rsid w:val="005B6038"/>
    <w:rsid w:val="005B763E"/>
    <w:rsid w:val="005C00FA"/>
    <w:rsid w:val="005C2D89"/>
    <w:rsid w:val="005C485B"/>
    <w:rsid w:val="005C519C"/>
    <w:rsid w:val="005C6DD6"/>
    <w:rsid w:val="005C7CE4"/>
    <w:rsid w:val="005D39D7"/>
    <w:rsid w:val="005D5956"/>
    <w:rsid w:val="005D602C"/>
    <w:rsid w:val="005D6F63"/>
    <w:rsid w:val="005E430C"/>
    <w:rsid w:val="005E6F33"/>
    <w:rsid w:val="005F0935"/>
    <w:rsid w:val="005F108A"/>
    <w:rsid w:val="005F4848"/>
    <w:rsid w:val="005F55C3"/>
    <w:rsid w:val="005F6A43"/>
    <w:rsid w:val="005F778C"/>
    <w:rsid w:val="005F788A"/>
    <w:rsid w:val="0060213D"/>
    <w:rsid w:val="00602DCD"/>
    <w:rsid w:val="00603051"/>
    <w:rsid w:val="00612A58"/>
    <w:rsid w:val="0062008C"/>
    <w:rsid w:val="00620797"/>
    <w:rsid w:val="00626494"/>
    <w:rsid w:val="00630D97"/>
    <w:rsid w:val="00634C63"/>
    <w:rsid w:val="0064057A"/>
    <w:rsid w:val="00641DE2"/>
    <w:rsid w:val="00643384"/>
    <w:rsid w:val="0064493E"/>
    <w:rsid w:val="006479DC"/>
    <w:rsid w:val="00650516"/>
    <w:rsid w:val="00652F00"/>
    <w:rsid w:val="0065378C"/>
    <w:rsid w:val="0065406F"/>
    <w:rsid w:val="00663EC4"/>
    <w:rsid w:val="00665772"/>
    <w:rsid w:val="00666179"/>
    <w:rsid w:val="00671CE9"/>
    <w:rsid w:val="00673D0B"/>
    <w:rsid w:val="0067711C"/>
    <w:rsid w:val="00677C5F"/>
    <w:rsid w:val="00684026"/>
    <w:rsid w:val="0069286E"/>
    <w:rsid w:val="0069531E"/>
    <w:rsid w:val="00696FA5"/>
    <w:rsid w:val="006A0BC7"/>
    <w:rsid w:val="006A0EB0"/>
    <w:rsid w:val="006A6190"/>
    <w:rsid w:val="006A7FF5"/>
    <w:rsid w:val="006B2023"/>
    <w:rsid w:val="006B226E"/>
    <w:rsid w:val="006B5E27"/>
    <w:rsid w:val="006C0062"/>
    <w:rsid w:val="006C097E"/>
    <w:rsid w:val="006C202C"/>
    <w:rsid w:val="006C2DC3"/>
    <w:rsid w:val="006C47BE"/>
    <w:rsid w:val="006C4EDB"/>
    <w:rsid w:val="006C5919"/>
    <w:rsid w:val="006C7E72"/>
    <w:rsid w:val="006D0439"/>
    <w:rsid w:val="006D466F"/>
    <w:rsid w:val="006D5DBF"/>
    <w:rsid w:val="006E3B18"/>
    <w:rsid w:val="006E3BFE"/>
    <w:rsid w:val="006F3C72"/>
    <w:rsid w:val="006F75CB"/>
    <w:rsid w:val="006F76FA"/>
    <w:rsid w:val="006F7788"/>
    <w:rsid w:val="00702FA3"/>
    <w:rsid w:val="00703E6B"/>
    <w:rsid w:val="0071655D"/>
    <w:rsid w:val="00723D50"/>
    <w:rsid w:val="00725453"/>
    <w:rsid w:val="00737591"/>
    <w:rsid w:val="00742A3F"/>
    <w:rsid w:val="007438F2"/>
    <w:rsid w:val="00746DAB"/>
    <w:rsid w:val="00752786"/>
    <w:rsid w:val="00754744"/>
    <w:rsid w:val="00755071"/>
    <w:rsid w:val="00755C3D"/>
    <w:rsid w:val="007576EF"/>
    <w:rsid w:val="00757AEA"/>
    <w:rsid w:val="00760677"/>
    <w:rsid w:val="007609B3"/>
    <w:rsid w:val="00761C12"/>
    <w:rsid w:val="007722B2"/>
    <w:rsid w:val="00773BCB"/>
    <w:rsid w:val="00773DDF"/>
    <w:rsid w:val="00776CF4"/>
    <w:rsid w:val="0077701B"/>
    <w:rsid w:val="00783DF5"/>
    <w:rsid w:val="00784F89"/>
    <w:rsid w:val="00786336"/>
    <w:rsid w:val="0079788C"/>
    <w:rsid w:val="007A4264"/>
    <w:rsid w:val="007A4378"/>
    <w:rsid w:val="007A4F93"/>
    <w:rsid w:val="007A548C"/>
    <w:rsid w:val="007B6FA1"/>
    <w:rsid w:val="007C0F25"/>
    <w:rsid w:val="007C17C1"/>
    <w:rsid w:val="007C1889"/>
    <w:rsid w:val="007C2C68"/>
    <w:rsid w:val="007C362A"/>
    <w:rsid w:val="007C463E"/>
    <w:rsid w:val="007C5CE9"/>
    <w:rsid w:val="007C7A96"/>
    <w:rsid w:val="007D39CC"/>
    <w:rsid w:val="007D418E"/>
    <w:rsid w:val="007D6AAF"/>
    <w:rsid w:val="007E0774"/>
    <w:rsid w:val="007E37FC"/>
    <w:rsid w:val="007E5436"/>
    <w:rsid w:val="007E5A11"/>
    <w:rsid w:val="007E73E6"/>
    <w:rsid w:val="007E7B61"/>
    <w:rsid w:val="007F1954"/>
    <w:rsid w:val="007F21A3"/>
    <w:rsid w:val="007F21D7"/>
    <w:rsid w:val="007F2BB7"/>
    <w:rsid w:val="008057F8"/>
    <w:rsid w:val="0080783A"/>
    <w:rsid w:val="00807C1D"/>
    <w:rsid w:val="00811265"/>
    <w:rsid w:val="00814A2A"/>
    <w:rsid w:val="00821955"/>
    <w:rsid w:val="00827B97"/>
    <w:rsid w:val="008307E1"/>
    <w:rsid w:val="00843557"/>
    <w:rsid w:val="008456FB"/>
    <w:rsid w:val="0085111D"/>
    <w:rsid w:val="008601F5"/>
    <w:rsid w:val="0086423E"/>
    <w:rsid w:val="00864FA2"/>
    <w:rsid w:val="00867160"/>
    <w:rsid w:val="0087205B"/>
    <w:rsid w:val="00872129"/>
    <w:rsid w:val="00874A78"/>
    <w:rsid w:val="00874FB8"/>
    <w:rsid w:val="00877B4E"/>
    <w:rsid w:val="008808A1"/>
    <w:rsid w:val="0088133E"/>
    <w:rsid w:val="00881F75"/>
    <w:rsid w:val="00884FF8"/>
    <w:rsid w:val="008934C5"/>
    <w:rsid w:val="008947EF"/>
    <w:rsid w:val="00895669"/>
    <w:rsid w:val="00897946"/>
    <w:rsid w:val="008A099F"/>
    <w:rsid w:val="008A296E"/>
    <w:rsid w:val="008A3276"/>
    <w:rsid w:val="008A3447"/>
    <w:rsid w:val="008A3ED0"/>
    <w:rsid w:val="008B2E75"/>
    <w:rsid w:val="008B7D44"/>
    <w:rsid w:val="008C0513"/>
    <w:rsid w:val="008C2BA9"/>
    <w:rsid w:val="008C3BF8"/>
    <w:rsid w:val="008C3D78"/>
    <w:rsid w:val="008C4DAD"/>
    <w:rsid w:val="008C6A9E"/>
    <w:rsid w:val="008D0100"/>
    <w:rsid w:val="008E1690"/>
    <w:rsid w:val="008E2575"/>
    <w:rsid w:val="008E4BF2"/>
    <w:rsid w:val="008E4FA4"/>
    <w:rsid w:val="008E5541"/>
    <w:rsid w:val="008E6CF2"/>
    <w:rsid w:val="008F4CBD"/>
    <w:rsid w:val="00900A5C"/>
    <w:rsid w:val="009017AD"/>
    <w:rsid w:val="00901BED"/>
    <w:rsid w:val="00901F30"/>
    <w:rsid w:val="00903267"/>
    <w:rsid w:val="00905735"/>
    <w:rsid w:val="00907274"/>
    <w:rsid w:val="009131B9"/>
    <w:rsid w:val="00927877"/>
    <w:rsid w:val="00931496"/>
    <w:rsid w:val="00935805"/>
    <w:rsid w:val="009368F3"/>
    <w:rsid w:val="009411C1"/>
    <w:rsid w:val="009432DB"/>
    <w:rsid w:val="00943C8F"/>
    <w:rsid w:val="00946B4E"/>
    <w:rsid w:val="00947C42"/>
    <w:rsid w:val="00950489"/>
    <w:rsid w:val="00954FEF"/>
    <w:rsid w:val="00957DE9"/>
    <w:rsid w:val="009647EE"/>
    <w:rsid w:val="00964B7E"/>
    <w:rsid w:val="00965A44"/>
    <w:rsid w:val="00967D7C"/>
    <w:rsid w:val="00967F68"/>
    <w:rsid w:val="009716AB"/>
    <w:rsid w:val="00971F3E"/>
    <w:rsid w:val="009727DF"/>
    <w:rsid w:val="009731FB"/>
    <w:rsid w:val="00973C3E"/>
    <w:rsid w:val="009757AD"/>
    <w:rsid w:val="009769E5"/>
    <w:rsid w:val="00980B6A"/>
    <w:rsid w:val="009818F9"/>
    <w:rsid w:val="00982427"/>
    <w:rsid w:val="00984714"/>
    <w:rsid w:val="00985373"/>
    <w:rsid w:val="0098618F"/>
    <w:rsid w:val="009871A8"/>
    <w:rsid w:val="00987BD0"/>
    <w:rsid w:val="00987C32"/>
    <w:rsid w:val="00991646"/>
    <w:rsid w:val="0099448B"/>
    <w:rsid w:val="0099507E"/>
    <w:rsid w:val="00997347"/>
    <w:rsid w:val="009A4669"/>
    <w:rsid w:val="009A6CD1"/>
    <w:rsid w:val="009B19CE"/>
    <w:rsid w:val="009B2F09"/>
    <w:rsid w:val="009B782D"/>
    <w:rsid w:val="009C202F"/>
    <w:rsid w:val="009C2AA7"/>
    <w:rsid w:val="009C40AD"/>
    <w:rsid w:val="009C4C6A"/>
    <w:rsid w:val="009C55DA"/>
    <w:rsid w:val="009C64C9"/>
    <w:rsid w:val="009C77F7"/>
    <w:rsid w:val="009D0490"/>
    <w:rsid w:val="009D2670"/>
    <w:rsid w:val="009D3ABF"/>
    <w:rsid w:val="009D4B91"/>
    <w:rsid w:val="009E192B"/>
    <w:rsid w:val="009E5ABC"/>
    <w:rsid w:val="009E5B9C"/>
    <w:rsid w:val="009F06A3"/>
    <w:rsid w:val="009F174B"/>
    <w:rsid w:val="009F28C0"/>
    <w:rsid w:val="009F61F7"/>
    <w:rsid w:val="00A00D71"/>
    <w:rsid w:val="00A00EDF"/>
    <w:rsid w:val="00A01C84"/>
    <w:rsid w:val="00A0275F"/>
    <w:rsid w:val="00A05A74"/>
    <w:rsid w:val="00A12855"/>
    <w:rsid w:val="00A128D1"/>
    <w:rsid w:val="00A15571"/>
    <w:rsid w:val="00A16DD0"/>
    <w:rsid w:val="00A26A17"/>
    <w:rsid w:val="00A30169"/>
    <w:rsid w:val="00A312A3"/>
    <w:rsid w:val="00A31ADB"/>
    <w:rsid w:val="00A33D9F"/>
    <w:rsid w:val="00A37229"/>
    <w:rsid w:val="00A3798B"/>
    <w:rsid w:val="00A418C9"/>
    <w:rsid w:val="00A444E3"/>
    <w:rsid w:val="00A46CC9"/>
    <w:rsid w:val="00A50404"/>
    <w:rsid w:val="00A53C9F"/>
    <w:rsid w:val="00A56852"/>
    <w:rsid w:val="00A62B22"/>
    <w:rsid w:val="00A66280"/>
    <w:rsid w:val="00A6639A"/>
    <w:rsid w:val="00A71C73"/>
    <w:rsid w:val="00A720E0"/>
    <w:rsid w:val="00A72971"/>
    <w:rsid w:val="00A74C9B"/>
    <w:rsid w:val="00A8583F"/>
    <w:rsid w:val="00A85A84"/>
    <w:rsid w:val="00A85EA6"/>
    <w:rsid w:val="00A87F47"/>
    <w:rsid w:val="00A90D41"/>
    <w:rsid w:val="00A93478"/>
    <w:rsid w:val="00A93877"/>
    <w:rsid w:val="00A97C0E"/>
    <w:rsid w:val="00A97FE7"/>
    <w:rsid w:val="00AA13DB"/>
    <w:rsid w:val="00AA46CA"/>
    <w:rsid w:val="00AA4939"/>
    <w:rsid w:val="00AA6D96"/>
    <w:rsid w:val="00AA7EFA"/>
    <w:rsid w:val="00AB2394"/>
    <w:rsid w:val="00AB2C12"/>
    <w:rsid w:val="00AB5D4E"/>
    <w:rsid w:val="00AB61B3"/>
    <w:rsid w:val="00AB67BB"/>
    <w:rsid w:val="00AC1258"/>
    <w:rsid w:val="00AC323A"/>
    <w:rsid w:val="00AC36B6"/>
    <w:rsid w:val="00AD06F0"/>
    <w:rsid w:val="00AD1490"/>
    <w:rsid w:val="00AD2896"/>
    <w:rsid w:val="00AD2B19"/>
    <w:rsid w:val="00AD3D80"/>
    <w:rsid w:val="00AD6244"/>
    <w:rsid w:val="00AD6357"/>
    <w:rsid w:val="00AD7F81"/>
    <w:rsid w:val="00AE0134"/>
    <w:rsid w:val="00AE01E2"/>
    <w:rsid w:val="00AE3347"/>
    <w:rsid w:val="00AE4CA9"/>
    <w:rsid w:val="00AE5A7F"/>
    <w:rsid w:val="00AE6CD9"/>
    <w:rsid w:val="00AE7155"/>
    <w:rsid w:val="00AF0443"/>
    <w:rsid w:val="00AF04F7"/>
    <w:rsid w:val="00AF198D"/>
    <w:rsid w:val="00AF2CBF"/>
    <w:rsid w:val="00AF2EDD"/>
    <w:rsid w:val="00AF367D"/>
    <w:rsid w:val="00AF45FD"/>
    <w:rsid w:val="00AF6626"/>
    <w:rsid w:val="00B0128A"/>
    <w:rsid w:val="00B01714"/>
    <w:rsid w:val="00B241D6"/>
    <w:rsid w:val="00B250CD"/>
    <w:rsid w:val="00B3160E"/>
    <w:rsid w:val="00B324D1"/>
    <w:rsid w:val="00B35E2A"/>
    <w:rsid w:val="00B41D7A"/>
    <w:rsid w:val="00B4263D"/>
    <w:rsid w:val="00B445C5"/>
    <w:rsid w:val="00B4554F"/>
    <w:rsid w:val="00B50C82"/>
    <w:rsid w:val="00B543B9"/>
    <w:rsid w:val="00B56F49"/>
    <w:rsid w:val="00B5784D"/>
    <w:rsid w:val="00B657FC"/>
    <w:rsid w:val="00B66BCF"/>
    <w:rsid w:val="00B671F4"/>
    <w:rsid w:val="00B67A07"/>
    <w:rsid w:val="00B72933"/>
    <w:rsid w:val="00B73028"/>
    <w:rsid w:val="00B7442A"/>
    <w:rsid w:val="00B80706"/>
    <w:rsid w:val="00B827F9"/>
    <w:rsid w:val="00B85C31"/>
    <w:rsid w:val="00B85CD0"/>
    <w:rsid w:val="00B94688"/>
    <w:rsid w:val="00B97002"/>
    <w:rsid w:val="00BA053B"/>
    <w:rsid w:val="00BA72AC"/>
    <w:rsid w:val="00BB2F70"/>
    <w:rsid w:val="00BB64D7"/>
    <w:rsid w:val="00BB6CF4"/>
    <w:rsid w:val="00BB706E"/>
    <w:rsid w:val="00BC14C3"/>
    <w:rsid w:val="00BC1ABE"/>
    <w:rsid w:val="00BC26D4"/>
    <w:rsid w:val="00BC6B0F"/>
    <w:rsid w:val="00BC6B7B"/>
    <w:rsid w:val="00BC7C0E"/>
    <w:rsid w:val="00BD2F20"/>
    <w:rsid w:val="00BD4F62"/>
    <w:rsid w:val="00BD55DB"/>
    <w:rsid w:val="00BE1FA1"/>
    <w:rsid w:val="00BE4AFD"/>
    <w:rsid w:val="00BE667F"/>
    <w:rsid w:val="00BF2AA5"/>
    <w:rsid w:val="00BF7E8C"/>
    <w:rsid w:val="00C00590"/>
    <w:rsid w:val="00C01A26"/>
    <w:rsid w:val="00C04647"/>
    <w:rsid w:val="00C07A3E"/>
    <w:rsid w:val="00C1108D"/>
    <w:rsid w:val="00C12551"/>
    <w:rsid w:val="00C132E2"/>
    <w:rsid w:val="00C211CD"/>
    <w:rsid w:val="00C25328"/>
    <w:rsid w:val="00C32E51"/>
    <w:rsid w:val="00C33C3C"/>
    <w:rsid w:val="00C3744D"/>
    <w:rsid w:val="00C43A84"/>
    <w:rsid w:val="00C43D02"/>
    <w:rsid w:val="00C47331"/>
    <w:rsid w:val="00C51F89"/>
    <w:rsid w:val="00C56BC8"/>
    <w:rsid w:val="00C61B2B"/>
    <w:rsid w:val="00C64137"/>
    <w:rsid w:val="00C658E4"/>
    <w:rsid w:val="00C6629F"/>
    <w:rsid w:val="00C676B1"/>
    <w:rsid w:val="00C71165"/>
    <w:rsid w:val="00C715A9"/>
    <w:rsid w:val="00C7266E"/>
    <w:rsid w:val="00C739D7"/>
    <w:rsid w:val="00C754F1"/>
    <w:rsid w:val="00C76C66"/>
    <w:rsid w:val="00C76FF0"/>
    <w:rsid w:val="00C772CF"/>
    <w:rsid w:val="00C82DF9"/>
    <w:rsid w:val="00C833C2"/>
    <w:rsid w:val="00C87190"/>
    <w:rsid w:val="00C9047C"/>
    <w:rsid w:val="00C9076D"/>
    <w:rsid w:val="00C9259C"/>
    <w:rsid w:val="00C92D6F"/>
    <w:rsid w:val="00C95717"/>
    <w:rsid w:val="00C97EC2"/>
    <w:rsid w:val="00CA1564"/>
    <w:rsid w:val="00CA2A61"/>
    <w:rsid w:val="00CA35A6"/>
    <w:rsid w:val="00CA60D5"/>
    <w:rsid w:val="00CA7C8A"/>
    <w:rsid w:val="00CB13DD"/>
    <w:rsid w:val="00CB180D"/>
    <w:rsid w:val="00CB34B0"/>
    <w:rsid w:val="00CB44E8"/>
    <w:rsid w:val="00CB6CF6"/>
    <w:rsid w:val="00CB74AB"/>
    <w:rsid w:val="00CB78A1"/>
    <w:rsid w:val="00CB7978"/>
    <w:rsid w:val="00CC1D12"/>
    <w:rsid w:val="00CC4933"/>
    <w:rsid w:val="00CD1D93"/>
    <w:rsid w:val="00CE3CA7"/>
    <w:rsid w:val="00CE42E9"/>
    <w:rsid w:val="00CF69EF"/>
    <w:rsid w:val="00CF76C5"/>
    <w:rsid w:val="00D001E4"/>
    <w:rsid w:val="00D00AA8"/>
    <w:rsid w:val="00D00CAF"/>
    <w:rsid w:val="00D02778"/>
    <w:rsid w:val="00D06EF5"/>
    <w:rsid w:val="00D078F8"/>
    <w:rsid w:val="00D10978"/>
    <w:rsid w:val="00D16EC6"/>
    <w:rsid w:val="00D20ED2"/>
    <w:rsid w:val="00D23CE2"/>
    <w:rsid w:val="00D267A3"/>
    <w:rsid w:val="00D300F4"/>
    <w:rsid w:val="00D3344B"/>
    <w:rsid w:val="00D37B1E"/>
    <w:rsid w:val="00D40175"/>
    <w:rsid w:val="00D40AB8"/>
    <w:rsid w:val="00D4351B"/>
    <w:rsid w:val="00D45E5F"/>
    <w:rsid w:val="00D46BDB"/>
    <w:rsid w:val="00D52FBA"/>
    <w:rsid w:val="00D55243"/>
    <w:rsid w:val="00D55D9B"/>
    <w:rsid w:val="00D62F90"/>
    <w:rsid w:val="00D63E74"/>
    <w:rsid w:val="00D673A3"/>
    <w:rsid w:val="00D715C4"/>
    <w:rsid w:val="00D72264"/>
    <w:rsid w:val="00D80C98"/>
    <w:rsid w:val="00D83FE2"/>
    <w:rsid w:val="00D87FF7"/>
    <w:rsid w:val="00D928FD"/>
    <w:rsid w:val="00D93800"/>
    <w:rsid w:val="00D954B4"/>
    <w:rsid w:val="00D96D3C"/>
    <w:rsid w:val="00D9766A"/>
    <w:rsid w:val="00D97E43"/>
    <w:rsid w:val="00DB62D9"/>
    <w:rsid w:val="00DB6ABB"/>
    <w:rsid w:val="00DB7AFE"/>
    <w:rsid w:val="00DC6AB2"/>
    <w:rsid w:val="00DC79E3"/>
    <w:rsid w:val="00DD229B"/>
    <w:rsid w:val="00DD2A41"/>
    <w:rsid w:val="00DE0DC5"/>
    <w:rsid w:val="00DE2D54"/>
    <w:rsid w:val="00DE4069"/>
    <w:rsid w:val="00DE7A1C"/>
    <w:rsid w:val="00DF1B46"/>
    <w:rsid w:val="00DF609C"/>
    <w:rsid w:val="00E02BB0"/>
    <w:rsid w:val="00E03CE6"/>
    <w:rsid w:val="00E04947"/>
    <w:rsid w:val="00E04AA7"/>
    <w:rsid w:val="00E054DF"/>
    <w:rsid w:val="00E05758"/>
    <w:rsid w:val="00E126D1"/>
    <w:rsid w:val="00E13716"/>
    <w:rsid w:val="00E14EE6"/>
    <w:rsid w:val="00E15B99"/>
    <w:rsid w:val="00E1622B"/>
    <w:rsid w:val="00E1631C"/>
    <w:rsid w:val="00E21D3A"/>
    <w:rsid w:val="00E2271B"/>
    <w:rsid w:val="00E236BC"/>
    <w:rsid w:val="00E24A55"/>
    <w:rsid w:val="00E266FF"/>
    <w:rsid w:val="00E27661"/>
    <w:rsid w:val="00E362E8"/>
    <w:rsid w:val="00E43081"/>
    <w:rsid w:val="00E4459C"/>
    <w:rsid w:val="00E45F7B"/>
    <w:rsid w:val="00E47DB3"/>
    <w:rsid w:val="00E51F8B"/>
    <w:rsid w:val="00E5242A"/>
    <w:rsid w:val="00E53398"/>
    <w:rsid w:val="00E56B5F"/>
    <w:rsid w:val="00E56DF7"/>
    <w:rsid w:val="00E6227E"/>
    <w:rsid w:val="00E62FBD"/>
    <w:rsid w:val="00E66AE2"/>
    <w:rsid w:val="00E66EE7"/>
    <w:rsid w:val="00E67D21"/>
    <w:rsid w:val="00E71101"/>
    <w:rsid w:val="00E724AB"/>
    <w:rsid w:val="00E73DAE"/>
    <w:rsid w:val="00E74DA4"/>
    <w:rsid w:val="00E77893"/>
    <w:rsid w:val="00E81B89"/>
    <w:rsid w:val="00E87488"/>
    <w:rsid w:val="00E90E2E"/>
    <w:rsid w:val="00E91432"/>
    <w:rsid w:val="00E91B5A"/>
    <w:rsid w:val="00E91EAC"/>
    <w:rsid w:val="00E9275B"/>
    <w:rsid w:val="00E934F9"/>
    <w:rsid w:val="00E95D3A"/>
    <w:rsid w:val="00EA215E"/>
    <w:rsid w:val="00EA29A9"/>
    <w:rsid w:val="00EA5F80"/>
    <w:rsid w:val="00EA779A"/>
    <w:rsid w:val="00EB2CA6"/>
    <w:rsid w:val="00EB3474"/>
    <w:rsid w:val="00EB6F5A"/>
    <w:rsid w:val="00EB78C3"/>
    <w:rsid w:val="00EB7C99"/>
    <w:rsid w:val="00EC06F2"/>
    <w:rsid w:val="00EC10A3"/>
    <w:rsid w:val="00EC145D"/>
    <w:rsid w:val="00EC2E2A"/>
    <w:rsid w:val="00EC7D4A"/>
    <w:rsid w:val="00ED218D"/>
    <w:rsid w:val="00ED2D61"/>
    <w:rsid w:val="00ED6E45"/>
    <w:rsid w:val="00EE3342"/>
    <w:rsid w:val="00EE43E4"/>
    <w:rsid w:val="00EE4BED"/>
    <w:rsid w:val="00EF13CF"/>
    <w:rsid w:val="00EF1F26"/>
    <w:rsid w:val="00EF6BF6"/>
    <w:rsid w:val="00EF6FD8"/>
    <w:rsid w:val="00EF7CCC"/>
    <w:rsid w:val="00F001EA"/>
    <w:rsid w:val="00F02AA4"/>
    <w:rsid w:val="00F0312E"/>
    <w:rsid w:val="00F0463E"/>
    <w:rsid w:val="00F04E20"/>
    <w:rsid w:val="00F05F13"/>
    <w:rsid w:val="00F13801"/>
    <w:rsid w:val="00F13B92"/>
    <w:rsid w:val="00F13BE5"/>
    <w:rsid w:val="00F16101"/>
    <w:rsid w:val="00F166B2"/>
    <w:rsid w:val="00F16B90"/>
    <w:rsid w:val="00F24517"/>
    <w:rsid w:val="00F32213"/>
    <w:rsid w:val="00F33BE7"/>
    <w:rsid w:val="00F34F19"/>
    <w:rsid w:val="00F35AD1"/>
    <w:rsid w:val="00F36ECD"/>
    <w:rsid w:val="00F40A80"/>
    <w:rsid w:val="00F43C32"/>
    <w:rsid w:val="00F43F66"/>
    <w:rsid w:val="00F44A21"/>
    <w:rsid w:val="00F45F7B"/>
    <w:rsid w:val="00F4615E"/>
    <w:rsid w:val="00F4629D"/>
    <w:rsid w:val="00F46EC7"/>
    <w:rsid w:val="00F5073A"/>
    <w:rsid w:val="00F53384"/>
    <w:rsid w:val="00F53390"/>
    <w:rsid w:val="00F55DEB"/>
    <w:rsid w:val="00F575F0"/>
    <w:rsid w:val="00F61D0B"/>
    <w:rsid w:val="00F62E25"/>
    <w:rsid w:val="00F6664C"/>
    <w:rsid w:val="00F73109"/>
    <w:rsid w:val="00F7399B"/>
    <w:rsid w:val="00F73EAC"/>
    <w:rsid w:val="00F779CF"/>
    <w:rsid w:val="00F80AF1"/>
    <w:rsid w:val="00F81DCC"/>
    <w:rsid w:val="00F81E3D"/>
    <w:rsid w:val="00F8298C"/>
    <w:rsid w:val="00F90245"/>
    <w:rsid w:val="00F920D9"/>
    <w:rsid w:val="00F9459F"/>
    <w:rsid w:val="00F94781"/>
    <w:rsid w:val="00F95450"/>
    <w:rsid w:val="00F9692B"/>
    <w:rsid w:val="00FA0E52"/>
    <w:rsid w:val="00FA104E"/>
    <w:rsid w:val="00FA36CE"/>
    <w:rsid w:val="00FA5388"/>
    <w:rsid w:val="00FA540C"/>
    <w:rsid w:val="00FA7281"/>
    <w:rsid w:val="00FB08E3"/>
    <w:rsid w:val="00FB3392"/>
    <w:rsid w:val="00FB3AA1"/>
    <w:rsid w:val="00FB5DD6"/>
    <w:rsid w:val="00FB7B6B"/>
    <w:rsid w:val="00FC030C"/>
    <w:rsid w:val="00FC7205"/>
    <w:rsid w:val="00FD0D09"/>
    <w:rsid w:val="00FD2124"/>
    <w:rsid w:val="00FD397B"/>
    <w:rsid w:val="00FD4B01"/>
    <w:rsid w:val="00FD4C71"/>
    <w:rsid w:val="00FD50DF"/>
    <w:rsid w:val="00FD6EFB"/>
    <w:rsid w:val="00FD7CDC"/>
    <w:rsid w:val="00FE22D2"/>
    <w:rsid w:val="00FE2F8D"/>
    <w:rsid w:val="00FE469B"/>
    <w:rsid w:val="00FE4DD5"/>
    <w:rsid w:val="00FE58E0"/>
    <w:rsid w:val="00FE74D0"/>
    <w:rsid w:val="00FF2366"/>
    <w:rsid w:val="00FF36AE"/>
    <w:rsid w:val="00FF6194"/>
    <w:rsid w:val="01D3E337"/>
    <w:rsid w:val="01D5D334"/>
    <w:rsid w:val="02657760"/>
    <w:rsid w:val="0359CB5E"/>
    <w:rsid w:val="0377061B"/>
    <w:rsid w:val="042A0737"/>
    <w:rsid w:val="04BF1A0A"/>
    <w:rsid w:val="0607588A"/>
    <w:rsid w:val="0631A195"/>
    <w:rsid w:val="06C75153"/>
    <w:rsid w:val="06E81C6C"/>
    <w:rsid w:val="07091221"/>
    <w:rsid w:val="09E9B5B4"/>
    <w:rsid w:val="0A4308F2"/>
    <w:rsid w:val="0AD8547F"/>
    <w:rsid w:val="0ADE9EF2"/>
    <w:rsid w:val="0B0BF116"/>
    <w:rsid w:val="0B2237D6"/>
    <w:rsid w:val="0BB2FB2D"/>
    <w:rsid w:val="0DAA8C93"/>
    <w:rsid w:val="11107F63"/>
    <w:rsid w:val="11528B7A"/>
    <w:rsid w:val="123BBC58"/>
    <w:rsid w:val="135C3999"/>
    <w:rsid w:val="1433ECC3"/>
    <w:rsid w:val="14D852FA"/>
    <w:rsid w:val="17104C92"/>
    <w:rsid w:val="177E1B2A"/>
    <w:rsid w:val="18D5EFF2"/>
    <w:rsid w:val="18FF5B87"/>
    <w:rsid w:val="19661922"/>
    <w:rsid w:val="1CAE4599"/>
    <w:rsid w:val="1D5C2DD6"/>
    <w:rsid w:val="20AD0C74"/>
    <w:rsid w:val="21B3A00A"/>
    <w:rsid w:val="227D59DB"/>
    <w:rsid w:val="23DBF7EE"/>
    <w:rsid w:val="24475A42"/>
    <w:rsid w:val="244899B1"/>
    <w:rsid w:val="255C3518"/>
    <w:rsid w:val="25A4612C"/>
    <w:rsid w:val="282B4AF9"/>
    <w:rsid w:val="2A17F064"/>
    <w:rsid w:val="2C61BA43"/>
    <w:rsid w:val="2C69D410"/>
    <w:rsid w:val="2C8FA402"/>
    <w:rsid w:val="2E0A94C6"/>
    <w:rsid w:val="2E71A4AE"/>
    <w:rsid w:val="2FA7A8A0"/>
    <w:rsid w:val="30272C33"/>
    <w:rsid w:val="32A78A11"/>
    <w:rsid w:val="3391CEFB"/>
    <w:rsid w:val="33C859B5"/>
    <w:rsid w:val="341EDF25"/>
    <w:rsid w:val="363371C7"/>
    <w:rsid w:val="38511579"/>
    <w:rsid w:val="3AB3D301"/>
    <w:rsid w:val="3BF432E8"/>
    <w:rsid w:val="3D81C92E"/>
    <w:rsid w:val="3DFF2D5C"/>
    <w:rsid w:val="4077C276"/>
    <w:rsid w:val="416B8E29"/>
    <w:rsid w:val="4235F533"/>
    <w:rsid w:val="43AEECED"/>
    <w:rsid w:val="45862459"/>
    <w:rsid w:val="45B5FBB8"/>
    <w:rsid w:val="465513BE"/>
    <w:rsid w:val="46FF3C53"/>
    <w:rsid w:val="482BE76A"/>
    <w:rsid w:val="48E4B886"/>
    <w:rsid w:val="4AF94C22"/>
    <w:rsid w:val="4BB31267"/>
    <w:rsid w:val="4BD2BBCE"/>
    <w:rsid w:val="4D7CA922"/>
    <w:rsid w:val="4EE1CC74"/>
    <w:rsid w:val="5107768B"/>
    <w:rsid w:val="517C4FDA"/>
    <w:rsid w:val="53CADFDA"/>
    <w:rsid w:val="54A4AC98"/>
    <w:rsid w:val="55368237"/>
    <w:rsid w:val="5690B9AB"/>
    <w:rsid w:val="5693345D"/>
    <w:rsid w:val="56B2AE7F"/>
    <w:rsid w:val="59C6E2E1"/>
    <w:rsid w:val="5A0D30CA"/>
    <w:rsid w:val="5A5A6B0A"/>
    <w:rsid w:val="5A6E1665"/>
    <w:rsid w:val="5C30804A"/>
    <w:rsid w:val="5CF95E6E"/>
    <w:rsid w:val="5F384A8E"/>
    <w:rsid w:val="5FA23576"/>
    <w:rsid w:val="6475B4FB"/>
    <w:rsid w:val="64A813DC"/>
    <w:rsid w:val="64F107CA"/>
    <w:rsid w:val="6549F741"/>
    <w:rsid w:val="65578C68"/>
    <w:rsid w:val="658DC0AA"/>
    <w:rsid w:val="661C0799"/>
    <w:rsid w:val="67CEA077"/>
    <w:rsid w:val="68342CC6"/>
    <w:rsid w:val="68CC8660"/>
    <w:rsid w:val="69246CED"/>
    <w:rsid w:val="6B07F270"/>
    <w:rsid w:val="6B30B38B"/>
    <w:rsid w:val="6D718512"/>
    <w:rsid w:val="6F083CCD"/>
    <w:rsid w:val="720A7A5B"/>
    <w:rsid w:val="73C5FCE9"/>
    <w:rsid w:val="749B6EC7"/>
    <w:rsid w:val="7644CB11"/>
    <w:rsid w:val="7788A1DB"/>
    <w:rsid w:val="78DF4F60"/>
    <w:rsid w:val="7AFCB85A"/>
    <w:rsid w:val="7C68CE8E"/>
    <w:rsid w:val="7CFA38F5"/>
    <w:rsid w:val="7E5A6360"/>
    <w:rsid w:val="7EC17AA5"/>
    <w:rsid w:val="7EC8AF92"/>
    <w:rsid w:val="7ECDC4B5"/>
    <w:rsid w:val="7F1344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53EF78"/>
  <w15:docId w15:val="{9FEDE63B-74F5-4D4C-BE43-18F693FA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E054DF"/>
    <w:pPr>
      <w:keepNext/>
      <w:keepLines/>
      <w:numPr>
        <w:numId w:val="7"/>
      </w:numPr>
      <w:spacing w:after="120" w:line="380" w:lineRule="atLeast"/>
      <w:outlineLvl w:val="0"/>
    </w:pPr>
    <w:rPr>
      <w:rFonts w:ascii="Times New Roman" w:eastAsia="Times New Roman" w:hAnsi="Times New Roman"/>
      <w:b/>
      <w:bCs/>
      <w:sz w:val="36"/>
      <w:szCs w:val="36"/>
    </w:rPr>
  </w:style>
  <w:style w:type="paragraph" w:styleId="Heading2">
    <w:name w:val="heading 2"/>
    <w:next w:val="Normal"/>
    <w:link w:val="Heading2Char"/>
    <w:autoRedefine/>
    <w:uiPriority w:val="1"/>
    <w:qFormat/>
    <w:rsid w:val="008947EF"/>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imes New Roman" w:hAnsi="Times New Roman"/>
      <w:bCs/>
      <w:i/>
      <w:color w:val="595959"/>
      <w:sz w:val="24"/>
    </w:rPr>
  </w:style>
  <w:style w:type="paragraph" w:styleId="Heading4">
    <w:name w:val="heading 4"/>
    <w:basedOn w:val="Heading3"/>
    <w:next w:val="Normal"/>
    <w:link w:val="Heading4Char"/>
    <w:autoRedefine/>
    <w:uiPriority w:val="1"/>
    <w:qFormat/>
    <w:rsid w:val="005F55C3"/>
    <w:pPr>
      <w:numPr>
        <w:ilvl w:val="3"/>
      </w:numPr>
      <w:outlineLvl w:val="3"/>
    </w:pPr>
    <w:rPr>
      <w:rFonts w:ascii="Calibri" w:hAnsi="Calibr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054DF"/>
    <w:rPr>
      <w:rFonts w:ascii="Times New Roman" w:eastAsia="Times New Roman" w:hAnsi="Times New Roman" w:cs="Times New Roman"/>
      <w:b/>
      <w:bCs/>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8947EF"/>
    <w:rPr>
      <w:rFonts w:eastAsia="Times New Roman"/>
      <w:b/>
      <w:color w:val="1396D8"/>
      <w:sz w:val="28"/>
      <w:szCs w:val="26"/>
    </w:rPr>
  </w:style>
  <w:style w:type="character" w:customStyle="1" w:styleId="Heading3Char">
    <w:name w:val="Heading 3 Char"/>
    <w:link w:val="Heading3"/>
    <w:uiPriority w:val="1"/>
    <w:rsid w:val="00FD7CDC"/>
    <w:rPr>
      <w:rFonts w:ascii="Times New Roman" w:eastAsia="Times New Roman" w:hAnsi="Times New Roman" w:cs="Times New Roman"/>
      <w:b/>
      <w:bCs/>
      <w:i/>
      <w:color w:val="595959"/>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F13B92"/>
    <w:pPr>
      <w:numPr>
        <w:numId w:val="4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paragraph" w:styleId="BodyText2">
    <w:name w:val="Body Text 2"/>
    <w:basedOn w:val="Normal"/>
    <w:link w:val="BodyText2Char"/>
    <w:uiPriority w:val="99"/>
    <w:unhideWhenUsed/>
    <w:locked/>
    <w:rsid w:val="00404AAD"/>
    <w:pPr>
      <w:spacing w:before="60" w:after="120" w:afterAutospacing="1" w:line="480" w:lineRule="auto"/>
      <w:ind w:hanging="360"/>
    </w:pPr>
  </w:style>
  <w:style w:type="character" w:customStyle="1" w:styleId="BodyText2Char">
    <w:name w:val="Body Text 2 Char"/>
    <w:basedOn w:val="DefaultParagraphFont"/>
    <w:link w:val="BodyText2"/>
    <w:uiPriority w:val="99"/>
    <w:rsid w:val="00404AAD"/>
    <w:rPr>
      <w:sz w:val="22"/>
      <w:szCs w:val="22"/>
    </w:rPr>
  </w:style>
  <w:style w:type="character" w:styleId="UnresolvedMention">
    <w:name w:val="Unresolved Mention"/>
    <w:basedOn w:val="DefaultParagraphFont"/>
    <w:uiPriority w:val="99"/>
    <w:semiHidden/>
    <w:unhideWhenUsed/>
    <w:rsid w:val="00E9275B"/>
    <w:rPr>
      <w:color w:val="605E5C"/>
      <w:shd w:val="clear" w:color="auto" w:fill="E1DFDD"/>
    </w:rPr>
  </w:style>
  <w:style w:type="paragraph" w:styleId="Revision">
    <w:name w:val="Revision"/>
    <w:hidden/>
    <w:uiPriority w:val="99"/>
    <w:semiHidden/>
    <w:rsid w:val="00F166B2"/>
    <w:rPr>
      <w:sz w:val="22"/>
      <w:szCs w:val="22"/>
    </w:rPr>
  </w:style>
  <w:style w:type="character" w:styleId="FollowedHyperlink">
    <w:name w:val="FollowedHyperlink"/>
    <w:basedOn w:val="DefaultParagraphFont"/>
    <w:uiPriority w:val="99"/>
    <w:semiHidden/>
    <w:unhideWhenUsed/>
    <w:locked/>
    <w:rsid w:val="002D3981"/>
    <w:rPr>
      <w:color w:val="96607D" w:themeColor="followedHyperlink"/>
      <w:u w:val="single"/>
    </w:rPr>
  </w:style>
  <w:style w:type="paragraph" w:styleId="HTMLPreformatted">
    <w:name w:val="HTML Preformatted"/>
    <w:basedOn w:val="Normal"/>
    <w:link w:val="HTMLPreformattedChar"/>
    <w:locked/>
    <w:rsid w:val="0081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1126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image" Target="media/image3.jpeg" /><Relationship Id="rId15" Type="http://schemas.openxmlformats.org/officeDocument/2006/relationships/hyperlink" Target="https://www.fhwa.dot.gov/policyinformation/weeklyreports/" TargetMode="External" /><Relationship Id="rId16" Type="http://schemas.openxmlformats.org/officeDocument/2006/relationships/hyperlink" Target="https://www.eia.gov/petroleum/supply/weekly/" TargetMode="External" /><Relationship Id="rId17" Type="http://schemas.openxmlformats.org/officeDocument/2006/relationships/hyperlink" Target="https://www.eia.gov/petroleum/supply/monthly/" TargetMode="External" /><Relationship Id="rId18" Type="http://schemas.openxmlformats.org/officeDocument/2006/relationships/hyperlink" Target="https://www.eia.gov/petroleum/supply/annual/volume1/" TargetMode="External" /><Relationship Id="rId19" Type="http://schemas.openxmlformats.org/officeDocument/2006/relationships/hyperlink" Target="https://www.eia.gov/totalenergy/data/monthly/" TargetMode="External" /><Relationship Id="rId2" Type="http://schemas.openxmlformats.org/officeDocument/2006/relationships/webSettings" Target="webSettings.xml" /><Relationship Id="rId20" Type="http://schemas.openxmlformats.org/officeDocument/2006/relationships/hyperlink" Target="https://www.eia.gov/outlooks/steo/" TargetMode="External" /><Relationship Id="rId21" Type="http://schemas.openxmlformats.org/officeDocument/2006/relationships/hyperlink" Target="https://www.eia.gov/outlooks/aeo/" TargetMode="External" /><Relationship Id="rId22" Type="http://schemas.openxmlformats.org/officeDocument/2006/relationships/hyperlink" Target="https://www.eia.gov/petroleum/refinerycapacity/" TargetMode="External" /><Relationship Id="rId23" Type="http://schemas.openxmlformats.org/officeDocument/2006/relationships/hyperlink" Target="https://www.eia.gov/pressroom/testimonies/howard_06222016.pdf" TargetMode="External" /><Relationship Id="rId24" Type="http://schemas.openxmlformats.org/officeDocument/2006/relationships/hyperlink" Target="https://www.wsj.com/articles/oil-slips-on-weaker-demand-outlook-1526464420" TargetMode="External" /><Relationship Id="rId25" Type="http://schemas.openxmlformats.org/officeDocument/2006/relationships/hyperlink" Target="https://www.reuters.com/article/us-usa-oil-eia/u-s-crude-stocks-up-production-hits-11-million-barrels-per-day-eia-idUSKBN1K81XT" TargetMode="External" /><Relationship Id="rId26" Type="http://schemas.openxmlformats.org/officeDocument/2006/relationships/hyperlink" Target="https://www.spglobal.com/platts/en/market-insights/latest-news/agriculture/072518-us-data-eia-says-ethanol-output-climbs-while-stocks-fall-on-week" TargetMode="External" /><Relationship Id="rId27" Type="http://schemas.openxmlformats.org/officeDocument/2006/relationships/hyperlink" Target="https://www.marketwatch.com/story/brent-oil-hits-3-month-low-wti-slumps-ahead-of-us-stocks-data-2018-07-18" TargetMode="External" /><Relationship Id="rId28" Type="http://schemas.openxmlformats.org/officeDocument/2006/relationships/hyperlink" Target="https://www.forbes.com/sites/rrapier/2018/03/21/u-s-net-petroleum-imports-plunging-toward-zero/" TargetMode="External" /><Relationship Id="rId29" Type="http://schemas.openxmlformats.org/officeDocument/2006/relationships/hyperlink" Target="https://www.foxbusiness.com/features/oil-prices-slide-after-eia-report-shows-rise-in-u-s-supplies" TargetMode="External" /><Relationship Id="rId3" Type="http://schemas.openxmlformats.org/officeDocument/2006/relationships/fontTable" Target="fontTable.xml" /><Relationship Id="rId30" Type="http://schemas.openxmlformats.org/officeDocument/2006/relationships/hyperlink" Target="https://www.api.org/products-and-services/statistics/api-weekly-statistical-bulletin" TargetMode="External" /><Relationship Id="rId31" Type="http://schemas.openxmlformats.org/officeDocument/2006/relationships/hyperlink" Target="https://www.api.org/~/media/Files/News/2018/18-July/Monthly_Statistical_Report_June_2018.pdf" TargetMode="External" /><Relationship Id="rId32" Type="http://schemas.openxmlformats.org/officeDocument/2006/relationships/hyperlink" Target="https://www.eia.gov/petroleum/supply/weekly/pdf/appendixa.pdf" TargetMode="External" /><Relationship Id="rId33" Type="http://schemas.openxmlformats.org/officeDocument/2006/relationships/hyperlink" Target="https://www.eia.gov/dnav/pet/hist/LeafHandler.ashx?n=PET&amp;s=wgfupus2&amp;f=W" TargetMode="External" /><Relationship Id="rId34" Type="http://schemas.openxmlformats.org/officeDocument/2006/relationships/hyperlink" Target="https://www.epa.gov/fuels-registration-reporting-and-compliance-help/custom-renewable-fuel-standard-report" TargetMode="External" /><Relationship Id="rId35" Type="http://schemas.openxmlformats.org/officeDocument/2006/relationships/image" Target="media/image4.png" /><Relationship Id="rId36" Type="http://schemas.openxmlformats.org/officeDocument/2006/relationships/header" Target="header1.xml" /><Relationship Id="rId37" Type="http://schemas.openxmlformats.org/officeDocument/2006/relationships/header" Target="header2.xml" /><Relationship Id="rId38" Type="http://schemas.openxmlformats.org/officeDocument/2006/relationships/footer" Target="footer4.xml" /><Relationship Id="rId39" Type="http://schemas.openxmlformats.org/officeDocument/2006/relationships/header" Target="header3.xml" /><Relationship Id="rId4" Type="http://schemas.openxmlformats.org/officeDocument/2006/relationships/customXml" Target="../customXml/item1.xml" /><Relationship Id="rId40" Type="http://schemas.openxmlformats.org/officeDocument/2006/relationships/footer" Target="footer5.xml" /><Relationship Id="rId41" Type="http://schemas.openxmlformats.org/officeDocument/2006/relationships/image" Target="media/image5.png" /><Relationship Id="rId42" Type="http://schemas.openxmlformats.org/officeDocument/2006/relationships/footer" Target="footer6.xml" /><Relationship Id="rId43" Type="http://schemas.openxmlformats.org/officeDocument/2006/relationships/header" Target="header4.xml" /><Relationship Id="rId44" Type="http://schemas.openxmlformats.org/officeDocument/2006/relationships/header" Target="header5.xml" /><Relationship Id="rId45" Type="http://schemas.openxmlformats.org/officeDocument/2006/relationships/footer" Target="footer7.xml" /><Relationship Id="rId46" Type="http://schemas.openxmlformats.org/officeDocument/2006/relationships/header" Target="header6.xml" /><Relationship Id="rId47" Type="http://schemas.openxmlformats.org/officeDocument/2006/relationships/footer" Target="footer8.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customXml" Target="../customXml/item2.xml" /><Relationship Id="rId50"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https://eiagov.sharepoint.com/sites/eia/offices/SDAT/New%20OMB%20Clearances/Petroleum%20Supply%202024/FRNs%20and%20Supporting%20Statements/Supporting%20Statement%20A%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b6f11ef71dfe2d895d56d1ccc57e12ae">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2b4139b70c1c996855ec1f73da77528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F00974-803A-4BC3-A474-353E69DF8C58}">
  <ds:schemaRefs>
    <ds:schemaRef ds:uri="http://schemas.microsoft.com/sharepoint/v3/contenttype/forms"/>
  </ds:schemaRefs>
</ds:datastoreItem>
</file>

<file path=customXml/itemProps3.xml><?xml version="1.0" encoding="utf-8"?>
<ds:datastoreItem xmlns:ds="http://schemas.openxmlformats.org/officeDocument/2006/customXml" ds:itemID="{C661F6A2-CA43-4F8F-8137-8BD95F499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A863B-66FF-4EFC-9A7F-E7C93993666C}">
  <ds:schemaRefs>
    <ds:schemaRef ds:uri="http://schemas.openxmlformats.org/officeDocument/2006/bibliography"/>
  </ds:schemaRefs>
</ds:datastoreItem>
</file>

<file path=customXml/itemProps5.xml><?xml version="1.0" encoding="utf-8"?>
<ds:datastoreItem xmlns:ds="http://schemas.openxmlformats.org/officeDocument/2006/customXml" ds:itemID="{A1FBB8E8-F28F-436E-B549-0E0CC83ABE13}">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docProps/app.xml><?xml version="1.0" encoding="utf-8"?>
<Properties xmlns="http://schemas.openxmlformats.org/officeDocument/2006/extended-properties" xmlns:vt="http://schemas.openxmlformats.org/officeDocument/2006/docPropsVTypes">
  <Template>Supporting%20Statement%20A%20Template</Template>
  <TotalTime>0</TotalTime>
  <Pages>25</Pages>
  <Words>9343</Words>
  <Characters>52882</Characters>
  <Application>Microsoft Office Word</Application>
  <DocSecurity>0</DocSecurity>
  <Lines>997</Lines>
  <Paragraphs>379</Paragraphs>
  <ScaleCrop>false</ScaleCrop>
  <Company/>
  <LinksUpToDate>false</LinksUpToDate>
  <CharactersWithSpaces>61846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Berry, Rosalyn</dc:creator>
  <cp:lastModifiedBy>Biagas, David E.</cp:lastModifiedBy>
  <cp:revision>2</cp:revision>
  <cp:lastPrinted>2026-01-22T20:47:00Z</cp:lastPrinted>
  <dcterms:created xsi:type="dcterms:W3CDTF">2026-04-15T15:54:00Z</dcterms:created>
  <dcterms:modified xsi:type="dcterms:W3CDTF">2026-04-15T15:54:00Z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docLang">
    <vt:lpwstr>en</vt:lpwstr>
  </property>
  <property fmtid="{D5CDD505-2E9C-101B-9397-08002B2CF9AE}" pid="4" name="MediaServiceImageTags">
    <vt:lpwstr/>
  </property>
</Properties>
</file>