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001E4" w:rsidP="00DE7A1C" w14:paraId="48D30A2C" w14:textId="77777777">
      <w:pPr>
        <w:rPr>
          <w:noProof/>
        </w:rPr>
      </w:pPr>
    </w:p>
    <w:p w:rsidR="00041909" w:rsidP="00313D14" w14:paraId="633A1CE3" w14:textId="70ECACBD">
      <w:r>
        <w:rPr>
          <w:noProof/>
        </w:rPr>
        <w:drawing>
          <wp:anchor distT="0" distB="0" distL="114300" distR="114300" simplePos="0" relativeHeight="251668480" behindDoc="1" locked="0" layoutInCell="1" allowOverlap="1">
            <wp:simplePos x="0" y="0"/>
            <wp:positionH relativeFrom="column">
              <wp:posOffset>0</wp:posOffset>
            </wp:positionH>
            <wp:positionV relativeFrom="paragraph">
              <wp:posOffset>10160</wp:posOffset>
            </wp:positionV>
            <wp:extent cx="5943600" cy="180340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130" r="136" b="45941"/>
                    <a:stretch>
                      <a:fillRect/>
                    </a:stretch>
                  </pic:blipFill>
                  <pic:spPr bwMode="auto">
                    <a:xfrm>
                      <a:off x="0" y="0"/>
                      <a:ext cx="5943600" cy="1803400"/>
                    </a:xfrm>
                    <a:prstGeom prst="rect">
                      <a:avLst/>
                    </a:prstGeom>
                    <a:noFill/>
                  </pic:spPr>
                </pic:pic>
              </a:graphicData>
            </a:graphic>
            <wp14:sizeRelH relativeFrom="page">
              <wp14:pctWidth>0</wp14:pctWidth>
            </wp14:sizeRelH>
            <wp14:sizeRelV relativeFrom="page">
              <wp14:pctHeight>0</wp14:pctHeight>
            </wp14:sizeRelV>
          </wp:anchor>
        </w:drawing>
      </w:r>
      <w:r w:rsidR="001F3A8F">
        <w:rPr>
          <w:noProof/>
        </w:rPr>
        <w:softHyphen/>
      </w:r>
      <w:r w:rsidR="001F3A8F">
        <w:rPr>
          <w:noProof/>
        </w:rPr>
        <w:softHyphen/>
      </w:r>
      <w:r w:rsidR="001F3A8F">
        <w:rPr>
          <w:noProof/>
        </w:rPr>
        <w:softHyphen/>
      </w:r>
    </w:p>
    <w:p w:rsidR="00D928FD" w14:paraId="477327AD" w14:textId="77777777"/>
    <w:p w:rsidR="00D928FD" w:rsidP="00313D14" w14:paraId="27C5F150" w14:textId="77777777">
      <w:r>
        <w:tab/>
      </w:r>
    </w:p>
    <w:p w:rsidR="00D928FD" w14:paraId="6FC75F41" w14:textId="77777777"/>
    <w:p w:rsidR="00D928FD" w14:paraId="4E9E2E9C" w14:textId="77777777"/>
    <w:p w:rsidR="00D928FD" w14:paraId="256EE307" w14:textId="77777777"/>
    <w:p w:rsidR="001F3A8F" w:rsidP="00313D14" w14:paraId="2A083A8B" w14:textId="04759862">
      <w:r>
        <w:rPr>
          <w:noProof/>
        </w:rPr>
        <mc:AlternateContent>
          <mc:Choice Requires="wps">
            <w:drawing>
              <wp:anchor distT="0" distB="0" distL="114300" distR="114300" simplePos="0" relativeHeight="251666432" behindDoc="0" locked="0" layoutInCell="1" allowOverlap="1">
                <wp:simplePos x="0" y="0"/>
                <wp:positionH relativeFrom="margin">
                  <wp:posOffset>363855</wp:posOffset>
                </wp:positionH>
                <wp:positionV relativeFrom="margin">
                  <wp:posOffset>3506470</wp:posOffset>
                </wp:positionV>
                <wp:extent cx="5706745" cy="4904105"/>
                <wp:effectExtent l="0" t="0" r="0" b="0"/>
                <wp:wrapSquare wrapText="bothSides"/>
                <wp:docPr id="110540446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06745" cy="49041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054DF" w:rsidRPr="007B74AE" w:rsidP="00E054DF" w14:textId="4AA5BF40">
                            <w:pPr>
                              <w:pStyle w:val="Boxtext"/>
                              <w:rPr>
                                <w:rFonts w:ascii="Times New Roman" w:hAnsi="Times New Roman"/>
                                <w:sz w:val="32"/>
                                <w:szCs w:val="32"/>
                              </w:rPr>
                            </w:pPr>
                            <w:bookmarkStart w:id="0" w:name="_Toc466046933"/>
                            <w:r w:rsidRPr="007B74AE">
                              <w:rPr>
                                <w:rStyle w:val="Heading1Char"/>
                                <w:sz w:val="32"/>
                                <w:szCs w:val="32"/>
                              </w:rPr>
                              <w:t>Part B: Collections of Information Employing Statistical Methods</w:t>
                            </w:r>
                            <w:r w:rsidRPr="007B74AE">
                              <w:rPr>
                                <w:sz w:val="32"/>
                                <w:szCs w:val="32"/>
                              </w:rPr>
                              <w:br/>
                            </w:r>
                            <w:r w:rsidRPr="007B74AE">
                              <w:rPr>
                                <w:rFonts w:ascii="Times New Roman" w:hAnsi="Times New Roman"/>
                                <w:sz w:val="32"/>
                                <w:szCs w:val="32"/>
                              </w:rPr>
                              <w:t>OMB No. 1905-0</w:t>
                            </w:r>
                            <w:r w:rsidRPr="007B74AE" w:rsidR="004D695B">
                              <w:rPr>
                                <w:rFonts w:ascii="Times New Roman" w:hAnsi="Times New Roman"/>
                                <w:sz w:val="32"/>
                                <w:szCs w:val="32"/>
                              </w:rPr>
                              <w:t>165</w:t>
                            </w:r>
                          </w:p>
                          <w:p w:rsidR="007B74AE" w:rsidRPr="00421713" w:rsidP="007B74AE" w14:textId="77777777">
                            <w:pPr>
                              <w:spacing w:before="120" w:after="0" w:line="240" w:lineRule="auto"/>
                              <w:rPr>
                                <w:sz w:val="24"/>
                                <w:szCs w:val="24"/>
                              </w:rPr>
                            </w:pPr>
                            <w:r>
                              <w:rPr>
                                <w:sz w:val="24"/>
                                <w:szCs w:val="24"/>
                              </w:rPr>
                              <w:t xml:space="preserve">Form EIA-800 </w:t>
                            </w:r>
                            <w:r w:rsidRPr="00607EE9">
                              <w:rPr>
                                <w:i/>
                                <w:sz w:val="24"/>
                                <w:szCs w:val="24"/>
                              </w:rPr>
                              <w:t>Weekly Refinery Report</w:t>
                            </w:r>
                          </w:p>
                          <w:p w:rsidR="007B74AE" w:rsidRPr="00421713" w:rsidP="007B74AE" w14:textId="77777777">
                            <w:pPr>
                              <w:spacing w:before="60" w:after="0" w:line="240" w:lineRule="auto"/>
                              <w:rPr>
                                <w:sz w:val="24"/>
                                <w:szCs w:val="24"/>
                              </w:rPr>
                            </w:pPr>
                            <w:r>
                              <w:rPr>
                                <w:sz w:val="24"/>
                                <w:szCs w:val="24"/>
                              </w:rPr>
                              <w:t xml:space="preserve">Form EIA-802 </w:t>
                            </w:r>
                            <w:r w:rsidRPr="00BD6296">
                              <w:rPr>
                                <w:i/>
                                <w:sz w:val="24"/>
                                <w:szCs w:val="24"/>
                              </w:rPr>
                              <w:t>Weekly Product Pipeline Report</w:t>
                            </w:r>
                          </w:p>
                          <w:p w:rsidR="007B74AE" w:rsidRPr="00421713" w:rsidP="007B74AE" w14:textId="77777777">
                            <w:pPr>
                              <w:spacing w:before="60" w:after="0" w:line="240" w:lineRule="auto"/>
                              <w:rPr>
                                <w:sz w:val="24"/>
                                <w:szCs w:val="24"/>
                              </w:rPr>
                            </w:pPr>
                            <w:r>
                              <w:rPr>
                                <w:sz w:val="24"/>
                                <w:szCs w:val="24"/>
                              </w:rPr>
                              <w:t xml:space="preserve">Form EIA-803 </w:t>
                            </w:r>
                            <w:r w:rsidRPr="00BD6296">
                              <w:rPr>
                                <w:i/>
                                <w:sz w:val="24"/>
                                <w:szCs w:val="24"/>
                              </w:rPr>
                              <w:t>Weekly Crude Oil Stocks Report</w:t>
                            </w:r>
                          </w:p>
                          <w:p w:rsidR="007B74AE" w:rsidRPr="00421713" w:rsidP="007B74AE" w14:textId="77777777">
                            <w:pPr>
                              <w:spacing w:before="60" w:after="0" w:line="240" w:lineRule="auto"/>
                              <w:rPr>
                                <w:sz w:val="24"/>
                                <w:szCs w:val="24"/>
                              </w:rPr>
                            </w:pPr>
                            <w:r>
                              <w:rPr>
                                <w:sz w:val="24"/>
                                <w:szCs w:val="24"/>
                              </w:rPr>
                              <w:t xml:space="preserve">Form EIA-804 </w:t>
                            </w:r>
                            <w:r w:rsidRPr="00BD6296">
                              <w:rPr>
                                <w:i/>
                                <w:sz w:val="24"/>
                                <w:szCs w:val="24"/>
                              </w:rPr>
                              <w:t>Weekly Imports Report</w:t>
                            </w:r>
                          </w:p>
                          <w:p w:rsidR="007B74AE" w:rsidP="007B74AE" w14:textId="77777777">
                            <w:pPr>
                              <w:spacing w:before="60" w:after="0" w:line="240" w:lineRule="auto"/>
                              <w:rPr>
                                <w:i/>
                                <w:sz w:val="24"/>
                                <w:szCs w:val="24"/>
                              </w:rPr>
                            </w:pPr>
                            <w:r>
                              <w:rPr>
                                <w:sz w:val="24"/>
                                <w:szCs w:val="24"/>
                              </w:rPr>
                              <w:t xml:space="preserve">Form EIA-805 </w:t>
                            </w:r>
                            <w:r w:rsidRPr="00BD6296">
                              <w:rPr>
                                <w:i/>
                                <w:sz w:val="24"/>
                                <w:szCs w:val="24"/>
                              </w:rPr>
                              <w:t>Weekly Bulk Terminal Report</w:t>
                            </w:r>
                          </w:p>
                          <w:p w:rsidR="007B74AE" w:rsidRPr="00A85C31" w:rsidP="007B74AE" w14:textId="77777777">
                            <w:pPr>
                              <w:spacing w:before="60" w:after="0" w:line="240" w:lineRule="auto"/>
                              <w:rPr>
                                <w:sz w:val="24"/>
                                <w:szCs w:val="24"/>
                              </w:rPr>
                            </w:pPr>
                            <w:r>
                              <w:rPr>
                                <w:sz w:val="24"/>
                                <w:szCs w:val="24"/>
                              </w:rPr>
                              <w:t xml:space="preserve">Form EIA-806 </w:t>
                            </w:r>
                            <w:r w:rsidRPr="00A85C31">
                              <w:rPr>
                                <w:i/>
                                <w:sz w:val="24"/>
                                <w:szCs w:val="24"/>
                              </w:rPr>
                              <w:t>Weekly Natural Gas Liquids Report</w:t>
                            </w:r>
                          </w:p>
                          <w:p w:rsidR="007B74AE" w:rsidRPr="00421713" w:rsidP="007B74AE" w14:textId="77777777">
                            <w:pPr>
                              <w:spacing w:before="60" w:after="0" w:line="240" w:lineRule="auto"/>
                              <w:rPr>
                                <w:sz w:val="24"/>
                                <w:szCs w:val="24"/>
                              </w:rPr>
                            </w:pPr>
                            <w:r>
                              <w:rPr>
                                <w:sz w:val="24"/>
                                <w:szCs w:val="24"/>
                              </w:rPr>
                              <w:t xml:space="preserve">Form EIA-809 </w:t>
                            </w:r>
                            <w:r w:rsidRPr="00BD6296">
                              <w:rPr>
                                <w:i/>
                                <w:sz w:val="24"/>
                                <w:szCs w:val="24"/>
                              </w:rPr>
                              <w:t>Weekly Oxygenate Report</w:t>
                            </w:r>
                          </w:p>
                          <w:p w:rsidR="007B74AE" w:rsidRPr="00421713" w:rsidP="007B74AE" w14:textId="77777777">
                            <w:pPr>
                              <w:spacing w:before="60" w:after="0" w:line="240" w:lineRule="auto"/>
                              <w:rPr>
                                <w:sz w:val="24"/>
                                <w:szCs w:val="24"/>
                              </w:rPr>
                            </w:pPr>
                            <w:r w:rsidRPr="00421713">
                              <w:rPr>
                                <w:sz w:val="24"/>
                                <w:szCs w:val="24"/>
                              </w:rPr>
                              <w:t xml:space="preserve">Form </w:t>
                            </w:r>
                            <w:r>
                              <w:rPr>
                                <w:sz w:val="24"/>
                                <w:szCs w:val="24"/>
                              </w:rPr>
                              <w:t xml:space="preserve">EIA-810 </w:t>
                            </w:r>
                            <w:r w:rsidRPr="00BD6296">
                              <w:rPr>
                                <w:i/>
                                <w:sz w:val="24"/>
                                <w:szCs w:val="24"/>
                              </w:rPr>
                              <w:t>Monthly Refinery Report</w:t>
                            </w:r>
                          </w:p>
                          <w:p w:rsidR="007B74AE" w:rsidRPr="00421713" w:rsidP="007B74AE" w14:textId="77777777">
                            <w:pPr>
                              <w:spacing w:before="60" w:after="0" w:line="240" w:lineRule="auto"/>
                              <w:rPr>
                                <w:sz w:val="24"/>
                                <w:szCs w:val="24"/>
                              </w:rPr>
                            </w:pPr>
                            <w:r>
                              <w:rPr>
                                <w:sz w:val="24"/>
                                <w:szCs w:val="24"/>
                              </w:rPr>
                              <w:t xml:space="preserve">Form EIA-812 </w:t>
                            </w:r>
                            <w:r w:rsidRPr="00BD6296">
                              <w:rPr>
                                <w:i/>
                                <w:sz w:val="24"/>
                                <w:szCs w:val="24"/>
                              </w:rPr>
                              <w:t>Monthly Product Pipeline Report</w:t>
                            </w:r>
                          </w:p>
                          <w:p w:rsidR="007B74AE" w:rsidRPr="00421713" w:rsidP="007B74AE" w14:textId="77777777">
                            <w:pPr>
                              <w:spacing w:before="60" w:after="0" w:line="240" w:lineRule="auto"/>
                              <w:rPr>
                                <w:sz w:val="24"/>
                                <w:szCs w:val="24"/>
                              </w:rPr>
                            </w:pPr>
                            <w:r>
                              <w:rPr>
                                <w:sz w:val="24"/>
                                <w:szCs w:val="24"/>
                              </w:rPr>
                              <w:t xml:space="preserve">Form EIA-813 </w:t>
                            </w:r>
                            <w:r w:rsidRPr="00AD5524">
                              <w:rPr>
                                <w:i/>
                                <w:sz w:val="24"/>
                                <w:szCs w:val="24"/>
                              </w:rPr>
                              <w:t>Monthly Crude Oil Report</w:t>
                            </w:r>
                          </w:p>
                          <w:p w:rsidR="007B74AE" w:rsidRPr="00421713" w:rsidP="007B74AE" w14:textId="77777777">
                            <w:pPr>
                              <w:spacing w:before="60" w:after="0" w:line="240" w:lineRule="auto"/>
                              <w:rPr>
                                <w:sz w:val="24"/>
                                <w:szCs w:val="24"/>
                              </w:rPr>
                            </w:pPr>
                            <w:r>
                              <w:rPr>
                                <w:sz w:val="24"/>
                                <w:szCs w:val="24"/>
                              </w:rPr>
                              <w:t xml:space="preserve">Form EIA-814 </w:t>
                            </w:r>
                            <w:r w:rsidRPr="00AD5524">
                              <w:rPr>
                                <w:i/>
                                <w:sz w:val="24"/>
                                <w:szCs w:val="24"/>
                              </w:rPr>
                              <w:t>Monthly Imports Report</w:t>
                            </w:r>
                          </w:p>
                          <w:p w:rsidR="007B74AE" w:rsidRPr="00421713" w:rsidP="007B74AE" w14:textId="77777777">
                            <w:pPr>
                              <w:spacing w:before="60" w:after="0" w:line="240" w:lineRule="auto"/>
                              <w:rPr>
                                <w:sz w:val="24"/>
                                <w:szCs w:val="24"/>
                              </w:rPr>
                            </w:pPr>
                            <w:r>
                              <w:rPr>
                                <w:sz w:val="24"/>
                                <w:szCs w:val="24"/>
                              </w:rPr>
                              <w:t xml:space="preserve">Form EIA-815 </w:t>
                            </w:r>
                            <w:r w:rsidRPr="00AD5524">
                              <w:rPr>
                                <w:i/>
                                <w:sz w:val="24"/>
                                <w:szCs w:val="24"/>
                              </w:rPr>
                              <w:t>Monthly Bulk Terminal Report</w:t>
                            </w:r>
                          </w:p>
                          <w:p w:rsidR="007B74AE" w:rsidRPr="00421713" w:rsidP="007B74AE" w14:textId="77777777">
                            <w:pPr>
                              <w:spacing w:before="60" w:after="0" w:line="240" w:lineRule="auto"/>
                              <w:rPr>
                                <w:sz w:val="24"/>
                                <w:szCs w:val="24"/>
                              </w:rPr>
                            </w:pPr>
                            <w:r>
                              <w:rPr>
                                <w:sz w:val="24"/>
                                <w:szCs w:val="24"/>
                              </w:rPr>
                              <w:t xml:space="preserve">Form EIA-816 </w:t>
                            </w:r>
                            <w:r w:rsidRPr="00AD5524">
                              <w:rPr>
                                <w:i/>
                                <w:sz w:val="24"/>
                                <w:szCs w:val="24"/>
                              </w:rPr>
                              <w:t>Monthly Natural Gas Liquids Report</w:t>
                            </w:r>
                          </w:p>
                          <w:p w:rsidR="007B74AE" w:rsidRPr="00421713" w:rsidP="007B74AE" w14:textId="77777777">
                            <w:pPr>
                              <w:spacing w:before="60" w:after="0" w:line="240" w:lineRule="auto"/>
                              <w:rPr>
                                <w:sz w:val="24"/>
                                <w:szCs w:val="24"/>
                              </w:rPr>
                            </w:pPr>
                            <w:r>
                              <w:rPr>
                                <w:sz w:val="24"/>
                                <w:szCs w:val="24"/>
                              </w:rPr>
                              <w:t xml:space="preserve">Form EIA-817 </w:t>
                            </w:r>
                            <w:r w:rsidRPr="00AD5524">
                              <w:rPr>
                                <w:i/>
                                <w:sz w:val="24"/>
                                <w:szCs w:val="24"/>
                              </w:rPr>
                              <w:t>Monthly Tanker and Barge Movement Report</w:t>
                            </w:r>
                          </w:p>
                          <w:p w:rsidR="007B74AE" w:rsidRPr="00421713" w:rsidP="007B74AE" w14:textId="77777777">
                            <w:pPr>
                              <w:spacing w:before="60" w:after="0" w:line="240" w:lineRule="auto"/>
                              <w:rPr>
                                <w:sz w:val="24"/>
                                <w:szCs w:val="24"/>
                              </w:rPr>
                            </w:pPr>
                            <w:r>
                              <w:rPr>
                                <w:sz w:val="24"/>
                                <w:szCs w:val="24"/>
                              </w:rPr>
                              <w:t xml:space="preserve">Form EIA-819 </w:t>
                            </w:r>
                            <w:r w:rsidRPr="00541839">
                              <w:rPr>
                                <w:i/>
                                <w:color w:val="333333"/>
                                <w:sz w:val="24"/>
                                <w:shd w:val="clear" w:color="auto" w:fill="FFFFFF"/>
                              </w:rPr>
                              <w:t xml:space="preserve">Monthly </w:t>
                            </w:r>
                            <w:r w:rsidRPr="007B74AE">
                              <w:rPr>
                                <w:rFonts w:cs="Aptos"/>
                                <w:bCs/>
                                <w:i/>
                                <w:color w:val="333333"/>
                                <w:sz w:val="24"/>
                                <w:szCs w:val="24"/>
                                <w:shd w:val="clear" w:color="auto" w:fill="FFFFFF"/>
                              </w:rPr>
                              <w:t>Report of Fuels from Non-Biogenic Wastes</w:t>
                            </w:r>
                            <w:r w:rsidR="00CB7251">
                              <w:rPr>
                                <w:rFonts w:cs="Aptos"/>
                                <w:bCs/>
                                <w:i/>
                                <w:color w:val="333333"/>
                                <w:sz w:val="24"/>
                                <w:szCs w:val="24"/>
                                <w:shd w:val="clear" w:color="auto" w:fill="FFFFFF"/>
                              </w:rPr>
                              <w:t xml:space="preserve"> and Biofuels</w:t>
                            </w:r>
                          </w:p>
                          <w:p w:rsidR="007B74AE" w:rsidP="007B74AE" w14:textId="77777777">
                            <w:pPr>
                              <w:spacing w:before="60" w:after="0" w:line="240" w:lineRule="auto"/>
                              <w:rPr>
                                <w:i/>
                                <w:sz w:val="24"/>
                                <w:szCs w:val="24"/>
                              </w:rPr>
                            </w:pPr>
                            <w:r>
                              <w:rPr>
                                <w:sz w:val="24"/>
                                <w:szCs w:val="24"/>
                              </w:rPr>
                              <w:t xml:space="preserve">Form EIA-820 </w:t>
                            </w:r>
                            <w:r w:rsidRPr="00AD5524">
                              <w:rPr>
                                <w:i/>
                                <w:sz w:val="24"/>
                                <w:szCs w:val="24"/>
                              </w:rPr>
                              <w:t>Annual Refinery Report</w:t>
                            </w:r>
                          </w:p>
                          <w:p w:rsidR="007A7270" w:rsidRPr="007A7270" w:rsidP="007B74AE" w14:textId="77777777">
                            <w:pPr>
                              <w:spacing w:before="60" w:after="0" w:line="240" w:lineRule="auto"/>
                              <w:rPr>
                                <w:iCs/>
                                <w:sz w:val="24"/>
                                <w:szCs w:val="24"/>
                              </w:rPr>
                            </w:pPr>
                            <w:r>
                              <w:rPr>
                                <w:iCs/>
                                <w:sz w:val="24"/>
                                <w:szCs w:val="24"/>
                              </w:rPr>
                              <w:t xml:space="preserve">Form EIA-830 </w:t>
                            </w:r>
                            <w:r>
                              <w:rPr>
                                <w:i/>
                                <w:sz w:val="24"/>
                                <w:szCs w:val="24"/>
                              </w:rPr>
                              <w:t xml:space="preserve">Annual Storage Capacity Report </w:t>
                            </w:r>
                            <w:r>
                              <w:rPr>
                                <w:iCs/>
                                <w:sz w:val="24"/>
                                <w:szCs w:val="24"/>
                              </w:rPr>
                              <w:t>(standby)</w:t>
                            </w:r>
                          </w:p>
                          <w:p w:rsidR="00D00DB1" w:rsidRPr="0059212D" w:rsidP="00E054DF" w14:textId="77777777">
                            <w:pPr>
                              <w:rPr>
                                <w:i/>
                                <w:sz w:val="28"/>
                                <w:szCs w:val="28"/>
                              </w:rPr>
                            </w:pPr>
                          </w:p>
                          <w:p w:rsidR="00D00DB1" w14:textId="77777777"/>
                          <w:p w:rsidR="00E054DF" w:rsidRPr="007B74AE" w:rsidP="00E054DF" w14:textId="177F04A8">
                            <w:pPr>
                              <w:pStyle w:val="Boxtext"/>
                              <w:rPr>
                                <w:rFonts w:ascii="Times New Roman" w:hAnsi="Times New Roman"/>
                                <w:sz w:val="32"/>
                                <w:szCs w:val="32"/>
                              </w:rPr>
                            </w:pPr>
                            <w:r w:rsidRPr="007B74AE">
                              <w:rPr>
                                <w:rStyle w:val="Heading1Char"/>
                                <w:sz w:val="32"/>
                                <w:szCs w:val="32"/>
                              </w:rPr>
                              <w:t>Part B: Collections of Information Employing Statistical Methods</w:t>
                            </w:r>
                            <w:bookmarkEnd w:id="0"/>
                            <w:r w:rsidRPr="007B74AE">
                              <w:rPr>
                                <w:sz w:val="32"/>
                                <w:szCs w:val="32"/>
                              </w:rPr>
                              <w:br/>
                            </w:r>
                            <w:r w:rsidRPr="007B74AE">
                              <w:rPr>
                                <w:rFonts w:ascii="Times New Roman" w:hAnsi="Times New Roman"/>
                                <w:sz w:val="32"/>
                                <w:szCs w:val="32"/>
                              </w:rPr>
                              <w:t>OMB No. 1905-0</w:t>
                            </w:r>
                            <w:r w:rsidRPr="007B74AE" w:rsidR="004D695B">
                              <w:rPr>
                                <w:rFonts w:ascii="Times New Roman" w:hAnsi="Times New Roman"/>
                                <w:sz w:val="32"/>
                                <w:szCs w:val="32"/>
                              </w:rPr>
                              <w:t>165</w:t>
                            </w:r>
                          </w:p>
                          <w:p w:rsidR="007B74AE" w:rsidRPr="00421713" w:rsidP="007B74AE" w14:textId="77777777">
                            <w:pPr>
                              <w:spacing w:before="120" w:after="0" w:line="240" w:lineRule="auto"/>
                              <w:rPr>
                                <w:sz w:val="24"/>
                                <w:szCs w:val="24"/>
                              </w:rPr>
                            </w:pPr>
                            <w:r>
                              <w:rPr>
                                <w:sz w:val="24"/>
                                <w:szCs w:val="24"/>
                              </w:rPr>
                              <w:t xml:space="preserve">Form EIA-800 </w:t>
                            </w:r>
                            <w:r w:rsidRPr="00607EE9">
                              <w:rPr>
                                <w:i/>
                                <w:sz w:val="24"/>
                                <w:szCs w:val="24"/>
                              </w:rPr>
                              <w:t>Weekly Refinery Report</w:t>
                            </w:r>
                          </w:p>
                          <w:p w:rsidR="007B74AE" w:rsidRPr="00421713" w:rsidP="007B74AE" w14:textId="77777777">
                            <w:pPr>
                              <w:spacing w:before="60" w:after="0" w:line="240" w:lineRule="auto"/>
                              <w:rPr>
                                <w:sz w:val="24"/>
                                <w:szCs w:val="24"/>
                              </w:rPr>
                            </w:pPr>
                            <w:r>
                              <w:rPr>
                                <w:sz w:val="24"/>
                                <w:szCs w:val="24"/>
                              </w:rPr>
                              <w:t xml:space="preserve">Form EIA-802 </w:t>
                            </w:r>
                            <w:r w:rsidRPr="00BD6296">
                              <w:rPr>
                                <w:i/>
                                <w:sz w:val="24"/>
                                <w:szCs w:val="24"/>
                              </w:rPr>
                              <w:t>Weekly Product Pipeline Report</w:t>
                            </w:r>
                          </w:p>
                          <w:p w:rsidR="007B74AE" w:rsidRPr="00421713" w:rsidP="007B74AE" w14:textId="77777777">
                            <w:pPr>
                              <w:spacing w:before="60" w:after="0" w:line="240" w:lineRule="auto"/>
                              <w:rPr>
                                <w:sz w:val="24"/>
                                <w:szCs w:val="24"/>
                              </w:rPr>
                            </w:pPr>
                            <w:r>
                              <w:rPr>
                                <w:sz w:val="24"/>
                                <w:szCs w:val="24"/>
                              </w:rPr>
                              <w:t xml:space="preserve">Form EIA-803 </w:t>
                            </w:r>
                            <w:r w:rsidRPr="00BD6296">
                              <w:rPr>
                                <w:i/>
                                <w:sz w:val="24"/>
                                <w:szCs w:val="24"/>
                              </w:rPr>
                              <w:t>Weekly Crude Oil Stocks Report</w:t>
                            </w:r>
                          </w:p>
                          <w:p w:rsidR="007B74AE" w:rsidRPr="00421713" w:rsidP="007B74AE" w14:textId="77777777">
                            <w:pPr>
                              <w:spacing w:before="60" w:after="0" w:line="240" w:lineRule="auto"/>
                              <w:rPr>
                                <w:sz w:val="24"/>
                                <w:szCs w:val="24"/>
                              </w:rPr>
                            </w:pPr>
                            <w:r>
                              <w:rPr>
                                <w:sz w:val="24"/>
                                <w:szCs w:val="24"/>
                              </w:rPr>
                              <w:t xml:space="preserve">Form EIA-804 </w:t>
                            </w:r>
                            <w:r w:rsidRPr="00BD6296">
                              <w:rPr>
                                <w:i/>
                                <w:sz w:val="24"/>
                                <w:szCs w:val="24"/>
                              </w:rPr>
                              <w:t>Weekly Imports Report</w:t>
                            </w:r>
                          </w:p>
                          <w:p w:rsidR="007B74AE" w:rsidP="007B74AE" w14:textId="77777777">
                            <w:pPr>
                              <w:spacing w:before="60" w:after="0" w:line="240" w:lineRule="auto"/>
                              <w:rPr>
                                <w:i/>
                                <w:sz w:val="24"/>
                                <w:szCs w:val="24"/>
                              </w:rPr>
                            </w:pPr>
                            <w:r>
                              <w:rPr>
                                <w:sz w:val="24"/>
                                <w:szCs w:val="24"/>
                              </w:rPr>
                              <w:t xml:space="preserve">Form EIA-805 </w:t>
                            </w:r>
                            <w:r w:rsidRPr="00BD6296">
                              <w:rPr>
                                <w:i/>
                                <w:sz w:val="24"/>
                                <w:szCs w:val="24"/>
                              </w:rPr>
                              <w:t>Weekly Bulk Terminal Report</w:t>
                            </w:r>
                          </w:p>
                          <w:p w:rsidR="007B74AE" w:rsidRPr="00A85C31" w:rsidP="007B74AE" w14:textId="77777777">
                            <w:pPr>
                              <w:spacing w:before="60" w:after="0" w:line="240" w:lineRule="auto"/>
                              <w:rPr>
                                <w:sz w:val="24"/>
                                <w:szCs w:val="24"/>
                              </w:rPr>
                            </w:pPr>
                            <w:r>
                              <w:rPr>
                                <w:sz w:val="24"/>
                                <w:szCs w:val="24"/>
                              </w:rPr>
                              <w:t xml:space="preserve">Form EIA-806 </w:t>
                            </w:r>
                            <w:r w:rsidRPr="00A85C31">
                              <w:rPr>
                                <w:i/>
                                <w:sz w:val="24"/>
                                <w:szCs w:val="24"/>
                              </w:rPr>
                              <w:t>Weekly Natural Gas Liquids Report</w:t>
                            </w:r>
                          </w:p>
                          <w:p w:rsidR="007B74AE" w:rsidRPr="00421713" w:rsidP="007B74AE" w14:textId="77777777">
                            <w:pPr>
                              <w:spacing w:before="60" w:after="0" w:line="240" w:lineRule="auto"/>
                              <w:rPr>
                                <w:sz w:val="24"/>
                                <w:szCs w:val="24"/>
                              </w:rPr>
                            </w:pPr>
                            <w:r>
                              <w:rPr>
                                <w:sz w:val="24"/>
                                <w:szCs w:val="24"/>
                              </w:rPr>
                              <w:t xml:space="preserve">Form EIA-809 </w:t>
                            </w:r>
                            <w:r w:rsidRPr="00BD6296">
                              <w:rPr>
                                <w:i/>
                                <w:sz w:val="24"/>
                                <w:szCs w:val="24"/>
                              </w:rPr>
                              <w:t>Weekly Oxygenate Report</w:t>
                            </w:r>
                          </w:p>
                          <w:p w:rsidR="007B74AE" w:rsidRPr="00421713" w:rsidP="007B74AE" w14:textId="77777777">
                            <w:pPr>
                              <w:spacing w:before="60" w:after="0" w:line="240" w:lineRule="auto"/>
                              <w:rPr>
                                <w:sz w:val="24"/>
                                <w:szCs w:val="24"/>
                              </w:rPr>
                            </w:pPr>
                            <w:r w:rsidRPr="00421713">
                              <w:rPr>
                                <w:sz w:val="24"/>
                                <w:szCs w:val="24"/>
                              </w:rPr>
                              <w:t xml:space="preserve">Form </w:t>
                            </w:r>
                            <w:r>
                              <w:rPr>
                                <w:sz w:val="24"/>
                                <w:szCs w:val="24"/>
                              </w:rPr>
                              <w:t xml:space="preserve">EIA-810 </w:t>
                            </w:r>
                            <w:r w:rsidRPr="00BD6296">
                              <w:rPr>
                                <w:i/>
                                <w:sz w:val="24"/>
                                <w:szCs w:val="24"/>
                              </w:rPr>
                              <w:t>Monthly Refinery Report</w:t>
                            </w:r>
                          </w:p>
                          <w:p w:rsidR="007B74AE" w:rsidRPr="00421713" w:rsidP="007B74AE" w14:textId="77777777">
                            <w:pPr>
                              <w:spacing w:before="60" w:after="0" w:line="240" w:lineRule="auto"/>
                              <w:rPr>
                                <w:sz w:val="24"/>
                                <w:szCs w:val="24"/>
                              </w:rPr>
                            </w:pPr>
                            <w:r>
                              <w:rPr>
                                <w:sz w:val="24"/>
                                <w:szCs w:val="24"/>
                              </w:rPr>
                              <w:t xml:space="preserve">Form EIA-812 </w:t>
                            </w:r>
                            <w:r w:rsidRPr="00BD6296">
                              <w:rPr>
                                <w:i/>
                                <w:sz w:val="24"/>
                                <w:szCs w:val="24"/>
                              </w:rPr>
                              <w:t>Monthly Product Pipeline Report</w:t>
                            </w:r>
                          </w:p>
                          <w:p w:rsidR="007B74AE" w:rsidRPr="00421713" w:rsidP="007B74AE" w14:textId="77777777">
                            <w:pPr>
                              <w:spacing w:before="60" w:after="0" w:line="240" w:lineRule="auto"/>
                              <w:rPr>
                                <w:sz w:val="24"/>
                                <w:szCs w:val="24"/>
                              </w:rPr>
                            </w:pPr>
                            <w:r>
                              <w:rPr>
                                <w:sz w:val="24"/>
                                <w:szCs w:val="24"/>
                              </w:rPr>
                              <w:t xml:space="preserve">Form EIA-813 </w:t>
                            </w:r>
                            <w:r w:rsidRPr="00AD5524">
                              <w:rPr>
                                <w:i/>
                                <w:sz w:val="24"/>
                                <w:szCs w:val="24"/>
                              </w:rPr>
                              <w:t>Monthly Crude Oil Report</w:t>
                            </w:r>
                          </w:p>
                          <w:p w:rsidR="007B74AE" w:rsidRPr="00421713" w:rsidP="007B74AE" w14:textId="77777777">
                            <w:pPr>
                              <w:spacing w:before="60" w:after="0" w:line="240" w:lineRule="auto"/>
                              <w:rPr>
                                <w:sz w:val="24"/>
                                <w:szCs w:val="24"/>
                              </w:rPr>
                            </w:pPr>
                            <w:r>
                              <w:rPr>
                                <w:sz w:val="24"/>
                                <w:szCs w:val="24"/>
                              </w:rPr>
                              <w:t xml:space="preserve">Form EIA-814 </w:t>
                            </w:r>
                            <w:r w:rsidRPr="00AD5524">
                              <w:rPr>
                                <w:i/>
                                <w:sz w:val="24"/>
                                <w:szCs w:val="24"/>
                              </w:rPr>
                              <w:t>Monthly Imports Report</w:t>
                            </w:r>
                          </w:p>
                          <w:p w:rsidR="007B74AE" w:rsidRPr="00421713" w:rsidP="007B74AE" w14:textId="77777777">
                            <w:pPr>
                              <w:spacing w:before="60" w:after="0" w:line="240" w:lineRule="auto"/>
                              <w:rPr>
                                <w:sz w:val="24"/>
                                <w:szCs w:val="24"/>
                              </w:rPr>
                            </w:pPr>
                            <w:r>
                              <w:rPr>
                                <w:sz w:val="24"/>
                                <w:szCs w:val="24"/>
                              </w:rPr>
                              <w:t xml:space="preserve">Form EIA-815 </w:t>
                            </w:r>
                            <w:r w:rsidRPr="00AD5524">
                              <w:rPr>
                                <w:i/>
                                <w:sz w:val="24"/>
                                <w:szCs w:val="24"/>
                              </w:rPr>
                              <w:t>Monthly Bulk Terminal Report</w:t>
                            </w:r>
                          </w:p>
                          <w:p w:rsidR="007B74AE" w:rsidRPr="00421713" w:rsidP="007B74AE" w14:textId="77777777">
                            <w:pPr>
                              <w:spacing w:before="60" w:after="0" w:line="240" w:lineRule="auto"/>
                              <w:rPr>
                                <w:sz w:val="24"/>
                                <w:szCs w:val="24"/>
                              </w:rPr>
                            </w:pPr>
                            <w:r>
                              <w:rPr>
                                <w:sz w:val="24"/>
                                <w:szCs w:val="24"/>
                              </w:rPr>
                              <w:t xml:space="preserve">Form EIA-816 </w:t>
                            </w:r>
                            <w:r w:rsidRPr="00AD5524">
                              <w:rPr>
                                <w:i/>
                                <w:sz w:val="24"/>
                                <w:szCs w:val="24"/>
                              </w:rPr>
                              <w:t>Monthly Natural Gas Liquids Report</w:t>
                            </w:r>
                          </w:p>
                          <w:p w:rsidR="007B74AE" w:rsidRPr="00421713" w:rsidP="007B74AE" w14:textId="77777777">
                            <w:pPr>
                              <w:spacing w:before="60" w:after="0" w:line="240" w:lineRule="auto"/>
                              <w:rPr>
                                <w:sz w:val="24"/>
                                <w:szCs w:val="24"/>
                              </w:rPr>
                            </w:pPr>
                            <w:r>
                              <w:rPr>
                                <w:sz w:val="24"/>
                                <w:szCs w:val="24"/>
                              </w:rPr>
                              <w:t xml:space="preserve">Form EIA-817 </w:t>
                            </w:r>
                            <w:r w:rsidRPr="00AD5524">
                              <w:rPr>
                                <w:i/>
                                <w:sz w:val="24"/>
                                <w:szCs w:val="24"/>
                              </w:rPr>
                              <w:t>Monthly Tanker and Barge Movement Report</w:t>
                            </w:r>
                          </w:p>
                          <w:p w:rsidR="007B74AE" w:rsidRPr="00421713" w:rsidP="007B74AE" w14:textId="4DC1E6B9">
                            <w:pPr>
                              <w:spacing w:before="60" w:after="0" w:line="240" w:lineRule="auto"/>
                              <w:rPr>
                                <w:sz w:val="24"/>
                                <w:szCs w:val="24"/>
                              </w:rPr>
                            </w:pPr>
                            <w:r>
                              <w:rPr>
                                <w:sz w:val="24"/>
                                <w:szCs w:val="24"/>
                              </w:rPr>
                              <w:t xml:space="preserve">Form EIA-819 </w:t>
                            </w:r>
                            <w:r w:rsidRPr="00541839">
                              <w:rPr>
                                <w:i/>
                                <w:color w:val="333333"/>
                                <w:sz w:val="24"/>
                                <w:shd w:val="clear" w:color="auto" w:fill="FFFFFF"/>
                              </w:rPr>
                              <w:t xml:space="preserve">Monthly </w:t>
                            </w:r>
                            <w:r w:rsidRPr="007B74AE">
                              <w:rPr>
                                <w:rFonts w:cs="Aptos"/>
                                <w:bCs/>
                                <w:i/>
                                <w:color w:val="333333"/>
                                <w:sz w:val="24"/>
                                <w:szCs w:val="24"/>
                                <w:shd w:val="clear" w:color="auto" w:fill="FFFFFF"/>
                              </w:rPr>
                              <w:t>Report of Fuels from Non-Biogenic Wastes</w:t>
                            </w:r>
                            <w:r w:rsidR="00CB7251">
                              <w:rPr>
                                <w:rFonts w:cs="Aptos"/>
                                <w:bCs/>
                                <w:i/>
                                <w:color w:val="333333"/>
                                <w:sz w:val="24"/>
                                <w:szCs w:val="24"/>
                                <w:shd w:val="clear" w:color="auto" w:fill="FFFFFF"/>
                              </w:rPr>
                              <w:t xml:space="preserve"> and Biofuels</w:t>
                            </w:r>
                          </w:p>
                          <w:p w:rsidR="007B74AE" w:rsidP="007B74AE" w14:textId="77777777">
                            <w:pPr>
                              <w:spacing w:before="60" w:after="0" w:line="240" w:lineRule="auto"/>
                              <w:rPr>
                                <w:i/>
                                <w:sz w:val="24"/>
                                <w:szCs w:val="24"/>
                              </w:rPr>
                            </w:pPr>
                            <w:r>
                              <w:rPr>
                                <w:sz w:val="24"/>
                                <w:szCs w:val="24"/>
                              </w:rPr>
                              <w:t xml:space="preserve">Form EIA-820 </w:t>
                            </w:r>
                            <w:r w:rsidRPr="00AD5524">
                              <w:rPr>
                                <w:i/>
                                <w:sz w:val="24"/>
                                <w:szCs w:val="24"/>
                              </w:rPr>
                              <w:t>Annual Refinery Report</w:t>
                            </w:r>
                          </w:p>
                          <w:p w:rsidR="007A7270" w:rsidRPr="007A7270" w:rsidP="007B74AE" w14:textId="70F0B1DB">
                            <w:pPr>
                              <w:spacing w:before="60" w:after="0" w:line="240" w:lineRule="auto"/>
                              <w:rPr>
                                <w:iCs/>
                                <w:sz w:val="24"/>
                                <w:szCs w:val="24"/>
                              </w:rPr>
                            </w:pPr>
                            <w:r>
                              <w:rPr>
                                <w:iCs/>
                                <w:sz w:val="24"/>
                                <w:szCs w:val="24"/>
                              </w:rPr>
                              <w:t xml:space="preserve">Form EIA-830 </w:t>
                            </w:r>
                            <w:r>
                              <w:rPr>
                                <w:i/>
                                <w:sz w:val="24"/>
                                <w:szCs w:val="24"/>
                              </w:rPr>
                              <w:t xml:space="preserve">Annual Storage Capacity Report </w:t>
                            </w:r>
                            <w:r>
                              <w:rPr>
                                <w:iCs/>
                                <w:sz w:val="24"/>
                                <w:szCs w:val="24"/>
                              </w:rPr>
                              <w:t>(standby)</w:t>
                            </w:r>
                          </w:p>
                          <w:p w:rsidR="00D00DB1" w:rsidRPr="0059212D" w:rsidP="00E054DF" w14:textId="77777777">
                            <w:pPr>
                              <w:rPr>
                                <w:i/>
                                <w:sz w:val="28"/>
                                <w:szCs w:val="28"/>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5" type="#_x0000_t202" style="width:449.35pt;height:386.15pt;margin-top:276.1pt;margin-left:28.6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
                  <w:txbxContent>
                    <w:p w:rsidR="00E054DF" w:rsidRPr="007B74AE" w:rsidP="00E054DF" w14:paraId="7D3FF6BB" w14:textId="4AA5BF40">
                      <w:pPr>
                        <w:pStyle w:val="Boxtext"/>
                        <w:rPr>
                          <w:rFonts w:ascii="Times New Roman" w:hAnsi="Times New Roman"/>
                          <w:sz w:val="32"/>
                          <w:szCs w:val="32"/>
                        </w:rPr>
                      </w:pPr>
                      <w:bookmarkStart w:id="0" w:name="_Toc466046933"/>
                      <w:r w:rsidRPr="007B74AE">
                        <w:rPr>
                          <w:rStyle w:val="Heading1Char"/>
                          <w:sz w:val="32"/>
                          <w:szCs w:val="32"/>
                        </w:rPr>
                        <w:t>Part B: Collections of Information Employing Statistical Methods</w:t>
                      </w:r>
                      <w:r w:rsidRPr="007B74AE">
                        <w:rPr>
                          <w:sz w:val="32"/>
                          <w:szCs w:val="32"/>
                        </w:rPr>
                        <w:br/>
                      </w:r>
                      <w:r w:rsidRPr="007B74AE">
                        <w:rPr>
                          <w:rFonts w:ascii="Times New Roman" w:hAnsi="Times New Roman"/>
                          <w:sz w:val="32"/>
                          <w:szCs w:val="32"/>
                        </w:rPr>
                        <w:t>OMB No. 1905-0</w:t>
                      </w:r>
                      <w:r w:rsidRPr="007B74AE" w:rsidR="004D695B">
                        <w:rPr>
                          <w:rFonts w:ascii="Times New Roman" w:hAnsi="Times New Roman"/>
                          <w:sz w:val="32"/>
                          <w:szCs w:val="32"/>
                        </w:rPr>
                        <w:t>165</w:t>
                      </w:r>
                    </w:p>
                    <w:p w:rsidR="007B74AE" w:rsidRPr="00421713" w:rsidP="007B74AE" w14:paraId="19E9693C" w14:textId="77777777">
                      <w:pPr>
                        <w:spacing w:before="120" w:after="0" w:line="240" w:lineRule="auto"/>
                        <w:rPr>
                          <w:sz w:val="24"/>
                          <w:szCs w:val="24"/>
                        </w:rPr>
                      </w:pPr>
                      <w:r>
                        <w:rPr>
                          <w:sz w:val="24"/>
                          <w:szCs w:val="24"/>
                        </w:rPr>
                        <w:t xml:space="preserve">Form EIA-800 </w:t>
                      </w:r>
                      <w:r w:rsidRPr="00607EE9">
                        <w:rPr>
                          <w:i/>
                          <w:sz w:val="24"/>
                          <w:szCs w:val="24"/>
                        </w:rPr>
                        <w:t>Weekly Refinery Report</w:t>
                      </w:r>
                    </w:p>
                    <w:p w:rsidR="007B74AE" w:rsidRPr="00421713" w:rsidP="007B74AE" w14:paraId="2A76DBAB" w14:textId="77777777">
                      <w:pPr>
                        <w:spacing w:before="60" w:after="0" w:line="240" w:lineRule="auto"/>
                        <w:rPr>
                          <w:sz w:val="24"/>
                          <w:szCs w:val="24"/>
                        </w:rPr>
                      </w:pPr>
                      <w:r>
                        <w:rPr>
                          <w:sz w:val="24"/>
                          <w:szCs w:val="24"/>
                        </w:rPr>
                        <w:t xml:space="preserve">Form EIA-802 </w:t>
                      </w:r>
                      <w:r w:rsidRPr="00BD6296">
                        <w:rPr>
                          <w:i/>
                          <w:sz w:val="24"/>
                          <w:szCs w:val="24"/>
                        </w:rPr>
                        <w:t>Weekly Product Pipeline Report</w:t>
                      </w:r>
                    </w:p>
                    <w:p w:rsidR="007B74AE" w:rsidRPr="00421713" w:rsidP="007B74AE" w14:paraId="2CD603CB" w14:textId="77777777">
                      <w:pPr>
                        <w:spacing w:before="60" w:after="0" w:line="240" w:lineRule="auto"/>
                        <w:rPr>
                          <w:sz w:val="24"/>
                          <w:szCs w:val="24"/>
                        </w:rPr>
                      </w:pPr>
                      <w:r>
                        <w:rPr>
                          <w:sz w:val="24"/>
                          <w:szCs w:val="24"/>
                        </w:rPr>
                        <w:t xml:space="preserve">Form EIA-803 </w:t>
                      </w:r>
                      <w:r w:rsidRPr="00BD6296">
                        <w:rPr>
                          <w:i/>
                          <w:sz w:val="24"/>
                          <w:szCs w:val="24"/>
                        </w:rPr>
                        <w:t>Weekly Crude Oil Stocks Report</w:t>
                      </w:r>
                    </w:p>
                    <w:p w:rsidR="007B74AE" w:rsidRPr="00421713" w:rsidP="007B74AE" w14:paraId="295C3FF7" w14:textId="77777777">
                      <w:pPr>
                        <w:spacing w:before="60" w:after="0" w:line="240" w:lineRule="auto"/>
                        <w:rPr>
                          <w:sz w:val="24"/>
                          <w:szCs w:val="24"/>
                        </w:rPr>
                      </w:pPr>
                      <w:r>
                        <w:rPr>
                          <w:sz w:val="24"/>
                          <w:szCs w:val="24"/>
                        </w:rPr>
                        <w:t xml:space="preserve">Form EIA-804 </w:t>
                      </w:r>
                      <w:r w:rsidRPr="00BD6296">
                        <w:rPr>
                          <w:i/>
                          <w:sz w:val="24"/>
                          <w:szCs w:val="24"/>
                        </w:rPr>
                        <w:t>Weekly Imports Report</w:t>
                      </w:r>
                    </w:p>
                    <w:p w:rsidR="007B74AE" w:rsidP="007B74AE" w14:paraId="530EA991" w14:textId="77777777">
                      <w:pPr>
                        <w:spacing w:before="60" w:after="0" w:line="240" w:lineRule="auto"/>
                        <w:rPr>
                          <w:i/>
                          <w:sz w:val="24"/>
                          <w:szCs w:val="24"/>
                        </w:rPr>
                      </w:pPr>
                      <w:r>
                        <w:rPr>
                          <w:sz w:val="24"/>
                          <w:szCs w:val="24"/>
                        </w:rPr>
                        <w:t xml:space="preserve">Form EIA-805 </w:t>
                      </w:r>
                      <w:r w:rsidRPr="00BD6296">
                        <w:rPr>
                          <w:i/>
                          <w:sz w:val="24"/>
                          <w:szCs w:val="24"/>
                        </w:rPr>
                        <w:t>Weekly Bulk Terminal Report</w:t>
                      </w:r>
                    </w:p>
                    <w:p w:rsidR="007B74AE" w:rsidRPr="00A85C31" w:rsidP="007B74AE" w14:paraId="748BFA69" w14:textId="77777777">
                      <w:pPr>
                        <w:spacing w:before="60" w:after="0" w:line="240" w:lineRule="auto"/>
                        <w:rPr>
                          <w:sz w:val="24"/>
                          <w:szCs w:val="24"/>
                        </w:rPr>
                      </w:pPr>
                      <w:r>
                        <w:rPr>
                          <w:sz w:val="24"/>
                          <w:szCs w:val="24"/>
                        </w:rPr>
                        <w:t xml:space="preserve">Form EIA-806 </w:t>
                      </w:r>
                      <w:r w:rsidRPr="00A85C31">
                        <w:rPr>
                          <w:i/>
                          <w:sz w:val="24"/>
                          <w:szCs w:val="24"/>
                        </w:rPr>
                        <w:t>Weekly Natural Gas Liquids Report</w:t>
                      </w:r>
                    </w:p>
                    <w:p w:rsidR="007B74AE" w:rsidRPr="00421713" w:rsidP="007B74AE" w14:paraId="39128D13" w14:textId="77777777">
                      <w:pPr>
                        <w:spacing w:before="60" w:after="0" w:line="240" w:lineRule="auto"/>
                        <w:rPr>
                          <w:sz w:val="24"/>
                          <w:szCs w:val="24"/>
                        </w:rPr>
                      </w:pPr>
                      <w:r>
                        <w:rPr>
                          <w:sz w:val="24"/>
                          <w:szCs w:val="24"/>
                        </w:rPr>
                        <w:t xml:space="preserve">Form EIA-809 </w:t>
                      </w:r>
                      <w:r w:rsidRPr="00BD6296">
                        <w:rPr>
                          <w:i/>
                          <w:sz w:val="24"/>
                          <w:szCs w:val="24"/>
                        </w:rPr>
                        <w:t>Weekly Oxygenate Report</w:t>
                      </w:r>
                    </w:p>
                    <w:p w:rsidR="007B74AE" w:rsidRPr="00421713" w:rsidP="007B74AE" w14:paraId="17BAE05B" w14:textId="77777777">
                      <w:pPr>
                        <w:spacing w:before="60" w:after="0" w:line="240" w:lineRule="auto"/>
                        <w:rPr>
                          <w:sz w:val="24"/>
                          <w:szCs w:val="24"/>
                        </w:rPr>
                      </w:pPr>
                      <w:r w:rsidRPr="00421713">
                        <w:rPr>
                          <w:sz w:val="24"/>
                          <w:szCs w:val="24"/>
                        </w:rPr>
                        <w:t xml:space="preserve">Form </w:t>
                      </w:r>
                      <w:r>
                        <w:rPr>
                          <w:sz w:val="24"/>
                          <w:szCs w:val="24"/>
                        </w:rPr>
                        <w:t xml:space="preserve">EIA-810 </w:t>
                      </w:r>
                      <w:r w:rsidRPr="00BD6296">
                        <w:rPr>
                          <w:i/>
                          <w:sz w:val="24"/>
                          <w:szCs w:val="24"/>
                        </w:rPr>
                        <w:t>Monthly Refinery Report</w:t>
                      </w:r>
                    </w:p>
                    <w:p w:rsidR="007B74AE" w:rsidRPr="00421713" w:rsidP="007B74AE" w14:paraId="773DBD5A" w14:textId="77777777">
                      <w:pPr>
                        <w:spacing w:before="60" w:after="0" w:line="240" w:lineRule="auto"/>
                        <w:rPr>
                          <w:sz w:val="24"/>
                          <w:szCs w:val="24"/>
                        </w:rPr>
                      </w:pPr>
                      <w:r>
                        <w:rPr>
                          <w:sz w:val="24"/>
                          <w:szCs w:val="24"/>
                        </w:rPr>
                        <w:t xml:space="preserve">Form EIA-812 </w:t>
                      </w:r>
                      <w:r w:rsidRPr="00BD6296">
                        <w:rPr>
                          <w:i/>
                          <w:sz w:val="24"/>
                          <w:szCs w:val="24"/>
                        </w:rPr>
                        <w:t>Monthly Product Pipeline Report</w:t>
                      </w:r>
                    </w:p>
                    <w:p w:rsidR="007B74AE" w:rsidRPr="00421713" w:rsidP="007B74AE" w14:paraId="16960BAD" w14:textId="77777777">
                      <w:pPr>
                        <w:spacing w:before="60" w:after="0" w:line="240" w:lineRule="auto"/>
                        <w:rPr>
                          <w:sz w:val="24"/>
                          <w:szCs w:val="24"/>
                        </w:rPr>
                      </w:pPr>
                      <w:r>
                        <w:rPr>
                          <w:sz w:val="24"/>
                          <w:szCs w:val="24"/>
                        </w:rPr>
                        <w:t xml:space="preserve">Form EIA-813 </w:t>
                      </w:r>
                      <w:r w:rsidRPr="00AD5524">
                        <w:rPr>
                          <w:i/>
                          <w:sz w:val="24"/>
                          <w:szCs w:val="24"/>
                        </w:rPr>
                        <w:t>Monthly Crude Oil Report</w:t>
                      </w:r>
                    </w:p>
                    <w:p w:rsidR="007B74AE" w:rsidRPr="00421713" w:rsidP="007B74AE" w14:paraId="154AA792" w14:textId="77777777">
                      <w:pPr>
                        <w:spacing w:before="60" w:after="0" w:line="240" w:lineRule="auto"/>
                        <w:rPr>
                          <w:sz w:val="24"/>
                          <w:szCs w:val="24"/>
                        </w:rPr>
                      </w:pPr>
                      <w:r>
                        <w:rPr>
                          <w:sz w:val="24"/>
                          <w:szCs w:val="24"/>
                        </w:rPr>
                        <w:t xml:space="preserve">Form EIA-814 </w:t>
                      </w:r>
                      <w:r w:rsidRPr="00AD5524">
                        <w:rPr>
                          <w:i/>
                          <w:sz w:val="24"/>
                          <w:szCs w:val="24"/>
                        </w:rPr>
                        <w:t>Monthly Imports Report</w:t>
                      </w:r>
                    </w:p>
                    <w:p w:rsidR="007B74AE" w:rsidRPr="00421713" w:rsidP="007B74AE" w14:paraId="6C0B3699" w14:textId="77777777">
                      <w:pPr>
                        <w:spacing w:before="60" w:after="0" w:line="240" w:lineRule="auto"/>
                        <w:rPr>
                          <w:sz w:val="24"/>
                          <w:szCs w:val="24"/>
                        </w:rPr>
                      </w:pPr>
                      <w:r>
                        <w:rPr>
                          <w:sz w:val="24"/>
                          <w:szCs w:val="24"/>
                        </w:rPr>
                        <w:t xml:space="preserve">Form EIA-815 </w:t>
                      </w:r>
                      <w:r w:rsidRPr="00AD5524">
                        <w:rPr>
                          <w:i/>
                          <w:sz w:val="24"/>
                          <w:szCs w:val="24"/>
                        </w:rPr>
                        <w:t>Monthly Bulk Terminal Report</w:t>
                      </w:r>
                    </w:p>
                    <w:p w:rsidR="007B74AE" w:rsidRPr="00421713" w:rsidP="007B74AE" w14:paraId="053A6C05" w14:textId="77777777">
                      <w:pPr>
                        <w:spacing w:before="60" w:after="0" w:line="240" w:lineRule="auto"/>
                        <w:rPr>
                          <w:sz w:val="24"/>
                          <w:szCs w:val="24"/>
                        </w:rPr>
                      </w:pPr>
                      <w:r>
                        <w:rPr>
                          <w:sz w:val="24"/>
                          <w:szCs w:val="24"/>
                        </w:rPr>
                        <w:t xml:space="preserve">Form EIA-816 </w:t>
                      </w:r>
                      <w:r w:rsidRPr="00AD5524">
                        <w:rPr>
                          <w:i/>
                          <w:sz w:val="24"/>
                          <w:szCs w:val="24"/>
                        </w:rPr>
                        <w:t>Monthly Natural Gas Liquids Report</w:t>
                      </w:r>
                    </w:p>
                    <w:p w:rsidR="007B74AE" w:rsidRPr="00421713" w:rsidP="007B74AE" w14:paraId="2D4EA69A" w14:textId="77777777">
                      <w:pPr>
                        <w:spacing w:before="60" w:after="0" w:line="240" w:lineRule="auto"/>
                        <w:rPr>
                          <w:sz w:val="24"/>
                          <w:szCs w:val="24"/>
                        </w:rPr>
                      </w:pPr>
                      <w:r>
                        <w:rPr>
                          <w:sz w:val="24"/>
                          <w:szCs w:val="24"/>
                        </w:rPr>
                        <w:t xml:space="preserve">Form EIA-817 </w:t>
                      </w:r>
                      <w:r w:rsidRPr="00AD5524">
                        <w:rPr>
                          <w:i/>
                          <w:sz w:val="24"/>
                          <w:szCs w:val="24"/>
                        </w:rPr>
                        <w:t>Monthly Tanker and Barge Movement Report</w:t>
                      </w:r>
                    </w:p>
                    <w:p w:rsidR="007B74AE" w:rsidRPr="00421713" w:rsidP="007B74AE" w14:paraId="3D5A30EC" w14:textId="77777777">
                      <w:pPr>
                        <w:spacing w:before="60" w:after="0" w:line="240" w:lineRule="auto"/>
                        <w:rPr>
                          <w:sz w:val="24"/>
                          <w:szCs w:val="24"/>
                        </w:rPr>
                      </w:pPr>
                      <w:r>
                        <w:rPr>
                          <w:sz w:val="24"/>
                          <w:szCs w:val="24"/>
                        </w:rPr>
                        <w:t xml:space="preserve">Form EIA-819 </w:t>
                      </w:r>
                      <w:r w:rsidRPr="00541839">
                        <w:rPr>
                          <w:i/>
                          <w:color w:val="333333"/>
                          <w:sz w:val="24"/>
                          <w:shd w:val="clear" w:color="auto" w:fill="FFFFFF"/>
                        </w:rPr>
                        <w:t xml:space="preserve">Monthly </w:t>
                      </w:r>
                      <w:r w:rsidRPr="007B74AE">
                        <w:rPr>
                          <w:rFonts w:cs="Aptos"/>
                          <w:bCs/>
                          <w:i/>
                          <w:color w:val="333333"/>
                          <w:sz w:val="24"/>
                          <w:szCs w:val="24"/>
                          <w:shd w:val="clear" w:color="auto" w:fill="FFFFFF"/>
                        </w:rPr>
                        <w:t>Report of Fuels from Non-Biogenic Wastes</w:t>
                      </w:r>
                      <w:r w:rsidR="00CB7251">
                        <w:rPr>
                          <w:rFonts w:cs="Aptos"/>
                          <w:bCs/>
                          <w:i/>
                          <w:color w:val="333333"/>
                          <w:sz w:val="24"/>
                          <w:szCs w:val="24"/>
                          <w:shd w:val="clear" w:color="auto" w:fill="FFFFFF"/>
                        </w:rPr>
                        <w:t xml:space="preserve"> and Biofuels</w:t>
                      </w:r>
                    </w:p>
                    <w:p w:rsidR="007B74AE" w:rsidP="007B74AE" w14:paraId="48139272" w14:textId="77777777">
                      <w:pPr>
                        <w:spacing w:before="60" w:after="0" w:line="240" w:lineRule="auto"/>
                        <w:rPr>
                          <w:i/>
                          <w:sz w:val="24"/>
                          <w:szCs w:val="24"/>
                        </w:rPr>
                      </w:pPr>
                      <w:r>
                        <w:rPr>
                          <w:sz w:val="24"/>
                          <w:szCs w:val="24"/>
                        </w:rPr>
                        <w:t xml:space="preserve">Form EIA-820 </w:t>
                      </w:r>
                      <w:r w:rsidRPr="00AD5524">
                        <w:rPr>
                          <w:i/>
                          <w:sz w:val="24"/>
                          <w:szCs w:val="24"/>
                        </w:rPr>
                        <w:t>Annual Refinery Report</w:t>
                      </w:r>
                    </w:p>
                    <w:p w:rsidR="007A7270" w:rsidRPr="007A7270" w:rsidP="007B74AE" w14:paraId="31E5E88C" w14:textId="77777777">
                      <w:pPr>
                        <w:spacing w:before="60" w:after="0" w:line="240" w:lineRule="auto"/>
                        <w:rPr>
                          <w:iCs/>
                          <w:sz w:val="24"/>
                          <w:szCs w:val="24"/>
                        </w:rPr>
                      </w:pPr>
                      <w:r>
                        <w:rPr>
                          <w:iCs/>
                          <w:sz w:val="24"/>
                          <w:szCs w:val="24"/>
                        </w:rPr>
                        <w:t xml:space="preserve">Form EIA-830 </w:t>
                      </w:r>
                      <w:r>
                        <w:rPr>
                          <w:i/>
                          <w:sz w:val="24"/>
                          <w:szCs w:val="24"/>
                        </w:rPr>
                        <w:t xml:space="preserve">Annual Storage Capacity Report </w:t>
                      </w:r>
                      <w:r>
                        <w:rPr>
                          <w:iCs/>
                          <w:sz w:val="24"/>
                          <w:szCs w:val="24"/>
                        </w:rPr>
                        <w:t>(standby)</w:t>
                      </w:r>
                    </w:p>
                    <w:p w:rsidR="00D00DB1" w:rsidRPr="0059212D" w:rsidP="00E054DF" w14:paraId="5C170120" w14:textId="77777777">
                      <w:pPr>
                        <w:rPr>
                          <w:i/>
                          <w:sz w:val="28"/>
                          <w:szCs w:val="28"/>
                        </w:rPr>
                      </w:pPr>
                    </w:p>
                    <w:p w:rsidR="00D00DB1" w14:paraId="7993004A" w14:textId="77777777"/>
                    <w:p w:rsidR="00E054DF" w:rsidRPr="007B74AE" w:rsidP="00E054DF" w14:paraId="0B7D29E6" w14:textId="177F04A8">
                      <w:pPr>
                        <w:pStyle w:val="Boxtext"/>
                        <w:rPr>
                          <w:rFonts w:ascii="Times New Roman" w:hAnsi="Times New Roman"/>
                          <w:sz w:val="32"/>
                          <w:szCs w:val="32"/>
                        </w:rPr>
                      </w:pPr>
                      <w:r w:rsidRPr="007B74AE">
                        <w:rPr>
                          <w:rStyle w:val="Heading1Char"/>
                          <w:sz w:val="32"/>
                          <w:szCs w:val="32"/>
                        </w:rPr>
                        <w:t>Part B: Collections of Information Employing Statistical Methods</w:t>
                      </w:r>
                      <w:bookmarkEnd w:id="0"/>
                      <w:r w:rsidRPr="007B74AE">
                        <w:rPr>
                          <w:sz w:val="32"/>
                          <w:szCs w:val="32"/>
                        </w:rPr>
                        <w:br/>
                      </w:r>
                      <w:r w:rsidRPr="007B74AE">
                        <w:rPr>
                          <w:rFonts w:ascii="Times New Roman" w:hAnsi="Times New Roman"/>
                          <w:sz w:val="32"/>
                          <w:szCs w:val="32"/>
                        </w:rPr>
                        <w:t>OMB No. 1905-0</w:t>
                      </w:r>
                      <w:r w:rsidRPr="007B74AE" w:rsidR="004D695B">
                        <w:rPr>
                          <w:rFonts w:ascii="Times New Roman" w:hAnsi="Times New Roman"/>
                          <w:sz w:val="32"/>
                          <w:szCs w:val="32"/>
                        </w:rPr>
                        <w:t>165</w:t>
                      </w:r>
                    </w:p>
                    <w:p w:rsidR="007B74AE" w:rsidRPr="00421713" w:rsidP="007B74AE" w14:paraId="402D54ED" w14:textId="77777777">
                      <w:pPr>
                        <w:spacing w:before="120" w:after="0" w:line="240" w:lineRule="auto"/>
                        <w:rPr>
                          <w:sz w:val="24"/>
                          <w:szCs w:val="24"/>
                        </w:rPr>
                      </w:pPr>
                      <w:r>
                        <w:rPr>
                          <w:sz w:val="24"/>
                          <w:szCs w:val="24"/>
                        </w:rPr>
                        <w:t xml:space="preserve">Form EIA-800 </w:t>
                      </w:r>
                      <w:r w:rsidRPr="00607EE9">
                        <w:rPr>
                          <w:i/>
                          <w:sz w:val="24"/>
                          <w:szCs w:val="24"/>
                        </w:rPr>
                        <w:t>Weekly Refinery Report</w:t>
                      </w:r>
                    </w:p>
                    <w:p w:rsidR="007B74AE" w:rsidRPr="00421713" w:rsidP="007B74AE" w14:paraId="261FD0B5" w14:textId="77777777">
                      <w:pPr>
                        <w:spacing w:before="60" w:after="0" w:line="240" w:lineRule="auto"/>
                        <w:rPr>
                          <w:sz w:val="24"/>
                          <w:szCs w:val="24"/>
                        </w:rPr>
                      </w:pPr>
                      <w:r>
                        <w:rPr>
                          <w:sz w:val="24"/>
                          <w:szCs w:val="24"/>
                        </w:rPr>
                        <w:t xml:space="preserve">Form EIA-802 </w:t>
                      </w:r>
                      <w:r w:rsidRPr="00BD6296">
                        <w:rPr>
                          <w:i/>
                          <w:sz w:val="24"/>
                          <w:szCs w:val="24"/>
                        </w:rPr>
                        <w:t>Weekly Product Pipeline Report</w:t>
                      </w:r>
                    </w:p>
                    <w:p w:rsidR="007B74AE" w:rsidRPr="00421713" w:rsidP="007B74AE" w14:paraId="2D96639B" w14:textId="77777777">
                      <w:pPr>
                        <w:spacing w:before="60" w:after="0" w:line="240" w:lineRule="auto"/>
                        <w:rPr>
                          <w:sz w:val="24"/>
                          <w:szCs w:val="24"/>
                        </w:rPr>
                      </w:pPr>
                      <w:r>
                        <w:rPr>
                          <w:sz w:val="24"/>
                          <w:szCs w:val="24"/>
                        </w:rPr>
                        <w:t xml:space="preserve">Form EIA-803 </w:t>
                      </w:r>
                      <w:r w:rsidRPr="00BD6296">
                        <w:rPr>
                          <w:i/>
                          <w:sz w:val="24"/>
                          <w:szCs w:val="24"/>
                        </w:rPr>
                        <w:t>Weekly Crude Oil Stocks Report</w:t>
                      </w:r>
                    </w:p>
                    <w:p w:rsidR="007B74AE" w:rsidRPr="00421713" w:rsidP="007B74AE" w14:paraId="7D77FF75" w14:textId="77777777">
                      <w:pPr>
                        <w:spacing w:before="60" w:after="0" w:line="240" w:lineRule="auto"/>
                        <w:rPr>
                          <w:sz w:val="24"/>
                          <w:szCs w:val="24"/>
                        </w:rPr>
                      </w:pPr>
                      <w:r>
                        <w:rPr>
                          <w:sz w:val="24"/>
                          <w:szCs w:val="24"/>
                        </w:rPr>
                        <w:t xml:space="preserve">Form EIA-804 </w:t>
                      </w:r>
                      <w:r w:rsidRPr="00BD6296">
                        <w:rPr>
                          <w:i/>
                          <w:sz w:val="24"/>
                          <w:szCs w:val="24"/>
                        </w:rPr>
                        <w:t>Weekly Imports Report</w:t>
                      </w:r>
                    </w:p>
                    <w:p w:rsidR="007B74AE" w:rsidP="007B74AE" w14:paraId="7F9016A6" w14:textId="77777777">
                      <w:pPr>
                        <w:spacing w:before="60" w:after="0" w:line="240" w:lineRule="auto"/>
                        <w:rPr>
                          <w:i/>
                          <w:sz w:val="24"/>
                          <w:szCs w:val="24"/>
                        </w:rPr>
                      </w:pPr>
                      <w:r>
                        <w:rPr>
                          <w:sz w:val="24"/>
                          <w:szCs w:val="24"/>
                        </w:rPr>
                        <w:t xml:space="preserve">Form EIA-805 </w:t>
                      </w:r>
                      <w:r w:rsidRPr="00BD6296">
                        <w:rPr>
                          <w:i/>
                          <w:sz w:val="24"/>
                          <w:szCs w:val="24"/>
                        </w:rPr>
                        <w:t>Weekly Bulk Terminal Report</w:t>
                      </w:r>
                    </w:p>
                    <w:p w:rsidR="007B74AE" w:rsidRPr="00A85C31" w:rsidP="007B74AE" w14:paraId="55C1D4EA" w14:textId="77777777">
                      <w:pPr>
                        <w:spacing w:before="60" w:after="0" w:line="240" w:lineRule="auto"/>
                        <w:rPr>
                          <w:sz w:val="24"/>
                          <w:szCs w:val="24"/>
                        </w:rPr>
                      </w:pPr>
                      <w:r>
                        <w:rPr>
                          <w:sz w:val="24"/>
                          <w:szCs w:val="24"/>
                        </w:rPr>
                        <w:t xml:space="preserve">Form EIA-806 </w:t>
                      </w:r>
                      <w:r w:rsidRPr="00A85C31">
                        <w:rPr>
                          <w:i/>
                          <w:sz w:val="24"/>
                          <w:szCs w:val="24"/>
                        </w:rPr>
                        <w:t>Weekly Natural Gas Liquids Report</w:t>
                      </w:r>
                    </w:p>
                    <w:p w:rsidR="007B74AE" w:rsidRPr="00421713" w:rsidP="007B74AE" w14:paraId="08120388" w14:textId="77777777">
                      <w:pPr>
                        <w:spacing w:before="60" w:after="0" w:line="240" w:lineRule="auto"/>
                        <w:rPr>
                          <w:sz w:val="24"/>
                          <w:szCs w:val="24"/>
                        </w:rPr>
                      </w:pPr>
                      <w:r>
                        <w:rPr>
                          <w:sz w:val="24"/>
                          <w:szCs w:val="24"/>
                        </w:rPr>
                        <w:t xml:space="preserve">Form EIA-809 </w:t>
                      </w:r>
                      <w:r w:rsidRPr="00BD6296">
                        <w:rPr>
                          <w:i/>
                          <w:sz w:val="24"/>
                          <w:szCs w:val="24"/>
                        </w:rPr>
                        <w:t>Weekly Oxygenate Report</w:t>
                      </w:r>
                    </w:p>
                    <w:p w:rsidR="007B74AE" w:rsidRPr="00421713" w:rsidP="007B74AE" w14:paraId="361E28D0" w14:textId="77777777">
                      <w:pPr>
                        <w:spacing w:before="60" w:after="0" w:line="240" w:lineRule="auto"/>
                        <w:rPr>
                          <w:sz w:val="24"/>
                          <w:szCs w:val="24"/>
                        </w:rPr>
                      </w:pPr>
                      <w:r w:rsidRPr="00421713">
                        <w:rPr>
                          <w:sz w:val="24"/>
                          <w:szCs w:val="24"/>
                        </w:rPr>
                        <w:t xml:space="preserve">Form </w:t>
                      </w:r>
                      <w:r>
                        <w:rPr>
                          <w:sz w:val="24"/>
                          <w:szCs w:val="24"/>
                        </w:rPr>
                        <w:t xml:space="preserve">EIA-810 </w:t>
                      </w:r>
                      <w:r w:rsidRPr="00BD6296">
                        <w:rPr>
                          <w:i/>
                          <w:sz w:val="24"/>
                          <w:szCs w:val="24"/>
                        </w:rPr>
                        <w:t>Monthly Refinery Report</w:t>
                      </w:r>
                    </w:p>
                    <w:p w:rsidR="007B74AE" w:rsidRPr="00421713" w:rsidP="007B74AE" w14:paraId="3E107414" w14:textId="77777777">
                      <w:pPr>
                        <w:spacing w:before="60" w:after="0" w:line="240" w:lineRule="auto"/>
                        <w:rPr>
                          <w:sz w:val="24"/>
                          <w:szCs w:val="24"/>
                        </w:rPr>
                      </w:pPr>
                      <w:r>
                        <w:rPr>
                          <w:sz w:val="24"/>
                          <w:szCs w:val="24"/>
                        </w:rPr>
                        <w:t xml:space="preserve">Form EIA-812 </w:t>
                      </w:r>
                      <w:r w:rsidRPr="00BD6296">
                        <w:rPr>
                          <w:i/>
                          <w:sz w:val="24"/>
                          <w:szCs w:val="24"/>
                        </w:rPr>
                        <w:t>Monthly Product Pipeline Report</w:t>
                      </w:r>
                    </w:p>
                    <w:p w:rsidR="007B74AE" w:rsidRPr="00421713" w:rsidP="007B74AE" w14:paraId="1841E5CE" w14:textId="77777777">
                      <w:pPr>
                        <w:spacing w:before="60" w:after="0" w:line="240" w:lineRule="auto"/>
                        <w:rPr>
                          <w:sz w:val="24"/>
                          <w:szCs w:val="24"/>
                        </w:rPr>
                      </w:pPr>
                      <w:r>
                        <w:rPr>
                          <w:sz w:val="24"/>
                          <w:szCs w:val="24"/>
                        </w:rPr>
                        <w:t xml:space="preserve">Form EIA-813 </w:t>
                      </w:r>
                      <w:r w:rsidRPr="00AD5524">
                        <w:rPr>
                          <w:i/>
                          <w:sz w:val="24"/>
                          <w:szCs w:val="24"/>
                        </w:rPr>
                        <w:t>Monthly Crude Oil Report</w:t>
                      </w:r>
                    </w:p>
                    <w:p w:rsidR="007B74AE" w:rsidRPr="00421713" w:rsidP="007B74AE" w14:paraId="3319CEB4" w14:textId="77777777">
                      <w:pPr>
                        <w:spacing w:before="60" w:after="0" w:line="240" w:lineRule="auto"/>
                        <w:rPr>
                          <w:sz w:val="24"/>
                          <w:szCs w:val="24"/>
                        </w:rPr>
                      </w:pPr>
                      <w:r>
                        <w:rPr>
                          <w:sz w:val="24"/>
                          <w:szCs w:val="24"/>
                        </w:rPr>
                        <w:t xml:space="preserve">Form EIA-814 </w:t>
                      </w:r>
                      <w:r w:rsidRPr="00AD5524">
                        <w:rPr>
                          <w:i/>
                          <w:sz w:val="24"/>
                          <w:szCs w:val="24"/>
                        </w:rPr>
                        <w:t>Monthly Imports Report</w:t>
                      </w:r>
                    </w:p>
                    <w:p w:rsidR="007B74AE" w:rsidRPr="00421713" w:rsidP="007B74AE" w14:paraId="001B9215" w14:textId="77777777">
                      <w:pPr>
                        <w:spacing w:before="60" w:after="0" w:line="240" w:lineRule="auto"/>
                        <w:rPr>
                          <w:sz w:val="24"/>
                          <w:szCs w:val="24"/>
                        </w:rPr>
                      </w:pPr>
                      <w:r>
                        <w:rPr>
                          <w:sz w:val="24"/>
                          <w:szCs w:val="24"/>
                        </w:rPr>
                        <w:t xml:space="preserve">Form EIA-815 </w:t>
                      </w:r>
                      <w:r w:rsidRPr="00AD5524">
                        <w:rPr>
                          <w:i/>
                          <w:sz w:val="24"/>
                          <w:szCs w:val="24"/>
                        </w:rPr>
                        <w:t>Monthly Bulk Terminal Report</w:t>
                      </w:r>
                    </w:p>
                    <w:p w:rsidR="007B74AE" w:rsidRPr="00421713" w:rsidP="007B74AE" w14:paraId="3CBFD611" w14:textId="77777777">
                      <w:pPr>
                        <w:spacing w:before="60" w:after="0" w:line="240" w:lineRule="auto"/>
                        <w:rPr>
                          <w:sz w:val="24"/>
                          <w:szCs w:val="24"/>
                        </w:rPr>
                      </w:pPr>
                      <w:r>
                        <w:rPr>
                          <w:sz w:val="24"/>
                          <w:szCs w:val="24"/>
                        </w:rPr>
                        <w:t xml:space="preserve">Form EIA-816 </w:t>
                      </w:r>
                      <w:r w:rsidRPr="00AD5524">
                        <w:rPr>
                          <w:i/>
                          <w:sz w:val="24"/>
                          <w:szCs w:val="24"/>
                        </w:rPr>
                        <w:t>Monthly Natural Gas Liquids Report</w:t>
                      </w:r>
                    </w:p>
                    <w:p w:rsidR="007B74AE" w:rsidRPr="00421713" w:rsidP="007B74AE" w14:paraId="26842AFD" w14:textId="77777777">
                      <w:pPr>
                        <w:spacing w:before="60" w:after="0" w:line="240" w:lineRule="auto"/>
                        <w:rPr>
                          <w:sz w:val="24"/>
                          <w:szCs w:val="24"/>
                        </w:rPr>
                      </w:pPr>
                      <w:r>
                        <w:rPr>
                          <w:sz w:val="24"/>
                          <w:szCs w:val="24"/>
                        </w:rPr>
                        <w:t xml:space="preserve">Form EIA-817 </w:t>
                      </w:r>
                      <w:r w:rsidRPr="00AD5524">
                        <w:rPr>
                          <w:i/>
                          <w:sz w:val="24"/>
                          <w:szCs w:val="24"/>
                        </w:rPr>
                        <w:t>Monthly Tanker and Barge Movement Report</w:t>
                      </w:r>
                    </w:p>
                    <w:p w:rsidR="007B74AE" w:rsidRPr="00421713" w:rsidP="007B74AE" w14:paraId="3771E17C" w14:textId="4DC1E6B9">
                      <w:pPr>
                        <w:spacing w:before="60" w:after="0" w:line="240" w:lineRule="auto"/>
                        <w:rPr>
                          <w:sz w:val="24"/>
                          <w:szCs w:val="24"/>
                        </w:rPr>
                      </w:pPr>
                      <w:r>
                        <w:rPr>
                          <w:sz w:val="24"/>
                          <w:szCs w:val="24"/>
                        </w:rPr>
                        <w:t xml:space="preserve">Form EIA-819 </w:t>
                      </w:r>
                      <w:r w:rsidRPr="00541839">
                        <w:rPr>
                          <w:i/>
                          <w:color w:val="333333"/>
                          <w:sz w:val="24"/>
                          <w:shd w:val="clear" w:color="auto" w:fill="FFFFFF"/>
                        </w:rPr>
                        <w:t xml:space="preserve">Monthly </w:t>
                      </w:r>
                      <w:r w:rsidRPr="007B74AE">
                        <w:rPr>
                          <w:rFonts w:cs="Aptos"/>
                          <w:bCs/>
                          <w:i/>
                          <w:color w:val="333333"/>
                          <w:sz w:val="24"/>
                          <w:szCs w:val="24"/>
                          <w:shd w:val="clear" w:color="auto" w:fill="FFFFFF"/>
                        </w:rPr>
                        <w:t>Report of Fuels from Non-Biogenic Wastes</w:t>
                      </w:r>
                      <w:r w:rsidR="00CB7251">
                        <w:rPr>
                          <w:rFonts w:cs="Aptos"/>
                          <w:bCs/>
                          <w:i/>
                          <w:color w:val="333333"/>
                          <w:sz w:val="24"/>
                          <w:szCs w:val="24"/>
                          <w:shd w:val="clear" w:color="auto" w:fill="FFFFFF"/>
                        </w:rPr>
                        <w:t xml:space="preserve"> and Biofuels</w:t>
                      </w:r>
                    </w:p>
                    <w:p w:rsidR="007B74AE" w:rsidP="007B74AE" w14:paraId="26E42704" w14:textId="77777777">
                      <w:pPr>
                        <w:spacing w:before="60" w:after="0" w:line="240" w:lineRule="auto"/>
                        <w:rPr>
                          <w:i/>
                          <w:sz w:val="24"/>
                          <w:szCs w:val="24"/>
                        </w:rPr>
                      </w:pPr>
                      <w:r>
                        <w:rPr>
                          <w:sz w:val="24"/>
                          <w:szCs w:val="24"/>
                        </w:rPr>
                        <w:t xml:space="preserve">Form EIA-820 </w:t>
                      </w:r>
                      <w:r w:rsidRPr="00AD5524">
                        <w:rPr>
                          <w:i/>
                          <w:sz w:val="24"/>
                          <w:szCs w:val="24"/>
                        </w:rPr>
                        <w:t>Annual Refinery Report</w:t>
                      </w:r>
                    </w:p>
                    <w:p w:rsidR="007A7270" w:rsidRPr="007A7270" w:rsidP="007B74AE" w14:paraId="5138323A" w14:textId="70F0B1DB">
                      <w:pPr>
                        <w:spacing w:before="60" w:after="0" w:line="240" w:lineRule="auto"/>
                        <w:rPr>
                          <w:iCs/>
                          <w:sz w:val="24"/>
                          <w:szCs w:val="24"/>
                        </w:rPr>
                      </w:pPr>
                      <w:r>
                        <w:rPr>
                          <w:iCs/>
                          <w:sz w:val="24"/>
                          <w:szCs w:val="24"/>
                        </w:rPr>
                        <w:t xml:space="preserve">Form EIA-830 </w:t>
                      </w:r>
                      <w:r>
                        <w:rPr>
                          <w:i/>
                          <w:sz w:val="24"/>
                          <w:szCs w:val="24"/>
                        </w:rPr>
                        <w:t xml:space="preserve">Annual Storage Capacity Report </w:t>
                      </w:r>
                      <w:r>
                        <w:rPr>
                          <w:iCs/>
                          <w:sz w:val="24"/>
                          <w:szCs w:val="24"/>
                        </w:rPr>
                        <w:t>(standby)</w:t>
                      </w:r>
                    </w:p>
                    <w:p w:rsidR="00D00DB1" w:rsidRPr="0059212D" w:rsidP="00E054DF" w14:paraId="3B994FDF" w14:textId="77777777">
                      <w:pPr>
                        <w:rPr>
                          <w:i/>
                          <w:sz w:val="28"/>
                          <w:szCs w:val="28"/>
                        </w:rPr>
                      </w:pP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posOffset>487680</wp:posOffset>
                </wp:positionH>
                <wp:positionV relativeFrom="margin">
                  <wp:posOffset>3200400</wp:posOffset>
                </wp:positionV>
                <wp:extent cx="2377440" cy="448945"/>
                <wp:effectExtent l="0" t="0" r="0" b="0"/>
                <wp:wrapSquare wrapText="bothSides"/>
                <wp:docPr id="16"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489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A779A" w:rsidRPr="007B74AE" w14:textId="4733E352">
                            <w:pPr>
                              <w:rPr>
                                <w:rFonts w:ascii="Franklin Gothic Medium" w:hAnsi="Franklin Gothic Medium"/>
                                <w:color w:val="7F7F7F"/>
                                <w:sz w:val="32"/>
                                <w:szCs w:val="32"/>
                              </w:rPr>
                            </w:pPr>
                            <w:r>
                              <w:rPr>
                                <w:rFonts w:ascii="Franklin Gothic Medium" w:hAnsi="Franklin Gothic Medium"/>
                                <w:color w:val="7F7F7F"/>
                                <w:sz w:val="32"/>
                                <w:szCs w:val="32"/>
                              </w:rPr>
                              <w:t xml:space="preserve">April </w:t>
                            </w:r>
                            <w:r w:rsidR="00037F68">
                              <w:rPr>
                                <w:rFonts w:ascii="Franklin Gothic Medium" w:hAnsi="Franklin Gothic Medium"/>
                                <w:color w:val="7F7F7F"/>
                                <w:sz w:val="32"/>
                                <w:szCs w:val="32"/>
                              </w:rPr>
                              <w:t>2026</w:t>
                            </w:r>
                          </w:p>
                          <w:p w:rsidR="00EA779A" w14:textId="77777777"/>
                          <w:p w:rsidR="00EA779A" w:rsidRPr="007B74AE" w14:textId="4F6D743E">
                            <w:pPr>
                              <w:rPr>
                                <w:rFonts w:ascii="Franklin Gothic Medium" w:hAnsi="Franklin Gothic Medium"/>
                                <w:color w:val="7F7F7F"/>
                                <w:sz w:val="32"/>
                                <w:szCs w:val="32"/>
                              </w:rPr>
                            </w:pPr>
                            <w:r>
                              <w:rPr>
                                <w:rFonts w:ascii="Franklin Gothic Medium" w:hAnsi="Franklin Gothic Medium"/>
                                <w:color w:val="7F7F7F"/>
                                <w:sz w:val="32"/>
                                <w:szCs w:val="32"/>
                              </w:rPr>
                              <w:t xml:space="preserve">April </w:t>
                            </w:r>
                            <w:r w:rsidR="00037F68">
                              <w:rPr>
                                <w:rFonts w:ascii="Franklin Gothic Medium" w:hAnsi="Franklin Gothic Medium"/>
                                <w:color w:val="7F7F7F"/>
                                <w:sz w:val="32"/>
                                <w:szCs w:val="32"/>
                              </w:rPr>
                              <w:t>2026</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6" type="#_x0000_t202" style="width:187.2pt;height:35.35pt;margin-top:252pt;margin-left:38.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1312" filled="f" stroked="f">
                <v:textbox style="mso-fit-shape-to-text:t" inset="0">
                  <w:txbxContent>
                    <w:p w:rsidR="00EA779A" w:rsidRPr="007B74AE" w14:paraId="0C8DB236" w14:textId="4733E352">
                      <w:pPr>
                        <w:rPr>
                          <w:rFonts w:ascii="Franklin Gothic Medium" w:hAnsi="Franklin Gothic Medium"/>
                          <w:color w:val="7F7F7F"/>
                          <w:sz w:val="32"/>
                          <w:szCs w:val="32"/>
                        </w:rPr>
                      </w:pPr>
                      <w:r>
                        <w:rPr>
                          <w:rFonts w:ascii="Franklin Gothic Medium" w:hAnsi="Franklin Gothic Medium"/>
                          <w:color w:val="7F7F7F"/>
                          <w:sz w:val="32"/>
                          <w:szCs w:val="32"/>
                        </w:rPr>
                        <w:t xml:space="preserve">April </w:t>
                      </w:r>
                      <w:r w:rsidR="00037F68">
                        <w:rPr>
                          <w:rFonts w:ascii="Franklin Gothic Medium" w:hAnsi="Franklin Gothic Medium"/>
                          <w:color w:val="7F7F7F"/>
                          <w:sz w:val="32"/>
                          <w:szCs w:val="32"/>
                        </w:rPr>
                        <w:t>2026</w:t>
                      </w:r>
                    </w:p>
                    <w:p w:rsidR="00EA779A" w14:paraId="32FA8282" w14:textId="77777777"/>
                    <w:p w:rsidR="00EA779A" w:rsidRPr="007B74AE" w14:paraId="42B54FAA" w14:textId="4F6D743E">
                      <w:pPr>
                        <w:rPr>
                          <w:rFonts w:ascii="Franklin Gothic Medium" w:hAnsi="Franklin Gothic Medium"/>
                          <w:color w:val="7F7F7F"/>
                          <w:sz w:val="32"/>
                          <w:szCs w:val="32"/>
                        </w:rPr>
                      </w:pPr>
                      <w:r>
                        <w:rPr>
                          <w:rFonts w:ascii="Franklin Gothic Medium" w:hAnsi="Franklin Gothic Medium"/>
                          <w:color w:val="7F7F7F"/>
                          <w:sz w:val="32"/>
                          <w:szCs w:val="32"/>
                        </w:rPr>
                        <w:t xml:space="preserve">April </w:t>
                      </w:r>
                      <w:r w:rsidR="00037F68">
                        <w:rPr>
                          <w:rFonts w:ascii="Franklin Gothic Medium" w:hAnsi="Franklin Gothic Medium"/>
                          <w:color w:val="7F7F7F"/>
                          <w:sz w:val="32"/>
                          <w:szCs w:val="32"/>
                        </w:rPr>
                        <w:t>2026</w:t>
                      </w:r>
                    </w:p>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margin">
                  <wp:posOffset>363855</wp:posOffset>
                </wp:positionH>
                <wp:positionV relativeFrom="paragraph">
                  <wp:posOffset>25400</wp:posOffset>
                </wp:positionV>
                <wp:extent cx="5579745" cy="1152525"/>
                <wp:effectExtent l="0" t="0" r="0" b="0"/>
                <wp:wrapNone/>
                <wp:docPr id="17"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79745" cy="11525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A779A" w:rsidRPr="007B74AE" w:rsidP="00313D14" w14:textId="4D5D9994">
                            <w:pPr>
                              <w:spacing w:line="276" w:lineRule="auto"/>
                              <w:rPr>
                                <w:rFonts w:ascii="Times New Roman" w:hAnsi="Times New Roman"/>
                                <w:b/>
                                <w:color w:val="139CD8"/>
                                <w:sz w:val="52"/>
                                <w:szCs w:val="52"/>
                              </w:rPr>
                            </w:pPr>
                            <w:r w:rsidRPr="007B74AE">
                              <w:rPr>
                                <w:rFonts w:ascii="Times New Roman" w:hAnsi="Times New Roman"/>
                                <w:b/>
                                <w:color w:val="139CD8"/>
                                <w:sz w:val="52"/>
                                <w:szCs w:val="52"/>
                              </w:rPr>
                              <w:t xml:space="preserve">Supporting Statement for </w:t>
                            </w:r>
                            <w:r w:rsidRPr="007B74AE" w:rsidR="007F455A">
                              <w:rPr>
                                <w:rFonts w:ascii="Times New Roman" w:hAnsi="Times New Roman"/>
                                <w:b/>
                                <w:color w:val="139CD8"/>
                                <w:sz w:val="52"/>
                                <w:szCs w:val="52"/>
                              </w:rPr>
                              <w:t>Petroleum Supply Reporting System</w:t>
                            </w:r>
                          </w:p>
                          <w:p w:rsidR="00EA779A" w14:textId="77777777"/>
                          <w:p w:rsidR="00EA779A" w:rsidRPr="007B74AE" w:rsidP="00313D14" w14:textId="5203A45E">
                            <w:pPr>
                              <w:spacing w:line="276" w:lineRule="auto"/>
                              <w:rPr>
                                <w:rFonts w:ascii="Times New Roman" w:hAnsi="Times New Roman"/>
                                <w:b/>
                                <w:color w:val="139CD8"/>
                                <w:sz w:val="52"/>
                                <w:szCs w:val="52"/>
                              </w:rPr>
                            </w:pPr>
                            <w:r w:rsidRPr="007B74AE">
                              <w:rPr>
                                <w:rFonts w:ascii="Times New Roman" w:hAnsi="Times New Roman"/>
                                <w:b/>
                                <w:color w:val="139CD8"/>
                                <w:sz w:val="52"/>
                                <w:szCs w:val="52"/>
                              </w:rPr>
                              <w:t xml:space="preserve">Supporting Statement for </w:t>
                            </w:r>
                            <w:r w:rsidRPr="007B74AE" w:rsidR="007F455A">
                              <w:rPr>
                                <w:rFonts w:ascii="Times New Roman" w:hAnsi="Times New Roman"/>
                                <w:b/>
                                <w:color w:val="139CD8"/>
                                <w:sz w:val="52"/>
                                <w:szCs w:val="52"/>
                              </w:rPr>
                              <w:t>Petroleum Supply Reporting System</w:t>
                            </w: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7" type="#_x0000_t202" style="width:439.35pt;height:90.75pt;margin-top:2pt;margin-left:28.65pt;mso-height-percent:0;mso-height-relative:margin;mso-position-horizontal-relative:margin;mso-width-percent:0;mso-width-relative:margin;mso-wrap-distance-bottom:0;mso-wrap-distance-left:9pt;mso-wrap-distance-right:9pt;mso-wrap-distance-top:0;mso-wrap-style:square;position:absolute;visibility:visible;v-text-anchor:bottom;z-index:251659264" filled="f" stroked="f">
                <v:textbox inset="0">
                  <w:txbxContent>
                    <w:p w:rsidR="00EA779A" w:rsidRPr="007B74AE" w:rsidP="00313D14" w14:paraId="2A5FE00E" w14:textId="4D5D9994">
                      <w:pPr>
                        <w:spacing w:line="276" w:lineRule="auto"/>
                        <w:rPr>
                          <w:rFonts w:ascii="Times New Roman" w:hAnsi="Times New Roman"/>
                          <w:b/>
                          <w:color w:val="139CD8"/>
                          <w:sz w:val="52"/>
                          <w:szCs w:val="52"/>
                        </w:rPr>
                      </w:pPr>
                      <w:r w:rsidRPr="007B74AE">
                        <w:rPr>
                          <w:rFonts w:ascii="Times New Roman" w:hAnsi="Times New Roman"/>
                          <w:b/>
                          <w:color w:val="139CD8"/>
                          <w:sz w:val="52"/>
                          <w:szCs w:val="52"/>
                        </w:rPr>
                        <w:t xml:space="preserve">Supporting Statement for </w:t>
                      </w:r>
                      <w:r w:rsidRPr="007B74AE" w:rsidR="007F455A">
                        <w:rPr>
                          <w:rFonts w:ascii="Times New Roman" w:hAnsi="Times New Roman"/>
                          <w:b/>
                          <w:color w:val="139CD8"/>
                          <w:sz w:val="52"/>
                          <w:szCs w:val="52"/>
                        </w:rPr>
                        <w:t>Petroleum Supply Reporting System</w:t>
                      </w:r>
                    </w:p>
                    <w:p w:rsidR="00EA779A" w14:paraId="3B233DB9" w14:textId="77777777"/>
                    <w:p w:rsidR="00EA779A" w:rsidRPr="007B74AE" w:rsidP="00313D14" w14:paraId="53A5BD8C" w14:textId="5203A45E">
                      <w:pPr>
                        <w:spacing w:line="276" w:lineRule="auto"/>
                        <w:rPr>
                          <w:rFonts w:ascii="Times New Roman" w:hAnsi="Times New Roman"/>
                          <w:b/>
                          <w:color w:val="139CD8"/>
                          <w:sz w:val="52"/>
                          <w:szCs w:val="52"/>
                        </w:rPr>
                      </w:pPr>
                      <w:r w:rsidRPr="007B74AE">
                        <w:rPr>
                          <w:rFonts w:ascii="Times New Roman" w:hAnsi="Times New Roman"/>
                          <w:b/>
                          <w:color w:val="139CD8"/>
                          <w:sz w:val="52"/>
                          <w:szCs w:val="52"/>
                        </w:rPr>
                        <w:t xml:space="preserve">Supporting Statement for </w:t>
                      </w:r>
                      <w:r w:rsidRPr="007B74AE" w:rsidR="007F455A">
                        <w:rPr>
                          <w:rFonts w:ascii="Times New Roman" w:hAnsi="Times New Roman"/>
                          <w:b/>
                          <w:color w:val="139CD8"/>
                          <w:sz w:val="52"/>
                          <w:szCs w:val="52"/>
                        </w:rPr>
                        <w:t>Petroleum Supply Reporting System</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margin">
                  <wp:posOffset>3352800</wp:posOffset>
                </wp:positionH>
                <wp:positionV relativeFrom="margin">
                  <wp:posOffset>8542020</wp:posOffset>
                </wp:positionV>
                <wp:extent cx="2717800" cy="647700"/>
                <wp:effectExtent l="0" t="0" r="0" b="0"/>
                <wp:wrapSquare wrapText="bothSides"/>
                <wp:docPr id="13"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47700"/>
                        </a:xfrm>
                        <a:prstGeom prst="rect">
                          <a:avLst/>
                        </a:prstGeom>
                        <a:noFill/>
                        <a:ln w="9525">
                          <a:noFill/>
                          <a:miter lim="800000"/>
                          <a:headEnd/>
                          <a:tailEnd/>
                        </a:ln>
                      </wps:spPr>
                      <wps:txbx>
                        <w:txbxContent>
                          <w:p w:rsidR="00EA779A" w:rsidRPr="00E054DF" w:rsidP="004D236B"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www.eia.gov</w:t>
                            </w:r>
                          </w:p>
                          <w:p w:rsidR="00EA779A" w:rsidRPr="00E054DF" w:rsidP="004D236B" w14:textId="77777777">
                            <w:pPr>
                              <w:spacing w:after="0" w:line="240" w:lineRule="auto"/>
                              <w:jc w:val="right"/>
                              <w:rPr>
                                <w:rFonts w:ascii="Franklin Gothic Book" w:hAnsi="Franklin Gothic Book"/>
                                <w:color w:val="808080"/>
                                <w:kern w:val="24"/>
                                <w:sz w:val="20"/>
                              </w:rPr>
                            </w:pPr>
                            <w:r w:rsidRPr="00E054DF">
                              <w:rPr>
                                <w:rFonts w:ascii="Franklin Gothic Book" w:hAnsi="Franklin Gothic Book"/>
                                <w:color w:val="808080"/>
                                <w:kern w:val="24"/>
                                <w:sz w:val="20"/>
                              </w:rPr>
                              <w:t>U.S. Department of Energy</w:t>
                            </w:r>
                          </w:p>
                          <w:p w:rsidR="00EA779A" w:rsidRPr="00E054DF" w:rsidP="004D236B"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Washington, DC 20585</w:t>
                            </w:r>
                          </w:p>
                          <w:p w:rsidR="00EA779A" w14:textId="77777777"/>
                          <w:p w:rsidR="00EA779A" w:rsidRPr="00E054DF" w:rsidP="004D236B" w14:textId="71EAFEB9">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www.eia.gov</w:t>
                            </w:r>
                          </w:p>
                          <w:p w:rsidR="00EA779A" w:rsidRPr="00E054DF" w:rsidP="004D236B" w14:textId="77777777">
                            <w:pPr>
                              <w:spacing w:after="0" w:line="240" w:lineRule="auto"/>
                              <w:jc w:val="right"/>
                              <w:rPr>
                                <w:rFonts w:ascii="Franklin Gothic Book" w:hAnsi="Franklin Gothic Book"/>
                                <w:color w:val="808080"/>
                                <w:kern w:val="24"/>
                                <w:sz w:val="20"/>
                              </w:rPr>
                            </w:pPr>
                            <w:r w:rsidRPr="00E054DF">
                              <w:rPr>
                                <w:rFonts w:ascii="Franklin Gothic Book" w:hAnsi="Franklin Gothic Book"/>
                                <w:color w:val="808080"/>
                                <w:kern w:val="24"/>
                                <w:sz w:val="20"/>
                              </w:rPr>
                              <w:t>U.S. Department of Energy</w:t>
                            </w:r>
                          </w:p>
                          <w:p w:rsidR="00EA779A" w:rsidRPr="00E054DF" w:rsidP="004D236B"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28" type="#_x0000_t202" style="width:214pt;height:51pt;margin-top:672.6pt;margin-left:26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inset="0">
                  <w:txbxContent>
                    <w:p w:rsidR="00EA779A" w:rsidRPr="00E054DF" w:rsidP="004D236B" w14:paraId="4F52EF8D"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www.eia.gov</w:t>
                      </w:r>
                    </w:p>
                    <w:p w:rsidR="00EA779A" w:rsidRPr="00E054DF" w:rsidP="004D236B" w14:paraId="3BBCDE9F" w14:textId="77777777">
                      <w:pPr>
                        <w:spacing w:after="0" w:line="240" w:lineRule="auto"/>
                        <w:jc w:val="right"/>
                        <w:rPr>
                          <w:rFonts w:ascii="Franklin Gothic Book" w:hAnsi="Franklin Gothic Book"/>
                          <w:color w:val="808080"/>
                          <w:kern w:val="24"/>
                          <w:sz w:val="20"/>
                        </w:rPr>
                      </w:pPr>
                      <w:r w:rsidRPr="00E054DF">
                        <w:rPr>
                          <w:rFonts w:ascii="Franklin Gothic Book" w:hAnsi="Franklin Gothic Book"/>
                          <w:color w:val="808080"/>
                          <w:kern w:val="24"/>
                          <w:sz w:val="20"/>
                        </w:rPr>
                        <w:t>U.S. Department of Energy</w:t>
                      </w:r>
                    </w:p>
                    <w:p w:rsidR="00EA779A" w:rsidRPr="00E054DF" w:rsidP="004D236B" w14:paraId="57B550E7"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Washington, DC 20585</w:t>
                      </w:r>
                    </w:p>
                    <w:p w:rsidR="00EA779A" w14:paraId="61ED9145" w14:textId="77777777"/>
                    <w:p w:rsidR="00EA779A" w:rsidRPr="00E054DF" w:rsidP="004D236B" w14:paraId="0B966B0B" w14:textId="71EAFEB9">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www.eia.gov</w:t>
                      </w:r>
                    </w:p>
                    <w:p w:rsidR="00EA779A" w:rsidRPr="00E054DF" w:rsidP="004D236B" w14:paraId="2495401E" w14:textId="77777777">
                      <w:pPr>
                        <w:spacing w:after="0" w:line="240" w:lineRule="auto"/>
                        <w:jc w:val="right"/>
                        <w:rPr>
                          <w:rFonts w:ascii="Franklin Gothic Book" w:hAnsi="Franklin Gothic Book"/>
                          <w:color w:val="808080"/>
                          <w:kern w:val="24"/>
                          <w:sz w:val="20"/>
                        </w:rPr>
                      </w:pPr>
                      <w:r w:rsidRPr="00E054DF">
                        <w:rPr>
                          <w:rFonts w:ascii="Franklin Gothic Book" w:hAnsi="Franklin Gothic Book"/>
                          <w:color w:val="808080"/>
                          <w:kern w:val="24"/>
                          <w:sz w:val="20"/>
                        </w:rPr>
                        <w:t>U.S. Department of Energy</w:t>
                      </w:r>
                    </w:p>
                    <w:p w:rsidR="00EA779A" w:rsidRPr="00E054DF" w:rsidP="004D236B" w14:paraId="0CC97E71"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Washington, DC 20585</w:t>
                      </w:r>
                    </w:p>
                  </w:txbxContent>
                </v:textbox>
                <w10:wrap type="square"/>
              </v:shape>
            </w:pict>
          </mc:Fallback>
        </mc:AlternateContent>
      </w:r>
      <w:r>
        <w:rPr>
          <w:noProof/>
        </w:rPr>
        <mc:AlternateContent>
          <mc:Choice Requires="wps">
            <w:drawing>
              <wp:anchor distT="45720" distB="45720" distL="114300" distR="114300" simplePos="0" relativeHeight="251664384" behindDoc="0" locked="0" layoutInCell="1" allowOverlap="1">
                <wp:simplePos x="0" y="0"/>
                <wp:positionH relativeFrom="column">
                  <wp:posOffset>-106045</wp:posOffset>
                </wp:positionH>
                <wp:positionV relativeFrom="paragraph">
                  <wp:posOffset>6384925</wp:posOffset>
                </wp:positionV>
                <wp:extent cx="2377440" cy="530225"/>
                <wp:effectExtent l="0" t="0" r="0" b="0"/>
                <wp:wrapSquare wrapText="bothSides"/>
                <wp:docPr id="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530225"/>
                        </a:xfrm>
                        <a:prstGeom prst="rect">
                          <a:avLst/>
                        </a:prstGeom>
                        <a:noFill/>
                        <a:ln w="9525">
                          <a:noFill/>
                          <a:miter lim="800000"/>
                          <a:headEnd/>
                          <a:tailEnd/>
                        </a:ln>
                      </wps:spPr>
                      <wps:txbx>
                        <w:txbxContent>
                          <w:p w:rsidR="00EA779A" w14:textId="2B6AE005">
                            <w:r>
                              <w:rPr>
                                <w:noProof/>
                              </w:rPr>
                              <w:drawing>
                                <wp:inline distT="0" distB="0" distL="0" distR="0">
                                  <wp:extent cx="2162175" cy="476250"/>
                                  <wp:effectExtent l="0" t="0" r="0" b="0"/>
                                  <wp:docPr id="1601689330"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689330" name="Picture 6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175" cy="476250"/>
                                          </a:xfrm>
                                          <a:prstGeom prst="rect">
                                            <a:avLst/>
                                          </a:prstGeom>
                                          <a:noFill/>
                                          <a:ln>
                                            <a:noFill/>
                                          </a:ln>
                                        </pic:spPr>
                                      </pic:pic>
                                    </a:graphicData>
                                  </a:graphic>
                                </wp:inline>
                              </w:drawing>
                            </w:r>
                          </w:p>
                          <w:p w:rsidR="00EA779A" w14:textId="77777777"/>
                          <w:p w:rsidR="00EA779A" w14:textId="77777777">
                            <w:r>
                              <w:rPr>
                                <w:noProof/>
                              </w:rPr>
                              <w:drawing>
                                <wp:inline distT="0" distB="0" distL="0" distR="0">
                                  <wp:extent cx="2162175" cy="476250"/>
                                  <wp:effectExtent l="0" t="0" r="0" b="0"/>
                                  <wp:docPr id="758188943"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188943" name="Picture 6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175" cy="476250"/>
                                          </a:xfrm>
                                          <a:prstGeom prst="rect">
                                            <a:avLst/>
                                          </a:prstGeom>
                                          <a:noFill/>
                                          <a:ln>
                                            <a:noFill/>
                                          </a:ln>
                                        </pic:spPr>
                                      </pic:pic>
                                    </a:graphicData>
                                  </a:graphic>
                                </wp:inline>
                              </w:drawing>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Text Box 2" o:spid="_x0000_s1029" type="#_x0000_t202" style="width:187.2pt;height:41.75pt;margin-top:502.75pt;margin-left:-8.35pt;mso-height-percent:0;mso-height-relative:margin;mso-width-percent:400;mso-width-relative:margin;mso-wrap-distance-bottom:3.6pt;mso-wrap-distance-left:9pt;mso-wrap-distance-right:9pt;mso-wrap-distance-top:3.6pt;mso-wrap-style:square;position:absolute;visibility:visible;v-text-anchor:top;z-index:251665408" filled="f" stroked="f">
                <v:textbox>
                  <w:txbxContent>
                    <w:p w:rsidR="00EA779A" w14:paraId="5A800921" w14:textId="2B6AE005">
                      <w:drawing>
                        <wp:inline distT="0" distB="0" distL="0" distR="0">
                          <wp:extent cx="2162175" cy="476250"/>
                          <wp:effectExtent l="0" t="0" r="0" b="0"/>
                          <wp:docPr id="2120124549"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124549" name="Picture 6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175" cy="476250"/>
                                  </a:xfrm>
                                  <a:prstGeom prst="rect">
                                    <a:avLst/>
                                  </a:prstGeom>
                                  <a:noFill/>
                                  <a:ln>
                                    <a:noFill/>
                                  </a:ln>
                                </pic:spPr>
                              </pic:pic>
                            </a:graphicData>
                          </a:graphic>
                        </wp:inline>
                      </w:drawing>
                    </w:p>
                    <w:p w:rsidR="00EA779A" w14:paraId="7CEB13E5" w14:textId="77777777"/>
                    <w:p w:rsidR="00EA779A" w14:paraId="2958D2A6" w14:textId="77777777">
                      <w:drawing>
                        <wp:inline distT="0" distB="0" distL="0" distR="0">
                          <wp:extent cx="2162175" cy="476250"/>
                          <wp:effectExtent l="0" t="0" r="0" b="0"/>
                          <wp:docPr id="983255916"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255916" name="Picture 6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175" cy="476250"/>
                                  </a:xfrm>
                                  <a:prstGeom prst="rect">
                                    <a:avLst/>
                                  </a:prstGeom>
                                  <a:noFill/>
                                  <a:ln>
                                    <a:noFill/>
                                  </a:ln>
                                </pic:spPr>
                              </pic:pic>
                            </a:graphicData>
                          </a:graphic>
                        </wp:inline>
                      </w:drawing>
                    </w:p>
                  </w:txbxContent>
                </v:textbox>
                <w10:wrap type="square"/>
              </v:shape>
            </w:pict>
          </mc:Fallback>
        </mc:AlternateContent>
      </w:r>
      <w:r w:rsidR="001F3A8F">
        <w:br w:type="page"/>
      </w:r>
    </w:p>
    <w:p w:rsidR="00755C3D" w14:paraId="18BAA66A" w14:textId="77777777">
      <w:pPr>
        <w:sectPr w:rsidSect="00206D5A">
          <w:footerReference w:type="default" r:id="rId11"/>
          <w:footnotePr>
            <w:pos w:val="beneathText"/>
          </w:footnotePr>
          <w:type w:val="continuous"/>
          <w:pgSz w:w="12240" w:h="15840"/>
          <w:pgMar w:top="720" w:right="1440" w:bottom="720" w:left="1440" w:header="720" w:footer="720" w:gutter="0"/>
          <w:pgNumType w:fmt="lowerRoman" w:start="0"/>
          <w:cols w:space="720"/>
          <w:titlePg/>
          <w:docGrid w:linePitch="360"/>
        </w:sectPr>
      </w:pPr>
    </w:p>
    <w:p w:rsidR="00D928FD" w14:paraId="4B8EE1A9" w14:textId="77777777"/>
    <w:p w:rsidR="001F3A8F" w14:paraId="4373F03A" w14:textId="77777777"/>
    <w:p w:rsidR="001F3A8F" w14:paraId="51D3C71F" w14:textId="77777777"/>
    <w:p w:rsidR="001F3A8F" w14:paraId="448AD93C" w14:textId="77777777"/>
    <w:p w:rsidR="001F3A8F" w14:paraId="1DBCBEFF" w14:textId="77777777"/>
    <w:p w:rsidR="001F3A8F" w14:paraId="6CF7FB33" w14:textId="77777777"/>
    <w:p w:rsidR="001F3A8F" w14:paraId="006CC712" w14:textId="77777777"/>
    <w:p w:rsidR="001F3A8F" w14:paraId="681DB49C" w14:textId="77777777"/>
    <w:p w:rsidR="001F3A8F" w14:paraId="56A6B1EB" w14:textId="77777777"/>
    <w:p w:rsidR="001F3A8F" w14:paraId="5404633B" w14:textId="77777777"/>
    <w:p w:rsidR="001F3A8F" w14:paraId="475FA6A0" w14:textId="77777777"/>
    <w:p w:rsidR="001F3A8F" w14:paraId="3B8819F3" w14:textId="77777777"/>
    <w:p w:rsidR="001F3A8F" w14:paraId="6F58403D" w14:textId="77777777"/>
    <w:p w:rsidR="001F3A8F" w14:paraId="27A55082" w14:textId="77777777"/>
    <w:p w:rsidR="001F3A8F" w14:paraId="0C0E57E2" w14:textId="77777777"/>
    <w:p w:rsidR="001F3A8F" w14:paraId="1D4E259D" w14:textId="77777777"/>
    <w:p w:rsidR="001F3A8F" w14:paraId="5A05A777" w14:textId="77777777"/>
    <w:p w:rsidR="001F3A8F" w14:paraId="25F6593F" w14:textId="77777777"/>
    <w:p w:rsidR="001F3A8F" w14:paraId="76CA97A1" w14:textId="77777777"/>
    <w:p w:rsidR="001F3A8F" w14:paraId="55280235" w14:textId="77777777"/>
    <w:p w:rsidR="001F3A8F" w:rsidP="00D928FD" w14:paraId="7AE99BDE" w14:textId="77777777"/>
    <w:p w:rsidR="005D602C" w14:paraId="6F0D9413" w14:textId="77777777">
      <w:pPr>
        <w:pStyle w:val="Boxtext"/>
        <w:sectPr w:rsidSect="009F61F7">
          <w:footerReference w:type="first" r:id="rId12"/>
          <w:footnotePr>
            <w:pos w:val="beneathText"/>
          </w:footnotePr>
          <w:type w:val="continuous"/>
          <w:pgSz w:w="12240" w:h="15840"/>
          <w:pgMar w:top="1440" w:right="1440" w:bottom="1440" w:left="1440" w:header="720" w:footer="720" w:gutter="0"/>
          <w:pgNumType w:fmt="lowerRoman" w:start="1"/>
          <w:cols w:space="720"/>
          <w:docGrid w:linePitch="360"/>
        </w:sectPr>
      </w:pPr>
      <w:r w:rsidRPr="00DE7A1C">
        <w:t xml:space="preserve">The U.S. Energy Information Administration (EIA), the statistical and analytical agency within the </w:t>
      </w:r>
      <w:r w:rsidRPr="00DE7A1C" w:rsidR="002E18F8">
        <w:br/>
      </w:r>
      <w:r w:rsidRPr="00DE7A1C">
        <w:t>U.S. Department of Energy (DOE), prepared this report. By law, our data, analyses, and forecasts are independent of approval by any other officer or employee of the U.S. Government. The views in this report do not represent those of DOE or any other federal agencies.</w:t>
      </w:r>
      <w:r w:rsidRPr="00DE7A1C">
        <w:t xml:space="preserve"> </w:t>
      </w:r>
    </w:p>
    <w:p w:rsidR="00D928FD" w:rsidP="00D928FD" w14:paraId="76F683A0" w14:textId="77777777"/>
    <w:p w:rsidR="00D00DB1" w:rsidRPr="00D00DB1" w:rsidP="00D00DB1" w14:paraId="6A249286" w14:textId="77777777"/>
    <w:p w:rsidR="00D00DB1" w:rsidP="00D00DB1" w14:paraId="18161332" w14:textId="77777777">
      <w:pPr>
        <w:tabs>
          <w:tab w:val="left" w:pos="3540"/>
          <w:tab w:val="center" w:pos="4680"/>
        </w:tabs>
      </w:pPr>
      <w:r>
        <w:tab/>
      </w:r>
      <w:r>
        <w:tab/>
      </w:r>
    </w:p>
    <w:p w:rsidR="00D00DB1" w:rsidRPr="00D00DB1" w:rsidP="00D00DB1" w14:paraId="21EB29F3" w14:textId="77777777">
      <w:pPr>
        <w:tabs>
          <w:tab w:val="left" w:pos="3540"/>
        </w:tabs>
        <w:sectPr w:rsidSect="009F61F7">
          <w:footerReference w:type="first" r:id="rId13"/>
          <w:footnotePr>
            <w:pos w:val="beneathText"/>
          </w:footnotePr>
          <w:type w:val="continuous"/>
          <w:pgSz w:w="12240" w:h="15840"/>
          <w:pgMar w:top="1440" w:right="1440" w:bottom="1440" w:left="1440" w:header="720" w:footer="720" w:gutter="0"/>
          <w:pgNumType w:fmt="lowerRoman" w:start="1"/>
          <w:cols w:space="720"/>
          <w:docGrid w:linePitch="360"/>
        </w:sectPr>
      </w:pPr>
      <w:r>
        <w:tab/>
      </w:r>
    </w:p>
    <w:p w:rsidR="00AD6244" w:rsidP="00E054DF" w14:paraId="55B51F60" w14:textId="77777777">
      <w:pPr>
        <w:pStyle w:val="TOCHeading"/>
      </w:pPr>
      <w:r>
        <w:t>Table of Contents</w:t>
      </w:r>
    </w:p>
    <w:p w:rsidR="00E054DF" w:rsidRPr="00E054DF" w14:paraId="20818663" w14:textId="1DB43792">
      <w:pPr>
        <w:pStyle w:val="TOC2"/>
        <w:rPr>
          <w:rFonts w:eastAsia="Times New Roman"/>
          <w:noProof/>
          <w:color w:val="auto"/>
        </w:rPr>
      </w:pPr>
      <w:r w:rsidRPr="00E054DF">
        <w:rPr>
          <w:b/>
          <w:bCs/>
          <w:noProof/>
          <w:color w:val="auto"/>
        </w:rPr>
        <w:fldChar w:fldCharType="begin"/>
      </w:r>
      <w:r>
        <w:rPr>
          <w:b/>
          <w:bCs/>
          <w:noProof/>
        </w:rPr>
        <w:instrText xml:space="preserve"> TOC \o "1-5" \h \z \u </w:instrText>
      </w:r>
      <w:r w:rsidRPr="00E054DF">
        <w:rPr>
          <w:b/>
          <w:bCs/>
          <w:noProof/>
          <w:color w:val="auto"/>
        </w:rPr>
        <w:fldChar w:fldCharType="separate"/>
      </w:r>
      <w:hyperlink w:anchor="_Toc128055326" w:history="1">
        <w:r w:rsidRPr="00B94719">
          <w:rPr>
            <w:rStyle w:val="Hyperlink"/>
            <w:noProof/>
          </w:rPr>
          <w:t>B.1. Respondent Universe</w:t>
        </w:r>
        <w:r>
          <w:rPr>
            <w:noProof/>
            <w:webHidden/>
          </w:rPr>
          <w:tab/>
        </w:r>
        <w:r>
          <w:rPr>
            <w:noProof/>
            <w:webHidden/>
          </w:rPr>
          <w:fldChar w:fldCharType="begin"/>
        </w:r>
        <w:r>
          <w:rPr>
            <w:noProof/>
            <w:webHidden/>
          </w:rPr>
          <w:instrText xml:space="preserve"> PAGEREF _Toc128055326 \h </w:instrText>
        </w:r>
        <w:r>
          <w:rPr>
            <w:noProof/>
            <w:webHidden/>
          </w:rPr>
          <w:fldChar w:fldCharType="separate"/>
        </w:r>
        <w:r w:rsidR="002327A1">
          <w:rPr>
            <w:noProof/>
            <w:webHidden/>
          </w:rPr>
          <w:t>2</w:t>
        </w:r>
        <w:r>
          <w:rPr>
            <w:noProof/>
            <w:webHidden/>
          </w:rPr>
          <w:fldChar w:fldCharType="end"/>
        </w:r>
      </w:hyperlink>
    </w:p>
    <w:p w:rsidR="00E054DF" w:rsidRPr="00E054DF" w14:paraId="240D35A5" w14:textId="19A2D8FB">
      <w:pPr>
        <w:pStyle w:val="TOC2"/>
        <w:rPr>
          <w:rFonts w:eastAsia="Times New Roman"/>
          <w:noProof/>
          <w:color w:val="auto"/>
        </w:rPr>
      </w:pPr>
      <w:hyperlink w:anchor="_Toc128055327" w:history="1">
        <w:r w:rsidRPr="00B94719">
          <w:rPr>
            <w:rStyle w:val="Hyperlink"/>
            <w:noProof/>
          </w:rPr>
          <w:t>B.2. Statistical Methods</w:t>
        </w:r>
        <w:r>
          <w:rPr>
            <w:noProof/>
            <w:webHidden/>
          </w:rPr>
          <w:tab/>
        </w:r>
        <w:r>
          <w:rPr>
            <w:noProof/>
            <w:webHidden/>
          </w:rPr>
          <w:fldChar w:fldCharType="begin"/>
        </w:r>
        <w:r>
          <w:rPr>
            <w:noProof/>
            <w:webHidden/>
          </w:rPr>
          <w:instrText xml:space="preserve"> PAGEREF _Toc128055327 \h </w:instrText>
        </w:r>
        <w:r>
          <w:rPr>
            <w:noProof/>
            <w:webHidden/>
          </w:rPr>
          <w:fldChar w:fldCharType="separate"/>
        </w:r>
        <w:r w:rsidR="002327A1">
          <w:rPr>
            <w:noProof/>
            <w:webHidden/>
          </w:rPr>
          <w:t>5</w:t>
        </w:r>
        <w:r>
          <w:rPr>
            <w:noProof/>
            <w:webHidden/>
          </w:rPr>
          <w:fldChar w:fldCharType="end"/>
        </w:r>
      </w:hyperlink>
    </w:p>
    <w:p w:rsidR="00E054DF" w:rsidRPr="00E054DF" w14:paraId="29CFBED4" w14:textId="2EE5F169">
      <w:pPr>
        <w:pStyle w:val="TOC2"/>
        <w:rPr>
          <w:rFonts w:eastAsia="Times New Roman"/>
          <w:noProof/>
          <w:color w:val="auto"/>
        </w:rPr>
      </w:pPr>
      <w:hyperlink w:anchor="_Toc128055328" w:history="1">
        <w:r w:rsidRPr="00B94719">
          <w:rPr>
            <w:rStyle w:val="Hyperlink"/>
            <w:noProof/>
          </w:rPr>
          <w:t>B.3. Maximizing Response Rates</w:t>
        </w:r>
        <w:r>
          <w:rPr>
            <w:noProof/>
            <w:webHidden/>
          </w:rPr>
          <w:tab/>
        </w:r>
        <w:r>
          <w:rPr>
            <w:noProof/>
            <w:webHidden/>
          </w:rPr>
          <w:fldChar w:fldCharType="begin"/>
        </w:r>
        <w:r>
          <w:rPr>
            <w:noProof/>
            <w:webHidden/>
          </w:rPr>
          <w:instrText xml:space="preserve"> PAGEREF _Toc128055328 \h </w:instrText>
        </w:r>
        <w:r>
          <w:rPr>
            <w:noProof/>
            <w:webHidden/>
          </w:rPr>
          <w:fldChar w:fldCharType="separate"/>
        </w:r>
        <w:r w:rsidR="002327A1">
          <w:rPr>
            <w:noProof/>
            <w:webHidden/>
          </w:rPr>
          <w:t>8</w:t>
        </w:r>
        <w:r>
          <w:rPr>
            <w:noProof/>
            <w:webHidden/>
          </w:rPr>
          <w:fldChar w:fldCharType="end"/>
        </w:r>
      </w:hyperlink>
    </w:p>
    <w:p w:rsidR="00E054DF" w:rsidRPr="00E054DF" w14:paraId="21D89439" w14:textId="2A7BBCB8">
      <w:pPr>
        <w:pStyle w:val="TOC2"/>
        <w:rPr>
          <w:rFonts w:eastAsia="Times New Roman"/>
          <w:noProof/>
          <w:color w:val="auto"/>
        </w:rPr>
      </w:pPr>
      <w:hyperlink w:anchor="_Toc128055329" w:history="1">
        <w:r w:rsidRPr="00B94719">
          <w:rPr>
            <w:rStyle w:val="Hyperlink"/>
            <w:noProof/>
          </w:rPr>
          <w:t>B.4. Test Procedures and Form Consultations</w:t>
        </w:r>
        <w:r>
          <w:rPr>
            <w:noProof/>
            <w:webHidden/>
          </w:rPr>
          <w:tab/>
        </w:r>
        <w:r>
          <w:rPr>
            <w:noProof/>
            <w:webHidden/>
          </w:rPr>
          <w:fldChar w:fldCharType="begin"/>
        </w:r>
        <w:r>
          <w:rPr>
            <w:noProof/>
            <w:webHidden/>
          </w:rPr>
          <w:instrText xml:space="preserve"> PAGEREF _Toc128055329 \h </w:instrText>
        </w:r>
        <w:r>
          <w:rPr>
            <w:noProof/>
            <w:webHidden/>
          </w:rPr>
          <w:fldChar w:fldCharType="separate"/>
        </w:r>
        <w:r w:rsidR="002327A1">
          <w:rPr>
            <w:noProof/>
            <w:webHidden/>
          </w:rPr>
          <w:t>8</w:t>
        </w:r>
        <w:r>
          <w:rPr>
            <w:noProof/>
            <w:webHidden/>
          </w:rPr>
          <w:fldChar w:fldCharType="end"/>
        </w:r>
      </w:hyperlink>
    </w:p>
    <w:p w:rsidR="00E054DF" w:rsidRPr="00E054DF" w14:paraId="0CBB13F2" w14:textId="73D1D4A8">
      <w:pPr>
        <w:pStyle w:val="TOC2"/>
        <w:rPr>
          <w:rFonts w:eastAsia="Times New Roman"/>
          <w:noProof/>
          <w:color w:val="auto"/>
        </w:rPr>
      </w:pPr>
      <w:hyperlink w:anchor="_Toc128055330" w:history="1">
        <w:r w:rsidRPr="00B94719">
          <w:rPr>
            <w:rStyle w:val="Hyperlink"/>
            <w:noProof/>
          </w:rPr>
          <w:t>B.5. Statistical Consultations</w:t>
        </w:r>
        <w:r>
          <w:rPr>
            <w:noProof/>
            <w:webHidden/>
          </w:rPr>
          <w:tab/>
        </w:r>
        <w:r>
          <w:rPr>
            <w:noProof/>
            <w:webHidden/>
          </w:rPr>
          <w:fldChar w:fldCharType="begin"/>
        </w:r>
        <w:r>
          <w:rPr>
            <w:noProof/>
            <w:webHidden/>
          </w:rPr>
          <w:instrText xml:space="preserve"> PAGEREF _Toc128055330 \h </w:instrText>
        </w:r>
        <w:r>
          <w:rPr>
            <w:noProof/>
            <w:webHidden/>
          </w:rPr>
          <w:fldChar w:fldCharType="separate"/>
        </w:r>
        <w:r w:rsidR="002327A1">
          <w:rPr>
            <w:noProof/>
            <w:webHidden/>
          </w:rPr>
          <w:t>9</w:t>
        </w:r>
        <w:r>
          <w:rPr>
            <w:noProof/>
            <w:webHidden/>
          </w:rPr>
          <w:fldChar w:fldCharType="end"/>
        </w:r>
      </w:hyperlink>
    </w:p>
    <w:p w:rsidR="00AD6244" w14:paraId="7FF8D818" w14:textId="77777777">
      <w:r w:rsidRPr="00E054DF">
        <w:rPr>
          <w:b/>
          <w:bCs/>
          <w:noProof/>
          <w:color w:val="000000"/>
        </w:rPr>
        <w:fldChar w:fldCharType="end"/>
      </w:r>
    </w:p>
    <w:p w:rsidR="00E054DF" w:rsidP="005E5D12" w14:paraId="0886FEDE" w14:textId="77777777">
      <w:pPr>
        <w:pStyle w:val="Heading2"/>
      </w:pPr>
      <w:r>
        <w:br w:type="page"/>
      </w:r>
      <w:bookmarkStart w:id="1" w:name="_Toc466046934"/>
      <w:bookmarkStart w:id="2" w:name="_Toc128055326"/>
      <w:r w:rsidRPr="00E054DF">
        <w:t xml:space="preserve">B.1. </w:t>
      </w:r>
      <w:r w:rsidRPr="006B4690">
        <w:t>Respondent</w:t>
      </w:r>
      <w:r w:rsidRPr="00E054DF">
        <w:t xml:space="preserve"> Universe</w:t>
      </w:r>
      <w:bookmarkEnd w:id="1"/>
      <w:bookmarkEnd w:id="2"/>
    </w:p>
    <w:p w:rsidR="00720472" w:rsidRPr="00720472" w:rsidP="00720472" w14:paraId="7EA8BFDA" w14:textId="77777777"/>
    <w:p w:rsidR="00E054DF" w:rsidP="00720472" w14:paraId="735C5522" w14:textId="1B7AB905">
      <w:pPr>
        <w:rPr>
          <w:iCs/>
        </w:rPr>
      </w:pPr>
      <w:r w:rsidRPr="001332E4">
        <w:rPr>
          <w:rStyle w:val="Heading3Char"/>
          <w:rFonts w:ascii="Calibri" w:eastAsia="Calibri" w:hAnsi="Calibri" w:cs="Calibri"/>
          <w:i w:val="0"/>
          <w:iCs/>
          <w:color w:val="1396D8"/>
        </w:rPr>
        <w:t>B.1.1 Monthly and Annual PSRS Survey Frames</w:t>
      </w:r>
      <w:r w:rsidRPr="003C6570">
        <w:rPr>
          <w:iCs/>
        </w:rPr>
        <w:t xml:space="preserve"> </w:t>
      </w:r>
    </w:p>
    <w:p w:rsidR="003027B5" w:rsidRPr="00C84725" w:rsidP="003027B5" w14:paraId="597E3B7B" w14:textId="3851795F">
      <w:pPr>
        <w:spacing w:before="120"/>
      </w:pPr>
      <w:r>
        <w:t xml:space="preserve">Monthly and annual Petroleum Supply Reporting System (PSRS) surveys are used </w:t>
      </w:r>
      <w:r w:rsidR="00AB0685">
        <w:t xml:space="preserve">by the Energy Information Administration (EIA) </w:t>
      </w:r>
      <w:r>
        <w:t>to collect data on the primary petroleum supply system in the United States</w:t>
      </w:r>
      <w:r w:rsidR="00AD798A">
        <w:t>,</w:t>
      </w:r>
      <w:r>
        <w:t xml:space="preserve"> including U.S. territories and possessions, where applicable. Primary petroleum supply system activities covered by PSRS surveys include refinery operations, imports, pipeline movements, blending and large storage facilities, and those connected to bulk transportation modes (i.e. pipelines and waterborne transport of crude oil, petroleum products, and biofuels), natural gas processing, oxygenate production, biodiesel production and bulk transportation between Petroleum Administration for Defense Districts (PADDs). </w:t>
      </w:r>
      <w:r w:rsidR="003F493A">
        <w:t>EIA obtains d</w:t>
      </w:r>
      <w:r>
        <w:t>ata on other primary petroleum supply activities, including field production of crude oil and exports, from other sources</w:t>
      </w:r>
      <w:r w:rsidR="003F493A">
        <w:t>,</w:t>
      </w:r>
      <w:r>
        <w:t xml:space="preserve"> including </w:t>
      </w:r>
      <w:r w:rsidR="00A01AA9">
        <w:t xml:space="preserve">other EIA surveys as well as </w:t>
      </w:r>
      <w:r>
        <w:t>state and federal agencies.</w:t>
      </w:r>
    </w:p>
    <w:p w:rsidR="003027B5" w:rsidRPr="00C84725" w:rsidP="003027B5" w14:paraId="5ABCB13A" w14:textId="77D4EF4C">
      <w:r w:rsidRPr="00C84725">
        <w:t>Each monthly and annual PSRS survey is a complete census of the subject activity.</w:t>
      </w:r>
      <w:r>
        <w:t xml:space="preserve"> </w:t>
      </w:r>
      <w:r w:rsidRPr="00C84725">
        <w:t>Therefore, there is no sampling error in monthly and annual PSRS surveys.</w:t>
      </w:r>
      <w:r>
        <w:t xml:space="preserve"> </w:t>
      </w:r>
      <w:r w:rsidRPr="00C84725">
        <w:t xml:space="preserve">However, </w:t>
      </w:r>
      <w:r w:rsidRPr="00C84725" w:rsidR="009D388C">
        <w:t>to</w:t>
      </w:r>
      <w:r w:rsidRPr="00C84725">
        <w:t xml:space="preserve"> be considered as in-scope for monthly </w:t>
      </w:r>
      <w:r w:rsidR="00C9502F">
        <w:t xml:space="preserve">or annual </w:t>
      </w:r>
      <w:r w:rsidRPr="00C84725">
        <w:t>survey reporting, each reporting unit must have reportable quantities (us</w:t>
      </w:r>
      <w:r>
        <w:t>ually this means at least one</w:t>
      </w:r>
      <w:r w:rsidRPr="00C84725">
        <w:t xml:space="preserve"> barrel of a reportable product) or satisfy other criteria such as minimum storage capacity requirements for petroleum products terminals.</w:t>
      </w:r>
      <w:r>
        <w:t xml:space="preserve"> </w:t>
      </w:r>
      <w:r w:rsidRPr="00C84725">
        <w:t xml:space="preserve">Facilities that fall below minimum reporting requirements </w:t>
      </w:r>
      <w:r w:rsidR="004851DB">
        <w:t>fall</w:t>
      </w:r>
      <w:r w:rsidRPr="00C84725">
        <w:t xml:space="preserve"> outside of the primary petroleum supply system and</w:t>
      </w:r>
      <w:r>
        <w:t xml:space="preserve"> are considered</w:t>
      </w:r>
      <w:r w:rsidRPr="00C84725">
        <w:t xml:space="preserve"> out of scope for monthly and annual PSRS reporting.</w:t>
      </w:r>
    </w:p>
    <w:p w:rsidR="003027B5" w:rsidRPr="00C84725" w:rsidP="003027B5" w14:paraId="13E7EC38" w14:textId="54CA49AE">
      <w:pPr>
        <w:spacing w:after="0"/>
      </w:pPr>
      <w:r w:rsidRPr="00C84725">
        <w:t>The following are descriptions of the survey frame for each survey:</w:t>
      </w:r>
    </w:p>
    <w:p w:rsidR="003027B5" w:rsidRPr="00D726B3" w:rsidP="003027B5" w14:paraId="435DD445" w14:textId="4F34D401">
      <w:pPr>
        <w:pStyle w:val="Default"/>
        <w:spacing w:before="120"/>
        <w:ind w:left="360"/>
        <w:rPr>
          <w:rFonts w:ascii="Calibri" w:hAnsi="Calibri" w:cs="Calibri"/>
          <w:sz w:val="22"/>
          <w:szCs w:val="22"/>
        </w:rPr>
      </w:pPr>
      <w:r w:rsidRPr="00D726B3">
        <w:rPr>
          <w:rFonts w:ascii="Calibri" w:hAnsi="Calibri" w:cs="Calibri"/>
          <w:b/>
          <w:snapToGrid w:val="0"/>
          <w:color w:val="auto"/>
          <w:sz w:val="22"/>
          <w:szCs w:val="22"/>
        </w:rPr>
        <w:t xml:space="preserve">Form EIA-810 </w:t>
      </w:r>
      <w:r w:rsidRPr="00D726B3">
        <w:rPr>
          <w:rFonts w:ascii="Calibri" w:hAnsi="Calibri" w:cs="Calibri"/>
          <w:b/>
          <w:i/>
          <w:snapToGrid w:val="0"/>
          <w:color w:val="auto"/>
          <w:sz w:val="22"/>
          <w:szCs w:val="22"/>
        </w:rPr>
        <w:t>Monthly Refinery Report</w:t>
      </w:r>
      <w:r w:rsidRPr="00D726B3">
        <w:rPr>
          <w:rFonts w:ascii="Calibri" w:hAnsi="Calibri" w:cs="Calibri"/>
          <w:b/>
          <w:snapToGrid w:val="0"/>
          <w:color w:val="auto"/>
          <w:sz w:val="22"/>
          <w:szCs w:val="22"/>
        </w:rPr>
        <w:t>:</w:t>
      </w:r>
      <w:r w:rsidRPr="00D726B3">
        <w:rPr>
          <w:rFonts w:ascii="Calibri" w:hAnsi="Calibri" w:cs="Calibri"/>
          <w:snapToGrid w:val="0"/>
          <w:color w:val="auto"/>
          <w:sz w:val="22"/>
          <w:szCs w:val="22"/>
        </w:rPr>
        <w:t xml:space="preserve"> </w:t>
      </w:r>
      <w:r w:rsidRPr="00D726B3" w:rsidR="004610AE">
        <w:rPr>
          <w:rFonts w:ascii="Calibri" w:hAnsi="Calibri" w:cs="Calibri"/>
          <w:snapToGrid w:val="0"/>
          <w:color w:val="auto"/>
          <w:sz w:val="22"/>
          <w:szCs w:val="22"/>
        </w:rPr>
        <w:t>O</w:t>
      </w:r>
      <w:r w:rsidRPr="00D726B3">
        <w:rPr>
          <w:rFonts w:ascii="Calibri" w:hAnsi="Calibri" w:cs="Calibri"/>
          <w:snapToGrid w:val="0"/>
          <w:color w:val="auto"/>
          <w:sz w:val="22"/>
          <w:szCs w:val="22"/>
        </w:rPr>
        <w:t>perators of all operating and idle petroleum refineries located in the 50 States, District of Columbia, Puerto Rico, the Virgin Islands, Guam, and other U.S. possessions</w:t>
      </w:r>
      <w:r w:rsidRPr="00D726B3" w:rsidR="00C81FF8">
        <w:rPr>
          <w:rFonts w:ascii="Calibri" w:hAnsi="Calibri" w:cs="Calibri"/>
          <w:snapToGrid w:val="0"/>
          <w:color w:val="auto"/>
          <w:sz w:val="22"/>
          <w:szCs w:val="22"/>
        </w:rPr>
        <w:t xml:space="preserve"> must complete the Form EIA-810</w:t>
      </w:r>
      <w:r w:rsidRPr="00D726B3">
        <w:rPr>
          <w:rFonts w:ascii="Calibri" w:hAnsi="Calibri" w:cs="Calibri"/>
          <w:snapToGrid w:val="0"/>
          <w:color w:val="auto"/>
          <w:sz w:val="22"/>
          <w:szCs w:val="22"/>
        </w:rPr>
        <w:t xml:space="preserve">. Data are reported by refinery </w:t>
      </w:r>
      <w:r w:rsidRPr="00D726B3">
        <w:rPr>
          <w:rFonts w:ascii="Calibri" w:hAnsi="Calibri" w:cs="Calibri"/>
          <w:snapToGrid w:val="0"/>
          <w:color w:val="auto"/>
          <w:sz w:val="22"/>
          <w:szCs w:val="22"/>
        </w:rPr>
        <w:t>site</w:t>
      </w:r>
      <w:r w:rsidRPr="00D726B3">
        <w:rPr>
          <w:rFonts w:ascii="Calibri" w:hAnsi="Calibri" w:cs="Calibri"/>
          <w:snapToGrid w:val="0"/>
          <w:color w:val="auto"/>
          <w:sz w:val="22"/>
          <w:szCs w:val="22"/>
        </w:rPr>
        <w:t xml:space="preserve">. Refineries are installations that manufacture finished petroleum products from crude oil, unfinished oils, natural gas liquids, other hydrocarbons, biofuels, and oxygenates. Refiners report distillation capacity, crude oil quality, inventory, receipts, input, production, shipments, and fuel use and loss. </w:t>
      </w:r>
    </w:p>
    <w:p w:rsidR="003027B5" w:rsidRPr="00332F5F" w:rsidP="003027B5" w14:paraId="01A53030" w14:textId="4A8B345A">
      <w:pPr>
        <w:pStyle w:val="Default"/>
        <w:spacing w:before="120"/>
        <w:ind w:left="360"/>
        <w:rPr>
          <w:rFonts w:ascii="Calibri" w:hAnsi="Calibri" w:cs="Calibri"/>
          <w:snapToGrid w:val="0"/>
          <w:color w:val="auto"/>
          <w:sz w:val="22"/>
          <w:szCs w:val="22"/>
        </w:rPr>
      </w:pPr>
      <w:r w:rsidRPr="00332F5F">
        <w:rPr>
          <w:rFonts w:ascii="Calibri" w:hAnsi="Calibri" w:cs="Calibri"/>
          <w:b/>
          <w:snapToGrid w:val="0"/>
          <w:color w:val="auto"/>
          <w:sz w:val="22"/>
          <w:szCs w:val="22"/>
        </w:rPr>
        <w:t>Form</w:t>
      </w:r>
      <w:r w:rsidRPr="00332F5F">
        <w:rPr>
          <w:rFonts w:ascii="Calibri" w:hAnsi="Calibri" w:cs="Calibri"/>
          <w:b/>
          <w:snapToGrid w:val="0"/>
          <w:color w:val="auto"/>
          <w:sz w:val="22"/>
          <w:szCs w:val="22"/>
        </w:rPr>
        <w:t xml:space="preserve"> EIA-812 </w:t>
      </w:r>
      <w:r w:rsidRPr="00332F5F">
        <w:rPr>
          <w:rFonts w:ascii="Calibri" w:hAnsi="Calibri" w:cs="Calibri"/>
          <w:b/>
          <w:i/>
          <w:snapToGrid w:val="0"/>
          <w:color w:val="auto"/>
          <w:sz w:val="22"/>
          <w:szCs w:val="22"/>
        </w:rPr>
        <w:t>Monthly Product Pipeline Report</w:t>
      </w:r>
      <w:r w:rsidRPr="00332F5F">
        <w:rPr>
          <w:rFonts w:ascii="Calibri" w:hAnsi="Calibri" w:cs="Calibri"/>
          <w:b/>
          <w:snapToGrid w:val="0"/>
          <w:color w:val="auto"/>
          <w:sz w:val="22"/>
          <w:szCs w:val="22"/>
        </w:rPr>
        <w:t>:</w:t>
      </w:r>
      <w:r w:rsidRPr="00332F5F">
        <w:rPr>
          <w:rFonts w:ascii="Calibri" w:hAnsi="Calibri" w:cs="Calibri"/>
          <w:snapToGrid w:val="0"/>
          <w:color w:val="auto"/>
          <w:sz w:val="22"/>
          <w:szCs w:val="22"/>
        </w:rPr>
        <w:t xml:space="preserve"> </w:t>
      </w:r>
      <w:r w:rsidRPr="00332F5F" w:rsidR="00C81FF8">
        <w:rPr>
          <w:rFonts w:ascii="Calibri" w:hAnsi="Calibri" w:cs="Calibri"/>
          <w:snapToGrid w:val="0"/>
          <w:color w:val="auto"/>
          <w:sz w:val="22"/>
          <w:szCs w:val="22"/>
        </w:rPr>
        <w:t>All</w:t>
      </w:r>
      <w:r w:rsidRPr="00332F5F">
        <w:rPr>
          <w:rFonts w:ascii="Calibri" w:hAnsi="Calibri" w:cs="Calibri"/>
          <w:snapToGrid w:val="0"/>
          <w:color w:val="auto"/>
          <w:sz w:val="22"/>
          <w:szCs w:val="22"/>
        </w:rPr>
        <w:t xml:space="preserve"> product pipeline operator</w:t>
      </w:r>
      <w:r w:rsidRPr="00332F5F" w:rsidR="00C81FF8">
        <w:rPr>
          <w:rFonts w:ascii="Calibri" w:hAnsi="Calibri" w:cs="Calibri"/>
          <w:snapToGrid w:val="0"/>
          <w:color w:val="auto"/>
          <w:sz w:val="22"/>
          <w:szCs w:val="22"/>
        </w:rPr>
        <w:t>s</w:t>
      </w:r>
      <w:r w:rsidRPr="00332F5F">
        <w:rPr>
          <w:rFonts w:ascii="Calibri" w:hAnsi="Calibri" w:cs="Calibri"/>
          <w:snapToGrid w:val="0"/>
          <w:color w:val="auto"/>
          <w:sz w:val="22"/>
          <w:szCs w:val="22"/>
        </w:rPr>
        <w:t xml:space="preserve"> in the 50 states and District of Columbia</w:t>
      </w:r>
      <w:r w:rsidRPr="00332F5F" w:rsidR="00C81FF8">
        <w:rPr>
          <w:rFonts w:ascii="Calibri" w:hAnsi="Calibri" w:cs="Calibri"/>
          <w:snapToGrid w:val="0"/>
          <w:color w:val="auto"/>
          <w:sz w:val="22"/>
          <w:szCs w:val="22"/>
        </w:rPr>
        <w:t xml:space="preserve"> must complete the Form EIA-812</w:t>
      </w:r>
      <w:r w:rsidRPr="00332F5F" w:rsidR="006F3571">
        <w:rPr>
          <w:rFonts w:ascii="Calibri" w:hAnsi="Calibri" w:cs="Calibri"/>
          <w:snapToGrid w:val="0"/>
          <w:color w:val="auto"/>
          <w:sz w:val="22"/>
          <w:szCs w:val="22"/>
        </w:rPr>
        <w:t xml:space="preserve">. Data </w:t>
      </w:r>
      <w:r w:rsidRPr="00332F5F" w:rsidR="006F3571">
        <w:rPr>
          <w:rFonts w:ascii="Calibri" w:hAnsi="Calibri" w:cs="Calibri"/>
          <w:snapToGrid w:val="0"/>
          <w:color w:val="auto"/>
          <w:sz w:val="22"/>
          <w:szCs w:val="22"/>
        </w:rPr>
        <w:t>are</w:t>
      </w:r>
      <w:r w:rsidRPr="00332F5F" w:rsidR="006F3571">
        <w:rPr>
          <w:rFonts w:ascii="Calibri" w:hAnsi="Calibri" w:cs="Calibri"/>
          <w:snapToGrid w:val="0"/>
          <w:color w:val="auto"/>
          <w:sz w:val="22"/>
          <w:szCs w:val="22"/>
        </w:rPr>
        <w:t xml:space="preserve"> reported by co</w:t>
      </w:r>
      <w:r w:rsidRPr="00332F5F">
        <w:rPr>
          <w:rFonts w:ascii="Calibri" w:hAnsi="Calibri" w:cs="Calibri"/>
          <w:snapToGrid w:val="0"/>
          <w:color w:val="auto"/>
          <w:sz w:val="22"/>
          <w:szCs w:val="22"/>
        </w:rPr>
        <w:t xml:space="preserve">mpany and PADD. </w:t>
      </w:r>
      <w:r w:rsidRPr="00332F5F" w:rsidR="00B90062">
        <w:rPr>
          <w:rFonts w:ascii="Calibri" w:hAnsi="Calibri" w:cs="Calibri"/>
          <w:snapToGrid w:val="0"/>
          <w:color w:val="auto"/>
          <w:sz w:val="22"/>
          <w:szCs w:val="22"/>
        </w:rPr>
        <w:t>Petroleum product</w:t>
      </w:r>
      <w:r w:rsidRPr="00332F5F" w:rsidR="00EE012F">
        <w:rPr>
          <w:rFonts w:ascii="Calibri" w:hAnsi="Calibri" w:cs="Calibri"/>
          <w:snapToGrid w:val="0"/>
          <w:color w:val="auto"/>
          <w:sz w:val="22"/>
          <w:szCs w:val="22"/>
        </w:rPr>
        <w:t>s, including</w:t>
      </w:r>
      <w:r w:rsidRPr="00332F5F" w:rsidR="00F623DF">
        <w:rPr>
          <w:rFonts w:ascii="Calibri" w:hAnsi="Calibri" w:cs="Calibri"/>
          <w:snapToGrid w:val="0"/>
          <w:color w:val="auto"/>
          <w:sz w:val="22"/>
          <w:szCs w:val="22"/>
        </w:rPr>
        <w:t xml:space="preserve"> selected</w:t>
      </w:r>
      <w:r w:rsidRPr="00332F5F" w:rsidR="00EE012F">
        <w:rPr>
          <w:rFonts w:ascii="Calibri" w:hAnsi="Calibri" w:cs="Calibri"/>
          <w:snapToGrid w:val="0"/>
          <w:color w:val="auto"/>
          <w:sz w:val="22"/>
          <w:szCs w:val="22"/>
        </w:rPr>
        <w:t xml:space="preserve"> biofuels an</w:t>
      </w:r>
      <w:r w:rsidRPr="00332F5F" w:rsidR="00F623DF">
        <w:rPr>
          <w:rFonts w:ascii="Calibri" w:hAnsi="Calibri" w:cs="Calibri"/>
          <w:snapToGrid w:val="0"/>
          <w:color w:val="auto"/>
          <w:sz w:val="22"/>
          <w:szCs w:val="22"/>
        </w:rPr>
        <w:t>d oxygenates,</w:t>
      </w:r>
      <w:r w:rsidRPr="00332F5F" w:rsidR="00B90062">
        <w:rPr>
          <w:rFonts w:ascii="Calibri" w:hAnsi="Calibri" w:cs="Calibri"/>
          <w:snapToGrid w:val="0"/>
          <w:color w:val="auto"/>
          <w:sz w:val="22"/>
          <w:szCs w:val="22"/>
        </w:rPr>
        <w:t xml:space="preserve"> are</w:t>
      </w:r>
      <w:r w:rsidRPr="00332F5F" w:rsidR="00EE012F">
        <w:rPr>
          <w:rFonts w:ascii="Calibri" w:hAnsi="Calibri" w:cs="Calibri"/>
          <w:snapToGrid w:val="0"/>
          <w:color w:val="auto"/>
          <w:sz w:val="22"/>
          <w:szCs w:val="22"/>
        </w:rPr>
        <w:t xml:space="preserve"> transported using p</w:t>
      </w:r>
      <w:r w:rsidRPr="00332F5F">
        <w:rPr>
          <w:rFonts w:ascii="Calibri" w:hAnsi="Calibri" w:cs="Calibri"/>
          <w:snapToGrid w:val="0"/>
          <w:color w:val="auto"/>
          <w:sz w:val="22"/>
          <w:szCs w:val="22"/>
        </w:rPr>
        <w:t xml:space="preserve">roduct pipelines. Product pipeline operators report stocks held in pipelines and associated tanks and inter-PADD movements. </w:t>
      </w:r>
    </w:p>
    <w:p w:rsidR="003027B5" w:rsidRPr="00332F5F" w:rsidP="003027B5" w14:paraId="3936621A" w14:textId="62E296BE">
      <w:pPr>
        <w:pStyle w:val="Default"/>
        <w:spacing w:before="120"/>
        <w:ind w:left="360"/>
        <w:rPr>
          <w:rFonts w:ascii="Calibri" w:hAnsi="Calibri" w:cs="Calibri"/>
          <w:snapToGrid w:val="0"/>
          <w:color w:val="auto"/>
          <w:sz w:val="22"/>
          <w:szCs w:val="22"/>
        </w:rPr>
      </w:pPr>
      <w:r w:rsidRPr="00332F5F">
        <w:rPr>
          <w:rFonts w:ascii="Calibri" w:hAnsi="Calibri" w:cs="Calibri"/>
          <w:b/>
          <w:snapToGrid w:val="0"/>
          <w:color w:val="auto"/>
          <w:sz w:val="22"/>
          <w:szCs w:val="22"/>
        </w:rPr>
        <w:t>Form</w:t>
      </w:r>
      <w:r w:rsidRPr="00332F5F">
        <w:rPr>
          <w:rFonts w:ascii="Calibri" w:hAnsi="Calibri" w:cs="Calibri"/>
          <w:b/>
          <w:snapToGrid w:val="0"/>
          <w:color w:val="auto"/>
          <w:sz w:val="22"/>
          <w:szCs w:val="22"/>
        </w:rPr>
        <w:t xml:space="preserve"> EIA-813 </w:t>
      </w:r>
      <w:r w:rsidRPr="00332F5F">
        <w:rPr>
          <w:rFonts w:ascii="Calibri" w:hAnsi="Calibri" w:cs="Calibri"/>
          <w:b/>
          <w:i/>
          <w:snapToGrid w:val="0"/>
          <w:color w:val="auto"/>
          <w:sz w:val="22"/>
          <w:szCs w:val="22"/>
        </w:rPr>
        <w:t>Monthly Crude Oil Report</w:t>
      </w:r>
      <w:r w:rsidRPr="00332F5F">
        <w:rPr>
          <w:rFonts w:ascii="Calibri" w:hAnsi="Calibri" w:cs="Calibri"/>
          <w:b/>
          <w:snapToGrid w:val="0"/>
          <w:color w:val="auto"/>
          <w:sz w:val="22"/>
          <w:szCs w:val="22"/>
        </w:rPr>
        <w:t>:</w:t>
      </w:r>
      <w:r w:rsidRPr="00332F5F">
        <w:rPr>
          <w:rFonts w:ascii="Calibri" w:hAnsi="Calibri" w:cs="Calibri"/>
          <w:snapToGrid w:val="0"/>
          <w:color w:val="auto"/>
          <w:sz w:val="22"/>
          <w:szCs w:val="22"/>
        </w:rPr>
        <w:t xml:space="preserve"> </w:t>
      </w:r>
      <w:r w:rsidRPr="00332F5F" w:rsidR="00AD0F4D">
        <w:rPr>
          <w:rFonts w:ascii="Calibri" w:hAnsi="Calibri" w:cs="Calibri"/>
          <w:snapToGrid w:val="0"/>
          <w:color w:val="auto"/>
          <w:sz w:val="22"/>
          <w:szCs w:val="22"/>
        </w:rPr>
        <w:t>O</w:t>
      </w:r>
      <w:r w:rsidRPr="00332F5F">
        <w:rPr>
          <w:rFonts w:ascii="Calibri" w:hAnsi="Calibri" w:cs="Calibri"/>
          <w:snapToGrid w:val="0"/>
          <w:color w:val="auto"/>
          <w:sz w:val="22"/>
          <w:szCs w:val="22"/>
        </w:rPr>
        <w:t xml:space="preserve">perators of facilities located in the 50 states and District of Columbia that carry (transport) or store </w:t>
      </w:r>
      <w:r w:rsidRPr="00332F5F" w:rsidR="72F4A57A">
        <w:rPr>
          <w:rFonts w:ascii="Calibri" w:hAnsi="Calibri" w:cs="Calibri"/>
          <w:snapToGrid w:val="0"/>
          <w:color w:val="auto"/>
          <w:sz w:val="22"/>
          <w:szCs w:val="22"/>
        </w:rPr>
        <w:t xml:space="preserve">1,000 barrels or more of </w:t>
      </w:r>
      <w:r w:rsidRPr="00332F5F">
        <w:rPr>
          <w:rFonts w:ascii="Calibri" w:hAnsi="Calibri" w:cs="Calibri"/>
          <w:snapToGrid w:val="0"/>
          <w:color w:val="auto"/>
          <w:sz w:val="22"/>
          <w:szCs w:val="22"/>
        </w:rPr>
        <w:t>crude oil</w:t>
      </w:r>
      <w:r w:rsidRPr="00332F5F" w:rsidR="00AD0F4D">
        <w:rPr>
          <w:rFonts w:ascii="Calibri" w:hAnsi="Calibri" w:cs="Calibri"/>
          <w:snapToGrid w:val="0"/>
          <w:color w:val="auto"/>
          <w:sz w:val="22"/>
          <w:szCs w:val="22"/>
        </w:rPr>
        <w:t xml:space="preserve"> must complete the Form EIA-813</w:t>
      </w:r>
      <w:r w:rsidRPr="00332F5F">
        <w:rPr>
          <w:rFonts w:ascii="Calibri" w:hAnsi="Calibri" w:cs="Calibri"/>
          <w:snapToGrid w:val="0"/>
          <w:color w:val="auto"/>
          <w:sz w:val="22"/>
          <w:szCs w:val="22"/>
        </w:rPr>
        <w:t xml:space="preserve">. Facilities include pipeline companies, terminal operators, companies transporting Alaskan crude oil by water, and other facilities that store crude oil (except refineries). Data </w:t>
      </w:r>
      <w:r w:rsidRPr="00332F5F">
        <w:rPr>
          <w:rFonts w:ascii="Calibri" w:hAnsi="Calibri" w:cs="Calibri"/>
          <w:snapToGrid w:val="0"/>
          <w:color w:val="auto"/>
          <w:sz w:val="22"/>
          <w:szCs w:val="22"/>
        </w:rPr>
        <w:t>are</w:t>
      </w:r>
      <w:r w:rsidRPr="00332F5F">
        <w:rPr>
          <w:rFonts w:ascii="Calibri" w:hAnsi="Calibri" w:cs="Calibri"/>
          <w:snapToGrid w:val="0"/>
          <w:color w:val="auto"/>
          <w:sz w:val="22"/>
          <w:szCs w:val="22"/>
        </w:rPr>
        <w:t xml:space="preserve"> reported by company and PADD. </w:t>
      </w:r>
      <w:r w:rsidR="00A15278">
        <w:rPr>
          <w:rFonts w:ascii="Calibri" w:hAnsi="Calibri" w:cs="Calibri"/>
          <w:snapToGrid w:val="0"/>
          <w:color w:val="auto"/>
          <w:sz w:val="22"/>
          <w:szCs w:val="22"/>
        </w:rPr>
        <w:t>Facilities report</w:t>
      </w:r>
      <w:r w:rsidRPr="00332F5F">
        <w:rPr>
          <w:rFonts w:ascii="Calibri" w:hAnsi="Calibri" w:cs="Calibri"/>
          <w:snapToGrid w:val="0"/>
          <w:color w:val="auto"/>
          <w:sz w:val="22"/>
          <w:szCs w:val="22"/>
        </w:rPr>
        <w:t xml:space="preserve"> stocks held in tank farms, pipelines, and underground caverns, stocks in transit by water and rail, crude oil received by and shipped out of the Strategic Petroleum Reserve, stocks located in Cushing, OK that are deliverable under NYMEX contract and not deliverable under NYMEX contract. Pipeline operators report inter-PADD movements. </w:t>
      </w:r>
    </w:p>
    <w:p w:rsidR="003027B5" w:rsidRPr="00332F5F" w:rsidP="003027B5" w14:paraId="765E4FEB" w14:textId="4F8A958A">
      <w:pPr>
        <w:pStyle w:val="Default"/>
        <w:spacing w:before="120"/>
        <w:ind w:left="360"/>
        <w:rPr>
          <w:rFonts w:ascii="Calibri" w:hAnsi="Calibri" w:cs="Calibri"/>
          <w:snapToGrid w:val="0"/>
          <w:color w:val="auto"/>
          <w:sz w:val="22"/>
          <w:szCs w:val="22"/>
        </w:rPr>
      </w:pPr>
      <w:r w:rsidRPr="00332F5F">
        <w:rPr>
          <w:rFonts w:ascii="Calibri" w:hAnsi="Calibri" w:cs="Calibri"/>
          <w:b/>
          <w:snapToGrid w:val="0"/>
          <w:color w:val="auto"/>
          <w:sz w:val="22"/>
          <w:szCs w:val="22"/>
        </w:rPr>
        <w:t xml:space="preserve">Form EIA-814 </w:t>
      </w:r>
      <w:r w:rsidRPr="00332F5F">
        <w:rPr>
          <w:rFonts w:ascii="Calibri" w:hAnsi="Calibri" w:cs="Calibri"/>
          <w:b/>
          <w:i/>
          <w:snapToGrid w:val="0"/>
          <w:color w:val="auto"/>
          <w:sz w:val="22"/>
          <w:szCs w:val="22"/>
        </w:rPr>
        <w:t>Monthly Imports Report</w:t>
      </w:r>
      <w:r w:rsidRPr="00332F5F">
        <w:rPr>
          <w:rFonts w:ascii="Calibri" w:hAnsi="Calibri" w:cs="Calibri"/>
          <w:b/>
          <w:snapToGrid w:val="0"/>
          <w:color w:val="auto"/>
          <w:sz w:val="22"/>
          <w:szCs w:val="22"/>
        </w:rPr>
        <w:t>:</w:t>
      </w:r>
      <w:r w:rsidRPr="00332F5F">
        <w:rPr>
          <w:rFonts w:ascii="Calibri" w:hAnsi="Calibri" w:cs="Calibri"/>
          <w:snapToGrid w:val="0"/>
          <w:color w:val="auto"/>
          <w:sz w:val="22"/>
          <w:szCs w:val="22"/>
        </w:rPr>
        <w:t xml:space="preserve"> </w:t>
      </w:r>
      <w:r w:rsidRPr="00332F5F" w:rsidR="006E399E">
        <w:rPr>
          <w:rFonts w:ascii="Calibri" w:hAnsi="Calibri" w:cs="Calibri"/>
          <w:snapToGrid w:val="0"/>
          <w:color w:val="auto"/>
          <w:sz w:val="22"/>
          <w:szCs w:val="22"/>
        </w:rPr>
        <w:t>All</w:t>
      </w:r>
      <w:r w:rsidRPr="00332F5F">
        <w:rPr>
          <w:rFonts w:ascii="Calibri" w:hAnsi="Calibri" w:cs="Calibri"/>
          <w:snapToGrid w:val="0"/>
          <w:color w:val="auto"/>
          <w:sz w:val="22"/>
          <w:szCs w:val="22"/>
        </w:rPr>
        <w:t xml:space="preserve"> importer</w:t>
      </w:r>
      <w:r w:rsidRPr="00332F5F" w:rsidR="006E399E">
        <w:rPr>
          <w:rFonts w:ascii="Calibri" w:hAnsi="Calibri" w:cs="Calibri"/>
          <w:snapToGrid w:val="0"/>
          <w:color w:val="auto"/>
          <w:sz w:val="22"/>
          <w:szCs w:val="22"/>
        </w:rPr>
        <w:t>s</w:t>
      </w:r>
      <w:r w:rsidRPr="00332F5F">
        <w:rPr>
          <w:rFonts w:ascii="Calibri" w:hAnsi="Calibri" w:cs="Calibri"/>
          <w:snapToGrid w:val="0"/>
          <w:color w:val="auto"/>
          <w:sz w:val="22"/>
          <w:szCs w:val="22"/>
        </w:rPr>
        <w:t xml:space="preserve"> of record (or the ultimate consignee in some situations involving imports from Canada) of crude oil, petroleum products, and biofuels</w:t>
      </w:r>
      <w:r w:rsidRPr="00332F5F" w:rsidR="006E399E">
        <w:rPr>
          <w:rFonts w:ascii="Calibri" w:hAnsi="Calibri" w:cs="Calibri"/>
          <w:snapToGrid w:val="0"/>
          <w:color w:val="auto"/>
          <w:sz w:val="22"/>
          <w:szCs w:val="22"/>
        </w:rPr>
        <w:t xml:space="preserve"> must complete Form EIA-814</w:t>
      </w:r>
      <w:r w:rsidRPr="00332F5F">
        <w:rPr>
          <w:rFonts w:ascii="Calibri" w:hAnsi="Calibri" w:cs="Calibri"/>
          <w:snapToGrid w:val="0"/>
          <w:color w:val="auto"/>
          <w:sz w:val="22"/>
          <w:szCs w:val="22"/>
        </w:rPr>
        <w:t>. Importers and ultimate consignees are identified on the following documents filed with U.S. Customs and Border Protection (CBP) and the U.S. Department of Commerce:</w:t>
      </w:r>
    </w:p>
    <w:p w:rsidR="003027B5" w:rsidRPr="00332F5F" w:rsidP="003027B5" w14:paraId="1B2CD2D3" w14:textId="77777777">
      <w:pPr>
        <w:pStyle w:val="Default"/>
        <w:numPr>
          <w:ilvl w:val="0"/>
          <w:numId w:val="22"/>
        </w:numPr>
        <w:spacing w:before="60"/>
        <w:ind w:left="1080"/>
        <w:rPr>
          <w:rFonts w:ascii="Calibri" w:hAnsi="Calibri" w:cs="Calibri"/>
          <w:snapToGrid w:val="0"/>
          <w:color w:val="auto"/>
          <w:sz w:val="22"/>
          <w:szCs w:val="22"/>
        </w:rPr>
      </w:pPr>
      <w:r w:rsidRPr="00332F5F">
        <w:rPr>
          <w:rFonts w:ascii="Calibri" w:hAnsi="Calibri" w:cs="Calibri"/>
          <w:snapToGrid w:val="0"/>
          <w:color w:val="auto"/>
          <w:sz w:val="22"/>
          <w:szCs w:val="22"/>
        </w:rPr>
        <w:t xml:space="preserve">CBP Form 7501 </w:t>
      </w:r>
      <w:r w:rsidRPr="00332F5F">
        <w:rPr>
          <w:rFonts w:ascii="Calibri" w:hAnsi="Calibri" w:cs="Calibri"/>
          <w:i/>
          <w:snapToGrid w:val="0"/>
          <w:color w:val="auto"/>
          <w:sz w:val="22"/>
          <w:szCs w:val="22"/>
        </w:rPr>
        <w:t>Entry Summary</w:t>
      </w:r>
    </w:p>
    <w:p w:rsidR="003027B5" w:rsidRPr="00332F5F" w:rsidP="003027B5" w14:paraId="21A0A439" w14:textId="6C985B6F">
      <w:pPr>
        <w:pStyle w:val="Default"/>
        <w:numPr>
          <w:ilvl w:val="0"/>
          <w:numId w:val="22"/>
        </w:numPr>
        <w:spacing w:before="60"/>
        <w:ind w:left="1080"/>
        <w:rPr>
          <w:rFonts w:ascii="Calibri" w:hAnsi="Calibri" w:cs="Calibri"/>
          <w:snapToGrid w:val="0"/>
          <w:color w:val="auto"/>
          <w:sz w:val="22"/>
          <w:szCs w:val="22"/>
        </w:rPr>
      </w:pPr>
      <w:r w:rsidRPr="00332F5F">
        <w:rPr>
          <w:rFonts w:ascii="Calibri" w:hAnsi="Calibri" w:cs="Calibri"/>
          <w:snapToGrid w:val="0"/>
          <w:color w:val="auto"/>
          <w:sz w:val="22"/>
          <w:szCs w:val="22"/>
        </w:rPr>
        <w:t xml:space="preserve">CBP Form </w:t>
      </w:r>
      <w:r w:rsidRPr="00332F5F" w:rsidR="00074E73">
        <w:rPr>
          <w:rFonts w:ascii="Calibri" w:hAnsi="Calibri" w:cs="Calibri"/>
          <w:snapToGrid w:val="0"/>
          <w:color w:val="auto"/>
          <w:sz w:val="22"/>
          <w:szCs w:val="22"/>
        </w:rPr>
        <w:t xml:space="preserve">214 or </w:t>
      </w:r>
      <w:r w:rsidRPr="00332F5F">
        <w:rPr>
          <w:rFonts w:ascii="Calibri" w:hAnsi="Calibri" w:cs="Calibri"/>
          <w:snapToGrid w:val="0"/>
          <w:color w:val="auto"/>
          <w:sz w:val="22"/>
          <w:szCs w:val="22"/>
        </w:rPr>
        <w:t xml:space="preserve">214A </w:t>
      </w:r>
      <w:r w:rsidRPr="00332F5F">
        <w:rPr>
          <w:rFonts w:ascii="Calibri" w:hAnsi="Calibri" w:cs="Calibri"/>
          <w:i/>
          <w:snapToGrid w:val="0"/>
          <w:color w:val="auto"/>
          <w:sz w:val="22"/>
          <w:szCs w:val="22"/>
        </w:rPr>
        <w:t>Application for Foreign Trade Zone Admission and/or Status Designation</w:t>
      </w:r>
    </w:p>
    <w:p w:rsidR="003027B5" w:rsidRPr="00332F5F" w:rsidP="003027B5" w14:paraId="2AC8E1B2" w14:textId="66C0D536">
      <w:pPr>
        <w:pStyle w:val="Default"/>
        <w:numPr>
          <w:ilvl w:val="0"/>
          <w:numId w:val="22"/>
        </w:numPr>
        <w:spacing w:before="60"/>
        <w:ind w:left="1080"/>
        <w:rPr>
          <w:rFonts w:ascii="Calibri" w:hAnsi="Calibri" w:cs="Calibri"/>
          <w:snapToGrid w:val="0"/>
          <w:color w:val="auto"/>
          <w:sz w:val="22"/>
          <w:szCs w:val="22"/>
        </w:rPr>
      </w:pPr>
      <w:r w:rsidRPr="00332F5F">
        <w:rPr>
          <w:rFonts w:ascii="Calibri" w:hAnsi="Calibri" w:cs="Calibri"/>
          <w:snapToGrid w:val="0"/>
          <w:color w:val="auto"/>
          <w:sz w:val="22"/>
          <w:szCs w:val="22"/>
        </w:rPr>
        <w:t>U.S. Customs and Border Protection</w:t>
      </w:r>
      <w:r w:rsidRPr="00332F5F" w:rsidR="00942B97">
        <w:rPr>
          <w:rFonts w:ascii="Calibri" w:hAnsi="Calibri" w:cs="Calibri"/>
          <w:snapToGrid w:val="0"/>
          <w:color w:val="auto"/>
          <w:sz w:val="22"/>
          <w:szCs w:val="22"/>
        </w:rPr>
        <w:t>’s</w:t>
      </w:r>
      <w:r w:rsidRPr="00332F5F">
        <w:rPr>
          <w:rFonts w:ascii="Calibri" w:hAnsi="Calibri" w:cs="Calibri"/>
          <w:snapToGrid w:val="0"/>
          <w:color w:val="auto"/>
          <w:sz w:val="22"/>
          <w:szCs w:val="22"/>
        </w:rPr>
        <w:t xml:space="preserve"> Automated</w:t>
      </w:r>
      <w:r w:rsidRPr="00332F5F" w:rsidR="00942B97">
        <w:rPr>
          <w:rFonts w:ascii="Calibri" w:hAnsi="Calibri" w:cs="Calibri"/>
          <w:snapToGrid w:val="0"/>
          <w:color w:val="auto"/>
          <w:sz w:val="22"/>
          <w:szCs w:val="22"/>
        </w:rPr>
        <w:t xml:space="preserve"> Export System (AES)</w:t>
      </w:r>
    </w:p>
    <w:p w:rsidR="003027B5" w:rsidRPr="00332F5F" w:rsidP="003027B5" w14:paraId="77872BF9" w14:textId="77777777">
      <w:pPr>
        <w:pStyle w:val="Default"/>
        <w:spacing w:before="120"/>
        <w:ind w:left="360"/>
        <w:rPr>
          <w:rFonts w:ascii="Calibri" w:hAnsi="Calibri" w:cs="Calibri"/>
          <w:snapToGrid w:val="0"/>
          <w:color w:val="auto"/>
          <w:sz w:val="22"/>
          <w:szCs w:val="22"/>
        </w:rPr>
      </w:pPr>
      <w:r w:rsidRPr="00332F5F">
        <w:rPr>
          <w:rFonts w:ascii="Calibri" w:hAnsi="Calibri" w:cs="Calibri"/>
          <w:snapToGrid w:val="0"/>
          <w:color w:val="auto"/>
          <w:sz w:val="22"/>
          <w:szCs w:val="22"/>
        </w:rPr>
        <w:t>Reported imports include barrels of foreign origin that enter the 50 states and District of Columbia as well as U.S. territories and possessions, including Foreign Trade Zones. In addition, imports from U.S. territories and possessions to the 50 states and District of Columbia are reported on Form EIA-814. Reporting on Form EIA-814 includes the country of origin, port of entry, type of commodity, quantity imported, sulfur and API gravity for crude oil and selected products, and processing facility for crude oil and selected unfinished products.</w:t>
      </w:r>
    </w:p>
    <w:p w:rsidR="003027B5" w:rsidRPr="00332F5F" w:rsidP="003027B5" w14:paraId="17AEE625" w14:textId="00D85CB9">
      <w:pPr>
        <w:pStyle w:val="Default"/>
        <w:spacing w:before="120"/>
        <w:ind w:left="360"/>
        <w:rPr>
          <w:rFonts w:ascii="Calibri" w:hAnsi="Calibri" w:cs="Calibri"/>
          <w:snapToGrid w:val="0"/>
          <w:color w:val="auto"/>
          <w:sz w:val="22"/>
          <w:szCs w:val="22"/>
        </w:rPr>
      </w:pPr>
      <w:r w:rsidRPr="00332F5F">
        <w:rPr>
          <w:rFonts w:ascii="Calibri" w:hAnsi="Calibri" w:cs="Calibri"/>
          <w:b/>
          <w:bCs/>
          <w:snapToGrid w:val="0"/>
          <w:color w:val="auto"/>
          <w:sz w:val="22"/>
          <w:szCs w:val="22"/>
        </w:rPr>
        <w:t xml:space="preserve">Form EIA-815 </w:t>
      </w:r>
      <w:r w:rsidRPr="00332F5F">
        <w:rPr>
          <w:rFonts w:ascii="Calibri" w:hAnsi="Calibri" w:cs="Calibri"/>
          <w:b/>
          <w:bCs/>
          <w:i/>
          <w:iCs/>
          <w:snapToGrid w:val="0"/>
          <w:color w:val="auto"/>
          <w:sz w:val="22"/>
          <w:szCs w:val="22"/>
        </w:rPr>
        <w:t>Monthly Bulk Terminal Report</w:t>
      </w:r>
      <w:r w:rsidRPr="00332F5F">
        <w:rPr>
          <w:rFonts w:ascii="Calibri" w:hAnsi="Calibri" w:cs="Calibri"/>
          <w:b/>
          <w:bCs/>
          <w:snapToGrid w:val="0"/>
          <w:color w:val="auto"/>
          <w:sz w:val="22"/>
          <w:szCs w:val="22"/>
        </w:rPr>
        <w:t>:</w:t>
      </w:r>
      <w:r w:rsidRPr="00332F5F">
        <w:rPr>
          <w:rFonts w:ascii="Calibri" w:hAnsi="Calibri" w:cs="Calibri"/>
          <w:snapToGrid w:val="0"/>
          <w:color w:val="auto"/>
          <w:sz w:val="22"/>
          <w:szCs w:val="22"/>
        </w:rPr>
        <w:t xml:space="preserve"> </w:t>
      </w:r>
      <w:r w:rsidRPr="00332F5F" w:rsidR="00942B97">
        <w:rPr>
          <w:rFonts w:ascii="Calibri" w:hAnsi="Calibri" w:cs="Calibri"/>
          <w:snapToGrid w:val="0"/>
          <w:color w:val="auto"/>
          <w:sz w:val="22"/>
          <w:szCs w:val="22"/>
        </w:rPr>
        <w:t xml:space="preserve">All bulk terminal </w:t>
      </w:r>
      <w:r w:rsidRPr="00332F5F">
        <w:rPr>
          <w:rFonts w:ascii="Calibri" w:hAnsi="Calibri" w:cs="Calibri"/>
          <w:snapToGrid w:val="0"/>
          <w:color w:val="auto"/>
          <w:sz w:val="22"/>
          <w:szCs w:val="22"/>
        </w:rPr>
        <w:t>operator</w:t>
      </w:r>
      <w:r w:rsidRPr="00332F5F" w:rsidR="00942B97">
        <w:rPr>
          <w:rFonts w:ascii="Calibri" w:hAnsi="Calibri" w:cs="Calibri"/>
          <w:snapToGrid w:val="0"/>
          <w:color w:val="auto"/>
          <w:sz w:val="22"/>
          <w:szCs w:val="22"/>
        </w:rPr>
        <w:t>s</w:t>
      </w:r>
      <w:r w:rsidRPr="00332F5F">
        <w:rPr>
          <w:rFonts w:ascii="Calibri" w:hAnsi="Calibri" w:cs="Calibri"/>
          <w:snapToGrid w:val="0"/>
          <w:color w:val="auto"/>
          <w:sz w:val="22"/>
          <w:szCs w:val="22"/>
        </w:rPr>
        <w:t xml:space="preserve"> and certain facilities storing natural gas liquids operated by end users located in the 50 states, District of Columbia, and U.S. territories and possessions</w:t>
      </w:r>
      <w:r w:rsidRPr="00332F5F" w:rsidR="00942B97">
        <w:rPr>
          <w:rFonts w:ascii="Calibri" w:hAnsi="Calibri" w:cs="Calibri"/>
          <w:snapToGrid w:val="0"/>
          <w:color w:val="auto"/>
          <w:sz w:val="22"/>
          <w:szCs w:val="22"/>
        </w:rPr>
        <w:t xml:space="preserve"> must complete Form EIA-815</w:t>
      </w:r>
      <w:r w:rsidRPr="00332F5F">
        <w:rPr>
          <w:rFonts w:ascii="Calibri" w:hAnsi="Calibri" w:cs="Calibri"/>
          <w:snapToGrid w:val="0"/>
          <w:color w:val="auto"/>
          <w:sz w:val="22"/>
          <w:szCs w:val="22"/>
        </w:rPr>
        <w:t xml:space="preserve">. Data </w:t>
      </w:r>
      <w:r w:rsidRPr="00332F5F">
        <w:rPr>
          <w:rFonts w:ascii="Calibri" w:hAnsi="Calibri" w:cs="Calibri"/>
          <w:snapToGrid w:val="0"/>
          <w:color w:val="auto"/>
          <w:sz w:val="22"/>
          <w:szCs w:val="22"/>
        </w:rPr>
        <w:t>are</w:t>
      </w:r>
      <w:r w:rsidRPr="00332F5F">
        <w:rPr>
          <w:rFonts w:ascii="Calibri" w:hAnsi="Calibri" w:cs="Calibri"/>
          <w:snapToGrid w:val="0"/>
          <w:color w:val="auto"/>
          <w:sz w:val="22"/>
          <w:szCs w:val="22"/>
        </w:rPr>
        <w:t xml:space="preserve"> reported by bulk terminal or storage facility site. Bulk terminals are storage facilities where petroleum products and biofuels are stored in tanks and/or underground caverns. Some bulk terminals are used for product blending, where unfinished and finished petroleum products and biofuels are blended in lines or in tanks to produce new or reclassified products (e.g. blending fuel ethanol with unfinished gasoline to produce finished gasoline). Bulk terminals report</w:t>
      </w:r>
      <w:r w:rsidR="009F2C09">
        <w:rPr>
          <w:rFonts w:ascii="Calibri" w:hAnsi="Calibri" w:cs="Calibri"/>
          <w:snapToGrid w:val="0"/>
          <w:color w:val="auto"/>
          <w:sz w:val="22"/>
          <w:szCs w:val="22"/>
        </w:rPr>
        <w:t>ing</w:t>
      </w:r>
      <w:r w:rsidRPr="00332F5F">
        <w:rPr>
          <w:rFonts w:ascii="Calibri" w:hAnsi="Calibri" w:cs="Calibri"/>
          <w:snapToGrid w:val="0"/>
          <w:color w:val="auto"/>
          <w:sz w:val="22"/>
          <w:szCs w:val="22"/>
        </w:rPr>
        <w:t xml:space="preserve"> on Form EIA-815 include</w:t>
      </w:r>
      <w:r w:rsidR="00633854">
        <w:rPr>
          <w:rFonts w:ascii="Calibri" w:hAnsi="Calibri" w:cs="Calibri"/>
          <w:snapToGrid w:val="0"/>
          <w:color w:val="auto"/>
          <w:sz w:val="22"/>
          <w:szCs w:val="22"/>
        </w:rPr>
        <w:t xml:space="preserve"> </w:t>
      </w:r>
      <w:r w:rsidR="00D65076">
        <w:rPr>
          <w:rFonts w:ascii="Calibri" w:hAnsi="Calibri" w:cs="Calibri"/>
          <w:snapToGrid w:val="0"/>
          <w:color w:val="auto"/>
          <w:sz w:val="22"/>
          <w:szCs w:val="22"/>
        </w:rPr>
        <w:t>those</w:t>
      </w:r>
      <w:r w:rsidRPr="00332F5F">
        <w:rPr>
          <w:rFonts w:ascii="Calibri" w:hAnsi="Calibri" w:cs="Calibri"/>
          <w:snapToGrid w:val="0"/>
          <w:color w:val="auto"/>
          <w:sz w:val="22"/>
          <w:szCs w:val="22"/>
        </w:rPr>
        <w:t xml:space="preserve"> that </w:t>
      </w:r>
      <w:r w:rsidR="003D51D5">
        <w:rPr>
          <w:rFonts w:ascii="Calibri" w:hAnsi="Calibri" w:cs="Calibri"/>
          <w:snapToGrid w:val="0"/>
          <w:color w:val="auto"/>
          <w:sz w:val="22"/>
          <w:szCs w:val="22"/>
        </w:rPr>
        <w:t xml:space="preserve">either </w:t>
      </w:r>
      <w:r w:rsidRPr="00332F5F">
        <w:rPr>
          <w:rFonts w:ascii="Calibri" w:hAnsi="Calibri" w:cs="Calibri"/>
          <w:snapToGrid w:val="0"/>
          <w:color w:val="auto"/>
          <w:sz w:val="22"/>
          <w:szCs w:val="22"/>
        </w:rPr>
        <w:t xml:space="preserve">have storage capacity of at least 50 thousand barrels </w:t>
      </w:r>
      <w:r w:rsidR="003D51D5">
        <w:rPr>
          <w:rFonts w:ascii="Calibri" w:hAnsi="Calibri" w:cs="Calibri"/>
          <w:snapToGrid w:val="0"/>
          <w:color w:val="auto"/>
          <w:sz w:val="22"/>
          <w:szCs w:val="22"/>
        </w:rPr>
        <w:t xml:space="preserve">or that </w:t>
      </w:r>
      <w:r w:rsidRPr="00332F5F">
        <w:rPr>
          <w:rFonts w:ascii="Calibri" w:hAnsi="Calibri" w:cs="Calibri"/>
          <w:snapToGrid w:val="0"/>
          <w:color w:val="auto"/>
          <w:sz w:val="22"/>
          <w:szCs w:val="22"/>
        </w:rPr>
        <w:t xml:space="preserve">receive or ship product by pipeline, tanker, or barge. Petroleum products storage facilities that have less than 50 thousand barrels of storage capacity and receive and ship product only by rail and truck do not report on Form EIA-815. These smaller petroleum products and biofuels storage facilities are sometimes called “bulk stations” to distinguish them from bulk terminals. Bulk stations are outside of primary petroleum supply channels and excluded from reporting on Form EIA-815. Bulk terminal operators report inventory, receipts, input, production, shipments, and fuel use and loss. </w:t>
      </w:r>
    </w:p>
    <w:p w:rsidR="003027B5" w:rsidRPr="00332F5F" w:rsidP="003027B5" w14:paraId="2BBFE87E" w14:textId="1C325816">
      <w:pPr>
        <w:pStyle w:val="Default"/>
        <w:spacing w:before="120"/>
        <w:ind w:left="360"/>
        <w:rPr>
          <w:rFonts w:ascii="Calibri" w:hAnsi="Calibri" w:cs="Calibri"/>
          <w:snapToGrid w:val="0"/>
          <w:color w:val="auto"/>
          <w:sz w:val="22"/>
          <w:szCs w:val="22"/>
        </w:rPr>
      </w:pPr>
      <w:r w:rsidRPr="00332F5F">
        <w:rPr>
          <w:rFonts w:ascii="Calibri" w:hAnsi="Calibri" w:cs="Calibri"/>
          <w:b/>
          <w:snapToGrid w:val="0"/>
          <w:color w:val="auto"/>
          <w:sz w:val="22"/>
          <w:szCs w:val="22"/>
        </w:rPr>
        <w:t>Form</w:t>
      </w:r>
      <w:r w:rsidRPr="00332F5F">
        <w:rPr>
          <w:rFonts w:ascii="Calibri" w:hAnsi="Calibri" w:cs="Calibri"/>
          <w:b/>
          <w:snapToGrid w:val="0"/>
          <w:color w:val="auto"/>
          <w:sz w:val="22"/>
          <w:szCs w:val="22"/>
        </w:rPr>
        <w:t xml:space="preserve"> EIA-816 </w:t>
      </w:r>
      <w:r w:rsidRPr="00332F5F">
        <w:rPr>
          <w:rFonts w:ascii="Calibri" w:hAnsi="Calibri" w:cs="Calibri"/>
          <w:b/>
          <w:i/>
          <w:snapToGrid w:val="0"/>
          <w:color w:val="auto"/>
          <w:sz w:val="22"/>
          <w:szCs w:val="22"/>
        </w:rPr>
        <w:t>Monthly Natural Gas Liquids Report</w:t>
      </w:r>
      <w:r w:rsidRPr="00332F5F">
        <w:rPr>
          <w:rFonts w:ascii="Calibri" w:hAnsi="Calibri" w:cs="Calibri"/>
          <w:b/>
          <w:snapToGrid w:val="0"/>
          <w:color w:val="auto"/>
          <w:sz w:val="22"/>
          <w:szCs w:val="22"/>
        </w:rPr>
        <w:t>:</w:t>
      </w:r>
      <w:r w:rsidRPr="00332F5F">
        <w:rPr>
          <w:rFonts w:ascii="Calibri" w:hAnsi="Calibri" w:cs="Calibri"/>
          <w:snapToGrid w:val="0"/>
          <w:color w:val="auto"/>
          <w:sz w:val="22"/>
          <w:szCs w:val="22"/>
        </w:rPr>
        <w:t xml:space="preserve"> </w:t>
      </w:r>
      <w:r w:rsidRPr="00332F5F" w:rsidR="005A38FA">
        <w:rPr>
          <w:rFonts w:ascii="Calibri" w:hAnsi="Calibri" w:cs="Calibri"/>
          <w:snapToGrid w:val="0"/>
          <w:color w:val="auto"/>
          <w:sz w:val="22"/>
          <w:szCs w:val="22"/>
        </w:rPr>
        <w:t>All</w:t>
      </w:r>
      <w:r w:rsidRPr="00332F5F">
        <w:rPr>
          <w:rFonts w:ascii="Calibri" w:hAnsi="Calibri" w:cs="Calibri"/>
          <w:snapToGrid w:val="0"/>
          <w:color w:val="auto"/>
          <w:sz w:val="22"/>
          <w:szCs w:val="22"/>
        </w:rPr>
        <w:t xml:space="preserve"> operator</w:t>
      </w:r>
      <w:r w:rsidRPr="00332F5F" w:rsidR="005A38FA">
        <w:rPr>
          <w:rFonts w:ascii="Calibri" w:hAnsi="Calibri" w:cs="Calibri"/>
          <w:snapToGrid w:val="0"/>
          <w:color w:val="auto"/>
          <w:sz w:val="22"/>
          <w:szCs w:val="22"/>
        </w:rPr>
        <w:t>s</w:t>
      </w:r>
      <w:r w:rsidRPr="00332F5F">
        <w:rPr>
          <w:rFonts w:ascii="Calibri" w:hAnsi="Calibri" w:cs="Calibri"/>
          <w:snapToGrid w:val="0"/>
          <w:color w:val="auto"/>
          <w:sz w:val="22"/>
          <w:szCs w:val="22"/>
        </w:rPr>
        <w:t xml:space="preserve"> of a natural gas processing plant, natural gas plant liquids fractionator, </w:t>
      </w:r>
      <w:r w:rsidRPr="00332F5F" w:rsidR="005A38FA">
        <w:rPr>
          <w:rFonts w:ascii="Calibri" w:hAnsi="Calibri" w:cs="Calibri"/>
          <w:snapToGrid w:val="0"/>
          <w:color w:val="auto"/>
          <w:sz w:val="22"/>
          <w:szCs w:val="22"/>
        </w:rPr>
        <w:t>or</w:t>
      </w:r>
      <w:r w:rsidRPr="00332F5F">
        <w:rPr>
          <w:rFonts w:ascii="Calibri" w:hAnsi="Calibri" w:cs="Calibri"/>
          <w:snapToGrid w:val="0"/>
          <w:color w:val="auto"/>
          <w:sz w:val="22"/>
          <w:szCs w:val="22"/>
        </w:rPr>
        <w:t xml:space="preserve"> butane isomerization plant in the 50 States and the District of Columbia</w:t>
      </w:r>
      <w:r w:rsidRPr="00332F5F" w:rsidR="005A38FA">
        <w:rPr>
          <w:rFonts w:ascii="Calibri" w:hAnsi="Calibri" w:cs="Calibri"/>
          <w:snapToGrid w:val="0"/>
          <w:color w:val="auto"/>
          <w:sz w:val="22"/>
          <w:szCs w:val="22"/>
        </w:rPr>
        <w:t xml:space="preserve"> must complete Form EIA-816</w:t>
      </w:r>
      <w:r w:rsidRPr="00332F5F">
        <w:rPr>
          <w:rFonts w:ascii="Calibri" w:hAnsi="Calibri" w:cs="Calibri"/>
          <w:snapToGrid w:val="0"/>
          <w:color w:val="auto"/>
          <w:sz w:val="22"/>
          <w:szCs w:val="22"/>
        </w:rPr>
        <w:t xml:space="preserve">. Data </w:t>
      </w:r>
      <w:r w:rsidRPr="00332F5F">
        <w:rPr>
          <w:rFonts w:ascii="Calibri" w:hAnsi="Calibri" w:cs="Calibri"/>
          <w:snapToGrid w:val="0"/>
          <w:color w:val="auto"/>
          <w:sz w:val="22"/>
          <w:szCs w:val="22"/>
        </w:rPr>
        <w:t>are</w:t>
      </w:r>
      <w:r w:rsidRPr="00332F5F">
        <w:rPr>
          <w:rFonts w:ascii="Calibri" w:hAnsi="Calibri" w:cs="Calibri"/>
          <w:snapToGrid w:val="0"/>
          <w:color w:val="auto"/>
          <w:sz w:val="22"/>
          <w:szCs w:val="22"/>
        </w:rPr>
        <w:t xml:space="preserve"> reported by plant </w:t>
      </w:r>
      <w:r w:rsidRPr="00332F5F">
        <w:rPr>
          <w:rFonts w:ascii="Calibri" w:hAnsi="Calibri" w:cs="Calibri"/>
          <w:snapToGrid w:val="0"/>
          <w:color w:val="auto"/>
          <w:sz w:val="22"/>
          <w:szCs w:val="22"/>
        </w:rPr>
        <w:t>facility</w:t>
      </w:r>
      <w:r w:rsidRPr="00332F5F">
        <w:rPr>
          <w:rFonts w:ascii="Calibri" w:hAnsi="Calibri" w:cs="Calibri"/>
          <w:snapToGrid w:val="0"/>
          <w:color w:val="auto"/>
          <w:sz w:val="22"/>
          <w:szCs w:val="22"/>
        </w:rPr>
        <w:t>. Natural gas processing plants extract natural gas liquids from a stream of natural gas. Natural gas liquids fractionators separate natural gas liquids into individual components (i.e. ethane, propane, normal butane, isobutane, and pentanes plus). Butane isomerization plants convert normal butane to isobutane. Operators of natural gas plant liquids fractionators only report stocks and are only required to file Form EIA-816 if their plant or plants hold stocks (most fractionators do not hold stocks</w:t>
      </w:r>
      <w:r w:rsidRPr="00332F5F" w:rsidR="7256C737">
        <w:rPr>
          <w:rFonts w:ascii="Calibri" w:hAnsi="Calibri" w:cs="Calibri"/>
          <w:snapToGrid w:val="0"/>
          <w:color w:val="auto"/>
          <w:sz w:val="22"/>
          <w:szCs w:val="22"/>
        </w:rPr>
        <w:t>)</w:t>
      </w:r>
      <w:r w:rsidRPr="00332F5F" w:rsidR="005A38FA">
        <w:rPr>
          <w:rFonts w:ascii="Calibri" w:hAnsi="Calibri" w:cs="Calibri"/>
          <w:snapToGrid w:val="0"/>
          <w:color w:val="auto"/>
          <w:sz w:val="22"/>
          <w:szCs w:val="22"/>
        </w:rPr>
        <w:t>. A</w:t>
      </w:r>
      <w:r w:rsidRPr="00332F5F">
        <w:rPr>
          <w:rFonts w:ascii="Calibri" w:hAnsi="Calibri" w:cs="Calibri"/>
          <w:snapToGrid w:val="0"/>
          <w:color w:val="auto"/>
          <w:sz w:val="22"/>
          <w:szCs w:val="22"/>
        </w:rPr>
        <w:t>ll operators of butane isomerization plants that convert normal butane to isobutane</w:t>
      </w:r>
      <w:r w:rsidRPr="00332F5F" w:rsidR="005A38FA">
        <w:rPr>
          <w:rFonts w:ascii="Calibri" w:hAnsi="Calibri" w:cs="Calibri"/>
          <w:snapToGrid w:val="0"/>
          <w:color w:val="auto"/>
          <w:sz w:val="22"/>
          <w:szCs w:val="22"/>
        </w:rPr>
        <w:t xml:space="preserve"> must complete Form EIA-816</w:t>
      </w:r>
      <w:r w:rsidRPr="00332F5F">
        <w:rPr>
          <w:rFonts w:ascii="Calibri" w:hAnsi="Calibri" w:cs="Calibri"/>
          <w:snapToGrid w:val="0"/>
          <w:color w:val="auto"/>
          <w:sz w:val="22"/>
          <w:szCs w:val="22"/>
        </w:rPr>
        <w:t>, except in cases where a butane isomerization plant is part of a refinery and butane isomerization activity is reported on Form EIA-810.</w:t>
      </w:r>
    </w:p>
    <w:p w:rsidR="003027B5" w:rsidRPr="00332F5F" w:rsidP="003027B5" w14:paraId="7C46F573" w14:textId="067EF6DF">
      <w:pPr>
        <w:pStyle w:val="Default"/>
        <w:spacing w:before="120"/>
        <w:ind w:left="360"/>
        <w:rPr>
          <w:rFonts w:ascii="Calibri" w:hAnsi="Calibri" w:cs="Calibri"/>
          <w:snapToGrid w:val="0"/>
          <w:color w:val="auto"/>
          <w:sz w:val="22"/>
          <w:szCs w:val="22"/>
        </w:rPr>
      </w:pPr>
      <w:r w:rsidRPr="00332F5F">
        <w:rPr>
          <w:rFonts w:ascii="Calibri" w:hAnsi="Calibri" w:cs="Calibri"/>
          <w:b/>
          <w:snapToGrid w:val="0"/>
          <w:color w:val="auto"/>
          <w:sz w:val="22"/>
          <w:szCs w:val="22"/>
        </w:rPr>
        <w:t>Form</w:t>
      </w:r>
      <w:r w:rsidRPr="00332F5F">
        <w:rPr>
          <w:rFonts w:ascii="Calibri" w:hAnsi="Calibri" w:cs="Calibri"/>
          <w:b/>
          <w:snapToGrid w:val="0"/>
          <w:color w:val="auto"/>
          <w:sz w:val="22"/>
          <w:szCs w:val="22"/>
        </w:rPr>
        <w:t xml:space="preserve"> EIA-817 </w:t>
      </w:r>
      <w:r w:rsidRPr="00332F5F">
        <w:rPr>
          <w:rFonts w:ascii="Calibri" w:hAnsi="Calibri" w:cs="Calibri"/>
          <w:b/>
          <w:i/>
          <w:snapToGrid w:val="0"/>
          <w:color w:val="auto"/>
          <w:sz w:val="22"/>
          <w:szCs w:val="22"/>
        </w:rPr>
        <w:t>Monthly Tanker and Barge Movements Report</w:t>
      </w:r>
      <w:r w:rsidRPr="00332F5F">
        <w:rPr>
          <w:rFonts w:ascii="Calibri" w:hAnsi="Calibri" w:cs="Calibri"/>
          <w:b/>
          <w:snapToGrid w:val="0"/>
          <w:color w:val="auto"/>
          <w:sz w:val="22"/>
          <w:szCs w:val="22"/>
        </w:rPr>
        <w:t>:</w:t>
      </w:r>
      <w:r w:rsidRPr="00332F5F">
        <w:rPr>
          <w:rFonts w:ascii="Calibri" w:hAnsi="Calibri" w:cs="Calibri"/>
          <w:snapToGrid w:val="0"/>
          <w:color w:val="auto"/>
          <w:sz w:val="22"/>
          <w:szCs w:val="22"/>
        </w:rPr>
        <w:t xml:space="preserve"> </w:t>
      </w:r>
      <w:r w:rsidRPr="00332F5F" w:rsidR="005A38FA">
        <w:rPr>
          <w:rFonts w:ascii="Calibri" w:hAnsi="Calibri" w:cs="Calibri"/>
          <w:snapToGrid w:val="0"/>
          <w:color w:val="auto"/>
          <w:sz w:val="22"/>
          <w:szCs w:val="22"/>
        </w:rPr>
        <w:t>C</w:t>
      </w:r>
      <w:r w:rsidRPr="00332F5F">
        <w:rPr>
          <w:rFonts w:ascii="Calibri" w:hAnsi="Calibri" w:cs="Calibri"/>
          <w:snapToGrid w:val="0"/>
          <w:color w:val="auto"/>
          <w:sz w:val="22"/>
          <w:szCs w:val="22"/>
        </w:rPr>
        <w:t>ompanies that move crude oil, petroleum products and biofuels by tankers and barges between Petroleum Administration</w:t>
      </w:r>
      <w:r w:rsidRPr="003027B5">
        <w:rPr>
          <w:rFonts w:ascii="Aptos" w:hAnsi="Aptos"/>
          <w:snapToGrid w:val="0"/>
          <w:color w:val="auto"/>
          <w:sz w:val="22"/>
          <w:szCs w:val="22"/>
        </w:rPr>
        <w:t xml:space="preserve"> </w:t>
      </w:r>
      <w:r w:rsidRPr="00332F5F">
        <w:rPr>
          <w:rFonts w:ascii="Calibri" w:hAnsi="Calibri" w:cs="Calibri"/>
          <w:snapToGrid w:val="0"/>
          <w:color w:val="auto"/>
          <w:sz w:val="22"/>
          <w:szCs w:val="22"/>
        </w:rPr>
        <w:t>for Defense Districts (PADDs) that include the 50 states and District of Columbia (i.e. PADDs 1-5)</w:t>
      </w:r>
      <w:r w:rsidRPr="00332F5F" w:rsidR="005A38FA">
        <w:rPr>
          <w:rFonts w:ascii="Calibri" w:hAnsi="Calibri" w:cs="Calibri"/>
          <w:snapToGrid w:val="0"/>
          <w:color w:val="auto"/>
          <w:sz w:val="22"/>
          <w:szCs w:val="22"/>
        </w:rPr>
        <w:t xml:space="preserve"> must complete Form EIA-817</w:t>
      </w:r>
      <w:r w:rsidRPr="00332F5F">
        <w:rPr>
          <w:rFonts w:ascii="Calibri" w:hAnsi="Calibri" w:cs="Calibri"/>
          <w:snapToGrid w:val="0"/>
          <w:color w:val="auto"/>
          <w:sz w:val="22"/>
          <w:szCs w:val="22"/>
        </w:rPr>
        <w:t xml:space="preserve">. Movements that are entirely within one PADD are not reported. Reporting </w:t>
      </w:r>
      <w:r w:rsidRPr="00332F5F">
        <w:rPr>
          <w:rFonts w:ascii="Calibri" w:hAnsi="Calibri" w:cs="Calibri"/>
          <w:snapToGrid w:val="0"/>
          <w:color w:val="auto"/>
          <w:sz w:val="22"/>
          <w:szCs w:val="22"/>
        </w:rPr>
        <w:t>is by commodity, origin PADD, and destination PADD for each reporting company without regard to specific refinery, terminal, or port locations. Movements from the U.S. Gulf Coast region (PADD 3) to the U.S. East Coast Region (PADD 1) are further subdivided in terms of destination as New England (PADD 1A), Middle Atlantic (PADD 1B), and South Atlantic (PADD 1C).</w:t>
      </w:r>
    </w:p>
    <w:p w:rsidR="003027B5" w:rsidRPr="00332F5F" w:rsidP="003027B5" w14:paraId="49432826" w14:textId="54FF0731">
      <w:pPr>
        <w:pStyle w:val="Default"/>
        <w:spacing w:before="120"/>
        <w:ind w:left="360"/>
        <w:rPr>
          <w:rFonts w:ascii="Calibri" w:hAnsi="Calibri" w:cs="Calibri"/>
          <w:snapToGrid w:val="0"/>
          <w:color w:val="auto"/>
          <w:sz w:val="22"/>
          <w:szCs w:val="22"/>
        </w:rPr>
      </w:pPr>
      <w:r w:rsidRPr="00332F5F">
        <w:rPr>
          <w:rFonts w:ascii="Calibri" w:hAnsi="Calibri" w:cs="Calibri"/>
          <w:snapToGrid w:val="0"/>
          <w:color w:val="auto"/>
          <w:sz w:val="22"/>
          <w:szCs w:val="22"/>
        </w:rPr>
        <w:t>C</w:t>
      </w:r>
      <w:r w:rsidRPr="00332F5F">
        <w:rPr>
          <w:rFonts w:ascii="Calibri" w:hAnsi="Calibri" w:cs="Calibri"/>
          <w:snapToGrid w:val="0"/>
          <w:color w:val="auto"/>
          <w:sz w:val="22"/>
          <w:szCs w:val="22"/>
        </w:rPr>
        <w:t>ompanies that have custody of crude oil, petroleum products, and biofuels transported by tanker and barge between PADDs</w:t>
      </w:r>
      <w:r w:rsidRPr="00332F5F">
        <w:rPr>
          <w:rFonts w:ascii="Calibri" w:hAnsi="Calibri" w:cs="Calibri"/>
          <w:snapToGrid w:val="0"/>
          <w:color w:val="auto"/>
          <w:sz w:val="22"/>
          <w:szCs w:val="22"/>
        </w:rPr>
        <w:t xml:space="preserve"> must complete Form EIA-817</w:t>
      </w:r>
      <w:r w:rsidRPr="00332F5F">
        <w:rPr>
          <w:rFonts w:ascii="Calibri" w:hAnsi="Calibri" w:cs="Calibri"/>
          <w:snapToGrid w:val="0"/>
          <w:color w:val="auto"/>
          <w:sz w:val="22"/>
          <w:szCs w:val="22"/>
        </w:rPr>
        <w:t>. Reportable movements</w:t>
      </w:r>
      <w:r w:rsidR="0040288E">
        <w:rPr>
          <w:rFonts w:ascii="Calibri" w:hAnsi="Calibri" w:cs="Calibri"/>
          <w:snapToGrid w:val="0"/>
          <w:color w:val="auto"/>
          <w:sz w:val="22"/>
          <w:szCs w:val="22"/>
        </w:rPr>
        <w:t xml:space="preserve"> also</w:t>
      </w:r>
      <w:r w:rsidRPr="00332F5F">
        <w:rPr>
          <w:rFonts w:ascii="Calibri" w:hAnsi="Calibri" w:cs="Calibri"/>
          <w:snapToGrid w:val="0"/>
          <w:color w:val="auto"/>
          <w:sz w:val="22"/>
          <w:szCs w:val="22"/>
        </w:rPr>
        <w:t xml:space="preserve"> include those that originate in one PADD and are then transported to the Panama Canal and then, proceed from the Panama Canal to another PADD. Custody is defined as physical possession of crude oil, petroleum products, or biofuels on a company-owned tanker or barge. Companies that lease vessels or contract for movement of crude oil, petroleum products, or biofuels by water between PADDs are also considered to have custody. Companies reporting on Form EIA-817 are typically refiners and/or marketers of crude oil, petroleum products, and biofuels. </w:t>
      </w:r>
      <w:r w:rsidRPr="00332F5F">
        <w:rPr>
          <w:rFonts w:ascii="Calibri" w:hAnsi="Calibri" w:cs="Calibri"/>
          <w:snapToGrid w:val="0"/>
          <w:color w:val="auto"/>
          <w:sz w:val="22"/>
          <w:szCs w:val="22"/>
        </w:rPr>
        <w:t>Form</w:t>
      </w:r>
      <w:r w:rsidRPr="00332F5F">
        <w:rPr>
          <w:rFonts w:ascii="Calibri" w:hAnsi="Calibri" w:cs="Calibri"/>
          <w:snapToGrid w:val="0"/>
          <w:color w:val="auto"/>
          <w:sz w:val="22"/>
          <w:szCs w:val="22"/>
        </w:rPr>
        <w:t xml:space="preserve"> EIA-817 reporting companies are waterborne shippers rather than carriers (i.e. operators of tankers, barges, and </w:t>
      </w:r>
      <w:r w:rsidRPr="00332F5F" w:rsidR="00F24F88">
        <w:rPr>
          <w:rFonts w:ascii="Calibri" w:hAnsi="Calibri" w:cs="Calibri"/>
          <w:snapToGrid w:val="0"/>
          <w:color w:val="auto"/>
          <w:sz w:val="22"/>
          <w:szCs w:val="22"/>
        </w:rPr>
        <w:t>tugboats</w:t>
      </w:r>
      <w:r w:rsidRPr="00332F5F">
        <w:rPr>
          <w:rFonts w:ascii="Calibri" w:hAnsi="Calibri" w:cs="Calibri"/>
          <w:snapToGrid w:val="0"/>
          <w:color w:val="auto"/>
          <w:sz w:val="22"/>
          <w:szCs w:val="22"/>
        </w:rPr>
        <w:t>), except in cases where refiners and marketers are also vessel operators.</w:t>
      </w:r>
    </w:p>
    <w:p w:rsidR="003027B5" w:rsidRPr="00332F5F" w:rsidP="003027B5" w14:paraId="30681EE2" w14:textId="0A1F7757">
      <w:pPr>
        <w:pStyle w:val="Default"/>
        <w:spacing w:before="120"/>
        <w:ind w:left="360"/>
        <w:rPr>
          <w:rFonts w:ascii="Calibri" w:hAnsi="Calibri" w:cs="Calibri"/>
          <w:snapToGrid w:val="0"/>
          <w:color w:val="auto"/>
          <w:sz w:val="22"/>
          <w:szCs w:val="22"/>
        </w:rPr>
      </w:pPr>
      <w:r w:rsidRPr="00332F5F">
        <w:rPr>
          <w:rFonts w:ascii="Calibri" w:hAnsi="Calibri" w:cs="Calibri"/>
          <w:b/>
          <w:snapToGrid w:val="0"/>
          <w:color w:val="auto"/>
          <w:sz w:val="22"/>
          <w:szCs w:val="22"/>
        </w:rPr>
        <w:t xml:space="preserve">Form EIA-819 </w:t>
      </w:r>
      <w:r w:rsidRPr="124825F2">
        <w:rPr>
          <w:rFonts w:ascii="Calibri" w:hAnsi="Calibri" w:cs="Calibri"/>
          <w:b/>
          <w:i/>
          <w:sz w:val="22"/>
          <w:szCs w:val="22"/>
        </w:rPr>
        <w:t xml:space="preserve">Monthly </w:t>
      </w:r>
      <w:r w:rsidRPr="00332F5F">
        <w:rPr>
          <w:rFonts w:ascii="Calibri" w:hAnsi="Calibri" w:cs="Calibri"/>
          <w:b/>
          <w:bCs/>
          <w:i/>
          <w:sz w:val="22"/>
          <w:szCs w:val="22"/>
        </w:rPr>
        <w:t>Report of</w:t>
      </w:r>
      <w:r w:rsidRPr="00332F5F" w:rsidR="00CB7251">
        <w:rPr>
          <w:rFonts w:ascii="Calibri" w:hAnsi="Calibri" w:cs="Calibri"/>
          <w:b/>
          <w:bCs/>
          <w:i/>
          <w:sz w:val="22"/>
          <w:szCs w:val="22"/>
        </w:rPr>
        <w:t xml:space="preserve"> Fuels from Non-Biogenic Waste and</w:t>
      </w:r>
      <w:r w:rsidRPr="124825F2" w:rsidR="00974D45">
        <w:rPr>
          <w:rFonts w:ascii="Calibri" w:hAnsi="Calibri" w:cs="Calibri"/>
          <w:b/>
          <w:i/>
          <w:sz w:val="22"/>
          <w:szCs w:val="22"/>
        </w:rPr>
        <w:t xml:space="preserve"> Biofuels</w:t>
      </w:r>
      <w:r w:rsidRPr="00332F5F" w:rsidR="00394C25">
        <w:rPr>
          <w:rFonts w:ascii="Calibri" w:hAnsi="Calibri" w:cs="Calibri"/>
          <w:b/>
          <w:bCs/>
          <w:i/>
          <w:sz w:val="22"/>
          <w:szCs w:val="22"/>
        </w:rPr>
        <w:t>:</w:t>
      </w:r>
      <w:r w:rsidRPr="00332F5F">
        <w:rPr>
          <w:rFonts w:ascii="Calibri" w:hAnsi="Calibri" w:cs="Calibri"/>
        </w:rPr>
        <w:t xml:space="preserve"> </w:t>
      </w:r>
      <w:r w:rsidRPr="00332F5F" w:rsidR="00394C25">
        <w:rPr>
          <w:rFonts w:ascii="Calibri" w:hAnsi="Calibri" w:cs="Calibri"/>
          <w:snapToGrid w:val="0"/>
          <w:color w:val="auto"/>
          <w:sz w:val="22"/>
          <w:szCs w:val="22"/>
        </w:rPr>
        <w:t>Operators</w:t>
      </w:r>
      <w:r w:rsidRPr="00332F5F">
        <w:rPr>
          <w:rFonts w:ascii="Calibri" w:hAnsi="Calibri" w:cs="Calibri"/>
          <w:snapToGrid w:val="0"/>
          <w:color w:val="auto"/>
          <w:sz w:val="22"/>
          <w:szCs w:val="22"/>
        </w:rPr>
        <w:t xml:space="preserve"> of facilities in the 50 states, District of Columbia, and U.S. territories and possessions that produce one or more of the following products: fuel alcohol; biodiesel that meets ASTM D 6751-07B specification and is used for commercial purposes; renewable diesel fuel, heating oil, jet fuel, naphtha, gasoline, and other renewable fuels and intermediate products; fuel oxygenates other than fuel alcohol; and isooctane or </w:t>
      </w:r>
      <w:r w:rsidRPr="00332F5F" w:rsidR="00394C25">
        <w:rPr>
          <w:rFonts w:ascii="Calibri" w:hAnsi="Calibri" w:cs="Calibri"/>
          <w:snapToGrid w:val="0"/>
          <w:color w:val="auto"/>
          <w:sz w:val="22"/>
          <w:szCs w:val="22"/>
        </w:rPr>
        <w:t>isooct</w:t>
      </w:r>
      <w:r w:rsidRPr="2C656FA5" w:rsidR="25A6EB7E">
        <w:rPr>
          <w:rFonts w:ascii="Calibri" w:hAnsi="Calibri" w:cs="Calibri"/>
          <w:color w:val="auto"/>
          <w:sz w:val="22"/>
          <w:szCs w:val="22"/>
        </w:rPr>
        <w:t>e</w:t>
      </w:r>
      <w:r w:rsidRPr="00332F5F" w:rsidR="00394C25">
        <w:rPr>
          <w:rFonts w:ascii="Calibri" w:hAnsi="Calibri" w:cs="Calibri"/>
          <w:snapToGrid w:val="0"/>
          <w:color w:val="auto"/>
          <w:sz w:val="22"/>
          <w:szCs w:val="22"/>
        </w:rPr>
        <w:t>ne</w:t>
      </w:r>
      <w:r w:rsidRPr="00332F5F" w:rsidR="00394C25">
        <w:rPr>
          <w:rFonts w:ascii="Calibri" w:hAnsi="Calibri" w:cs="Calibri"/>
          <w:snapToGrid w:val="0"/>
          <w:color w:val="auto"/>
          <w:sz w:val="22"/>
          <w:szCs w:val="22"/>
        </w:rPr>
        <w:t xml:space="preserve"> must complete Form EIA-819</w:t>
      </w:r>
      <w:r w:rsidRPr="00332F5F">
        <w:rPr>
          <w:rFonts w:ascii="Calibri" w:hAnsi="Calibri" w:cs="Calibri"/>
          <w:snapToGrid w:val="0"/>
          <w:color w:val="auto"/>
          <w:sz w:val="22"/>
          <w:szCs w:val="22"/>
        </w:rPr>
        <w:t xml:space="preserve">.  Data </w:t>
      </w:r>
      <w:r w:rsidRPr="00332F5F">
        <w:rPr>
          <w:rFonts w:ascii="Calibri" w:hAnsi="Calibri" w:cs="Calibri"/>
          <w:snapToGrid w:val="0"/>
          <w:color w:val="auto"/>
          <w:sz w:val="22"/>
          <w:szCs w:val="22"/>
        </w:rPr>
        <w:t>are</w:t>
      </w:r>
      <w:r w:rsidRPr="00332F5F">
        <w:rPr>
          <w:rFonts w:ascii="Calibri" w:hAnsi="Calibri" w:cs="Calibri"/>
          <w:snapToGrid w:val="0"/>
          <w:color w:val="auto"/>
          <w:sz w:val="22"/>
          <w:szCs w:val="22"/>
        </w:rPr>
        <w:t xml:space="preserve"> reported by plant </w:t>
      </w:r>
      <w:r w:rsidRPr="00332F5F">
        <w:rPr>
          <w:rFonts w:ascii="Calibri" w:hAnsi="Calibri" w:cs="Calibri"/>
          <w:snapToGrid w:val="0"/>
          <w:color w:val="auto"/>
          <w:sz w:val="22"/>
          <w:szCs w:val="22"/>
        </w:rPr>
        <w:t>facility</w:t>
      </w:r>
      <w:r w:rsidRPr="00332F5F">
        <w:rPr>
          <w:rFonts w:ascii="Calibri" w:hAnsi="Calibri" w:cs="Calibri"/>
          <w:snapToGrid w:val="0"/>
          <w:color w:val="auto"/>
          <w:sz w:val="22"/>
          <w:szCs w:val="22"/>
        </w:rPr>
        <w:t xml:space="preserve">. Fuel oxygenates reported include ethanol, Methyl Tertiary Butyl Ether (MTBE), Ethyl Tertiary Butyl Ether (ETBE), and “other” fuel oxygenates. Oxygenates may also be biofuels (e.g. fuel ethanol and bio-ETBE). Reported facilities include merchant plants as well as plants associated with refineries and petrochemical facilities. </w:t>
      </w:r>
      <w:r w:rsidR="004F7067">
        <w:rPr>
          <w:rFonts w:ascii="Calibri" w:hAnsi="Calibri" w:cs="Calibri"/>
          <w:snapToGrid w:val="0"/>
          <w:color w:val="auto"/>
          <w:sz w:val="22"/>
          <w:szCs w:val="22"/>
        </w:rPr>
        <w:t>Facilities report</w:t>
      </w:r>
      <w:r w:rsidRPr="00332F5F">
        <w:rPr>
          <w:rFonts w:ascii="Calibri" w:hAnsi="Calibri" w:cs="Calibri"/>
          <w:snapToGrid w:val="0"/>
          <w:color w:val="auto"/>
          <w:sz w:val="22"/>
          <w:szCs w:val="22"/>
        </w:rPr>
        <w:t xml:space="preserve"> beginning and ending stocks, stocks in-transit to the plant, production, inputs, receipts, shipments, and plant use and losses. In addition, production capacity on the first day of the report month and consumption of fuels and feedstocks are reported. </w:t>
      </w:r>
    </w:p>
    <w:p w:rsidR="00F376D2" w:rsidP="00F376D2" w14:paraId="257809E4" w14:textId="2448E377">
      <w:pPr>
        <w:pStyle w:val="NormalWeb"/>
        <w:spacing w:before="120" w:after="0"/>
        <w:ind w:left="360"/>
        <w:rPr>
          <w:rFonts w:ascii="Calibri" w:hAnsi="Calibri" w:cs="Calibri"/>
          <w:snapToGrid w:val="0"/>
          <w:sz w:val="22"/>
          <w:szCs w:val="22"/>
        </w:rPr>
      </w:pPr>
      <w:bookmarkStart w:id="3" w:name="refinery"/>
      <w:bookmarkStart w:id="4" w:name="bulk_term"/>
      <w:bookmarkEnd w:id="3"/>
      <w:bookmarkEnd w:id="4"/>
      <w:r w:rsidRPr="00332F5F">
        <w:rPr>
          <w:rFonts w:ascii="Calibri" w:hAnsi="Calibri" w:cs="Calibri"/>
          <w:b/>
          <w:sz w:val="22"/>
          <w:szCs w:val="22"/>
        </w:rPr>
        <w:t xml:space="preserve">Form EIA-820 </w:t>
      </w:r>
      <w:r w:rsidRPr="00332F5F">
        <w:rPr>
          <w:rFonts w:ascii="Calibri" w:hAnsi="Calibri" w:cs="Calibri"/>
          <w:b/>
          <w:i/>
          <w:sz w:val="22"/>
          <w:szCs w:val="22"/>
        </w:rPr>
        <w:t>Annual Refinery Report</w:t>
      </w:r>
      <w:r w:rsidRPr="00332F5F">
        <w:rPr>
          <w:rFonts w:ascii="Calibri" w:hAnsi="Calibri" w:cs="Calibri"/>
          <w:b/>
          <w:sz w:val="22"/>
          <w:szCs w:val="22"/>
        </w:rPr>
        <w:t>:</w:t>
      </w:r>
      <w:r w:rsidRPr="00332F5F">
        <w:rPr>
          <w:rFonts w:ascii="Calibri" w:hAnsi="Calibri" w:cs="Calibri"/>
          <w:sz w:val="22"/>
          <w:szCs w:val="22"/>
        </w:rPr>
        <w:t xml:space="preserve"> </w:t>
      </w:r>
      <w:r w:rsidRPr="00332F5F" w:rsidR="00394C25">
        <w:rPr>
          <w:rFonts w:ascii="Calibri" w:hAnsi="Calibri" w:cs="Calibri"/>
          <w:snapToGrid w:val="0"/>
          <w:sz w:val="22"/>
          <w:szCs w:val="22"/>
        </w:rPr>
        <w:t>Operators</w:t>
      </w:r>
      <w:r w:rsidRPr="00332F5F">
        <w:rPr>
          <w:rFonts w:ascii="Calibri" w:hAnsi="Calibri" w:cs="Calibri"/>
          <w:snapToGrid w:val="0"/>
          <w:sz w:val="22"/>
          <w:szCs w:val="22"/>
        </w:rPr>
        <w:t xml:space="preserve"> of all operating and idle petroleum refineries located in the 50 States, District of Columbia, Puerto Rico, the Virgin Islands, Guam, and other U.S. possessions</w:t>
      </w:r>
      <w:r w:rsidRPr="00332F5F" w:rsidR="00F27E6A">
        <w:rPr>
          <w:rFonts w:ascii="Calibri" w:hAnsi="Calibri" w:cs="Calibri"/>
          <w:snapToGrid w:val="0"/>
          <w:sz w:val="22"/>
          <w:szCs w:val="22"/>
        </w:rPr>
        <w:t xml:space="preserve"> must complete Form EIA-820</w:t>
      </w:r>
      <w:r w:rsidRPr="00332F5F">
        <w:rPr>
          <w:rFonts w:ascii="Calibri" w:hAnsi="Calibri" w:cs="Calibri"/>
          <w:snapToGrid w:val="0"/>
          <w:sz w:val="22"/>
          <w:szCs w:val="22"/>
        </w:rPr>
        <w:t xml:space="preserve">. The Form EIA-820 survey frame is normally identical to the survey frame of Form EIA-810, though there are cases where differences arise, such as during periods when a refinery is in transition from operable to shut down. Data are reported on Form EIA-820 by refinery site. Refineries are installations that manufacture finished petroleum products from crude oil, unfinished oils, natural gas liquids, other hydrocarbons, biofuels, and oxygenates. Reports are filed each year in February. Refinery operators report fuel, electricity, and steam purchased and consumed, and crude oil received by method of transportation at the refinery during the prior year. Operating, idle, and total operable (sum of operating plus idle capacities) capacities of atmospheric crude oil distillation units are reported for January 1 of the current </w:t>
      </w:r>
      <w:r w:rsidRPr="00332F5F">
        <w:rPr>
          <w:rFonts w:ascii="Calibri" w:hAnsi="Calibri" w:cs="Calibri"/>
          <w:snapToGrid w:val="0"/>
          <w:sz w:val="22"/>
          <w:szCs w:val="22"/>
        </w:rPr>
        <w:t>year</w:t>
      </w:r>
      <w:r w:rsidRPr="00332F5F">
        <w:rPr>
          <w:rFonts w:ascii="Calibri" w:hAnsi="Calibri" w:cs="Calibri"/>
          <w:snapToGrid w:val="0"/>
          <w:sz w:val="22"/>
          <w:szCs w:val="22"/>
        </w:rPr>
        <w:t xml:space="preserve"> and operable distillation capacity is projected for January 1 of the following year. Downstream charge (input) capacities are reported for selected process units as of January 1 of the current year and projected for January 1 of the following year. Production capacities of selected refinery units are reported for January 1 of the current year and projected for January 1 of the following year.</w:t>
      </w:r>
    </w:p>
    <w:p w:rsidR="009A5EE9" w:rsidP="00F376D2" w14:paraId="5076EF22" w14:textId="77777777">
      <w:pPr>
        <w:pStyle w:val="NormalWeb"/>
        <w:spacing w:before="120" w:after="0"/>
        <w:ind w:left="360"/>
        <w:rPr>
          <w:rFonts w:cs="Calibri"/>
          <w:b/>
        </w:rPr>
      </w:pPr>
    </w:p>
    <w:p w:rsidR="00F376D2" w:rsidRPr="00AD2B19" w:rsidP="00F376D2" w14:paraId="051CD6CA" w14:textId="029269E3">
      <w:pPr>
        <w:widowControl w:val="0"/>
        <w:autoSpaceDE w:val="0"/>
        <w:autoSpaceDN w:val="0"/>
        <w:adjustRightInd w:val="0"/>
        <w:spacing w:before="120" w:after="0" w:line="240" w:lineRule="auto"/>
        <w:ind w:left="360"/>
      </w:pPr>
      <w:r>
        <w:rPr>
          <w:rFonts w:cs="Calibri"/>
          <w:b/>
        </w:rPr>
        <w:t>Form EIA-</w:t>
      </w:r>
      <w:r w:rsidRPr="00AF2842">
        <w:rPr>
          <w:rFonts w:cs="Calibri"/>
          <w:b/>
          <w:bCs/>
        </w:rPr>
        <w:t xml:space="preserve">830 </w:t>
      </w:r>
      <w:r w:rsidRPr="00AF2842">
        <w:rPr>
          <w:rFonts w:cs="Calibri"/>
          <w:b/>
          <w:bCs/>
          <w:i/>
          <w:iCs/>
        </w:rPr>
        <w:t>Annual Storage Capacity Report:</w:t>
      </w:r>
      <w:r>
        <w:rPr>
          <w:rFonts w:cs="Calibri"/>
        </w:rPr>
        <w:t xml:space="preserve"> </w:t>
      </w:r>
      <w:r w:rsidR="009C7CB0">
        <w:rPr>
          <w:rFonts w:cs="Calibri"/>
        </w:rPr>
        <w:t>Operators of facilities reporting on the Form EIA-</w:t>
      </w:r>
      <w:r w:rsidR="00AD1D33">
        <w:rPr>
          <w:rFonts w:cs="Calibri"/>
        </w:rPr>
        <w:t xml:space="preserve">810, </w:t>
      </w:r>
      <w:r w:rsidR="001F344E">
        <w:rPr>
          <w:rFonts w:cs="Calibri"/>
        </w:rPr>
        <w:t xml:space="preserve">Form EIA-813, </w:t>
      </w:r>
      <w:r w:rsidR="00763FD7">
        <w:rPr>
          <w:rFonts w:cs="Calibri"/>
        </w:rPr>
        <w:t xml:space="preserve">and Form EIA-815 </w:t>
      </w:r>
      <w:r w:rsidR="00153A89">
        <w:rPr>
          <w:rFonts w:cs="Calibri"/>
        </w:rPr>
        <w:t xml:space="preserve">may be asked to </w:t>
      </w:r>
      <w:r w:rsidR="00763FD7">
        <w:rPr>
          <w:rFonts w:cs="Calibri"/>
        </w:rPr>
        <w:t>report on the Form EIA-830</w:t>
      </w:r>
      <w:r w:rsidR="00153A89">
        <w:rPr>
          <w:rFonts w:cs="Calibri"/>
        </w:rPr>
        <w:t xml:space="preserve"> </w:t>
      </w:r>
      <w:r w:rsidR="005222C4">
        <w:rPr>
          <w:rFonts w:cs="Calibri"/>
        </w:rPr>
        <w:t xml:space="preserve">on a standby </w:t>
      </w:r>
      <w:r w:rsidR="005222C4">
        <w:rPr>
          <w:rFonts w:cs="Calibri"/>
        </w:rPr>
        <w:t>basis</w:t>
      </w:r>
      <w:r w:rsidR="00763FD7">
        <w:rPr>
          <w:rFonts w:cs="Calibri"/>
        </w:rPr>
        <w:t xml:space="preserve">. </w:t>
      </w:r>
      <w:r>
        <w:rPr>
          <w:rFonts w:cs="Calibri"/>
        </w:rPr>
        <w:t>Oper</w:t>
      </w:r>
      <w:r w:rsidRPr="00AD2B19">
        <w:t xml:space="preserve">ators of </w:t>
      </w:r>
      <w:r>
        <w:t xml:space="preserve">all </w:t>
      </w:r>
      <w:r w:rsidRPr="00AD2B19">
        <w:t>petroleum refineries in the U.S. and U.S. territories</w:t>
      </w:r>
      <w:r>
        <w:t xml:space="preserve">, </w:t>
      </w:r>
      <w:r w:rsidRPr="00AD2B19">
        <w:t>includ</w:t>
      </w:r>
      <w:r>
        <w:t>ing</w:t>
      </w:r>
      <w:r w:rsidRPr="00AD2B19">
        <w:t xml:space="preserve"> non-refinery operators of refinery processing units such as distillation, cracking, and treating</w:t>
      </w:r>
      <w:r w:rsidR="004D1174">
        <w:t xml:space="preserve"> must file the Form EIA-830 when requested.</w:t>
      </w:r>
      <w:r>
        <w:t xml:space="preserve"> </w:t>
      </w:r>
      <w:r w:rsidRPr="00332F5F" w:rsidR="008A4F17">
        <w:rPr>
          <w:rFonts w:cs="Calibri"/>
          <w:snapToGrid w:val="0"/>
        </w:rPr>
        <w:t>The Form EIA-8</w:t>
      </w:r>
      <w:r w:rsidR="008A4F17">
        <w:rPr>
          <w:rFonts w:cs="Calibri"/>
          <w:snapToGrid w:val="0"/>
        </w:rPr>
        <w:t>3</w:t>
      </w:r>
      <w:r w:rsidRPr="00332F5F" w:rsidR="008A4F17">
        <w:rPr>
          <w:rFonts w:cs="Calibri"/>
          <w:snapToGrid w:val="0"/>
        </w:rPr>
        <w:t xml:space="preserve">0 survey frame </w:t>
      </w:r>
      <w:r w:rsidR="008A4F17">
        <w:rPr>
          <w:rFonts w:cs="Calibri"/>
          <w:snapToGrid w:val="0"/>
        </w:rPr>
        <w:t>will</w:t>
      </w:r>
      <w:r w:rsidRPr="00332F5F" w:rsidR="008A4F17">
        <w:rPr>
          <w:rFonts w:cs="Calibri"/>
          <w:snapToGrid w:val="0"/>
        </w:rPr>
        <w:t xml:space="preserve"> normally </w:t>
      </w:r>
      <w:r w:rsidR="008A4F17">
        <w:rPr>
          <w:rFonts w:cs="Calibri"/>
          <w:snapToGrid w:val="0"/>
        </w:rPr>
        <w:t>include</w:t>
      </w:r>
      <w:r w:rsidRPr="00332F5F" w:rsidR="008A4F17">
        <w:rPr>
          <w:rFonts w:cs="Calibri"/>
          <w:snapToGrid w:val="0"/>
        </w:rPr>
        <w:t xml:space="preserve"> the survey frame of Form EIA-810</w:t>
      </w:r>
      <w:r w:rsidR="008A4F17">
        <w:rPr>
          <w:rFonts w:cs="Calibri"/>
          <w:snapToGrid w:val="0"/>
        </w:rPr>
        <w:t>. O</w:t>
      </w:r>
      <w:r w:rsidRPr="00AD2B19">
        <w:t>perators of crude oil tank farms (including underground storage) in the U.S., crude oil pipelines in the U.S., and shippers of Alaskan crude oil by water between U.S. locations</w:t>
      </w:r>
      <w:r w:rsidR="00B658FD">
        <w:t xml:space="preserve"> must file the Form EIA-830 when requested. The Form EIA-830 survey frame will normally include the survey frame of Form EIA-813</w:t>
      </w:r>
      <w:r w:rsidR="00DA4520">
        <w:t>. O</w:t>
      </w:r>
      <w:r w:rsidRPr="00AD2B19">
        <w:t>perators of commercial bulk terminals, and certain end-user storage facilities holding natural gas liquids, storing natural gas liquids, biofuels, refinery feedstocks, and petroleum products in the U.S. and U.S. territories</w:t>
      </w:r>
      <w:r w:rsidR="00DA4520">
        <w:t xml:space="preserve"> must file the Form EIA-830 when requested. The Form EIA-830</w:t>
      </w:r>
      <w:r w:rsidR="00ED7575">
        <w:t xml:space="preserve"> survey frame will normally include the survey frame of Form EIA-815</w:t>
      </w:r>
      <w:r w:rsidRPr="00AD2B19">
        <w:t>.</w:t>
      </w:r>
      <w:r>
        <w:t xml:space="preserve"> Reported data will be storage capacity. Reported data will be for individual refineries, crude oil tank farms, and individual terminal facilities.</w:t>
      </w:r>
    </w:p>
    <w:p w:rsidR="003027B5" w:rsidP="003027B5" w14:paraId="2C69D607" w14:textId="77777777">
      <w:pPr>
        <w:pStyle w:val="NoSpacing"/>
        <w:jc w:val="left"/>
      </w:pPr>
    </w:p>
    <w:p w:rsidR="003027B5" w:rsidRPr="003027B5" w:rsidP="003027B5" w14:paraId="7344843C" w14:textId="77777777">
      <w:pPr>
        <w:rPr>
          <w:rStyle w:val="Heading3Char"/>
          <w:rFonts w:ascii="Calibri" w:eastAsia="Calibri" w:hAnsi="Calibri" w:cs="Calibri"/>
          <w:bCs w:val="0"/>
          <w:i w:val="0"/>
          <w:color w:val="1396D8"/>
        </w:rPr>
      </w:pPr>
      <w:r w:rsidRPr="003027B5">
        <w:rPr>
          <w:rStyle w:val="Heading3Char"/>
          <w:rFonts w:ascii="Calibri" w:eastAsia="Calibri" w:hAnsi="Calibri" w:cs="Calibri"/>
          <w:bCs w:val="0"/>
          <w:i w:val="0"/>
          <w:color w:val="1396D8"/>
        </w:rPr>
        <w:t xml:space="preserve">B.1.2 Weekly PSRS Surveys </w:t>
      </w:r>
    </w:p>
    <w:p w:rsidR="003027B5" w:rsidRPr="00D6151D" w:rsidP="003027B5" w14:paraId="473484CD" w14:textId="501BCA33">
      <w:pPr>
        <w:pStyle w:val="NoSpacing"/>
        <w:jc w:val="left"/>
      </w:pPr>
      <w:r>
        <w:t>T</w:t>
      </w:r>
      <w:r w:rsidRPr="00C84725">
        <w:t xml:space="preserve">he </w:t>
      </w:r>
      <w:r w:rsidR="00AB0685">
        <w:t>EIA</w:t>
      </w:r>
      <w:r w:rsidRPr="00371AB3" w:rsidR="00371AB3">
        <w:t xml:space="preserve"> </w:t>
      </w:r>
      <w:r w:rsidRPr="00C84725" w:rsidR="00371AB3">
        <w:t>Weekly Petroleum Supply Reporting System (WPSRS)</w:t>
      </w:r>
      <w:r w:rsidRPr="00C84725">
        <w:t>, as part of the PSRS, collect</w:t>
      </w:r>
      <w:r w:rsidR="00A40C58">
        <w:t>s</w:t>
      </w:r>
      <w:r w:rsidRPr="00C84725">
        <w:t xml:space="preserve"> data </w:t>
      </w:r>
      <w:r w:rsidRPr="00C84725">
        <w:t>similar to</w:t>
      </w:r>
      <w:r w:rsidRPr="00C84725">
        <w:t xml:space="preserve"> those collected monthly.</w:t>
      </w:r>
      <w:r>
        <w:t xml:space="preserve"> </w:t>
      </w:r>
      <w:r w:rsidRPr="00C84725">
        <w:t xml:space="preserve">The samples of companies that report weekly in </w:t>
      </w:r>
      <w:r w:rsidRPr="00C84725">
        <w:t>the WPSRS</w:t>
      </w:r>
      <w:r w:rsidRPr="00C84725">
        <w:t xml:space="preserve"> are selected from the universe of companies that report on the corresponding monthly forms.</w:t>
      </w:r>
      <w:r>
        <w:t xml:space="preserve"> </w:t>
      </w:r>
      <w:r w:rsidRPr="00C84725">
        <w:t>The following describes the relationships between the samples for the weekly PSRS surveys and the corresponding monthly survey that provide the universes of companies for sampling:</w:t>
      </w:r>
    </w:p>
    <w:p w:rsidR="003027B5" w:rsidRPr="00C84725" w:rsidP="003027B5" w14:paraId="44D77A66" w14:textId="77777777">
      <w:pPr>
        <w:spacing w:before="120" w:after="0"/>
        <w:ind w:left="360"/>
      </w:pPr>
      <w:r w:rsidRPr="00C84725">
        <w:rPr>
          <w:b/>
        </w:rPr>
        <w:t>Form</w:t>
      </w:r>
      <w:r w:rsidRPr="00C84725">
        <w:rPr>
          <w:b/>
        </w:rPr>
        <w:t xml:space="preserve"> EIA-800 </w:t>
      </w:r>
      <w:r w:rsidRPr="00DF514C">
        <w:rPr>
          <w:b/>
          <w:i/>
        </w:rPr>
        <w:t>Weekly Refinery</w:t>
      </w:r>
      <w:r>
        <w:rPr>
          <w:b/>
          <w:i/>
        </w:rPr>
        <w:t xml:space="preserve"> </w:t>
      </w:r>
      <w:r w:rsidRPr="00DF514C">
        <w:rPr>
          <w:b/>
          <w:i/>
        </w:rPr>
        <w:t>Report</w:t>
      </w:r>
      <w:r w:rsidRPr="00C84725">
        <w:rPr>
          <w:b/>
        </w:rPr>
        <w:t>:</w:t>
      </w:r>
      <w:r w:rsidRPr="00C84725">
        <w:t xml:space="preserve"> The universe of possible reporting units is provided by Form EIA-810 for refineries</w:t>
      </w:r>
      <w:r>
        <w:t xml:space="preserve">. </w:t>
      </w:r>
    </w:p>
    <w:p w:rsidR="003027B5" w:rsidRPr="00C84725" w:rsidP="003027B5" w14:paraId="197F714D" w14:textId="77777777">
      <w:pPr>
        <w:spacing w:before="120" w:after="0"/>
        <w:ind w:left="360"/>
      </w:pPr>
      <w:r w:rsidRPr="00C84725">
        <w:rPr>
          <w:b/>
        </w:rPr>
        <w:t xml:space="preserve">Form EIA-802 </w:t>
      </w:r>
      <w:r w:rsidRPr="00DF514C">
        <w:rPr>
          <w:b/>
          <w:i/>
        </w:rPr>
        <w:t>Weekly Product Pipeline Report</w:t>
      </w:r>
      <w:r w:rsidRPr="00C84725">
        <w:rPr>
          <w:b/>
        </w:rPr>
        <w:t>:</w:t>
      </w:r>
      <w:r w:rsidRPr="00C84725">
        <w:t xml:space="preserve"> The universe of possible reporting units on Form EIA-802 is provided by Form EIA-812.</w:t>
      </w:r>
    </w:p>
    <w:p w:rsidR="003027B5" w:rsidRPr="00C84725" w:rsidP="003027B5" w14:paraId="492A4D12" w14:textId="77777777">
      <w:pPr>
        <w:spacing w:before="120" w:after="0"/>
        <w:ind w:left="360"/>
      </w:pPr>
      <w:r w:rsidRPr="00C84725">
        <w:rPr>
          <w:b/>
        </w:rPr>
        <w:t xml:space="preserve">Form EIA-803 </w:t>
      </w:r>
      <w:r w:rsidRPr="00DF514C">
        <w:rPr>
          <w:b/>
          <w:i/>
        </w:rPr>
        <w:t>Weekly Crude Oil Report</w:t>
      </w:r>
      <w:r w:rsidRPr="00C84725">
        <w:rPr>
          <w:b/>
        </w:rPr>
        <w:t>:</w:t>
      </w:r>
      <w:r w:rsidRPr="00C84725">
        <w:t xml:space="preserve"> The universe of possible reporting units on Form EIA-803 is provided by Form EIA-813.</w:t>
      </w:r>
    </w:p>
    <w:p w:rsidR="003027B5" w:rsidRPr="00C84725" w:rsidP="003027B5" w14:paraId="76DB8AEB" w14:textId="77777777">
      <w:pPr>
        <w:spacing w:before="120" w:after="0"/>
        <w:ind w:left="360"/>
      </w:pPr>
      <w:r w:rsidRPr="00C84725">
        <w:rPr>
          <w:b/>
        </w:rPr>
        <w:t>Form</w:t>
      </w:r>
      <w:r w:rsidRPr="00C84725">
        <w:rPr>
          <w:b/>
        </w:rPr>
        <w:t xml:space="preserve"> EIA-804 </w:t>
      </w:r>
      <w:r w:rsidRPr="00DF514C">
        <w:rPr>
          <w:b/>
          <w:i/>
        </w:rPr>
        <w:t>Weekly Imports Report</w:t>
      </w:r>
      <w:r w:rsidRPr="00C84725">
        <w:rPr>
          <w:b/>
        </w:rPr>
        <w:t>:</w:t>
      </w:r>
      <w:r w:rsidRPr="00C84725">
        <w:t xml:space="preserve"> The universe of possible reporting units on Form EIA-804 is provided by Form EIA-814.</w:t>
      </w:r>
    </w:p>
    <w:p w:rsidR="003027B5" w:rsidP="003027B5" w14:paraId="5F6D6257" w14:textId="77777777">
      <w:pPr>
        <w:spacing w:before="120" w:after="0"/>
        <w:ind w:left="360"/>
      </w:pPr>
      <w:r w:rsidRPr="00C84725">
        <w:rPr>
          <w:b/>
        </w:rPr>
        <w:t xml:space="preserve">Form EIA-805 </w:t>
      </w:r>
      <w:r w:rsidRPr="00DF514C">
        <w:rPr>
          <w:b/>
          <w:i/>
        </w:rPr>
        <w:t>Weekly Bulk Terminal Report</w:t>
      </w:r>
      <w:r w:rsidRPr="00C84725">
        <w:rPr>
          <w:b/>
        </w:rPr>
        <w:t>:</w:t>
      </w:r>
      <w:r w:rsidRPr="00C84725">
        <w:t xml:space="preserve"> The universe of possible reporting units on Form EIA-805 is provided by Form EIA-815.</w:t>
      </w:r>
    </w:p>
    <w:p w:rsidR="003027B5" w:rsidRPr="00C84725" w:rsidP="003027B5" w14:paraId="02627EF2" w14:textId="77777777">
      <w:pPr>
        <w:spacing w:before="120" w:after="0"/>
        <w:ind w:left="360"/>
      </w:pPr>
      <w:r>
        <w:t xml:space="preserve"> </w:t>
      </w:r>
      <w:r w:rsidRPr="00C84725">
        <w:rPr>
          <w:b/>
        </w:rPr>
        <w:t>Form EIA-80</w:t>
      </w:r>
      <w:r>
        <w:rPr>
          <w:b/>
        </w:rPr>
        <w:t>6</w:t>
      </w:r>
      <w:r w:rsidRPr="00C84725">
        <w:rPr>
          <w:b/>
        </w:rPr>
        <w:t xml:space="preserve"> </w:t>
      </w:r>
      <w:r w:rsidRPr="00DF514C">
        <w:rPr>
          <w:b/>
          <w:i/>
        </w:rPr>
        <w:t xml:space="preserve">Weekly </w:t>
      </w:r>
      <w:r>
        <w:rPr>
          <w:b/>
          <w:i/>
        </w:rPr>
        <w:t>Natural Gas Liquids</w:t>
      </w:r>
      <w:r w:rsidRPr="00DF514C">
        <w:rPr>
          <w:b/>
          <w:i/>
        </w:rPr>
        <w:t xml:space="preserve"> Report</w:t>
      </w:r>
      <w:r w:rsidRPr="00C84725">
        <w:rPr>
          <w:b/>
        </w:rPr>
        <w:t>:</w:t>
      </w:r>
      <w:r w:rsidRPr="00C84725">
        <w:t xml:space="preserve"> The universe of possible reporting units on Form EIA-80</w:t>
      </w:r>
      <w:r>
        <w:t>6</w:t>
      </w:r>
      <w:r w:rsidRPr="00C84725">
        <w:t xml:space="preserve"> is provided by Form EIA-81</w:t>
      </w:r>
      <w:r>
        <w:t>6</w:t>
      </w:r>
      <w:r w:rsidRPr="00C84725">
        <w:t>.</w:t>
      </w:r>
    </w:p>
    <w:p w:rsidR="003027B5" w:rsidP="003027B5" w14:paraId="17ACCD81" w14:textId="77777777">
      <w:pPr>
        <w:spacing w:before="120" w:after="0"/>
        <w:ind w:left="360"/>
      </w:pPr>
      <w:r w:rsidRPr="00C84725">
        <w:rPr>
          <w:b/>
        </w:rPr>
        <w:t xml:space="preserve">Form EIA-809 </w:t>
      </w:r>
      <w:r w:rsidRPr="00DF514C">
        <w:rPr>
          <w:b/>
          <w:i/>
        </w:rPr>
        <w:t>Weekly Oxygenate Report</w:t>
      </w:r>
      <w:r w:rsidRPr="00C84725">
        <w:rPr>
          <w:b/>
        </w:rPr>
        <w:t>:</w:t>
      </w:r>
      <w:r w:rsidRPr="00C84725">
        <w:t xml:space="preserve"> The universe of possible reporting units on Form EIA-809 is provided by Form EIA-819.</w:t>
      </w:r>
    </w:p>
    <w:p w:rsidR="00E054DF" w:rsidRPr="00E054DF" w:rsidP="005E5D12" w14:paraId="383AE579" w14:textId="77777777">
      <w:pPr>
        <w:pStyle w:val="Heading2"/>
      </w:pPr>
      <w:bookmarkStart w:id="5" w:name="_Toc466046935"/>
      <w:bookmarkStart w:id="6" w:name="_Toc128055327"/>
      <w:r w:rsidRPr="00E054DF">
        <w:t>B.2. Statistical Methods</w:t>
      </w:r>
      <w:bookmarkEnd w:id="5"/>
      <w:bookmarkEnd w:id="6"/>
    </w:p>
    <w:p w:rsidR="00EF6058" w:rsidP="00EF6058" w14:paraId="20CCFC39" w14:textId="02F6C8D6">
      <w:pPr>
        <w:rPr>
          <w:lang w:bidi="en-US"/>
        </w:rPr>
      </w:pPr>
      <w:r>
        <w:rPr>
          <w:lang w:bidi="en-US"/>
        </w:rPr>
        <w:t>T</w:t>
      </w:r>
      <w:r>
        <w:rPr>
          <w:lang w:bidi="en-US"/>
        </w:rPr>
        <w:t xml:space="preserve">he weekly PSRS surveys, Forms EIA-800 through EIA-809, are surveys </w:t>
      </w:r>
      <w:r w:rsidR="00F55919">
        <w:rPr>
          <w:lang w:bidi="en-US"/>
        </w:rPr>
        <w:t xml:space="preserve">with samples drawn from </w:t>
      </w:r>
      <w:r>
        <w:rPr>
          <w:lang w:bidi="en-US"/>
        </w:rPr>
        <w:t>the</w:t>
      </w:r>
      <w:r w:rsidR="009D1BA3">
        <w:rPr>
          <w:lang w:bidi="en-US"/>
        </w:rPr>
        <w:t xml:space="preserve"> corresponding</w:t>
      </w:r>
      <w:r>
        <w:rPr>
          <w:lang w:bidi="en-US"/>
        </w:rPr>
        <w:t xml:space="preserve"> monthly census survey</w:t>
      </w:r>
      <w:r w:rsidR="00F55919">
        <w:rPr>
          <w:lang w:bidi="en-US"/>
        </w:rPr>
        <w:t xml:space="preserve"> frames</w:t>
      </w:r>
      <w:r>
        <w:rPr>
          <w:lang w:bidi="en-US"/>
        </w:rPr>
        <w:t>.</w:t>
      </w:r>
    </w:p>
    <w:p w:rsidR="00224783" w:rsidRPr="00224783" w:rsidP="00224783" w14:paraId="7B3494E1" w14:textId="0DDCC07B">
      <w:pPr>
        <w:rPr>
          <w:rStyle w:val="Heading3Char"/>
          <w:rFonts w:ascii="Calibri" w:eastAsia="Calibri" w:hAnsi="Calibri" w:cs="Calibri"/>
          <w:bCs w:val="0"/>
          <w:i w:val="0"/>
          <w:iCs/>
          <w:color w:val="1396D8"/>
        </w:rPr>
      </w:pPr>
      <w:r w:rsidRPr="00224783">
        <w:rPr>
          <w:rStyle w:val="Heading3Char"/>
          <w:rFonts w:ascii="Calibri" w:eastAsia="Calibri" w:hAnsi="Calibri" w:cs="Calibri"/>
          <w:bCs w:val="0"/>
          <w:i w:val="0"/>
          <w:iCs/>
          <w:color w:val="1396D8"/>
        </w:rPr>
        <w:t>B2.1 Sample Design</w:t>
      </w:r>
    </w:p>
    <w:p w:rsidR="00224783" w:rsidP="00224783" w14:paraId="2B406A7C" w14:textId="6C2E40AB">
      <w:r>
        <w:t>The sampling procedure used for the weekly surveys is the cut</w:t>
      </w:r>
      <w:r>
        <w:t>- off</w:t>
      </w:r>
      <w:r>
        <w:t xml:space="preserve"> method. In the cut-off method, companies are ranked from largest to smallest </w:t>
      </w:r>
      <w:r w:rsidR="00A418C0">
        <w:t>based on</w:t>
      </w:r>
      <w:r>
        <w:t xml:space="preserve"> quantities reported during </w:t>
      </w:r>
      <w:r>
        <w:t>some</w:t>
      </w:r>
      <w:r>
        <w:t xml:space="preserve"> previous </w:t>
      </w:r>
      <w:r>
        <w:t>period. Companies are chosen for the sample beginning with the largest and adding companies until the total sample covers approximately 90 percent of the total volumes for each item, survey, and geographic region. For example, for distillate fuel oil stocks, the weekly sample includes those respondents whose combined volumes of stocks for distillate fuel oil from refineries, bulk terminals, and pipelines constitute at least 90 percent of the total volume of distillate fuel oil stocks as reported in the corresponding monthly surveys.</w:t>
      </w:r>
    </w:p>
    <w:p w:rsidR="00224783" w:rsidRPr="00CD76FB" w:rsidP="00224783" w14:paraId="6141DC81" w14:textId="56C1DCB9">
      <w:r>
        <w:t xml:space="preserve">EIA began </w:t>
      </w:r>
      <w:r w:rsidR="00997B35">
        <w:t>to use</w:t>
      </w:r>
      <w:r>
        <w:t xml:space="preserve"> the</w:t>
      </w:r>
      <w:r w:rsidRPr="00CD76FB">
        <w:t xml:space="preserve"> </w:t>
      </w:r>
      <w:r w:rsidRPr="00CD76FB">
        <w:t xml:space="preserve">90% cutoff threshold </w:t>
      </w:r>
      <w:r>
        <w:t xml:space="preserve">for the Petroleum Supply System </w:t>
      </w:r>
      <w:r w:rsidRPr="00CD76FB">
        <w:t xml:space="preserve">in April 1982. The cutoff sampling method is appropriate when the frequency distribution of the item measured by the survey is highly skewed.   This situation occurs in the petroleum industry in which a relatively small number of companies contribute a large share to the total volume being estimated.  A cutoff sample is drawn by ranking the potential respondents (using values from the monthly frame file) from largest to smallest by the volume of the item of interest, cumulating down the list, and stopping when the pre-specified 90% coverage has been achieved.  Estimates of weekly totals are obtained by multiplying the historical monthly total (available with a two-month lag) by the ratio of the weekly volume to the monthly volume for units in the cutoff sample. This type of sampling and estimation yields acceptable results </w:t>
      </w:r>
      <w:r w:rsidRPr="00CD76FB">
        <w:t>as long as</w:t>
      </w:r>
      <w:r w:rsidRPr="00CD76FB">
        <w:t xml:space="preserve"> the relative contribution to the total for the small and large units </w:t>
      </w:r>
      <w:r w:rsidRPr="00CD76FB">
        <w:t>remain</w:t>
      </w:r>
      <w:r w:rsidRPr="00CD76FB">
        <w:t xml:space="preserve"> relatively constant, and the sample coverage remains over 90 percent of the aggregate being estimated.</w:t>
      </w:r>
    </w:p>
    <w:p w:rsidR="00224783" w:rsidRPr="00CD76FB" w:rsidP="00224783" w14:paraId="36B52950" w14:textId="77777777">
      <w:r w:rsidRPr="00CD76FB">
        <w:t xml:space="preserve">Sample control procedures were developed in April 1982 for two reasons: 1) to maintain comparability of weekly and monthly data systems and 2) to ensure that the 90 percent coverage requirement is met.  The comparability goal requires that changes in the monthly frame (births, deaths, mergers, splits, and changes of ownership) be reflected in the corresponding weekly sample.  Comparability is required both for estimation and quality control. </w:t>
      </w:r>
    </w:p>
    <w:p w:rsidR="00224783" w:rsidP="00224783" w14:paraId="5EFEC3D8" w14:textId="77777777">
      <w:r>
        <w:t xml:space="preserve">To assure 90-percent coverage of the national and PADD totals for each product item collected in each geographic region for each weekly survey, each weekly survey sample is reviewed each month. This review focuses on changes in the current monthly data as it relates to the weekly surveys, changes in the weekly surveys that </w:t>
      </w:r>
      <w:r>
        <w:t>impact</w:t>
      </w:r>
      <w:r>
        <w:t xml:space="preserve"> the monthly surveys, and changes in respondent reporting patterns. Companies are added or removed from the surveys based on the changes. See Supporting Statement A.12 for the estimated number of companies selected for the weekly survey sample. </w:t>
      </w:r>
    </w:p>
    <w:p w:rsidR="00224783" w:rsidRPr="00224783" w:rsidP="3ECDF764" w14:paraId="6EAC10E1" w14:textId="631B77A6">
      <w:pPr>
        <w:rPr>
          <w:rStyle w:val="Heading3Char"/>
          <w:rFonts w:ascii="Calibri" w:eastAsia="Calibri" w:hAnsi="Calibri" w:cs="Calibri"/>
          <w:i w:val="0"/>
          <w:color w:val="1396D8"/>
        </w:rPr>
      </w:pPr>
      <w:r w:rsidRPr="3ECDF764">
        <w:rPr>
          <w:rStyle w:val="Heading3Char"/>
          <w:rFonts w:ascii="Calibri" w:eastAsia="Calibri" w:hAnsi="Calibri" w:cs="Calibri"/>
          <w:i w:val="0"/>
          <w:color w:val="1396D8"/>
        </w:rPr>
        <w:t>B2.2  Imputation</w:t>
      </w:r>
      <w:r w:rsidRPr="3ECDF764">
        <w:rPr>
          <w:rStyle w:val="Heading3Char"/>
          <w:rFonts w:ascii="Calibri" w:eastAsia="Calibri" w:hAnsi="Calibri" w:cs="Calibri"/>
          <w:i w:val="0"/>
          <w:color w:val="1396D8"/>
        </w:rPr>
        <w:t xml:space="preserve"> and Estimation Procedures</w:t>
      </w:r>
    </w:p>
    <w:p w:rsidR="00224783" w:rsidRPr="003710CE" w:rsidP="00224783" w14:paraId="5A1078A7" w14:textId="77777777">
      <w:pPr>
        <w:rPr>
          <w:b/>
          <w:color w:val="00B0F0"/>
          <w:lang w:bidi="en-US"/>
        </w:rPr>
      </w:pPr>
      <w:r w:rsidRPr="00C84725">
        <w:rPr>
          <w:color w:val="000000"/>
        </w:rPr>
        <w:t>In any survey, non-response can be a major concern because the effects can cause serious bias in survey results.</w:t>
      </w:r>
      <w:r>
        <w:rPr>
          <w:color w:val="000000"/>
        </w:rPr>
        <w:t xml:space="preserve"> </w:t>
      </w:r>
      <w:r w:rsidRPr="00C84725">
        <w:rPr>
          <w:color w:val="000000"/>
        </w:rPr>
        <w:t xml:space="preserve">Non-response occurs whenever requested information is not obtained from all </w:t>
      </w:r>
      <w:r>
        <w:rPr>
          <w:color w:val="000000"/>
        </w:rPr>
        <w:t xml:space="preserve">active reporting </w:t>
      </w:r>
      <w:r w:rsidRPr="00C84725">
        <w:rPr>
          <w:color w:val="000000"/>
        </w:rPr>
        <w:t>units in a survey frame.</w:t>
      </w:r>
      <w:r>
        <w:rPr>
          <w:color w:val="000000"/>
        </w:rPr>
        <w:t xml:space="preserve"> </w:t>
      </w:r>
      <w:r w:rsidRPr="00C84725">
        <w:rPr>
          <w:color w:val="000000"/>
        </w:rPr>
        <w:t>Whenever PSRS survey responses are not received in time to be included in published statistics, the data are imputed.</w:t>
      </w:r>
      <w:r>
        <w:rPr>
          <w:color w:val="000000"/>
        </w:rPr>
        <w:t xml:space="preserve"> </w:t>
      </w:r>
      <w:r w:rsidRPr="00C84725">
        <w:rPr>
          <w:color w:val="000000"/>
        </w:rPr>
        <w:t xml:space="preserve">Although imputing for missing data may not eliminate the error associated with non-response, it </w:t>
      </w:r>
      <w:r>
        <w:rPr>
          <w:color w:val="000000"/>
        </w:rPr>
        <w:t>usually reduces bias and variance and may</w:t>
      </w:r>
      <w:r w:rsidRPr="00C84725">
        <w:rPr>
          <w:color w:val="000000"/>
        </w:rPr>
        <w:t xml:space="preserve"> </w:t>
      </w:r>
      <w:r>
        <w:rPr>
          <w:color w:val="000000"/>
        </w:rPr>
        <w:t>also</w:t>
      </w:r>
      <w:r w:rsidRPr="00C84725">
        <w:rPr>
          <w:color w:val="000000"/>
        </w:rPr>
        <w:t xml:space="preserve"> </w:t>
      </w:r>
      <w:r>
        <w:rPr>
          <w:color w:val="000000"/>
        </w:rPr>
        <w:t>improve the accuracy of the estimates</w:t>
      </w:r>
      <w:r w:rsidRPr="00C84725">
        <w:rPr>
          <w:color w:val="000000"/>
        </w:rPr>
        <w:t>.</w:t>
      </w:r>
    </w:p>
    <w:p w:rsidR="00224783" w:rsidRPr="00C84725" w:rsidP="00224783" w14:paraId="44F194AE" w14:textId="10020932">
      <w:pPr>
        <w:rPr>
          <w:color w:val="000000"/>
        </w:rPr>
      </w:pPr>
      <w:r w:rsidRPr="00C84725">
        <w:rPr>
          <w:color w:val="000000"/>
        </w:rPr>
        <w:t>After</w:t>
      </w:r>
      <w:r w:rsidR="00AD58C5">
        <w:rPr>
          <w:color w:val="000000"/>
        </w:rPr>
        <w:t xml:space="preserve"> the</w:t>
      </w:r>
      <w:r w:rsidRPr="00C84725">
        <w:rPr>
          <w:color w:val="000000"/>
        </w:rPr>
        <w:t xml:space="preserve"> responding </w:t>
      </w:r>
      <w:r w:rsidRPr="00C84725">
        <w:rPr>
          <w:color w:val="000000"/>
        </w:rPr>
        <w:t>entities’</w:t>
      </w:r>
      <w:r w:rsidRPr="00C84725">
        <w:rPr>
          <w:color w:val="000000"/>
        </w:rPr>
        <w:t xml:space="preserve"> survey responses have been validated and </w:t>
      </w:r>
      <w:r w:rsidRPr="00C84725">
        <w:rPr>
          <w:color w:val="000000"/>
        </w:rPr>
        <w:t>entered into</w:t>
      </w:r>
      <w:r w:rsidRPr="00C84725">
        <w:rPr>
          <w:color w:val="000000"/>
        </w:rPr>
        <w:t xml:space="preserve"> the weekly database for Forms EIA-800 through EIA-809, </w:t>
      </w:r>
      <w:r>
        <w:rPr>
          <w:color w:val="000000"/>
        </w:rPr>
        <w:t>item non-</w:t>
      </w:r>
      <w:r w:rsidRPr="00C84725">
        <w:rPr>
          <w:color w:val="000000"/>
        </w:rPr>
        <w:t xml:space="preserve">response </w:t>
      </w:r>
      <w:r>
        <w:rPr>
          <w:color w:val="000000"/>
        </w:rPr>
        <w:t>v</w:t>
      </w:r>
      <w:r w:rsidRPr="00C84725">
        <w:rPr>
          <w:color w:val="000000"/>
        </w:rPr>
        <w:t>alues are imputed for companies that</w:t>
      </w:r>
      <w:r>
        <w:rPr>
          <w:color w:val="000000"/>
        </w:rPr>
        <w:t xml:space="preserve"> either</w:t>
      </w:r>
      <w:r w:rsidRPr="00C84725">
        <w:rPr>
          <w:color w:val="000000"/>
        </w:rPr>
        <w:t xml:space="preserve"> have not responded, reported incomplete data, or reported data that failed editing and could not </w:t>
      </w:r>
      <w:r w:rsidRPr="00C84725">
        <w:rPr>
          <w:color w:val="000000"/>
        </w:rPr>
        <w:t>be confirmed.</w:t>
      </w:r>
      <w:r>
        <w:rPr>
          <w:color w:val="000000"/>
        </w:rPr>
        <w:t xml:space="preserve"> </w:t>
      </w:r>
      <w:r w:rsidRPr="00C84725">
        <w:rPr>
          <w:color w:val="000000"/>
        </w:rPr>
        <w:t>The imputed values are calculated using the exponentially smoothed mean values of recent weekly reported values for a specific responding entity.</w:t>
      </w:r>
    </w:p>
    <w:p w:rsidR="00224783" w:rsidRPr="00C84725" w:rsidP="00224783" w14:paraId="02E1B447" w14:textId="77777777">
      <w:pPr>
        <w:spacing w:line="240" w:lineRule="exact"/>
      </w:pPr>
      <w:r w:rsidRPr="00C84725">
        <w:t>The equation for the exponential smoothing is:</w:t>
      </w:r>
    </w:p>
    <w:p w:rsidR="00224783" w:rsidRPr="00AD1600" w:rsidP="00224783" w14:paraId="27CDABD6" w14:textId="3EF9B11F">
      <m:oMathPara>
        <m:oMath>
          <m:sSub>
            <m:sSubPr>
              <m:ctrlPr>
                <w:rPr>
                  <w:rFonts w:ascii="Cambria Math" w:hAnsi="Cambria Math" w:cs="Calibri"/>
                  <w:i/>
                  <w:iCs/>
                </w:rPr>
              </m:ctrlPr>
            </m:sSubPr>
            <m:e>
              <m:r>
                <w:rPr>
                  <w:rFonts w:ascii="Cambria Math" w:hAnsi="Cambria Math"/>
                </w:rPr>
                <m:t>Y</m:t>
              </m:r>
            </m:e>
            <m:sub>
              <m:r>
                <w:rPr>
                  <w:rFonts w:ascii="Cambria Math" w:hAnsi="Cambria Math"/>
                </w:rPr>
                <m:t>i</m:t>
              </m:r>
              <m:r>
                <w:rPr>
                  <w:rFonts w:ascii="Cambria Math" w:hAnsi="Cambria Math"/>
                </w:rPr>
                <m:t>,</m:t>
              </m:r>
              <m:r>
                <w:rPr>
                  <w:rFonts w:ascii="Cambria Math" w:hAnsi="Cambria Math"/>
                </w:rPr>
                <m:t>t</m:t>
              </m:r>
            </m:sub>
          </m:sSub>
          <m:r>
            <w:rPr>
              <w:rFonts w:ascii="Cambria Math" w:hAnsi="Cambria Math"/>
            </w:rPr>
            <m:t>=</m:t>
          </m:r>
          <m:r>
            <w:rPr>
              <w:rFonts w:ascii="Cambria Math" w:hAnsi="Cambria Math"/>
            </w:rPr>
            <m:t>α</m:t>
          </m:r>
          <m:sSub>
            <m:sSubPr>
              <m:ctrlPr>
                <w:rPr>
                  <w:rFonts w:ascii="Cambria Math" w:hAnsi="Cambria Math" w:cs="Calibri"/>
                  <w:i/>
                  <w:iCs/>
                </w:rPr>
              </m:ctrlPr>
            </m:sSubPr>
            <m:e>
              <m:r>
                <w:rPr>
                  <w:rFonts w:ascii="Cambria Math" w:hAnsi="Cambria Math"/>
                </w:rPr>
                <m:t>y</m:t>
              </m:r>
            </m:e>
            <m:sub>
              <m:r>
                <w:rPr>
                  <w:rFonts w:ascii="Cambria Math" w:hAnsi="Cambria Math"/>
                </w:rPr>
                <m:t>i</m:t>
              </m:r>
              <m:r>
                <w:rPr>
                  <w:rFonts w:ascii="Cambria Math" w:hAnsi="Cambria Math"/>
                </w:rPr>
                <m:t>,</m:t>
              </m:r>
              <m:r>
                <w:rPr>
                  <w:rFonts w:ascii="Cambria Math" w:hAnsi="Cambria Math"/>
                </w:rPr>
                <m:t>t</m:t>
              </m:r>
            </m:sub>
          </m:sSub>
          <m:r>
            <w:rPr>
              <w:rFonts w:ascii="Cambria Math" w:hAnsi="Cambria Math"/>
            </w:rPr>
            <m:t>+</m:t>
          </m:r>
          <m:d>
            <m:dPr>
              <m:ctrlPr>
                <w:rPr>
                  <w:rFonts w:ascii="Cambria Math" w:hAnsi="Cambria Math" w:cs="Calibri"/>
                  <w:i/>
                  <w:iCs/>
                </w:rPr>
              </m:ctrlPr>
            </m:dPr>
            <m:e>
              <m:r>
                <w:rPr>
                  <w:rFonts w:ascii="Cambria Math" w:hAnsi="Cambria Math"/>
                </w:rPr>
                <m:t>1-</m:t>
              </m:r>
              <m:r>
                <w:rPr>
                  <w:rFonts w:ascii="Cambria Math" w:hAnsi="Cambria Math"/>
                </w:rPr>
                <m:t>α</m:t>
              </m:r>
            </m:e>
          </m:d>
          <m:sSub>
            <m:sSubPr>
              <m:ctrlPr>
                <w:rPr>
                  <w:rFonts w:ascii="Cambria Math" w:hAnsi="Cambria Math" w:cs="Calibri"/>
                  <w:i/>
                  <w:iCs/>
                </w:rPr>
              </m:ctrlPr>
            </m:sSubPr>
            <m:e>
              <m:r>
                <w:rPr>
                  <w:rFonts w:ascii="Cambria Math" w:hAnsi="Cambria Math"/>
                </w:rPr>
                <m:t>Y</m:t>
              </m:r>
            </m:e>
            <m:sub>
              <m:r>
                <w:rPr>
                  <w:rFonts w:ascii="Cambria Math" w:hAnsi="Cambria Math"/>
                </w:rPr>
                <m:t>i</m:t>
              </m:r>
              <m:r>
                <w:rPr>
                  <w:rFonts w:ascii="Cambria Math" w:hAnsi="Cambria Math"/>
                </w:rPr>
                <m:t>,</m:t>
              </m:r>
              <m:r>
                <w:rPr>
                  <w:rFonts w:ascii="Cambria Math" w:hAnsi="Cambria Math"/>
                </w:rPr>
                <m:t>t</m:t>
              </m:r>
              <m:r>
                <w:rPr>
                  <w:rFonts w:ascii="Cambria Math" w:hAnsi="Cambria Math"/>
                </w:rPr>
                <m:t>-</m:t>
              </m:r>
              <m:r>
                <w:rPr>
                  <w:rFonts w:ascii="Cambria Math" w:hAnsi="Cambria Math"/>
                </w:rPr>
                <m:t>1</m:t>
              </m:r>
            </m:sub>
          </m:sSub>
          <m:r>
            <w:rPr>
              <w:rFonts w:ascii="Cambria Math" w:hAnsi="Cambria Math"/>
            </w:rPr>
            <m:t xml:space="preserve">,  </m:t>
          </m:r>
          <m:r>
            <w:rPr>
              <w:rFonts w:ascii="Cambria Math" w:hAnsi="Cambria Math"/>
            </w:rPr>
            <m:t>t</m:t>
          </m:r>
          <m:r>
            <w:rPr>
              <w:rFonts w:ascii="Cambria Math" w:hAnsi="Cambria Math"/>
            </w:rPr>
            <m:t>=1,2,3,…</m:t>
          </m:r>
        </m:oMath>
      </m:oMathPara>
    </w:p>
    <w:p w:rsidR="00224783" w:rsidP="00224783" w14:paraId="1845F262" w14:textId="77777777">
      <w:pPr>
        <w:rPr>
          <w:color w:val="1F497D"/>
        </w:rPr>
      </w:pPr>
    </w:p>
    <w:p w:rsidR="00425AF4" w:rsidP="005338E3" w14:paraId="5C644E6F" w14:textId="77777777">
      <w:pPr>
        <w:pStyle w:val="paragraph"/>
        <w:spacing w:before="0" w:beforeAutospacing="0" w:after="0" w:afterAutospacing="0"/>
        <w:textAlignment w:val="baseline"/>
      </w:pPr>
      <w:r>
        <w:tab/>
      </w:r>
      <w:r>
        <w:t>Where</w:t>
      </w:r>
      <w:r>
        <w:t xml:space="preserve"> </w:t>
      </w:r>
    </w:p>
    <w:p w:rsidR="005338E3" w:rsidRPr="00167042" w:rsidP="00425AF4" w14:paraId="23EFE293" w14:textId="3BF0D400">
      <w:pPr>
        <w:pStyle w:val="paragraph"/>
        <w:numPr>
          <w:ilvl w:val="0"/>
          <w:numId w:val="24"/>
        </w:numPr>
        <w:spacing w:before="0" w:beforeAutospacing="0" w:after="0" w:afterAutospacing="0"/>
        <w:textAlignment w:val="baseline"/>
        <w:rPr>
          <w:sz w:val="22"/>
          <w:szCs w:val="22"/>
        </w:rPr>
      </w:pPr>
      <m:oMath>
        <m:sSub>
          <m:sSubPr>
            <m:ctrlPr>
              <w:rPr>
                <w:rFonts w:ascii="Cambria Math" w:hAnsi="Cambria Math" w:cs="Calibri"/>
                <w:i/>
                <w:iCs/>
              </w:rPr>
            </m:ctrlPr>
          </m:sSubPr>
          <m:e>
            <m:r>
              <w:rPr>
                <w:rFonts w:ascii="Cambria Math" w:hAnsi="Cambria Math"/>
              </w:rPr>
              <m:t>Y</m:t>
            </m:r>
          </m:e>
          <m:sub>
            <m:r>
              <w:rPr>
                <w:rFonts w:ascii="Cambria Math" w:hAnsi="Cambria Math"/>
              </w:rPr>
              <m:t>i</m:t>
            </m:r>
            <m:r>
              <w:rPr>
                <w:rFonts w:ascii="Cambria Math" w:hAnsi="Cambria Math"/>
              </w:rPr>
              <m:t>,</m:t>
            </m:r>
            <m:r>
              <w:rPr>
                <w:rFonts w:ascii="Cambria Math" w:hAnsi="Cambria Math"/>
              </w:rPr>
              <m:t>t</m:t>
            </m:r>
          </m:sub>
        </m:sSub>
      </m:oMath>
      <w:r>
        <w:rPr>
          <w:iCs/>
        </w:rPr>
        <w:t xml:space="preserve"> is the imputed value for </w:t>
      </w:r>
      <w:r w:rsidR="00021917">
        <w:rPr>
          <w:iCs/>
        </w:rPr>
        <w:t xml:space="preserve">unit </w:t>
      </w:r>
      <m:oMath>
        <m:r>
          <w:rPr>
            <w:rFonts w:ascii="Cambria Math" w:hAnsi="Cambria Math"/>
          </w:rPr>
          <m:t>i</m:t>
        </m:r>
      </m:oMath>
      <w:r w:rsidR="00FE3F24">
        <w:t>,</w:t>
      </w:r>
      <w:r w:rsidR="00021917">
        <w:rPr>
          <w:iCs/>
        </w:rPr>
        <w:t xml:space="preserve"> </w:t>
      </w:r>
      <w:r>
        <w:rPr>
          <w:iCs/>
        </w:rPr>
        <w:t xml:space="preserve">week </w:t>
      </w:r>
      <m:oMath>
        <m:r>
          <w:rPr>
            <w:rFonts w:ascii="Cambria Math" w:hAnsi="Cambria Math"/>
          </w:rPr>
          <m:t>t</m:t>
        </m:r>
      </m:oMath>
      <w:r w:rsidR="00021917">
        <w:rPr>
          <w:iCs/>
        </w:rPr>
        <w:t xml:space="preserve"> +1</w:t>
      </w:r>
      <w:r>
        <w:rPr>
          <w:iCs/>
        </w:rPr>
        <w:t xml:space="preserve"> using </w:t>
      </w:r>
      <w:r w:rsidR="00425AF4">
        <w:rPr>
          <w:iCs/>
        </w:rPr>
        <w:t xml:space="preserve">data through period </w:t>
      </w:r>
      <m:oMath>
        <m:r>
          <w:rPr>
            <w:rFonts w:ascii="Cambria Math" w:hAnsi="Cambria Math"/>
          </w:rPr>
          <m:t>t</m:t>
        </m:r>
      </m:oMath>
      <w:r w:rsidR="00425AF4">
        <w:rPr>
          <w:iCs/>
        </w:rPr>
        <w:t>.</w:t>
      </w:r>
    </w:p>
    <w:p w:rsidR="00425AF4" w:rsidRPr="00167042" w:rsidP="00425AF4" w14:paraId="39A4F2C4" w14:textId="355D68C0">
      <w:pPr>
        <w:pStyle w:val="paragraph"/>
        <w:numPr>
          <w:ilvl w:val="0"/>
          <w:numId w:val="24"/>
        </w:numPr>
        <w:spacing w:before="0" w:beforeAutospacing="0" w:after="0" w:afterAutospacing="0"/>
        <w:textAlignment w:val="baseline"/>
        <w:rPr>
          <w:sz w:val="22"/>
          <w:szCs w:val="22"/>
        </w:rPr>
      </w:pPr>
      <m:oMath>
        <m:sSub>
          <m:sSubPr>
            <m:ctrlPr>
              <w:rPr>
                <w:rFonts w:ascii="Cambria Math" w:hAnsi="Cambria Math" w:cs="Calibri"/>
                <w:i/>
                <w:iCs/>
              </w:rPr>
            </m:ctrlPr>
          </m:sSubPr>
          <m:e>
            <m:r>
              <w:rPr>
                <w:rFonts w:ascii="Cambria Math" w:hAnsi="Cambria Math"/>
              </w:rPr>
              <m:t>y</m:t>
            </m:r>
          </m:e>
          <m:sub>
            <m:r>
              <w:rPr>
                <w:rFonts w:ascii="Cambria Math" w:hAnsi="Cambria Math"/>
              </w:rPr>
              <m:t>i</m:t>
            </m:r>
            <m:r>
              <w:rPr>
                <w:rFonts w:ascii="Cambria Math" w:hAnsi="Cambria Math"/>
              </w:rPr>
              <m:t>,</m:t>
            </m:r>
            <m:r>
              <w:rPr>
                <w:rFonts w:ascii="Cambria Math" w:hAnsi="Cambria Math"/>
              </w:rPr>
              <m:t>t</m:t>
            </m:r>
          </m:sub>
        </m:sSub>
      </m:oMath>
      <w:r w:rsidR="00F83989">
        <w:rPr>
          <w:iCs/>
        </w:rPr>
        <w:t xml:space="preserve"> is the reported value for week </w:t>
      </w:r>
      <m:oMath>
        <m:r>
          <w:rPr>
            <w:rFonts w:ascii="Cambria Math" w:hAnsi="Cambria Math"/>
          </w:rPr>
          <m:t>t</m:t>
        </m:r>
      </m:oMath>
      <w:r w:rsidR="00F83989">
        <w:rPr>
          <w:iCs/>
        </w:rPr>
        <w:t xml:space="preserve"> (or imputed value for week </w:t>
      </w:r>
      <m:oMath>
        <m:r>
          <w:rPr>
            <w:rFonts w:ascii="Cambria Math" w:hAnsi="Cambria Math"/>
          </w:rPr>
          <m:t>t</m:t>
        </m:r>
      </m:oMath>
      <w:r w:rsidR="00F83989">
        <w:rPr>
          <w:iCs/>
        </w:rPr>
        <w:t>, if it was imputed)</w:t>
      </w:r>
      <w:r w:rsidR="009830FE">
        <w:rPr>
          <w:iCs/>
        </w:rPr>
        <w:t>.</w:t>
      </w:r>
    </w:p>
    <w:p w:rsidR="009830FE" w:rsidRPr="00167042" w:rsidP="00425AF4" w14:paraId="1F6FAC8B" w14:textId="42B6FB23">
      <w:pPr>
        <w:pStyle w:val="paragraph"/>
        <w:numPr>
          <w:ilvl w:val="0"/>
          <w:numId w:val="24"/>
        </w:numPr>
        <w:spacing w:before="0" w:beforeAutospacing="0" w:after="0" w:afterAutospacing="0"/>
        <w:textAlignment w:val="baseline"/>
        <w:rPr>
          <w:sz w:val="22"/>
          <w:szCs w:val="22"/>
        </w:rPr>
      </w:pPr>
      <m:oMath>
        <m:sSub>
          <m:sSubPr>
            <m:ctrlPr>
              <w:rPr>
                <w:rFonts w:ascii="Cambria Math" w:hAnsi="Cambria Math" w:cs="Calibri"/>
                <w:i/>
                <w:iCs/>
              </w:rPr>
            </m:ctrlPr>
          </m:sSubPr>
          <m:e>
            <m:r>
              <w:rPr>
                <w:rFonts w:ascii="Cambria Math" w:hAnsi="Cambria Math"/>
              </w:rPr>
              <m:t>Y</m:t>
            </m:r>
          </m:e>
          <m:sub>
            <m:r>
              <w:rPr>
                <w:rFonts w:ascii="Cambria Math" w:hAnsi="Cambria Math"/>
              </w:rPr>
              <m:t>i</m:t>
            </m:r>
            <m:r>
              <w:rPr>
                <w:rFonts w:ascii="Cambria Math" w:hAnsi="Cambria Math"/>
              </w:rPr>
              <m:t>,</m:t>
            </m:r>
            <m:r>
              <w:rPr>
                <w:rFonts w:ascii="Cambria Math" w:hAnsi="Cambria Math"/>
              </w:rPr>
              <m:t>t</m:t>
            </m:r>
            <m:r>
              <w:rPr>
                <w:rFonts w:ascii="Cambria Math" w:hAnsi="Cambria Math"/>
              </w:rPr>
              <m:t>-</m:t>
            </m:r>
            <m:r>
              <w:rPr>
                <w:rFonts w:ascii="Cambria Math" w:hAnsi="Cambria Math"/>
              </w:rPr>
              <m:t>1</m:t>
            </m:r>
          </m:sub>
        </m:sSub>
      </m:oMath>
      <w:r>
        <w:rPr>
          <w:iCs/>
        </w:rPr>
        <w:t xml:space="preserve"> is the imputed value for week </w:t>
      </w:r>
      <m:oMath>
        <m:r>
          <w:rPr>
            <w:rFonts w:ascii="Cambria Math" w:hAnsi="Cambria Math"/>
          </w:rPr>
          <m:t>t</m:t>
        </m:r>
      </m:oMath>
      <w:r>
        <w:rPr>
          <w:iCs/>
        </w:rPr>
        <w:t xml:space="preserve"> using data through period </w:t>
      </w:r>
      <m:oMath>
        <m:r>
          <w:rPr>
            <w:rFonts w:ascii="Cambria Math" w:hAnsi="Cambria Math"/>
          </w:rPr>
          <m:t>t</m:t>
        </m:r>
      </m:oMath>
      <w:r w:rsidR="00021917">
        <w:rPr>
          <w:iCs/>
        </w:rPr>
        <w:t xml:space="preserve"> </w:t>
      </w:r>
      <w:r>
        <w:rPr>
          <w:iCs/>
        </w:rPr>
        <w:t>-1.</w:t>
      </w:r>
    </w:p>
    <w:p w:rsidR="00D649B6" w:rsidP="00167042" w14:paraId="626833DC" w14:textId="7FC9D6A3">
      <w:pPr>
        <w:pStyle w:val="paragraph"/>
        <w:numPr>
          <w:ilvl w:val="0"/>
          <w:numId w:val="24"/>
        </w:numPr>
        <w:spacing w:before="0" w:beforeAutospacing="0" w:after="0" w:afterAutospacing="0"/>
        <w:textAlignment w:val="baseline"/>
        <w:rPr>
          <w:rStyle w:val="normaltextrun"/>
          <w:sz w:val="22"/>
          <w:szCs w:val="22"/>
        </w:rPr>
      </w:pPr>
      <m:oMath>
        <m:r>
          <w:rPr>
            <w:rFonts w:ascii="Cambria Math" w:hAnsi="Cambria Math"/>
          </w:rPr>
          <m:t>α</m:t>
        </m:r>
      </m:oMath>
      <w:r>
        <w:t xml:space="preserve"> is the smoothing parameter.</w:t>
      </w:r>
    </w:p>
    <w:p w:rsidR="00ED7575" w:rsidP="00224783" w14:paraId="52648786" w14:textId="77777777"/>
    <w:p w:rsidR="00224783" w:rsidRPr="00C84725" w:rsidP="00224783" w14:paraId="4C795768" w14:textId="08DFA4F4">
      <w:pPr>
        <w:rPr>
          <w:color w:val="000000"/>
        </w:rPr>
      </w:pPr>
      <w:r w:rsidRPr="00C84725">
        <w:t>In the equation for exponential smoothing, the size of α controls the importance of the previous reporting week’s reported value relative to the aggregate of all prior weeks’ reported values as represented by the prediction for the previous week.</w:t>
      </w:r>
      <w:r>
        <w:t xml:space="preserve"> </w:t>
      </w:r>
      <w:r w:rsidRPr="00C84725">
        <w:t xml:space="preserve">For example, if α = 0.8, then the previous week’s value is much more important in predicting this week’s value than all the previous week’s values, because the weight of last week is 0.8, which is greater than the weight of the previous </w:t>
      </w:r>
      <w:r w:rsidRPr="00C84725">
        <w:t>weeks</w:t>
      </w:r>
      <w:r w:rsidRPr="00C84725">
        <w:t xml:space="preserve"> </w:t>
      </w:r>
      <w:r w:rsidR="00B44512">
        <w:t xml:space="preserve">which is 0.2. </w:t>
      </w:r>
      <w:r w:rsidR="004B6E68">
        <w:t xml:space="preserve"> </w:t>
      </w:r>
      <w:r w:rsidRPr="00C84725">
        <w:t>In general, the α values are low for imports measured by the Form EIA-804 (where the previously reported week’s value is much less important than history) and much higher for the other surveys which measure production, inputs and stocks.</w:t>
      </w:r>
    </w:p>
    <w:p w:rsidR="00224783" w:rsidRPr="00C84725" w:rsidP="00224783" w14:paraId="661B0872" w14:textId="77777777">
      <w:pPr>
        <w:rPr>
          <w:color w:val="000000"/>
        </w:rPr>
      </w:pPr>
      <w:r w:rsidRPr="00C84725">
        <w:rPr>
          <w:color w:val="000000"/>
        </w:rPr>
        <w:t xml:space="preserve">Next, the </w:t>
      </w:r>
      <w:r>
        <w:rPr>
          <w:color w:val="000000"/>
        </w:rPr>
        <w:t xml:space="preserve">estimation procedure treats </w:t>
      </w:r>
      <w:r w:rsidRPr="00C84725">
        <w:rPr>
          <w:color w:val="000000"/>
        </w:rPr>
        <w:t xml:space="preserve">the imputed values like reported values </w:t>
      </w:r>
      <w:r>
        <w:rPr>
          <w:color w:val="000000"/>
        </w:rPr>
        <w:t>to estimate</w:t>
      </w:r>
      <w:r w:rsidRPr="00C84725">
        <w:rPr>
          <w:color w:val="000000"/>
        </w:rPr>
        <w:t xml:space="preserve"> published aggregated data.</w:t>
      </w:r>
      <w:r>
        <w:rPr>
          <w:color w:val="000000"/>
        </w:rPr>
        <w:t xml:space="preserve"> </w:t>
      </w:r>
      <w:r w:rsidRPr="00C84725">
        <w:rPr>
          <w:color w:val="000000"/>
        </w:rPr>
        <w:t>The estimation procedure uses ratio estimates of the weekly totals to produce published totals, as is described below.</w:t>
      </w:r>
    </w:p>
    <w:p w:rsidR="00224783" w:rsidRPr="00C84725" w:rsidP="00224783" w14:paraId="361FEB2F" w14:textId="77777777">
      <w:pPr>
        <w:rPr>
          <w:color w:val="000000"/>
        </w:rPr>
      </w:pPr>
      <w:r w:rsidRPr="00C84725">
        <w:rPr>
          <w:color w:val="000000"/>
        </w:rPr>
        <w:t xml:space="preserve">First, the current reporting week’s data for a given product reported (or imputed) for each entity in a geographic region are summed (weekly sum, </w:t>
      </w:r>
      <w:r w:rsidRPr="00C84725">
        <w:rPr>
          <w:color w:val="000000"/>
        </w:rPr>
        <w:t>W</w:t>
      </w:r>
      <w:r w:rsidRPr="00C84725">
        <w:rPr>
          <w:color w:val="000000"/>
          <w:vertAlign w:val="subscript"/>
        </w:rPr>
        <w:t>s</w:t>
      </w:r>
      <w:r w:rsidRPr="00C84725">
        <w:rPr>
          <w:color w:val="000000"/>
        </w:rPr>
        <w:t>).</w:t>
      </w:r>
      <w:r>
        <w:rPr>
          <w:color w:val="000000"/>
        </w:rPr>
        <w:t xml:space="preserve"> </w:t>
      </w:r>
      <w:r w:rsidRPr="00C84725">
        <w:rPr>
          <w:color w:val="000000"/>
        </w:rPr>
        <w:t xml:space="preserve">Next, the most recent complete reporting month’s data for the product reported (or </w:t>
      </w:r>
      <w:r w:rsidRPr="00C84725">
        <w:rPr>
          <w:color w:val="000000"/>
        </w:rPr>
        <w:t>imputed</w:t>
      </w:r>
      <w:r w:rsidRPr="00C84725">
        <w:rPr>
          <w:color w:val="000000"/>
        </w:rPr>
        <w:t xml:space="preserve">) for those same respondents are summed (monthly sum, </w:t>
      </w:r>
      <w:r w:rsidRPr="00C84725">
        <w:rPr>
          <w:color w:val="000000"/>
        </w:rPr>
        <w:t>M</w:t>
      </w:r>
      <w:r w:rsidRPr="00C84725">
        <w:rPr>
          <w:color w:val="000000"/>
          <w:vertAlign w:val="subscript"/>
        </w:rPr>
        <w:t>s</w:t>
      </w:r>
      <w:r w:rsidRPr="00C84725">
        <w:rPr>
          <w:color w:val="000000"/>
        </w:rPr>
        <w:t>).</w:t>
      </w:r>
      <w:r>
        <w:rPr>
          <w:color w:val="000000"/>
        </w:rPr>
        <w:t xml:space="preserve"> </w:t>
      </w:r>
      <w:r w:rsidRPr="00C84725">
        <w:rPr>
          <w:color w:val="000000"/>
        </w:rPr>
        <w:t>Finally, the most recent complete reporting month’s data for the product as reported by all respondents, including adjustments made in the monthly process, are summed (M</w:t>
      </w:r>
      <w:r w:rsidRPr="00C84725">
        <w:rPr>
          <w:color w:val="000000"/>
          <w:vertAlign w:val="subscript"/>
        </w:rPr>
        <w:t>t</w:t>
      </w:r>
      <w:r w:rsidRPr="00C84725">
        <w:rPr>
          <w:color w:val="000000"/>
        </w:rPr>
        <w:t>).</w:t>
      </w:r>
      <w:r>
        <w:rPr>
          <w:color w:val="000000"/>
        </w:rPr>
        <w:t xml:space="preserve"> </w:t>
      </w:r>
      <w:r w:rsidRPr="00C84725">
        <w:rPr>
          <w:color w:val="000000"/>
        </w:rPr>
        <w:t xml:space="preserve">The current week’s ratio </w:t>
      </w:r>
      <w:r w:rsidRPr="00C84725">
        <w:rPr>
          <w:color w:val="000000"/>
        </w:rPr>
        <w:t>estimate</w:t>
      </w:r>
      <w:r w:rsidRPr="00C84725">
        <w:rPr>
          <w:color w:val="000000"/>
        </w:rPr>
        <w:t xml:space="preserve"> for that product, </w:t>
      </w:r>
      <w:r w:rsidRPr="00C84725">
        <w:rPr>
          <w:color w:val="000000"/>
        </w:rPr>
        <w:t>W</w:t>
      </w:r>
      <w:r w:rsidRPr="00C84725">
        <w:rPr>
          <w:color w:val="000000"/>
          <w:vertAlign w:val="subscript"/>
        </w:rPr>
        <w:t>t</w:t>
      </w:r>
      <w:r w:rsidRPr="00C84725">
        <w:rPr>
          <w:color w:val="000000"/>
        </w:rPr>
        <w:t>, is given by:</w:t>
      </w:r>
    </w:p>
    <w:p w:rsidR="00224783" w:rsidRPr="00C84725" w:rsidP="00224783" w14:paraId="018E47E3" w14:textId="77777777">
      <w:pPr>
        <w:rPr>
          <w:color w:val="000000"/>
        </w:rPr>
      </w:pPr>
      <w:r w:rsidRPr="00DF514C">
        <w:rPr>
          <w:color w:val="000000"/>
          <w:sz w:val="24"/>
        </w:rPr>
        <w:t>W</w:t>
      </w:r>
      <w:r w:rsidRPr="00DF514C">
        <w:rPr>
          <w:color w:val="000000"/>
          <w:sz w:val="24"/>
          <w:vertAlign w:val="subscript"/>
        </w:rPr>
        <w:t>t</w:t>
      </w:r>
      <w:r w:rsidRPr="00DF514C">
        <w:rPr>
          <w:color w:val="000000"/>
          <w:sz w:val="24"/>
        </w:rPr>
        <w:t>= (M</w:t>
      </w:r>
      <w:r w:rsidRPr="00DF514C">
        <w:rPr>
          <w:color w:val="000000"/>
          <w:sz w:val="24"/>
          <w:vertAlign w:val="subscript"/>
        </w:rPr>
        <w:t>t</w:t>
      </w:r>
      <w:r w:rsidRPr="00DF514C">
        <w:rPr>
          <w:color w:val="000000"/>
          <w:sz w:val="24"/>
        </w:rPr>
        <w:t xml:space="preserve"> / </w:t>
      </w:r>
      <w:r w:rsidRPr="00DF514C">
        <w:rPr>
          <w:color w:val="000000"/>
          <w:sz w:val="24"/>
        </w:rPr>
        <w:t>M</w:t>
      </w:r>
      <w:r w:rsidRPr="00DF514C">
        <w:rPr>
          <w:color w:val="000000"/>
          <w:sz w:val="24"/>
          <w:vertAlign w:val="subscript"/>
        </w:rPr>
        <w:t>s</w:t>
      </w:r>
      <w:r w:rsidRPr="00DF514C">
        <w:rPr>
          <w:color w:val="000000"/>
          <w:sz w:val="24"/>
        </w:rPr>
        <w:t xml:space="preserve">) * </w:t>
      </w:r>
      <w:r w:rsidRPr="00DF514C">
        <w:rPr>
          <w:color w:val="000000"/>
          <w:sz w:val="24"/>
        </w:rPr>
        <w:t>W</w:t>
      </w:r>
      <w:r w:rsidRPr="00DF514C">
        <w:rPr>
          <w:color w:val="000000"/>
          <w:sz w:val="24"/>
          <w:vertAlign w:val="subscript"/>
        </w:rPr>
        <w:t>s</w:t>
      </w:r>
    </w:p>
    <w:p w:rsidR="00224783" w:rsidRPr="00C84725" w:rsidP="00224783" w14:paraId="4A6892D3" w14:textId="77777777">
      <w:pPr>
        <w:rPr>
          <w:color w:val="000000"/>
        </w:rPr>
      </w:pPr>
      <w:r w:rsidRPr="00C84725">
        <w:rPr>
          <w:color w:val="000000"/>
        </w:rPr>
        <w:t xml:space="preserve">The </w:t>
      </w:r>
      <w:r w:rsidRPr="00C84725">
        <w:rPr>
          <w:color w:val="000000"/>
        </w:rPr>
        <w:t>W</w:t>
      </w:r>
      <w:r w:rsidRPr="00C84725">
        <w:rPr>
          <w:color w:val="000000"/>
          <w:vertAlign w:val="subscript"/>
        </w:rPr>
        <w:t>t</w:t>
      </w:r>
      <w:r w:rsidRPr="00C84725">
        <w:rPr>
          <w:color w:val="000000"/>
        </w:rPr>
        <w:t>’s</w:t>
      </w:r>
      <w:r w:rsidRPr="00C84725">
        <w:rPr>
          <w:color w:val="000000"/>
        </w:rPr>
        <w:t xml:space="preserve"> are used directly to estimate total weekly inputs to refineries and production.</w:t>
      </w:r>
      <w:r>
        <w:rPr>
          <w:color w:val="000000"/>
        </w:rPr>
        <w:t xml:space="preserve"> </w:t>
      </w:r>
      <w:r w:rsidRPr="00C84725">
        <w:rPr>
          <w:color w:val="000000"/>
        </w:rPr>
        <w:t xml:space="preserve">To estimate stocks of finished products, the </w:t>
      </w:r>
      <w:r w:rsidRPr="00C84725">
        <w:rPr>
          <w:color w:val="000000"/>
        </w:rPr>
        <w:t>W</w:t>
      </w:r>
      <w:r w:rsidRPr="00C84725">
        <w:rPr>
          <w:color w:val="000000"/>
          <w:vertAlign w:val="subscript"/>
        </w:rPr>
        <w:t>t</w:t>
      </w:r>
      <w:r w:rsidRPr="00C84725">
        <w:rPr>
          <w:color w:val="000000"/>
        </w:rPr>
        <w:t>’s</w:t>
      </w:r>
      <w:r w:rsidRPr="00C84725">
        <w:rPr>
          <w:color w:val="000000"/>
        </w:rPr>
        <w:t xml:space="preserve"> </w:t>
      </w:r>
      <w:r w:rsidRPr="00C84725">
        <w:rPr>
          <w:color w:val="000000"/>
        </w:rPr>
        <w:t>are independently calculated for the establishments of refineries, bulk terminals, and pipelines.</w:t>
      </w:r>
      <w:r>
        <w:rPr>
          <w:color w:val="000000"/>
        </w:rPr>
        <w:t xml:space="preserve"> </w:t>
      </w:r>
      <w:r w:rsidRPr="00C84725">
        <w:rPr>
          <w:color w:val="000000"/>
        </w:rPr>
        <w:t>Estimates of totals are calculated by summing over the establishment types.</w:t>
      </w:r>
    </w:p>
    <w:p w:rsidR="00224783" w:rsidRPr="00C84725" w:rsidP="00224783" w14:paraId="28D58DCF" w14:textId="77777777">
      <w:pPr>
        <w:rPr>
          <w:color w:val="000000"/>
        </w:rPr>
      </w:pPr>
      <w:r w:rsidRPr="3ECDF764">
        <w:rPr>
          <w:color w:val="000000" w:themeColor="text1"/>
        </w:rPr>
        <w:t xml:space="preserve">Weekly imports data are highly variable on a company-by-company basis or a week-to-week basis. Therefore, an exponentially smoothed ratio is used for estimating weekly imports. The estimate of total </w:t>
      </w:r>
      <w:r w:rsidRPr="3ECDF764">
        <w:rPr>
          <w:color w:val="000000" w:themeColor="text1"/>
        </w:rPr>
        <w:t>weekly imports is the product of the smoothed ratio and the sum of the weekly reported values and imputed values.</w:t>
      </w:r>
    </w:p>
    <w:p w:rsidR="00224783" w:rsidRPr="00C84725" w:rsidP="00224783" w14:paraId="23AE0562" w14:textId="33AA9674">
      <w:r w:rsidRPr="00C84725">
        <w:t xml:space="preserve">For imports, the </w:t>
      </w:r>
      <w:r>
        <w:t>smooth ratio estimator,</w:t>
      </w:r>
      <m:oMath>
        <m:sSub>
          <m:sSubPr>
            <m:ctrlPr>
              <w:rPr>
                <w:rFonts w:ascii="Cambria Math" w:hAnsi="Cambria Math" w:cs="Calibri"/>
                <w:i/>
                <w:iCs/>
              </w:rPr>
            </m:ctrlPr>
          </m:sSubPr>
          <m:e>
            <m:r>
              <w:rPr>
                <w:rFonts w:ascii="Cambria Math" w:hAnsi="Cambria Math"/>
              </w:rPr>
              <m:t>R</m:t>
            </m:r>
          </m:e>
          <m:sub>
            <m:r>
              <w:rPr>
                <w:rFonts w:ascii="Cambria Math" w:hAnsi="Cambria Math"/>
              </w:rPr>
              <m:t>t</m:t>
            </m:r>
          </m:sub>
        </m:sSub>
      </m:oMath>
      <w:r>
        <w:t xml:space="preserve">, for period t is </w:t>
      </w:r>
    </w:p>
    <w:p w:rsidR="00224783" w:rsidRPr="00AD1600" w:rsidP="00224783" w14:paraId="66114981" w14:textId="7A825A1D">
      <m:oMathPara>
        <m:oMath>
          <m:sSub>
            <m:sSubPr>
              <m:ctrlPr>
                <w:rPr>
                  <w:rFonts w:ascii="Cambria Math" w:hAnsi="Cambria Math" w:cs="Calibri"/>
                  <w:i/>
                  <w:iCs/>
                </w:rPr>
              </m:ctrlPr>
            </m:sSubPr>
            <m:e>
              <m:r>
                <w:rPr>
                  <w:rFonts w:ascii="Cambria Math" w:hAnsi="Cambria Math"/>
                </w:rPr>
                <m:t>R</m:t>
              </m:r>
            </m:e>
            <m:sub>
              <m:r>
                <w:rPr>
                  <w:rFonts w:ascii="Cambria Math" w:hAnsi="Cambria Math"/>
                </w:rPr>
                <m:t>t</m:t>
              </m:r>
            </m:sub>
          </m:sSub>
          <m:r>
            <w:rPr>
              <w:rFonts w:ascii="Cambria Math" w:hAnsi="Cambria Math"/>
            </w:rPr>
            <m:t>=</m:t>
          </m:r>
          <m:sSub>
            <m:sSubPr>
              <m:ctrlPr>
                <w:rPr>
                  <w:rFonts w:ascii="Cambria Math" w:hAnsi="Cambria Math" w:cs="Calibri"/>
                  <w:i/>
                  <w:iCs/>
                </w:rPr>
              </m:ctrlPr>
            </m:sSubPr>
            <m:e>
              <m:r>
                <w:rPr>
                  <w:rFonts w:ascii="Cambria Math" w:hAnsi="Cambria Math"/>
                </w:rPr>
                <m:t>γr</m:t>
              </m:r>
            </m:e>
            <m:sub>
              <m:r>
                <w:rPr>
                  <w:rFonts w:ascii="Cambria Math" w:hAnsi="Cambria Math"/>
                </w:rPr>
                <m:t>t</m:t>
              </m:r>
            </m:sub>
          </m:sSub>
          <m:r>
            <w:rPr>
              <w:rFonts w:ascii="Cambria Math" w:hAnsi="Cambria Math"/>
            </w:rPr>
            <m:t>+</m:t>
          </m:r>
          <m:d>
            <m:dPr>
              <m:ctrlPr>
                <w:rPr>
                  <w:rFonts w:ascii="Cambria Math" w:hAnsi="Cambria Math" w:cs="Calibri"/>
                  <w:i/>
                  <w:iCs/>
                </w:rPr>
              </m:ctrlPr>
            </m:dPr>
            <m:e>
              <m:r>
                <w:rPr>
                  <w:rFonts w:ascii="Cambria Math" w:hAnsi="Cambria Math"/>
                </w:rPr>
                <m:t>1-</m:t>
              </m:r>
              <m:r>
                <w:rPr>
                  <w:rFonts w:ascii="Cambria Math" w:hAnsi="Cambria Math"/>
                </w:rPr>
                <m:t>γ</m:t>
              </m:r>
            </m:e>
          </m:d>
          <m:sSub>
            <m:sSubPr>
              <m:ctrlPr>
                <w:rPr>
                  <w:rFonts w:ascii="Cambria Math" w:hAnsi="Cambria Math" w:cs="Calibri"/>
                  <w:i/>
                  <w:iCs/>
                </w:rPr>
              </m:ctrlPr>
            </m:sSubPr>
            <m:e>
              <m:r>
                <w:rPr>
                  <w:rFonts w:ascii="Cambria Math" w:hAnsi="Cambria Math"/>
                </w:rPr>
                <m:t>R</m:t>
              </m:r>
            </m:e>
            <m:sub>
              <m:r>
                <w:rPr>
                  <w:rFonts w:ascii="Cambria Math" w:hAnsi="Cambria Math"/>
                </w:rPr>
                <m:t>t</m:t>
              </m:r>
              <m:r>
                <w:rPr>
                  <w:rFonts w:ascii="Cambria Math" w:hAnsi="Cambria Math"/>
                </w:rPr>
                <m:t>-</m:t>
              </m:r>
              <m:r>
                <w:rPr>
                  <w:rFonts w:ascii="Cambria Math" w:hAnsi="Cambria Math"/>
                </w:rPr>
                <m:t>1</m:t>
              </m:r>
            </m:sub>
          </m:sSub>
          <m:r>
            <w:rPr>
              <w:rFonts w:ascii="Cambria Math" w:hAnsi="Cambria Math"/>
            </w:rPr>
            <m:t xml:space="preserve">, </m:t>
          </m:r>
          <m:r>
            <w:rPr>
              <w:rFonts w:ascii="Cambria Math" w:hAnsi="Cambria Math"/>
            </w:rPr>
            <m:t>t</m:t>
          </m:r>
          <m:r>
            <w:rPr>
              <w:rFonts w:ascii="Cambria Math" w:hAnsi="Cambria Math"/>
            </w:rPr>
            <m:t>=1, 2, 3, …</m:t>
          </m:r>
        </m:oMath>
      </m:oMathPara>
    </w:p>
    <w:p w:rsidR="00224783" w:rsidP="00224783" w14:paraId="403DCFF3" w14:textId="6531DBE7">
      <w:pPr>
        <w:pStyle w:val="paragraph"/>
        <w:spacing w:before="0" w:beforeAutospacing="0" w:after="0" w:afterAutospacing="0"/>
        <w:ind w:left="1800" w:hanging="720"/>
        <w:textAlignment w:val="baseline"/>
        <w:rPr>
          <w:rStyle w:val="normaltextrun"/>
        </w:rPr>
      </w:pPr>
      <w:r>
        <w:t xml:space="preserve">where </w:t>
      </w:r>
      <m:oMath>
        <m:sSub>
          <m:sSubPr>
            <m:ctrlPr>
              <w:rPr>
                <w:rFonts w:ascii="Cambria Math" w:hAnsi="Cambria Math"/>
                <w:i/>
                <w:iCs/>
              </w:rPr>
            </m:ctrlPr>
          </m:sSubPr>
          <m:e>
            <m:r>
              <w:rPr>
                <w:rFonts w:ascii="Cambria Math" w:hAnsi="Cambria Math"/>
              </w:rPr>
              <m:t>r</m:t>
            </m:r>
          </m:e>
          <m:sub>
            <m:r>
              <w:rPr>
                <w:rFonts w:ascii="Cambria Math" w:hAnsi="Cambria Math"/>
              </w:rPr>
              <m:t>t</m:t>
            </m:r>
          </m:sub>
        </m:sSub>
      </m:oMath>
      <w:r>
        <w:t xml:space="preserve"> </w:t>
      </w:r>
      <w:r w:rsidRPr="00C84725">
        <w:t xml:space="preserve">is the ratio </w:t>
      </w:r>
      <w:r>
        <w:t xml:space="preserve">estimator </w:t>
      </w:r>
      <w:r w:rsidRPr="00C84725">
        <w:t xml:space="preserve">for </w:t>
      </w:r>
      <w:r>
        <w:t>period</w:t>
      </w:r>
      <w:r w:rsidRPr="00C84725">
        <w:t xml:space="preserve"> t</w:t>
      </w:r>
      <w:r>
        <w:t xml:space="preserve">, and </w:t>
      </w:r>
      <w:r>
        <w:rPr>
          <w:rStyle w:val="normaltextrun"/>
          <w:sz w:val="22"/>
          <w:szCs w:val="22"/>
        </w:rPr>
        <w:t>γ</w:t>
      </w:r>
      <w:r>
        <w:rPr>
          <w:rStyle w:val="tabchar"/>
          <w:rFonts w:ascii="Calibri" w:hAnsi="Calibri" w:cs="Calibri"/>
          <w:sz w:val="22"/>
          <w:szCs w:val="22"/>
        </w:rPr>
        <w:t xml:space="preserve"> </w:t>
      </w:r>
      <w:r>
        <w:rPr>
          <w:rStyle w:val="normaltextrun"/>
          <w:sz w:val="22"/>
          <w:szCs w:val="22"/>
        </w:rPr>
        <w:t xml:space="preserve">is a number between 0 and 1, chosen by product, and is the same for </w:t>
      </w:r>
      <w:r>
        <w:rPr>
          <w:rStyle w:val="normaltextrun"/>
        </w:rPr>
        <w:t>all PADDs and Respondent IDs for that product</w:t>
      </w:r>
    </w:p>
    <w:p w:rsidR="00224783" w:rsidRPr="00E04319" w:rsidP="00224783" w14:paraId="1E5F814F" w14:textId="77777777">
      <w:pPr>
        <w:pStyle w:val="paragraph"/>
        <w:spacing w:before="0" w:beforeAutospacing="0" w:after="0" w:afterAutospacing="0"/>
        <w:ind w:left="1800" w:hanging="720"/>
        <w:textAlignment w:val="baseline"/>
      </w:pPr>
    </w:p>
    <w:p w:rsidR="00AF2D40" w:rsidRPr="00E054DF" w:rsidP="00E054DF" w14:paraId="5EAFE268" w14:textId="3453F345">
      <w:r>
        <w:t>When M</w:t>
      </w:r>
      <w:r w:rsidRPr="3ECDF764">
        <w:rPr>
          <w:vertAlign w:val="subscript"/>
        </w:rPr>
        <w:t>s</w:t>
      </w:r>
      <w:r>
        <w:t xml:space="preserve"> = 0, then r</w:t>
      </w:r>
      <w:r w:rsidRPr="3ECDF764">
        <w:rPr>
          <w:vertAlign w:val="subscript"/>
        </w:rPr>
        <w:t>t</w:t>
      </w:r>
      <w:r>
        <w:t xml:space="preserve"> is not defined for the reporting week, and the smoothed ratio is not updated (i.e., the previous smoothed ratio is used as the multiplier).</w:t>
      </w:r>
    </w:p>
    <w:p w:rsidR="00E054DF" w:rsidRPr="00E054DF" w:rsidP="005E5D12" w14:paraId="1E8D06F1" w14:textId="77777777">
      <w:pPr>
        <w:pStyle w:val="Heading2"/>
      </w:pPr>
      <w:bookmarkStart w:id="7" w:name="_Toc466046936"/>
      <w:bookmarkStart w:id="8" w:name="_Toc128055328"/>
      <w:r w:rsidRPr="00E054DF">
        <w:t>B.3. Maximizing Response Rates</w:t>
      </w:r>
      <w:bookmarkEnd w:id="7"/>
      <w:bookmarkEnd w:id="8"/>
    </w:p>
    <w:p w:rsidR="00D84D1C" w:rsidRPr="00C84725" w:rsidP="00D84D1C" w14:paraId="289E3775" w14:textId="77777777">
      <w:r w:rsidRPr="00C84725">
        <w:t>To maximize response rates, data collection forms are designed to be easily completed, and instructions are written to be clear, concise, and easily understood.</w:t>
      </w:r>
      <w:r>
        <w:t xml:space="preserve"> </w:t>
      </w:r>
      <w:r w:rsidRPr="00C84725">
        <w:t>Forms and instructions are m</w:t>
      </w:r>
      <w:r>
        <w:t xml:space="preserve">ade available on the EIA website. </w:t>
      </w:r>
    </w:p>
    <w:p w:rsidR="00D84D1C" w:rsidRPr="00C84725" w:rsidP="00D84D1C" w14:paraId="58C2528D" w14:textId="77777777">
      <w:r w:rsidRPr="00C84725">
        <w:t xml:space="preserve">Respondents who do not report any data for a given survey form </w:t>
      </w:r>
      <w:r w:rsidRPr="00C84725">
        <w:t>in a given</w:t>
      </w:r>
      <w:r w:rsidRPr="00C84725">
        <w:t xml:space="preserve"> collection period are considered “non-respondents” for the PSRS.</w:t>
      </w:r>
      <w:r>
        <w:t xml:space="preserve"> </w:t>
      </w:r>
      <w:r w:rsidRPr="00C84725">
        <w:t>Automated email messages are sent out to any respondent who has not reported by the relevant submission deadline.</w:t>
      </w:r>
      <w:r>
        <w:t xml:space="preserve"> </w:t>
      </w:r>
      <w:r w:rsidRPr="00C84725">
        <w:t>EIA staff also contact survey non-respondents by telephone to discuss the requirement to file and any problems or questions that are delaying filing.</w:t>
      </w:r>
      <w:r>
        <w:t xml:space="preserve"> </w:t>
      </w:r>
      <w:r w:rsidRPr="00C84725">
        <w:t>Follow-up letters regarding the failure to file may be sent by email message to respondents who show persistent problems with non-response.</w:t>
      </w:r>
    </w:p>
    <w:p w:rsidR="00D84D1C" w:rsidP="00D84D1C" w14:paraId="31E5DD44" w14:textId="276709C1">
      <w:r>
        <w:t xml:space="preserve">Specific schedules are followed for telephone calls and letters to non-respondents for the various PSRS surveys. Every effort is made to assist respondents in completing the survey and submitting the data in a timely manner. </w:t>
      </w:r>
      <w:r w:rsidRPr="00C67143">
        <w:t>The 202</w:t>
      </w:r>
      <w:r w:rsidRPr="00C67143" w:rsidR="36B42102">
        <w:t>4</w:t>
      </w:r>
      <w:r w:rsidRPr="00C67143">
        <w:t xml:space="preserve"> response rate for PSRS surveys averaged 9</w:t>
      </w:r>
      <w:r w:rsidRPr="00C67143" w:rsidR="7FD67955">
        <w:t>5</w:t>
      </w:r>
      <w:r w:rsidRPr="00C67143">
        <w:t xml:space="preserve"> -100 percent.</w:t>
      </w:r>
      <w:r>
        <w:t xml:space="preserve"> </w:t>
      </w:r>
    </w:p>
    <w:p w:rsidR="00D84D1C" w:rsidRPr="00A1720B" w:rsidP="00D84D1C" w14:paraId="1F80B11F" w14:textId="77777777">
      <w:pPr>
        <w:rPr>
          <w:color w:val="00B0F0"/>
          <w:szCs w:val="24"/>
        </w:rPr>
      </w:pPr>
      <w:r w:rsidRPr="00A1720B">
        <w:rPr>
          <w:color w:val="00B0F0"/>
          <w:szCs w:val="24"/>
        </w:rPr>
        <w:t xml:space="preserve">Average Annual Response Rates for PSRS </w:t>
      </w:r>
    </w:p>
    <w:tbl>
      <w:tblPr>
        <w:tblW w:w="81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2"/>
        <w:gridCol w:w="945"/>
        <w:gridCol w:w="945"/>
        <w:gridCol w:w="945"/>
        <w:gridCol w:w="945"/>
        <w:gridCol w:w="945"/>
        <w:gridCol w:w="945"/>
        <w:gridCol w:w="945"/>
      </w:tblGrid>
      <w:tr w14:paraId="55389B62" w14:textId="77777777">
        <w:tblPrEx>
          <w:tblW w:w="81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512" w:type="dxa"/>
            <w:shd w:val="clear" w:color="auto" w:fill="D9D9D9"/>
            <w:vAlign w:val="center"/>
          </w:tcPr>
          <w:p w:rsidR="00D84D1C" w:rsidRPr="00DF514C" w14:paraId="2717C668" w14:textId="77777777">
            <w:pPr>
              <w:widowControl w:val="0"/>
              <w:autoSpaceDE w:val="0"/>
              <w:autoSpaceDN w:val="0"/>
              <w:adjustRightInd w:val="0"/>
              <w:spacing w:after="0" w:line="240" w:lineRule="auto"/>
              <w:rPr>
                <w:sz w:val="20"/>
                <w:szCs w:val="18"/>
              </w:rPr>
            </w:pPr>
            <w:r>
              <w:rPr>
                <w:sz w:val="20"/>
                <w:szCs w:val="18"/>
              </w:rPr>
              <w:t xml:space="preserve">Weekly </w:t>
            </w:r>
            <w:r w:rsidRPr="00DF514C">
              <w:rPr>
                <w:sz w:val="20"/>
                <w:szCs w:val="18"/>
              </w:rPr>
              <w:t>Survey</w:t>
            </w:r>
          </w:p>
        </w:tc>
        <w:tc>
          <w:tcPr>
            <w:tcW w:w="945" w:type="dxa"/>
            <w:shd w:val="clear" w:color="auto" w:fill="D9D9D9"/>
            <w:vAlign w:val="center"/>
          </w:tcPr>
          <w:p w:rsidR="00D84D1C" w:rsidRPr="00DF514C" w14:paraId="56235CF2" w14:textId="77777777">
            <w:pPr>
              <w:widowControl w:val="0"/>
              <w:autoSpaceDE w:val="0"/>
              <w:autoSpaceDN w:val="0"/>
              <w:adjustRightInd w:val="0"/>
              <w:spacing w:after="0" w:line="240" w:lineRule="auto"/>
              <w:jc w:val="center"/>
              <w:rPr>
                <w:sz w:val="20"/>
                <w:szCs w:val="18"/>
              </w:rPr>
            </w:pPr>
            <w:r w:rsidRPr="00DF514C">
              <w:rPr>
                <w:sz w:val="20"/>
                <w:szCs w:val="18"/>
              </w:rPr>
              <w:t>EIA-800</w:t>
            </w:r>
          </w:p>
        </w:tc>
        <w:tc>
          <w:tcPr>
            <w:tcW w:w="945" w:type="dxa"/>
            <w:shd w:val="clear" w:color="auto" w:fill="D9D9D9"/>
            <w:vAlign w:val="center"/>
          </w:tcPr>
          <w:p w:rsidR="00D84D1C" w:rsidRPr="00DF514C" w14:paraId="25B18F99" w14:textId="77777777">
            <w:pPr>
              <w:widowControl w:val="0"/>
              <w:autoSpaceDE w:val="0"/>
              <w:autoSpaceDN w:val="0"/>
              <w:adjustRightInd w:val="0"/>
              <w:spacing w:after="58" w:line="240" w:lineRule="auto"/>
              <w:jc w:val="center"/>
              <w:rPr>
                <w:rFonts w:eastAsia="Times New Roman"/>
                <w:b/>
                <w:color w:val="000000"/>
                <w:sz w:val="20"/>
                <w:szCs w:val="18"/>
              </w:rPr>
            </w:pPr>
            <w:r w:rsidRPr="00DF514C">
              <w:rPr>
                <w:sz w:val="20"/>
                <w:szCs w:val="18"/>
              </w:rPr>
              <w:t>EIA-802</w:t>
            </w:r>
          </w:p>
        </w:tc>
        <w:tc>
          <w:tcPr>
            <w:tcW w:w="945" w:type="dxa"/>
            <w:shd w:val="clear" w:color="auto" w:fill="D9D9D9"/>
            <w:vAlign w:val="center"/>
          </w:tcPr>
          <w:p w:rsidR="00D84D1C" w:rsidRPr="00DF514C" w14:paraId="27DEB8B3" w14:textId="77777777">
            <w:pPr>
              <w:widowControl w:val="0"/>
              <w:autoSpaceDE w:val="0"/>
              <w:autoSpaceDN w:val="0"/>
              <w:adjustRightInd w:val="0"/>
              <w:spacing w:after="58" w:line="240" w:lineRule="auto"/>
              <w:jc w:val="center"/>
              <w:rPr>
                <w:rFonts w:eastAsia="Times New Roman"/>
                <w:b/>
                <w:color w:val="000000"/>
                <w:sz w:val="20"/>
                <w:szCs w:val="18"/>
              </w:rPr>
            </w:pPr>
            <w:r w:rsidRPr="00DF514C">
              <w:rPr>
                <w:sz w:val="20"/>
                <w:szCs w:val="18"/>
              </w:rPr>
              <w:t>EIA-803</w:t>
            </w:r>
          </w:p>
        </w:tc>
        <w:tc>
          <w:tcPr>
            <w:tcW w:w="945" w:type="dxa"/>
            <w:shd w:val="clear" w:color="auto" w:fill="D9D9D9"/>
            <w:vAlign w:val="center"/>
          </w:tcPr>
          <w:p w:rsidR="00D84D1C" w:rsidRPr="00DF514C" w14:paraId="266075E2" w14:textId="77777777">
            <w:pPr>
              <w:widowControl w:val="0"/>
              <w:autoSpaceDE w:val="0"/>
              <w:autoSpaceDN w:val="0"/>
              <w:adjustRightInd w:val="0"/>
              <w:spacing w:after="58" w:line="240" w:lineRule="auto"/>
              <w:jc w:val="center"/>
              <w:rPr>
                <w:rFonts w:eastAsia="Times New Roman"/>
                <w:b/>
                <w:color w:val="000000"/>
                <w:sz w:val="20"/>
                <w:szCs w:val="18"/>
              </w:rPr>
            </w:pPr>
            <w:r w:rsidRPr="00DF514C">
              <w:rPr>
                <w:sz w:val="20"/>
                <w:szCs w:val="18"/>
              </w:rPr>
              <w:t>EIA-804</w:t>
            </w:r>
          </w:p>
        </w:tc>
        <w:tc>
          <w:tcPr>
            <w:tcW w:w="945" w:type="dxa"/>
            <w:shd w:val="clear" w:color="auto" w:fill="D9D9D9"/>
            <w:vAlign w:val="center"/>
          </w:tcPr>
          <w:p w:rsidR="00D84D1C" w:rsidRPr="00DF514C" w14:paraId="5D97242F" w14:textId="77777777">
            <w:pPr>
              <w:widowControl w:val="0"/>
              <w:autoSpaceDE w:val="0"/>
              <w:autoSpaceDN w:val="0"/>
              <w:adjustRightInd w:val="0"/>
              <w:spacing w:after="58" w:line="240" w:lineRule="auto"/>
              <w:jc w:val="center"/>
              <w:rPr>
                <w:rFonts w:eastAsia="Times New Roman"/>
                <w:b/>
                <w:color w:val="000000"/>
                <w:sz w:val="20"/>
                <w:szCs w:val="18"/>
              </w:rPr>
            </w:pPr>
            <w:r w:rsidRPr="00DF514C">
              <w:rPr>
                <w:sz w:val="20"/>
                <w:szCs w:val="18"/>
              </w:rPr>
              <w:t>EIA-805</w:t>
            </w:r>
          </w:p>
        </w:tc>
        <w:tc>
          <w:tcPr>
            <w:tcW w:w="945" w:type="dxa"/>
            <w:shd w:val="clear" w:color="auto" w:fill="D9D9D9"/>
          </w:tcPr>
          <w:p w:rsidR="00D84D1C" w:rsidRPr="00DF514C" w14:paraId="61FEDDF5" w14:textId="4B00E83F">
            <w:pPr>
              <w:widowControl w:val="0"/>
              <w:autoSpaceDE w:val="0"/>
              <w:autoSpaceDN w:val="0"/>
              <w:adjustRightInd w:val="0"/>
              <w:spacing w:after="58" w:line="240" w:lineRule="auto"/>
              <w:jc w:val="center"/>
              <w:rPr>
                <w:sz w:val="20"/>
                <w:szCs w:val="18"/>
              </w:rPr>
            </w:pPr>
            <w:r>
              <w:rPr>
                <w:sz w:val="20"/>
                <w:szCs w:val="18"/>
              </w:rPr>
              <w:t>EIA-806</w:t>
            </w:r>
          </w:p>
        </w:tc>
        <w:tc>
          <w:tcPr>
            <w:tcW w:w="945" w:type="dxa"/>
            <w:shd w:val="clear" w:color="auto" w:fill="D9D9D9"/>
            <w:vAlign w:val="center"/>
          </w:tcPr>
          <w:p w:rsidR="00D84D1C" w:rsidRPr="00DF514C" w14:paraId="0A540B0D" w14:textId="2F9AD58A">
            <w:pPr>
              <w:widowControl w:val="0"/>
              <w:autoSpaceDE w:val="0"/>
              <w:autoSpaceDN w:val="0"/>
              <w:adjustRightInd w:val="0"/>
              <w:spacing w:after="58" w:line="240" w:lineRule="auto"/>
              <w:jc w:val="center"/>
              <w:rPr>
                <w:sz w:val="20"/>
                <w:szCs w:val="18"/>
              </w:rPr>
            </w:pPr>
            <w:r w:rsidRPr="00DF514C">
              <w:rPr>
                <w:sz w:val="20"/>
                <w:szCs w:val="18"/>
              </w:rPr>
              <w:t>EIA-809</w:t>
            </w:r>
          </w:p>
        </w:tc>
      </w:tr>
      <w:tr w14:paraId="070B9FCD" w14:textId="77777777">
        <w:tblPrEx>
          <w:tblW w:w="8127" w:type="dxa"/>
          <w:tblInd w:w="-5" w:type="dxa"/>
          <w:tblLayout w:type="fixed"/>
          <w:tblLook w:val="0000"/>
        </w:tblPrEx>
        <w:tc>
          <w:tcPr>
            <w:tcW w:w="1512" w:type="dxa"/>
            <w:shd w:val="clear" w:color="auto" w:fill="D9D9D9"/>
            <w:vAlign w:val="center"/>
          </w:tcPr>
          <w:p w:rsidR="00D84D1C" w:rsidRPr="00C67143" w14:paraId="77ADD823" w14:textId="77777777">
            <w:pPr>
              <w:widowControl w:val="0"/>
              <w:autoSpaceDE w:val="0"/>
              <w:autoSpaceDN w:val="0"/>
              <w:adjustRightInd w:val="0"/>
              <w:spacing w:after="0" w:line="240" w:lineRule="auto"/>
              <w:rPr>
                <w:sz w:val="20"/>
                <w:szCs w:val="18"/>
              </w:rPr>
            </w:pPr>
            <w:r w:rsidRPr="00C67143">
              <w:rPr>
                <w:sz w:val="20"/>
                <w:szCs w:val="18"/>
              </w:rPr>
              <w:t>Response Rate</w:t>
            </w:r>
          </w:p>
        </w:tc>
        <w:tc>
          <w:tcPr>
            <w:tcW w:w="945" w:type="dxa"/>
            <w:vAlign w:val="center"/>
          </w:tcPr>
          <w:p w:rsidR="00D84D1C" w:rsidRPr="00C67143" w14:paraId="6349B93D" w14:textId="54B88F36">
            <w:pPr>
              <w:widowControl w:val="0"/>
              <w:autoSpaceDE w:val="0"/>
              <w:autoSpaceDN w:val="0"/>
              <w:adjustRightInd w:val="0"/>
              <w:spacing w:after="0" w:line="240" w:lineRule="auto"/>
              <w:jc w:val="center"/>
              <w:rPr>
                <w:sz w:val="20"/>
                <w:szCs w:val="20"/>
              </w:rPr>
            </w:pPr>
            <w:r w:rsidRPr="00C67143">
              <w:rPr>
                <w:sz w:val="20"/>
                <w:szCs w:val="20"/>
              </w:rPr>
              <w:t>99</w:t>
            </w:r>
            <w:r w:rsidRPr="00C67143" w:rsidR="1A5B51C8">
              <w:rPr>
                <w:sz w:val="20"/>
                <w:szCs w:val="20"/>
              </w:rPr>
              <w:t>.96</w:t>
            </w:r>
            <w:r w:rsidRPr="00C67143">
              <w:rPr>
                <w:sz w:val="20"/>
                <w:szCs w:val="20"/>
              </w:rPr>
              <w:t>%</w:t>
            </w:r>
          </w:p>
        </w:tc>
        <w:tc>
          <w:tcPr>
            <w:tcW w:w="945" w:type="dxa"/>
            <w:vAlign w:val="center"/>
          </w:tcPr>
          <w:p w:rsidR="00D84D1C" w:rsidRPr="00C67143" w14:paraId="1E544330" w14:textId="391D726A">
            <w:pPr>
              <w:widowControl w:val="0"/>
              <w:autoSpaceDE w:val="0"/>
              <w:autoSpaceDN w:val="0"/>
              <w:adjustRightInd w:val="0"/>
              <w:spacing w:after="58" w:line="240" w:lineRule="auto"/>
              <w:jc w:val="center"/>
              <w:rPr>
                <w:rFonts w:eastAsia="Times New Roman"/>
                <w:color w:val="000000"/>
                <w:sz w:val="20"/>
                <w:szCs w:val="20"/>
              </w:rPr>
            </w:pPr>
            <w:r w:rsidRPr="00C67143">
              <w:rPr>
                <w:rFonts w:eastAsia="Times New Roman"/>
                <w:color w:val="000000"/>
                <w:sz w:val="20"/>
                <w:szCs w:val="20"/>
              </w:rPr>
              <w:t>98.08</w:t>
            </w:r>
            <w:r w:rsidRPr="00C67143">
              <w:rPr>
                <w:rFonts w:eastAsia="Times New Roman"/>
                <w:color w:val="000000"/>
                <w:sz w:val="20"/>
                <w:szCs w:val="20"/>
              </w:rPr>
              <w:t>%</w:t>
            </w:r>
          </w:p>
        </w:tc>
        <w:tc>
          <w:tcPr>
            <w:tcW w:w="945" w:type="dxa"/>
            <w:vAlign w:val="center"/>
          </w:tcPr>
          <w:p w:rsidR="00D84D1C" w:rsidRPr="00C67143" w14:paraId="21A23CBD" w14:textId="4EE8C4C7">
            <w:pPr>
              <w:widowControl w:val="0"/>
              <w:autoSpaceDE w:val="0"/>
              <w:autoSpaceDN w:val="0"/>
              <w:adjustRightInd w:val="0"/>
              <w:spacing w:after="58" w:line="240" w:lineRule="auto"/>
              <w:jc w:val="center"/>
              <w:rPr>
                <w:rFonts w:eastAsia="Times New Roman"/>
                <w:color w:val="000000"/>
                <w:sz w:val="20"/>
                <w:szCs w:val="20"/>
              </w:rPr>
            </w:pPr>
            <w:r w:rsidRPr="00C67143">
              <w:rPr>
                <w:rFonts w:eastAsia="Times New Roman"/>
                <w:color w:val="000000"/>
                <w:sz w:val="20"/>
                <w:szCs w:val="20"/>
              </w:rPr>
              <w:t>9</w:t>
            </w:r>
            <w:r w:rsidRPr="00C67143" w:rsidR="067C9BFC">
              <w:rPr>
                <w:rFonts w:eastAsia="Times New Roman"/>
                <w:color w:val="000000"/>
                <w:sz w:val="20"/>
                <w:szCs w:val="20"/>
              </w:rPr>
              <w:t>8.08</w:t>
            </w:r>
            <w:r w:rsidRPr="00C67143">
              <w:rPr>
                <w:rFonts w:eastAsia="Times New Roman"/>
                <w:color w:val="000000"/>
                <w:sz w:val="20"/>
                <w:szCs w:val="20"/>
              </w:rPr>
              <w:t>%</w:t>
            </w:r>
          </w:p>
        </w:tc>
        <w:tc>
          <w:tcPr>
            <w:tcW w:w="945" w:type="dxa"/>
            <w:vAlign w:val="center"/>
          </w:tcPr>
          <w:p w:rsidR="00D84D1C" w:rsidRPr="00C67143" w14:paraId="6800F041" w14:textId="25DD698C">
            <w:pPr>
              <w:widowControl w:val="0"/>
              <w:autoSpaceDE w:val="0"/>
              <w:autoSpaceDN w:val="0"/>
              <w:adjustRightInd w:val="0"/>
              <w:spacing w:after="58" w:line="240" w:lineRule="auto"/>
              <w:jc w:val="center"/>
              <w:rPr>
                <w:rFonts w:eastAsia="Times New Roman"/>
                <w:color w:val="000000"/>
                <w:sz w:val="20"/>
                <w:szCs w:val="20"/>
              </w:rPr>
            </w:pPr>
            <w:r w:rsidRPr="00C67143">
              <w:rPr>
                <w:rFonts w:eastAsia="Times New Roman"/>
                <w:color w:val="000000"/>
                <w:sz w:val="20"/>
                <w:szCs w:val="20"/>
              </w:rPr>
              <w:t>100</w:t>
            </w:r>
            <w:r w:rsidRPr="00C67143">
              <w:rPr>
                <w:rFonts w:eastAsia="Times New Roman"/>
                <w:color w:val="000000"/>
                <w:sz w:val="20"/>
                <w:szCs w:val="20"/>
              </w:rPr>
              <w:t>%</w:t>
            </w:r>
          </w:p>
        </w:tc>
        <w:tc>
          <w:tcPr>
            <w:tcW w:w="945" w:type="dxa"/>
            <w:vAlign w:val="center"/>
          </w:tcPr>
          <w:p w:rsidR="00D84D1C" w:rsidRPr="00C67143" w14:paraId="070DE667" w14:textId="4165C0E2">
            <w:pPr>
              <w:widowControl w:val="0"/>
              <w:autoSpaceDE w:val="0"/>
              <w:autoSpaceDN w:val="0"/>
              <w:adjustRightInd w:val="0"/>
              <w:spacing w:after="58" w:line="240" w:lineRule="auto"/>
              <w:jc w:val="center"/>
              <w:rPr>
                <w:rFonts w:eastAsia="Times New Roman"/>
                <w:color w:val="000000"/>
                <w:sz w:val="20"/>
                <w:szCs w:val="20"/>
              </w:rPr>
            </w:pPr>
            <w:r w:rsidRPr="00C67143">
              <w:rPr>
                <w:rFonts w:eastAsia="Times New Roman"/>
                <w:color w:val="000000"/>
                <w:sz w:val="20"/>
                <w:szCs w:val="20"/>
              </w:rPr>
              <w:t>99.88</w:t>
            </w:r>
            <w:r w:rsidRPr="00C67143">
              <w:rPr>
                <w:rFonts w:eastAsia="Times New Roman"/>
                <w:color w:val="000000"/>
                <w:sz w:val="20"/>
                <w:szCs w:val="20"/>
              </w:rPr>
              <w:t>%</w:t>
            </w:r>
          </w:p>
        </w:tc>
        <w:tc>
          <w:tcPr>
            <w:tcW w:w="945" w:type="dxa"/>
          </w:tcPr>
          <w:p w:rsidR="00D84D1C" w:rsidRPr="00C67143" w14:paraId="567105BD" w14:textId="5270053C">
            <w:pPr>
              <w:widowControl w:val="0"/>
              <w:autoSpaceDE w:val="0"/>
              <w:autoSpaceDN w:val="0"/>
              <w:adjustRightInd w:val="0"/>
              <w:spacing w:after="58" w:line="240" w:lineRule="auto"/>
              <w:jc w:val="center"/>
              <w:rPr>
                <w:rFonts w:eastAsia="Times New Roman"/>
                <w:color w:val="000000"/>
                <w:sz w:val="20"/>
                <w:szCs w:val="20"/>
              </w:rPr>
            </w:pPr>
            <w:r w:rsidRPr="00C67143">
              <w:rPr>
                <w:rFonts w:eastAsia="Times New Roman"/>
                <w:color w:val="000000"/>
                <w:sz w:val="20"/>
                <w:szCs w:val="20"/>
              </w:rPr>
              <w:t>95.23</w:t>
            </w:r>
          </w:p>
        </w:tc>
        <w:tc>
          <w:tcPr>
            <w:tcW w:w="945" w:type="dxa"/>
            <w:vAlign w:val="center"/>
          </w:tcPr>
          <w:p w:rsidR="00D84D1C" w:rsidRPr="00DF514C" w14:paraId="3B4CA967" w14:textId="31E1B9CA">
            <w:pPr>
              <w:widowControl w:val="0"/>
              <w:autoSpaceDE w:val="0"/>
              <w:autoSpaceDN w:val="0"/>
              <w:adjustRightInd w:val="0"/>
              <w:spacing w:after="58" w:line="240" w:lineRule="auto"/>
              <w:jc w:val="center"/>
              <w:rPr>
                <w:rFonts w:eastAsia="Times New Roman"/>
                <w:color w:val="000000"/>
                <w:sz w:val="20"/>
                <w:szCs w:val="20"/>
              </w:rPr>
            </w:pPr>
            <w:r w:rsidRPr="00C67143">
              <w:rPr>
                <w:rFonts w:eastAsia="Times New Roman"/>
                <w:color w:val="000000"/>
                <w:sz w:val="20"/>
                <w:szCs w:val="20"/>
              </w:rPr>
              <w:t>99</w:t>
            </w:r>
            <w:r w:rsidRPr="00C67143" w:rsidR="1D6C044B">
              <w:rPr>
                <w:rFonts w:eastAsia="Times New Roman"/>
                <w:color w:val="000000"/>
                <w:sz w:val="20"/>
                <w:szCs w:val="20"/>
              </w:rPr>
              <w:t>.92</w:t>
            </w:r>
            <w:r w:rsidRPr="00C67143">
              <w:rPr>
                <w:rFonts w:eastAsia="Times New Roman"/>
                <w:color w:val="000000"/>
                <w:sz w:val="20"/>
                <w:szCs w:val="20"/>
              </w:rPr>
              <w:t>%</w:t>
            </w:r>
          </w:p>
        </w:tc>
      </w:tr>
    </w:tbl>
    <w:p w:rsidR="00D84D1C" w:rsidP="00D84D1C" w14:paraId="27CF43CC" w14:textId="77777777">
      <w:pPr>
        <w:rPr>
          <w:szCs w:val="24"/>
        </w:rPr>
      </w:pPr>
    </w:p>
    <w:tbl>
      <w:tblPr>
        <w:tblW w:w="95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2"/>
        <w:gridCol w:w="945"/>
        <w:gridCol w:w="865"/>
        <w:gridCol w:w="945"/>
        <w:gridCol w:w="865"/>
        <w:gridCol w:w="865"/>
        <w:gridCol w:w="865"/>
        <w:gridCol w:w="865"/>
        <w:gridCol w:w="865"/>
        <w:gridCol w:w="945"/>
      </w:tblGrid>
      <w:tr w14:paraId="1AFAD91F" w14:textId="77777777">
        <w:tblPrEx>
          <w:tblW w:w="95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512" w:type="dxa"/>
            <w:shd w:val="clear" w:color="auto" w:fill="D9D9D9"/>
            <w:vAlign w:val="center"/>
          </w:tcPr>
          <w:p w:rsidR="00D84D1C" w:rsidRPr="00DF514C" w14:paraId="5568BBC1" w14:textId="77777777">
            <w:pPr>
              <w:widowControl w:val="0"/>
              <w:autoSpaceDE w:val="0"/>
              <w:autoSpaceDN w:val="0"/>
              <w:adjustRightInd w:val="0"/>
              <w:spacing w:after="0" w:line="240" w:lineRule="auto"/>
              <w:rPr>
                <w:sz w:val="20"/>
                <w:szCs w:val="18"/>
              </w:rPr>
            </w:pPr>
            <w:r w:rsidRPr="00DF514C">
              <w:rPr>
                <w:sz w:val="20"/>
                <w:szCs w:val="18"/>
              </w:rPr>
              <w:t>Survey</w:t>
            </w:r>
          </w:p>
        </w:tc>
        <w:tc>
          <w:tcPr>
            <w:tcW w:w="945" w:type="dxa"/>
            <w:shd w:val="clear" w:color="auto" w:fill="D9D9D9"/>
            <w:vAlign w:val="center"/>
          </w:tcPr>
          <w:p w:rsidR="00D84D1C" w:rsidRPr="00DF514C" w14:paraId="2DF7C25E" w14:textId="77777777">
            <w:pPr>
              <w:widowControl w:val="0"/>
              <w:autoSpaceDE w:val="0"/>
              <w:autoSpaceDN w:val="0"/>
              <w:adjustRightInd w:val="0"/>
              <w:spacing w:after="0" w:line="240" w:lineRule="auto"/>
              <w:jc w:val="center"/>
              <w:rPr>
                <w:sz w:val="20"/>
                <w:szCs w:val="18"/>
              </w:rPr>
            </w:pPr>
            <w:r w:rsidRPr="00DF514C">
              <w:rPr>
                <w:sz w:val="20"/>
                <w:szCs w:val="18"/>
              </w:rPr>
              <w:t>EIA-810</w:t>
            </w:r>
          </w:p>
        </w:tc>
        <w:tc>
          <w:tcPr>
            <w:tcW w:w="865" w:type="dxa"/>
            <w:shd w:val="clear" w:color="auto" w:fill="D9D9D9"/>
            <w:vAlign w:val="center"/>
          </w:tcPr>
          <w:p w:rsidR="00D84D1C" w:rsidRPr="00DF514C" w14:paraId="14E84F2B" w14:textId="77777777">
            <w:pPr>
              <w:widowControl w:val="0"/>
              <w:autoSpaceDE w:val="0"/>
              <w:autoSpaceDN w:val="0"/>
              <w:adjustRightInd w:val="0"/>
              <w:spacing w:after="58" w:line="240" w:lineRule="auto"/>
              <w:jc w:val="center"/>
              <w:rPr>
                <w:rFonts w:eastAsia="Times New Roman"/>
                <w:b/>
                <w:color w:val="000000"/>
                <w:sz w:val="20"/>
                <w:szCs w:val="18"/>
              </w:rPr>
            </w:pPr>
            <w:r w:rsidRPr="00DF514C">
              <w:rPr>
                <w:sz w:val="20"/>
                <w:szCs w:val="18"/>
              </w:rPr>
              <w:t>EIA-812</w:t>
            </w:r>
          </w:p>
        </w:tc>
        <w:tc>
          <w:tcPr>
            <w:tcW w:w="945" w:type="dxa"/>
            <w:shd w:val="clear" w:color="auto" w:fill="D9D9D9"/>
            <w:vAlign w:val="center"/>
          </w:tcPr>
          <w:p w:rsidR="00D84D1C" w:rsidRPr="00DF514C" w14:paraId="2F31CEE2" w14:textId="77777777">
            <w:pPr>
              <w:widowControl w:val="0"/>
              <w:autoSpaceDE w:val="0"/>
              <w:autoSpaceDN w:val="0"/>
              <w:adjustRightInd w:val="0"/>
              <w:spacing w:after="58" w:line="240" w:lineRule="auto"/>
              <w:jc w:val="center"/>
              <w:rPr>
                <w:rFonts w:eastAsia="Times New Roman"/>
                <w:b/>
                <w:color w:val="000000"/>
                <w:sz w:val="20"/>
                <w:szCs w:val="18"/>
              </w:rPr>
            </w:pPr>
            <w:r w:rsidRPr="00DF514C">
              <w:rPr>
                <w:sz w:val="20"/>
                <w:szCs w:val="18"/>
              </w:rPr>
              <w:t>EIA-813</w:t>
            </w:r>
          </w:p>
        </w:tc>
        <w:tc>
          <w:tcPr>
            <w:tcW w:w="865" w:type="dxa"/>
            <w:shd w:val="clear" w:color="auto" w:fill="D9D9D9"/>
            <w:vAlign w:val="center"/>
          </w:tcPr>
          <w:p w:rsidR="00D84D1C" w:rsidRPr="00DF514C" w14:paraId="24DA78AA" w14:textId="77777777">
            <w:pPr>
              <w:widowControl w:val="0"/>
              <w:autoSpaceDE w:val="0"/>
              <w:autoSpaceDN w:val="0"/>
              <w:adjustRightInd w:val="0"/>
              <w:spacing w:after="58" w:line="240" w:lineRule="auto"/>
              <w:jc w:val="center"/>
              <w:rPr>
                <w:rFonts w:eastAsia="Times New Roman"/>
                <w:b/>
                <w:color w:val="000000"/>
                <w:sz w:val="20"/>
                <w:szCs w:val="18"/>
              </w:rPr>
            </w:pPr>
            <w:r w:rsidRPr="00DF514C">
              <w:rPr>
                <w:sz w:val="20"/>
                <w:szCs w:val="18"/>
              </w:rPr>
              <w:t>EIA-814</w:t>
            </w:r>
          </w:p>
        </w:tc>
        <w:tc>
          <w:tcPr>
            <w:tcW w:w="865" w:type="dxa"/>
            <w:shd w:val="clear" w:color="auto" w:fill="D9D9D9"/>
            <w:vAlign w:val="center"/>
          </w:tcPr>
          <w:p w:rsidR="00D84D1C" w:rsidRPr="00DF514C" w14:paraId="6C53CCF3" w14:textId="77777777">
            <w:pPr>
              <w:widowControl w:val="0"/>
              <w:autoSpaceDE w:val="0"/>
              <w:autoSpaceDN w:val="0"/>
              <w:adjustRightInd w:val="0"/>
              <w:spacing w:after="58" w:line="240" w:lineRule="auto"/>
              <w:jc w:val="center"/>
              <w:rPr>
                <w:rFonts w:eastAsia="Times New Roman"/>
                <w:b/>
                <w:color w:val="000000"/>
                <w:sz w:val="20"/>
                <w:szCs w:val="18"/>
              </w:rPr>
            </w:pPr>
            <w:r w:rsidRPr="00DF514C">
              <w:rPr>
                <w:sz w:val="20"/>
                <w:szCs w:val="18"/>
              </w:rPr>
              <w:t>EIA-815</w:t>
            </w:r>
          </w:p>
        </w:tc>
        <w:tc>
          <w:tcPr>
            <w:tcW w:w="865" w:type="dxa"/>
            <w:shd w:val="clear" w:color="auto" w:fill="D9D9D9"/>
            <w:vAlign w:val="center"/>
          </w:tcPr>
          <w:p w:rsidR="00D84D1C" w:rsidRPr="00DF514C" w14:paraId="65EA7325" w14:textId="77777777">
            <w:pPr>
              <w:widowControl w:val="0"/>
              <w:autoSpaceDE w:val="0"/>
              <w:autoSpaceDN w:val="0"/>
              <w:adjustRightInd w:val="0"/>
              <w:spacing w:after="58" w:line="240" w:lineRule="auto"/>
              <w:jc w:val="center"/>
              <w:rPr>
                <w:sz w:val="20"/>
                <w:szCs w:val="18"/>
              </w:rPr>
            </w:pPr>
            <w:r w:rsidRPr="00DF514C">
              <w:rPr>
                <w:sz w:val="20"/>
                <w:szCs w:val="18"/>
              </w:rPr>
              <w:t>EIA-816</w:t>
            </w:r>
          </w:p>
        </w:tc>
        <w:tc>
          <w:tcPr>
            <w:tcW w:w="865" w:type="dxa"/>
            <w:shd w:val="clear" w:color="auto" w:fill="D9D9D9"/>
            <w:vAlign w:val="center"/>
          </w:tcPr>
          <w:p w:rsidR="00D84D1C" w:rsidRPr="00DF514C" w14:paraId="6E504FCB" w14:textId="77777777">
            <w:pPr>
              <w:widowControl w:val="0"/>
              <w:autoSpaceDE w:val="0"/>
              <w:autoSpaceDN w:val="0"/>
              <w:adjustRightInd w:val="0"/>
              <w:spacing w:after="58" w:line="240" w:lineRule="auto"/>
              <w:jc w:val="center"/>
              <w:rPr>
                <w:sz w:val="20"/>
                <w:szCs w:val="18"/>
              </w:rPr>
            </w:pPr>
            <w:r w:rsidRPr="00DF514C">
              <w:rPr>
                <w:sz w:val="20"/>
                <w:szCs w:val="18"/>
              </w:rPr>
              <w:t>EIA-817</w:t>
            </w:r>
          </w:p>
        </w:tc>
        <w:tc>
          <w:tcPr>
            <w:tcW w:w="865" w:type="dxa"/>
            <w:shd w:val="clear" w:color="auto" w:fill="D9D9D9"/>
            <w:vAlign w:val="center"/>
          </w:tcPr>
          <w:p w:rsidR="00D84D1C" w:rsidRPr="00DF514C" w14:paraId="1A121A88" w14:textId="77777777">
            <w:pPr>
              <w:widowControl w:val="0"/>
              <w:autoSpaceDE w:val="0"/>
              <w:autoSpaceDN w:val="0"/>
              <w:adjustRightInd w:val="0"/>
              <w:spacing w:after="58" w:line="240" w:lineRule="auto"/>
              <w:jc w:val="center"/>
              <w:rPr>
                <w:sz w:val="20"/>
                <w:szCs w:val="18"/>
              </w:rPr>
            </w:pPr>
            <w:r w:rsidRPr="00DF514C">
              <w:rPr>
                <w:sz w:val="20"/>
                <w:szCs w:val="18"/>
              </w:rPr>
              <w:t>EIA-819</w:t>
            </w:r>
          </w:p>
        </w:tc>
        <w:tc>
          <w:tcPr>
            <w:tcW w:w="945" w:type="dxa"/>
            <w:shd w:val="clear" w:color="auto" w:fill="D9D9D9"/>
            <w:vAlign w:val="center"/>
          </w:tcPr>
          <w:p w:rsidR="00D84D1C" w:rsidRPr="00DF514C" w14:paraId="43908994" w14:textId="77777777">
            <w:pPr>
              <w:widowControl w:val="0"/>
              <w:autoSpaceDE w:val="0"/>
              <w:autoSpaceDN w:val="0"/>
              <w:adjustRightInd w:val="0"/>
              <w:spacing w:after="58" w:line="240" w:lineRule="auto"/>
              <w:jc w:val="center"/>
              <w:rPr>
                <w:sz w:val="20"/>
                <w:szCs w:val="18"/>
              </w:rPr>
            </w:pPr>
            <w:r w:rsidRPr="00DF514C">
              <w:rPr>
                <w:sz w:val="20"/>
                <w:szCs w:val="18"/>
              </w:rPr>
              <w:t>EIA-820</w:t>
            </w:r>
          </w:p>
        </w:tc>
      </w:tr>
      <w:tr w14:paraId="707002BC" w14:textId="77777777">
        <w:tblPrEx>
          <w:tblW w:w="9537" w:type="dxa"/>
          <w:tblInd w:w="-5" w:type="dxa"/>
          <w:tblLayout w:type="fixed"/>
          <w:tblLook w:val="0000"/>
        </w:tblPrEx>
        <w:tc>
          <w:tcPr>
            <w:tcW w:w="1512" w:type="dxa"/>
            <w:shd w:val="clear" w:color="auto" w:fill="D9D9D9"/>
            <w:vAlign w:val="center"/>
          </w:tcPr>
          <w:p w:rsidR="00D84D1C" w:rsidRPr="00C67143" w14:paraId="24683263" w14:textId="77777777">
            <w:pPr>
              <w:widowControl w:val="0"/>
              <w:autoSpaceDE w:val="0"/>
              <w:autoSpaceDN w:val="0"/>
              <w:adjustRightInd w:val="0"/>
              <w:spacing w:after="0" w:line="240" w:lineRule="auto"/>
              <w:rPr>
                <w:sz w:val="20"/>
                <w:szCs w:val="18"/>
              </w:rPr>
            </w:pPr>
            <w:r w:rsidRPr="00C67143">
              <w:rPr>
                <w:sz w:val="20"/>
                <w:szCs w:val="18"/>
              </w:rPr>
              <w:t>Response Rate</w:t>
            </w:r>
          </w:p>
        </w:tc>
        <w:tc>
          <w:tcPr>
            <w:tcW w:w="945" w:type="dxa"/>
            <w:vAlign w:val="center"/>
          </w:tcPr>
          <w:p w:rsidR="00D84D1C" w:rsidRPr="00C67143" w14:paraId="4C61B550" w14:textId="2106117D">
            <w:pPr>
              <w:widowControl w:val="0"/>
              <w:autoSpaceDE w:val="0"/>
              <w:autoSpaceDN w:val="0"/>
              <w:adjustRightInd w:val="0"/>
              <w:spacing w:after="0" w:line="240" w:lineRule="auto"/>
              <w:jc w:val="center"/>
              <w:rPr>
                <w:sz w:val="20"/>
                <w:szCs w:val="20"/>
              </w:rPr>
            </w:pPr>
            <w:r w:rsidRPr="00C67143">
              <w:rPr>
                <w:sz w:val="20"/>
                <w:szCs w:val="20"/>
              </w:rPr>
              <w:t>99</w:t>
            </w:r>
            <w:r w:rsidRPr="00C67143" w:rsidR="5757CE6B">
              <w:rPr>
                <w:sz w:val="20"/>
                <w:szCs w:val="20"/>
              </w:rPr>
              <w:t>.7</w:t>
            </w:r>
            <w:r w:rsidRPr="00C67143">
              <w:rPr>
                <w:sz w:val="20"/>
                <w:szCs w:val="20"/>
              </w:rPr>
              <w:t>%</w:t>
            </w:r>
          </w:p>
        </w:tc>
        <w:tc>
          <w:tcPr>
            <w:tcW w:w="865" w:type="dxa"/>
            <w:vAlign w:val="center"/>
          </w:tcPr>
          <w:p w:rsidR="00D84D1C" w:rsidRPr="00C67143" w14:paraId="5B75A47D" w14:textId="4DC55766">
            <w:pPr>
              <w:widowControl w:val="0"/>
              <w:autoSpaceDE w:val="0"/>
              <w:autoSpaceDN w:val="0"/>
              <w:adjustRightInd w:val="0"/>
              <w:spacing w:after="58" w:line="240" w:lineRule="auto"/>
              <w:jc w:val="center"/>
              <w:rPr>
                <w:rFonts w:eastAsia="Times New Roman"/>
                <w:color w:val="000000"/>
                <w:sz w:val="20"/>
                <w:szCs w:val="20"/>
              </w:rPr>
            </w:pPr>
            <w:r w:rsidRPr="00C67143">
              <w:rPr>
                <w:rFonts w:eastAsia="Times New Roman"/>
                <w:color w:val="000000"/>
                <w:sz w:val="20"/>
                <w:szCs w:val="20"/>
              </w:rPr>
              <w:t>99.4</w:t>
            </w:r>
            <w:r w:rsidRPr="00C67143">
              <w:rPr>
                <w:rFonts w:eastAsia="Times New Roman"/>
                <w:color w:val="000000"/>
                <w:sz w:val="20"/>
                <w:szCs w:val="20"/>
              </w:rPr>
              <w:t>%</w:t>
            </w:r>
          </w:p>
        </w:tc>
        <w:tc>
          <w:tcPr>
            <w:tcW w:w="945" w:type="dxa"/>
            <w:vAlign w:val="center"/>
          </w:tcPr>
          <w:p w:rsidR="00D84D1C" w:rsidRPr="00C67143" w14:paraId="4B3434DD" w14:textId="1B62BC35">
            <w:pPr>
              <w:widowControl w:val="0"/>
              <w:autoSpaceDE w:val="0"/>
              <w:autoSpaceDN w:val="0"/>
              <w:adjustRightInd w:val="0"/>
              <w:spacing w:after="58" w:line="240" w:lineRule="auto"/>
              <w:jc w:val="center"/>
              <w:rPr>
                <w:rFonts w:eastAsia="Times New Roman"/>
                <w:color w:val="000000"/>
                <w:sz w:val="20"/>
                <w:szCs w:val="20"/>
              </w:rPr>
            </w:pPr>
            <w:r w:rsidRPr="00C67143">
              <w:rPr>
                <w:rFonts w:eastAsia="Times New Roman"/>
                <w:color w:val="000000"/>
                <w:sz w:val="20"/>
                <w:szCs w:val="20"/>
              </w:rPr>
              <w:t>100</w:t>
            </w:r>
            <w:r w:rsidRPr="00C67143">
              <w:rPr>
                <w:rFonts w:eastAsia="Times New Roman"/>
                <w:color w:val="000000"/>
                <w:sz w:val="20"/>
                <w:szCs w:val="20"/>
              </w:rPr>
              <w:t>%</w:t>
            </w:r>
          </w:p>
        </w:tc>
        <w:tc>
          <w:tcPr>
            <w:tcW w:w="865" w:type="dxa"/>
            <w:vAlign w:val="center"/>
          </w:tcPr>
          <w:p w:rsidR="00D84D1C" w:rsidRPr="00C67143" w14:paraId="2CDCD9E1" w14:textId="0BD8630B">
            <w:pPr>
              <w:widowControl w:val="0"/>
              <w:autoSpaceDE w:val="0"/>
              <w:autoSpaceDN w:val="0"/>
              <w:adjustRightInd w:val="0"/>
              <w:spacing w:after="58" w:line="240" w:lineRule="auto"/>
              <w:jc w:val="center"/>
              <w:rPr>
                <w:rFonts w:eastAsia="Times New Roman"/>
                <w:color w:val="000000"/>
                <w:sz w:val="20"/>
                <w:szCs w:val="20"/>
              </w:rPr>
            </w:pPr>
            <w:r w:rsidRPr="00C67143">
              <w:rPr>
                <w:rFonts w:eastAsia="Times New Roman"/>
                <w:color w:val="000000"/>
                <w:sz w:val="20"/>
                <w:szCs w:val="20"/>
              </w:rPr>
              <w:t>100</w:t>
            </w:r>
            <w:r w:rsidRPr="00C67143">
              <w:rPr>
                <w:rFonts w:eastAsia="Times New Roman"/>
                <w:color w:val="000000"/>
                <w:sz w:val="20"/>
                <w:szCs w:val="20"/>
              </w:rPr>
              <w:t>%</w:t>
            </w:r>
          </w:p>
        </w:tc>
        <w:tc>
          <w:tcPr>
            <w:tcW w:w="865" w:type="dxa"/>
            <w:vAlign w:val="center"/>
          </w:tcPr>
          <w:p w:rsidR="00D84D1C" w:rsidRPr="00C67143" w14:paraId="2F9F4D2E" w14:textId="65C5AE1A">
            <w:pPr>
              <w:widowControl w:val="0"/>
              <w:autoSpaceDE w:val="0"/>
              <w:autoSpaceDN w:val="0"/>
              <w:adjustRightInd w:val="0"/>
              <w:spacing w:after="58" w:line="240" w:lineRule="auto"/>
              <w:jc w:val="center"/>
              <w:rPr>
                <w:rFonts w:eastAsia="Times New Roman"/>
                <w:color w:val="000000"/>
                <w:sz w:val="20"/>
                <w:szCs w:val="20"/>
              </w:rPr>
            </w:pPr>
            <w:r w:rsidRPr="00C67143">
              <w:rPr>
                <w:rFonts w:eastAsia="Times New Roman"/>
                <w:color w:val="000000"/>
                <w:sz w:val="20"/>
                <w:szCs w:val="20"/>
              </w:rPr>
              <w:t>100</w:t>
            </w:r>
            <w:r w:rsidRPr="00C67143">
              <w:rPr>
                <w:rFonts w:eastAsia="Times New Roman"/>
                <w:color w:val="000000"/>
                <w:sz w:val="20"/>
                <w:szCs w:val="20"/>
              </w:rPr>
              <w:t>%</w:t>
            </w:r>
          </w:p>
        </w:tc>
        <w:tc>
          <w:tcPr>
            <w:tcW w:w="865" w:type="dxa"/>
            <w:vAlign w:val="center"/>
          </w:tcPr>
          <w:p w:rsidR="00D84D1C" w:rsidRPr="00C67143" w14:paraId="0D609948" w14:textId="685D11CC">
            <w:pPr>
              <w:widowControl w:val="0"/>
              <w:autoSpaceDE w:val="0"/>
              <w:autoSpaceDN w:val="0"/>
              <w:adjustRightInd w:val="0"/>
              <w:spacing w:after="58" w:line="240" w:lineRule="auto"/>
              <w:jc w:val="center"/>
              <w:rPr>
                <w:rFonts w:eastAsia="Times New Roman"/>
                <w:color w:val="000000"/>
                <w:sz w:val="20"/>
                <w:szCs w:val="20"/>
              </w:rPr>
            </w:pPr>
            <w:r w:rsidRPr="00C67143">
              <w:rPr>
                <w:rFonts w:eastAsia="Times New Roman"/>
                <w:color w:val="000000"/>
                <w:sz w:val="20"/>
                <w:szCs w:val="20"/>
              </w:rPr>
              <w:t>99</w:t>
            </w:r>
            <w:r w:rsidRPr="00C67143">
              <w:rPr>
                <w:rFonts w:eastAsia="Times New Roman"/>
                <w:color w:val="000000"/>
                <w:sz w:val="20"/>
                <w:szCs w:val="20"/>
              </w:rPr>
              <w:t>%</w:t>
            </w:r>
          </w:p>
        </w:tc>
        <w:tc>
          <w:tcPr>
            <w:tcW w:w="865" w:type="dxa"/>
            <w:vAlign w:val="center"/>
          </w:tcPr>
          <w:p w:rsidR="00D84D1C" w:rsidRPr="00C67143" w14:paraId="4DE52224" w14:textId="01F35F14">
            <w:pPr>
              <w:widowControl w:val="0"/>
              <w:autoSpaceDE w:val="0"/>
              <w:autoSpaceDN w:val="0"/>
              <w:adjustRightInd w:val="0"/>
              <w:spacing w:after="58" w:line="240" w:lineRule="auto"/>
              <w:jc w:val="center"/>
              <w:rPr>
                <w:rFonts w:eastAsia="Times New Roman"/>
                <w:color w:val="000000"/>
                <w:sz w:val="20"/>
                <w:szCs w:val="20"/>
              </w:rPr>
            </w:pPr>
            <w:r w:rsidRPr="00C67143">
              <w:rPr>
                <w:rFonts w:eastAsia="Times New Roman"/>
                <w:color w:val="000000"/>
                <w:sz w:val="20"/>
                <w:szCs w:val="20"/>
              </w:rPr>
              <w:t>100</w:t>
            </w:r>
            <w:r w:rsidRPr="00C67143">
              <w:rPr>
                <w:rFonts w:eastAsia="Times New Roman"/>
                <w:color w:val="000000"/>
                <w:sz w:val="20"/>
                <w:szCs w:val="20"/>
              </w:rPr>
              <w:t>%</w:t>
            </w:r>
          </w:p>
        </w:tc>
        <w:tc>
          <w:tcPr>
            <w:tcW w:w="865" w:type="dxa"/>
            <w:vAlign w:val="center"/>
          </w:tcPr>
          <w:p w:rsidR="00D84D1C" w:rsidRPr="00C67143" w14:paraId="6A5BA7C0" w14:textId="7B939D0F">
            <w:pPr>
              <w:widowControl w:val="0"/>
              <w:autoSpaceDE w:val="0"/>
              <w:autoSpaceDN w:val="0"/>
              <w:adjustRightInd w:val="0"/>
              <w:spacing w:after="58" w:line="240" w:lineRule="auto"/>
              <w:jc w:val="center"/>
              <w:rPr>
                <w:rFonts w:eastAsia="Times New Roman"/>
                <w:color w:val="000000"/>
                <w:sz w:val="20"/>
                <w:szCs w:val="20"/>
              </w:rPr>
            </w:pPr>
            <w:r w:rsidRPr="00C67143">
              <w:rPr>
                <w:rFonts w:eastAsia="Times New Roman"/>
                <w:color w:val="000000"/>
                <w:sz w:val="20"/>
                <w:szCs w:val="20"/>
              </w:rPr>
              <w:t>100</w:t>
            </w:r>
            <w:r w:rsidRPr="00C67143">
              <w:rPr>
                <w:rFonts w:eastAsia="Times New Roman"/>
                <w:color w:val="000000"/>
                <w:sz w:val="20"/>
                <w:szCs w:val="20"/>
              </w:rPr>
              <w:t>%</w:t>
            </w:r>
          </w:p>
        </w:tc>
        <w:tc>
          <w:tcPr>
            <w:tcW w:w="945" w:type="dxa"/>
            <w:vAlign w:val="center"/>
          </w:tcPr>
          <w:p w:rsidR="00D84D1C" w:rsidRPr="00DF514C" w14:paraId="593F676F" w14:textId="7AE09CC7">
            <w:pPr>
              <w:widowControl w:val="0"/>
              <w:autoSpaceDE w:val="0"/>
              <w:autoSpaceDN w:val="0"/>
              <w:adjustRightInd w:val="0"/>
              <w:spacing w:after="58" w:line="240" w:lineRule="auto"/>
              <w:jc w:val="center"/>
              <w:rPr>
                <w:rFonts w:eastAsia="Times New Roman"/>
                <w:color w:val="000000"/>
                <w:sz w:val="20"/>
                <w:szCs w:val="20"/>
              </w:rPr>
            </w:pPr>
            <w:r w:rsidRPr="00C67143">
              <w:rPr>
                <w:rFonts w:eastAsia="Times New Roman"/>
                <w:color w:val="000000"/>
                <w:sz w:val="20"/>
                <w:szCs w:val="20"/>
              </w:rPr>
              <w:t>100</w:t>
            </w:r>
            <w:r w:rsidRPr="00C67143">
              <w:rPr>
                <w:rFonts w:eastAsia="Times New Roman"/>
                <w:color w:val="000000"/>
                <w:sz w:val="20"/>
                <w:szCs w:val="20"/>
              </w:rPr>
              <w:t>%</w:t>
            </w:r>
          </w:p>
        </w:tc>
      </w:tr>
    </w:tbl>
    <w:p w:rsidR="00D84D1C" w:rsidRPr="00887E62" w:rsidP="00D84D1C" w14:paraId="1425D857" w14:textId="77777777">
      <w:pPr>
        <w:rPr>
          <w:szCs w:val="24"/>
        </w:rPr>
      </w:pPr>
    </w:p>
    <w:p w:rsidR="00E054DF" w:rsidRPr="00E054DF" w:rsidP="005E5D12" w14:paraId="4BDEA1D5" w14:textId="77777777">
      <w:pPr>
        <w:pStyle w:val="Heading2"/>
      </w:pPr>
      <w:bookmarkStart w:id="9" w:name="_Toc466046937"/>
      <w:bookmarkStart w:id="10" w:name="_Toc128055329"/>
      <w:r>
        <w:t>B.4. Test Procedures and Form Consultations</w:t>
      </w:r>
      <w:bookmarkEnd w:id="9"/>
      <w:bookmarkEnd w:id="10"/>
    </w:p>
    <w:p w:rsidR="00E054DF" w:rsidRPr="00E054DF" w:rsidP="0FEB4034" w14:paraId="4DAB1AFA" w14:textId="2CE0D6BA">
      <w:pPr>
        <w:spacing w:before="240" w:after="240"/>
        <w:rPr>
          <w:rFonts w:cs="Calibri"/>
          <w:noProof/>
        </w:rPr>
      </w:pPr>
      <w:r w:rsidRPr="0FEB4034">
        <w:rPr>
          <w:rFonts w:cs="Calibri"/>
          <w:noProof/>
        </w:rPr>
        <w:t>The survey designs are reviewed by EIA cognitive specialists and modified as necessary to improve clarity and reduce burden. For additional information on forms review, please see Part A, section A.8., “Summary of Consultations Outside of the Agency.” For a summary of the comments received and EIA’s responses, see the Public Comment File submitted with this OMB package.</w:t>
      </w:r>
    </w:p>
    <w:p w:rsidR="00E054DF" w:rsidRPr="00E054DF" w:rsidP="0FEB4034" w14:paraId="206944E2" w14:textId="7E795CBE">
      <w:pPr>
        <w:pStyle w:val="Heading2"/>
        <w:rPr>
          <w:rFonts w:cs="Calibri"/>
        </w:rPr>
      </w:pPr>
      <w:bookmarkStart w:id="11" w:name="_Toc466046938"/>
      <w:bookmarkStart w:id="12" w:name="_Toc128055330"/>
      <w:r>
        <w:t>B.5. Statistical Consultations</w:t>
      </w:r>
      <w:bookmarkEnd w:id="11"/>
      <w:bookmarkEnd w:id="12"/>
    </w:p>
    <w:p w:rsidR="001D2C04" w:rsidRPr="003C6570" w:rsidP="001D2C04" w14:paraId="748E3637" w14:textId="14CE1AD7">
      <w:r w:rsidRPr="07D69E80">
        <w:t xml:space="preserve">For additional information concerning this data collection, please contact </w:t>
      </w:r>
      <w:r w:rsidR="00844808">
        <w:t>Debra Coaxum</w:t>
      </w:r>
      <w:r w:rsidRPr="07D69E80">
        <w:t>,</w:t>
      </w:r>
      <w:r w:rsidRPr="00B62D43">
        <w:rPr>
          <w:color w:val="000000"/>
          <w:bdr w:val="none" w:sz="0" w:space="0" w:color="auto" w:frame="1"/>
        </w:rPr>
        <w:t xml:space="preserve"> </w:t>
      </w:r>
      <w:r w:rsidR="00D23C0F">
        <w:rPr>
          <w:color w:val="000000"/>
          <w:bdr w:val="none" w:sz="0" w:space="0" w:color="auto" w:frame="1"/>
        </w:rPr>
        <w:t xml:space="preserve">Acting </w:t>
      </w:r>
      <w:r w:rsidR="00F50253">
        <w:t>Office Director</w:t>
      </w:r>
      <w:r w:rsidR="001C2B3C">
        <w:t>, Office of Stati</w:t>
      </w:r>
      <w:r w:rsidR="12EC854F">
        <w:t>s</w:t>
      </w:r>
      <w:r w:rsidR="001C2B3C">
        <w:t>tical Methods &amp; Research</w:t>
      </w:r>
      <w:r w:rsidRPr="07D69E80">
        <w:t>, at (202) 586-</w:t>
      </w:r>
      <w:r w:rsidR="003F00EA">
        <w:t>7</w:t>
      </w:r>
      <w:r w:rsidR="00A17B59">
        <w:t>876</w:t>
      </w:r>
      <w:r w:rsidRPr="07D69E80">
        <w:t xml:space="preserve">, or </w:t>
      </w:r>
      <w:hyperlink r:id="rId14" w:history="1">
        <w:r w:rsidRPr="00A17B59" w:rsidR="00A17B59">
          <w:rPr>
            <w:rStyle w:val="Hyperlink"/>
          </w:rPr>
          <w:t>debra.coaxum@eia.gov</w:t>
        </w:r>
      </w:hyperlink>
      <w:r w:rsidRPr="003C6570">
        <w:rPr>
          <w:iCs/>
        </w:rPr>
        <w:t>.</w:t>
      </w:r>
    </w:p>
    <w:p w:rsidR="00612A58" w:rsidP="00612A58" w14:paraId="7F473A34" w14:textId="77777777">
      <w:pPr>
        <w:rPr>
          <w:noProof/>
        </w:rPr>
      </w:pPr>
    </w:p>
    <w:sectPr w:rsidSect="00206D5A">
      <w:headerReference w:type="even" r:id="rId15"/>
      <w:headerReference w:type="default" r:id="rId16"/>
      <w:footerReference w:type="even" r:id="rId17"/>
      <w:headerReference w:type="first" r:id="rId18"/>
      <w:footerReference w:type="first" r:id="rId19"/>
      <w:footnotePr>
        <w:pos w:val="beneathText"/>
      </w:footnotePr>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1F3A8F" w:rsidP="001F3A8F" w14:paraId="3584B5A3" w14:textId="1F9D6FC4">
    <w:pPr>
      <w:pStyle w:val="Footer"/>
    </w:pPr>
    <w:r w:rsidRPr="00CB180D">
      <w:t xml:space="preserve">U.S. Energy Information Administration   |   </w:t>
    </w:r>
    <w:r w:rsidR="00DA5B6A">
      <w:t>Petroleum Supply Reporting System</w:t>
    </w:r>
    <w:r>
      <w:tab/>
    </w:r>
    <w:r>
      <w:fldChar w:fldCharType="begin"/>
    </w:r>
    <w:r>
      <w:instrText xml:space="preserve"> PAGE   \* MERGEFORMAT </w:instrText>
    </w:r>
    <w:r>
      <w:fldChar w:fldCharType="separate"/>
    </w:r>
    <w:r w:rsidR="00426A0B">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089262CC" w14:textId="77777777">
    <w:pPr>
      <w:pStyle w:val="Footer"/>
    </w:pPr>
    <w:r w:rsidRPr="00CB180D">
      <w:t xml:space="preserve">U.S. Energy Information Administration   |   </w:t>
    </w:r>
    <w:r w:rsidR="001D2E96">
      <w:t>Shortened document title</w:t>
    </w:r>
    <w:r w:rsidRPr="00CB180D">
      <w:tab/>
    </w:r>
    <w:r w:rsidRPr="00760677">
      <w:t xml:space="preserve"> </w:t>
    </w:r>
    <w:r>
      <w:fldChar w:fldCharType="begin"/>
    </w:r>
    <w:r>
      <w:instrText xml:space="preserve"> PAGE   \* MERGEFORMAT </w:instrText>
    </w:r>
    <w:r>
      <w:fldChar w:fldCharType="separate"/>
    </w:r>
    <w:r>
      <w:rPr>
        <w:noProof/>
      </w:rPr>
      <w:t>i</w:t>
    </w:r>
    <w:r>
      <w:rPr>
        <w:noProof/>
      </w:rPr>
      <w:fldChar w:fldCharType="end"/>
    </w:r>
  </w:p>
  <w:p w:rsidR="00EA779A" w14:paraId="72E4EB6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52F9325F" w14:textId="77777777">
    <w:pPr>
      <w:pStyle w:val="Footer"/>
    </w:pPr>
    <w:r w:rsidRPr="00CB180D">
      <w:t xml:space="preserve">U.S. Energy Information Administration   |   </w:t>
    </w:r>
    <w:r w:rsidR="001D2E96">
      <w:t>Shortened document title</w:t>
    </w:r>
    <w:r w:rsidRPr="00CB180D">
      <w:tab/>
    </w:r>
    <w:r w:rsidRPr="00760677">
      <w:t xml:space="preserve"> </w:t>
    </w:r>
    <w:r>
      <w:fldChar w:fldCharType="begin"/>
    </w:r>
    <w:r>
      <w:instrText xml:space="preserve"> PAGE   \* MERGEFORMAT </w:instrText>
    </w:r>
    <w:r>
      <w:fldChar w:fldCharType="separate"/>
    </w:r>
    <w:r>
      <w:rPr>
        <w:noProof/>
      </w:rPr>
      <w:t>i</w:t>
    </w:r>
    <w:r>
      <w:rPr>
        <w:noProof/>
      </w:rPr>
      <w:fldChar w:fldCharType="end"/>
    </w:r>
  </w:p>
  <w:p w:rsidR="00EA779A" w14:paraId="3D0E499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003ACF8A" w14:textId="777777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09A2A3AA" w14:textId="77777777">
    <w:pPr>
      <w:pStyle w:val="Footer"/>
    </w:pPr>
    <w:r w:rsidRPr="00CB180D">
      <w:t xml:space="preserve">U.S. Energy Information Administration   |   </w:t>
    </w:r>
    <w:r w:rsidR="001D2E96">
      <w:t>Shortened document title</w:t>
    </w:r>
    <w:r w:rsidRPr="00CB180D">
      <w:tab/>
    </w:r>
    <w:r w:rsidRPr="00760677">
      <w:t xml:space="preserve"> </w:t>
    </w:r>
    <w:r>
      <w:fldChar w:fldCharType="begin"/>
    </w:r>
    <w:r>
      <w:instrText xml:space="preserve"> PAGE   \* MERGEFORMAT </w:instrText>
    </w:r>
    <w:r>
      <w:fldChar w:fldCharType="separate"/>
    </w:r>
    <w:r>
      <w:rPr>
        <w:noProof/>
      </w:rPr>
      <w:t>1</w:t>
    </w:r>
    <w:r>
      <w:rPr>
        <w:noProof/>
      </w:rPr>
      <w:fldChar w:fldCharType="end"/>
    </w:r>
  </w:p>
  <w:p w:rsidR="00EA779A" w:rsidP="00760677" w14:paraId="3F6D679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373208" w:rsidP="009F61F7" w14:paraId="0C826618" w14:textId="77777777">
    <w:pPr>
      <w:pStyle w:val="Header"/>
    </w:pPr>
    <w:r>
      <w:t>September 2011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9F61F7" w:rsidP="009F61F7" w14:paraId="0C628890" w14:textId="2C2544D7">
    <w:pPr>
      <w:pStyle w:val="Header"/>
    </w:pPr>
    <w:r>
      <w:t>April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9F61F7" w14:paraId="7370A470" w14:textId="77777777">
    <w:pPr>
      <w:pStyle w:val="Header"/>
    </w:pPr>
    <w:r>
      <w:t>December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455A35"/>
    <w:multiLevelType w:val="hybridMultilevel"/>
    <w:tmpl w:val="85101D1A"/>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7">
    <w:nsid w:val="03FC10DC"/>
    <w:multiLevelType w:val="multilevel"/>
    <w:tmpl w:val="B69ADCF2"/>
    <w:numStyleLink w:val="EIAbullets"/>
  </w:abstractNum>
  <w:abstractNum w:abstractNumId="8">
    <w:nsid w:val="12E5181C"/>
    <w:multiLevelType w:val="multilevel"/>
    <w:tmpl w:val="B69ADCF2"/>
    <w:numStyleLink w:val="EIAbullets"/>
  </w:abstractNum>
  <w:abstractNum w:abstractNumId="9">
    <w:nsid w:val="17EC7600"/>
    <w:multiLevelType w:val="hybridMultilevel"/>
    <w:tmpl w:val="95DCA000"/>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F442868"/>
    <w:multiLevelType w:val="hybridMultilevel"/>
    <w:tmpl w:val="8CE6C348"/>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F7E6225"/>
    <w:multiLevelType w:val="multilevel"/>
    <w:tmpl w:val="B69ADCF2"/>
    <w:numStyleLink w:val="EIAbullets"/>
  </w:abstractNum>
  <w:abstractNum w:abstractNumId="12">
    <w:nsid w:val="271B7F46"/>
    <w:multiLevelType w:val="multilevel"/>
    <w:tmpl w:val="B69ADCF2"/>
    <w:styleLink w:val="EIAbullets"/>
    <w:lvl w:ilvl="0">
      <w:start w:val="1"/>
      <w:numFmt w:val="bullet"/>
      <w:pStyle w:val="ListParagraph"/>
      <w:lvlText w:val=""/>
      <w:lvlJc w:val="left"/>
      <w:pPr>
        <w:ind w:left="720" w:hanging="360"/>
      </w:pPr>
      <w:rPr>
        <w:rFonts w:ascii="Symbol" w:hAnsi="Symbol" w:hint="default"/>
        <w:color w:val="auto"/>
        <w:sz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color w:val="auto"/>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color w:val="auto"/>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color w:val="auto"/>
      </w:rPr>
    </w:lvl>
  </w:abstractNum>
  <w:abstractNum w:abstractNumId="13">
    <w:nsid w:val="38861E46"/>
    <w:multiLevelType w:val="multilevel"/>
    <w:tmpl w:val="B69ADCF2"/>
    <w:numStyleLink w:val="EIAbullets"/>
  </w:abstractNum>
  <w:abstractNum w:abstractNumId="14">
    <w:nsid w:val="3AE524C1"/>
    <w:multiLevelType w:val="hybridMultilevel"/>
    <w:tmpl w:val="B130EA84"/>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31361AD"/>
    <w:multiLevelType w:val="hybridMultilevel"/>
    <w:tmpl w:val="EA2E96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4EC66A5"/>
    <w:multiLevelType w:val="hybridMultilevel"/>
    <w:tmpl w:val="2556D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6BA2386"/>
    <w:multiLevelType w:val="multilevel"/>
    <w:tmpl w:val="B69ADCF2"/>
    <w:numStyleLink w:val="EIAbullets"/>
  </w:abstractNum>
  <w:abstractNum w:abstractNumId="18">
    <w:nsid w:val="4EBF29EA"/>
    <w:multiLevelType w:val="multilevel"/>
    <w:tmpl w:val="B69ADCF2"/>
    <w:numStyleLink w:val="EIAbullets"/>
  </w:abstractNum>
  <w:abstractNum w:abstractNumId="19">
    <w:nsid w:val="632B2CBD"/>
    <w:multiLevelType w:val="multilevel"/>
    <w:tmpl w:val="B69ADCF2"/>
    <w:numStyleLink w:val="EIAbullets"/>
  </w:abstractNum>
  <w:abstractNum w:abstractNumId="20">
    <w:nsid w:val="69F073C5"/>
    <w:multiLevelType w:val="hybridMultilevel"/>
    <w:tmpl w:val="1C8EBEFC"/>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D8D07D1"/>
    <w:multiLevelType w:val="hybridMultilevel"/>
    <w:tmpl w:val="7576B02E"/>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0"/>
      <w:numFmt w:val="bullet"/>
      <w:lvlText w:val="-"/>
      <w:lvlJc w:val="left"/>
      <w:pPr>
        <w:ind w:left="2160" w:hanging="720"/>
      </w:pPr>
      <w:rPr>
        <w:rFonts w:ascii="Times New Roman" w:eastAsia="Times New Roman" w:hAnsi="Times New Roman" w:cs="Times New Roman"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6F863061"/>
    <w:multiLevelType w:val="multilevel"/>
    <w:tmpl w:val="AE02192E"/>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23">
    <w:nsid w:val="7D43416A"/>
    <w:multiLevelType w:val="hybridMultilevel"/>
    <w:tmpl w:val="91CA67F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num w:numId="1" w16cid:durableId="1746948732">
    <w:abstractNumId w:val="3"/>
  </w:num>
  <w:num w:numId="2" w16cid:durableId="521549929">
    <w:abstractNumId w:val="6"/>
  </w:num>
  <w:num w:numId="3" w16cid:durableId="1606964156">
    <w:abstractNumId w:val="4"/>
  </w:num>
  <w:num w:numId="4" w16cid:durableId="628826711">
    <w:abstractNumId w:val="2"/>
  </w:num>
  <w:num w:numId="5" w16cid:durableId="223956791">
    <w:abstractNumId w:val="1"/>
  </w:num>
  <w:num w:numId="6" w16cid:durableId="1158962099">
    <w:abstractNumId w:val="0"/>
  </w:num>
  <w:num w:numId="7" w16cid:durableId="433938964">
    <w:abstractNumId w:val="22"/>
  </w:num>
  <w:num w:numId="8" w16cid:durableId="1756200446">
    <w:abstractNumId w:val="12"/>
  </w:num>
  <w:num w:numId="9" w16cid:durableId="1337032057">
    <w:abstractNumId w:val="17"/>
  </w:num>
  <w:num w:numId="10" w16cid:durableId="1336684245">
    <w:abstractNumId w:val="8"/>
  </w:num>
  <w:num w:numId="11" w16cid:durableId="1714769260">
    <w:abstractNumId w:val="9"/>
  </w:num>
  <w:num w:numId="12" w16cid:durableId="2041395202">
    <w:abstractNumId w:val="11"/>
  </w:num>
  <w:num w:numId="13" w16cid:durableId="1436560048">
    <w:abstractNumId w:val="13"/>
  </w:num>
  <w:num w:numId="14" w16cid:durableId="1511260421">
    <w:abstractNumId w:val="10"/>
  </w:num>
  <w:num w:numId="15" w16cid:durableId="1261986894">
    <w:abstractNumId w:val="7"/>
  </w:num>
  <w:num w:numId="16" w16cid:durableId="1058430970">
    <w:abstractNumId w:val="20"/>
  </w:num>
  <w:num w:numId="17" w16cid:durableId="1186095644">
    <w:abstractNumId w:val="18"/>
  </w:num>
  <w:num w:numId="18" w16cid:durableId="498237366">
    <w:abstractNumId w:val="14"/>
  </w:num>
  <w:num w:numId="19" w16cid:durableId="789861121">
    <w:abstractNumId w:val="19"/>
  </w:num>
  <w:num w:numId="20" w16cid:durableId="398211234">
    <w:abstractNumId w:val="5"/>
  </w:num>
  <w:num w:numId="21" w16cid:durableId="397484741">
    <w:abstractNumId w:val="21"/>
  </w:num>
  <w:num w:numId="22" w16cid:durableId="2001956672">
    <w:abstractNumId w:val="16"/>
  </w:num>
  <w:num w:numId="23" w16cid:durableId="1709262967">
    <w:abstractNumId w:val="23"/>
  </w:num>
  <w:num w:numId="24" w16cid:durableId="1447967805">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44"/>
  <w:drawingGridVerticalSpacing w:val="187"/>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55A"/>
    <w:rsid w:val="0000019D"/>
    <w:rsid w:val="000008B5"/>
    <w:rsid w:val="0000364C"/>
    <w:rsid w:val="00004135"/>
    <w:rsid w:val="000041A1"/>
    <w:rsid w:val="000053BB"/>
    <w:rsid w:val="00011B3F"/>
    <w:rsid w:val="00013373"/>
    <w:rsid w:val="000142E5"/>
    <w:rsid w:val="00015DA7"/>
    <w:rsid w:val="00015FA9"/>
    <w:rsid w:val="0002098A"/>
    <w:rsid w:val="00021917"/>
    <w:rsid w:val="00023E1A"/>
    <w:rsid w:val="000248CE"/>
    <w:rsid w:val="00034A4B"/>
    <w:rsid w:val="00035B04"/>
    <w:rsid w:val="00037F68"/>
    <w:rsid w:val="00041909"/>
    <w:rsid w:val="00042C8E"/>
    <w:rsid w:val="00046593"/>
    <w:rsid w:val="00047C08"/>
    <w:rsid w:val="0005323C"/>
    <w:rsid w:val="000556B6"/>
    <w:rsid w:val="00055769"/>
    <w:rsid w:val="00056EC3"/>
    <w:rsid w:val="00062154"/>
    <w:rsid w:val="000621DC"/>
    <w:rsid w:val="00062CFE"/>
    <w:rsid w:val="00063FA9"/>
    <w:rsid w:val="00067B2B"/>
    <w:rsid w:val="00067E71"/>
    <w:rsid w:val="0007129A"/>
    <w:rsid w:val="00071583"/>
    <w:rsid w:val="00071D18"/>
    <w:rsid w:val="00074E73"/>
    <w:rsid w:val="0007760A"/>
    <w:rsid w:val="000831C4"/>
    <w:rsid w:val="000844CA"/>
    <w:rsid w:val="00085E32"/>
    <w:rsid w:val="000906C0"/>
    <w:rsid w:val="00091CC7"/>
    <w:rsid w:val="00095DB5"/>
    <w:rsid w:val="000B1AD3"/>
    <w:rsid w:val="000B3FBE"/>
    <w:rsid w:val="000C29FC"/>
    <w:rsid w:val="000C4381"/>
    <w:rsid w:val="000C5311"/>
    <w:rsid w:val="000C72FD"/>
    <w:rsid w:val="000D2A1A"/>
    <w:rsid w:val="000E1A1F"/>
    <w:rsid w:val="000E525D"/>
    <w:rsid w:val="000F040A"/>
    <w:rsid w:val="000F263D"/>
    <w:rsid w:val="000F4CE5"/>
    <w:rsid w:val="000F52D6"/>
    <w:rsid w:val="0010004C"/>
    <w:rsid w:val="00100183"/>
    <w:rsid w:val="001009AF"/>
    <w:rsid w:val="001022FE"/>
    <w:rsid w:val="00102924"/>
    <w:rsid w:val="001034E8"/>
    <w:rsid w:val="00112A69"/>
    <w:rsid w:val="0011541D"/>
    <w:rsid w:val="00122969"/>
    <w:rsid w:val="00125F3C"/>
    <w:rsid w:val="00132F4A"/>
    <w:rsid w:val="001332E4"/>
    <w:rsid w:val="00133441"/>
    <w:rsid w:val="00140D25"/>
    <w:rsid w:val="00143EAF"/>
    <w:rsid w:val="00146AED"/>
    <w:rsid w:val="00152332"/>
    <w:rsid w:val="00153A35"/>
    <w:rsid w:val="00153A89"/>
    <w:rsid w:val="00156DED"/>
    <w:rsid w:val="00160925"/>
    <w:rsid w:val="00160B7D"/>
    <w:rsid w:val="00160D58"/>
    <w:rsid w:val="0016454C"/>
    <w:rsid w:val="001664BF"/>
    <w:rsid w:val="00167042"/>
    <w:rsid w:val="00167425"/>
    <w:rsid w:val="00175361"/>
    <w:rsid w:val="00175A34"/>
    <w:rsid w:val="00175C2D"/>
    <w:rsid w:val="001807A2"/>
    <w:rsid w:val="001807A3"/>
    <w:rsid w:val="00181A2E"/>
    <w:rsid w:val="00182C06"/>
    <w:rsid w:val="001852A6"/>
    <w:rsid w:val="0018681F"/>
    <w:rsid w:val="001947D5"/>
    <w:rsid w:val="001A2C66"/>
    <w:rsid w:val="001A6E1E"/>
    <w:rsid w:val="001B05F4"/>
    <w:rsid w:val="001B0E69"/>
    <w:rsid w:val="001C0E66"/>
    <w:rsid w:val="001C2B3C"/>
    <w:rsid w:val="001C7BB0"/>
    <w:rsid w:val="001D03A8"/>
    <w:rsid w:val="001D2C04"/>
    <w:rsid w:val="001D2E96"/>
    <w:rsid w:val="001D3448"/>
    <w:rsid w:val="001E2B23"/>
    <w:rsid w:val="001E5B9A"/>
    <w:rsid w:val="001F0BB5"/>
    <w:rsid w:val="001F1AAF"/>
    <w:rsid w:val="001F344E"/>
    <w:rsid w:val="001F3A8F"/>
    <w:rsid w:val="002005D8"/>
    <w:rsid w:val="002008B4"/>
    <w:rsid w:val="00201F24"/>
    <w:rsid w:val="00206D5A"/>
    <w:rsid w:val="00210AA4"/>
    <w:rsid w:val="002127CE"/>
    <w:rsid w:val="00215842"/>
    <w:rsid w:val="002207DF"/>
    <w:rsid w:val="00221AC2"/>
    <w:rsid w:val="00222565"/>
    <w:rsid w:val="00223E62"/>
    <w:rsid w:val="00224000"/>
    <w:rsid w:val="00224002"/>
    <w:rsid w:val="00224783"/>
    <w:rsid w:val="00226987"/>
    <w:rsid w:val="00227A8C"/>
    <w:rsid w:val="00227E4B"/>
    <w:rsid w:val="0023015A"/>
    <w:rsid w:val="002327A1"/>
    <w:rsid w:val="0023708A"/>
    <w:rsid w:val="0025022D"/>
    <w:rsid w:val="002530BB"/>
    <w:rsid w:val="002556F3"/>
    <w:rsid w:val="00255F5B"/>
    <w:rsid w:val="00257FD8"/>
    <w:rsid w:val="00260EDF"/>
    <w:rsid w:val="002623F9"/>
    <w:rsid w:val="00264148"/>
    <w:rsid w:val="00264A72"/>
    <w:rsid w:val="002667A5"/>
    <w:rsid w:val="00267A8E"/>
    <w:rsid w:val="00274179"/>
    <w:rsid w:val="002863B1"/>
    <w:rsid w:val="00292EA7"/>
    <w:rsid w:val="0029730A"/>
    <w:rsid w:val="002B0FD2"/>
    <w:rsid w:val="002B124D"/>
    <w:rsid w:val="002B5EC9"/>
    <w:rsid w:val="002C378C"/>
    <w:rsid w:val="002C503A"/>
    <w:rsid w:val="002C720C"/>
    <w:rsid w:val="002D41FA"/>
    <w:rsid w:val="002D4FE9"/>
    <w:rsid w:val="002D593F"/>
    <w:rsid w:val="002D6F33"/>
    <w:rsid w:val="002E18F8"/>
    <w:rsid w:val="002E3FD5"/>
    <w:rsid w:val="002E76DF"/>
    <w:rsid w:val="002E7A38"/>
    <w:rsid w:val="00301357"/>
    <w:rsid w:val="003027B5"/>
    <w:rsid w:val="00304669"/>
    <w:rsid w:val="00306516"/>
    <w:rsid w:val="00306AB5"/>
    <w:rsid w:val="0031116C"/>
    <w:rsid w:val="00313D14"/>
    <w:rsid w:val="00320800"/>
    <w:rsid w:val="00325C96"/>
    <w:rsid w:val="00325C9B"/>
    <w:rsid w:val="003302AF"/>
    <w:rsid w:val="00330D13"/>
    <w:rsid w:val="00332F5F"/>
    <w:rsid w:val="00345AED"/>
    <w:rsid w:val="003469CB"/>
    <w:rsid w:val="00346BDC"/>
    <w:rsid w:val="00350C8B"/>
    <w:rsid w:val="00352DF1"/>
    <w:rsid w:val="00363331"/>
    <w:rsid w:val="00363351"/>
    <w:rsid w:val="003710CE"/>
    <w:rsid w:val="00371AB3"/>
    <w:rsid w:val="00371E14"/>
    <w:rsid w:val="00373208"/>
    <w:rsid w:val="00383DB3"/>
    <w:rsid w:val="003854B2"/>
    <w:rsid w:val="00385AE6"/>
    <w:rsid w:val="003863FC"/>
    <w:rsid w:val="00387C8D"/>
    <w:rsid w:val="00390C9C"/>
    <w:rsid w:val="00392DD0"/>
    <w:rsid w:val="00394C25"/>
    <w:rsid w:val="00396BCB"/>
    <w:rsid w:val="00397825"/>
    <w:rsid w:val="003A1073"/>
    <w:rsid w:val="003A10F3"/>
    <w:rsid w:val="003A3906"/>
    <w:rsid w:val="003A3CF6"/>
    <w:rsid w:val="003A41F2"/>
    <w:rsid w:val="003A4DEE"/>
    <w:rsid w:val="003A5298"/>
    <w:rsid w:val="003B03A4"/>
    <w:rsid w:val="003B0E91"/>
    <w:rsid w:val="003B1D75"/>
    <w:rsid w:val="003C03EA"/>
    <w:rsid w:val="003C1483"/>
    <w:rsid w:val="003C6570"/>
    <w:rsid w:val="003C690C"/>
    <w:rsid w:val="003D26E4"/>
    <w:rsid w:val="003D51D5"/>
    <w:rsid w:val="003D583B"/>
    <w:rsid w:val="003D6380"/>
    <w:rsid w:val="003E3BDD"/>
    <w:rsid w:val="003E40FA"/>
    <w:rsid w:val="003F00EA"/>
    <w:rsid w:val="003F0508"/>
    <w:rsid w:val="003F24ED"/>
    <w:rsid w:val="003F3866"/>
    <w:rsid w:val="003F493A"/>
    <w:rsid w:val="003F529E"/>
    <w:rsid w:val="004006E0"/>
    <w:rsid w:val="004020B2"/>
    <w:rsid w:val="0040288E"/>
    <w:rsid w:val="00402E19"/>
    <w:rsid w:val="00406411"/>
    <w:rsid w:val="004138AC"/>
    <w:rsid w:val="00421713"/>
    <w:rsid w:val="00424672"/>
    <w:rsid w:val="0042579B"/>
    <w:rsid w:val="00425AF4"/>
    <w:rsid w:val="0042608E"/>
    <w:rsid w:val="00426481"/>
    <w:rsid w:val="00426A0B"/>
    <w:rsid w:val="00427D22"/>
    <w:rsid w:val="00427E91"/>
    <w:rsid w:val="00431CD7"/>
    <w:rsid w:val="00432966"/>
    <w:rsid w:val="00433C96"/>
    <w:rsid w:val="0043404D"/>
    <w:rsid w:val="00440850"/>
    <w:rsid w:val="00441AB0"/>
    <w:rsid w:val="00442B9E"/>
    <w:rsid w:val="00450917"/>
    <w:rsid w:val="0045523A"/>
    <w:rsid w:val="0045608E"/>
    <w:rsid w:val="0045662F"/>
    <w:rsid w:val="00457455"/>
    <w:rsid w:val="004610AE"/>
    <w:rsid w:val="00466959"/>
    <w:rsid w:val="0047784B"/>
    <w:rsid w:val="00482EB5"/>
    <w:rsid w:val="004851DB"/>
    <w:rsid w:val="004854EE"/>
    <w:rsid w:val="00491601"/>
    <w:rsid w:val="004946F0"/>
    <w:rsid w:val="00497C2A"/>
    <w:rsid w:val="004A41AF"/>
    <w:rsid w:val="004A729E"/>
    <w:rsid w:val="004B058E"/>
    <w:rsid w:val="004B1075"/>
    <w:rsid w:val="004B552A"/>
    <w:rsid w:val="004B5713"/>
    <w:rsid w:val="004B6E68"/>
    <w:rsid w:val="004B732A"/>
    <w:rsid w:val="004B7F05"/>
    <w:rsid w:val="004C14D5"/>
    <w:rsid w:val="004C277B"/>
    <w:rsid w:val="004D05FB"/>
    <w:rsid w:val="004D0F05"/>
    <w:rsid w:val="004D1174"/>
    <w:rsid w:val="004D236B"/>
    <w:rsid w:val="004D29C7"/>
    <w:rsid w:val="004D695B"/>
    <w:rsid w:val="004E22F3"/>
    <w:rsid w:val="004E3844"/>
    <w:rsid w:val="004E5446"/>
    <w:rsid w:val="004E6204"/>
    <w:rsid w:val="004F2819"/>
    <w:rsid w:val="004F3F14"/>
    <w:rsid w:val="004F7067"/>
    <w:rsid w:val="00504119"/>
    <w:rsid w:val="00504186"/>
    <w:rsid w:val="00505571"/>
    <w:rsid w:val="005065CF"/>
    <w:rsid w:val="00506BB4"/>
    <w:rsid w:val="0050705F"/>
    <w:rsid w:val="00516027"/>
    <w:rsid w:val="005170D3"/>
    <w:rsid w:val="005222C4"/>
    <w:rsid w:val="005245F3"/>
    <w:rsid w:val="0052493A"/>
    <w:rsid w:val="00524A83"/>
    <w:rsid w:val="005338E3"/>
    <w:rsid w:val="00533B8C"/>
    <w:rsid w:val="00535CAF"/>
    <w:rsid w:val="00536054"/>
    <w:rsid w:val="0053611F"/>
    <w:rsid w:val="0053654B"/>
    <w:rsid w:val="00536CE1"/>
    <w:rsid w:val="00537C90"/>
    <w:rsid w:val="00540CC5"/>
    <w:rsid w:val="0054180D"/>
    <w:rsid w:val="00541839"/>
    <w:rsid w:val="005464B0"/>
    <w:rsid w:val="00547AA2"/>
    <w:rsid w:val="00547B53"/>
    <w:rsid w:val="00552509"/>
    <w:rsid w:val="00552DB3"/>
    <w:rsid w:val="00557499"/>
    <w:rsid w:val="0056250C"/>
    <w:rsid w:val="00563592"/>
    <w:rsid w:val="00565101"/>
    <w:rsid w:val="00571D8F"/>
    <w:rsid w:val="00571E1E"/>
    <w:rsid w:val="005720BC"/>
    <w:rsid w:val="0057367D"/>
    <w:rsid w:val="00573D72"/>
    <w:rsid w:val="005859E0"/>
    <w:rsid w:val="00585BE3"/>
    <w:rsid w:val="00590293"/>
    <w:rsid w:val="00590B22"/>
    <w:rsid w:val="0059212D"/>
    <w:rsid w:val="005962B7"/>
    <w:rsid w:val="005A0058"/>
    <w:rsid w:val="005A38FA"/>
    <w:rsid w:val="005A4BE4"/>
    <w:rsid w:val="005B2B58"/>
    <w:rsid w:val="005B380C"/>
    <w:rsid w:val="005B4863"/>
    <w:rsid w:val="005C00FA"/>
    <w:rsid w:val="005C2D89"/>
    <w:rsid w:val="005C485B"/>
    <w:rsid w:val="005D39D7"/>
    <w:rsid w:val="005D5956"/>
    <w:rsid w:val="005D5EC8"/>
    <w:rsid w:val="005D602C"/>
    <w:rsid w:val="005D6F63"/>
    <w:rsid w:val="005E5D12"/>
    <w:rsid w:val="005F108A"/>
    <w:rsid w:val="005F1466"/>
    <w:rsid w:val="005F4848"/>
    <w:rsid w:val="005F55C3"/>
    <w:rsid w:val="005F778C"/>
    <w:rsid w:val="005F7E4B"/>
    <w:rsid w:val="0060239C"/>
    <w:rsid w:val="00607EE9"/>
    <w:rsid w:val="00611B98"/>
    <w:rsid w:val="00611C53"/>
    <w:rsid w:val="00612A58"/>
    <w:rsid w:val="00612C86"/>
    <w:rsid w:val="006138C6"/>
    <w:rsid w:val="0062008C"/>
    <w:rsid w:val="00620797"/>
    <w:rsid w:val="00623F04"/>
    <w:rsid w:val="00626494"/>
    <w:rsid w:val="00633854"/>
    <w:rsid w:val="00634329"/>
    <w:rsid w:val="00635E31"/>
    <w:rsid w:val="00640C87"/>
    <w:rsid w:val="00641DE2"/>
    <w:rsid w:val="00643384"/>
    <w:rsid w:val="00652F00"/>
    <w:rsid w:val="0065406F"/>
    <w:rsid w:val="00655059"/>
    <w:rsid w:val="0066088C"/>
    <w:rsid w:val="00660C1E"/>
    <w:rsid w:val="00663EC4"/>
    <w:rsid w:val="00664A2A"/>
    <w:rsid w:val="00666179"/>
    <w:rsid w:val="0067521D"/>
    <w:rsid w:val="00677C5F"/>
    <w:rsid w:val="006805BE"/>
    <w:rsid w:val="00681265"/>
    <w:rsid w:val="006A0BC7"/>
    <w:rsid w:val="006A0EB0"/>
    <w:rsid w:val="006A4F72"/>
    <w:rsid w:val="006A6190"/>
    <w:rsid w:val="006B4690"/>
    <w:rsid w:val="006B5C23"/>
    <w:rsid w:val="006B7747"/>
    <w:rsid w:val="006C0062"/>
    <w:rsid w:val="006C097E"/>
    <w:rsid w:val="006C2DC3"/>
    <w:rsid w:val="006C3859"/>
    <w:rsid w:val="006D0439"/>
    <w:rsid w:val="006D466F"/>
    <w:rsid w:val="006D57F2"/>
    <w:rsid w:val="006D5DBF"/>
    <w:rsid w:val="006E13EB"/>
    <w:rsid w:val="006E3719"/>
    <w:rsid w:val="006E399E"/>
    <w:rsid w:val="006E56F3"/>
    <w:rsid w:val="006F3571"/>
    <w:rsid w:val="007020E4"/>
    <w:rsid w:val="00704FAD"/>
    <w:rsid w:val="00707303"/>
    <w:rsid w:val="0071624C"/>
    <w:rsid w:val="00720472"/>
    <w:rsid w:val="00725453"/>
    <w:rsid w:val="00737591"/>
    <w:rsid w:val="007438F2"/>
    <w:rsid w:val="00752786"/>
    <w:rsid w:val="00754DB5"/>
    <w:rsid w:val="00755B23"/>
    <w:rsid w:val="00755C3D"/>
    <w:rsid w:val="0075676E"/>
    <w:rsid w:val="007576EF"/>
    <w:rsid w:val="00760677"/>
    <w:rsid w:val="007609B3"/>
    <w:rsid w:val="007612B6"/>
    <w:rsid w:val="00761C12"/>
    <w:rsid w:val="00763FD7"/>
    <w:rsid w:val="00765838"/>
    <w:rsid w:val="0077328C"/>
    <w:rsid w:val="00773FE3"/>
    <w:rsid w:val="00776CF4"/>
    <w:rsid w:val="0077775A"/>
    <w:rsid w:val="007813B7"/>
    <w:rsid w:val="007835EB"/>
    <w:rsid w:val="00783DF5"/>
    <w:rsid w:val="007844A6"/>
    <w:rsid w:val="00784F89"/>
    <w:rsid w:val="00786336"/>
    <w:rsid w:val="00796A12"/>
    <w:rsid w:val="00796E8D"/>
    <w:rsid w:val="007A4264"/>
    <w:rsid w:val="007A4378"/>
    <w:rsid w:val="007A4AD8"/>
    <w:rsid w:val="007A7270"/>
    <w:rsid w:val="007B041B"/>
    <w:rsid w:val="007B4BF9"/>
    <w:rsid w:val="007B548D"/>
    <w:rsid w:val="007B6FA1"/>
    <w:rsid w:val="007B74AE"/>
    <w:rsid w:val="007C09FA"/>
    <w:rsid w:val="007C15E8"/>
    <w:rsid w:val="007C17C1"/>
    <w:rsid w:val="007C1889"/>
    <w:rsid w:val="007C2343"/>
    <w:rsid w:val="007C2C68"/>
    <w:rsid w:val="007C5793"/>
    <w:rsid w:val="007C5CE9"/>
    <w:rsid w:val="007C5FAC"/>
    <w:rsid w:val="007C75E0"/>
    <w:rsid w:val="007D39CC"/>
    <w:rsid w:val="007D54A0"/>
    <w:rsid w:val="007D6AAF"/>
    <w:rsid w:val="007D702C"/>
    <w:rsid w:val="007E0774"/>
    <w:rsid w:val="007E1759"/>
    <w:rsid w:val="007E37FC"/>
    <w:rsid w:val="007E473C"/>
    <w:rsid w:val="007E5A11"/>
    <w:rsid w:val="007E73E6"/>
    <w:rsid w:val="007E7B61"/>
    <w:rsid w:val="007F1954"/>
    <w:rsid w:val="007F21D7"/>
    <w:rsid w:val="007F2BB7"/>
    <w:rsid w:val="007F455A"/>
    <w:rsid w:val="007F4C45"/>
    <w:rsid w:val="008057F8"/>
    <w:rsid w:val="00811BB1"/>
    <w:rsid w:val="00813B6F"/>
    <w:rsid w:val="00813D05"/>
    <w:rsid w:val="008162AE"/>
    <w:rsid w:val="008214A8"/>
    <w:rsid w:val="00825E27"/>
    <w:rsid w:val="008307E1"/>
    <w:rsid w:val="00836E66"/>
    <w:rsid w:val="00843105"/>
    <w:rsid w:val="00844808"/>
    <w:rsid w:val="00846C55"/>
    <w:rsid w:val="00867160"/>
    <w:rsid w:val="008671AD"/>
    <w:rsid w:val="00867A3D"/>
    <w:rsid w:val="0087205B"/>
    <w:rsid w:val="0087351E"/>
    <w:rsid w:val="00874FB8"/>
    <w:rsid w:val="00875D4E"/>
    <w:rsid w:val="00882444"/>
    <w:rsid w:val="0088405C"/>
    <w:rsid w:val="00887AA2"/>
    <w:rsid w:val="00887E62"/>
    <w:rsid w:val="00895669"/>
    <w:rsid w:val="00897946"/>
    <w:rsid w:val="008A1B9A"/>
    <w:rsid w:val="008A3276"/>
    <w:rsid w:val="008A3447"/>
    <w:rsid w:val="008A4F17"/>
    <w:rsid w:val="008A5047"/>
    <w:rsid w:val="008A6AD9"/>
    <w:rsid w:val="008C4DAD"/>
    <w:rsid w:val="008D035B"/>
    <w:rsid w:val="008D4953"/>
    <w:rsid w:val="008D583D"/>
    <w:rsid w:val="008D66C8"/>
    <w:rsid w:val="008E0604"/>
    <w:rsid w:val="008E41FC"/>
    <w:rsid w:val="008E4BF2"/>
    <w:rsid w:val="008E4FA4"/>
    <w:rsid w:val="008F4CBD"/>
    <w:rsid w:val="009017AD"/>
    <w:rsid w:val="0090193D"/>
    <w:rsid w:val="00901BED"/>
    <w:rsid w:val="00905735"/>
    <w:rsid w:val="00907274"/>
    <w:rsid w:val="009131B9"/>
    <w:rsid w:val="009227E6"/>
    <w:rsid w:val="00922C15"/>
    <w:rsid w:val="00935805"/>
    <w:rsid w:val="009368F3"/>
    <w:rsid w:val="009419C1"/>
    <w:rsid w:val="00942B97"/>
    <w:rsid w:val="009443C1"/>
    <w:rsid w:val="00947C42"/>
    <w:rsid w:val="00950489"/>
    <w:rsid w:val="00952002"/>
    <w:rsid w:val="00952AA1"/>
    <w:rsid w:val="00957DE9"/>
    <w:rsid w:val="00965A44"/>
    <w:rsid w:val="00967D7C"/>
    <w:rsid w:val="00970762"/>
    <w:rsid w:val="00973382"/>
    <w:rsid w:val="00974D45"/>
    <w:rsid w:val="009757AD"/>
    <w:rsid w:val="00980B6A"/>
    <w:rsid w:val="009818F9"/>
    <w:rsid w:val="00981C79"/>
    <w:rsid w:val="009830FE"/>
    <w:rsid w:val="00983EFA"/>
    <w:rsid w:val="0098618F"/>
    <w:rsid w:val="00987C32"/>
    <w:rsid w:val="00991646"/>
    <w:rsid w:val="00994366"/>
    <w:rsid w:val="0099448B"/>
    <w:rsid w:val="00997284"/>
    <w:rsid w:val="00997347"/>
    <w:rsid w:val="00997B35"/>
    <w:rsid w:val="009A3D06"/>
    <w:rsid w:val="009A5EE9"/>
    <w:rsid w:val="009B19CE"/>
    <w:rsid w:val="009B2313"/>
    <w:rsid w:val="009B729B"/>
    <w:rsid w:val="009C05A2"/>
    <w:rsid w:val="009C202F"/>
    <w:rsid w:val="009C505C"/>
    <w:rsid w:val="009C583F"/>
    <w:rsid w:val="009C77F7"/>
    <w:rsid w:val="009C7CB0"/>
    <w:rsid w:val="009D1BA3"/>
    <w:rsid w:val="009D388C"/>
    <w:rsid w:val="009D3ABF"/>
    <w:rsid w:val="009D5415"/>
    <w:rsid w:val="009E0628"/>
    <w:rsid w:val="009E5ABC"/>
    <w:rsid w:val="009E5B9C"/>
    <w:rsid w:val="009F095B"/>
    <w:rsid w:val="009F2C09"/>
    <w:rsid w:val="009F3D84"/>
    <w:rsid w:val="009F61F7"/>
    <w:rsid w:val="00A00D71"/>
    <w:rsid w:val="00A00EDF"/>
    <w:rsid w:val="00A01AA9"/>
    <w:rsid w:val="00A0228E"/>
    <w:rsid w:val="00A03A69"/>
    <w:rsid w:val="00A059A1"/>
    <w:rsid w:val="00A05A74"/>
    <w:rsid w:val="00A063A3"/>
    <w:rsid w:val="00A15278"/>
    <w:rsid w:val="00A1539C"/>
    <w:rsid w:val="00A15571"/>
    <w:rsid w:val="00A16CC7"/>
    <w:rsid w:val="00A1720B"/>
    <w:rsid w:val="00A17B59"/>
    <w:rsid w:val="00A26A17"/>
    <w:rsid w:val="00A30169"/>
    <w:rsid w:val="00A30D90"/>
    <w:rsid w:val="00A312A3"/>
    <w:rsid w:val="00A33D9F"/>
    <w:rsid w:val="00A364A7"/>
    <w:rsid w:val="00A37229"/>
    <w:rsid w:val="00A40C58"/>
    <w:rsid w:val="00A418C0"/>
    <w:rsid w:val="00A418C9"/>
    <w:rsid w:val="00A42582"/>
    <w:rsid w:val="00A43A73"/>
    <w:rsid w:val="00A454F3"/>
    <w:rsid w:val="00A51D56"/>
    <w:rsid w:val="00A56235"/>
    <w:rsid w:val="00A65DB2"/>
    <w:rsid w:val="00A67B1F"/>
    <w:rsid w:val="00A7277E"/>
    <w:rsid w:val="00A74C9B"/>
    <w:rsid w:val="00A77624"/>
    <w:rsid w:val="00A8193A"/>
    <w:rsid w:val="00A83785"/>
    <w:rsid w:val="00A85C31"/>
    <w:rsid w:val="00A868CD"/>
    <w:rsid w:val="00A86EDA"/>
    <w:rsid w:val="00A93478"/>
    <w:rsid w:val="00A95F0A"/>
    <w:rsid w:val="00A97FE7"/>
    <w:rsid w:val="00AA46CA"/>
    <w:rsid w:val="00AA6D2E"/>
    <w:rsid w:val="00AA7EFA"/>
    <w:rsid w:val="00AB0685"/>
    <w:rsid w:val="00AB37E6"/>
    <w:rsid w:val="00AB61B3"/>
    <w:rsid w:val="00AB6565"/>
    <w:rsid w:val="00AB7AFD"/>
    <w:rsid w:val="00AC323A"/>
    <w:rsid w:val="00AC370E"/>
    <w:rsid w:val="00AC3BD0"/>
    <w:rsid w:val="00AC4D9E"/>
    <w:rsid w:val="00AC535E"/>
    <w:rsid w:val="00AD0F4D"/>
    <w:rsid w:val="00AD1600"/>
    <w:rsid w:val="00AD1D33"/>
    <w:rsid w:val="00AD2B19"/>
    <w:rsid w:val="00AD2BC8"/>
    <w:rsid w:val="00AD4F86"/>
    <w:rsid w:val="00AD5524"/>
    <w:rsid w:val="00AD58C5"/>
    <w:rsid w:val="00AD6244"/>
    <w:rsid w:val="00AD6357"/>
    <w:rsid w:val="00AD798A"/>
    <w:rsid w:val="00AD7F81"/>
    <w:rsid w:val="00AE1A46"/>
    <w:rsid w:val="00AE4CA9"/>
    <w:rsid w:val="00AF2842"/>
    <w:rsid w:val="00AF2CBF"/>
    <w:rsid w:val="00AF2D40"/>
    <w:rsid w:val="00AF367D"/>
    <w:rsid w:val="00AF45FD"/>
    <w:rsid w:val="00B01714"/>
    <w:rsid w:val="00B05F0D"/>
    <w:rsid w:val="00B12259"/>
    <w:rsid w:val="00B320C8"/>
    <w:rsid w:val="00B35E2A"/>
    <w:rsid w:val="00B41506"/>
    <w:rsid w:val="00B41D7A"/>
    <w:rsid w:val="00B41FE8"/>
    <w:rsid w:val="00B4263D"/>
    <w:rsid w:val="00B442F2"/>
    <w:rsid w:val="00B44512"/>
    <w:rsid w:val="00B56F49"/>
    <w:rsid w:val="00B62D43"/>
    <w:rsid w:val="00B658FD"/>
    <w:rsid w:val="00B671F4"/>
    <w:rsid w:val="00B7442A"/>
    <w:rsid w:val="00B7532C"/>
    <w:rsid w:val="00B76964"/>
    <w:rsid w:val="00B7792F"/>
    <w:rsid w:val="00B80706"/>
    <w:rsid w:val="00B82242"/>
    <w:rsid w:val="00B84795"/>
    <w:rsid w:val="00B86F60"/>
    <w:rsid w:val="00B87571"/>
    <w:rsid w:val="00B90062"/>
    <w:rsid w:val="00B94719"/>
    <w:rsid w:val="00B97002"/>
    <w:rsid w:val="00BA72AC"/>
    <w:rsid w:val="00BB0A7E"/>
    <w:rsid w:val="00BB1620"/>
    <w:rsid w:val="00BB2F70"/>
    <w:rsid w:val="00BB6CF4"/>
    <w:rsid w:val="00BC14C3"/>
    <w:rsid w:val="00BC1ABE"/>
    <w:rsid w:val="00BD2F20"/>
    <w:rsid w:val="00BD4CBE"/>
    <w:rsid w:val="00BD4F62"/>
    <w:rsid w:val="00BD6296"/>
    <w:rsid w:val="00BE4AFD"/>
    <w:rsid w:val="00C00126"/>
    <w:rsid w:val="00C00590"/>
    <w:rsid w:val="00C04647"/>
    <w:rsid w:val="00C07BEF"/>
    <w:rsid w:val="00C12551"/>
    <w:rsid w:val="00C13F6C"/>
    <w:rsid w:val="00C14CDA"/>
    <w:rsid w:val="00C17FD8"/>
    <w:rsid w:val="00C2099C"/>
    <w:rsid w:val="00C211CD"/>
    <w:rsid w:val="00C22B66"/>
    <w:rsid w:val="00C25328"/>
    <w:rsid w:val="00C25371"/>
    <w:rsid w:val="00C256ED"/>
    <w:rsid w:val="00C25782"/>
    <w:rsid w:val="00C310D6"/>
    <w:rsid w:val="00C31C22"/>
    <w:rsid w:val="00C330B4"/>
    <w:rsid w:val="00C33A15"/>
    <w:rsid w:val="00C3744D"/>
    <w:rsid w:val="00C43A84"/>
    <w:rsid w:val="00C43D02"/>
    <w:rsid w:val="00C45EB8"/>
    <w:rsid w:val="00C47B43"/>
    <w:rsid w:val="00C56AFE"/>
    <w:rsid w:val="00C64137"/>
    <w:rsid w:val="00C64D86"/>
    <w:rsid w:val="00C658E4"/>
    <w:rsid w:val="00C67143"/>
    <w:rsid w:val="00C676B1"/>
    <w:rsid w:val="00C7266E"/>
    <w:rsid w:val="00C754F1"/>
    <w:rsid w:val="00C76C66"/>
    <w:rsid w:val="00C7725A"/>
    <w:rsid w:val="00C81FF8"/>
    <w:rsid w:val="00C82DF9"/>
    <w:rsid w:val="00C82EEB"/>
    <w:rsid w:val="00C84725"/>
    <w:rsid w:val="00C85B88"/>
    <w:rsid w:val="00C87190"/>
    <w:rsid w:val="00C9047C"/>
    <w:rsid w:val="00C9502F"/>
    <w:rsid w:val="00C97EC2"/>
    <w:rsid w:val="00CA1564"/>
    <w:rsid w:val="00CA2A61"/>
    <w:rsid w:val="00CA3208"/>
    <w:rsid w:val="00CA7C8A"/>
    <w:rsid w:val="00CB180D"/>
    <w:rsid w:val="00CB34B0"/>
    <w:rsid w:val="00CB44E8"/>
    <w:rsid w:val="00CB5CD2"/>
    <w:rsid w:val="00CB6A3A"/>
    <w:rsid w:val="00CB70CB"/>
    <w:rsid w:val="00CB7251"/>
    <w:rsid w:val="00CB7978"/>
    <w:rsid w:val="00CC12A2"/>
    <w:rsid w:val="00CC1D12"/>
    <w:rsid w:val="00CD76FB"/>
    <w:rsid w:val="00CE40C1"/>
    <w:rsid w:val="00CE42E9"/>
    <w:rsid w:val="00CF3286"/>
    <w:rsid w:val="00CF76C5"/>
    <w:rsid w:val="00D001E4"/>
    <w:rsid w:val="00D00AA8"/>
    <w:rsid w:val="00D00DB1"/>
    <w:rsid w:val="00D02778"/>
    <w:rsid w:val="00D0648D"/>
    <w:rsid w:val="00D06EF5"/>
    <w:rsid w:val="00D162D8"/>
    <w:rsid w:val="00D20F15"/>
    <w:rsid w:val="00D21A7F"/>
    <w:rsid w:val="00D23C0F"/>
    <w:rsid w:val="00D300F4"/>
    <w:rsid w:val="00D3344B"/>
    <w:rsid w:val="00D40175"/>
    <w:rsid w:val="00D40C0E"/>
    <w:rsid w:val="00D46723"/>
    <w:rsid w:val="00D52B8C"/>
    <w:rsid w:val="00D55243"/>
    <w:rsid w:val="00D6151D"/>
    <w:rsid w:val="00D62F90"/>
    <w:rsid w:val="00D63E74"/>
    <w:rsid w:val="00D649B6"/>
    <w:rsid w:val="00D65076"/>
    <w:rsid w:val="00D715C4"/>
    <w:rsid w:val="00D726B3"/>
    <w:rsid w:val="00D72ABC"/>
    <w:rsid w:val="00D81314"/>
    <w:rsid w:val="00D81ED4"/>
    <w:rsid w:val="00D83FE2"/>
    <w:rsid w:val="00D84D1C"/>
    <w:rsid w:val="00D859D2"/>
    <w:rsid w:val="00D85B38"/>
    <w:rsid w:val="00D9161A"/>
    <w:rsid w:val="00D91D82"/>
    <w:rsid w:val="00D928FD"/>
    <w:rsid w:val="00D93E8E"/>
    <w:rsid w:val="00D954B4"/>
    <w:rsid w:val="00D96D3C"/>
    <w:rsid w:val="00DA2F32"/>
    <w:rsid w:val="00DA41CB"/>
    <w:rsid w:val="00DA4520"/>
    <w:rsid w:val="00DA4B97"/>
    <w:rsid w:val="00DA5B6A"/>
    <w:rsid w:val="00DA7575"/>
    <w:rsid w:val="00DB0841"/>
    <w:rsid w:val="00DB282A"/>
    <w:rsid w:val="00DC0876"/>
    <w:rsid w:val="00DC2478"/>
    <w:rsid w:val="00DC79E3"/>
    <w:rsid w:val="00DD4156"/>
    <w:rsid w:val="00DE0DC5"/>
    <w:rsid w:val="00DE1384"/>
    <w:rsid w:val="00DE2D54"/>
    <w:rsid w:val="00DE2F7D"/>
    <w:rsid w:val="00DE53AF"/>
    <w:rsid w:val="00DE7A1C"/>
    <w:rsid w:val="00DF2154"/>
    <w:rsid w:val="00DF514C"/>
    <w:rsid w:val="00DF564E"/>
    <w:rsid w:val="00DF7D3D"/>
    <w:rsid w:val="00E02BB0"/>
    <w:rsid w:val="00E03CE6"/>
    <w:rsid w:val="00E04319"/>
    <w:rsid w:val="00E04947"/>
    <w:rsid w:val="00E04AA7"/>
    <w:rsid w:val="00E054DF"/>
    <w:rsid w:val="00E132DA"/>
    <w:rsid w:val="00E13716"/>
    <w:rsid w:val="00E1631C"/>
    <w:rsid w:val="00E1678B"/>
    <w:rsid w:val="00E21D3A"/>
    <w:rsid w:val="00E22AD1"/>
    <w:rsid w:val="00E266FF"/>
    <w:rsid w:val="00E27661"/>
    <w:rsid w:val="00E33E31"/>
    <w:rsid w:val="00E40AA1"/>
    <w:rsid w:val="00E43C59"/>
    <w:rsid w:val="00E4750D"/>
    <w:rsid w:val="00E47DB3"/>
    <w:rsid w:val="00E51F8B"/>
    <w:rsid w:val="00E5242A"/>
    <w:rsid w:val="00E53398"/>
    <w:rsid w:val="00E64166"/>
    <w:rsid w:val="00E651D0"/>
    <w:rsid w:val="00E66AE2"/>
    <w:rsid w:val="00E713AF"/>
    <w:rsid w:val="00E73672"/>
    <w:rsid w:val="00E74DA4"/>
    <w:rsid w:val="00E76B92"/>
    <w:rsid w:val="00E779CE"/>
    <w:rsid w:val="00E81B89"/>
    <w:rsid w:val="00E83348"/>
    <w:rsid w:val="00E85462"/>
    <w:rsid w:val="00E87488"/>
    <w:rsid w:val="00E91432"/>
    <w:rsid w:val="00E91B5A"/>
    <w:rsid w:val="00E936C0"/>
    <w:rsid w:val="00EA3A38"/>
    <w:rsid w:val="00EA4D65"/>
    <w:rsid w:val="00EA779A"/>
    <w:rsid w:val="00EB1EEF"/>
    <w:rsid w:val="00EB2CA6"/>
    <w:rsid w:val="00EB3ECA"/>
    <w:rsid w:val="00EB6F5A"/>
    <w:rsid w:val="00EB72A0"/>
    <w:rsid w:val="00EC2C03"/>
    <w:rsid w:val="00EC7D4A"/>
    <w:rsid w:val="00ED218D"/>
    <w:rsid w:val="00ED2BCC"/>
    <w:rsid w:val="00ED2D61"/>
    <w:rsid w:val="00ED69CE"/>
    <w:rsid w:val="00ED6E45"/>
    <w:rsid w:val="00ED7575"/>
    <w:rsid w:val="00EE012F"/>
    <w:rsid w:val="00EE43E4"/>
    <w:rsid w:val="00EE4BED"/>
    <w:rsid w:val="00EE797D"/>
    <w:rsid w:val="00EF13CF"/>
    <w:rsid w:val="00EF6058"/>
    <w:rsid w:val="00EF6BF6"/>
    <w:rsid w:val="00F001EA"/>
    <w:rsid w:val="00F03065"/>
    <w:rsid w:val="00F04DF6"/>
    <w:rsid w:val="00F05BAB"/>
    <w:rsid w:val="00F16B90"/>
    <w:rsid w:val="00F24F88"/>
    <w:rsid w:val="00F27E6A"/>
    <w:rsid w:val="00F34F19"/>
    <w:rsid w:val="00F35229"/>
    <w:rsid w:val="00F376D2"/>
    <w:rsid w:val="00F43E1E"/>
    <w:rsid w:val="00F44A21"/>
    <w:rsid w:val="00F47F88"/>
    <w:rsid w:val="00F50253"/>
    <w:rsid w:val="00F520CB"/>
    <w:rsid w:val="00F53384"/>
    <w:rsid w:val="00F53C2B"/>
    <w:rsid w:val="00F55919"/>
    <w:rsid w:val="00F575F0"/>
    <w:rsid w:val="00F60109"/>
    <w:rsid w:val="00F623DF"/>
    <w:rsid w:val="00F6664C"/>
    <w:rsid w:val="00F66EEE"/>
    <w:rsid w:val="00F73109"/>
    <w:rsid w:val="00F7557C"/>
    <w:rsid w:val="00F80AF1"/>
    <w:rsid w:val="00F81116"/>
    <w:rsid w:val="00F819F0"/>
    <w:rsid w:val="00F8298C"/>
    <w:rsid w:val="00F83989"/>
    <w:rsid w:val="00F86986"/>
    <w:rsid w:val="00F8725F"/>
    <w:rsid w:val="00F90245"/>
    <w:rsid w:val="00F91E7A"/>
    <w:rsid w:val="00F920D9"/>
    <w:rsid w:val="00F9459F"/>
    <w:rsid w:val="00F94781"/>
    <w:rsid w:val="00F94FEE"/>
    <w:rsid w:val="00F9692B"/>
    <w:rsid w:val="00FA3761"/>
    <w:rsid w:val="00FA5388"/>
    <w:rsid w:val="00FA540C"/>
    <w:rsid w:val="00FA7281"/>
    <w:rsid w:val="00FB08E3"/>
    <w:rsid w:val="00FB144A"/>
    <w:rsid w:val="00FB1E91"/>
    <w:rsid w:val="00FC3230"/>
    <w:rsid w:val="00FC383D"/>
    <w:rsid w:val="00FD040C"/>
    <w:rsid w:val="00FD050D"/>
    <w:rsid w:val="00FD1420"/>
    <w:rsid w:val="00FD397B"/>
    <w:rsid w:val="00FD47EF"/>
    <w:rsid w:val="00FD4B01"/>
    <w:rsid w:val="00FD7476"/>
    <w:rsid w:val="00FD7CDC"/>
    <w:rsid w:val="00FE22D2"/>
    <w:rsid w:val="00FE3F24"/>
    <w:rsid w:val="00FE58E0"/>
    <w:rsid w:val="00FE5E28"/>
    <w:rsid w:val="00FE74D0"/>
    <w:rsid w:val="00FF116A"/>
    <w:rsid w:val="00FF1E37"/>
    <w:rsid w:val="00FF4BD5"/>
    <w:rsid w:val="00FF7E25"/>
    <w:rsid w:val="030138E4"/>
    <w:rsid w:val="0562ACAA"/>
    <w:rsid w:val="067C9BFC"/>
    <w:rsid w:val="07218C22"/>
    <w:rsid w:val="07D69E80"/>
    <w:rsid w:val="07F28DBA"/>
    <w:rsid w:val="0959A3C3"/>
    <w:rsid w:val="098973A9"/>
    <w:rsid w:val="09BCC96C"/>
    <w:rsid w:val="0A1DEEC0"/>
    <w:rsid w:val="0AC664BC"/>
    <w:rsid w:val="0EEA722F"/>
    <w:rsid w:val="0F2A7C68"/>
    <w:rsid w:val="0FA9E2E3"/>
    <w:rsid w:val="0FEB4034"/>
    <w:rsid w:val="109E2F84"/>
    <w:rsid w:val="1152BA21"/>
    <w:rsid w:val="115436CF"/>
    <w:rsid w:val="11F3A21A"/>
    <w:rsid w:val="124825F2"/>
    <w:rsid w:val="12EC854F"/>
    <w:rsid w:val="145C2EDA"/>
    <w:rsid w:val="159349EF"/>
    <w:rsid w:val="184BC9D5"/>
    <w:rsid w:val="1928B16C"/>
    <w:rsid w:val="19EB50E7"/>
    <w:rsid w:val="1A0CF328"/>
    <w:rsid w:val="1A5B51C8"/>
    <w:rsid w:val="1A821544"/>
    <w:rsid w:val="1B7C1968"/>
    <w:rsid w:val="1CE11E3A"/>
    <w:rsid w:val="1D6C044B"/>
    <w:rsid w:val="1DC7EC6B"/>
    <w:rsid w:val="1E8A5C8A"/>
    <w:rsid w:val="201759AE"/>
    <w:rsid w:val="212F6278"/>
    <w:rsid w:val="2145D647"/>
    <w:rsid w:val="2483EC80"/>
    <w:rsid w:val="257492B3"/>
    <w:rsid w:val="25A6EB7E"/>
    <w:rsid w:val="25EF1C6A"/>
    <w:rsid w:val="2636C503"/>
    <w:rsid w:val="26D7F75C"/>
    <w:rsid w:val="2AA46289"/>
    <w:rsid w:val="2B3207D8"/>
    <w:rsid w:val="2C656FA5"/>
    <w:rsid w:val="2EB5B889"/>
    <w:rsid w:val="2F836955"/>
    <w:rsid w:val="3095C815"/>
    <w:rsid w:val="319AEEDA"/>
    <w:rsid w:val="36B42102"/>
    <w:rsid w:val="37139C98"/>
    <w:rsid w:val="38B922FA"/>
    <w:rsid w:val="38E3AC05"/>
    <w:rsid w:val="39EB8478"/>
    <w:rsid w:val="3BE18A65"/>
    <w:rsid w:val="3C2DFFCE"/>
    <w:rsid w:val="3CA69039"/>
    <w:rsid w:val="3D50CE01"/>
    <w:rsid w:val="3ECDF764"/>
    <w:rsid w:val="3F28CEFD"/>
    <w:rsid w:val="3FC033FD"/>
    <w:rsid w:val="40049298"/>
    <w:rsid w:val="402700D2"/>
    <w:rsid w:val="414297EC"/>
    <w:rsid w:val="43F8FEB0"/>
    <w:rsid w:val="4661ECA2"/>
    <w:rsid w:val="48F17F6C"/>
    <w:rsid w:val="4A5C8487"/>
    <w:rsid w:val="4AE75B05"/>
    <w:rsid w:val="4B058641"/>
    <w:rsid w:val="4F87C6D8"/>
    <w:rsid w:val="501D2D18"/>
    <w:rsid w:val="5496B48F"/>
    <w:rsid w:val="573C94F9"/>
    <w:rsid w:val="5757CE6B"/>
    <w:rsid w:val="596996EF"/>
    <w:rsid w:val="5ABBC986"/>
    <w:rsid w:val="5B32E007"/>
    <w:rsid w:val="5C612AF1"/>
    <w:rsid w:val="5C8022BD"/>
    <w:rsid w:val="5CD87AF1"/>
    <w:rsid w:val="5D30363F"/>
    <w:rsid w:val="5DEF69E8"/>
    <w:rsid w:val="601A8CDF"/>
    <w:rsid w:val="60802835"/>
    <w:rsid w:val="61CCA36C"/>
    <w:rsid w:val="6213122F"/>
    <w:rsid w:val="64081282"/>
    <w:rsid w:val="657B100E"/>
    <w:rsid w:val="675B0ECC"/>
    <w:rsid w:val="6789683E"/>
    <w:rsid w:val="69A716DF"/>
    <w:rsid w:val="6AF33F56"/>
    <w:rsid w:val="6CF67F1C"/>
    <w:rsid w:val="6D754F13"/>
    <w:rsid w:val="6DC3F7AF"/>
    <w:rsid w:val="6F25297A"/>
    <w:rsid w:val="6F9866AE"/>
    <w:rsid w:val="7095F2EE"/>
    <w:rsid w:val="72183031"/>
    <w:rsid w:val="7256C737"/>
    <w:rsid w:val="72F4A57A"/>
    <w:rsid w:val="736AC1BC"/>
    <w:rsid w:val="737D7AEB"/>
    <w:rsid w:val="75CD4DF3"/>
    <w:rsid w:val="76213FD7"/>
    <w:rsid w:val="7A3662F5"/>
    <w:rsid w:val="7D9A80DE"/>
    <w:rsid w:val="7FD679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9DEFE6"/>
  <w15:docId w15:val="{77E489AF-F4D5-4438-B0EF-5AD439F3B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locked="0"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5F55C3"/>
    <w:pPr>
      <w:spacing w:after="200" w:line="300" w:lineRule="atLeast"/>
    </w:pPr>
    <w:rPr>
      <w:sz w:val="22"/>
      <w:szCs w:val="22"/>
    </w:rPr>
  </w:style>
  <w:style w:type="paragraph" w:styleId="Heading1">
    <w:name w:val="heading 1"/>
    <w:basedOn w:val="Normal"/>
    <w:next w:val="Left05Indent"/>
    <w:link w:val="Heading1Char"/>
    <w:autoRedefine/>
    <w:uiPriority w:val="1"/>
    <w:qFormat/>
    <w:rsid w:val="00E054DF"/>
    <w:pPr>
      <w:keepNext/>
      <w:keepLines/>
      <w:numPr>
        <w:numId w:val="7"/>
      </w:numPr>
      <w:spacing w:after="120" w:line="380" w:lineRule="atLeast"/>
      <w:outlineLvl w:val="0"/>
    </w:pPr>
    <w:rPr>
      <w:rFonts w:ascii="Times New Roman" w:eastAsia="Times New Roman" w:hAnsi="Times New Roman"/>
      <w:b/>
      <w:bCs/>
      <w:sz w:val="36"/>
      <w:szCs w:val="36"/>
    </w:rPr>
  </w:style>
  <w:style w:type="paragraph" w:styleId="Heading2">
    <w:name w:val="heading 2"/>
    <w:next w:val="Normal"/>
    <w:link w:val="Heading2Char"/>
    <w:autoRedefine/>
    <w:uiPriority w:val="1"/>
    <w:qFormat/>
    <w:rsid w:val="005E5D12"/>
    <w:pPr>
      <w:keepNext/>
      <w:keepLines/>
      <w:spacing w:before="200"/>
      <w:outlineLvl w:val="1"/>
    </w:pPr>
    <w:rPr>
      <w:rFonts w:eastAsia="Times New Roman"/>
      <w:b/>
      <w:noProof/>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imes New Roman" w:hAnsi="Times New Roman"/>
      <w:bCs/>
      <w:i/>
      <w:color w:val="595959"/>
      <w:sz w:val="24"/>
    </w:rPr>
  </w:style>
  <w:style w:type="paragraph" w:styleId="Heading4">
    <w:name w:val="heading 4"/>
    <w:basedOn w:val="Heading3"/>
    <w:next w:val="Normal"/>
    <w:link w:val="Heading4Char"/>
    <w:autoRedefine/>
    <w:uiPriority w:val="1"/>
    <w:qFormat/>
    <w:rsid w:val="005F55C3"/>
    <w:pPr>
      <w:numPr>
        <w:ilvl w:val="3"/>
      </w:numPr>
      <w:outlineLvl w:val="3"/>
    </w:pPr>
    <w:rPr>
      <w:rFonts w:ascii="Calibri" w:hAnsi="Calibri"/>
      <w:bCs w:val="0"/>
      <w:i w:val="0"/>
      <w:iCs/>
    </w:rPr>
  </w:style>
  <w:style w:type="paragraph" w:styleId="Heading5">
    <w:name w:val="heading 5"/>
    <w:basedOn w:val="Heading4"/>
    <w:next w:val="Normal"/>
    <w:link w:val="Heading5Char"/>
    <w:uiPriority w:val="1"/>
    <w:qFormat/>
    <w:rsid w:val="00AD6244"/>
    <w:pPr>
      <w:numPr>
        <w:ilvl w:val="4"/>
      </w:numPr>
      <w:outlineLvl w:val="4"/>
    </w:pPr>
    <w:rPr>
      <w:rFonts w:ascii="Times New Roman" w:hAnsi="Times New Roman"/>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2"/>
      </w:numPr>
      <w:spacing w:before="200" w:after="0"/>
      <w:outlineLvl w:val="6"/>
    </w:pPr>
    <w:rPr>
      <w:rFonts w:ascii="Times New Roman" w:eastAsia="Times New Roman" w:hAnsi="Times New Roman"/>
      <w:i/>
      <w:iCs/>
      <w:color w:val="404040"/>
    </w:rPr>
  </w:style>
  <w:style w:type="paragraph" w:styleId="Heading8">
    <w:name w:val="heading 8"/>
    <w:basedOn w:val="Normal"/>
    <w:next w:val="Normal"/>
    <w:link w:val="Heading8Char"/>
    <w:uiPriority w:val="9"/>
    <w:semiHidden/>
    <w:locked/>
    <w:rsid w:val="00112A69"/>
    <w:pPr>
      <w:keepNext/>
      <w:keepLines/>
      <w:numPr>
        <w:ilvl w:val="7"/>
        <w:numId w:val="2"/>
      </w:numPr>
      <w:spacing w:before="200" w:after="0"/>
      <w:outlineLvl w:val="7"/>
    </w:pPr>
    <w:rPr>
      <w:rFonts w:ascii="Times New Roman" w:eastAsia="Times New Roman" w:hAnsi="Times New Roman"/>
      <w:color w:val="404040"/>
    </w:rPr>
  </w:style>
  <w:style w:type="paragraph" w:styleId="Heading9">
    <w:name w:val="heading 9"/>
    <w:basedOn w:val="Normal"/>
    <w:next w:val="Normal"/>
    <w:link w:val="Heading9Char"/>
    <w:uiPriority w:val="9"/>
    <w:semiHidden/>
    <w:locked/>
    <w:rsid w:val="00112A69"/>
    <w:pPr>
      <w:keepNext/>
      <w:keepLines/>
      <w:numPr>
        <w:ilvl w:val="8"/>
        <w:numId w:val="2"/>
      </w:numPr>
      <w:spacing w:before="200" w:after="0"/>
      <w:outlineLvl w:val="8"/>
    </w:pPr>
    <w:rPr>
      <w:rFonts w:ascii="Times New Roman" w:eastAsia="Times New Roman" w:hAnsi="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E054DF"/>
    <w:rPr>
      <w:rFonts w:ascii="Times New Roman" w:eastAsia="Times New Roman" w:hAnsi="Times New Roman" w:cs="Times New Roman"/>
      <w:b/>
      <w:bCs/>
      <w:sz w:val="36"/>
      <w:szCs w:val="36"/>
    </w:rPr>
  </w:style>
  <w:style w:type="paragraph" w:styleId="NoSpacing">
    <w:name w:val="No Spacing"/>
    <w:link w:val="NoSpacingChar"/>
    <w:uiPriority w:val="1"/>
    <w:qFormat/>
    <w:rsid w:val="00112A69"/>
    <w:pPr>
      <w:jc w:val="both"/>
    </w:pPr>
    <w:rPr>
      <w:sz w:val="22"/>
      <w:szCs w:val="22"/>
    </w:rPr>
  </w:style>
  <w:style w:type="character" w:customStyle="1" w:styleId="Heading2Char">
    <w:name w:val="Heading 2 Char"/>
    <w:link w:val="Heading2"/>
    <w:uiPriority w:val="1"/>
    <w:rsid w:val="005E5D12"/>
    <w:rPr>
      <w:rFonts w:eastAsia="Times New Roman"/>
      <w:b/>
      <w:noProof/>
      <w:color w:val="1396D8"/>
      <w:sz w:val="28"/>
      <w:szCs w:val="26"/>
    </w:rPr>
  </w:style>
  <w:style w:type="character" w:customStyle="1" w:styleId="Heading3Char">
    <w:name w:val="Heading 3 Char"/>
    <w:link w:val="Heading3"/>
    <w:uiPriority w:val="1"/>
    <w:rsid w:val="00FD7CDC"/>
    <w:rPr>
      <w:rFonts w:ascii="Times New Roman" w:eastAsia="Times New Roman" w:hAnsi="Times New Roman" w:cs="Times New Roman"/>
      <w:b/>
      <w:bCs/>
      <w:i/>
      <w:color w:val="595959"/>
      <w:sz w:val="24"/>
      <w:szCs w:val="26"/>
    </w:rPr>
  </w:style>
  <w:style w:type="character" w:customStyle="1" w:styleId="Heading4Char">
    <w:name w:val="Heading 4 Char"/>
    <w:link w:val="Heading4"/>
    <w:uiPriority w:val="1"/>
    <w:rsid w:val="005F55C3"/>
    <w:rPr>
      <w:rFonts w:eastAsia="Times New Roman" w:cs="Times New Roman"/>
      <w:b/>
      <w:iCs/>
      <w:color w:val="595959"/>
      <w:sz w:val="24"/>
      <w:szCs w:val="26"/>
    </w:rPr>
  </w:style>
  <w:style w:type="character" w:customStyle="1" w:styleId="Heading5Char">
    <w:name w:val="Heading 5 Char"/>
    <w:link w:val="Heading5"/>
    <w:uiPriority w:val="1"/>
    <w:rsid w:val="00AD6244"/>
    <w:rPr>
      <w:rFonts w:ascii="Times New Roman" w:eastAsia="Times New Roman" w:hAnsi="Times New Roman" w:cs="Times New Roman"/>
      <w:b/>
      <w:iCs/>
      <w:color w:val="595959"/>
      <w:sz w:val="24"/>
      <w:szCs w:val="26"/>
    </w:rPr>
  </w:style>
  <w:style w:type="character" w:customStyle="1" w:styleId="Heading6Char">
    <w:name w:val="Heading 6 Char"/>
    <w:link w:val="Heading6"/>
    <w:uiPriority w:val="9"/>
    <w:semiHidden/>
    <w:rsid w:val="00D55243"/>
    <w:rPr>
      <w:rFonts w:eastAsia="Times New Roman" w:cs="Times New Roman"/>
      <w:b/>
      <w:i/>
      <w:color w:val="666666"/>
      <w:szCs w:val="26"/>
    </w:rPr>
  </w:style>
  <w:style w:type="character" w:customStyle="1" w:styleId="Heading7Char">
    <w:name w:val="Heading 7 Char"/>
    <w:link w:val="Heading7"/>
    <w:uiPriority w:val="9"/>
    <w:semiHidden/>
    <w:rsid w:val="00D55243"/>
    <w:rPr>
      <w:rFonts w:ascii="Times New Roman" w:eastAsia="Times New Roman" w:hAnsi="Times New Roman" w:cs="Times New Roman"/>
      <w:i/>
      <w:iCs/>
      <w:color w:val="404040"/>
    </w:rPr>
  </w:style>
  <w:style w:type="character" w:customStyle="1" w:styleId="Heading8Char">
    <w:name w:val="Heading 8 Char"/>
    <w:link w:val="Heading8"/>
    <w:uiPriority w:val="9"/>
    <w:semiHidden/>
    <w:rsid w:val="00D55243"/>
    <w:rPr>
      <w:rFonts w:ascii="Times New Roman" w:eastAsia="Times New Roman" w:hAnsi="Times New Roman" w:cs="Times New Roman"/>
      <w:color w:val="404040"/>
    </w:rPr>
  </w:style>
  <w:style w:type="character" w:customStyle="1" w:styleId="Heading9Char">
    <w:name w:val="Heading 9 Char"/>
    <w:link w:val="Heading9"/>
    <w:uiPriority w:val="9"/>
    <w:semiHidden/>
    <w:rsid w:val="00D55243"/>
    <w:rPr>
      <w:rFonts w:ascii="Times New Roman" w:eastAsia="Times New Roman" w:hAnsi="Times New Roman" w:cs="Times New Roman"/>
      <w:i/>
      <w:iCs/>
      <w:color w:val="404040"/>
    </w:rPr>
  </w:style>
  <w:style w:type="paragraph" w:styleId="Caption">
    <w:name w:val="caption"/>
    <w:basedOn w:val="Normal"/>
    <w:next w:val="Normal"/>
    <w:autoRedefine/>
    <w:uiPriority w:val="3"/>
    <w:qFormat/>
    <w:rsid w:val="00DE7A1C"/>
    <w:pPr>
      <w:keepNext/>
      <w:spacing w:before="140" w:after="80" w:line="240" w:lineRule="auto"/>
    </w:pPr>
    <w:rPr>
      <w:b/>
      <w:bCs/>
      <w:color w:val="000000"/>
      <w:szCs w:val="18"/>
    </w:rPr>
  </w:style>
  <w:style w:type="paragraph" w:styleId="Header">
    <w:name w:val="header"/>
    <w:basedOn w:val="Normal"/>
    <w:link w:val="HeaderChar"/>
    <w:autoRedefine/>
    <w:uiPriority w:val="99"/>
    <w:qFormat/>
    <w:rsid w:val="009F61F7"/>
    <w:pPr>
      <w:tabs>
        <w:tab w:val="left" w:pos="1491"/>
        <w:tab w:val="center" w:pos="4680"/>
        <w:tab w:val="left" w:pos="5571"/>
        <w:tab w:val="right" w:pos="9360"/>
      </w:tabs>
      <w:spacing w:after="0" w:line="240" w:lineRule="auto"/>
      <w:jc w:val="right"/>
    </w:pPr>
    <w:rPr>
      <w:i/>
    </w:rPr>
  </w:style>
  <w:style w:type="character" w:customStyle="1" w:styleId="HeaderChar">
    <w:name w:val="Header Char"/>
    <w:link w:val="Header"/>
    <w:uiPriority w:val="99"/>
    <w:rsid w:val="009F61F7"/>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left w:val="single" w:sz="18" w:space="10" w:color="C4ECFF"/>
        <w:bottom w:val="single" w:sz="18" w:space="6" w:color="C4ECFF"/>
        <w:right w:val="single" w:sz="18" w:space="10" w:color="C4ECFF"/>
      </w:pBdr>
      <w:shd w:val="clear" w:color="auto" w:fill="C4ECFF"/>
      <w:spacing w:before="120" w:after="120" w:line="240" w:lineRule="auto"/>
      <w:ind w:left="936" w:right="216"/>
      <w:jc w:val="both"/>
    </w:pPr>
    <w:rPr>
      <w:i/>
      <w:color w:val="0096D7"/>
    </w:rPr>
  </w:style>
  <w:style w:type="character" w:customStyle="1" w:styleId="NoteHeadingChar">
    <w:name w:val="Note Heading Char"/>
    <w:aliases w:val="Note 1 Char"/>
    <w:link w:val="NoteHeading"/>
    <w:uiPriority w:val="13"/>
    <w:rsid w:val="004C277B"/>
    <w:rPr>
      <w:i/>
      <w:color w:val="0096D7"/>
      <w:szCs w:val="22"/>
      <w:shd w:val="clear" w:color="auto" w:fill="C4ECFF"/>
    </w:rPr>
  </w:style>
  <w:style w:type="character" w:styleId="PageNumber">
    <w:name w:val="page number"/>
    <w:uiPriority w:val="99"/>
    <w:semiHidden/>
    <w:locked/>
    <w:rsid w:val="00112A69"/>
    <w:rPr>
      <w:rFonts w:eastAsia="Times New Roman" w:cs="Arial"/>
      <w:sz w:val="16"/>
      <w:szCs w:val="16"/>
    </w:rPr>
  </w:style>
  <w:style w:type="character" w:styleId="Hyperlink">
    <w:name w:val="Hyperlink"/>
    <w:uiPriority w:val="99"/>
    <w:qFormat/>
    <w:rsid w:val="00433C96"/>
    <w:rPr>
      <w:rFonts w:ascii="Calibri" w:hAnsi="Calibri"/>
      <w:color w:val="1396D8"/>
      <w:u w:val="none"/>
    </w:rPr>
  </w:style>
  <w:style w:type="paragraph" w:customStyle="1" w:styleId="Link">
    <w:name w:val="Link"/>
    <w:basedOn w:val="Normal"/>
    <w:link w:val="LinkChar"/>
    <w:autoRedefine/>
    <w:uiPriority w:val="11"/>
    <w:qFormat/>
    <w:rsid w:val="004E5446"/>
    <w:pPr>
      <w:spacing w:after="0" w:line="240" w:lineRule="auto"/>
    </w:pPr>
    <w:rPr>
      <w:rFonts w:eastAsia="Times New Roman"/>
      <w:color w:val="1396D8"/>
      <w:szCs w:val="24"/>
    </w:rPr>
  </w:style>
  <w:style w:type="character" w:customStyle="1" w:styleId="LinkChar">
    <w:name w:val="Link Char"/>
    <w:link w:val="Link"/>
    <w:uiPriority w:val="11"/>
    <w:rsid w:val="004E5446"/>
    <w:rPr>
      <w:rFonts w:eastAsia="Times New Roman" w:cs="Times New Roman"/>
      <w:color w:val="1396D8"/>
      <w:szCs w:val="24"/>
    </w:rPr>
  </w:style>
  <w:style w:type="character" w:styleId="IntenseReference">
    <w:name w:val="Intense Reference"/>
    <w:aliases w:val="Note 1 Bold"/>
    <w:uiPriority w:val="32"/>
    <w:locked/>
    <w:rsid w:val="00112A69"/>
    <w:rPr>
      <w:rFonts w:ascii="Calibri" w:hAnsi="Calibri"/>
      <w:b/>
      <w:bCs/>
      <w:smallCaps/>
      <w:color w:val="BD732A"/>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rPr>
  </w:style>
  <w:style w:type="character" w:customStyle="1" w:styleId="QuoteChar">
    <w:name w:val="Quote Char"/>
    <w:link w:val="Quote"/>
    <w:uiPriority w:val="14"/>
    <w:rsid w:val="00D55243"/>
    <w:rPr>
      <w:iCs/>
      <w:color w:val="000000"/>
    </w:rPr>
  </w:style>
  <w:style w:type="character" w:styleId="IntenseEmphasis">
    <w:name w:val="Intense Emphasis"/>
    <w:uiPriority w:val="5"/>
    <w:qFormat/>
    <w:locked/>
    <w:rsid w:val="00112A69"/>
    <w:rPr>
      <w:rFonts w:ascii="Calibri" w:hAnsi="Calibri"/>
      <w:b/>
      <w:bCs/>
      <w:i/>
      <w:iCs/>
      <w:color w:val="1396D8"/>
      <w:sz w:val="20"/>
    </w:rPr>
  </w:style>
  <w:style w:type="character" w:styleId="Emphasis">
    <w:name w:val="Emphasis"/>
    <w:uiPriority w:val="5"/>
    <w:qFormat/>
    <w:rsid w:val="00F80AF1"/>
    <w:rPr>
      <w:rFonts w:ascii="Calibri" w:hAnsi="Calibr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unhideWhenUsed/>
    <w:locked/>
    <w:rsid w:val="00015DA7"/>
    <w:pPr>
      <w:spacing w:after="292" w:line="292" w:lineRule="atLeast"/>
    </w:pPr>
    <w:rPr>
      <w:rFonts w:ascii="Times New Roman" w:eastAsia="Times New Roman" w:hAnsi="Times New Roman"/>
      <w:sz w:val="23"/>
      <w:szCs w:val="23"/>
    </w:rPr>
  </w:style>
  <w:style w:type="paragraph" w:styleId="ListParagraph">
    <w:name w:val="List Paragraph"/>
    <w:basedOn w:val="Normal"/>
    <w:autoRedefine/>
    <w:uiPriority w:val="34"/>
    <w:qFormat/>
    <w:rsid w:val="004B058E"/>
    <w:pPr>
      <w:numPr>
        <w:numId w:val="13"/>
      </w:numPr>
      <w:contextualSpacing/>
    </w:pPr>
  </w:style>
  <w:style w:type="paragraph" w:styleId="TOCHeading">
    <w:name w:val="TOC Heading"/>
    <w:basedOn w:val="Heading1"/>
    <w:next w:val="Normal"/>
    <w:autoRedefine/>
    <w:uiPriority w:val="39"/>
    <w:qFormat/>
    <w:rsid w:val="006A0EB0"/>
    <w:pPr>
      <w:numPr>
        <w:numId w:val="0"/>
      </w:numPr>
      <w:spacing w:before="480" w:line="240" w:lineRule="auto"/>
      <w:outlineLvl w:val="9"/>
    </w:pPr>
    <w:rPr>
      <w:color w:val="0096D7"/>
    </w:rPr>
  </w:style>
  <w:style w:type="paragraph" w:styleId="TOC1">
    <w:name w:val="toc 1"/>
    <w:basedOn w:val="Normal"/>
    <w:next w:val="Normal"/>
    <w:autoRedefine/>
    <w:uiPriority w:val="39"/>
    <w:qFormat/>
    <w:rsid w:val="00AD6244"/>
    <w:pPr>
      <w:tabs>
        <w:tab w:val="left" w:pos="400"/>
        <w:tab w:val="right" w:leader="dot" w:pos="9350"/>
      </w:tabs>
      <w:spacing w:after="100"/>
    </w:pPr>
    <w:rPr>
      <w:color w:val="000000"/>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imes New Roman" w:hAnsi="Arial" w:cs="Arial"/>
      <w:color w:val="000000"/>
      <w:sz w:val="16"/>
      <w:szCs w:val="16"/>
    </w:rPr>
  </w:style>
  <w:style w:type="character" w:customStyle="1" w:styleId="BodyTextIndent3Char">
    <w:name w:val="Body Text Indent 3 Char"/>
    <w:aliases w:val="Table Text .25 ndent Char"/>
    <w:link w:val="BodyTextIndent3"/>
    <w:uiPriority w:val="99"/>
    <w:semiHidden/>
    <w:rsid w:val="00E03CE6"/>
    <w:rPr>
      <w:rFonts w:ascii="Arial" w:eastAsia="Times New Roman"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link w:val="FootnoteText"/>
    <w:uiPriority w:val="7"/>
    <w:rsid w:val="00C7266E"/>
    <w:rPr>
      <w:sz w:val="18"/>
    </w:rPr>
  </w:style>
  <w:style w:type="paragraph" w:customStyle="1" w:styleId="Graphnoteandsourcetext">
    <w:name w:val="Graph note and source text"/>
    <w:basedOn w:val="Normal"/>
    <w:next w:val="Tablefootnotetext"/>
    <w:uiPriority w:val="7"/>
    <w:qFormat/>
    <w:rsid w:val="002E18F8"/>
    <w:pPr>
      <w:spacing w:line="240" w:lineRule="auto"/>
    </w:pPr>
    <w:rPr>
      <w:rFonts w:ascii="Arial" w:hAnsi="Arial"/>
      <w:color w:val="000000"/>
      <w:sz w:val="18"/>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
      </w:numPr>
      <w:contextualSpacing/>
    </w:pPr>
  </w:style>
  <w:style w:type="paragraph" w:styleId="ListBullet2">
    <w:name w:val="List Bullet 2"/>
    <w:basedOn w:val="Normal"/>
    <w:uiPriority w:val="99"/>
    <w:semiHidden/>
    <w:locked/>
    <w:rsid w:val="00112A69"/>
    <w:pPr>
      <w:numPr>
        <w:numId w:val="4"/>
      </w:numPr>
      <w:contextualSpacing/>
    </w:pPr>
  </w:style>
  <w:style w:type="paragraph" w:styleId="ListBullet3">
    <w:name w:val="List Bullet 3"/>
    <w:basedOn w:val="Normal"/>
    <w:uiPriority w:val="99"/>
    <w:semiHidden/>
    <w:locked/>
    <w:rsid w:val="00112A69"/>
    <w:pPr>
      <w:numPr>
        <w:numId w:val="5"/>
      </w:numPr>
      <w:contextualSpacing/>
    </w:pPr>
  </w:style>
  <w:style w:type="paragraph" w:styleId="ListBullet4">
    <w:name w:val="List Bullet 4"/>
    <w:basedOn w:val="Normal"/>
    <w:uiPriority w:val="99"/>
    <w:semiHidden/>
    <w:locked/>
    <w:rsid w:val="00112A69"/>
    <w:pPr>
      <w:numPr>
        <w:numId w:val="6"/>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imes New Roman" w:eastAsia="Times New Roman" w:hAnsi="Times New Roman"/>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imes New Roman"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imes New Roman" w:eastAsia="Times New Roman" w:hAnsi="Times New Roman"/>
      <w:color w:val="139CD8"/>
      <w:spacing w:val="5"/>
      <w:kern w:val="28"/>
      <w:sz w:val="52"/>
      <w:szCs w:val="52"/>
    </w:rPr>
  </w:style>
  <w:style w:type="character" w:customStyle="1" w:styleId="TitleChar">
    <w:name w:val="Title Char"/>
    <w:link w:val="Title"/>
    <w:uiPriority w:val="99"/>
    <w:semiHidden/>
    <w:rsid w:val="00E03CE6"/>
    <w:rPr>
      <w:rFonts w:ascii="Times New Roman" w:eastAsia="Times New Roman" w:hAnsi="Times New Roman" w:cs="Times New Roman"/>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link w:val="Date"/>
    <w:uiPriority w:val="4"/>
    <w:rsid w:val="00D55243"/>
    <w:rPr>
      <w:color w:val="7E8E9A"/>
      <w:sz w:val="22"/>
    </w:rPr>
  </w:style>
  <w:style w:type="table" w:styleId="ColorfulListAccent3">
    <w:name w:val="Colorful List Accent 3"/>
    <w:basedOn w:val="TableNormal"/>
    <w:uiPriority w:val="72"/>
    <w:locked/>
    <w:rsid w:val="00D55243"/>
    <w:rPr>
      <w:color w:val="000000"/>
    </w:rPr>
    <w:tblPr>
      <w:tblStyleRowBandSize w:val="1"/>
      <w:tblStyleColBandSize w:val="1"/>
    </w:tblPr>
    <w:tcPr>
      <w:shd w:val="clear" w:color="auto" w:fill="EEF7E8"/>
    </w:tcPr>
    <w:tblStylePr w:type="firstRow">
      <w:rPr>
        <w:b/>
        <w:bCs/>
        <w:color w:val="FFFFFF"/>
      </w:rPr>
      <w:tblPr/>
      <w:tcPr>
        <w:tcBorders>
          <w:bottom w:val="single" w:sz="12" w:space="0" w:color="FFFFFF"/>
        </w:tcBorders>
        <w:shd w:val="clear" w:color="auto" w:fill="CD9F00"/>
      </w:tcPr>
    </w:tblStylePr>
    <w:tblStylePr w:type="lastRow">
      <w:rPr>
        <w:b/>
        <w:bCs/>
        <w:color w:val="CD9F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cPr>
    </w:tblStylePr>
    <w:tblStylePr w:type="band1Horz">
      <w:tblPr/>
      <w:tcPr>
        <w:shd w:val="clear" w:color="auto" w:fill="DDEFD0"/>
      </w:tcPr>
    </w:tblStylePr>
  </w:style>
  <w:style w:type="table" w:styleId="ColorfulGridAccent6">
    <w:name w:val="Colorful Grid Accent 6"/>
    <w:basedOn w:val="TableNormal"/>
    <w:uiPriority w:val="73"/>
    <w:locked/>
    <w:rsid w:val="00D55243"/>
    <w:rPr>
      <w:color w:val="000000"/>
    </w:rPr>
    <w:tblPr>
      <w:tblStyleRowBandSize w:val="1"/>
      <w:tblStyleColBandSize w:val="1"/>
      <w:tblBorders>
        <w:insideH w:val="single" w:sz="4" w:space="0" w:color="FFFFFF"/>
      </w:tblBorders>
    </w:tblPr>
    <w:tcPr>
      <w:shd w:val="clear" w:color="auto" w:fill="FBEAB2"/>
    </w:tcPr>
    <w:tblStylePr w:type="firstRow">
      <w:rPr>
        <w:b/>
        <w:bCs/>
      </w:rPr>
      <w:tblPr/>
      <w:tcPr>
        <w:shd w:val="clear" w:color="auto" w:fill="F7D565"/>
      </w:tcPr>
    </w:tblStylePr>
    <w:tblStylePr w:type="lastRow">
      <w:rPr>
        <w:b/>
        <w:bCs/>
        <w:color w:val="000000"/>
      </w:rPr>
      <w:tblPr/>
      <w:tcPr>
        <w:shd w:val="clear" w:color="auto" w:fill="F7D565"/>
      </w:tcPr>
    </w:tblStylePr>
    <w:tblStylePr w:type="firstCol">
      <w:rPr>
        <w:color w:val="FFFFFF"/>
      </w:rPr>
      <w:tblPr/>
      <w:tcPr>
        <w:shd w:val="clear" w:color="auto" w:fill="4C3B03"/>
      </w:tcPr>
    </w:tblStylePr>
    <w:tblStylePr w:type="lastCol">
      <w:rPr>
        <w:color w:val="FFFFFF"/>
      </w:rPr>
      <w:tblPr/>
      <w:tcPr>
        <w:shd w:val="clear" w:color="auto" w:fill="4C3B03"/>
      </w:tcPr>
    </w:tblStylePr>
    <w:tblStylePr w:type="band1Vert">
      <w:tblPr/>
      <w:tcPr>
        <w:shd w:val="clear" w:color="auto" w:fill="F5CB3F"/>
      </w:tcPr>
    </w:tblStylePr>
    <w:tblStylePr w:type="band1Horz">
      <w:tblPr/>
      <w:tcPr>
        <w:shd w:val="clear" w:color="auto" w:fill="F5CB3F"/>
      </w:tcPr>
    </w:tblStylePr>
  </w:style>
  <w:style w:type="table" w:styleId="TableGrid">
    <w:name w:val="Table Grid"/>
    <w:basedOn w:val="TableNormal"/>
    <w:uiPriority w:val="59"/>
    <w:locked/>
    <w:rsid w:val="00FB08E3"/>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8E4FA4"/>
  </w:style>
  <w:style w:type="character" w:styleId="Strong">
    <w:name w:val="Strong"/>
    <w:uiPriority w:val="22"/>
    <w:qFormat/>
    <w:locked/>
    <w:rsid w:val="00677C5F"/>
    <w:rPr>
      <w:b/>
      <w:bCs/>
    </w:rPr>
  </w:style>
  <w:style w:type="numbering" w:customStyle="1" w:styleId="EIAbullets">
    <w:name w:val="EIA bullets"/>
    <w:uiPriority w:val="99"/>
    <w:rsid w:val="00752786"/>
    <w:pPr>
      <w:numPr>
        <w:numId w:val="8"/>
      </w:numPr>
    </w:pPr>
  </w:style>
  <w:style w:type="table" w:customStyle="1" w:styleId="TableGrid1">
    <w:name w:val="Table Grid1"/>
    <w:basedOn w:val="TableNormal"/>
    <w:next w:val="TableGrid"/>
    <w:uiPriority w:val="59"/>
    <w:locked/>
    <w:rsid w:val="00612A58"/>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table" w:customStyle="1" w:styleId="TableGrid2">
    <w:name w:val="Table Grid2"/>
    <w:basedOn w:val="TableNormal"/>
    <w:next w:val="TableGrid"/>
    <w:uiPriority w:val="59"/>
    <w:locked/>
    <w:rsid w:val="00C9047C"/>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table" w:customStyle="1" w:styleId="TableGrid3">
    <w:name w:val="Table Grid3"/>
    <w:basedOn w:val="TableNormal"/>
    <w:next w:val="TableGrid"/>
    <w:uiPriority w:val="59"/>
    <w:locked/>
    <w:rsid w:val="00330D13"/>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character" w:styleId="CommentReference">
    <w:name w:val="annotation reference"/>
    <w:uiPriority w:val="99"/>
    <w:semiHidden/>
    <w:unhideWhenUsed/>
    <w:locked/>
    <w:rsid w:val="005F778C"/>
    <w:rPr>
      <w:sz w:val="16"/>
      <w:szCs w:val="16"/>
    </w:rPr>
  </w:style>
  <w:style w:type="paragraph" w:styleId="CommentText">
    <w:name w:val="annotation text"/>
    <w:basedOn w:val="Normal"/>
    <w:link w:val="CommentTextChar"/>
    <w:uiPriority w:val="99"/>
    <w:unhideWhenUsed/>
    <w:locked/>
    <w:rsid w:val="005F778C"/>
    <w:pPr>
      <w:spacing w:line="240" w:lineRule="auto"/>
    </w:pPr>
    <w:rPr>
      <w:sz w:val="20"/>
      <w:szCs w:val="20"/>
    </w:rPr>
  </w:style>
  <w:style w:type="character" w:customStyle="1" w:styleId="CommentTextChar">
    <w:name w:val="Comment Text Char"/>
    <w:link w:val="CommentText"/>
    <w:uiPriority w:val="99"/>
    <w:rsid w:val="005F778C"/>
    <w:rPr>
      <w:sz w:val="20"/>
      <w:szCs w:val="20"/>
    </w:rPr>
  </w:style>
  <w:style w:type="paragraph" w:styleId="CommentSubject">
    <w:name w:val="annotation subject"/>
    <w:basedOn w:val="CommentText"/>
    <w:next w:val="CommentText"/>
    <w:link w:val="CommentSubjectChar"/>
    <w:uiPriority w:val="99"/>
    <w:semiHidden/>
    <w:unhideWhenUsed/>
    <w:locked/>
    <w:rsid w:val="005F778C"/>
    <w:rPr>
      <w:b/>
      <w:bCs/>
    </w:rPr>
  </w:style>
  <w:style w:type="character" w:customStyle="1" w:styleId="CommentSubjectChar">
    <w:name w:val="Comment Subject Char"/>
    <w:link w:val="CommentSubject"/>
    <w:uiPriority w:val="99"/>
    <w:semiHidden/>
    <w:rsid w:val="005F778C"/>
    <w:rPr>
      <w:b/>
      <w:bCs/>
      <w:sz w:val="20"/>
      <w:szCs w:val="20"/>
    </w:rPr>
  </w:style>
  <w:style w:type="paragraph" w:styleId="TOC5">
    <w:name w:val="toc 5"/>
    <w:basedOn w:val="Normal"/>
    <w:next w:val="Normal"/>
    <w:autoRedefine/>
    <w:uiPriority w:val="39"/>
    <w:unhideWhenUsed/>
    <w:locked/>
    <w:rsid w:val="00AD6244"/>
    <w:pPr>
      <w:spacing w:after="100"/>
      <w:ind w:left="1440"/>
    </w:pPr>
  </w:style>
  <w:style w:type="character" w:customStyle="1" w:styleId="NoSpacingChar">
    <w:name w:val="No Spacing Char"/>
    <w:link w:val="NoSpacing"/>
    <w:uiPriority w:val="1"/>
    <w:rsid w:val="003027B5"/>
    <w:rPr>
      <w:sz w:val="22"/>
      <w:szCs w:val="22"/>
    </w:rPr>
  </w:style>
  <w:style w:type="paragraph" w:customStyle="1" w:styleId="Default">
    <w:name w:val="Default"/>
    <w:rsid w:val="003027B5"/>
    <w:pPr>
      <w:autoSpaceDE w:val="0"/>
      <w:autoSpaceDN w:val="0"/>
      <w:adjustRightInd w:val="0"/>
    </w:pPr>
    <w:rPr>
      <w:rFonts w:ascii="Times New Roman" w:hAnsi="Times New Roman"/>
      <w:color w:val="000000"/>
      <w:sz w:val="24"/>
      <w:szCs w:val="24"/>
    </w:rPr>
  </w:style>
  <w:style w:type="paragraph" w:customStyle="1" w:styleId="paragraph">
    <w:name w:val="paragraph"/>
    <w:basedOn w:val="Normal"/>
    <w:rsid w:val="00224783"/>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224783"/>
  </w:style>
  <w:style w:type="character" w:customStyle="1" w:styleId="tabchar">
    <w:name w:val="tabchar"/>
    <w:basedOn w:val="DefaultParagraphFont"/>
    <w:rsid w:val="00224783"/>
  </w:style>
  <w:style w:type="paragraph" w:styleId="Revision">
    <w:name w:val="Revision"/>
    <w:hidden/>
    <w:uiPriority w:val="99"/>
    <w:semiHidden/>
    <w:rsid w:val="005B380C"/>
    <w:rPr>
      <w:sz w:val="22"/>
      <w:szCs w:val="22"/>
    </w:rPr>
  </w:style>
  <w:style w:type="character" w:styleId="UnresolvedMention">
    <w:name w:val="Unresolved Mention"/>
    <w:basedOn w:val="DefaultParagraphFont"/>
    <w:uiPriority w:val="99"/>
    <w:semiHidden/>
    <w:unhideWhenUsed/>
    <w:rsid w:val="00A17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yperlink" Target="mailto:debra.coaxum@eia.gov"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4.xml" /><Relationship Id="rId18" Type="http://schemas.openxmlformats.org/officeDocument/2006/relationships/header" Target="header3.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20" ma:contentTypeDescription="Create a new document." ma:contentTypeScope="" ma:versionID="b6f11ef71dfe2d895d56d1ccc57e12ae">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2b4139b70c1c996855ec1f73da775282"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TaxCatchAll xmlns="0ecc70da-eab6-411d-8058-deb5dffcc27c" xsi:nil="true"/>
    <lcf76f155ced4ddcb4097134ff3c332f xmlns="d588c4e7-d2ae-4a4b-9907-42eca67691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7CAA84-FFAA-41B0-9F15-AEEA95264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A0796B-E2C2-4981-8154-DB1FF4647975}">
  <ds:schemaRefs>
    <ds:schemaRef ds:uri="http://schemas.microsoft.com/sharepoint/v3/contenttype/forms"/>
  </ds:schemaRefs>
</ds:datastoreItem>
</file>

<file path=customXml/itemProps4.xml><?xml version="1.0" encoding="utf-8"?>
<ds:datastoreItem xmlns:ds="http://schemas.openxmlformats.org/officeDocument/2006/customXml" ds:itemID="{CB8037D9-440D-4AD2-AB08-15FCBBB4C850}">
  <ds:schemaRefs>
    <ds:schemaRef ds:uri="http://schemas.openxmlformats.org/officeDocument/2006/bibliography"/>
  </ds:schemaRefs>
</ds:datastoreItem>
</file>

<file path=customXml/itemProps5.xml><?xml version="1.0" encoding="utf-8"?>
<ds:datastoreItem xmlns:ds="http://schemas.openxmlformats.org/officeDocument/2006/customXml" ds:itemID="{1259F85A-1ABB-4A73-96BD-25CEDE0CFDE2}">
  <ds:schemaRefs>
    <ds:schemaRef ds:uri="http://schemas.microsoft.com/office/2006/metadata/properties"/>
    <ds:schemaRef ds:uri="http://schemas.microsoft.com/office/infopath/2007/PartnerControls"/>
    <ds:schemaRef ds:uri="d588c4e7-d2ae-4a4b-9907-42eca676916f"/>
    <ds:schemaRef ds:uri="0ecc70da-eab6-411d-8058-deb5dffcc27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3592</Words>
  <Characters>20032</Characters>
  <Application>Microsoft Office Word</Application>
  <DocSecurity>0</DocSecurity>
  <Lines>359</Lines>
  <Paragraphs>108</Paragraphs>
  <ScaleCrop>false</ScaleCrop>
  <Company/>
  <LinksUpToDate>false</LinksUpToDate>
  <CharactersWithSpaces>23552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&lt;Title of Information Collection Request&gt;</dc:title>
  <dc:subject>Shortened document title</dc:subject>
  <dc:creator>Berry, Rosalyn</dc:creator>
  <cp:lastModifiedBy>Biagas, David E.</cp:lastModifiedBy>
  <cp:revision>18</cp:revision>
  <cp:lastPrinted>2011-12-13T02:42:00Z</cp:lastPrinted>
  <dcterms:created xsi:type="dcterms:W3CDTF">2026-02-11T12:13:00Z</dcterms:created>
  <dcterms:modified xsi:type="dcterms:W3CDTF">2026-04-10T14:48:00Z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0x0101004DC269D66D48DA48A99DFDA691E9EBB5</vt:lpwstr>
  </property>
  <property fmtid="{D5CDD505-2E9C-101B-9397-08002B2CF9AE}" pid="3" name="docLang">
    <vt:lpwstr>en</vt:lpwstr>
  </property>
  <property fmtid="{D5CDD505-2E9C-101B-9397-08002B2CF9AE}" pid="4" name="MediaServiceImageTags">
    <vt:lpwstr/>
  </property>
</Properties>
</file>