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91FC0" w:rsidP="0EE6D153" w14:paraId="01108E74" w14:textId="77777777">
      <w:pPr>
        <w:widowControl/>
        <w:tabs>
          <w:tab w:val="center" w:pos="5040"/>
        </w:tabs>
        <w:jc w:val="center"/>
      </w:pPr>
    </w:p>
    <w:p w:rsidR="009D6B6D" w:rsidRPr="00891FC0" w:rsidP="0EE6D153" w14:paraId="47F59ADF" w14:textId="2F5593B7">
      <w:pPr>
        <w:widowControl/>
        <w:tabs>
          <w:tab w:val="center" w:pos="5040"/>
        </w:tabs>
        <w:jc w:val="center"/>
      </w:pPr>
      <w:r w:rsidRPr="0EE6D153">
        <w:t>Supporting Statement for</w:t>
      </w:r>
    </w:p>
    <w:p w:rsidR="009D6B6D" w:rsidRPr="00891FC0" w:rsidP="0EE6D153" w14:paraId="3443459D" w14:textId="36475187">
      <w:pPr>
        <w:widowControl/>
        <w:tabs>
          <w:tab w:val="center" w:pos="5040"/>
        </w:tabs>
        <w:jc w:val="center"/>
        <w:rPr>
          <w:b/>
          <w:bCs/>
        </w:rPr>
      </w:pPr>
      <w:r w:rsidRPr="0EE6D153">
        <w:rPr>
          <w:b/>
          <w:bCs/>
        </w:rPr>
        <w:t xml:space="preserve">FERC-577, </w:t>
      </w:r>
      <w:r w:rsidRPr="0EE6D153" w:rsidR="007E62B9">
        <w:rPr>
          <w:b/>
          <w:bCs/>
        </w:rPr>
        <w:t>Natural Gas Facilities</w:t>
      </w:r>
      <w:r w:rsidRPr="0EE6D153" w:rsidR="00541904">
        <w:rPr>
          <w:b/>
          <w:bCs/>
        </w:rPr>
        <w:t>: Environmental Review and Compliance</w:t>
      </w:r>
    </w:p>
    <w:p w:rsidR="009D6B6D" w:rsidRPr="00891FC0" w:rsidP="0EE6D153" w14:paraId="13D26165" w14:textId="77777777">
      <w:pPr>
        <w:widowControl/>
        <w:tabs>
          <w:tab w:val="center" w:pos="5040"/>
        </w:tabs>
        <w:jc w:val="center"/>
      </w:pPr>
    </w:p>
    <w:p w:rsidR="009D6B6D" w:rsidRPr="00891FC0" w:rsidP="0EE6D153" w14:paraId="08EF0C81" w14:textId="0D243AF7">
      <w:pPr>
        <w:widowControl/>
        <w:tabs>
          <w:tab w:val="center" w:pos="5040"/>
        </w:tabs>
        <w:rPr>
          <w:b/>
          <w:bCs/>
        </w:rPr>
      </w:pPr>
      <w:r w:rsidRPr="0EE6D153">
        <w:t xml:space="preserve">The Federal Energy Regulatory Commission (Commission or FERC) requests that the Office of Management and Budget (OMB) review and approve </w:t>
      </w:r>
      <w:r w:rsidRPr="0EE6D153" w:rsidR="0064706B">
        <w:t>FERC-577 (</w:t>
      </w:r>
      <w:r w:rsidRPr="0EE6D153" w:rsidR="007E62B9">
        <w:t>Natural Gas Facilities</w:t>
      </w:r>
      <w:r w:rsidRPr="0EE6D153" w:rsidR="00541904">
        <w:t>: Environmental Review and Compliance</w:t>
      </w:r>
      <w:r w:rsidRPr="0EE6D153" w:rsidR="005B619C">
        <w:t>;</w:t>
      </w:r>
      <w:r w:rsidRPr="0EE6D153" w:rsidR="00351242">
        <w:rPr>
          <w:b/>
          <w:bCs/>
        </w:rPr>
        <w:t xml:space="preserve"> </w:t>
      </w:r>
      <w:r w:rsidRPr="0EE6D153" w:rsidR="0064706B">
        <w:t>OMB Control No. 1902-0128</w:t>
      </w:r>
      <w:r w:rsidRPr="0EE6D153" w:rsidR="00E32773">
        <w:t>)</w:t>
      </w:r>
      <w:r w:rsidRPr="0EE6D153" w:rsidR="005D6791">
        <w:t>,</w:t>
      </w:r>
      <w:r w:rsidRPr="0EE6D153" w:rsidR="00E32773">
        <w:t xml:space="preserve"> for a three-</w:t>
      </w:r>
      <w:r w:rsidRPr="0EE6D153">
        <w:t xml:space="preserve">year period. </w:t>
      </w:r>
      <w:r w:rsidRPr="0EE6D153" w:rsidR="0021208A">
        <w:t>FERC-</w:t>
      </w:r>
      <w:r w:rsidRPr="0EE6D153" w:rsidR="0064706B">
        <w:t>577</w:t>
      </w:r>
      <w:r w:rsidRPr="0EE6D153" w:rsidR="007D3EF2">
        <w:t xml:space="preserve"> </w:t>
      </w:r>
      <w:r w:rsidRPr="0EE6D153" w:rsidR="00CC615D">
        <w:t xml:space="preserve">is an existing </w:t>
      </w:r>
      <w:bookmarkStart w:id="0" w:name="_Hlk35259041"/>
      <w:r w:rsidRPr="0EE6D153" w:rsidR="00CC615D">
        <w:t xml:space="preserve">data collection with </w:t>
      </w:r>
      <w:r w:rsidRPr="0EE6D153">
        <w:t>reporting requirement</w:t>
      </w:r>
      <w:r w:rsidRPr="0EE6D153" w:rsidR="004D47F2">
        <w:t>s</w:t>
      </w:r>
      <w:r w:rsidRPr="0EE6D153">
        <w:t xml:space="preserve"> in 18 Code of Federal Regulations (CFR) </w:t>
      </w:r>
      <w:r w:rsidRPr="0EE6D153" w:rsidR="0064706B">
        <w:t xml:space="preserve">Parts 2, </w:t>
      </w:r>
      <w:r w:rsidR="008520A1">
        <w:t xml:space="preserve">153, </w:t>
      </w:r>
      <w:r w:rsidRPr="0EE6D153" w:rsidR="0064706B">
        <w:t xml:space="preserve">157, </w:t>
      </w:r>
      <w:r w:rsidRPr="0EE6D153" w:rsidR="00CB2261">
        <w:t xml:space="preserve">284 </w:t>
      </w:r>
      <w:r w:rsidRPr="0EE6D153" w:rsidR="0064706B">
        <w:t>and 380</w:t>
      </w:r>
      <w:bookmarkEnd w:id="0"/>
      <w:r w:rsidRPr="0EE6D153" w:rsidR="0064706B">
        <w:t xml:space="preserve"> of its regulations implementing </w:t>
      </w:r>
      <w:r w:rsidRPr="0EE6D153" w:rsidR="004D47F2">
        <w:t xml:space="preserve">the </w:t>
      </w:r>
      <w:r w:rsidRPr="0EE6D153" w:rsidR="0064706B">
        <w:t xml:space="preserve">National Environmental Policy Act (NEPA) and </w:t>
      </w:r>
      <w:r w:rsidR="00694492">
        <w:t>containing the environmental reporting requirements for landowner notifications.</w:t>
      </w:r>
    </w:p>
    <w:p w:rsidR="009D6B6D" w:rsidRPr="00891FC0" w:rsidP="0EE6D153" w14:paraId="55BF55CD" w14:textId="77777777">
      <w:pPr>
        <w:widowControl/>
      </w:pPr>
    </w:p>
    <w:p w:rsidR="009D6B6D" w:rsidRPr="00891FC0" w:rsidP="0EE6D153" w14:paraId="284B885E" w14:textId="32203B40">
      <w:pPr>
        <w:widowControl/>
        <w:ind w:left="720" w:hanging="720"/>
        <w:rPr>
          <w:b/>
          <w:bCs/>
        </w:rPr>
      </w:pPr>
      <w:r w:rsidRPr="0EE6D153">
        <w:rPr>
          <w:b/>
          <w:bCs/>
        </w:rPr>
        <w:t>1.</w:t>
      </w:r>
      <w:r>
        <w:tab/>
      </w:r>
      <w:r w:rsidRPr="0EE6D153">
        <w:rPr>
          <w:b/>
          <w:bCs/>
        </w:rPr>
        <w:t>CIRCUMSTANCES THAT MAKE THE COLLECTION OF INFORMATION NECESSARY</w:t>
      </w:r>
    </w:p>
    <w:p w:rsidR="009D6B6D" w:rsidRPr="00891FC0" w:rsidP="0EE6D153" w14:paraId="74BB5164" w14:textId="12D8A713">
      <w:pPr>
        <w:widowControl/>
        <w:ind w:left="1440"/>
        <w:rPr>
          <w:b/>
          <w:bCs/>
        </w:rPr>
      </w:pPr>
    </w:p>
    <w:p w:rsidR="00CA42C3" w:rsidP="0EE6D153" w14:paraId="4E19DA56" w14:textId="77777777">
      <w:r w:rsidRPr="0702D3DA">
        <w:t xml:space="preserve">FERC–577 </w:t>
      </w:r>
      <w:r>
        <w:t>identifies</w:t>
      </w:r>
      <w:r w:rsidRPr="0702D3DA">
        <w:t xml:space="preserve"> the Commission’s information collection pertaining to </w:t>
      </w:r>
      <w:r>
        <w:t xml:space="preserve">Parts 2, 153, 157, 284 and 380 of its regulations which implement </w:t>
      </w:r>
      <w:r w:rsidRPr="0702D3DA">
        <w:t xml:space="preserve">the National Environmental Policy Act (NEPA) </w:t>
      </w:r>
      <w:r>
        <w:t xml:space="preserve">and contain the environmental </w:t>
      </w:r>
      <w:r w:rsidRPr="0702D3DA">
        <w:t xml:space="preserve">reporting requirements for landowner notifications. </w:t>
      </w:r>
    </w:p>
    <w:p w:rsidR="00A948FF" w:rsidRPr="000D032E" w:rsidP="0EE6D153" w14:paraId="66137AB3" w14:textId="145706BD"/>
    <w:p w:rsidR="00A948FF" w:rsidP="0EE6D153" w14:paraId="40CFFDB3" w14:textId="3A182716">
      <w:r w:rsidRPr="0EE6D153">
        <w:t xml:space="preserve">Section 102 (2)(c) of National Environmental Policy Act of 1969 (Pub.L 91-190) (42 U.S.C. 4321) requires that all Federal agencies consider the environmental impact of its decisions regarding those activities that are major federal actions significantly affecting the quality of </w:t>
      </w:r>
      <w:r w:rsidRPr="0EE6D153" w:rsidR="00226A9B">
        <w:t>the</w:t>
      </w:r>
      <w:r w:rsidRPr="0EE6D153">
        <w:t xml:space="preserve"> human environment; produce a detailed statement on the environmental impact of the proposed actions that addresses any adverse environmental effects which cannot be avoided; and produce alternatives to the proposed action.</w:t>
      </w:r>
      <w:r w:rsidRPr="0EE6D153" w:rsidR="5D320E51">
        <w:t xml:space="preserve"> </w:t>
      </w:r>
      <w:r w:rsidRPr="0EE6D153">
        <w:t xml:space="preserve">To carry this out, </w:t>
      </w:r>
      <w:r w:rsidR="00FA2710">
        <w:t>under Part</w:t>
      </w:r>
      <w:r w:rsidR="005C2E00">
        <w:t xml:space="preserve">s </w:t>
      </w:r>
      <w:r w:rsidR="00554DEA">
        <w:t xml:space="preserve">153.8, </w:t>
      </w:r>
      <w:r w:rsidR="00F6153A">
        <w:t xml:space="preserve">157.14(a)(7), 157.206(b), </w:t>
      </w:r>
      <w:r w:rsidR="004D2662">
        <w:t xml:space="preserve">and </w:t>
      </w:r>
      <w:r w:rsidR="00F6153A">
        <w:t>380.12-.14</w:t>
      </w:r>
      <w:r w:rsidR="00FA2710">
        <w:t>380</w:t>
      </w:r>
      <w:r w:rsidR="000E4997">
        <w:t>.12</w:t>
      </w:r>
      <w:r w:rsidR="004D2662">
        <w:t xml:space="preserve"> </w:t>
      </w:r>
      <w:r w:rsidR="00FA2710">
        <w:t xml:space="preserve">of its regulations, </w:t>
      </w:r>
      <w:r w:rsidRPr="0EE6D153">
        <w:t xml:space="preserve">the Commission requires </w:t>
      </w:r>
      <w:r w:rsidRPr="0EE6D153" w:rsidR="0EE6D153">
        <w:t xml:space="preserve">applicants seeking authorization to construct and abandon facilities to provide </w:t>
      </w:r>
      <w:r w:rsidR="004D13FB">
        <w:t>environmental related information</w:t>
      </w:r>
      <w:r w:rsidRPr="0EE6D153">
        <w:t xml:space="preserve"> with</w:t>
      </w:r>
      <w:r w:rsidRPr="0EE6D153" w:rsidR="0EE6D153">
        <w:t xml:space="preserve"> their application</w:t>
      </w:r>
      <w:r w:rsidR="00FD2576">
        <w:t xml:space="preserve">, addressing </w:t>
      </w:r>
      <w:r w:rsidR="003506F5">
        <w:t>resource areas affected by the proposed action</w:t>
      </w:r>
      <w:r w:rsidRPr="0EE6D153">
        <w:t>.</w:t>
      </w:r>
      <w:r w:rsidR="003506F5">
        <w:t xml:space="preserve">  The information</w:t>
      </w:r>
      <w:r w:rsidRPr="0EE6D153">
        <w:t xml:space="preserve"> also describes the impact the project is likely to have, and the measures the applicant will implement to mitigate those impacts.</w:t>
      </w:r>
      <w:r w:rsidRPr="0EE6D153" w:rsidR="5D320E51">
        <w:t xml:space="preserve"> </w:t>
      </w:r>
    </w:p>
    <w:p w:rsidR="000308D3" w:rsidRPr="0018605B" w:rsidP="0EE6D153" w14:paraId="189E6FEA" w14:textId="113822BA"/>
    <w:p w:rsidR="00451AD7" w:rsidRPr="00D90318" w:rsidP="0EE6D153" w14:paraId="31EAF9BE" w14:textId="54DC1BB9">
      <w:r>
        <w:t>Under Parts</w:t>
      </w:r>
      <w:r w:rsidR="00B07DE4">
        <w:t xml:space="preserve"> 2.55</w:t>
      </w:r>
      <w:r w:rsidR="005D4CE0">
        <w:t>(c)</w:t>
      </w:r>
      <w:r w:rsidR="00B07DE4">
        <w:t>, 157.6(d), 157.203(d)</w:t>
      </w:r>
      <w:r w:rsidR="00A94488">
        <w:t xml:space="preserve">, 284.11(b), and </w:t>
      </w:r>
      <w:r w:rsidR="00B07DE4">
        <w:t>380.15</w:t>
      </w:r>
      <w:r w:rsidR="005D4CE0">
        <w:t xml:space="preserve"> of its regulations, the Commission established that </w:t>
      </w:r>
      <w:r w:rsidRPr="0EE6D153" w:rsidR="007D3E88">
        <w:t xml:space="preserve">natural gas company must notify affected landowners </w:t>
      </w:r>
      <w:r w:rsidR="007F5848">
        <w:t xml:space="preserve">of planned activities </w:t>
      </w:r>
      <w:r w:rsidRPr="0EE6D153" w:rsidR="007D3E88">
        <w:t>prior to coming onto their property</w:t>
      </w:r>
      <w:r w:rsidRPr="0EE6D153" w:rsidR="0014217A">
        <w:t xml:space="preserve"> for certain activities</w:t>
      </w:r>
      <w:r w:rsidRPr="0EE6D153" w:rsidR="007D3E88">
        <w:t>.</w:t>
      </w:r>
      <w:r w:rsidRPr="0EE6D153" w:rsidR="5D320E51">
        <w:t xml:space="preserve"> </w:t>
      </w:r>
      <w:r w:rsidRPr="0EE6D153" w:rsidR="0014217A">
        <w:t>The notifications include:</w:t>
      </w:r>
      <w:r w:rsidRPr="0EE6D153" w:rsidR="5D320E51">
        <w:t xml:space="preserve"> </w:t>
      </w:r>
      <w:r w:rsidRPr="0EE6D153" w:rsidR="0014217A">
        <w:t>(1) a brief description of the activity to be conducted or facilities to be constructed/replaced and the effects that the activities are expected to have on the landowner’s property; (2) the name and phone number of the company representative that is knowledgeable about the project; and (3) a description of the Commission’s Dispute Resolution Service Helpline, as explained in Section 1b.21(g) of the Commission’s regulations, and the Dispute Resolution Service Helpline number.</w:t>
      </w:r>
      <w:r w:rsidRPr="0EE6D153" w:rsidR="5D320E51">
        <w:t xml:space="preserve"> </w:t>
      </w:r>
      <w:r w:rsidRPr="0EE6D153" w:rsidR="008578A4">
        <w:t>The Commission</w:t>
      </w:r>
      <w:r w:rsidRPr="0EE6D153" w:rsidR="0EE6D153">
        <w:t xml:space="preserve"> defines “affected landowners” as owners of property interests, as noted in the most recent tax notice, whose property is directly affected (i.e. crossed or used) by the proposed activity, including all rights-of-way, facility sites, access roads, pipe and contractor yards, and temporary workspace</w:t>
      </w:r>
      <w:r w:rsidRPr="0EE6D153" w:rsidR="0014217A">
        <w:t>s</w:t>
      </w:r>
      <w:r w:rsidRPr="0EE6D153" w:rsidR="0EE6D153">
        <w:t xml:space="preserve">. </w:t>
      </w:r>
    </w:p>
    <w:p w:rsidR="007D3E88" w:rsidRPr="00D90318" w:rsidP="0EE6D153" w14:paraId="7EAF5EF9" w14:textId="1E7BAB3E"/>
    <w:p w:rsidR="001F3ADE" w:rsidRPr="00891FC0" w:rsidP="0EE6D153" w14:paraId="095CE0E8" w14:textId="77777777">
      <w:pPr>
        <w:pStyle w:val="FERCparanumber"/>
        <w:numPr>
          <w:ilvl w:val="0"/>
          <w:numId w:val="0"/>
        </w:numPr>
        <w:tabs>
          <w:tab w:val="left" w:pos="720"/>
          <w:tab w:val="left" w:pos="4860"/>
        </w:tabs>
        <w:rPr>
          <w:sz w:val="24"/>
        </w:rPr>
      </w:pPr>
    </w:p>
    <w:p w:rsidR="009D6B6D" w:rsidRPr="00A85462" w:rsidP="00B94FDD" w14:paraId="31D7969C" w14:textId="77777777">
      <w:pPr>
        <w:pStyle w:val="FERCparanumber"/>
        <w:rPr>
          <w:b/>
          <w:bCs/>
          <w:sz w:val="24"/>
        </w:rPr>
      </w:pPr>
      <w:r w:rsidRPr="00A85462">
        <w:rPr>
          <w:b/>
          <w:bCs/>
          <w:sz w:val="24"/>
        </w:rPr>
        <w:t>HOW, BY WHOM AND FOR WHAT P</w:t>
      </w:r>
      <w:r w:rsidRPr="00A85462" w:rsidR="00980E8E">
        <w:rPr>
          <w:b/>
          <w:bCs/>
          <w:sz w:val="24"/>
        </w:rPr>
        <w:t>URPOSE IS THE INFORMATION USED AND THE CONSEQUENCES OF NOT COLLECTING THE INFORMATION</w:t>
      </w:r>
    </w:p>
    <w:p w:rsidR="007722E7" w:rsidRPr="00891FC0" w:rsidP="0EE6D153" w14:paraId="6CA5D337" w14:textId="77777777"/>
    <w:p w:rsidR="0014217A" w:rsidRPr="00891FC0" w:rsidP="0EE6D153" w14:paraId="220FDDB4" w14:textId="3143B442">
      <w:r>
        <w:t>The Commission uses the FERC-577 data to perform its regulatory functions.</w:t>
      </w:r>
      <w:r w:rsidR="5D320E51">
        <w:t xml:space="preserve"> </w:t>
      </w:r>
      <w:r>
        <w:t>Natural gas companies file the necessary information with FERC so that the Commission can determine from the data if the requested certificate should be authorized</w:t>
      </w:r>
      <w:r w:rsidR="008578A4">
        <w:t>.</w:t>
      </w:r>
      <w:r w:rsidR="5D320E51">
        <w:t xml:space="preserve"> </w:t>
      </w:r>
      <w:r w:rsidR="008578A4">
        <w:t>In addition, natural gas companies submit filing</w:t>
      </w:r>
      <w:r w:rsidR="2EB6482E">
        <w:t>s</w:t>
      </w:r>
      <w:r w:rsidR="008578A4">
        <w:t xml:space="preserve"> to document compliance with the landowner notification requirements.</w:t>
      </w:r>
      <w:r w:rsidR="5D320E51">
        <w:t xml:space="preserve"> </w:t>
      </w:r>
      <w:r>
        <w:t>The information collection cannot be discontinued nor collected less frequently because of statutory requirements.</w:t>
      </w:r>
      <w:r w:rsidR="5D320E51">
        <w:t xml:space="preserve"> </w:t>
      </w:r>
      <w:r>
        <w:t>The consequences of not collecting this information are that the Commission would be unable to fulfill its statutory mandate under the NGA</w:t>
      </w:r>
      <w:r w:rsidR="008578A4">
        <w:t xml:space="preserve"> and NEPA.</w:t>
      </w:r>
    </w:p>
    <w:p w:rsidR="00980E8E" w:rsidRPr="00891FC0" w:rsidP="0EE6D153" w14:paraId="32B2D492" w14:textId="77777777">
      <w:pPr>
        <w:pStyle w:val="FERCparanumber"/>
        <w:numPr>
          <w:ilvl w:val="0"/>
          <w:numId w:val="0"/>
        </w:numPr>
        <w:tabs>
          <w:tab w:val="left" w:pos="720"/>
          <w:tab w:val="left" w:pos="4860"/>
        </w:tabs>
        <w:rPr>
          <w:sz w:val="24"/>
        </w:rPr>
      </w:pPr>
    </w:p>
    <w:p w:rsidR="00980E8E" w:rsidRPr="00B94FDD" w:rsidP="00B94FDD" w14:paraId="1191C360" w14:textId="77777777">
      <w:pPr>
        <w:pStyle w:val="FERCparanumber"/>
        <w:rPr>
          <w:b/>
          <w:bCs/>
          <w:sz w:val="24"/>
        </w:rPr>
      </w:pPr>
      <w:r w:rsidRPr="00B94FDD">
        <w:rPr>
          <w:b/>
          <w:bCs/>
          <w:sz w:val="24"/>
        </w:rPr>
        <w:t>DESCRIBE ANY CONSIDERATION OF THE USE OF IMPROVED INFORMATION TECHNOLOGY TO REDUCE BURDEN AND THE TECHNICAL OR LEGAL OBSTACLES TO REDUCING BURDEN</w:t>
      </w:r>
    </w:p>
    <w:p w:rsidR="00980E8E" w:rsidRPr="00891FC0" w:rsidP="0EE6D153" w14:paraId="200107A7" w14:textId="77777777"/>
    <w:p w:rsidR="00042ECE" w:rsidRPr="00891FC0" w:rsidP="0EE6D153" w14:paraId="0EA87705" w14:textId="688FFCAA">
      <w:r w:rsidRPr="0EE6D153">
        <w:t>The</w:t>
      </w:r>
      <w:r w:rsidRPr="0EE6D153" w:rsidR="00E17B13">
        <w:t xml:space="preserve"> Commission is continually improving its eFiling capabilities in an effort to reduce the burden to entities needing to file materials.</w:t>
      </w:r>
      <w:r w:rsidRPr="0EE6D153" w:rsidR="5D320E51">
        <w:t xml:space="preserve"> </w:t>
      </w:r>
      <w:r w:rsidRPr="0EE6D153" w:rsidR="00E17B13">
        <w:t>All of the filing material associated with th</w:t>
      </w:r>
      <w:r w:rsidRPr="0EE6D153">
        <w:t>e FERC-577 materials may be eFiled through FERC’s eFiling system</w:t>
      </w:r>
      <w:r w:rsidRPr="0EE6D153" w:rsidR="00E17B13">
        <w:t>, and in the last year, 100% of the material was eFiled</w:t>
      </w:r>
      <w:r w:rsidRPr="0EE6D153">
        <w:t>.</w:t>
      </w:r>
      <w:r w:rsidRPr="0EE6D153" w:rsidR="5D320E51">
        <w:t xml:space="preserve"> </w:t>
      </w:r>
      <w:r w:rsidRPr="0EE6D153">
        <w:t xml:space="preserve">[See </w:t>
      </w:r>
      <w:hyperlink r:id="rId9">
        <w:r w:rsidRPr="0EE6D153">
          <w:rPr>
            <w:rStyle w:val="Hyperlink"/>
          </w:rPr>
          <w:t>http://www.ferc.gov/docs-filing/efiling/filing.pdf</w:t>
        </w:r>
      </w:hyperlink>
      <w:r w:rsidRPr="0EE6D153">
        <w:t xml:space="preserve"> for more information.]</w:t>
      </w:r>
    </w:p>
    <w:p w:rsidR="00042ECE" w:rsidRPr="00891FC0" w:rsidP="0EE6D153" w14:paraId="6FEAA67F" w14:textId="77777777"/>
    <w:p w:rsidR="00042ECE" w:rsidRPr="00891FC0" w:rsidP="0EE6D153" w14:paraId="1133AECD" w14:textId="77777777"/>
    <w:p w:rsidR="009D6B6D" w:rsidRPr="00891FC0" w:rsidP="0EE6D153" w14:paraId="0E702588" w14:textId="77777777">
      <w:pPr>
        <w:pStyle w:val="FERCparanumber"/>
        <w:rPr>
          <w:b/>
          <w:bCs/>
          <w:sz w:val="24"/>
        </w:rPr>
      </w:pPr>
      <w:r w:rsidRPr="0EE6D153">
        <w:rPr>
          <w:b/>
          <w:bCs/>
          <w:sz w:val="24"/>
        </w:rPr>
        <w:t>DESCRIBE EFFORTS TO IDENTIFY DUPLICATON AND SHOW SPECIFICALLY WHY ANY SIMILAR INFORMATION ALREADY AVAILABLE CANNOT BE USED OR MODIFIED FOR USE FOR THE PURPOSE(S) DESCRIBED IN INSTRUCTION NO. 2.</w:t>
      </w:r>
    </w:p>
    <w:p w:rsidR="00BD4039" w:rsidRPr="00891FC0" w:rsidP="0EE6D153" w14:paraId="7F5C95B0" w14:textId="77777777">
      <w:pPr>
        <w:pStyle w:val="FERCparanumber"/>
        <w:numPr>
          <w:ilvl w:val="0"/>
          <w:numId w:val="0"/>
        </w:numPr>
        <w:rPr>
          <w:b/>
          <w:bCs/>
          <w:sz w:val="24"/>
        </w:rPr>
      </w:pPr>
    </w:p>
    <w:p w:rsidR="00BD4039" w:rsidRPr="00891FC0" w:rsidP="0EE6D153" w14:paraId="44C363AB" w14:textId="49AB80AE">
      <w:r w:rsidRPr="0EE6D153">
        <w:t>Filing requirements are reviewed</w:t>
      </w:r>
      <w:r w:rsidRPr="0EE6D153" w:rsidR="00E17B13">
        <w:t xml:space="preserve"> for need at least as often as every three years when the</w:t>
      </w:r>
      <w:r w:rsidRPr="0EE6D153">
        <w:t xml:space="preserve"> information collection expiration dates </w:t>
      </w:r>
      <w:r w:rsidRPr="0EE6D153" w:rsidR="00E17B13">
        <w:t>are due to expire and typically evaluated more frequently than that.</w:t>
      </w:r>
      <w:r w:rsidRPr="0EE6D153" w:rsidR="5D320E51">
        <w:t xml:space="preserve"> </w:t>
      </w:r>
      <w:r w:rsidRPr="0EE6D153" w:rsidR="00E17B13">
        <w:t xml:space="preserve">After Commission analysis, it has been confirmed that there is no other source of this information, nor is </w:t>
      </w:r>
      <w:r w:rsidRPr="0EE6D153" w:rsidR="008578A4">
        <w:t>the material</w:t>
      </w:r>
      <w:r w:rsidRPr="0EE6D153" w:rsidR="00E17B13">
        <w:t xml:space="preserve"> duplicated in another source.</w:t>
      </w:r>
      <w:r w:rsidRPr="0EE6D153" w:rsidR="5D320E51">
        <w:t xml:space="preserve"> </w:t>
      </w:r>
    </w:p>
    <w:p w:rsidR="008060D2" w:rsidRPr="00891FC0" w:rsidP="0EE6D153" w14:paraId="01E02908" w14:textId="77777777">
      <w:pPr>
        <w:pStyle w:val="FERCparanumber"/>
        <w:numPr>
          <w:ilvl w:val="0"/>
          <w:numId w:val="0"/>
        </w:numPr>
        <w:rPr>
          <w:sz w:val="24"/>
        </w:rPr>
      </w:pPr>
    </w:p>
    <w:p w:rsidR="009D6B6D" w:rsidRPr="00891FC0" w:rsidP="0EE6D153" w14:paraId="16D376F5" w14:textId="77777777">
      <w:pPr>
        <w:pStyle w:val="FERCparanumber"/>
        <w:rPr>
          <w:sz w:val="24"/>
        </w:rPr>
      </w:pPr>
      <w:r w:rsidRPr="0EE6D153">
        <w:rPr>
          <w:b/>
          <w:bCs/>
          <w:sz w:val="24"/>
        </w:rPr>
        <w:t>METHODS USED TO MINIMIZE BURDEN IN COLLECTION OF INFORMATION INVOLVING SMALL ENTITIES</w:t>
      </w:r>
      <w:r w:rsidRPr="0EE6D153">
        <w:rPr>
          <w:sz w:val="24"/>
        </w:rPr>
        <w:t xml:space="preserve"> </w:t>
      </w:r>
    </w:p>
    <w:p w:rsidR="009D6B6D" w:rsidRPr="00891FC0" w:rsidP="0EE6D153" w14:paraId="498754B1" w14:textId="77777777">
      <w:pPr>
        <w:widowControl/>
        <w:ind w:left="1440"/>
      </w:pPr>
    </w:p>
    <w:p w:rsidR="008060D2" w:rsidRPr="00891FC0" w:rsidP="0EE6D153" w14:paraId="6A972740" w14:textId="7D59A227">
      <w:r w:rsidRPr="0EE6D153">
        <w:t>There are no special provisions or methods for reducing burden on any small entities.</w:t>
      </w:r>
    </w:p>
    <w:p w:rsidR="005240A1" w:rsidRPr="00891FC0" w:rsidP="0EE6D153" w14:paraId="2329B0A1" w14:textId="77777777">
      <w:pPr>
        <w:pStyle w:val="FERCparanumber"/>
        <w:numPr>
          <w:ilvl w:val="0"/>
          <w:numId w:val="0"/>
        </w:numPr>
        <w:tabs>
          <w:tab w:val="num" w:pos="0"/>
        </w:tabs>
        <w:rPr>
          <w:sz w:val="24"/>
        </w:rPr>
      </w:pPr>
    </w:p>
    <w:p w:rsidR="009D6B6D" w:rsidRPr="00891FC0" w:rsidP="0EE6D153" w14:paraId="1169CF0E" w14:textId="77777777">
      <w:pPr>
        <w:pStyle w:val="FERCparanumber"/>
        <w:rPr>
          <w:b/>
          <w:bCs/>
          <w:sz w:val="24"/>
        </w:rPr>
      </w:pPr>
      <w:r w:rsidRPr="0EE6D153">
        <w:rPr>
          <w:b/>
          <w:bCs/>
          <w:sz w:val="24"/>
        </w:rPr>
        <w:t>CONSEQUENCE TO FEDERAL PROGRAM IF COLLECTION WERE CONDUCTED LESS FREQUENTLY</w:t>
      </w:r>
    </w:p>
    <w:p w:rsidR="00BB6095" w:rsidRPr="00891FC0" w:rsidP="0EE6D153" w14:paraId="23391944" w14:textId="77777777">
      <w:pPr>
        <w:pStyle w:val="FERCparanumber"/>
        <w:numPr>
          <w:ilvl w:val="0"/>
          <w:numId w:val="0"/>
        </w:numPr>
        <w:rPr>
          <w:b/>
          <w:bCs/>
          <w:sz w:val="24"/>
        </w:rPr>
      </w:pPr>
    </w:p>
    <w:p w:rsidR="00042ECE" w:rsidRPr="00891FC0" w:rsidP="0EE6D153" w14:paraId="621621A2" w14:textId="0B207DBE">
      <w:r w:rsidRPr="0EE6D153">
        <w:t>The Commission reviews and analyses the information filed under the regulations subject to FERC-577 to determine whether to approve or deny the requested authorization, and to ensure landowners are properly notified.</w:t>
      </w:r>
      <w:r w:rsidRPr="0EE6D153" w:rsidR="5D320E51">
        <w:t xml:space="preserve"> </w:t>
      </w:r>
      <w:r w:rsidRPr="0EE6D153">
        <w:t>If the Commission failed to collect th</w:t>
      </w:r>
      <w:r w:rsidRPr="0EE6D153" w:rsidR="00AC7537">
        <w:t>is</w:t>
      </w:r>
      <w:r w:rsidRPr="0EE6D153">
        <w:t xml:space="preserve"> data, it would lose its ability to review relevant information to determine whether the requested certificate should be authorized, and its ability to ensure compliance related </w:t>
      </w:r>
      <w:r w:rsidRPr="0EE6D153" w:rsidR="3D6A2BAB">
        <w:t xml:space="preserve">activities </w:t>
      </w:r>
      <w:r w:rsidRPr="0EE6D153">
        <w:t>were occurring.</w:t>
      </w:r>
      <w:r w:rsidRPr="0EE6D153" w:rsidR="5D320E51">
        <w:t xml:space="preserve"> </w:t>
      </w:r>
      <w:r w:rsidRPr="0EE6D153">
        <w:t xml:space="preserve">FERC-577 data collections are required for statutory purposes and cannot be discontinued or collected less </w:t>
      </w:r>
      <w:r w:rsidRPr="0EE6D153">
        <w:t>frequently.</w:t>
      </w:r>
      <w:r w:rsidRPr="0EE6D153" w:rsidR="5D320E51">
        <w:t xml:space="preserve"> </w:t>
      </w:r>
    </w:p>
    <w:p w:rsidR="00BB6095" w:rsidRPr="00891FC0" w:rsidP="0EE6D153" w14:paraId="4F0A656F" w14:textId="77777777">
      <w:pPr>
        <w:pStyle w:val="FERCparanumber"/>
        <w:numPr>
          <w:ilvl w:val="0"/>
          <w:numId w:val="0"/>
        </w:numPr>
        <w:rPr>
          <w:sz w:val="24"/>
        </w:rPr>
      </w:pPr>
    </w:p>
    <w:p w:rsidR="00BB6095" w:rsidRPr="00891FC0" w:rsidP="0EE6D153" w14:paraId="5CE22EF6" w14:textId="77777777">
      <w:pPr>
        <w:pStyle w:val="FERCparanumber"/>
        <w:rPr>
          <w:b/>
          <w:bCs/>
          <w:sz w:val="24"/>
        </w:rPr>
      </w:pPr>
      <w:r w:rsidRPr="0EE6D153">
        <w:rPr>
          <w:b/>
          <w:bCs/>
          <w:sz w:val="24"/>
        </w:rPr>
        <w:t>EXPLAIN ANY SPECIAL CIRCUMSTANCES RELATING TO THE INFORMATION</w:t>
      </w:r>
    </w:p>
    <w:p w:rsidR="00BB6095" w:rsidRPr="00891FC0" w:rsidP="0EE6D153" w14:paraId="6C3072D3" w14:textId="77777777">
      <w:pPr>
        <w:pStyle w:val="FERCparanumber"/>
        <w:numPr>
          <w:ilvl w:val="0"/>
          <w:numId w:val="0"/>
        </w:numPr>
        <w:rPr>
          <w:b/>
          <w:bCs/>
          <w:sz w:val="24"/>
        </w:rPr>
      </w:pPr>
    </w:p>
    <w:p w:rsidR="00E17B13" w:rsidRPr="00D90318" w:rsidP="0EE6D153" w14:paraId="3F91AF92" w14:textId="0329D325">
      <w:r w:rsidRPr="0EE6D153">
        <w:t>There are no special circumstances (as described in 5 CFR 1320.5(d)(2)) related to the FERC-577 information collection.</w:t>
      </w:r>
    </w:p>
    <w:p w:rsidR="00BB6095" w:rsidRPr="00891FC0" w:rsidP="0EE6D153" w14:paraId="5AA6725C" w14:textId="77777777">
      <w:pPr>
        <w:pStyle w:val="FERCparanumber"/>
        <w:numPr>
          <w:ilvl w:val="0"/>
          <w:numId w:val="0"/>
        </w:numPr>
        <w:rPr>
          <w:sz w:val="24"/>
        </w:rPr>
      </w:pPr>
    </w:p>
    <w:p w:rsidR="009D6B6D" w:rsidRPr="00891FC0" w:rsidP="0EE6D153" w14:paraId="3E7E24B7" w14:textId="77777777">
      <w:pPr>
        <w:pStyle w:val="FERCparanumber"/>
        <w:rPr>
          <w:b/>
          <w:bCs/>
          <w:sz w:val="24"/>
        </w:rPr>
      </w:pPr>
      <w:r w:rsidRPr="0EE6D153">
        <w:rPr>
          <w:b/>
          <w:bCs/>
          <w:sz w:val="24"/>
        </w:rPr>
        <w:t>DESCRIBE EFFORTS TO CONSULT OUTSIDE THE AGENCY: SUMMARIZE PUBLIC COMMENTS AND THE AGENCY’S RESPONSE TO THESE COMMENTS</w:t>
      </w:r>
    </w:p>
    <w:p w:rsidR="00BB6095" w:rsidRPr="00891FC0" w:rsidP="0EE6D153" w14:paraId="08534C89" w14:textId="77777777">
      <w:pPr>
        <w:pStyle w:val="FERCparanumber"/>
        <w:numPr>
          <w:ilvl w:val="0"/>
          <w:numId w:val="0"/>
        </w:numPr>
        <w:rPr>
          <w:b/>
          <w:bCs/>
          <w:sz w:val="24"/>
        </w:rPr>
      </w:pPr>
    </w:p>
    <w:p w:rsidR="006D656A" w:rsidP="006D656A" w14:paraId="40978DC6" w14:textId="08C1EA33">
      <w:pPr>
        <w:rPr>
          <w:color w:val="000000" w:themeColor="text1"/>
        </w:rPr>
      </w:pPr>
      <w:r w:rsidRPr="006D656A">
        <w:rPr>
          <w:color w:val="000000" w:themeColor="text1"/>
        </w:rPr>
        <w:t>In accordance with OMB requirements</w:t>
      </w:r>
      <w:r>
        <w:rPr>
          <w:color w:val="000000" w:themeColor="text1"/>
          <w:vertAlign w:val="superscript"/>
        </w:rPr>
        <w:footnoteReference w:id="3"/>
      </w:r>
      <w:r w:rsidRPr="006D656A">
        <w:rPr>
          <w:color w:val="000000" w:themeColor="text1"/>
        </w:rPr>
        <w:t xml:space="preserve">, the </w:t>
      </w:r>
      <w:r w:rsidRPr="004A0481">
        <w:rPr>
          <w:color w:val="000000" w:themeColor="text1"/>
        </w:rPr>
        <w:t>Commission published a 60-day notice (91 FR 72</w:t>
      </w:r>
      <w:r w:rsidRPr="004A0481" w:rsidR="00B51E2F">
        <w:rPr>
          <w:color w:val="000000" w:themeColor="text1"/>
        </w:rPr>
        <w:t>69</w:t>
      </w:r>
      <w:r w:rsidRPr="004A0481">
        <w:rPr>
          <w:color w:val="000000" w:themeColor="text1"/>
        </w:rPr>
        <w:t>, February 17, 2026) and a 30-day notice (91 FR</w:t>
      </w:r>
      <w:r w:rsidRPr="004A0481" w:rsidR="004A0481">
        <w:rPr>
          <w:color w:val="000000" w:themeColor="text1"/>
        </w:rPr>
        <w:t xml:space="preserve"> 25873</w:t>
      </w:r>
      <w:r w:rsidRPr="004A0481">
        <w:rPr>
          <w:color w:val="000000" w:themeColor="text1"/>
        </w:rPr>
        <w:t xml:space="preserve">, </w:t>
      </w:r>
      <w:r w:rsidRPr="004A0481" w:rsidR="004A0481">
        <w:rPr>
          <w:color w:val="000000" w:themeColor="text1"/>
        </w:rPr>
        <w:t>May 12</w:t>
      </w:r>
      <w:r w:rsidRPr="004A0481">
        <w:rPr>
          <w:color w:val="000000" w:themeColor="text1"/>
        </w:rPr>
        <w:t>, 2026) to the public regarding this information collection. Within the public notices, the Commission noted that it would be requesting a three-year extension of the public reporting burden with no change to the existing requirements concerning the collection of data.   </w:t>
      </w:r>
    </w:p>
    <w:p w:rsidR="00210D14" w:rsidP="006D656A" w14:paraId="7FEC8F9A" w14:textId="77777777">
      <w:pPr>
        <w:rPr>
          <w:color w:val="000000" w:themeColor="text1"/>
        </w:rPr>
      </w:pPr>
    </w:p>
    <w:p w:rsidR="00AB3D1B" w:rsidRPr="00AB3D1B" w:rsidP="00AB3D1B" w14:paraId="6CD5ACA5" w14:textId="57D8003F">
      <w:r w:rsidRPr="00AB3D1B">
        <w:t>FERC received one comment on the 60-day Federal Register Notice. The commenter requested greater clarification regarding the purpose of the information collection and the specific details about what information is being collected. FERC included additional information in this notice to describe the need and details of the collection.  The commentor also stated that FERC had not mapped information categories to decision outputs and citied 5 CFR 1320.8(b)(1). The commentor incorrectly characterizes this regulation which requires that FERC track its information collections and have an OMB Control Number and Expiration Date. This information is available at </w:t>
      </w:r>
      <w:hyperlink r:id="rId10" w:tgtFrame="_blank" w:history="1">
        <w:r w:rsidRPr="00AB3D1B">
          <w:rPr>
            <w:rStyle w:val="Hyperlink"/>
          </w:rPr>
          <w:t>https://www.ferc.gov/information-collections</w:t>
        </w:r>
      </w:hyperlink>
      <w:r w:rsidRPr="00AB3D1B">
        <w:t> and</w:t>
      </w:r>
      <w:r>
        <w:t xml:space="preserve"> </w:t>
      </w:r>
      <w:r w:rsidRPr="00AB3D1B">
        <w:t>also at </w:t>
      </w:r>
      <w:hyperlink r:id="rId11" w:tgtFrame="_blank" w:history="1">
        <w:r w:rsidRPr="00AB3D1B">
          <w:rPr>
            <w:rStyle w:val="Hyperlink"/>
          </w:rPr>
          <w:t>https://www.ferc.gov/industries-data/natural-gas/industry-forms</w:t>
        </w:r>
      </w:hyperlink>
      <w:r w:rsidRPr="00AB3D1B">
        <w:t>. The commentor also stated that burden and cost methodology was inadequate; however, they did not provide recommendations for how these might be updated. FERC reviewed the burden calculation and corrected the burden to reflect changes incorporated in RM22-8.</w:t>
      </w:r>
    </w:p>
    <w:p w:rsidR="00210D14" w:rsidRPr="006D656A" w:rsidP="006D656A" w14:paraId="71E40142" w14:textId="77777777">
      <w:pPr>
        <w:rPr>
          <w:color w:val="000000" w:themeColor="text1"/>
        </w:rPr>
      </w:pPr>
    </w:p>
    <w:p w:rsidR="00BB6095" w:rsidRPr="00891FC0" w:rsidP="0EE6D153" w14:paraId="2386E560" w14:textId="77777777">
      <w:pPr>
        <w:pStyle w:val="FERCparanumber"/>
        <w:numPr>
          <w:ilvl w:val="0"/>
          <w:numId w:val="0"/>
        </w:numPr>
        <w:rPr>
          <w:sz w:val="24"/>
        </w:rPr>
      </w:pPr>
    </w:p>
    <w:p w:rsidR="009D6B6D" w:rsidRPr="00891FC0" w:rsidP="0EE6D153" w14:paraId="091A69F9" w14:textId="77777777">
      <w:pPr>
        <w:pStyle w:val="FERCparanumber"/>
        <w:rPr>
          <w:b/>
          <w:bCs/>
          <w:sz w:val="24"/>
        </w:rPr>
      </w:pPr>
      <w:r w:rsidRPr="0EE6D153">
        <w:rPr>
          <w:b/>
          <w:bCs/>
          <w:sz w:val="24"/>
        </w:rPr>
        <w:t>EXPLAIN ANY PAYMENT OR GIFTS TO RESPONDENTS</w:t>
      </w:r>
    </w:p>
    <w:p w:rsidR="00BB6095" w:rsidRPr="00891FC0" w:rsidP="0EE6D153" w14:paraId="55601D9E" w14:textId="77777777">
      <w:pPr>
        <w:pStyle w:val="FERCparanumber"/>
        <w:numPr>
          <w:ilvl w:val="0"/>
          <w:numId w:val="0"/>
        </w:numPr>
        <w:rPr>
          <w:b/>
          <w:bCs/>
          <w:sz w:val="24"/>
        </w:rPr>
      </w:pPr>
    </w:p>
    <w:p w:rsidR="00BB6095" w:rsidRPr="00891FC0" w:rsidP="0EE6D153" w14:paraId="635D1E06" w14:textId="520716E5">
      <w:pPr>
        <w:widowControl/>
      </w:pPr>
      <w:r w:rsidRPr="0EE6D153">
        <w:t xml:space="preserve">There are no payments or gifts to respondents </w:t>
      </w:r>
      <w:r w:rsidRPr="0EE6D153" w:rsidR="007B025D">
        <w:t>of</w:t>
      </w:r>
      <w:r w:rsidRPr="0EE6D153">
        <w:t xml:space="preserve"> this collection.</w:t>
      </w:r>
    </w:p>
    <w:p w:rsidR="00BB6095" w:rsidRPr="00891FC0" w:rsidP="0EE6D153" w14:paraId="200271A7" w14:textId="77777777">
      <w:pPr>
        <w:pStyle w:val="FERCparanumber"/>
        <w:numPr>
          <w:ilvl w:val="0"/>
          <w:numId w:val="0"/>
        </w:numPr>
        <w:rPr>
          <w:sz w:val="24"/>
        </w:rPr>
      </w:pPr>
    </w:p>
    <w:p w:rsidR="009D6B6D" w:rsidRPr="00891FC0" w:rsidP="0EE6D153" w14:paraId="18CEDA1A" w14:textId="77777777">
      <w:pPr>
        <w:pStyle w:val="FERCparanumber"/>
        <w:rPr>
          <w:b/>
          <w:bCs/>
          <w:sz w:val="24"/>
        </w:rPr>
      </w:pPr>
      <w:r w:rsidRPr="0EE6D153">
        <w:rPr>
          <w:b/>
          <w:bCs/>
          <w:sz w:val="24"/>
        </w:rPr>
        <w:t>DESCRIBE ANY ASSURANCE OF CONFIDENTIALITY PROVIDED TO RESPONDENTS</w:t>
      </w:r>
    </w:p>
    <w:p w:rsidR="00211C71" w:rsidP="0EE6D153" w14:paraId="49A96EC2" w14:textId="77777777">
      <w:pPr>
        <w:spacing w:line="20" w:lineRule="atLeast"/>
      </w:pPr>
    </w:p>
    <w:p w:rsidR="004F4549" w:rsidP="0EE6D153" w14:paraId="1025E770" w14:textId="6EA7C474">
      <w:r w:rsidRPr="0EE6D153">
        <w:t>The Commission does not guarantee the information provided by applicants to be confidential.</w:t>
      </w:r>
      <w:r w:rsidRPr="0EE6D153" w:rsidR="5D320E51">
        <w:t xml:space="preserve"> </w:t>
      </w:r>
      <w:r w:rsidRPr="0EE6D153">
        <w:t>In fact, most of it is understood to be public.</w:t>
      </w:r>
      <w:r w:rsidRPr="0EE6D153" w:rsidR="5D320E51">
        <w:t xml:space="preserve"> </w:t>
      </w:r>
      <w:r w:rsidRPr="0EE6D153">
        <w:t>However, the Commission has encouraged applicants to indicate information which may be Critical Energy/Electric</w:t>
      </w:r>
      <w:r w:rsidRPr="0EE6D153" w:rsidR="5D320E51">
        <w:t xml:space="preserve"> </w:t>
      </w:r>
      <w:r w:rsidRPr="0EE6D153">
        <w:t>Infrastructure Information (CEII), or privileged, and thus initially confidential.</w:t>
      </w:r>
      <w:r w:rsidRPr="0EE6D153" w:rsidR="5D320E51">
        <w:t xml:space="preserve"> </w:t>
      </w:r>
      <w:r w:rsidRPr="0EE6D153">
        <w:t xml:space="preserve">CEII as </w:t>
      </w:r>
      <w:r w:rsidRPr="0EE6D153" w:rsidR="00107F7B">
        <w:t xml:space="preserve">stated </w:t>
      </w:r>
      <w:r w:rsidRPr="0EE6D153">
        <w:t>in Section 18 CFR</w:t>
      </w:r>
      <w:r w:rsidRPr="0EE6D153" w:rsidR="00BB26FC">
        <w:t xml:space="preserve"> 157.10</w:t>
      </w:r>
      <w:r w:rsidRPr="0EE6D153">
        <w:t xml:space="preserve"> includes information about proposed or existing natural gas facilities that could be us</w:t>
      </w:r>
      <w:r w:rsidRPr="0EE6D153" w:rsidR="00107F7B">
        <w:t xml:space="preserve">eful to </w:t>
      </w:r>
      <w:r w:rsidRPr="0EE6D153">
        <w:t>a person planning an attack on critical energy infrastructure.</w:t>
      </w:r>
      <w:r w:rsidRPr="0EE6D153" w:rsidR="5D320E51">
        <w:t xml:space="preserve"> </w:t>
      </w:r>
      <w:r w:rsidRPr="0EE6D153">
        <w:t xml:space="preserve">Privileged material most often includes </w:t>
      </w:r>
      <w:r w:rsidRPr="0EE6D153">
        <w:t>proprietary business information, specific cultural resource details and locations, and personal identification information of affected landowners.</w:t>
      </w:r>
      <w:r w:rsidRPr="0EE6D153" w:rsidR="5D320E51">
        <w:t xml:space="preserve"> </w:t>
      </w:r>
      <w:r w:rsidRPr="0EE6D153">
        <w:t xml:space="preserve">More information about CEII and privileged security levels of information are posted at </w:t>
      </w:r>
      <w:hyperlink r:id="rId12">
        <w:r w:rsidRPr="0EE6D153">
          <w:rPr>
            <w:rStyle w:val="Hyperlink"/>
          </w:rPr>
          <w:t>http://www.ferc.gov/legal/ceii-foia/ceii.asp</w:t>
        </w:r>
      </w:hyperlink>
      <w:r w:rsidRPr="0EE6D153">
        <w:t xml:space="preserve"> and </w:t>
      </w:r>
      <w:hyperlink r:id="rId13">
        <w:r w:rsidRPr="0EE6D153">
          <w:rPr>
            <w:rStyle w:val="Hyperlink"/>
          </w:rPr>
          <w:t>http://www.ferc.gov/legal/ceii-foia/ceii/classes.asp</w:t>
        </w:r>
      </w:hyperlink>
      <w:r w:rsidRPr="0EE6D153">
        <w:t>.</w:t>
      </w:r>
      <w:r w:rsidRPr="0EE6D153" w:rsidR="5D320E51">
        <w:t xml:space="preserve"> </w:t>
      </w:r>
      <w:r w:rsidRPr="0EE6D153">
        <w:t>The Commission’s procedures in Part 388 are designed to ensure that CEII and privileged material are not placed in the Commission’s public records.</w:t>
      </w:r>
      <w:r w:rsidRPr="0EE6D153" w:rsidR="5D320E51">
        <w:t xml:space="preserve"> </w:t>
      </w:r>
    </w:p>
    <w:p w:rsidR="004F4549" w:rsidP="0EE6D153" w14:paraId="59337445" w14:textId="77777777"/>
    <w:p w:rsidR="00351242" w:rsidP="0EE6D153" w14:paraId="4D31269A" w14:textId="6062A70B">
      <w:r w:rsidRPr="0EE6D153">
        <w:rPr>
          <w:b/>
          <w:bCs/>
        </w:rPr>
        <w:t>Note</w:t>
      </w:r>
      <w:r w:rsidRPr="0EE6D153" w:rsidR="004F4549">
        <w:rPr>
          <w:b/>
          <w:bCs/>
        </w:rPr>
        <w:t>:</w:t>
      </w:r>
      <w:r w:rsidRPr="0EE6D153">
        <w:t xml:space="preserve"> that the Commission implemented revised procedures for the appropriate handling of documents and will follow the controlled unclassified information (CUI) labeling system now prescribed; see </w:t>
      </w:r>
      <w:hyperlink r:id="rId14">
        <w:r w:rsidRPr="0EE6D153" w:rsidR="00BB26FC">
          <w:rPr>
            <w:rStyle w:val="Hyperlink"/>
          </w:rPr>
          <w:t>http://www.ferc.gov/docs-filing/efiling.asp</w:t>
        </w:r>
      </w:hyperlink>
      <w:r w:rsidRPr="0EE6D153">
        <w:rPr>
          <w:color w:val="0000FF"/>
        </w:rPr>
        <w:t>.</w:t>
      </w:r>
    </w:p>
    <w:p w:rsidR="00BB26FC" w:rsidRPr="00BB26FC" w:rsidP="0EE6D153" w14:paraId="161CFCBB" w14:textId="77777777">
      <w:pPr>
        <w:rPr>
          <w:color w:val="FF0000"/>
        </w:rPr>
      </w:pPr>
    </w:p>
    <w:p w:rsidR="009D6B6D" w:rsidRPr="00891FC0" w:rsidP="0EE6D153" w14:paraId="0F599F44" w14:textId="6387DEE9">
      <w:pPr>
        <w:pStyle w:val="FERCparanumber"/>
        <w:rPr>
          <w:b/>
          <w:bCs/>
          <w:sz w:val="24"/>
        </w:rPr>
      </w:pPr>
      <w:r w:rsidRPr="0EE6D153">
        <w:rPr>
          <w:b/>
          <w:bCs/>
          <w:sz w:val="24"/>
        </w:rPr>
        <w:t>PROVIDE ADDITIONAL JUSTIFICATION FOR ANY QUESTIONS OF A SENSITIVE NATURE</w:t>
      </w:r>
      <w:r w:rsidRPr="0EE6D153" w:rsidR="00860C58">
        <w:rPr>
          <w:b/>
          <w:bCs/>
          <w:sz w:val="24"/>
        </w:rPr>
        <w:t>, SUCH AS SEXUAL BEHAVIOR AND ATTITUDES, RELIGIOUS BELIEFS, AND OTHER MATTERS THAT ARE COMMONLY CONSIDERED PRIVATE</w:t>
      </w:r>
    </w:p>
    <w:p w:rsidR="00BB6095" w:rsidRPr="00891FC0" w:rsidP="0EE6D153" w14:paraId="7C3F9D96" w14:textId="77777777">
      <w:pPr>
        <w:pStyle w:val="FERCparanumber"/>
        <w:numPr>
          <w:ilvl w:val="0"/>
          <w:numId w:val="0"/>
        </w:numPr>
        <w:rPr>
          <w:b/>
          <w:bCs/>
          <w:sz w:val="24"/>
        </w:rPr>
      </w:pPr>
    </w:p>
    <w:p w:rsidR="00BB6095" w:rsidRPr="00891FC0" w:rsidP="0EE6D153" w14:paraId="2F8D71F0" w14:textId="5ABB8A7D">
      <w:pPr>
        <w:widowControl/>
        <w:rPr>
          <w:b/>
          <w:bCs/>
        </w:rPr>
      </w:pPr>
      <w:r w:rsidRPr="0EE6D153">
        <w:t>There are no questions of a sensitive nature associated with the reporting requirements.</w:t>
      </w:r>
      <w:r w:rsidRPr="0EE6D153" w:rsidR="5D320E51">
        <w:t xml:space="preserve"> </w:t>
      </w:r>
    </w:p>
    <w:p w:rsidR="00BB6095" w:rsidRPr="00891FC0" w:rsidP="0EE6D153" w14:paraId="6058D422" w14:textId="77777777">
      <w:pPr>
        <w:pStyle w:val="FERCparanumber"/>
        <w:numPr>
          <w:ilvl w:val="0"/>
          <w:numId w:val="0"/>
        </w:numPr>
        <w:rPr>
          <w:sz w:val="24"/>
        </w:rPr>
      </w:pPr>
    </w:p>
    <w:p w:rsidR="00BB6095" w:rsidRPr="00891FC0" w:rsidP="0EE6D153" w14:paraId="4ACF1549" w14:textId="77777777">
      <w:pPr>
        <w:pStyle w:val="FERCparanumber"/>
        <w:rPr>
          <w:b/>
          <w:bCs/>
          <w:sz w:val="24"/>
        </w:rPr>
      </w:pPr>
      <w:r w:rsidRPr="0EE6D153">
        <w:rPr>
          <w:b/>
          <w:bCs/>
          <w:sz w:val="24"/>
        </w:rPr>
        <w:t>ESTIMATED BURDEN COLLECTION OF INFORMATION</w:t>
      </w:r>
    </w:p>
    <w:p w:rsidR="00351242" w:rsidP="0EE6D153" w14:paraId="47866B9B" w14:textId="77777777">
      <w:pPr>
        <w:spacing w:line="20" w:lineRule="atLeast"/>
        <w:rPr>
          <w:b/>
          <w:bCs/>
        </w:rPr>
      </w:pPr>
    </w:p>
    <w:p w:rsidR="00351242" w:rsidP="0EE6D153" w14:paraId="68D049B5" w14:textId="6FE1E120">
      <w:pPr>
        <w:spacing w:line="20" w:lineRule="atLeast"/>
      </w:pPr>
      <w:r w:rsidRPr="0EE6D153">
        <w:t>The Commission estimates the annual public reporting burden</w:t>
      </w:r>
      <w:r>
        <w:rPr>
          <w:vertAlign w:val="superscript"/>
        </w:rPr>
        <w:footnoteReference w:id="4"/>
      </w:r>
      <w:r w:rsidRPr="0EE6D153">
        <w:t xml:space="preserve"> and cost</w:t>
      </w:r>
      <w:r>
        <w:rPr>
          <w:vertAlign w:val="superscript"/>
        </w:rPr>
        <w:footnoteReference w:id="5"/>
      </w:r>
      <w:r w:rsidRPr="0EE6D153">
        <w:t xml:space="preserve"> for the information collection as:</w:t>
      </w:r>
    </w:p>
    <w:p w:rsidR="0099245F" w:rsidP="0EE6D153" w14:paraId="3D1EE257" w14:textId="77777777">
      <w:pPr>
        <w:spacing w:line="20" w:lineRule="atLeast"/>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5"/>
        <w:gridCol w:w="1330"/>
        <w:gridCol w:w="1260"/>
        <w:gridCol w:w="1170"/>
        <w:gridCol w:w="1771"/>
        <w:gridCol w:w="1620"/>
        <w:gridCol w:w="1559"/>
      </w:tblGrid>
      <w:tr w14:paraId="38FB3577" w14:textId="77777777" w:rsidTr="00C8703F">
        <w:tblPrEx>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8"/>
          <w:jc w:val="center"/>
        </w:trPr>
        <w:tc>
          <w:tcPr>
            <w:tcW w:w="1365" w:type="dxa"/>
            <w:shd w:val="clear" w:color="auto" w:fill="D9D9D9" w:themeFill="background1" w:themeFillShade="D9"/>
          </w:tcPr>
          <w:p w:rsidR="0099245F" w:rsidRPr="00C0546B" w:rsidP="0099245F" w14:paraId="38946F9C" w14:textId="77777777">
            <w:pPr>
              <w:spacing w:line="20" w:lineRule="atLeast"/>
              <w:rPr>
                <w:b/>
                <w:bCs/>
                <w:sz w:val="20"/>
                <w:szCs w:val="20"/>
              </w:rPr>
            </w:pPr>
          </w:p>
        </w:tc>
        <w:tc>
          <w:tcPr>
            <w:tcW w:w="1330" w:type="dxa"/>
            <w:shd w:val="clear" w:color="auto" w:fill="D9D9D9" w:themeFill="background1" w:themeFillShade="D9"/>
          </w:tcPr>
          <w:p w:rsidR="0099245F" w:rsidRPr="00C0546B" w:rsidP="0099245F" w14:paraId="318A7503" w14:textId="77777777">
            <w:pPr>
              <w:spacing w:line="20" w:lineRule="atLeast"/>
              <w:rPr>
                <w:b/>
                <w:bCs/>
                <w:sz w:val="20"/>
                <w:szCs w:val="20"/>
              </w:rPr>
            </w:pPr>
            <w:r w:rsidRPr="00C0546B">
              <w:rPr>
                <w:b/>
                <w:bCs/>
                <w:sz w:val="20"/>
                <w:szCs w:val="20"/>
              </w:rPr>
              <w:t>Number of Respondents</w:t>
            </w:r>
          </w:p>
          <w:p w:rsidR="0099245F" w:rsidRPr="00C0546B" w:rsidP="0099245F" w14:paraId="27B7B68E" w14:textId="77777777">
            <w:pPr>
              <w:spacing w:line="20" w:lineRule="atLeast"/>
              <w:rPr>
                <w:b/>
                <w:bCs/>
                <w:sz w:val="20"/>
                <w:szCs w:val="20"/>
              </w:rPr>
            </w:pPr>
            <w:r w:rsidRPr="00C0546B">
              <w:rPr>
                <w:b/>
                <w:bCs/>
                <w:sz w:val="20"/>
                <w:szCs w:val="20"/>
              </w:rPr>
              <w:t>(1)</w:t>
            </w:r>
          </w:p>
        </w:tc>
        <w:tc>
          <w:tcPr>
            <w:tcW w:w="1260" w:type="dxa"/>
            <w:shd w:val="clear" w:color="auto" w:fill="D9D9D9" w:themeFill="background1" w:themeFillShade="D9"/>
          </w:tcPr>
          <w:p w:rsidR="0099245F" w:rsidRPr="00C0546B" w:rsidP="0099245F" w14:paraId="4DE31D7B" w14:textId="77777777">
            <w:pPr>
              <w:spacing w:line="20" w:lineRule="atLeast"/>
              <w:rPr>
                <w:b/>
                <w:bCs/>
                <w:sz w:val="20"/>
                <w:szCs w:val="20"/>
              </w:rPr>
            </w:pPr>
            <w:r w:rsidRPr="00C0546B">
              <w:rPr>
                <w:b/>
                <w:bCs/>
                <w:sz w:val="20"/>
                <w:szCs w:val="20"/>
              </w:rPr>
              <w:t>Number of Responses Per Respondent</w:t>
            </w:r>
          </w:p>
          <w:p w:rsidR="0099245F" w:rsidRPr="00C0546B" w:rsidP="0099245F" w14:paraId="1CEEE4DB" w14:textId="77777777">
            <w:pPr>
              <w:spacing w:line="20" w:lineRule="atLeast"/>
              <w:rPr>
                <w:b/>
                <w:bCs/>
                <w:sz w:val="20"/>
                <w:szCs w:val="20"/>
              </w:rPr>
            </w:pPr>
            <w:r w:rsidRPr="00C0546B">
              <w:rPr>
                <w:b/>
                <w:bCs/>
                <w:sz w:val="20"/>
                <w:szCs w:val="20"/>
              </w:rPr>
              <w:t>(2)</w:t>
            </w:r>
          </w:p>
        </w:tc>
        <w:tc>
          <w:tcPr>
            <w:tcW w:w="1170" w:type="dxa"/>
            <w:shd w:val="clear" w:color="auto" w:fill="D9D9D9" w:themeFill="background1" w:themeFillShade="D9"/>
          </w:tcPr>
          <w:p w:rsidR="0099245F" w:rsidRPr="00C0546B" w:rsidP="0099245F" w14:paraId="13CE71FD" w14:textId="77777777">
            <w:pPr>
              <w:spacing w:line="20" w:lineRule="atLeast"/>
              <w:rPr>
                <w:b/>
                <w:bCs/>
                <w:sz w:val="20"/>
                <w:szCs w:val="20"/>
              </w:rPr>
            </w:pPr>
            <w:r w:rsidRPr="00C0546B">
              <w:rPr>
                <w:b/>
                <w:bCs/>
                <w:sz w:val="20"/>
                <w:szCs w:val="20"/>
              </w:rPr>
              <w:t>Total Number of Responses</w:t>
            </w:r>
          </w:p>
          <w:p w:rsidR="0099245F" w:rsidRPr="00C0546B" w:rsidP="0099245F" w14:paraId="71F7B4E0" w14:textId="77777777">
            <w:pPr>
              <w:spacing w:line="20" w:lineRule="atLeast"/>
              <w:rPr>
                <w:b/>
                <w:bCs/>
                <w:sz w:val="20"/>
                <w:szCs w:val="20"/>
              </w:rPr>
            </w:pPr>
            <w:r w:rsidRPr="00C0546B">
              <w:rPr>
                <w:b/>
                <w:bCs/>
                <w:sz w:val="20"/>
                <w:szCs w:val="20"/>
              </w:rPr>
              <w:t>(1) * (2) = (3)</w:t>
            </w:r>
          </w:p>
        </w:tc>
        <w:tc>
          <w:tcPr>
            <w:tcW w:w="1771" w:type="dxa"/>
            <w:shd w:val="clear" w:color="auto" w:fill="D9D9D9" w:themeFill="background1" w:themeFillShade="D9"/>
          </w:tcPr>
          <w:p w:rsidR="0099245F" w:rsidRPr="00C0546B" w:rsidP="0099245F" w14:paraId="46E2D788" w14:textId="77777777">
            <w:pPr>
              <w:spacing w:line="20" w:lineRule="atLeast"/>
              <w:rPr>
                <w:b/>
                <w:bCs/>
                <w:sz w:val="20"/>
                <w:szCs w:val="20"/>
              </w:rPr>
            </w:pPr>
            <w:r w:rsidRPr="00C0546B">
              <w:rPr>
                <w:b/>
                <w:bCs/>
                <w:sz w:val="20"/>
                <w:szCs w:val="20"/>
              </w:rPr>
              <w:t>Average Burden Hours &amp; Average Cost per Response ($) (rounded)</w:t>
            </w:r>
          </w:p>
          <w:p w:rsidR="0099245F" w:rsidRPr="00C0546B" w:rsidP="0099245F" w14:paraId="07735473" w14:textId="77777777">
            <w:pPr>
              <w:spacing w:line="20" w:lineRule="atLeast"/>
              <w:rPr>
                <w:b/>
                <w:bCs/>
                <w:sz w:val="20"/>
                <w:szCs w:val="20"/>
              </w:rPr>
            </w:pPr>
            <w:r w:rsidRPr="00C0546B">
              <w:rPr>
                <w:b/>
                <w:bCs/>
                <w:sz w:val="20"/>
                <w:szCs w:val="20"/>
              </w:rPr>
              <w:t>(4)</w:t>
            </w:r>
          </w:p>
        </w:tc>
        <w:tc>
          <w:tcPr>
            <w:tcW w:w="1620" w:type="dxa"/>
            <w:shd w:val="clear" w:color="auto" w:fill="D9D9D9" w:themeFill="background1" w:themeFillShade="D9"/>
          </w:tcPr>
          <w:p w:rsidR="0099245F" w:rsidRPr="00C0546B" w:rsidP="0099245F" w14:paraId="6E7B83A9" w14:textId="77777777">
            <w:pPr>
              <w:spacing w:line="20" w:lineRule="atLeast"/>
              <w:rPr>
                <w:b/>
                <w:bCs/>
                <w:sz w:val="20"/>
                <w:szCs w:val="20"/>
              </w:rPr>
            </w:pPr>
            <w:r w:rsidRPr="00C0546B">
              <w:rPr>
                <w:b/>
                <w:bCs/>
                <w:sz w:val="20"/>
                <w:szCs w:val="20"/>
              </w:rPr>
              <w:t>Total Annual Burden Hours &amp; Total Annual Cost ($) (rounded)</w:t>
            </w:r>
          </w:p>
          <w:p w:rsidR="0099245F" w:rsidRPr="00C0546B" w:rsidP="0099245F" w14:paraId="1376D9F7" w14:textId="77777777">
            <w:pPr>
              <w:spacing w:line="20" w:lineRule="atLeast"/>
              <w:rPr>
                <w:b/>
                <w:bCs/>
                <w:sz w:val="20"/>
                <w:szCs w:val="20"/>
              </w:rPr>
            </w:pPr>
            <w:r w:rsidRPr="00C0546B">
              <w:rPr>
                <w:b/>
                <w:bCs/>
                <w:sz w:val="20"/>
                <w:szCs w:val="20"/>
              </w:rPr>
              <w:t>(3) * (4) = (5)</w:t>
            </w:r>
          </w:p>
        </w:tc>
        <w:tc>
          <w:tcPr>
            <w:tcW w:w="1559" w:type="dxa"/>
            <w:shd w:val="clear" w:color="auto" w:fill="D9D9D9" w:themeFill="background1" w:themeFillShade="D9"/>
          </w:tcPr>
          <w:p w:rsidR="0099245F" w:rsidRPr="00C0546B" w:rsidP="0099245F" w14:paraId="51949E0A" w14:textId="77777777">
            <w:pPr>
              <w:spacing w:line="20" w:lineRule="atLeast"/>
              <w:rPr>
                <w:b/>
                <w:bCs/>
                <w:sz w:val="20"/>
                <w:szCs w:val="20"/>
              </w:rPr>
            </w:pPr>
            <w:r w:rsidRPr="00C0546B">
              <w:rPr>
                <w:b/>
                <w:bCs/>
                <w:sz w:val="20"/>
                <w:szCs w:val="20"/>
              </w:rPr>
              <w:t>Cost per Respondent ($) (rounded)</w:t>
            </w:r>
          </w:p>
          <w:p w:rsidR="0099245F" w:rsidRPr="00C0546B" w:rsidP="0099245F" w14:paraId="4D7FC025" w14:textId="77777777">
            <w:pPr>
              <w:spacing w:line="20" w:lineRule="atLeast"/>
              <w:rPr>
                <w:b/>
                <w:bCs/>
                <w:sz w:val="20"/>
                <w:szCs w:val="20"/>
              </w:rPr>
            </w:pPr>
            <w:r w:rsidRPr="00C0546B">
              <w:rPr>
                <w:b/>
                <w:bCs/>
                <w:sz w:val="20"/>
                <w:szCs w:val="20"/>
              </w:rPr>
              <w:t>(5) ÷ (1) = (6)</w:t>
            </w:r>
          </w:p>
        </w:tc>
      </w:tr>
      <w:tr w14:paraId="67DBDB09" w14:textId="77777777" w:rsidTr="00C8703F">
        <w:tblPrEx>
          <w:tblW w:w="10075" w:type="dxa"/>
          <w:jc w:val="center"/>
          <w:tblLayout w:type="fixed"/>
          <w:tblLook w:val="01E0"/>
        </w:tblPrEx>
        <w:trPr>
          <w:trHeight w:val="300"/>
          <w:jc w:val="center"/>
        </w:trPr>
        <w:tc>
          <w:tcPr>
            <w:tcW w:w="1365" w:type="dxa"/>
            <w:vAlign w:val="bottom"/>
          </w:tcPr>
          <w:p w:rsidR="00CB2478" w:rsidRPr="00C0546B" w:rsidP="00CB2478" w14:paraId="183EF0E5" w14:textId="632DC2A5">
            <w:pPr>
              <w:spacing w:line="20" w:lineRule="atLeast"/>
              <w:rPr>
                <w:sz w:val="20"/>
                <w:szCs w:val="20"/>
              </w:rPr>
            </w:pPr>
            <w:r w:rsidRPr="41CBFF70">
              <w:rPr>
                <w:sz w:val="20"/>
                <w:szCs w:val="20"/>
              </w:rPr>
              <w:t>Natural Gas Companies’ Environmental Review and Compliance</w:t>
            </w:r>
            <w:r>
              <w:rPr>
                <w:sz w:val="20"/>
                <w:szCs w:val="20"/>
                <w:vertAlign w:val="superscript"/>
              </w:rPr>
              <w:footnoteReference w:id="6"/>
            </w:r>
            <w:r w:rsidRPr="00010883">
              <w:rPr>
                <w:sz w:val="20"/>
                <w:szCs w:val="20"/>
                <w:vertAlign w:val="superscript"/>
              </w:rPr>
              <w:t xml:space="preserve"> </w:t>
            </w:r>
            <w:r w:rsidRPr="41CBFF70">
              <w:rPr>
                <w:sz w:val="20"/>
                <w:szCs w:val="20"/>
              </w:rPr>
              <w:t>(</w:t>
            </w:r>
            <w:r w:rsidRPr="21AD5D18">
              <w:rPr>
                <w:sz w:val="20"/>
                <w:szCs w:val="20"/>
              </w:rPr>
              <w:t xml:space="preserve">18 CFR Parts 2, </w:t>
            </w:r>
            <w:r w:rsidRPr="41CBFF70">
              <w:rPr>
                <w:sz w:val="20"/>
                <w:szCs w:val="20"/>
              </w:rPr>
              <w:t xml:space="preserve">153, </w:t>
            </w:r>
            <w:r w:rsidRPr="21AD5D18">
              <w:rPr>
                <w:sz w:val="20"/>
                <w:szCs w:val="20"/>
              </w:rPr>
              <w:t>157, and 380</w:t>
            </w:r>
            <w:r w:rsidRPr="41CBFF70">
              <w:rPr>
                <w:sz w:val="20"/>
                <w:szCs w:val="20"/>
              </w:rPr>
              <w:t xml:space="preserve">) </w:t>
            </w:r>
            <w:r>
              <w:rPr>
                <w:sz w:val="20"/>
                <w:szCs w:val="20"/>
                <w:vertAlign w:val="superscript"/>
              </w:rPr>
              <w:footnoteReference w:id="7"/>
            </w:r>
          </w:p>
        </w:tc>
        <w:tc>
          <w:tcPr>
            <w:tcW w:w="1330" w:type="dxa"/>
          </w:tcPr>
          <w:p w:rsidR="00CB2478" w:rsidRPr="00C0546B" w:rsidP="00CB2478" w14:paraId="41AC52CA" w14:textId="77777777">
            <w:pPr>
              <w:spacing w:line="20" w:lineRule="atLeast"/>
              <w:rPr>
                <w:sz w:val="20"/>
                <w:szCs w:val="20"/>
              </w:rPr>
            </w:pPr>
            <w:r w:rsidRPr="00C0546B">
              <w:rPr>
                <w:sz w:val="20"/>
                <w:szCs w:val="20"/>
              </w:rPr>
              <w:t>107</w:t>
            </w:r>
          </w:p>
        </w:tc>
        <w:tc>
          <w:tcPr>
            <w:tcW w:w="1260" w:type="dxa"/>
          </w:tcPr>
          <w:p w:rsidR="00CB2478" w:rsidRPr="00C0546B" w:rsidP="00CB2478" w14:paraId="0AF0E1CF" w14:textId="77777777">
            <w:pPr>
              <w:spacing w:line="20" w:lineRule="atLeast"/>
              <w:rPr>
                <w:sz w:val="20"/>
                <w:szCs w:val="20"/>
              </w:rPr>
            </w:pPr>
            <w:r w:rsidRPr="00C0546B">
              <w:rPr>
                <w:sz w:val="20"/>
                <w:szCs w:val="20"/>
              </w:rPr>
              <w:t>16</w:t>
            </w:r>
          </w:p>
        </w:tc>
        <w:tc>
          <w:tcPr>
            <w:tcW w:w="1170" w:type="dxa"/>
          </w:tcPr>
          <w:p w:rsidR="00CB2478" w:rsidRPr="00C0546B" w:rsidP="00CB2478" w14:paraId="56136E2E" w14:textId="77777777">
            <w:pPr>
              <w:spacing w:line="20" w:lineRule="atLeast"/>
              <w:rPr>
                <w:sz w:val="20"/>
                <w:szCs w:val="20"/>
              </w:rPr>
            </w:pPr>
            <w:r w:rsidRPr="00C0546B">
              <w:rPr>
                <w:sz w:val="20"/>
                <w:szCs w:val="20"/>
              </w:rPr>
              <w:t>1,712</w:t>
            </w:r>
          </w:p>
        </w:tc>
        <w:tc>
          <w:tcPr>
            <w:tcW w:w="1771" w:type="dxa"/>
          </w:tcPr>
          <w:p w:rsidR="00CB2478" w:rsidRPr="00C0546B" w:rsidP="00CB2478" w14:paraId="4276CC74" w14:textId="77777777">
            <w:pPr>
              <w:spacing w:line="20" w:lineRule="atLeast"/>
              <w:rPr>
                <w:sz w:val="20"/>
                <w:szCs w:val="20"/>
              </w:rPr>
            </w:pPr>
            <w:r w:rsidRPr="00C0546B">
              <w:rPr>
                <w:sz w:val="20"/>
                <w:szCs w:val="20"/>
              </w:rPr>
              <w:t>193.52 hours; $19,932.56</w:t>
            </w:r>
          </w:p>
        </w:tc>
        <w:tc>
          <w:tcPr>
            <w:tcW w:w="1620" w:type="dxa"/>
          </w:tcPr>
          <w:p w:rsidR="00CB2478" w:rsidRPr="00C0546B" w:rsidP="00CB2478" w14:paraId="628E4DA3" w14:textId="77777777">
            <w:pPr>
              <w:spacing w:line="20" w:lineRule="atLeast"/>
              <w:rPr>
                <w:sz w:val="20"/>
                <w:szCs w:val="20"/>
              </w:rPr>
            </w:pPr>
            <w:r w:rsidRPr="00C0546B">
              <w:rPr>
                <w:sz w:val="20"/>
                <w:szCs w:val="20"/>
              </w:rPr>
              <w:t>331,306 hours; $34,124,518</w:t>
            </w:r>
          </w:p>
        </w:tc>
        <w:tc>
          <w:tcPr>
            <w:tcW w:w="1559" w:type="dxa"/>
          </w:tcPr>
          <w:p w:rsidR="00CB2478" w:rsidRPr="00C0546B" w:rsidP="00CB2478" w14:paraId="08455BB5" w14:textId="77777777">
            <w:pPr>
              <w:spacing w:line="20" w:lineRule="atLeast"/>
              <w:rPr>
                <w:sz w:val="20"/>
                <w:szCs w:val="20"/>
              </w:rPr>
            </w:pPr>
            <w:r w:rsidRPr="00C0546B">
              <w:rPr>
                <w:sz w:val="20"/>
                <w:szCs w:val="20"/>
              </w:rPr>
              <w:t>$318,921</w:t>
            </w:r>
          </w:p>
        </w:tc>
      </w:tr>
      <w:tr w14:paraId="033FE601" w14:textId="77777777" w:rsidTr="00C8703F">
        <w:tblPrEx>
          <w:tblW w:w="10075" w:type="dxa"/>
          <w:jc w:val="center"/>
          <w:tblLayout w:type="fixed"/>
          <w:tblLook w:val="01E0"/>
        </w:tblPrEx>
        <w:trPr>
          <w:trHeight w:val="300"/>
          <w:jc w:val="center"/>
        </w:trPr>
        <w:tc>
          <w:tcPr>
            <w:tcW w:w="1365" w:type="dxa"/>
            <w:vAlign w:val="bottom"/>
          </w:tcPr>
          <w:p w:rsidR="00CB2478" w:rsidRPr="00C0546B" w:rsidP="00CB2478" w14:paraId="786ECF85" w14:textId="6D911B0A">
            <w:pPr>
              <w:spacing w:line="20" w:lineRule="atLeast"/>
              <w:rPr>
                <w:sz w:val="20"/>
                <w:szCs w:val="20"/>
                <w:vertAlign w:val="superscript"/>
              </w:rPr>
            </w:pPr>
            <w:r w:rsidRPr="41CBFF70">
              <w:rPr>
                <w:sz w:val="20"/>
                <w:szCs w:val="20"/>
              </w:rPr>
              <w:t xml:space="preserve">Natural Gas Companies’ Landowner </w:t>
            </w:r>
            <w:r w:rsidRPr="41CBFF70">
              <w:rPr>
                <w:sz w:val="20"/>
                <w:szCs w:val="20"/>
              </w:rPr>
              <w:t>Notifications</w:t>
            </w:r>
            <w:r>
              <w:rPr>
                <w:sz w:val="20"/>
                <w:szCs w:val="20"/>
                <w:vertAlign w:val="superscript"/>
              </w:rPr>
              <w:footnoteReference w:id="8"/>
            </w:r>
            <w:r w:rsidRPr="00010883">
              <w:rPr>
                <w:sz w:val="20"/>
                <w:szCs w:val="20"/>
                <w:vertAlign w:val="superscript"/>
              </w:rPr>
              <w:t xml:space="preserve"> </w:t>
            </w:r>
            <w:r w:rsidRPr="41CBFF70">
              <w:rPr>
                <w:sz w:val="20"/>
                <w:szCs w:val="20"/>
              </w:rPr>
              <w:t>(18 CFR §§ 157(d), 157(f), 2.55(a), 2.55(b), 284.11, and 380.15)</w:t>
            </w:r>
          </w:p>
        </w:tc>
        <w:tc>
          <w:tcPr>
            <w:tcW w:w="1330" w:type="dxa"/>
          </w:tcPr>
          <w:p w:rsidR="00CB2478" w:rsidRPr="00C0546B" w:rsidP="00CB2478" w14:paraId="4E1C06B2" w14:textId="77777777">
            <w:pPr>
              <w:spacing w:line="20" w:lineRule="atLeast"/>
              <w:rPr>
                <w:sz w:val="20"/>
                <w:szCs w:val="20"/>
              </w:rPr>
            </w:pPr>
            <w:r w:rsidRPr="00C0546B">
              <w:rPr>
                <w:sz w:val="20"/>
                <w:szCs w:val="20"/>
              </w:rPr>
              <w:t>164</w:t>
            </w:r>
          </w:p>
        </w:tc>
        <w:tc>
          <w:tcPr>
            <w:tcW w:w="1260" w:type="dxa"/>
          </w:tcPr>
          <w:p w:rsidR="00CB2478" w:rsidRPr="00C0546B" w:rsidP="00CB2478" w14:paraId="2439AB5D" w14:textId="77777777">
            <w:pPr>
              <w:spacing w:line="20" w:lineRule="atLeast"/>
              <w:rPr>
                <w:sz w:val="20"/>
                <w:szCs w:val="20"/>
              </w:rPr>
            </w:pPr>
            <w:r w:rsidRPr="00C0546B">
              <w:rPr>
                <w:sz w:val="20"/>
                <w:szCs w:val="20"/>
              </w:rPr>
              <w:t>144</w:t>
            </w:r>
          </w:p>
        </w:tc>
        <w:tc>
          <w:tcPr>
            <w:tcW w:w="1170" w:type="dxa"/>
          </w:tcPr>
          <w:p w:rsidR="00CB2478" w:rsidRPr="00C0546B" w:rsidP="00CB2478" w14:paraId="536FDA50" w14:textId="77777777">
            <w:pPr>
              <w:spacing w:line="20" w:lineRule="atLeast"/>
              <w:rPr>
                <w:sz w:val="20"/>
                <w:szCs w:val="20"/>
              </w:rPr>
            </w:pPr>
            <w:r w:rsidRPr="00C0546B">
              <w:rPr>
                <w:sz w:val="20"/>
                <w:szCs w:val="20"/>
              </w:rPr>
              <w:t>23,616</w:t>
            </w:r>
          </w:p>
        </w:tc>
        <w:tc>
          <w:tcPr>
            <w:tcW w:w="1771" w:type="dxa"/>
          </w:tcPr>
          <w:p w:rsidR="00CB2478" w:rsidRPr="00C0546B" w:rsidP="00CB2478" w14:paraId="05170C81" w14:textId="77777777">
            <w:pPr>
              <w:spacing w:line="20" w:lineRule="atLeast"/>
              <w:rPr>
                <w:sz w:val="20"/>
                <w:szCs w:val="20"/>
              </w:rPr>
            </w:pPr>
            <w:r w:rsidRPr="00C0546B">
              <w:rPr>
                <w:sz w:val="20"/>
                <w:szCs w:val="20"/>
              </w:rPr>
              <w:t xml:space="preserve">2 hours; </w:t>
            </w:r>
          </w:p>
          <w:p w:rsidR="00CB2478" w:rsidRPr="00C0546B" w:rsidP="00CB2478" w14:paraId="60475161" w14:textId="77777777">
            <w:pPr>
              <w:spacing w:line="20" w:lineRule="atLeast"/>
              <w:rPr>
                <w:sz w:val="20"/>
                <w:szCs w:val="20"/>
              </w:rPr>
            </w:pPr>
            <w:r w:rsidRPr="00C0546B">
              <w:rPr>
                <w:sz w:val="20"/>
                <w:szCs w:val="20"/>
              </w:rPr>
              <w:t>$206</w:t>
            </w:r>
          </w:p>
        </w:tc>
        <w:tc>
          <w:tcPr>
            <w:tcW w:w="1620" w:type="dxa"/>
          </w:tcPr>
          <w:p w:rsidR="00CB2478" w:rsidRPr="00C0546B" w:rsidP="00CB2478" w14:paraId="2B09F000" w14:textId="77777777">
            <w:pPr>
              <w:spacing w:line="20" w:lineRule="atLeast"/>
              <w:rPr>
                <w:sz w:val="20"/>
                <w:szCs w:val="20"/>
              </w:rPr>
            </w:pPr>
            <w:r w:rsidRPr="00C0546B">
              <w:rPr>
                <w:sz w:val="20"/>
                <w:szCs w:val="20"/>
              </w:rPr>
              <w:t>47,232 hours; $4,864,896</w:t>
            </w:r>
          </w:p>
        </w:tc>
        <w:tc>
          <w:tcPr>
            <w:tcW w:w="1559" w:type="dxa"/>
          </w:tcPr>
          <w:p w:rsidR="00CB2478" w:rsidRPr="00C0546B" w:rsidP="00CB2478" w14:paraId="3748E9D8" w14:textId="77777777">
            <w:pPr>
              <w:spacing w:line="20" w:lineRule="atLeast"/>
              <w:rPr>
                <w:sz w:val="20"/>
                <w:szCs w:val="20"/>
              </w:rPr>
            </w:pPr>
            <w:r w:rsidRPr="00C0546B">
              <w:rPr>
                <w:sz w:val="20"/>
                <w:szCs w:val="20"/>
              </w:rPr>
              <w:t>$29,664</w:t>
            </w:r>
          </w:p>
        </w:tc>
      </w:tr>
      <w:tr w14:paraId="3A20F7EF" w14:textId="77777777" w:rsidTr="00C8703F">
        <w:tblPrEx>
          <w:tblW w:w="10075" w:type="dxa"/>
          <w:jc w:val="center"/>
          <w:tblLayout w:type="fixed"/>
          <w:tblLook w:val="01E0"/>
        </w:tblPrEx>
        <w:trPr>
          <w:trHeight w:val="300"/>
          <w:jc w:val="center"/>
        </w:trPr>
        <w:tc>
          <w:tcPr>
            <w:tcW w:w="1365" w:type="dxa"/>
            <w:vAlign w:val="bottom"/>
          </w:tcPr>
          <w:p w:rsidR="0099245F" w:rsidRPr="00C0546B" w:rsidP="0099245F" w14:paraId="4567625F" w14:textId="77777777">
            <w:pPr>
              <w:spacing w:line="20" w:lineRule="atLeast"/>
              <w:rPr>
                <w:sz w:val="20"/>
                <w:szCs w:val="20"/>
              </w:rPr>
            </w:pPr>
            <w:r w:rsidRPr="00C0546B">
              <w:rPr>
                <w:sz w:val="20"/>
                <w:szCs w:val="20"/>
              </w:rPr>
              <w:t>TOTAL</w:t>
            </w:r>
          </w:p>
        </w:tc>
        <w:tc>
          <w:tcPr>
            <w:tcW w:w="1330" w:type="dxa"/>
            <w:shd w:val="clear" w:color="auto" w:fill="D9D9D9" w:themeFill="background1" w:themeFillShade="D9"/>
          </w:tcPr>
          <w:p w:rsidR="0099245F" w:rsidRPr="00C0546B" w:rsidP="0099245F" w14:paraId="2A359E39" w14:textId="77777777">
            <w:pPr>
              <w:spacing w:line="20" w:lineRule="atLeast"/>
              <w:rPr>
                <w:sz w:val="20"/>
                <w:szCs w:val="20"/>
              </w:rPr>
            </w:pPr>
          </w:p>
        </w:tc>
        <w:tc>
          <w:tcPr>
            <w:tcW w:w="1260" w:type="dxa"/>
            <w:shd w:val="clear" w:color="auto" w:fill="D9D9D9" w:themeFill="background1" w:themeFillShade="D9"/>
          </w:tcPr>
          <w:p w:rsidR="0099245F" w:rsidRPr="00C0546B" w:rsidP="0099245F" w14:paraId="6603B4AA" w14:textId="77777777">
            <w:pPr>
              <w:spacing w:line="20" w:lineRule="atLeast"/>
              <w:rPr>
                <w:sz w:val="20"/>
                <w:szCs w:val="20"/>
              </w:rPr>
            </w:pPr>
          </w:p>
        </w:tc>
        <w:tc>
          <w:tcPr>
            <w:tcW w:w="1170" w:type="dxa"/>
          </w:tcPr>
          <w:p w:rsidR="0099245F" w:rsidRPr="00C0546B" w:rsidP="0099245F" w14:paraId="3736D44C" w14:textId="77777777">
            <w:pPr>
              <w:spacing w:line="20" w:lineRule="atLeast"/>
              <w:rPr>
                <w:sz w:val="20"/>
                <w:szCs w:val="20"/>
              </w:rPr>
            </w:pPr>
            <w:r w:rsidRPr="00C0546B">
              <w:rPr>
                <w:sz w:val="20"/>
                <w:szCs w:val="20"/>
              </w:rPr>
              <w:t>25,328</w:t>
            </w:r>
          </w:p>
        </w:tc>
        <w:tc>
          <w:tcPr>
            <w:tcW w:w="1771" w:type="dxa"/>
            <w:shd w:val="clear" w:color="auto" w:fill="D9D9D9" w:themeFill="background1" w:themeFillShade="D9"/>
          </w:tcPr>
          <w:p w:rsidR="0099245F" w:rsidRPr="00C0546B" w:rsidP="0099245F" w14:paraId="4D7B28B9" w14:textId="77777777">
            <w:pPr>
              <w:spacing w:line="20" w:lineRule="atLeast"/>
              <w:rPr>
                <w:sz w:val="20"/>
                <w:szCs w:val="20"/>
              </w:rPr>
            </w:pPr>
          </w:p>
        </w:tc>
        <w:tc>
          <w:tcPr>
            <w:tcW w:w="1620" w:type="dxa"/>
          </w:tcPr>
          <w:p w:rsidR="0099245F" w:rsidRPr="00C0546B" w:rsidP="0099245F" w14:paraId="08D61521" w14:textId="77777777">
            <w:pPr>
              <w:spacing w:line="20" w:lineRule="atLeast"/>
              <w:rPr>
                <w:sz w:val="20"/>
                <w:szCs w:val="20"/>
              </w:rPr>
            </w:pPr>
            <w:r w:rsidRPr="00C0546B">
              <w:rPr>
                <w:sz w:val="20"/>
                <w:szCs w:val="20"/>
              </w:rPr>
              <w:t>378,538 hours; $38,989,414</w:t>
            </w:r>
          </w:p>
        </w:tc>
        <w:tc>
          <w:tcPr>
            <w:tcW w:w="1559" w:type="dxa"/>
            <w:shd w:val="clear" w:color="auto" w:fill="D9D9D9" w:themeFill="background1" w:themeFillShade="D9"/>
          </w:tcPr>
          <w:p w:rsidR="0099245F" w:rsidRPr="00C0546B" w:rsidP="0099245F" w14:paraId="17F55740" w14:textId="77777777">
            <w:pPr>
              <w:spacing w:line="20" w:lineRule="atLeast"/>
              <w:rPr>
                <w:sz w:val="20"/>
                <w:szCs w:val="20"/>
              </w:rPr>
            </w:pPr>
          </w:p>
        </w:tc>
      </w:tr>
    </w:tbl>
    <w:p w:rsidR="0099245F" w:rsidRPr="00140F17" w:rsidP="0EE6D153" w14:paraId="0FF3B05B" w14:textId="77777777">
      <w:pPr>
        <w:spacing w:line="20" w:lineRule="atLeast"/>
      </w:pPr>
    </w:p>
    <w:p w:rsidR="00BB6095" w:rsidRPr="00891FC0" w:rsidP="0EE6D153" w14:paraId="1C3AB85B" w14:textId="77777777">
      <w:pPr>
        <w:pStyle w:val="FERCparanumber"/>
        <w:numPr>
          <w:ilvl w:val="0"/>
          <w:numId w:val="0"/>
        </w:numPr>
        <w:rPr>
          <w:sz w:val="24"/>
        </w:rPr>
      </w:pPr>
    </w:p>
    <w:p w:rsidR="009D6B6D" w:rsidRPr="00891FC0" w:rsidP="0EE6D153" w14:paraId="13BF2A57" w14:textId="77777777">
      <w:pPr>
        <w:pStyle w:val="FERCparanumber"/>
        <w:rPr>
          <w:b/>
          <w:bCs/>
          <w:sz w:val="24"/>
        </w:rPr>
      </w:pPr>
      <w:r w:rsidRPr="0EE6D153">
        <w:rPr>
          <w:b/>
          <w:bCs/>
          <w:sz w:val="24"/>
        </w:rPr>
        <w:t>ESTIMATE OF THE TOTAL ANNUAL COST BURDEN TO RESPONDENTS</w:t>
      </w:r>
    </w:p>
    <w:p w:rsidR="00432DA3" w:rsidRPr="00891FC0" w:rsidP="0EE6D153" w14:paraId="421B1190" w14:textId="77777777">
      <w:pPr>
        <w:widowControl/>
      </w:pPr>
      <w:r w:rsidRPr="0EE6D153">
        <w:t>There are no non-labor start-up costs. All costs are related to burden hours and are addressed in Questions #12 and #15.</w:t>
      </w:r>
    </w:p>
    <w:p w:rsidR="00EF40FF" w:rsidRPr="00891FC0" w:rsidP="0EE6D153" w14:paraId="237DA0EC" w14:textId="77777777">
      <w:pPr>
        <w:pStyle w:val="FERCparanumber"/>
        <w:numPr>
          <w:ilvl w:val="0"/>
          <w:numId w:val="0"/>
        </w:numPr>
        <w:rPr>
          <w:sz w:val="24"/>
        </w:rPr>
      </w:pPr>
    </w:p>
    <w:p w:rsidR="00EF40FF" w:rsidRPr="00891FC0" w:rsidP="0EE6D153" w14:paraId="25934EE2" w14:textId="77777777">
      <w:pPr>
        <w:pStyle w:val="FERCparanumber"/>
        <w:rPr>
          <w:b/>
          <w:bCs/>
          <w:sz w:val="24"/>
        </w:rPr>
      </w:pPr>
      <w:r w:rsidRPr="0EE6D153">
        <w:rPr>
          <w:b/>
          <w:bCs/>
          <w:sz w:val="24"/>
        </w:rPr>
        <w:t>ESTIMATED ANNUALIZED COST TO FEDERAL GOVERNMENT</w:t>
      </w:r>
    </w:p>
    <w:p w:rsidR="00351242" w:rsidP="0EE6D153" w14:paraId="3942BD9C" w14:textId="77777777">
      <w:pPr>
        <w:spacing w:line="20" w:lineRule="atLeast"/>
      </w:pPr>
    </w:p>
    <w:p w:rsidR="00351242" w:rsidRPr="00E00C58" w:rsidP="0EE6D153" w14:paraId="1F1C4EBB" w14:textId="77F7D59E">
      <w:pPr>
        <w:spacing w:line="20" w:lineRule="atLeast"/>
      </w:pPr>
      <w:r w:rsidRPr="0EE6D153">
        <w:t>The estimate of the cost for ‘analysis and processing of filings’ is based on salaries and benefits for professional and clerical support.</w:t>
      </w:r>
      <w:r w:rsidRPr="0EE6D153" w:rsidR="5D320E51">
        <w:t xml:space="preserve"> </w:t>
      </w:r>
      <w:r w:rsidRPr="0EE6D153">
        <w:t xml:space="preserve">This estimated cost represents </w:t>
      </w:r>
      <w:r w:rsidR="00132E05">
        <w:t xml:space="preserve">costs associated with receiving the information and preparing it for use </w:t>
      </w:r>
      <w:r w:rsidR="00C67101">
        <w:t>by FERC</w:t>
      </w:r>
      <w:r w:rsidRPr="0EE6D153">
        <w:t>.</w:t>
      </w:r>
      <w:r w:rsidRPr="0EE6D153" w:rsidR="5D320E51">
        <w:t xml:space="preserve"> </w:t>
      </w:r>
    </w:p>
    <w:p w:rsidR="00351242" w:rsidRPr="00E00C58" w:rsidP="0EE6D153" w14:paraId="1C0518B4" w14:textId="77777777">
      <w:pPr>
        <w:spacing w:line="20" w:lineRule="atLeast"/>
      </w:pPr>
    </w:p>
    <w:p w:rsidR="00351242" w:rsidP="0EE6D153" w14:paraId="0A9170C9" w14:textId="5F48A6C1">
      <w:pPr>
        <w:spacing w:line="20" w:lineRule="atLeast"/>
      </w:pPr>
      <w:r w:rsidRPr="0EE6D153">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w:t>
      </w:r>
      <w:r w:rsidRPr="0EE6D153" w:rsidR="5D320E51">
        <w:t xml:space="preserve"> </w:t>
      </w:r>
      <w:r w:rsidRPr="0EE6D153">
        <w:t>It also includes the cost of publishing the necessary notices in the Federal Register.</w:t>
      </w:r>
    </w:p>
    <w:p w:rsidR="00926798" w:rsidP="0EE6D153" w14:paraId="04A07239" w14:textId="2680D16A">
      <w:pPr>
        <w:pStyle w:val="FERCparanumber"/>
        <w:numPr>
          <w:ilvl w:val="0"/>
          <w:numId w:val="0"/>
        </w:num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6C55F3AE" w14:textId="77777777" w:rsidTr="5CF1F86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40FF" w:rsidRPr="00891FC0" w:rsidP="0EE6D153" w14:paraId="420D71F3" w14:textId="77777777">
            <w:pPr>
              <w:pStyle w:val="ListParagraph"/>
              <w:spacing w:after="0" w:line="240" w:lineRule="auto"/>
              <w:ind w:left="0"/>
              <w:rPr>
                <w:rFonts w:ascii="Times New Roman" w:hAnsi="Times New Roman"/>
                <w:b/>
                <w:bCs/>
                <w:sz w:val="24"/>
                <w:szCs w:val="24"/>
              </w:rPr>
            </w:pPr>
          </w:p>
        </w:tc>
        <w:tc>
          <w:tcPr>
            <w:tcW w:w="1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40FF" w:rsidRPr="00891FC0" w:rsidP="0EE6D153" w14:paraId="18D95BE9" w14:textId="77777777">
            <w:pPr>
              <w:pStyle w:val="ListParagraph"/>
              <w:spacing w:after="0" w:line="240" w:lineRule="auto"/>
              <w:ind w:left="0"/>
              <w:jc w:val="center"/>
              <w:rPr>
                <w:rFonts w:ascii="Times New Roman" w:hAnsi="Times New Roman"/>
                <w:b/>
                <w:bCs/>
                <w:sz w:val="24"/>
                <w:szCs w:val="24"/>
              </w:rPr>
            </w:pPr>
            <w:r w:rsidRPr="0EE6D153">
              <w:rPr>
                <w:rFonts w:ascii="Times New Roman" w:hAnsi="Times New Roman"/>
                <w:b/>
                <w:bCs/>
                <w:sz w:val="24"/>
                <w:szCs w:val="24"/>
              </w:rPr>
              <w:t>Number of Employees (FTE)</w:t>
            </w:r>
          </w:p>
        </w:tc>
        <w:tc>
          <w:tcPr>
            <w:tcW w:w="1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40FF" w:rsidRPr="00891FC0" w:rsidP="0EE6D153" w14:paraId="65A7AAF2" w14:textId="77777777">
            <w:pPr>
              <w:pStyle w:val="ListParagraph"/>
              <w:spacing w:after="0" w:line="240" w:lineRule="auto"/>
              <w:ind w:left="0"/>
              <w:jc w:val="center"/>
              <w:rPr>
                <w:rFonts w:ascii="Times New Roman" w:hAnsi="Times New Roman"/>
                <w:b/>
                <w:bCs/>
                <w:sz w:val="24"/>
                <w:szCs w:val="24"/>
              </w:rPr>
            </w:pPr>
            <w:r w:rsidRPr="0EE6D153">
              <w:rPr>
                <w:rFonts w:ascii="Times New Roman" w:hAnsi="Times New Roman"/>
                <w:b/>
                <w:bCs/>
                <w:sz w:val="24"/>
                <w:szCs w:val="24"/>
              </w:rPr>
              <w:t>Estimated Annual Federal Cost</w:t>
            </w:r>
          </w:p>
        </w:tc>
      </w:tr>
      <w:tr w14:paraId="73366A6A" w14:textId="77777777" w:rsidTr="5CF1F863">
        <w:tblPrEx>
          <w:tblW w:w="5000" w:type="pct"/>
          <w:tblLook w:val="01E0"/>
        </w:tblPrEx>
        <w:tc>
          <w:tcPr>
            <w:tcW w:w="1756" w:type="pct"/>
            <w:vAlign w:val="center"/>
          </w:tcPr>
          <w:p w:rsidR="00EF40FF" w:rsidRPr="00891FC0" w:rsidP="0EE6D153" w14:paraId="38725E63" w14:textId="77777777">
            <w:pPr>
              <w:pStyle w:val="ListParagraph"/>
              <w:spacing w:after="0" w:line="240" w:lineRule="auto"/>
              <w:ind w:left="0"/>
              <w:rPr>
                <w:rFonts w:ascii="Times New Roman" w:hAnsi="Times New Roman"/>
                <w:sz w:val="24"/>
                <w:szCs w:val="24"/>
              </w:rPr>
            </w:pPr>
            <w:r w:rsidRPr="0EE6D153">
              <w:rPr>
                <w:rFonts w:ascii="Times New Roman" w:hAnsi="Times New Roman"/>
                <w:sz w:val="24"/>
                <w:szCs w:val="24"/>
              </w:rPr>
              <w:t>Analysis and Processing of Filings</w:t>
            </w:r>
            <w:r>
              <w:rPr>
                <w:rStyle w:val="FootnoteReference"/>
                <w:rFonts w:ascii="Times New Roman" w:hAnsi="Times New Roman"/>
                <w:sz w:val="24"/>
                <w:szCs w:val="24"/>
                <w:vertAlign w:val="superscript"/>
              </w:rPr>
              <w:footnoteReference w:id="9"/>
            </w:r>
          </w:p>
        </w:tc>
        <w:tc>
          <w:tcPr>
            <w:tcW w:w="1627" w:type="pct"/>
            <w:vAlign w:val="center"/>
          </w:tcPr>
          <w:p w:rsidR="00EF40FF" w:rsidRPr="00891FC0" w:rsidP="0EE6D153" w14:paraId="169BBF54" w14:textId="72C74C6F">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w:t>
            </w:r>
          </w:p>
        </w:tc>
        <w:tc>
          <w:tcPr>
            <w:tcW w:w="1617" w:type="pct"/>
            <w:vAlign w:val="center"/>
          </w:tcPr>
          <w:p w:rsidR="00EF40FF" w:rsidRPr="00891FC0" w:rsidP="0EE6D153" w14:paraId="7007B84E" w14:textId="50651457">
            <w:pPr>
              <w:pStyle w:val="ListParagraph"/>
              <w:spacing w:after="0" w:line="240" w:lineRule="auto"/>
              <w:ind w:left="0"/>
              <w:jc w:val="right"/>
              <w:rPr>
                <w:rFonts w:ascii="Times New Roman" w:hAnsi="Times New Roman"/>
                <w:sz w:val="24"/>
                <w:szCs w:val="24"/>
              </w:rPr>
            </w:pPr>
            <w:r w:rsidRPr="0EE6D153">
              <w:rPr>
                <w:rFonts w:ascii="Times New Roman" w:hAnsi="Times New Roman"/>
                <w:sz w:val="24"/>
                <w:szCs w:val="24"/>
              </w:rPr>
              <w:t>$</w:t>
            </w:r>
            <w:r w:rsidRPr="00A664DA" w:rsidR="00A664DA">
              <w:rPr>
                <w:rFonts w:ascii="Times New Roman" w:hAnsi="Times New Roman"/>
                <w:sz w:val="24"/>
                <w:szCs w:val="24"/>
              </w:rPr>
              <w:t>214,093</w:t>
            </w:r>
          </w:p>
        </w:tc>
      </w:tr>
      <w:tr w14:paraId="7009D51E" w14:textId="77777777" w:rsidTr="5CF1F863">
        <w:tblPrEx>
          <w:tblW w:w="5000" w:type="pct"/>
          <w:tblLook w:val="01E0"/>
        </w:tblPrEx>
        <w:tc>
          <w:tcPr>
            <w:tcW w:w="1756" w:type="pct"/>
            <w:vAlign w:val="center"/>
          </w:tcPr>
          <w:p w:rsidR="00EF40FF" w:rsidRPr="00891FC0" w:rsidP="0EE6D153" w14:paraId="099D5BDF" w14:textId="1A4AB6CC">
            <w:pPr>
              <w:pStyle w:val="ListParagraph"/>
              <w:spacing w:after="0" w:line="240" w:lineRule="auto"/>
              <w:ind w:left="0"/>
              <w:rPr>
                <w:rFonts w:ascii="Times New Roman" w:hAnsi="Times New Roman"/>
                <w:sz w:val="24"/>
                <w:szCs w:val="24"/>
              </w:rPr>
            </w:pPr>
            <w:r w:rsidRPr="0EE6D153">
              <w:rPr>
                <w:rFonts w:ascii="Times New Roman" w:hAnsi="Times New Roman"/>
                <w:sz w:val="24"/>
                <w:szCs w:val="24"/>
              </w:rPr>
              <w:t>PRA</w:t>
            </w:r>
            <w:r>
              <w:rPr>
                <w:rStyle w:val="FootnoteReference"/>
                <w:rFonts w:ascii="Times New Roman" w:hAnsi="Times New Roman"/>
                <w:sz w:val="24"/>
                <w:szCs w:val="24"/>
                <w:vertAlign w:val="superscript"/>
              </w:rPr>
              <w:footnoteReference w:id="10"/>
            </w:r>
            <w:r w:rsidRPr="0EE6D153">
              <w:rPr>
                <w:rFonts w:ascii="Times New Roman" w:hAnsi="Times New Roman"/>
                <w:sz w:val="24"/>
                <w:szCs w:val="24"/>
              </w:rPr>
              <w:t xml:space="preserve"> Administrative Cost</w:t>
            </w:r>
          </w:p>
        </w:tc>
        <w:tc>
          <w:tcPr>
            <w:tcW w:w="1627" w:type="pct"/>
            <w:shd w:val="clear" w:color="auto" w:fill="D9D9D9" w:themeFill="background1" w:themeFillShade="D9"/>
            <w:vAlign w:val="center"/>
          </w:tcPr>
          <w:p w:rsidR="00EF40FF" w:rsidRPr="00891FC0" w:rsidP="0EE6D153" w14:paraId="74DA3B1F" w14:textId="77777777">
            <w:pPr>
              <w:pStyle w:val="ListParagraph"/>
              <w:spacing w:after="0" w:line="240" w:lineRule="auto"/>
              <w:ind w:left="0"/>
              <w:jc w:val="right"/>
              <w:rPr>
                <w:rFonts w:ascii="Times New Roman" w:hAnsi="Times New Roman"/>
                <w:b/>
                <w:bCs/>
                <w:sz w:val="24"/>
                <w:szCs w:val="24"/>
              </w:rPr>
            </w:pPr>
          </w:p>
        </w:tc>
        <w:tc>
          <w:tcPr>
            <w:tcW w:w="1617" w:type="pct"/>
            <w:vAlign w:val="center"/>
          </w:tcPr>
          <w:p w:rsidR="00EF40FF" w:rsidRPr="00891FC0" w:rsidP="0EE6D153" w14:paraId="731B0E8B" w14:textId="0687D23F">
            <w:pPr>
              <w:pStyle w:val="ListParagraph"/>
              <w:spacing w:after="0" w:line="240" w:lineRule="auto"/>
              <w:ind w:left="0"/>
              <w:jc w:val="right"/>
              <w:rPr>
                <w:rFonts w:ascii="Times New Roman" w:hAnsi="Times New Roman"/>
                <w:sz w:val="24"/>
                <w:szCs w:val="24"/>
              </w:rPr>
            </w:pPr>
            <w:r w:rsidRPr="5CF1F863">
              <w:rPr>
                <w:rFonts w:ascii="Times New Roman" w:hAnsi="Times New Roman"/>
                <w:sz w:val="24"/>
                <w:szCs w:val="24"/>
              </w:rPr>
              <w:t>$</w:t>
            </w:r>
            <w:r w:rsidRPr="5CF1F863" w:rsidR="7F8E3C83">
              <w:rPr>
                <w:rFonts w:ascii="Times New Roman" w:hAnsi="Times New Roman"/>
                <w:sz w:val="24"/>
                <w:szCs w:val="24"/>
              </w:rPr>
              <w:t>7,978</w:t>
            </w:r>
          </w:p>
        </w:tc>
      </w:tr>
      <w:tr w14:paraId="0A5B5FA9" w14:textId="77777777" w:rsidTr="5CF1F863">
        <w:tblPrEx>
          <w:tblW w:w="5000" w:type="pct"/>
          <w:tblLook w:val="01E0"/>
        </w:tblPrEx>
        <w:tc>
          <w:tcPr>
            <w:tcW w:w="1756" w:type="pct"/>
            <w:vAlign w:val="center"/>
          </w:tcPr>
          <w:p w:rsidR="00EF40FF" w:rsidRPr="00891FC0" w:rsidP="0EE6D153" w14:paraId="4441CC05" w14:textId="77777777">
            <w:pPr>
              <w:pStyle w:val="ListParagraph"/>
              <w:spacing w:after="0" w:line="240" w:lineRule="auto"/>
              <w:ind w:left="0"/>
              <w:rPr>
                <w:rFonts w:ascii="Times New Roman" w:hAnsi="Times New Roman"/>
                <w:sz w:val="24"/>
                <w:szCs w:val="24"/>
              </w:rPr>
            </w:pPr>
            <w:r w:rsidRPr="0EE6D153">
              <w:rPr>
                <w:rFonts w:ascii="Times New Roman" w:hAnsi="Times New Roman"/>
                <w:sz w:val="24"/>
                <w:szCs w:val="24"/>
              </w:rPr>
              <w:t>FERC Total</w:t>
            </w:r>
          </w:p>
        </w:tc>
        <w:tc>
          <w:tcPr>
            <w:tcW w:w="1627" w:type="pct"/>
            <w:shd w:val="clear" w:color="auto" w:fill="D9D9D9" w:themeFill="background1" w:themeFillShade="D9"/>
            <w:vAlign w:val="center"/>
          </w:tcPr>
          <w:p w:rsidR="00EF40FF" w:rsidRPr="00891FC0" w:rsidP="0EE6D153" w14:paraId="2B3CB9DA" w14:textId="77777777">
            <w:pPr>
              <w:pStyle w:val="ListParagraph"/>
              <w:spacing w:after="0" w:line="240" w:lineRule="auto"/>
              <w:ind w:left="0"/>
              <w:jc w:val="right"/>
              <w:rPr>
                <w:rFonts w:ascii="Times New Roman" w:hAnsi="Times New Roman"/>
                <w:b/>
                <w:bCs/>
                <w:sz w:val="24"/>
                <w:szCs w:val="24"/>
              </w:rPr>
            </w:pPr>
          </w:p>
        </w:tc>
        <w:tc>
          <w:tcPr>
            <w:tcW w:w="1617" w:type="pct"/>
            <w:vAlign w:val="center"/>
          </w:tcPr>
          <w:p w:rsidR="00EF40FF" w:rsidRPr="00891FC0" w:rsidP="0EE6D153" w14:paraId="53B2B876" w14:textId="72548C51">
            <w:pPr>
              <w:pStyle w:val="ListParagraph"/>
              <w:spacing w:after="0" w:line="240" w:lineRule="auto"/>
              <w:ind w:left="0"/>
              <w:jc w:val="right"/>
              <w:rPr>
                <w:rFonts w:ascii="Times New Roman" w:hAnsi="Times New Roman"/>
                <w:sz w:val="24"/>
                <w:szCs w:val="24"/>
              </w:rPr>
            </w:pPr>
            <w:r w:rsidRPr="5CF1F863">
              <w:rPr>
                <w:rFonts w:ascii="Times New Roman" w:hAnsi="Times New Roman"/>
                <w:sz w:val="24"/>
                <w:szCs w:val="24"/>
              </w:rPr>
              <w:t>$</w:t>
            </w:r>
            <w:r w:rsidRPr="5CF1F863" w:rsidR="007D51F5">
              <w:rPr>
                <w:rFonts w:ascii="Times New Roman" w:hAnsi="Times New Roman"/>
                <w:sz w:val="24"/>
                <w:szCs w:val="24"/>
              </w:rPr>
              <w:t>221,</w:t>
            </w:r>
            <w:r w:rsidRPr="5CF1F863" w:rsidR="5960493E">
              <w:rPr>
                <w:rFonts w:ascii="Times New Roman" w:hAnsi="Times New Roman"/>
                <w:sz w:val="24"/>
                <w:szCs w:val="24"/>
              </w:rPr>
              <w:t>071</w:t>
            </w:r>
          </w:p>
        </w:tc>
      </w:tr>
    </w:tbl>
    <w:p w:rsidR="00EF40FF" w:rsidRPr="00891FC0" w:rsidP="0EE6D153" w14:paraId="6E71933C" w14:textId="77777777">
      <w:pPr>
        <w:pStyle w:val="ListParagraph"/>
        <w:spacing w:after="0" w:line="240" w:lineRule="auto"/>
        <w:rPr>
          <w:rFonts w:ascii="Times New Roman" w:hAnsi="Times New Roman"/>
          <w:b/>
          <w:bCs/>
          <w:sz w:val="24"/>
          <w:szCs w:val="24"/>
        </w:rPr>
      </w:pPr>
    </w:p>
    <w:p w:rsidR="00EF40FF" w:rsidRPr="00891FC0" w:rsidP="0EE6D153" w14:paraId="652E2E2C" w14:textId="77777777">
      <w:pPr>
        <w:pStyle w:val="FERCparanumber"/>
        <w:rPr>
          <w:b/>
          <w:bCs/>
          <w:sz w:val="24"/>
        </w:rPr>
      </w:pPr>
      <w:r w:rsidRPr="0EE6D153">
        <w:rPr>
          <w:b/>
          <w:bCs/>
          <w:sz w:val="24"/>
        </w:rPr>
        <w:t>REASONS FOR CHANGES IN BURDEN INCLUDING THE NEED FOR ANY INCREASE</w:t>
      </w:r>
    </w:p>
    <w:p w:rsidR="003A5DB3" w:rsidP="0EE6D153" w14:paraId="31567D1F" w14:textId="22E8C0CA">
      <w:r w:rsidRPr="0EE6D153">
        <w:t>There were no changes to the reporting and recordkeeping requirements.</w:t>
      </w:r>
    </w:p>
    <w:p w:rsidR="007C3821" w:rsidP="0EE6D153" w14:paraId="5638C047" w14:textId="5A3534CA"/>
    <w:p w:rsidR="00545B62" w:rsidRPr="00891FC0" w:rsidP="0EE6D153" w14:paraId="0EF2A067" w14:textId="52DCF27F">
      <w:r w:rsidRPr="0EE6D153">
        <w:t xml:space="preserve">The following table shows the </w:t>
      </w:r>
      <w:r w:rsidRPr="0EE6D153" w:rsidR="00607DF1">
        <w:t xml:space="preserve">annual </w:t>
      </w:r>
      <w:r w:rsidRPr="0EE6D153">
        <w:t>total burden of the collection of information.</w:t>
      </w:r>
      <w:r w:rsidRPr="0EE6D153" w:rsidR="5D320E51">
        <w:t xml:space="preserve"> </w:t>
      </w:r>
      <w:r w:rsidRPr="0EE6D153">
        <w:t>The format, labels, and definitions of the table follow the ROCIS submission system’s “Information Collection Request Summary of Burden” for the metadata.</w:t>
      </w:r>
    </w:p>
    <w:p w:rsidR="00EF40FF" w:rsidRPr="00891FC0" w:rsidP="0EE6D153" w14:paraId="0D00454B" w14:textId="77777777">
      <w:pPr>
        <w:widowControl/>
        <w:tabs>
          <w:tab w:val="left" w:pos="2394"/>
        </w:tabs>
      </w:pPr>
      <w:r w:rsidRPr="00891FC0">
        <w:rPr>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1550"/>
        <w:gridCol w:w="1597"/>
        <w:gridCol w:w="1889"/>
        <w:gridCol w:w="1618"/>
      </w:tblGrid>
      <w:tr w14:paraId="46C4A5B4" w14:textId="77777777" w:rsidTr="0EE6D15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F40FF" w:rsidRPr="00891FC0" w:rsidP="0EE6D153" w14:paraId="5E6F18B9" w14:textId="04BDC49D">
            <w:pPr>
              <w:jc w:val="center"/>
              <w:rPr>
                <w:b/>
                <w:bCs/>
              </w:rPr>
            </w:pPr>
            <w:r w:rsidRPr="0EE6D153">
              <w:rPr>
                <w:b/>
                <w:bCs/>
              </w:rPr>
              <w:t>FERC-577</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F40FF" w:rsidRPr="00891FC0" w:rsidP="0EE6D153" w14:paraId="6714602C" w14:textId="77777777">
            <w:pPr>
              <w:jc w:val="center"/>
              <w:rPr>
                <w:b/>
                <w:bCs/>
              </w:rPr>
            </w:pPr>
            <w:r w:rsidRPr="0EE6D153">
              <w:rPr>
                <w:b/>
                <w:bCs/>
              </w:rPr>
              <w:t>Total Request</w:t>
            </w:r>
          </w:p>
        </w:tc>
        <w:tc>
          <w:tcPr>
            <w:tcW w:w="8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F40FF" w:rsidRPr="00891FC0" w:rsidP="0EE6D153" w14:paraId="13BA7890" w14:textId="77777777">
            <w:pPr>
              <w:jc w:val="center"/>
              <w:rPr>
                <w:b/>
                <w:bCs/>
              </w:rPr>
            </w:pPr>
            <w:r w:rsidRPr="0EE6D153">
              <w:rPr>
                <w:b/>
                <w:bCs/>
              </w:rPr>
              <w:t>Previously Approved</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F40FF" w:rsidRPr="00891FC0" w:rsidP="0EE6D153" w14:paraId="73AFFA76" w14:textId="77777777">
            <w:pPr>
              <w:jc w:val="center"/>
              <w:rPr>
                <w:b/>
                <w:bCs/>
              </w:rPr>
            </w:pPr>
            <w:r w:rsidRPr="0EE6D153">
              <w:rPr>
                <w:b/>
                <w:bCs/>
              </w:rPr>
              <w:t>Change due to Adjustment in Estimate</w:t>
            </w:r>
          </w:p>
        </w:tc>
        <w:tc>
          <w:tcPr>
            <w:tcW w:w="8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F40FF" w:rsidRPr="00891FC0" w:rsidP="0EE6D153" w14:paraId="41286C04" w14:textId="77777777">
            <w:pPr>
              <w:jc w:val="center"/>
              <w:rPr>
                <w:b/>
                <w:bCs/>
              </w:rPr>
            </w:pPr>
            <w:r w:rsidRPr="0EE6D153">
              <w:rPr>
                <w:b/>
                <w:bCs/>
              </w:rPr>
              <w:t>Change Due to Agency Discretion</w:t>
            </w:r>
          </w:p>
        </w:tc>
      </w:tr>
      <w:tr w14:paraId="17214C13" w14:textId="77777777" w:rsidTr="0EE6D153">
        <w:tblPrEx>
          <w:tblW w:w="5000" w:type="pct"/>
          <w:tblLook w:val="01E0"/>
        </w:tblPrEx>
        <w:trPr>
          <w:trHeight w:val="591"/>
        </w:trPr>
        <w:tc>
          <w:tcPr>
            <w:tcW w:w="1442" w:type="pct"/>
          </w:tcPr>
          <w:p w:rsidR="00EF40FF" w:rsidRPr="00891FC0" w:rsidP="0EE6D153" w14:paraId="0115B27A" w14:textId="77777777">
            <w:pPr>
              <w:jc w:val="center"/>
            </w:pPr>
            <w:r w:rsidRPr="0EE6D153">
              <w:t>Annual Number of Responses</w:t>
            </w:r>
          </w:p>
        </w:tc>
        <w:tc>
          <w:tcPr>
            <w:tcW w:w="829" w:type="pct"/>
            <w:vAlign w:val="center"/>
          </w:tcPr>
          <w:p w:rsidR="00EF40FF" w:rsidRPr="00891FC0" w:rsidP="0EE6D153" w14:paraId="386C9BC2" w14:textId="6FD5852B">
            <w:pPr>
              <w:jc w:val="right"/>
            </w:pPr>
            <w:r>
              <w:t>25,328</w:t>
            </w:r>
          </w:p>
        </w:tc>
        <w:tc>
          <w:tcPr>
            <w:tcW w:w="854" w:type="pct"/>
            <w:vAlign w:val="center"/>
          </w:tcPr>
          <w:p w:rsidR="00EF40FF" w:rsidRPr="00891FC0" w:rsidP="0EE6D153" w14:paraId="39A0261D" w14:textId="338BB78C">
            <w:pPr>
              <w:jc w:val="right"/>
            </w:pPr>
            <w:r>
              <w:t>25,</w:t>
            </w:r>
            <w:r w:rsidR="005009EA">
              <w:t>328</w:t>
            </w:r>
          </w:p>
        </w:tc>
        <w:tc>
          <w:tcPr>
            <w:tcW w:w="1010" w:type="pct"/>
            <w:vAlign w:val="center"/>
          </w:tcPr>
          <w:p w:rsidR="00EF40FF" w:rsidRPr="00891FC0" w:rsidP="0EE6D153" w14:paraId="4FE2F429" w14:textId="6791B552">
            <w:pPr>
              <w:jc w:val="right"/>
            </w:pPr>
            <w:r w:rsidRPr="0EE6D153">
              <w:t>0</w:t>
            </w:r>
          </w:p>
        </w:tc>
        <w:tc>
          <w:tcPr>
            <w:tcW w:w="865" w:type="pct"/>
            <w:vAlign w:val="center"/>
          </w:tcPr>
          <w:p w:rsidR="00EF40FF" w:rsidRPr="00891FC0" w:rsidP="0EE6D153" w14:paraId="50BDA9A0" w14:textId="77777777">
            <w:pPr>
              <w:jc w:val="right"/>
            </w:pPr>
            <w:r w:rsidRPr="0EE6D153">
              <w:t>0</w:t>
            </w:r>
          </w:p>
        </w:tc>
      </w:tr>
      <w:tr w14:paraId="7258AFC0" w14:textId="77777777" w:rsidTr="0EE6D153">
        <w:tblPrEx>
          <w:tblW w:w="5000" w:type="pct"/>
          <w:tblLook w:val="01E0"/>
        </w:tblPrEx>
        <w:trPr>
          <w:trHeight w:val="575"/>
        </w:trPr>
        <w:tc>
          <w:tcPr>
            <w:tcW w:w="1442" w:type="pct"/>
          </w:tcPr>
          <w:p w:rsidR="00EF40FF" w:rsidRPr="00891FC0" w:rsidP="0EE6D153" w14:paraId="73702C6C" w14:textId="76934ADC">
            <w:pPr>
              <w:jc w:val="center"/>
            </w:pPr>
            <w:r w:rsidRPr="0EE6D153">
              <w:t>Annual Time Burden (Hours)</w:t>
            </w:r>
            <w:r>
              <w:rPr>
                <w:rStyle w:val="FootnoteReference"/>
                <w:vertAlign w:val="superscript"/>
              </w:rPr>
              <w:footnoteReference w:id="11"/>
            </w:r>
          </w:p>
        </w:tc>
        <w:tc>
          <w:tcPr>
            <w:tcW w:w="829" w:type="pct"/>
            <w:vAlign w:val="center"/>
          </w:tcPr>
          <w:p w:rsidR="00EF40FF" w:rsidRPr="00891FC0" w:rsidP="0EE6D153" w14:paraId="31651BEE" w14:textId="0E42B45F">
            <w:pPr>
              <w:jc w:val="right"/>
            </w:pPr>
            <w:r w:rsidRPr="002674CD">
              <w:t>378,538</w:t>
            </w:r>
          </w:p>
        </w:tc>
        <w:tc>
          <w:tcPr>
            <w:tcW w:w="854" w:type="pct"/>
            <w:vAlign w:val="center"/>
          </w:tcPr>
          <w:p w:rsidR="00EF40FF" w:rsidRPr="00891FC0" w:rsidP="0EE6D153" w14:paraId="0EED3422" w14:textId="2A2ED086">
            <w:pPr>
              <w:jc w:val="right"/>
            </w:pPr>
            <w:r>
              <w:t>364,745</w:t>
            </w:r>
          </w:p>
        </w:tc>
        <w:tc>
          <w:tcPr>
            <w:tcW w:w="1010" w:type="pct"/>
            <w:vAlign w:val="center"/>
          </w:tcPr>
          <w:p w:rsidR="00EF40FF" w:rsidRPr="00891FC0" w:rsidP="0EE6D153" w14:paraId="3CF5B872" w14:textId="7811B11F">
            <w:pPr>
              <w:jc w:val="right"/>
            </w:pPr>
            <w:r>
              <w:t>+</w:t>
            </w:r>
            <w:r w:rsidR="005B2330">
              <w:t>13,793</w:t>
            </w:r>
          </w:p>
        </w:tc>
        <w:tc>
          <w:tcPr>
            <w:tcW w:w="865" w:type="pct"/>
            <w:vAlign w:val="center"/>
          </w:tcPr>
          <w:p w:rsidR="00EF40FF" w:rsidRPr="00891FC0" w:rsidP="0EE6D153" w14:paraId="39B1BAD1" w14:textId="77777777">
            <w:pPr>
              <w:jc w:val="right"/>
            </w:pPr>
            <w:r w:rsidRPr="0EE6D153">
              <w:t>0</w:t>
            </w:r>
          </w:p>
        </w:tc>
      </w:tr>
      <w:tr w14:paraId="32861EA7" w14:textId="77777777" w:rsidTr="0EE6D153">
        <w:tblPrEx>
          <w:tblW w:w="5000" w:type="pct"/>
          <w:tblLook w:val="01E0"/>
        </w:tblPrEx>
        <w:trPr>
          <w:trHeight w:val="295"/>
        </w:trPr>
        <w:tc>
          <w:tcPr>
            <w:tcW w:w="1442" w:type="pct"/>
            <w:tcBorders>
              <w:bottom w:val="single" w:sz="4" w:space="0" w:color="auto"/>
            </w:tcBorders>
          </w:tcPr>
          <w:p w:rsidR="00EF40FF" w:rsidRPr="00891FC0" w:rsidP="0EE6D153" w14:paraId="4F5B520F" w14:textId="77777777">
            <w:pPr>
              <w:jc w:val="center"/>
            </w:pPr>
            <w:r w:rsidRPr="0EE6D153">
              <w:t>Annual Cost Burden ($)</w:t>
            </w:r>
          </w:p>
        </w:tc>
        <w:tc>
          <w:tcPr>
            <w:tcW w:w="829" w:type="pct"/>
            <w:tcBorders>
              <w:bottom w:val="single" w:sz="4" w:space="0" w:color="auto"/>
            </w:tcBorders>
            <w:vAlign w:val="center"/>
          </w:tcPr>
          <w:p w:rsidR="00EF40FF" w:rsidRPr="00891FC0" w:rsidP="0EE6D153" w14:paraId="7D67E648" w14:textId="77777777">
            <w:pPr>
              <w:jc w:val="right"/>
            </w:pPr>
            <w:r w:rsidRPr="0EE6D153">
              <w:t>$0</w:t>
            </w:r>
          </w:p>
        </w:tc>
        <w:tc>
          <w:tcPr>
            <w:tcW w:w="854" w:type="pct"/>
            <w:tcBorders>
              <w:bottom w:val="single" w:sz="4" w:space="0" w:color="auto"/>
            </w:tcBorders>
            <w:vAlign w:val="center"/>
          </w:tcPr>
          <w:p w:rsidR="00EF40FF" w:rsidRPr="00891FC0" w:rsidP="0EE6D153" w14:paraId="15FA5A62" w14:textId="77777777">
            <w:pPr>
              <w:jc w:val="right"/>
            </w:pPr>
            <w:r w:rsidRPr="0EE6D153">
              <w:t>$0</w:t>
            </w:r>
          </w:p>
        </w:tc>
        <w:tc>
          <w:tcPr>
            <w:tcW w:w="1010" w:type="pct"/>
            <w:tcBorders>
              <w:bottom w:val="single" w:sz="4" w:space="0" w:color="auto"/>
            </w:tcBorders>
            <w:vAlign w:val="center"/>
          </w:tcPr>
          <w:p w:rsidR="00EF40FF" w:rsidRPr="00891FC0" w:rsidP="0EE6D153" w14:paraId="406A2FC1" w14:textId="77777777">
            <w:pPr>
              <w:jc w:val="right"/>
            </w:pPr>
            <w:r w:rsidRPr="0EE6D153">
              <w:t>$0</w:t>
            </w:r>
          </w:p>
        </w:tc>
        <w:tc>
          <w:tcPr>
            <w:tcW w:w="865" w:type="pct"/>
            <w:tcBorders>
              <w:bottom w:val="single" w:sz="4" w:space="0" w:color="auto"/>
            </w:tcBorders>
            <w:vAlign w:val="center"/>
          </w:tcPr>
          <w:p w:rsidR="00EF40FF" w:rsidRPr="00891FC0" w:rsidP="0EE6D153" w14:paraId="44B6C3E6" w14:textId="77777777">
            <w:pPr>
              <w:jc w:val="right"/>
            </w:pPr>
            <w:r w:rsidRPr="0EE6D153">
              <w:t>$0</w:t>
            </w:r>
          </w:p>
        </w:tc>
      </w:tr>
    </w:tbl>
    <w:p w:rsidR="00EF40FF" w:rsidRPr="00891FC0" w:rsidP="0EE6D153" w14:paraId="5E52CD2D" w14:textId="77777777">
      <w:pPr>
        <w:widowControl/>
        <w:rPr>
          <w:b/>
          <w:bCs/>
        </w:rPr>
      </w:pPr>
    </w:p>
    <w:p w:rsidR="009D6B6D" w:rsidRPr="00891FC0" w:rsidP="0EE6D153" w14:paraId="7CD93336" w14:textId="77777777">
      <w:pPr>
        <w:pStyle w:val="FERCparanumber"/>
        <w:rPr>
          <w:b/>
          <w:bCs/>
          <w:sz w:val="24"/>
        </w:rPr>
      </w:pPr>
      <w:r w:rsidRPr="0EE6D153">
        <w:rPr>
          <w:b/>
          <w:bCs/>
          <w:sz w:val="24"/>
        </w:rPr>
        <w:t>TIME SCHEDULE FOR PUBLICATION OF DATA</w:t>
      </w:r>
    </w:p>
    <w:p w:rsidR="00EF40FF" w:rsidRPr="00891FC0" w:rsidP="0EE6D153" w14:paraId="338E8E30" w14:textId="77777777">
      <w:pPr>
        <w:pStyle w:val="FERCparanumber"/>
        <w:numPr>
          <w:ilvl w:val="0"/>
          <w:numId w:val="0"/>
        </w:numPr>
        <w:rPr>
          <w:b/>
          <w:bCs/>
          <w:sz w:val="24"/>
        </w:rPr>
      </w:pPr>
    </w:p>
    <w:p w:rsidR="00807750" w:rsidRPr="00807750" w:rsidP="0EE6D153" w14:paraId="79456F5F" w14:textId="5CF7A86D">
      <w:pPr>
        <w:widowControl/>
        <w:autoSpaceDE/>
        <w:autoSpaceDN/>
        <w:adjustRightInd/>
        <w:rPr>
          <w:rFonts w:eastAsia="Calibri"/>
        </w:rPr>
      </w:pPr>
      <w:r w:rsidRPr="0EE6D153">
        <w:rPr>
          <w:rFonts w:eastAsia="Calibri"/>
        </w:rPr>
        <w:t>There are no publication plans for the collection of information.</w:t>
      </w:r>
      <w:r w:rsidRPr="0EE6D153" w:rsidR="5D320E51">
        <w:rPr>
          <w:rFonts w:eastAsia="Calibri"/>
        </w:rPr>
        <w:t xml:space="preserve"> </w:t>
      </w:r>
      <w:r w:rsidRPr="0EE6D153">
        <w:rPr>
          <w:rFonts w:eastAsia="Calibri"/>
        </w:rPr>
        <w:t>The data are used for regulatory purposes only.</w:t>
      </w:r>
    </w:p>
    <w:p w:rsidR="00EF40FF" w:rsidRPr="00891FC0" w:rsidP="0EE6D153" w14:paraId="13B155E7" w14:textId="77777777">
      <w:pPr>
        <w:pStyle w:val="FERCparanumber"/>
        <w:numPr>
          <w:ilvl w:val="0"/>
          <w:numId w:val="0"/>
        </w:numPr>
        <w:rPr>
          <w:b/>
          <w:bCs/>
          <w:sz w:val="24"/>
        </w:rPr>
      </w:pPr>
    </w:p>
    <w:p w:rsidR="009D6B6D" w:rsidRPr="00891FC0" w:rsidP="0EE6D153" w14:paraId="15394295" w14:textId="77777777">
      <w:pPr>
        <w:pStyle w:val="FERCparanumber"/>
        <w:rPr>
          <w:b/>
          <w:bCs/>
          <w:sz w:val="24"/>
        </w:rPr>
      </w:pPr>
      <w:r w:rsidRPr="0EE6D153">
        <w:rPr>
          <w:b/>
          <w:bCs/>
          <w:sz w:val="24"/>
        </w:rPr>
        <w:t>DISPLAY OF EXPIRATION DATE</w:t>
      </w:r>
    </w:p>
    <w:p w:rsidR="00EF40FF" w:rsidRPr="00891FC0" w:rsidP="0EE6D153" w14:paraId="50BC026E" w14:textId="77777777">
      <w:pPr>
        <w:pStyle w:val="FERCparanumber"/>
        <w:numPr>
          <w:ilvl w:val="0"/>
          <w:numId w:val="0"/>
        </w:numPr>
        <w:rPr>
          <w:b/>
          <w:bCs/>
          <w:sz w:val="24"/>
        </w:rPr>
      </w:pPr>
    </w:p>
    <w:p w:rsidR="00262ED6" w:rsidRPr="00D0606B" w:rsidP="0EE6D153" w14:paraId="6B3A5A19" w14:textId="060978A1">
      <w:r w:rsidRPr="0EE6D153">
        <w:t xml:space="preserve">The expiration date is displayed in a table posted on ferc.gov at </w:t>
      </w:r>
      <w:hyperlink r:id="rId10">
        <w:r w:rsidRPr="0EE6D153">
          <w:rPr>
            <w:rStyle w:val="Hyperlink"/>
          </w:rPr>
          <w:t>https://www.ferc.gov/information-collections</w:t>
        </w:r>
      </w:hyperlink>
      <w:r w:rsidRPr="0EE6D153">
        <w:t xml:space="preserve">. </w:t>
      </w:r>
    </w:p>
    <w:p w:rsidR="006441AD" w:rsidRPr="00891FC0" w:rsidP="0EE6D153" w14:paraId="587C08CA" w14:textId="389F5184"/>
    <w:p w:rsidR="00EF40FF" w:rsidRPr="00891FC0" w:rsidP="0EE6D153" w14:paraId="00403C61" w14:textId="77777777">
      <w:pPr>
        <w:pStyle w:val="FERCparanumber"/>
        <w:numPr>
          <w:ilvl w:val="0"/>
          <w:numId w:val="0"/>
        </w:numPr>
        <w:rPr>
          <w:b/>
          <w:bCs/>
          <w:sz w:val="24"/>
        </w:rPr>
      </w:pPr>
    </w:p>
    <w:p w:rsidR="00EF40FF" w:rsidRPr="00891FC0" w:rsidP="00B94FDD" w14:paraId="3B590558" w14:textId="77777777">
      <w:pPr>
        <w:pStyle w:val="FERCparanumber"/>
        <w:rPr>
          <w:b/>
          <w:bCs/>
        </w:rPr>
      </w:pPr>
      <w:r w:rsidRPr="0EE6D153">
        <w:rPr>
          <w:b/>
          <w:bCs/>
        </w:rPr>
        <w:t>EXCEPTIONS TO THE CERTIFICATION STATEMENT</w:t>
      </w:r>
    </w:p>
    <w:p w:rsidR="009D6B6D" w:rsidRPr="00891FC0" w:rsidP="0EE6D153" w14:paraId="612ECBF9" w14:textId="77777777">
      <w:pPr>
        <w:widowControl/>
        <w:ind w:left="720"/>
        <w:rPr>
          <w:b/>
          <w:bCs/>
        </w:rPr>
      </w:pPr>
    </w:p>
    <w:p w:rsidR="00000F54" w:rsidRPr="00891FC0" w:rsidP="0EE6D153" w14:paraId="5B53F0DD" w14:textId="77777777">
      <w:pPr>
        <w:widowControl/>
      </w:pPr>
      <w:r w:rsidRPr="0EE6D153">
        <w:t>There are no exceptions.</w:t>
      </w:r>
    </w:p>
    <w:sectPr w:rsidSect="00703122">
      <w:headerReference w:type="default" r:id="rId15"/>
      <w:footerReference w:type="default" r:id="rId16"/>
      <w:headerReference w:type="first" r:id="rId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773" w14:paraId="69690493" w14:textId="722795DE">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038B7">
          <w:rPr>
            <w:noProof/>
          </w:rPr>
          <w:t>7</w:t>
        </w:r>
        <w:r>
          <w:rPr>
            <w:noProof/>
          </w:rPr>
          <w:fldChar w:fldCharType="end"/>
        </w:r>
      </w:sdtContent>
    </w:sdt>
  </w:p>
  <w:p w:rsidR="00E32773" w14:paraId="7CE168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2575" w:rsidP="009D6B6D" w14:paraId="34F72FA1" w14:textId="77777777">
      <w:r>
        <w:separator/>
      </w:r>
    </w:p>
  </w:footnote>
  <w:footnote w:type="continuationSeparator" w:id="1">
    <w:p w:rsidR="003B2575" w:rsidP="009D6B6D" w14:paraId="15D62A72" w14:textId="77777777">
      <w:r>
        <w:continuationSeparator/>
      </w:r>
    </w:p>
  </w:footnote>
  <w:footnote w:type="continuationNotice" w:id="2">
    <w:p w:rsidR="003B2575" w14:paraId="7A522D8E" w14:textId="77777777"/>
  </w:footnote>
  <w:footnote w:id="3">
    <w:p w:rsidR="006D656A" w:rsidRPr="006F4EDC" w:rsidP="006D656A" w14:paraId="1126C391" w14:textId="77777777">
      <w:pPr>
        <w:pStyle w:val="FootnoteText"/>
      </w:pPr>
      <w:r w:rsidRPr="006F4EDC">
        <w:rPr>
          <w:rStyle w:val="FootnoteReference"/>
        </w:rPr>
        <w:footnoteRef/>
      </w:r>
      <w:r w:rsidRPr="006F4EDC">
        <w:t xml:space="preserve"> </w:t>
      </w:r>
      <w:r w:rsidRPr="006F4EDC">
        <w:rPr>
          <w:lang w:val="fr-FR"/>
        </w:rPr>
        <w:t>5 CFR 1320.8(d)</w:t>
      </w:r>
    </w:p>
  </w:footnote>
  <w:footnote w:id="4">
    <w:p w:rsidR="00351242" w:rsidRPr="0026076C" w:rsidP="00351242" w14:paraId="19A89560" w14:textId="5B58EBF3">
      <w:pPr>
        <w:pStyle w:val="FootnoteText"/>
      </w:pPr>
      <w:r w:rsidRPr="0026076C">
        <w:rPr>
          <w:rStyle w:val="FootnoteReference"/>
          <w:vertAlign w:val="superscript"/>
        </w:rPr>
        <w:footnoteRef/>
      </w:r>
      <w:r w:rsidRPr="0026076C" w:rsidR="0EE6D153">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5">
    <w:p w:rsidR="00351242" w:rsidRPr="002B3DCB" w:rsidP="00351242" w14:paraId="73773793" w14:textId="4B0D7862">
      <w:pPr>
        <w:pStyle w:val="FootnoteText"/>
        <w:rPr>
          <w:sz w:val="26"/>
          <w:szCs w:val="26"/>
        </w:rPr>
      </w:pPr>
      <w:r w:rsidRPr="00CB1B1E">
        <w:rPr>
          <w:rStyle w:val="FootnoteReference"/>
          <w:vertAlign w:val="superscript"/>
        </w:rPr>
        <w:footnoteRef/>
      </w:r>
      <w:r w:rsidRPr="0026076C" w:rsidR="0EE6D153">
        <w:t xml:space="preserve"> </w:t>
      </w:r>
      <w:r w:rsidRPr="00D22D46" w:rsidR="00D22D46">
        <w:t>The Commission staff estimates that industry is similarly situated in terms of hourly cost (for wages plus benefits). Based on the Commission’s FY (Fiscal Year) 2025 average cost (for wages plus benefits), $103/hour is used.</w:t>
      </w:r>
    </w:p>
  </w:footnote>
  <w:footnote w:id="6">
    <w:p w:rsidR="00CB2478" w:rsidP="41CBFF70" w14:paraId="0D6643F7" w14:textId="77777777">
      <w:pPr>
        <w:rPr>
          <w:sz w:val="20"/>
          <w:szCs w:val="20"/>
        </w:rPr>
      </w:pPr>
      <w:r w:rsidRPr="00010883">
        <w:rPr>
          <w:sz w:val="20"/>
          <w:szCs w:val="20"/>
          <w:vertAlign w:val="superscript"/>
        </w:rPr>
        <w:footnoteRef/>
      </w:r>
      <w:r w:rsidRPr="41CBFF70">
        <w:rPr>
          <w:sz w:val="20"/>
          <w:szCs w:val="20"/>
        </w:rPr>
        <w:t xml:space="preserve"> Number of estimated natural gas companies </w:t>
      </w:r>
      <w:r>
        <w:rPr>
          <w:sz w:val="20"/>
          <w:szCs w:val="20"/>
        </w:rPr>
        <w:t>anticipated</w:t>
      </w:r>
      <w:r w:rsidRPr="41CBFF70">
        <w:rPr>
          <w:sz w:val="20"/>
          <w:szCs w:val="20"/>
        </w:rPr>
        <w:t xml:space="preserve"> to fil</w:t>
      </w:r>
      <w:r>
        <w:rPr>
          <w:sz w:val="20"/>
          <w:szCs w:val="20"/>
        </w:rPr>
        <w:t>e</w:t>
      </w:r>
      <w:r w:rsidRPr="41CBFF70">
        <w:rPr>
          <w:sz w:val="20"/>
          <w:szCs w:val="20"/>
        </w:rPr>
        <w:t xml:space="preserve"> environmental related information.</w:t>
      </w:r>
      <w:r>
        <w:rPr>
          <w:sz w:val="20"/>
          <w:szCs w:val="20"/>
        </w:rPr>
        <w:t xml:space="preserve"> This is based on previous years responses combined with tread information.</w:t>
      </w:r>
    </w:p>
  </w:footnote>
  <w:footnote w:id="7">
    <w:p w:rsidR="00CB2478" w:rsidRPr="006F35BF" w:rsidP="00A53E51" w14:paraId="274A1759" w14:textId="77777777">
      <w:pPr>
        <w:pStyle w:val="FootnoteText"/>
      </w:pPr>
      <w:r w:rsidRPr="006F35BF">
        <w:rPr>
          <w:rStyle w:val="FootnoteReference"/>
        </w:rPr>
        <w:footnoteRef/>
      </w:r>
      <w:r w:rsidRPr="006F35BF">
        <w:t xml:space="preserve"> </w:t>
      </w:r>
      <w:r>
        <w:t xml:space="preserve">The 60-day notice correctly said that there are no proposed changes to the information collection. </w:t>
      </w:r>
      <w:r w:rsidRPr="006F35BF">
        <w:t>This table has been updated to correct errors so that the burden reflects the burden published in final rule RM22-8 (</w:t>
      </w:r>
      <w:r w:rsidRPr="21AD5D18">
        <w:t>88 FR 74033)</w:t>
      </w:r>
      <w:bookmarkStart w:id="1" w:name="_Hlk23149593"/>
      <w:bookmarkEnd w:id="1"/>
    </w:p>
  </w:footnote>
  <w:footnote w:id="8">
    <w:p w:rsidR="00CB2478" w:rsidP="41CBFF70" w14:paraId="39C62360" w14:textId="77777777">
      <w:pPr>
        <w:rPr>
          <w:sz w:val="20"/>
          <w:szCs w:val="20"/>
        </w:rPr>
      </w:pPr>
      <w:r w:rsidRPr="00010883">
        <w:rPr>
          <w:sz w:val="20"/>
          <w:szCs w:val="20"/>
          <w:vertAlign w:val="superscript"/>
        </w:rPr>
        <w:footnoteRef/>
      </w:r>
      <w:r w:rsidRPr="41CBFF70">
        <w:rPr>
          <w:sz w:val="20"/>
          <w:szCs w:val="20"/>
        </w:rPr>
        <w:t xml:space="preserve"> Estimated number of Natural Gas Companies subject to FERC’s jurisdiction.</w:t>
      </w:r>
      <w:r>
        <w:rPr>
          <w:sz w:val="20"/>
          <w:szCs w:val="20"/>
        </w:rPr>
        <w:t xml:space="preserve"> This figure naturally fluctuates based on changes in the natural gas industry.</w:t>
      </w:r>
    </w:p>
  </w:footnote>
  <w:footnote w:id="9">
    <w:p w:rsidR="00EF40FF" w:rsidRPr="005B2330" w:rsidP="007C0096" w14:paraId="758C714B" w14:textId="4CE72782">
      <w:pPr>
        <w:rPr>
          <w:sz w:val="20"/>
          <w:szCs w:val="20"/>
        </w:rPr>
      </w:pPr>
      <w:r w:rsidRPr="005B2330">
        <w:rPr>
          <w:rStyle w:val="FootnoteReference"/>
          <w:sz w:val="20"/>
          <w:szCs w:val="20"/>
          <w:vertAlign w:val="superscript"/>
        </w:rPr>
        <w:footnoteRef/>
      </w:r>
      <w:r w:rsidRPr="005B2330" w:rsidR="006441AD">
        <w:rPr>
          <w:sz w:val="20"/>
          <w:szCs w:val="20"/>
        </w:rPr>
        <w:t xml:space="preserve"> Based upon 20</w:t>
      </w:r>
      <w:r w:rsidRPr="005B2330" w:rsidR="007C3821">
        <w:rPr>
          <w:sz w:val="20"/>
          <w:szCs w:val="20"/>
        </w:rPr>
        <w:t>2</w:t>
      </w:r>
      <w:r w:rsidRPr="005B2330" w:rsidR="005009EA">
        <w:rPr>
          <w:sz w:val="20"/>
          <w:szCs w:val="20"/>
        </w:rPr>
        <w:t xml:space="preserve">5 </w:t>
      </w:r>
      <w:r w:rsidRPr="005B2330">
        <w:rPr>
          <w:sz w:val="20"/>
          <w:szCs w:val="20"/>
        </w:rPr>
        <w:t xml:space="preserve">FTE average </w:t>
      </w:r>
      <w:r w:rsidRPr="005B2330" w:rsidR="00ED3A92">
        <w:rPr>
          <w:sz w:val="20"/>
          <w:szCs w:val="20"/>
        </w:rPr>
        <w:t xml:space="preserve">annual </w:t>
      </w:r>
      <w:r w:rsidRPr="005B2330">
        <w:rPr>
          <w:sz w:val="20"/>
          <w:szCs w:val="20"/>
        </w:rPr>
        <w:t>s</w:t>
      </w:r>
      <w:r w:rsidRPr="005B2330" w:rsidR="006441AD">
        <w:rPr>
          <w:sz w:val="20"/>
          <w:szCs w:val="20"/>
        </w:rPr>
        <w:t>alary plus benefits ($</w:t>
      </w:r>
      <w:r w:rsidRPr="005B2330" w:rsidR="002A694B">
        <w:rPr>
          <w:sz w:val="20"/>
          <w:szCs w:val="20"/>
        </w:rPr>
        <w:t>214,093</w:t>
      </w:r>
      <w:r w:rsidRPr="005B2330">
        <w:rPr>
          <w:sz w:val="20"/>
          <w:szCs w:val="20"/>
        </w:rPr>
        <w:t>).</w:t>
      </w:r>
    </w:p>
  </w:footnote>
  <w:footnote w:id="10">
    <w:p w:rsidR="00EF40FF" w:rsidRPr="00926798" w:rsidP="007C0096" w14:paraId="27E34FC5" w14:textId="77777777">
      <w:pPr>
        <w:pStyle w:val="FootnoteText"/>
        <w:rPr>
          <w:sz w:val="26"/>
          <w:szCs w:val="26"/>
        </w:rPr>
      </w:pPr>
      <w:r w:rsidRPr="005B2330">
        <w:rPr>
          <w:rStyle w:val="FootnoteReference"/>
          <w:vertAlign w:val="superscript"/>
        </w:rPr>
        <w:footnoteRef/>
      </w:r>
      <w:r w:rsidRPr="005B2330">
        <w:rPr>
          <w:vertAlign w:val="superscript"/>
        </w:rPr>
        <w:t xml:space="preserve"> </w:t>
      </w:r>
      <w:r w:rsidRPr="005B2330">
        <w:t>Paperwork Reduction Act of 1995 (PRA).</w:t>
      </w:r>
    </w:p>
  </w:footnote>
  <w:footnote w:id="11">
    <w:p w:rsidR="00B467F4" w14:paraId="0BABCAB1" w14:textId="68663265">
      <w:pPr>
        <w:pStyle w:val="FootnoteText"/>
      </w:pPr>
      <w:r w:rsidRPr="00E77878">
        <w:rPr>
          <w:rStyle w:val="FootnoteReference"/>
          <w:vertAlign w:val="superscript"/>
        </w:rPr>
        <w:footnoteRef/>
      </w:r>
      <w:r>
        <w:t xml:space="preserve"> </w:t>
      </w:r>
      <w:r w:rsidR="00D25736">
        <w:t xml:space="preserve">This includes an adjustment to correctly reflect the burden adjustment </w:t>
      </w:r>
      <w:r w:rsidR="004D0128">
        <w:t>associated with</w:t>
      </w:r>
      <w:r w:rsidR="00D25736">
        <w:t xml:space="preserve"> RM22-8</w:t>
      </w:r>
      <w:r w:rsidR="008472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BA7" w14:paraId="010828C5" w14:textId="1835CF3B">
    <w:pPr>
      <w:pStyle w:val="Header"/>
    </w:pPr>
    <w:r>
      <w:t>FERC-577</w:t>
    </w:r>
    <w:r w:rsidR="00703122">
      <w:t xml:space="preserve"> (OMB </w:t>
    </w:r>
    <w:r>
      <w:t>Control No. 1902-0128</w:t>
    </w:r>
    <w:r w:rsidR="00703122">
      <w:t>)</w:t>
    </w:r>
  </w:p>
  <w:p w:rsidR="00B335F1" w:rsidP="0EE6D153" w14:paraId="312DE525" w14:textId="4E455D28">
    <w:pPr>
      <w:pStyle w:val="Header"/>
    </w:pPr>
    <w:r>
      <w:t xml:space="preserve">Docket No.: </w:t>
    </w:r>
    <w:r w:rsidRPr="0EE6D153">
      <w:rPr>
        <w:color w:val="000000" w:themeColor="text1"/>
      </w:rPr>
      <w:t>IC26-7-000</w:t>
    </w:r>
  </w:p>
  <w:p w:rsidR="00891FC0" w14:paraId="114C18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EC1" w14:paraId="0B7CE994" w14:textId="77777777">
    <w:pPr>
      <w:pStyle w:val="Header"/>
    </w:pPr>
    <w:r>
      <w:t xml:space="preserve">FERC Form </w:t>
    </w:r>
    <w:r w:rsidR="00CC615D">
      <w:t>730 (OMB Control No. 1902-0239</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22545"/>
    <w:multiLevelType w:val="hybridMultilevel"/>
    <w:tmpl w:val="0D501B2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C238F3"/>
    <w:multiLevelType w:val="hybridMultilevel"/>
    <w:tmpl w:val="108408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1896CF2"/>
    <w:multiLevelType w:val="hybridMultilevel"/>
    <w:tmpl w:val="8EFA79A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2B3306C"/>
    <w:multiLevelType w:val="hybridMultilevel"/>
    <w:tmpl w:val="60D0A2E4"/>
    <w:lvl w:ilvl="0">
      <w:start w:val="2"/>
      <w:numFmt w:val="decimal"/>
      <w:lvlText w:val="%1."/>
      <w:lvlJc w:val="left"/>
      <w:pPr>
        <w:tabs>
          <w:tab w:val="num" w:pos="1815"/>
        </w:tabs>
        <w:ind w:left="1815" w:hanging="181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6AE766A"/>
    <w:multiLevelType w:val="hybridMultilevel"/>
    <w:tmpl w:val="76540B82"/>
    <w:lvl w:ilvl="0">
      <w:start w:val="2"/>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C23233"/>
    <w:multiLevelType w:val="hybridMultilevel"/>
    <w:tmpl w:val="063A5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B4C5F2A"/>
    <w:multiLevelType w:val="hybridMultilevel"/>
    <w:tmpl w:val="0D76C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3064A97"/>
    <w:multiLevelType w:val="hybridMultilevel"/>
    <w:tmpl w:val="6D7A8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9EC0529"/>
    <w:multiLevelType w:val="hybridMultilevel"/>
    <w:tmpl w:val="368C18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EE719D3"/>
    <w:multiLevelType w:val="hybridMultilevel"/>
    <w:tmpl w:val="FFAC2854"/>
    <w:lvl w:ilvl="0">
      <w:start w:val="2"/>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4B338F8"/>
    <w:multiLevelType w:val="hybridMultilevel"/>
    <w:tmpl w:val="A792106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0256024">
    <w:abstractNumId w:val="12"/>
  </w:num>
  <w:num w:numId="2" w16cid:durableId="83577095">
    <w:abstractNumId w:val="4"/>
  </w:num>
  <w:num w:numId="3" w16cid:durableId="600919927">
    <w:abstractNumId w:val="10"/>
  </w:num>
  <w:num w:numId="4" w16cid:durableId="1333988034">
    <w:abstractNumId w:val="3"/>
  </w:num>
  <w:num w:numId="5" w16cid:durableId="982585657">
    <w:abstractNumId w:val="7"/>
  </w:num>
  <w:num w:numId="6" w16cid:durableId="984119317">
    <w:abstractNumId w:val="11"/>
  </w:num>
  <w:num w:numId="7" w16cid:durableId="514000968">
    <w:abstractNumId w:val="5"/>
  </w:num>
  <w:num w:numId="8" w16cid:durableId="406657047">
    <w:abstractNumId w:val="2"/>
  </w:num>
  <w:num w:numId="9" w16cid:durableId="1888756464">
    <w:abstractNumId w:val="13"/>
  </w:num>
  <w:num w:numId="10" w16cid:durableId="825321640">
    <w:abstractNumId w:val="0"/>
  </w:num>
  <w:num w:numId="11" w16cid:durableId="161892092">
    <w:abstractNumId w:val="6"/>
  </w:num>
  <w:num w:numId="12" w16cid:durableId="1684622015">
    <w:abstractNumId w:val="8"/>
  </w:num>
  <w:num w:numId="13" w16cid:durableId="1480997067">
    <w:abstractNumId w:val="9"/>
  </w:num>
  <w:num w:numId="14" w16cid:durableId="6665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6D"/>
    <w:rsid w:val="00000F54"/>
    <w:rsid w:val="00010883"/>
    <w:rsid w:val="00012A08"/>
    <w:rsid w:val="00021084"/>
    <w:rsid w:val="000218B7"/>
    <w:rsid w:val="00026695"/>
    <w:rsid w:val="000308D3"/>
    <w:rsid w:val="00030ADC"/>
    <w:rsid w:val="00042ECE"/>
    <w:rsid w:val="000448DB"/>
    <w:rsid w:val="00050CCF"/>
    <w:rsid w:val="000668CE"/>
    <w:rsid w:val="000679F4"/>
    <w:rsid w:val="000806CF"/>
    <w:rsid w:val="0009177D"/>
    <w:rsid w:val="000969B5"/>
    <w:rsid w:val="000C05D1"/>
    <w:rsid w:val="000C1565"/>
    <w:rsid w:val="000C446B"/>
    <w:rsid w:val="000C5C56"/>
    <w:rsid w:val="000D032E"/>
    <w:rsid w:val="000E4997"/>
    <w:rsid w:val="000E667A"/>
    <w:rsid w:val="000F53A6"/>
    <w:rsid w:val="0010104A"/>
    <w:rsid w:val="00107F7B"/>
    <w:rsid w:val="001235B5"/>
    <w:rsid w:val="00131D00"/>
    <w:rsid w:val="00132E05"/>
    <w:rsid w:val="001352B5"/>
    <w:rsid w:val="001375B0"/>
    <w:rsid w:val="00140F17"/>
    <w:rsid w:val="0014217A"/>
    <w:rsid w:val="00147917"/>
    <w:rsid w:val="00154152"/>
    <w:rsid w:val="00167186"/>
    <w:rsid w:val="00170EA6"/>
    <w:rsid w:val="00175991"/>
    <w:rsid w:val="001765F2"/>
    <w:rsid w:val="00181B4A"/>
    <w:rsid w:val="0018605B"/>
    <w:rsid w:val="001922FC"/>
    <w:rsid w:val="00192A85"/>
    <w:rsid w:val="001A07E0"/>
    <w:rsid w:val="001B0E23"/>
    <w:rsid w:val="001B1350"/>
    <w:rsid w:val="001B6647"/>
    <w:rsid w:val="001C042A"/>
    <w:rsid w:val="001D1355"/>
    <w:rsid w:val="001D2EC1"/>
    <w:rsid w:val="001E41E3"/>
    <w:rsid w:val="001E6D2B"/>
    <w:rsid w:val="001F0465"/>
    <w:rsid w:val="001F3576"/>
    <w:rsid w:val="001F3ADE"/>
    <w:rsid w:val="001F41FF"/>
    <w:rsid w:val="001F42E7"/>
    <w:rsid w:val="001F60CC"/>
    <w:rsid w:val="001F703D"/>
    <w:rsid w:val="002000AA"/>
    <w:rsid w:val="00210D14"/>
    <w:rsid w:val="00211C71"/>
    <w:rsid w:val="0021208A"/>
    <w:rsid w:val="002142A2"/>
    <w:rsid w:val="002160E8"/>
    <w:rsid w:val="00216CFE"/>
    <w:rsid w:val="00226872"/>
    <w:rsid w:val="00226A9B"/>
    <w:rsid w:val="00231862"/>
    <w:rsid w:val="0024137A"/>
    <w:rsid w:val="002565F8"/>
    <w:rsid w:val="0026076C"/>
    <w:rsid w:val="00262ED6"/>
    <w:rsid w:val="002643FB"/>
    <w:rsid w:val="002674CD"/>
    <w:rsid w:val="00267F92"/>
    <w:rsid w:val="002766FC"/>
    <w:rsid w:val="00282C9B"/>
    <w:rsid w:val="00283A8D"/>
    <w:rsid w:val="00295C38"/>
    <w:rsid w:val="0029763E"/>
    <w:rsid w:val="00297E00"/>
    <w:rsid w:val="002A2B8E"/>
    <w:rsid w:val="002A694B"/>
    <w:rsid w:val="002B0890"/>
    <w:rsid w:val="002B3388"/>
    <w:rsid w:val="002B3DCB"/>
    <w:rsid w:val="002B4900"/>
    <w:rsid w:val="002B6D40"/>
    <w:rsid w:val="002C7C32"/>
    <w:rsid w:val="002D1CF2"/>
    <w:rsid w:val="002D5138"/>
    <w:rsid w:val="002F353A"/>
    <w:rsid w:val="002F591C"/>
    <w:rsid w:val="002F63AD"/>
    <w:rsid w:val="002F6435"/>
    <w:rsid w:val="00302E71"/>
    <w:rsid w:val="003038B7"/>
    <w:rsid w:val="003069FD"/>
    <w:rsid w:val="00307F28"/>
    <w:rsid w:val="00310543"/>
    <w:rsid w:val="0032225E"/>
    <w:rsid w:val="003235BA"/>
    <w:rsid w:val="003237B4"/>
    <w:rsid w:val="00342459"/>
    <w:rsid w:val="003431A7"/>
    <w:rsid w:val="00347187"/>
    <w:rsid w:val="003506F5"/>
    <w:rsid w:val="00351242"/>
    <w:rsid w:val="0035481D"/>
    <w:rsid w:val="00364769"/>
    <w:rsid w:val="003728B9"/>
    <w:rsid w:val="003857A0"/>
    <w:rsid w:val="003902A8"/>
    <w:rsid w:val="00392E01"/>
    <w:rsid w:val="00395A63"/>
    <w:rsid w:val="003A4AD2"/>
    <w:rsid w:val="003A5BA7"/>
    <w:rsid w:val="003A5DB3"/>
    <w:rsid w:val="003A6A4F"/>
    <w:rsid w:val="003B2575"/>
    <w:rsid w:val="003B3757"/>
    <w:rsid w:val="003B7DB9"/>
    <w:rsid w:val="003C429A"/>
    <w:rsid w:val="003D3487"/>
    <w:rsid w:val="003F1252"/>
    <w:rsid w:val="00426B6E"/>
    <w:rsid w:val="00432DA3"/>
    <w:rsid w:val="00436C06"/>
    <w:rsid w:val="004445CE"/>
    <w:rsid w:val="004472EB"/>
    <w:rsid w:val="004512D4"/>
    <w:rsid w:val="00451AD7"/>
    <w:rsid w:val="00454D32"/>
    <w:rsid w:val="0047336B"/>
    <w:rsid w:val="00491ADE"/>
    <w:rsid w:val="004970F6"/>
    <w:rsid w:val="004A0481"/>
    <w:rsid w:val="004A7CDC"/>
    <w:rsid w:val="004B0930"/>
    <w:rsid w:val="004B3A2B"/>
    <w:rsid w:val="004C2A14"/>
    <w:rsid w:val="004D0128"/>
    <w:rsid w:val="004D13FB"/>
    <w:rsid w:val="004D2662"/>
    <w:rsid w:val="004D47F2"/>
    <w:rsid w:val="004D6DEB"/>
    <w:rsid w:val="004E340A"/>
    <w:rsid w:val="004F4549"/>
    <w:rsid w:val="004F7BFA"/>
    <w:rsid w:val="005009EA"/>
    <w:rsid w:val="00505DDB"/>
    <w:rsid w:val="00506697"/>
    <w:rsid w:val="00510510"/>
    <w:rsid w:val="005240A1"/>
    <w:rsid w:val="00533DE6"/>
    <w:rsid w:val="00540340"/>
    <w:rsid w:val="00541904"/>
    <w:rsid w:val="00541938"/>
    <w:rsid w:val="00545B62"/>
    <w:rsid w:val="00552591"/>
    <w:rsid w:val="00554DEA"/>
    <w:rsid w:val="00560503"/>
    <w:rsid w:val="005659E6"/>
    <w:rsid w:val="0056635A"/>
    <w:rsid w:val="00586224"/>
    <w:rsid w:val="005922F8"/>
    <w:rsid w:val="00592E82"/>
    <w:rsid w:val="00593CC7"/>
    <w:rsid w:val="005A4BC4"/>
    <w:rsid w:val="005B2330"/>
    <w:rsid w:val="005B60CB"/>
    <w:rsid w:val="005B619C"/>
    <w:rsid w:val="005C2555"/>
    <w:rsid w:val="005C2B9F"/>
    <w:rsid w:val="005C2E00"/>
    <w:rsid w:val="005C5DE2"/>
    <w:rsid w:val="005C6866"/>
    <w:rsid w:val="005C6964"/>
    <w:rsid w:val="005D4CE0"/>
    <w:rsid w:val="005D6791"/>
    <w:rsid w:val="005E24F1"/>
    <w:rsid w:val="005F62ED"/>
    <w:rsid w:val="00607DF1"/>
    <w:rsid w:val="00614D21"/>
    <w:rsid w:val="00622970"/>
    <w:rsid w:val="006250ED"/>
    <w:rsid w:val="006441AD"/>
    <w:rsid w:val="0064706B"/>
    <w:rsid w:val="0066369D"/>
    <w:rsid w:val="006702E7"/>
    <w:rsid w:val="006843FF"/>
    <w:rsid w:val="00686C32"/>
    <w:rsid w:val="0069052D"/>
    <w:rsid w:val="00691E54"/>
    <w:rsid w:val="00694492"/>
    <w:rsid w:val="006A1A2E"/>
    <w:rsid w:val="006A6928"/>
    <w:rsid w:val="006B0369"/>
    <w:rsid w:val="006B774E"/>
    <w:rsid w:val="006C0F70"/>
    <w:rsid w:val="006C1E96"/>
    <w:rsid w:val="006D25B7"/>
    <w:rsid w:val="006D54AF"/>
    <w:rsid w:val="006D656A"/>
    <w:rsid w:val="006E61A4"/>
    <w:rsid w:val="006F35BF"/>
    <w:rsid w:val="006F4189"/>
    <w:rsid w:val="006F4EDC"/>
    <w:rsid w:val="00703122"/>
    <w:rsid w:val="00714117"/>
    <w:rsid w:val="00732D92"/>
    <w:rsid w:val="00753ED9"/>
    <w:rsid w:val="0075420C"/>
    <w:rsid w:val="007544A8"/>
    <w:rsid w:val="007625CD"/>
    <w:rsid w:val="00764AA0"/>
    <w:rsid w:val="00767B2B"/>
    <w:rsid w:val="007722E7"/>
    <w:rsid w:val="00782199"/>
    <w:rsid w:val="00785BAA"/>
    <w:rsid w:val="00790DB8"/>
    <w:rsid w:val="00791D0A"/>
    <w:rsid w:val="00796B95"/>
    <w:rsid w:val="007B025D"/>
    <w:rsid w:val="007B4624"/>
    <w:rsid w:val="007C0096"/>
    <w:rsid w:val="007C3821"/>
    <w:rsid w:val="007C656B"/>
    <w:rsid w:val="007D0E2C"/>
    <w:rsid w:val="007D3E88"/>
    <w:rsid w:val="007D3EF2"/>
    <w:rsid w:val="007D51F5"/>
    <w:rsid w:val="007E62B9"/>
    <w:rsid w:val="007F5848"/>
    <w:rsid w:val="00803D8D"/>
    <w:rsid w:val="008060D2"/>
    <w:rsid w:val="00807750"/>
    <w:rsid w:val="00822135"/>
    <w:rsid w:val="00834412"/>
    <w:rsid w:val="00843637"/>
    <w:rsid w:val="00844439"/>
    <w:rsid w:val="0084721E"/>
    <w:rsid w:val="00851D29"/>
    <w:rsid w:val="008520A1"/>
    <w:rsid w:val="008538C5"/>
    <w:rsid w:val="008550C2"/>
    <w:rsid w:val="008578A4"/>
    <w:rsid w:val="00860C58"/>
    <w:rsid w:val="00865702"/>
    <w:rsid w:val="00867774"/>
    <w:rsid w:val="00870A54"/>
    <w:rsid w:val="0087446A"/>
    <w:rsid w:val="008866A6"/>
    <w:rsid w:val="00891C89"/>
    <w:rsid w:val="00891FC0"/>
    <w:rsid w:val="00893289"/>
    <w:rsid w:val="0089369D"/>
    <w:rsid w:val="008A38B5"/>
    <w:rsid w:val="008B1A17"/>
    <w:rsid w:val="008C3455"/>
    <w:rsid w:val="008E2C0D"/>
    <w:rsid w:val="008F219D"/>
    <w:rsid w:val="008F2A81"/>
    <w:rsid w:val="008F63E2"/>
    <w:rsid w:val="008F6CCD"/>
    <w:rsid w:val="00907A71"/>
    <w:rsid w:val="0091154B"/>
    <w:rsid w:val="00926364"/>
    <w:rsid w:val="00926798"/>
    <w:rsid w:val="00933292"/>
    <w:rsid w:val="00934E3F"/>
    <w:rsid w:val="009509CA"/>
    <w:rsid w:val="00957DA2"/>
    <w:rsid w:val="00972993"/>
    <w:rsid w:val="0097438F"/>
    <w:rsid w:val="00980E8E"/>
    <w:rsid w:val="0099245F"/>
    <w:rsid w:val="0099602F"/>
    <w:rsid w:val="00997315"/>
    <w:rsid w:val="009A5582"/>
    <w:rsid w:val="009B263A"/>
    <w:rsid w:val="009C2B96"/>
    <w:rsid w:val="009C573A"/>
    <w:rsid w:val="009D6B6D"/>
    <w:rsid w:val="009E191C"/>
    <w:rsid w:val="00A02ECC"/>
    <w:rsid w:val="00A23045"/>
    <w:rsid w:val="00A35646"/>
    <w:rsid w:val="00A37A1E"/>
    <w:rsid w:val="00A37A43"/>
    <w:rsid w:val="00A37C89"/>
    <w:rsid w:val="00A41301"/>
    <w:rsid w:val="00A53E51"/>
    <w:rsid w:val="00A61BDB"/>
    <w:rsid w:val="00A62795"/>
    <w:rsid w:val="00A664DA"/>
    <w:rsid w:val="00A7195C"/>
    <w:rsid w:val="00A74154"/>
    <w:rsid w:val="00A75D13"/>
    <w:rsid w:val="00A8048C"/>
    <w:rsid w:val="00A84770"/>
    <w:rsid w:val="00A85462"/>
    <w:rsid w:val="00A94488"/>
    <w:rsid w:val="00A94615"/>
    <w:rsid w:val="00A948FF"/>
    <w:rsid w:val="00AA3F59"/>
    <w:rsid w:val="00AB3D1B"/>
    <w:rsid w:val="00AB45E0"/>
    <w:rsid w:val="00AB77FA"/>
    <w:rsid w:val="00AC0958"/>
    <w:rsid w:val="00AC1B9F"/>
    <w:rsid w:val="00AC7537"/>
    <w:rsid w:val="00AE48B9"/>
    <w:rsid w:val="00AE7A3D"/>
    <w:rsid w:val="00AF3118"/>
    <w:rsid w:val="00AF34E0"/>
    <w:rsid w:val="00AF66E0"/>
    <w:rsid w:val="00B04510"/>
    <w:rsid w:val="00B07DE4"/>
    <w:rsid w:val="00B13159"/>
    <w:rsid w:val="00B335F1"/>
    <w:rsid w:val="00B37361"/>
    <w:rsid w:val="00B4017A"/>
    <w:rsid w:val="00B445A8"/>
    <w:rsid w:val="00B46686"/>
    <w:rsid w:val="00B467F4"/>
    <w:rsid w:val="00B51E2F"/>
    <w:rsid w:val="00B571F3"/>
    <w:rsid w:val="00B61F02"/>
    <w:rsid w:val="00B629FF"/>
    <w:rsid w:val="00B829B8"/>
    <w:rsid w:val="00B90CE9"/>
    <w:rsid w:val="00B94FDD"/>
    <w:rsid w:val="00B96089"/>
    <w:rsid w:val="00BA2EE0"/>
    <w:rsid w:val="00BA4B59"/>
    <w:rsid w:val="00BA6369"/>
    <w:rsid w:val="00BB26FC"/>
    <w:rsid w:val="00BB3271"/>
    <w:rsid w:val="00BB6095"/>
    <w:rsid w:val="00BC5BC5"/>
    <w:rsid w:val="00BD2A12"/>
    <w:rsid w:val="00BD4039"/>
    <w:rsid w:val="00BD5723"/>
    <w:rsid w:val="00BF252A"/>
    <w:rsid w:val="00BF3A27"/>
    <w:rsid w:val="00BF493B"/>
    <w:rsid w:val="00C0546B"/>
    <w:rsid w:val="00C06443"/>
    <w:rsid w:val="00C071D8"/>
    <w:rsid w:val="00C07FC8"/>
    <w:rsid w:val="00C12DC0"/>
    <w:rsid w:val="00C13C94"/>
    <w:rsid w:val="00C15A45"/>
    <w:rsid w:val="00C20C16"/>
    <w:rsid w:val="00C3086A"/>
    <w:rsid w:val="00C33FDE"/>
    <w:rsid w:val="00C3740B"/>
    <w:rsid w:val="00C45552"/>
    <w:rsid w:val="00C501C9"/>
    <w:rsid w:val="00C651D2"/>
    <w:rsid w:val="00C67101"/>
    <w:rsid w:val="00C73D57"/>
    <w:rsid w:val="00C75976"/>
    <w:rsid w:val="00C7666C"/>
    <w:rsid w:val="00C909A2"/>
    <w:rsid w:val="00C97FEE"/>
    <w:rsid w:val="00CA42C3"/>
    <w:rsid w:val="00CA5AF7"/>
    <w:rsid w:val="00CB0C22"/>
    <w:rsid w:val="00CB1B1E"/>
    <w:rsid w:val="00CB2261"/>
    <w:rsid w:val="00CB2478"/>
    <w:rsid w:val="00CB3EA0"/>
    <w:rsid w:val="00CB7165"/>
    <w:rsid w:val="00CC615D"/>
    <w:rsid w:val="00CD04B7"/>
    <w:rsid w:val="00CD6742"/>
    <w:rsid w:val="00CE17E1"/>
    <w:rsid w:val="00CE42A4"/>
    <w:rsid w:val="00D00D07"/>
    <w:rsid w:val="00D02E5B"/>
    <w:rsid w:val="00D05C1E"/>
    <w:rsid w:val="00D0606B"/>
    <w:rsid w:val="00D13CB1"/>
    <w:rsid w:val="00D13D51"/>
    <w:rsid w:val="00D2108A"/>
    <w:rsid w:val="00D22D46"/>
    <w:rsid w:val="00D25736"/>
    <w:rsid w:val="00D26BE1"/>
    <w:rsid w:val="00D342E3"/>
    <w:rsid w:val="00D37DB4"/>
    <w:rsid w:val="00D54A18"/>
    <w:rsid w:val="00D66812"/>
    <w:rsid w:val="00D66BEC"/>
    <w:rsid w:val="00D90318"/>
    <w:rsid w:val="00D9097D"/>
    <w:rsid w:val="00D93813"/>
    <w:rsid w:val="00D97B44"/>
    <w:rsid w:val="00DA33CA"/>
    <w:rsid w:val="00DA4553"/>
    <w:rsid w:val="00DC2762"/>
    <w:rsid w:val="00DD01E1"/>
    <w:rsid w:val="00DD1BE3"/>
    <w:rsid w:val="00DE0C3A"/>
    <w:rsid w:val="00DE564F"/>
    <w:rsid w:val="00DE6B6F"/>
    <w:rsid w:val="00E00C58"/>
    <w:rsid w:val="00E138E1"/>
    <w:rsid w:val="00E16543"/>
    <w:rsid w:val="00E17B13"/>
    <w:rsid w:val="00E20A87"/>
    <w:rsid w:val="00E32773"/>
    <w:rsid w:val="00E355FA"/>
    <w:rsid w:val="00E40B7B"/>
    <w:rsid w:val="00E40D6E"/>
    <w:rsid w:val="00E46B67"/>
    <w:rsid w:val="00E548CE"/>
    <w:rsid w:val="00E5551B"/>
    <w:rsid w:val="00E56210"/>
    <w:rsid w:val="00E56439"/>
    <w:rsid w:val="00E64202"/>
    <w:rsid w:val="00E76211"/>
    <w:rsid w:val="00E77878"/>
    <w:rsid w:val="00E82BDC"/>
    <w:rsid w:val="00E8485D"/>
    <w:rsid w:val="00E869F2"/>
    <w:rsid w:val="00E870F7"/>
    <w:rsid w:val="00E949E8"/>
    <w:rsid w:val="00EA026E"/>
    <w:rsid w:val="00EA24EB"/>
    <w:rsid w:val="00EA6067"/>
    <w:rsid w:val="00EB052D"/>
    <w:rsid w:val="00EB424D"/>
    <w:rsid w:val="00EC357A"/>
    <w:rsid w:val="00EC662A"/>
    <w:rsid w:val="00EC7DFA"/>
    <w:rsid w:val="00ED3A92"/>
    <w:rsid w:val="00EF40FF"/>
    <w:rsid w:val="00F14D3D"/>
    <w:rsid w:val="00F17D75"/>
    <w:rsid w:val="00F205D2"/>
    <w:rsid w:val="00F329A4"/>
    <w:rsid w:val="00F3663C"/>
    <w:rsid w:val="00F528CE"/>
    <w:rsid w:val="00F6153A"/>
    <w:rsid w:val="00F620F6"/>
    <w:rsid w:val="00F77AA2"/>
    <w:rsid w:val="00F9384F"/>
    <w:rsid w:val="00FA1E5F"/>
    <w:rsid w:val="00FA2710"/>
    <w:rsid w:val="00FA33AC"/>
    <w:rsid w:val="00FA5F94"/>
    <w:rsid w:val="00FC7C5C"/>
    <w:rsid w:val="00FD0D0B"/>
    <w:rsid w:val="00FD23EC"/>
    <w:rsid w:val="00FD2576"/>
    <w:rsid w:val="00FD471A"/>
    <w:rsid w:val="00FD57BA"/>
    <w:rsid w:val="00FD5D67"/>
    <w:rsid w:val="00FE6451"/>
    <w:rsid w:val="00FF2FDD"/>
    <w:rsid w:val="0702D3DA"/>
    <w:rsid w:val="0880013D"/>
    <w:rsid w:val="0DECEE8C"/>
    <w:rsid w:val="0E6DF93C"/>
    <w:rsid w:val="0EE6D153"/>
    <w:rsid w:val="141E154C"/>
    <w:rsid w:val="17F9FE0E"/>
    <w:rsid w:val="2043C38C"/>
    <w:rsid w:val="21AD5D18"/>
    <w:rsid w:val="2EB6482E"/>
    <w:rsid w:val="30028927"/>
    <w:rsid w:val="3D6A2BAB"/>
    <w:rsid w:val="3E4B1BD3"/>
    <w:rsid w:val="3EE27301"/>
    <w:rsid w:val="414D1EF4"/>
    <w:rsid w:val="41CBFF70"/>
    <w:rsid w:val="48EAA1CE"/>
    <w:rsid w:val="4D625561"/>
    <w:rsid w:val="4E4D8D88"/>
    <w:rsid w:val="56CE34B7"/>
    <w:rsid w:val="5960493E"/>
    <w:rsid w:val="5A200901"/>
    <w:rsid w:val="5A772029"/>
    <w:rsid w:val="5A854434"/>
    <w:rsid w:val="5CF1F863"/>
    <w:rsid w:val="5D320E51"/>
    <w:rsid w:val="5DE50E39"/>
    <w:rsid w:val="5F1FC57C"/>
    <w:rsid w:val="6E60CC60"/>
    <w:rsid w:val="6EA6BF55"/>
    <w:rsid w:val="7F8E3C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5F0AE0"/>
  <w15:docId w15:val="{2052C9B2-EC3D-43BB-801B-DF11C660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9D6B6D"/>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n,fn Char Char,fn1,fn3,ft"/>
    <w:basedOn w:val="Normal"/>
    <w:link w:val="FootnoteTextChar2"/>
    <w:qFormat/>
    <w:rsid w:val="009D6B6D"/>
    <w:rPr>
      <w:sz w:val="20"/>
      <w:szCs w:val="20"/>
    </w:rPr>
  </w:style>
  <w:style w:type="character" w:customStyle="1" w:styleId="FootnoteTextChar">
    <w:name w:val="Footnote Text Char"/>
    <w:aliases w:val="Char Char1 Char,Footnote Text Char1 Char Char Char,Footnote Text Char1 Char Char1,Footnote Text Char1 Char2,Footnote Text Char2 Char Char,Footnote Text Char3 Char,Footnote Text MRP Char,fn Char,fn1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 Char Char,Char Char,Char Char1 Char1,Footnote Text Char Char Char Char,Footnote Text Char Char Char1,Footnote Text Char Char Char1 Char Char,Footnote Text Char Char1 Char,Footnote Text Char1 Char Char,Footnote Text Char1 Char1"/>
    <w:link w:val="FootnoteText"/>
    <w:uiPriority w:val="99"/>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unhideWhenUsed/>
    <w:rsid w:val="00790DB8"/>
    <w:rPr>
      <w:sz w:val="20"/>
      <w:szCs w:val="20"/>
    </w:rPr>
  </w:style>
  <w:style w:type="character" w:customStyle="1" w:styleId="CommentTextChar">
    <w:name w:val="Comment Text Char"/>
    <w:basedOn w:val="DefaultParagraphFont"/>
    <w:link w:val="CommentText"/>
    <w:uiPriority w:val="99"/>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paragraph" w:styleId="NormalWeb">
    <w:name w:val="Normal (Web)"/>
    <w:basedOn w:val="Normal"/>
    <w:uiPriority w:val="99"/>
    <w:unhideWhenUsed/>
    <w:rsid w:val="003A5DB3"/>
    <w:pPr>
      <w:widowControl/>
      <w:autoSpaceDE/>
      <w:autoSpaceDN/>
      <w:adjustRightInd/>
    </w:pPr>
    <w:rPr>
      <w:rFonts w:eastAsiaTheme="minorHAnsi"/>
    </w:rPr>
  </w:style>
  <w:style w:type="paragraph" w:styleId="EndnoteText">
    <w:name w:val="endnote text"/>
    <w:basedOn w:val="Normal"/>
    <w:link w:val="EndnoteTextChar"/>
    <w:uiPriority w:val="99"/>
    <w:semiHidden/>
    <w:unhideWhenUsed/>
    <w:rsid w:val="00D342E3"/>
    <w:rPr>
      <w:sz w:val="20"/>
      <w:szCs w:val="20"/>
    </w:rPr>
  </w:style>
  <w:style w:type="character" w:customStyle="1" w:styleId="EndnoteTextChar">
    <w:name w:val="Endnote Text Char"/>
    <w:basedOn w:val="DefaultParagraphFont"/>
    <w:link w:val="EndnoteText"/>
    <w:uiPriority w:val="99"/>
    <w:semiHidden/>
    <w:rsid w:val="00D342E3"/>
    <w:rPr>
      <w:rFonts w:eastAsia="Times New Roman"/>
      <w:sz w:val="20"/>
      <w:szCs w:val="20"/>
    </w:rPr>
  </w:style>
  <w:style w:type="character" w:styleId="EndnoteReference">
    <w:name w:val="endnote reference"/>
    <w:basedOn w:val="DefaultParagraphFont"/>
    <w:uiPriority w:val="99"/>
    <w:semiHidden/>
    <w:unhideWhenUsed/>
    <w:rsid w:val="00D342E3"/>
    <w:rPr>
      <w:vertAlign w:val="superscript"/>
    </w:rPr>
  </w:style>
  <w:style w:type="paragraph" w:customStyle="1" w:styleId="psection-2">
    <w:name w:val="psection-2"/>
    <w:basedOn w:val="Normal"/>
    <w:rsid w:val="00FD471A"/>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BB26FC"/>
    <w:rPr>
      <w:color w:val="605E5C"/>
      <w:shd w:val="clear" w:color="auto" w:fill="E1DFDD"/>
    </w:rPr>
  </w:style>
  <w:style w:type="paragraph" w:customStyle="1" w:styleId="LegalFormat">
    <w:name w:val="Legal Format"/>
    <w:basedOn w:val="Normal"/>
    <w:uiPriority w:val="1"/>
    <w:rsid w:val="0EE6D153"/>
    <w:pPr>
      <w:widowControl/>
      <w:tabs>
        <w:tab w:val="num" w:pos="0"/>
      </w:tabs>
      <w:ind w:hanging="18"/>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yperlink" Target="https://www.ferc.gov/industries-data/natural-gas/industry-forms" TargetMode="External" /><Relationship Id="rId12" Type="http://schemas.openxmlformats.org/officeDocument/2006/relationships/hyperlink" Target="http://www.ferc.gov/legal/ceii-foia/ceii.asp" TargetMode="External" /><Relationship Id="rId13" Type="http://schemas.openxmlformats.org/officeDocument/2006/relationships/hyperlink" Target="http://www.ferc.gov/legal/ceii-foia/ceii/classes.asp" TargetMode="External" /><Relationship Id="rId14" Type="http://schemas.openxmlformats.org/officeDocument/2006/relationships/hyperlink" Target="http://www.ferc.gov/docs-filing/efiling.asp"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efiling/fili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577</_x0031__x002e__x0020_Collection_x0020_Number>
    <Date xmlns="d6eefc7d-9817-4fa6-84d5-3bc009be21b8">2020-04-01T04:00:00+00:00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IC20-2</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FF9CDCD482D6047A906F2360D7E23D0" ma:contentTypeVersion="33" ma:contentTypeDescription="Create a new document." ma:contentTypeScope="" ma:versionID="f949227853dfad64e089a762a4d9956e">
  <xsd:schema xmlns:xsd="http://www.w3.org/2001/XMLSchema" xmlns:xs="http://www.w3.org/2001/XMLSchema" xmlns:p="http://schemas.microsoft.com/office/2006/metadata/properties" xmlns:ns2="a5341b95-c8c9-4dcc-9d3d-06b5e4e35db2" xmlns:ns3="d3d93346-d96b-4d6c-8344-b697583e66f3" targetNamespace="http://schemas.microsoft.com/office/2006/metadata/properties" ma:root="true" ma:fieldsID="d34ae7670d5bd19bf395d2cd83c3aa1a" ns2:_="" ns3:_="">
    <xsd:import namespace="a5341b95-c8c9-4dcc-9d3d-06b5e4e35db2"/>
    <xsd:import namespace="d3d93346-d96b-4d6c-8344-b697583e66f3"/>
    <xsd:element name="properties">
      <xsd:complexType>
        <xsd:sequence>
          <xsd:element name="documentManagement">
            <xsd:complexType>
              <xsd:all>
                <xsd:element ref="ns2:a1l0" minOccurs="0"/>
                <xsd:element ref="ns2:Status" minOccurs="0"/>
                <xsd:element ref="ns2:ReviewComment" minOccurs="0"/>
                <xsd:element ref="ns2:MediaServiceMetadata" minOccurs="0"/>
                <xsd:element ref="ns2:MediaServiceFastMetadata" minOccurs="0"/>
                <xsd:element ref="ns2:10ce243f-7ff2-433a-acd1-07122609a7e1CountryOrRegion" minOccurs="0"/>
                <xsd:element ref="ns2:10ce243f-7ff2-433a-acd1-07122609a7e1State" minOccurs="0"/>
                <xsd:element ref="ns2:10ce243f-7ff2-433a-acd1-07122609a7e1City" minOccurs="0"/>
                <xsd:element ref="ns2:10ce243f-7ff2-433a-acd1-07122609a7e1PostalCode" minOccurs="0"/>
                <xsd:element ref="ns2:10ce243f-7ff2-433a-acd1-07122609a7e1Street" minOccurs="0"/>
                <xsd:element ref="ns2:10ce243f-7ff2-433a-acd1-07122609a7e1GeoLoc" minOccurs="0"/>
                <xsd:element ref="ns2:10ce243f-7ff2-433a-acd1-07122609a7e1DispName"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SharedwithDGWG" minOccurs="0"/>
                <xsd:element ref="ns2:MediaServiceLocation" minOccurs="0"/>
                <xsd:element ref="ns2:OnPublicDataListing" minOccurs="0"/>
                <xsd:element ref="ns2:ProgramOffice" minOccurs="0"/>
                <xsd:element ref="ns2:MediaLengthInSeconds" minOccurs="0"/>
                <xsd:element ref="ns2:lcf76f155ced4ddcb4097134ff3c332f" minOccurs="0"/>
                <xsd:element ref="ns3:TaxCatchAll" minOccurs="0"/>
                <xsd:element ref="ns2:MediaServiceObjectDetectorVersions" minOccurs="0"/>
                <xsd:element ref="ns2:https_x003a__x002f__x002f_ferc_x002e_dev_x002e_data3sixty_x002e_com_x002f_ho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41b95-c8c9-4dcc-9d3d-06b5e4e35db2" elementFormDefault="qualified">
    <xsd:import namespace="http://schemas.microsoft.com/office/2006/documentManagement/types"/>
    <xsd:import namespace="http://schemas.microsoft.com/office/infopath/2007/PartnerControls"/>
    <xsd:element name="a1l0" ma:index="2" nillable="true" ma:displayName="Location" ma:internalName="a1l0" ma:readOnly="false">
      <xsd:simpleType>
        <xsd:restriction base="dms:Unknown"/>
      </xsd:simpleType>
    </xsd:element>
    <xsd:element name="Status" ma:index="3" nillable="true" ma:displayName="Status" ma:format="Dropdown" ma:internalName="Status">
      <xsd:simpleType>
        <xsd:restriction base="dms:Choice">
          <xsd:enumeration value="New"/>
          <xsd:enumeration value="Ready for DGWG Approval"/>
          <xsd:enumeration value="In DGWG Review"/>
          <xsd:enumeration value="Approved by DGWG"/>
          <xsd:enumeration value="Incomplete"/>
        </xsd:restriction>
      </xsd:simpleType>
    </xsd:element>
    <xsd:element name="ReviewComment" ma:index="4" nillable="true" ma:displayName="Comments" ma:format="Dropdown" ma:internalName="ReviewComment">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10ce243f-7ff2-433a-acd1-07122609a7e1CountryOrRegion" ma:index="11" nillable="true" ma:displayName="Location: Country/Region" ma:hidden="true" ma:internalName="CountryOrRegion" ma:readOnly="true">
      <xsd:simpleType>
        <xsd:restriction base="dms:Text"/>
      </xsd:simpleType>
    </xsd:element>
    <xsd:element name="10ce243f-7ff2-433a-acd1-07122609a7e1State" ma:index="12" nillable="true" ma:displayName="Location: State" ma:hidden="true" ma:internalName="State" ma:readOnly="true">
      <xsd:simpleType>
        <xsd:restriction base="dms:Text"/>
      </xsd:simpleType>
    </xsd:element>
    <xsd:element name="10ce243f-7ff2-433a-acd1-07122609a7e1City" ma:index="13" nillable="true" ma:displayName="Location: City" ma:hidden="true" ma:internalName="City" ma:readOnly="true">
      <xsd:simpleType>
        <xsd:restriction base="dms:Text"/>
      </xsd:simpleType>
    </xsd:element>
    <xsd:element name="10ce243f-7ff2-433a-acd1-07122609a7e1PostalCode" ma:index="14" nillable="true" ma:displayName="Location: Postal Code" ma:hidden="true" ma:internalName="PostalCode" ma:readOnly="true">
      <xsd:simpleType>
        <xsd:restriction base="dms:Text"/>
      </xsd:simpleType>
    </xsd:element>
    <xsd:element name="10ce243f-7ff2-433a-acd1-07122609a7e1Street" ma:index="15" nillable="true" ma:displayName="Location: Street" ma:hidden="true" ma:internalName="Street" ma:readOnly="true">
      <xsd:simpleType>
        <xsd:restriction base="dms:Text"/>
      </xsd:simpleType>
    </xsd:element>
    <xsd:element name="10ce243f-7ff2-433a-acd1-07122609a7e1GeoLoc" ma:index="16" nillable="true" ma:displayName="Location: Coordinates" ma:hidden="true" ma:internalName="GeoLoc" ma:readOnly="true">
      <xsd:simpleType>
        <xsd:restriction base="dms:Unknown"/>
      </xsd:simpleType>
    </xsd:element>
    <xsd:element name="10ce243f-7ff2-433a-acd1-07122609a7e1DispName" ma:index="17" nillable="true" ma:displayName="Location: Name" ma:hidden="true" ma:internalName="DispName"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SharedwithDGWG" ma:index="26" nillable="true" ma:displayName="Shared with DGWG" ma:format="DateOnly" ma:hidden="true" ma:internalName="SharedwithDGWG" ma:readOnly="false">
      <xsd:simpleType>
        <xsd:restriction base="dms:DateTime"/>
      </xsd:simpleType>
    </xsd:element>
    <xsd:element name="MediaServiceLocation" ma:index="27" nillable="true" ma:displayName="Location" ma:hidden="true" ma:internalName="MediaServiceLocation" ma:readOnly="true">
      <xsd:simpleType>
        <xsd:restriction base="dms:Text"/>
      </xsd:simpleType>
    </xsd:element>
    <xsd:element name="OnPublicDataListing" ma:index="29" nillable="true" ma:displayName="On Public Data Listing" ma:format="Dropdown" ma:internalName="OnPublicDataListing">
      <xsd:simpleType>
        <xsd:restriction base="dms:Choice">
          <xsd:enumeration value="Yes"/>
          <xsd:enumeration value="No"/>
          <xsd:enumeration value="N/A"/>
          <xsd:enumeration value="TBD"/>
        </xsd:restriction>
      </xsd:simpleType>
    </xsd:element>
    <xsd:element name="ProgramOffice" ma:index="30" nillable="true" ma:displayName="Program Office" ma:format="Dropdown" ma:internalName="ProgramOffice">
      <xsd:simpleType>
        <xsd:restriction base="dms:Text">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https_x003a__x002f__x002f_ferc_x002e_dev_x002e_data3sixty_x002e_com_x002f_home" ma:index="36" nillable="true" ma:displayName="GOVERN Hyperlink" ma:description="Hyperlink to the catalog registrations in the new Govern tool." ma:format="Hyperlink" ma:internalName="https_x003a__x002f__x002f_ferc_x002e_dev_x002e_data3sixty_x002e_com_x002f_hom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93346-d96b-4d6c-8344-b697583e66f3"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34" nillable="true" ma:displayName="Taxonomy Catch All Column" ma:hidden="true" ma:list="{fd80dfeb-9923-4c0e-a79f-53ccbb227ae7}" ma:internalName="TaxCatchAll" ma:showField="CatchAllData" ma:web="d3d93346-d96b-4d6c-8344-b697583e6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C678A-27A8-4A1F-8D0C-B3A31E55376D}">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80BF565C-3B96-4546-AEA2-AA09CADDF71B}">
  <ds:schemaRefs>
    <ds:schemaRef ds:uri="http://schemas.openxmlformats.org/officeDocument/2006/bibliography"/>
  </ds:schemaRefs>
</ds:datastoreItem>
</file>

<file path=customXml/itemProps3.xml><?xml version="1.0" encoding="utf-8"?>
<ds:datastoreItem xmlns:ds="http://schemas.openxmlformats.org/officeDocument/2006/customXml" ds:itemID="{70C6861F-AEB0-4CA6-92F5-3A25726F9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41b95-c8c9-4dcc-9d3d-06b5e4e35db2"/>
    <ds:schemaRef ds:uri="d3d93346-d96b-4d6c-8344-b697583e6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FF43F-8C06-40AA-A401-08BE2E69C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Federal Energy Regulatory Commission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FERC-577 supporting statement</dc:title>
  <dc:creator>Nishi Parekh</dc:creator>
  <cp:lastModifiedBy>Ken Ambrose</cp:lastModifiedBy>
  <cp:revision>20</cp:revision>
  <cp:lastPrinted>2020-03-25T19:18:00Z</cp:lastPrinted>
  <dcterms:created xsi:type="dcterms:W3CDTF">2026-04-24T20:07:00Z</dcterms:created>
  <dcterms:modified xsi:type="dcterms:W3CDTF">2026-05-12T19:22:42Z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0x010100BFF9CDCD482D6047A906F2360D7E23D0</vt:lpwstr>
  </property>
  <property fmtid="{D5CDD505-2E9C-101B-9397-08002B2CF9AE}" pid="3" name="MediaServiceImageTags">
    <vt:lpwstr/>
  </property>
  <property fmtid="{D5CDD505-2E9C-101B-9397-08002B2CF9AE}" pid="4" name="MSIP_Label_bd24d06a-0e85-4d57-b1e0-ba34b1abc708_ActionId">
    <vt:lpwstr>3434c13f-6e63-428e-819b-374954a5b925</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2026-04-06T17:51:35Z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ies>
</file>