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2604E" w:rsidRPr="002A01D4" w:rsidP="6EC195ED" w14:paraId="1502CB1A" w14:textId="44E8076E">
      <w:pPr>
        <w:jc w:val="center"/>
        <w:rPr>
          <w:szCs w:val="26"/>
        </w:rPr>
      </w:pPr>
      <w:r w:rsidRPr="002A01D4">
        <w:rPr>
          <w:szCs w:val="26"/>
        </w:rPr>
        <w:t>UNITED STATES OF AMERICA</w:t>
      </w:r>
    </w:p>
    <w:p w:rsidR="00A2604E" w:rsidRPr="002A01D4" w:rsidP="6EC195ED" w14:paraId="273661E3" w14:textId="77777777">
      <w:pPr>
        <w:jc w:val="center"/>
        <w:rPr>
          <w:szCs w:val="26"/>
        </w:rPr>
      </w:pPr>
      <w:r w:rsidRPr="002A01D4">
        <w:rPr>
          <w:szCs w:val="26"/>
        </w:rPr>
        <w:t>FEDERAL ENERGY REGULATORY COMMISSION</w:t>
      </w:r>
    </w:p>
    <w:p w:rsidR="00A2604E" w:rsidRPr="002A01D4" w:rsidP="6EC195ED" w14:paraId="6C561934" w14:textId="77777777">
      <w:pPr>
        <w:rPr>
          <w:szCs w:val="26"/>
        </w:rPr>
      </w:pPr>
    </w:p>
    <w:p w:rsidR="00A2604E" w:rsidRPr="002A01D4" w:rsidP="6EC195ED" w14:paraId="3E11D4A1" w14:textId="5DCA0736">
      <w:pPr>
        <w:jc w:val="center"/>
        <w:rPr>
          <w:szCs w:val="26"/>
        </w:rPr>
      </w:pPr>
      <w:r w:rsidRPr="002A01D4">
        <w:rPr>
          <w:szCs w:val="26"/>
        </w:rPr>
        <w:t>[Docket No. IC26-7-000]</w:t>
      </w:r>
    </w:p>
    <w:p w:rsidR="00A2604E" w:rsidRPr="002A01D4" w:rsidP="6EC195ED" w14:paraId="4D16FE54" w14:textId="77777777">
      <w:pPr>
        <w:rPr>
          <w:szCs w:val="26"/>
        </w:rPr>
      </w:pPr>
    </w:p>
    <w:p w:rsidR="00A2604E" w:rsidRPr="002A01D4" w:rsidP="6EC195ED" w14:paraId="0627AE31" w14:textId="4E500137">
      <w:pPr>
        <w:jc w:val="center"/>
        <w:rPr>
          <w:szCs w:val="26"/>
        </w:rPr>
      </w:pPr>
      <w:r w:rsidRPr="002A01D4">
        <w:rPr>
          <w:szCs w:val="26"/>
        </w:rPr>
        <w:t>COMMISSION INFORMATION COLLECTION ACTIVITIES (FERC-</w:t>
      </w:r>
      <w:r w:rsidRPr="002A01D4" w:rsidR="00C43470">
        <w:rPr>
          <w:szCs w:val="26"/>
        </w:rPr>
        <w:t>5</w:t>
      </w:r>
      <w:r w:rsidRPr="002A01D4" w:rsidR="00CA2B3E">
        <w:rPr>
          <w:szCs w:val="26"/>
        </w:rPr>
        <w:t>77</w:t>
      </w:r>
      <w:r w:rsidRPr="002A01D4">
        <w:rPr>
          <w:szCs w:val="26"/>
        </w:rPr>
        <w:t>)</w:t>
      </w:r>
      <w:r w:rsidRPr="002A01D4" w:rsidR="002673C4">
        <w:rPr>
          <w:szCs w:val="26"/>
        </w:rPr>
        <w:t xml:space="preserve"> </w:t>
      </w:r>
    </w:p>
    <w:p w:rsidR="00A2604E" w:rsidRPr="002A01D4" w:rsidP="6EC195ED" w14:paraId="3B5240D4" w14:textId="77777777">
      <w:pPr>
        <w:jc w:val="center"/>
        <w:rPr>
          <w:szCs w:val="26"/>
        </w:rPr>
      </w:pPr>
      <w:r w:rsidRPr="002A01D4">
        <w:rPr>
          <w:szCs w:val="26"/>
        </w:rPr>
        <w:t>COMMENT REQUEST; EXTENSION</w:t>
      </w:r>
    </w:p>
    <w:p w:rsidR="00881405" w:rsidRPr="002A01D4" w:rsidP="6EC195ED" w14:paraId="5D8DD33D" w14:textId="77777777">
      <w:pPr>
        <w:jc w:val="center"/>
        <w:rPr>
          <w:szCs w:val="26"/>
        </w:rPr>
      </w:pPr>
    </w:p>
    <w:p w:rsidR="00095FC8" w:rsidRPr="002A01D4" w:rsidP="002A01D4" w14:paraId="57918546" w14:textId="29E0649D">
      <w:pPr>
        <w:jc w:val="center"/>
        <w:rPr>
          <w:szCs w:val="26"/>
        </w:rPr>
      </w:pPr>
      <w:r w:rsidRPr="002A01D4">
        <w:rPr>
          <w:szCs w:val="26"/>
        </w:rPr>
        <w:t>(May 7, 2026)</w:t>
      </w:r>
      <w:r w:rsidR="00BC68BB">
        <w:rPr>
          <w:szCs w:val="26"/>
        </w:rPr>
        <w:t xml:space="preserve"> </w:t>
      </w:r>
    </w:p>
    <w:p w:rsidR="002A01D4" w:rsidRPr="002A01D4" w:rsidP="002A01D4" w14:paraId="077A6B34" w14:textId="77777777">
      <w:pPr>
        <w:rPr>
          <w:szCs w:val="26"/>
        </w:rPr>
      </w:pPr>
    </w:p>
    <w:p w:rsidR="00A2604E" w:rsidRPr="002A01D4" w:rsidP="6EC195ED" w14:paraId="735A1E72" w14:textId="59F8B66E">
      <w:pPr>
        <w:rPr>
          <w:szCs w:val="26"/>
        </w:rPr>
      </w:pPr>
      <w:r w:rsidRPr="002A01D4">
        <w:rPr>
          <w:b/>
          <w:bCs/>
          <w:szCs w:val="26"/>
        </w:rPr>
        <w:t>AGENCY:</w:t>
      </w:r>
      <w:r w:rsidRPr="002A01D4" w:rsidR="15EE64AC">
        <w:rPr>
          <w:szCs w:val="26"/>
        </w:rPr>
        <w:t xml:space="preserve"> </w:t>
      </w:r>
      <w:r w:rsidRPr="002A01D4">
        <w:rPr>
          <w:szCs w:val="26"/>
        </w:rPr>
        <w:t>Federal Energy Regulatory Commission.</w:t>
      </w:r>
    </w:p>
    <w:p w:rsidR="00A2604E" w:rsidRPr="002A01D4" w:rsidP="6EC195ED" w14:paraId="634EF64B" w14:textId="77777777">
      <w:pPr>
        <w:rPr>
          <w:szCs w:val="26"/>
        </w:rPr>
      </w:pPr>
    </w:p>
    <w:p w:rsidR="00A2604E" w:rsidRPr="002A01D4" w:rsidP="6EC195ED" w14:paraId="674B9740" w14:textId="4628C7F2">
      <w:pPr>
        <w:spacing w:line="480" w:lineRule="auto"/>
        <w:rPr>
          <w:szCs w:val="26"/>
        </w:rPr>
      </w:pPr>
      <w:r w:rsidRPr="002A01D4">
        <w:rPr>
          <w:b/>
          <w:bCs/>
          <w:szCs w:val="26"/>
        </w:rPr>
        <w:t>ACTION:</w:t>
      </w:r>
      <w:r w:rsidRPr="002A01D4" w:rsidR="15EE64AC">
        <w:rPr>
          <w:szCs w:val="26"/>
        </w:rPr>
        <w:t xml:space="preserve"> </w:t>
      </w:r>
      <w:bookmarkStart w:id="0" w:name="_Hlk68091542"/>
      <w:r w:rsidRPr="002A01D4">
        <w:rPr>
          <w:szCs w:val="26"/>
        </w:rPr>
        <w:t xml:space="preserve">Notice of information collection </w:t>
      </w:r>
      <w:bookmarkEnd w:id="0"/>
      <w:r w:rsidRPr="002A01D4">
        <w:rPr>
          <w:szCs w:val="26"/>
        </w:rPr>
        <w:t>and request for comments.</w:t>
      </w:r>
    </w:p>
    <w:p w:rsidR="00B556C9" w:rsidRPr="002A01D4" w:rsidP="21AD5D18" w14:paraId="35DEAE81" w14:textId="23933479">
      <w:pPr>
        <w:spacing w:after="160" w:line="480" w:lineRule="auto"/>
        <w:rPr>
          <w:szCs w:val="26"/>
        </w:rPr>
      </w:pPr>
      <w:r w:rsidRPr="002A01D4">
        <w:rPr>
          <w:b/>
          <w:bCs/>
          <w:szCs w:val="26"/>
        </w:rPr>
        <w:t>SUMMARY:</w:t>
      </w:r>
      <w:r w:rsidRPr="002A01D4" w:rsidR="15EE64AC">
        <w:rPr>
          <w:szCs w:val="26"/>
        </w:rPr>
        <w:t xml:space="preserve"> </w:t>
      </w:r>
      <w:r w:rsidRPr="002A01D4" w:rsidR="03F25482">
        <w:rPr>
          <w:color w:val="000000" w:themeColor="text1"/>
          <w:szCs w:val="26"/>
        </w:rPr>
        <w:t xml:space="preserve">In compliance with the requirements of the Paperwork Reduction Act of 1995, 44 USC 3507(a)(1)(D), the Federal Energy Regulatory Commission (Commission or FERC) is submitting its information collection </w:t>
      </w:r>
      <w:r w:rsidRPr="002A01D4" w:rsidR="03F25482">
        <w:rPr>
          <w:szCs w:val="26"/>
        </w:rPr>
        <w:t>FERC-577: Natural Gas Facilities: Environmental Review and Compliance</w:t>
      </w:r>
      <w:r w:rsidRPr="002A01D4" w:rsidR="03F25482">
        <w:rPr>
          <w:color w:val="000000" w:themeColor="text1"/>
          <w:szCs w:val="26"/>
        </w:rPr>
        <w:t xml:space="preserve"> to the Office of Management and Budget (OMB) for review of the information collection requirements.</w:t>
      </w:r>
      <w:r w:rsidRPr="002A01D4" w:rsidR="03F25482">
        <w:rPr>
          <w:szCs w:val="26"/>
        </w:rPr>
        <w:t xml:space="preserve"> </w:t>
      </w:r>
      <w:r w:rsidRPr="002A01D4" w:rsidR="0AB5F2B6">
        <w:rPr>
          <w:szCs w:val="26"/>
        </w:rPr>
        <w:t>There are no proposed changes to th</w:t>
      </w:r>
      <w:r w:rsidRPr="002A01D4" w:rsidR="7083D935">
        <w:rPr>
          <w:szCs w:val="26"/>
        </w:rPr>
        <w:t>e reporting requirements in this</w:t>
      </w:r>
      <w:r w:rsidRPr="002A01D4" w:rsidR="0AB5F2B6">
        <w:rPr>
          <w:szCs w:val="26"/>
        </w:rPr>
        <w:t xml:space="preserve"> collection.</w:t>
      </w:r>
      <w:r w:rsidRPr="002A01D4" w:rsidR="2DA992EC">
        <w:rPr>
          <w:szCs w:val="26"/>
        </w:rPr>
        <w:t xml:space="preserve"> However, FERC has corrected errors in previously published burden tables to reflect the burden published in RM22-8.</w:t>
      </w:r>
    </w:p>
    <w:p w:rsidR="00A2604E" w:rsidRPr="002A01D4" w:rsidP="51A152D5" w14:paraId="5C5B574A" w14:textId="6C7715C9">
      <w:pPr>
        <w:spacing w:line="480" w:lineRule="auto"/>
        <w:rPr>
          <w:szCs w:val="26"/>
        </w:rPr>
      </w:pPr>
      <w:r w:rsidRPr="002A01D4">
        <w:rPr>
          <w:b/>
          <w:bCs/>
          <w:szCs w:val="26"/>
        </w:rPr>
        <w:t>DATES:</w:t>
      </w:r>
      <w:r w:rsidRPr="002A01D4" w:rsidR="15EE64AC">
        <w:rPr>
          <w:szCs w:val="26"/>
        </w:rPr>
        <w:t xml:space="preserve"> </w:t>
      </w:r>
      <w:r w:rsidRPr="002A01D4">
        <w:rPr>
          <w:szCs w:val="26"/>
        </w:rPr>
        <w:t>Comments on the collection of information are due [</w:t>
      </w:r>
      <w:r w:rsidRPr="002A01D4" w:rsidR="00CD56E5">
        <w:rPr>
          <w:b/>
          <w:bCs/>
          <w:szCs w:val="26"/>
        </w:rPr>
        <w:t>INSERT DATE</w:t>
      </w:r>
      <w:r w:rsidRPr="002A01D4">
        <w:rPr>
          <w:b/>
          <w:bCs/>
          <w:szCs w:val="26"/>
        </w:rPr>
        <w:t xml:space="preserve"> </w:t>
      </w:r>
      <w:r w:rsidRPr="002A01D4" w:rsidR="0FC66107">
        <w:rPr>
          <w:b/>
          <w:bCs/>
          <w:szCs w:val="26"/>
        </w:rPr>
        <w:t>3</w:t>
      </w:r>
      <w:r w:rsidRPr="002A01D4">
        <w:rPr>
          <w:b/>
          <w:bCs/>
          <w:szCs w:val="26"/>
        </w:rPr>
        <w:t xml:space="preserve">0 </w:t>
      </w:r>
      <w:r w:rsidRPr="002A01D4" w:rsidR="002A01D4">
        <w:rPr>
          <w:b/>
          <w:bCs/>
          <w:szCs w:val="26"/>
        </w:rPr>
        <w:t>DAYS AFTER DATE OF PUBLICATION IN THE FEDERAL REGISTER</w:t>
      </w:r>
      <w:r w:rsidRPr="002A01D4">
        <w:rPr>
          <w:szCs w:val="26"/>
        </w:rPr>
        <w:t xml:space="preserve">]. </w:t>
      </w:r>
    </w:p>
    <w:p w:rsidR="7B5AE4A0" w:rsidRPr="002A01D4" w:rsidP="21AD5D18" w14:paraId="17B65787" w14:textId="0FDE4EA6">
      <w:pPr>
        <w:spacing w:line="480" w:lineRule="auto"/>
        <w:rPr>
          <w:color w:val="000000" w:themeColor="text1"/>
          <w:szCs w:val="26"/>
        </w:rPr>
      </w:pPr>
      <w:r w:rsidRPr="002A01D4">
        <w:rPr>
          <w:b/>
          <w:bCs/>
          <w:color w:val="000000" w:themeColor="text1"/>
          <w:szCs w:val="26"/>
        </w:rPr>
        <w:t>ADDRESSES:</w:t>
      </w:r>
      <w:r w:rsidRPr="002A01D4">
        <w:rPr>
          <w:color w:val="000000" w:themeColor="text1"/>
          <w:szCs w:val="26"/>
        </w:rPr>
        <w:t xml:space="preserve"> </w:t>
      </w:r>
    </w:p>
    <w:p w:rsidR="10A31C60" w:rsidRPr="002A01D4" w:rsidP="21AD5D18" w14:paraId="54FAB61E" w14:textId="52057D48">
      <w:pPr>
        <w:spacing w:line="480" w:lineRule="auto"/>
        <w:rPr>
          <w:color w:val="000000" w:themeColor="text1"/>
          <w:szCs w:val="26"/>
        </w:rPr>
      </w:pPr>
      <w:r w:rsidRPr="002A01D4">
        <w:rPr>
          <w:color w:val="000000" w:themeColor="text1"/>
          <w:szCs w:val="26"/>
        </w:rPr>
        <w:t xml:space="preserve">Send written comments on FERC-577 to OMB through </w:t>
      </w:r>
      <w:hyperlink r:id="rId9">
        <w:r w:rsidRPr="002A01D4">
          <w:rPr>
            <w:rStyle w:val="Hyperlink"/>
            <w:szCs w:val="26"/>
          </w:rPr>
          <w:t>https://www.reginfo.gov/public/do/PRA/icrPublicCommentRequest?ref_nbr=</w:t>
        </w:r>
        <w:r w:rsidRPr="002A01D4" w:rsidR="00BB3145">
          <w:rPr>
            <w:rStyle w:val="Hyperlink"/>
            <w:szCs w:val="26"/>
          </w:rPr>
          <w:t>202604-1902-003</w:t>
        </w:r>
      </w:hyperlink>
      <w:r w:rsidRPr="002A01D4">
        <w:rPr>
          <w:color w:val="000000" w:themeColor="text1"/>
          <w:szCs w:val="26"/>
        </w:rPr>
        <w:t xml:space="preserve">.  You can also visit </w:t>
      </w:r>
      <w:hyperlink r:id="rId10">
        <w:r w:rsidRPr="002A01D4">
          <w:rPr>
            <w:rStyle w:val="Hyperlink"/>
            <w:szCs w:val="26"/>
          </w:rPr>
          <w:t>https://www.reginfo.gov/public/do/PRAMain</w:t>
        </w:r>
      </w:hyperlink>
      <w:r w:rsidRPr="002A01D4">
        <w:rPr>
          <w:color w:val="000000" w:themeColor="text1"/>
          <w:szCs w:val="26"/>
        </w:rPr>
        <w:t xml:space="preserve"> and use the drop-down under “Currently under Review” to select the “Federal Energy Regulatory </w:t>
      </w:r>
      <w:r w:rsidRPr="002A01D4">
        <w:rPr>
          <w:color w:val="000000" w:themeColor="text1"/>
          <w:szCs w:val="26"/>
        </w:rPr>
        <w:t>Commission” where you can see the open opportunities to provide comments. Comments should be sent within 30 days of publication of this notice.</w:t>
      </w:r>
    </w:p>
    <w:p w:rsidR="10A31C60" w:rsidRPr="002A01D4" w:rsidP="21AD5D18" w14:paraId="64A26E23" w14:textId="5C3C2B8D">
      <w:pPr>
        <w:spacing w:line="480" w:lineRule="auto"/>
        <w:rPr>
          <w:color w:val="000000" w:themeColor="text1"/>
          <w:szCs w:val="26"/>
        </w:rPr>
      </w:pPr>
      <w:r w:rsidRPr="002A01D4">
        <w:rPr>
          <w:color w:val="000000" w:themeColor="text1"/>
          <w:szCs w:val="26"/>
        </w:rPr>
        <w:t xml:space="preserve">Please submit a copy of your comments to the Commission via email to </w:t>
      </w:r>
      <w:hyperlink r:id="rId11">
        <w:r w:rsidRPr="002A01D4">
          <w:rPr>
            <w:rStyle w:val="Hyperlink"/>
            <w:szCs w:val="26"/>
          </w:rPr>
          <w:t>DataClearance@FERC.gov</w:t>
        </w:r>
      </w:hyperlink>
      <w:r w:rsidRPr="002A01D4">
        <w:rPr>
          <w:color w:val="000000" w:themeColor="text1"/>
          <w:szCs w:val="26"/>
        </w:rPr>
        <w:t xml:space="preserve">. You must specify </w:t>
      </w:r>
      <w:r w:rsidRPr="002A01D4">
        <w:rPr>
          <w:color w:val="000000" w:themeColor="text1"/>
          <w:szCs w:val="26"/>
        </w:rPr>
        <w:t>the Docket</w:t>
      </w:r>
      <w:r w:rsidRPr="002A01D4">
        <w:rPr>
          <w:color w:val="000000" w:themeColor="text1"/>
          <w:szCs w:val="26"/>
        </w:rPr>
        <w:t xml:space="preserve"> No. (IC26-7-000) and the FERC Information Collection number (FERC-577) in your email. If you are unable to file electronically, comments may be filed by USPS mail or by hand (including courier) delivery:</w:t>
      </w:r>
    </w:p>
    <w:p w:rsidR="10A31C60" w:rsidRPr="002A01D4" w:rsidP="21AD5D18" w14:paraId="30FA621B" w14:textId="3CF10A41">
      <w:pPr>
        <w:pStyle w:val="ListParagraph"/>
        <w:numPr>
          <w:ilvl w:val="0"/>
          <w:numId w:val="1"/>
        </w:numPr>
        <w:spacing w:line="480" w:lineRule="auto"/>
        <w:rPr>
          <w:color w:val="000000" w:themeColor="text1"/>
          <w:szCs w:val="26"/>
        </w:rPr>
      </w:pPr>
      <w:r w:rsidRPr="002A01D4">
        <w:rPr>
          <w:color w:val="000000" w:themeColor="text1"/>
          <w:szCs w:val="26"/>
        </w:rPr>
        <w:t>Mail via U.S. Postal Service Only: Federal Energy Regulatory Commission, Secretary of the Commission, 888 First Street, N.E., Washington, DC 20426.</w:t>
      </w:r>
    </w:p>
    <w:p w:rsidR="10A31C60" w:rsidRPr="002A01D4" w:rsidP="21AD5D18" w14:paraId="04E995FD" w14:textId="0C9D559A">
      <w:pPr>
        <w:pStyle w:val="ListParagraph"/>
        <w:numPr>
          <w:ilvl w:val="0"/>
          <w:numId w:val="1"/>
        </w:numPr>
        <w:spacing w:line="480" w:lineRule="auto"/>
        <w:rPr>
          <w:color w:val="000000" w:themeColor="text1"/>
          <w:szCs w:val="26"/>
        </w:rPr>
      </w:pPr>
      <w:r w:rsidRPr="002A01D4">
        <w:rPr>
          <w:color w:val="000000" w:themeColor="text1"/>
          <w:szCs w:val="26"/>
        </w:rPr>
        <w:t>All other delivery methods: Federal Energy Regulatory Commission, Secretary of the Commission, 12225 Wilkins Avenue, Rockville, MD 20852.</w:t>
      </w:r>
    </w:p>
    <w:p w:rsidR="10A31C60" w:rsidRPr="002A01D4" w:rsidP="21AD5D18" w14:paraId="17DD4741" w14:textId="0B8879E3">
      <w:pPr>
        <w:spacing w:line="480" w:lineRule="auto"/>
        <w:rPr>
          <w:color w:val="000000" w:themeColor="text1"/>
          <w:szCs w:val="26"/>
        </w:rPr>
      </w:pPr>
      <w:r w:rsidRPr="002A01D4">
        <w:rPr>
          <w:i/>
          <w:iCs/>
          <w:color w:val="000000" w:themeColor="text1"/>
          <w:szCs w:val="26"/>
        </w:rPr>
        <w:t>Docket</w:t>
      </w:r>
      <w:r w:rsidRPr="002A01D4">
        <w:rPr>
          <w:color w:val="000000" w:themeColor="text1"/>
          <w:szCs w:val="26"/>
        </w:rPr>
        <w:t xml:space="preserve">:  To view comments and issuances in this docket, please visit </w:t>
      </w:r>
      <w:hyperlink r:id="rId12">
        <w:r w:rsidRPr="002A01D4">
          <w:rPr>
            <w:rStyle w:val="Hyperlink"/>
            <w:szCs w:val="26"/>
          </w:rPr>
          <w:t>https://elibrary.ferc.gov/eLibrary/search</w:t>
        </w:r>
      </w:hyperlink>
      <w:r w:rsidRPr="002A01D4">
        <w:rPr>
          <w:color w:val="000000" w:themeColor="text1"/>
          <w:szCs w:val="26"/>
        </w:rPr>
        <w:t>.</w:t>
      </w:r>
    </w:p>
    <w:p w:rsidR="7B5AE4A0" w:rsidRPr="002A01D4" w:rsidP="6EC195ED" w14:paraId="378CD519" w14:textId="45B12A99">
      <w:pPr>
        <w:spacing w:line="480" w:lineRule="auto"/>
        <w:rPr>
          <w:color w:val="000000" w:themeColor="text1"/>
          <w:szCs w:val="26"/>
        </w:rPr>
      </w:pPr>
      <w:r w:rsidRPr="002A01D4">
        <w:rPr>
          <w:b/>
          <w:bCs/>
          <w:color w:val="000000" w:themeColor="text1"/>
          <w:szCs w:val="26"/>
        </w:rPr>
        <w:t>FOR FURTHER INFORMATION:</w:t>
      </w:r>
      <w:r w:rsidRPr="002A01D4">
        <w:rPr>
          <w:color w:val="000000" w:themeColor="text1"/>
          <w:szCs w:val="26"/>
        </w:rPr>
        <w:t xml:space="preserve"> Kayla Williams may be reached by e-mail at </w:t>
      </w:r>
      <w:hyperlink r:id="rId11">
        <w:r w:rsidRPr="002A01D4">
          <w:rPr>
            <w:rStyle w:val="Hyperlink"/>
            <w:szCs w:val="26"/>
          </w:rPr>
          <w:t>DataClearance@FERC.gov</w:t>
        </w:r>
      </w:hyperlink>
      <w:r w:rsidRPr="002A01D4">
        <w:rPr>
          <w:color w:val="000000" w:themeColor="text1"/>
          <w:szCs w:val="26"/>
        </w:rPr>
        <w:t>, or by telephone at (202)502-6468.</w:t>
      </w:r>
    </w:p>
    <w:p w:rsidR="00974659" w:rsidRPr="002A01D4" w:rsidP="6EC195ED" w14:paraId="3CCB58E8" w14:textId="6B1B5698">
      <w:pPr>
        <w:tabs>
          <w:tab w:val="left" w:pos="7880"/>
        </w:tabs>
        <w:spacing w:line="480" w:lineRule="auto"/>
        <w:rPr>
          <w:szCs w:val="26"/>
        </w:rPr>
      </w:pPr>
      <w:r w:rsidRPr="002A01D4">
        <w:rPr>
          <w:b/>
          <w:bCs/>
          <w:szCs w:val="26"/>
        </w:rPr>
        <w:t>SUPPLEMENTARY INFORMATION:</w:t>
      </w:r>
      <w:r w:rsidRPr="002A01D4" w:rsidR="15EE64AC">
        <w:rPr>
          <w:szCs w:val="26"/>
        </w:rPr>
        <w:t xml:space="preserve"> </w:t>
      </w:r>
    </w:p>
    <w:p w:rsidR="002A1F18" w:rsidRPr="002A01D4" w:rsidP="6EC195ED" w14:paraId="3630D34A" w14:textId="77777777">
      <w:pPr>
        <w:widowControl w:val="0"/>
        <w:autoSpaceDE w:val="0"/>
        <w:autoSpaceDN w:val="0"/>
        <w:adjustRightInd w:val="0"/>
        <w:spacing w:line="480" w:lineRule="auto"/>
        <w:rPr>
          <w:szCs w:val="26"/>
        </w:rPr>
      </w:pPr>
      <w:r w:rsidRPr="002A01D4">
        <w:rPr>
          <w:i/>
          <w:iCs/>
          <w:szCs w:val="26"/>
        </w:rPr>
        <w:t>Title:</w:t>
      </w:r>
      <w:r w:rsidRPr="002A01D4">
        <w:rPr>
          <w:szCs w:val="26"/>
        </w:rPr>
        <w:t xml:space="preserve"> FERC-577, </w:t>
      </w:r>
      <w:bookmarkStart w:id="1" w:name="_Hlk110520612"/>
      <w:r w:rsidRPr="002A01D4">
        <w:rPr>
          <w:szCs w:val="26"/>
        </w:rPr>
        <w:t>Natural Gas Facilities: Environmental Review and Compliance</w:t>
      </w:r>
      <w:bookmarkEnd w:id="1"/>
    </w:p>
    <w:p w:rsidR="002A1F18" w:rsidRPr="002A01D4" w:rsidP="6EC195ED" w14:paraId="0A26981A" w14:textId="5FAC60A4">
      <w:pPr>
        <w:widowControl w:val="0"/>
        <w:autoSpaceDE w:val="0"/>
        <w:autoSpaceDN w:val="0"/>
        <w:adjustRightInd w:val="0"/>
        <w:spacing w:line="480" w:lineRule="auto"/>
        <w:rPr>
          <w:szCs w:val="26"/>
        </w:rPr>
      </w:pPr>
      <w:r w:rsidRPr="002A01D4">
        <w:rPr>
          <w:i/>
          <w:iCs/>
          <w:szCs w:val="26"/>
        </w:rPr>
        <w:t>OMB Control No.:</w:t>
      </w:r>
      <w:r w:rsidRPr="002A01D4">
        <w:rPr>
          <w:szCs w:val="26"/>
        </w:rPr>
        <w:t xml:space="preserve"> 1902-0128</w:t>
      </w:r>
      <w:r w:rsidRPr="002A01D4" w:rsidR="15EE64AC">
        <w:rPr>
          <w:szCs w:val="26"/>
        </w:rPr>
        <w:t xml:space="preserve"> </w:t>
      </w:r>
    </w:p>
    <w:p w:rsidR="002A1F18" w:rsidRPr="002A01D4" w:rsidP="19954323" w14:paraId="05A5C53C" w14:textId="0FCD4256">
      <w:pPr>
        <w:widowControl w:val="0"/>
        <w:autoSpaceDE w:val="0"/>
        <w:autoSpaceDN w:val="0"/>
        <w:adjustRightInd w:val="0"/>
        <w:spacing w:line="480" w:lineRule="auto"/>
        <w:rPr>
          <w:szCs w:val="26"/>
        </w:rPr>
      </w:pPr>
      <w:r w:rsidRPr="002A01D4">
        <w:rPr>
          <w:i/>
          <w:iCs/>
          <w:szCs w:val="26"/>
        </w:rPr>
        <w:t xml:space="preserve">Type of Request: </w:t>
      </w:r>
      <w:r w:rsidRPr="002A01D4">
        <w:rPr>
          <w:szCs w:val="26"/>
        </w:rPr>
        <w:t>Three-year extension of the FERC-577</w:t>
      </w:r>
      <w:r w:rsidRPr="002A01D4" w:rsidR="1BA8AD4A">
        <w:rPr>
          <w:szCs w:val="26"/>
        </w:rPr>
        <w:t xml:space="preserve"> information collection requirements with no changes to the current reporting requirements</w:t>
      </w:r>
      <w:r w:rsidRPr="002A01D4">
        <w:rPr>
          <w:szCs w:val="26"/>
        </w:rPr>
        <w:t>.</w:t>
      </w:r>
      <w:r w:rsidRPr="002A01D4" w:rsidR="15EE64AC">
        <w:rPr>
          <w:szCs w:val="26"/>
        </w:rPr>
        <w:t xml:space="preserve"> </w:t>
      </w:r>
    </w:p>
    <w:p w:rsidR="00CC6C14" w:rsidRPr="002A01D4" w:rsidP="43798C5B" w14:paraId="364A9809" w14:textId="6C7E6E84">
      <w:pPr>
        <w:tabs>
          <w:tab w:val="left" w:pos="1800"/>
        </w:tabs>
        <w:autoSpaceDE w:val="0"/>
        <w:autoSpaceDN w:val="0"/>
        <w:adjustRightInd w:val="0"/>
        <w:spacing w:line="480" w:lineRule="auto"/>
        <w:rPr>
          <w:szCs w:val="26"/>
        </w:rPr>
      </w:pPr>
      <w:r w:rsidRPr="002A01D4">
        <w:rPr>
          <w:i/>
          <w:iCs/>
          <w:szCs w:val="26"/>
        </w:rPr>
        <w:t>Abstract:</w:t>
      </w:r>
      <w:r w:rsidRPr="002A01D4" w:rsidR="5E21212D">
        <w:rPr>
          <w:i/>
          <w:iCs/>
          <w:szCs w:val="26"/>
        </w:rPr>
        <w:t xml:space="preserve"> </w:t>
      </w:r>
      <w:r w:rsidRPr="002A01D4">
        <w:rPr>
          <w:szCs w:val="26"/>
        </w:rPr>
        <w:t xml:space="preserve">FERC–577 </w:t>
      </w:r>
      <w:r w:rsidRPr="002A01D4" w:rsidR="69A131E4">
        <w:rPr>
          <w:szCs w:val="26"/>
        </w:rPr>
        <w:t xml:space="preserve">identifies </w:t>
      </w:r>
      <w:r w:rsidRPr="002A01D4">
        <w:rPr>
          <w:szCs w:val="26"/>
        </w:rPr>
        <w:t>the Commission’s information collection</w:t>
      </w:r>
      <w:r w:rsidRPr="002A01D4" w:rsidR="2D6ABFDE">
        <w:rPr>
          <w:szCs w:val="26"/>
        </w:rPr>
        <w:t>s</w:t>
      </w:r>
      <w:r w:rsidRPr="002A01D4">
        <w:rPr>
          <w:szCs w:val="26"/>
        </w:rPr>
        <w:t xml:space="preserve"> pertaining to </w:t>
      </w:r>
      <w:r w:rsidRPr="002A01D4" w:rsidR="7C34861D">
        <w:rPr>
          <w:szCs w:val="26"/>
        </w:rPr>
        <w:t xml:space="preserve">18 CFR </w:t>
      </w:r>
      <w:r w:rsidRPr="002A01D4" w:rsidR="69A131E4">
        <w:rPr>
          <w:szCs w:val="26"/>
        </w:rPr>
        <w:t>Parts 2,</w:t>
      </w:r>
      <w:r w:rsidRPr="002A01D4" w:rsidR="69A5699E">
        <w:rPr>
          <w:szCs w:val="26"/>
        </w:rPr>
        <w:t xml:space="preserve"> 153,</w:t>
      </w:r>
      <w:r w:rsidRPr="002A01D4" w:rsidR="69A131E4">
        <w:rPr>
          <w:szCs w:val="26"/>
        </w:rPr>
        <w:t xml:space="preserve"> </w:t>
      </w:r>
      <w:r w:rsidRPr="002A01D4" w:rsidR="0E2F8D08">
        <w:rPr>
          <w:szCs w:val="26"/>
        </w:rPr>
        <w:t>157, 284</w:t>
      </w:r>
      <w:r w:rsidRPr="002A01D4" w:rsidR="7063C0D2">
        <w:rPr>
          <w:szCs w:val="26"/>
        </w:rPr>
        <w:t xml:space="preserve">, </w:t>
      </w:r>
      <w:r w:rsidRPr="002A01D4" w:rsidR="0E2F8D08">
        <w:rPr>
          <w:szCs w:val="26"/>
        </w:rPr>
        <w:t>and 380</w:t>
      </w:r>
      <w:r w:rsidRPr="002A01D4" w:rsidR="7B2CB960">
        <w:rPr>
          <w:szCs w:val="26"/>
        </w:rPr>
        <w:t>.</w:t>
      </w:r>
      <w:r w:rsidRPr="002A01D4" w:rsidR="0E2F8D08">
        <w:rPr>
          <w:szCs w:val="26"/>
        </w:rPr>
        <w:t xml:space="preserve"> </w:t>
      </w:r>
    </w:p>
    <w:p w:rsidR="000E3146" w:rsidRPr="002A01D4" w:rsidP="43798C5B" w14:paraId="03A5D1EC" w14:textId="0369678C">
      <w:pPr>
        <w:tabs>
          <w:tab w:val="left" w:pos="1800"/>
        </w:tabs>
        <w:spacing w:line="480" w:lineRule="auto"/>
        <w:rPr>
          <w:szCs w:val="26"/>
        </w:rPr>
      </w:pPr>
      <w:r w:rsidRPr="002A01D4">
        <w:rPr>
          <w:szCs w:val="26"/>
        </w:rPr>
        <w:t xml:space="preserve">Parts </w:t>
      </w:r>
      <w:r w:rsidRPr="002A01D4" w:rsidR="1D3566EA">
        <w:rPr>
          <w:szCs w:val="26"/>
        </w:rPr>
        <w:t xml:space="preserve">2, </w:t>
      </w:r>
      <w:r w:rsidRPr="002A01D4">
        <w:rPr>
          <w:szCs w:val="26"/>
        </w:rPr>
        <w:t xml:space="preserve">153, 157, and 380 of </w:t>
      </w:r>
      <w:r w:rsidRPr="002A01D4" w:rsidR="2BB165DD">
        <w:rPr>
          <w:szCs w:val="26"/>
        </w:rPr>
        <w:t xml:space="preserve">the Commission’s </w:t>
      </w:r>
      <w:r w:rsidRPr="002A01D4">
        <w:rPr>
          <w:szCs w:val="26"/>
        </w:rPr>
        <w:t>regulations outline the</w:t>
      </w:r>
      <w:r w:rsidRPr="002A01D4" w:rsidR="1633ACF5">
        <w:rPr>
          <w:szCs w:val="26"/>
        </w:rPr>
        <w:t xml:space="preserve"> </w:t>
      </w:r>
      <w:r w:rsidRPr="002A01D4" w:rsidR="79F4150F">
        <w:rPr>
          <w:szCs w:val="26"/>
        </w:rPr>
        <w:t xml:space="preserve">environmental resource related </w:t>
      </w:r>
      <w:r w:rsidRPr="002A01D4" w:rsidR="1633ACF5">
        <w:rPr>
          <w:szCs w:val="26"/>
        </w:rPr>
        <w:t>information</w:t>
      </w:r>
      <w:r w:rsidRPr="002A01D4">
        <w:rPr>
          <w:szCs w:val="26"/>
        </w:rPr>
        <w:t xml:space="preserve"> </w:t>
      </w:r>
      <w:r w:rsidRPr="002A01D4" w:rsidR="00E9744D">
        <w:rPr>
          <w:szCs w:val="26"/>
        </w:rPr>
        <w:t xml:space="preserve">that </w:t>
      </w:r>
      <w:r w:rsidRPr="002A01D4">
        <w:rPr>
          <w:szCs w:val="26"/>
        </w:rPr>
        <w:t xml:space="preserve">natural gas companies </w:t>
      </w:r>
      <w:r w:rsidRPr="002A01D4" w:rsidR="7331D722">
        <w:rPr>
          <w:szCs w:val="26"/>
        </w:rPr>
        <w:t xml:space="preserve">must provide </w:t>
      </w:r>
      <w:r w:rsidRPr="002A01D4">
        <w:rPr>
          <w:szCs w:val="26"/>
        </w:rPr>
        <w:t xml:space="preserve">when seeking authorization to construct </w:t>
      </w:r>
      <w:r w:rsidRPr="002A01D4" w:rsidR="00E9744D">
        <w:rPr>
          <w:szCs w:val="26"/>
        </w:rPr>
        <w:t>or</w:t>
      </w:r>
      <w:r w:rsidRPr="002A01D4">
        <w:rPr>
          <w:szCs w:val="26"/>
        </w:rPr>
        <w:t xml:space="preserve"> abandon </w:t>
      </w:r>
      <w:r w:rsidRPr="002A01D4" w:rsidR="1AC0498D">
        <w:rPr>
          <w:szCs w:val="26"/>
        </w:rPr>
        <w:t xml:space="preserve">natural gas </w:t>
      </w:r>
      <w:r w:rsidRPr="002A01D4">
        <w:rPr>
          <w:szCs w:val="26"/>
        </w:rPr>
        <w:t>facilities</w:t>
      </w:r>
      <w:r w:rsidRPr="002A01D4" w:rsidR="07567B25">
        <w:rPr>
          <w:szCs w:val="26"/>
        </w:rPr>
        <w:t>.</w:t>
      </w:r>
      <w:r w:rsidRPr="002A01D4" w:rsidR="556ECC1E">
        <w:rPr>
          <w:szCs w:val="26"/>
        </w:rPr>
        <w:t xml:space="preserve">  </w:t>
      </w:r>
      <w:r w:rsidRPr="002A01D4">
        <w:rPr>
          <w:szCs w:val="26"/>
        </w:rPr>
        <w:t>The</w:t>
      </w:r>
      <w:r w:rsidRPr="002A01D4" w:rsidR="56960689">
        <w:rPr>
          <w:szCs w:val="26"/>
        </w:rPr>
        <w:t xml:space="preserve"> required</w:t>
      </w:r>
      <w:r w:rsidRPr="002A01D4">
        <w:rPr>
          <w:szCs w:val="26"/>
        </w:rPr>
        <w:t xml:space="preserve"> information </w:t>
      </w:r>
      <w:r w:rsidRPr="002A01D4" w:rsidR="3A357274">
        <w:rPr>
          <w:szCs w:val="26"/>
        </w:rPr>
        <w:t>address</w:t>
      </w:r>
      <w:r w:rsidRPr="002A01D4" w:rsidR="04ED3DD3">
        <w:rPr>
          <w:szCs w:val="26"/>
        </w:rPr>
        <w:t>es</w:t>
      </w:r>
      <w:r w:rsidRPr="002A01D4" w:rsidR="3A357274">
        <w:rPr>
          <w:szCs w:val="26"/>
        </w:rPr>
        <w:t xml:space="preserve"> the resource areas affected by the proposed action</w:t>
      </w:r>
      <w:r w:rsidRPr="002A01D4" w:rsidR="33BB6D17">
        <w:rPr>
          <w:szCs w:val="26"/>
        </w:rPr>
        <w:t xml:space="preserve"> and </w:t>
      </w:r>
      <w:r w:rsidRPr="002A01D4">
        <w:rPr>
          <w:szCs w:val="26"/>
        </w:rPr>
        <w:t>describes the impact the project is likely to have and</w:t>
      </w:r>
      <w:r w:rsidRPr="002A01D4" w:rsidR="5A270016">
        <w:rPr>
          <w:szCs w:val="26"/>
        </w:rPr>
        <w:t xml:space="preserve"> </w:t>
      </w:r>
      <w:r w:rsidRPr="002A01D4">
        <w:rPr>
          <w:szCs w:val="26"/>
        </w:rPr>
        <w:t xml:space="preserve">the measures the applicant will implement to mitigate those impacts.   </w:t>
      </w:r>
      <w:r w:rsidRPr="002A01D4" w:rsidR="24AE7C53">
        <w:rPr>
          <w:szCs w:val="26"/>
        </w:rPr>
        <w:t xml:space="preserve">The proposed action will determine the specific information a company must submit.  </w:t>
      </w:r>
      <w:r w:rsidRPr="002A01D4" w:rsidR="4B472E5B">
        <w:rPr>
          <w:szCs w:val="26"/>
        </w:rPr>
        <w:t xml:space="preserve">Per the National Environmental Policy Act, all federal agencies are required to </w:t>
      </w:r>
      <w:r w:rsidRPr="002A01D4" w:rsidR="4B472E5B">
        <w:rPr>
          <w:szCs w:val="26"/>
        </w:rPr>
        <w:t>give appropriate consideration to</w:t>
      </w:r>
      <w:r w:rsidRPr="002A01D4" w:rsidR="4B472E5B">
        <w:rPr>
          <w:szCs w:val="26"/>
        </w:rPr>
        <w:t xml:space="preserve"> the environmental effects of the proposed actions in their decision making; this information allows the Commission to fulfill its NEPA </w:t>
      </w:r>
      <w:r w:rsidRPr="002A01D4" w:rsidR="21EDBFAD">
        <w:rPr>
          <w:szCs w:val="26"/>
        </w:rPr>
        <w:t>obligations.</w:t>
      </w:r>
    </w:p>
    <w:p w:rsidR="00F01A97" w:rsidRPr="002A01D4" w:rsidP="43798C5B" w14:paraId="173DB40E" w14:textId="0FC6291A">
      <w:pPr>
        <w:tabs>
          <w:tab w:val="left" w:pos="1800"/>
        </w:tabs>
        <w:autoSpaceDE w:val="0"/>
        <w:autoSpaceDN w:val="0"/>
        <w:adjustRightInd w:val="0"/>
        <w:spacing w:line="480" w:lineRule="auto"/>
        <w:rPr>
          <w:szCs w:val="26"/>
        </w:rPr>
      </w:pPr>
      <w:r w:rsidRPr="002A01D4">
        <w:rPr>
          <w:szCs w:val="26"/>
        </w:rPr>
        <w:t xml:space="preserve">Parts </w:t>
      </w:r>
      <w:r w:rsidRPr="002A01D4" w:rsidR="32F89554">
        <w:rPr>
          <w:szCs w:val="26"/>
        </w:rPr>
        <w:t xml:space="preserve">2, 157, 284, and 380 </w:t>
      </w:r>
      <w:r w:rsidRPr="002A01D4" w:rsidR="65701F38">
        <w:rPr>
          <w:szCs w:val="26"/>
        </w:rPr>
        <w:t>of the Commission’s regulations</w:t>
      </w:r>
      <w:r w:rsidRPr="002A01D4">
        <w:rPr>
          <w:szCs w:val="26"/>
        </w:rPr>
        <w:t xml:space="preserve"> </w:t>
      </w:r>
      <w:r w:rsidRPr="002A01D4" w:rsidR="00C85FE5">
        <w:rPr>
          <w:szCs w:val="26"/>
        </w:rPr>
        <w:t xml:space="preserve">also </w:t>
      </w:r>
      <w:r w:rsidRPr="002A01D4" w:rsidR="2D6ABFDE">
        <w:rPr>
          <w:szCs w:val="26"/>
        </w:rPr>
        <w:t xml:space="preserve">outline the </w:t>
      </w:r>
      <w:r w:rsidRPr="002A01D4" w:rsidR="3AFB371F">
        <w:rPr>
          <w:szCs w:val="26"/>
        </w:rPr>
        <w:t xml:space="preserve">requirements </w:t>
      </w:r>
      <w:r w:rsidRPr="002A01D4" w:rsidR="00893E13">
        <w:rPr>
          <w:szCs w:val="26"/>
        </w:rPr>
        <w:t>for</w:t>
      </w:r>
      <w:r w:rsidRPr="002A01D4" w:rsidR="3AFB371F">
        <w:rPr>
          <w:szCs w:val="26"/>
        </w:rPr>
        <w:t xml:space="preserve"> na</w:t>
      </w:r>
      <w:r w:rsidRPr="002A01D4" w:rsidR="2D6ABFDE">
        <w:rPr>
          <w:szCs w:val="26"/>
        </w:rPr>
        <w:t>tural gas companies</w:t>
      </w:r>
      <w:r w:rsidRPr="002A01D4" w:rsidR="00893E13">
        <w:rPr>
          <w:szCs w:val="26"/>
        </w:rPr>
        <w:t xml:space="preserve"> that are subject to FERC’s jurisdiction</w:t>
      </w:r>
      <w:r w:rsidRPr="002A01D4" w:rsidR="2D6ABFDE">
        <w:rPr>
          <w:szCs w:val="26"/>
        </w:rPr>
        <w:t xml:space="preserve"> </w:t>
      </w:r>
      <w:r w:rsidRPr="002A01D4">
        <w:rPr>
          <w:szCs w:val="26"/>
        </w:rPr>
        <w:t>to</w:t>
      </w:r>
      <w:r w:rsidRPr="002A01D4" w:rsidR="3AFB371F">
        <w:rPr>
          <w:szCs w:val="26"/>
        </w:rPr>
        <w:t xml:space="preserve"> notify affected landowners of</w:t>
      </w:r>
      <w:r w:rsidRPr="002A01D4" w:rsidR="009C36B9">
        <w:rPr>
          <w:szCs w:val="26"/>
        </w:rPr>
        <w:t xml:space="preserve"> certain</w:t>
      </w:r>
      <w:r w:rsidRPr="002A01D4" w:rsidR="3AFB371F">
        <w:rPr>
          <w:szCs w:val="26"/>
        </w:rPr>
        <w:t xml:space="preserve"> planned activities prior to coming onto </w:t>
      </w:r>
      <w:r w:rsidRPr="002A01D4" w:rsidR="5C2AF38E">
        <w:rPr>
          <w:szCs w:val="26"/>
        </w:rPr>
        <w:t xml:space="preserve">landowners’ </w:t>
      </w:r>
      <w:r w:rsidRPr="002A01D4" w:rsidR="3AFB371F">
        <w:rPr>
          <w:szCs w:val="26"/>
        </w:rPr>
        <w:t>property.</w:t>
      </w:r>
      <w:r>
        <w:rPr>
          <w:rStyle w:val="FootnoteReference"/>
          <w:szCs w:val="26"/>
        </w:rPr>
        <w:footnoteReference w:id="3"/>
      </w:r>
      <w:r w:rsidRPr="002A01D4" w:rsidR="3AFB371F">
        <w:rPr>
          <w:szCs w:val="26"/>
        </w:rPr>
        <w:t xml:space="preserve">  </w:t>
      </w:r>
      <w:r w:rsidRPr="002A01D4" w:rsidR="124BDF09">
        <w:rPr>
          <w:szCs w:val="26"/>
        </w:rPr>
        <w:t xml:space="preserve"> </w:t>
      </w:r>
      <w:r w:rsidRPr="002A01D4" w:rsidR="69A5699E">
        <w:rPr>
          <w:szCs w:val="26"/>
        </w:rPr>
        <w:t xml:space="preserve">The notifications include: (1) a brief description of the activity to be conducted or facilities to be constructed/replaced and the effects that the activities are expected to have on the landowner’s property; (2) the name and phone number of the company representative that is knowledgeable about the project; and (3) a description of the Commission’s Dispute Resolution Service Helpline, as explained in Section 1b.21(g) of the Commission’s regulations, and the Dispute Resolution Service Helpline number. The </w:t>
      </w:r>
      <w:r w:rsidRPr="002A01D4" w:rsidR="69A5699E">
        <w:rPr>
          <w:szCs w:val="26"/>
        </w:rPr>
        <w:t xml:space="preserve">Commission defines “affected landowners” as owners of property interests, as noted in the most recent tax notice, whose property is directly affected (i.e. crossed or used) by the proposed activity, including all rights-of-way, facility sites, access roads, pipe and contractor yards, and temporary workspaces. </w:t>
      </w:r>
    </w:p>
    <w:p w:rsidR="00280289" w:rsidRPr="002A01D4" w:rsidP="43798C5B" w14:paraId="17398CFB" w14:textId="50ED180A">
      <w:pPr>
        <w:tabs>
          <w:tab w:val="left" w:pos="1800"/>
        </w:tabs>
        <w:autoSpaceDE w:val="0"/>
        <w:autoSpaceDN w:val="0"/>
        <w:adjustRightInd w:val="0"/>
        <w:spacing w:line="480" w:lineRule="auto"/>
        <w:rPr>
          <w:szCs w:val="26"/>
        </w:rPr>
      </w:pPr>
    </w:p>
    <w:p w:rsidR="00280289" w:rsidRPr="002A01D4" w:rsidP="43798C5B" w14:paraId="2AD1A030" w14:textId="6CC54445">
      <w:pPr>
        <w:tabs>
          <w:tab w:val="left" w:pos="1800"/>
        </w:tabs>
        <w:autoSpaceDE w:val="0"/>
        <w:autoSpaceDN w:val="0"/>
        <w:adjustRightInd w:val="0"/>
        <w:spacing w:line="480" w:lineRule="auto"/>
        <w:rPr>
          <w:szCs w:val="26"/>
        </w:rPr>
      </w:pPr>
      <w:r w:rsidRPr="002A01D4">
        <w:rPr>
          <w:szCs w:val="26"/>
        </w:rPr>
        <w:t>The FERC-577</w:t>
      </w:r>
      <w:r w:rsidRPr="002A01D4" w:rsidR="00340CF2">
        <w:rPr>
          <w:szCs w:val="26"/>
        </w:rPr>
        <w:t xml:space="preserve"> information collections</w:t>
      </w:r>
      <w:r w:rsidRPr="002A01D4">
        <w:rPr>
          <w:szCs w:val="26"/>
        </w:rPr>
        <w:t xml:space="preserve"> cannot be discontinued or conducted less frequently.</w:t>
      </w:r>
      <w:r w:rsidRPr="002A01D4" w:rsidR="76927B48">
        <w:rPr>
          <w:szCs w:val="26"/>
        </w:rPr>
        <w:t xml:space="preserve"> Without such information, the Commission would be unable to fulfill its statutory responsibilities under the Natural Gas Act</w:t>
      </w:r>
      <w:r w:rsidRPr="002A01D4" w:rsidR="3A30B1E4">
        <w:rPr>
          <w:szCs w:val="26"/>
        </w:rPr>
        <w:t xml:space="preserve"> and NEPA.</w:t>
      </w:r>
    </w:p>
    <w:p w:rsidR="12C8659E" w:rsidRPr="002A01D4" w:rsidP="43798C5B" w14:paraId="0C40F7E1" w14:textId="14EB9ABE">
      <w:pPr>
        <w:tabs>
          <w:tab w:val="left" w:pos="1800"/>
        </w:tabs>
        <w:spacing w:line="480" w:lineRule="auto"/>
        <w:rPr>
          <w:szCs w:val="26"/>
        </w:rPr>
      </w:pPr>
      <w:r w:rsidRPr="002A01D4">
        <w:rPr>
          <w:i/>
          <w:iCs/>
          <w:szCs w:val="26"/>
        </w:rPr>
        <w:t xml:space="preserve">Type of Respondents: </w:t>
      </w:r>
      <w:r w:rsidRPr="002A01D4" w:rsidR="007C5C12">
        <w:rPr>
          <w:szCs w:val="26"/>
        </w:rPr>
        <w:t>Natural Gas Companies</w:t>
      </w:r>
      <w:r w:rsidRPr="002A01D4" w:rsidR="00197486">
        <w:rPr>
          <w:szCs w:val="26"/>
        </w:rPr>
        <w:t xml:space="preserve"> subject to FERC’s jurisdiction</w:t>
      </w:r>
    </w:p>
    <w:p w:rsidR="0058537A" w:rsidRPr="002A01D4" w:rsidP="064D9B15" w14:paraId="04368404" w14:textId="13B49919">
      <w:pPr>
        <w:widowControl w:val="0"/>
        <w:autoSpaceDE w:val="0"/>
        <w:autoSpaceDN w:val="0"/>
        <w:adjustRightInd w:val="0"/>
        <w:spacing w:line="480" w:lineRule="auto"/>
        <w:rPr>
          <w:szCs w:val="26"/>
        </w:rPr>
      </w:pPr>
      <w:r w:rsidRPr="002A01D4">
        <w:rPr>
          <w:i/>
          <w:iCs/>
          <w:szCs w:val="26"/>
        </w:rPr>
        <w:t>Estimate of Annual Burden</w:t>
      </w:r>
      <w:r w:rsidRPr="002A01D4" w:rsidR="0085417D">
        <w:rPr>
          <w:szCs w:val="26"/>
        </w:rPr>
        <w:t>:</w:t>
      </w:r>
      <w:r>
        <w:rPr>
          <w:szCs w:val="26"/>
          <w:vertAlign w:val="superscript"/>
        </w:rPr>
        <w:footnoteReference w:id="4"/>
      </w:r>
      <w:r w:rsidRPr="002A01D4">
        <w:rPr>
          <w:szCs w:val="26"/>
        </w:rPr>
        <w:t xml:space="preserve"> The Commission estimates the annual public reporting burden and cost</w:t>
      </w:r>
      <w:r>
        <w:rPr>
          <w:szCs w:val="26"/>
          <w:vertAlign w:val="superscript"/>
        </w:rPr>
        <w:footnoteReference w:id="5"/>
      </w:r>
      <w:r w:rsidRPr="002A01D4">
        <w:rPr>
          <w:szCs w:val="26"/>
        </w:rPr>
        <w:t xml:space="preserve"> for the information collection as follows</w:t>
      </w:r>
      <w:r>
        <w:rPr>
          <w:szCs w:val="26"/>
          <w:vertAlign w:val="superscript"/>
        </w:rPr>
        <w:footnoteReference w:id="6"/>
      </w:r>
      <w:r w:rsidRPr="002A01D4">
        <w:rPr>
          <w:szCs w:val="26"/>
        </w:rPr>
        <w:t>.</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85"/>
        <w:gridCol w:w="810"/>
        <w:gridCol w:w="1260"/>
        <w:gridCol w:w="1170"/>
        <w:gridCol w:w="1771"/>
        <w:gridCol w:w="1620"/>
        <w:gridCol w:w="1559"/>
      </w:tblGrid>
      <w:tr w14:paraId="5AFC6990" w14:textId="77777777" w:rsidTr="00D17758">
        <w:tblPrEx>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638"/>
          <w:jc w:val="center"/>
        </w:trPr>
        <w:tc>
          <w:tcPr>
            <w:tcW w:w="1885" w:type="dxa"/>
            <w:shd w:val="clear" w:color="auto" w:fill="D9D9D9" w:themeFill="background1" w:themeFillShade="D9"/>
          </w:tcPr>
          <w:p w:rsidR="002A1F18" w:rsidRPr="002A01D4" w:rsidP="6EC195ED" w14:paraId="0F1C06EC" w14:textId="77777777">
            <w:pPr>
              <w:jc w:val="center"/>
              <w:rPr>
                <w:b/>
                <w:bCs/>
                <w:szCs w:val="26"/>
              </w:rPr>
            </w:pPr>
            <w:bookmarkStart w:id="2" w:name="_Hlk22912080"/>
          </w:p>
        </w:tc>
        <w:tc>
          <w:tcPr>
            <w:tcW w:w="810" w:type="dxa"/>
            <w:shd w:val="clear" w:color="auto" w:fill="D9D9D9" w:themeFill="background1" w:themeFillShade="D9"/>
          </w:tcPr>
          <w:p w:rsidR="002A1F18" w:rsidRPr="002A01D4" w:rsidP="00B28D6B" w14:paraId="4142437B" w14:textId="77777777">
            <w:pPr>
              <w:jc w:val="center"/>
              <w:rPr>
                <w:b/>
                <w:bCs/>
                <w:szCs w:val="26"/>
              </w:rPr>
            </w:pPr>
            <w:r w:rsidRPr="002A01D4">
              <w:rPr>
                <w:b/>
                <w:bCs/>
                <w:szCs w:val="26"/>
              </w:rPr>
              <w:t>Number of Respondents</w:t>
            </w:r>
          </w:p>
          <w:p w:rsidR="002A1F18" w:rsidRPr="002A01D4" w:rsidP="00B28D6B" w14:paraId="2623A4EB" w14:textId="77777777">
            <w:pPr>
              <w:jc w:val="center"/>
              <w:rPr>
                <w:b/>
                <w:bCs/>
                <w:szCs w:val="26"/>
              </w:rPr>
            </w:pPr>
            <w:r w:rsidRPr="002A01D4">
              <w:rPr>
                <w:b/>
                <w:bCs/>
                <w:szCs w:val="26"/>
              </w:rPr>
              <w:t>(1)</w:t>
            </w:r>
          </w:p>
        </w:tc>
        <w:tc>
          <w:tcPr>
            <w:tcW w:w="1260" w:type="dxa"/>
            <w:shd w:val="clear" w:color="auto" w:fill="D9D9D9" w:themeFill="background1" w:themeFillShade="D9"/>
          </w:tcPr>
          <w:p w:rsidR="002A1F18" w:rsidRPr="002A01D4" w:rsidP="00B28D6B" w14:paraId="407AA00A" w14:textId="77777777">
            <w:pPr>
              <w:jc w:val="center"/>
              <w:rPr>
                <w:b/>
                <w:bCs/>
                <w:szCs w:val="26"/>
              </w:rPr>
            </w:pPr>
            <w:r w:rsidRPr="002A01D4">
              <w:rPr>
                <w:b/>
                <w:bCs/>
                <w:szCs w:val="26"/>
              </w:rPr>
              <w:t>Number of Responses Per Respondent</w:t>
            </w:r>
          </w:p>
          <w:p w:rsidR="002A1F18" w:rsidRPr="002A01D4" w:rsidP="00B28D6B" w14:paraId="3B5A8337" w14:textId="77777777">
            <w:pPr>
              <w:jc w:val="center"/>
              <w:rPr>
                <w:b/>
                <w:bCs/>
                <w:szCs w:val="26"/>
              </w:rPr>
            </w:pPr>
            <w:r w:rsidRPr="002A01D4">
              <w:rPr>
                <w:b/>
                <w:bCs/>
                <w:szCs w:val="26"/>
              </w:rPr>
              <w:t>(2)</w:t>
            </w:r>
          </w:p>
        </w:tc>
        <w:tc>
          <w:tcPr>
            <w:tcW w:w="1170" w:type="dxa"/>
            <w:shd w:val="clear" w:color="auto" w:fill="D9D9D9" w:themeFill="background1" w:themeFillShade="D9"/>
          </w:tcPr>
          <w:p w:rsidR="002A1F18" w:rsidRPr="002A01D4" w:rsidP="00B28D6B" w14:paraId="1A6897D2" w14:textId="77777777">
            <w:pPr>
              <w:jc w:val="center"/>
              <w:rPr>
                <w:b/>
                <w:bCs/>
                <w:szCs w:val="26"/>
              </w:rPr>
            </w:pPr>
            <w:r w:rsidRPr="002A01D4">
              <w:rPr>
                <w:b/>
                <w:bCs/>
                <w:szCs w:val="26"/>
              </w:rPr>
              <w:t>Total Number of Responses</w:t>
            </w:r>
          </w:p>
          <w:p w:rsidR="002A1F18" w:rsidRPr="002A01D4" w:rsidP="00B28D6B" w14:paraId="399507AA" w14:textId="77777777">
            <w:pPr>
              <w:ind w:left="72"/>
              <w:jc w:val="center"/>
              <w:rPr>
                <w:b/>
                <w:bCs/>
                <w:szCs w:val="26"/>
              </w:rPr>
            </w:pPr>
            <w:r w:rsidRPr="002A01D4">
              <w:rPr>
                <w:b/>
                <w:bCs/>
                <w:szCs w:val="26"/>
              </w:rPr>
              <w:t>(1) * (2) = (3)</w:t>
            </w:r>
          </w:p>
        </w:tc>
        <w:tc>
          <w:tcPr>
            <w:tcW w:w="1771" w:type="dxa"/>
            <w:shd w:val="clear" w:color="auto" w:fill="D9D9D9" w:themeFill="background1" w:themeFillShade="D9"/>
          </w:tcPr>
          <w:p w:rsidR="002A1F18" w:rsidRPr="002A01D4" w:rsidP="00B28D6B" w14:paraId="2553DD53" w14:textId="77777777">
            <w:pPr>
              <w:jc w:val="center"/>
              <w:rPr>
                <w:b/>
                <w:bCs/>
                <w:szCs w:val="26"/>
              </w:rPr>
            </w:pPr>
            <w:r w:rsidRPr="002A01D4">
              <w:rPr>
                <w:b/>
                <w:bCs/>
                <w:szCs w:val="26"/>
              </w:rPr>
              <w:t>Average Burden Hours &amp; Average Cost per Response ($) (rounded)</w:t>
            </w:r>
          </w:p>
          <w:p w:rsidR="002A1F18" w:rsidRPr="002A01D4" w:rsidP="00B28D6B" w14:paraId="1D5E8774" w14:textId="77777777">
            <w:pPr>
              <w:jc w:val="center"/>
              <w:rPr>
                <w:b/>
                <w:bCs/>
                <w:szCs w:val="26"/>
              </w:rPr>
            </w:pPr>
            <w:r w:rsidRPr="002A01D4">
              <w:rPr>
                <w:b/>
                <w:bCs/>
                <w:szCs w:val="26"/>
              </w:rPr>
              <w:t>(4)</w:t>
            </w:r>
          </w:p>
        </w:tc>
        <w:tc>
          <w:tcPr>
            <w:tcW w:w="1620" w:type="dxa"/>
            <w:shd w:val="clear" w:color="auto" w:fill="D9D9D9" w:themeFill="background1" w:themeFillShade="D9"/>
          </w:tcPr>
          <w:p w:rsidR="002A1F18" w:rsidRPr="002A01D4" w:rsidP="00B28D6B" w14:paraId="4E7F3FDC" w14:textId="77777777">
            <w:pPr>
              <w:jc w:val="center"/>
              <w:rPr>
                <w:b/>
                <w:bCs/>
                <w:szCs w:val="26"/>
              </w:rPr>
            </w:pPr>
            <w:r w:rsidRPr="002A01D4">
              <w:rPr>
                <w:b/>
                <w:bCs/>
                <w:szCs w:val="26"/>
              </w:rPr>
              <w:t>Total Annual Burden Hours &amp; Total Annual Cost ($) (rounded)</w:t>
            </w:r>
          </w:p>
          <w:p w:rsidR="002A1F18" w:rsidRPr="002A01D4" w:rsidP="00B28D6B" w14:paraId="02C1C925" w14:textId="77777777">
            <w:pPr>
              <w:jc w:val="center"/>
              <w:rPr>
                <w:b/>
                <w:bCs/>
                <w:szCs w:val="26"/>
              </w:rPr>
            </w:pPr>
            <w:r w:rsidRPr="002A01D4">
              <w:rPr>
                <w:b/>
                <w:bCs/>
                <w:szCs w:val="26"/>
              </w:rPr>
              <w:t>(3) * (4) = (5)</w:t>
            </w:r>
          </w:p>
        </w:tc>
        <w:tc>
          <w:tcPr>
            <w:tcW w:w="1559" w:type="dxa"/>
            <w:shd w:val="clear" w:color="auto" w:fill="D9D9D9" w:themeFill="background1" w:themeFillShade="D9"/>
          </w:tcPr>
          <w:p w:rsidR="002A1F18" w:rsidRPr="002A01D4" w:rsidP="00B28D6B" w14:paraId="5F4E4B55" w14:textId="77777777">
            <w:pPr>
              <w:jc w:val="center"/>
              <w:rPr>
                <w:b/>
                <w:bCs/>
                <w:szCs w:val="26"/>
              </w:rPr>
            </w:pPr>
            <w:r w:rsidRPr="002A01D4">
              <w:rPr>
                <w:b/>
                <w:bCs/>
                <w:szCs w:val="26"/>
              </w:rPr>
              <w:t>Cost per Respondent ($) (rounded)</w:t>
            </w:r>
          </w:p>
          <w:p w:rsidR="002A1F18" w:rsidRPr="002A01D4" w:rsidP="00CE6131" w14:paraId="59ACF33E" w14:textId="77777777">
            <w:pPr>
              <w:jc w:val="center"/>
              <w:rPr>
                <w:b/>
                <w:bCs/>
                <w:szCs w:val="26"/>
              </w:rPr>
            </w:pPr>
            <w:r w:rsidRPr="002A01D4">
              <w:rPr>
                <w:b/>
                <w:bCs/>
                <w:szCs w:val="26"/>
              </w:rPr>
              <w:t>(5)</w:t>
            </w:r>
            <w:r w:rsidRPr="002A01D4">
              <w:rPr>
                <w:rFonts w:eastAsia="Calibri"/>
                <w:b/>
                <w:bCs/>
                <w:szCs w:val="26"/>
              </w:rPr>
              <w:t xml:space="preserve"> ÷ (1) = (6)</w:t>
            </w:r>
          </w:p>
        </w:tc>
      </w:tr>
      <w:tr w14:paraId="6F0036C3" w14:textId="77777777" w:rsidTr="00D17758">
        <w:tblPrEx>
          <w:tblW w:w="10075" w:type="dxa"/>
          <w:jc w:val="center"/>
          <w:tblLayout w:type="fixed"/>
          <w:tblLook w:val="01E0"/>
        </w:tblPrEx>
        <w:trPr>
          <w:trHeight w:val="300"/>
          <w:jc w:val="center"/>
        </w:trPr>
        <w:tc>
          <w:tcPr>
            <w:tcW w:w="1885" w:type="dxa"/>
            <w:vAlign w:val="bottom"/>
          </w:tcPr>
          <w:p w:rsidR="002A1F18" w:rsidRPr="002A01D4" w:rsidP="6EC195ED" w14:paraId="206AA390" w14:textId="7BCB2B85">
            <w:pPr>
              <w:spacing w:line="276" w:lineRule="auto"/>
              <w:rPr>
                <w:szCs w:val="26"/>
              </w:rPr>
            </w:pPr>
            <w:r w:rsidRPr="002A01D4">
              <w:rPr>
                <w:szCs w:val="26"/>
              </w:rPr>
              <w:t xml:space="preserve">Natural Gas Companies’ </w:t>
            </w:r>
            <w:r w:rsidRPr="002A01D4" w:rsidR="6505A94D">
              <w:rPr>
                <w:szCs w:val="26"/>
              </w:rPr>
              <w:t xml:space="preserve">Environmental </w:t>
            </w:r>
            <w:r w:rsidRPr="002A01D4">
              <w:rPr>
                <w:szCs w:val="26"/>
              </w:rPr>
              <w:t>Review and Compliance</w:t>
            </w:r>
            <w:r>
              <w:rPr>
                <w:szCs w:val="26"/>
                <w:vertAlign w:val="superscript"/>
              </w:rPr>
              <w:footnoteReference w:id="7"/>
            </w:r>
            <w:r w:rsidRPr="002A01D4" w:rsidR="6505A94D">
              <w:rPr>
                <w:szCs w:val="26"/>
                <w:vertAlign w:val="superscript"/>
              </w:rPr>
              <w:t xml:space="preserve"> </w:t>
            </w:r>
            <w:r w:rsidRPr="002A01D4" w:rsidR="6505A94D">
              <w:rPr>
                <w:szCs w:val="26"/>
              </w:rPr>
              <w:t>(</w:t>
            </w:r>
            <w:r w:rsidRPr="002A01D4" w:rsidR="3508A855">
              <w:rPr>
                <w:szCs w:val="26"/>
              </w:rPr>
              <w:t xml:space="preserve">18 CFR Parts 2, </w:t>
            </w:r>
            <w:r w:rsidRPr="002A01D4" w:rsidR="1E496F1A">
              <w:rPr>
                <w:szCs w:val="26"/>
              </w:rPr>
              <w:t xml:space="preserve">153, </w:t>
            </w:r>
            <w:r w:rsidRPr="002A01D4" w:rsidR="3508A855">
              <w:rPr>
                <w:szCs w:val="26"/>
              </w:rPr>
              <w:t>157, and 380</w:t>
            </w:r>
            <w:r w:rsidRPr="002A01D4" w:rsidR="447F205A">
              <w:rPr>
                <w:szCs w:val="26"/>
              </w:rPr>
              <w:t xml:space="preserve">) </w:t>
            </w:r>
            <w:r>
              <w:rPr>
                <w:szCs w:val="26"/>
                <w:vertAlign w:val="superscript"/>
              </w:rPr>
              <w:footnoteReference w:id="8"/>
            </w:r>
          </w:p>
        </w:tc>
        <w:tc>
          <w:tcPr>
            <w:tcW w:w="810" w:type="dxa"/>
          </w:tcPr>
          <w:p w:rsidR="002A1F18" w:rsidRPr="002A01D4" w:rsidP="002A1F18" w14:paraId="36119485" w14:textId="24019836">
            <w:pPr>
              <w:spacing w:line="276" w:lineRule="auto"/>
              <w:jc w:val="right"/>
              <w:rPr>
                <w:szCs w:val="26"/>
              </w:rPr>
            </w:pPr>
            <w:r w:rsidRPr="002A01D4">
              <w:rPr>
                <w:szCs w:val="26"/>
              </w:rPr>
              <w:t>10</w:t>
            </w:r>
            <w:r w:rsidRPr="002A01D4" w:rsidR="3D494243">
              <w:rPr>
                <w:szCs w:val="26"/>
              </w:rPr>
              <w:t>7</w:t>
            </w:r>
          </w:p>
        </w:tc>
        <w:tc>
          <w:tcPr>
            <w:tcW w:w="1260" w:type="dxa"/>
          </w:tcPr>
          <w:p w:rsidR="002A1F18" w:rsidRPr="002A01D4" w:rsidP="002A1F18" w14:paraId="5B7B778C" w14:textId="77777777">
            <w:pPr>
              <w:spacing w:line="276" w:lineRule="auto"/>
              <w:jc w:val="right"/>
              <w:rPr>
                <w:szCs w:val="26"/>
              </w:rPr>
            </w:pPr>
            <w:r w:rsidRPr="002A01D4">
              <w:rPr>
                <w:szCs w:val="26"/>
              </w:rPr>
              <w:t>16</w:t>
            </w:r>
          </w:p>
        </w:tc>
        <w:tc>
          <w:tcPr>
            <w:tcW w:w="1170" w:type="dxa"/>
          </w:tcPr>
          <w:p w:rsidR="002A1F18" w:rsidRPr="002A01D4" w:rsidP="002A1F18" w14:paraId="2AA62FC5" w14:textId="40515850">
            <w:pPr>
              <w:spacing w:line="276" w:lineRule="auto"/>
              <w:jc w:val="right"/>
              <w:rPr>
                <w:szCs w:val="26"/>
              </w:rPr>
            </w:pPr>
            <w:r w:rsidRPr="002A01D4">
              <w:rPr>
                <w:szCs w:val="26"/>
              </w:rPr>
              <w:t>1,</w:t>
            </w:r>
            <w:r w:rsidRPr="002A01D4" w:rsidR="66063FE3">
              <w:rPr>
                <w:szCs w:val="26"/>
              </w:rPr>
              <w:t>712</w:t>
            </w:r>
          </w:p>
        </w:tc>
        <w:tc>
          <w:tcPr>
            <w:tcW w:w="1771" w:type="dxa"/>
          </w:tcPr>
          <w:p w:rsidR="002A1F18" w:rsidRPr="002A01D4" w:rsidP="6EC195ED" w14:paraId="44836059" w14:textId="49CD2970">
            <w:pPr>
              <w:spacing w:after="240" w:line="276" w:lineRule="auto"/>
              <w:jc w:val="right"/>
              <w:rPr>
                <w:szCs w:val="26"/>
              </w:rPr>
            </w:pPr>
            <w:r w:rsidRPr="002A01D4">
              <w:rPr>
                <w:szCs w:val="26"/>
              </w:rPr>
              <w:t>193.52 hours; $</w:t>
            </w:r>
            <w:r w:rsidRPr="002A01D4" w:rsidR="2DE38F66">
              <w:rPr>
                <w:szCs w:val="26"/>
              </w:rPr>
              <w:t>19</w:t>
            </w:r>
            <w:r w:rsidRPr="002A01D4" w:rsidR="04B473FF">
              <w:rPr>
                <w:szCs w:val="26"/>
              </w:rPr>
              <w:t>,</w:t>
            </w:r>
            <w:r w:rsidRPr="002A01D4" w:rsidR="2DE38F66">
              <w:rPr>
                <w:szCs w:val="26"/>
              </w:rPr>
              <w:t>932.56</w:t>
            </w:r>
          </w:p>
        </w:tc>
        <w:tc>
          <w:tcPr>
            <w:tcW w:w="1620" w:type="dxa"/>
          </w:tcPr>
          <w:p w:rsidR="002A1F18" w:rsidRPr="002A01D4" w:rsidP="6EC195ED" w14:paraId="7F14109E" w14:textId="73240DD3">
            <w:pPr>
              <w:spacing w:line="276" w:lineRule="auto"/>
              <w:jc w:val="right"/>
              <w:rPr>
                <w:szCs w:val="26"/>
              </w:rPr>
            </w:pPr>
            <w:r w:rsidRPr="002A01D4">
              <w:rPr>
                <w:szCs w:val="26"/>
              </w:rPr>
              <w:t>3</w:t>
            </w:r>
            <w:r w:rsidRPr="002A01D4" w:rsidR="53F9702D">
              <w:rPr>
                <w:szCs w:val="26"/>
              </w:rPr>
              <w:t>31,306</w:t>
            </w:r>
            <w:r w:rsidRPr="002A01D4">
              <w:rPr>
                <w:szCs w:val="26"/>
              </w:rPr>
              <w:t xml:space="preserve"> hours; $</w:t>
            </w:r>
            <w:r w:rsidRPr="002A01D4" w:rsidR="28D475B1">
              <w:rPr>
                <w:szCs w:val="26"/>
              </w:rPr>
              <w:t>3</w:t>
            </w:r>
            <w:r w:rsidRPr="002A01D4" w:rsidR="760F9BF4">
              <w:rPr>
                <w:szCs w:val="26"/>
              </w:rPr>
              <w:t>4,124,518</w:t>
            </w:r>
          </w:p>
        </w:tc>
        <w:tc>
          <w:tcPr>
            <w:tcW w:w="1559" w:type="dxa"/>
          </w:tcPr>
          <w:p w:rsidR="002A1F18" w:rsidRPr="002A01D4" w:rsidP="6EC195ED" w14:paraId="3FCE78E1" w14:textId="1D16F55C">
            <w:pPr>
              <w:spacing w:before="240" w:after="240" w:line="276" w:lineRule="auto"/>
              <w:jc w:val="right"/>
              <w:rPr>
                <w:szCs w:val="26"/>
              </w:rPr>
            </w:pPr>
            <w:r w:rsidRPr="002A01D4">
              <w:rPr>
                <w:szCs w:val="26"/>
              </w:rPr>
              <w:t>$</w:t>
            </w:r>
            <w:r w:rsidRPr="002A01D4" w:rsidR="7F2282F8">
              <w:rPr>
                <w:szCs w:val="26"/>
              </w:rPr>
              <w:t>318,921</w:t>
            </w:r>
          </w:p>
        </w:tc>
      </w:tr>
      <w:tr w14:paraId="3F1B8A23" w14:textId="77777777" w:rsidTr="00D17758">
        <w:tblPrEx>
          <w:tblW w:w="10075" w:type="dxa"/>
          <w:jc w:val="center"/>
          <w:tblLayout w:type="fixed"/>
          <w:tblLook w:val="01E0"/>
        </w:tblPrEx>
        <w:trPr>
          <w:trHeight w:val="300"/>
          <w:jc w:val="center"/>
        </w:trPr>
        <w:tc>
          <w:tcPr>
            <w:tcW w:w="1885" w:type="dxa"/>
            <w:vAlign w:val="bottom"/>
          </w:tcPr>
          <w:p w:rsidR="002A1F18" w:rsidRPr="002A01D4" w:rsidP="43798C5B" w14:paraId="7641CDAC" w14:textId="198E76B3">
            <w:pPr>
              <w:spacing w:line="276" w:lineRule="auto"/>
              <w:rPr>
                <w:szCs w:val="26"/>
              </w:rPr>
            </w:pPr>
            <w:r w:rsidRPr="002A01D4">
              <w:rPr>
                <w:szCs w:val="26"/>
              </w:rPr>
              <w:t xml:space="preserve">Natural Gas Companies’ </w:t>
            </w:r>
            <w:r w:rsidRPr="002A01D4" w:rsidR="447F205A">
              <w:rPr>
                <w:szCs w:val="26"/>
              </w:rPr>
              <w:t>Landowner Notifications</w:t>
            </w:r>
            <w:r>
              <w:rPr>
                <w:szCs w:val="26"/>
                <w:vertAlign w:val="superscript"/>
              </w:rPr>
              <w:footnoteReference w:id="9"/>
            </w:r>
            <w:r w:rsidRPr="002A01D4" w:rsidR="447F205A">
              <w:rPr>
                <w:szCs w:val="26"/>
                <w:vertAlign w:val="superscript"/>
              </w:rPr>
              <w:t xml:space="preserve"> </w:t>
            </w:r>
            <w:r w:rsidRPr="002A01D4" w:rsidR="447F205A">
              <w:rPr>
                <w:szCs w:val="26"/>
              </w:rPr>
              <w:t>(</w:t>
            </w:r>
            <w:r w:rsidRPr="002A01D4" w:rsidR="6BFE3171">
              <w:rPr>
                <w:szCs w:val="26"/>
              </w:rPr>
              <w:t>18 CFR §§ 157(d), 157(f), 2.55(a), 2.55(b), 284.11, and 380.15</w:t>
            </w:r>
            <w:r w:rsidRPr="002A01D4" w:rsidR="447F205A">
              <w:rPr>
                <w:szCs w:val="26"/>
              </w:rPr>
              <w:t>)</w:t>
            </w:r>
          </w:p>
        </w:tc>
        <w:tc>
          <w:tcPr>
            <w:tcW w:w="810" w:type="dxa"/>
          </w:tcPr>
          <w:p w:rsidR="002A1F18" w:rsidRPr="002A01D4" w:rsidP="002A1F18" w14:paraId="557C42FC" w14:textId="77777777">
            <w:pPr>
              <w:spacing w:line="276" w:lineRule="auto"/>
              <w:jc w:val="right"/>
              <w:rPr>
                <w:szCs w:val="26"/>
              </w:rPr>
            </w:pPr>
            <w:r w:rsidRPr="002A01D4">
              <w:rPr>
                <w:szCs w:val="26"/>
              </w:rPr>
              <w:t>164</w:t>
            </w:r>
          </w:p>
        </w:tc>
        <w:tc>
          <w:tcPr>
            <w:tcW w:w="1260" w:type="dxa"/>
          </w:tcPr>
          <w:p w:rsidR="002A1F18" w:rsidRPr="002A01D4" w:rsidP="002A1F18" w14:paraId="1B228EFF" w14:textId="77777777">
            <w:pPr>
              <w:spacing w:line="276" w:lineRule="auto"/>
              <w:jc w:val="right"/>
              <w:rPr>
                <w:szCs w:val="26"/>
              </w:rPr>
            </w:pPr>
            <w:r w:rsidRPr="002A01D4">
              <w:rPr>
                <w:szCs w:val="26"/>
              </w:rPr>
              <w:t>144</w:t>
            </w:r>
          </w:p>
        </w:tc>
        <w:tc>
          <w:tcPr>
            <w:tcW w:w="1170" w:type="dxa"/>
          </w:tcPr>
          <w:p w:rsidR="002A1F18" w:rsidRPr="002A01D4" w:rsidP="002A1F18" w14:paraId="17D49120" w14:textId="77777777">
            <w:pPr>
              <w:spacing w:line="276" w:lineRule="auto"/>
              <w:jc w:val="right"/>
              <w:rPr>
                <w:szCs w:val="26"/>
              </w:rPr>
            </w:pPr>
            <w:r w:rsidRPr="002A01D4">
              <w:rPr>
                <w:szCs w:val="26"/>
              </w:rPr>
              <w:t>23,616</w:t>
            </w:r>
          </w:p>
        </w:tc>
        <w:tc>
          <w:tcPr>
            <w:tcW w:w="1771" w:type="dxa"/>
          </w:tcPr>
          <w:p w:rsidR="00F638B4" w:rsidRPr="002A01D4" w:rsidP="002A1F18" w14:paraId="3367474D" w14:textId="77777777">
            <w:pPr>
              <w:spacing w:line="276" w:lineRule="auto"/>
              <w:jc w:val="right"/>
              <w:rPr>
                <w:szCs w:val="26"/>
              </w:rPr>
            </w:pPr>
            <w:r w:rsidRPr="002A01D4">
              <w:rPr>
                <w:szCs w:val="26"/>
              </w:rPr>
              <w:t xml:space="preserve">2 </w:t>
            </w:r>
            <w:r w:rsidRPr="002A01D4">
              <w:rPr>
                <w:szCs w:val="26"/>
              </w:rPr>
              <w:t>hours;</w:t>
            </w:r>
            <w:r w:rsidRPr="002A01D4">
              <w:rPr>
                <w:szCs w:val="26"/>
              </w:rPr>
              <w:t xml:space="preserve"> </w:t>
            </w:r>
          </w:p>
          <w:p w:rsidR="002A1F18" w:rsidRPr="002A01D4" w:rsidP="6EC195ED" w14:paraId="50D02CD9" w14:textId="5D9A00E0">
            <w:pPr>
              <w:spacing w:line="276" w:lineRule="auto"/>
              <w:jc w:val="right"/>
              <w:rPr>
                <w:szCs w:val="26"/>
              </w:rPr>
            </w:pPr>
            <w:r w:rsidRPr="002A01D4">
              <w:rPr>
                <w:szCs w:val="26"/>
              </w:rPr>
              <w:t>$</w:t>
            </w:r>
            <w:r w:rsidRPr="002A01D4" w:rsidR="048768C6">
              <w:rPr>
                <w:szCs w:val="26"/>
              </w:rPr>
              <w:t>20</w:t>
            </w:r>
            <w:r w:rsidRPr="002A01D4" w:rsidR="3EBBC7E2">
              <w:rPr>
                <w:szCs w:val="26"/>
              </w:rPr>
              <w:t>6</w:t>
            </w:r>
          </w:p>
        </w:tc>
        <w:tc>
          <w:tcPr>
            <w:tcW w:w="1620" w:type="dxa"/>
          </w:tcPr>
          <w:p w:rsidR="002A1F18" w:rsidRPr="002A01D4" w:rsidP="6EC195ED" w14:paraId="5D5571D3" w14:textId="780FC350">
            <w:pPr>
              <w:spacing w:line="276" w:lineRule="auto"/>
              <w:jc w:val="right"/>
              <w:rPr>
                <w:szCs w:val="26"/>
              </w:rPr>
            </w:pPr>
            <w:r w:rsidRPr="002A01D4">
              <w:rPr>
                <w:szCs w:val="26"/>
              </w:rPr>
              <w:t>47,232 hours; $</w:t>
            </w:r>
            <w:r w:rsidRPr="002A01D4" w:rsidR="63BAAD01">
              <w:rPr>
                <w:szCs w:val="26"/>
              </w:rPr>
              <w:t>4,864,896</w:t>
            </w:r>
          </w:p>
        </w:tc>
        <w:tc>
          <w:tcPr>
            <w:tcW w:w="1559" w:type="dxa"/>
          </w:tcPr>
          <w:p w:rsidR="002A1F18" w:rsidRPr="002A01D4" w:rsidP="6EC195ED" w14:paraId="31FC8232" w14:textId="6BF7FFC8">
            <w:pPr>
              <w:spacing w:line="276" w:lineRule="auto"/>
              <w:jc w:val="right"/>
              <w:rPr>
                <w:szCs w:val="26"/>
              </w:rPr>
            </w:pPr>
            <w:r w:rsidRPr="002A01D4">
              <w:rPr>
                <w:szCs w:val="26"/>
              </w:rPr>
              <w:t>$2</w:t>
            </w:r>
            <w:r w:rsidRPr="002A01D4" w:rsidR="47CE7704">
              <w:rPr>
                <w:szCs w:val="26"/>
              </w:rPr>
              <w:t>9,</w:t>
            </w:r>
            <w:r w:rsidRPr="002A01D4" w:rsidR="68D95E4E">
              <w:rPr>
                <w:szCs w:val="26"/>
              </w:rPr>
              <w:t>664</w:t>
            </w:r>
          </w:p>
        </w:tc>
      </w:tr>
      <w:tr w14:paraId="4B7205A6" w14:textId="77777777" w:rsidTr="00D17758">
        <w:tblPrEx>
          <w:tblW w:w="10075" w:type="dxa"/>
          <w:jc w:val="center"/>
          <w:tblLayout w:type="fixed"/>
          <w:tblLook w:val="01E0"/>
        </w:tblPrEx>
        <w:trPr>
          <w:trHeight w:val="300"/>
          <w:jc w:val="center"/>
        </w:trPr>
        <w:tc>
          <w:tcPr>
            <w:tcW w:w="1885" w:type="dxa"/>
            <w:vAlign w:val="bottom"/>
          </w:tcPr>
          <w:p w:rsidR="002A1F18" w:rsidRPr="002A01D4" w:rsidP="36913445" w14:paraId="1E8F2F9E" w14:textId="795D8153">
            <w:pPr>
              <w:spacing w:line="276" w:lineRule="auto"/>
              <w:rPr>
                <w:szCs w:val="26"/>
              </w:rPr>
            </w:pPr>
            <w:r w:rsidRPr="002A01D4">
              <w:rPr>
                <w:szCs w:val="26"/>
              </w:rPr>
              <w:t>TOTAL</w:t>
            </w:r>
          </w:p>
        </w:tc>
        <w:tc>
          <w:tcPr>
            <w:tcW w:w="810" w:type="dxa"/>
            <w:shd w:val="clear" w:color="auto" w:fill="D9D9D9" w:themeFill="background1" w:themeFillShade="D9"/>
          </w:tcPr>
          <w:p w:rsidR="002A1F18" w:rsidRPr="002A01D4" w:rsidP="6EC195ED" w14:paraId="76227E23" w14:textId="77777777">
            <w:pPr>
              <w:spacing w:line="276" w:lineRule="auto"/>
              <w:jc w:val="right"/>
              <w:rPr>
                <w:szCs w:val="26"/>
              </w:rPr>
            </w:pPr>
          </w:p>
        </w:tc>
        <w:tc>
          <w:tcPr>
            <w:tcW w:w="1260" w:type="dxa"/>
            <w:shd w:val="clear" w:color="auto" w:fill="D9D9D9" w:themeFill="background1" w:themeFillShade="D9"/>
          </w:tcPr>
          <w:p w:rsidR="002A1F18" w:rsidRPr="002A01D4" w:rsidP="6EC195ED" w14:paraId="244DF855" w14:textId="77777777">
            <w:pPr>
              <w:spacing w:line="276" w:lineRule="auto"/>
              <w:jc w:val="right"/>
              <w:rPr>
                <w:szCs w:val="26"/>
              </w:rPr>
            </w:pPr>
          </w:p>
        </w:tc>
        <w:tc>
          <w:tcPr>
            <w:tcW w:w="1170" w:type="dxa"/>
          </w:tcPr>
          <w:p w:rsidR="002A1F18" w:rsidRPr="002A01D4" w:rsidP="36913445" w14:paraId="5E3C92D8" w14:textId="700CCBC8">
            <w:pPr>
              <w:spacing w:line="276" w:lineRule="auto"/>
              <w:jc w:val="right"/>
              <w:rPr>
                <w:szCs w:val="26"/>
              </w:rPr>
            </w:pPr>
            <w:r w:rsidRPr="002A01D4">
              <w:rPr>
                <w:szCs w:val="26"/>
              </w:rPr>
              <w:t>25,328</w:t>
            </w:r>
          </w:p>
        </w:tc>
        <w:tc>
          <w:tcPr>
            <w:tcW w:w="1771" w:type="dxa"/>
            <w:shd w:val="clear" w:color="auto" w:fill="D9D9D9" w:themeFill="background1" w:themeFillShade="D9"/>
          </w:tcPr>
          <w:p w:rsidR="002A1F18" w:rsidRPr="002A01D4" w:rsidP="6EC195ED" w14:paraId="54DA4AA0" w14:textId="77777777">
            <w:pPr>
              <w:spacing w:line="276" w:lineRule="auto"/>
              <w:jc w:val="right"/>
              <w:rPr>
                <w:szCs w:val="26"/>
              </w:rPr>
            </w:pPr>
          </w:p>
        </w:tc>
        <w:tc>
          <w:tcPr>
            <w:tcW w:w="1620" w:type="dxa"/>
          </w:tcPr>
          <w:p w:rsidR="002A1F18" w:rsidRPr="002A01D4" w:rsidP="6EC195ED" w14:paraId="556DB404" w14:textId="2DCBBFF0">
            <w:pPr>
              <w:spacing w:line="276" w:lineRule="auto"/>
              <w:jc w:val="right"/>
              <w:rPr>
                <w:szCs w:val="26"/>
              </w:rPr>
            </w:pPr>
            <w:r w:rsidRPr="002A01D4">
              <w:rPr>
                <w:szCs w:val="26"/>
              </w:rPr>
              <w:t>3</w:t>
            </w:r>
            <w:r w:rsidRPr="002A01D4" w:rsidR="68C133C3">
              <w:rPr>
                <w:szCs w:val="26"/>
              </w:rPr>
              <w:t>78,538</w:t>
            </w:r>
            <w:r w:rsidRPr="002A01D4" w:rsidR="6EC195ED">
              <w:rPr>
                <w:szCs w:val="26"/>
              </w:rPr>
              <w:t xml:space="preserve"> hours; $</w:t>
            </w:r>
            <w:r w:rsidRPr="002A01D4" w:rsidR="4EF0BE1D">
              <w:rPr>
                <w:szCs w:val="26"/>
              </w:rPr>
              <w:t>3</w:t>
            </w:r>
            <w:r w:rsidRPr="002A01D4" w:rsidR="4DA5523C">
              <w:rPr>
                <w:szCs w:val="26"/>
              </w:rPr>
              <w:t>8,989,414</w:t>
            </w:r>
          </w:p>
        </w:tc>
        <w:tc>
          <w:tcPr>
            <w:tcW w:w="1559" w:type="dxa"/>
            <w:shd w:val="clear" w:color="auto" w:fill="D9D9D9" w:themeFill="background1" w:themeFillShade="D9"/>
          </w:tcPr>
          <w:p w:rsidR="002A1F18" w:rsidRPr="002A01D4" w:rsidP="6EC195ED" w14:paraId="6C9FD9C3" w14:textId="77777777">
            <w:pPr>
              <w:spacing w:line="276" w:lineRule="auto"/>
              <w:jc w:val="right"/>
              <w:rPr>
                <w:szCs w:val="26"/>
              </w:rPr>
            </w:pPr>
          </w:p>
        </w:tc>
      </w:tr>
      <w:bookmarkEnd w:id="2"/>
    </w:tbl>
    <w:p w:rsidR="51A152D5" w:rsidRPr="002A01D4" w:rsidP="51A152D5" w14:paraId="16B55A1C" w14:textId="6B0012B7">
      <w:pPr>
        <w:spacing w:line="480" w:lineRule="auto"/>
        <w:rPr>
          <w:i/>
          <w:iCs/>
          <w:szCs w:val="26"/>
        </w:rPr>
      </w:pPr>
    </w:p>
    <w:p w:rsidR="4477E379" w:rsidRPr="002A01D4" w:rsidP="43798C5B" w14:paraId="152A2D53" w14:textId="5BCB6381">
      <w:pPr>
        <w:spacing w:line="480" w:lineRule="auto"/>
        <w:rPr>
          <w:szCs w:val="26"/>
        </w:rPr>
      </w:pPr>
      <w:r w:rsidRPr="002A01D4">
        <w:rPr>
          <w:szCs w:val="26"/>
        </w:rPr>
        <w:t>FERC</w:t>
      </w:r>
      <w:r w:rsidRPr="002A01D4" w:rsidR="00F02D3C">
        <w:rPr>
          <w:szCs w:val="26"/>
        </w:rPr>
        <w:t xml:space="preserve"> received one comment on the 60-day Federal Register Notice. The commenter requested greater clarification regarding the purpose of the information collection and the specific details about what information is being collected. FERC included additional information in this notice to describe the </w:t>
      </w:r>
      <w:r w:rsidRPr="002A01D4" w:rsidR="00F02D3C">
        <w:rPr>
          <w:szCs w:val="26"/>
        </w:rPr>
        <w:t>need</w:t>
      </w:r>
      <w:r w:rsidRPr="002A01D4" w:rsidR="00F02D3C">
        <w:rPr>
          <w:szCs w:val="26"/>
        </w:rPr>
        <w:t xml:space="preserve"> and details of </w:t>
      </w:r>
      <w:r w:rsidRPr="002A01D4" w:rsidR="00F02D3C">
        <w:rPr>
          <w:szCs w:val="26"/>
        </w:rPr>
        <w:t xml:space="preserve">the collection.  The commentor also stated that FERC had not mapped information categories to </w:t>
      </w:r>
      <w:r w:rsidRPr="002A01D4" w:rsidR="00F02D3C">
        <w:rPr>
          <w:szCs w:val="26"/>
        </w:rPr>
        <w:t>decision</w:t>
      </w:r>
      <w:r w:rsidRPr="002A01D4" w:rsidR="00F02D3C">
        <w:rPr>
          <w:szCs w:val="26"/>
        </w:rPr>
        <w:t xml:space="preserve"> outputs and citied 5 CFR 1320.8(b)(1). The commentor incorrectly characterizes this regulation which requires that FERC track its information collections and have an OMB Control Number and Expiration Date. This information is available at </w:t>
      </w:r>
      <w:hyperlink r:id="rId13" w:tgtFrame="_blank" w:history="1">
        <w:r w:rsidRPr="002A01D4" w:rsidR="00F02D3C">
          <w:rPr>
            <w:rStyle w:val="Hyperlink"/>
            <w:szCs w:val="26"/>
          </w:rPr>
          <w:t>https://www.ferc.gov/information-collections</w:t>
        </w:r>
      </w:hyperlink>
      <w:r w:rsidRPr="002A01D4" w:rsidR="00F02D3C">
        <w:rPr>
          <w:szCs w:val="26"/>
        </w:rPr>
        <w:t> and also at </w:t>
      </w:r>
      <w:hyperlink r:id="rId14" w:tgtFrame="_blank" w:history="1">
        <w:r w:rsidRPr="002A01D4" w:rsidR="00F02D3C">
          <w:rPr>
            <w:rStyle w:val="Hyperlink"/>
            <w:szCs w:val="26"/>
          </w:rPr>
          <w:t>https://www.ferc.gov/industries-data/natural-gas/industry-forms</w:t>
        </w:r>
      </w:hyperlink>
      <w:r w:rsidRPr="002A01D4" w:rsidR="00F02D3C">
        <w:rPr>
          <w:szCs w:val="26"/>
        </w:rPr>
        <w:t>. The commentor also stated that burden and cost methodology was inadequate; however, they did not provide recommendations for how these might</w:t>
      </w:r>
      <w:r w:rsidR="00644196">
        <w:rPr>
          <w:szCs w:val="26"/>
        </w:rPr>
        <w:t>IC26-7</w:t>
      </w:r>
      <w:r w:rsidRPr="002A01D4" w:rsidR="00F02D3C">
        <w:rPr>
          <w:szCs w:val="26"/>
        </w:rPr>
        <w:t> be updated. FERC reviewed the burden calculation and corrected the burden to reflect changes incorporated in RM22-8.</w:t>
      </w:r>
    </w:p>
    <w:p w:rsidR="51A152D5" w:rsidRPr="002A01D4" w:rsidP="51A152D5" w14:paraId="6139ED4C" w14:textId="746BAD9F">
      <w:pPr>
        <w:spacing w:line="480" w:lineRule="auto"/>
        <w:rPr>
          <w:i/>
          <w:iCs/>
          <w:szCs w:val="26"/>
        </w:rPr>
      </w:pPr>
    </w:p>
    <w:p w:rsidR="00AE1F12" w:rsidRPr="002A01D4" w:rsidP="6EC195ED" w14:paraId="23EE29AC" w14:textId="42113C2A">
      <w:pPr>
        <w:spacing w:line="480" w:lineRule="auto"/>
        <w:rPr>
          <w:szCs w:val="26"/>
        </w:rPr>
      </w:pPr>
      <w:r w:rsidRPr="002A01D4">
        <w:rPr>
          <w:i/>
          <w:iCs/>
          <w:szCs w:val="26"/>
        </w:rPr>
        <w:t>Comments:</w:t>
      </w:r>
      <w:r w:rsidRPr="002A01D4" w:rsidR="15EE64AC">
        <w:rPr>
          <w:i/>
          <w:iCs/>
          <w:szCs w:val="26"/>
        </w:rPr>
        <w:t xml:space="preserve"> </w:t>
      </w:r>
      <w:r w:rsidRPr="002A01D4">
        <w:rPr>
          <w:szCs w:val="26"/>
        </w:rPr>
        <w:t>Comments are invited on:</w:t>
      </w:r>
      <w:r w:rsidRPr="002A01D4" w:rsidR="15EE64AC">
        <w:rPr>
          <w:szCs w:val="26"/>
        </w:rPr>
        <w:t xml:space="preserve"> </w:t>
      </w:r>
      <w:r w:rsidRPr="002A01D4">
        <w:rPr>
          <w:szCs w:val="26"/>
        </w:rPr>
        <w:t>(1)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w:t>
      </w:r>
      <w:r w:rsidRPr="002A01D4" w:rsidR="15EE64AC">
        <w:rPr>
          <w:szCs w:val="26"/>
        </w:rPr>
        <w:t xml:space="preserve"> </w:t>
      </w:r>
    </w:p>
    <w:p w:rsidR="00AE1F12" w:rsidRPr="002A01D4" w:rsidP="6EC195ED" w14:paraId="02C177FD" w14:textId="77777777">
      <w:pPr>
        <w:rPr>
          <w:szCs w:val="26"/>
        </w:rPr>
      </w:pPr>
    </w:p>
    <w:p w:rsidR="00AE1F12" w:rsidRPr="002A01D4" w:rsidP="6EC195ED" w14:paraId="5324E9D8" w14:textId="77777777">
      <w:pPr>
        <w:rPr>
          <w:szCs w:val="26"/>
        </w:rPr>
      </w:pPr>
    </w:p>
    <w:p w:rsidR="52E449CF" w:rsidRPr="002A01D4" w:rsidP="6EC195ED" w14:paraId="2CD1535E" w14:textId="6DDC3486">
      <w:pPr>
        <w:ind w:firstLine="2174"/>
        <w:jc w:val="center"/>
        <w:rPr>
          <w:szCs w:val="26"/>
        </w:rPr>
      </w:pPr>
      <w:r w:rsidRPr="002A01D4">
        <w:rPr>
          <w:color w:val="000000" w:themeColor="text1"/>
          <w:szCs w:val="26"/>
        </w:rPr>
        <w:t>Debbie-Anne A. Reese,</w:t>
      </w:r>
    </w:p>
    <w:p w:rsidR="00853ABC" w:rsidRPr="002A01D4" w:rsidP="00A50A6E" w14:paraId="212DCDEF" w14:textId="57E1B955">
      <w:pPr>
        <w:ind w:firstLine="2174"/>
        <w:jc w:val="center"/>
        <w:rPr>
          <w:szCs w:val="26"/>
        </w:rPr>
      </w:pPr>
      <w:r w:rsidRPr="002A01D4">
        <w:rPr>
          <w:szCs w:val="26"/>
        </w:rPr>
        <w:t>Secretary.</w:t>
      </w:r>
    </w:p>
    <w:sectPr w:rsidSect="00BF2D74">
      <w:headerReference w:type="default" r:id="rId1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355CC" w:rsidP="00B01B16" w14:paraId="4A5F5C29" w14:textId="77777777">
      <w:r>
        <w:separator/>
      </w:r>
    </w:p>
  </w:footnote>
  <w:footnote w:type="continuationSeparator" w:id="1">
    <w:p w:rsidR="006355CC" w:rsidP="00B01B16" w14:paraId="30F09298" w14:textId="77777777">
      <w:r>
        <w:continuationSeparator/>
      </w:r>
    </w:p>
  </w:footnote>
  <w:footnote w:type="continuationNotice" w:id="2">
    <w:p w:rsidR="006355CC" w14:paraId="34741413" w14:textId="77777777"/>
  </w:footnote>
  <w:footnote w:id="3">
    <w:p w:rsidR="006A13D0" w:rsidRPr="002A01D4" w:rsidP="002A01D4" w14:paraId="40237395" w14:textId="43EA329C">
      <w:pPr>
        <w:pStyle w:val="FootnoteText"/>
        <w:ind w:firstLine="720"/>
        <w:rPr>
          <w:sz w:val="26"/>
          <w:szCs w:val="26"/>
        </w:rPr>
      </w:pPr>
      <w:r w:rsidRPr="002A01D4">
        <w:rPr>
          <w:rStyle w:val="FootnoteReference"/>
          <w:sz w:val="26"/>
          <w:szCs w:val="26"/>
        </w:rPr>
        <w:footnoteRef/>
      </w:r>
      <w:r w:rsidRPr="002A01D4" w:rsidR="43798C5B">
        <w:rPr>
          <w:sz w:val="26"/>
          <w:szCs w:val="26"/>
        </w:rPr>
        <w:t xml:space="preserve"> These notifications are sent to affected landowners and are not submitted to FERC. Per 5 CFR 1320.3(c) the definition of “Collection of Information” includes mandated third</w:t>
      </w:r>
      <w:r w:rsidRPr="002A01D4" w:rsidR="0021695F">
        <w:rPr>
          <w:sz w:val="26"/>
          <w:szCs w:val="26"/>
        </w:rPr>
        <w:t>-</w:t>
      </w:r>
      <w:r w:rsidRPr="002A01D4" w:rsidR="43798C5B">
        <w:rPr>
          <w:sz w:val="26"/>
          <w:szCs w:val="26"/>
        </w:rPr>
        <w:t>party disclosures.</w:t>
      </w:r>
    </w:p>
  </w:footnote>
  <w:footnote w:id="4">
    <w:p w:rsidR="002A1F18" w:rsidRPr="002A01D4" w:rsidP="002A01D4" w14:paraId="704F9C3A" w14:textId="7B3B6D6F">
      <w:pPr>
        <w:pStyle w:val="FootnoteText"/>
        <w:ind w:firstLine="720"/>
        <w:rPr>
          <w:sz w:val="26"/>
          <w:szCs w:val="26"/>
        </w:rPr>
      </w:pPr>
      <w:r w:rsidRPr="002A01D4">
        <w:rPr>
          <w:rStyle w:val="FootnoteReference"/>
          <w:sz w:val="26"/>
          <w:szCs w:val="26"/>
        </w:rPr>
        <w:footnoteRef/>
      </w:r>
      <w:r w:rsidRPr="002A01D4" w:rsidR="0702D3DA">
        <w:rPr>
          <w:sz w:val="26"/>
          <w:szCs w:val="26"/>
          <w:vertAlign w:val="superscript"/>
        </w:rPr>
        <w:t xml:space="preserve"> </w:t>
      </w:r>
      <w:r w:rsidRPr="002A01D4" w:rsidR="0702D3DA">
        <w:rPr>
          <w:sz w:val="26"/>
          <w:szCs w:val="26"/>
        </w:rPr>
        <w:t>Burden is defined as the total time, effort, or financial resources expended by persons to generate, maintain, retain, or disclose or provide information to or for a federal agency. See 5 CFR §1320 (2025) for additional information on the definition of information collection burden.</w:t>
      </w:r>
    </w:p>
  </w:footnote>
  <w:footnote w:id="5">
    <w:p w:rsidR="002A1F18" w:rsidRPr="002A01D4" w:rsidP="002A01D4" w14:paraId="39293EA1" w14:textId="35FB8009">
      <w:pPr>
        <w:pStyle w:val="FootnoteText"/>
        <w:ind w:firstLine="720"/>
        <w:rPr>
          <w:sz w:val="26"/>
          <w:szCs w:val="26"/>
        </w:rPr>
      </w:pPr>
      <w:r w:rsidRPr="002A01D4">
        <w:rPr>
          <w:rStyle w:val="FootnoteReference"/>
          <w:sz w:val="26"/>
          <w:szCs w:val="26"/>
        </w:rPr>
        <w:footnoteRef/>
      </w:r>
      <w:r w:rsidRPr="002A01D4" w:rsidR="6EC195ED">
        <w:rPr>
          <w:sz w:val="26"/>
          <w:szCs w:val="26"/>
        </w:rPr>
        <w:t xml:space="preserve"> The Commission staff estimates that industry is similarly situated in terms of hourly cost (for wages plus benefits). Based on the Commission’s FY (Fiscal Year) 2025 average cost (for wages plus benefits), $103/hour is used.</w:t>
      </w:r>
    </w:p>
  </w:footnote>
  <w:footnote w:id="6">
    <w:p w:rsidR="064D9B15" w:rsidRPr="002A01D4" w:rsidP="002A01D4" w14:paraId="262B91B2" w14:textId="540233B0">
      <w:pPr>
        <w:ind w:firstLine="720"/>
        <w:rPr>
          <w:szCs w:val="26"/>
        </w:rPr>
      </w:pPr>
      <w:r w:rsidRPr="002A01D4">
        <w:rPr>
          <w:b/>
          <w:bCs/>
          <w:szCs w:val="26"/>
          <w:vertAlign w:val="superscript"/>
        </w:rPr>
        <w:footnoteRef/>
      </w:r>
      <w:r w:rsidRPr="002A01D4">
        <w:rPr>
          <w:szCs w:val="26"/>
        </w:rPr>
        <w:t xml:space="preserve"> FERC has updated this table since the 60-day Federal Register Notice to more clearly describe the relationship between the regulations and the information collection burden.</w:t>
      </w:r>
    </w:p>
  </w:footnote>
  <w:footnote w:id="7">
    <w:p w:rsidR="41CBFF70" w:rsidRPr="002A01D4" w:rsidP="002A01D4" w14:paraId="358FB4AC" w14:textId="0A7A5C35">
      <w:pPr>
        <w:ind w:firstLine="720"/>
        <w:rPr>
          <w:szCs w:val="26"/>
        </w:rPr>
      </w:pPr>
      <w:r w:rsidRPr="002A01D4">
        <w:rPr>
          <w:b/>
          <w:bCs/>
          <w:szCs w:val="26"/>
          <w:vertAlign w:val="superscript"/>
        </w:rPr>
        <w:footnoteRef/>
      </w:r>
      <w:r w:rsidRPr="002A01D4" w:rsidR="43798C5B">
        <w:rPr>
          <w:b/>
          <w:bCs/>
          <w:szCs w:val="26"/>
        </w:rPr>
        <w:t xml:space="preserve"> </w:t>
      </w:r>
      <w:r w:rsidRPr="002A01D4" w:rsidR="43798C5B">
        <w:rPr>
          <w:szCs w:val="26"/>
        </w:rPr>
        <w:t>Number of estimated natural gas companies anticipated to file environmental related information. This is based on previous years responses combined with tread information.</w:t>
      </w:r>
    </w:p>
  </w:footnote>
  <w:footnote w:id="8">
    <w:p w:rsidR="002A1F18" w:rsidRPr="002A01D4" w:rsidP="002A01D4" w14:paraId="7E546D24" w14:textId="75657A03">
      <w:pPr>
        <w:pStyle w:val="FootnoteText"/>
        <w:ind w:firstLine="720"/>
        <w:rPr>
          <w:sz w:val="26"/>
          <w:szCs w:val="26"/>
        </w:rPr>
      </w:pPr>
      <w:r w:rsidRPr="002A01D4">
        <w:rPr>
          <w:rStyle w:val="FootnoteReference"/>
          <w:sz w:val="26"/>
          <w:szCs w:val="26"/>
        </w:rPr>
        <w:footnoteRef/>
      </w:r>
      <w:r w:rsidRPr="002A01D4" w:rsidR="21AD5D18">
        <w:rPr>
          <w:sz w:val="26"/>
          <w:szCs w:val="26"/>
        </w:rPr>
        <w:t xml:space="preserve"> </w:t>
      </w:r>
      <w:r w:rsidRPr="002A01D4" w:rsidR="00306D57">
        <w:rPr>
          <w:sz w:val="26"/>
          <w:szCs w:val="26"/>
        </w:rPr>
        <w:t xml:space="preserve">The </w:t>
      </w:r>
      <w:r w:rsidRPr="002A01D4" w:rsidR="00E4214C">
        <w:rPr>
          <w:sz w:val="26"/>
          <w:szCs w:val="26"/>
        </w:rPr>
        <w:t xml:space="preserve">60-day notice correctly said that there are no proposed changes to the information collection. </w:t>
      </w:r>
      <w:r w:rsidRPr="002A01D4" w:rsidR="21AD5D18">
        <w:rPr>
          <w:sz w:val="26"/>
          <w:szCs w:val="26"/>
        </w:rPr>
        <w:t>This table has been updated to correct errors so that the burden reflects the burden published in final rule RM22-8 (88 FR 74033)</w:t>
      </w:r>
      <w:bookmarkStart w:id="3" w:name="_Hlk23149593"/>
      <w:bookmarkEnd w:id="3"/>
    </w:p>
  </w:footnote>
  <w:footnote w:id="9">
    <w:p w:rsidR="41CBFF70" w:rsidRPr="002A01D4" w:rsidP="002A01D4" w14:paraId="090FF2F5" w14:textId="5475A6F8">
      <w:pPr>
        <w:ind w:firstLine="720"/>
        <w:rPr>
          <w:szCs w:val="26"/>
        </w:rPr>
      </w:pPr>
      <w:r w:rsidRPr="002A01D4">
        <w:rPr>
          <w:b/>
          <w:bCs/>
          <w:szCs w:val="26"/>
          <w:vertAlign w:val="superscript"/>
        </w:rPr>
        <w:footnoteRef/>
      </w:r>
      <w:r w:rsidRPr="002A01D4" w:rsidR="43798C5B">
        <w:rPr>
          <w:szCs w:val="26"/>
        </w:rPr>
        <w:t xml:space="preserve"> Estimated number of Natural Gas Companies subject to FERC’s jurisdiction. This figure naturally fluctuates based on changes in the natural gas industry.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7451640"/>
      <w:docPartObj>
        <w:docPartGallery w:val="Page Numbers (Top of Page)"/>
        <w:docPartUnique/>
      </w:docPartObj>
    </w:sdtPr>
    <w:sdtEndPr>
      <w:rPr>
        <w:noProof/>
      </w:rPr>
    </w:sdtEndPr>
    <w:sdtContent>
      <w:p w:rsidR="00C80D25" w14:paraId="13B0CC0F" w14:textId="7BDBC70D">
        <w:pPr>
          <w:pStyle w:val="Header"/>
        </w:pPr>
        <w:r>
          <w:t>Docket No. IC26-7-000</w:t>
        </w:r>
        <w:r>
          <w:tab/>
        </w:r>
        <w:r w:rsidRPr="6EC195ED">
          <w:rPr>
            <w:noProof/>
          </w:rPr>
          <w:fldChar w:fldCharType="begin"/>
        </w:r>
        <w:r>
          <w:instrText xml:space="preserve"> PAGE   \* MERGEFORMAT </w:instrText>
        </w:r>
        <w:r w:rsidRPr="6EC195ED">
          <w:fldChar w:fldCharType="separate"/>
        </w:r>
        <w:r w:rsidRPr="6EC195ED">
          <w:rPr>
            <w:noProof/>
          </w:rPr>
          <w:t>4</w:t>
        </w:r>
        <w:r w:rsidRPr="6EC195ED">
          <w:rPr>
            <w:noProof/>
          </w:rPr>
          <w:fldChar w:fldCharType="end"/>
        </w:r>
      </w:p>
    </w:sdtContent>
  </w:sdt>
  <w:p w:rsidR="00F82EE1" w:rsidP="002A01D4" w14:paraId="0E155F8B" w14:textId="0BF6D7C3">
    <w:pPr>
      <w:pStyle w:val="Header"/>
      <w:tabs>
        <w:tab w:val="left" w:pos="2535"/>
        <w:tab w:val="clear" w:pos="4680"/>
        <w:tab w:val="clear" w:pos="93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21B5B"/>
    <w:multiLevelType w:val="hybridMultilevel"/>
    <w:tmpl w:val="57409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140F6D"/>
    <w:multiLevelType w:val="hybridMultilevel"/>
    <w:tmpl w:val="C0EC9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8E2194"/>
    <w:multiLevelType w:val="hybridMultilevel"/>
    <w:tmpl w:val="EB88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5">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53C6417"/>
    <w:multiLevelType w:val="hybridMultilevel"/>
    <w:tmpl w:val="FE4420E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8">
    <w:nsid w:val="459527D0"/>
    <w:multiLevelType w:val="hybridMultilevel"/>
    <w:tmpl w:val="FF8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72242B5"/>
    <w:multiLevelType w:val="hybridMultilevel"/>
    <w:tmpl w:val="3A4CF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5DB17F18"/>
    <w:multiLevelType w:val="hybridMultilevel"/>
    <w:tmpl w:val="320677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nsid w:val="72FA3528"/>
    <w:multiLevelType w:val="hybridMultilevel"/>
    <w:tmpl w:val="E384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6573AF5"/>
    <w:multiLevelType w:val="hybridMultilevel"/>
    <w:tmpl w:val="116218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nsid w:val="77EE2665"/>
    <w:multiLevelType w:val="hybridMultilevel"/>
    <w:tmpl w:val="305A4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1527015755">
    <w:abstractNumId w:val="11"/>
  </w:num>
  <w:num w:numId="2" w16cid:durableId="1496798593">
    <w:abstractNumId w:val="10"/>
  </w:num>
  <w:num w:numId="3" w16cid:durableId="5004374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4171227">
    <w:abstractNumId w:val="4"/>
  </w:num>
  <w:num w:numId="5" w16cid:durableId="936254407">
    <w:abstractNumId w:val="9"/>
  </w:num>
  <w:num w:numId="6" w16cid:durableId="607468323">
    <w:abstractNumId w:val="6"/>
  </w:num>
  <w:num w:numId="7" w16cid:durableId="1544558742">
    <w:abstractNumId w:val="16"/>
  </w:num>
  <w:num w:numId="8" w16cid:durableId="916281869">
    <w:abstractNumId w:val="2"/>
  </w:num>
  <w:num w:numId="9" w16cid:durableId="456415074">
    <w:abstractNumId w:val="12"/>
  </w:num>
  <w:num w:numId="10" w16cid:durableId="2135563720">
    <w:abstractNumId w:val="1"/>
  </w:num>
  <w:num w:numId="11" w16cid:durableId="1888562960">
    <w:abstractNumId w:val="8"/>
  </w:num>
  <w:num w:numId="12" w16cid:durableId="2008483012">
    <w:abstractNumId w:val="15"/>
  </w:num>
  <w:num w:numId="13" w16cid:durableId="948272412">
    <w:abstractNumId w:val="3"/>
  </w:num>
  <w:num w:numId="14" w16cid:durableId="2127043690">
    <w:abstractNumId w:val="13"/>
  </w:num>
  <w:num w:numId="15" w16cid:durableId="2119637321">
    <w:abstractNumId w:val="0"/>
  </w:num>
  <w:num w:numId="16" w16cid:durableId="1839804378">
    <w:abstractNumId w:val="14"/>
  </w:num>
  <w:num w:numId="17" w16cid:durableId="19879775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00447"/>
    <w:rsid w:val="00002F5C"/>
    <w:rsid w:val="000069D9"/>
    <w:rsid w:val="0000758F"/>
    <w:rsid w:val="00014343"/>
    <w:rsid w:val="00023B2D"/>
    <w:rsid w:val="00026C2D"/>
    <w:rsid w:val="000379D6"/>
    <w:rsid w:val="00042F33"/>
    <w:rsid w:val="000448DB"/>
    <w:rsid w:val="000459B6"/>
    <w:rsid w:val="0005167F"/>
    <w:rsid w:val="000578D5"/>
    <w:rsid w:val="00062427"/>
    <w:rsid w:val="0006681D"/>
    <w:rsid w:val="00072E34"/>
    <w:rsid w:val="0007679D"/>
    <w:rsid w:val="00082413"/>
    <w:rsid w:val="00084E3D"/>
    <w:rsid w:val="0008692A"/>
    <w:rsid w:val="00095FC8"/>
    <w:rsid w:val="00097607"/>
    <w:rsid w:val="000A0250"/>
    <w:rsid w:val="000A2903"/>
    <w:rsid w:val="000A3078"/>
    <w:rsid w:val="000A3C2F"/>
    <w:rsid w:val="000A6164"/>
    <w:rsid w:val="000A6F37"/>
    <w:rsid w:val="000A7E68"/>
    <w:rsid w:val="000B431B"/>
    <w:rsid w:val="000B5B66"/>
    <w:rsid w:val="000B5C78"/>
    <w:rsid w:val="000C5E3A"/>
    <w:rsid w:val="000D0C87"/>
    <w:rsid w:val="000D2970"/>
    <w:rsid w:val="000D318C"/>
    <w:rsid w:val="000D6969"/>
    <w:rsid w:val="000E1256"/>
    <w:rsid w:val="000E2568"/>
    <w:rsid w:val="000E3146"/>
    <w:rsid w:val="000E4C61"/>
    <w:rsid w:val="000F23F7"/>
    <w:rsid w:val="000F2831"/>
    <w:rsid w:val="000F3BC3"/>
    <w:rsid w:val="000F59D7"/>
    <w:rsid w:val="000F606E"/>
    <w:rsid w:val="00112B6B"/>
    <w:rsid w:val="00116326"/>
    <w:rsid w:val="00117A32"/>
    <w:rsid w:val="00125991"/>
    <w:rsid w:val="001309CE"/>
    <w:rsid w:val="001313A7"/>
    <w:rsid w:val="0013255C"/>
    <w:rsid w:val="00135FC5"/>
    <w:rsid w:val="00137823"/>
    <w:rsid w:val="0013783E"/>
    <w:rsid w:val="00146043"/>
    <w:rsid w:val="00150CBC"/>
    <w:rsid w:val="0015445B"/>
    <w:rsid w:val="00156BBB"/>
    <w:rsid w:val="001600DF"/>
    <w:rsid w:val="00164215"/>
    <w:rsid w:val="00167358"/>
    <w:rsid w:val="0017164F"/>
    <w:rsid w:val="00171725"/>
    <w:rsid w:val="001750E9"/>
    <w:rsid w:val="00176042"/>
    <w:rsid w:val="0017684C"/>
    <w:rsid w:val="00177704"/>
    <w:rsid w:val="00181BF7"/>
    <w:rsid w:val="00184A26"/>
    <w:rsid w:val="00184B43"/>
    <w:rsid w:val="00191C58"/>
    <w:rsid w:val="0019402A"/>
    <w:rsid w:val="00197435"/>
    <w:rsid w:val="00197486"/>
    <w:rsid w:val="001974A9"/>
    <w:rsid w:val="001A2DAA"/>
    <w:rsid w:val="001A4D96"/>
    <w:rsid w:val="001A6645"/>
    <w:rsid w:val="001A6AD6"/>
    <w:rsid w:val="001B0BD2"/>
    <w:rsid w:val="001B619F"/>
    <w:rsid w:val="001B78B8"/>
    <w:rsid w:val="001C543C"/>
    <w:rsid w:val="001C6D69"/>
    <w:rsid w:val="001C7064"/>
    <w:rsid w:val="001D2A81"/>
    <w:rsid w:val="001D578A"/>
    <w:rsid w:val="001D5F38"/>
    <w:rsid w:val="001E3237"/>
    <w:rsid w:val="001E7C76"/>
    <w:rsid w:val="001F00EE"/>
    <w:rsid w:val="001F1CDF"/>
    <w:rsid w:val="001F5A3B"/>
    <w:rsid w:val="00202E41"/>
    <w:rsid w:val="0020446B"/>
    <w:rsid w:val="00207AE7"/>
    <w:rsid w:val="00211105"/>
    <w:rsid w:val="002131D0"/>
    <w:rsid w:val="00213696"/>
    <w:rsid w:val="0021695F"/>
    <w:rsid w:val="00223204"/>
    <w:rsid w:val="00224BF8"/>
    <w:rsid w:val="00224DD2"/>
    <w:rsid w:val="00231862"/>
    <w:rsid w:val="00237AB9"/>
    <w:rsid w:val="0024271E"/>
    <w:rsid w:val="0024309C"/>
    <w:rsid w:val="0024309D"/>
    <w:rsid w:val="00253F98"/>
    <w:rsid w:val="00257CC2"/>
    <w:rsid w:val="00262096"/>
    <w:rsid w:val="00265B23"/>
    <w:rsid w:val="00266431"/>
    <w:rsid w:val="002673C4"/>
    <w:rsid w:val="00274ABD"/>
    <w:rsid w:val="00274D50"/>
    <w:rsid w:val="00280289"/>
    <w:rsid w:val="002906E5"/>
    <w:rsid w:val="00292A4C"/>
    <w:rsid w:val="00297211"/>
    <w:rsid w:val="002A01D4"/>
    <w:rsid w:val="002A1F18"/>
    <w:rsid w:val="002A3761"/>
    <w:rsid w:val="002A7729"/>
    <w:rsid w:val="002B5874"/>
    <w:rsid w:val="002C2C8B"/>
    <w:rsid w:val="002C3223"/>
    <w:rsid w:val="002C3579"/>
    <w:rsid w:val="002C471E"/>
    <w:rsid w:val="002C5E0E"/>
    <w:rsid w:val="002D17E5"/>
    <w:rsid w:val="002D57E8"/>
    <w:rsid w:val="002E06A0"/>
    <w:rsid w:val="002E1C29"/>
    <w:rsid w:val="002E68D4"/>
    <w:rsid w:val="002E6DAA"/>
    <w:rsid w:val="002E7818"/>
    <w:rsid w:val="002F1BDD"/>
    <w:rsid w:val="002F3236"/>
    <w:rsid w:val="002F4401"/>
    <w:rsid w:val="002F5A7F"/>
    <w:rsid w:val="002F708A"/>
    <w:rsid w:val="00301E3D"/>
    <w:rsid w:val="00303516"/>
    <w:rsid w:val="00306318"/>
    <w:rsid w:val="00306D57"/>
    <w:rsid w:val="00311D90"/>
    <w:rsid w:val="00314219"/>
    <w:rsid w:val="003149BC"/>
    <w:rsid w:val="00315C3E"/>
    <w:rsid w:val="003170DE"/>
    <w:rsid w:val="00320AD3"/>
    <w:rsid w:val="003332E4"/>
    <w:rsid w:val="0033340D"/>
    <w:rsid w:val="003340DD"/>
    <w:rsid w:val="00336AD9"/>
    <w:rsid w:val="00340CF2"/>
    <w:rsid w:val="00340D3C"/>
    <w:rsid w:val="00353270"/>
    <w:rsid w:val="00365468"/>
    <w:rsid w:val="003658A2"/>
    <w:rsid w:val="003673EC"/>
    <w:rsid w:val="00367E9F"/>
    <w:rsid w:val="00373A2E"/>
    <w:rsid w:val="003758CE"/>
    <w:rsid w:val="00376525"/>
    <w:rsid w:val="00376CD8"/>
    <w:rsid w:val="0038091F"/>
    <w:rsid w:val="00390551"/>
    <w:rsid w:val="00390CAA"/>
    <w:rsid w:val="00397ABE"/>
    <w:rsid w:val="003A2C3F"/>
    <w:rsid w:val="003A32E7"/>
    <w:rsid w:val="003B29FB"/>
    <w:rsid w:val="003B435C"/>
    <w:rsid w:val="003B5B0B"/>
    <w:rsid w:val="003C08DE"/>
    <w:rsid w:val="003C3E7A"/>
    <w:rsid w:val="003C3F4D"/>
    <w:rsid w:val="003D0BB4"/>
    <w:rsid w:val="003D28D2"/>
    <w:rsid w:val="003D361D"/>
    <w:rsid w:val="003D7E15"/>
    <w:rsid w:val="003E1657"/>
    <w:rsid w:val="003E1B25"/>
    <w:rsid w:val="003E1B5A"/>
    <w:rsid w:val="003E40B2"/>
    <w:rsid w:val="003E44AD"/>
    <w:rsid w:val="003E5D12"/>
    <w:rsid w:val="003F0FE7"/>
    <w:rsid w:val="003F2E32"/>
    <w:rsid w:val="003F2EC7"/>
    <w:rsid w:val="003F35AB"/>
    <w:rsid w:val="003F4518"/>
    <w:rsid w:val="003F50FD"/>
    <w:rsid w:val="003F570B"/>
    <w:rsid w:val="003F6466"/>
    <w:rsid w:val="003F7A51"/>
    <w:rsid w:val="00407BCE"/>
    <w:rsid w:val="00410A8B"/>
    <w:rsid w:val="00411B62"/>
    <w:rsid w:val="00413AA8"/>
    <w:rsid w:val="00413FDE"/>
    <w:rsid w:val="004177CD"/>
    <w:rsid w:val="0042688C"/>
    <w:rsid w:val="0042765E"/>
    <w:rsid w:val="00427AE5"/>
    <w:rsid w:val="00436C06"/>
    <w:rsid w:val="00437822"/>
    <w:rsid w:val="004417C4"/>
    <w:rsid w:val="00441F16"/>
    <w:rsid w:val="00443282"/>
    <w:rsid w:val="00447C9E"/>
    <w:rsid w:val="004503BB"/>
    <w:rsid w:val="00450D64"/>
    <w:rsid w:val="004562F1"/>
    <w:rsid w:val="004612A0"/>
    <w:rsid w:val="004628F2"/>
    <w:rsid w:val="00465456"/>
    <w:rsid w:val="00471921"/>
    <w:rsid w:val="00480D2D"/>
    <w:rsid w:val="00491543"/>
    <w:rsid w:val="00497A62"/>
    <w:rsid w:val="004A2FEC"/>
    <w:rsid w:val="004A661D"/>
    <w:rsid w:val="004A6FC8"/>
    <w:rsid w:val="004B0034"/>
    <w:rsid w:val="004B4F6E"/>
    <w:rsid w:val="004C0BC3"/>
    <w:rsid w:val="004C474E"/>
    <w:rsid w:val="004C70C8"/>
    <w:rsid w:val="004D3747"/>
    <w:rsid w:val="004E44F8"/>
    <w:rsid w:val="004E46B2"/>
    <w:rsid w:val="004E683E"/>
    <w:rsid w:val="004E7A24"/>
    <w:rsid w:val="004F0266"/>
    <w:rsid w:val="004F56E3"/>
    <w:rsid w:val="004F7699"/>
    <w:rsid w:val="004F784C"/>
    <w:rsid w:val="00506F3A"/>
    <w:rsid w:val="00524164"/>
    <w:rsid w:val="00527733"/>
    <w:rsid w:val="00531000"/>
    <w:rsid w:val="00534E65"/>
    <w:rsid w:val="005401E0"/>
    <w:rsid w:val="00544424"/>
    <w:rsid w:val="005452CC"/>
    <w:rsid w:val="0054746C"/>
    <w:rsid w:val="0055326E"/>
    <w:rsid w:val="005543FC"/>
    <w:rsid w:val="00561908"/>
    <w:rsid w:val="00565830"/>
    <w:rsid w:val="00565B5E"/>
    <w:rsid w:val="00565B73"/>
    <w:rsid w:val="00566B5F"/>
    <w:rsid w:val="00567315"/>
    <w:rsid w:val="005739F7"/>
    <w:rsid w:val="005749DE"/>
    <w:rsid w:val="0057705B"/>
    <w:rsid w:val="0058195F"/>
    <w:rsid w:val="00584A11"/>
    <w:rsid w:val="0058537A"/>
    <w:rsid w:val="00587D1F"/>
    <w:rsid w:val="00592484"/>
    <w:rsid w:val="005953A1"/>
    <w:rsid w:val="00597970"/>
    <w:rsid w:val="005A0B82"/>
    <w:rsid w:val="005A0D62"/>
    <w:rsid w:val="005A1E8A"/>
    <w:rsid w:val="005A28D6"/>
    <w:rsid w:val="005A2F24"/>
    <w:rsid w:val="005A5AB9"/>
    <w:rsid w:val="005A6119"/>
    <w:rsid w:val="005A7FD2"/>
    <w:rsid w:val="005B0254"/>
    <w:rsid w:val="005B46F0"/>
    <w:rsid w:val="005B4DA4"/>
    <w:rsid w:val="005B7231"/>
    <w:rsid w:val="005C09F1"/>
    <w:rsid w:val="005C12CF"/>
    <w:rsid w:val="005C180F"/>
    <w:rsid w:val="005C77BE"/>
    <w:rsid w:val="005D0259"/>
    <w:rsid w:val="005D0FDC"/>
    <w:rsid w:val="005D238D"/>
    <w:rsid w:val="005D4628"/>
    <w:rsid w:val="005D580E"/>
    <w:rsid w:val="005E0B1A"/>
    <w:rsid w:val="005E410C"/>
    <w:rsid w:val="005E45C6"/>
    <w:rsid w:val="005E68E7"/>
    <w:rsid w:val="005F7CE1"/>
    <w:rsid w:val="00602995"/>
    <w:rsid w:val="006128A5"/>
    <w:rsid w:val="00613169"/>
    <w:rsid w:val="006140D8"/>
    <w:rsid w:val="00617A17"/>
    <w:rsid w:val="0062572C"/>
    <w:rsid w:val="00630E07"/>
    <w:rsid w:val="006355CC"/>
    <w:rsid w:val="0063784F"/>
    <w:rsid w:val="00637F43"/>
    <w:rsid w:val="00641F0D"/>
    <w:rsid w:val="00643772"/>
    <w:rsid w:val="00644196"/>
    <w:rsid w:val="0064420B"/>
    <w:rsid w:val="00644A1B"/>
    <w:rsid w:val="0064520D"/>
    <w:rsid w:val="00650E6C"/>
    <w:rsid w:val="0065253F"/>
    <w:rsid w:val="006536D8"/>
    <w:rsid w:val="00654399"/>
    <w:rsid w:val="00654BA4"/>
    <w:rsid w:val="0066195A"/>
    <w:rsid w:val="0066281B"/>
    <w:rsid w:val="00663FBE"/>
    <w:rsid w:val="00664931"/>
    <w:rsid w:val="006670C8"/>
    <w:rsid w:val="00672790"/>
    <w:rsid w:val="00681CF4"/>
    <w:rsid w:val="006841A7"/>
    <w:rsid w:val="00687348"/>
    <w:rsid w:val="00691D3A"/>
    <w:rsid w:val="00693721"/>
    <w:rsid w:val="00694C22"/>
    <w:rsid w:val="006963BC"/>
    <w:rsid w:val="006970F4"/>
    <w:rsid w:val="006A13D0"/>
    <w:rsid w:val="006A2E15"/>
    <w:rsid w:val="006A4398"/>
    <w:rsid w:val="006B1140"/>
    <w:rsid w:val="006B3479"/>
    <w:rsid w:val="006B3A1E"/>
    <w:rsid w:val="006C73D0"/>
    <w:rsid w:val="006D5669"/>
    <w:rsid w:val="006E3752"/>
    <w:rsid w:val="006E7CBB"/>
    <w:rsid w:val="006E7EBE"/>
    <w:rsid w:val="006F35BF"/>
    <w:rsid w:val="006F7028"/>
    <w:rsid w:val="006F749E"/>
    <w:rsid w:val="007024F1"/>
    <w:rsid w:val="00707D60"/>
    <w:rsid w:val="00713417"/>
    <w:rsid w:val="007142E3"/>
    <w:rsid w:val="00714EDD"/>
    <w:rsid w:val="0071596F"/>
    <w:rsid w:val="00723505"/>
    <w:rsid w:val="00726116"/>
    <w:rsid w:val="007263B9"/>
    <w:rsid w:val="007352F2"/>
    <w:rsid w:val="00745049"/>
    <w:rsid w:val="0075009F"/>
    <w:rsid w:val="00750B9D"/>
    <w:rsid w:val="00752A48"/>
    <w:rsid w:val="00757503"/>
    <w:rsid w:val="00757707"/>
    <w:rsid w:val="007601D4"/>
    <w:rsid w:val="00761148"/>
    <w:rsid w:val="007633DD"/>
    <w:rsid w:val="007755E3"/>
    <w:rsid w:val="00775977"/>
    <w:rsid w:val="00781E6A"/>
    <w:rsid w:val="007B1F57"/>
    <w:rsid w:val="007B370F"/>
    <w:rsid w:val="007B4938"/>
    <w:rsid w:val="007B71AB"/>
    <w:rsid w:val="007C5C12"/>
    <w:rsid w:val="007D02D8"/>
    <w:rsid w:val="007E3706"/>
    <w:rsid w:val="007E7B87"/>
    <w:rsid w:val="007F2228"/>
    <w:rsid w:val="007F4CD3"/>
    <w:rsid w:val="007F61C2"/>
    <w:rsid w:val="00800590"/>
    <w:rsid w:val="00801456"/>
    <w:rsid w:val="008018DB"/>
    <w:rsid w:val="00802851"/>
    <w:rsid w:val="00803CA2"/>
    <w:rsid w:val="00806523"/>
    <w:rsid w:val="00807CAC"/>
    <w:rsid w:val="008115BF"/>
    <w:rsid w:val="00813CCA"/>
    <w:rsid w:val="008143B0"/>
    <w:rsid w:val="00816942"/>
    <w:rsid w:val="008212DA"/>
    <w:rsid w:val="00823681"/>
    <w:rsid w:val="00824C68"/>
    <w:rsid w:val="00824D81"/>
    <w:rsid w:val="0082638F"/>
    <w:rsid w:val="00832668"/>
    <w:rsid w:val="00835322"/>
    <w:rsid w:val="00836A2D"/>
    <w:rsid w:val="008376AE"/>
    <w:rsid w:val="008413AB"/>
    <w:rsid w:val="008416FD"/>
    <w:rsid w:val="00845FCF"/>
    <w:rsid w:val="008507FE"/>
    <w:rsid w:val="00851F24"/>
    <w:rsid w:val="00853ABC"/>
    <w:rsid w:val="0085417D"/>
    <w:rsid w:val="00863E08"/>
    <w:rsid w:val="00866220"/>
    <w:rsid w:val="00867C8A"/>
    <w:rsid w:val="00871D53"/>
    <w:rsid w:val="00871DCE"/>
    <w:rsid w:val="008755D6"/>
    <w:rsid w:val="00880340"/>
    <w:rsid w:val="00881405"/>
    <w:rsid w:val="00883F45"/>
    <w:rsid w:val="00886E29"/>
    <w:rsid w:val="0089069F"/>
    <w:rsid w:val="0089298D"/>
    <w:rsid w:val="00893C9F"/>
    <w:rsid w:val="00893E13"/>
    <w:rsid w:val="00895B40"/>
    <w:rsid w:val="00895DA2"/>
    <w:rsid w:val="00897359"/>
    <w:rsid w:val="008A050A"/>
    <w:rsid w:val="008A1C9C"/>
    <w:rsid w:val="008A55FC"/>
    <w:rsid w:val="008A7371"/>
    <w:rsid w:val="008B3BF1"/>
    <w:rsid w:val="008B7EC5"/>
    <w:rsid w:val="008D25B7"/>
    <w:rsid w:val="008D5479"/>
    <w:rsid w:val="008E0DC0"/>
    <w:rsid w:val="008E0DF5"/>
    <w:rsid w:val="008E3273"/>
    <w:rsid w:val="008F0C45"/>
    <w:rsid w:val="008F1F71"/>
    <w:rsid w:val="008F4352"/>
    <w:rsid w:val="00904B00"/>
    <w:rsid w:val="009112D0"/>
    <w:rsid w:val="00915F1F"/>
    <w:rsid w:val="00920472"/>
    <w:rsid w:val="009234E0"/>
    <w:rsid w:val="00924B05"/>
    <w:rsid w:val="009330C3"/>
    <w:rsid w:val="00940C0F"/>
    <w:rsid w:val="00944DB1"/>
    <w:rsid w:val="00944E3A"/>
    <w:rsid w:val="00951DA7"/>
    <w:rsid w:val="00951DC3"/>
    <w:rsid w:val="0095548F"/>
    <w:rsid w:val="00957820"/>
    <w:rsid w:val="00966A30"/>
    <w:rsid w:val="009744C8"/>
    <w:rsid w:val="00974530"/>
    <w:rsid w:val="00974659"/>
    <w:rsid w:val="00976F19"/>
    <w:rsid w:val="00980E58"/>
    <w:rsid w:val="009815BD"/>
    <w:rsid w:val="00981886"/>
    <w:rsid w:val="00990102"/>
    <w:rsid w:val="00990FEC"/>
    <w:rsid w:val="00992257"/>
    <w:rsid w:val="009928CD"/>
    <w:rsid w:val="009949AA"/>
    <w:rsid w:val="00995921"/>
    <w:rsid w:val="00997506"/>
    <w:rsid w:val="009A1B08"/>
    <w:rsid w:val="009B0524"/>
    <w:rsid w:val="009B166F"/>
    <w:rsid w:val="009B3667"/>
    <w:rsid w:val="009C36B9"/>
    <w:rsid w:val="009C3CB9"/>
    <w:rsid w:val="009C4A13"/>
    <w:rsid w:val="009C745D"/>
    <w:rsid w:val="009D2F4A"/>
    <w:rsid w:val="009D50C1"/>
    <w:rsid w:val="009E2D84"/>
    <w:rsid w:val="009E32F7"/>
    <w:rsid w:val="009F279E"/>
    <w:rsid w:val="009F4B81"/>
    <w:rsid w:val="009F7DE3"/>
    <w:rsid w:val="00A00123"/>
    <w:rsid w:val="00A04C8E"/>
    <w:rsid w:val="00A06585"/>
    <w:rsid w:val="00A06AF5"/>
    <w:rsid w:val="00A07154"/>
    <w:rsid w:val="00A11868"/>
    <w:rsid w:val="00A127D3"/>
    <w:rsid w:val="00A1386C"/>
    <w:rsid w:val="00A14335"/>
    <w:rsid w:val="00A14B43"/>
    <w:rsid w:val="00A166E7"/>
    <w:rsid w:val="00A178B0"/>
    <w:rsid w:val="00A23612"/>
    <w:rsid w:val="00A2604E"/>
    <w:rsid w:val="00A27C67"/>
    <w:rsid w:val="00A32860"/>
    <w:rsid w:val="00A417A2"/>
    <w:rsid w:val="00A44866"/>
    <w:rsid w:val="00A50A6E"/>
    <w:rsid w:val="00A52189"/>
    <w:rsid w:val="00A53E51"/>
    <w:rsid w:val="00A54689"/>
    <w:rsid w:val="00A57463"/>
    <w:rsid w:val="00A664DF"/>
    <w:rsid w:val="00A71219"/>
    <w:rsid w:val="00A713D0"/>
    <w:rsid w:val="00A722D4"/>
    <w:rsid w:val="00A75AAA"/>
    <w:rsid w:val="00A82A29"/>
    <w:rsid w:val="00A86B6F"/>
    <w:rsid w:val="00A959E1"/>
    <w:rsid w:val="00AA45C4"/>
    <w:rsid w:val="00AA516A"/>
    <w:rsid w:val="00AA5B0E"/>
    <w:rsid w:val="00AA6A4A"/>
    <w:rsid w:val="00AB45E0"/>
    <w:rsid w:val="00AB4DBF"/>
    <w:rsid w:val="00AC0504"/>
    <w:rsid w:val="00AC1DB7"/>
    <w:rsid w:val="00AC2A02"/>
    <w:rsid w:val="00AC381D"/>
    <w:rsid w:val="00AC3A7C"/>
    <w:rsid w:val="00AC62A6"/>
    <w:rsid w:val="00AC664F"/>
    <w:rsid w:val="00AC750B"/>
    <w:rsid w:val="00AD039E"/>
    <w:rsid w:val="00AD1E15"/>
    <w:rsid w:val="00AD6937"/>
    <w:rsid w:val="00AE1F12"/>
    <w:rsid w:val="00AE24CC"/>
    <w:rsid w:val="00AE4155"/>
    <w:rsid w:val="00AE4B7C"/>
    <w:rsid w:val="00AE66F6"/>
    <w:rsid w:val="00AF17CE"/>
    <w:rsid w:val="00AF336D"/>
    <w:rsid w:val="00AF349B"/>
    <w:rsid w:val="00AF60E7"/>
    <w:rsid w:val="00AF65F0"/>
    <w:rsid w:val="00B009E9"/>
    <w:rsid w:val="00B01711"/>
    <w:rsid w:val="00B01B16"/>
    <w:rsid w:val="00B047E2"/>
    <w:rsid w:val="00B062D0"/>
    <w:rsid w:val="00B11D16"/>
    <w:rsid w:val="00B17A95"/>
    <w:rsid w:val="00B17F14"/>
    <w:rsid w:val="00B20A44"/>
    <w:rsid w:val="00B20B94"/>
    <w:rsid w:val="00B24588"/>
    <w:rsid w:val="00B28D6B"/>
    <w:rsid w:val="00B30F2D"/>
    <w:rsid w:val="00B34928"/>
    <w:rsid w:val="00B35B74"/>
    <w:rsid w:val="00B403F1"/>
    <w:rsid w:val="00B40AB8"/>
    <w:rsid w:val="00B4163B"/>
    <w:rsid w:val="00B447D7"/>
    <w:rsid w:val="00B45A81"/>
    <w:rsid w:val="00B51621"/>
    <w:rsid w:val="00B556C9"/>
    <w:rsid w:val="00B60113"/>
    <w:rsid w:val="00B6081E"/>
    <w:rsid w:val="00B61016"/>
    <w:rsid w:val="00B624EB"/>
    <w:rsid w:val="00B62E80"/>
    <w:rsid w:val="00B65D21"/>
    <w:rsid w:val="00B71BAA"/>
    <w:rsid w:val="00B76A1F"/>
    <w:rsid w:val="00B806DD"/>
    <w:rsid w:val="00B82F8C"/>
    <w:rsid w:val="00B8460F"/>
    <w:rsid w:val="00B84D34"/>
    <w:rsid w:val="00B95477"/>
    <w:rsid w:val="00BA1D81"/>
    <w:rsid w:val="00BA7130"/>
    <w:rsid w:val="00BB3145"/>
    <w:rsid w:val="00BB436B"/>
    <w:rsid w:val="00BC58DF"/>
    <w:rsid w:val="00BC6431"/>
    <w:rsid w:val="00BC68BB"/>
    <w:rsid w:val="00BD205B"/>
    <w:rsid w:val="00BD74AE"/>
    <w:rsid w:val="00BE16BC"/>
    <w:rsid w:val="00BE2C8A"/>
    <w:rsid w:val="00BE35F6"/>
    <w:rsid w:val="00BE3971"/>
    <w:rsid w:val="00BE3FE7"/>
    <w:rsid w:val="00BE6EDF"/>
    <w:rsid w:val="00BF2922"/>
    <w:rsid w:val="00BF2D74"/>
    <w:rsid w:val="00BF4CC8"/>
    <w:rsid w:val="00BF51ED"/>
    <w:rsid w:val="00BF75B6"/>
    <w:rsid w:val="00C00C7E"/>
    <w:rsid w:val="00C02547"/>
    <w:rsid w:val="00C025C8"/>
    <w:rsid w:val="00C04E54"/>
    <w:rsid w:val="00C058D5"/>
    <w:rsid w:val="00C1124F"/>
    <w:rsid w:val="00C14903"/>
    <w:rsid w:val="00C163EB"/>
    <w:rsid w:val="00C1686C"/>
    <w:rsid w:val="00C168F3"/>
    <w:rsid w:val="00C271C2"/>
    <w:rsid w:val="00C30486"/>
    <w:rsid w:val="00C30740"/>
    <w:rsid w:val="00C30A20"/>
    <w:rsid w:val="00C30DED"/>
    <w:rsid w:val="00C367A6"/>
    <w:rsid w:val="00C37BFF"/>
    <w:rsid w:val="00C42500"/>
    <w:rsid w:val="00C43470"/>
    <w:rsid w:val="00C45F17"/>
    <w:rsid w:val="00C47B34"/>
    <w:rsid w:val="00C50BD5"/>
    <w:rsid w:val="00C50EB1"/>
    <w:rsid w:val="00C51458"/>
    <w:rsid w:val="00C517A1"/>
    <w:rsid w:val="00C51E5F"/>
    <w:rsid w:val="00C52E2C"/>
    <w:rsid w:val="00C53580"/>
    <w:rsid w:val="00C55838"/>
    <w:rsid w:val="00C56745"/>
    <w:rsid w:val="00C57DC6"/>
    <w:rsid w:val="00C63C66"/>
    <w:rsid w:val="00C70729"/>
    <w:rsid w:val="00C713C3"/>
    <w:rsid w:val="00C71475"/>
    <w:rsid w:val="00C71F13"/>
    <w:rsid w:val="00C76958"/>
    <w:rsid w:val="00C77EF7"/>
    <w:rsid w:val="00C80D25"/>
    <w:rsid w:val="00C81407"/>
    <w:rsid w:val="00C82053"/>
    <w:rsid w:val="00C820F1"/>
    <w:rsid w:val="00C822C1"/>
    <w:rsid w:val="00C83EA7"/>
    <w:rsid w:val="00C859F7"/>
    <w:rsid w:val="00C85A38"/>
    <w:rsid w:val="00C85FE5"/>
    <w:rsid w:val="00C91512"/>
    <w:rsid w:val="00C93B03"/>
    <w:rsid w:val="00C94A53"/>
    <w:rsid w:val="00C94AD8"/>
    <w:rsid w:val="00C95CEB"/>
    <w:rsid w:val="00CA0DEC"/>
    <w:rsid w:val="00CA2B3E"/>
    <w:rsid w:val="00CA2DE2"/>
    <w:rsid w:val="00CA3A85"/>
    <w:rsid w:val="00CA6636"/>
    <w:rsid w:val="00CA6D76"/>
    <w:rsid w:val="00CA7FBE"/>
    <w:rsid w:val="00CB51CC"/>
    <w:rsid w:val="00CC0389"/>
    <w:rsid w:val="00CC1101"/>
    <w:rsid w:val="00CC1A72"/>
    <w:rsid w:val="00CC3633"/>
    <w:rsid w:val="00CC5692"/>
    <w:rsid w:val="00CC65F3"/>
    <w:rsid w:val="00CC6C14"/>
    <w:rsid w:val="00CD0783"/>
    <w:rsid w:val="00CD09E8"/>
    <w:rsid w:val="00CD56E5"/>
    <w:rsid w:val="00CE0C1B"/>
    <w:rsid w:val="00CE3E44"/>
    <w:rsid w:val="00CE6131"/>
    <w:rsid w:val="00CE64F2"/>
    <w:rsid w:val="00CF0C67"/>
    <w:rsid w:val="00CF0F40"/>
    <w:rsid w:val="00CF3AED"/>
    <w:rsid w:val="00CF4753"/>
    <w:rsid w:val="00CF5410"/>
    <w:rsid w:val="00D0083B"/>
    <w:rsid w:val="00D04DF4"/>
    <w:rsid w:val="00D15403"/>
    <w:rsid w:val="00D16196"/>
    <w:rsid w:val="00D172D8"/>
    <w:rsid w:val="00D17758"/>
    <w:rsid w:val="00D26488"/>
    <w:rsid w:val="00D2661C"/>
    <w:rsid w:val="00D3231A"/>
    <w:rsid w:val="00D35B2D"/>
    <w:rsid w:val="00D3603E"/>
    <w:rsid w:val="00D44183"/>
    <w:rsid w:val="00D44A55"/>
    <w:rsid w:val="00D47931"/>
    <w:rsid w:val="00D47B74"/>
    <w:rsid w:val="00D47F3F"/>
    <w:rsid w:val="00D5276C"/>
    <w:rsid w:val="00D61079"/>
    <w:rsid w:val="00D61B79"/>
    <w:rsid w:val="00D62C84"/>
    <w:rsid w:val="00D6384D"/>
    <w:rsid w:val="00D653F3"/>
    <w:rsid w:val="00D65EC2"/>
    <w:rsid w:val="00D66B24"/>
    <w:rsid w:val="00D67307"/>
    <w:rsid w:val="00D808E3"/>
    <w:rsid w:val="00D859A2"/>
    <w:rsid w:val="00D85E13"/>
    <w:rsid w:val="00D86288"/>
    <w:rsid w:val="00D872BC"/>
    <w:rsid w:val="00D954AE"/>
    <w:rsid w:val="00D96929"/>
    <w:rsid w:val="00DA1B6F"/>
    <w:rsid w:val="00DA529F"/>
    <w:rsid w:val="00DB5AAE"/>
    <w:rsid w:val="00DB62D5"/>
    <w:rsid w:val="00DB636B"/>
    <w:rsid w:val="00DB6882"/>
    <w:rsid w:val="00DC4B63"/>
    <w:rsid w:val="00DC5017"/>
    <w:rsid w:val="00DC5129"/>
    <w:rsid w:val="00DD01A0"/>
    <w:rsid w:val="00DD7F1B"/>
    <w:rsid w:val="00DE1A87"/>
    <w:rsid w:val="00DE2298"/>
    <w:rsid w:val="00DE451F"/>
    <w:rsid w:val="00DF443E"/>
    <w:rsid w:val="00E0270B"/>
    <w:rsid w:val="00E03D2D"/>
    <w:rsid w:val="00E12A7A"/>
    <w:rsid w:val="00E21B31"/>
    <w:rsid w:val="00E27FD6"/>
    <w:rsid w:val="00E36A0F"/>
    <w:rsid w:val="00E400C7"/>
    <w:rsid w:val="00E40322"/>
    <w:rsid w:val="00E40CB4"/>
    <w:rsid w:val="00E41DB9"/>
    <w:rsid w:val="00E4214C"/>
    <w:rsid w:val="00E4627E"/>
    <w:rsid w:val="00E56612"/>
    <w:rsid w:val="00E71CC0"/>
    <w:rsid w:val="00E731AE"/>
    <w:rsid w:val="00E74310"/>
    <w:rsid w:val="00E762BB"/>
    <w:rsid w:val="00E824C0"/>
    <w:rsid w:val="00E865C8"/>
    <w:rsid w:val="00E8661B"/>
    <w:rsid w:val="00E9084E"/>
    <w:rsid w:val="00E962E6"/>
    <w:rsid w:val="00E9744D"/>
    <w:rsid w:val="00E97D7C"/>
    <w:rsid w:val="00EA1793"/>
    <w:rsid w:val="00EA689F"/>
    <w:rsid w:val="00EB1EDF"/>
    <w:rsid w:val="00EB4743"/>
    <w:rsid w:val="00EB5157"/>
    <w:rsid w:val="00EC1434"/>
    <w:rsid w:val="00EC4AFC"/>
    <w:rsid w:val="00EC72B0"/>
    <w:rsid w:val="00EC77B3"/>
    <w:rsid w:val="00ED0142"/>
    <w:rsid w:val="00ED74AF"/>
    <w:rsid w:val="00EE18F2"/>
    <w:rsid w:val="00EE365D"/>
    <w:rsid w:val="00EE3E55"/>
    <w:rsid w:val="00EF11A9"/>
    <w:rsid w:val="00EF33BE"/>
    <w:rsid w:val="00EF4F97"/>
    <w:rsid w:val="00F01A97"/>
    <w:rsid w:val="00F02D3C"/>
    <w:rsid w:val="00F05673"/>
    <w:rsid w:val="00F126FC"/>
    <w:rsid w:val="00F12964"/>
    <w:rsid w:val="00F12983"/>
    <w:rsid w:val="00F15359"/>
    <w:rsid w:val="00F175C4"/>
    <w:rsid w:val="00F23714"/>
    <w:rsid w:val="00F245A2"/>
    <w:rsid w:val="00F309CB"/>
    <w:rsid w:val="00F33EED"/>
    <w:rsid w:val="00F33EEE"/>
    <w:rsid w:val="00F37677"/>
    <w:rsid w:val="00F37B05"/>
    <w:rsid w:val="00F44A0E"/>
    <w:rsid w:val="00F4763C"/>
    <w:rsid w:val="00F47EC8"/>
    <w:rsid w:val="00F51559"/>
    <w:rsid w:val="00F540BA"/>
    <w:rsid w:val="00F570C8"/>
    <w:rsid w:val="00F570F0"/>
    <w:rsid w:val="00F609BD"/>
    <w:rsid w:val="00F60E60"/>
    <w:rsid w:val="00F638B4"/>
    <w:rsid w:val="00F64069"/>
    <w:rsid w:val="00F64D6D"/>
    <w:rsid w:val="00F654D4"/>
    <w:rsid w:val="00F658D9"/>
    <w:rsid w:val="00F66182"/>
    <w:rsid w:val="00F71399"/>
    <w:rsid w:val="00F77D61"/>
    <w:rsid w:val="00F82EE1"/>
    <w:rsid w:val="00F93134"/>
    <w:rsid w:val="00FA3E17"/>
    <w:rsid w:val="00FB078F"/>
    <w:rsid w:val="00FB3586"/>
    <w:rsid w:val="00FC128B"/>
    <w:rsid w:val="00FC3F00"/>
    <w:rsid w:val="00FC750D"/>
    <w:rsid w:val="00FD0EA3"/>
    <w:rsid w:val="00FD1E5C"/>
    <w:rsid w:val="00FD48D5"/>
    <w:rsid w:val="00FE2E2F"/>
    <w:rsid w:val="00FE34E4"/>
    <w:rsid w:val="00FF1D71"/>
    <w:rsid w:val="00FF5141"/>
    <w:rsid w:val="00FF74B3"/>
    <w:rsid w:val="0110DF0E"/>
    <w:rsid w:val="01DE2186"/>
    <w:rsid w:val="02365295"/>
    <w:rsid w:val="028280D2"/>
    <w:rsid w:val="03813068"/>
    <w:rsid w:val="03F25482"/>
    <w:rsid w:val="048768C6"/>
    <w:rsid w:val="04B473FF"/>
    <w:rsid w:val="04ED3DD3"/>
    <w:rsid w:val="05EF8F5D"/>
    <w:rsid w:val="064D9B15"/>
    <w:rsid w:val="0702D3DA"/>
    <w:rsid w:val="07567B25"/>
    <w:rsid w:val="0848775A"/>
    <w:rsid w:val="087D25C6"/>
    <w:rsid w:val="08B9961E"/>
    <w:rsid w:val="08BD2BCD"/>
    <w:rsid w:val="0981F881"/>
    <w:rsid w:val="098ACEB0"/>
    <w:rsid w:val="09C0E718"/>
    <w:rsid w:val="09E39E5D"/>
    <w:rsid w:val="0A422E5C"/>
    <w:rsid w:val="0AB5F2B6"/>
    <w:rsid w:val="0CD9FFC8"/>
    <w:rsid w:val="0E2F8D08"/>
    <w:rsid w:val="0FC66107"/>
    <w:rsid w:val="10A31C60"/>
    <w:rsid w:val="10E9940D"/>
    <w:rsid w:val="124BDF09"/>
    <w:rsid w:val="12C8659E"/>
    <w:rsid w:val="13A315E6"/>
    <w:rsid w:val="13A71230"/>
    <w:rsid w:val="14B44E9E"/>
    <w:rsid w:val="15EE64AC"/>
    <w:rsid w:val="15FE0F9B"/>
    <w:rsid w:val="16096654"/>
    <w:rsid w:val="1633ACF5"/>
    <w:rsid w:val="1678243F"/>
    <w:rsid w:val="19954323"/>
    <w:rsid w:val="1A1340A0"/>
    <w:rsid w:val="1A3357EA"/>
    <w:rsid w:val="1AC0498D"/>
    <w:rsid w:val="1AD04601"/>
    <w:rsid w:val="1B8E1413"/>
    <w:rsid w:val="1BA8AD4A"/>
    <w:rsid w:val="1D0A2CBE"/>
    <w:rsid w:val="1D184971"/>
    <w:rsid w:val="1D3566EA"/>
    <w:rsid w:val="1DA4C745"/>
    <w:rsid w:val="1E36ACED"/>
    <w:rsid w:val="1E496F1A"/>
    <w:rsid w:val="1E89ADA2"/>
    <w:rsid w:val="1F80F800"/>
    <w:rsid w:val="1FB74718"/>
    <w:rsid w:val="20351AD7"/>
    <w:rsid w:val="20BB2350"/>
    <w:rsid w:val="21AD5D18"/>
    <w:rsid w:val="21EDBFAD"/>
    <w:rsid w:val="24591AFB"/>
    <w:rsid w:val="24AE7C53"/>
    <w:rsid w:val="24F38367"/>
    <w:rsid w:val="25DB9C2B"/>
    <w:rsid w:val="283C5962"/>
    <w:rsid w:val="28D475B1"/>
    <w:rsid w:val="2A4BAACF"/>
    <w:rsid w:val="2B51D0E7"/>
    <w:rsid w:val="2B7F58BC"/>
    <w:rsid w:val="2BB165DD"/>
    <w:rsid w:val="2BCE2036"/>
    <w:rsid w:val="2C945DD7"/>
    <w:rsid w:val="2D6ABFDE"/>
    <w:rsid w:val="2D7DCF93"/>
    <w:rsid w:val="2DA992EC"/>
    <w:rsid w:val="2DE38F66"/>
    <w:rsid w:val="2DE944D3"/>
    <w:rsid w:val="2E33131C"/>
    <w:rsid w:val="2EBF4928"/>
    <w:rsid w:val="30C357CC"/>
    <w:rsid w:val="30E669FB"/>
    <w:rsid w:val="32F89554"/>
    <w:rsid w:val="33BB6D17"/>
    <w:rsid w:val="3463A294"/>
    <w:rsid w:val="34EC2322"/>
    <w:rsid w:val="3508A855"/>
    <w:rsid w:val="354CFE4D"/>
    <w:rsid w:val="36913445"/>
    <w:rsid w:val="38D4D4F3"/>
    <w:rsid w:val="3A30B1E4"/>
    <w:rsid w:val="3A357274"/>
    <w:rsid w:val="3AB0BF00"/>
    <w:rsid w:val="3AFB371F"/>
    <w:rsid w:val="3B503467"/>
    <w:rsid w:val="3BF2AA03"/>
    <w:rsid w:val="3C8726BD"/>
    <w:rsid w:val="3CA92242"/>
    <w:rsid w:val="3CD16D26"/>
    <w:rsid w:val="3D494243"/>
    <w:rsid w:val="3D8611DA"/>
    <w:rsid w:val="3EBBC7E2"/>
    <w:rsid w:val="3EC2F118"/>
    <w:rsid w:val="3ED522E9"/>
    <w:rsid w:val="3EE19D7E"/>
    <w:rsid w:val="3F011D56"/>
    <w:rsid w:val="3FDA0640"/>
    <w:rsid w:val="3FE28CBE"/>
    <w:rsid w:val="40F3FB3C"/>
    <w:rsid w:val="41CBFF70"/>
    <w:rsid w:val="43798C5B"/>
    <w:rsid w:val="4477E379"/>
    <w:rsid w:val="447F205A"/>
    <w:rsid w:val="4542008E"/>
    <w:rsid w:val="45C4B1EA"/>
    <w:rsid w:val="47516908"/>
    <w:rsid w:val="47BD7D54"/>
    <w:rsid w:val="47CE7704"/>
    <w:rsid w:val="4AC7A507"/>
    <w:rsid w:val="4B472E5B"/>
    <w:rsid w:val="4B47D98C"/>
    <w:rsid w:val="4CB31618"/>
    <w:rsid w:val="4CD6F196"/>
    <w:rsid w:val="4D236DD4"/>
    <w:rsid w:val="4DA5523C"/>
    <w:rsid w:val="4DEC0FBC"/>
    <w:rsid w:val="4EAFE0FC"/>
    <w:rsid w:val="4EC0B2FB"/>
    <w:rsid w:val="4EF0BE1D"/>
    <w:rsid w:val="517E2D75"/>
    <w:rsid w:val="51A152D5"/>
    <w:rsid w:val="5223FFFD"/>
    <w:rsid w:val="52E449CF"/>
    <w:rsid w:val="53E0BDC9"/>
    <w:rsid w:val="53F9702D"/>
    <w:rsid w:val="5466E51F"/>
    <w:rsid w:val="556ECC1E"/>
    <w:rsid w:val="56960689"/>
    <w:rsid w:val="56F9505E"/>
    <w:rsid w:val="57475154"/>
    <w:rsid w:val="59191285"/>
    <w:rsid w:val="5A270016"/>
    <w:rsid w:val="5A6F4C9F"/>
    <w:rsid w:val="5B5B05B6"/>
    <w:rsid w:val="5C250048"/>
    <w:rsid w:val="5C2AF38E"/>
    <w:rsid w:val="5C37BD1B"/>
    <w:rsid w:val="5D89F920"/>
    <w:rsid w:val="5DFC8B10"/>
    <w:rsid w:val="5E21212D"/>
    <w:rsid w:val="5F6A838B"/>
    <w:rsid w:val="5F938033"/>
    <w:rsid w:val="6105B2FE"/>
    <w:rsid w:val="61D3B670"/>
    <w:rsid w:val="636D3258"/>
    <w:rsid w:val="63BAAD01"/>
    <w:rsid w:val="640173BB"/>
    <w:rsid w:val="6505A94D"/>
    <w:rsid w:val="65701F38"/>
    <w:rsid w:val="66063FE3"/>
    <w:rsid w:val="6678E7E0"/>
    <w:rsid w:val="672CB3B1"/>
    <w:rsid w:val="6848EE51"/>
    <w:rsid w:val="68C133C3"/>
    <w:rsid w:val="68D95E4E"/>
    <w:rsid w:val="69A131E4"/>
    <w:rsid w:val="69A5699E"/>
    <w:rsid w:val="6AABE3BF"/>
    <w:rsid w:val="6BFE3171"/>
    <w:rsid w:val="6C63B493"/>
    <w:rsid w:val="6D04A318"/>
    <w:rsid w:val="6EC195ED"/>
    <w:rsid w:val="6FFFBAAA"/>
    <w:rsid w:val="7063C0D2"/>
    <w:rsid w:val="7083D935"/>
    <w:rsid w:val="71128427"/>
    <w:rsid w:val="7331D722"/>
    <w:rsid w:val="743C791B"/>
    <w:rsid w:val="74BB0CFD"/>
    <w:rsid w:val="74E2CEBF"/>
    <w:rsid w:val="760F9BF4"/>
    <w:rsid w:val="76927B48"/>
    <w:rsid w:val="77954F40"/>
    <w:rsid w:val="779D85A0"/>
    <w:rsid w:val="79F4150F"/>
    <w:rsid w:val="7B2CB960"/>
    <w:rsid w:val="7B53B2A5"/>
    <w:rsid w:val="7B5AE4A0"/>
    <w:rsid w:val="7C34861D"/>
    <w:rsid w:val="7E3BA5F5"/>
    <w:rsid w:val="7EBD67DE"/>
    <w:rsid w:val="7F008FC5"/>
    <w:rsid w:val="7F140307"/>
    <w:rsid w:val="7F2282F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B4ED575"/>
  <w15:docId w15:val="{336CDBCD-339E-494F-A0A6-08B3C20F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A53E51"/>
    <w:rPr>
      <w:b/>
      <w:vertAlign w:val="superscript"/>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
    <w:qFormat/>
    <w:rsid w:val="00A53E51"/>
    <w:rPr>
      <w:sz w:val="20"/>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1 Char2,Footnote Text Char2 Char Char,fn Char,fn1 Char"/>
    <w:basedOn w:val="DefaultParagraphFont"/>
    <w:link w:val="FootnoteText"/>
    <w:rsid w:val="00A53E51"/>
    <w:rPr>
      <w:rFonts w:ascii="Times New Roman" w:eastAsia="Times New Roman" w:hAnsi="Times New Roman" w:cs="Times New Roman"/>
      <w:sz w:val="20"/>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3"/>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customStyle="1" w:styleId="UnresolvedMention1">
    <w:name w:val="Unresolved Mention1"/>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417D"/>
    <w:rPr>
      <w:color w:val="605E5C"/>
      <w:shd w:val="clear" w:color="auto" w:fill="E1DFDD"/>
    </w:rPr>
  </w:style>
  <w:style w:type="character" w:customStyle="1" w:styleId="font71">
    <w:name w:val="font71"/>
    <w:basedOn w:val="DefaultParagraphFont"/>
    <w:rsid w:val="001E7C76"/>
    <w:rPr>
      <w:rFonts w:ascii="Aptos" w:hAnsi="Aptos" w:hint="default"/>
      <w:b w:val="0"/>
      <w:bCs w:val="0"/>
      <w:i w:val="0"/>
      <w:iCs w:val="0"/>
      <w:strike w:val="0"/>
      <w:dstrike w:val="0"/>
      <w:color w:val="auto"/>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reginfo.gov/public/do/PRAMain" TargetMode="External" /><Relationship Id="rId11" Type="http://schemas.openxmlformats.org/officeDocument/2006/relationships/hyperlink" Target="mailto:DataClearance@FERC.gov" TargetMode="External" /><Relationship Id="rId12" Type="http://schemas.openxmlformats.org/officeDocument/2006/relationships/hyperlink" Target="https://elibrary.ferc.gov/eLibrary/search" TargetMode="External" /><Relationship Id="rId13" Type="http://schemas.openxmlformats.org/officeDocument/2006/relationships/hyperlink" Target="https://www.ferc.gov/information-collections" TargetMode="External" /><Relationship Id="rId14" Type="http://schemas.openxmlformats.org/officeDocument/2006/relationships/hyperlink" Target="https://www.ferc.gov/industries-data/natural-gas/industry-forms" TargetMode="External" /><Relationship Id="rId15" Type="http://schemas.openxmlformats.org/officeDocument/2006/relationships/header" Target="head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reginfo.gov/public/do/PRA/icrPublicCommentRequest?ref_nbr=202604-1902-00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F9CDCD482D6047A906F2360D7E23D0" ma:contentTypeVersion="33" ma:contentTypeDescription="Create a new document." ma:contentTypeScope="" ma:versionID="f949227853dfad64e089a762a4d9956e">
  <xsd:schema xmlns:xsd="http://www.w3.org/2001/XMLSchema" xmlns:xs="http://www.w3.org/2001/XMLSchema" xmlns:p="http://schemas.microsoft.com/office/2006/metadata/properties" xmlns:ns2="a5341b95-c8c9-4dcc-9d3d-06b5e4e35db2" xmlns:ns3="d3d93346-d96b-4d6c-8344-b697583e66f3" targetNamespace="http://schemas.microsoft.com/office/2006/metadata/properties" ma:root="true" ma:fieldsID="d34ae7670d5bd19bf395d2cd83c3aa1a" ns2:_="" ns3:_="">
    <xsd:import namespace="a5341b95-c8c9-4dcc-9d3d-06b5e4e35db2"/>
    <xsd:import namespace="d3d93346-d96b-4d6c-8344-b697583e66f3"/>
    <xsd:element name="properties">
      <xsd:complexType>
        <xsd:sequence>
          <xsd:element name="documentManagement">
            <xsd:complexType>
              <xsd:all>
                <xsd:element ref="ns2:a1l0" minOccurs="0"/>
                <xsd:element ref="ns2:Status" minOccurs="0"/>
                <xsd:element ref="ns2:ReviewComment" minOccurs="0"/>
                <xsd:element ref="ns2:MediaServiceMetadata" minOccurs="0"/>
                <xsd:element ref="ns2:MediaServiceFastMetadata" minOccurs="0"/>
                <xsd:element ref="ns2:10ce243f-7ff2-433a-acd1-07122609a7e1CountryOrRegion" minOccurs="0"/>
                <xsd:element ref="ns2:10ce243f-7ff2-433a-acd1-07122609a7e1State" minOccurs="0"/>
                <xsd:element ref="ns2:10ce243f-7ff2-433a-acd1-07122609a7e1City" minOccurs="0"/>
                <xsd:element ref="ns2:10ce243f-7ff2-433a-acd1-07122609a7e1PostalCode" minOccurs="0"/>
                <xsd:element ref="ns2:10ce243f-7ff2-433a-acd1-07122609a7e1Street" minOccurs="0"/>
                <xsd:element ref="ns2:10ce243f-7ff2-433a-acd1-07122609a7e1GeoLoc" minOccurs="0"/>
                <xsd:element ref="ns2:10ce243f-7ff2-433a-acd1-07122609a7e1DispName"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SharedwithDGWG" minOccurs="0"/>
                <xsd:element ref="ns2:MediaServiceLocation" minOccurs="0"/>
                <xsd:element ref="ns2:OnPublicDataListing" minOccurs="0"/>
                <xsd:element ref="ns2:ProgramOffice" minOccurs="0"/>
                <xsd:element ref="ns2:MediaLengthInSeconds" minOccurs="0"/>
                <xsd:element ref="ns2:lcf76f155ced4ddcb4097134ff3c332f" minOccurs="0"/>
                <xsd:element ref="ns3:TaxCatchAll" minOccurs="0"/>
                <xsd:element ref="ns2:MediaServiceObjectDetectorVersions" minOccurs="0"/>
                <xsd:element ref="ns2:https_x003a__x002f__x002f_ferc_x002e_dev_x002e_data3sixty_x002e_com_x002f_hom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341b95-c8c9-4dcc-9d3d-06b5e4e35db2" elementFormDefault="qualified">
    <xsd:import namespace="http://schemas.microsoft.com/office/2006/documentManagement/types"/>
    <xsd:import namespace="http://schemas.microsoft.com/office/infopath/2007/PartnerControls"/>
    <xsd:element name="a1l0" ma:index="2" nillable="true" ma:displayName="Location" ma:internalName="a1l0" ma:readOnly="false">
      <xsd:simpleType>
        <xsd:restriction base="dms:Unknown"/>
      </xsd:simpleType>
    </xsd:element>
    <xsd:element name="Status" ma:index="3" nillable="true" ma:displayName="Status" ma:format="Dropdown" ma:internalName="Status">
      <xsd:simpleType>
        <xsd:restriction base="dms:Choice">
          <xsd:enumeration value="New"/>
          <xsd:enumeration value="Ready for DGWG Approval"/>
          <xsd:enumeration value="In DGWG Review"/>
          <xsd:enumeration value="Approved by DGWG"/>
          <xsd:enumeration value="Incomplete"/>
        </xsd:restriction>
      </xsd:simpleType>
    </xsd:element>
    <xsd:element name="ReviewComment" ma:index="4" nillable="true" ma:displayName="Comments" ma:format="Dropdown" ma:internalName="ReviewComment">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10ce243f-7ff2-433a-acd1-07122609a7e1CountryOrRegion" ma:index="11" nillable="true" ma:displayName="Location: Country/Region" ma:hidden="true" ma:internalName="CountryOrRegion" ma:readOnly="true">
      <xsd:simpleType>
        <xsd:restriction base="dms:Text"/>
      </xsd:simpleType>
    </xsd:element>
    <xsd:element name="10ce243f-7ff2-433a-acd1-07122609a7e1State" ma:index="12" nillable="true" ma:displayName="Location: State" ma:hidden="true" ma:internalName="State" ma:readOnly="true">
      <xsd:simpleType>
        <xsd:restriction base="dms:Text"/>
      </xsd:simpleType>
    </xsd:element>
    <xsd:element name="10ce243f-7ff2-433a-acd1-07122609a7e1City" ma:index="13" nillable="true" ma:displayName="Location: City" ma:hidden="true" ma:internalName="City" ma:readOnly="true">
      <xsd:simpleType>
        <xsd:restriction base="dms:Text"/>
      </xsd:simpleType>
    </xsd:element>
    <xsd:element name="10ce243f-7ff2-433a-acd1-07122609a7e1PostalCode" ma:index="14" nillable="true" ma:displayName="Location: Postal Code" ma:hidden="true" ma:internalName="PostalCode" ma:readOnly="true">
      <xsd:simpleType>
        <xsd:restriction base="dms:Text"/>
      </xsd:simpleType>
    </xsd:element>
    <xsd:element name="10ce243f-7ff2-433a-acd1-07122609a7e1Street" ma:index="15" nillable="true" ma:displayName="Location: Street" ma:hidden="true" ma:internalName="Street" ma:readOnly="true">
      <xsd:simpleType>
        <xsd:restriction base="dms:Text"/>
      </xsd:simpleType>
    </xsd:element>
    <xsd:element name="10ce243f-7ff2-433a-acd1-07122609a7e1GeoLoc" ma:index="16" nillable="true" ma:displayName="Location: Coordinates" ma:hidden="true" ma:internalName="GeoLoc" ma:readOnly="true">
      <xsd:simpleType>
        <xsd:restriction base="dms:Unknown"/>
      </xsd:simpleType>
    </xsd:element>
    <xsd:element name="10ce243f-7ff2-433a-acd1-07122609a7e1DispName" ma:index="17" nillable="true" ma:displayName="Location: Name" ma:hidden="true" ma:internalName="DispName"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SharedwithDGWG" ma:index="26" nillable="true" ma:displayName="Shared with DGWG" ma:format="DateOnly" ma:hidden="true" ma:internalName="SharedwithDGWG" ma:readOnly="false">
      <xsd:simpleType>
        <xsd:restriction base="dms:DateTime"/>
      </xsd:simpleType>
    </xsd:element>
    <xsd:element name="MediaServiceLocation" ma:index="27" nillable="true" ma:displayName="Location" ma:hidden="true" ma:internalName="MediaServiceLocation" ma:readOnly="true">
      <xsd:simpleType>
        <xsd:restriction base="dms:Text"/>
      </xsd:simpleType>
    </xsd:element>
    <xsd:element name="OnPublicDataListing" ma:index="29" nillable="true" ma:displayName="On Public Data Listing" ma:format="Dropdown" ma:internalName="OnPublicDataListing">
      <xsd:simpleType>
        <xsd:restriction base="dms:Choice">
          <xsd:enumeration value="Yes"/>
          <xsd:enumeration value="No"/>
          <xsd:enumeration value="N/A"/>
          <xsd:enumeration value="TBD"/>
        </xsd:restriction>
      </xsd:simpleType>
    </xsd:element>
    <xsd:element name="ProgramOffice" ma:index="30" nillable="true" ma:displayName="Program Office" ma:format="Dropdown" ma:internalName="ProgramOffice">
      <xsd:simpleType>
        <xsd:restriction base="dms:Text">
          <xsd:maxLength value="255"/>
        </xsd:restriction>
      </xsd:simpleType>
    </xsd:element>
    <xsd:element name="MediaLengthInSeconds" ma:index="31" nillable="true" ma:displayName="Length (seconds)"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https_x003a__x002f__x002f_ferc_x002e_dev_x002e_data3sixty_x002e_com_x002f_home" ma:index="36" nillable="true" ma:displayName="GOVERN Hyperlink" ma:description="Hyperlink to the catalog registrations in the new Govern tool." ma:format="Hyperlink" ma:internalName="https_x003a__x002f__x002f_ferc_x002e_dev_x002e_data3sixty_x002e_com_x002f_hom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d93346-d96b-4d6c-8344-b697583e66f3"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34" nillable="true" ma:displayName="Taxonomy Catch All Column" ma:hidden="true" ma:list="{fd80dfeb-9923-4c0e-a79f-53ccbb227ae7}" ma:internalName="TaxCatchAll" ma:showField="CatchAllData" ma:web="d3d93346-d96b-4d6c-8344-b697583e6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A0E044-8E26-43C9-904B-F4760BBA343A}">
  <ds:schemaRefs>
    <ds:schemaRef ds:uri="http://schemas.openxmlformats.org/officeDocument/2006/bibliography"/>
  </ds:schemaRefs>
</ds:datastoreItem>
</file>

<file path=customXml/itemProps2.xml><?xml version="1.0" encoding="utf-8"?>
<ds:datastoreItem xmlns:ds="http://schemas.openxmlformats.org/officeDocument/2006/customXml" ds:itemID="{B8BA43F2-F180-4B64-AF98-5A6229AD7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341b95-c8c9-4dcc-9d3d-06b5e4e35db2"/>
    <ds:schemaRef ds:uri="d3d93346-d96b-4d6c-8344-b697583e6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BB1DD4-8130-4FE7-964C-24C804F058DC}">
  <ds:schemaRefs>
    <ds:schemaRef ds:uri="http://schemas.microsoft.com/office/2006/metadata/properties"/>
    <ds:schemaRef ds:uri="http://schemas.microsoft.com/office/infopath/2007/PartnerControls"/>
    <ds:schemaRef ds:uri="5e8733a2-e908-454b-85cf-c9d17e1d0943"/>
  </ds:schemaRefs>
</ds:datastoreItem>
</file>

<file path=customXml/itemProps4.xml><?xml version="1.0" encoding="utf-8"?>
<ds:datastoreItem xmlns:ds="http://schemas.openxmlformats.org/officeDocument/2006/customXml" ds:itemID="{374B2BA4-42E3-4037-8954-0F628E67BE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1123</Words>
  <Characters>6829</Characters>
  <Application>Microsoft Office Word</Application>
  <DocSecurity>0</DocSecurity>
  <Lines>213</Lines>
  <Paragraphs>75</Paragraphs>
  <ScaleCrop>false</ScaleCrop>
  <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Kozler</dc:creator>
  <cp:lastModifiedBy>Lauren Carr</cp:lastModifiedBy>
  <cp:revision>2</cp:revision>
  <cp:lastPrinted>2016-12-20T19:40:00Z</cp:lastPrinted>
  <dcterms:created xsi:type="dcterms:W3CDTF">2026-05-07T15:59:00Z</dcterms:created>
  <dcterms:modified xsi:type="dcterms:W3CDTF">2026-05-07T15:59:00Z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0x010100BFF9CDCD482D6047A906F2360D7E23D0</vt:lpwstr>
  </property>
  <property fmtid="{D5CDD505-2E9C-101B-9397-08002B2CF9AE}" pid="3" name="MSIP_Label_bd24d06a-0e85-4d57-b1e0-ba34b1abc708_ActionId">
    <vt:lpwstr>1f12a839-2bca-434e-a042-10b7fb67014b</vt:lpwstr>
  </property>
  <property fmtid="{D5CDD505-2E9C-101B-9397-08002B2CF9AE}" pid="4" name="MSIP_Label_bd24d06a-0e85-4d57-b1e0-ba34b1abc708_ContentBits">
    <vt:lpwstr>0</vt:lpwstr>
  </property>
  <property fmtid="{D5CDD505-2E9C-101B-9397-08002B2CF9AE}" pid="5" name="MSIP_Label_bd24d06a-0e85-4d57-b1e0-ba34b1abc708_Enabled">
    <vt:lpwstr>true</vt:lpwstr>
  </property>
  <property fmtid="{D5CDD505-2E9C-101B-9397-08002B2CF9AE}" pid="6" name="MSIP_Label_bd24d06a-0e85-4d57-b1e0-ba34b1abc708_Method">
    <vt:lpwstr>Privileged</vt:lpwstr>
  </property>
  <property fmtid="{D5CDD505-2E9C-101B-9397-08002B2CF9AE}" pid="7" name="MSIP_Label_bd24d06a-0e85-4d57-b1e0-ba34b1abc708_Name">
    <vt:lpwstr>bd24d06a-0e85-4d57-b1e0-ba34b1abc708</vt:lpwstr>
  </property>
  <property fmtid="{D5CDD505-2E9C-101B-9397-08002B2CF9AE}" pid="8" name="MSIP_Label_bd24d06a-0e85-4d57-b1e0-ba34b1abc708_SetDate">
    <vt:lpwstr>2026-01-06T21:05:44Z</vt:lpwstr>
  </property>
  <property fmtid="{D5CDD505-2E9C-101B-9397-08002B2CF9AE}" pid="9" name="MSIP_Label_bd24d06a-0e85-4d57-b1e0-ba34b1abc708_SiteId">
    <vt:lpwstr>19caa9e9-04ff-43fa-885f-d77fac387903</vt:lpwstr>
  </property>
  <property fmtid="{D5CDD505-2E9C-101B-9397-08002B2CF9AE}" pid="10" name="MSIP_Label_bd24d06a-0e85-4d57-b1e0-ba34b1abc708_Tag">
    <vt:lpwstr>10, 0, 1, 1</vt:lpwstr>
  </property>
</Properties>
</file>