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D6B6D" w:rsidRPr="00950005" w:rsidP="001D2EC1" w14:paraId="30CCB112" w14:textId="77777777">
      <w:pPr>
        <w:widowControl/>
        <w:tabs>
          <w:tab w:val="center" w:pos="5040"/>
        </w:tabs>
        <w:jc w:val="center"/>
        <w:rPr>
          <w:sz w:val="26"/>
        </w:rPr>
      </w:pPr>
      <w:r w:rsidRPr="00950005">
        <w:rPr>
          <w:sz w:val="26"/>
        </w:rPr>
        <w:t>Supporting Statement for</w:t>
      </w:r>
    </w:p>
    <w:p w:rsidR="009A6C99" w:rsidRPr="00950005" w:rsidP="001D2EC1" w14:paraId="37B1D76E" w14:textId="0A6C11C0">
      <w:pPr>
        <w:widowControl/>
        <w:tabs>
          <w:tab w:val="center" w:pos="5040"/>
        </w:tabs>
        <w:jc w:val="center"/>
        <w:rPr>
          <w:b/>
          <w:sz w:val="26"/>
        </w:rPr>
      </w:pPr>
      <w:r w:rsidRPr="00950005">
        <w:rPr>
          <w:b/>
          <w:bCs/>
          <w:sz w:val="26"/>
        </w:rPr>
        <w:t>FERC-549</w:t>
      </w:r>
      <w:r w:rsidRPr="00950005" w:rsidR="009D6B6D">
        <w:rPr>
          <w:b/>
          <w:bCs/>
          <w:sz w:val="26"/>
        </w:rPr>
        <w:t xml:space="preserve">, </w:t>
      </w:r>
      <w:r w:rsidRPr="00950005">
        <w:rPr>
          <w:b/>
          <w:bCs/>
          <w:sz w:val="26"/>
        </w:rPr>
        <w:t>Natural Gas Policy Act (</w:t>
      </w:r>
      <w:r w:rsidRPr="00950005">
        <w:rPr>
          <w:b/>
          <w:sz w:val="26"/>
        </w:rPr>
        <w:t xml:space="preserve">NGPA) </w:t>
      </w:r>
      <w:r w:rsidRPr="00950005" w:rsidR="00083600">
        <w:rPr>
          <w:b/>
          <w:sz w:val="26"/>
        </w:rPr>
        <w:t>Section 311</w:t>
      </w:r>
      <w:r w:rsidRPr="00950005">
        <w:rPr>
          <w:b/>
          <w:sz w:val="26"/>
        </w:rPr>
        <w:t xml:space="preserve"> Transactions</w:t>
      </w:r>
      <w:r w:rsidRPr="00950005" w:rsidR="00FC7B34">
        <w:rPr>
          <w:b/>
          <w:sz w:val="26"/>
        </w:rPr>
        <w:t>,</w:t>
      </w:r>
    </w:p>
    <w:p w:rsidR="00FC7B34" w:rsidRPr="00950005" w:rsidP="001D2EC1" w14:paraId="71737311" w14:textId="77777777">
      <w:pPr>
        <w:widowControl/>
        <w:tabs>
          <w:tab w:val="center" w:pos="5040"/>
        </w:tabs>
        <w:jc w:val="center"/>
        <w:rPr>
          <w:b/>
          <w:sz w:val="26"/>
        </w:rPr>
      </w:pPr>
      <w:r w:rsidRPr="00950005">
        <w:rPr>
          <w:b/>
          <w:sz w:val="26"/>
        </w:rPr>
        <w:t>Natural Gas Act (NGA) Blanket Certificate Transactions, and</w:t>
      </w:r>
    </w:p>
    <w:p w:rsidR="009D6B6D" w:rsidRPr="00950005" w:rsidP="001D2EC1" w14:paraId="3CA27346" w14:textId="1997D92E">
      <w:pPr>
        <w:widowControl/>
        <w:tabs>
          <w:tab w:val="center" w:pos="5040"/>
        </w:tabs>
        <w:jc w:val="center"/>
        <w:rPr>
          <w:b/>
          <w:bCs/>
          <w:sz w:val="26"/>
        </w:rPr>
      </w:pPr>
      <w:r w:rsidRPr="00950005">
        <w:rPr>
          <w:b/>
          <w:bCs/>
          <w:sz w:val="26"/>
        </w:rPr>
        <w:t>Market-Based Rates for Storage</w:t>
      </w:r>
    </w:p>
    <w:p w:rsidR="00FC7B34" w:rsidRPr="00950005" w:rsidP="001D2EC1" w14:paraId="344BA78A" w14:textId="77777777">
      <w:pPr>
        <w:widowControl/>
        <w:tabs>
          <w:tab w:val="center" w:pos="5040"/>
        </w:tabs>
        <w:jc w:val="center"/>
        <w:rPr>
          <w:b/>
          <w:sz w:val="26"/>
        </w:rPr>
      </w:pPr>
    </w:p>
    <w:p w:rsidR="009D6B6D" w:rsidRPr="00950005" w:rsidP="001D2EC1" w14:paraId="3F2D15E1" w14:textId="77777777">
      <w:pPr>
        <w:widowControl/>
        <w:tabs>
          <w:tab w:val="center" w:pos="5040"/>
        </w:tabs>
        <w:jc w:val="center"/>
        <w:rPr>
          <w:sz w:val="26"/>
        </w:rPr>
      </w:pPr>
    </w:p>
    <w:p w:rsidR="009D6B6D" w:rsidRPr="00950005" w:rsidP="001F3ADE" w14:paraId="3FAD1D39" w14:textId="0CB97E39">
      <w:pPr>
        <w:widowControl/>
        <w:tabs>
          <w:tab w:val="center" w:pos="5040"/>
        </w:tabs>
        <w:rPr>
          <w:sz w:val="26"/>
        </w:rPr>
      </w:pPr>
      <w:r w:rsidRPr="00950005">
        <w:rPr>
          <w:bCs/>
          <w:sz w:val="26"/>
        </w:rPr>
        <w:t xml:space="preserve">The Federal Energy Regulatory Commission (Commission or FERC) requests that the Office of Management and Budget (OMB) review and approve </w:t>
      </w:r>
      <w:r w:rsidRPr="00950005" w:rsidR="0021208A">
        <w:rPr>
          <w:bCs/>
          <w:sz w:val="26"/>
        </w:rPr>
        <w:t xml:space="preserve">FERC-549, </w:t>
      </w:r>
      <w:r w:rsidRPr="00950005" w:rsidR="0021208A">
        <w:rPr>
          <w:sz w:val="26"/>
        </w:rPr>
        <w:t xml:space="preserve">NGPA </w:t>
      </w:r>
      <w:r w:rsidRPr="00950005" w:rsidR="00024BE8">
        <w:rPr>
          <w:sz w:val="26"/>
        </w:rPr>
        <w:t xml:space="preserve">Section 311 </w:t>
      </w:r>
      <w:r w:rsidRPr="00950005" w:rsidR="0021208A">
        <w:rPr>
          <w:sz w:val="26"/>
        </w:rPr>
        <w:t>Transactions and NGA Blanket Certificate Transactions</w:t>
      </w:r>
      <w:r w:rsidRPr="00950005" w:rsidR="0035481D">
        <w:rPr>
          <w:bCs/>
          <w:sz w:val="26"/>
        </w:rPr>
        <w:t xml:space="preserve"> (</w:t>
      </w:r>
      <w:r w:rsidRPr="00950005" w:rsidR="0021208A">
        <w:rPr>
          <w:bCs/>
          <w:sz w:val="26"/>
        </w:rPr>
        <w:t>OMB Control No. 1902-0086</w:t>
      </w:r>
      <w:r w:rsidRPr="00950005" w:rsidR="00E32773">
        <w:rPr>
          <w:bCs/>
          <w:sz w:val="26"/>
        </w:rPr>
        <w:t>)</w:t>
      </w:r>
      <w:r w:rsidRPr="00950005" w:rsidR="005D6791">
        <w:rPr>
          <w:bCs/>
          <w:sz w:val="26"/>
        </w:rPr>
        <w:t>,</w:t>
      </w:r>
      <w:r w:rsidRPr="00950005" w:rsidR="00E32773">
        <w:rPr>
          <w:bCs/>
          <w:sz w:val="26"/>
        </w:rPr>
        <w:t xml:space="preserve"> for a three-</w:t>
      </w:r>
      <w:r w:rsidRPr="00950005">
        <w:rPr>
          <w:bCs/>
          <w:sz w:val="26"/>
        </w:rPr>
        <w:t>year period.</w:t>
      </w:r>
      <w:r w:rsidR="00847B6A">
        <w:rPr>
          <w:bCs/>
          <w:sz w:val="26"/>
        </w:rPr>
        <w:t xml:space="preserve"> </w:t>
      </w:r>
      <w:r w:rsidRPr="00950005" w:rsidR="0021208A">
        <w:rPr>
          <w:bCs/>
          <w:sz w:val="26"/>
        </w:rPr>
        <w:t>FERC-549</w:t>
      </w:r>
      <w:r w:rsidRPr="00950005" w:rsidR="00CC615D">
        <w:rPr>
          <w:sz w:val="26"/>
        </w:rPr>
        <w:t xml:space="preserve"> is an existing data collection with </w:t>
      </w:r>
      <w:r w:rsidRPr="00950005">
        <w:rPr>
          <w:sz w:val="26"/>
        </w:rPr>
        <w:t>reporting requirement</w:t>
      </w:r>
      <w:r w:rsidRPr="00950005" w:rsidR="0052226C">
        <w:rPr>
          <w:sz w:val="26"/>
        </w:rPr>
        <w:t>s</w:t>
      </w:r>
      <w:r w:rsidRPr="00950005">
        <w:rPr>
          <w:sz w:val="26"/>
        </w:rPr>
        <w:t xml:space="preserve"> in 18 </w:t>
      </w:r>
      <w:r w:rsidRPr="00950005" w:rsidR="0052226C">
        <w:rPr>
          <w:sz w:val="26"/>
        </w:rPr>
        <w:t>CFR</w:t>
      </w:r>
      <w:r w:rsidRPr="00950005">
        <w:rPr>
          <w:sz w:val="26"/>
        </w:rPr>
        <w:t xml:space="preserve"> </w:t>
      </w:r>
      <w:r w:rsidRPr="00950005" w:rsidR="003B19D8">
        <w:rPr>
          <w:sz w:val="26"/>
        </w:rPr>
        <w:t>Part</w:t>
      </w:r>
      <w:r w:rsidRPr="00950005" w:rsidR="0021208A">
        <w:rPr>
          <w:sz w:val="26"/>
        </w:rPr>
        <w:t xml:space="preserve"> 284.</w:t>
      </w:r>
    </w:p>
    <w:p w:rsidR="009D6B6D" w:rsidRPr="00950005" w:rsidP="001D2EC1" w14:paraId="6F46EE4B" w14:textId="77777777">
      <w:pPr>
        <w:widowControl/>
        <w:rPr>
          <w:sz w:val="26"/>
        </w:rPr>
      </w:pPr>
    </w:p>
    <w:p w:rsidR="009D6B6D" w:rsidRPr="00950005" w:rsidP="007058C2" w14:paraId="0F30A43E" w14:textId="3FE0B831">
      <w:pPr>
        <w:widowControl/>
        <w:ind w:left="720" w:hanging="720"/>
        <w:rPr>
          <w:b/>
          <w:sz w:val="26"/>
        </w:rPr>
      </w:pPr>
      <w:r w:rsidRPr="00950005">
        <w:rPr>
          <w:b/>
          <w:sz w:val="26"/>
        </w:rPr>
        <w:t>1.</w:t>
      </w:r>
      <w:r w:rsidRPr="00950005">
        <w:rPr>
          <w:b/>
          <w:sz w:val="26"/>
        </w:rPr>
        <w:tab/>
        <w:t>CIRCUMSTANCES THAT MAKE THE COLLECTION OF INFORMATION NECESSARY</w:t>
      </w:r>
    </w:p>
    <w:p w:rsidR="009D6B6D" w:rsidRPr="00950005" w:rsidP="0085185A" w14:paraId="58198EB4" w14:textId="77777777">
      <w:pPr>
        <w:widowControl/>
        <w:rPr>
          <w:b/>
          <w:sz w:val="26"/>
        </w:rPr>
      </w:pPr>
    </w:p>
    <w:p w:rsidR="00744673" w:rsidRPr="00950005" w:rsidP="00744673" w14:paraId="4ADD6869" w14:textId="0A05781F">
      <w:pPr>
        <w:rPr>
          <w:sz w:val="26"/>
        </w:rPr>
      </w:pPr>
      <w:r w:rsidRPr="00950005">
        <w:rPr>
          <w:sz w:val="26"/>
        </w:rPr>
        <w:t xml:space="preserve">FERC-549 </w:t>
      </w:r>
      <w:r w:rsidRPr="00950005" w:rsidR="000025AC">
        <w:rPr>
          <w:sz w:val="26"/>
        </w:rPr>
        <w:t xml:space="preserve">enables the Commission to </w:t>
      </w:r>
      <w:r w:rsidRPr="00950005">
        <w:rPr>
          <w:sz w:val="26"/>
        </w:rPr>
        <w:t xml:space="preserve">implement portions of </w:t>
      </w:r>
      <w:r w:rsidRPr="00950005" w:rsidR="000025AC">
        <w:rPr>
          <w:sz w:val="26"/>
        </w:rPr>
        <w:t>s</w:t>
      </w:r>
      <w:r w:rsidRPr="00950005">
        <w:rPr>
          <w:sz w:val="26"/>
        </w:rPr>
        <w:t>ection 311 of the Natural Gas Policy Act (NGPA) (15 U.S.C. 3371)</w:t>
      </w:r>
      <w:r w:rsidRPr="00950005" w:rsidR="00AE7666">
        <w:rPr>
          <w:sz w:val="26"/>
        </w:rPr>
        <w:t xml:space="preserve"> and portions of </w:t>
      </w:r>
      <w:r w:rsidRPr="00950005" w:rsidR="007A43C1">
        <w:rPr>
          <w:sz w:val="26"/>
        </w:rPr>
        <w:t>s</w:t>
      </w:r>
      <w:r w:rsidRPr="00950005">
        <w:rPr>
          <w:sz w:val="26"/>
        </w:rPr>
        <w:t>ection</w:t>
      </w:r>
      <w:r w:rsidRPr="00950005" w:rsidR="00FF61FA">
        <w:rPr>
          <w:sz w:val="26"/>
        </w:rPr>
        <w:t>s 4 and</w:t>
      </w:r>
      <w:r w:rsidRPr="00950005">
        <w:rPr>
          <w:sz w:val="26"/>
        </w:rPr>
        <w:t xml:space="preserve"> 7 of the </w:t>
      </w:r>
      <w:r w:rsidRPr="00950005" w:rsidR="00844429">
        <w:rPr>
          <w:sz w:val="26"/>
        </w:rPr>
        <w:t xml:space="preserve">Natural </w:t>
      </w:r>
      <w:r w:rsidRPr="00950005" w:rsidR="00A87AB7">
        <w:rPr>
          <w:sz w:val="26"/>
        </w:rPr>
        <w:t>Gas</w:t>
      </w:r>
      <w:r w:rsidRPr="00950005" w:rsidR="00844429">
        <w:rPr>
          <w:sz w:val="26"/>
        </w:rPr>
        <w:t xml:space="preserve"> Act (</w:t>
      </w:r>
      <w:r w:rsidRPr="00950005">
        <w:rPr>
          <w:sz w:val="26"/>
        </w:rPr>
        <w:t>NGA</w:t>
      </w:r>
      <w:r w:rsidRPr="00950005" w:rsidR="00844429">
        <w:rPr>
          <w:sz w:val="26"/>
        </w:rPr>
        <w:t>)</w:t>
      </w:r>
      <w:r w:rsidRPr="00950005">
        <w:rPr>
          <w:sz w:val="26"/>
        </w:rPr>
        <w:t xml:space="preserve"> (15 U.S.C. </w:t>
      </w:r>
      <w:r w:rsidRPr="00950005" w:rsidR="00654B17">
        <w:rPr>
          <w:sz w:val="26"/>
        </w:rPr>
        <w:t>717</w:t>
      </w:r>
      <w:r w:rsidRPr="00950005" w:rsidR="008F6E46">
        <w:rPr>
          <w:sz w:val="26"/>
        </w:rPr>
        <w:t xml:space="preserve">c </w:t>
      </w:r>
      <w:r w:rsidRPr="00950005" w:rsidR="00BB7E1E">
        <w:rPr>
          <w:sz w:val="26"/>
        </w:rPr>
        <w:t xml:space="preserve">and </w:t>
      </w:r>
      <w:r w:rsidRPr="00950005">
        <w:rPr>
          <w:sz w:val="26"/>
        </w:rPr>
        <w:t>717f).</w:t>
      </w:r>
      <w:r w:rsidR="00847B6A">
        <w:rPr>
          <w:sz w:val="26"/>
        </w:rPr>
        <w:t xml:space="preserve"> </w:t>
      </w:r>
      <w:r w:rsidRPr="00950005">
        <w:rPr>
          <w:sz w:val="26"/>
        </w:rPr>
        <w:t xml:space="preserve">The </w:t>
      </w:r>
      <w:r w:rsidRPr="00950005" w:rsidR="00A600BF">
        <w:rPr>
          <w:sz w:val="26"/>
        </w:rPr>
        <w:t xml:space="preserve">relevant reporting requirements </w:t>
      </w:r>
      <w:r w:rsidRPr="00950005">
        <w:rPr>
          <w:sz w:val="26"/>
        </w:rPr>
        <w:t>are contained in 18 CFR Part 284.</w:t>
      </w:r>
    </w:p>
    <w:p w:rsidR="007A43C1" w:rsidRPr="00950005" w:rsidP="00744673" w14:paraId="2B5F8D10" w14:textId="7DAF5F23">
      <w:pPr>
        <w:rPr>
          <w:sz w:val="26"/>
        </w:rPr>
      </w:pPr>
    </w:p>
    <w:p w:rsidR="0086648A" w:rsidRPr="00950005" w:rsidP="00744673" w14:paraId="5A4E7A3F" w14:textId="740D2CF5">
      <w:pPr>
        <w:rPr>
          <w:sz w:val="26"/>
        </w:rPr>
      </w:pPr>
      <w:r w:rsidRPr="00950005">
        <w:rPr>
          <w:sz w:val="26"/>
        </w:rPr>
        <w:t xml:space="preserve">Section 311 of the NGPA authorizes FERC to allow </w:t>
      </w:r>
      <w:r w:rsidRPr="00950005" w:rsidR="00606C1E">
        <w:rPr>
          <w:sz w:val="26"/>
        </w:rPr>
        <w:t xml:space="preserve">interstate natural gas pipelines </w:t>
      </w:r>
      <w:r w:rsidRPr="00950005" w:rsidR="009529C5">
        <w:rPr>
          <w:sz w:val="26"/>
        </w:rPr>
        <w:t>and</w:t>
      </w:r>
      <w:r w:rsidRPr="00950005" w:rsidR="00606C1E">
        <w:rPr>
          <w:sz w:val="26"/>
        </w:rPr>
        <w:t xml:space="preserve"> </w:t>
      </w:r>
      <w:r w:rsidRPr="00950005">
        <w:rPr>
          <w:sz w:val="26"/>
        </w:rPr>
        <w:t xml:space="preserve">intrastate </w:t>
      </w:r>
      <w:r w:rsidRPr="00950005" w:rsidR="00606C1E">
        <w:rPr>
          <w:sz w:val="26"/>
        </w:rPr>
        <w:t xml:space="preserve">natural gas </w:t>
      </w:r>
      <w:r w:rsidRPr="00950005">
        <w:rPr>
          <w:sz w:val="26"/>
        </w:rPr>
        <w:t>pipelines</w:t>
      </w:r>
      <w:r w:rsidRPr="00950005" w:rsidR="00606C1E">
        <w:rPr>
          <w:sz w:val="26"/>
        </w:rPr>
        <w:t xml:space="preserve"> </w:t>
      </w:r>
      <w:r w:rsidRPr="00950005">
        <w:rPr>
          <w:sz w:val="26"/>
        </w:rPr>
        <w:t xml:space="preserve">to transport gas “on behalf of” </w:t>
      </w:r>
      <w:r w:rsidRPr="00950005" w:rsidR="00BB114F">
        <w:rPr>
          <w:sz w:val="26"/>
        </w:rPr>
        <w:t>other entities.</w:t>
      </w:r>
      <w:r w:rsidR="00847B6A">
        <w:rPr>
          <w:sz w:val="26"/>
        </w:rPr>
        <w:t xml:space="preserve"> </w:t>
      </w:r>
      <w:r w:rsidRPr="00950005" w:rsidR="00642F87">
        <w:rPr>
          <w:sz w:val="26"/>
        </w:rPr>
        <w:t>Congress enacted the NGPA to eliminate the regulatory barriers between the intrastate and interstate markets and to promote the entry of intrastate pipelines into the interstate market.</w:t>
      </w:r>
    </w:p>
    <w:p w:rsidR="0086648A" w:rsidRPr="00950005" w:rsidP="00744673" w14:paraId="5AEE0D89" w14:textId="77777777">
      <w:pPr>
        <w:rPr>
          <w:sz w:val="26"/>
        </w:rPr>
      </w:pPr>
    </w:p>
    <w:p w:rsidR="00A10FFC" w:rsidRPr="00950005" w:rsidP="00744673" w14:paraId="2878E91A" w14:textId="085B7301">
      <w:pPr>
        <w:rPr>
          <w:sz w:val="26"/>
        </w:rPr>
      </w:pPr>
      <w:r w:rsidRPr="00950005">
        <w:rPr>
          <w:sz w:val="26"/>
        </w:rPr>
        <w:t>Under section 311(a)(1) of the NGPA and 18 CFR 284.101 and 284.102, any interstate pipeline may transport natural gas without prior Commission approval “on behalf of” an intrastate pipeline or a local distribution company (LDC).</w:t>
      </w:r>
      <w:r w:rsidR="00847B6A">
        <w:rPr>
          <w:sz w:val="26"/>
        </w:rPr>
        <w:t xml:space="preserve"> </w:t>
      </w:r>
      <w:r w:rsidRPr="00950005">
        <w:rPr>
          <w:sz w:val="26"/>
        </w:rPr>
        <w:t xml:space="preserve">One of the conditions of this authorization is prior certification by the </w:t>
      </w:r>
      <w:r w:rsidRPr="00950005" w:rsidR="00552AF0">
        <w:rPr>
          <w:sz w:val="26"/>
        </w:rPr>
        <w:t xml:space="preserve">relevant </w:t>
      </w:r>
      <w:r w:rsidRPr="00950005">
        <w:rPr>
          <w:sz w:val="26"/>
        </w:rPr>
        <w:t xml:space="preserve">intrastate pipeline or LDC </w:t>
      </w:r>
      <w:r w:rsidRPr="00950005" w:rsidR="00AC087A">
        <w:rPr>
          <w:sz w:val="26"/>
        </w:rPr>
        <w:t xml:space="preserve">that </w:t>
      </w:r>
      <w:r w:rsidRPr="00950005">
        <w:rPr>
          <w:sz w:val="26"/>
        </w:rPr>
        <w:t>the interstate pipeline is providing transportation service on its behalf.</w:t>
      </w:r>
    </w:p>
    <w:p w:rsidR="00A10FFC" w:rsidRPr="00950005" w:rsidP="00744673" w14:paraId="4A8183F9" w14:textId="77777777">
      <w:pPr>
        <w:rPr>
          <w:sz w:val="26"/>
        </w:rPr>
      </w:pPr>
    </w:p>
    <w:p w:rsidR="004A165D" w:rsidRPr="00950005" w:rsidP="00D72046" w14:paraId="080A29A2" w14:textId="03503457">
      <w:pPr>
        <w:rPr>
          <w:sz w:val="26"/>
        </w:rPr>
      </w:pPr>
      <w:r w:rsidRPr="00950005">
        <w:rPr>
          <w:sz w:val="26"/>
        </w:rPr>
        <w:t xml:space="preserve">Under section 311(a)(2) of the NGPA and 18 CFR 284.122 and 284.123, any intrastate pipeline may, without prior Commission approval, transport natural gas on behalf of any interstate pipeline or </w:t>
      </w:r>
      <w:r w:rsidRPr="00950005" w:rsidR="00EB606A">
        <w:rPr>
          <w:sz w:val="26"/>
        </w:rPr>
        <w:t xml:space="preserve">on behalf of </w:t>
      </w:r>
      <w:r w:rsidRPr="00950005">
        <w:rPr>
          <w:sz w:val="26"/>
        </w:rPr>
        <w:t>any LDC served by an interstate pipeline</w:t>
      </w:r>
      <w:r w:rsidRPr="00950005" w:rsidR="00DE7F18">
        <w:rPr>
          <w:sz w:val="26"/>
        </w:rPr>
        <w:t xml:space="preserve"> so long as their rates are “fair and equitable” and do not “exceed an amount which is reasonably comparable to the rates and charges interstate pipelines would be permitted to charge for providing similar transportation services.”</w:t>
      </w:r>
    </w:p>
    <w:p w:rsidR="004A165D" w:rsidRPr="00950005" w14:paraId="36F49206" w14:textId="77777777">
      <w:pPr>
        <w:widowControl/>
        <w:autoSpaceDE/>
        <w:autoSpaceDN/>
        <w:adjustRightInd/>
        <w:spacing w:after="200" w:line="276" w:lineRule="auto"/>
        <w:rPr>
          <w:sz w:val="26"/>
        </w:rPr>
      </w:pPr>
      <w:r w:rsidRPr="00950005">
        <w:rPr>
          <w:sz w:val="26"/>
        </w:rPr>
        <w:br w:type="page"/>
      </w:r>
    </w:p>
    <w:p w:rsidR="008810BB" w:rsidRPr="00950005" w:rsidP="008810BB" w14:paraId="68B25EEC" w14:textId="3666596D">
      <w:pPr>
        <w:rPr>
          <w:sz w:val="26"/>
        </w:rPr>
      </w:pPr>
      <w:r w:rsidRPr="00950005">
        <w:rPr>
          <w:sz w:val="26"/>
        </w:rPr>
        <w:t xml:space="preserve">FERC reviews applications for construction and operation of natural gas pipelines under </w:t>
      </w:r>
      <w:r w:rsidRPr="00950005" w:rsidR="00BB0DF7">
        <w:rPr>
          <w:sz w:val="26"/>
        </w:rPr>
        <w:t xml:space="preserve">the </w:t>
      </w:r>
      <w:r w:rsidRPr="00950005">
        <w:rPr>
          <w:sz w:val="26"/>
        </w:rPr>
        <w:t xml:space="preserve">authority of section 7 of the </w:t>
      </w:r>
      <w:r w:rsidRPr="00950005" w:rsidR="007058C2">
        <w:rPr>
          <w:sz w:val="26"/>
        </w:rPr>
        <w:t>NGA</w:t>
      </w:r>
      <w:r w:rsidRPr="00950005">
        <w:rPr>
          <w:sz w:val="26"/>
        </w:rPr>
        <w:t>.</w:t>
      </w:r>
      <w:r w:rsidR="00847B6A">
        <w:rPr>
          <w:sz w:val="26"/>
        </w:rPr>
        <w:t xml:space="preserve"> </w:t>
      </w:r>
      <w:r w:rsidRPr="00950005">
        <w:rPr>
          <w:sz w:val="26"/>
        </w:rPr>
        <w:t>Under a blanket certificate issued pursuant to section 7(c) of the N</w:t>
      </w:r>
      <w:r w:rsidRPr="00950005" w:rsidR="007058C2">
        <w:rPr>
          <w:sz w:val="26"/>
        </w:rPr>
        <w:t>GA</w:t>
      </w:r>
      <w:r w:rsidRPr="00950005">
        <w:rPr>
          <w:sz w:val="26"/>
        </w:rPr>
        <w:t>, a natural gas company may undertake a restricted array of routine activities without the need to obtain a case-specific certificate for each individual project.</w:t>
      </w:r>
    </w:p>
    <w:p w:rsidR="00045B63" w:rsidRPr="00950005" w:rsidP="00C32AEC" w14:paraId="0FC35AB7" w14:textId="77777777">
      <w:pPr>
        <w:rPr>
          <w:sz w:val="26"/>
        </w:rPr>
      </w:pPr>
    </w:p>
    <w:p w:rsidR="00DD0349" w:rsidRPr="00950005" w:rsidP="00B709BE" w14:paraId="44BE70DE" w14:textId="06C88CE6">
      <w:pPr>
        <w:rPr>
          <w:sz w:val="26"/>
        </w:rPr>
      </w:pPr>
      <w:r w:rsidRPr="00950005">
        <w:rPr>
          <w:sz w:val="26"/>
        </w:rPr>
        <w:t>Under s</w:t>
      </w:r>
      <w:r w:rsidRPr="00950005" w:rsidR="00034298">
        <w:rPr>
          <w:sz w:val="26"/>
        </w:rPr>
        <w:t>ection 4(f) of the NGA</w:t>
      </w:r>
      <w:r w:rsidRPr="00950005" w:rsidR="00C946AC">
        <w:rPr>
          <w:sz w:val="26"/>
        </w:rPr>
        <w:t>,</w:t>
      </w:r>
      <w:r w:rsidRPr="00950005" w:rsidR="00034298">
        <w:rPr>
          <w:sz w:val="26"/>
        </w:rPr>
        <w:t xml:space="preserve"> </w:t>
      </w:r>
      <w:r w:rsidRPr="00950005">
        <w:rPr>
          <w:sz w:val="26"/>
        </w:rPr>
        <w:t xml:space="preserve">the Commission may authorize a natural gas company (or any person that will be a natural gas company on completion of any proposed construction) to provide storage and storage-related services at market-based rates </w:t>
      </w:r>
      <w:r w:rsidRPr="00950005" w:rsidR="00F70275">
        <w:rPr>
          <w:sz w:val="26"/>
        </w:rPr>
        <w:t xml:space="preserve">(MBRs) </w:t>
      </w:r>
      <w:r w:rsidRPr="00950005">
        <w:rPr>
          <w:sz w:val="26"/>
        </w:rPr>
        <w:t>for new storage capacity related to a specific facility placed in service after August 8, 2005, notwithstanding the fact that the company is unable to demonstrate that the company lacks market power, if the Commission determines that:</w:t>
      </w:r>
    </w:p>
    <w:p w:rsidR="00DD0349" w:rsidRPr="00950005" w:rsidP="00A04C25" w14:paraId="72D5A23F" w14:textId="77777777">
      <w:pPr>
        <w:ind w:left="720" w:hanging="720"/>
        <w:rPr>
          <w:sz w:val="26"/>
        </w:rPr>
      </w:pPr>
    </w:p>
    <w:p w:rsidR="00DD0349" w:rsidRPr="00950005" w:rsidP="00C7372F" w14:paraId="3C41C5DA" w14:textId="77777777">
      <w:pPr>
        <w:pStyle w:val="ListParagraph"/>
        <w:numPr>
          <w:ilvl w:val="0"/>
          <w:numId w:val="26"/>
        </w:numPr>
        <w:spacing w:after="0" w:line="240" w:lineRule="auto"/>
        <w:ind w:left="432" w:hanging="432"/>
        <w:rPr>
          <w:rFonts w:ascii="Times New Roman" w:hAnsi="Times New Roman"/>
          <w:sz w:val="26"/>
        </w:rPr>
      </w:pPr>
      <w:r w:rsidRPr="00950005">
        <w:rPr>
          <w:rFonts w:ascii="Times New Roman" w:hAnsi="Times New Roman"/>
          <w:sz w:val="26"/>
        </w:rPr>
        <w:t>M</w:t>
      </w:r>
      <w:r w:rsidRPr="00950005" w:rsidR="001F7EA1">
        <w:rPr>
          <w:rFonts w:ascii="Times New Roman" w:hAnsi="Times New Roman"/>
          <w:sz w:val="26"/>
        </w:rPr>
        <w:t xml:space="preserve">arket-based rates are </w:t>
      </w:r>
      <w:r w:rsidRPr="00950005" w:rsidR="001F7EA1">
        <w:rPr>
          <w:rFonts w:ascii="Times New Roman" w:hAnsi="Times New Roman"/>
          <w:sz w:val="26"/>
        </w:rPr>
        <w:t>in</w:t>
      </w:r>
      <w:r w:rsidRPr="00950005" w:rsidR="001F7EA1">
        <w:rPr>
          <w:rFonts w:ascii="Times New Roman" w:hAnsi="Times New Roman"/>
          <w:sz w:val="26"/>
        </w:rPr>
        <w:t xml:space="preserve"> the public interest and necessary to encourage the construction of the storage capacity in the </w:t>
      </w:r>
      <w:r w:rsidRPr="00950005" w:rsidR="001F7EA1">
        <w:rPr>
          <w:rFonts w:ascii="Times New Roman" w:hAnsi="Times New Roman"/>
          <w:sz w:val="26"/>
        </w:rPr>
        <w:t>area</w:t>
      </w:r>
      <w:r w:rsidRPr="00950005" w:rsidR="001F7EA1">
        <w:rPr>
          <w:rFonts w:ascii="Times New Roman" w:hAnsi="Times New Roman"/>
          <w:sz w:val="26"/>
        </w:rPr>
        <w:t xml:space="preserve"> needing storage services</w:t>
      </w:r>
      <w:r w:rsidRPr="00950005" w:rsidR="00092DD7">
        <w:rPr>
          <w:rFonts w:ascii="Times New Roman" w:hAnsi="Times New Roman"/>
          <w:sz w:val="26"/>
        </w:rPr>
        <w:t>,</w:t>
      </w:r>
      <w:r w:rsidRPr="00950005" w:rsidR="001F7EA1">
        <w:rPr>
          <w:rFonts w:ascii="Times New Roman" w:hAnsi="Times New Roman"/>
          <w:sz w:val="26"/>
        </w:rPr>
        <w:t xml:space="preserve"> and</w:t>
      </w:r>
    </w:p>
    <w:p w:rsidR="00A04C25" w:rsidRPr="00950005" w:rsidP="00C7372F" w14:paraId="7A0D8F92" w14:textId="77777777">
      <w:pPr>
        <w:pStyle w:val="ListParagraph"/>
        <w:numPr>
          <w:ilvl w:val="0"/>
          <w:numId w:val="26"/>
        </w:numPr>
        <w:spacing w:after="0" w:line="240" w:lineRule="auto"/>
        <w:ind w:left="432" w:hanging="432"/>
        <w:rPr>
          <w:rFonts w:ascii="Times New Roman" w:hAnsi="Times New Roman"/>
          <w:sz w:val="26"/>
        </w:rPr>
      </w:pPr>
      <w:r w:rsidRPr="00950005">
        <w:rPr>
          <w:rFonts w:ascii="Times New Roman" w:hAnsi="Times New Roman"/>
          <w:sz w:val="26"/>
        </w:rPr>
        <w:t>C</w:t>
      </w:r>
      <w:r w:rsidRPr="00950005" w:rsidR="001F7EA1">
        <w:rPr>
          <w:rFonts w:ascii="Times New Roman" w:hAnsi="Times New Roman"/>
          <w:sz w:val="26"/>
        </w:rPr>
        <w:t>ustomers are adequately protected.</w:t>
      </w:r>
    </w:p>
    <w:p w:rsidR="00A04C25" w:rsidRPr="00950005" w:rsidP="00A04C25" w14:paraId="330CCF89" w14:textId="77777777">
      <w:pPr>
        <w:rPr>
          <w:sz w:val="26"/>
        </w:rPr>
      </w:pPr>
    </w:p>
    <w:p w:rsidR="001F7EA1" w:rsidRPr="00950005" w:rsidP="00A04C25" w14:paraId="75604BCD" w14:textId="7549DCA1">
      <w:pPr>
        <w:rPr>
          <w:sz w:val="26"/>
        </w:rPr>
      </w:pPr>
      <w:r w:rsidRPr="00950005">
        <w:rPr>
          <w:sz w:val="26"/>
        </w:rPr>
        <w:t xml:space="preserve">In </w:t>
      </w:r>
      <w:r w:rsidRPr="00950005" w:rsidR="00092DD7">
        <w:rPr>
          <w:sz w:val="26"/>
        </w:rPr>
        <w:t xml:space="preserve">addition, </w:t>
      </w:r>
      <w:r w:rsidRPr="00950005" w:rsidR="000568D3">
        <w:rPr>
          <w:sz w:val="26"/>
        </w:rPr>
        <w:t xml:space="preserve">section 4(f) requires the Commission to </w:t>
      </w:r>
      <w:r w:rsidRPr="00950005">
        <w:rPr>
          <w:sz w:val="26"/>
        </w:rPr>
        <w:t>ensure that reasonable terms and conditions are in place to protect consumers</w:t>
      </w:r>
      <w:r w:rsidRPr="00950005" w:rsidR="00B709BE">
        <w:rPr>
          <w:sz w:val="26"/>
        </w:rPr>
        <w:t>, and to</w:t>
      </w:r>
      <w:r w:rsidRPr="00950005">
        <w:rPr>
          <w:sz w:val="26"/>
        </w:rPr>
        <w:t xml:space="preserve"> </w:t>
      </w:r>
      <w:r w:rsidRPr="00950005" w:rsidR="00B709BE">
        <w:rPr>
          <w:sz w:val="26"/>
        </w:rPr>
        <w:t>“</w:t>
      </w:r>
      <w:r w:rsidRPr="00950005">
        <w:rPr>
          <w:sz w:val="26"/>
        </w:rPr>
        <w:t>review periodically</w:t>
      </w:r>
      <w:r w:rsidRPr="00950005" w:rsidR="00F70275">
        <w:rPr>
          <w:sz w:val="26"/>
        </w:rPr>
        <w:t>”</w:t>
      </w:r>
      <w:r w:rsidRPr="00950005">
        <w:rPr>
          <w:sz w:val="26"/>
        </w:rPr>
        <w:t xml:space="preserve"> whether the </w:t>
      </w:r>
      <w:r w:rsidRPr="00950005" w:rsidR="00F70275">
        <w:rPr>
          <w:sz w:val="26"/>
        </w:rPr>
        <w:t xml:space="preserve">MBR </w:t>
      </w:r>
      <w:r w:rsidRPr="00950005">
        <w:rPr>
          <w:sz w:val="26"/>
        </w:rPr>
        <w:t>is just, reasonable, and not unduly discriminatory or preferential.</w:t>
      </w:r>
    </w:p>
    <w:p w:rsidR="00D50AB5" w:rsidRPr="00950005" w:rsidP="00C32AEC" w14:paraId="2BD6367B" w14:textId="77777777">
      <w:pPr>
        <w:rPr>
          <w:sz w:val="26"/>
        </w:rPr>
      </w:pPr>
    </w:p>
    <w:p w:rsidR="00E837C6" w:rsidRPr="00950005" w:rsidP="00C32AEC" w14:paraId="248F2937" w14:textId="725D7770">
      <w:pPr>
        <w:rPr>
          <w:sz w:val="26"/>
        </w:rPr>
      </w:pPr>
      <w:r w:rsidRPr="00950005">
        <w:rPr>
          <w:sz w:val="26"/>
        </w:rPr>
        <w:t>Finally, t</w:t>
      </w:r>
      <w:r w:rsidRPr="00950005" w:rsidR="00FC22AB">
        <w:rPr>
          <w:sz w:val="26"/>
        </w:rPr>
        <w:t xml:space="preserve">he </w:t>
      </w:r>
      <w:r w:rsidRPr="00950005" w:rsidR="004C4BB5">
        <w:rPr>
          <w:sz w:val="26"/>
        </w:rPr>
        <w:t>Commission authorize</w:t>
      </w:r>
      <w:r w:rsidRPr="00950005" w:rsidR="00FC22AB">
        <w:rPr>
          <w:sz w:val="26"/>
        </w:rPr>
        <w:t>s</w:t>
      </w:r>
      <w:r w:rsidRPr="00950005" w:rsidR="004C4BB5">
        <w:rPr>
          <w:sz w:val="26"/>
        </w:rPr>
        <w:t xml:space="preserve"> </w:t>
      </w:r>
      <w:r w:rsidRPr="00950005" w:rsidR="00B613FC">
        <w:rPr>
          <w:sz w:val="26"/>
        </w:rPr>
        <w:t xml:space="preserve">LDCs and </w:t>
      </w:r>
      <w:r w:rsidRPr="00950005" w:rsidR="004C4BB5">
        <w:rPr>
          <w:sz w:val="26"/>
        </w:rPr>
        <w:t>Hinshaw pipelines</w:t>
      </w:r>
      <w:r>
        <w:rPr>
          <w:rStyle w:val="FootnoteReference"/>
          <w:sz w:val="26"/>
          <w:vertAlign w:val="superscript"/>
        </w:rPr>
        <w:footnoteReference w:id="3"/>
      </w:r>
      <w:r w:rsidRPr="00950005" w:rsidR="000B087D">
        <w:rPr>
          <w:sz w:val="26"/>
        </w:rPr>
        <w:t xml:space="preserve"> </w:t>
      </w:r>
      <w:r w:rsidRPr="00950005" w:rsidR="004C4BB5">
        <w:rPr>
          <w:sz w:val="26"/>
        </w:rPr>
        <w:t xml:space="preserve">to apply for NGA section 7 </w:t>
      </w:r>
      <w:r w:rsidRPr="00950005" w:rsidR="006F7E5A">
        <w:rPr>
          <w:sz w:val="26"/>
        </w:rPr>
        <w:t xml:space="preserve">blanket </w:t>
      </w:r>
      <w:r w:rsidRPr="00950005" w:rsidR="004C4BB5">
        <w:rPr>
          <w:sz w:val="26"/>
        </w:rPr>
        <w:t>certificates</w:t>
      </w:r>
      <w:r w:rsidRPr="00950005" w:rsidR="00FC22AB">
        <w:rPr>
          <w:sz w:val="26"/>
        </w:rPr>
        <w:t xml:space="preserve"> in accordance with </w:t>
      </w:r>
      <w:r w:rsidRPr="00950005" w:rsidR="00AB77F9">
        <w:rPr>
          <w:sz w:val="26"/>
        </w:rPr>
        <w:t xml:space="preserve">18 CFR </w:t>
      </w:r>
      <w:r w:rsidRPr="00950005" w:rsidR="004C4BB5">
        <w:rPr>
          <w:sz w:val="26"/>
        </w:rPr>
        <w:t>284.224</w:t>
      </w:r>
      <w:r w:rsidRPr="00950005" w:rsidR="005A6FCC">
        <w:rPr>
          <w:sz w:val="26"/>
        </w:rPr>
        <w:t>(b)(3)</w:t>
      </w:r>
      <w:r w:rsidRPr="00950005" w:rsidR="00110DAB">
        <w:rPr>
          <w:sz w:val="26"/>
        </w:rPr>
        <w:t>.</w:t>
      </w:r>
      <w:r w:rsidR="00847B6A">
        <w:rPr>
          <w:sz w:val="26"/>
        </w:rPr>
        <w:t xml:space="preserve"> </w:t>
      </w:r>
      <w:r w:rsidRPr="00950005" w:rsidR="00D57FEF">
        <w:rPr>
          <w:sz w:val="26"/>
        </w:rPr>
        <w:t xml:space="preserve">A blanket certificate </w:t>
      </w:r>
      <w:r w:rsidRPr="00950005" w:rsidR="005A6FCC">
        <w:rPr>
          <w:sz w:val="26"/>
        </w:rPr>
        <w:t>authorize</w:t>
      </w:r>
      <w:r w:rsidRPr="00950005" w:rsidR="00D57FEF">
        <w:rPr>
          <w:sz w:val="26"/>
        </w:rPr>
        <w:t>s</w:t>
      </w:r>
      <w:r w:rsidRPr="00950005" w:rsidR="005A6FCC">
        <w:rPr>
          <w:sz w:val="26"/>
        </w:rPr>
        <w:t xml:space="preserve"> a</w:t>
      </w:r>
      <w:r w:rsidRPr="00950005" w:rsidR="00295CD3">
        <w:rPr>
          <w:sz w:val="26"/>
        </w:rPr>
        <w:t>n LDC</w:t>
      </w:r>
      <w:r w:rsidRPr="00950005" w:rsidR="00110DAB">
        <w:rPr>
          <w:sz w:val="26"/>
        </w:rPr>
        <w:t xml:space="preserve"> or </w:t>
      </w:r>
      <w:r w:rsidRPr="00950005" w:rsidR="005A6FCC">
        <w:rPr>
          <w:sz w:val="26"/>
        </w:rPr>
        <w:t>Hinshaw pipeline to operate subject to FERC's jurisdiction under the NGA to the same extent as an interstate pipelin</w:t>
      </w:r>
      <w:r w:rsidRPr="00950005" w:rsidR="00331BAA">
        <w:rPr>
          <w:sz w:val="26"/>
        </w:rPr>
        <w:t>e</w:t>
      </w:r>
      <w:r w:rsidRPr="00950005" w:rsidR="00380D7B">
        <w:rPr>
          <w:sz w:val="26"/>
        </w:rPr>
        <w:t>, except as to the method of setting rates</w:t>
      </w:r>
      <w:r w:rsidRPr="00950005" w:rsidR="00331BAA">
        <w:rPr>
          <w:sz w:val="26"/>
        </w:rPr>
        <w:t>.</w:t>
      </w:r>
    </w:p>
    <w:p w:rsidR="007058C2" w:rsidRPr="00950005" w:rsidP="00C32AEC" w14:paraId="0A9C025D" w14:textId="56A29345">
      <w:pPr>
        <w:rPr>
          <w:sz w:val="26"/>
        </w:rPr>
      </w:pPr>
    </w:p>
    <w:p w:rsidR="008F68F7" w:rsidRPr="00950005" w:rsidP="008F68F7" w14:paraId="09D17D15" w14:textId="77777777">
      <w:pPr>
        <w:pStyle w:val="FERCparanumber"/>
        <w:numPr>
          <w:ilvl w:val="0"/>
          <w:numId w:val="9"/>
        </w:numPr>
        <w:tabs>
          <w:tab w:val="left" w:pos="720"/>
          <w:tab w:val="left" w:pos="4860"/>
        </w:tabs>
        <w:ind w:hanging="720"/>
      </w:pPr>
      <w:r w:rsidRPr="00950005">
        <w:rPr>
          <w:b/>
        </w:rPr>
        <w:t>HOW, BY WHOM AND FOR WHAT PURPOSE IS THE INFORMATION USED AND THE CONSEQUENCES OF NOT COLLECTING THE INFORMATION</w:t>
      </w:r>
    </w:p>
    <w:p w:rsidR="002C3008" w:rsidRPr="00950005" w:rsidP="002C3008" w14:paraId="06CEBAB4" w14:textId="2B2DAF20">
      <w:pPr>
        <w:pStyle w:val="FERCparanumber"/>
        <w:numPr>
          <w:ilvl w:val="0"/>
          <w:numId w:val="0"/>
        </w:numPr>
        <w:tabs>
          <w:tab w:val="left" w:pos="720"/>
          <w:tab w:val="left" w:pos="4860"/>
        </w:tabs>
        <w:rPr>
          <w:b/>
          <w:u w:val="single"/>
        </w:rPr>
      </w:pPr>
    </w:p>
    <w:p w:rsidR="003558CF" w:rsidP="00233DDD" w14:paraId="0908F58A" w14:textId="1D28F11A">
      <w:pPr>
        <w:pStyle w:val="FERCparanumber"/>
        <w:numPr>
          <w:ilvl w:val="0"/>
          <w:numId w:val="0"/>
        </w:numPr>
        <w:tabs>
          <w:tab w:val="left" w:pos="720"/>
          <w:tab w:val="left" w:pos="4860"/>
        </w:tabs>
        <w:ind w:left="432"/>
        <w:rPr>
          <w:b/>
        </w:rPr>
      </w:pPr>
    </w:p>
    <w:p w:rsidR="00C9104D" w:rsidP="00C9104D" w14:paraId="46B63C8D" w14:textId="7BB4214D">
      <w:pPr>
        <w:pStyle w:val="FERCparanumber"/>
        <w:numPr>
          <w:ilvl w:val="0"/>
          <w:numId w:val="0"/>
        </w:numPr>
        <w:tabs>
          <w:tab w:val="left" w:pos="720"/>
          <w:tab w:val="left" w:pos="4860"/>
        </w:tabs>
        <w:rPr>
          <w:b/>
        </w:rPr>
      </w:pPr>
      <w:r>
        <w:rPr>
          <w:b/>
          <w:u w:val="single"/>
        </w:rPr>
        <w:t>Transportation by Interstate Pipelines</w:t>
      </w:r>
    </w:p>
    <w:p w:rsidR="00C9104D" w:rsidP="00C9104D" w14:paraId="486E7D95" w14:textId="60D9FAC6">
      <w:pPr>
        <w:pStyle w:val="FERCparanumber"/>
        <w:numPr>
          <w:ilvl w:val="0"/>
          <w:numId w:val="0"/>
        </w:numPr>
        <w:tabs>
          <w:tab w:val="left" w:pos="720"/>
          <w:tab w:val="left" w:pos="4860"/>
        </w:tabs>
        <w:rPr>
          <w:b/>
        </w:rPr>
      </w:pPr>
    </w:p>
    <w:p w:rsidR="00C9104D" w:rsidRPr="00BF17A0" w:rsidP="00C9104D" w14:paraId="384A38D6" w14:textId="7202E0C8">
      <w:pPr>
        <w:rPr>
          <w:sz w:val="26"/>
          <w:szCs w:val="26"/>
        </w:rPr>
      </w:pPr>
      <w:r w:rsidRPr="00BF17A0">
        <w:rPr>
          <w:sz w:val="26"/>
          <w:szCs w:val="26"/>
        </w:rPr>
        <w:t xml:space="preserve">Under section 311(a)(1) of the NGPA and 18 CFR 284.101 and 284.102, any interstate pipeline may transport natural gas without prior Commission approval “on behalf of” an </w:t>
      </w:r>
      <w:r w:rsidRPr="00BF17A0">
        <w:rPr>
          <w:sz w:val="26"/>
          <w:szCs w:val="26"/>
        </w:rPr>
        <w:t>intrastate pipeline or “on behalf of” a local distribution company (LDC).</w:t>
      </w:r>
      <w:r w:rsidRPr="00BF17A0" w:rsidR="00847B6A">
        <w:rPr>
          <w:sz w:val="26"/>
          <w:szCs w:val="26"/>
        </w:rPr>
        <w:t xml:space="preserve"> </w:t>
      </w:r>
      <w:r w:rsidRPr="00BF17A0">
        <w:rPr>
          <w:sz w:val="26"/>
          <w:szCs w:val="26"/>
        </w:rPr>
        <w:t xml:space="preserve"> The regulation at 18 CFR 284.102(d) provides that the transportation is not “on behalf of” an intrastate pipeline or an LDC unless one of three conditions is met:</w:t>
      </w:r>
    </w:p>
    <w:p w:rsidR="00514235" w:rsidRPr="00BF17A0" w:rsidP="00C9104D" w14:paraId="7AB849A8" w14:textId="77777777">
      <w:pPr>
        <w:rPr>
          <w:sz w:val="26"/>
          <w:szCs w:val="26"/>
        </w:rPr>
      </w:pPr>
    </w:p>
    <w:p w:rsidR="00C9104D" w:rsidRPr="00BF17A0" w:rsidP="00C9104D" w14:paraId="12733E90" w14:textId="77777777">
      <w:pPr>
        <w:numPr>
          <w:ilvl w:val="0"/>
          <w:numId w:val="16"/>
        </w:numPr>
        <w:rPr>
          <w:sz w:val="26"/>
          <w:szCs w:val="26"/>
        </w:rPr>
      </w:pPr>
      <w:r w:rsidRPr="00BF17A0">
        <w:rPr>
          <w:sz w:val="26"/>
          <w:szCs w:val="26"/>
        </w:rPr>
        <w:t xml:space="preserve">The interstate pipeline or LDC has physical custody of and transports the natural gas at some </w:t>
      </w:r>
      <w:r w:rsidRPr="00BF17A0">
        <w:rPr>
          <w:sz w:val="26"/>
          <w:szCs w:val="26"/>
        </w:rPr>
        <w:t>point;</w:t>
      </w:r>
    </w:p>
    <w:p w:rsidR="00C9104D" w:rsidRPr="00BF17A0" w:rsidP="00C9104D" w14:paraId="6A33E577" w14:textId="77777777">
      <w:pPr>
        <w:numPr>
          <w:ilvl w:val="0"/>
          <w:numId w:val="16"/>
        </w:numPr>
        <w:rPr>
          <w:sz w:val="26"/>
          <w:szCs w:val="26"/>
        </w:rPr>
      </w:pPr>
      <w:r w:rsidRPr="00BF17A0">
        <w:rPr>
          <w:sz w:val="26"/>
          <w:szCs w:val="26"/>
        </w:rPr>
        <w:t>The intrastate pipeline or LDC holds title to the natural gas at some point, which may occur prior to, during, or after the time that the gas is being transported by the interstate pipeline, for a purpose related to its status and functions as a local distribution company; or</w:t>
      </w:r>
    </w:p>
    <w:p w:rsidR="00C9104D" w:rsidRPr="00BF17A0" w:rsidP="00C9104D" w14:paraId="63F6E730" w14:textId="3CBA24F0">
      <w:pPr>
        <w:numPr>
          <w:ilvl w:val="0"/>
          <w:numId w:val="16"/>
        </w:numPr>
        <w:rPr>
          <w:sz w:val="26"/>
          <w:szCs w:val="26"/>
        </w:rPr>
      </w:pPr>
      <w:r w:rsidRPr="00BF17A0">
        <w:rPr>
          <w:sz w:val="26"/>
          <w:szCs w:val="26"/>
        </w:rPr>
        <w:t xml:space="preserve">The gas is delivered at some point to a customer that either </w:t>
      </w:r>
      <w:r w:rsidRPr="00BF17A0" w:rsidR="00A46088">
        <w:rPr>
          <w:sz w:val="26"/>
          <w:szCs w:val="26"/>
        </w:rPr>
        <w:t>is in</w:t>
      </w:r>
      <w:r w:rsidRPr="00BF17A0">
        <w:rPr>
          <w:sz w:val="26"/>
          <w:szCs w:val="26"/>
        </w:rPr>
        <w:t xml:space="preserve"> an LDC’s service area or is physically able to receive direct deliveries of gas from an intrastate pipeline, and the LDC or intrastate pipeline certifies that it is on its behalf that the interstate pipeline is providing transportation service.</w:t>
      </w:r>
    </w:p>
    <w:p w:rsidR="006D6972" w:rsidRPr="00BF17A0" w:rsidP="00C9104D" w14:paraId="31D7F9CB" w14:textId="77777777">
      <w:pPr>
        <w:rPr>
          <w:sz w:val="26"/>
          <w:szCs w:val="26"/>
        </w:rPr>
      </w:pPr>
    </w:p>
    <w:p w:rsidR="00C9104D" w:rsidRPr="00BF17A0" w:rsidP="00C9104D" w14:paraId="120FF7EE" w14:textId="6BA72B1F">
      <w:pPr>
        <w:rPr>
          <w:sz w:val="26"/>
          <w:szCs w:val="26"/>
        </w:rPr>
      </w:pPr>
      <w:r w:rsidRPr="00BF17A0">
        <w:rPr>
          <w:sz w:val="26"/>
          <w:szCs w:val="26"/>
        </w:rPr>
        <w:t xml:space="preserve">The certification requirement in the third condition described at 18 CFR 284.102(d)(3) </w:t>
      </w:r>
      <w:r w:rsidRPr="00BF17A0" w:rsidR="00A365BE">
        <w:rPr>
          <w:sz w:val="26"/>
          <w:szCs w:val="26"/>
        </w:rPr>
        <w:t>is</w:t>
      </w:r>
      <w:r w:rsidRPr="00BF17A0" w:rsidR="00847B6A">
        <w:rPr>
          <w:sz w:val="26"/>
          <w:szCs w:val="26"/>
        </w:rPr>
        <w:t xml:space="preserve"> </w:t>
      </w:r>
      <w:r w:rsidRPr="00BF17A0">
        <w:rPr>
          <w:sz w:val="26"/>
          <w:szCs w:val="26"/>
        </w:rPr>
        <w:t xml:space="preserve">included in the burden table (below) as part of the information collection activity labeled “Transportation by </w:t>
      </w:r>
      <w:r w:rsidRPr="00BF17A0" w:rsidR="001252A3">
        <w:rPr>
          <w:sz w:val="26"/>
          <w:szCs w:val="26"/>
        </w:rPr>
        <w:t xml:space="preserve">Interstate </w:t>
      </w:r>
      <w:r w:rsidRPr="00BF17A0">
        <w:rPr>
          <w:sz w:val="26"/>
          <w:szCs w:val="26"/>
        </w:rPr>
        <w:t>Pipelines.”</w:t>
      </w:r>
      <w:r w:rsidRPr="00BF17A0" w:rsidR="00847B6A">
        <w:rPr>
          <w:sz w:val="26"/>
          <w:szCs w:val="26"/>
        </w:rPr>
        <w:t xml:space="preserve"> </w:t>
      </w:r>
      <w:r w:rsidRPr="00BF17A0">
        <w:rPr>
          <w:sz w:val="26"/>
          <w:szCs w:val="26"/>
        </w:rPr>
        <w:t>Before commencing service as described in paragraph (d)(3), the interstate pipeline that is providing the transportation must receive certification from the pertinent LDC or intrastate pipeline consisting of a letter from the intrastate pipeline or LDC authorizing the interstate pipeline to ship gas on its behalf, and sufficient information to verify that the service qualifies under 18 CFR 284.102.</w:t>
      </w:r>
    </w:p>
    <w:p w:rsidR="00E85B5B" w:rsidRPr="00BF17A0" w:rsidP="00C9104D" w14:paraId="4D682703" w14:textId="3695C0AD">
      <w:pPr>
        <w:rPr>
          <w:sz w:val="26"/>
          <w:szCs w:val="26"/>
        </w:rPr>
      </w:pPr>
    </w:p>
    <w:p w:rsidR="00E85B5B" w:rsidRPr="00BF17A0" w:rsidP="00C9104D" w14:paraId="2A0D7ED2" w14:textId="14E89C46">
      <w:pPr>
        <w:rPr>
          <w:sz w:val="26"/>
          <w:szCs w:val="26"/>
        </w:rPr>
      </w:pPr>
      <w:r w:rsidRPr="00BF17A0">
        <w:rPr>
          <w:sz w:val="26"/>
          <w:szCs w:val="26"/>
        </w:rPr>
        <w:t xml:space="preserve">The public notices published as part of this information collection request incorrectly </w:t>
      </w:r>
      <w:r w:rsidRPr="00BF17A0" w:rsidR="00B76221">
        <w:rPr>
          <w:sz w:val="26"/>
          <w:szCs w:val="26"/>
        </w:rPr>
        <w:t xml:space="preserve">identified a posting requirement as part of </w:t>
      </w:r>
      <w:r w:rsidRPr="00BF17A0" w:rsidR="005659AB">
        <w:rPr>
          <w:sz w:val="26"/>
          <w:szCs w:val="26"/>
        </w:rPr>
        <w:t xml:space="preserve">the </w:t>
      </w:r>
      <w:r w:rsidRPr="00BF17A0" w:rsidR="00DB6161">
        <w:rPr>
          <w:sz w:val="26"/>
          <w:szCs w:val="26"/>
        </w:rPr>
        <w:t>request.</w:t>
      </w:r>
      <w:r w:rsidRPr="00BF17A0" w:rsidR="00847B6A">
        <w:rPr>
          <w:sz w:val="26"/>
          <w:szCs w:val="26"/>
        </w:rPr>
        <w:t xml:space="preserve"> </w:t>
      </w:r>
      <w:r w:rsidRPr="00BF17A0" w:rsidR="00DB6161">
        <w:rPr>
          <w:sz w:val="26"/>
          <w:szCs w:val="26"/>
        </w:rPr>
        <w:t>In fact, the posting requirement has been approved by OMB as part of FERC-549B</w:t>
      </w:r>
      <w:r w:rsidRPr="00BF17A0" w:rsidR="00085BBE">
        <w:rPr>
          <w:sz w:val="26"/>
          <w:szCs w:val="26"/>
        </w:rPr>
        <w:t xml:space="preserve"> and is no longer included in this request.</w:t>
      </w:r>
    </w:p>
    <w:p w:rsidR="00C9104D" w:rsidRPr="000A6D72" w:rsidP="00BB27CD" w14:paraId="25767119" w14:textId="77777777">
      <w:pPr>
        <w:pStyle w:val="FERCparanumber"/>
        <w:numPr>
          <w:ilvl w:val="0"/>
          <w:numId w:val="0"/>
        </w:numPr>
        <w:tabs>
          <w:tab w:val="left" w:pos="720"/>
          <w:tab w:val="left" w:pos="4860"/>
        </w:tabs>
        <w:rPr>
          <w:b/>
          <w:szCs w:val="26"/>
        </w:rPr>
      </w:pPr>
    </w:p>
    <w:p w:rsidR="00E81557" w:rsidRPr="000A6D72" w:rsidP="0021208A" w14:paraId="3D268CFF" w14:textId="6940D8A9">
      <w:pPr>
        <w:rPr>
          <w:sz w:val="26"/>
          <w:szCs w:val="26"/>
          <w:u w:val="single"/>
        </w:rPr>
      </w:pPr>
      <w:r w:rsidRPr="000A6D72">
        <w:rPr>
          <w:sz w:val="26"/>
          <w:szCs w:val="26"/>
          <w:u w:val="single"/>
        </w:rPr>
        <w:t xml:space="preserve">Transportation </w:t>
      </w:r>
      <w:r w:rsidRPr="000A6D72" w:rsidR="008F5484">
        <w:rPr>
          <w:sz w:val="26"/>
          <w:szCs w:val="26"/>
          <w:u w:val="single"/>
        </w:rPr>
        <w:t>by</w:t>
      </w:r>
      <w:r w:rsidRPr="000A6D72">
        <w:rPr>
          <w:sz w:val="26"/>
          <w:szCs w:val="26"/>
          <w:u w:val="single"/>
        </w:rPr>
        <w:t xml:space="preserve"> Intrastate Pipelines</w:t>
      </w:r>
    </w:p>
    <w:p w:rsidR="0021208A" w:rsidRPr="000A6D72" w:rsidP="0021208A" w14:paraId="3F61439A" w14:textId="77777777">
      <w:pPr>
        <w:rPr>
          <w:sz w:val="26"/>
          <w:szCs w:val="26"/>
        </w:rPr>
      </w:pPr>
    </w:p>
    <w:p w:rsidR="00EF0D79" w:rsidRPr="000A6D72" w:rsidP="00EF0D79" w14:paraId="650488B7" w14:textId="6B615705">
      <w:pPr>
        <w:rPr>
          <w:sz w:val="26"/>
          <w:szCs w:val="26"/>
          <w:u w:val="single"/>
        </w:rPr>
      </w:pPr>
      <w:r w:rsidRPr="000A6D72">
        <w:rPr>
          <w:sz w:val="26"/>
          <w:szCs w:val="26"/>
        </w:rPr>
        <w:t xml:space="preserve">18 CFR 284.123(b) provides that intrastate gas pipeline companies </w:t>
      </w:r>
      <w:r w:rsidRPr="000A6D72" w:rsidR="00E81557">
        <w:rPr>
          <w:sz w:val="26"/>
          <w:szCs w:val="26"/>
        </w:rPr>
        <w:t xml:space="preserve">may </w:t>
      </w:r>
      <w:r w:rsidRPr="000A6D72">
        <w:rPr>
          <w:sz w:val="26"/>
          <w:szCs w:val="26"/>
        </w:rPr>
        <w:t>file for Commission approval of rates for services performed in the interstate transportation of gas.</w:t>
      </w:r>
      <w:r w:rsidRPr="000A6D72" w:rsidR="00847B6A">
        <w:rPr>
          <w:sz w:val="26"/>
          <w:szCs w:val="26"/>
        </w:rPr>
        <w:t xml:space="preserve"> </w:t>
      </w:r>
      <w:r w:rsidRPr="000A6D72">
        <w:rPr>
          <w:sz w:val="26"/>
          <w:szCs w:val="26"/>
        </w:rPr>
        <w:t>An intrastate gas pipeline company may elect to use rates contained in one of its then</w:t>
      </w:r>
      <w:r w:rsidRPr="000A6D72" w:rsidR="007D38B3">
        <w:rPr>
          <w:sz w:val="26"/>
          <w:szCs w:val="26"/>
        </w:rPr>
        <w:t>-</w:t>
      </w:r>
      <w:r w:rsidRPr="000A6D72">
        <w:rPr>
          <w:sz w:val="26"/>
          <w:szCs w:val="26"/>
        </w:rPr>
        <w:t>effective transportation rate schedules on file with an appropriate state regulatory agency for intrastate service comparable to the interstate service or file for approval of rates and supporting information showing the rates are cost based and are fair and equitable.</w:t>
      </w:r>
      <w:r w:rsidRPr="000A6D72" w:rsidR="00847B6A">
        <w:rPr>
          <w:sz w:val="26"/>
          <w:szCs w:val="26"/>
        </w:rPr>
        <w:t xml:space="preserve"> </w:t>
      </w:r>
      <w:r w:rsidRPr="000A6D72">
        <w:rPr>
          <w:sz w:val="26"/>
          <w:szCs w:val="26"/>
        </w:rPr>
        <w:t xml:space="preserve">Failure to collect this information would prevent the Commission from sufficient monitoring and evaluation of pipeline transactions </w:t>
      </w:r>
      <w:r w:rsidRPr="000A6D72" w:rsidR="00C6054F">
        <w:rPr>
          <w:sz w:val="26"/>
          <w:szCs w:val="26"/>
        </w:rPr>
        <w:t>to m</w:t>
      </w:r>
      <w:r w:rsidRPr="000A6D72" w:rsidR="009131DC">
        <w:rPr>
          <w:sz w:val="26"/>
          <w:szCs w:val="26"/>
        </w:rPr>
        <w:t xml:space="preserve">eet its </w:t>
      </w:r>
      <w:r w:rsidRPr="000A6D72">
        <w:rPr>
          <w:sz w:val="26"/>
          <w:szCs w:val="26"/>
        </w:rPr>
        <w:t xml:space="preserve">statutory obligations under </w:t>
      </w:r>
      <w:r w:rsidRPr="000A6D72" w:rsidR="00FD5398">
        <w:rPr>
          <w:sz w:val="26"/>
          <w:szCs w:val="26"/>
        </w:rPr>
        <w:t>t</w:t>
      </w:r>
      <w:r w:rsidRPr="000A6D72">
        <w:rPr>
          <w:sz w:val="26"/>
          <w:szCs w:val="26"/>
        </w:rPr>
        <w:t>he NGPA and the NGA.</w:t>
      </w:r>
      <w:r w:rsidRPr="000A6D72" w:rsidR="00847B6A">
        <w:rPr>
          <w:sz w:val="26"/>
          <w:szCs w:val="26"/>
        </w:rPr>
        <w:t xml:space="preserve"> </w:t>
      </w:r>
    </w:p>
    <w:p w:rsidR="004A0E48" w:rsidRPr="000A6D72" w:rsidP="0021208A" w14:paraId="20043CDB" w14:textId="77777777">
      <w:pPr>
        <w:rPr>
          <w:sz w:val="26"/>
          <w:szCs w:val="26"/>
        </w:rPr>
      </w:pPr>
    </w:p>
    <w:p w:rsidR="0021208A" w:rsidRPr="000A6D72" w:rsidP="0021208A" w14:paraId="116B2E9C" w14:textId="7940069A">
      <w:pPr>
        <w:rPr>
          <w:sz w:val="26"/>
          <w:szCs w:val="26"/>
        </w:rPr>
      </w:pPr>
      <w:r w:rsidRPr="000A6D72">
        <w:rPr>
          <w:sz w:val="26"/>
          <w:szCs w:val="26"/>
        </w:rPr>
        <w:t>Within 150 days after the application is filed for approval of cost</w:t>
      </w:r>
      <w:r w:rsidRPr="000A6D72" w:rsidR="00822E22">
        <w:rPr>
          <w:sz w:val="26"/>
          <w:szCs w:val="26"/>
        </w:rPr>
        <w:t>-</w:t>
      </w:r>
      <w:r w:rsidRPr="000A6D72">
        <w:rPr>
          <w:sz w:val="26"/>
          <w:szCs w:val="26"/>
        </w:rPr>
        <w:t>based rates</w:t>
      </w:r>
      <w:r w:rsidRPr="000A6D72" w:rsidR="004F3BFD">
        <w:rPr>
          <w:sz w:val="26"/>
          <w:szCs w:val="26"/>
        </w:rPr>
        <w:t>,</w:t>
      </w:r>
      <w:r w:rsidRPr="000A6D72">
        <w:rPr>
          <w:sz w:val="26"/>
          <w:szCs w:val="26"/>
        </w:rPr>
        <w:t xml:space="preserve"> the rate is deemed to be fair and equitable unless the Commission either extends the time for action, </w:t>
      </w:r>
      <w:r w:rsidRPr="000A6D72">
        <w:rPr>
          <w:sz w:val="26"/>
          <w:szCs w:val="26"/>
        </w:rPr>
        <w:t>institutes a proceeding</w:t>
      </w:r>
      <w:r w:rsidRPr="000A6D72" w:rsidR="004F3BFD">
        <w:rPr>
          <w:sz w:val="26"/>
          <w:szCs w:val="26"/>
        </w:rPr>
        <w:t>,</w:t>
      </w:r>
      <w:r w:rsidRPr="000A6D72">
        <w:rPr>
          <w:sz w:val="26"/>
          <w:szCs w:val="26"/>
        </w:rPr>
        <w:t xml:space="preserve"> or issues an order providing for rates it deems to be fair and equitable.</w:t>
      </w:r>
    </w:p>
    <w:p w:rsidR="0021208A" w:rsidRPr="000A6D72" w:rsidP="0021208A" w14:paraId="57E7CAF8" w14:textId="77777777">
      <w:pPr>
        <w:rPr>
          <w:sz w:val="26"/>
          <w:szCs w:val="26"/>
        </w:rPr>
      </w:pPr>
      <w:r w:rsidRPr="000A6D72">
        <w:rPr>
          <w:sz w:val="26"/>
          <w:szCs w:val="26"/>
        </w:rPr>
        <w:t xml:space="preserve"> </w:t>
      </w:r>
    </w:p>
    <w:p w:rsidR="0021208A" w:rsidRPr="00950005" w:rsidP="0021208A" w14:paraId="7262840D" w14:textId="7F39CC35">
      <w:pPr>
        <w:rPr>
          <w:sz w:val="26"/>
        </w:rPr>
      </w:pPr>
      <w:r w:rsidRPr="00950005">
        <w:rPr>
          <w:sz w:val="26"/>
        </w:rPr>
        <w:t>18 CFR 284.123(e) requires that within 30 days of commencement of new service</w:t>
      </w:r>
      <w:r w:rsidRPr="00950005" w:rsidR="00984046">
        <w:rPr>
          <w:sz w:val="26"/>
        </w:rPr>
        <w:t>,</w:t>
      </w:r>
      <w:r w:rsidRPr="00950005">
        <w:rPr>
          <w:sz w:val="26"/>
        </w:rPr>
        <w:t xml:space="preserve"> any intrastate pipeline engaging in the transportation of gas in interstate commerce must file a statement that includes the interstate </w:t>
      </w:r>
      <w:r w:rsidRPr="00950005">
        <w:rPr>
          <w:sz w:val="26"/>
        </w:rPr>
        <w:t>rates</w:t>
      </w:r>
      <w:r w:rsidRPr="00950005">
        <w:rPr>
          <w:sz w:val="26"/>
        </w:rPr>
        <w:t xml:space="preserve"> and a description of how the pipeline will engage in the transportation services, including operating conditions.</w:t>
      </w:r>
      <w:r w:rsidR="00847B6A">
        <w:rPr>
          <w:sz w:val="26"/>
        </w:rPr>
        <w:t xml:space="preserve"> </w:t>
      </w:r>
      <w:r w:rsidRPr="00950005">
        <w:rPr>
          <w:sz w:val="26"/>
        </w:rPr>
        <w:t xml:space="preserve">If an intrastate gas pipeline company changes its operations or </w:t>
      </w:r>
      <w:r w:rsidRPr="00950005">
        <w:rPr>
          <w:sz w:val="26"/>
        </w:rPr>
        <w:t>rates</w:t>
      </w:r>
      <w:r w:rsidRPr="00950005">
        <w:rPr>
          <w:sz w:val="26"/>
        </w:rPr>
        <w:t xml:space="preserve"> it must amend the statement on file with the Commission.</w:t>
      </w:r>
      <w:r w:rsidR="00847B6A">
        <w:rPr>
          <w:sz w:val="26"/>
        </w:rPr>
        <w:t xml:space="preserve"> </w:t>
      </w:r>
      <w:r w:rsidRPr="00950005">
        <w:rPr>
          <w:sz w:val="26"/>
        </w:rPr>
        <w:t>Such amendment is to be filed not later than 30 days after commencement of the change in operations or change in rate election.</w:t>
      </w:r>
    </w:p>
    <w:p w:rsidR="0021208A" w:rsidRPr="00950005" w:rsidP="0021208A" w14:paraId="4870DF82" w14:textId="77777777">
      <w:pPr>
        <w:rPr>
          <w:sz w:val="26"/>
        </w:rPr>
      </w:pPr>
    </w:p>
    <w:p w:rsidR="0021208A" w:rsidRPr="00950005" w:rsidP="0021208A" w14:paraId="2D3B5093" w14:textId="77777777">
      <w:pPr>
        <w:rPr>
          <w:sz w:val="26"/>
        </w:rPr>
      </w:pPr>
      <w:r w:rsidRPr="00950005">
        <w:rPr>
          <w:sz w:val="26"/>
        </w:rPr>
        <w:t xml:space="preserve">18 CFR 284.123(f) requires that all filings must </w:t>
      </w:r>
      <w:r w:rsidRPr="00950005" w:rsidR="00A02846">
        <w:rPr>
          <w:sz w:val="26"/>
        </w:rPr>
        <w:t xml:space="preserve">be </w:t>
      </w:r>
      <w:r w:rsidRPr="00950005">
        <w:rPr>
          <w:sz w:val="26"/>
        </w:rPr>
        <w:t>made electronically consistent with requirements set forth in Order No. 714.</w:t>
      </w:r>
    </w:p>
    <w:p w:rsidR="0021208A" w:rsidRPr="00950005" w:rsidP="0021208A" w14:paraId="578EE2C7" w14:textId="77777777">
      <w:pPr>
        <w:rPr>
          <w:sz w:val="26"/>
          <w:u w:val="single"/>
        </w:rPr>
      </w:pPr>
    </w:p>
    <w:p w:rsidR="0021208A" w:rsidRPr="00950005" w:rsidP="0021208A" w14:paraId="1F9EE228" w14:textId="7142881E">
      <w:pPr>
        <w:rPr>
          <w:sz w:val="26"/>
        </w:rPr>
      </w:pPr>
      <w:r w:rsidRPr="00950005">
        <w:rPr>
          <w:sz w:val="26"/>
        </w:rPr>
        <w:t xml:space="preserve">18 CFR 284.102(e) requires interstate pipelines to obtain proper certification </w:t>
      </w:r>
      <w:r w:rsidRPr="00950005" w:rsidR="0012157A">
        <w:rPr>
          <w:sz w:val="26"/>
        </w:rPr>
        <w:t>to</w:t>
      </w:r>
      <w:r w:rsidRPr="00950005">
        <w:rPr>
          <w:sz w:val="26"/>
        </w:rPr>
        <w:t xml:space="preserve"> ship natural gas on behalf of intrastate pipelines and LDC</w:t>
      </w:r>
      <w:r w:rsidRPr="00950005" w:rsidR="007F1048">
        <w:rPr>
          <w:sz w:val="26"/>
        </w:rPr>
        <w:t>s</w:t>
      </w:r>
      <w:r w:rsidRPr="00950005">
        <w:rPr>
          <w:sz w:val="26"/>
        </w:rPr>
        <w:t>.</w:t>
      </w:r>
      <w:r w:rsidR="00847B6A">
        <w:rPr>
          <w:sz w:val="26"/>
        </w:rPr>
        <w:t xml:space="preserve"> </w:t>
      </w:r>
      <w:r w:rsidRPr="00950005">
        <w:rPr>
          <w:sz w:val="26"/>
        </w:rPr>
        <w:t>This certification consists of a letter from the intrastate pipeline or LDC authorizing the interstate pipeline to ship gas on its behalf.</w:t>
      </w:r>
      <w:r w:rsidR="00847B6A">
        <w:rPr>
          <w:sz w:val="26"/>
        </w:rPr>
        <w:t xml:space="preserve"> </w:t>
      </w:r>
      <w:r w:rsidRPr="00950005">
        <w:rPr>
          <w:sz w:val="26"/>
        </w:rPr>
        <w:t xml:space="preserve">In addition, interstate pipelines must obtain from its </w:t>
      </w:r>
      <w:r w:rsidRPr="00950005">
        <w:rPr>
          <w:sz w:val="26"/>
        </w:rPr>
        <w:t>shippers</w:t>
      </w:r>
      <w:r w:rsidRPr="00950005">
        <w:rPr>
          <w:sz w:val="26"/>
        </w:rPr>
        <w:t xml:space="preserve"> certifications including sufficient information to verify that their services qualify under </w:t>
      </w:r>
      <w:r w:rsidRPr="00950005" w:rsidR="00D35146">
        <w:rPr>
          <w:sz w:val="26"/>
        </w:rPr>
        <w:t>18 CFR 284.102</w:t>
      </w:r>
      <w:r w:rsidRPr="00950005" w:rsidR="00587538">
        <w:rPr>
          <w:sz w:val="26"/>
        </w:rPr>
        <w:t>.</w:t>
      </w:r>
    </w:p>
    <w:p w:rsidR="00507BB0" w:rsidRPr="00950005" w:rsidP="0021208A" w14:paraId="0C670F84" w14:textId="30CA3D14">
      <w:pPr>
        <w:rPr>
          <w:sz w:val="26"/>
        </w:rPr>
      </w:pPr>
    </w:p>
    <w:p w:rsidR="00507BB0" w:rsidRPr="00950005" w:rsidP="0021208A" w14:paraId="5995EB7A" w14:textId="4A34639F">
      <w:pPr>
        <w:rPr>
          <w:sz w:val="26"/>
        </w:rPr>
      </w:pPr>
      <w:r w:rsidRPr="00950005">
        <w:rPr>
          <w:sz w:val="26"/>
          <w:u w:val="single"/>
        </w:rPr>
        <w:t>Transportation by LDCs and Hinshaw Pipelines</w:t>
      </w:r>
    </w:p>
    <w:p w:rsidR="00507BB0" w:rsidRPr="00950005" w:rsidP="0021208A" w14:paraId="56DE965D" w14:textId="6FE99DEF">
      <w:pPr>
        <w:rPr>
          <w:sz w:val="26"/>
        </w:rPr>
      </w:pPr>
    </w:p>
    <w:p w:rsidR="00027E37" w:rsidRPr="00950005" w:rsidP="002B459D" w14:paraId="2F96C29C" w14:textId="0BF08D5F">
      <w:pPr>
        <w:rPr>
          <w:bCs/>
          <w:sz w:val="26"/>
        </w:rPr>
      </w:pPr>
      <w:r w:rsidRPr="00950005">
        <w:rPr>
          <w:sz w:val="26"/>
        </w:rPr>
        <w:t>Under 18 CFR 284.224,</w:t>
      </w:r>
      <w:r w:rsidRPr="00950005" w:rsidR="004B7438">
        <w:rPr>
          <w:sz w:val="26"/>
        </w:rPr>
        <w:t xml:space="preserve"> a</w:t>
      </w:r>
      <w:r w:rsidRPr="00950005" w:rsidR="000B293A">
        <w:rPr>
          <w:sz w:val="26"/>
        </w:rPr>
        <w:t xml:space="preserve">n application for a blanket certificate may be </w:t>
      </w:r>
      <w:r w:rsidRPr="00950005">
        <w:rPr>
          <w:sz w:val="26"/>
        </w:rPr>
        <w:t>filed by a</w:t>
      </w:r>
      <w:r w:rsidRPr="00950005" w:rsidR="00062B6B">
        <w:rPr>
          <w:sz w:val="26"/>
        </w:rPr>
        <w:t xml:space="preserve">ny </w:t>
      </w:r>
      <w:r w:rsidRPr="00950005" w:rsidR="003A4DBA">
        <w:rPr>
          <w:sz w:val="26"/>
        </w:rPr>
        <w:t>LDC</w:t>
      </w:r>
      <w:r w:rsidRPr="00950005" w:rsidR="00062B6B">
        <w:rPr>
          <w:sz w:val="26"/>
        </w:rPr>
        <w:t xml:space="preserve"> served by an interstate pipeline or any Hinshaw pipeline</w:t>
      </w:r>
      <w:r w:rsidRPr="00950005" w:rsidR="004B7438">
        <w:rPr>
          <w:sz w:val="26"/>
        </w:rPr>
        <w:t>.</w:t>
      </w:r>
      <w:r w:rsidR="00847B6A">
        <w:rPr>
          <w:sz w:val="26"/>
        </w:rPr>
        <w:t xml:space="preserve"> </w:t>
      </w:r>
      <w:r w:rsidRPr="00950005">
        <w:rPr>
          <w:bCs/>
          <w:sz w:val="26"/>
        </w:rPr>
        <w:t>Failure to collect the information in such applications would hinder the Commission’s fulfilment of its statutory responsibilities to monitor and prevent potentially manipulative or unduly discriminatory activity.</w:t>
      </w:r>
    </w:p>
    <w:p w:rsidR="00027E37" w:rsidRPr="00950005" w:rsidP="002B459D" w14:paraId="3F5004D7" w14:textId="77777777">
      <w:pPr>
        <w:rPr>
          <w:bCs/>
          <w:sz w:val="26"/>
        </w:rPr>
      </w:pPr>
    </w:p>
    <w:p w:rsidR="00D76F38" w:rsidRPr="00950005" w:rsidP="002B459D" w14:paraId="6D2D055C" w14:textId="3C7AB485">
      <w:pPr>
        <w:rPr>
          <w:sz w:val="26"/>
        </w:rPr>
      </w:pPr>
      <w:r w:rsidRPr="00950005">
        <w:rPr>
          <w:bCs/>
          <w:sz w:val="26"/>
        </w:rPr>
        <w:t xml:space="preserve">An </w:t>
      </w:r>
      <w:r w:rsidRPr="00950005" w:rsidR="002B459D">
        <w:rPr>
          <w:sz w:val="26"/>
        </w:rPr>
        <w:t>application</w:t>
      </w:r>
      <w:r w:rsidRPr="00950005">
        <w:rPr>
          <w:sz w:val="26"/>
        </w:rPr>
        <w:t xml:space="preserve"> under 18 CFR 284.224</w:t>
      </w:r>
      <w:r w:rsidRPr="00950005" w:rsidR="002B459D">
        <w:rPr>
          <w:sz w:val="26"/>
        </w:rPr>
        <w:t xml:space="preserve"> must be accompanied by a fee or a petition for waiver of the fee, and must </w:t>
      </w:r>
      <w:r w:rsidRPr="00950005" w:rsidR="00DC1DD3">
        <w:rPr>
          <w:sz w:val="26"/>
        </w:rPr>
        <w:t>include</w:t>
      </w:r>
      <w:r w:rsidRPr="00950005" w:rsidR="002B459D">
        <w:rPr>
          <w:sz w:val="26"/>
        </w:rPr>
        <w:t>:</w:t>
      </w:r>
    </w:p>
    <w:p w:rsidR="002B459D" w:rsidRPr="00950005" w:rsidP="002B459D" w14:paraId="5A9A29B8" w14:textId="2C2A4886">
      <w:pPr>
        <w:rPr>
          <w:sz w:val="26"/>
        </w:rPr>
      </w:pPr>
      <w:r w:rsidRPr="00950005">
        <w:rPr>
          <w:sz w:val="26"/>
        </w:rPr>
        <w:t xml:space="preserve"> </w:t>
      </w:r>
    </w:p>
    <w:p w:rsidR="00DC1DD3" w:rsidRPr="00950005" w:rsidP="004B7438" w14:paraId="09098CDE" w14:textId="77777777">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The exact legal name of applicant</w:t>
      </w:r>
    </w:p>
    <w:p w:rsidR="00DC1DD3" w:rsidRPr="00950005" w:rsidP="004B7438" w14:paraId="2ED745FE" w14:textId="77777777">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 xml:space="preserve">The applicant’s </w:t>
      </w:r>
      <w:r w:rsidRPr="00950005" w:rsidR="002B459D">
        <w:rPr>
          <w:rFonts w:ascii="Times New Roman" w:hAnsi="Times New Roman"/>
          <w:sz w:val="26"/>
        </w:rPr>
        <w:t xml:space="preserve">principal place of </w:t>
      </w:r>
      <w:r w:rsidRPr="00950005" w:rsidR="002B459D">
        <w:rPr>
          <w:rFonts w:ascii="Times New Roman" w:hAnsi="Times New Roman"/>
          <w:sz w:val="26"/>
        </w:rPr>
        <w:t>business;</w:t>
      </w:r>
    </w:p>
    <w:p w:rsidR="00DC1DD3" w:rsidRPr="00950005" w:rsidP="004B7438" w14:paraId="6CD5136E" w14:textId="77777777">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W</w:t>
      </w:r>
      <w:r w:rsidRPr="00950005" w:rsidR="002B459D">
        <w:rPr>
          <w:rFonts w:ascii="Times New Roman" w:hAnsi="Times New Roman"/>
          <w:sz w:val="26"/>
        </w:rPr>
        <w:t xml:space="preserve">hether </w:t>
      </w:r>
      <w:r w:rsidRPr="00950005">
        <w:rPr>
          <w:rFonts w:ascii="Times New Roman" w:hAnsi="Times New Roman"/>
          <w:sz w:val="26"/>
        </w:rPr>
        <w:t xml:space="preserve">the applicant is </w:t>
      </w:r>
      <w:r w:rsidRPr="00950005" w:rsidR="002B459D">
        <w:rPr>
          <w:rFonts w:ascii="Times New Roman" w:hAnsi="Times New Roman"/>
          <w:sz w:val="26"/>
        </w:rPr>
        <w:t xml:space="preserve">an individual, partnership, corporation or </w:t>
      </w:r>
      <w:r w:rsidRPr="00950005" w:rsidR="002B459D">
        <w:rPr>
          <w:rFonts w:ascii="Times New Roman" w:hAnsi="Times New Roman"/>
          <w:sz w:val="26"/>
        </w:rPr>
        <w:t>otherwise;</w:t>
      </w:r>
    </w:p>
    <w:p w:rsidR="006C6B32" w:rsidRPr="00950005" w:rsidP="004B7438" w14:paraId="683C87CC" w14:textId="77777777">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T</w:t>
      </w:r>
      <w:r w:rsidRPr="00950005" w:rsidR="002B459D">
        <w:rPr>
          <w:rFonts w:ascii="Times New Roman" w:hAnsi="Times New Roman"/>
          <w:sz w:val="26"/>
        </w:rPr>
        <w:t xml:space="preserve">he state under the laws of which </w:t>
      </w:r>
      <w:r w:rsidRPr="00950005">
        <w:rPr>
          <w:rFonts w:ascii="Times New Roman" w:hAnsi="Times New Roman"/>
          <w:sz w:val="26"/>
        </w:rPr>
        <w:t>the applicant</w:t>
      </w:r>
      <w:r w:rsidRPr="00950005" w:rsidR="002B459D">
        <w:rPr>
          <w:rFonts w:ascii="Times New Roman" w:hAnsi="Times New Roman"/>
          <w:sz w:val="26"/>
        </w:rPr>
        <w:t xml:space="preserve"> is organized or </w:t>
      </w:r>
      <w:r w:rsidRPr="00950005" w:rsidR="002B459D">
        <w:rPr>
          <w:rFonts w:ascii="Times New Roman" w:hAnsi="Times New Roman"/>
          <w:sz w:val="26"/>
        </w:rPr>
        <w:t>authorized;</w:t>
      </w:r>
    </w:p>
    <w:p w:rsidR="006C6B32" w:rsidRPr="00950005" w:rsidP="004B7438" w14:paraId="3B300A76" w14:textId="77777777">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T</w:t>
      </w:r>
      <w:r w:rsidRPr="00950005" w:rsidR="002B459D">
        <w:rPr>
          <w:rFonts w:ascii="Times New Roman" w:hAnsi="Times New Roman"/>
          <w:sz w:val="26"/>
        </w:rPr>
        <w:t xml:space="preserve">he agency having jurisdiction over rates and </w:t>
      </w:r>
      <w:r w:rsidRPr="00950005" w:rsidR="002B459D">
        <w:rPr>
          <w:rFonts w:ascii="Times New Roman" w:hAnsi="Times New Roman"/>
          <w:sz w:val="26"/>
        </w:rPr>
        <w:t>tariffs;</w:t>
      </w:r>
    </w:p>
    <w:p w:rsidR="00F809E3" w:rsidRPr="00950005" w:rsidP="002B459D" w14:paraId="2F602D51" w14:textId="77777777">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T</w:t>
      </w:r>
      <w:r w:rsidRPr="00950005" w:rsidR="002B459D">
        <w:rPr>
          <w:rFonts w:ascii="Times New Roman" w:hAnsi="Times New Roman"/>
          <w:sz w:val="26"/>
        </w:rPr>
        <w:t xml:space="preserve">he name, title, and mailing address of the person or persons to whom communications concerning the application are to be </w:t>
      </w:r>
      <w:r w:rsidRPr="00950005" w:rsidR="002B459D">
        <w:rPr>
          <w:rFonts w:ascii="Times New Roman" w:hAnsi="Times New Roman"/>
          <w:sz w:val="26"/>
        </w:rPr>
        <w:t>addressed;</w:t>
      </w:r>
    </w:p>
    <w:p w:rsidR="00F809E3" w:rsidRPr="00950005" w:rsidP="002B459D" w14:paraId="60B94971" w14:textId="77777777">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 xml:space="preserve">The volumes of natural gas which were received during the most recent 12-month period by the applicant within or at the boundary of a state, and were exempt from </w:t>
      </w:r>
      <w:r w:rsidRPr="00950005">
        <w:rPr>
          <w:rFonts w:ascii="Times New Roman" w:hAnsi="Times New Roman"/>
          <w:sz w:val="26"/>
        </w:rPr>
        <w:t>the Natural Gas Act jurisdiction of the Commission by reason of section 1(c) of the Natural Gas Act, if any</w:t>
      </w:r>
    </w:p>
    <w:p w:rsidR="002B459D" w:rsidRPr="00950005" w:rsidP="009B2A59" w14:paraId="6E2604AD" w14:textId="3FB05719">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 xml:space="preserve">The total volume of natural gas received by the applicant from all sources during the same </w:t>
      </w:r>
      <w:r w:rsidRPr="00950005" w:rsidR="0012157A">
        <w:rPr>
          <w:rFonts w:ascii="Times New Roman" w:hAnsi="Times New Roman"/>
          <w:sz w:val="26"/>
        </w:rPr>
        <w:t>period</w:t>
      </w:r>
      <w:r w:rsidRPr="00950005">
        <w:rPr>
          <w:rFonts w:ascii="Times New Roman" w:hAnsi="Times New Roman"/>
          <w:sz w:val="26"/>
        </w:rPr>
        <w:t>;</w:t>
      </w:r>
    </w:p>
    <w:p w:rsidR="009E6DDB" w:rsidRPr="00950005" w:rsidP="009B2A59" w14:paraId="24394BF2" w14:textId="77777777">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 xml:space="preserve">Citation to all currently valid declarations of exemption issued by the Commission under section 1(c) of the Natural Gas Act if </w:t>
      </w:r>
      <w:r w:rsidRPr="00950005">
        <w:rPr>
          <w:rFonts w:ascii="Times New Roman" w:hAnsi="Times New Roman"/>
          <w:sz w:val="26"/>
        </w:rPr>
        <w:t>any;</w:t>
      </w:r>
    </w:p>
    <w:p w:rsidR="00B31111" w:rsidRPr="00950005" w:rsidP="009B2A59" w14:paraId="62550E24" w14:textId="77777777">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A statement that the applicant will comply with</w:t>
      </w:r>
      <w:r w:rsidRPr="00950005" w:rsidR="00E14B46">
        <w:rPr>
          <w:rFonts w:ascii="Times New Roman" w:hAnsi="Times New Roman"/>
          <w:sz w:val="26"/>
        </w:rPr>
        <w:t xml:space="preserve"> </w:t>
      </w:r>
      <w:r w:rsidRPr="00950005" w:rsidR="003C1D18">
        <w:rPr>
          <w:rFonts w:ascii="Times New Roman" w:hAnsi="Times New Roman"/>
          <w:sz w:val="26"/>
        </w:rPr>
        <w:t>the same rates and charges, terms and conditions, and reporting requirements that apply to a transaction authorized for an intrastate pipeline</w:t>
      </w:r>
      <w:r w:rsidRPr="00950005" w:rsidR="005109DE">
        <w:rPr>
          <w:rFonts w:ascii="Times New Roman" w:hAnsi="Times New Roman"/>
          <w:sz w:val="26"/>
        </w:rPr>
        <w:t xml:space="preserve"> transportation of natural gas by any intrastate pipeline on behalf of an interstate pipeline or </w:t>
      </w:r>
      <w:r w:rsidRPr="00950005" w:rsidR="002C3CEA">
        <w:rPr>
          <w:rFonts w:ascii="Times New Roman" w:hAnsi="Times New Roman"/>
          <w:sz w:val="26"/>
        </w:rPr>
        <w:t xml:space="preserve">an LDC </w:t>
      </w:r>
      <w:r w:rsidRPr="00950005" w:rsidR="005109DE">
        <w:rPr>
          <w:rFonts w:ascii="Times New Roman" w:hAnsi="Times New Roman"/>
          <w:sz w:val="26"/>
        </w:rPr>
        <w:t xml:space="preserve">served by an interstate </w:t>
      </w:r>
      <w:r w:rsidRPr="00950005" w:rsidR="005109DE">
        <w:rPr>
          <w:rFonts w:ascii="Times New Roman" w:hAnsi="Times New Roman"/>
          <w:sz w:val="26"/>
        </w:rPr>
        <w:t>pipeline</w:t>
      </w:r>
      <w:r w:rsidRPr="00950005" w:rsidR="002C3CEA">
        <w:rPr>
          <w:rFonts w:ascii="Times New Roman" w:hAnsi="Times New Roman"/>
          <w:sz w:val="26"/>
        </w:rPr>
        <w:t>;</w:t>
      </w:r>
    </w:p>
    <w:p w:rsidR="00B31111" w:rsidRPr="00950005" w:rsidP="009B2A59" w14:paraId="1E4DD226" w14:textId="77777777">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A form of notice suitable for publication in the Federal Register, which will briefly summarize the facts contained in the application in such way as to acquaint the public with its scope and purpose; and</w:t>
      </w:r>
    </w:p>
    <w:p w:rsidR="0021208A" w:rsidRPr="00950005" w:rsidP="009B2A59" w14:paraId="2D56E7A8" w14:textId="7A618AAD">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A statement of the methodology to be used in calculating rates for services to be rendered</w:t>
      </w:r>
      <w:r w:rsidRPr="00950005" w:rsidR="009B2A59">
        <w:rPr>
          <w:rFonts w:ascii="Times New Roman" w:hAnsi="Times New Roman"/>
          <w:sz w:val="26"/>
        </w:rPr>
        <w:t>.</w:t>
      </w:r>
    </w:p>
    <w:p w:rsidR="009B2A59" w:rsidRPr="00950005" w:rsidP="009B2A59" w14:paraId="0B11FABF" w14:textId="77777777">
      <w:pPr>
        <w:rPr>
          <w:sz w:val="26"/>
        </w:rPr>
      </w:pPr>
    </w:p>
    <w:p w:rsidR="007549DA" w:rsidRPr="00950005" w:rsidP="007549DA" w14:paraId="45810F8C" w14:textId="0E61E799">
      <w:pPr>
        <w:rPr>
          <w:sz w:val="26"/>
          <w:u w:val="single"/>
        </w:rPr>
      </w:pPr>
      <w:r w:rsidRPr="00950005">
        <w:rPr>
          <w:sz w:val="26"/>
          <w:u w:val="single"/>
        </w:rPr>
        <w:t xml:space="preserve">Initial Approval of Market-Based Rates </w:t>
      </w:r>
      <w:r w:rsidRPr="00950005" w:rsidR="003E6694">
        <w:rPr>
          <w:sz w:val="26"/>
          <w:u w:val="single"/>
        </w:rPr>
        <w:t xml:space="preserve">(MBRs) </w:t>
      </w:r>
      <w:r w:rsidRPr="00950005">
        <w:rPr>
          <w:sz w:val="26"/>
          <w:u w:val="single"/>
        </w:rPr>
        <w:t>for Storage</w:t>
      </w:r>
    </w:p>
    <w:p w:rsidR="007549DA" w:rsidRPr="00950005" w:rsidP="007549DA" w14:paraId="033E551D" w14:textId="77777777">
      <w:pPr>
        <w:rPr>
          <w:sz w:val="26"/>
        </w:rPr>
      </w:pPr>
    </w:p>
    <w:p w:rsidR="00E03513" w:rsidRPr="00950005" w:rsidP="00583F2B" w14:paraId="3410CCCC" w14:textId="2058CD78">
      <w:pPr>
        <w:rPr>
          <w:iCs/>
          <w:sz w:val="26"/>
        </w:rPr>
      </w:pPr>
      <w:r w:rsidRPr="00950005">
        <w:rPr>
          <w:iCs/>
          <w:sz w:val="26"/>
        </w:rPr>
        <w:t xml:space="preserve">Section 4(f) of the NGA authorizes the Commission to permit natural gas storage service providers to charge market-based rates </w:t>
      </w:r>
      <w:r w:rsidRPr="00950005" w:rsidR="00C82AE3">
        <w:rPr>
          <w:iCs/>
          <w:sz w:val="26"/>
        </w:rPr>
        <w:t xml:space="preserve">(MBRs) </w:t>
      </w:r>
      <w:r w:rsidRPr="00950005">
        <w:rPr>
          <w:iCs/>
          <w:sz w:val="26"/>
        </w:rPr>
        <w:t>for storage, subject to conditions and requirements set forth in the statute.</w:t>
      </w:r>
      <w:r w:rsidR="00847B6A">
        <w:rPr>
          <w:iCs/>
          <w:sz w:val="26"/>
        </w:rPr>
        <w:t xml:space="preserve"> </w:t>
      </w:r>
      <w:r w:rsidRPr="00950005">
        <w:rPr>
          <w:iCs/>
          <w:sz w:val="26"/>
        </w:rPr>
        <w:t>The Commission implements this authority under 18 CFR 284.501 through 284.505.</w:t>
      </w:r>
    </w:p>
    <w:p w:rsidR="00D23A2F" w:rsidRPr="00950005" w:rsidP="00583F2B" w14:paraId="18229036" w14:textId="77777777">
      <w:pPr>
        <w:rPr>
          <w:iCs/>
          <w:sz w:val="26"/>
        </w:rPr>
      </w:pPr>
    </w:p>
    <w:p w:rsidR="00915AC8" w:rsidRPr="00950005" w:rsidP="00583F2B" w14:paraId="56C4F86F" w14:textId="25D8D7F0">
      <w:pPr>
        <w:rPr>
          <w:iCs/>
          <w:sz w:val="26"/>
        </w:rPr>
      </w:pPr>
      <w:r w:rsidRPr="00950005">
        <w:rPr>
          <w:iCs/>
          <w:sz w:val="26"/>
        </w:rPr>
        <w:t>The regulation at 18 CFR 284.502</w:t>
      </w:r>
      <w:r w:rsidRPr="00950005" w:rsidR="007B5058">
        <w:rPr>
          <w:iCs/>
          <w:sz w:val="26"/>
        </w:rPr>
        <w:t>(a) provides that an</w:t>
      </w:r>
      <w:r w:rsidRPr="00950005" w:rsidR="00D23A2F">
        <w:rPr>
          <w:iCs/>
          <w:sz w:val="26"/>
        </w:rPr>
        <w:t xml:space="preserve"> applica</w:t>
      </w:r>
      <w:r w:rsidRPr="00950005" w:rsidR="00884E33">
        <w:rPr>
          <w:iCs/>
          <w:sz w:val="26"/>
        </w:rPr>
        <w:t xml:space="preserve">tion to use </w:t>
      </w:r>
      <w:r w:rsidRPr="00950005" w:rsidR="00D93374">
        <w:rPr>
          <w:iCs/>
          <w:sz w:val="26"/>
        </w:rPr>
        <w:t xml:space="preserve">MBRs </w:t>
      </w:r>
      <w:r w:rsidRPr="00950005" w:rsidR="00884E33">
        <w:rPr>
          <w:iCs/>
          <w:sz w:val="26"/>
        </w:rPr>
        <w:t>for sto</w:t>
      </w:r>
      <w:r w:rsidRPr="00950005" w:rsidR="00C45593">
        <w:rPr>
          <w:iCs/>
          <w:sz w:val="26"/>
        </w:rPr>
        <w:t xml:space="preserve">rage may be submitted </w:t>
      </w:r>
      <w:r w:rsidRPr="00950005" w:rsidR="004C69E7">
        <w:rPr>
          <w:iCs/>
          <w:sz w:val="26"/>
        </w:rPr>
        <w:t xml:space="preserve">along with </w:t>
      </w:r>
      <w:r w:rsidRPr="00950005" w:rsidR="00C62D08">
        <w:rPr>
          <w:iCs/>
          <w:sz w:val="26"/>
        </w:rPr>
        <w:t>a certificate application.</w:t>
      </w:r>
      <w:r w:rsidRPr="00950005" w:rsidR="00651F6C">
        <w:rPr>
          <w:iCs/>
          <w:sz w:val="26"/>
        </w:rPr>
        <w:t xml:space="preserve"> </w:t>
      </w:r>
      <w:r w:rsidRPr="00950005" w:rsidR="000D209C">
        <w:rPr>
          <w:iCs/>
          <w:sz w:val="26"/>
        </w:rPr>
        <w:t xml:space="preserve">Service, notice, intervention, and protest procedures for such filings must conform with those applicable to the </w:t>
      </w:r>
      <w:r w:rsidRPr="00950005">
        <w:rPr>
          <w:iCs/>
          <w:sz w:val="26"/>
        </w:rPr>
        <w:t>certificate application.</w:t>
      </w:r>
    </w:p>
    <w:p w:rsidR="00915AC8" w:rsidRPr="00950005" w:rsidP="00583F2B" w14:paraId="6C345B4B" w14:textId="77777777">
      <w:pPr>
        <w:rPr>
          <w:iCs/>
          <w:sz w:val="26"/>
        </w:rPr>
      </w:pPr>
    </w:p>
    <w:p w:rsidR="00F02EA4" w:rsidRPr="00950005" w:rsidP="00271032" w14:paraId="1AD0667F" w14:textId="35CC8B53">
      <w:pPr>
        <w:rPr>
          <w:i/>
          <w:sz w:val="26"/>
        </w:rPr>
      </w:pPr>
      <w:r w:rsidRPr="00950005">
        <w:rPr>
          <w:i/>
          <w:sz w:val="26"/>
        </w:rPr>
        <w:t xml:space="preserve">Applicants Providing Service under 18 CFR </w:t>
      </w:r>
      <w:r w:rsidRPr="00950005" w:rsidR="002E747B">
        <w:rPr>
          <w:i/>
          <w:sz w:val="26"/>
        </w:rPr>
        <w:t>S</w:t>
      </w:r>
      <w:r w:rsidRPr="00950005">
        <w:rPr>
          <w:i/>
          <w:sz w:val="26"/>
        </w:rPr>
        <w:t xml:space="preserve">ubpart B or </w:t>
      </w:r>
      <w:r w:rsidRPr="00950005" w:rsidR="002E747B">
        <w:rPr>
          <w:i/>
          <w:sz w:val="26"/>
        </w:rPr>
        <w:t>S</w:t>
      </w:r>
      <w:r w:rsidRPr="00950005">
        <w:rPr>
          <w:i/>
          <w:sz w:val="26"/>
        </w:rPr>
        <w:t>ubpart</w:t>
      </w:r>
      <w:r w:rsidRPr="00950005" w:rsidR="002E747B">
        <w:rPr>
          <w:i/>
          <w:sz w:val="26"/>
        </w:rPr>
        <w:t xml:space="preserve"> </w:t>
      </w:r>
      <w:r w:rsidRPr="00950005">
        <w:rPr>
          <w:i/>
          <w:sz w:val="26"/>
        </w:rPr>
        <w:t>G</w:t>
      </w:r>
    </w:p>
    <w:p w:rsidR="002E747B" w:rsidRPr="00950005" w:rsidP="00271032" w14:paraId="6B024E9C" w14:textId="77777777">
      <w:pPr>
        <w:rPr>
          <w:iCs/>
          <w:sz w:val="26"/>
        </w:rPr>
      </w:pPr>
    </w:p>
    <w:p w:rsidR="00271032" w:rsidRPr="00950005" w:rsidP="00271032" w14:paraId="14DEAF37" w14:textId="7FF9B41C">
      <w:pPr>
        <w:rPr>
          <w:iCs/>
          <w:sz w:val="26"/>
        </w:rPr>
      </w:pPr>
      <w:r w:rsidRPr="00950005">
        <w:rPr>
          <w:iCs/>
          <w:sz w:val="26"/>
        </w:rPr>
        <w:t xml:space="preserve">The </w:t>
      </w:r>
      <w:r w:rsidRPr="00950005" w:rsidR="00445807">
        <w:rPr>
          <w:iCs/>
          <w:sz w:val="26"/>
        </w:rPr>
        <w:t>regulation at 18 CFR 284.502(</w:t>
      </w:r>
      <w:r w:rsidRPr="00950005" w:rsidR="00F6643A">
        <w:rPr>
          <w:iCs/>
          <w:sz w:val="26"/>
        </w:rPr>
        <w:t xml:space="preserve">b) </w:t>
      </w:r>
      <w:r w:rsidRPr="00950005">
        <w:rPr>
          <w:iCs/>
          <w:sz w:val="26"/>
        </w:rPr>
        <w:t xml:space="preserve">applies to applications to use MBRs for storage </w:t>
      </w:r>
      <w:r w:rsidRPr="00950005" w:rsidR="00364C91">
        <w:rPr>
          <w:iCs/>
          <w:sz w:val="26"/>
        </w:rPr>
        <w:t xml:space="preserve">that are </w:t>
      </w:r>
      <w:r w:rsidRPr="00950005" w:rsidR="000F3A77">
        <w:rPr>
          <w:iCs/>
          <w:sz w:val="26"/>
        </w:rPr>
        <w:t>not filed as part of certificate applications.</w:t>
      </w:r>
      <w:r w:rsidR="00847B6A">
        <w:rPr>
          <w:iCs/>
          <w:sz w:val="26"/>
        </w:rPr>
        <w:t xml:space="preserve"> </w:t>
      </w:r>
      <w:r w:rsidRPr="00950005" w:rsidR="00683161">
        <w:rPr>
          <w:iCs/>
          <w:sz w:val="26"/>
        </w:rPr>
        <w:t>T</w:t>
      </w:r>
      <w:r w:rsidRPr="00950005" w:rsidR="008D51FB">
        <w:rPr>
          <w:iCs/>
          <w:sz w:val="26"/>
        </w:rPr>
        <w:t xml:space="preserve">he applicant </w:t>
      </w:r>
      <w:r w:rsidRPr="00950005" w:rsidR="00F33223">
        <w:rPr>
          <w:iCs/>
          <w:sz w:val="26"/>
        </w:rPr>
        <w:t xml:space="preserve">must file </w:t>
      </w:r>
      <w:r w:rsidRPr="00950005" w:rsidR="00956B0F">
        <w:rPr>
          <w:iCs/>
          <w:sz w:val="26"/>
        </w:rPr>
        <w:t xml:space="preserve">with the Commission a request for a declaratory order </w:t>
      </w:r>
      <w:r w:rsidRPr="00950005" w:rsidR="00DB7FCE">
        <w:rPr>
          <w:iCs/>
          <w:sz w:val="26"/>
        </w:rPr>
        <w:t xml:space="preserve">if the applicant provides </w:t>
      </w:r>
      <w:r w:rsidRPr="00950005" w:rsidR="00350015">
        <w:rPr>
          <w:iCs/>
          <w:sz w:val="26"/>
        </w:rPr>
        <w:t xml:space="preserve">service under 18 </w:t>
      </w:r>
      <w:r w:rsidRPr="00950005" w:rsidR="00120E2D">
        <w:rPr>
          <w:iCs/>
          <w:sz w:val="26"/>
        </w:rPr>
        <w:t xml:space="preserve">CFR Subpart B or </w:t>
      </w:r>
      <w:r w:rsidRPr="00950005" w:rsidR="0049445E">
        <w:rPr>
          <w:iCs/>
          <w:sz w:val="26"/>
        </w:rPr>
        <w:t>Subpart G.</w:t>
      </w:r>
      <w:r>
        <w:rPr>
          <w:rStyle w:val="FootnoteReference"/>
          <w:iCs/>
          <w:sz w:val="26"/>
          <w:vertAlign w:val="superscript"/>
        </w:rPr>
        <w:footnoteReference w:id="4"/>
      </w:r>
      <w:r w:rsidR="00847B6A">
        <w:rPr>
          <w:iCs/>
          <w:sz w:val="26"/>
        </w:rPr>
        <w:t xml:space="preserve"> </w:t>
      </w:r>
      <w:r w:rsidRPr="00950005" w:rsidR="00D65F5E">
        <w:rPr>
          <w:iCs/>
          <w:sz w:val="26"/>
        </w:rPr>
        <w:t xml:space="preserve">In addition, the applicant must </w:t>
      </w:r>
      <w:r w:rsidRPr="00950005" w:rsidR="0013164B">
        <w:rPr>
          <w:iCs/>
          <w:sz w:val="26"/>
        </w:rPr>
        <w:t>file a</w:t>
      </w:r>
      <w:r w:rsidRPr="00950005" w:rsidR="00D65F5E">
        <w:rPr>
          <w:iCs/>
          <w:sz w:val="26"/>
        </w:rPr>
        <w:t xml:space="preserve"> request for a market-power determination that </w:t>
      </w:r>
      <w:r w:rsidRPr="00950005" w:rsidR="00B60278">
        <w:rPr>
          <w:iCs/>
          <w:sz w:val="26"/>
        </w:rPr>
        <w:t xml:space="preserve">sets forth </w:t>
      </w:r>
      <w:r w:rsidRPr="00950005">
        <w:rPr>
          <w:iCs/>
          <w:sz w:val="26"/>
        </w:rPr>
        <w:t>its specific request adequately demonstrate</w:t>
      </w:r>
      <w:r w:rsidRPr="00950005" w:rsidR="00B60278">
        <w:rPr>
          <w:iCs/>
          <w:sz w:val="26"/>
        </w:rPr>
        <w:t>s</w:t>
      </w:r>
      <w:r w:rsidRPr="00950005">
        <w:rPr>
          <w:iCs/>
          <w:sz w:val="26"/>
        </w:rPr>
        <w:t xml:space="preserve"> that it lacks market power in the market to be served, and </w:t>
      </w:r>
      <w:r w:rsidRPr="00950005" w:rsidR="00136007">
        <w:rPr>
          <w:iCs/>
          <w:sz w:val="26"/>
        </w:rPr>
        <w:t>i</w:t>
      </w:r>
      <w:r w:rsidRPr="00950005">
        <w:rPr>
          <w:iCs/>
          <w:sz w:val="26"/>
        </w:rPr>
        <w:t xml:space="preserve">nclude </w:t>
      </w:r>
      <w:r w:rsidRPr="00950005" w:rsidR="00136007">
        <w:rPr>
          <w:iCs/>
          <w:sz w:val="26"/>
        </w:rPr>
        <w:t xml:space="preserve">in </w:t>
      </w:r>
      <w:r w:rsidRPr="00950005">
        <w:rPr>
          <w:iCs/>
          <w:sz w:val="26"/>
        </w:rPr>
        <w:t xml:space="preserve">an executive summary </w:t>
      </w:r>
      <w:r w:rsidRPr="00950005" w:rsidR="001C6B24">
        <w:rPr>
          <w:iCs/>
          <w:sz w:val="26"/>
        </w:rPr>
        <w:t>a</w:t>
      </w:r>
      <w:r w:rsidR="00847B6A">
        <w:rPr>
          <w:iCs/>
          <w:sz w:val="26"/>
        </w:rPr>
        <w:t xml:space="preserve"> </w:t>
      </w:r>
      <w:r w:rsidRPr="00950005">
        <w:rPr>
          <w:iCs/>
          <w:sz w:val="26"/>
        </w:rPr>
        <w:t>statement of position and a statement of material facts.</w:t>
      </w:r>
      <w:r w:rsidR="00847B6A">
        <w:rPr>
          <w:iCs/>
          <w:sz w:val="26"/>
        </w:rPr>
        <w:t xml:space="preserve"> </w:t>
      </w:r>
      <w:r w:rsidRPr="00950005">
        <w:rPr>
          <w:iCs/>
          <w:sz w:val="26"/>
        </w:rPr>
        <w:t>The statement of material facts must include citation</w:t>
      </w:r>
      <w:r w:rsidRPr="00950005" w:rsidR="00394C0C">
        <w:rPr>
          <w:iCs/>
          <w:sz w:val="26"/>
        </w:rPr>
        <w:t>s</w:t>
      </w:r>
      <w:r w:rsidRPr="00950005">
        <w:rPr>
          <w:iCs/>
          <w:sz w:val="26"/>
        </w:rPr>
        <w:t xml:space="preserve"> to the supporting statements, exhibits, affidavits, and prepared testimony.</w:t>
      </w:r>
    </w:p>
    <w:p w:rsidR="00BE69DD" w:rsidRPr="00950005" w:rsidP="00271032" w14:paraId="1A3CCB22" w14:textId="6865FC04">
      <w:pPr>
        <w:rPr>
          <w:iCs/>
          <w:sz w:val="26"/>
        </w:rPr>
      </w:pPr>
    </w:p>
    <w:p w:rsidR="00B72E16" w:rsidRPr="00950005" w:rsidP="00271032" w14:paraId="0F880385" w14:textId="77777777">
      <w:pPr>
        <w:rPr>
          <w:iCs/>
          <w:sz w:val="26"/>
        </w:rPr>
      </w:pPr>
      <w:r w:rsidRPr="00950005">
        <w:rPr>
          <w:iCs/>
          <w:sz w:val="26"/>
        </w:rPr>
        <w:t>In addition, the application must include:</w:t>
      </w:r>
    </w:p>
    <w:p w:rsidR="00C71CC7" w:rsidRPr="00950005" w:rsidP="00271032" w14:paraId="37273ED1" w14:textId="77777777">
      <w:pPr>
        <w:rPr>
          <w:iCs/>
          <w:sz w:val="26"/>
        </w:rPr>
      </w:pPr>
    </w:p>
    <w:p w:rsidR="00241B71" w:rsidRPr="00950005" w:rsidP="00CF4F02" w14:paraId="053CE1F5" w14:textId="77777777">
      <w:pPr>
        <w:pStyle w:val="ListParagraph"/>
        <w:numPr>
          <w:ilvl w:val="0"/>
          <w:numId w:val="25"/>
        </w:numPr>
        <w:spacing w:after="0" w:line="240" w:lineRule="auto"/>
        <w:ind w:left="360"/>
        <w:rPr>
          <w:rFonts w:ascii="Times New Roman" w:hAnsi="Times New Roman"/>
          <w:iCs/>
          <w:sz w:val="26"/>
        </w:rPr>
      </w:pPr>
      <w:r w:rsidRPr="00950005">
        <w:rPr>
          <w:rFonts w:ascii="Times New Roman" w:hAnsi="Times New Roman"/>
          <w:iCs/>
          <w:sz w:val="26"/>
        </w:rPr>
        <w:t xml:space="preserve">A description of the geographic markets for storage services in which the applicant seeks to establish that it lacks significant market </w:t>
      </w:r>
      <w:r w:rsidRPr="00950005">
        <w:rPr>
          <w:rFonts w:ascii="Times New Roman" w:hAnsi="Times New Roman"/>
          <w:iCs/>
          <w:sz w:val="26"/>
        </w:rPr>
        <w:t>power;</w:t>
      </w:r>
    </w:p>
    <w:p w:rsidR="00241B71" w:rsidRPr="00950005" w:rsidP="00CF4F02" w14:paraId="1C14C56B" w14:textId="77777777">
      <w:pPr>
        <w:pStyle w:val="ListParagraph"/>
        <w:numPr>
          <w:ilvl w:val="0"/>
          <w:numId w:val="25"/>
        </w:numPr>
        <w:spacing w:after="0" w:line="240" w:lineRule="auto"/>
        <w:ind w:left="360"/>
        <w:rPr>
          <w:rFonts w:ascii="Times New Roman" w:hAnsi="Times New Roman"/>
          <w:iCs/>
          <w:sz w:val="26"/>
        </w:rPr>
      </w:pPr>
      <w:r w:rsidRPr="00950005">
        <w:rPr>
          <w:rFonts w:ascii="Times New Roman" w:hAnsi="Times New Roman"/>
          <w:iCs/>
          <w:sz w:val="26"/>
        </w:rPr>
        <w:t xml:space="preserve">The product market or markets for which the applicant seeks to establish that it lacks significant market </w:t>
      </w:r>
      <w:r w:rsidRPr="00950005">
        <w:rPr>
          <w:rFonts w:ascii="Times New Roman" w:hAnsi="Times New Roman"/>
          <w:iCs/>
          <w:sz w:val="26"/>
        </w:rPr>
        <w:t>power;</w:t>
      </w:r>
    </w:p>
    <w:p w:rsidR="00241B71" w:rsidRPr="00950005" w:rsidP="13563A02" w14:paraId="36109DAC" w14:textId="77777777">
      <w:pPr>
        <w:pStyle w:val="ListParagraph"/>
        <w:numPr>
          <w:ilvl w:val="0"/>
          <w:numId w:val="25"/>
        </w:numPr>
        <w:spacing w:after="0" w:line="240" w:lineRule="auto"/>
        <w:ind w:left="360"/>
        <w:rPr>
          <w:rFonts w:ascii="Times New Roman" w:hAnsi="Times New Roman"/>
          <w:sz w:val="26"/>
          <w:szCs w:val="26"/>
        </w:rPr>
      </w:pPr>
      <w:r w:rsidRPr="13563A02">
        <w:rPr>
          <w:rFonts w:ascii="Times New Roman" w:hAnsi="Times New Roman"/>
          <w:sz w:val="26"/>
          <w:szCs w:val="26"/>
        </w:rPr>
        <w:t xml:space="preserve">A description of the applicant’s own facilities and services, and those of all </w:t>
      </w:r>
      <w:bookmarkStart w:id="0" w:name="_Int_9zz6TStO"/>
      <w:r w:rsidRPr="13563A02">
        <w:rPr>
          <w:rFonts w:ascii="Times New Roman" w:hAnsi="Times New Roman"/>
          <w:sz w:val="26"/>
          <w:szCs w:val="26"/>
        </w:rPr>
        <w:t>parent</w:t>
      </w:r>
      <w:bookmarkEnd w:id="0"/>
      <w:r w:rsidRPr="13563A02">
        <w:rPr>
          <w:rFonts w:ascii="Times New Roman" w:hAnsi="Times New Roman"/>
          <w:sz w:val="26"/>
          <w:szCs w:val="26"/>
        </w:rPr>
        <w:t xml:space="preserve">, subsidiary, or affiliated companies, in the relevant </w:t>
      </w:r>
      <w:r w:rsidRPr="13563A02">
        <w:rPr>
          <w:rFonts w:ascii="Times New Roman" w:hAnsi="Times New Roman"/>
          <w:sz w:val="26"/>
          <w:szCs w:val="26"/>
        </w:rPr>
        <w:t>markets;</w:t>
      </w:r>
    </w:p>
    <w:p w:rsidR="00241B71" w:rsidRPr="00950005" w:rsidP="00CF4F02" w14:paraId="1BED4C74" w14:textId="77777777">
      <w:pPr>
        <w:pStyle w:val="ListParagraph"/>
        <w:numPr>
          <w:ilvl w:val="0"/>
          <w:numId w:val="25"/>
        </w:numPr>
        <w:spacing w:after="0" w:line="240" w:lineRule="auto"/>
        <w:ind w:left="360"/>
        <w:rPr>
          <w:rFonts w:ascii="Times New Roman" w:hAnsi="Times New Roman"/>
          <w:iCs/>
          <w:sz w:val="26"/>
        </w:rPr>
      </w:pPr>
      <w:r w:rsidRPr="00950005">
        <w:rPr>
          <w:rFonts w:ascii="Times New Roman" w:hAnsi="Times New Roman"/>
          <w:iCs/>
          <w:sz w:val="26"/>
        </w:rPr>
        <w:t xml:space="preserve">A description of available alternatives in competition with the applicant in the relevant markets and other </w:t>
      </w:r>
      <w:r w:rsidRPr="00950005">
        <w:rPr>
          <w:rFonts w:ascii="Times New Roman" w:hAnsi="Times New Roman"/>
          <w:iCs/>
          <w:sz w:val="26"/>
        </w:rPr>
        <w:t>competition</w:t>
      </w:r>
      <w:r w:rsidRPr="00950005">
        <w:rPr>
          <w:rFonts w:ascii="Times New Roman" w:hAnsi="Times New Roman"/>
          <w:iCs/>
          <w:sz w:val="26"/>
        </w:rPr>
        <w:t xml:space="preserve"> </w:t>
      </w:r>
      <w:r w:rsidRPr="00950005">
        <w:rPr>
          <w:rFonts w:ascii="Times New Roman" w:hAnsi="Times New Roman"/>
          <w:iCs/>
          <w:sz w:val="26"/>
        </w:rPr>
        <w:t>constraining</w:t>
      </w:r>
      <w:r w:rsidRPr="00950005">
        <w:rPr>
          <w:rFonts w:ascii="Times New Roman" w:hAnsi="Times New Roman"/>
          <w:iCs/>
          <w:sz w:val="26"/>
        </w:rPr>
        <w:t xml:space="preserve"> the </w:t>
      </w:r>
      <w:r w:rsidRPr="00950005">
        <w:rPr>
          <w:rFonts w:ascii="Times New Roman" w:hAnsi="Times New Roman"/>
          <w:iCs/>
          <w:sz w:val="26"/>
        </w:rPr>
        <w:t>applicant’s</w:t>
      </w:r>
      <w:r w:rsidRPr="00950005">
        <w:rPr>
          <w:rFonts w:ascii="Times New Roman" w:hAnsi="Times New Roman"/>
          <w:iCs/>
          <w:sz w:val="26"/>
        </w:rPr>
        <w:t xml:space="preserve"> rates in those </w:t>
      </w:r>
      <w:r w:rsidRPr="00950005">
        <w:rPr>
          <w:rFonts w:ascii="Times New Roman" w:hAnsi="Times New Roman"/>
          <w:iCs/>
          <w:sz w:val="26"/>
        </w:rPr>
        <w:t>markets;</w:t>
      </w:r>
    </w:p>
    <w:p w:rsidR="00241B71" w:rsidRPr="00950005" w:rsidP="00CF4F02" w14:paraId="4C6AAC69" w14:textId="77777777">
      <w:pPr>
        <w:pStyle w:val="ListParagraph"/>
        <w:numPr>
          <w:ilvl w:val="0"/>
          <w:numId w:val="25"/>
        </w:numPr>
        <w:spacing w:after="0" w:line="240" w:lineRule="auto"/>
        <w:ind w:left="360"/>
        <w:rPr>
          <w:rFonts w:ascii="Times New Roman" w:hAnsi="Times New Roman"/>
          <w:iCs/>
          <w:sz w:val="26"/>
        </w:rPr>
      </w:pPr>
      <w:r w:rsidRPr="00950005">
        <w:rPr>
          <w:rFonts w:ascii="Times New Roman" w:hAnsi="Times New Roman"/>
          <w:iCs/>
          <w:sz w:val="26"/>
        </w:rPr>
        <w:t xml:space="preserve">A description of potential competition in the relevant </w:t>
      </w:r>
      <w:r w:rsidRPr="00950005">
        <w:rPr>
          <w:rFonts w:ascii="Times New Roman" w:hAnsi="Times New Roman"/>
          <w:iCs/>
          <w:sz w:val="26"/>
        </w:rPr>
        <w:t>markets;</w:t>
      </w:r>
    </w:p>
    <w:p w:rsidR="00241B71" w:rsidRPr="00950005" w:rsidP="00CF4F02" w14:paraId="138748B6" w14:textId="77777777">
      <w:pPr>
        <w:pStyle w:val="ListParagraph"/>
        <w:numPr>
          <w:ilvl w:val="0"/>
          <w:numId w:val="25"/>
        </w:numPr>
        <w:spacing w:after="0" w:line="240" w:lineRule="auto"/>
        <w:ind w:left="360"/>
        <w:rPr>
          <w:rFonts w:ascii="Times New Roman" w:hAnsi="Times New Roman"/>
          <w:iCs/>
          <w:sz w:val="26"/>
        </w:rPr>
      </w:pPr>
      <w:r w:rsidRPr="00950005">
        <w:rPr>
          <w:rFonts w:ascii="Times New Roman" w:hAnsi="Times New Roman"/>
          <w:iCs/>
          <w:sz w:val="26"/>
        </w:rPr>
        <w:t xml:space="preserve">A general system map and maps by geographic </w:t>
      </w:r>
      <w:r w:rsidRPr="00950005">
        <w:rPr>
          <w:rFonts w:ascii="Times New Roman" w:hAnsi="Times New Roman"/>
          <w:iCs/>
          <w:sz w:val="26"/>
        </w:rPr>
        <w:t>markets;</w:t>
      </w:r>
    </w:p>
    <w:p w:rsidR="00241B71" w:rsidRPr="00950005" w:rsidP="00CF4F02" w14:paraId="408F86F1" w14:textId="3199D3EF">
      <w:pPr>
        <w:pStyle w:val="ListParagraph"/>
        <w:numPr>
          <w:ilvl w:val="0"/>
          <w:numId w:val="25"/>
        </w:numPr>
        <w:spacing w:after="0" w:line="240" w:lineRule="auto"/>
        <w:ind w:left="360"/>
        <w:rPr>
          <w:rFonts w:ascii="Times New Roman" w:hAnsi="Times New Roman"/>
          <w:iCs/>
          <w:sz w:val="26"/>
        </w:rPr>
      </w:pPr>
      <w:r w:rsidRPr="00950005">
        <w:rPr>
          <w:rFonts w:ascii="Times New Roman" w:hAnsi="Times New Roman"/>
          <w:iCs/>
          <w:sz w:val="26"/>
        </w:rPr>
        <w:t>The calculation of the market concentration of the relevant markets using the Herfindahl-Hirschman Index;</w:t>
      </w:r>
      <w:r>
        <w:rPr>
          <w:rStyle w:val="FootnoteReference"/>
          <w:rFonts w:ascii="Times New Roman" w:hAnsi="Times New Roman"/>
          <w:iCs/>
          <w:sz w:val="26"/>
          <w:vertAlign w:val="superscript"/>
        </w:rPr>
        <w:footnoteReference w:id="5"/>
      </w:r>
    </w:p>
    <w:p w:rsidR="00241B71" w:rsidRPr="00950005" w:rsidP="00CF4F02" w14:paraId="0575D3F4" w14:textId="31B712D0">
      <w:pPr>
        <w:pStyle w:val="ListParagraph"/>
        <w:numPr>
          <w:ilvl w:val="0"/>
          <w:numId w:val="25"/>
        </w:numPr>
        <w:spacing w:after="0" w:line="240" w:lineRule="auto"/>
        <w:ind w:left="360"/>
        <w:rPr>
          <w:rFonts w:ascii="Times New Roman" w:hAnsi="Times New Roman"/>
          <w:iCs/>
          <w:sz w:val="26"/>
        </w:rPr>
      </w:pPr>
      <w:r w:rsidRPr="00950005">
        <w:rPr>
          <w:rFonts w:ascii="Times New Roman" w:hAnsi="Times New Roman"/>
          <w:iCs/>
          <w:sz w:val="26"/>
        </w:rPr>
        <w:t>A description of any other factors that bear on the issue of whether the applicant lacks significant market power in the relevant markets;</w:t>
      </w:r>
      <w:r w:rsidRPr="00950005" w:rsidR="00A14084">
        <w:rPr>
          <w:rFonts w:ascii="Times New Roman" w:hAnsi="Times New Roman"/>
          <w:iCs/>
          <w:sz w:val="26"/>
        </w:rPr>
        <w:t xml:space="preserve"> and</w:t>
      </w:r>
    </w:p>
    <w:p w:rsidR="00271032" w:rsidRPr="00950005" w:rsidP="00CF4F02" w14:paraId="3DF494A4" w14:textId="5CB0645E">
      <w:pPr>
        <w:pStyle w:val="ListParagraph"/>
        <w:numPr>
          <w:ilvl w:val="0"/>
          <w:numId w:val="25"/>
        </w:numPr>
        <w:spacing w:after="0" w:line="240" w:lineRule="auto"/>
        <w:ind w:left="360"/>
        <w:rPr>
          <w:rFonts w:ascii="Times New Roman" w:hAnsi="Times New Roman"/>
          <w:iCs/>
          <w:sz w:val="26"/>
        </w:rPr>
      </w:pPr>
      <w:r w:rsidRPr="00950005">
        <w:rPr>
          <w:rFonts w:ascii="Times New Roman" w:hAnsi="Times New Roman"/>
          <w:iCs/>
          <w:sz w:val="26"/>
        </w:rPr>
        <w:t xml:space="preserve">The proposed testimony </w:t>
      </w:r>
      <w:r w:rsidRPr="00950005">
        <w:rPr>
          <w:rFonts w:ascii="Times New Roman" w:hAnsi="Times New Roman"/>
          <w:iCs/>
          <w:sz w:val="26"/>
        </w:rPr>
        <w:t>in</w:t>
      </w:r>
      <w:r w:rsidRPr="00950005">
        <w:rPr>
          <w:rFonts w:ascii="Times New Roman" w:hAnsi="Times New Roman"/>
          <w:iCs/>
          <w:sz w:val="26"/>
        </w:rPr>
        <w:t xml:space="preserve"> support of the application and will serve as the applicant’s case-in-</w:t>
      </w:r>
      <w:r w:rsidRPr="00950005" w:rsidR="00902214">
        <w:rPr>
          <w:rFonts w:ascii="Times New Roman" w:hAnsi="Times New Roman"/>
          <w:iCs/>
          <w:sz w:val="26"/>
        </w:rPr>
        <w:t>chief if</w:t>
      </w:r>
      <w:r w:rsidRPr="00950005">
        <w:rPr>
          <w:rFonts w:ascii="Times New Roman" w:hAnsi="Times New Roman"/>
          <w:iCs/>
          <w:sz w:val="26"/>
        </w:rPr>
        <w:t xml:space="preserve"> the Commission sets the application for hearing.</w:t>
      </w:r>
    </w:p>
    <w:p w:rsidR="00411203" w:rsidRPr="00950005" w:rsidP="00271032" w14:paraId="31D6368A" w14:textId="256F8FED">
      <w:pPr>
        <w:rPr>
          <w:iCs/>
          <w:sz w:val="26"/>
        </w:rPr>
      </w:pPr>
    </w:p>
    <w:p w:rsidR="00411203" w:rsidRPr="00950005" w:rsidP="00271032" w14:paraId="43F1433A" w14:textId="22096799">
      <w:pPr>
        <w:rPr>
          <w:iCs/>
          <w:sz w:val="26"/>
        </w:rPr>
      </w:pPr>
      <w:r w:rsidRPr="00950005">
        <w:rPr>
          <w:i/>
          <w:sz w:val="26"/>
        </w:rPr>
        <w:t xml:space="preserve">Applicants that Provide Service under 18 </w:t>
      </w:r>
      <w:r w:rsidRPr="00950005" w:rsidR="006D451B">
        <w:rPr>
          <w:i/>
          <w:sz w:val="26"/>
        </w:rPr>
        <w:t xml:space="preserve">CFR Subpart </w:t>
      </w:r>
      <w:r w:rsidRPr="00950005" w:rsidR="00C622EF">
        <w:rPr>
          <w:i/>
          <w:sz w:val="26"/>
        </w:rPr>
        <w:t>C</w:t>
      </w:r>
    </w:p>
    <w:p w:rsidR="00045409" w:rsidRPr="00950005" w:rsidP="00271032" w14:paraId="5DD822AF" w14:textId="7D34CD20">
      <w:pPr>
        <w:rPr>
          <w:iCs/>
          <w:sz w:val="26"/>
        </w:rPr>
      </w:pPr>
    </w:p>
    <w:p w:rsidR="00D032BD" w:rsidRPr="00950005" w:rsidP="002D3770" w14:paraId="18044BA4" w14:textId="7A16913A">
      <w:pPr>
        <w:rPr>
          <w:iCs/>
          <w:sz w:val="26"/>
        </w:rPr>
      </w:pPr>
      <w:r w:rsidRPr="00950005">
        <w:rPr>
          <w:iCs/>
          <w:sz w:val="26"/>
        </w:rPr>
        <w:t xml:space="preserve">If an applicant </w:t>
      </w:r>
      <w:r w:rsidRPr="00950005">
        <w:rPr>
          <w:iCs/>
          <w:sz w:val="26"/>
        </w:rPr>
        <w:t>to use</w:t>
      </w:r>
      <w:r w:rsidRPr="00950005">
        <w:rPr>
          <w:iCs/>
          <w:sz w:val="26"/>
        </w:rPr>
        <w:t xml:space="preserve"> MBRs for storage provides service under 18 CFR Subpart C,</w:t>
      </w:r>
      <w:r>
        <w:rPr>
          <w:rStyle w:val="FootnoteReference"/>
          <w:iCs/>
          <w:sz w:val="26"/>
          <w:vertAlign w:val="superscript"/>
        </w:rPr>
        <w:footnoteReference w:id="6"/>
      </w:r>
      <w:r w:rsidRPr="00950005" w:rsidR="004678C3">
        <w:rPr>
          <w:iCs/>
          <w:sz w:val="26"/>
        </w:rPr>
        <w:t xml:space="preserve"> </w:t>
      </w:r>
      <w:r w:rsidRPr="00950005" w:rsidR="00AE7C9A">
        <w:rPr>
          <w:iCs/>
          <w:sz w:val="26"/>
        </w:rPr>
        <w:t xml:space="preserve">the regulation at 18 CFR 284.123 provides that the applicant may elect </w:t>
      </w:r>
      <w:r w:rsidRPr="00950005" w:rsidR="00B90AAA">
        <w:rPr>
          <w:iCs/>
          <w:sz w:val="26"/>
        </w:rPr>
        <w:t xml:space="preserve">one of the following options </w:t>
      </w:r>
      <w:r w:rsidRPr="00950005" w:rsidR="002D3770">
        <w:rPr>
          <w:iCs/>
          <w:sz w:val="26"/>
        </w:rPr>
        <w:t>for its rates.</w:t>
      </w:r>
    </w:p>
    <w:p w:rsidR="002D3770" w:rsidRPr="00950005" w:rsidP="002D3770" w14:paraId="4ECE4672" w14:textId="77777777">
      <w:pPr>
        <w:rPr>
          <w:iCs/>
          <w:sz w:val="26"/>
        </w:rPr>
      </w:pPr>
    </w:p>
    <w:p w:rsidR="00AB5E2F" w:rsidRPr="00950005" w:rsidP="007549DA" w14:paraId="7074126E" w14:textId="2226F301">
      <w:pPr>
        <w:rPr>
          <w:sz w:val="26"/>
        </w:rPr>
      </w:pPr>
      <w:r w:rsidRPr="00950005">
        <w:rPr>
          <w:sz w:val="26"/>
        </w:rPr>
        <w:t xml:space="preserve">Alternatively, the applicant may apply for Commission approval, by order, of the proposed rates and charges by filing with the Commission the proposed rates and charges, and information showing the proposed rates and charges </w:t>
      </w:r>
      <w:r w:rsidRPr="00950005">
        <w:rPr>
          <w:sz w:val="26"/>
        </w:rPr>
        <w:t>are</w:t>
      </w:r>
      <w:r w:rsidRPr="00950005">
        <w:rPr>
          <w:sz w:val="26"/>
        </w:rPr>
        <w:t xml:space="preserve"> fair and equitable. Each petition for approval filed under this paragraph must be accompanied by the fee set forth in </w:t>
      </w:r>
      <w:hyperlink r:id="rId9" w:history="1">
        <w:r w:rsidRPr="00950005" w:rsidR="006741B8">
          <w:rPr>
            <w:rStyle w:val="Hyperlink"/>
            <w:color w:val="auto"/>
            <w:sz w:val="26"/>
          </w:rPr>
          <w:t>18</w:t>
        </w:r>
      </w:hyperlink>
      <w:r w:rsidRPr="00950005" w:rsidR="006741B8">
        <w:rPr>
          <w:sz w:val="26"/>
        </w:rPr>
        <w:t xml:space="preserve"> CFR</w:t>
      </w:r>
      <w:r w:rsidRPr="00950005">
        <w:rPr>
          <w:sz w:val="26"/>
        </w:rPr>
        <w:t xml:space="preserve"> or by a petition for waiver pursuant to </w:t>
      </w:r>
      <w:r w:rsidRPr="00950005" w:rsidR="006741B8">
        <w:rPr>
          <w:sz w:val="26"/>
        </w:rPr>
        <w:t>18 CFR</w:t>
      </w:r>
      <w:hyperlink r:id="rId10" w:history="1">
        <w:r w:rsidRPr="00950005" w:rsidR="00B124E5">
          <w:rPr>
            <w:sz w:val="26"/>
          </w:rPr>
          <w:t xml:space="preserve"> </w:t>
        </w:r>
        <w:r w:rsidRPr="00950005">
          <w:rPr>
            <w:rStyle w:val="Hyperlink"/>
            <w:color w:val="auto"/>
            <w:sz w:val="26"/>
            <w:u w:val="none"/>
          </w:rPr>
          <w:t>384.106</w:t>
        </w:r>
      </w:hyperlink>
      <w:r w:rsidRPr="00950005">
        <w:rPr>
          <w:sz w:val="26"/>
        </w:rPr>
        <w:t xml:space="preserve">. Upon filing the </w:t>
      </w:r>
      <w:r w:rsidRPr="00950005">
        <w:rPr>
          <w:sz w:val="26"/>
        </w:rPr>
        <w:t>petition for approval, the intrastate pipeline may commence the transportation service and charge and collect the proposed rate, subject to refund.</w:t>
      </w:r>
    </w:p>
    <w:p w:rsidR="00AB5E2F" w:rsidRPr="00950005" w:rsidP="007549DA" w14:paraId="10C31934" w14:textId="77777777">
      <w:pPr>
        <w:rPr>
          <w:sz w:val="26"/>
        </w:rPr>
      </w:pPr>
    </w:p>
    <w:p w:rsidR="00320BEF" w:rsidRPr="00950005" w:rsidP="00320BEF" w14:paraId="145A4C0D" w14:textId="77777777">
      <w:pPr>
        <w:spacing w:line="480" w:lineRule="auto"/>
        <w:rPr>
          <w:sz w:val="26"/>
          <w:u w:val="single"/>
        </w:rPr>
      </w:pPr>
      <w:r w:rsidRPr="00950005">
        <w:rPr>
          <w:sz w:val="26"/>
          <w:u w:val="single"/>
        </w:rPr>
        <w:t>Market Based-Rates – Notice of Change in Circumstances</w:t>
      </w:r>
    </w:p>
    <w:p w:rsidR="007456F0" w:rsidRPr="00950005" w:rsidP="00794995" w14:paraId="631BC93A" w14:textId="462B3DEB">
      <w:pPr>
        <w:pStyle w:val="NoSpacing"/>
        <w:rPr>
          <w:sz w:val="26"/>
          <w:szCs w:val="26"/>
        </w:rPr>
      </w:pPr>
      <w:r w:rsidRPr="00950005">
        <w:rPr>
          <w:sz w:val="26"/>
          <w:szCs w:val="26"/>
        </w:rPr>
        <w:t>The Commission’s regulation at 18 CFR 284.504(b) provide</w:t>
      </w:r>
      <w:r w:rsidRPr="00950005" w:rsidR="002B2B05">
        <w:rPr>
          <w:sz w:val="26"/>
          <w:szCs w:val="26"/>
        </w:rPr>
        <w:t>s</w:t>
      </w:r>
      <w:r w:rsidRPr="00950005">
        <w:rPr>
          <w:sz w:val="26"/>
          <w:szCs w:val="26"/>
        </w:rPr>
        <w:t xml:space="preserve"> that a storage service provider </w:t>
      </w:r>
      <w:r w:rsidRPr="00950005" w:rsidR="00A1518C">
        <w:rPr>
          <w:sz w:val="26"/>
          <w:szCs w:val="26"/>
        </w:rPr>
        <w:t xml:space="preserve">that has been </w:t>
      </w:r>
      <w:r w:rsidRPr="00950005">
        <w:rPr>
          <w:sz w:val="26"/>
          <w:szCs w:val="26"/>
        </w:rPr>
        <w:t xml:space="preserve">granted the authority to charge </w:t>
      </w:r>
      <w:r w:rsidRPr="00950005" w:rsidR="002B2B05">
        <w:rPr>
          <w:sz w:val="26"/>
          <w:szCs w:val="26"/>
        </w:rPr>
        <w:t>MBRs</w:t>
      </w:r>
      <w:r w:rsidRPr="00950005">
        <w:rPr>
          <w:sz w:val="26"/>
          <w:szCs w:val="26"/>
        </w:rPr>
        <w:t xml:space="preserve"> is required to notify the Commission within 10 days of acquiring knowledge of </w:t>
      </w:r>
      <w:r w:rsidRPr="00950005" w:rsidR="00E0037F">
        <w:rPr>
          <w:sz w:val="26"/>
          <w:szCs w:val="26"/>
        </w:rPr>
        <w:t xml:space="preserve">any </w:t>
      </w:r>
      <w:r w:rsidRPr="00950005">
        <w:rPr>
          <w:sz w:val="26"/>
          <w:szCs w:val="26"/>
        </w:rPr>
        <w:t>significant change occurring in its market power status.</w:t>
      </w:r>
      <w:r w:rsidR="00847B6A">
        <w:rPr>
          <w:sz w:val="26"/>
          <w:szCs w:val="26"/>
        </w:rPr>
        <w:t xml:space="preserve"> </w:t>
      </w:r>
      <w:r w:rsidRPr="00950005">
        <w:rPr>
          <w:sz w:val="26"/>
          <w:szCs w:val="26"/>
        </w:rPr>
        <w:t xml:space="preserve">The notification should include a detailed description of the new facilities/services and their relationship </w:t>
      </w:r>
      <w:r w:rsidRPr="00950005">
        <w:rPr>
          <w:sz w:val="26"/>
          <w:szCs w:val="26"/>
        </w:rPr>
        <w:t>to</w:t>
      </w:r>
      <w:r w:rsidRPr="00950005">
        <w:rPr>
          <w:sz w:val="26"/>
          <w:szCs w:val="26"/>
        </w:rPr>
        <w:t xml:space="preserve"> the storage service provider.</w:t>
      </w:r>
      <w:r w:rsidR="00847B6A">
        <w:rPr>
          <w:sz w:val="26"/>
          <w:szCs w:val="26"/>
        </w:rPr>
        <w:t xml:space="preserve"> </w:t>
      </w:r>
      <w:r w:rsidRPr="00950005">
        <w:rPr>
          <w:sz w:val="26"/>
          <w:szCs w:val="26"/>
        </w:rPr>
        <w:t>Significant changes include:</w:t>
      </w:r>
    </w:p>
    <w:p w:rsidR="007456F0" w:rsidRPr="00950005" w:rsidP="00794995" w14:paraId="6DC42385" w14:textId="77777777">
      <w:pPr>
        <w:pStyle w:val="NoSpacing"/>
        <w:rPr>
          <w:sz w:val="26"/>
          <w:szCs w:val="26"/>
        </w:rPr>
      </w:pPr>
    </w:p>
    <w:p w:rsidR="00D600E5" w:rsidRPr="00950005" w:rsidP="00B15F61" w14:paraId="7D413887" w14:textId="77777777">
      <w:pPr>
        <w:pStyle w:val="NoSpacing"/>
        <w:numPr>
          <w:ilvl w:val="0"/>
          <w:numId w:val="27"/>
        </w:numPr>
        <w:ind w:left="360"/>
        <w:rPr>
          <w:sz w:val="26"/>
          <w:szCs w:val="26"/>
        </w:rPr>
      </w:pPr>
      <w:r w:rsidRPr="00950005">
        <w:rPr>
          <w:sz w:val="26"/>
          <w:szCs w:val="26"/>
        </w:rPr>
        <w:t xml:space="preserve">The storage provider expanding its storage capacity beyond the amount </w:t>
      </w:r>
      <w:r w:rsidRPr="00950005">
        <w:rPr>
          <w:sz w:val="26"/>
          <w:szCs w:val="26"/>
        </w:rPr>
        <w:t>authorized;</w:t>
      </w:r>
    </w:p>
    <w:p w:rsidR="00D600E5" w:rsidRPr="00950005" w:rsidP="00B15F61" w14:paraId="66D539FC" w14:textId="77777777">
      <w:pPr>
        <w:pStyle w:val="NoSpacing"/>
        <w:numPr>
          <w:ilvl w:val="0"/>
          <w:numId w:val="27"/>
        </w:numPr>
        <w:ind w:left="360"/>
        <w:rPr>
          <w:sz w:val="26"/>
          <w:szCs w:val="26"/>
        </w:rPr>
      </w:pPr>
      <w:r w:rsidRPr="00950005">
        <w:rPr>
          <w:sz w:val="26"/>
          <w:szCs w:val="26"/>
        </w:rPr>
        <w:t xml:space="preserve">The storage provider acquiring transportation facilities or additional storage </w:t>
      </w:r>
      <w:r w:rsidRPr="00950005">
        <w:rPr>
          <w:sz w:val="26"/>
          <w:szCs w:val="26"/>
        </w:rPr>
        <w:t>capacity;</w:t>
      </w:r>
    </w:p>
    <w:p w:rsidR="00D600E5" w:rsidRPr="00950005" w:rsidP="00B15F61" w14:paraId="32001145" w14:textId="77777777">
      <w:pPr>
        <w:pStyle w:val="NoSpacing"/>
        <w:numPr>
          <w:ilvl w:val="0"/>
          <w:numId w:val="27"/>
        </w:numPr>
        <w:ind w:left="360"/>
        <w:rPr>
          <w:sz w:val="26"/>
          <w:szCs w:val="26"/>
        </w:rPr>
      </w:pPr>
      <w:r w:rsidRPr="00950005">
        <w:rPr>
          <w:sz w:val="26"/>
          <w:szCs w:val="26"/>
        </w:rPr>
        <w:t>An affiliate providing storage or transportation services in the same market area; and</w:t>
      </w:r>
    </w:p>
    <w:p w:rsidR="00794995" w:rsidRPr="00950005" w:rsidP="00B15F61" w14:paraId="21BFE67D" w14:textId="5EA9C539">
      <w:pPr>
        <w:pStyle w:val="NoSpacing"/>
        <w:numPr>
          <w:ilvl w:val="0"/>
          <w:numId w:val="27"/>
        </w:numPr>
        <w:ind w:left="360"/>
        <w:rPr>
          <w:sz w:val="26"/>
          <w:szCs w:val="26"/>
        </w:rPr>
      </w:pPr>
      <w:r w:rsidRPr="00950005">
        <w:rPr>
          <w:sz w:val="26"/>
          <w:szCs w:val="26"/>
        </w:rPr>
        <w:t>The storage provider or an affiliate acquiring an interest in or is acquired by an interstate pipeline.</w:t>
      </w:r>
    </w:p>
    <w:p w:rsidR="00794995" w:rsidRPr="00950005" w:rsidP="007549DA" w14:paraId="29A2D024" w14:textId="1CA25940">
      <w:pPr>
        <w:rPr>
          <w:sz w:val="26"/>
        </w:rPr>
      </w:pPr>
    </w:p>
    <w:p w:rsidR="0021208A" w:rsidRPr="00950005" w:rsidP="0021208A" w14:paraId="7A01EAAD" w14:textId="2AEACD60">
      <w:pPr>
        <w:rPr>
          <w:sz w:val="26"/>
          <w:u w:val="single"/>
          <w:vertAlign w:val="superscript"/>
        </w:rPr>
      </w:pPr>
      <w:r w:rsidRPr="00950005">
        <w:rPr>
          <w:sz w:val="26"/>
          <w:u w:val="single"/>
        </w:rPr>
        <w:t>Record Retention</w:t>
      </w:r>
    </w:p>
    <w:p w:rsidR="0021208A" w:rsidRPr="00950005" w:rsidP="0021208A" w14:paraId="3694D61A" w14:textId="77777777">
      <w:pPr>
        <w:rPr>
          <w:sz w:val="26"/>
        </w:rPr>
      </w:pPr>
    </w:p>
    <w:p w:rsidR="00222DFE" w:rsidRPr="00950005" w:rsidP="00CF065B" w14:paraId="69B6848A" w14:textId="77777777">
      <w:pPr>
        <w:rPr>
          <w:sz w:val="26"/>
        </w:rPr>
      </w:pPr>
      <w:r w:rsidRPr="00950005">
        <w:rPr>
          <w:sz w:val="26"/>
        </w:rPr>
        <w:t>The Commission’s regulations at 18 CFR 284.288(b) and 284.403(b), respectively, impose a record retention requirement contained in a Code of Conduct applicable to</w:t>
      </w:r>
    </w:p>
    <w:p w:rsidR="00965BDB" w:rsidRPr="00950005" w:rsidP="00CF065B" w14:paraId="457B98A6" w14:textId="77777777">
      <w:pPr>
        <w:rPr>
          <w:sz w:val="26"/>
        </w:rPr>
      </w:pPr>
    </w:p>
    <w:p w:rsidR="000D6795" w:rsidRPr="00950005" w:rsidP="009F6397" w14:paraId="1FB03D04" w14:textId="77777777">
      <w:pPr>
        <w:pStyle w:val="ListParagraph"/>
        <w:numPr>
          <w:ilvl w:val="0"/>
          <w:numId w:val="28"/>
        </w:numPr>
        <w:spacing w:after="0" w:line="240" w:lineRule="auto"/>
        <w:ind w:left="360"/>
        <w:rPr>
          <w:rFonts w:ascii="Times New Roman" w:hAnsi="Times New Roman"/>
          <w:sz w:val="26"/>
        </w:rPr>
      </w:pPr>
      <w:r w:rsidRPr="00950005">
        <w:rPr>
          <w:rFonts w:ascii="Times New Roman" w:hAnsi="Times New Roman"/>
          <w:sz w:val="26"/>
        </w:rPr>
        <w:t>I</w:t>
      </w:r>
      <w:r w:rsidRPr="00950005" w:rsidR="00CF065B">
        <w:rPr>
          <w:rFonts w:ascii="Times New Roman" w:hAnsi="Times New Roman"/>
          <w:sz w:val="26"/>
        </w:rPr>
        <w:t>nterstate pipelines that provide unbundled natural gas sales service, and</w:t>
      </w:r>
    </w:p>
    <w:p w:rsidR="00EF1E02" w:rsidRPr="00950005" w:rsidP="009F6397" w14:paraId="0ABC4E90" w14:textId="77777777">
      <w:pPr>
        <w:pStyle w:val="ListParagraph"/>
        <w:numPr>
          <w:ilvl w:val="0"/>
          <w:numId w:val="28"/>
        </w:numPr>
        <w:spacing w:after="0" w:line="240" w:lineRule="auto"/>
        <w:ind w:left="360"/>
        <w:rPr>
          <w:rFonts w:ascii="Times New Roman" w:hAnsi="Times New Roman"/>
          <w:sz w:val="26"/>
        </w:rPr>
      </w:pPr>
      <w:r w:rsidRPr="00950005">
        <w:rPr>
          <w:rFonts w:ascii="Times New Roman" w:hAnsi="Times New Roman"/>
          <w:sz w:val="26"/>
        </w:rPr>
        <w:t>P</w:t>
      </w:r>
      <w:r w:rsidRPr="00950005" w:rsidR="00CF065B">
        <w:rPr>
          <w:rFonts w:ascii="Times New Roman" w:hAnsi="Times New Roman"/>
          <w:sz w:val="26"/>
        </w:rPr>
        <w:t>ersons who are not interstate pipelines and whose sales of natural gas are authorized by the “automatic” blanket marketing certificate granted by operation of 18 CFR 284.402.</w:t>
      </w:r>
    </w:p>
    <w:p w:rsidR="0084460E" w:rsidRPr="00950005" w:rsidP="00532627" w14:paraId="3F098E1D" w14:textId="77777777">
      <w:pPr>
        <w:rPr>
          <w:sz w:val="26"/>
        </w:rPr>
      </w:pPr>
    </w:p>
    <w:p w:rsidR="00CF065B" w:rsidRPr="00950005" w:rsidP="00EF1E02" w14:paraId="1ECD02EF" w14:textId="1EDAD79A">
      <w:pPr>
        <w:rPr>
          <w:sz w:val="26"/>
        </w:rPr>
      </w:pPr>
      <w:r w:rsidRPr="00950005">
        <w:rPr>
          <w:sz w:val="26"/>
        </w:rPr>
        <w:t>Any entity fitting one of those descriptions must retain, for a period of five years, all data and information upon which it billed the prices it charged for natural gas it sold pursuant to its market</w:t>
      </w:r>
      <w:r w:rsidRPr="00950005" w:rsidR="00C95610">
        <w:rPr>
          <w:sz w:val="26"/>
        </w:rPr>
        <w:t>-</w:t>
      </w:r>
      <w:r w:rsidRPr="00950005">
        <w:rPr>
          <w:sz w:val="26"/>
        </w:rPr>
        <w:t>based sales certificate or the prices it reported for use in price indices.</w:t>
      </w:r>
    </w:p>
    <w:p w:rsidR="0021208A" w:rsidRPr="00950005" w:rsidP="0021208A" w14:paraId="06E6629D" w14:textId="26ADC88A">
      <w:pPr>
        <w:rPr>
          <w:sz w:val="26"/>
        </w:rPr>
      </w:pPr>
      <w:r w:rsidRPr="00950005">
        <w:rPr>
          <w:bCs/>
          <w:sz w:val="26"/>
        </w:rPr>
        <w:t xml:space="preserve">FERC uses these records to monitor the jurisdictional transportation activities and unbundled sales activities of interstate natural gas pipelines and </w:t>
      </w:r>
      <w:r w:rsidRPr="00950005">
        <w:rPr>
          <w:sz w:val="26"/>
        </w:rPr>
        <w:t>blanket marketing certificate holders.</w:t>
      </w:r>
      <w:r w:rsidR="00847B6A">
        <w:rPr>
          <w:sz w:val="26"/>
        </w:rPr>
        <w:t xml:space="preserve"> </w:t>
      </w:r>
    </w:p>
    <w:p w:rsidR="0021208A" w:rsidRPr="00950005" w:rsidP="0021208A" w14:paraId="4F61D93B" w14:textId="77777777">
      <w:pPr>
        <w:rPr>
          <w:sz w:val="26"/>
        </w:rPr>
      </w:pPr>
    </w:p>
    <w:p w:rsidR="0021208A" w:rsidRPr="00950005" w:rsidP="0021208A" w14:paraId="77D78F1C" w14:textId="5022FC0E">
      <w:pPr>
        <w:rPr>
          <w:sz w:val="26"/>
          <w:vertAlign w:val="superscript"/>
        </w:rPr>
      </w:pPr>
      <w:r w:rsidRPr="00950005">
        <w:rPr>
          <w:sz w:val="26"/>
        </w:rPr>
        <w:t>The record retention period of five years is necessary due to the importance of records related to any investigation of possible wrongdoing and related to assuring compliance with the codes of conduct and the integrity of the market.</w:t>
      </w:r>
      <w:r w:rsidR="00847B6A">
        <w:rPr>
          <w:sz w:val="26"/>
        </w:rPr>
        <w:t xml:space="preserve"> </w:t>
      </w:r>
      <w:r w:rsidRPr="00950005">
        <w:rPr>
          <w:sz w:val="26"/>
        </w:rPr>
        <w:t>The requirement is necessary to ensure c</w:t>
      </w:r>
      <w:r w:rsidRPr="00950005" w:rsidR="00F36F27">
        <w:rPr>
          <w:sz w:val="26"/>
        </w:rPr>
        <w:t xml:space="preserve">onsistency in </w:t>
      </w:r>
      <w:r w:rsidRPr="00950005">
        <w:rPr>
          <w:sz w:val="26"/>
        </w:rPr>
        <w:t>prohibiting market manipulation (regulations adopted in Order No. 670, implementing the E</w:t>
      </w:r>
      <w:r w:rsidRPr="00950005" w:rsidR="00C56161">
        <w:rPr>
          <w:sz w:val="26"/>
        </w:rPr>
        <w:t xml:space="preserve">nergy </w:t>
      </w:r>
      <w:r w:rsidRPr="00950005">
        <w:rPr>
          <w:sz w:val="26"/>
        </w:rPr>
        <w:t>P</w:t>
      </w:r>
      <w:r w:rsidRPr="00950005" w:rsidR="00C56161">
        <w:rPr>
          <w:sz w:val="26"/>
        </w:rPr>
        <w:t xml:space="preserve">olicy </w:t>
      </w:r>
      <w:r w:rsidRPr="00950005">
        <w:rPr>
          <w:sz w:val="26"/>
        </w:rPr>
        <w:t>Act</w:t>
      </w:r>
      <w:r w:rsidRPr="00950005" w:rsidR="00C56161">
        <w:rPr>
          <w:sz w:val="26"/>
        </w:rPr>
        <w:t xml:space="preserve"> of</w:t>
      </w:r>
      <w:r w:rsidRPr="00950005">
        <w:rPr>
          <w:sz w:val="26"/>
        </w:rPr>
        <w:t xml:space="preserve"> 2005</w:t>
      </w:r>
      <w:r w:rsidRPr="00950005" w:rsidR="00C56161">
        <w:rPr>
          <w:sz w:val="26"/>
        </w:rPr>
        <w:t xml:space="preserve"> (</w:t>
      </w:r>
      <w:r w:rsidRPr="00950005" w:rsidR="00C56161">
        <w:rPr>
          <w:sz w:val="26"/>
        </w:rPr>
        <w:t>EP</w:t>
      </w:r>
      <w:r w:rsidRPr="00950005" w:rsidR="00501686">
        <w:rPr>
          <w:sz w:val="26"/>
        </w:rPr>
        <w:t>A</w:t>
      </w:r>
      <w:r w:rsidRPr="00950005" w:rsidR="00C56161">
        <w:rPr>
          <w:sz w:val="26"/>
        </w:rPr>
        <w:t>ct</w:t>
      </w:r>
      <w:r w:rsidRPr="00950005" w:rsidR="00C56161">
        <w:rPr>
          <w:sz w:val="26"/>
        </w:rPr>
        <w:t xml:space="preserve"> 2005) </w:t>
      </w:r>
      <w:r w:rsidRPr="00950005">
        <w:rPr>
          <w:sz w:val="26"/>
        </w:rPr>
        <w:t xml:space="preserve">anti-manipulation </w:t>
      </w:r>
      <w:r w:rsidRPr="00950005">
        <w:rPr>
          <w:sz w:val="26"/>
        </w:rPr>
        <w:t>provisions</w:t>
      </w:r>
      <w:r>
        <w:rPr>
          <w:sz w:val="26"/>
          <w:vertAlign w:val="superscript"/>
        </w:rPr>
        <w:footnoteReference w:id="7"/>
      </w:r>
      <w:r w:rsidRPr="00950005">
        <w:rPr>
          <w:sz w:val="26"/>
        </w:rPr>
        <w:t>) and the generally applicable five-year statute of limitations where the Commission seeks civil penalties for violations of the anti-manipulation rules or other rules, regulations, or orders to which the price data may be relevant.</w:t>
      </w:r>
      <w:r>
        <w:rPr>
          <w:rStyle w:val="FootnoteReference"/>
          <w:sz w:val="26"/>
          <w:vertAlign w:val="superscript"/>
        </w:rPr>
        <w:footnoteReference w:id="8"/>
      </w:r>
    </w:p>
    <w:p w:rsidR="0021208A" w:rsidRPr="00950005" w:rsidP="0021208A" w14:paraId="239A2DD8" w14:textId="21C75B57">
      <w:pPr>
        <w:rPr>
          <w:sz w:val="26"/>
        </w:rPr>
      </w:pPr>
    </w:p>
    <w:p w:rsidR="0021208A" w:rsidRPr="00950005" w:rsidP="0021208A" w14:paraId="6CDD76EE" w14:textId="5FB6E195">
      <w:pPr>
        <w:rPr>
          <w:sz w:val="26"/>
        </w:rPr>
      </w:pPr>
      <w:r w:rsidRPr="00950005">
        <w:rPr>
          <w:sz w:val="26"/>
        </w:rPr>
        <w:t xml:space="preserve">Failure to have this information available would mean the Commission </w:t>
      </w:r>
      <w:r w:rsidRPr="00950005" w:rsidR="00924397">
        <w:rPr>
          <w:sz w:val="26"/>
        </w:rPr>
        <w:t>would have difficulty</w:t>
      </w:r>
      <w:r w:rsidRPr="00950005">
        <w:rPr>
          <w:sz w:val="26"/>
        </w:rPr>
        <w:t xml:space="preserve"> perform</w:t>
      </w:r>
      <w:r w:rsidRPr="00950005" w:rsidR="00924397">
        <w:rPr>
          <w:sz w:val="26"/>
        </w:rPr>
        <w:t>ing</w:t>
      </w:r>
      <w:r w:rsidRPr="00950005">
        <w:rPr>
          <w:sz w:val="26"/>
        </w:rPr>
        <w:t xml:space="preserve"> its regulatory functions to monitor and evaluate transactions and operations of interstate pipelines and blanket marketing certificate holders.</w:t>
      </w:r>
    </w:p>
    <w:p w:rsidR="00A669FD" w:rsidRPr="00950005" w:rsidP="0021208A" w14:paraId="7F3B4282" w14:textId="77777777">
      <w:pPr>
        <w:rPr>
          <w:sz w:val="26"/>
        </w:rPr>
      </w:pPr>
    </w:p>
    <w:p w:rsidR="00980E8E" w:rsidRPr="00950005" w:rsidP="00934B37" w14:paraId="0D89564A" w14:textId="77777777">
      <w:pPr>
        <w:widowControl/>
        <w:numPr>
          <w:ilvl w:val="0"/>
          <w:numId w:val="9"/>
        </w:numPr>
        <w:ind w:hanging="720"/>
        <w:rPr>
          <w:sz w:val="26"/>
        </w:rPr>
      </w:pPr>
      <w:r w:rsidRPr="00950005">
        <w:rPr>
          <w:b/>
          <w:sz w:val="26"/>
        </w:rPr>
        <w:t>DESCRIBE ANY CONSIDERATION OF THE USE OF IMPROVED INFORMATION TECHNOLOGY TO REDUCE BURDEN AND THE TECHNICAL OR LEGAL OBSTACLES TO REDUCING BURDEN</w:t>
      </w:r>
    </w:p>
    <w:p w:rsidR="00980E8E" w:rsidRPr="00950005" w:rsidP="00980E8E" w14:paraId="68C0153E" w14:textId="77777777">
      <w:pPr>
        <w:rPr>
          <w:sz w:val="26"/>
        </w:rPr>
      </w:pPr>
    </w:p>
    <w:p w:rsidR="008060D2" w:rsidRPr="00950005" w:rsidP="008060D2" w14:paraId="2BFBECDA" w14:textId="78FEAE1B">
      <w:pPr>
        <w:rPr>
          <w:sz w:val="26"/>
        </w:rPr>
      </w:pPr>
      <w:r w:rsidRPr="00950005">
        <w:rPr>
          <w:sz w:val="26"/>
        </w:rPr>
        <w:t>The Commission has developed the capability for electronic filing of all submissions that occur under FERC-549.</w:t>
      </w:r>
      <w:r w:rsidR="00847B6A">
        <w:rPr>
          <w:sz w:val="26"/>
        </w:rPr>
        <w:t xml:space="preserve"> </w:t>
      </w:r>
      <w:r w:rsidRPr="00950005">
        <w:rPr>
          <w:sz w:val="26"/>
        </w:rPr>
        <w:t xml:space="preserve">In requesting changes to its rates or statement of operating conditions, the pipeline’s filings must be made electronically per section 284.123(f), thus </w:t>
      </w:r>
      <w:r w:rsidR="008A2812">
        <w:rPr>
          <w:sz w:val="26"/>
        </w:rPr>
        <w:t xml:space="preserve">applicants do not have the additional burden that comes from submitting </w:t>
      </w:r>
      <w:r w:rsidRPr="00950005">
        <w:rPr>
          <w:sz w:val="26"/>
        </w:rPr>
        <w:t xml:space="preserve">paper copies. </w:t>
      </w:r>
    </w:p>
    <w:p w:rsidR="005240A1" w:rsidRPr="00950005" w:rsidP="005240A1" w14:paraId="7ABA2E4D" w14:textId="77777777">
      <w:pPr>
        <w:pStyle w:val="FERCparanumber"/>
        <w:numPr>
          <w:ilvl w:val="0"/>
          <w:numId w:val="0"/>
        </w:numPr>
      </w:pPr>
    </w:p>
    <w:p w:rsidR="009D6B6D" w:rsidRPr="00950005" w:rsidP="00934B37" w14:paraId="538F2846" w14:textId="3390B427">
      <w:pPr>
        <w:pStyle w:val="FERCparanumber"/>
        <w:numPr>
          <w:ilvl w:val="0"/>
          <w:numId w:val="9"/>
        </w:numPr>
        <w:ind w:hanging="720"/>
      </w:pPr>
      <w:r w:rsidRPr="00950005">
        <w:rPr>
          <w:b/>
        </w:rPr>
        <w:t>DESCRIBE EFFORTS TO IDENTIFY DUPLICAT</w:t>
      </w:r>
      <w:r w:rsidR="004E29DC">
        <w:rPr>
          <w:b/>
        </w:rPr>
        <w:t>I</w:t>
      </w:r>
      <w:r w:rsidRPr="00950005">
        <w:rPr>
          <w:b/>
        </w:rPr>
        <w:t>ON AND SHOW SPECIFICALLY WHY ANY SIMILAR INFORMATION ALREADY AVAILABLE CANNOT BE USED OR MODIFIED FOR USE FOR THE PURPOSE(S) DESCRIBED IN INSTRUCTION NO. 2.</w:t>
      </w:r>
    </w:p>
    <w:p w:rsidR="00BD4039" w:rsidRPr="00950005" w:rsidP="00BD4039" w14:paraId="3608D946" w14:textId="77777777">
      <w:pPr>
        <w:pStyle w:val="FERCparanumber"/>
        <w:numPr>
          <w:ilvl w:val="0"/>
          <w:numId w:val="0"/>
        </w:numPr>
        <w:rPr>
          <w:b/>
        </w:rPr>
      </w:pPr>
    </w:p>
    <w:p w:rsidR="00BD4039" w:rsidRPr="00950005" w:rsidP="00BD4039" w14:paraId="0C843616" w14:textId="68E9A991">
      <w:pPr>
        <w:pStyle w:val="FERCparanumber"/>
        <w:numPr>
          <w:ilvl w:val="0"/>
          <w:numId w:val="0"/>
        </w:numPr>
      </w:pPr>
      <w:r w:rsidRPr="00950005">
        <w:t xml:space="preserve">Filing requirements are periodically reviewed as OMB review dates arise or as the Commission may deem necessary in carrying out its responsibilities under the NGPA and the NGA </w:t>
      </w:r>
      <w:r w:rsidRPr="00950005" w:rsidR="00902214">
        <w:t>to</w:t>
      </w:r>
      <w:r w:rsidRPr="00950005">
        <w:t xml:space="preserve"> eliminate duplication and ensure that filing burden is minimized. </w:t>
      </w:r>
    </w:p>
    <w:p w:rsidR="008060D2" w:rsidRPr="00950005" w:rsidP="00BD4039" w14:paraId="471BB3CC" w14:textId="77777777">
      <w:pPr>
        <w:pStyle w:val="FERCparanumber"/>
        <w:numPr>
          <w:ilvl w:val="0"/>
          <w:numId w:val="0"/>
        </w:numPr>
      </w:pPr>
    </w:p>
    <w:p w:rsidR="009D6B6D" w:rsidRPr="00950005" w:rsidP="00934B37" w14:paraId="0CCD6FBB" w14:textId="77777777">
      <w:pPr>
        <w:pStyle w:val="FERCparanumber"/>
        <w:numPr>
          <w:ilvl w:val="0"/>
          <w:numId w:val="9"/>
        </w:numPr>
        <w:ind w:hanging="720"/>
      </w:pPr>
      <w:r w:rsidRPr="00950005">
        <w:rPr>
          <w:b/>
        </w:rPr>
        <w:t>METHODS USED TO MINIMIZE BURDEN IN COLLECTION OF INFORMATION INVOLVING SMALL ENTITIES</w:t>
      </w:r>
      <w:r w:rsidRPr="00950005">
        <w:t xml:space="preserve"> </w:t>
      </w:r>
    </w:p>
    <w:p w:rsidR="009D6B6D" w:rsidRPr="00950005" w:rsidP="001D2EC1" w14:paraId="40440B83" w14:textId="77777777">
      <w:pPr>
        <w:widowControl/>
        <w:ind w:left="1440"/>
        <w:rPr>
          <w:sz w:val="26"/>
        </w:rPr>
      </w:pPr>
    </w:p>
    <w:p w:rsidR="008060D2" w:rsidRPr="00950005" w:rsidP="008060D2" w14:paraId="0D7A6B5F" w14:textId="3B6F4EC6">
      <w:pPr>
        <w:rPr>
          <w:sz w:val="26"/>
        </w:rPr>
      </w:pPr>
      <w:r w:rsidRPr="00950005">
        <w:rPr>
          <w:sz w:val="26"/>
        </w:rPr>
        <w:t>FERC-549 is a filing requirement pertaining to pipeline transportation transaction filing and retention obligations under the applicable regulations for the transportation, and sale of natural gas as stated herein.</w:t>
      </w:r>
      <w:r w:rsidR="00847B6A">
        <w:rPr>
          <w:sz w:val="26"/>
        </w:rPr>
        <w:t xml:space="preserve"> </w:t>
      </w:r>
      <w:r w:rsidRPr="00950005">
        <w:rPr>
          <w:sz w:val="26"/>
        </w:rPr>
        <w:t xml:space="preserve">This filing collects data from both large and small respondent companies. However, most companies </w:t>
      </w:r>
      <w:r w:rsidRPr="00950005" w:rsidR="000677CB">
        <w:rPr>
          <w:sz w:val="26"/>
        </w:rPr>
        <w:t>that</w:t>
      </w:r>
      <w:r w:rsidRPr="00950005">
        <w:rPr>
          <w:sz w:val="26"/>
        </w:rPr>
        <w:t xml:space="preserve"> fulfill the FERC-549 filing requirement do not fall within the definition of small entities.</w:t>
      </w:r>
      <w:r w:rsidR="00847B6A">
        <w:rPr>
          <w:sz w:val="26"/>
        </w:rPr>
        <w:t xml:space="preserve"> </w:t>
      </w:r>
    </w:p>
    <w:p w:rsidR="005240A1" w:rsidP="005240A1" w14:paraId="2C75D9A1" w14:textId="77777777">
      <w:pPr>
        <w:pStyle w:val="FERCparanumber"/>
        <w:numPr>
          <w:ilvl w:val="0"/>
          <w:numId w:val="0"/>
        </w:numPr>
        <w:tabs>
          <w:tab w:val="num" w:pos="0"/>
        </w:tabs>
      </w:pPr>
    </w:p>
    <w:p w:rsidR="00DA1B78" w:rsidRPr="00950005" w:rsidP="005240A1" w14:paraId="35B8BDE1" w14:textId="77777777">
      <w:pPr>
        <w:pStyle w:val="FERCparanumber"/>
        <w:numPr>
          <w:ilvl w:val="0"/>
          <w:numId w:val="0"/>
        </w:numPr>
        <w:tabs>
          <w:tab w:val="num" w:pos="0"/>
        </w:tabs>
      </w:pPr>
    </w:p>
    <w:p w:rsidR="009D6B6D" w:rsidRPr="00950005" w:rsidP="00934B37" w14:paraId="402ABF38" w14:textId="77777777">
      <w:pPr>
        <w:pStyle w:val="FERCparanumber"/>
        <w:numPr>
          <w:ilvl w:val="0"/>
          <w:numId w:val="9"/>
        </w:numPr>
        <w:ind w:hanging="720"/>
      </w:pPr>
      <w:r w:rsidRPr="00950005">
        <w:rPr>
          <w:b/>
        </w:rPr>
        <w:t>CONSEQUENCE TO FEDERAL PROGRAM IF COLLECTION WERE CONDUCTED LESS FREQUENTLY</w:t>
      </w:r>
    </w:p>
    <w:p w:rsidR="00BB6095" w:rsidRPr="00950005" w:rsidP="00BB6095" w14:paraId="42F696FE" w14:textId="77777777">
      <w:pPr>
        <w:pStyle w:val="FERCparanumber"/>
        <w:numPr>
          <w:ilvl w:val="0"/>
          <w:numId w:val="0"/>
        </w:numPr>
        <w:rPr>
          <w:b/>
        </w:rPr>
      </w:pPr>
    </w:p>
    <w:p w:rsidR="006B0369" w:rsidRPr="00950005" w:rsidP="006B0369" w14:paraId="090B6B57" w14:textId="540CB273">
      <w:pPr>
        <w:rPr>
          <w:sz w:val="26"/>
        </w:rPr>
      </w:pPr>
      <w:r w:rsidRPr="00950005">
        <w:rPr>
          <w:sz w:val="26"/>
        </w:rPr>
        <w:t xml:space="preserve">Section 311 intrastate pipeline companies or persons holding blanket certificates only provide this </w:t>
      </w:r>
      <w:r w:rsidRPr="00950005">
        <w:rPr>
          <w:sz w:val="26"/>
        </w:rPr>
        <w:t>information collection</w:t>
      </w:r>
      <w:r w:rsidRPr="00950005">
        <w:rPr>
          <w:sz w:val="26"/>
        </w:rPr>
        <w:t xml:space="preserve"> through the submission of filings.</w:t>
      </w:r>
      <w:r w:rsidR="00847B6A">
        <w:rPr>
          <w:sz w:val="26"/>
        </w:rPr>
        <w:t xml:space="preserve"> </w:t>
      </w:r>
      <w:r w:rsidRPr="00950005">
        <w:rPr>
          <w:sz w:val="26"/>
        </w:rPr>
        <w:t xml:space="preserve">If the collection were conducted less frequently or discontinued, the Commission would be unable to determine if the rates continue to be fair and equitable. </w:t>
      </w:r>
    </w:p>
    <w:p w:rsidR="00BB6095" w:rsidRPr="00950005" w:rsidP="00BB6095" w14:paraId="16218CA6" w14:textId="77777777">
      <w:pPr>
        <w:pStyle w:val="FERCparanumber"/>
        <w:numPr>
          <w:ilvl w:val="0"/>
          <w:numId w:val="0"/>
        </w:numPr>
      </w:pPr>
    </w:p>
    <w:p w:rsidR="00BB6095" w:rsidRPr="00950005" w:rsidP="00934B37" w14:paraId="201D7DF2" w14:textId="77777777">
      <w:pPr>
        <w:pStyle w:val="FERCparanumber"/>
        <w:numPr>
          <w:ilvl w:val="0"/>
          <w:numId w:val="9"/>
        </w:numPr>
        <w:ind w:hanging="720"/>
      </w:pPr>
      <w:r w:rsidRPr="00950005">
        <w:rPr>
          <w:b/>
        </w:rPr>
        <w:t>EXPLAIN ANY SPECIAL CIRCUMSTANCES RELATING TO THE INFORMATION</w:t>
      </w:r>
    </w:p>
    <w:p w:rsidR="00BB6095" w:rsidRPr="00950005" w:rsidP="00BB6095" w14:paraId="267564E3" w14:textId="77777777">
      <w:pPr>
        <w:pStyle w:val="FERCparanumber"/>
        <w:numPr>
          <w:ilvl w:val="0"/>
          <w:numId w:val="0"/>
        </w:numPr>
        <w:rPr>
          <w:b/>
        </w:rPr>
      </w:pPr>
    </w:p>
    <w:p w:rsidR="00BB6095" w:rsidRPr="00950005" w:rsidP="00BB6095" w14:paraId="00AC263F" w14:textId="1ABF5D79">
      <w:pPr>
        <w:pStyle w:val="FERCparanumber"/>
        <w:numPr>
          <w:ilvl w:val="0"/>
          <w:numId w:val="0"/>
        </w:numPr>
      </w:pPr>
      <w:r w:rsidRPr="00950005">
        <w:t>The record retention period of five years is necessary due to the importance of records related to any investigation of possible wrongdoing and related to assuring compliance with the codes of conduct and the integrity of the market.</w:t>
      </w:r>
      <w:r w:rsidR="00847B6A">
        <w:t xml:space="preserve"> </w:t>
      </w:r>
    </w:p>
    <w:p w:rsidR="009F51E7" w:rsidRPr="00950005" w:rsidP="00BB6095" w14:paraId="6743E0D4" w14:textId="77777777">
      <w:pPr>
        <w:pStyle w:val="FERCparanumber"/>
        <w:numPr>
          <w:ilvl w:val="0"/>
          <w:numId w:val="0"/>
        </w:numPr>
      </w:pPr>
    </w:p>
    <w:p w:rsidR="009D6B6D" w:rsidRPr="00950005" w:rsidP="00934B37" w14:paraId="321509B9" w14:textId="77777777">
      <w:pPr>
        <w:pStyle w:val="FERCparanumber"/>
        <w:numPr>
          <w:ilvl w:val="0"/>
          <w:numId w:val="9"/>
        </w:numPr>
        <w:ind w:hanging="720"/>
      </w:pPr>
      <w:r w:rsidRPr="00950005">
        <w:rPr>
          <w:b/>
        </w:rPr>
        <w:t>DESCRIBE EFFORTS TO CONSULT OUTSIDE THE AGENCY: SUMMARIZE PUBLIC COMMENTS AND THE AGENCY’S RESPONSE TO THESE COMMENTS</w:t>
      </w:r>
    </w:p>
    <w:p w:rsidR="00BB6095" w:rsidRPr="00950005" w:rsidP="00BB6095" w14:paraId="6C22C1F1" w14:textId="77777777">
      <w:pPr>
        <w:pStyle w:val="FERCparanumber"/>
        <w:numPr>
          <w:ilvl w:val="0"/>
          <w:numId w:val="0"/>
        </w:numPr>
        <w:rPr>
          <w:b/>
        </w:rPr>
      </w:pPr>
    </w:p>
    <w:p w:rsidR="00CC3A69" w:rsidRPr="00CC3A69" w:rsidP="71FC8FB5" w14:paraId="1D676D2C" w14:textId="2C2D8EA1">
      <w:pPr>
        <w:rPr>
          <w:sz w:val="26"/>
          <w:szCs w:val="26"/>
        </w:rPr>
      </w:pPr>
      <w:r w:rsidRPr="71FC8FB5">
        <w:rPr>
          <w:sz w:val="26"/>
          <w:szCs w:val="26"/>
        </w:rPr>
        <w:t>In accordance with OMB requirements,</w:t>
      </w:r>
      <w:r>
        <w:rPr>
          <w:b/>
          <w:bCs/>
          <w:sz w:val="26"/>
          <w:szCs w:val="26"/>
          <w:vertAlign w:val="superscript"/>
        </w:rPr>
        <w:footnoteReference w:id="9"/>
      </w:r>
      <w:r w:rsidRPr="71FC8FB5">
        <w:rPr>
          <w:sz w:val="26"/>
          <w:szCs w:val="26"/>
        </w:rPr>
        <w:t xml:space="preserve"> the Commission published a 60-day notice (91 FR </w:t>
      </w:r>
      <w:r w:rsidRPr="71FC8FB5" w:rsidR="0028133D">
        <w:rPr>
          <w:sz w:val="26"/>
          <w:szCs w:val="26"/>
        </w:rPr>
        <w:t>13022</w:t>
      </w:r>
      <w:r w:rsidRPr="71FC8FB5">
        <w:rPr>
          <w:sz w:val="26"/>
          <w:szCs w:val="26"/>
        </w:rPr>
        <w:t xml:space="preserve">, </w:t>
      </w:r>
      <w:r w:rsidRPr="71FC8FB5" w:rsidR="0028133D">
        <w:rPr>
          <w:sz w:val="26"/>
          <w:szCs w:val="26"/>
        </w:rPr>
        <w:t>March 18</w:t>
      </w:r>
      <w:r w:rsidRPr="71FC8FB5">
        <w:rPr>
          <w:sz w:val="26"/>
          <w:szCs w:val="26"/>
        </w:rPr>
        <w:t>, 2026) and a 30-day notice (</w:t>
      </w:r>
      <w:r w:rsidRPr="3AD30356">
        <w:rPr>
          <w:sz w:val="26"/>
          <w:szCs w:val="26"/>
        </w:rPr>
        <w:t xml:space="preserve">91 FR </w:t>
      </w:r>
      <w:r w:rsidRPr="3AD30356" w:rsidR="1547FE22">
        <w:rPr>
          <w:sz w:val="26"/>
          <w:szCs w:val="26"/>
        </w:rPr>
        <w:t>30300</w:t>
      </w:r>
      <w:r w:rsidRPr="3AD30356">
        <w:rPr>
          <w:sz w:val="26"/>
          <w:szCs w:val="26"/>
        </w:rPr>
        <w:t>,</w:t>
      </w:r>
      <w:r w:rsidRPr="3AD30356" w:rsidR="688B08B3">
        <w:rPr>
          <w:sz w:val="26"/>
          <w:szCs w:val="26"/>
        </w:rPr>
        <w:t xml:space="preserve"> May 22</w:t>
      </w:r>
      <w:r w:rsidRPr="3AD30356">
        <w:rPr>
          <w:sz w:val="26"/>
          <w:szCs w:val="26"/>
        </w:rPr>
        <w:t>, 2026</w:t>
      </w:r>
      <w:r w:rsidRPr="71FC8FB5">
        <w:rPr>
          <w:sz w:val="26"/>
          <w:szCs w:val="26"/>
        </w:rPr>
        <w:t>) to the public regarding this information collection. Within the public notices, the Commission noted that it would be requesting a three-year extension of the public reporting burden with no change to the existing requirements concerning the collection of data. No comments were received.</w:t>
      </w:r>
    </w:p>
    <w:p w:rsidR="00BB6095" w:rsidRPr="00950005" w:rsidP="00BB6095" w14:paraId="36856532" w14:textId="77777777">
      <w:pPr>
        <w:pStyle w:val="FERCparanumber"/>
        <w:numPr>
          <w:ilvl w:val="0"/>
          <w:numId w:val="0"/>
        </w:numPr>
      </w:pPr>
    </w:p>
    <w:p w:rsidR="009D6B6D" w:rsidRPr="00950005" w:rsidP="00934B37" w14:paraId="3687FF0A" w14:textId="77777777">
      <w:pPr>
        <w:pStyle w:val="FERCparanumber"/>
        <w:numPr>
          <w:ilvl w:val="0"/>
          <w:numId w:val="9"/>
        </w:numPr>
        <w:ind w:hanging="720"/>
      </w:pPr>
      <w:r w:rsidRPr="00950005">
        <w:rPr>
          <w:b/>
        </w:rPr>
        <w:t>EXPLAIN ANY PAYMENT OR GIFTS TO RESPONDENTS</w:t>
      </w:r>
    </w:p>
    <w:p w:rsidR="00BB6095" w:rsidRPr="00950005" w:rsidP="00BB6095" w14:paraId="1A4FEE3D" w14:textId="77777777">
      <w:pPr>
        <w:pStyle w:val="FERCparanumber"/>
        <w:numPr>
          <w:ilvl w:val="0"/>
          <w:numId w:val="0"/>
        </w:numPr>
        <w:rPr>
          <w:b/>
        </w:rPr>
      </w:pPr>
    </w:p>
    <w:p w:rsidR="00BB6095" w:rsidRPr="00950005" w:rsidP="00BB6095" w14:paraId="07735834" w14:textId="77777777">
      <w:pPr>
        <w:widowControl/>
        <w:rPr>
          <w:sz w:val="26"/>
        </w:rPr>
      </w:pPr>
      <w:r w:rsidRPr="00950005">
        <w:rPr>
          <w:sz w:val="26"/>
        </w:rPr>
        <w:t>There are no payments or gifts to respondents.</w:t>
      </w:r>
    </w:p>
    <w:p w:rsidR="00BB6095" w:rsidRPr="00950005" w:rsidP="00BB6095" w14:paraId="6F0B85A6" w14:textId="77777777">
      <w:pPr>
        <w:pStyle w:val="FERCparanumber"/>
        <w:numPr>
          <w:ilvl w:val="0"/>
          <w:numId w:val="0"/>
        </w:numPr>
        <w:rPr>
          <w:b/>
        </w:rPr>
      </w:pPr>
    </w:p>
    <w:p w:rsidR="009D6B6D" w:rsidRPr="00950005" w:rsidP="001D2EC1" w14:paraId="28132B71" w14:textId="77777777">
      <w:pPr>
        <w:pStyle w:val="FERCparanumber"/>
        <w:numPr>
          <w:ilvl w:val="0"/>
          <w:numId w:val="9"/>
        </w:numPr>
      </w:pPr>
      <w:r w:rsidRPr="00950005">
        <w:rPr>
          <w:b/>
        </w:rPr>
        <w:t>DESCRIBE ANY ASSURANCE OF CONFIDENTIALITY PROVIDED TO RESPONDENTS</w:t>
      </w:r>
    </w:p>
    <w:p w:rsidR="00BB6095" w:rsidRPr="00950005" w:rsidP="00BB6095" w14:paraId="02764487" w14:textId="77777777">
      <w:pPr>
        <w:pStyle w:val="FERCparanumber"/>
        <w:numPr>
          <w:ilvl w:val="0"/>
          <w:numId w:val="0"/>
        </w:numPr>
        <w:rPr>
          <w:b/>
        </w:rPr>
      </w:pPr>
    </w:p>
    <w:p w:rsidR="001F60CC" w:rsidRPr="00950005" w:rsidP="001F60CC" w14:paraId="0E2FA48C" w14:textId="4B15BB2A">
      <w:pPr>
        <w:rPr>
          <w:sz w:val="26"/>
        </w:rPr>
      </w:pPr>
      <w:r w:rsidRPr="00950005">
        <w:rPr>
          <w:sz w:val="26"/>
        </w:rPr>
        <w:t>The Commission does not consider the i</w:t>
      </w:r>
      <w:r w:rsidRPr="00950005" w:rsidR="001F42E7">
        <w:rPr>
          <w:sz w:val="26"/>
        </w:rPr>
        <w:t>nf</w:t>
      </w:r>
      <w:r w:rsidRPr="00950005" w:rsidR="00CB3EA0">
        <w:rPr>
          <w:sz w:val="26"/>
        </w:rPr>
        <w:t xml:space="preserve">ormation collected in </w:t>
      </w:r>
      <w:r w:rsidRPr="00950005" w:rsidR="006B0369">
        <w:rPr>
          <w:sz w:val="26"/>
        </w:rPr>
        <w:t>FERC-549 filings to be confidential.</w:t>
      </w:r>
      <w:r w:rsidR="002E210E">
        <w:rPr>
          <w:sz w:val="26"/>
        </w:rPr>
        <w:t xml:space="preserve"> </w:t>
      </w:r>
      <w:r w:rsidRPr="002E210E" w:rsidR="002E210E">
        <w:rPr>
          <w:sz w:val="26"/>
        </w:rPr>
        <w:t>In general, any filer may request non-public treatment of privileged information or Critical Energy/Electric Infrastructure Information (CEII) as discussed in 18 CFR 388.112 and 388.113.</w:t>
      </w:r>
    </w:p>
    <w:p w:rsidR="00BB6095" w:rsidP="00BB6095" w14:paraId="54C8367F" w14:textId="77777777">
      <w:pPr>
        <w:pStyle w:val="FERCparanumber"/>
        <w:numPr>
          <w:ilvl w:val="0"/>
          <w:numId w:val="0"/>
        </w:numPr>
      </w:pPr>
    </w:p>
    <w:p w:rsidR="00DA1B78" w:rsidRPr="00950005" w:rsidP="00BB6095" w14:paraId="18A9AB71" w14:textId="77777777">
      <w:pPr>
        <w:pStyle w:val="FERCparanumber"/>
        <w:numPr>
          <w:ilvl w:val="0"/>
          <w:numId w:val="0"/>
        </w:numPr>
      </w:pPr>
    </w:p>
    <w:p w:rsidR="009D6B6D" w:rsidRPr="00950005" w:rsidP="001D2EC1" w14:paraId="1FDF9A5A" w14:textId="77777777">
      <w:pPr>
        <w:pStyle w:val="FERCparanumber"/>
        <w:numPr>
          <w:ilvl w:val="0"/>
          <w:numId w:val="9"/>
        </w:numPr>
      </w:pPr>
      <w:r w:rsidRPr="00950005">
        <w:rPr>
          <w:b/>
        </w:rPr>
        <w:t>PROVIDE ADDITIONAL JUSTIFICATION FOR ANY QUESTIONS OF A SENSITIVE NATURE</w:t>
      </w:r>
      <w:r w:rsidRPr="00950005" w:rsidR="00860C58">
        <w:rPr>
          <w:b/>
        </w:rPr>
        <w:t>, SUCH AS SEXUAL BEHAVIOR AND ATTITUDES, RELIGIOUS BELIEFS, AND OTHER MATTERS THAT ARE COMMONLY CONSIDERED PRIVATE</w:t>
      </w:r>
    </w:p>
    <w:p w:rsidR="00BB6095" w:rsidRPr="00950005" w:rsidP="00BB6095" w14:paraId="60313DF8" w14:textId="77777777">
      <w:pPr>
        <w:pStyle w:val="FERCparanumber"/>
        <w:numPr>
          <w:ilvl w:val="0"/>
          <w:numId w:val="0"/>
        </w:numPr>
        <w:rPr>
          <w:b/>
        </w:rPr>
      </w:pPr>
    </w:p>
    <w:p w:rsidR="00BB6095" w:rsidRPr="00950005" w:rsidP="00BB6095" w14:paraId="5C2333AD" w14:textId="7514BF5D">
      <w:pPr>
        <w:widowControl/>
        <w:rPr>
          <w:b/>
          <w:sz w:val="26"/>
        </w:rPr>
      </w:pPr>
      <w:r w:rsidRPr="00950005">
        <w:rPr>
          <w:sz w:val="26"/>
        </w:rPr>
        <w:t>There are no questions of a sensitive nature associated with the reporting requirements.</w:t>
      </w:r>
      <w:r w:rsidR="00847B6A">
        <w:rPr>
          <w:sz w:val="26"/>
        </w:rPr>
        <w:t xml:space="preserve"> </w:t>
      </w:r>
    </w:p>
    <w:p w:rsidR="00BB6095" w:rsidRPr="00950005" w:rsidP="00BB6095" w14:paraId="4D8252DB" w14:textId="77777777">
      <w:pPr>
        <w:pStyle w:val="FERCparanumber"/>
        <w:numPr>
          <w:ilvl w:val="0"/>
          <w:numId w:val="0"/>
        </w:numPr>
      </w:pPr>
    </w:p>
    <w:p w:rsidR="00BB6095" w:rsidRPr="00950005" w:rsidP="001D2EC1" w14:paraId="1BB181B0" w14:textId="77777777">
      <w:pPr>
        <w:pStyle w:val="FERCparanumber"/>
        <w:numPr>
          <w:ilvl w:val="0"/>
          <w:numId w:val="9"/>
        </w:numPr>
      </w:pPr>
      <w:r w:rsidRPr="00950005">
        <w:rPr>
          <w:b/>
        </w:rPr>
        <w:t>ESTIMATED BURDEN COLLECTION OF INFORMATION</w:t>
      </w:r>
    </w:p>
    <w:p w:rsidR="00A12694" w:rsidRPr="00950005" w:rsidP="00934B37" w14:paraId="03C90685" w14:textId="77777777">
      <w:pPr>
        <w:pStyle w:val="FERCparanumber"/>
        <w:numPr>
          <w:ilvl w:val="0"/>
          <w:numId w:val="0"/>
        </w:numPr>
        <w:ind w:left="720"/>
      </w:pPr>
    </w:p>
    <w:p w:rsidR="003B4A84" w:rsidRPr="00950005" w:rsidP="00E353CE" w14:paraId="4CAAFA4F" w14:textId="3E80E8F0">
      <w:pPr>
        <w:rPr>
          <w:sz w:val="26"/>
        </w:rPr>
      </w:pPr>
      <w:r w:rsidRPr="00950005">
        <w:rPr>
          <w:sz w:val="26"/>
        </w:rPr>
        <w:t xml:space="preserve">In Table 1, below, </w:t>
      </w:r>
      <w:r w:rsidRPr="00950005" w:rsidR="00D14482">
        <w:rPr>
          <w:sz w:val="26"/>
        </w:rPr>
        <w:t xml:space="preserve">the </w:t>
      </w:r>
      <w:r w:rsidRPr="00950005" w:rsidR="00E15830">
        <w:rPr>
          <w:sz w:val="26"/>
        </w:rPr>
        <w:t>information collection activit</w:t>
      </w:r>
      <w:r w:rsidRPr="00950005" w:rsidR="00D14482">
        <w:rPr>
          <w:sz w:val="26"/>
        </w:rPr>
        <w:t>y labeled “Transportation by Pipelines” include</w:t>
      </w:r>
      <w:r w:rsidRPr="00950005" w:rsidR="002810B6">
        <w:rPr>
          <w:sz w:val="26"/>
        </w:rPr>
        <w:t xml:space="preserve">s the estimated </w:t>
      </w:r>
      <w:r w:rsidRPr="00950005" w:rsidR="00372141">
        <w:rPr>
          <w:sz w:val="26"/>
        </w:rPr>
        <w:t xml:space="preserve">paperwork </w:t>
      </w:r>
      <w:r w:rsidRPr="00950005" w:rsidR="002810B6">
        <w:rPr>
          <w:sz w:val="26"/>
        </w:rPr>
        <w:t>burden hours and labor costs</w:t>
      </w:r>
      <w:r w:rsidRPr="00950005" w:rsidR="00E432E1">
        <w:rPr>
          <w:sz w:val="26"/>
        </w:rPr>
        <w:t xml:space="preserve"> pertaining to t</w:t>
      </w:r>
      <w:r w:rsidRPr="00950005" w:rsidR="00202C71">
        <w:rPr>
          <w:sz w:val="26"/>
        </w:rPr>
        <w:t xml:space="preserve">he following categories of </w:t>
      </w:r>
      <w:r w:rsidRPr="00950005">
        <w:rPr>
          <w:sz w:val="26"/>
        </w:rPr>
        <w:t>trans</w:t>
      </w:r>
      <w:r w:rsidRPr="00950005" w:rsidR="00C63532">
        <w:rPr>
          <w:sz w:val="26"/>
        </w:rPr>
        <w:t>actions</w:t>
      </w:r>
      <w:r w:rsidRPr="00950005">
        <w:rPr>
          <w:sz w:val="26"/>
        </w:rPr>
        <w:t>:</w:t>
      </w:r>
    </w:p>
    <w:p w:rsidR="00202C71" w:rsidRPr="00950005" w:rsidP="00E353CE" w14:paraId="3C31B08A" w14:textId="77777777">
      <w:pPr>
        <w:rPr>
          <w:sz w:val="26"/>
        </w:rPr>
      </w:pPr>
    </w:p>
    <w:p w:rsidR="00881B8C" w:rsidRPr="00950005" w:rsidP="13563A02" w14:paraId="1A842618" w14:textId="70209C5D">
      <w:pPr>
        <w:pStyle w:val="ListParagraph"/>
        <w:numPr>
          <w:ilvl w:val="0"/>
          <w:numId w:val="17"/>
        </w:numPr>
        <w:ind w:left="360"/>
        <w:rPr>
          <w:rFonts w:ascii="Times New Roman" w:hAnsi="Times New Roman"/>
          <w:sz w:val="26"/>
          <w:szCs w:val="26"/>
        </w:rPr>
      </w:pPr>
      <w:r w:rsidRPr="13563A02">
        <w:rPr>
          <w:rFonts w:ascii="Times New Roman" w:hAnsi="Times New Roman"/>
          <w:sz w:val="26"/>
          <w:szCs w:val="26"/>
        </w:rPr>
        <w:t xml:space="preserve">Transportation of natural gas by an interstate pipeline on behalf of </w:t>
      </w:r>
      <w:r w:rsidRPr="13563A02" w:rsidR="00C63532">
        <w:rPr>
          <w:rFonts w:ascii="Times New Roman" w:hAnsi="Times New Roman"/>
          <w:sz w:val="26"/>
          <w:szCs w:val="26"/>
        </w:rPr>
        <w:t xml:space="preserve">an intrastate pipeline or </w:t>
      </w:r>
      <w:r w:rsidRPr="13563A02" w:rsidR="00C63532">
        <w:rPr>
          <w:rFonts w:ascii="Times New Roman" w:hAnsi="Times New Roman"/>
          <w:sz w:val="26"/>
          <w:szCs w:val="26"/>
        </w:rPr>
        <w:t>LDC;</w:t>
      </w:r>
    </w:p>
    <w:p w:rsidR="00C63532" w:rsidRPr="00950005" w:rsidP="13563A02" w14:paraId="2E1B9B64" w14:textId="3EC6F239">
      <w:pPr>
        <w:pStyle w:val="ListParagraph"/>
        <w:numPr>
          <w:ilvl w:val="0"/>
          <w:numId w:val="17"/>
        </w:numPr>
        <w:ind w:left="360"/>
        <w:rPr>
          <w:rFonts w:ascii="Times New Roman" w:hAnsi="Times New Roman"/>
          <w:sz w:val="26"/>
          <w:szCs w:val="26"/>
        </w:rPr>
      </w:pPr>
      <w:r w:rsidRPr="13563A02">
        <w:rPr>
          <w:rFonts w:ascii="Times New Roman" w:hAnsi="Times New Roman"/>
          <w:sz w:val="26"/>
          <w:szCs w:val="26"/>
        </w:rPr>
        <w:t>Transportation of natural gas by an intrastate</w:t>
      </w:r>
      <w:r w:rsidRPr="13563A02" w:rsidR="00FB4C06">
        <w:rPr>
          <w:rFonts w:ascii="Times New Roman" w:hAnsi="Times New Roman"/>
          <w:sz w:val="26"/>
          <w:szCs w:val="26"/>
        </w:rPr>
        <w:t xml:space="preserve"> pipeline on be</w:t>
      </w:r>
      <w:r w:rsidRPr="13563A02" w:rsidR="0065654E">
        <w:rPr>
          <w:rFonts w:ascii="Times New Roman" w:hAnsi="Times New Roman"/>
          <w:sz w:val="26"/>
          <w:szCs w:val="26"/>
        </w:rPr>
        <w:t>half of an interstate pipeline or an LDC served by an interstate pipeline</w:t>
      </w:r>
      <w:r w:rsidRPr="13563A02" w:rsidR="005F3FB4">
        <w:rPr>
          <w:rFonts w:ascii="Times New Roman" w:hAnsi="Times New Roman"/>
          <w:sz w:val="26"/>
          <w:szCs w:val="26"/>
        </w:rPr>
        <w:t>;</w:t>
      </w:r>
      <w:r w:rsidRPr="13563A02" w:rsidR="00F85F96">
        <w:rPr>
          <w:rFonts w:ascii="Times New Roman" w:hAnsi="Times New Roman"/>
          <w:sz w:val="26"/>
          <w:szCs w:val="26"/>
        </w:rPr>
        <w:t xml:space="preserve"> and</w:t>
      </w:r>
    </w:p>
    <w:p w:rsidR="005F3FB4" w:rsidRPr="00950005" w:rsidP="13563A02" w14:paraId="6773A909" w14:textId="266340C1">
      <w:pPr>
        <w:pStyle w:val="ListParagraph"/>
        <w:numPr>
          <w:ilvl w:val="0"/>
          <w:numId w:val="17"/>
        </w:numPr>
        <w:ind w:left="360"/>
        <w:rPr>
          <w:rFonts w:ascii="Times New Roman" w:hAnsi="Times New Roman"/>
          <w:sz w:val="26"/>
          <w:szCs w:val="26"/>
        </w:rPr>
      </w:pPr>
      <w:r w:rsidRPr="13563A02">
        <w:rPr>
          <w:rFonts w:ascii="Times New Roman" w:hAnsi="Times New Roman"/>
          <w:sz w:val="26"/>
          <w:szCs w:val="26"/>
        </w:rPr>
        <w:t xml:space="preserve">Transportation of natural gas by </w:t>
      </w:r>
      <w:r w:rsidRPr="13563A02" w:rsidR="0001247E">
        <w:rPr>
          <w:rFonts w:ascii="Times New Roman" w:hAnsi="Times New Roman"/>
          <w:sz w:val="26"/>
          <w:szCs w:val="26"/>
        </w:rPr>
        <w:t xml:space="preserve">a Hinshaw pipeline or by </w:t>
      </w:r>
      <w:r w:rsidRPr="13563A02">
        <w:rPr>
          <w:rFonts w:ascii="Times New Roman" w:hAnsi="Times New Roman"/>
          <w:sz w:val="26"/>
          <w:szCs w:val="26"/>
        </w:rPr>
        <w:t xml:space="preserve">an </w:t>
      </w:r>
      <w:r w:rsidRPr="13563A02" w:rsidR="003A60C1">
        <w:rPr>
          <w:rFonts w:ascii="Times New Roman" w:hAnsi="Times New Roman"/>
          <w:sz w:val="26"/>
          <w:szCs w:val="26"/>
        </w:rPr>
        <w:t>LDC</w:t>
      </w:r>
      <w:r w:rsidRPr="13563A02" w:rsidR="0001247E">
        <w:rPr>
          <w:rFonts w:ascii="Times New Roman" w:hAnsi="Times New Roman"/>
          <w:sz w:val="26"/>
          <w:szCs w:val="26"/>
        </w:rPr>
        <w:t xml:space="preserve"> served by an interstate pipeline</w:t>
      </w:r>
      <w:r w:rsidRPr="13563A02" w:rsidR="00FA1D5B">
        <w:rPr>
          <w:rFonts w:ascii="Times New Roman" w:hAnsi="Times New Roman"/>
          <w:sz w:val="26"/>
          <w:szCs w:val="26"/>
        </w:rPr>
        <w:t>.</w:t>
      </w:r>
    </w:p>
    <w:p w:rsidR="00FA1D5B" w:rsidRPr="00950005" w:rsidP="00FA1D5B" w14:paraId="48B7FFF5" w14:textId="5A73E2E4">
      <w:pPr>
        <w:rPr>
          <w:sz w:val="26"/>
        </w:rPr>
      </w:pPr>
      <w:r w:rsidRPr="00950005">
        <w:rPr>
          <w:sz w:val="26"/>
        </w:rPr>
        <w:t>The information collection activities labeled “</w:t>
      </w:r>
      <w:r w:rsidRPr="00950005" w:rsidR="005920A8">
        <w:rPr>
          <w:sz w:val="26"/>
        </w:rPr>
        <w:t>MBR</w:t>
      </w:r>
      <w:r w:rsidRPr="00950005" w:rsidR="002E53B8">
        <w:rPr>
          <w:sz w:val="26"/>
        </w:rPr>
        <w:t xml:space="preserve"> </w:t>
      </w:r>
      <w:r w:rsidRPr="00950005" w:rsidR="005920A8">
        <w:rPr>
          <w:sz w:val="26"/>
        </w:rPr>
        <w:t>―</w:t>
      </w:r>
      <w:r w:rsidRPr="00950005" w:rsidR="002E53B8">
        <w:rPr>
          <w:sz w:val="26"/>
        </w:rPr>
        <w:t xml:space="preserve"> Initial Approval” and “MBR ― Change in Circumstances” </w:t>
      </w:r>
      <w:r w:rsidRPr="00950005" w:rsidR="006B2E0B">
        <w:rPr>
          <w:sz w:val="26"/>
        </w:rPr>
        <w:t>pertain to Market-Based Rates for Storage.</w:t>
      </w:r>
      <w:r w:rsidR="00847B6A">
        <w:rPr>
          <w:sz w:val="26"/>
        </w:rPr>
        <w:t xml:space="preserve"> </w:t>
      </w:r>
      <w:r w:rsidRPr="00950005" w:rsidR="006B2117">
        <w:rPr>
          <w:sz w:val="26"/>
        </w:rPr>
        <w:t xml:space="preserve">The information collection activity labeled “Record Retention” pertains to </w:t>
      </w:r>
      <w:r w:rsidRPr="00950005" w:rsidR="00500331">
        <w:rPr>
          <w:sz w:val="26"/>
        </w:rPr>
        <w:t xml:space="preserve">the </w:t>
      </w:r>
      <w:r w:rsidRPr="00950005" w:rsidR="006B2117">
        <w:rPr>
          <w:sz w:val="26"/>
        </w:rPr>
        <w:t xml:space="preserve">requirement </w:t>
      </w:r>
      <w:r w:rsidRPr="00950005" w:rsidR="00500331">
        <w:rPr>
          <w:sz w:val="26"/>
        </w:rPr>
        <w:t xml:space="preserve">that </w:t>
      </w:r>
      <w:r w:rsidRPr="00950005" w:rsidR="006B2117">
        <w:rPr>
          <w:sz w:val="26"/>
        </w:rPr>
        <w:t xml:space="preserve">applicable sellers retain, for a period of five years, all data and information upon which </w:t>
      </w:r>
      <w:r w:rsidRPr="00950005" w:rsidR="008A2124">
        <w:rPr>
          <w:sz w:val="26"/>
        </w:rPr>
        <w:t>they</w:t>
      </w:r>
      <w:r w:rsidRPr="00950005" w:rsidR="006B2117">
        <w:rPr>
          <w:sz w:val="26"/>
        </w:rPr>
        <w:t xml:space="preserve"> billed the prices it charged for natural gas it sold pursuant to its market</w:t>
      </w:r>
      <w:r w:rsidRPr="00950005" w:rsidR="008A2124">
        <w:rPr>
          <w:sz w:val="26"/>
        </w:rPr>
        <w:t>-</w:t>
      </w:r>
      <w:r w:rsidRPr="00950005" w:rsidR="006B2117">
        <w:rPr>
          <w:sz w:val="26"/>
        </w:rPr>
        <w:t>based sales certificate or the prices it reported for use in price indices.</w:t>
      </w:r>
      <w:r w:rsidR="00847B6A">
        <w:rPr>
          <w:sz w:val="26"/>
        </w:rPr>
        <w:t xml:space="preserve"> </w:t>
      </w:r>
    </w:p>
    <w:p w:rsidR="00881B8C" w:rsidRPr="00950005" w:rsidP="006E3173" w14:paraId="4B7C4677" w14:textId="77777777">
      <w:pPr>
        <w:rPr>
          <w:sz w:val="26"/>
        </w:rPr>
      </w:pPr>
    </w:p>
    <w:p w:rsidR="003F13B9" w:rsidP="00191F15" w14:paraId="25C71460" w14:textId="7CFBF0C9">
      <w:pPr>
        <w:rPr>
          <w:sz w:val="26"/>
        </w:rPr>
      </w:pPr>
      <w:r w:rsidRPr="00950005">
        <w:rPr>
          <w:sz w:val="26"/>
        </w:rPr>
        <w:t>The Commission estimates the annual burden and cost for the information collection as follows.</w:t>
      </w:r>
    </w:p>
    <w:p w:rsidR="003F13B9" w14:paraId="68515883" w14:textId="77777777">
      <w:pPr>
        <w:widowControl/>
        <w:autoSpaceDE/>
        <w:autoSpaceDN/>
        <w:adjustRightInd/>
        <w:spacing w:after="200" w:line="276" w:lineRule="auto"/>
        <w:rPr>
          <w:sz w:val="26"/>
        </w:rPr>
      </w:pPr>
      <w:r>
        <w:rPr>
          <w:sz w:val="26"/>
        </w:rPr>
        <w:br w:type="page"/>
      </w:r>
    </w:p>
    <w:p w:rsidR="00B05AED" w:rsidRPr="00950005" w:rsidP="00B05AED" w14:paraId="2C1EDD70" w14:textId="4A7B18AA">
      <w:pPr>
        <w:widowControl/>
        <w:tabs>
          <w:tab w:val="center" w:pos="5040"/>
        </w:tabs>
        <w:jc w:val="center"/>
        <w:rPr>
          <w:b/>
          <w:sz w:val="26"/>
        </w:rPr>
      </w:pPr>
      <w:r w:rsidRPr="00950005">
        <w:rPr>
          <w:b/>
          <w:bCs/>
          <w:sz w:val="26"/>
        </w:rPr>
        <w:t>Table 1</w:t>
      </w:r>
      <w:r w:rsidRPr="00950005" w:rsidR="00E53F50">
        <w:rPr>
          <w:b/>
          <w:bCs/>
          <w:sz w:val="26"/>
        </w:rPr>
        <w:t>:</w:t>
      </w:r>
      <w:r w:rsidR="00847B6A">
        <w:rPr>
          <w:b/>
          <w:bCs/>
          <w:sz w:val="26"/>
        </w:rPr>
        <w:t xml:space="preserve"> </w:t>
      </w:r>
      <w:r w:rsidRPr="00950005">
        <w:rPr>
          <w:b/>
          <w:bCs/>
          <w:sz w:val="26"/>
        </w:rPr>
        <w:t xml:space="preserve">Estimated Hour Burdens and Labor </w:t>
      </w:r>
      <w:r w:rsidRPr="00950005" w:rsidR="00020D48">
        <w:rPr>
          <w:b/>
          <w:bCs/>
          <w:sz w:val="26"/>
        </w:rPr>
        <w:t xml:space="preserve">Costs for </w:t>
      </w:r>
      <w:r w:rsidRPr="00950005">
        <w:rPr>
          <w:b/>
          <w:bCs/>
          <w:sz w:val="26"/>
        </w:rPr>
        <w:t>Natural Gas Policy Act (</w:t>
      </w:r>
      <w:r w:rsidRPr="00950005">
        <w:rPr>
          <w:b/>
          <w:sz w:val="26"/>
        </w:rPr>
        <w:t>NGPA) Section 311 Transactions,</w:t>
      </w:r>
      <w:r w:rsidRPr="00950005" w:rsidR="00E92284">
        <w:rPr>
          <w:b/>
          <w:sz w:val="26"/>
        </w:rPr>
        <w:t xml:space="preserve"> </w:t>
      </w:r>
      <w:r w:rsidRPr="00950005">
        <w:rPr>
          <w:b/>
          <w:sz w:val="26"/>
        </w:rPr>
        <w:t>Natural Gas Act (NGA) Blanket Certificate Transactions, and</w:t>
      </w:r>
    </w:p>
    <w:p w:rsidR="00B05AED" w:rsidP="00B05AED" w14:paraId="3721E070" w14:textId="77777777">
      <w:pPr>
        <w:widowControl/>
        <w:tabs>
          <w:tab w:val="center" w:pos="5040"/>
        </w:tabs>
        <w:jc w:val="center"/>
        <w:rPr>
          <w:b/>
          <w:bCs/>
          <w:sz w:val="26"/>
        </w:rPr>
      </w:pPr>
      <w:r w:rsidRPr="00950005">
        <w:rPr>
          <w:b/>
          <w:bCs/>
          <w:sz w:val="26"/>
        </w:rPr>
        <w:t>Market-Based Rates for Storage</w:t>
      </w:r>
    </w:p>
    <w:p w:rsidR="00870CAC" w:rsidP="00870CAC" w14:paraId="31D977BD" w14:textId="77777777">
      <w:pPr>
        <w:widowControl/>
        <w:tabs>
          <w:tab w:val="center" w:pos="5040"/>
        </w:tabs>
        <w:rPr>
          <w:b/>
          <w:bCs/>
          <w:sz w:val="26"/>
        </w:rPr>
      </w:pPr>
    </w:p>
    <w:tbl>
      <w:tblPr>
        <w:tblW w:w="0" w:type="dxa"/>
        <w:tblInd w:w="-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60"/>
        <w:gridCol w:w="1454"/>
        <w:gridCol w:w="1356"/>
        <w:gridCol w:w="1461"/>
        <w:gridCol w:w="1404"/>
        <w:gridCol w:w="1531"/>
        <w:gridCol w:w="1293"/>
      </w:tblGrid>
      <w:tr w14:paraId="3A2D3533" w14:textId="77777777">
        <w:tblPrEx>
          <w:tblW w:w="0" w:type="dxa"/>
          <w:tblInd w:w="-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D9D9D9"/>
            <w:hideMark/>
          </w:tcPr>
          <w:p w:rsidR="00870CAC" w:rsidRPr="00870CAC" w:rsidP="00870CAC" w14:paraId="2598379D" w14:textId="77777777">
            <w:pPr>
              <w:widowControl/>
              <w:autoSpaceDE/>
              <w:autoSpaceDN/>
              <w:adjustRightInd/>
              <w:textAlignment w:val="baseline"/>
              <w:rPr>
                <w:rFonts w:ascii="Segoe UI" w:hAnsi="Segoe UI" w:cs="Segoe UI"/>
                <w:sz w:val="18"/>
                <w:szCs w:val="18"/>
              </w:rPr>
            </w:pPr>
            <w:r w:rsidRPr="00870CAC">
              <w:rPr>
                <w:sz w:val="26"/>
                <w:szCs w:val="26"/>
              </w:rPr>
              <w:t> </w:t>
            </w:r>
          </w:p>
        </w:tc>
        <w:tc>
          <w:tcPr>
            <w:tcW w:w="180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870CAC" w:rsidRPr="00870CAC" w:rsidP="00870CAC" w14:paraId="5B9A5B93" w14:textId="77777777">
            <w:pPr>
              <w:widowControl/>
              <w:autoSpaceDE/>
              <w:autoSpaceDN/>
              <w:adjustRightInd/>
              <w:jc w:val="center"/>
              <w:textAlignment w:val="baseline"/>
              <w:rPr>
                <w:rFonts w:ascii="Segoe UI" w:hAnsi="Segoe UI" w:cs="Segoe UI"/>
                <w:sz w:val="18"/>
                <w:szCs w:val="18"/>
              </w:rPr>
            </w:pPr>
            <w:r w:rsidRPr="00870CAC">
              <w:rPr>
                <w:b/>
                <w:bCs/>
                <w:sz w:val="26"/>
                <w:szCs w:val="26"/>
              </w:rPr>
              <w:t>Number of Respondents</w:t>
            </w:r>
            <w:r w:rsidRPr="00870CAC">
              <w:rPr>
                <w:sz w:val="26"/>
                <w:szCs w:val="26"/>
              </w:rPr>
              <w:t> </w:t>
            </w:r>
            <w:r w:rsidRPr="00870CAC">
              <w:rPr>
                <w:sz w:val="26"/>
                <w:szCs w:val="26"/>
              </w:rPr>
              <w:br/>
            </w:r>
            <w:r w:rsidRPr="00870CAC">
              <w:rPr>
                <w:b/>
                <w:bCs/>
                <w:sz w:val="26"/>
                <w:szCs w:val="26"/>
              </w:rPr>
              <w:t>(1)</w:t>
            </w:r>
            <w:r w:rsidRPr="00870CAC">
              <w:rPr>
                <w:sz w:val="26"/>
                <w:szCs w:val="26"/>
              </w:rPr>
              <w:t> </w:t>
            </w:r>
          </w:p>
        </w:tc>
        <w:tc>
          <w:tcPr>
            <w:tcW w:w="162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870CAC" w:rsidRPr="00870CAC" w:rsidP="00870CAC" w14:paraId="4BB7F290" w14:textId="77777777">
            <w:pPr>
              <w:widowControl/>
              <w:autoSpaceDE/>
              <w:autoSpaceDN/>
              <w:adjustRightInd/>
              <w:jc w:val="center"/>
              <w:textAlignment w:val="baseline"/>
              <w:rPr>
                <w:rFonts w:ascii="Segoe UI" w:hAnsi="Segoe UI" w:cs="Segoe UI"/>
                <w:sz w:val="18"/>
                <w:szCs w:val="18"/>
              </w:rPr>
            </w:pPr>
            <w:r w:rsidRPr="00870CAC">
              <w:rPr>
                <w:b/>
                <w:bCs/>
                <w:sz w:val="26"/>
                <w:szCs w:val="26"/>
              </w:rPr>
              <w:t>Number of Responses Per Respondent</w:t>
            </w:r>
            <w:r w:rsidRPr="00870CAC">
              <w:rPr>
                <w:sz w:val="26"/>
                <w:szCs w:val="26"/>
              </w:rPr>
              <w:t> </w:t>
            </w:r>
          </w:p>
          <w:p w:rsidR="00870CAC" w:rsidRPr="00870CAC" w:rsidP="00870CAC" w14:paraId="6AE1682F" w14:textId="77777777">
            <w:pPr>
              <w:widowControl/>
              <w:autoSpaceDE/>
              <w:autoSpaceDN/>
              <w:adjustRightInd/>
              <w:jc w:val="center"/>
              <w:textAlignment w:val="baseline"/>
              <w:rPr>
                <w:rFonts w:ascii="Segoe UI" w:hAnsi="Segoe UI" w:cs="Segoe UI"/>
                <w:sz w:val="18"/>
                <w:szCs w:val="18"/>
              </w:rPr>
            </w:pPr>
            <w:r w:rsidRPr="00870CAC">
              <w:rPr>
                <w:b/>
                <w:bCs/>
                <w:sz w:val="26"/>
                <w:szCs w:val="26"/>
              </w:rPr>
              <w:t>(2)</w:t>
            </w:r>
            <w:r w:rsidRPr="00870CAC">
              <w:rPr>
                <w:sz w:val="26"/>
                <w:szCs w:val="26"/>
              </w:rPr>
              <w:t> </w:t>
            </w:r>
          </w:p>
        </w:tc>
        <w:tc>
          <w:tcPr>
            <w:tcW w:w="142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870CAC" w:rsidRPr="00870CAC" w:rsidP="00870CAC" w14:paraId="6466C62A" w14:textId="77777777">
            <w:pPr>
              <w:widowControl/>
              <w:autoSpaceDE/>
              <w:autoSpaceDN/>
              <w:adjustRightInd/>
              <w:jc w:val="center"/>
              <w:textAlignment w:val="baseline"/>
              <w:rPr>
                <w:rFonts w:ascii="Segoe UI" w:hAnsi="Segoe UI" w:cs="Segoe UI"/>
                <w:sz w:val="18"/>
                <w:szCs w:val="18"/>
              </w:rPr>
            </w:pPr>
            <w:r w:rsidRPr="00870CAC">
              <w:rPr>
                <w:b/>
                <w:bCs/>
                <w:sz w:val="26"/>
                <w:szCs w:val="26"/>
              </w:rPr>
              <w:t>Total Number of Responses</w:t>
            </w:r>
            <w:r w:rsidRPr="00870CAC">
              <w:rPr>
                <w:sz w:val="26"/>
                <w:szCs w:val="26"/>
              </w:rPr>
              <w:t> </w:t>
            </w:r>
          </w:p>
          <w:p w:rsidR="00870CAC" w:rsidRPr="00870CAC" w:rsidP="00870CAC" w14:paraId="55CD1319" w14:textId="77777777">
            <w:pPr>
              <w:widowControl/>
              <w:autoSpaceDE/>
              <w:autoSpaceDN/>
              <w:adjustRightInd/>
              <w:jc w:val="center"/>
              <w:textAlignment w:val="baseline"/>
              <w:rPr>
                <w:rFonts w:ascii="Segoe UI" w:hAnsi="Segoe UI" w:cs="Segoe UI"/>
                <w:sz w:val="18"/>
                <w:szCs w:val="18"/>
              </w:rPr>
            </w:pPr>
            <w:r w:rsidRPr="00870CAC">
              <w:rPr>
                <w:b/>
                <w:bCs/>
                <w:sz w:val="26"/>
                <w:szCs w:val="26"/>
              </w:rPr>
              <w:t>(1) x (2) = (3)</w:t>
            </w:r>
            <w:r w:rsidRPr="00870CAC">
              <w:rPr>
                <w:sz w:val="26"/>
                <w:szCs w:val="26"/>
              </w:rPr>
              <w:t> </w:t>
            </w:r>
          </w:p>
        </w:tc>
        <w:tc>
          <w:tcPr>
            <w:tcW w:w="135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870CAC" w:rsidRPr="00870CAC" w:rsidP="00870CAC" w14:paraId="376277C1" w14:textId="77777777">
            <w:pPr>
              <w:widowControl/>
              <w:autoSpaceDE/>
              <w:autoSpaceDN/>
              <w:adjustRightInd/>
              <w:jc w:val="center"/>
              <w:textAlignment w:val="baseline"/>
              <w:rPr>
                <w:rFonts w:ascii="Segoe UI" w:hAnsi="Segoe UI" w:cs="Segoe UI"/>
                <w:sz w:val="18"/>
                <w:szCs w:val="18"/>
              </w:rPr>
            </w:pPr>
            <w:r w:rsidRPr="00870CAC">
              <w:rPr>
                <w:rFonts w:ascii="Calibri" w:hAnsi="Calibri" w:cs="Calibri"/>
                <w:sz w:val="22"/>
                <w:szCs w:val="22"/>
              </w:rPr>
              <w:t> </w:t>
            </w:r>
            <w:r w:rsidRPr="00870CAC">
              <w:rPr>
                <w:rFonts w:ascii="Calibri" w:hAnsi="Calibri" w:cs="Calibri"/>
                <w:sz w:val="22"/>
                <w:szCs w:val="22"/>
              </w:rPr>
              <w:br/>
              <w:t> </w:t>
            </w:r>
            <w:r w:rsidRPr="00870CAC">
              <w:rPr>
                <w:rFonts w:ascii="Calibri" w:hAnsi="Calibri" w:cs="Calibri"/>
                <w:sz w:val="22"/>
                <w:szCs w:val="22"/>
              </w:rPr>
              <w:br/>
            </w:r>
            <w:r w:rsidRPr="00870CAC">
              <w:rPr>
                <w:b/>
                <w:bCs/>
                <w:sz w:val="26"/>
                <w:szCs w:val="26"/>
              </w:rPr>
              <w:t>Average Burden Hours &amp; Average Cost</w:t>
            </w:r>
            <w:r w:rsidRPr="00870CAC">
              <w:rPr>
                <w:b/>
                <w:bCs/>
                <w:sz w:val="20"/>
                <w:szCs w:val="20"/>
                <w:vertAlign w:val="superscript"/>
              </w:rPr>
              <w:t>5</w:t>
            </w:r>
            <w:r w:rsidRPr="00870CAC">
              <w:rPr>
                <w:b/>
                <w:bCs/>
                <w:sz w:val="26"/>
                <w:szCs w:val="26"/>
              </w:rPr>
              <w:t> per Response ($)</w:t>
            </w:r>
            <w:r w:rsidRPr="00870CAC">
              <w:rPr>
                <w:sz w:val="26"/>
                <w:szCs w:val="26"/>
              </w:rPr>
              <w:t> </w:t>
            </w:r>
          </w:p>
          <w:p w:rsidR="00870CAC" w:rsidRPr="00870CAC" w:rsidP="00870CAC" w14:paraId="57990080" w14:textId="77777777">
            <w:pPr>
              <w:widowControl/>
              <w:autoSpaceDE/>
              <w:autoSpaceDN/>
              <w:adjustRightInd/>
              <w:jc w:val="center"/>
              <w:textAlignment w:val="baseline"/>
              <w:rPr>
                <w:rFonts w:ascii="Segoe UI" w:hAnsi="Segoe UI" w:cs="Segoe UI"/>
                <w:sz w:val="18"/>
                <w:szCs w:val="18"/>
              </w:rPr>
            </w:pPr>
            <w:r w:rsidRPr="00870CAC">
              <w:rPr>
                <w:b/>
                <w:bCs/>
                <w:sz w:val="26"/>
                <w:szCs w:val="26"/>
              </w:rPr>
              <w:t>(4)</w:t>
            </w:r>
            <w:r w:rsidRPr="00870CAC">
              <w:rPr>
                <w:sz w:val="26"/>
                <w:szCs w:val="26"/>
              </w:rPr>
              <w:t> </w:t>
            </w:r>
          </w:p>
        </w:tc>
        <w:tc>
          <w:tcPr>
            <w:tcW w:w="124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870CAC" w:rsidRPr="00870CAC" w:rsidP="00870CAC" w14:paraId="23B52317" w14:textId="77777777">
            <w:pPr>
              <w:widowControl/>
              <w:autoSpaceDE/>
              <w:autoSpaceDN/>
              <w:adjustRightInd/>
              <w:jc w:val="center"/>
              <w:textAlignment w:val="baseline"/>
              <w:rPr>
                <w:rFonts w:ascii="Segoe UI" w:hAnsi="Segoe UI" w:cs="Segoe UI"/>
                <w:sz w:val="18"/>
                <w:szCs w:val="18"/>
              </w:rPr>
            </w:pPr>
            <w:r w:rsidRPr="00870CAC">
              <w:rPr>
                <w:b/>
                <w:bCs/>
                <w:sz w:val="26"/>
                <w:szCs w:val="26"/>
              </w:rPr>
              <w:t>Total Annual Burden Hours &amp; Total Annual Cost ($)</w:t>
            </w:r>
            <w:r w:rsidRPr="00870CAC">
              <w:rPr>
                <w:sz w:val="26"/>
                <w:szCs w:val="26"/>
              </w:rPr>
              <w:t> </w:t>
            </w:r>
          </w:p>
          <w:p w:rsidR="00870CAC" w:rsidRPr="00870CAC" w:rsidP="00870CAC" w14:paraId="770FF51B" w14:textId="77777777">
            <w:pPr>
              <w:widowControl/>
              <w:autoSpaceDE/>
              <w:autoSpaceDN/>
              <w:adjustRightInd/>
              <w:jc w:val="center"/>
              <w:textAlignment w:val="baseline"/>
              <w:rPr>
                <w:rFonts w:ascii="Segoe UI" w:hAnsi="Segoe UI" w:cs="Segoe UI"/>
                <w:sz w:val="18"/>
                <w:szCs w:val="18"/>
              </w:rPr>
            </w:pPr>
            <w:r w:rsidRPr="00870CAC">
              <w:rPr>
                <w:b/>
                <w:bCs/>
                <w:sz w:val="26"/>
                <w:szCs w:val="26"/>
              </w:rPr>
              <w:t>(3) x (4) = (5)</w:t>
            </w:r>
            <w:r w:rsidRPr="00870CAC">
              <w:rPr>
                <w:sz w:val="26"/>
                <w:szCs w:val="26"/>
              </w:rPr>
              <w:t> </w:t>
            </w:r>
          </w:p>
        </w:tc>
        <w:tc>
          <w:tcPr>
            <w:tcW w:w="162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870CAC" w:rsidRPr="00870CAC" w:rsidP="00870CAC" w14:paraId="3A3AFF26" w14:textId="77777777">
            <w:pPr>
              <w:widowControl/>
              <w:autoSpaceDE/>
              <w:autoSpaceDN/>
              <w:adjustRightInd/>
              <w:jc w:val="center"/>
              <w:textAlignment w:val="baseline"/>
              <w:rPr>
                <w:rFonts w:ascii="Segoe UI" w:hAnsi="Segoe UI" w:cs="Segoe UI"/>
                <w:sz w:val="18"/>
                <w:szCs w:val="18"/>
              </w:rPr>
            </w:pPr>
            <w:r w:rsidRPr="00870CAC">
              <w:rPr>
                <w:b/>
                <w:bCs/>
                <w:sz w:val="26"/>
                <w:szCs w:val="26"/>
              </w:rPr>
              <w:t>Cost per Respondent ($)</w:t>
            </w:r>
            <w:r w:rsidRPr="00870CAC">
              <w:rPr>
                <w:sz w:val="26"/>
                <w:szCs w:val="26"/>
              </w:rPr>
              <w:t> </w:t>
            </w:r>
          </w:p>
          <w:p w:rsidR="00870CAC" w:rsidRPr="00870CAC" w:rsidP="00870CAC" w14:paraId="045B35D7" w14:textId="77777777">
            <w:pPr>
              <w:widowControl/>
              <w:autoSpaceDE/>
              <w:autoSpaceDN/>
              <w:adjustRightInd/>
              <w:jc w:val="center"/>
              <w:textAlignment w:val="baseline"/>
              <w:rPr>
                <w:rFonts w:ascii="Segoe UI" w:hAnsi="Segoe UI" w:cs="Segoe UI"/>
                <w:sz w:val="18"/>
                <w:szCs w:val="18"/>
              </w:rPr>
            </w:pPr>
            <w:r w:rsidRPr="00870CAC">
              <w:rPr>
                <w:b/>
                <w:bCs/>
                <w:sz w:val="26"/>
                <w:szCs w:val="26"/>
              </w:rPr>
              <w:t>(5) ÷ (1) = (6)</w:t>
            </w:r>
            <w:r w:rsidRPr="00870CAC">
              <w:rPr>
                <w:sz w:val="26"/>
                <w:szCs w:val="26"/>
              </w:rPr>
              <w:t> </w:t>
            </w:r>
          </w:p>
        </w:tc>
      </w:tr>
      <w:tr w14:paraId="7AD3CBAD" w14:textId="77777777">
        <w:tblPrEx>
          <w:tblW w:w="0" w:type="dxa"/>
          <w:tblInd w:w="-915" w:type="dxa"/>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hideMark/>
          </w:tcPr>
          <w:p w:rsidR="00870CAC" w:rsidRPr="00870CAC" w:rsidP="00870CAC" w14:paraId="735EB2ED" w14:textId="77777777">
            <w:pPr>
              <w:widowControl/>
              <w:autoSpaceDE/>
              <w:autoSpaceDN/>
              <w:adjustRightInd/>
              <w:ind w:left="135" w:hanging="135"/>
              <w:textAlignment w:val="baseline"/>
              <w:rPr>
                <w:rFonts w:ascii="Segoe UI" w:hAnsi="Segoe UI" w:cs="Segoe UI"/>
                <w:sz w:val="18"/>
                <w:szCs w:val="18"/>
              </w:rPr>
            </w:pPr>
            <w:r w:rsidRPr="00870CAC">
              <w:rPr>
                <w:sz w:val="26"/>
                <w:szCs w:val="26"/>
              </w:rPr>
              <w:t>Transportation by Interstate Pipelines and Rates and Charges for Intrastate Pipelines </w:t>
            </w:r>
            <w:r w:rsidRPr="00870CAC">
              <w:rPr>
                <w:b/>
                <w:bCs/>
                <w:sz w:val="20"/>
                <w:szCs w:val="20"/>
                <w:vertAlign w:val="superscript"/>
              </w:rPr>
              <w:t>6</w:t>
            </w:r>
            <w:r w:rsidRPr="00870CAC">
              <w:rPr>
                <w:sz w:val="26"/>
                <w:szCs w:val="26"/>
              </w:rPr>
              <w:t> </w:t>
            </w:r>
          </w:p>
        </w:tc>
        <w:tc>
          <w:tcPr>
            <w:tcW w:w="1800" w:type="dxa"/>
            <w:tcBorders>
              <w:top w:val="single" w:sz="6" w:space="0" w:color="auto"/>
              <w:left w:val="single" w:sz="6" w:space="0" w:color="auto"/>
              <w:bottom w:val="single" w:sz="6" w:space="0" w:color="auto"/>
              <w:right w:val="single" w:sz="6" w:space="0" w:color="auto"/>
            </w:tcBorders>
            <w:hideMark/>
          </w:tcPr>
          <w:p w:rsidR="00870CAC" w:rsidRPr="00870CAC" w:rsidP="00870CAC" w14:paraId="1303204B" w14:textId="77777777">
            <w:pPr>
              <w:widowControl/>
              <w:autoSpaceDE/>
              <w:autoSpaceDN/>
              <w:adjustRightInd/>
              <w:jc w:val="right"/>
              <w:textAlignment w:val="baseline"/>
              <w:rPr>
                <w:rFonts w:ascii="Segoe UI" w:hAnsi="Segoe UI" w:cs="Segoe UI"/>
                <w:sz w:val="18"/>
                <w:szCs w:val="18"/>
              </w:rPr>
            </w:pPr>
            <w:r w:rsidRPr="00870CAC">
              <w:rPr>
                <w:sz w:val="26"/>
                <w:szCs w:val="26"/>
              </w:rPr>
              <w:t>61 </w:t>
            </w:r>
          </w:p>
        </w:tc>
        <w:tc>
          <w:tcPr>
            <w:tcW w:w="1620" w:type="dxa"/>
            <w:tcBorders>
              <w:top w:val="single" w:sz="6" w:space="0" w:color="auto"/>
              <w:left w:val="single" w:sz="6" w:space="0" w:color="auto"/>
              <w:bottom w:val="single" w:sz="6" w:space="0" w:color="auto"/>
              <w:right w:val="single" w:sz="6" w:space="0" w:color="auto"/>
            </w:tcBorders>
            <w:hideMark/>
          </w:tcPr>
          <w:p w:rsidR="00870CAC" w:rsidRPr="00870CAC" w:rsidP="00870CAC" w14:paraId="79FA89D3" w14:textId="77777777">
            <w:pPr>
              <w:widowControl/>
              <w:autoSpaceDE/>
              <w:autoSpaceDN/>
              <w:adjustRightInd/>
              <w:jc w:val="right"/>
              <w:textAlignment w:val="baseline"/>
              <w:rPr>
                <w:rFonts w:ascii="Segoe UI" w:hAnsi="Segoe UI" w:cs="Segoe UI"/>
                <w:sz w:val="18"/>
                <w:szCs w:val="18"/>
              </w:rPr>
            </w:pPr>
            <w:r w:rsidRPr="00870CAC">
              <w:rPr>
                <w:sz w:val="26"/>
                <w:szCs w:val="26"/>
              </w:rPr>
              <w:t>2 </w:t>
            </w:r>
          </w:p>
        </w:tc>
        <w:tc>
          <w:tcPr>
            <w:tcW w:w="1425" w:type="dxa"/>
            <w:tcBorders>
              <w:top w:val="single" w:sz="6" w:space="0" w:color="auto"/>
              <w:left w:val="single" w:sz="6" w:space="0" w:color="auto"/>
              <w:bottom w:val="single" w:sz="6" w:space="0" w:color="auto"/>
              <w:right w:val="single" w:sz="6" w:space="0" w:color="auto"/>
            </w:tcBorders>
            <w:hideMark/>
          </w:tcPr>
          <w:p w:rsidR="00870CAC" w:rsidRPr="00870CAC" w:rsidP="00870CAC" w14:paraId="1B8666C8" w14:textId="77777777">
            <w:pPr>
              <w:widowControl/>
              <w:autoSpaceDE/>
              <w:autoSpaceDN/>
              <w:adjustRightInd/>
              <w:jc w:val="right"/>
              <w:textAlignment w:val="baseline"/>
              <w:rPr>
                <w:rFonts w:ascii="Segoe UI" w:hAnsi="Segoe UI" w:cs="Segoe UI"/>
                <w:sz w:val="18"/>
                <w:szCs w:val="18"/>
              </w:rPr>
            </w:pPr>
            <w:r w:rsidRPr="00870CAC">
              <w:rPr>
                <w:sz w:val="26"/>
                <w:szCs w:val="26"/>
              </w:rPr>
              <w:t>122 </w:t>
            </w:r>
          </w:p>
        </w:tc>
        <w:tc>
          <w:tcPr>
            <w:tcW w:w="1350" w:type="dxa"/>
            <w:tcBorders>
              <w:top w:val="single" w:sz="6" w:space="0" w:color="auto"/>
              <w:left w:val="single" w:sz="6" w:space="0" w:color="auto"/>
              <w:bottom w:val="single" w:sz="6" w:space="0" w:color="auto"/>
              <w:right w:val="single" w:sz="6" w:space="0" w:color="auto"/>
            </w:tcBorders>
            <w:hideMark/>
          </w:tcPr>
          <w:p w:rsidR="00870CAC" w:rsidRPr="00870CAC" w:rsidP="00870CAC" w14:paraId="0E21B557" w14:textId="77777777">
            <w:pPr>
              <w:widowControl/>
              <w:autoSpaceDE/>
              <w:autoSpaceDN/>
              <w:adjustRightInd/>
              <w:jc w:val="right"/>
              <w:textAlignment w:val="baseline"/>
              <w:rPr>
                <w:rFonts w:ascii="Segoe UI" w:hAnsi="Segoe UI" w:cs="Segoe UI"/>
                <w:sz w:val="18"/>
                <w:szCs w:val="18"/>
              </w:rPr>
            </w:pPr>
            <w:r w:rsidRPr="00870CAC">
              <w:rPr>
                <w:sz w:val="26"/>
                <w:szCs w:val="26"/>
              </w:rPr>
              <w:t xml:space="preserve">50 </w:t>
            </w:r>
            <w:r w:rsidRPr="00870CAC">
              <w:rPr>
                <w:sz w:val="26"/>
                <w:szCs w:val="26"/>
              </w:rPr>
              <w:t>hrs.;</w:t>
            </w:r>
            <w:r w:rsidRPr="00870CAC">
              <w:rPr>
                <w:sz w:val="26"/>
                <w:szCs w:val="26"/>
              </w:rPr>
              <w:t> </w:t>
            </w:r>
          </w:p>
          <w:p w:rsidR="00870CAC" w:rsidRPr="00870CAC" w:rsidP="00870CAC" w14:paraId="3E36844D" w14:textId="77777777">
            <w:pPr>
              <w:widowControl/>
              <w:autoSpaceDE/>
              <w:autoSpaceDN/>
              <w:adjustRightInd/>
              <w:jc w:val="right"/>
              <w:textAlignment w:val="baseline"/>
              <w:rPr>
                <w:rFonts w:ascii="Segoe UI" w:hAnsi="Segoe UI" w:cs="Segoe UI"/>
                <w:sz w:val="18"/>
                <w:szCs w:val="18"/>
              </w:rPr>
            </w:pPr>
            <w:r w:rsidRPr="00870CAC">
              <w:rPr>
                <w:sz w:val="26"/>
                <w:szCs w:val="26"/>
              </w:rPr>
              <w:t>$5,100 </w:t>
            </w:r>
          </w:p>
        </w:tc>
        <w:tc>
          <w:tcPr>
            <w:tcW w:w="1245" w:type="dxa"/>
            <w:tcBorders>
              <w:top w:val="single" w:sz="6" w:space="0" w:color="auto"/>
              <w:left w:val="single" w:sz="6" w:space="0" w:color="auto"/>
              <w:bottom w:val="single" w:sz="6" w:space="0" w:color="auto"/>
              <w:right w:val="single" w:sz="6" w:space="0" w:color="auto"/>
            </w:tcBorders>
            <w:hideMark/>
          </w:tcPr>
          <w:p w:rsidR="00870CAC" w:rsidRPr="00870CAC" w:rsidP="00870CAC" w14:paraId="4C7E5291" w14:textId="77777777">
            <w:pPr>
              <w:widowControl/>
              <w:autoSpaceDE/>
              <w:autoSpaceDN/>
              <w:adjustRightInd/>
              <w:jc w:val="right"/>
              <w:textAlignment w:val="baseline"/>
              <w:rPr>
                <w:rFonts w:ascii="Segoe UI" w:hAnsi="Segoe UI" w:cs="Segoe UI"/>
                <w:sz w:val="18"/>
                <w:szCs w:val="18"/>
              </w:rPr>
            </w:pPr>
            <w:r w:rsidRPr="00870CAC">
              <w:rPr>
                <w:sz w:val="26"/>
                <w:szCs w:val="26"/>
              </w:rPr>
              <w:t>6,100 </w:t>
            </w:r>
            <w:r w:rsidRPr="00870CAC">
              <w:rPr>
                <w:sz w:val="26"/>
                <w:szCs w:val="26"/>
              </w:rPr>
              <w:t>hrs.;</w:t>
            </w:r>
            <w:r w:rsidRPr="00870CAC">
              <w:rPr>
                <w:sz w:val="26"/>
                <w:szCs w:val="26"/>
              </w:rPr>
              <w:t> </w:t>
            </w:r>
          </w:p>
          <w:p w:rsidR="00870CAC" w:rsidRPr="00870CAC" w:rsidP="00870CAC" w14:paraId="2532614A" w14:textId="77777777">
            <w:pPr>
              <w:widowControl/>
              <w:autoSpaceDE/>
              <w:autoSpaceDN/>
              <w:adjustRightInd/>
              <w:jc w:val="right"/>
              <w:textAlignment w:val="baseline"/>
              <w:rPr>
                <w:rFonts w:ascii="Segoe UI" w:hAnsi="Segoe UI" w:cs="Segoe UI"/>
                <w:sz w:val="18"/>
                <w:szCs w:val="18"/>
              </w:rPr>
            </w:pPr>
            <w:r w:rsidRPr="00870CAC">
              <w:rPr>
                <w:sz w:val="26"/>
                <w:szCs w:val="26"/>
              </w:rPr>
              <w:t>$622,200 </w:t>
            </w:r>
          </w:p>
        </w:tc>
        <w:tc>
          <w:tcPr>
            <w:tcW w:w="1620" w:type="dxa"/>
            <w:tcBorders>
              <w:top w:val="single" w:sz="6" w:space="0" w:color="auto"/>
              <w:left w:val="single" w:sz="6" w:space="0" w:color="auto"/>
              <w:bottom w:val="single" w:sz="6" w:space="0" w:color="auto"/>
              <w:right w:val="single" w:sz="6" w:space="0" w:color="auto"/>
            </w:tcBorders>
            <w:hideMark/>
          </w:tcPr>
          <w:p w:rsidR="00870CAC" w:rsidRPr="00870CAC" w:rsidP="00870CAC" w14:paraId="18CB1AD8" w14:textId="77777777">
            <w:pPr>
              <w:widowControl/>
              <w:autoSpaceDE/>
              <w:autoSpaceDN/>
              <w:adjustRightInd/>
              <w:jc w:val="right"/>
              <w:textAlignment w:val="baseline"/>
              <w:rPr>
                <w:rFonts w:ascii="Segoe UI" w:hAnsi="Segoe UI" w:cs="Segoe UI"/>
                <w:sz w:val="18"/>
                <w:szCs w:val="18"/>
              </w:rPr>
            </w:pPr>
            <w:r w:rsidRPr="00870CAC">
              <w:rPr>
                <w:sz w:val="26"/>
                <w:szCs w:val="26"/>
              </w:rPr>
              <w:t> </w:t>
            </w:r>
          </w:p>
          <w:p w:rsidR="00870CAC" w:rsidRPr="00870CAC" w:rsidP="00870CAC" w14:paraId="42D18478" w14:textId="77777777">
            <w:pPr>
              <w:widowControl/>
              <w:autoSpaceDE/>
              <w:autoSpaceDN/>
              <w:adjustRightInd/>
              <w:jc w:val="right"/>
              <w:textAlignment w:val="baseline"/>
              <w:rPr>
                <w:rFonts w:ascii="Segoe UI" w:hAnsi="Segoe UI" w:cs="Segoe UI"/>
                <w:sz w:val="18"/>
                <w:szCs w:val="18"/>
              </w:rPr>
            </w:pPr>
            <w:r w:rsidRPr="00870CAC">
              <w:rPr>
                <w:sz w:val="26"/>
                <w:szCs w:val="26"/>
              </w:rPr>
              <w:t>$10,200 </w:t>
            </w:r>
          </w:p>
        </w:tc>
      </w:tr>
      <w:tr w14:paraId="2730376B" w14:textId="77777777">
        <w:tblPrEx>
          <w:tblW w:w="0" w:type="dxa"/>
          <w:tblInd w:w="-915" w:type="dxa"/>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hideMark/>
          </w:tcPr>
          <w:p w:rsidR="00870CAC" w:rsidRPr="00870CAC" w:rsidP="00870CAC" w14:paraId="2A39B51E" w14:textId="77777777">
            <w:pPr>
              <w:widowControl/>
              <w:autoSpaceDE/>
              <w:autoSpaceDN/>
              <w:adjustRightInd/>
              <w:ind w:left="135" w:hanging="135"/>
              <w:textAlignment w:val="baseline"/>
              <w:rPr>
                <w:rFonts w:ascii="Segoe UI" w:hAnsi="Segoe UI" w:cs="Segoe UI"/>
                <w:sz w:val="18"/>
                <w:szCs w:val="18"/>
              </w:rPr>
            </w:pPr>
            <w:r w:rsidRPr="00870CAC">
              <w:rPr>
                <w:sz w:val="26"/>
                <w:szCs w:val="26"/>
              </w:rPr>
              <w:t>MBR – Initial Approval</w:t>
            </w:r>
            <w:r w:rsidRPr="00870CAC">
              <w:rPr>
                <w:b/>
                <w:bCs/>
                <w:sz w:val="20"/>
                <w:szCs w:val="20"/>
                <w:vertAlign w:val="superscript"/>
              </w:rPr>
              <w:t>7</w:t>
            </w:r>
            <w:r w:rsidRPr="00870CAC">
              <w:rPr>
                <w:sz w:val="26"/>
                <w:szCs w:val="26"/>
              </w:rPr>
              <w:t> </w:t>
            </w:r>
          </w:p>
        </w:tc>
        <w:tc>
          <w:tcPr>
            <w:tcW w:w="1800" w:type="dxa"/>
            <w:tcBorders>
              <w:top w:val="single" w:sz="6" w:space="0" w:color="auto"/>
              <w:left w:val="single" w:sz="6" w:space="0" w:color="auto"/>
              <w:bottom w:val="single" w:sz="6" w:space="0" w:color="auto"/>
              <w:right w:val="single" w:sz="6" w:space="0" w:color="auto"/>
            </w:tcBorders>
            <w:hideMark/>
          </w:tcPr>
          <w:p w:rsidR="00870CAC" w:rsidRPr="00870CAC" w:rsidP="00870CAC" w14:paraId="02E610C0" w14:textId="77777777">
            <w:pPr>
              <w:widowControl/>
              <w:autoSpaceDE/>
              <w:autoSpaceDN/>
              <w:adjustRightInd/>
              <w:jc w:val="right"/>
              <w:textAlignment w:val="baseline"/>
              <w:rPr>
                <w:rFonts w:ascii="Segoe UI" w:hAnsi="Segoe UI" w:cs="Segoe UI"/>
                <w:sz w:val="18"/>
                <w:szCs w:val="18"/>
              </w:rPr>
            </w:pPr>
            <w:r w:rsidRPr="00870CAC">
              <w:rPr>
                <w:sz w:val="26"/>
                <w:szCs w:val="26"/>
              </w:rPr>
              <w:t>4 </w:t>
            </w:r>
          </w:p>
        </w:tc>
        <w:tc>
          <w:tcPr>
            <w:tcW w:w="1620" w:type="dxa"/>
            <w:tcBorders>
              <w:top w:val="single" w:sz="6" w:space="0" w:color="auto"/>
              <w:left w:val="single" w:sz="6" w:space="0" w:color="auto"/>
              <w:bottom w:val="single" w:sz="6" w:space="0" w:color="auto"/>
              <w:right w:val="single" w:sz="6" w:space="0" w:color="auto"/>
            </w:tcBorders>
            <w:hideMark/>
          </w:tcPr>
          <w:p w:rsidR="00870CAC" w:rsidRPr="00870CAC" w:rsidP="00870CAC" w14:paraId="4F1D48DA" w14:textId="77777777">
            <w:pPr>
              <w:widowControl/>
              <w:autoSpaceDE/>
              <w:autoSpaceDN/>
              <w:adjustRightInd/>
              <w:jc w:val="right"/>
              <w:textAlignment w:val="baseline"/>
              <w:rPr>
                <w:rFonts w:ascii="Segoe UI" w:hAnsi="Segoe UI" w:cs="Segoe UI"/>
                <w:sz w:val="18"/>
                <w:szCs w:val="18"/>
              </w:rPr>
            </w:pPr>
            <w:r w:rsidRPr="00870CAC">
              <w:rPr>
                <w:sz w:val="26"/>
                <w:szCs w:val="26"/>
              </w:rPr>
              <w:t>1 </w:t>
            </w:r>
          </w:p>
        </w:tc>
        <w:tc>
          <w:tcPr>
            <w:tcW w:w="1425" w:type="dxa"/>
            <w:tcBorders>
              <w:top w:val="single" w:sz="6" w:space="0" w:color="auto"/>
              <w:left w:val="single" w:sz="6" w:space="0" w:color="auto"/>
              <w:bottom w:val="single" w:sz="6" w:space="0" w:color="auto"/>
              <w:right w:val="single" w:sz="6" w:space="0" w:color="auto"/>
            </w:tcBorders>
            <w:hideMark/>
          </w:tcPr>
          <w:p w:rsidR="00870CAC" w:rsidRPr="00870CAC" w:rsidP="00870CAC" w14:paraId="3180A864" w14:textId="77777777">
            <w:pPr>
              <w:widowControl/>
              <w:autoSpaceDE/>
              <w:autoSpaceDN/>
              <w:adjustRightInd/>
              <w:jc w:val="right"/>
              <w:textAlignment w:val="baseline"/>
              <w:rPr>
                <w:rFonts w:ascii="Segoe UI" w:hAnsi="Segoe UI" w:cs="Segoe UI"/>
                <w:sz w:val="18"/>
                <w:szCs w:val="18"/>
              </w:rPr>
            </w:pPr>
            <w:r w:rsidRPr="00870CAC">
              <w:rPr>
                <w:sz w:val="26"/>
                <w:szCs w:val="26"/>
              </w:rPr>
              <w:t>4 </w:t>
            </w:r>
          </w:p>
        </w:tc>
        <w:tc>
          <w:tcPr>
            <w:tcW w:w="1350" w:type="dxa"/>
            <w:tcBorders>
              <w:top w:val="single" w:sz="6" w:space="0" w:color="auto"/>
              <w:left w:val="single" w:sz="6" w:space="0" w:color="auto"/>
              <w:bottom w:val="single" w:sz="6" w:space="0" w:color="auto"/>
              <w:right w:val="single" w:sz="6" w:space="0" w:color="auto"/>
            </w:tcBorders>
            <w:hideMark/>
          </w:tcPr>
          <w:p w:rsidR="00870CAC" w:rsidRPr="00870CAC" w:rsidP="00870CAC" w14:paraId="2FC8E2F7" w14:textId="77777777">
            <w:pPr>
              <w:widowControl/>
              <w:autoSpaceDE/>
              <w:autoSpaceDN/>
              <w:adjustRightInd/>
              <w:jc w:val="right"/>
              <w:textAlignment w:val="baseline"/>
              <w:rPr>
                <w:rFonts w:ascii="Segoe UI" w:hAnsi="Segoe UI" w:cs="Segoe UI"/>
                <w:sz w:val="18"/>
                <w:szCs w:val="18"/>
              </w:rPr>
            </w:pPr>
            <w:r w:rsidRPr="00870CAC">
              <w:rPr>
                <w:sz w:val="26"/>
                <w:szCs w:val="26"/>
              </w:rPr>
              <w:t>350 hrs.; $35,700 </w:t>
            </w:r>
          </w:p>
        </w:tc>
        <w:tc>
          <w:tcPr>
            <w:tcW w:w="1245" w:type="dxa"/>
            <w:tcBorders>
              <w:top w:val="single" w:sz="6" w:space="0" w:color="auto"/>
              <w:left w:val="single" w:sz="6" w:space="0" w:color="auto"/>
              <w:bottom w:val="single" w:sz="6" w:space="0" w:color="auto"/>
              <w:right w:val="single" w:sz="6" w:space="0" w:color="auto"/>
            </w:tcBorders>
            <w:hideMark/>
          </w:tcPr>
          <w:p w:rsidR="00870CAC" w:rsidRPr="00870CAC" w:rsidP="00870CAC" w14:paraId="48B7E104" w14:textId="77777777">
            <w:pPr>
              <w:widowControl/>
              <w:autoSpaceDE/>
              <w:autoSpaceDN/>
              <w:adjustRightInd/>
              <w:jc w:val="right"/>
              <w:textAlignment w:val="baseline"/>
              <w:rPr>
                <w:rFonts w:ascii="Segoe UI" w:hAnsi="Segoe UI" w:cs="Segoe UI"/>
                <w:sz w:val="18"/>
                <w:szCs w:val="18"/>
              </w:rPr>
            </w:pPr>
            <w:r w:rsidRPr="00870CAC">
              <w:rPr>
                <w:sz w:val="26"/>
                <w:szCs w:val="26"/>
              </w:rPr>
              <w:t>1,400 hrs.; $142,800 </w:t>
            </w:r>
          </w:p>
        </w:tc>
        <w:tc>
          <w:tcPr>
            <w:tcW w:w="1620" w:type="dxa"/>
            <w:tcBorders>
              <w:top w:val="single" w:sz="6" w:space="0" w:color="auto"/>
              <w:left w:val="single" w:sz="6" w:space="0" w:color="auto"/>
              <w:bottom w:val="single" w:sz="6" w:space="0" w:color="auto"/>
              <w:right w:val="single" w:sz="6" w:space="0" w:color="auto"/>
            </w:tcBorders>
            <w:hideMark/>
          </w:tcPr>
          <w:p w:rsidR="00870CAC" w:rsidRPr="00870CAC" w:rsidP="00870CAC" w14:paraId="514034A3" w14:textId="77777777">
            <w:pPr>
              <w:widowControl/>
              <w:autoSpaceDE/>
              <w:autoSpaceDN/>
              <w:adjustRightInd/>
              <w:jc w:val="right"/>
              <w:textAlignment w:val="baseline"/>
              <w:rPr>
                <w:rFonts w:ascii="Segoe UI" w:hAnsi="Segoe UI" w:cs="Segoe UI"/>
                <w:sz w:val="18"/>
                <w:szCs w:val="18"/>
              </w:rPr>
            </w:pPr>
            <w:r w:rsidRPr="00870CAC">
              <w:rPr>
                <w:sz w:val="26"/>
                <w:szCs w:val="26"/>
              </w:rPr>
              <w:t>$35,700 </w:t>
            </w:r>
          </w:p>
        </w:tc>
      </w:tr>
      <w:tr w14:paraId="6AD667BC" w14:textId="77777777">
        <w:tblPrEx>
          <w:tblW w:w="0" w:type="dxa"/>
          <w:tblInd w:w="-915" w:type="dxa"/>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hideMark/>
          </w:tcPr>
          <w:p w:rsidR="00870CAC" w:rsidRPr="00870CAC" w:rsidP="00870CAC" w14:paraId="7FCAD46A" w14:textId="77777777">
            <w:pPr>
              <w:widowControl/>
              <w:autoSpaceDE/>
              <w:autoSpaceDN/>
              <w:adjustRightInd/>
              <w:ind w:left="135" w:hanging="135"/>
              <w:textAlignment w:val="baseline"/>
              <w:rPr>
                <w:rFonts w:ascii="Segoe UI" w:hAnsi="Segoe UI" w:cs="Segoe UI"/>
                <w:sz w:val="18"/>
                <w:szCs w:val="18"/>
              </w:rPr>
            </w:pPr>
            <w:r w:rsidRPr="00870CAC">
              <w:rPr>
                <w:sz w:val="26"/>
                <w:szCs w:val="26"/>
              </w:rPr>
              <w:t>MBR-Change in Circumstances</w:t>
            </w:r>
            <w:r w:rsidRPr="00870CAC">
              <w:rPr>
                <w:b/>
                <w:bCs/>
                <w:sz w:val="20"/>
                <w:szCs w:val="20"/>
                <w:vertAlign w:val="superscript"/>
              </w:rPr>
              <w:t>8</w:t>
            </w:r>
            <w:r w:rsidRPr="00870CAC">
              <w:rPr>
                <w:sz w:val="26"/>
                <w:szCs w:val="26"/>
              </w:rPr>
              <w:t> </w:t>
            </w:r>
          </w:p>
        </w:tc>
        <w:tc>
          <w:tcPr>
            <w:tcW w:w="1800" w:type="dxa"/>
            <w:tcBorders>
              <w:top w:val="single" w:sz="6" w:space="0" w:color="auto"/>
              <w:left w:val="single" w:sz="6" w:space="0" w:color="auto"/>
              <w:bottom w:val="single" w:sz="6" w:space="0" w:color="auto"/>
              <w:right w:val="single" w:sz="6" w:space="0" w:color="auto"/>
            </w:tcBorders>
            <w:hideMark/>
          </w:tcPr>
          <w:p w:rsidR="00870CAC" w:rsidRPr="00870CAC" w:rsidP="00870CAC" w14:paraId="2343F0D4" w14:textId="77777777">
            <w:pPr>
              <w:widowControl/>
              <w:autoSpaceDE/>
              <w:autoSpaceDN/>
              <w:adjustRightInd/>
              <w:jc w:val="right"/>
              <w:textAlignment w:val="baseline"/>
              <w:rPr>
                <w:rFonts w:ascii="Segoe UI" w:hAnsi="Segoe UI" w:cs="Segoe UI"/>
                <w:sz w:val="18"/>
                <w:szCs w:val="18"/>
              </w:rPr>
            </w:pPr>
            <w:r w:rsidRPr="00870CAC">
              <w:rPr>
                <w:sz w:val="26"/>
                <w:szCs w:val="26"/>
              </w:rPr>
              <w:t>4 </w:t>
            </w:r>
          </w:p>
        </w:tc>
        <w:tc>
          <w:tcPr>
            <w:tcW w:w="1620" w:type="dxa"/>
            <w:tcBorders>
              <w:top w:val="single" w:sz="6" w:space="0" w:color="auto"/>
              <w:left w:val="single" w:sz="6" w:space="0" w:color="auto"/>
              <w:bottom w:val="single" w:sz="6" w:space="0" w:color="auto"/>
              <w:right w:val="single" w:sz="6" w:space="0" w:color="auto"/>
            </w:tcBorders>
            <w:hideMark/>
          </w:tcPr>
          <w:p w:rsidR="00870CAC" w:rsidRPr="00870CAC" w:rsidP="00870CAC" w14:paraId="007AB47C" w14:textId="77777777">
            <w:pPr>
              <w:widowControl/>
              <w:autoSpaceDE/>
              <w:autoSpaceDN/>
              <w:adjustRightInd/>
              <w:jc w:val="right"/>
              <w:textAlignment w:val="baseline"/>
              <w:rPr>
                <w:rFonts w:ascii="Segoe UI" w:hAnsi="Segoe UI" w:cs="Segoe UI"/>
                <w:sz w:val="18"/>
                <w:szCs w:val="18"/>
              </w:rPr>
            </w:pPr>
            <w:r w:rsidRPr="00870CAC">
              <w:rPr>
                <w:sz w:val="26"/>
                <w:szCs w:val="26"/>
              </w:rPr>
              <w:t>1 </w:t>
            </w:r>
          </w:p>
        </w:tc>
        <w:tc>
          <w:tcPr>
            <w:tcW w:w="1425" w:type="dxa"/>
            <w:tcBorders>
              <w:top w:val="single" w:sz="6" w:space="0" w:color="auto"/>
              <w:left w:val="single" w:sz="6" w:space="0" w:color="auto"/>
              <w:bottom w:val="single" w:sz="6" w:space="0" w:color="auto"/>
              <w:right w:val="single" w:sz="6" w:space="0" w:color="auto"/>
            </w:tcBorders>
            <w:hideMark/>
          </w:tcPr>
          <w:p w:rsidR="00870CAC" w:rsidRPr="00870CAC" w:rsidP="00870CAC" w14:paraId="7E6AA6C0" w14:textId="77777777">
            <w:pPr>
              <w:widowControl/>
              <w:autoSpaceDE/>
              <w:autoSpaceDN/>
              <w:adjustRightInd/>
              <w:jc w:val="right"/>
              <w:textAlignment w:val="baseline"/>
              <w:rPr>
                <w:rFonts w:ascii="Segoe UI" w:hAnsi="Segoe UI" w:cs="Segoe UI"/>
                <w:sz w:val="18"/>
                <w:szCs w:val="18"/>
              </w:rPr>
            </w:pPr>
            <w:r w:rsidRPr="00870CAC">
              <w:rPr>
                <w:sz w:val="26"/>
                <w:szCs w:val="26"/>
              </w:rPr>
              <w:t>4 </w:t>
            </w:r>
          </w:p>
        </w:tc>
        <w:tc>
          <w:tcPr>
            <w:tcW w:w="1350" w:type="dxa"/>
            <w:tcBorders>
              <w:top w:val="single" w:sz="6" w:space="0" w:color="auto"/>
              <w:left w:val="single" w:sz="6" w:space="0" w:color="auto"/>
              <w:bottom w:val="single" w:sz="6" w:space="0" w:color="auto"/>
              <w:right w:val="single" w:sz="6" w:space="0" w:color="auto"/>
            </w:tcBorders>
            <w:hideMark/>
          </w:tcPr>
          <w:p w:rsidR="00870CAC" w:rsidRPr="00870CAC" w:rsidP="00870CAC" w14:paraId="5C8C0C4F" w14:textId="77777777">
            <w:pPr>
              <w:widowControl/>
              <w:autoSpaceDE/>
              <w:autoSpaceDN/>
              <w:adjustRightInd/>
              <w:jc w:val="right"/>
              <w:textAlignment w:val="baseline"/>
              <w:rPr>
                <w:rFonts w:ascii="Segoe UI" w:hAnsi="Segoe UI" w:cs="Segoe UI"/>
                <w:sz w:val="18"/>
                <w:szCs w:val="18"/>
              </w:rPr>
            </w:pPr>
            <w:r w:rsidRPr="00870CAC">
              <w:rPr>
                <w:sz w:val="26"/>
                <w:szCs w:val="26"/>
              </w:rPr>
              <w:t>75 hrs.; $7,650 </w:t>
            </w:r>
          </w:p>
        </w:tc>
        <w:tc>
          <w:tcPr>
            <w:tcW w:w="1245" w:type="dxa"/>
            <w:tcBorders>
              <w:top w:val="single" w:sz="6" w:space="0" w:color="auto"/>
              <w:left w:val="single" w:sz="6" w:space="0" w:color="auto"/>
              <w:bottom w:val="single" w:sz="6" w:space="0" w:color="auto"/>
              <w:right w:val="single" w:sz="6" w:space="0" w:color="auto"/>
            </w:tcBorders>
            <w:hideMark/>
          </w:tcPr>
          <w:p w:rsidR="00870CAC" w:rsidRPr="00870CAC" w:rsidP="00870CAC" w14:paraId="03C1221F" w14:textId="77777777">
            <w:pPr>
              <w:widowControl/>
              <w:autoSpaceDE/>
              <w:autoSpaceDN/>
              <w:adjustRightInd/>
              <w:jc w:val="right"/>
              <w:textAlignment w:val="baseline"/>
              <w:rPr>
                <w:rFonts w:ascii="Segoe UI" w:hAnsi="Segoe UI" w:cs="Segoe UI"/>
                <w:sz w:val="18"/>
                <w:szCs w:val="18"/>
              </w:rPr>
            </w:pPr>
            <w:r w:rsidRPr="00870CAC">
              <w:rPr>
                <w:sz w:val="26"/>
                <w:szCs w:val="26"/>
              </w:rPr>
              <w:t>300 hrs.; $30,600 </w:t>
            </w:r>
          </w:p>
        </w:tc>
        <w:tc>
          <w:tcPr>
            <w:tcW w:w="1620" w:type="dxa"/>
            <w:tcBorders>
              <w:top w:val="single" w:sz="6" w:space="0" w:color="auto"/>
              <w:left w:val="single" w:sz="6" w:space="0" w:color="auto"/>
              <w:bottom w:val="single" w:sz="6" w:space="0" w:color="auto"/>
              <w:right w:val="single" w:sz="6" w:space="0" w:color="auto"/>
            </w:tcBorders>
            <w:hideMark/>
          </w:tcPr>
          <w:p w:rsidR="00870CAC" w:rsidRPr="00870CAC" w:rsidP="00870CAC" w14:paraId="2346B690" w14:textId="77777777">
            <w:pPr>
              <w:widowControl/>
              <w:autoSpaceDE/>
              <w:autoSpaceDN/>
              <w:adjustRightInd/>
              <w:jc w:val="right"/>
              <w:textAlignment w:val="baseline"/>
              <w:rPr>
                <w:rFonts w:ascii="Segoe UI" w:hAnsi="Segoe UI" w:cs="Segoe UI"/>
                <w:sz w:val="18"/>
                <w:szCs w:val="18"/>
              </w:rPr>
            </w:pPr>
            <w:r w:rsidRPr="00870CAC">
              <w:rPr>
                <w:sz w:val="26"/>
                <w:szCs w:val="26"/>
              </w:rPr>
              <w:t>$7,650 </w:t>
            </w:r>
          </w:p>
        </w:tc>
      </w:tr>
      <w:tr w14:paraId="576C8F35" w14:textId="77777777">
        <w:tblPrEx>
          <w:tblW w:w="0" w:type="dxa"/>
          <w:tblInd w:w="-915" w:type="dxa"/>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hideMark/>
          </w:tcPr>
          <w:p w:rsidR="00870CAC" w:rsidRPr="00870CAC" w:rsidP="00870CAC" w14:paraId="3E5684B1" w14:textId="77777777">
            <w:pPr>
              <w:widowControl/>
              <w:autoSpaceDE/>
              <w:autoSpaceDN/>
              <w:adjustRightInd/>
              <w:ind w:left="135" w:hanging="135"/>
              <w:jc w:val="right"/>
              <w:textAlignment w:val="baseline"/>
              <w:rPr>
                <w:rFonts w:ascii="Segoe UI" w:hAnsi="Segoe UI" w:cs="Segoe UI"/>
                <w:sz w:val="18"/>
                <w:szCs w:val="18"/>
              </w:rPr>
            </w:pPr>
            <w:r w:rsidRPr="00870CAC">
              <w:rPr>
                <w:sz w:val="26"/>
                <w:szCs w:val="26"/>
              </w:rPr>
              <w:t> </w:t>
            </w:r>
          </w:p>
        </w:tc>
        <w:tc>
          <w:tcPr>
            <w:tcW w:w="1800" w:type="dxa"/>
            <w:tcBorders>
              <w:top w:val="single" w:sz="6" w:space="0" w:color="auto"/>
              <w:left w:val="single" w:sz="6" w:space="0" w:color="auto"/>
              <w:bottom w:val="single" w:sz="6" w:space="0" w:color="auto"/>
              <w:right w:val="single" w:sz="6" w:space="0" w:color="auto"/>
            </w:tcBorders>
            <w:hideMark/>
          </w:tcPr>
          <w:p w:rsidR="00870CAC" w:rsidRPr="00870CAC" w:rsidP="00870CAC" w14:paraId="182D5BA3" w14:textId="77777777">
            <w:pPr>
              <w:widowControl/>
              <w:autoSpaceDE/>
              <w:autoSpaceDN/>
              <w:adjustRightInd/>
              <w:jc w:val="right"/>
              <w:textAlignment w:val="baseline"/>
              <w:rPr>
                <w:rFonts w:ascii="Segoe UI" w:hAnsi="Segoe UI" w:cs="Segoe UI"/>
                <w:sz w:val="18"/>
                <w:szCs w:val="18"/>
              </w:rPr>
            </w:pPr>
            <w:r w:rsidRPr="00870CAC">
              <w:rPr>
                <w:sz w:val="26"/>
                <w:szCs w:val="26"/>
              </w:rPr>
              <w:t> </w:t>
            </w:r>
          </w:p>
        </w:tc>
        <w:tc>
          <w:tcPr>
            <w:tcW w:w="1620" w:type="dxa"/>
            <w:tcBorders>
              <w:top w:val="single" w:sz="6" w:space="0" w:color="auto"/>
              <w:left w:val="single" w:sz="6" w:space="0" w:color="auto"/>
              <w:bottom w:val="single" w:sz="6" w:space="0" w:color="auto"/>
              <w:right w:val="single" w:sz="6" w:space="0" w:color="auto"/>
            </w:tcBorders>
            <w:hideMark/>
          </w:tcPr>
          <w:p w:rsidR="00870CAC" w:rsidRPr="00870CAC" w:rsidP="00870CAC" w14:paraId="1F212DD2" w14:textId="77777777">
            <w:pPr>
              <w:widowControl/>
              <w:autoSpaceDE/>
              <w:autoSpaceDN/>
              <w:adjustRightInd/>
              <w:jc w:val="right"/>
              <w:textAlignment w:val="baseline"/>
              <w:rPr>
                <w:rFonts w:ascii="Segoe UI" w:hAnsi="Segoe UI" w:cs="Segoe UI"/>
                <w:sz w:val="18"/>
                <w:szCs w:val="18"/>
              </w:rPr>
            </w:pPr>
            <w:r w:rsidRPr="00870CAC">
              <w:rPr>
                <w:sz w:val="26"/>
                <w:szCs w:val="26"/>
              </w:rPr>
              <w:t> </w:t>
            </w:r>
          </w:p>
        </w:tc>
        <w:tc>
          <w:tcPr>
            <w:tcW w:w="1425" w:type="dxa"/>
            <w:tcBorders>
              <w:top w:val="single" w:sz="6" w:space="0" w:color="auto"/>
              <w:left w:val="single" w:sz="6" w:space="0" w:color="auto"/>
              <w:bottom w:val="single" w:sz="6" w:space="0" w:color="auto"/>
              <w:right w:val="single" w:sz="6" w:space="0" w:color="auto"/>
            </w:tcBorders>
            <w:hideMark/>
          </w:tcPr>
          <w:p w:rsidR="00870CAC" w:rsidRPr="00870CAC" w:rsidP="00870CAC" w14:paraId="56E78E34" w14:textId="77777777">
            <w:pPr>
              <w:widowControl/>
              <w:autoSpaceDE/>
              <w:autoSpaceDN/>
              <w:adjustRightInd/>
              <w:jc w:val="right"/>
              <w:textAlignment w:val="baseline"/>
              <w:rPr>
                <w:rFonts w:ascii="Segoe UI" w:hAnsi="Segoe UI" w:cs="Segoe UI"/>
                <w:sz w:val="18"/>
                <w:szCs w:val="18"/>
              </w:rPr>
            </w:pPr>
            <w:r w:rsidRPr="00870CAC">
              <w:rPr>
                <w:sz w:val="26"/>
                <w:szCs w:val="26"/>
              </w:rPr>
              <w:t> </w:t>
            </w:r>
          </w:p>
        </w:tc>
        <w:tc>
          <w:tcPr>
            <w:tcW w:w="1350" w:type="dxa"/>
            <w:tcBorders>
              <w:top w:val="single" w:sz="6" w:space="0" w:color="auto"/>
              <w:left w:val="single" w:sz="6" w:space="0" w:color="auto"/>
              <w:bottom w:val="single" w:sz="6" w:space="0" w:color="auto"/>
              <w:right w:val="single" w:sz="6" w:space="0" w:color="auto"/>
            </w:tcBorders>
            <w:hideMark/>
          </w:tcPr>
          <w:p w:rsidR="00870CAC" w:rsidRPr="00870CAC" w:rsidP="00870CAC" w14:paraId="0C475495" w14:textId="77777777">
            <w:pPr>
              <w:widowControl/>
              <w:autoSpaceDE/>
              <w:autoSpaceDN/>
              <w:adjustRightInd/>
              <w:jc w:val="right"/>
              <w:textAlignment w:val="baseline"/>
              <w:rPr>
                <w:rFonts w:ascii="Segoe UI" w:hAnsi="Segoe UI" w:cs="Segoe UI"/>
                <w:sz w:val="18"/>
                <w:szCs w:val="18"/>
              </w:rPr>
            </w:pPr>
            <w:r w:rsidRPr="00870CAC">
              <w:rPr>
                <w:sz w:val="26"/>
                <w:szCs w:val="26"/>
              </w:rPr>
              <w:t> </w:t>
            </w:r>
          </w:p>
        </w:tc>
        <w:tc>
          <w:tcPr>
            <w:tcW w:w="1245" w:type="dxa"/>
            <w:tcBorders>
              <w:top w:val="single" w:sz="6" w:space="0" w:color="auto"/>
              <w:left w:val="single" w:sz="6" w:space="0" w:color="auto"/>
              <w:bottom w:val="single" w:sz="6" w:space="0" w:color="auto"/>
              <w:right w:val="single" w:sz="6" w:space="0" w:color="auto"/>
            </w:tcBorders>
            <w:hideMark/>
          </w:tcPr>
          <w:p w:rsidR="00870CAC" w:rsidRPr="00870CAC" w:rsidP="00870CAC" w14:paraId="27849CFD" w14:textId="77777777">
            <w:pPr>
              <w:widowControl/>
              <w:autoSpaceDE/>
              <w:autoSpaceDN/>
              <w:adjustRightInd/>
              <w:jc w:val="right"/>
              <w:textAlignment w:val="baseline"/>
              <w:rPr>
                <w:rFonts w:ascii="Segoe UI" w:hAnsi="Segoe UI" w:cs="Segoe UI"/>
                <w:sz w:val="18"/>
                <w:szCs w:val="18"/>
              </w:rPr>
            </w:pPr>
            <w:r w:rsidRPr="00870CAC">
              <w:rPr>
                <w:sz w:val="26"/>
                <w:szCs w:val="26"/>
              </w:rPr>
              <w:t> </w:t>
            </w:r>
          </w:p>
        </w:tc>
        <w:tc>
          <w:tcPr>
            <w:tcW w:w="1620" w:type="dxa"/>
            <w:tcBorders>
              <w:top w:val="single" w:sz="6" w:space="0" w:color="auto"/>
              <w:left w:val="single" w:sz="6" w:space="0" w:color="auto"/>
              <w:bottom w:val="single" w:sz="6" w:space="0" w:color="auto"/>
              <w:right w:val="single" w:sz="6" w:space="0" w:color="auto"/>
            </w:tcBorders>
            <w:hideMark/>
          </w:tcPr>
          <w:p w:rsidR="00870CAC" w:rsidRPr="00870CAC" w:rsidP="00870CAC" w14:paraId="25876CFB" w14:textId="77777777">
            <w:pPr>
              <w:widowControl/>
              <w:autoSpaceDE/>
              <w:autoSpaceDN/>
              <w:adjustRightInd/>
              <w:jc w:val="right"/>
              <w:textAlignment w:val="baseline"/>
              <w:rPr>
                <w:rFonts w:ascii="Segoe UI" w:hAnsi="Segoe UI" w:cs="Segoe UI"/>
                <w:sz w:val="18"/>
                <w:szCs w:val="18"/>
              </w:rPr>
            </w:pPr>
            <w:r w:rsidRPr="00870CAC">
              <w:rPr>
                <w:sz w:val="26"/>
                <w:szCs w:val="26"/>
              </w:rPr>
              <w:t> </w:t>
            </w:r>
          </w:p>
        </w:tc>
      </w:tr>
      <w:tr w14:paraId="6789228F" w14:textId="77777777">
        <w:tblPrEx>
          <w:tblW w:w="0" w:type="dxa"/>
          <w:tblInd w:w="-915" w:type="dxa"/>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hideMark/>
          </w:tcPr>
          <w:p w:rsidR="00870CAC" w:rsidRPr="00870CAC" w:rsidP="00870CAC" w14:paraId="7ABEBCAB" w14:textId="77777777">
            <w:pPr>
              <w:widowControl/>
              <w:autoSpaceDE/>
              <w:autoSpaceDN/>
              <w:adjustRightInd/>
              <w:ind w:left="135" w:hanging="135"/>
              <w:jc w:val="right"/>
              <w:textAlignment w:val="baseline"/>
              <w:rPr>
                <w:rFonts w:ascii="Segoe UI" w:hAnsi="Segoe UI" w:cs="Segoe UI"/>
                <w:sz w:val="18"/>
                <w:szCs w:val="18"/>
              </w:rPr>
            </w:pPr>
            <w:r w:rsidRPr="00870CAC">
              <w:rPr>
                <w:sz w:val="26"/>
                <w:szCs w:val="26"/>
              </w:rPr>
              <w:t>Record Retention </w:t>
            </w:r>
          </w:p>
        </w:tc>
        <w:tc>
          <w:tcPr>
            <w:tcW w:w="1800" w:type="dxa"/>
            <w:tcBorders>
              <w:top w:val="single" w:sz="6" w:space="0" w:color="auto"/>
              <w:left w:val="single" w:sz="6" w:space="0" w:color="auto"/>
              <w:bottom w:val="single" w:sz="6" w:space="0" w:color="auto"/>
              <w:right w:val="single" w:sz="6" w:space="0" w:color="auto"/>
            </w:tcBorders>
            <w:hideMark/>
          </w:tcPr>
          <w:p w:rsidR="00870CAC" w:rsidRPr="00870CAC" w:rsidP="00870CAC" w14:paraId="0258D2DA" w14:textId="77777777">
            <w:pPr>
              <w:widowControl/>
              <w:autoSpaceDE/>
              <w:autoSpaceDN/>
              <w:adjustRightInd/>
              <w:jc w:val="right"/>
              <w:textAlignment w:val="baseline"/>
              <w:rPr>
                <w:rFonts w:ascii="Segoe UI" w:hAnsi="Segoe UI" w:cs="Segoe UI"/>
                <w:sz w:val="18"/>
                <w:szCs w:val="18"/>
              </w:rPr>
            </w:pPr>
            <w:r w:rsidRPr="00870CAC">
              <w:rPr>
                <w:sz w:val="26"/>
                <w:szCs w:val="26"/>
              </w:rPr>
              <w:t>176 </w:t>
            </w:r>
          </w:p>
        </w:tc>
        <w:tc>
          <w:tcPr>
            <w:tcW w:w="1620" w:type="dxa"/>
            <w:tcBorders>
              <w:top w:val="single" w:sz="6" w:space="0" w:color="auto"/>
              <w:left w:val="single" w:sz="6" w:space="0" w:color="auto"/>
              <w:bottom w:val="single" w:sz="6" w:space="0" w:color="auto"/>
              <w:right w:val="single" w:sz="6" w:space="0" w:color="auto"/>
            </w:tcBorders>
            <w:hideMark/>
          </w:tcPr>
          <w:p w:rsidR="00870CAC" w:rsidRPr="00870CAC" w:rsidP="00870CAC" w14:paraId="249DA9DF" w14:textId="77777777">
            <w:pPr>
              <w:widowControl/>
              <w:autoSpaceDE/>
              <w:autoSpaceDN/>
              <w:adjustRightInd/>
              <w:jc w:val="right"/>
              <w:textAlignment w:val="baseline"/>
              <w:rPr>
                <w:rFonts w:ascii="Segoe UI" w:hAnsi="Segoe UI" w:cs="Segoe UI"/>
                <w:sz w:val="18"/>
                <w:szCs w:val="18"/>
              </w:rPr>
            </w:pPr>
            <w:r w:rsidRPr="00870CAC">
              <w:rPr>
                <w:sz w:val="26"/>
                <w:szCs w:val="26"/>
              </w:rPr>
              <w:t>1 </w:t>
            </w:r>
          </w:p>
        </w:tc>
        <w:tc>
          <w:tcPr>
            <w:tcW w:w="1425" w:type="dxa"/>
            <w:tcBorders>
              <w:top w:val="single" w:sz="6" w:space="0" w:color="auto"/>
              <w:left w:val="single" w:sz="6" w:space="0" w:color="auto"/>
              <w:bottom w:val="single" w:sz="6" w:space="0" w:color="auto"/>
              <w:right w:val="single" w:sz="6" w:space="0" w:color="auto"/>
            </w:tcBorders>
            <w:hideMark/>
          </w:tcPr>
          <w:p w:rsidR="00870CAC" w:rsidRPr="00870CAC" w:rsidP="00870CAC" w14:paraId="4F8A9E17" w14:textId="77777777">
            <w:pPr>
              <w:widowControl/>
              <w:autoSpaceDE/>
              <w:autoSpaceDN/>
              <w:adjustRightInd/>
              <w:jc w:val="right"/>
              <w:textAlignment w:val="baseline"/>
              <w:rPr>
                <w:rFonts w:ascii="Segoe UI" w:hAnsi="Segoe UI" w:cs="Segoe UI"/>
                <w:sz w:val="18"/>
                <w:szCs w:val="18"/>
              </w:rPr>
            </w:pPr>
            <w:r w:rsidRPr="00870CAC">
              <w:rPr>
                <w:sz w:val="26"/>
                <w:szCs w:val="26"/>
              </w:rPr>
              <w:t>176 </w:t>
            </w:r>
          </w:p>
        </w:tc>
        <w:tc>
          <w:tcPr>
            <w:tcW w:w="1350" w:type="dxa"/>
            <w:tcBorders>
              <w:top w:val="single" w:sz="6" w:space="0" w:color="auto"/>
              <w:left w:val="single" w:sz="6" w:space="0" w:color="auto"/>
              <w:bottom w:val="single" w:sz="6" w:space="0" w:color="auto"/>
              <w:right w:val="single" w:sz="6" w:space="0" w:color="auto"/>
            </w:tcBorders>
            <w:hideMark/>
          </w:tcPr>
          <w:p w:rsidR="00870CAC" w:rsidRPr="00870CAC" w:rsidP="00870CAC" w14:paraId="13DFAD2D" w14:textId="77777777">
            <w:pPr>
              <w:widowControl/>
              <w:autoSpaceDE/>
              <w:autoSpaceDN/>
              <w:adjustRightInd/>
              <w:jc w:val="right"/>
              <w:textAlignment w:val="baseline"/>
              <w:rPr>
                <w:rFonts w:ascii="Segoe UI" w:hAnsi="Segoe UI" w:cs="Segoe UI"/>
                <w:sz w:val="18"/>
                <w:szCs w:val="18"/>
              </w:rPr>
            </w:pPr>
            <w:r w:rsidRPr="00870CAC">
              <w:rPr>
                <w:sz w:val="26"/>
                <w:szCs w:val="26"/>
              </w:rPr>
              <w:t xml:space="preserve">1 </w:t>
            </w:r>
            <w:r w:rsidRPr="00870CAC">
              <w:rPr>
                <w:sz w:val="26"/>
                <w:szCs w:val="26"/>
              </w:rPr>
              <w:t>hr.;</w:t>
            </w:r>
            <w:r w:rsidRPr="00870CAC">
              <w:rPr>
                <w:sz w:val="26"/>
                <w:szCs w:val="26"/>
              </w:rPr>
              <w:t> </w:t>
            </w:r>
          </w:p>
          <w:p w:rsidR="00870CAC" w:rsidRPr="00870CAC" w:rsidP="00870CAC" w14:paraId="07036281" w14:textId="77777777">
            <w:pPr>
              <w:widowControl/>
              <w:autoSpaceDE/>
              <w:autoSpaceDN/>
              <w:adjustRightInd/>
              <w:jc w:val="right"/>
              <w:textAlignment w:val="baseline"/>
              <w:rPr>
                <w:rFonts w:ascii="Segoe UI" w:hAnsi="Segoe UI" w:cs="Segoe UI"/>
                <w:sz w:val="18"/>
                <w:szCs w:val="18"/>
              </w:rPr>
            </w:pPr>
            <w:r w:rsidRPr="00870CAC">
              <w:rPr>
                <w:sz w:val="26"/>
                <w:szCs w:val="26"/>
              </w:rPr>
              <w:t>$29.36 </w:t>
            </w:r>
          </w:p>
        </w:tc>
        <w:tc>
          <w:tcPr>
            <w:tcW w:w="1245" w:type="dxa"/>
            <w:tcBorders>
              <w:top w:val="single" w:sz="6" w:space="0" w:color="auto"/>
              <w:left w:val="single" w:sz="6" w:space="0" w:color="auto"/>
              <w:bottom w:val="single" w:sz="6" w:space="0" w:color="auto"/>
              <w:right w:val="single" w:sz="6" w:space="0" w:color="auto"/>
            </w:tcBorders>
            <w:hideMark/>
          </w:tcPr>
          <w:p w:rsidR="00870CAC" w:rsidRPr="00870CAC" w:rsidP="00870CAC" w14:paraId="27E6A976" w14:textId="77777777">
            <w:pPr>
              <w:widowControl/>
              <w:autoSpaceDE/>
              <w:autoSpaceDN/>
              <w:adjustRightInd/>
              <w:jc w:val="right"/>
              <w:textAlignment w:val="baseline"/>
              <w:rPr>
                <w:rFonts w:ascii="Segoe UI" w:hAnsi="Segoe UI" w:cs="Segoe UI"/>
                <w:sz w:val="18"/>
                <w:szCs w:val="18"/>
              </w:rPr>
            </w:pPr>
            <w:r w:rsidRPr="00870CAC">
              <w:rPr>
                <w:sz w:val="26"/>
                <w:szCs w:val="26"/>
              </w:rPr>
              <w:t>176 </w:t>
            </w:r>
            <w:r w:rsidRPr="00870CAC">
              <w:rPr>
                <w:sz w:val="26"/>
                <w:szCs w:val="26"/>
              </w:rPr>
              <w:t>hrs.;</w:t>
            </w:r>
            <w:r w:rsidRPr="00870CAC">
              <w:rPr>
                <w:sz w:val="26"/>
                <w:szCs w:val="26"/>
              </w:rPr>
              <w:t> </w:t>
            </w:r>
          </w:p>
          <w:p w:rsidR="00870CAC" w:rsidRPr="00870CAC" w:rsidP="00870CAC" w14:paraId="56FFC8FE" w14:textId="77777777">
            <w:pPr>
              <w:widowControl/>
              <w:autoSpaceDE/>
              <w:autoSpaceDN/>
              <w:adjustRightInd/>
              <w:jc w:val="right"/>
              <w:textAlignment w:val="baseline"/>
              <w:rPr>
                <w:rFonts w:ascii="Segoe UI" w:hAnsi="Segoe UI" w:cs="Segoe UI"/>
                <w:sz w:val="18"/>
                <w:szCs w:val="18"/>
              </w:rPr>
            </w:pPr>
            <w:r w:rsidRPr="00870CAC">
              <w:rPr>
                <w:sz w:val="26"/>
                <w:szCs w:val="26"/>
              </w:rPr>
              <w:t>$5,167 </w:t>
            </w:r>
          </w:p>
        </w:tc>
        <w:tc>
          <w:tcPr>
            <w:tcW w:w="1620" w:type="dxa"/>
            <w:tcBorders>
              <w:top w:val="single" w:sz="6" w:space="0" w:color="auto"/>
              <w:left w:val="single" w:sz="6" w:space="0" w:color="auto"/>
              <w:bottom w:val="single" w:sz="6" w:space="0" w:color="auto"/>
              <w:right w:val="single" w:sz="6" w:space="0" w:color="auto"/>
            </w:tcBorders>
            <w:hideMark/>
          </w:tcPr>
          <w:p w:rsidR="00870CAC" w:rsidRPr="00870CAC" w:rsidP="00870CAC" w14:paraId="2DCE89CC" w14:textId="77777777">
            <w:pPr>
              <w:widowControl/>
              <w:autoSpaceDE/>
              <w:autoSpaceDN/>
              <w:adjustRightInd/>
              <w:jc w:val="right"/>
              <w:textAlignment w:val="baseline"/>
              <w:rPr>
                <w:rFonts w:ascii="Segoe UI" w:hAnsi="Segoe UI" w:cs="Segoe UI"/>
                <w:sz w:val="18"/>
                <w:szCs w:val="18"/>
              </w:rPr>
            </w:pPr>
            <w:r w:rsidRPr="00870CAC">
              <w:rPr>
                <w:sz w:val="26"/>
                <w:szCs w:val="26"/>
              </w:rPr>
              <w:t>$29.36 </w:t>
            </w:r>
          </w:p>
        </w:tc>
      </w:tr>
      <w:tr w14:paraId="38033F0E" w14:textId="77777777">
        <w:tblPrEx>
          <w:tblW w:w="0" w:type="dxa"/>
          <w:tblInd w:w="-915" w:type="dxa"/>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vAlign w:val="bottom"/>
            <w:hideMark/>
          </w:tcPr>
          <w:p w:rsidR="00870CAC" w:rsidRPr="00870CAC" w:rsidP="00870CAC" w14:paraId="12FFC4C8" w14:textId="77777777">
            <w:pPr>
              <w:widowControl/>
              <w:autoSpaceDE/>
              <w:autoSpaceDN/>
              <w:adjustRightInd/>
              <w:ind w:left="135" w:hanging="135"/>
              <w:textAlignment w:val="baseline"/>
              <w:rPr>
                <w:rFonts w:ascii="Segoe UI" w:hAnsi="Segoe UI" w:cs="Segoe UI"/>
                <w:sz w:val="18"/>
                <w:szCs w:val="18"/>
              </w:rPr>
            </w:pPr>
            <w:r w:rsidRPr="00870CAC">
              <w:rPr>
                <w:sz w:val="26"/>
                <w:szCs w:val="26"/>
              </w:rPr>
              <w:t>Totals </w:t>
            </w:r>
          </w:p>
        </w:tc>
        <w:tc>
          <w:tcPr>
            <w:tcW w:w="1800" w:type="dxa"/>
            <w:tcBorders>
              <w:top w:val="single" w:sz="6" w:space="0" w:color="auto"/>
              <w:left w:val="single" w:sz="6" w:space="0" w:color="auto"/>
              <w:bottom w:val="single" w:sz="6" w:space="0" w:color="auto"/>
              <w:right w:val="single" w:sz="6" w:space="0" w:color="auto"/>
            </w:tcBorders>
            <w:hideMark/>
          </w:tcPr>
          <w:p w:rsidR="00870CAC" w:rsidRPr="00870CAC" w:rsidP="00870CAC" w14:paraId="792CF7A8" w14:textId="77777777">
            <w:pPr>
              <w:widowControl/>
              <w:autoSpaceDE/>
              <w:autoSpaceDN/>
              <w:adjustRightInd/>
              <w:jc w:val="right"/>
              <w:textAlignment w:val="baseline"/>
              <w:rPr>
                <w:rFonts w:ascii="Segoe UI" w:hAnsi="Segoe UI" w:cs="Segoe UI"/>
                <w:sz w:val="18"/>
                <w:szCs w:val="18"/>
              </w:rPr>
            </w:pPr>
            <w:r w:rsidRPr="00870CAC">
              <w:rPr>
                <w:sz w:val="26"/>
                <w:szCs w:val="26"/>
              </w:rPr>
              <w:t>245 </w:t>
            </w:r>
          </w:p>
        </w:tc>
        <w:tc>
          <w:tcPr>
            <w:tcW w:w="1620" w:type="dxa"/>
            <w:tcBorders>
              <w:top w:val="single" w:sz="6" w:space="0" w:color="auto"/>
              <w:left w:val="single" w:sz="6" w:space="0" w:color="auto"/>
              <w:bottom w:val="single" w:sz="6" w:space="0" w:color="auto"/>
              <w:right w:val="single" w:sz="6" w:space="0" w:color="auto"/>
            </w:tcBorders>
            <w:shd w:val="clear" w:color="auto" w:fill="D9D9D9"/>
            <w:hideMark/>
          </w:tcPr>
          <w:p w:rsidR="00870CAC" w:rsidRPr="00870CAC" w:rsidP="00870CAC" w14:paraId="4D25E16A" w14:textId="77777777">
            <w:pPr>
              <w:widowControl/>
              <w:autoSpaceDE/>
              <w:autoSpaceDN/>
              <w:adjustRightInd/>
              <w:jc w:val="right"/>
              <w:textAlignment w:val="baseline"/>
              <w:rPr>
                <w:rFonts w:ascii="Segoe UI" w:hAnsi="Segoe UI" w:cs="Segoe UI"/>
                <w:sz w:val="18"/>
                <w:szCs w:val="18"/>
              </w:rPr>
            </w:pPr>
            <w:r w:rsidRPr="00870CAC">
              <w:rPr>
                <w:sz w:val="26"/>
                <w:szCs w:val="26"/>
              </w:rPr>
              <w:t> </w:t>
            </w:r>
          </w:p>
        </w:tc>
        <w:tc>
          <w:tcPr>
            <w:tcW w:w="1425" w:type="dxa"/>
            <w:tcBorders>
              <w:top w:val="single" w:sz="6" w:space="0" w:color="auto"/>
              <w:left w:val="single" w:sz="6" w:space="0" w:color="auto"/>
              <w:bottom w:val="single" w:sz="6" w:space="0" w:color="auto"/>
              <w:right w:val="single" w:sz="6" w:space="0" w:color="auto"/>
            </w:tcBorders>
            <w:hideMark/>
          </w:tcPr>
          <w:p w:rsidR="00870CAC" w:rsidRPr="00870CAC" w:rsidP="00870CAC" w14:paraId="4145833D" w14:textId="77777777">
            <w:pPr>
              <w:widowControl/>
              <w:autoSpaceDE/>
              <w:autoSpaceDN/>
              <w:adjustRightInd/>
              <w:jc w:val="right"/>
              <w:textAlignment w:val="baseline"/>
              <w:rPr>
                <w:rFonts w:ascii="Segoe UI" w:hAnsi="Segoe UI" w:cs="Segoe UI"/>
                <w:sz w:val="18"/>
                <w:szCs w:val="18"/>
              </w:rPr>
            </w:pPr>
            <w:r w:rsidRPr="00870CAC">
              <w:rPr>
                <w:sz w:val="26"/>
                <w:szCs w:val="26"/>
              </w:rPr>
              <w:t>306 </w:t>
            </w:r>
          </w:p>
        </w:tc>
        <w:tc>
          <w:tcPr>
            <w:tcW w:w="1350" w:type="dxa"/>
            <w:tcBorders>
              <w:top w:val="single" w:sz="6" w:space="0" w:color="auto"/>
              <w:left w:val="single" w:sz="6" w:space="0" w:color="auto"/>
              <w:bottom w:val="single" w:sz="6" w:space="0" w:color="auto"/>
              <w:right w:val="single" w:sz="6" w:space="0" w:color="auto"/>
            </w:tcBorders>
            <w:shd w:val="clear" w:color="auto" w:fill="D9D9D9"/>
            <w:hideMark/>
          </w:tcPr>
          <w:p w:rsidR="00870CAC" w:rsidRPr="00870CAC" w:rsidP="00870CAC" w14:paraId="22C88BEF" w14:textId="77777777">
            <w:pPr>
              <w:widowControl/>
              <w:autoSpaceDE/>
              <w:autoSpaceDN/>
              <w:adjustRightInd/>
              <w:jc w:val="right"/>
              <w:textAlignment w:val="baseline"/>
              <w:rPr>
                <w:rFonts w:ascii="Segoe UI" w:hAnsi="Segoe UI" w:cs="Segoe UI"/>
                <w:sz w:val="18"/>
                <w:szCs w:val="18"/>
              </w:rPr>
            </w:pPr>
            <w:r w:rsidRPr="00870CAC">
              <w:rPr>
                <w:sz w:val="26"/>
                <w:szCs w:val="26"/>
              </w:rPr>
              <w:t> </w:t>
            </w:r>
          </w:p>
        </w:tc>
        <w:tc>
          <w:tcPr>
            <w:tcW w:w="1245" w:type="dxa"/>
            <w:tcBorders>
              <w:top w:val="single" w:sz="6" w:space="0" w:color="auto"/>
              <w:left w:val="single" w:sz="6" w:space="0" w:color="auto"/>
              <w:bottom w:val="single" w:sz="6" w:space="0" w:color="auto"/>
              <w:right w:val="single" w:sz="6" w:space="0" w:color="auto"/>
            </w:tcBorders>
            <w:hideMark/>
          </w:tcPr>
          <w:p w:rsidR="00870CAC" w:rsidRPr="00870CAC" w:rsidP="00870CAC" w14:paraId="02AD2253" w14:textId="77777777">
            <w:pPr>
              <w:widowControl/>
              <w:autoSpaceDE/>
              <w:autoSpaceDN/>
              <w:adjustRightInd/>
              <w:jc w:val="right"/>
              <w:textAlignment w:val="baseline"/>
              <w:rPr>
                <w:rFonts w:ascii="Segoe UI" w:hAnsi="Segoe UI" w:cs="Segoe UI"/>
                <w:sz w:val="18"/>
                <w:szCs w:val="18"/>
              </w:rPr>
            </w:pPr>
            <w:r w:rsidRPr="00870CAC">
              <w:rPr>
                <w:sz w:val="26"/>
                <w:szCs w:val="26"/>
              </w:rPr>
              <w:t>7,976 </w:t>
            </w:r>
            <w:r w:rsidRPr="00870CAC">
              <w:rPr>
                <w:sz w:val="26"/>
                <w:szCs w:val="26"/>
              </w:rPr>
              <w:t>hrs.;</w:t>
            </w:r>
            <w:r w:rsidRPr="00870CAC">
              <w:rPr>
                <w:sz w:val="26"/>
                <w:szCs w:val="26"/>
              </w:rPr>
              <w:t> </w:t>
            </w:r>
          </w:p>
          <w:p w:rsidR="00870CAC" w:rsidRPr="00870CAC" w:rsidP="00870CAC" w14:paraId="470A7D1A" w14:textId="77777777">
            <w:pPr>
              <w:widowControl/>
              <w:autoSpaceDE/>
              <w:autoSpaceDN/>
              <w:adjustRightInd/>
              <w:jc w:val="right"/>
              <w:textAlignment w:val="baseline"/>
              <w:rPr>
                <w:rFonts w:ascii="Segoe UI" w:hAnsi="Segoe UI" w:cs="Segoe UI"/>
                <w:sz w:val="18"/>
                <w:szCs w:val="18"/>
              </w:rPr>
            </w:pPr>
            <w:r w:rsidRPr="00870CAC">
              <w:rPr>
                <w:sz w:val="26"/>
                <w:szCs w:val="26"/>
              </w:rPr>
              <w:t>$800,767 </w:t>
            </w:r>
          </w:p>
        </w:tc>
        <w:tc>
          <w:tcPr>
            <w:tcW w:w="1620" w:type="dxa"/>
            <w:tcBorders>
              <w:top w:val="single" w:sz="6" w:space="0" w:color="auto"/>
              <w:left w:val="single" w:sz="6" w:space="0" w:color="auto"/>
              <w:bottom w:val="single" w:sz="6" w:space="0" w:color="auto"/>
              <w:right w:val="single" w:sz="6" w:space="0" w:color="auto"/>
            </w:tcBorders>
            <w:shd w:val="clear" w:color="auto" w:fill="D9D9D9"/>
            <w:hideMark/>
          </w:tcPr>
          <w:p w:rsidR="00870CAC" w:rsidRPr="00870CAC" w:rsidP="00870CAC" w14:paraId="786E3C11" w14:textId="77777777">
            <w:pPr>
              <w:widowControl/>
              <w:autoSpaceDE/>
              <w:autoSpaceDN/>
              <w:adjustRightInd/>
              <w:jc w:val="right"/>
              <w:textAlignment w:val="baseline"/>
              <w:rPr>
                <w:rFonts w:ascii="Segoe UI" w:hAnsi="Segoe UI" w:cs="Segoe UI"/>
                <w:sz w:val="18"/>
                <w:szCs w:val="18"/>
              </w:rPr>
            </w:pPr>
            <w:r w:rsidRPr="00870CAC">
              <w:rPr>
                <w:sz w:val="26"/>
                <w:szCs w:val="26"/>
              </w:rPr>
              <w:t> </w:t>
            </w:r>
          </w:p>
        </w:tc>
      </w:tr>
    </w:tbl>
    <w:p w:rsidR="00870CAC" w:rsidRPr="00950005" w:rsidP="00BF17A0" w14:paraId="1A676EF2" w14:textId="77777777">
      <w:pPr>
        <w:widowControl/>
        <w:tabs>
          <w:tab w:val="center" w:pos="5040"/>
        </w:tabs>
        <w:rPr>
          <w:b/>
          <w:bCs/>
          <w:sz w:val="26"/>
        </w:rPr>
      </w:pPr>
    </w:p>
    <w:p w:rsidR="00AE7A51" w:rsidRPr="00950005" w:rsidP="006E3173" w14:paraId="0541AEB7" w14:textId="77777777">
      <w:pPr>
        <w:rPr>
          <w:sz w:val="26"/>
        </w:rPr>
      </w:pPr>
    </w:p>
    <w:p w:rsidR="00023B1E" w:rsidRPr="00950005" w:rsidP="006E3173" w14:paraId="172045C2" w14:textId="77777777">
      <w:pPr>
        <w:rPr>
          <w:sz w:val="26"/>
        </w:rPr>
      </w:pPr>
    </w:p>
    <w:p w:rsidR="009D6B6D" w:rsidRPr="00950005" w:rsidP="00934B37" w14:paraId="209F90A2" w14:textId="77777777">
      <w:pPr>
        <w:pStyle w:val="FERCparanumber"/>
        <w:numPr>
          <w:ilvl w:val="0"/>
          <w:numId w:val="9"/>
        </w:numPr>
        <w:ind w:hanging="720"/>
      </w:pPr>
      <w:r w:rsidRPr="00950005">
        <w:rPr>
          <w:b/>
        </w:rPr>
        <w:t>ESTIMATE OF THE TOTAL ANNUAL COST BURDEN TO RESPONDENTS</w:t>
      </w:r>
    </w:p>
    <w:p w:rsidR="00EF40FF" w:rsidRPr="00950005" w:rsidP="00EF40FF" w14:paraId="247C52F2" w14:textId="77777777">
      <w:pPr>
        <w:pStyle w:val="FERCparanumber"/>
        <w:numPr>
          <w:ilvl w:val="0"/>
          <w:numId w:val="0"/>
        </w:numPr>
        <w:rPr>
          <w:b/>
        </w:rPr>
      </w:pPr>
    </w:p>
    <w:p w:rsidR="00EA6421" w:rsidRPr="00950005" w:rsidP="0085185A" w14:paraId="6B0E0FE2" w14:textId="4BC7EDC8">
      <w:pPr>
        <w:widowControl/>
        <w:rPr>
          <w:b/>
          <w:bCs/>
          <w:sz w:val="26"/>
        </w:rPr>
      </w:pPr>
      <w:r>
        <w:rPr>
          <w:sz w:val="26"/>
        </w:rPr>
        <w:t xml:space="preserve">FERC </w:t>
      </w:r>
      <w:r w:rsidR="009949C9">
        <w:rPr>
          <w:sz w:val="26"/>
        </w:rPr>
        <w:t xml:space="preserve">expects that all records </w:t>
      </w:r>
      <w:r w:rsidR="009949C9">
        <w:rPr>
          <w:sz w:val="26"/>
        </w:rPr>
        <w:t>are</w:t>
      </w:r>
      <w:r w:rsidR="009949C9">
        <w:rPr>
          <w:sz w:val="26"/>
        </w:rPr>
        <w:t xml:space="preserve"> retained electronically. In addition, the </w:t>
      </w:r>
      <w:r w:rsidR="001A24B4">
        <w:rPr>
          <w:sz w:val="26"/>
        </w:rPr>
        <w:t xml:space="preserve">cost of retaining the volume of materials is negligible </w:t>
      </w:r>
      <w:r w:rsidR="00A11E11">
        <w:rPr>
          <w:sz w:val="26"/>
        </w:rPr>
        <w:t xml:space="preserve">and incidental to the regular business of </w:t>
      </w:r>
      <w:r w:rsidR="00A11E11">
        <w:rPr>
          <w:sz w:val="26"/>
        </w:rPr>
        <w:t xml:space="preserve">respondents. As a result, FERC </w:t>
      </w:r>
      <w:r w:rsidR="000541BF">
        <w:rPr>
          <w:sz w:val="26"/>
        </w:rPr>
        <w:t>does not include an estimate for the storage of these records</w:t>
      </w:r>
    </w:p>
    <w:p w:rsidR="00EF40FF" w:rsidRPr="00950005" w:rsidP="001D2EC1" w14:paraId="3328EC00" w14:textId="77777777">
      <w:pPr>
        <w:pStyle w:val="FERCparanumber"/>
        <w:numPr>
          <w:ilvl w:val="0"/>
          <w:numId w:val="9"/>
        </w:numPr>
        <w:rPr>
          <w:b/>
        </w:rPr>
      </w:pPr>
      <w:r w:rsidRPr="00950005">
        <w:rPr>
          <w:b/>
        </w:rPr>
        <w:t>ESTIMATED ANNUALIZED COST TO FEDERAL GOVERNMENT</w:t>
      </w:r>
    </w:p>
    <w:p w:rsidR="00EF40FF" w:rsidRPr="00950005" w:rsidP="00EF40FF" w14:paraId="43F29132" w14:textId="77777777">
      <w:pPr>
        <w:pStyle w:val="FERCparanumber"/>
        <w:numPr>
          <w:ilvl w:val="0"/>
          <w:numId w:val="0"/>
        </w:numPr>
        <w:rPr>
          <w:b/>
        </w:rPr>
      </w:pPr>
    </w:p>
    <w:p w:rsidR="00211C1A" w:rsidRPr="00950005" w:rsidP="00211C1A" w14:paraId="4BB8F2CC" w14:textId="290858EA">
      <w:pPr>
        <w:pStyle w:val="FERCparanumber"/>
        <w:numPr>
          <w:ilvl w:val="0"/>
          <w:numId w:val="0"/>
        </w:numPr>
        <w:tabs>
          <w:tab w:val="left" w:pos="720"/>
        </w:tabs>
      </w:pPr>
      <w:r w:rsidRPr="00950005">
        <w:t xml:space="preserve">The estimate of the cost for </w:t>
      </w:r>
      <w:r w:rsidRPr="00950005" w:rsidR="00885AD5">
        <w:t>“A</w:t>
      </w:r>
      <w:r w:rsidRPr="00950005">
        <w:t xml:space="preserve">nalysis and </w:t>
      </w:r>
      <w:r w:rsidRPr="00950005" w:rsidR="00433306">
        <w:t>P</w:t>
      </w:r>
      <w:r w:rsidRPr="00950005">
        <w:t xml:space="preserve">rocessing of </w:t>
      </w:r>
      <w:r w:rsidRPr="00950005" w:rsidR="00433306">
        <w:t>F</w:t>
      </w:r>
      <w:r w:rsidRPr="00950005">
        <w:t>ilings</w:t>
      </w:r>
      <w:r w:rsidRPr="00950005" w:rsidR="00433306">
        <w:t>”</w:t>
      </w:r>
      <w:r w:rsidRPr="00950005">
        <w:t xml:space="preserve"> is based on salaries and benefits for professional and clerical support.</w:t>
      </w:r>
      <w:r w:rsidR="00847B6A">
        <w:t xml:space="preserve"> </w:t>
      </w:r>
      <w:r w:rsidRPr="00950005">
        <w:t xml:space="preserve">This estimated cost represents </w:t>
      </w:r>
      <w:r w:rsidR="00A869C9">
        <w:t xml:space="preserve">receiving and preparing the data so that it can be used for </w:t>
      </w:r>
      <w:r w:rsidRPr="00950005">
        <w:t>staff analysis, decision-making, and review of any actual filings</w:t>
      </w:r>
      <w:r w:rsidR="00EB5AC0">
        <w:t>. It does not include the cost of reviewing filings.</w:t>
      </w:r>
    </w:p>
    <w:p w:rsidR="00211C1A" w:rsidRPr="00950005" w:rsidP="00211C1A" w14:paraId="11474877" w14:textId="77777777">
      <w:pPr>
        <w:pStyle w:val="FERCparanumber"/>
        <w:numPr>
          <w:ilvl w:val="0"/>
          <w:numId w:val="0"/>
        </w:numPr>
        <w:tabs>
          <w:tab w:val="left" w:pos="720"/>
        </w:tabs>
      </w:pPr>
    </w:p>
    <w:p w:rsidR="00FE11D7" w:rsidP="00211C1A" w14:paraId="2F099B20" w14:textId="40C3C06B">
      <w:pPr>
        <w:pStyle w:val="FERCparanumber"/>
        <w:numPr>
          <w:ilvl w:val="0"/>
          <w:numId w:val="0"/>
        </w:numPr>
        <w:tabs>
          <w:tab w:val="left" w:pos="720"/>
        </w:tabs>
      </w:pPr>
      <w:r w:rsidRPr="00950005">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w:t>
      </w:r>
      <w:r w:rsidR="00847B6A">
        <w:t xml:space="preserve"> </w:t>
      </w:r>
      <w:r w:rsidRPr="00950005">
        <w:t>It also includes the cost of publishing the necessary notices in the Federal Register.</w:t>
      </w:r>
    </w:p>
    <w:p w:rsidR="000C3980" w:rsidP="00211C1A" w14:paraId="0F1CDFE5" w14:textId="4A316468">
      <w:pPr>
        <w:pStyle w:val="FERCparanumber"/>
        <w:numPr>
          <w:ilvl w:val="0"/>
          <w:numId w:val="0"/>
        </w:numPr>
        <w:tabs>
          <w:tab w:val="left" w:pos="720"/>
        </w:tabs>
      </w:pPr>
    </w:p>
    <w:p w:rsidR="000C3980" w:rsidP="00211C1A" w14:paraId="407F6C49" w14:textId="4F946E60">
      <w:pPr>
        <w:pStyle w:val="FERCparanumber"/>
        <w:numPr>
          <w:ilvl w:val="0"/>
          <w:numId w:val="0"/>
        </w:numPr>
        <w:tabs>
          <w:tab w:val="left" w:pos="720"/>
        </w:tabs>
      </w:pPr>
      <w:r>
        <w:t xml:space="preserve">The federal costs are itemized in Table </w:t>
      </w:r>
      <w:r w:rsidR="00444E36">
        <w:t>2</w:t>
      </w:r>
      <w:r>
        <w:t>.</w:t>
      </w:r>
    </w:p>
    <w:p w:rsidR="000C3980" w14:paraId="440A3A09" w14:textId="30DE22E3">
      <w:pPr>
        <w:widowControl/>
        <w:autoSpaceDE/>
        <w:autoSpaceDN/>
        <w:adjustRightInd/>
        <w:spacing w:after="200" w:line="276" w:lineRule="auto"/>
        <w:rPr>
          <w:sz w:val="26"/>
        </w:rPr>
      </w:pPr>
    </w:p>
    <w:p w:rsidR="00211C1A" w:rsidRPr="00950005" w:rsidP="0085185A" w14:paraId="76B3B43A" w14:textId="339BC572">
      <w:pPr>
        <w:pStyle w:val="FERCparanumber"/>
        <w:numPr>
          <w:ilvl w:val="0"/>
          <w:numId w:val="0"/>
        </w:numPr>
        <w:tabs>
          <w:tab w:val="left" w:pos="720"/>
        </w:tabs>
        <w:jc w:val="center"/>
      </w:pPr>
      <w:r w:rsidRPr="00950005">
        <w:rPr>
          <w:b/>
          <w:bCs/>
        </w:rPr>
        <w:t xml:space="preserve">Table </w:t>
      </w:r>
      <w:r w:rsidR="00444E36">
        <w:rPr>
          <w:b/>
          <w:bCs/>
        </w:rPr>
        <w:t>2</w:t>
      </w:r>
      <w:r w:rsidRPr="00950005" w:rsidR="00BD6417">
        <w:rPr>
          <w:b/>
          <w:bCs/>
        </w:rPr>
        <w:t>:</w:t>
      </w:r>
      <w:r w:rsidR="00847B6A">
        <w:rPr>
          <w:b/>
          <w:bCs/>
        </w:rPr>
        <w:t xml:space="preserve"> </w:t>
      </w:r>
      <w:r w:rsidRPr="00950005">
        <w:rPr>
          <w:b/>
          <w:bCs/>
        </w:rPr>
        <w:t>Federal Costs</w:t>
      </w:r>
    </w:p>
    <w:p w:rsidR="00EF40FF" w:rsidRPr="00950005" w:rsidP="00EF40FF" w14:paraId="6715FB58" w14:textId="77777777">
      <w:pPr>
        <w:pStyle w:val="ListParagraph"/>
        <w:spacing w:after="0" w:line="240" w:lineRule="auto"/>
        <w:rPr>
          <w:rFonts w:ascii="Times New Roman" w:hAnsi="Times New Roman"/>
          <w:b/>
          <w:sz w:val="26"/>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042"/>
        <w:gridCol w:w="3024"/>
      </w:tblGrid>
      <w:tr w14:paraId="15941161" w14:textId="77777777" w:rsidTr="6A5367B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56" w:type="pct"/>
            <w:shd w:val="clear" w:color="auto" w:fill="D9D9D9" w:themeFill="background1" w:themeFillShade="D9"/>
            <w:vAlign w:val="center"/>
          </w:tcPr>
          <w:p w:rsidR="00EF40FF" w:rsidRPr="00950005" w14:paraId="51585CEC" w14:textId="77777777">
            <w:pPr>
              <w:pStyle w:val="ListParagraph"/>
              <w:spacing w:after="0" w:line="240" w:lineRule="auto"/>
              <w:ind w:left="0"/>
              <w:rPr>
                <w:rFonts w:ascii="Times New Roman" w:hAnsi="Times New Roman"/>
                <w:b/>
                <w:sz w:val="26"/>
                <w:szCs w:val="24"/>
              </w:rPr>
            </w:pPr>
          </w:p>
        </w:tc>
        <w:tc>
          <w:tcPr>
            <w:tcW w:w="1627" w:type="pct"/>
            <w:shd w:val="clear" w:color="auto" w:fill="D9D9D9" w:themeFill="background1" w:themeFillShade="D9"/>
            <w:vAlign w:val="center"/>
          </w:tcPr>
          <w:p w:rsidR="00EF40FF" w:rsidRPr="00950005" w14:paraId="45F1B089" w14:textId="77777777">
            <w:pPr>
              <w:pStyle w:val="ListParagraph"/>
              <w:spacing w:after="0" w:line="240" w:lineRule="auto"/>
              <w:ind w:left="0"/>
              <w:jc w:val="center"/>
              <w:rPr>
                <w:rFonts w:ascii="Times New Roman" w:hAnsi="Times New Roman"/>
                <w:b/>
                <w:sz w:val="26"/>
                <w:szCs w:val="24"/>
              </w:rPr>
            </w:pPr>
            <w:r w:rsidRPr="00950005">
              <w:rPr>
                <w:rFonts w:ascii="Times New Roman" w:hAnsi="Times New Roman"/>
                <w:b/>
                <w:sz w:val="26"/>
                <w:szCs w:val="24"/>
              </w:rPr>
              <w:t>Number of Employees (FTE)</w:t>
            </w:r>
          </w:p>
        </w:tc>
        <w:tc>
          <w:tcPr>
            <w:tcW w:w="1617" w:type="pct"/>
            <w:shd w:val="clear" w:color="auto" w:fill="D9D9D9" w:themeFill="background1" w:themeFillShade="D9"/>
            <w:vAlign w:val="center"/>
          </w:tcPr>
          <w:p w:rsidR="00EF40FF" w:rsidRPr="00950005" w14:paraId="640E59B3" w14:textId="77777777">
            <w:pPr>
              <w:pStyle w:val="ListParagraph"/>
              <w:spacing w:after="0" w:line="240" w:lineRule="auto"/>
              <w:ind w:left="0"/>
              <w:jc w:val="center"/>
              <w:rPr>
                <w:rFonts w:ascii="Times New Roman" w:hAnsi="Times New Roman"/>
                <w:b/>
                <w:sz w:val="26"/>
                <w:szCs w:val="24"/>
              </w:rPr>
            </w:pPr>
            <w:r w:rsidRPr="00950005">
              <w:rPr>
                <w:rFonts w:ascii="Times New Roman" w:hAnsi="Times New Roman"/>
                <w:b/>
                <w:sz w:val="26"/>
                <w:szCs w:val="24"/>
              </w:rPr>
              <w:t>Estimated Annual Federal Cost</w:t>
            </w:r>
          </w:p>
        </w:tc>
      </w:tr>
      <w:tr w14:paraId="21B84C66" w14:textId="77777777" w:rsidTr="6A5367B8">
        <w:tblPrEx>
          <w:tblW w:w="5000" w:type="pct"/>
          <w:tblLook w:val="01E0"/>
        </w:tblPrEx>
        <w:tc>
          <w:tcPr>
            <w:tcW w:w="1756" w:type="pct"/>
            <w:vAlign w:val="center"/>
          </w:tcPr>
          <w:p w:rsidR="00EF40FF" w:rsidRPr="00950005" w14:paraId="6C6B788C" w14:textId="77777777">
            <w:pPr>
              <w:pStyle w:val="ListParagraph"/>
              <w:spacing w:after="0" w:line="240" w:lineRule="auto"/>
              <w:ind w:left="0"/>
              <w:rPr>
                <w:rFonts w:ascii="Times New Roman" w:hAnsi="Times New Roman"/>
                <w:sz w:val="26"/>
                <w:szCs w:val="24"/>
              </w:rPr>
            </w:pPr>
            <w:r w:rsidRPr="00950005">
              <w:rPr>
                <w:rFonts w:ascii="Times New Roman" w:hAnsi="Times New Roman"/>
                <w:sz w:val="26"/>
                <w:szCs w:val="24"/>
              </w:rPr>
              <w:t>Analysis and Processing of Filings</w:t>
            </w:r>
            <w:r>
              <w:rPr>
                <w:rStyle w:val="FootnoteReference"/>
                <w:rFonts w:ascii="Times New Roman" w:hAnsi="Times New Roman"/>
                <w:sz w:val="26"/>
                <w:szCs w:val="24"/>
                <w:vertAlign w:val="superscript"/>
              </w:rPr>
              <w:footnoteReference w:id="10"/>
            </w:r>
          </w:p>
        </w:tc>
        <w:tc>
          <w:tcPr>
            <w:tcW w:w="1627" w:type="pct"/>
            <w:vAlign w:val="center"/>
          </w:tcPr>
          <w:p w:rsidR="00EF40FF" w:rsidRPr="00950005" w14:paraId="71FC898B" w14:textId="263B463E">
            <w:pPr>
              <w:pStyle w:val="ListParagraph"/>
              <w:spacing w:after="0" w:line="240" w:lineRule="auto"/>
              <w:ind w:left="0"/>
              <w:jc w:val="right"/>
              <w:rPr>
                <w:rFonts w:ascii="Times New Roman" w:hAnsi="Times New Roman"/>
                <w:sz w:val="26"/>
                <w:szCs w:val="26"/>
              </w:rPr>
            </w:pPr>
            <w:r w:rsidRPr="6A5367B8">
              <w:rPr>
                <w:rFonts w:ascii="Times New Roman" w:hAnsi="Times New Roman"/>
                <w:sz w:val="26"/>
                <w:szCs w:val="26"/>
              </w:rPr>
              <w:t>1</w:t>
            </w:r>
          </w:p>
        </w:tc>
        <w:tc>
          <w:tcPr>
            <w:tcW w:w="1617" w:type="pct"/>
            <w:vAlign w:val="center"/>
          </w:tcPr>
          <w:p w:rsidR="00EF40FF" w:rsidRPr="00950005" w14:paraId="00358EEA" w14:textId="42B7E361">
            <w:pPr>
              <w:pStyle w:val="ListParagraph"/>
              <w:spacing w:after="0" w:line="240" w:lineRule="auto"/>
              <w:ind w:left="0"/>
              <w:jc w:val="right"/>
              <w:rPr>
                <w:rFonts w:ascii="Times New Roman" w:hAnsi="Times New Roman"/>
                <w:sz w:val="26"/>
                <w:szCs w:val="26"/>
              </w:rPr>
            </w:pPr>
            <w:r w:rsidRPr="6A5367B8">
              <w:rPr>
                <w:rFonts w:ascii="Times New Roman" w:hAnsi="Times New Roman"/>
                <w:sz w:val="26"/>
                <w:szCs w:val="26"/>
              </w:rPr>
              <w:t>$213,003</w:t>
            </w:r>
          </w:p>
        </w:tc>
      </w:tr>
      <w:tr w14:paraId="586F5391" w14:textId="77777777" w:rsidTr="6A5367B8">
        <w:tblPrEx>
          <w:tblW w:w="5000" w:type="pct"/>
          <w:tblLook w:val="01E0"/>
        </w:tblPrEx>
        <w:tc>
          <w:tcPr>
            <w:tcW w:w="1756" w:type="pct"/>
            <w:vAlign w:val="center"/>
          </w:tcPr>
          <w:p w:rsidR="00EF40FF" w:rsidRPr="00950005" w14:paraId="3657B109" w14:textId="77777777">
            <w:pPr>
              <w:pStyle w:val="ListParagraph"/>
              <w:spacing w:after="0" w:line="240" w:lineRule="auto"/>
              <w:ind w:left="0"/>
              <w:rPr>
                <w:rFonts w:ascii="Times New Roman" w:hAnsi="Times New Roman"/>
                <w:sz w:val="26"/>
                <w:szCs w:val="24"/>
              </w:rPr>
            </w:pPr>
            <w:r w:rsidRPr="00950005">
              <w:rPr>
                <w:rFonts w:ascii="Times New Roman" w:hAnsi="Times New Roman"/>
                <w:sz w:val="26"/>
                <w:szCs w:val="24"/>
              </w:rPr>
              <w:t>PRA</w:t>
            </w:r>
            <w:r>
              <w:rPr>
                <w:rStyle w:val="FootnoteReference"/>
                <w:rFonts w:ascii="Times New Roman" w:hAnsi="Times New Roman"/>
                <w:sz w:val="26"/>
                <w:szCs w:val="24"/>
                <w:vertAlign w:val="superscript"/>
              </w:rPr>
              <w:footnoteReference w:id="11"/>
            </w:r>
            <w:r w:rsidRPr="00950005">
              <w:rPr>
                <w:rFonts w:ascii="Times New Roman" w:hAnsi="Times New Roman"/>
                <w:sz w:val="26"/>
                <w:szCs w:val="24"/>
              </w:rPr>
              <w:t xml:space="preserve"> Administrative Cost</w:t>
            </w:r>
          </w:p>
        </w:tc>
        <w:tc>
          <w:tcPr>
            <w:tcW w:w="1627" w:type="pct"/>
            <w:shd w:val="clear" w:color="auto" w:fill="D9D9D9" w:themeFill="background1" w:themeFillShade="D9"/>
            <w:vAlign w:val="center"/>
          </w:tcPr>
          <w:p w:rsidR="00EF40FF" w:rsidRPr="00950005" w14:paraId="5D2F6F2C" w14:textId="77777777">
            <w:pPr>
              <w:pStyle w:val="ListParagraph"/>
              <w:spacing w:after="0" w:line="240" w:lineRule="auto"/>
              <w:ind w:left="0"/>
              <w:jc w:val="right"/>
              <w:rPr>
                <w:rFonts w:ascii="Times New Roman" w:hAnsi="Times New Roman"/>
                <w:b/>
                <w:sz w:val="26"/>
                <w:szCs w:val="24"/>
              </w:rPr>
            </w:pPr>
          </w:p>
        </w:tc>
        <w:tc>
          <w:tcPr>
            <w:tcW w:w="1617" w:type="pct"/>
            <w:vAlign w:val="center"/>
          </w:tcPr>
          <w:p w:rsidR="00EF40FF" w:rsidRPr="00950005" w14:paraId="7FC8E111" w14:textId="49BCCFEF">
            <w:pPr>
              <w:pStyle w:val="ListParagraph"/>
              <w:spacing w:after="0" w:line="240" w:lineRule="auto"/>
              <w:ind w:left="0"/>
              <w:jc w:val="right"/>
              <w:rPr>
                <w:rFonts w:ascii="Times New Roman" w:hAnsi="Times New Roman"/>
                <w:sz w:val="26"/>
                <w:szCs w:val="24"/>
              </w:rPr>
            </w:pPr>
            <w:r w:rsidRPr="00950005">
              <w:rPr>
                <w:rFonts w:ascii="Times New Roman" w:hAnsi="Times New Roman"/>
                <w:sz w:val="26"/>
                <w:szCs w:val="24"/>
              </w:rPr>
              <w:t>$</w:t>
            </w:r>
            <w:r w:rsidRPr="00950005" w:rsidR="002C23DE">
              <w:rPr>
                <w:rFonts w:ascii="Times New Roman" w:hAnsi="Times New Roman"/>
                <w:sz w:val="26"/>
                <w:szCs w:val="24"/>
              </w:rPr>
              <w:t>7,694</w:t>
            </w:r>
          </w:p>
        </w:tc>
      </w:tr>
      <w:tr w14:paraId="1713F847" w14:textId="77777777" w:rsidTr="6A5367B8">
        <w:tblPrEx>
          <w:tblW w:w="5000" w:type="pct"/>
          <w:tblLook w:val="01E0"/>
        </w:tblPrEx>
        <w:tc>
          <w:tcPr>
            <w:tcW w:w="1756" w:type="pct"/>
            <w:vAlign w:val="center"/>
          </w:tcPr>
          <w:p w:rsidR="00EF40FF" w:rsidRPr="00950005" w14:paraId="41E5CE66" w14:textId="77777777">
            <w:pPr>
              <w:pStyle w:val="ListParagraph"/>
              <w:spacing w:after="0" w:line="240" w:lineRule="auto"/>
              <w:ind w:left="0"/>
              <w:rPr>
                <w:rFonts w:ascii="Times New Roman" w:hAnsi="Times New Roman"/>
                <w:sz w:val="26"/>
                <w:szCs w:val="24"/>
              </w:rPr>
            </w:pPr>
            <w:r w:rsidRPr="00950005">
              <w:rPr>
                <w:rFonts w:ascii="Times New Roman" w:hAnsi="Times New Roman"/>
                <w:sz w:val="26"/>
                <w:szCs w:val="24"/>
              </w:rPr>
              <w:t>FERC Total</w:t>
            </w:r>
          </w:p>
        </w:tc>
        <w:tc>
          <w:tcPr>
            <w:tcW w:w="1627" w:type="pct"/>
            <w:shd w:val="clear" w:color="auto" w:fill="D9D9D9" w:themeFill="background1" w:themeFillShade="D9"/>
            <w:vAlign w:val="center"/>
          </w:tcPr>
          <w:p w:rsidR="00EF40FF" w:rsidRPr="00950005" w14:paraId="282BE809" w14:textId="77777777">
            <w:pPr>
              <w:pStyle w:val="ListParagraph"/>
              <w:spacing w:after="0" w:line="240" w:lineRule="auto"/>
              <w:ind w:left="0"/>
              <w:jc w:val="right"/>
              <w:rPr>
                <w:rFonts w:ascii="Times New Roman" w:hAnsi="Times New Roman"/>
                <w:b/>
                <w:sz w:val="26"/>
                <w:szCs w:val="24"/>
              </w:rPr>
            </w:pPr>
          </w:p>
        </w:tc>
        <w:tc>
          <w:tcPr>
            <w:tcW w:w="1617" w:type="pct"/>
            <w:vAlign w:val="center"/>
          </w:tcPr>
          <w:p w:rsidR="00EF40FF" w:rsidRPr="00950005" w14:paraId="377177F6" w14:textId="762206BE">
            <w:pPr>
              <w:pStyle w:val="ListParagraph"/>
              <w:spacing w:after="0" w:line="240" w:lineRule="auto"/>
              <w:ind w:left="0"/>
              <w:jc w:val="right"/>
              <w:rPr>
                <w:rFonts w:ascii="Times New Roman" w:hAnsi="Times New Roman"/>
                <w:sz w:val="26"/>
                <w:szCs w:val="26"/>
              </w:rPr>
            </w:pPr>
            <w:r w:rsidRPr="6A5367B8">
              <w:rPr>
                <w:rFonts w:ascii="Times New Roman" w:hAnsi="Times New Roman"/>
                <w:sz w:val="26"/>
                <w:szCs w:val="26"/>
              </w:rPr>
              <w:t>$</w:t>
            </w:r>
            <w:r w:rsidRPr="6A5367B8" w:rsidR="56B7ECD1">
              <w:rPr>
                <w:rFonts w:ascii="Times New Roman" w:hAnsi="Times New Roman"/>
                <w:sz w:val="26"/>
                <w:szCs w:val="26"/>
              </w:rPr>
              <w:t>220,697</w:t>
            </w:r>
          </w:p>
        </w:tc>
      </w:tr>
    </w:tbl>
    <w:p w:rsidR="00EF40FF" w:rsidRPr="00950005" w:rsidP="00EF40FF" w14:paraId="51215AA1" w14:textId="77777777">
      <w:pPr>
        <w:pStyle w:val="FERCparanumber"/>
        <w:numPr>
          <w:ilvl w:val="0"/>
          <w:numId w:val="0"/>
        </w:numPr>
        <w:rPr>
          <w:b/>
        </w:rPr>
      </w:pPr>
    </w:p>
    <w:p w:rsidR="00EF40FF" w:rsidRPr="00950005" w:rsidP="001D2EC1" w14:paraId="079EBF37" w14:textId="77777777">
      <w:pPr>
        <w:pStyle w:val="FERCparanumber"/>
        <w:numPr>
          <w:ilvl w:val="0"/>
          <w:numId w:val="9"/>
        </w:numPr>
        <w:rPr>
          <w:b/>
        </w:rPr>
      </w:pPr>
      <w:r w:rsidRPr="00950005">
        <w:rPr>
          <w:b/>
        </w:rPr>
        <w:t>REASONS FOR CHANGES IN BURDEN INCLUDING THE NEED FOR ANY INCREASE</w:t>
      </w:r>
    </w:p>
    <w:p w:rsidR="0016698A" w:rsidP="00EF40FF" w14:paraId="4B3C8C64" w14:textId="77777777">
      <w:pPr>
        <w:pStyle w:val="FERCparanumber"/>
        <w:numPr>
          <w:ilvl w:val="0"/>
          <w:numId w:val="0"/>
        </w:numPr>
        <w:rPr>
          <w:b/>
        </w:rPr>
      </w:pPr>
    </w:p>
    <w:p w:rsidR="00EF40FF" w:rsidP="00EF40FF" w14:paraId="701A4398" w14:textId="37665F2C">
      <w:pPr>
        <w:pStyle w:val="FERCparanumber"/>
        <w:numPr>
          <w:ilvl w:val="0"/>
          <w:numId w:val="0"/>
        </w:numPr>
        <w:rPr>
          <w:bCs/>
        </w:rPr>
      </w:pPr>
      <w:r>
        <w:rPr>
          <w:bCs/>
        </w:rPr>
        <w:t xml:space="preserve">FERC </w:t>
      </w:r>
      <w:r w:rsidR="00E52C34">
        <w:rPr>
          <w:bCs/>
        </w:rPr>
        <w:t>is not making any changes to the FERC-549 information collection.</w:t>
      </w:r>
      <w:r w:rsidR="00CB78B0">
        <w:rPr>
          <w:bCs/>
        </w:rPr>
        <w:t xml:space="preserve"> The only changes to the burden are related to </w:t>
      </w:r>
      <w:r w:rsidR="008E6011">
        <w:rPr>
          <w:bCs/>
        </w:rPr>
        <w:t>change in estimated respondents.</w:t>
      </w:r>
      <w:r w:rsidR="00E52C34">
        <w:rPr>
          <w:bCs/>
        </w:rPr>
        <w:t xml:space="preserve"> </w:t>
      </w:r>
      <w:r w:rsidR="000867F3">
        <w:rPr>
          <w:bCs/>
        </w:rPr>
        <w:t xml:space="preserve">This includes an increase </w:t>
      </w:r>
      <w:r w:rsidR="00113780">
        <w:rPr>
          <w:bCs/>
        </w:rPr>
        <w:t xml:space="preserve">in </w:t>
      </w:r>
      <w:r w:rsidRPr="00870CAC" w:rsidR="00113780">
        <w:rPr>
          <w:szCs w:val="26"/>
        </w:rPr>
        <w:t>Transportation by Interstate Pipelines and Rates and Charges for Intrastate Pipelines</w:t>
      </w:r>
      <w:r w:rsidR="00113780">
        <w:rPr>
          <w:szCs w:val="26"/>
        </w:rPr>
        <w:t xml:space="preserve"> and a decrease in the number of entities with required retention.</w:t>
      </w:r>
      <w:r w:rsidR="00AD35E7">
        <w:rPr>
          <w:szCs w:val="26"/>
        </w:rPr>
        <w:t xml:space="preserve"> These changes are due to normal fluctuations in the </w:t>
      </w:r>
      <w:r w:rsidR="00263872">
        <w:rPr>
          <w:szCs w:val="26"/>
        </w:rPr>
        <w:t>industry.</w:t>
      </w:r>
    </w:p>
    <w:p w:rsidR="00B603C8" w:rsidP="00EF40FF" w14:paraId="473BA09E" w14:textId="77777777">
      <w:pPr>
        <w:pStyle w:val="FERCparanumber"/>
        <w:numPr>
          <w:ilvl w:val="0"/>
          <w:numId w:val="0"/>
        </w:num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6"/>
        <w:gridCol w:w="1550"/>
        <w:gridCol w:w="1597"/>
        <w:gridCol w:w="1889"/>
        <w:gridCol w:w="1618"/>
      </w:tblGrid>
      <w:tr w14:paraId="63AAFADF" w14:textId="77777777" w:rsidTr="6A5367B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1442" w:type="pct"/>
            <w:shd w:val="clear" w:color="auto" w:fill="D9D9D9" w:themeFill="background1" w:themeFillShade="D9"/>
            <w:vAlign w:val="bottom"/>
          </w:tcPr>
          <w:p w:rsidR="00B603C8" w:rsidRPr="00450BD9" w:rsidP="00DC4597" w14:paraId="1CB1D3B9" w14:textId="6E516D26">
            <w:pPr>
              <w:jc w:val="center"/>
              <w:rPr>
                <w:b/>
                <w:sz w:val="26"/>
                <w:szCs w:val="26"/>
              </w:rPr>
            </w:pPr>
          </w:p>
        </w:tc>
        <w:tc>
          <w:tcPr>
            <w:tcW w:w="829" w:type="pct"/>
            <w:shd w:val="clear" w:color="auto" w:fill="D9D9D9" w:themeFill="background1" w:themeFillShade="D9"/>
            <w:vAlign w:val="bottom"/>
          </w:tcPr>
          <w:p w:rsidR="00B603C8" w:rsidRPr="00450BD9" w:rsidP="00DC4597" w14:paraId="6D141973" w14:textId="77777777">
            <w:pPr>
              <w:jc w:val="center"/>
              <w:rPr>
                <w:b/>
                <w:sz w:val="26"/>
                <w:szCs w:val="26"/>
              </w:rPr>
            </w:pPr>
            <w:r w:rsidRPr="00450BD9">
              <w:rPr>
                <w:b/>
                <w:sz w:val="26"/>
                <w:szCs w:val="26"/>
              </w:rPr>
              <w:t>Total Request (rounded)</w:t>
            </w:r>
          </w:p>
        </w:tc>
        <w:tc>
          <w:tcPr>
            <w:tcW w:w="854" w:type="pct"/>
            <w:shd w:val="clear" w:color="auto" w:fill="D9D9D9" w:themeFill="background1" w:themeFillShade="D9"/>
            <w:vAlign w:val="bottom"/>
          </w:tcPr>
          <w:p w:rsidR="00B603C8" w:rsidRPr="00450BD9" w:rsidP="00DC4597" w14:paraId="3721484A" w14:textId="77777777">
            <w:pPr>
              <w:jc w:val="center"/>
              <w:rPr>
                <w:b/>
                <w:sz w:val="26"/>
                <w:szCs w:val="26"/>
              </w:rPr>
            </w:pPr>
            <w:r w:rsidRPr="00450BD9">
              <w:rPr>
                <w:b/>
                <w:sz w:val="26"/>
                <w:szCs w:val="26"/>
              </w:rPr>
              <w:t>Previously Approved</w:t>
            </w:r>
          </w:p>
        </w:tc>
        <w:tc>
          <w:tcPr>
            <w:tcW w:w="1010" w:type="pct"/>
            <w:shd w:val="clear" w:color="auto" w:fill="D9D9D9" w:themeFill="background1" w:themeFillShade="D9"/>
            <w:vAlign w:val="bottom"/>
          </w:tcPr>
          <w:p w:rsidR="00B603C8" w:rsidRPr="00450BD9" w:rsidP="00DC4597" w14:paraId="12DF0DEF" w14:textId="77777777">
            <w:pPr>
              <w:jc w:val="center"/>
              <w:rPr>
                <w:b/>
                <w:sz w:val="26"/>
                <w:szCs w:val="26"/>
              </w:rPr>
            </w:pPr>
            <w:r w:rsidRPr="00450BD9">
              <w:rPr>
                <w:b/>
                <w:sz w:val="26"/>
                <w:szCs w:val="26"/>
              </w:rPr>
              <w:t>Change due to Adjustment in Estimate (rounded)</w:t>
            </w:r>
          </w:p>
        </w:tc>
        <w:tc>
          <w:tcPr>
            <w:tcW w:w="865" w:type="pct"/>
            <w:shd w:val="clear" w:color="auto" w:fill="D9D9D9" w:themeFill="background1" w:themeFillShade="D9"/>
            <w:vAlign w:val="bottom"/>
          </w:tcPr>
          <w:p w:rsidR="00B603C8" w:rsidRPr="00450BD9" w:rsidP="00DC4597" w14:paraId="12265581" w14:textId="77777777">
            <w:pPr>
              <w:jc w:val="center"/>
              <w:rPr>
                <w:b/>
                <w:sz w:val="26"/>
                <w:szCs w:val="26"/>
              </w:rPr>
            </w:pPr>
            <w:r w:rsidRPr="00450BD9">
              <w:rPr>
                <w:b/>
                <w:sz w:val="26"/>
                <w:szCs w:val="26"/>
              </w:rPr>
              <w:t>Change Due to Agency Discretion</w:t>
            </w:r>
          </w:p>
        </w:tc>
      </w:tr>
      <w:tr w14:paraId="544525E2" w14:textId="77777777" w:rsidTr="6A5367B8">
        <w:tblPrEx>
          <w:tblW w:w="5000" w:type="pct"/>
          <w:tblLook w:val="01E0"/>
        </w:tblPrEx>
        <w:trPr>
          <w:trHeight w:val="591"/>
        </w:trPr>
        <w:tc>
          <w:tcPr>
            <w:tcW w:w="1442" w:type="pct"/>
          </w:tcPr>
          <w:p w:rsidR="00B603C8" w:rsidRPr="00450BD9" w:rsidP="00DC4597" w14:paraId="31672204" w14:textId="77777777">
            <w:pPr>
              <w:jc w:val="center"/>
              <w:rPr>
                <w:sz w:val="26"/>
                <w:szCs w:val="26"/>
              </w:rPr>
            </w:pPr>
            <w:r w:rsidRPr="00450BD9">
              <w:rPr>
                <w:sz w:val="26"/>
                <w:szCs w:val="26"/>
              </w:rPr>
              <w:t xml:space="preserve">Annual Number of Responses </w:t>
            </w:r>
          </w:p>
        </w:tc>
        <w:tc>
          <w:tcPr>
            <w:tcW w:w="829" w:type="pct"/>
            <w:vAlign w:val="center"/>
          </w:tcPr>
          <w:p w:rsidR="00B603C8" w:rsidRPr="007C0E9A" w:rsidP="00DC4597" w14:paraId="5C90C799" w14:textId="175D4671">
            <w:pPr>
              <w:jc w:val="right"/>
              <w:rPr>
                <w:sz w:val="26"/>
                <w:szCs w:val="26"/>
              </w:rPr>
            </w:pPr>
            <w:r w:rsidRPr="6A5367B8">
              <w:rPr>
                <w:sz w:val="26"/>
                <w:szCs w:val="26"/>
              </w:rPr>
              <w:t>306</w:t>
            </w:r>
          </w:p>
        </w:tc>
        <w:tc>
          <w:tcPr>
            <w:tcW w:w="854" w:type="pct"/>
            <w:vAlign w:val="center"/>
          </w:tcPr>
          <w:p w:rsidR="00B603C8" w:rsidRPr="007C0E9A" w:rsidP="00DC4597" w14:paraId="394611BF" w14:textId="5B7E7D07">
            <w:pPr>
              <w:jc w:val="right"/>
              <w:rPr>
                <w:sz w:val="26"/>
                <w:szCs w:val="26"/>
              </w:rPr>
            </w:pPr>
            <w:r w:rsidRPr="6A5367B8">
              <w:rPr>
                <w:sz w:val="26"/>
                <w:szCs w:val="26"/>
              </w:rPr>
              <w:t>391</w:t>
            </w:r>
          </w:p>
        </w:tc>
        <w:tc>
          <w:tcPr>
            <w:tcW w:w="1010" w:type="pct"/>
            <w:vAlign w:val="center"/>
          </w:tcPr>
          <w:p w:rsidR="00B603C8" w:rsidRPr="007C0E9A" w:rsidP="00DC4597" w14:paraId="5023AC12" w14:textId="6D5EABAB">
            <w:pPr>
              <w:jc w:val="right"/>
              <w:rPr>
                <w:sz w:val="26"/>
                <w:szCs w:val="26"/>
              </w:rPr>
            </w:pPr>
            <w:r w:rsidRPr="6A5367B8">
              <w:rPr>
                <w:sz w:val="26"/>
                <w:szCs w:val="26"/>
              </w:rPr>
              <w:t>-8</w:t>
            </w:r>
            <w:r w:rsidRPr="6A5367B8" w:rsidR="61AFCFF5">
              <w:rPr>
                <w:sz w:val="26"/>
                <w:szCs w:val="26"/>
              </w:rPr>
              <w:t>5</w:t>
            </w:r>
          </w:p>
        </w:tc>
        <w:tc>
          <w:tcPr>
            <w:tcW w:w="865" w:type="pct"/>
            <w:vAlign w:val="center"/>
          </w:tcPr>
          <w:p w:rsidR="00B603C8" w:rsidRPr="007C0E9A" w:rsidP="00DC4597" w14:paraId="038D06A9" w14:textId="77777777">
            <w:pPr>
              <w:jc w:val="right"/>
              <w:rPr>
                <w:sz w:val="26"/>
                <w:szCs w:val="26"/>
              </w:rPr>
            </w:pPr>
            <w:r w:rsidRPr="6A5367B8">
              <w:rPr>
                <w:sz w:val="26"/>
                <w:szCs w:val="26"/>
              </w:rPr>
              <w:t>0</w:t>
            </w:r>
          </w:p>
        </w:tc>
      </w:tr>
      <w:tr w14:paraId="287B9ED6" w14:textId="77777777" w:rsidTr="6A5367B8">
        <w:tblPrEx>
          <w:tblW w:w="5000" w:type="pct"/>
          <w:tblLook w:val="01E0"/>
        </w:tblPrEx>
        <w:trPr>
          <w:trHeight w:val="575"/>
        </w:trPr>
        <w:tc>
          <w:tcPr>
            <w:tcW w:w="1442" w:type="pct"/>
          </w:tcPr>
          <w:p w:rsidR="00B603C8" w:rsidRPr="00450BD9" w:rsidP="00DC4597" w14:paraId="7BCB3A8C" w14:textId="77777777">
            <w:pPr>
              <w:jc w:val="center"/>
              <w:rPr>
                <w:sz w:val="26"/>
                <w:szCs w:val="26"/>
              </w:rPr>
            </w:pPr>
            <w:r w:rsidRPr="00450BD9">
              <w:rPr>
                <w:sz w:val="26"/>
                <w:szCs w:val="26"/>
              </w:rPr>
              <w:t>Annual Time Burden (Hours)</w:t>
            </w:r>
          </w:p>
        </w:tc>
        <w:tc>
          <w:tcPr>
            <w:tcW w:w="829" w:type="pct"/>
            <w:vAlign w:val="center"/>
          </w:tcPr>
          <w:p w:rsidR="00B603C8" w:rsidRPr="007C0E9A" w:rsidP="00DC4597" w14:paraId="3E91F8D5" w14:textId="4D30D692">
            <w:pPr>
              <w:jc w:val="right"/>
              <w:rPr>
                <w:sz w:val="26"/>
                <w:szCs w:val="26"/>
              </w:rPr>
            </w:pPr>
            <w:r w:rsidRPr="6A5367B8">
              <w:rPr>
                <w:sz w:val="26"/>
                <w:szCs w:val="26"/>
              </w:rPr>
              <w:t>7,976</w:t>
            </w:r>
          </w:p>
        </w:tc>
        <w:tc>
          <w:tcPr>
            <w:tcW w:w="854" w:type="pct"/>
            <w:vAlign w:val="center"/>
          </w:tcPr>
          <w:p w:rsidR="00B603C8" w:rsidRPr="007C0E9A" w:rsidP="00DC4597" w14:paraId="0103D37B" w14:textId="600E4B7D">
            <w:pPr>
              <w:jc w:val="right"/>
              <w:rPr>
                <w:sz w:val="26"/>
                <w:szCs w:val="26"/>
              </w:rPr>
            </w:pPr>
            <w:r w:rsidRPr="6A5367B8">
              <w:rPr>
                <w:sz w:val="26"/>
                <w:szCs w:val="26"/>
              </w:rPr>
              <w:t>5,324</w:t>
            </w:r>
          </w:p>
        </w:tc>
        <w:tc>
          <w:tcPr>
            <w:tcW w:w="1010" w:type="pct"/>
            <w:vAlign w:val="center"/>
          </w:tcPr>
          <w:p w:rsidR="00B603C8" w:rsidRPr="007C0E9A" w:rsidP="00DC4597" w14:paraId="0AD4CFD5" w14:textId="053C6C92">
            <w:pPr>
              <w:jc w:val="right"/>
              <w:rPr>
                <w:sz w:val="26"/>
                <w:szCs w:val="26"/>
              </w:rPr>
            </w:pPr>
            <w:r w:rsidRPr="6A5367B8">
              <w:rPr>
                <w:sz w:val="26"/>
                <w:szCs w:val="26"/>
              </w:rPr>
              <w:t>2,652</w:t>
            </w:r>
          </w:p>
        </w:tc>
        <w:tc>
          <w:tcPr>
            <w:tcW w:w="865" w:type="pct"/>
            <w:vAlign w:val="center"/>
          </w:tcPr>
          <w:p w:rsidR="00B603C8" w:rsidRPr="007C0E9A" w:rsidP="00DC4597" w14:paraId="2135D00F" w14:textId="77777777">
            <w:pPr>
              <w:jc w:val="right"/>
              <w:rPr>
                <w:sz w:val="26"/>
                <w:szCs w:val="26"/>
              </w:rPr>
            </w:pPr>
            <w:r w:rsidRPr="6A5367B8">
              <w:rPr>
                <w:sz w:val="26"/>
                <w:szCs w:val="26"/>
              </w:rPr>
              <w:t>0</w:t>
            </w:r>
          </w:p>
        </w:tc>
      </w:tr>
      <w:tr w14:paraId="7315FAEC" w14:textId="77777777" w:rsidTr="6A5367B8">
        <w:tblPrEx>
          <w:tblW w:w="5000" w:type="pct"/>
          <w:tblLook w:val="01E0"/>
        </w:tblPrEx>
        <w:trPr>
          <w:trHeight w:val="295"/>
        </w:trPr>
        <w:tc>
          <w:tcPr>
            <w:tcW w:w="1442" w:type="pct"/>
            <w:tcBorders>
              <w:bottom w:val="single" w:sz="4" w:space="0" w:color="auto"/>
            </w:tcBorders>
          </w:tcPr>
          <w:p w:rsidR="00B603C8" w:rsidRPr="00450BD9" w:rsidP="00DC4597" w14:paraId="29894F99" w14:textId="77777777">
            <w:pPr>
              <w:jc w:val="center"/>
              <w:rPr>
                <w:sz w:val="26"/>
                <w:szCs w:val="26"/>
              </w:rPr>
            </w:pPr>
            <w:r w:rsidRPr="00450BD9">
              <w:rPr>
                <w:sz w:val="26"/>
                <w:szCs w:val="26"/>
              </w:rPr>
              <w:t>Annual Cost Burden ($)</w:t>
            </w:r>
          </w:p>
        </w:tc>
        <w:tc>
          <w:tcPr>
            <w:tcW w:w="829" w:type="pct"/>
            <w:tcBorders>
              <w:bottom w:val="single" w:sz="4" w:space="0" w:color="auto"/>
            </w:tcBorders>
            <w:vAlign w:val="center"/>
          </w:tcPr>
          <w:p w:rsidR="00B603C8" w:rsidRPr="00450BD9" w:rsidP="00DC4597" w14:paraId="13BF663B" w14:textId="77777777">
            <w:pPr>
              <w:jc w:val="right"/>
              <w:rPr>
                <w:sz w:val="26"/>
                <w:szCs w:val="26"/>
              </w:rPr>
            </w:pPr>
            <w:r w:rsidRPr="00450BD9">
              <w:rPr>
                <w:sz w:val="26"/>
                <w:szCs w:val="26"/>
              </w:rPr>
              <w:t>$0</w:t>
            </w:r>
          </w:p>
        </w:tc>
        <w:tc>
          <w:tcPr>
            <w:tcW w:w="854" w:type="pct"/>
            <w:tcBorders>
              <w:bottom w:val="single" w:sz="4" w:space="0" w:color="auto"/>
            </w:tcBorders>
            <w:vAlign w:val="center"/>
          </w:tcPr>
          <w:p w:rsidR="00B603C8" w:rsidRPr="00450BD9" w:rsidP="00DC4597" w14:paraId="30C1A5C3" w14:textId="2BA893E1">
            <w:pPr>
              <w:jc w:val="right"/>
              <w:rPr>
                <w:sz w:val="26"/>
                <w:szCs w:val="26"/>
              </w:rPr>
            </w:pPr>
            <w:r>
              <w:rPr>
                <w:sz w:val="26"/>
                <w:szCs w:val="26"/>
              </w:rPr>
              <w:t>-</w:t>
            </w:r>
            <w:r w:rsidRPr="00450BD9" w:rsidR="246B5E0B">
              <w:rPr>
                <w:sz w:val="26"/>
                <w:szCs w:val="26"/>
              </w:rPr>
              <w:t>$</w:t>
            </w:r>
            <w:r>
              <w:rPr>
                <w:sz w:val="26"/>
                <w:szCs w:val="26"/>
              </w:rPr>
              <w:t>25,095</w:t>
            </w:r>
            <w:r>
              <w:rPr>
                <w:rStyle w:val="FootnoteReference"/>
                <w:sz w:val="26"/>
                <w:szCs w:val="26"/>
                <w:vertAlign w:val="superscript"/>
              </w:rPr>
              <w:footnoteReference w:id="12"/>
            </w:r>
          </w:p>
        </w:tc>
        <w:tc>
          <w:tcPr>
            <w:tcW w:w="1010" w:type="pct"/>
            <w:tcBorders>
              <w:bottom w:val="single" w:sz="4" w:space="0" w:color="auto"/>
            </w:tcBorders>
            <w:vAlign w:val="center"/>
          </w:tcPr>
          <w:p w:rsidR="00B603C8" w:rsidRPr="00450BD9" w:rsidP="00DC4597" w14:paraId="1000EE24" w14:textId="17288590">
            <w:pPr>
              <w:jc w:val="right"/>
              <w:rPr>
                <w:sz w:val="26"/>
                <w:szCs w:val="26"/>
              </w:rPr>
            </w:pPr>
            <w:r w:rsidRPr="6A5367B8">
              <w:rPr>
                <w:sz w:val="26"/>
                <w:szCs w:val="26"/>
              </w:rPr>
              <w:t>-$25,095</w:t>
            </w:r>
          </w:p>
        </w:tc>
        <w:tc>
          <w:tcPr>
            <w:tcW w:w="865" w:type="pct"/>
            <w:tcBorders>
              <w:bottom w:val="single" w:sz="4" w:space="0" w:color="auto"/>
            </w:tcBorders>
            <w:vAlign w:val="center"/>
          </w:tcPr>
          <w:p w:rsidR="00B603C8" w:rsidRPr="00450BD9" w:rsidP="00DC4597" w14:paraId="0EBC9111" w14:textId="77777777">
            <w:pPr>
              <w:jc w:val="right"/>
              <w:rPr>
                <w:sz w:val="26"/>
                <w:szCs w:val="26"/>
              </w:rPr>
            </w:pPr>
            <w:r w:rsidRPr="00450BD9">
              <w:rPr>
                <w:sz w:val="26"/>
                <w:szCs w:val="26"/>
              </w:rPr>
              <w:t>$0</w:t>
            </w:r>
          </w:p>
        </w:tc>
      </w:tr>
    </w:tbl>
    <w:p w:rsidR="00B603C8" w:rsidP="00EF40FF" w14:paraId="24F97D89" w14:textId="77777777">
      <w:pPr>
        <w:pStyle w:val="FERCparanumber"/>
        <w:numPr>
          <w:ilvl w:val="0"/>
          <w:numId w:val="0"/>
        </w:numPr>
        <w:rPr>
          <w:b/>
        </w:rPr>
      </w:pPr>
    </w:p>
    <w:p w:rsidR="00F71892" w:rsidRPr="00950005" w:rsidP="00EF40FF" w14:paraId="13757C57" w14:textId="77777777">
      <w:pPr>
        <w:pStyle w:val="FERCparanumber"/>
        <w:numPr>
          <w:ilvl w:val="0"/>
          <w:numId w:val="0"/>
        </w:numPr>
        <w:rPr>
          <w:b/>
        </w:rPr>
      </w:pPr>
    </w:p>
    <w:p w:rsidR="00FA72E7" w:rsidRPr="00950005" w:rsidP="0085185A" w14:paraId="5B0AF9B0" w14:textId="77777777">
      <w:pPr>
        <w:widowControl/>
        <w:tabs>
          <w:tab w:val="left" w:pos="2394"/>
        </w:tabs>
        <w:rPr>
          <w:b/>
          <w:sz w:val="26"/>
        </w:rPr>
      </w:pPr>
    </w:p>
    <w:p w:rsidR="009D6B6D" w:rsidRPr="00950005" w:rsidP="00EF40FF" w14:paraId="01E33EDF" w14:textId="77777777">
      <w:pPr>
        <w:pStyle w:val="FERCparanumber"/>
        <w:numPr>
          <w:ilvl w:val="0"/>
          <w:numId w:val="9"/>
        </w:numPr>
        <w:rPr>
          <w:b/>
        </w:rPr>
      </w:pPr>
      <w:r w:rsidRPr="00950005">
        <w:rPr>
          <w:b/>
        </w:rPr>
        <w:t>TIME SCHEDU</w:t>
      </w:r>
      <w:r w:rsidRPr="00950005">
        <w:rPr>
          <w:b/>
        </w:rPr>
        <w:t>LE FOR PUBLICATION OF DATA</w:t>
      </w:r>
    </w:p>
    <w:p w:rsidR="00EF40FF" w:rsidRPr="00950005" w:rsidP="00EF40FF" w14:paraId="05EF925C" w14:textId="77777777">
      <w:pPr>
        <w:pStyle w:val="FERCparanumber"/>
        <w:numPr>
          <w:ilvl w:val="0"/>
          <w:numId w:val="0"/>
        </w:numPr>
        <w:rPr>
          <w:b/>
        </w:rPr>
      </w:pPr>
    </w:p>
    <w:p w:rsidR="00545B62" w:rsidRPr="00950005" w:rsidP="00545B62" w14:paraId="52CE8061" w14:textId="29C293F3">
      <w:pPr>
        <w:widowControl/>
        <w:rPr>
          <w:sz w:val="26"/>
        </w:rPr>
      </w:pPr>
      <w:r w:rsidRPr="00950005">
        <w:rPr>
          <w:sz w:val="26"/>
        </w:rPr>
        <w:t>There are no publication plans for the collection of information.</w:t>
      </w:r>
      <w:r w:rsidR="00847B6A">
        <w:rPr>
          <w:sz w:val="26"/>
        </w:rPr>
        <w:t xml:space="preserve"> </w:t>
      </w:r>
      <w:r w:rsidRPr="00950005">
        <w:rPr>
          <w:sz w:val="26"/>
        </w:rPr>
        <w:t xml:space="preserve">The data </w:t>
      </w:r>
      <w:r w:rsidRPr="00950005">
        <w:rPr>
          <w:sz w:val="26"/>
        </w:rPr>
        <w:t>are</w:t>
      </w:r>
      <w:r w:rsidRPr="00950005">
        <w:rPr>
          <w:sz w:val="26"/>
        </w:rPr>
        <w:t xml:space="preserve"> used for regulatory purposes only.</w:t>
      </w:r>
    </w:p>
    <w:p w:rsidR="00EF40FF" w:rsidRPr="00950005" w:rsidP="00EF40FF" w14:paraId="571FF978" w14:textId="77777777">
      <w:pPr>
        <w:pStyle w:val="FERCparanumber"/>
        <w:numPr>
          <w:ilvl w:val="0"/>
          <w:numId w:val="0"/>
        </w:numPr>
        <w:rPr>
          <w:b/>
        </w:rPr>
      </w:pPr>
    </w:p>
    <w:p w:rsidR="009D6B6D" w:rsidRPr="00950005" w:rsidP="001D2EC1" w14:paraId="00B26543" w14:textId="77777777">
      <w:pPr>
        <w:pStyle w:val="FERCparanumber"/>
        <w:numPr>
          <w:ilvl w:val="0"/>
          <w:numId w:val="9"/>
        </w:numPr>
        <w:rPr>
          <w:b/>
        </w:rPr>
      </w:pPr>
      <w:r w:rsidRPr="00950005">
        <w:rPr>
          <w:b/>
        </w:rPr>
        <w:t>DISPLAY OF EXPIRATION DATE</w:t>
      </w:r>
    </w:p>
    <w:p w:rsidR="00EF40FF" w:rsidRPr="00950005" w:rsidP="00EF40FF" w14:paraId="56E367B2" w14:textId="77777777">
      <w:pPr>
        <w:pStyle w:val="FERCparanumber"/>
        <w:numPr>
          <w:ilvl w:val="0"/>
          <w:numId w:val="0"/>
        </w:numPr>
        <w:rPr>
          <w:b/>
        </w:rPr>
      </w:pPr>
    </w:p>
    <w:p w:rsidR="006441AD" w:rsidRPr="00950005" w:rsidP="006441AD" w14:paraId="6D0E05E2" w14:textId="369565C0">
      <w:pPr>
        <w:rPr>
          <w:sz w:val="26"/>
        </w:rPr>
      </w:pPr>
      <w:r w:rsidRPr="00950005">
        <w:rPr>
          <w:sz w:val="26"/>
        </w:rPr>
        <w:t xml:space="preserve">The expiration date is displayed in a table posted on </w:t>
      </w:r>
      <w:r w:rsidRPr="009A3A90" w:rsidR="009A3A90">
        <w:rPr>
          <w:sz w:val="26"/>
        </w:rPr>
        <w:t>https://www.ferc.gov/information-collections</w:t>
      </w:r>
    </w:p>
    <w:p w:rsidR="00EF40FF" w:rsidRPr="00950005" w:rsidP="00EF40FF" w14:paraId="4E049BD2" w14:textId="77777777">
      <w:pPr>
        <w:pStyle w:val="FERCparanumber"/>
        <w:numPr>
          <w:ilvl w:val="0"/>
          <w:numId w:val="0"/>
        </w:numPr>
        <w:rPr>
          <w:b/>
        </w:rPr>
      </w:pPr>
    </w:p>
    <w:p w:rsidR="00EF40FF" w:rsidRPr="00950005" w:rsidP="00E138E1" w14:paraId="21DAB6B6" w14:textId="77777777">
      <w:pPr>
        <w:widowControl/>
        <w:numPr>
          <w:ilvl w:val="0"/>
          <w:numId w:val="9"/>
        </w:numPr>
        <w:ind w:hanging="720"/>
        <w:rPr>
          <w:b/>
          <w:sz w:val="26"/>
        </w:rPr>
      </w:pPr>
      <w:r w:rsidRPr="00950005">
        <w:rPr>
          <w:b/>
          <w:sz w:val="26"/>
        </w:rPr>
        <w:t>EXCEPTIONS TO THE CERTIFICATION STATEMENT</w:t>
      </w:r>
    </w:p>
    <w:p w:rsidR="009D6B6D" w:rsidRPr="00950005" w:rsidP="001D2EC1" w14:paraId="5EA01B6A" w14:textId="77777777">
      <w:pPr>
        <w:widowControl/>
        <w:ind w:left="720"/>
        <w:rPr>
          <w:b/>
          <w:sz w:val="26"/>
        </w:rPr>
      </w:pPr>
    </w:p>
    <w:p w:rsidR="00660E7B" w:rsidRPr="00950005" w:rsidP="001D2EC1" w14:paraId="3F488D4C" w14:textId="77777777">
      <w:pPr>
        <w:widowControl/>
        <w:rPr>
          <w:sz w:val="26"/>
        </w:rPr>
      </w:pPr>
      <w:r w:rsidRPr="00950005">
        <w:rPr>
          <w:sz w:val="26"/>
        </w:rPr>
        <w:t>There are no exceptions.</w:t>
      </w:r>
    </w:p>
    <w:sectPr w:rsidSect="00703122">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2773" w14:paraId="553711E7" w14:textId="77777777">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83EC6">
          <w:rPr>
            <w:noProof/>
          </w:rPr>
          <w:t>1</w:t>
        </w:r>
        <w:r>
          <w:rPr>
            <w:noProof/>
          </w:rPr>
          <w:fldChar w:fldCharType="end"/>
        </w:r>
      </w:sdtContent>
    </w:sdt>
  </w:p>
  <w:p w:rsidR="00E32773" w14:paraId="3CB6AA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45E4" w:rsidP="009D6B6D" w14:paraId="6B79CCAD" w14:textId="77777777">
      <w:r>
        <w:separator/>
      </w:r>
    </w:p>
  </w:footnote>
  <w:footnote w:type="continuationSeparator" w:id="1">
    <w:p w:rsidR="00EF45E4" w:rsidP="009D6B6D" w14:paraId="41D4A716" w14:textId="77777777">
      <w:r>
        <w:continuationSeparator/>
      </w:r>
    </w:p>
  </w:footnote>
  <w:footnote w:type="continuationNotice" w:id="2">
    <w:p w:rsidR="00EF45E4" w14:paraId="1F93587E" w14:textId="77777777"/>
  </w:footnote>
  <w:footnote w:id="3">
    <w:p w:rsidR="000B087D" w:rsidRPr="00FF3692" w:rsidP="000B087D" w14:paraId="6FCB7DCF" w14:textId="3E130DDB">
      <w:pPr>
        <w:pStyle w:val="FootnoteText"/>
        <w:rPr>
          <w:sz w:val="26"/>
        </w:rPr>
      </w:pPr>
      <w:r w:rsidRPr="00FF3692">
        <w:rPr>
          <w:rStyle w:val="FootnoteReference"/>
          <w:sz w:val="26"/>
          <w:vertAlign w:val="superscript"/>
        </w:rPr>
        <w:footnoteRef/>
      </w:r>
      <w:r w:rsidRPr="00FF3692">
        <w:rPr>
          <w:sz w:val="26"/>
          <w:vertAlign w:val="superscript"/>
        </w:rPr>
        <w:t xml:space="preserve"> </w:t>
      </w:r>
      <w:r w:rsidRPr="00FF3692">
        <w:rPr>
          <w:sz w:val="26"/>
        </w:rPr>
        <w:t>Hinshaw pipelines are local distribution pipelines or companies served by interstate pipelines</w:t>
      </w:r>
      <w:r w:rsidR="00E837C6">
        <w:rPr>
          <w:sz w:val="26"/>
        </w:rPr>
        <w:t>.</w:t>
      </w:r>
      <w:r w:rsidR="00847B6A">
        <w:rPr>
          <w:sz w:val="26"/>
        </w:rPr>
        <w:t xml:space="preserve"> </w:t>
      </w:r>
      <w:r w:rsidR="004F46CA">
        <w:rPr>
          <w:sz w:val="26"/>
        </w:rPr>
        <w:t xml:space="preserve">Hinshaw pipelines </w:t>
      </w:r>
      <w:r w:rsidRPr="00FF3692">
        <w:rPr>
          <w:sz w:val="26"/>
        </w:rPr>
        <w:t>are not subject to Commission jurisdiction by reason of section 1(c) of the NGA (15 U.S.C. 717(c)).</w:t>
      </w:r>
      <w:r w:rsidR="00847B6A">
        <w:rPr>
          <w:sz w:val="26"/>
        </w:rPr>
        <w:t xml:space="preserve"> </w:t>
      </w:r>
      <w:r w:rsidRPr="00FF3692">
        <w:rPr>
          <w:sz w:val="26"/>
        </w:rPr>
        <w:t xml:space="preserve">A Hinshaw Pipeline must obtain </w:t>
      </w:r>
      <w:r w:rsidR="00133CAD">
        <w:rPr>
          <w:sz w:val="26"/>
        </w:rPr>
        <w:t xml:space="preserve">a </w:t>
      </w:r>
      <w:r w:rsidR="00A008E9">
        <w:rPr>
          <w:sz w:val="26"/>
        </w:rPr>
        <w:t>b</w:t>
      </w:r>
      <w:r w:rsidRPr="00FF3692">
        <w:rPr>
          <w:sz w:val="26"/>
        </w:rPr>
        <w:t xml:space="preserve">lanket </w:t>
      </w:r>
      <w:r w:rsidR="00A008E9">
        <w:rPr>
          <w:sz w:val="26"/>
        </w:rPr>
        <w:t>c</w:t>
      </w:r>
      <w:r w:rsidRPr="00FF3692">
        <w:rPr>
          <w:sz w:val="26"/>
        </w:rPr>
        <w:t>ertificate</w:t>
      </w:r>
      <w:r w:rsidR="00133CAD">
        <w:rPr>
          <w:sz w:val="26"/>
        </w:rPr>
        <w:t xml:space="preserve"> under 18 CFR Part 284, Subpart G</w:t>
      </w:r>
      <w:r w:rsidRPr="00FF3692">
        <w:rPr>
          <w:sz w:val="26"/>
        </w:rPr>
        <w:t xml:space="preserve"> to sell or transport gas in interstate commerce.</w:t>
      </w:r>
    </w:p>
  </w:footnote>
  <w:footnote w:id="4">
    <w:p w:rsidR="001A6957" w:rsidRPr="000E7454" w14:paraId="6DE5CE5B" w14:textId="3F78D332">
      <w:pPr>
        <w:pStyle w:val="FootnoteText"/>
        <w:rPr>
          <w:sz w:val="26"/>
        </w:rPr>
      </w:pPr>
      <w:r w:rsidRPr="000E7454">
        <w:rPr>
          <w:rStyle w:val="FootnoteReference"/>
          <w:sz w:val="26"/>
          <w:vertAlign w:val="superscript"/>
        </w:rPr>
        <w:footnoteRef/>
      </w:r>
      <w:r w:rsidRPr="000E7454">
        <w:rPr>
          <w:sz w:val="26"/>
        </w:rPr>
        <w:t xml:space="preserve"> </w:t>
      </w:r>
      <w:r w:rsidRPr="000E7454" w:rsidR="009674DE">
        <w:rPr>
          <w:sz w:val="26"/>
        </w:rPr>
        <w:t xml:space="preserve">Subpart B </w:t>
      </w:r>
      <w:r w:rsidRPr="000E7454" w:rsidR="00AA5245">
        <w:rPr>
          <w:sz w:val="26"/>
        </w:rPr>
        <w:t>pertains to</w:t>
      </w:r>
      <w:r w:rsidRPr="000E7454" w:rsidR="009674DE">
        <w:rPr>
          <w:sz w:val="26"/>
        </w:rPr>
        <w:t xml:space="preserve"> transportation of na</w:t>
      </w:r>
      <w:r w:rsidRPr="000E7454" w:rsidR="0085608A">
        <w:rPr>
          <w:sz w:val="26"/>
        </w:rPr>
        <w:t xml:space="preserve">tural gas under </w:t>
      </w:r>
      <w:r w:rsidRPr="000E7454" w:rsidR="00A27091">
        <w:rPr>
          <w:sz w:val="26"/>
        </w:rPr>
        <w:t>section 311(a)(1) of the NGPA b</w:t>
      </w:r>
      <w:r w:rsidRPr="000E7454" w:rsidR="00CF2556">
        <w:rPr>
          <w:sz w:val="26"/>
        </w:rPr>
        <w:t>y</w:t>
      </w:r>
      <w:r w:rsidRPr="000E7454" w:rsidR="00A27091">
        <w:rPr>
          <w:sz w:val="26"/>
        </w:rPr>
        <w:t xml:space="preserve"> </w:t>
      </w:r>
      <w:r w:rsidRPr="000E7454" w:rsidR="00684AC1">
        <w:rPr>
          <w:sz w:val="26"/>
        </w:rPr>
        <w:t xml:space="preserve">an interstate pipeline </w:t>
      </w:r>
      <w:r w:rsidRPr="000E7454" w:rsidR="00BB3D44">
        <w:rPr>
          <w:sz w:val="26"/>
        </w:rPr>
        <w:t>on behalf of an intrastate pipeline or LDC.</w:t>
      </w:r>
      <w:r w:rsidR="00847B6A">
        <w:rPr>
          <w:sz w:val="26"/>
        </w:rPr>
        <w:t xml:space="preserve"> </w:t>
      </w:r>
      <w:r w:rsidRPr="000E7454" w:rsidR="00AA5245">
        <w:rPr>
          <w:sz w:val="26"/>
        </w:rPr>
        <w:t xml:space="preserve">Subpart G pertains to </w:t>
      </w:r>
      <w:r w:rsidRPr="000E7454" w:rsidR="000034F8">
        <w:rPr>
          <w:sz w:val="26"/>
        </w:rPr>
        <w:t xml:space="preserve">transportation of natural gas under </w:t>
      </w:r>
      <w:r w:rsidRPr="000E7454" w:rsidR="00CF2556">
        <w:rPr>
          <w:sz w:val="26"/>
        </w:rPr>
        <w:t xml:space="preserve">section 7 of the NGA by </w:t>
      </w:r>
      <w:r w:rsidRPr="000E7454" w:rsidR="0033310B">
        <w:rPr>
          <w:sz w:val="26"/>
        </w:rPr>
        <w:t xml:space="preserve">an LDC or Hinshaw pipeline holding a </w:t>
      </w:r>
      <w:r w:rsidRPr="000E7454" w:rsidR="00297886">
        <w:rPr>
          <w:sz w:val="26"/>
        </w:rPr>
        <w:t xml:space="preserve">blanket </w:t>
      </w:r>
      <w:r w:rsidRPr="000E7454" w:rsidR="00C622EF">
        <w:rPr>
          <w:sz w:val="26"/>
        </w:rPr>
        <w:t>certificate</w:t>
      </w:r>
      <w:r w:rsidRPr="000E7454" w:rsidR="00297886">
        <w:rPr>
          <w:sz w:val="26"/>
        </w:rPr>
        <w:t>.</w:t>
      </w:r>
    </w:p>
  </w:footnote>
  <w:footnote w:id="5">
    <w:p w:rsidR="00C558AD" w:rsidRPr="00A453D5" w14:paraId="7564587B" w14:textId="6EC38869">
      <w:pPr>
        <w:pStyle w:val="FootnoteText"/>
        <w:rPr>
          <w:sz w:val="26"/>
        </w:rPr>
      </w:pPr>
      <w:r w:rsidRPr="00A453D5">
        <w:rPr>
          <w:rStyle w:val="FootnoteReference"/>
          <w:sz w:val="26"/>
          <w:vertAlign w:val="superscript"/>
        </w:rPr>
        <w:footnoteRef/>
      </w:r>
      <w:r w:rsidR="00847B6A">
        <w:rPr>
          <w:sz w:val="26"/>
        </w:rPr>
        <w:t xml:space="preserve"> </w:t>
      </w:r>
      <w:r w:rsidRPr="00A453D5" w:rsidR="006F02D6">
        <w:rPr>
          <w:sz w:val="26"/>
        </w:rPr>
        <w:t>The Herfindahl-</w:t>
      </w:r>
      <w:r w:rsidRPr="00A453D5" w:rsidR="002744B8">
        <w:rPr>
          <w:sz w:val="26"/>
        </w:rPr>
        <w:t xml:space="preserve">Hirschman </w:t>
      </w:r>
      <w:r w:rsidRPr="00A453D5" w:rsidR="00F00EDD">
        <w:rPr>
          <w:sz w:val="26"/>
        </w:rPr>
        <w:t>Index</w:t>
      </w:r>
      <w:r w:rsidRPr="00A453D5" w:rsidR="002744B8">
        <w:rPr>
          <w:sz w:val="26"/>
        </w:rPr>
        <w:t xml:space="preserve"> is a common </w:t>
      </w:r>
      <w:r w:rsidRPr="00A453D5" w:rsidR="00F00EDD">
        <w:rPr>
          <w:sz w:val="26"/>
        </w:rPr>
        <w:t>measure</w:t>
      </w:r>
      <w:r w:rsidRPr="00A453D5" w:rsidR="002744B8">
        <w:rPr>
          <w:sz w:val="26"/>
        </w:rPr>
        <w:t xml:space="preserve"> of mark</w:t>
      </w:r>
      <w:r w:rsidRPr="00A453D5" w:rsidR="00DD593A">
        <w:rPr>
          <w:sz w:val="26"/>
        </w:rPr>
        <w:t>et concentration that is used to determine market competitiv</w:t>
      </w:r>
      <w:r w:rsidRPr="00A453D5" w:rsidR="00A453D5">
        <w:rPr>
          <w:sz w:val="26"/>
        </w:rPr>
        <w:t>eness.</w:t>
      </w:r>
    </w:p>
  </w:footnote>
  <w:footnote w:id="6">
    <w:p w:rsidR="00CA2A50" w14:paraId="1F040B51" w14:textId="3B94B3C1">
      <w:pPr>
        <w:pStyle w:val="FootnoteText"/>
      </w:pPr>
      <w:r w:rsidRPr="00F42C59">
        <w:rPr>
          <w:rStyle w:val="FootnoteReference"/>
          <w:sz w:val="26"/>
          <w:vertAlign w:val="superscript"/>
        </w:rPr>
        <w:footnoteRef/>
      </w:r>
      <w:r w:rsidRPr="00F42C59">
        <w:rPr>
          <w:sz w:val="26"/>
        </w:rPr>
        <w:t xml:space="preserve"> Subpart C pertains to </w:t>
      </w:r>
      <w:r w:rsidRPr="00F42C59" w:rsidR="004437F9">
        <w:rPr>
          <w:sz w:val="26"/>
        </w:rPr>
        <w:t xml:space="preserve">transportation of natural gas </w:t>
      </w:r>
      <w:r w:rsidRPr="00F42C59" w:rsidR="00F42C59">
        <w:rPr>
          <w:sz w:val="26"/>
        </w:rPr>
        <w:t xml:space="preserve">under section 311(a)(2) </w:t>
      </w:r>
      <w:r w:rsidRPr="00F42C59" w:rsidR="004437F9">
        <w:rPr>
          <w:sz w:val="26"/>
        </w:rPr>
        <w:t>by any intrastate pipeline on behalf of</w:t>
      </w:r>
      <w:r w:rsidRPr="00F42C59" w:rsidR="00F42C59">
        <w:rPr>
          <w:sz w:val="26"/>
        </w:rPr>
        <w:t xml:space="preserve"> an interstate pipeline or an LDC served by an interstate pipeline.</w:t>
      </w:r>
    </w:p>
  </w:footnote>
  <w:footnote w:id="7">
    <w:p w:rsidR="0021208A" w:rsidRPr="00F40FD5" w:rsidP="005F6AB4" w14:paraId="4374AF49" w14:textId="200A7AC8">
      <w:pPr>
        <w:pStyle w:val="FootnoteText"/>
        <w:rPr>
          <w:sz w:val="26"/>
          <w:szCs w:val="24"/>
        </w:rPr>
      </w:pPr>
      <w:r w:rsidRPr="00F40FD5">
        <w:rPr>
          <w:rStyle w:val="FootnoteReference"/>
          <w:sz w:val="26"/>
          <w:szCs w:val="24"/>
          <w:vertAlign w:val="superscript"/>
        </w:rPr>
        <w:footnoteRef/>
      </w:r>
      <w:r w:rsidRPr="00F40FD5">
        <w:rPr>
          <w:sz w:val="26"/>
          <w:szCs w:val="24"/>
        </w:rPr>
        <w:t xml:space="preserve"> </w:t>
      </w:r>
      <w:r w:rsidRPr="00F40FD5" w:rsidR="001734C9">
        <w:rPr>
          <w:sz w:val="26"/>
          <w:szCs w:val="24"/>
        </w:rPr>
        <w:t xml:space="preserve">EPAct 2005, Pub. L. No. 109-58, §§ 315, 1283, 119 Stat. 594, 691, 979–80 (2005) (codified as amended at 15 U.S.C. § 717c-1 and 16 U.S.C. § 824v (2012)). </w:t>
      </w:r>
      <w:r w:rsidRPr="00F40FD5">
        <w:rPr>
          <w:sz w:val="26"/>
          <w:szCs w:val="24"/>
        </w:rPr>
        <w:t>18 CFR 1c.1 and 1c.2, 71 FR 4,244 (2006).</w:t>
      </w:r>
    </w:p>
  </w:footnote>
  <w:footnote w:id="8">
    <w:p w:rsidR="00501686" w:rsidRPr="00862A20" w14:paraId="6E756AEB" w14:textId="72B62164">
      <w:pPr>
        <w:pStyle w:val="FootnoteText"/>
        <w:rPr>
          <w:sz w:val="24"/>
          <w:szCs w:val="24"/>
        </w:rPr>
      </w:pPr>
      <w:r w:rsidRPr="00F40FD5">
        <w:rPr>
          <w:rStyle w:val="FootnoteReference"/>
          <w:sz w:val="26"/>
          <w:szCs w:val="24"/>
          <w:vertAlign w:val="superscript"/>
        </w:rPr>
        <w:footnoteRef/>
      </w:r>
      <w:r w:rsidRPr="00F40FD5">
        <w:rPr>
          <w:sz w:val="26"/>
          <w:szCs w:val="24"/>
          <w:vertAlign w:val="superscript"/>
        </w:rPr>
        <w:t xml:space="preserve"> </w:t>
      </w:r>
      <w:r w:rsidRPr="00F40FD5">
        <w:rPr>
          <w:sz w:val="26"/>
          <w:szCs w:val="24"/>
        </w:rPr>
        <w:t>The general five-year statute of limitations arises out of 28 U</w:t>
      </w:r>
      <w:r w:rsidRPr="00F40FD5" w:rsidR="00FA5755">
        <w:rPr>
          <w:sz w:val="26"/>
          <w:szCs w:val="24"/>
        </w:rPr>
        <w:t>.</w:t>
      </w:r>
      <w:r w:rsidRPr="00F40FD5">
        <w:rPr>
          <w:sz w:val="26"/>
          <w:szCs w:val="24"/>
        </w:rPr>
        <w:t>S</w:t>
      </w:r>
      <w:r w:rsidRPr="00F40FD5" w:rsidR="00FA5755">
        <w:rPr>
          <w:sz w:val="26"/>
          <w:szCs w:val="24"/>
        </w:rPr>
        <w:t>.</w:t>
      </w:r>
      <w:r w:rsidRPr="00F40FD5">
        <w:rPr>
          <w:sz w:val="26"/>
          <w:szCs w:val="24"/>
        </w:rPr>
        <w:t>C</w:t>
      </w:r>
      <w:r w:rsidRPr="00F40FD5" w:rsidR="00FA5755">
        <w:rPr>
          <w:sz w:val="26"/>
          <w:szCs w:val="24"/>
        </w:rPr>
        <w:t>.</w:t>
      </w:r>
      <w:r w:rsidRPr="00F40FD5">
        <w:rPr>
          <w:sz w:val="26"/>
          <w:szCs w:val="24"/>
        </w:rPr>
        <w:t xml:space="preserve"> 2462.</w:t>
      </w:r>
    </w:p>
  </w:footnote>
  <w:footnote w:id="9">
    <w:p w:rsidR="00CC3A69" w:rsidRPr="005C67DC" w:rsidP="00CC3A69" w14:paraId="23D3F8B1" w14:textId="77777777">
      <w:pPr>
        <w:pStyle w:val="FootnoteText"/>
        <w:rPr>
          <w:lang w:val="fr-FR"/>
        </w:rPr>
      </w:pPr>
      <w:r w:rsidRPr="005C67DC">
        <w:rPr>
          <w:rStyle w:val="FootnoteReference"/>
          <w:bCs/>
        </w:rPr>
        <w:footnoteRef/>
      </w:r>
      <w:r w:rsidRPr="005C67DC">
        <w:rPr>
          <w:vertAlign w:val="superscript"/>
          <w:lang w:val="fr-FR"/>
        </w:rPr>
        <w:t xml:space="preserve"> </w:t>
      </w:r>
      <w:r w:rsidRPr="005C67DC">
        <w:rPr>
          <w:lang w:val="fr-FR"/>
        </w:rPr>
        <w:t>5 CFR 1320.8(d)</w:t>
      </w:r>
    </w:p>
  </w:footnote>
  <w:footnote w:id="10">
    <w:p w:rsidR="00EF40FF" w:rsidRPr="00F40FD5" w:rsidP="005F6AB4" w14:paraId="3504F0A0" w14:textId="7BFA6104">
      <w:pPr>
        <w:rPr>
          <w:sz w:val="26"/>
        </w:rPr>
      </w:pPr>
      <w:r w:rsidRPr="00F40FD5">
        <w:rPr>
          <w:rStyle w:val="FootnoteReference"/>
          <w:sz w:val="26"/>
          <w:vertAlign w:val="superscript"/>
        </w:rPr>
        <w:footnoteRef/>
      </w:r>
      <w:r w:rsidRPr="00F40FD5" w:rsidR="006441AD">
        <w:rPr>
          <w:sz w:val="26"/>
        </w:rPr>
        <w:t xml:space="preserve"> </w:t>
      </w:r>
      <w:r w:rsidRPr="001B4E2C" w:rsidR="001B4E2C">
        <w:rPr>
          <w:sz w:val="26"/>
        </w:rPr>
        <w:t xml:space="preserve">FERC estimates that industry costs for salary plus benefits are </w:t>
      </w:r>
      <w:r w:rsidRPr="001B4E2C" w:rsidR="001B4E2C">
        <w:rPr>
          <w:sz w:val="26"/>
        </w:rPr>
        <w:t>similar to</w:t>
      </w:r>
      <w:r w:rsidRPr="001B4E2C" w:rsidR="001B4E2C">
        <w:rPr>
          <w:sz w:val="26"/>
        </w:rPr>
        <w:t xml:space="preserve"> Commission costs. The cost figure is the FY2026 FERC average annual salary plus benefits ($213,003 year or $102/hour).</w:t>
      </w:r>
    </w:p>
  </w:footnote>
  <w:footnote w:id="11">
    <w:p w:rsidR="00EF40FF" w:rsidRPr="0077587D" w:rsidP="005F6AB4" w14:paraId="198FF4E8" w14:textId="77777777">
      <w:pPr>
        <w:pStyle w:val="FootnoteText"/>
        <w:rPr>
          <w:sz w:val="24"/>
          <w:szCs w:val="24"/>
        </w:rPr>
      </w:pPr>
      <w:r w:rsidRPr="00F40FD5">
        <w:rPr>
          <w:rStyle w:val="FootnoteReference"/>
          <w:sz w:val="26"/>
          <w:szCs w:val="24"/>
          <w:vertAlign w:val="superscript"/>
        </w:rPr>
        <w:footnoteRef/>
      </w:r>
      <w:r w:rsidRPr="00F40FD5">
        <w:rPr>
          <w:sz w:val="26"/>
          <w:szCs w:val="24"/>
          <w:vertAlign w:val="superscript"/>
        </w:rPr>
        <w:t xml:space="preserve"> </w:t>
      </w:r>
      <w:r w:rsidRPr="00F40FD5">
        <w:rPr>
          <w:sz w:val="26"/>
          <w:szCs w:val="24"/>
        </w:rPr>
        <w:t>Paperwork Reduction Act of 1995 (PRA).</w:t>
      </w:r>
    </w:p>
  </w:footnote>
  <w:footnote w:id="12">
    <w:p w:rsidR="008A37A2" w14:paraId="7D3DE3AB" w14:textId="5016A5A6">
      <w:pPr>
        <w:pStyle w:val="FootnoteText"/>
      </w:pPr>
      <w:r w:rsidRPr="007C0E9A">
        <w:rPr>
          <w:rStyle w:val="FootnoteReference"/>
          <w:vertAlign w:val="superscript"/>
        </w:rPr>
        <w:footnoteRef/>
      </w:r>
      <w:r w:rsidRPr="002B60EF" w:rsidR="6A5367B8">
        <w:rPr>
          <w:vertAlign w:val="superscript"/>
        </w:rPr>
        <w:t xml:space="preserve"> </w:t>
      </w:r>
      <w:r w:rsidR="6A5367B8">
        <w:t>FERC is correcting an error in how the previous estimates were calculated to match our established methodology.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F00" w14:paraId="52807C6B" w14:textId="77777777">
    <w:pPr>
      <w:pStyle w:val="Header"/>
    </w:pPr>
  </w:p>
  <w:p w:rsidR="00660E7B" w14:paraId="26320737" w14:textId="77777777">
    <w:pPr>
      <w:pStyle w:val="Header"/>
    </w:pPr>
    <w:r>
      <w:t>FERC-549</w:t>
    </w:r>
    <w:r w:rsidR="00703122">
      <w:t xml:space="preserve"> (OMB </w:t>
    </w:r>
    <w:r>
      <w:t>Control No. 1902-0086</w:t>
    </w:r>
    <w:r w:rsidR="00703122">
      <w:t>)</w:t>
    </w:r>
  </w:p>
  <w:p w:rsidR="00A258A4" w14:paraId="4B5E61BF" w14:textId="6E918948">
    <w:pPr>
      <w:pStyle w:val="Header"/>
    </w:pPr>
    <w:r>
      <w:t>(Renewal in Docket No. IC26-17-000)</w:t>
    </w:r>
  </w:p>
  <w:p w:rsidR="00FB275B" w14:paraId="1EA079D8" w14:textId="3B938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2EC1" w14:paraId="3ACAFCC7" w14:textId="77777777">
    <w:pPr>
      <w:pStyle w:val="Header"/>
    </w:pPr>
    <w:r>
      <w:t xml:space="preserve">FERC Form </w:t>
    </w:r>
    <w:r w:rsidR="00CC615D">
      <w:t>730 (OMB Control No. 1902-0239</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31DA4"/>
    <w:multiLevelType w:val="hybridMultilevel"/>
    <w:tmpl w:val="947AAC10"/>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322545"/>
    <w:multiLevelType w:val="hybridMultilevel"/>
    <w:tmpl w:val="0D501B28"/>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896CF2"/>
    <w:multiLevelType w:val="hybridMultilevel"/>
    <w:tmpl w:val="8EFA79AA"/>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BC3D39"/>
    <w:multiLevelType w:val="hybridMultilevel"/>
    <w:tmpl w:val="6BB219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02E3322"/>
    <w:multiLevelType w:val="hybridMultilevel"/>
    <w:tmpl w:val="2A0A30FC"/>
    <w:lvl w:ilvl="0">
      <w:start w:val="1"/>
      <w:numFmt w:val="decimal"/>
      <w:lvlText w:val="(%1)"/>
      <w:lvlJc w:val="left"/>
      <w:pPr>
        <w:ind w:left="73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1C14BB"/>
    <w:multiLevelType w:val="hybridMultilevel"/>
    <w:tmpl w:val="EBDCF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CD52A7"/>
    <w:multiLevelType w:val="hybridMultilevel"/>
    <w:tmpl w:val="B59A6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5477FA"/>
    <w:multiLevelType w:val="hybridMultilevel"/>
    <w:tmpl w:val="247AC6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F0244C"/>
    <w:multiLevelType w:val="hybridMultilevel"/>
    <w:tmpl w:val="7A9E7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B3306C"/>
    <w:multiLevelType w:val="hybridMultilevel"/>
    <w:tmpl w:val="60D0A2E4"/>
    <w:lvl w:ilvl="0">
      <w:start w:val="2"/>
      <w:numFmt w:val="decimal"/>
      <w:lvlText w:val="%1."/>
      <w:lvlJc w:val="left"/>
      <w:pPr>
        <w:tabs>
          <w:tab w:val="num" w:pos="1815"/>
        </w:tabs>
        <w:ind w:left="1815" w:hanging="181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36AE766A"/>
    <w:multiLevelType w:val="hybridMultilevel"/>
    <w:tmpl w:val="1616D212"/>
    <w:lvl w:ilvl="0">
      <w:start w:val="2"/>
      <w:numFmt w:val="decimal"/>
      <w:lvlText w:val="%1."/>
      <w:lvlJc w:val="left"/>
      <w:pPr>
        <w:ind w:left="720" w:hanging="648"/>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AC4B3C"/>
    <w:multiLevelType w:val="hybridMultilevel"/>
    <w:tmpl w:val="8E247612"/>
    <w:lvl w:ilvl="0">
      <w:start w:val="299"/>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5E5060"/>
    <w:multiLevelType w:val="hybridMultilevel"/>
    <w:tmpl w:val="4F087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23D551A"/>
    <w:multiLevelType w:val="hybridMultilevel"/>
    <w:tmpl w:val="FB72C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500361F9"/>
    <w:multiLevelType w:val="hybridMultilevel"/>
    <w:tmpl w:val="80DAC6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60413DC"/>
    <w:multiLevelType w:val="hybridMultilevel"/>
    <w:tmpl w:val="3C588E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84A52DE"/>
    <w:multiLevelType w:val="hybridMultilevel"/>
    <w:tmpl w:val="9836E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59EC0529"/>
    <w:multiLevelType w:val="hybridMultilevel"/>
    <w:tmpl w:val="368C18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D4316DC"/>
    <w:multiLevelType w:val="hybridMultilevel"/>
    <w:tmpl w:val="3CC22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67D17C4"/>
    <w:multiLevelType w:val="hybridMultilevel"/>
    <w:tmpl w:val="BAD2A4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95A776C"/>
    <w:multiLevelType w:val="hybridMultilevel"/>
    <w:tmpl w:val="8522C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219784A"/>
    <w:multiLevelType w:val="hybridMultilevel"/>
    <w:tmpl w:val="13E82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4B338F8"/>
    <w:multiLevelType w:val="hybridMultilevel"/>
    <w:tmpl w:val="A7921066"/>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02033601">
    <w:abstractNumId w:val="16"/>
  </w:num>
  <w:num w:numId="2" w16cid:durableId="1096361122">
    <w:abstractNumId w:val="3"/>
  </w:num>
  <w:num w:numId="3" w16cid:durableId="1708214950">
    <w:abstractNumId w:val="22"/>
  </w:num>
  <w:num w:numId="4" w16cid:durableId="1233198001">
    <w:abstractNumId w:val="10"/>
  </w:num>
  <w:num w:numId="5" w16cid:durableId="2103068612">
    <w:abstractNumId w:val="19"/>
  </w:num>
  <w:num w:numId="6" w16cid:durableId="490219576">
    <w:abstractNumId w:val="4"/>
  </w:num>
  <w:num w:numId="7" w16cid:durableId="602344955">
    <w:abstractNumId w:val="15"/>
  </w:num>
  <w:num w:numId="8" w16cid:durableId="1971546573">
    <w:abstractNumId w:val="20"/>
  </w:num>
  <w:num w:numId="9" w16cid:durableId="40904266">
    <w:abstractNumId w:val="11"/>
  </w:num>
  <w:num w:numId="10" w16cid:durableId="230233216">
    <w:abstractNumId w:val="2"/>
  </w:num>
  <w:num w:numId="11" w16cid:durableId="1189752696">
    <w:abstractNumId w:val="26"/>
  </w:num>
  <w:num w:numId="12" w16cid:durableId="1602184895">
    <w:abstractNumId w:val="1"/>
  </w:num>
  <w:num w:numId="13" w16cid:durableId="1504398602">
    <w:abstractNumId w:val="17"/>
  </w:num>
  <w:num w:numId="14" w16cid:durableId="6496703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1921576">
    <w:abstractNumId w:val="8"/>
  </w:num>
  <w:num w:numId="16" w16cid:durableId="13349126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8164532">
    <w:abstractNumId w:val="9"/>
  </w:num>
  <w:num w:numId="18" w16cid:durableId="241528585">
    <w:abstractNumId w:val="18"/>
  </w:num>
  <w:num w:numId="19" w16cid:durableId="1528258052">
    <w:abstractNumId w:val="24"/>
  </w:num>
  <w:num w:numId="20" w16cid:durableId="2011905401">
    <w:abstractNumId w:val="25"/>
  </w:num>
  <w:num w:numId="21" w16cid:durableId="1298759603">
    <w:abstractNumId w:val="0"/>
  </w:num>
  <w:num w:numId="22" w16cid:durableId="779498288">
    <w:abstractNumId w:val="12"/>
  </w:num>
  <w:num w:numId="23" w16cid:durableId="1503666781">
    <w:abstractNumId w:val="5"/>
  </w:num>
  <w:num w:numId="24" w16cid:durableId="1798059352">
    <w:abstractNumId w:val="7"/>
  </w:num>
  <w:num w:numId="25" w16cid:durableId="1753159334">
    <w:abstractNumId w:val="21"/>
  </w:num>
  <w:num w:numId="26" w16cid:durableId="328215364">
    <w:abstractNumId w:val="13"/>
  </w:num>
  <w:num w:numId="27" w16cid:durableId="603421181">
    <w:abstractNumId w:val="6"/>
  </w:num>
  <w:num w:numId="28" w16cid:durableId="13193367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6D"/>
    <w:rsid w:val="000025AC"/>
    <w:rsid w:val="000034F8"/>
    <w:rsid w:val="00003A7C"/>
    <w:rsid w:val="0001247E"/>
    <w:rsid w:val="00012A4A"/>
    <w:rsid w:val="0001551E"/>
    <w:rsid w:val="00016817"/>
    <w:rsid w:val="000173ED"/>
    <w:rsid w:val="00020685"/>
    <w:rsid w:val="00020D48"/>
    <w:rsid w:val="00021084"/>
    <w:rsid w:val="00021225"/>
    <w:rsid w:val="000218B7"/>
    <w:rsid w:val="00022E35"/>
    <w:rsid w:val="000235CF"/>
    <w:rsid w:val="00023B1E"/>
    <w:rsid w:val="00024BE8"/>
    <w:rsid w:val="00024FF3"/>
    <w:rsid w:val="0002721E"/>
    <w:rsid w:val="00027E37"/>
    <w:rsid w:val="000323B0"/>
    <w:rsid w:val="00034298"/>
    <w:rsid w:val="00036DC5"/>
    <w:rsid w:val="00040510"/>
    <w:rsid w:val="00045409"/>
    <w:rsid w:val="00045B63"/>
    <w:rsid w:val="00046BE8"/>
    <w:rsid w:val="00052A7F"/>
    <w:rsid w:val="00053059"/>
    <w:rsid w:val="000541BF"/>
    <w:rsid w:val="00055E41"/>
    <w:rsid w:val="000568D3"/>
    <w:rsid w:val="00062B6B"/>
    <w:rsid w:val="00065C97"/>
    <w:rsid w:val="000677CB"/>
    <w:rsid w:val="00067A92"/>
    <w:rsid w:val="000709BE"/>
    <w:rsid w:val="00070C6C"/>
    <w:rsid w:val="00077130"/>
    <w:rsid w:val="000806CF"/>
    <w:rsid w:val="000828F5"/>
    <w:rsid w:val="00083600"/>
    <w:rsid w:val="00083770"/>
    <w:rsid w:val="00083D28"/>
    <w:rsid w:val="00083DA5"/>
    <w:rsid w:val="00085102"/>
    <w:rsid w:val="00085AA8"/>
    <w:rsid w:val="00085BBE"/>
    <w:rsid w:val="000867F3"/>
    <w:rsid w:val="00092DD7"/>
    <w:rsid w:val="00094741"/>
    <w:rsid w:val="00095F1E"/>
    <w:rsid w:val="000969B5"/>
    <w:rsid w:val="00096FF8"/>
    <w:rsid w:val="00097AB8"/>
    <w:rsid w:val="000A1605"/>
    <w:rsid w:val="000A1702"/>
    <w:rsid w:val="000A4F90"/>
    <w:rsid w:val="000A5956"/>
    <w:rsid w:val="000A5A41"/>
    <w:rsid w:val="000A6D72"/>
    <w:rsid w:val="000A6F72"/>
    <w:rsid w:val="000B087D"/>
    <w:rsid w:val="000B253C"/>
    <w:rsid w:val="000B293A"/>
    <w:rsid w:val="000B35D0"/>
    <w:rsid w:val="000B7CC6"/>
    <w:rsid w:val="000C1155"/>
    <w:rsid w:val="000C3980"/>
    <w:rsid w:val="000C5C56"/>
    <w:rsid w:val="000D16A9"/>
    <w:rsid w:val="000D209C"/>
    <w:rsid w:val="000D438E"/>
    <w:rsid w:val="000D6795"/>
    <w:rsid w:val="000D6CDF"/>
    <w:rsid w:val="000E1D4F"/>
    <w:rsid w:val="000E68F4"/>
    <w:rsid w:val="000E7454"/>
    <w:rsid w:val="000F10C9"/>
    <w:rsid w:val="000F3A77"/>
    <w:rsid w:val="000F47E3"/>
    <w:rsid w:val="000F51B0"/>
    <w:rsid w:val="000F53A6"/>
    <w:rsid w:val="000F6506"/>
    <w:rsid w:val="000F7CFD"/>
    <w:rsid w:val="0010110C"/>
    <w:rsid w:val="001030DB"/>
    <w:rsid w:val="00104AD3"/>
    <w:rsid w:val="00104EF4"/>
    <w:rsid w:val="00105E8C"/>
    <w:rsid w:val="00106CC3"/>
    <w:rsid w:val="00106F36"/>
    <w:rsid w:val="001078D9"/>
    <w:rsid w:val="00110D3E"/>
    <w:rsid w:val="00110DAB"/>
    <w:rsid w:val="00112823"/>
    <w:rsid w:val="00113780"/>
    <w:rsid w:val="00113E70"/>
    <w:rsid w:val="001206AB"/>
    <w:rsid w:val="00120DF6"/>
    <w:rsid w:val="00120E2D"/>
    <w:rsid w:val="0012157A"/>
    <w:rsid w:val="0012439D"/>
    <w:rsid w:val="001252A3"/>
    <w:rsid w:val="00127641"/>
    <w:rsid w:val="0013046B"/>
    <w:rsid w:val="0013164B"/>
    <w:rsid w:val="00133317"/>
    <w:rsid w:val="00133CAD"/>
    <w:rsid w:val="00134B51"/>
    <w:rsid w:val="00134D74"/>
    <w:rsid w:val="001351A4"/>
    <w:rsid w:val="001352B5"/>
    <w:rsid w:val="00136007"/>
    <w:rsid w:val="001432C9"/>
    <w:rsid w:val="001440C0"/>
    <w:rsid w:val="00144D3C"/>
    <w:rsid w:val="001453CA"/>
    <w:rsid w:val="0014643C"/>
    <w:rsid w:val="00147917"/>
    <w:rsid w:val="001512AE"/>
    <w:rsid w:val="0015167A"/>
    <w:rsid w:val="00155CC3"/>
    <w:rsid w:val="00156719"/>
    <w:rsid w:val="00157D06"/>
    <w:rsid w:val="0016214C"/>
    <w:rsid w:val="001628DC"/>
    <w:rsid w:val="0016698A"/>
    <w:rsid w:val="00166CF7"/>
    <w:rsid w:val="00173112"/>
    <w:rsid w:val="001734C9"/>
    <w:rsid w:val="00181B4A"/>
    <w:rsid w:val="00182565"/>
    <w:rsid w:val="00182D69"/>
    <w:rsid w:val="00184F8A"/>
    <w:rsid w:val="001865F9"/>
    <w:rsid w:val="00186F54"/>
    <w:rsid w:val="00191983"/>
    <w:rsid w:val="00191F15"/>
    <w:rsid w:val="001922FC"/>
    <w:rsid w:val="00192A85"/>
    <w:rsid w:val="00195516"/>
    <w:rsid w:val="001A07E0"/>
    <w:rsid w:val="001A24B4"/>
    <w:rsid w:val="001A2FBE"/>
    <w:rsid w:val="001A6657"/>
    <w:rsid w:val="001A6957"/>
    <w:rsid w:val="001A7A49"/>
    <w:rsid w:val="001B1350"/>
    <w:rsid w:val="001B4E2C"/>
    <w:rsid w:val="001B6647"/>
    <w:rsid w:val="001C042A"/>
    <w:rsid w:val="001C0D38"/>
    <w:rsid w:val="001C0E96"/>
    <w:rsid w:val="001C6B24"/>
    <w:rsid w:val="001D1F1C"/>
    <w:rsid w:val="001D2713"/>
    <w:rsid w:val="001D2EC1"/>
    <w:rsid w:val="001D402F"/>
    <w:rsid w:val="001D5AB0"/>
    <w:rsid w:val="001D704A"/>
    <w:rsid w:val="001E2FC7"/>
    <w:rsid w:val="001E6D2B"/>
    <w:rsid w:val="001E71D8"/>
    <w:rsid w:val="001F2198"/>
    <w:rsid w:val="001F3ADE"/>
    <w:rsid w:val="001F42E7"/>
    <w:rsid w:val="001F5BD4"/>
    <w:rsid w:val="001F60CC"/>
    <w:rsid w:val="001F6C8A"/>
    <w:rsid w:val="001F703D"/>
    <w:rsid w:val="001F7EA1"/>
    <w:rsid w:val="002000AA"/>
    <w:rsid w:val="00202431"/>
    <w:rsid w:val="00202912"/>
    <w:rsid w:val="00202C71"/>
    <w:rsid w:val="00203AAF"/>
    <w:rsid w:val="002041BB"/>
    <w:rsid w:val="00205169"/>
    <w:rsid w:val="00210D04"/>
    <w:rsid w:val="00211C1A"/>
    <w:rsid w:val="0021208A"/>
    <w:rsid w:val="002139D0"/>
    <w:rsid w:val="002142A2"/>
    <w:rsid w:val="002145D6"/>
    <w:rsid w:val="00215A5B"/>
    <w:rsid w:val="00215C7D"/>
    <w:rsid w:val="00216D5C"/>
    <w:rsid w:val="0022169C"/>
    <w:rsid w:val="00222DFE"/>
    <w:rsid w:val="002238C3"/>
    <w:rsid w:val="00225E4C"/>
    <w:rsid w:val="00230F59"/>
    <w:rsid w:val="00233DDD"/>
    <w:rsid w:val="002351A7"/>
    <w:rsid w:val="00236C66"/>
    <w:rsid w:val="00237669"/>
    <w:rsid w:val="002401FA"/>
    <w:rsid w:val="0024137A"/>
    <w:rsid w:val="00241B71"/>
    <w:rsid w:val="00243E0A"/>
    <w:rsid w:val="00251482"/>
    <w:rsid w:val="00254637"/>
    <w:rsid w:val="00254B4F"/>
    <w:rsid w:val="002565F8"/>
    <w:rsid w:val="00261BF6"/>
    <w:rsid w:val="00261F2F"/>
    <w:rsid w:val="00263872"/>
    <w:rsid w:val="0026455B"/>
    <w:rsid w:val="002653AA"/>
    <w:rsid w:val="00265648"/>
    <w:rsid w:val="00266589"/>
    <w:rsid w:val="00267F92"/>
    <w:rsid w:val="00271032"/>
    <w:rsid w:val="00273281"/>
    <w:rsid w:val="002744B8"/>
    <w:rsid w:val="002766FC"/>
    <w:rsid w:val="00277609"/>
    <w:rsid w:val="002810B6"/>
    <w:rsid w:val="0028133D"/>
    <w:rsid w:val="002828A5"/>
    <w:rsid w:val="00283EFD"/>
    <w:rsid w:val="00290BFD"/>
    <w:rsid w:val="00290FFD"/>
    <w:rsid w:val="002945CA"/>
    <w:rsid w:val="00295C38"/>
    <w:rsid w:val="00295CD3"/>
    <w:rsid w:val="00297886"/>
    <w:rsid w:val="002A2B8E"/>
    <w:rsid w:val="002A5221"/>
    <w:rsid w:val="002A579B"/>
    <w:rsid w:val="002A7917"/>
    <w:rsid w:val="002B2B05"/>
    <w:rsid w:val="002B459D"/>
    <w:rsid w:val="002B5A04"/>
    <w:rsid w:val="002B60EF"/>
    <w:rsid w:val="002B7023"/>
    <w:rsid w:val="002C23DE"/>
    <w:rsid w:val="002C3008"/>
    <w:rsid w:val="002C3CEA"/>
    <w:rsid w:val="002C755E"/>
    <w:rsid w:val="002D1050"/>
    <w:rsid w:val="002D1C9A"/>
    <w:rsid w:val="002D2790"/>
    <w:rsid w:val="002D3770"/>
    <w:rsid w:val="002D5138"/>
    <w:rsid w:val="002D7884"/>
    <w:rsid w:val="002E1D9F"/>
    <w:rsid w:val="002E210E"/>
    <w:rsid w:val="002E283F"/>
    <w:rsid w:val="002E5334"/>
    <w:rsid w:val="002E53B8"/>
    <w:rsid w:val="002E5B7E"/>
    <w:rsid w:val="002E6380"/>
    <w:rsid w:val="002E6CFD"/>
    <w:rsid w:val="002E747B"/>
    <w:rsid w:val="002F0D14"/>
    <w:rsid w:val="002F1A72"/>
    <w:rsid w:val="002F353A"/>
    <w:rsid w:val="002F7E7E"/>
    <w:rsid w:val="0030217D"/>
    <w:rsid w:val="00303ACD"/>
    <w:rsid w:val="00307F28"/>
    <w:rsid w:val="00310C07"/>
    <w:rsid w:val="003153AC"/>
    <w:rsid w:val="00317E41"/>
    <w:rsid w:val="00320B6D"/>
    <w:rsid w:val="00320BEF"/>
    <w:rsid w:val="0032225E"/>
    <w:rsid w:val="00324C98"/>
    <w:rsid w:val="0032545A"/>
    <w:rsid w:val="003272E8"/>
    <w:rsid w:val="0033034E"/>
    <w:rsid w:val="003310F1"/>
    <w:rsid w:val="00331BAA"/>
    <w:rsid w:val="003321B4"/>
    <w:rsid w:val="00332CC0"/>
    <w:rsid w:val="0033310B"/>
    <w:rsid w:val="00336D04"/>
    <w:rsid w:val="003372E1"/>
    <w:rsid w:val="00341B6C"/>
    <w:rsid w:val="00341EEB"/>
    <w:rsid w:val="003431A7"/>
    <w:rsid w:val="00345576"/>
    <w:rsid w:val="003457C3"/>
    <w:rsid w:val="00347DB1"/>
    <w:rsid w:val="00350015"/>
    <w:rsid w:val="003532D8"/>
    <w:rsid w:val="00353B04"/>
    <w:rsid w:val="0035481D"/>
    <w:rsid w:val="003558CF"/>
    <w:rsid w:val="003559AB"/>
    <w:rsid w:val="003600CD"/>
    <w:rsid w:val="003635F6"/>
    <w:rsid w:val="00363D51"/>
    <w:rsid w:val="00363FF0"/>
    <w:rsid w:val="00364C91"/>
    <w:rsid w:val="00364D98"/>
    <w:rsid w:val="0036607F"/>
    <w:rsid w:val="0036799D"/>
    <w:rsid w:val="00370EA9"/>
    <w:rsid w:val="00372141"/>
    <w:rsid w:val="0037234B"/>
    <w:rsid w:val="00373190"/>
    <w:rsid w:val="00375436"/>
    <w:rsid w:val="00375974"/>
    <w:rsid w:val="00380D7B"/>
    <w:rsid w:val="00380FD5"/>
    <w:rsid w:val="0038289B"/>
    <w:rsid w:val="00383F79"/>
    <w:rsid w:val="003855E8"/>
    <w:rsid w:val="00385640"/>
    <w:rsid w:val="003865F3"/>
    <w:rsid w:val="00394C0C"/>
    <w:rsid w:val="00396DF7"/>
    <w:rsid w:val="003971F8"/>
    <w:rsid w:val="003975B7"/>
    <w:rsid w:val="003A0A23"/>
    <w:rsid w:val="003A0C52"/>
    <w:rsid w:val="003A4AD2"/>
    <w:rsid w:val="003A4DBA"/>
    <w:rsid w:val="003A5958"/>
    <w:rsid w:val="003A60C1"/>
    <w:rsid w:val="003A6C4D"/>
    <w:rsid w:val="003A6E96"/>
    <w:rsid w:val="003A7243"/>
    <w:rsid w:val="003A73CC"/>
    <w:rsid w:val="003A7ED5"/>
    <w:rsid w:val="003B0D1F"/>
    <w:rsid w:val="003B19D8"/>
    <w:rsid w:val="003B4A84"/>
    <w:rsid w:val="003B6B49"/>
    <w:rsid w:val="003B7DB9"/>
    <w:rsid w:val="003C1D18"/>
    <w:rsid w:val="003C429A"/>
    <w:rsid w:val="003C53F5"/>
    <w:rsid w:val="003C58BA"/>
    <w:rsid w:val="003C61DC"/>
    <w:rsid w:val="003C7B33"/>
    <w:rsid w:val="003D3487"/>
    <w:rsid w:val="003E1758"/>
    <w:rsid w:val="003E273D"/>
    <w:rsid w:val="003E6257"/>
    <w:rsid w:val="003E6694"/>
    <w:rsid w:val="003E78AA"/>
    <w:rsid w:val="003F13B9"/>
    <w:rsid w:val="003F23CC"/>
    <w:rsid w:val="003F5E98"/>
    <w:rsid w:val="00404057"/>
    <w:rsid w:val="0040515B"/>
    <w:rsid w:val="004066D6"/>
    <w:rsid w:val="00411203"/>
    <w:rsid w:val="0041142C"/>
    <w:rsid w:val="00412E99"/>
    <w:rsid w:val="00413A15"/>
    <w:rsid w:val="004173A2"/>
    <w:rsid w:val="00422EB7"/>
    <w:rsid w:val="004259C4"/>
    <w:rsid w:val="00426B6E"/>
    <w:rsid w:val="00426FB9"/>
    <w:rsid w:val="004303B3"/>
    <w:rsid w:val="00431B01"/>
    <w:rsid w:val="00432DA3"/>
    <w:rsid w:val="00433306"/>
    <w:rsid w:val="004343FA"/>
    <w:rsid w:val="00434BDC"/>
    <w:rsid w:val="00435DA9"/>
    <w:rsid w:val="004402C3"/>
    <w:rsid w:val="00440A3D"/>
    <w:rsid w:val="004437F9"/>
    <w:rsid w:val="004445CE"/>
    <w:rsid w:val="00444E36"/>
    <w:rsid w:val="004454ED"/>
    <w:rsid w:val="00445807"/>
    <w:rsid w:val="004472EB"/>
    <w:rsid w:val="00450BD9"/>
    <w:rsid w:val="00454D32"/>
    <w:rsid w:val="00455E66"/>
    <w:rsid w:val="0046076D"/>
    <w:rsid w:val="00462500"/>
    <w:rsid w:val="00464344"/>
    <w:rsid w:val="004678C3"/>
    <w:rsid w:val="00470103"/>
    <w:rsid w:val="00470787"/>
    <w:rsid w:val="00472EDA"/>
    <w:rsid w:val="00473BA6"/>
    <w:rsid w:val="00480AC9"/>
    <w:rsid w:val="00481097"/>
    <w:rsid w:val="00481BAD"/>
    <w:rsid w:val="00483122"/>
    <w:rsid w:val="0048698C"/>
    <w:rsid w:val="004925C8"/>
    <w:rsid w:val="00493116"/>
    <w:rsid w:val="00493FC0"/>
    <w:rsid w:val="0049445E"/>
    <w:rsid w:val="00496B29"/>
    <w:rsid w:val="004A07B8"/>
    <w:rsid w:val="004A0E48"/>
    <w:rsid w:val="004A165D"/>
    <w:rsid w:val="004A2904"/>
    <w:rsid w:val="004A6EDA"/>
    <w:rsid w:val="004A7FDE"/>
    <w:rsid w:val="004B0930"/>
    <w:rsid w:val="004B2FD7"/>
    <w:rsid w:val="004B5829"/>
    <w:rsid w:val="004B7438"/>
    <w:rsid w:val="004C0201"/>
    <w:rsid w:val="004C0C0D"/>
    <w:rsid w:val="004C1548"/>
    <w:rsid w:val="004C46C8"/>
    <w:rsid w:val="004C4BB5"/>
    <w:rsid w:val="004C5294"/>
    <w:rsid w:val="004C5641"/>
    <w:rsid w:val="004C5B43"/>
    <w:rsid w:val="004C65AC"/>
    <w:rsid w:val="004C69E7"/>
    <w:rsid w:val="004D2217"/>
    <w:rsid w:val="004D313B"/>
    <w:rsid w:val="004D4316"/>
    <w:rsid w:val="004D455A"/>
    <w:rsid w:val="004D5B3E"/>
    <w:rsid w:val="004D6DEB"/>
    <w:rsid w:val="004D70BB"/>
    <w:rsid w:val="004E04E1"/>
    <w:rsid w:val="004E1922"/>
    <w:rsid w:val="004E29DC"/>
    <w:rsid w:val="004E51BD"/>
    <w:rsid w:val="004E54D6"/>
    <w:rsid w:val="004E6DD6"/>
    <w:rsid w:val="004F1F0B"/>
    <w:rsid w:val="004F2446"/>
    <w:rsid w:val="004F3BFD"/>
    <w:rsid w:val="004F44FC"/>
    <w:rsid w:val="004F46CA"/>
    <w:rsid w:val="004F49CB"/>
    <w:rsid w:val="004F6802"/>
    <w:rsid w:val="004F7BFA"/>
    <w:rsid w:val="00500331"/>
    <w:rsid w:val="00501686"/>
    <w:rsid w:val="005030F7"/>
    <w:rsid w:val="00503696"/>
    <w:rsid w:val="00507BB0"/>
    <w:rsid w:val="005109DE"/>
    <w:rsid w:val="00514235"/>
    <w:rsid w:val="00515545"/>
    <w:rsid w:val="005159E0"/>
    <w:rsid w:val="00520C73"/>
    <w:rsid w:val="0052226C"/>
    <w:rsid w:val="0052248D"/>
    <w:rsid w:val="005240A1"/>
    <w:rsid w:val="005260C9"/>
    <w:rsid w:val="00526625"/>
    <w:rsid w:val="00526AE7"/>
    <w:rsid w:val="00526F97"/>
    <w:rsid w:val="005278D6"/>
    <w:rsid w:val="00532422"/>
    <w:rsid w:val="00532627"/>
    <w:rsid w:val="00534535"/>
    <w:rsid w:val="00534C46"/>
    <w:rsid w:val="00540509"/>
    <w:rsid w:val="00541938"/>
    <w:rsid w:val="00544936"/>
    <w:rsid w:val="00545B62"/>
    <w:rsid w:val="005469F8"/>
    <w:rsid w:val="00547729"/>
    <w:rsid w:val="0055199E"/>
    <w:rsid w:val="00552AF0"/>
    <w:rsid w:val="0055387E"/>
    <w:rsid w:val="00554F9E"/>
    <w:rsid w:val="005561A8"/>
    <w:rsid w:val="00560503"/>
    <w:rsid w:val="005638C4"/>
    <w:rsid w:val="0056390D"/>
    <w:rsid w:val="00565215"/>
    <w:rsid w:val="005659AB"/>
    <w:rsid w:val="005678F6"/>
    <w:rsid w:val="00573460"/>
    <w:rsid w:val="00575DE4"/>
    <w:rsid w:val="005812F8"/>
    <w:rsid w:val="005830D1"/>
    <w:rsid w:val="00583F2B"/>
    <w:rsid w:val="00587538"/>
    <w:rsid w:val="0058753D"/>
    <w:rsid w:val="005920A8"/>
    <w:rsid w:val="0059261F"/>
    <w:rsid w:val="00592E82"/>
    <w:rsid w:val="00593681"/>
    <w:rsid w:val="00593CC7"/>
    <w:rsid w:val="00595144"/>
    <w:rsid w:val="005959ED"/>
    <w:rsid w:val="00596279"/>
    <w:rsid w:val="005A3933"/>
    <w:rsid w:val="005A4308"/>
    <w:rsid w:val="005A6814"/>
    <w:rsid w:val="005A6FCC"/>
    <w:rsid w:val="005B38E3"/>
    <w:rsid w:val="005C5653"/>
    <w:rsid w:val="005C5DE2"/>
    <w:rsid w:val="005C67DC"/>
    <w:rsid w:val="005C6866"/>
    <w:rsid w:val="005C6964"/>
    <w:rsid w:val="005C6EBF"/>
    <w:rsid w:val="005D0011"/>
    <w:rsid w:val="005D0537"/>
    <w:rsid w:val="005D3934"/>
    <w:rsid w:val="005D5119"/>
    <w:rsid w:val="005D6791"/>
    <w:rsid w:val="005D7F63"/>
    <w:rsid w:val="005E0463"/>
    <w:rsid w:val="005E4221"/>
    <w:rsid w:val="005E630F"/>
    <w:rsid w:val="005F3FB4"/>
    <w:rsid w:val="005F489F"/>
    <w:rsid w:val="005F62ED"/>
    <w:rsid w:val="005F640C"/>
    <w:rsid w:val="005F64CF"/>
    <w:rsid w:val="005F6AB4"/>
    <w:rsid w:val="006017F5"/>
    <w:rsid w:val="00605EFF"/>
    <w:rsid w:val="00606C1E"/>
    <w:rsid w:val="00607B98"/>
    <w:rsid w:val="00612A59"/>
    <w:rsid w:val="00612C2D"/>
    <w:rsid w:val="00614D21"/>
    <w:rsid w:val="006212C0"/>
    <w:rsid w:val="00623CA0"/>
    <w:rsid w:val="00624129"/>
    <w:rsid w:val="00625A91"/>
    <w:rsid w:val="00633439"/>
    <w:rsid w:val="00640D24"/>
    <w:rsid w:val="00642F87"/>
    <w:rsid w:val="0064330F"/>
    <w:rsid w:val="006441AD"/>
    <w:rsid w:val="00645CE3"/>
    <w:rsid w:val="00646ACD"/>
    <w:rsid w:val="006502D7"/>
    <w:rsid w:val="00651F6C"/>
    <w:rsid w:val="00654627"/>
    <w:rsid w:val="00654B17"/>
    <w:rsid w:val="00654CE3"/>
    <w:rsid w:val="0065654E"/>
    <w:rsid w:val="006578DE"/>
    <w:rsid w:val="006605B3"/>
    <w:rsid w:val="00660E7B"/>
    <w:rsid w:val="00662D3B"/>
    <w:rsid w:val="00665FCF"/>
    <w:rsid w:val="006668DA"/>
    <w:rsid w:val="00670A3F"/>
    <w:rsid w:val="006741B8"/>
    <w:rsid w:val="0068125B"/>
    <w:rsid w:val="0068253A"/>
    <w:rsid w:val="00683161"/>
    <w:rsid w:val="00684AC1"/>
    <w:rsid w:val="0068547E"/>
    <w:rsid w:val="006859F9"/>
    <w:rsid w:val="00685C32"/>
    <w:rsid w:val="006922FC"/>
    <w:rsid w:val="006927B4"/>
    <w:rsid w:val="006A1A2E"/>
    <w:rsid w:val="006A3866"/>
    <w:rsid w:val="006A6928"/>
    <w:rsid w:val="006B0369"/>
    <w:rsid w:val="006B2117"/>
    <w:rsid w:val="006B2E0B"/>
    <w:rsid w:val="006B3520"/>
    <w:rsid w:val="006B45ED"/>
    <w:rsid w:val="006B483A"/>
    <w:rsid w:val="006B4B8A"/>
    <w:rsid w:val="006B4BCD"/>
    <w:rsid w:val="006B7DFF"/>
    <w:rsid w:val="006C0F70"/>
    <w:rsid w:val="006C1E96"/>
    <w:rsid w:val="006C214A"/>
    <w:rsid w:val="006C25B4"/>
    <w:rsid w:val="006C6B32"/>
    <w:rsid w:val="006D14FB"/>
    <w:rsid w:val="006D2F01"/>
    <w:rsid w:val="006D451B"/>
    <w:rsid w:val="006D6972"/>
    <w:rsid w:val="006E021F"/>
    <w:rsid w:val="006E3173"/>
    <w:rsid w:val="006E7B38"/>
    <w:rsid w:val="006F02D6"/>
    <w:rsid w:val="006F1E4C"/>
    <w:rsid w:val="006F27BF"/>
    <w:rsid w:val="006F327F"/>
    <w:rsid w:val="006F6859"/>
    <w:rsid w:val="006F7E5A"/>
    <w:rsid w:val="007008F2"/>
    <w:rsid w:val="00703122"/>
    <w:rsid w:val="00703F17"/>
    <w:rsid w:val="007058C2"/>
    <w:rsid w:val="007074CD"/>
    <w:rsid w:val="00714104"/>
    <w:rsid w:val="00714D79"/>
    <w:rsid w:val="007167BB"/>
    <w:rsid w:val="00716EC4"/>
    <w:rsid w:val="007206B7"/>
    <w:rsid w:val="007212E2"/>
    <w:rsid w:val="0072469F"/>
    <w:rsid w:val="007250D9"/>
    <w:rsid w:val="007250DB"/>
    <w:rsid w:val="00726879"/>
    <w:rsid w:val="0073100D"/>
    <w:rsid w:val="00731190"/>
    <w:rsid w:val="00732967"/>
    <w:rsid w:val="0073382B"/>
    <w:rsid w:val="00741536"/>
    <w:rsid w:val="00744673"/>
    <w:rsid w:val="0074569C"/>
    <w:rsid w:val="007456F0"/>
    <w:rsid w:val="0075420C"/>
    <w:rsid w:val="007544A8"/>
    <w:rsid w:val="007549DA"/>
    <w:rsid w:val="00756ADC"/>
    <w:rsid w:val="00756D8A"/>
    <w:rsid w:val="00761B98"/>
    <w:rsid w:val="007625CD"/>
    <w:rsid w:val="00763D80"/>
    <w:rsid w:val="00763E0B"/>
    <w:rsid w:val="00766F2D"/>
    <w:rsid w:val="007704C5"/>
    <w:rsid w:val="00773586"/>
    <w:rsid w:val="00774F60"/>
    <w:rsid w:val="007755F4"/>
    <w:rsid w:val="0077587D"/>
    <w:rsid w:val="00775992"/>
    <w:rsid w:val="0077789F"/>
    <w:rsid w:val="007859CA"/>
    <w:rsid w:val="00785E5A"/>
    <w:rsid w:val="00785EBF"/>
    <w:rsid w:val="00786A84"/>
    <w:rsid w:val="00787C00"/>
    <w:rsid w:val="00790DB8"/>
    <w:rsid w:val="00794995"/>
    <w:rsid w:val="00796008"/>
    <w:rsid w:val="0079767A"/>
    <w:rsid w:val="007A0778"/>
    <w:rsid w:val="007A1AB8"/>
    <w:rsid w:val="007A43C1"/>
    <w:rsid w:val="007A7265"/>
    <w:rsid w:val="007B03AC"/>
    <w:rsid w:val="007B4394"/>
    <w:rsid w:val="007B5058"/>
    <w:rsid w:val="007B529C"/>
    <w:rsid w:val="007C08DE"/>
    <w:rsid w:val="007C0E9A"/>
    <w:rsid w:val="007C1A1C"/>
    <w:rsid w:val="007C2A1D"/>
    <w:rsid w:val="007C4465"/>
    <w:rsid w:val="007C4F5D"/>
    <w:rsid w:val="007C5EF0"/>
    <w:rsid w:val="007C62C8"/>
    <w:rsid w:val="007C6C2F"/>
    <w:rsid w:val="007D38B3"/>
    <w:rsid w:val="007D3CDD"/>
    <w:rsid w:val="007D72D4"/>
    <w:rsid w:val="007D79AB"/>
    <w:rsid w:val="007E2177"/>
    <w:rsid w:val="007E3667"/>
    <w:rsid w:val="007E4BA0"/>
    <w:rsid w:val="007F1048"/>
    <w:rsid w:val="007F501F"/>
    <w:rsid w:val="007F7297"/>
    <w:rsid w:val="008001CF"/>
    <w:rsid w:val="00800BF4"/>
    <w:rsid w:val="00803B4E"/>
    <w:rsid w:val="00803D8D"/>
    <w:rsid w:val="00804920"/>
    <w:rsid w:val="008060D2"/>
    <w:rsid w:val="008076B1"/>
    <w:rsid w:val="008142A9"/>
    <w:rsid w:val="00822807"/>
    <w:rsid w:val="00822E22"/>
    <w:rsid w:val="00823ED6"/>
    <w:rsid w:val="00824E28"/>
    <w:rsid w:val="00824E79"/>
    <w:rsid w:val="00827B52"/>
    <w:rsid w:val="00833D19"/>
    <w:rsid w:val="008365D1"/>
    <w:rsid w:val="00842974"/>
    <w:rsid w:val="00844429"/>
    <w:rsid w:val="0084460E"/>
    <w:rsid w:val="008464AB"/>
    <w:rsid w:val="008464B8"/>
    <w:rsid w:val="00847B6A"/>
    <w:rsid w:val="0085095F"/>
    <w:rsid w:val="0085185A"/>
    <w:rsid w:val="00851D29"/>
    <w:rsid w:val="00852638"/>
    <w:rsid w:val="00853F6E"/>
    <w:rsid w:val="0085608A"/>
    <w:rsid w:val="0085716C"/>
    <w:rsid w:val="00860C58"/>
    <w:rsid w:val="00862A20"/>
    <w:rsid w:val="00863CD8"/>
    <w:rsid w:val="00863E12"/>
    <w:rsid w:val="00865702"/>
    <w:rsid w:val="008657BD"/>
    <w:rsid w:val="0086648A"/>
    <w:rsid w:val="00867685"/>
    <w:rsid w:val="00867774"/>
    <w:rsid w:val="00867A0D"/>
    <w:rsid w:val="00870525"/>
    <w:rsid w:val="00870617"/>
    <w:rsid w:val="00870A54"/>
    <w:rsid w:val="00870CAC"/>
    <w:rsid w:val="0087169E"/>
    <w:rsid w:val="0087300C"/>
    <w:rsid w:val="00876A25"/>
    <w:rsid w:val="00876BF3"/>
    <w:rsid w:val="008810BB"/>
    <w:rsid w:val="00881A6A"/>
    <w:rsid w:val="00881B8C"/>
    <w:rsid w:val="00881C09"/>
    <w:rsid w:val="008830E1"/>
    <w:rsid w:val="00884E33"/>
    <w:rsid w:val="00885AD5"/>
    <w:rsid w:val="00891C89"/>
    <w:rsid w:val="00891F81"/>
    <w:rsid w:val="00893289"/>
    <w:rsid w:val="0089369D"/>
    <w:rsid w:val="00897BED"/>
    <w:rsid w:val="008A12CC"/>
    <w:rsid w:val="008A2124"/>
    <w:rsid w:val="008A2812"/>
    <w:rsid w:val="008A2818"/>
    <w:rsid w:val="008A37A2"/>
    <w:rsid w:val="008A38B5"/>
    <w:rsid w:val="008A5CEB"/>
    <w:rsid w:val="008B05F9"/>
    <w:rsid w:val="008B0F00"/>
    <w:rsid w:val="008B1A17"/>
    <w:rsid w:val="008B42F7"/>
    <w:rsid w:val="008B4D31"/>
    <w:rsid w:val="008C17EF"/>
    <w:rsid w:val="008C38AB"/>
    <w:rsid w:val="008C7BF0"/>
    <w:rsid w:val="008D1501"/>
    <w:rsid w:val="008D2A12"/>
    <w:rsid w:val="008D34D7"/>
    <w:rsid w:val="008D4556"/>
    <w:rsid w:val="008D51FB"/>
    <w:rsid w:val="008D6A85"/>
    <w:rsid w:val="008D7C4C"/>
    <w:rsid w:val="008E3B22"/>
    <w:rsid w:val="008E4041"/>
    <w:rsid w:val="008E6011"/>
    <w:rsid w:val="008F12BD"/>
    <w:rsid w:val="008F1630"/>
    <w:rsid w:val="008F3499"/>
    <w:rsid w:val="008F5484"/>
    <w:rsid w:val="008F68F7"/>
    <w:rsid w:val="008F6E46"/>
    <w:rsid w:val="008F7031"/>
    <w:rsid w:val="00901750"/>
    <w:rsid w:val="00902214"/>
    <w:rsid w:val="00903191"/>
    <w:rsid w:val="00904085"/>
    <w:rsid w:val="00905A87"/>
    <w:rsid w:val="00907A71"/>
    <w:rsid w:val="009114C3"/>
    <w:rsid w:val="0091154B"/>
    <w:rsid w:val="009131DC"/>
    <w:rsid w:val="00915AC8"/>
    <w:rsid w:val="009166DD"/>
    <w:rsid w:val="00921087"/>
    <w:rsid w:val="009219D8"/>
    <w:rsid w:val="00923E3C"/>
    <w:rsid w:val="00924397"/>
    <w:rsid w:val="009244CC"/>
    <w:rsid w:val="00925523"/>
    <w:rsid w:val="00925A60"/>
    <w:rsid w:val="00930419"/>
    <w:rsid w:val="0093079E"/>
    <w:rsid w:val="00933292"/>
    <w:rsid w:val="00934B37"/>
    <w:rsid w:val="0093644E"/>
    <w:rsid w:val="009412C9"/>
    <w:rsid w:val="00943027"/>
    <w:rsid w:val="00944868"/>
    <w:rsid w:val="00944FB3"/>
    <w:rsid w:val="009461DC"/>
    <w:rsid w:val="00946814"/>
    <w:rsid w:val="00950005"/>
    <w:rsid w:val="00950F19"/>
    <w:rsid w:val="00952541"/>
    <w:rsid w:val="009529C5"/>
    <w:rsid w:val="009534FD"/>
    <w:rsid w:val="00954F1A"/>
    <w:rsid w:val="00956029"/>
    <w:rsid w:val="00956B0F"/>
    <w:rsid w:val="00957DA2"/>
    <w:rsid w:val="00960673"/>
    <w:rsid w:val="0096093B"/>
    <w:rsid w:val="0096358A"/>
    <w:rsid w:val="00965245"/>
    <w:rsid w:val="00965BDB"/>
    <w:rsid w:val="00965CA8"/>
    <w:rsid w:val="009674DE"/>
    <w:rsid w:val="00967C80"/>
    <w:rsid w:val="00970107"/>
    <w:rsid w:val="0097262C"/>
    <w:rsid w:val="00975D0A"/>
    <w:rsid w:val="00980E8E"/>
    <w:rsid w:val="0098378D"/>
    <w:rsid w:val="00984046"/>
    <w:rsid w:val="00991E98"/>
    <w:rsid w:val="0099336A"/>
    <w:rsid w:val="0099490D"/>
    <w:rsid w:val="009949C9"/>
    <w:rsid w:val="009976E5"/>
    <w:rsid w:val="009A15D8"/>
    <w:rsid w:val="009A2CF0"/>
    <w:rsid w:val="009A3A90"/>
    <w:rsid w:val="009A3D94"/>
    <w:rsid w:val="009A3D9E"/>
    <w:rsid w:val="009A6C99"/>
    <w:rsid w:val="009A6FEA"/>
    <w:rsid w:val="009A79E0"/>
    <w:rsid w:val="009B263A"/>
    <w:rsid w:val="009B2A59"/>
    <w:rsid w:val="009B3391"/>
    <w:rsid w:val="009B61E3"/>
    <w:rsid w:val="009B695D"/>
    <w:rsid w:val="009B78D9"/>
    <w:rsid w:val="009C0985"/>
    <w:rsid w:val="009C1870"/>
    <w:rsid w:val="009C1B1E"/>
    <w:rsid w:val="009C247F"/>
    <w:rsid w:val="009C2D6B"/>
    <w:rsid w:val="009C3C28"/>
    <w:rsid w:val="009C4161"/>
    <w:rsid w:val="009C4AAB"/>
    <w:rsid w:val="009C65ED"/>
    <w:rsid w:val="009D0546"/>
    <w:rsid w:val="009D4182"/>
    <w:rsid w:val="009D6B6D"/>
    <w:rsid w:val="009D7CC0"/>
    <w:rsid w:val="009E2DEE"/>
    <w:rsid w:val="009E466B"/>
    <w:rsid w:val="009E666E"/>
    <w:rsid w:val="009E6DDB"/>
    <w:rsid w:val="009F0332"/>
    <w:rsid w:val="009F48AB"/>
    <w:rsid w:val="009F50DA"/>
    <w:rsid w:val="009F51E7"/>
    <w:rsid w:val="009F5AEE"/>
    <w:rsid w:val="009F5E28"/>
    <w:rsid w:val="009F6397"/>
    <w:rsid w:val="009F69E2"/>
    <w:rsid w:val="009F6ABC"/>
    <w:rsid w:val="00A008E9"/>
    <w:rsid w:val="00A02846"/>
    <w:rsid w:val="00A04C25"/>
    <w:rsid w:val="00A05628"/>
    <w:rsid w:val="00A072F4"/>
    <w:rsid w:val="00A10FFC"/>
    <w:rsid w:val="00A11E11"/>
    <w:rsid w:val="00A12694"/>
    <w:rsid w:val="00A1314E"/>
    <w:rsid w:val="00A1368F"/>
    <w:rsid w:val="00A14084"/>
    <w:rsid w:val="00A1518C"/>
    <w:rsid w:val="00A15849"/>
    <w:rsid w:val="00A207B2"/>
    <w:rsid w:val="00A217B4"/>
    <w:rsid w:val="00A21CBB"/>
    <w:rsid w:val="00A258A4"/>
    <w:rsid w:val="00A27091"/>
    <w:rsid w:val="00A33D73"/>
    <w:rsid w:val="00A35625"/>
    <w:rsid w:val="00A365BE"/>
    <w:rsid w:val="00A37A1E"/>
    <w:rsid w:val="00A40112"/>
    <w:rsid w:val="00A4145B"/>
    <w:rsid w:val="00A44576"/>
    <w:rsid w:val="00A453D5"/>
    <w:rsid w:val="00A45F00"/>
    <w:rsid w:val="00A46088"/>
    <w:rsid w:val="00A5019D"/>
    <w:rsid w:val="00A50DD3"/>
    <w:rsid w:val="00A54322"/>
    <w:rsid w:val="00A600BF"/>
    <w:rsid w:val="00A61039"/>
    <w:rsid w:val="00A61103"/>
    <w:rsid w:val="00A6124A"/>
    <w:rsid w:val="00A669FD"/>
    <w:rsid w:val="00A74B19"/>
    <w:rsid w:val="00A75937"/>
    <w:rsid w:val="00A75D13"/>
    <w:rsid w:val="00A7608D"/>
    <w:rsid w:val="00A816CC"/>
    <w:rsid w:val="00A8182F"/>
    <w:rsid w:val="00A853FA"/>
    <w:rsid w:val="00A857D9"/>
    <w:rsid w:val="00A869C9"/>
    <w:rsid w:val="00A87AB7"/>
    <w:rsid w:val="00A92B95"/>
    <w:rsid w:val="00A93F80"/>
    <w:rsid w:val="00A94615"/>
    <w:rsid w:val="00A951E1"/>
    <w:rsid w:val="00AA3F59"/>
    <w:rsid w:val="00AA5245"/>
    <w:rsid w:val="00AA664F"/>
    <w:rsid w:val="00AA6884"/>
    <w:rsid w:val="00AA6A7E"/>
    <w:rsid w:val="00AB3516"/>
    <w:rsid w:val="00AB4AB3"/>
    <w:rsid w:val="00AB5E2F"/>
    <w:rsid w:val="00AB77F9"/>
    <w:rsid w:val="00AC087A"/>
    <w:rsid w:val="00AC0958"/>
    <w:rsid w:val="00AC12C8"/>
    <w:rsid w:val="00AC2057"/>
    <w:rsid w:val="00AC4084"/>
    <w:rsid w:val="00AC598E"/>
    <w:rsid w:val="00AC6720"/>
    <w:rsid w:val="00AD35E7"/>
    <w:rsid w:val="00AD4B96"/>
    <w:rsid w:val="00AD55B1"/>
    <w:rsid w:val="00AD6F37"/>
    <w:rsid w:val="00AD71DC"/>
    <w:rsid w:val="00AD7655"/>
    <w:rsid w:val="00AE0AE0"/>
    <w:rsid w:val="00AE10B7"/>
    <w:rsid w:val="00AE7666"/>
    <w:rsid w:val="00AE7A51"/>
    <w:rsid w:val="00AE7C9A"/>
    <w:rsid w:val="00AF3D30"/>
    <w:rsid w:val="00AF6D8D"/>
    <w:rsid w:val="00AF7E28"/>
    <w:rsid w:val="00B024A9"/>
    <w:rsid w:val="00B05AED"/>
    <w:rsid w:val="00B0663A"/>
    <w:rsid w:val="00B0759C"/>
    <w:rsid w:val="00B124E5"/>
    <w:rsid w:val="00B13054"/>
    <w:rsid w:val="00B13159"/>
    <w:rsid w:val="00B138CA"/>
    <w:rsid w:val="00B14C40"/>
    <w:rsid w:val="00B15F61"/>
    <w:rsid w:val="00B21547"/>
    <w:rsid w:val="00B2288C"/>
    <w:rsid w:val="00B241B8"/>
    <w:rsid w:val="00B24E30"/>
    <w:rsid w:val="00B30750"/>
    <w:rsid w:val="00B31111"/>
    <w:rsid w:val="00B31B47"/>
    <w:rsid w:val="00B343B8"/>
    <w:rsid w:val="00B3717E"/>
    <w:rsid w:val="00B4017A"/>
    <w:rsid w:val="00B4126B"/>
    <w:rsid w:val="00B4137C"/>
    <w:rsid w:val="00B421F6"/>
    <w:rsid w:val="00B50344"/>
    <w:rsid w:val="00B5153F"/>
    <w:rsid w:val="00B60278"/>
    <w:rsid w:val="00B603C8"/>
    <w:rsid w:val="00B610B5"/>
    <w:rsid w:val="00B613FC"/>
    <w:rsid w:val="00B61F02"/>
    <w:rsid w:val="00B63423"/>
    <w:rsid w:val="00B65243"/>
    <w:rsid w:val="00B709BE"/>
    <w:rsid w:val="00B720C1"/>
    <w:rsid w:val="00B72E16"/>
    <w:rsid w:val="00B751E5"/>
    <w:rsid w:val="00B758E6"/>
    <w:rsid w:val="00B76221"/>
    <w:rsid w:val="00B76EDA"/>
    <w:rsid w:val="00B774D8"/>
    <w:rsid w:val="00B8003F"/>
    <w:rsid w:val="00B810EF"/>
    <w:rsid w:val="00B8115A"/>
    <w:rsid w:val="00B813D1"/>
    <w:rsid w:val="00B81C15"/>
    <w:rsid w:val="00B81D1C"/>
    <w:rsid w:val="00B83EC6"/>
    <w:rsid w:val="00B86563"/>
    <w:rsid w:val="00B90AAA"/>
    <w:rsid w:val="00B9195C"/>
    <w:rsid w:val="00B93D72"/>
    <w:rsid w:val="00B97599"/>
    <w:rsid w:val="00B978F9"/>
    <w:rsid w:val="00BA1F58"/>
    <w:rsid w:val="00BA2860"/>
    <w:rsid w:val="00BA38F6"/>
    <w:rsid w:val="00BA6E7C"/>
    <w:rsid w:val="00BB0DF7"/>
    <w:rsid w:val="00BB114F"/>
    <w:rsid w:val="00BB19AC"/>
    <w:rsid w:val="00BB27CD"/>
    <w:rsid w:val="00BB3D44"/>
    <w:rsid w:val="00BB6095"/>
    <w:rsid w:val="00BB6B20"/>
    <w:rsid w:val="00BB797E"/>
    <w:rsid w:val="00BB7E1E"/>
    <w:rsid w:val="00BC008E"/>
    <w:rsid w:val="00BC05B6"/>
    <w:rsid w:val="00BC1FC7"/>
    <w:rsid w:val="00BC22D1"/>
    <w:rsid w:val="00BC5BC5"/>
    <w:rsid w:val="00BC7849"/>
    <w:rsid w:val="00BD02A7"/>
    <w:rsid w:val="00BD2A12"/>
    <w:rsid w:val="00BD4039"/>
    <w:rsid w:val="00BD6417"/>
    <w:rsid w:val="00BD6DC4"/>
    <w:rsid w:val="00BE2E94"/>
    <w:rsid w:val="00BE666D"/>
    <w:rsid w:val="00BE69DD"/>
    <w:rsid w:val="00BE7299"/>
    <w:rsid w:val="00BF17A0"/>
    <w:rsid w:val="00BF2C4E"/>
    <w:rsid w:val="00BF2C5A"/>
    <w:rsid w:val="00BF493B"/>
    <w:rsid w:val="00BF5D83"/>
    <w:rsid w:val="00BF74EF"/>
    <w:rsid w:val="00C006E6"/>
    <w:rsid w:val="00C02D9C"/>
    <w:rsid w:val="00C067C6"/>
    <w:rsid w:val="00C07FC8"/>
    <w:rsid w:val="00C12DC0"/>
    <w:rsid w:val="00C13B9F"/>
    <w:rsid w:val="00C152A5"/>
    <w:rsid w:val="00C17F56"/>
    <w:rsid w:val="00C21C5D"/>
    <w:rsid w:val="00C25960"/>
    <w:rsid w:val="00C25B0D"/>
    <w:rsid w:val="00C26139"/>
    <w:rsid w:val="00C3086A"/>
    <w:rsid w:val="00C30DCD"/>
    <w:rsid w:val="00C32AEC"/>
    <w:rsid w:val="00C33C6C"/>
    <w:rsid w:val="00C33FDE"/>
    <w:rsid w:val="00C35DAB"/>
    <w:rsid w:val="00C372AB"/>
    <w:rsid w:val="00C426FF"/>
    <w:rsid w:val="00C45593"/>
    <w:rsid w:val="00C53CB3"/>
    <w:rsid w:val="00C544C7"/>
    <w:rsid w:val="00C54607"/>
    <w:rsid w:val="00C558AD"/>
    <w:rsid w:val="00C56161"/>
    <w:rsid w:val="00C5796C"/>
    <w:rsid w:val="00C57A39"/>
    <w:rsid w:val="00C57D4D"/>
    <w:rsid w:val="00C6054F"/>
    <w:rsid w:val="00C622EF"/>
    <w:rsid w:val="00C62D08"/>
    <w:rsid w:val="00C63532"/>
    <w:rsid w:val="00C6356B"/>
    <w:rsid w:val="00C63DD0"/>
    <w:rsid w:val="00C64BFD"/>
    <w:rsid w:val="00C651D2"/>
    <w:rsid w:val="00C71CC7"/>
    <w:rsid w:val="00C71D0E"/>
    <w:rsid w:val="00C723E2"/>
    <w:rsid w:val="00C7372F"/>
    <w:rsid w:val="00C73E88"/>
    <w:rsid w:val="00C74267"/>
    <w:rsid w:val="00C75A29"/>
    <w:rsid w:val="00C7666C"/>
    <w:rsid w:val="00C80DC3"/>
    <w:rsid w:val="00C82AE3"/>
    <w:rsid w:val="00C82FB3"/>
    <w:rsid w:val="00C84482"/>
    <w:rsid w:val="00C8573C"/>
    <w:rsid w:val="00C861EC"/>
    <w:rsid w:val="00C87C69"/>
    <w:rsid w:val="00C909A2"/>
    <w:rsid w:val="00C9104D"/>
    <w:rsid w:val="00C9216E"/>
    <w:rsid w:val="00C946AC"/>
    <w:rsid w:val="00C95610"/>
    <w:rsid w:val="00C96841"/>
    <w:rsid w:val="00C972C9"/>
    <w:rsid w:val="00C973A9"/>
    <w:rsid w:val="00C97FEE"/>
    <w:rsid w:val="00CA1945"/>
    <w:rsid w:val="00CA2A50"/>
    <w:rsid w:val="00CA3BB5"/>
    <w:rsid w:val="00CA5AF7"/>
    <w:rsid w:val="00CA62BD"/>
    <w:rsid w:val="00CA6780"/>
    <w:rsid w:val="00CA7556"/>
    <w:rsid w:val="00CB3EA0"/>
    <w:rsid w:val="00CB78B0"/>
    <w:rsid w:val="00CC303D"/>
    <w:rsid w:val="00CC3A69"/>
    <w:rsid w:val="00CC578B"/>
    <w:rsid w:val="00CC5D87"/>
    <w:rsid w:val="00CC615D"/>
    <w:rsid w:val="00CD1713"/>
    <w:rsid w:val="00CD3356"/>
    <w:rsid w:val="00CD3BE6"/>
    <w:rsid w:val="00CD3ED3"/>
    <w:rsid w:val="00CD5112"/>
    <w:rsid w:val="00CE07E0"/>
    <w:rsid w:val="00CE102E"/>
    <w:rsid w:val="00CE5193"/>
    <w:rsid w:val="00CF007D"/>
    <w:rsid w:val="00CF065B"/>
    <w:rsid w:val="00CF2556"/>
    <w:rsid w:val="00CF3CC2"/>
    <w:rsid w:val="00CF3F0C"/>
    <w:rsid w:val="00CF4284"/>
    <w:rsid w:val="00CF452D"/>
    <w:rsid w:val="00CF4F02"/>
    <w:rsid w:val="00CF5239"/>
    <w:rsid w:val="00CF6302"/>
    <w:rsid w:val="00CF71F2"/>
    <w:rsid w:val="00CF743A"/>
    <w:rsid w:val="00D00D07"/>
    <w:rsid w:val="00D0209F"/>
    <w:rsid w:val="00D02602"/>
    <w:rsid w:val="00D032BD"/>
    <w:rsid w:val="00D049C4"/>
    <w:rsid w:val="00D04BB6"/>
    <w:rsid w:val="00D05B41"/>
    <w:rsid w:val="00D05C1E"/>
    <w:rsid w:val="00D14482"/>
    <w:rsid w:val="00D167FF"/>
    <w:rsid w:val="00D20699"/>
    <w:rsid w:val="00D21098"/>
    <w:rsid w:val="00D23A2F"/>
    <w:rsid w:val="00D23B5C"/>
    <w:rsid w:val="00D26BE1"/>
    <w:rsid w:val="00D27EF5"/>
    <w:rsid w:val="00D301AA"/>
    <w:rsid w:val="00D34F05"/>
    <w:rsid w:val="00D35146"/>
    <w:rsid w:val="00D42EE8"/>
    <w:rsid w:val="00D46658"/>
    <w:rsid w:val="00D470C7"/>
    <w:rsid w:val="00D50AB5"/>
    <w:rsid w:val="00D56AAD"/>
    <w:rsid w:val="00D573AA"/>
    <w:rsid w:val="00D57FEF"/>
    <w:rsid w:val="00D600E5"/>
    <w:rsid w:val="00D60BB1"/>
    <w:rsid w:val="00D628B2"/>
    <w:rsid w:val="00D62ABC"/>
    <w:rsid w:val="00D65F5E"/>
    <w:rsid w:val="00D70268"/>
    <w:rsid w:val="00D72046"/>
    <w:rsid w:val="00D7228A"/>
    <w:rsid w:val="00D72A94"/>
    <w:rsid w:val="00D74627"/>
    <w:rsid w:val="00D7580C"/>
    <w:rsid w:val="00D76F38"/>
    <w:rsid w:val="00D81733"/>
    <w:rsid w:val="00D8223A"/>
    <w:rsid w:val="00D8422F"/>
    <w:rsid w:val="00D8545F"/>
    <w:rsid w:val="00D9097D"/>
    <w:rsid w:val="00D91E4A"/>
    <w:rsid w:val="00D93374"/>
    <w:rsid w:val="00D93813"/>
    <w:rsid w:val="00DA1B78"/>
    <w:rsid w:val="00DA3BBA"/>
    <w:rsid w:val="00DA3EBC"/>
    <w:rsid w:val="00DA4553"/>
    <w:rsid w:val="00DA4C08"/>
    <w:rsid w:val="00DA6359"/>
    <w:rsid w:val="00DA68A3"/>
    <w:rsid w:val="00DB2362"/>
    <w:rsid w:val="00DB41EC"/>
    <w:rsid w:val="00DB57A3"/>
    <w:rsid w:val="00DB60C1"/>
    <w:rsid w:val="00DB6161"/>
    <w:rsid w:val="00DB7B80"/>
    <w:rsid w:val="00DB7DD2"/>
    <w:rsid w:val="00DB7F4D"/>
    <w:rsid w:val="00DB7FCE"/>
    <w:rsid w:val="00DC1DD3"/>
    <w:rsid w:val="00DC4597"/>
    <w:rsid w:val="00DC68C0"/>
    <w:rsid w:val="00DC7758"/>
    <w:rsid w:val="00DD0349"/>
    <w:rsid w:val="00DD132B"/>
    <w:rsid w:val="00DD593A"/>
    <w:rsid w:val="00DD657D"/>
    <w:rsid w:val="00DD6E3A"/>
    <w:rsid w:val="00DE0C3A"/>
    <w:rsid w:val="00DE3CC1"/>
    <w:rsid w:val="00DE40C2"/>
    <w:rsid w:val="00DE6033"/>
    <w:rsid w:val="00DE663C"/>
    <w:rsid w:val="00DE7F18"/>
    <w:rsid w:val="00DF4CC7"/>
    <w:rsid w:val="00DF7062"/>
    <w:rsid w:val="00E0037F"/>
    <w:rsid w:val="00E03513"/>
    <w:rsid w:val="00E03F81"/>
    <w:rsid w:val="00E070AC"/>
    <w:rsid w:val="00E12578"/>
    <w:rsid w:val="00E13049"/>
    <w:rsid w:val="00E138E1"/>
    <w:rsid w:val="00E14B46"/>
    <w:rsid w:val="00E15830"/>
    <w:rsid w:val="00E20F93"/>
    <w:rsid w:val="00E234D9"/>
    <w:rsid w:val="00E27A6F"/>
    <w:rsid w:val="00E3120E"/>
    <w:rsid w:val="00E32773"/>
    <w:rsid w:val="00E353CE"/>
    <w:rsid w:val="00E355FA"/>
    <w:rsid w:val="00E3672B"/>
    <w:rsid w:val="00E40D6E"/>
    <w:rsid w:val="00E432E1"/>
    <w:rsid w:val="00E449E1"/>
    <w:rsid w:val="00E46B67"/>
    <w:rsid w:val="00E5121B"/>
    <w:rsid w:val="00E52C34"/>
    <w:rsid w:val="00E53F50"/>
    <w:rsid w:val="00E568E6"/>
    <w:rsid w:val="00E57964"/>
    <w:rsid w:val="00E65534"/>
    <w:rsid w:val="00E65A9E"/>
    <w:rsid w:val="00E677A7"/>
    <w:rsid w:val="00E70245"/>
    <w:rsid w:val="00E7071F"/>
    <w:rsid w:val="00E72F66"/>
    <w:rsid w:val="00E74984"/>
    <w:rsid w:val="00E76211"/>
    <w:rsid w:val="00E80D04"/>
    <w:rsid w:val="00E81557"/>
    <w:rsid w:val="00E826ED"/>
    <w:rsid w:val="00E82BDC"/>
    <w:rsid w:val="00E837C6"/>
    <w:rsid w:val="00E843A4"/>
    <w:rsid w:val="00E84764"/>
    <w:rsid w:val="00E8486F"/>
    <w:rsid w:val="00E85B5B"/>
    <w:rsid w:val="00E86B6F"/>
    <w:rsid w:val="00E904D3"/>
    <w:rsid w:val="00E92284"/>
    <w:rsid w:val="00E9267F"/>
    <w:rsid w:val="00E94FB0"/>
    <w:rsid w:val="00EA026E"/>
    <w:rsid w:val="00EA03FC"/>
    <w:rsid w:val="00EA0B26"/>
    <w:rsid w:val="00EA3F7A"/>
    <w:rsid w:val="00EA6421"/>
    <w:rsid w:val="00EA7CA6"/>
    <w:rsid w:val="00EB052D"/>
    <w:rsid w:val="00EB2EBD"/>
    <w:rsid w:val="00EB3F0E"/>
    <w:rsid w:val="00EB4EC8"/>
    <w:rsid w:val="00EB53F5"/>
    <w:rsid w:val="00EB5A05"/>
    <w:rsid w:val="00EB5AC0"/>
    <w:rsid w:val="00EB606A"/>
    <w:rsid w:val="00EB6D42"/>
    <w:rsid w:val="00EC364D"/>
    <w:rsid w:val="00ED13B6"/>
    <w:rsid w:val="00ED14C1"/>
    <w:rsid w:val="00ED3A92"/>
    <w:rsid w:val="00ED438E"/>
    <w:rsid w:val="00ED6A1F"/>
    <w:rsid w:val="00EE22C4"/>
    <w:rsid w:val="00EE393C"/>
    <w:rsid w:val="00EE6A9D"/>
    <w:rsid w:val="00EF0D79"/>
    <w:rsid w:val="00EF18CC"/>
    <w:rsid w:val="00EF1E02"/>
    <w:rsid w:val="00EF24F4"/>
    <w:rsid w:val="00EF369F"/>
    <w:rsid w:val="00EF40FF"/>
    <w:rsid w:val="00EF45E4"/>
    <w:rsid w:val="00F004B5"/>
    <w:rsid w:val="00F00EDD"/>
    <w:rsid w:val="00F02EA4"/>
    <w:rsid w:val="00F045F8"/>
    <w:rsid w:val="00F079FD"/>
    <w:rsid w:val="00F10DAE"/>
    <w:rsid w:val="00F14D3D"/>
    <w:rsid w:val="00F15003"/>
    <w:rsid w:val="00F16373"/>
    <w:rsid w:val="00F17012"/>
    <w:rsid w:val="00F1796F"/>
    <w:rsid w:val="00F205D2"/>
    <w:rsid w:val="00F2118F"/>
    <w:rsid w:val="00F21D15"/>
    <w:rsid w:val="00F23CB4"/>
    <w:rsid w:val="00F25799"/>
    <w:rsid w:val="00F30E8E"/>
    <w:rsid w:val="00F31B54"/>
    <w:rsid w:val="00F33223"/>
    <w:rsid w:val="00F3663C"/>
    <w:rsid w:val="00F36F27"/>
    <w:rsid w:val="00F40FD5"/>
    <w:rsid w:val="00F42C59"/>
    <w:rsid w:val="00F44E80"/>
    <w:rsid w:val="00F455DB"/>
    <w:rsid w:val="00F47003"/>
    <w:rsid w:val="00F505EE"/>
    <w:rsid w:val="00F528CE"/>
    <w:rsid w:val="00F573E3"/>
    <w:rsid w:val="00F60009"/>
    <w:rsid w:val="00F620F6"/>
    <w:rsid w:val="00F65FA0"/>
    <w:rsid w:val="00F66288"/>
    <w:rsid w:val="00F6643A"/>
    <w:rsid w:val="00F70275"/>
    <w:rsid w:val="00F71892"/>
    <w:rsid w:val="00F718B9"/>
    <w:rsid w:val="00F7478C"/>
    <w:rsid w:val="00F75682"/>
    <w:rsid w:val="00F756EB"/>
    <w:rsid w:val="00F77F90"/>
    <w:rsid w:val="00F8044C"/>
    <w:rsid w:val="00F809E3"/>
    <w:rsid w:val="00F81432"/>
    <w:rsid w:val="00F81995"/>
    <w:rsid w:val="00F82F69"/>
    <w:rsid w:val="00F832BF"/>
    <w:rsid w:val="00F84BD2"/>
    <w:rsid w:val="00F85145"/>
    <w:rsid w:val="00F85F96"/>
    <w:rsid w:val="00F868FA"/>
    <w:rsid w:val="00F87C07"/>
    <w:rsid w:val="00F9274D"/>
    <w:rsid w:val="00F95D45"/>
    <w:rsid w:val="00FA16AD"/>
    <w:rsid w:val="00FA1D5B"/>
    <w:rsid w:val="00FA2FDA"/>
    <w:rsid w:val="00FA3172"/>
    <w:rsid w:val="00FA33AC"/>
    <w:rsid w:val="00FA3F06"/>
    <w:rsid w:val="00FA5755"/>
    <w:rsid w:val="00FA6465"/>
    <w:rsid w:val="00FA72E7"/>
    <w:rsid w:val="00FA7475"/>
    <w:rsid w:val="00FB275B"/>
    <w:rsid w:val="00FB45CD"/>
    <w:rsid w:val="00FB4C06"/>
    <w:rsid w:val="00FB5001"/>
    <w:rsid w:val="00FB51E5"/>
    <w:rsid w:val="00FB6A86"/>
    <w:rsid w:val="00FC22AB"/>
    <w:rsid w:val="00FC3068"/>
    <w:rsid w:val="00FC3B48"/>
    <w:rsid w:val="00FC425F"/>
    <w:rsid w:val="00FC4644"/>
    <w:rsid w:val="00FC6962"/>
    <w:rsid w:val="00FC7B34"/>
    <w:rsid w:val="00FC7C5C"/>
    <w:rsid w:val="00FD15EC"/>
    <w:rsid w:val="00FD23EC"/>
    <w:rsid w:val="00FD36E7"/>
    <w:rsid w:val="00FD4CF6"/>
    <w:rsid w:val="00FD5398"/>
    <w:rsid w:val="00FE11D7"/>
    <w:rsid w:val="00FE46DD"/>
    <w:rsid w:val="00FE67B0"/>
    <w:rsid w:val="00FE710B"/>
    <w:rsid w:val="00FE7228"/>
    <w:rsid w:val="00FF00E9"/>
    <w:rsid w:val="00FF3692"/>
    <w:rsid w:val="00FF4645"/>
    <w:rsid w:val="00FF61FA"/>
    <w:rsid w:val="00FF7170"/>
    <w:rsid w:val="00FF7853"/>
    <w:rsid w:val="041A48C7"/>
    <w:rsid w:val="13563A02"/>
    <w:rsid w:val="1547FE22"/>
    <w:rsid w:val="171BC3B6"/>
    <w:rsid w:val="1D8B053A"/>
    <w:rsid w:val="1F1F5C87"/>
    <w:rsid w:val="2025BD88"/>
    <w:rsid w:val="246B5E0B"/>
    <w:rsid w:val="2691E26A"/>
    <w:rsid w:val="26A97847"/>
    <w:rsid w:val="27C81041"/>
    <w:rsid w:val="3A707EB2"/>
    <w:rsid w:val="3AD30356"/>
    <w:rsid w:val="3FF6E404"/>
    <w:rsid w:val="46111432"/>
    <w:rsid w:val="4AB5082D"/>
    <w:rsid w:val="4C349950"/>
    <w:rsid w:val="4E96D057"/>
    <w:rsid w:val="4F5FF3A8"/>
    <w:rsid w:val="51A4C8EF"/>
    <w:rsid w:val="56B7ECD1"/>
    <w:rsid w:val="5B3978E6"/>
    <w:rsid w:val="61AFCFF5"/>
    <w:rsid w:val="66BFF38C"/>
    <w:rsid w:val="688B08B3"/>
    <w:rsid w:val="69F7944E"/>
    <w:rsid w:val="6A5367B8"/>
    <w:rsid w:val="6DFEEB8F"/>
    <w:rsid w:val="6E087ECD"/>
    <w:rsid w:val="712B47B4"/>
    <w:rsid w:val="71FC8FB5"/>
    <w:rsid w:val="7832FE3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3B06B07"/>
  <w15:docId w15:val="{8D76A7B9-E0E6-46CD-BB86-CD6AFB26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2">
    <w:name w:val="heading 2"/>
    <w:basedOn w:val="Normal"/>
    <w:next w:val="Normal"/>
    <w:link w:val="Heading2Char"/>
    <w:uiPriority w:val="9"/>
    <w:semiHidden/>
    <w:unhideWhenUsed/>
    <w:qFormat/>
    <w:rsid w:val="008810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9D6B6D"/>
  </w:style>
  <w:style w:type="paragraph" w:styleId="FootnoteText">
    <w:name w:val="footnote text"/>
    <w:aliases w:val=" Char,Char,Char Char1,Footnote Text Char Char,Footnote Text Char Char Char,Footnote Text Char Char Char1 Char,Footnote Text Char Char1,Footnote Text Char1,Footnote Text Char1 Char,Footnote Text Char1 Char1 Char,fn,fn Char Char,fn1,fn3,ft"/>
    <w:basedOn w:val="Normal"/>
    <w:link w:val="FootnoteTextChar2"/>
    <w:qFormat/>
    <w:rsid w:val="009D6B6D"/>
    <w:rPr>
      <w:sz w:val="20"/>
      <w:szCs w:val="20"/>
    </w:rPr>
  </w:style>
  <w:style w:type="character" w:customStyle="1" w:styleId="FootnoteTextChar">
    <w:name w:val="Footnote Text Char"/>
    <w:aliases w:val="Char Char1 Char,Footnote Text Char1 Char Char Char,Footnote Text Char1 Char Char1,Footnote Text Char3 Char,Footnote Text MRP Char,fn1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3"/>
      </w:numPr>
      <w:tabs>
        <w:tab w:val="num" w:pos="360"/>
        <w:tab w:val="clear" w:pos="720"/>
      </w:tabs>
      <w:autoSpaceDE/>
      <w:autoSpaceDN/>
      <w:adjustRightInd/>
    </w:pPr>
    <w:rPr>
      <w:sz w:val="26"/>
    </w:rPr>
  </w:style>
  <w:style w:type="character" w:customStyle="1" w:styleId="FootnoteTextChar2">
    <w:name w:val="Footnote Text Char2"/>
    <w:aliases w:val=" Char Char,Char Char,Char Char1 Char1,Footnote Text Char Char Char Char,Footnote Text Char Char Char1,Footnote Text Char Char Char1 Char Char,Footnote Text Char Char1 Char,Footnote Text Char1 Char Char,Footnote Text Char1 Char1"/>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 Char Char Char Char1,Footnote Text Char Char1 Char Char1,Footnote Text Char1 Char Char Char Char Char Char Char Char1,Footnote Text Char1 Char Char Char Char1,fn Char1,ft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unhideWhenUsed/>
    <w:rsid w:val="00790DB8"/>
    <w:rPr>
      <w:sz w:val="20"/>
      <w:szCs w:val="20"/>
    </w:rPr>
  </w:style>
  <w:style w:type="character" w:customStyle="1" w:styleId="CommentTextChar">
    <w:name w:val="Comment Text Char"/>
    <w:basedOn w:val="DefaultParagraphFont"/>
    <w:link w:val="CommentText"/>
    <w:uiPriority w:val="99"/>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 w:type="paragraph" w:styleId="EndnoteText">
    <w:name w:val="endnote text"/>
    <w:basedOn w:val="Normal"/>
    <w:link w:val="EndnoteTextChar"/>
    <w:uiPriority w:val="99"/>
    <w:semiHidden/>
    <w:unhideWhenUsed/>
    <w:rsid w:val="00923E3C"/>
    <w:rPr>
      <w:sz w:val="20"/>
      <w:szCs w:val="20"/>
    </w:rPr>
  </w:style>
  <w:style w:type="character" w:customStyle="1" w:styleId="EndnoteTextChar">
    <w:name w:val="Endnote Text Char"/>
    <w:basedOn w:val="DefaultParagraphFont"/>
    <w:link w:val="EndnoteText"/>
    <w:uiPriority w:val="99"/>
    <w:semiHidden/>
    <w:rsid w:val="00923E3C"/>
    <w:rPr>
      <w:rFonts w:eastAsia="Times New Roman"/>
      <w:sz w:val="20"/>
      <w:szCs w:val="20"/>
    </w:rPr>
  </w:style>
  <w:style w:type="character" w:styleId="EndnoteReference">
    <w:name w:val="endnote reference"/>
    <w:basedOn w:val="DefaultParagraphFont"/>
    <w:uiPriority w:val="99"/>
    <w:semiHidden/>
    <w:unhideWhenUsed/>
    <w:rsid w:val="00923E3C"/>
    <w:rPr>
      <w:vertAlign w:val="superscript"/>
    </w:rPr>
  </w:style>
  <w:style w:type="character" w:customStyle="1" w:styleId="UnresolvedMention1">
    <w:name w:val="Unresolved Mention1"/>
    <w:basedOn w:val="DefaultParagraphFont"/>
    <w:uiPriority w:val="99"/>
    <w:semiHidden/>
    <w:unhideWhenUsed/>
    <w:rsid w:val="004C0C0D"/>
    <w:rPr>
      <w:color w:val="605E5C"/>
      <w:shd w:val="clear" w:color="auto" w:fill="E1DFDD"/>
    </w:rPr>
  </w:style>
  <w:style w:type="character" w:styleId="UnresolvedMention">
    <w:name w:val="Unresolved Mention"/>
    <w:basedOn w:val="DefaultParagraphFont"/>
    <w:uiPriority w:val="99"/>
    <w:semiHidden/>
    <w:unhideWhenUsed/>
    <w:rsid w:val="00CD3ED3"/>
    <w:rPr>
      <w:color w:val="605E5C"/>
      <w:shd w:val="clear" w:color="auto" w:fill="E1DFDD"/>
    </w:rPr>
  </w:style>
  <w:style w:type="paragraph" w:styleId="NormalWeb">
    <w:name w:val="Normal (Web)"/>
    <w:basedOn w:val="Normal"/>
    <w:uiPriority w:val="99"/>
    <w:semiHidden/>
    <w:unhideWhenUsed/>
    <w:rsid w:val="00B2288C"/>
  </w:style>
  <w:style w:type="character" w:customStyle="1" w:styleId="Heading2Char">
    <w:name w:val="Heading 2 Char"/>
    <w:basedOn w:val="DefaultParagraphFont"/>
    <w:link w:val="Heading2"/>
    <w:uiPriority w:val="9"/>
    <w:semiHidden/>
    <w:rsid w:val="008810BB"/>
    <w:rPr>
      <w:rFonts w:asciiTheme="majorHAnsi" w:eastAsiaTheme="majorEastAsia" w:hAnsiTheme="majorHAnsi" w:cstheme="majorBidi"/>
      <w:color w:val="365F91" w:themeColor="accent1" w:themeShade="BF"/>
    </w:rPr>
  </w:style>
  <w:style w:type="paragraph" w:styleId="NoSpacing">
    <w:name w:val="No Spacing"/>
    <w:uiPriority w:val="1"/>
    <w:qFormat/>
    <w:rsid w:val="00794995"/>
    <w:pPr>
      <w:widowControl w:val="0"/>
      <w:autoSpaceDE w:val="0"/>
      <w:autoSpaceDN w:val="0"/>
      <w:adjustRightInd w:val="0"/>
      <w:spacing w:after="0" w:line="240" w:lineRule="auto"/>
    </w:pPr>
    <w:rPr>
      <w:rFonts w:eastAsia="Times New Roman"/>
      <w:sz w:val="24"/>
      <w:szCs w:val="24"/>
    </w:rPr>
  </w:style>
  <w:style w:type="table" w:styleId="TableGrid">
    <w:name w:val="Table Grid"/>
    <w:basedOn w:val="TableNormal"/>
    <w:uiPriority w:val="39"/>
    <w:rsid w:val="00294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18/section-384.106"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18/section-381.4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549</_x0031__x002e__x0020_Collection_x0020_Number>
    <Date xmlns="d6eefc7d-9817-4fa6-84d5-3bc009be21b8">2016-09-15T04:00:00+00:00</Date>
    <Status xmlns="d6eefc7d-9817-4fa6-84d5-3bc009be21b8">Final</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IC16-10</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4" ma:contentTypeDescription="Create a new document." ma:contentTypeScope="" ma:versionID="d81d74a3606972d3f56b7f97619aab6c">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9ec3cde6177a7a735ddbed6e9aa1b9a2"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C678A-27A8-4A1F-8D0C-B3A31E55376D}">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2.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3.xml><?xml version="1.0" encoding="utf-8"?>
<ds:datastoreItem xmlns:ds="http://schemas.openxmlformats.org/officeDocument/2006/customXml" ds:itemID="{44FF85DF-0C64-461F-B00F-EF2D5EEF5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4E4EAD-F662-42A2-B973-BF7A40D1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3758</Words>
  <Characters>20708</Characters>
  <Application>Microsoft Office Word</Application>
  <DocSecurity>0</DocSecurity>
  <Lines>591</Lines>
  <Paragraphs>230</Paragraphs>
  <ScaleCrop>false</ScaleCrop>
  <Company>Federal Energy Regulatory Commission</Company>
  <LinksUpToDate>false</LinksUpToDate>
  <CharactersWithSpaces>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FERC-549 supporting statement</dc:title>
  <dc:creator>Nishi Parekh</dc:creator>
  <cp:lastModifiedBy>Ken Ambrose</cp:lastModifiedBy>
  <cp:revision>2</cp:revision>
  <cp:lastPrinted>2023-02-02T23:50:00Z</cp:lastPrinted>
  <dcterms:created xsi:type="dcterms:W3CDTF">2026-05-22T16:30:00Z</dcterms:created>
  <dcterms:modified xsi:type="dcterms:W3CDTF">2026-05-22T16:30:00Z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98d9fb73-43b0-4ca4-b61f-0ee48d3ad197</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2026-04-07T19:18:40Z</vt:lpwstr>
  </property>
  <property fmtid="{D5CDD505-2E9C-101B-9397-08002B2CF9AE}" pid="10" name="MSIP_Label_bd24d06a-0e85-4d57-b1e0-ba34b1abc708_SiteId">
    <vt:lpwstr>19caa9e9-04ff-43fa-885f-d77fac387903</vt:lpwstr>
  </property>
  <property fmtid="{D5CDD505-2E9C-101B-9397-08002B2CF9AE}" pid="11" name="MSIP_Label_bd24d06a-0e85-4d57-b1e0-ba34b1abc708_Tag">
    <vt:lpwstr>10, 0, 1, 1</vt:lpwstr>
  </property>
  <property fmtid="{D5CDD505-2E9C-101B-9397-08002B2CF9AE}" pid="12" name="_ExtendedDescription">
    <vt:lpwstr/>
  </property>
  <property fmtid="{D5CDD505-2E9C-101B-9397-08002B2CF9AE}" pid="13" name="_NewReviewCycle">
    <vt:lpwstr/>
  </property>
  <property fmtid="{D5CDD505-2E9C-101B-9397-08002B2CF9AE}" pid="14" name="_ShortcutSiteId">
    <vt:lpwstr/>
  </property>
  <property fmtid="{D5CDD505-2E9C-101B-9397-08002B2CF9AE}" pid="15" name="_ShortcutUniqueId">
    <vt:lpwstr/>
  </property>
  <property fmtid="{D5CDD505-2E9C-101B-9397-08002B2CF9AE}" pid="16" name="_ShortcutUrl">
    <vt:lpwstr/>
  </property>
  <property fmtid="{D5CDD505-2E9C-101B-9397-08002B2CF9AE}" pid="17" name="_ShortcutWebId">
    <vt:lpwstr/>
  </property>
</Properties>
</file>