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66D3F" w:rsidRPr="005F2224" w:rsidP="00FB7F53" w14:paraId="7A4CC2D0" w14:textId="77777777">
      <w:pPr>
        <w:spacing w:after="0" w:line="240" w:lineRule="auto"/>
        <w:jc w:val="center"/>
        <w:rPr>
          <w:rFonts w:ascii="Times New Roman" w:eastAsia="Times New Roman" w:hAnsi="Times New Roman" w:cs="Times New Roman"/>
          <w:sz w:val="26"/>
          <w:szCs w:val="26"/>
        </w:rPr>
      </w:pPr>
      <w:r w:rsidRPr="005F2224">
        <w:rPr>
          <w:rFonts w:ascii="Times New Roman" w:eastAsia="Times New Roman" w:hAnsi="Times New Roman" w:cs="Times New Roman"/>
          <w:sz w:val="26"/>
          <w:szCs w:val="26"/>
        </w:rPr>
        <w:t>UNITED STATES OF AMERICA</w:t>
      </w:r>
    </w:p>
    <w:p w:rsidR="00466D3F" w:rsidRPr="005F2224" w:rsidP="00466D3F" w14:paraId="6DDAAE14" w14:textId="77777777">
      <w:pPr>
        <w:spacing w:after="0" w:line="240" w:lineRule="auto"/>
        <w:jc w:val="center"/>
        <w:rPr>
          <w:rFonts w:ascii="Times New Roman" w:eastAsia="Times New Roman" w:hAnsi="Times New Roman" w:cs="Times New Roman"/>
          <w:sz w:val="26"/>
          <w:szCs w:val="26"/>
        </w:rPr>
      </w:pPr>
      <w:r w:rsidRPr="005F2224">
        <w:rPr>
          <w:rFonts w:ascii="Times New Roman" w:eastAsia="Times New Roman" w:hAnsi="Times New Roman" w:cs="Times New Roman"/>
          <w:sz w:val="26"/>
          <w:szCs w:val="26"/>
        </w:rPr>
        <w:t>FEDERAL ENERGY REGULATORY COMMISSION</w:t>
      </w:r>
    </w:p>
    <w:p w:rsidR="00466D3F" w:rsidRPr="005F2224" w:rsidP="00466D3F" w14:paraId="795533AB" w14:textId="77777777">
      <w:pPr>
        <w:spacing w:after="0" w:line="240" w:lineRule="auto"/>
        <w:rPr>
          <w:rFonts w:ascii="Times New Roman" w:eastAsia="Times New Roman" w:hAnsi="Times New Roman" w:cs="Times New Roman"/>
          <w:sz w:val="26"/>
          <w:szCs w:val="26"/>
        </w:rPr>
      </w:pPr>
    </w:p>
    <w:p w:rsidR="00466D3F" w:rsidRPr="005F2224" w:rsidP="00466D3F" w14:paraId="54AC1172" w14:textId="7AB414C0">
      <w:pPr>
        <w:spacing w:after="0" w:line="240" w:lineRule="auto"/>
        <w:jc w:val="center"/>
        <w:rPr>
          <w:rFonts w:ascii="Times New Roman" w:eastAsia="Times New Roman" w:hAnsi="Times New Roman" w:cs="Times New Roman"/>
          <w:sz w:val="26"/>
          <w:szCs w:val="26"/>
        </w:rPr>
      </w:pPr>
      <w:r w:rsidRPr="005F2224">
        <w:rPr>
          <w:rFonts w:ascii="Times New Roman" w:eastAsia="Times New Roman" w:hAnsi="Times New Roman" w:cs="Times New Roman"/>
          <w:sz w:val="26"/>
          <w:szCs w:val="26"/>
        </w:rPr>
        <w:t xml:space="preserve">Docket No. </w:t>
      </w:r>
      <w:r w:rsidRPr="005F2224" w:rsidR="7E56823D">
        <w:rPr>
          <w:rFonts w:ascii="Times New Roman" w:eastAsia="Times New Roman" w:hAnsi="Times New Roman" w:cs="Times New Roman"/>
          <w:sz w:val="26"/>
          <w:szCs w:val="26"/>
        </w:rPr>
        <w:t>IC26-17-000</w:t>
      </w:r>
    </w:p>
    <w:p w:rsidR="00466D3F" w:rsidRPr="005F2224" w:rsidP="00466D3F" w14:paraId="682612A9" w14:textId="77777777">
      <w:pPr>
        <w:spacing w:after="0" w:line="240" w:lineRule="auto"/>
        <w:rPr>
          <w:rFonts w:ascii="Times New Roman" w:eastAsia="Times New Roman" w:hAnsi="Times New Roman" w:cs="Times New Roman"/>
          <w:sz w:val="26"/>
          <w:szCs w:val="26"/>
        </w:rPr>
      </w:pPr>
    </w:p>
    <w:p w:rsidR="00466D3F" w:rsidRPr="005F2224" w:rsidP="00466D3F" w14:paraId="17A6CBD7" w14:textId="5B3FEBDC">
      <w:pPr>
        <w:spacing w:after="0" w:line="240" w:lineRule="auto"/>
        <w:jc w:val="center"/>
        <w:rPr>
          <w:rFonts w:ascii="Times New Roman" w:eastAsia="Times New Roman" w:hAnsi="Times New Roman" w:cs="Times New Roman"/>
          <w:sz w:val="26"/>
          <w:szCs w:val="26"/>
        </w:rPr>
      </w:pPr>
      <w:r w:rsidRPr="005F2224">
        <w:rPr>
          <w:rFonts w:ascii="Times New Roman" w:eastAsia="Times New Roman" w:hAnsi="Times New Roman" w:cs="Times New Roman"/>
          <w:sz w:val="26"/>
          <w:szCs w:val="26"/>
        </w:rPr>
        <w:t>COMMISSION INFORMATION COLLECTION ACTIVIT</w:t>
      </w:r>
      <w:r w:rsidRPr="005F2224" w:rsidR="00FF187C">
        <w:rPr>
          <w:rFonts w:ascii="Times New Roman" w:eastAsia="Times New Roman" w:hAnsi="Times New Roman" w:cs="Times New Roman"/>
          <w:sz w:val="26"/>
          <w:szCs w:val="26"/>
        </w:rPr>
        <w:t>Y</w:t>
      </w:r>
      <w:r w:rsidRPr="005F2224">
        <w:rPr>
          <w:rFonts w:ascii="Times New Roman" w:eastAsia="Times New Roman" w:hAnsi="Times New Roman" w:cs="Times New Roman"/>
          <w:sz w:val="26"/>
          <w:szCs w:val="26"/>
        </w:rPr>
        <w:t xml:space="preserve"> (FERC-</w:t>
      </w:r>
      <w:r w:rsidRPr="005F2224" w:rsidR="00E116B5">
        <w:rPr>
          <w:rFonts w:ascii="Times New Roman" w:eastAsia="Times New Roman" w:hAnsi="Times New Roman" w:cs="Times New Roman"/>
          <w:sz w:val="26"/>
          <w:szCs w:val="26"/>
        </w:rPr>
        <w:t>549</w:t>
      </w:r>
      <w:r w:rsidRPr="005F2224" w:rsidR="00533798">
        <w:rPr>
          <w:rFonts w:ascii="Times New Roman" w:eastAsia="Times New Roman" w:hAnsi="Times New Roman" w:cs="Times New Roman"/>
          <w:sz w:val="26"/>
          <w:szCs w:val="26"/>
        </w:rPr>
        <w:t>)</w:t>
      </w:r>
      <w:r w:rsidRPr="005F2224">
        <w:rPr>
          <w:rFonts w:ascii="Times New Roman" w:eastAsia="Times New Roman" w:hAnsi="Times New Roman" w:cs="Times New Roman"/>
          <w:sz w:val="26"/>
          <w:szCs w:val="26"/>
        </w:rPr>
        <w:t>;</w:t>
      </w:r>
    </w:p>
    <w:p w:rsidR="00466D3F" w:rsidRPr="005F2224" w:rsidP="00466D3F" w14:paraId="74E6C6E7" w14:textId="708D8283">
      <w:pPr>
        <w:spacing w:after="0" w:line="240" w:lineRule="auto"/>
        <w:jc w:val="center"/>
        <w:rPr>
          <w:rFonts w:ascii="Times New Roman" w:eastAsia="Times New Roman" w:hAnsi="Times New Roman" w:cs="Times New Roman"/>
          <w:i/>
          <w:iCs/>
          <w:sz w:val="26"/>
          <w:szCs w:val="26"/>
        </w:rPr>
      </w:pPr>
      <w:r w:rsidRPr="005F2224">
        <w:rPr>
          <w:rFonts w:ascii="Times New Roman" w:eastAsia="Times New Roman" w:hAnsi="Times New Roman" w:cs="Times New Roman"/>
          <w:sz w:val="26"/>
          <w:szCs w:val="26"/>
        </w:rPr>
        <w:t>COMMENT REQUEST; EXTENSION</w:t>
      </w:r>
      <w:r w:rsidRPr="005F2224" w:rsidR="002D3B37">
        <w:rPr>
          <w:rFonts w:ascii="Times New Roman" w:eastAsia="Times New Roman" w:hAnsi="Times New Roman" w:cs="Times New Roman"/>
          <w:sz w:val="26"/>
          <w:szCs w:val="26"/>
        </w:rPr>
        <w:t xml:space="preserve"> </w:t>
      </w:r>
    </w:p>
    <w:p w:rsidR="00466D3F" w:rsidRPr="005F2224" w:rsidP="00466D3F" w14:paraId="546976EA" w14:textId="77E6943E">
      <w:pPr>
        <w:spacing w:after="0" w:line="240" w:lineRule="auto"/>
        <w:jc w:val="center"/>
        <w:rPr>
          <w:rFonts w:ascii="Times New Roman" w:eastAsia="Times New Roman" w:hAnsi="Times New Roman" w:cs="Times New Roman"/>
          <w:sz w:val="26"/>
          <w:szCs w:val="26"/>
        </w:rPr>
      </w:pPr>
    </w:p>
    <w:p w:rsidR="00FB629F" w:rsidP="008B48C3" w14:paraId="3FDB2C7D" w14:textId="672A0AA2">
      <w:pPr>
        <w:spacing w:after="0" w:line="240" w:lineRule="auto"/>
        <w:jc w:val="center"/>
        <w:rPr>
          <w:rFonts w:ascii="Times New Roman" w:eastAsia="Times New Roman" w:hAnsi="Times New Roman" w:cs="Times New Roman"/>
          <w:sz w:val="26"/>
          <w:szCs w:val="26"/>
        </w:rPr>
      </w:pPr>
      <w:r w:rsidRPr="008B48C3">
        <w:rPr>
          <w:rFonts w:ascii="Times New Roman" w:eastAsia="Times New Roman" w:hAnsi="Times New Roman" w:cs="Times New Roman"/>
          <w:sz w:val="26"/>
          <w:szCs w:val="26"/>
        </w:rPr>
        <w:t>(March 13, 2026)</w:t>
      </w:r>
    </w:p>
    <w:p w:rsidR="008B48C3" w:rsidRPr="008B48C3" w:rsidP="008B48C3" w14:paraId="7B7CBE50" w14:textId="77777777">
      <w:pPr>
        <w:spacing w:after="0" w:line="240" w:lineRule="auto"/>
        <w:rPr>
          <w:rFonts w:ascii="Times New Roman" w:eastAsia="Times New Roman" w:hAnsi="Times New Roman" w:cs="Times New Roman"/>
          <w:sz w:val="26"/>
          <w:szCs w:val="26"/>
        </w:rPr>
      </w:pPr>
    </w:p>
    <w:p w:rsidR="00466D3F" w:rsidRPr="005F2224" w:rsidP="00466D3F" w14:paraId="3DE586F9" w14:textId="0CE9EA40">
      <w:pPr>
        <w:spacing w:after="0" w:line="240" w:lineRule="auto"/>
        <w:rPr>
          <w:rFonts w:ascii="Times New Roman" w:eastAsia="Times New Roman" w:hAnsi="Times New Roman" w:cs="Times New Roman"/>
          <w:sz w:val="26"/>
          <w:szCs w:val="26"/>
        </w:rPr>
      </w:pPr>
      <w:r w:rsidRPr="005F2224">
        <w:rPr>
          <w:rFonts w:ascii="Times New Roman" w:eastAsia="Times New Roman" w:hAnsi="Times New Roman" w:cs="Times New Roman"/>
          <w:b/>
          <w:bCs/>
          <w:sz w:val="26"/>
          <w:szCs w:val="26"/>
        </w:rPr>
        <w:t>AGENCY:</w:t>
      </w:r>
      <w:r w:rsidRPr="005F2224" w:rsidR="76CF617E">
        <w:rPr>
          <w:rFonts w:ascii="Times New Roman" w:eastAsia="Times New Roman" w:hAnsi="Times New Roman" w:cs="Times New Roman"/>
          <w:sz w:val="26"/>
          <w:szCs w:val="26"/>
        </w:rPr>
        <w:t xml:space="preserve"> </w:t>
      </w:r>
      <w:r w:rsidRPr="005F2224">
        <w:rPr>
          <w:rFonts w:ascii="Times New Roman" w:eastAsia="Times New Roman" w:hAnsi="Times New Roman" w:cs="Times New Roman"/>
          <w:sz w:val="26"/>
          <w:szCs w:val="26"/>
        </w:rPr>
        <w:t>Federal Energy Regulatory Commission.</w:t>
      </w:r>
    </w:p>
    <w:p w:rsidR="00466D3F" w:rsidRPr="005F2224" w:rsidP="00466D3F" w14:paraId="2977D753" w14:textId="77777777">
      <w:pPr>
        <w:spacing w:after="0" w:line="240" w:lineRule="auto"/>
        <w:rPr>
          <w:rFonts w:ascii="Times New Roman" w:eastAsia="Times New Roman" w:hAnsi="Times New Roman" w:cs="Times New Roman"/>
          <w:sz w:val="26"/>
          <w:szCs w:val="26"/>
        </w:rPr>
      </w:pPr>
    </w:p>
    <w:p w:rsidR="00466D3F" w:rsidRPr="005F2224" w:rsidP="00466D3F" w14:paraId="758C4EF6" w14:textId="7ADCB025">
      <w:pPr>
        <w:spacing w:after="0" w:line="480" w:lineRule="auto"/>
        <w:rPr>
          <w:rFonts w:ascii="Times New Roman" w:eastAsia="Times New Roman" w:hAnsi="Times New Roman" w:cs="Times New Roman"/>
          <w:sz w:val="26"/>
          <w:szCs w:val="26"/>
        </w:rPr>
      </w:pPr>
      <w:r w:rsidRPr="005F2224">
        <w:rPr>
          <w:rFonts w:ascii="Times New Roman" w:eastAsia="Times New Roman" w:hAnsi="Times New Roman" w:cs="Times New Roman"/>
          <w:b/>
          <w:bCs/>
          <w:sz w:val="26"/>
          <w:szCs w:val="26"/>
        </w:rPr>
        <w:t>ACTION:</w:t>
      </w:r>
      <w:r w:rsidRPr="005F2224" w:rsidR="76CF617E">
        <w:rPr>
          <w:rFonts w:ascii="Times New Roman" w:eastAsia="Times New Roman" w:hAnsi="Times New Roman" w:cs="Times New Roman"/>
          <w:sz w:val="26"/>
          <w:szCs w:val="26"/>
        </w:rPr>
        <w:t xml:space="preserve"> </w:t>
      </w:r>
      <w:bookmarkStart w:id="0" w:name="_Hlk68091542"/>
      <w:r w:rsidRPr="005F2224">
        <w:rPr>
          <w:rFonts w:ascii="Times New Roman" w:eastAsia="Times New Roman" w:hAnsi="Times New Roman" w:cs="Times New Roman"/>
          <w:sz w:val="26"/>
          <w:szCs w:val="26"/>
        </w:rPr>
        <w:t xml:space="preserve">Notice of information collection </w:t>
      </w:r>
      <w:bookmarkEnd w:id="0"/>
      <w:r w:rsidRPr="005F2224">
        <w:rPr>
          <w:rFonts w:ascii="Times New Roman" w:eastAsia="Times New Roman" w:hAnsi="Times New Roman" w:cs="Times New Roman"/>
          <w:sz w:val="26"/>
          <w:szCs w:val="26"/>
        </w:rPr>
        <w:t>and request for comments.</w:t>
      </w:r>
    </w:p>
    <w:p w:rsidR="00466D3F" w:rsidRPr="001800AF" w:rsidP="00466D3F" w14:paraId="22BE1BF8" w14:textId="4D0E088D">
      <w:pPr>
        <w:spacing w:after="0" w:line="480" w:lineRule="auto"/>
        <w:rPr>
          <w:rFonts w:ascii="Times New Roman" w:eastAsia="Times New Roman" w:hAnsi="Times New Roman" w:cs="Times New Roman"/>
          <w:sz w:val="26"/>
          <w:szCs w:val="26"/>
        </w:rPr>
      </w:pPr>
      <w:r w:rsidRPr="001800AF">
        <w:rPr>
          <w:rFonts w:ascii="Times New Roman" w:eastAsia="Times New Roman" w:hAnsi="Times New Roman" w:cs="Times New Roman"/>
          <w:b/>
          <w:bCs/>
          <w:sz w:val="26"/>
          <w:szCs w:val="26"/>
        </w:rPr>
        <w:t>SUMMARY:</w:t>
      </w:r>
      <w:r w:rsidRPr="001800AF" w:rsidR="76CF617E">
        <w:rPr>
          <w:rFonts w:ascii="Times New Roman" w:eastAsia="Times New Roman" w:hAnsi="Times New Roman" w:cs="Times New Roman"/>
          <w:sz w:val="26"/>
          <w:szCs w:val="26"/>
        </w:rPr>
        <w:t xml:space="preserve"> </w:t>
      </w:r>
      <w:r w:rsidRPr="001800AF">
        <w:rPr>
          <w:rFonts w:ascii="Times New Roman" w:eastAsia="Times New Roman" w:hAnsi="Times New Roman" w:cs="Times New Roman"/>
          <w:sz w:val="26"/>
          <w:szCs w:val="26"/>
        </w:rPr>
        <w:t xml:space="preserve">In compliance with the requirements of the Paperwork Reduction Act of 1995, </w:t>
      </w:r>
      <w:r w:rsidR="00C16EBA">
        <w:rPr>
          <w:rFonts w:ascii="Times New Roman" w:eastAsia="Times New Roman" w:hAnsi="Times New Roman" w:cs="Times New Roman"/>
          <w:sz w:val="26"/>
          <w:szCs w:val="26"/>
        </w:rPr>
        <w:t xml:space="preserve">44 USC </w:t>
      </w:r>
      <w:r w:rsidR="00330EF9">
        <w:rPr>
          <w:rFonts w:ascii="Times New Roman" w:eastAsia="Times New Roman" w:hAnsi="Times New Roman" w:cs="Times New Roman"/>
          <w:sz w:val="26"/>
          <w:szCs w:val="26"/>
        </w:rPr>
        <w:t xml:space="preserve">3506(c)(2)(A), </w:t>
      </w:r>
      <w:r w:rsidRPr="001800AF">
        <w:rPr>
          <w:rFonts w:ascii="Times New Roman" w:eastAsia="Times New Roman" w:hAnsi="Times New Roman" w:cs="Times New Roman"/>
          <w:sz w:val="26"/>
          <w:szCs w:val="26"/>
        </w:rPr>
        <w:t>the Federal Energy Regulatory Commission (Commission or FERC) is soliciting public comment</w:t>
      </w:r>
      <w:r w:rsidR="00330EF9">
        <w:rPr>
          <w:rFonts w:ascii="Times New Roman" w:eastAsia="Times New Roman" w:hAnsi="Times New Roman" w:cs="Times New Roman"/>
          <w:sz w:val="26"/>
          <w:szCs w:val="26"/>
        </w:rPr>
        <w:t>s</w:t>
      </w:r>
      <w:r w:rsidRPr="001800AF">
        <w:rPr>
          <w:rFonts w:ascii="Times New Roman" w:eastAsia="Times New Roman" w:hAnsi="Times New Roman" w:cs="Times New Roman"/>
          <w:sz w:val="26"/>
          <w:szCs w:val="26"/>
        </w:rPr>
        <w:t xml:space="preserve"> on the currently approved information collection</w:t>
      </w:r>
      <w:r w:rsidR="00F7199A">
        <w:rPr>
          <w:rFonts w:ascii="Times New Roman" w:eastAsia="Times New Roman" w:hAnsi="Times New Roman" w:cs="Times New Roman"/>
          <w:sz w:val="26"/>
          <w:szCs w:val="26"/>
        </w:rPr>
        <w:t>:</w:t>
      </w:r>
      <w:r w:rsidRPr="001800AF">
        <w:rPr>
          <w:rFonts w:ascii="Times New Roman" w:eastAsia="Times New Roman" w:hAnsi="Times New Roman" w:cs="Times New Roman"/>
          <w:sz w:val="26"/>
          <w:szCs w:val="26"/>
        </w:rPr>
        <w:t xml:space="preserve"> FERC</w:t>
      </w:r>
      <w:r w:rsidRPr="001800AF" w:rsidR="009F69B3">
        <w:rPr>
          <w:rFonts w:ascii="Times New Roman" w:eastAsia="Times New Roman" w:hAnsi="Times New Roman" w:cs="Times New Roman"/>
          <w:sz w:val="26"/>
          <w:szCs w:val="26"/>
        </w:rPr>
        <w:t>-</w:t>
      </w:r>
      <w:r w:rsidRPr="001800AF" w:rsidR="00D924D1">
        <w:rPr>
          <w:rFonts w:ascii="Times New Roman" w:eastAsia="Times New Roman" w:hAnsi="Times New Roman" w:cs="Times New Roman"/>
          <w:sz w:val="26"/>
          <w:szCs w:val="26"/>
        </w:rPr>
        <w:t>549</w:t>
      </w:r>
      <w:r w:rsidR="00F7199A">
        <w:rPr>
          <w:rFonts w:ascii="Times New Roman" w:eastAsia="Times New Roman" w:hAnsi="Times New Roman" w:cs="Times New Roman"/>
          <w:sz w:val="26"/>
          <w:szCs w:val="26"/>
        </w:rPr>
        <w:t xml:space="preserve"> (</w:t>
      </w:r>
      <w:r w:rsidRPr="001800AF" w:rsidR="006C03C8">
        <w:rPr>
          <w:rFonts w:ascii="Times New Roman" w:eastAsia="Times New Roman" w:hAnsi="Times New Roman" w:cs="Times New Roman"/>
          <w:sz w:val="26"/>
          <w:szCs w:val="26"/>
        </w:rPr>
        <w:t>NGPA</w:t>
      </w:r>
      <w:r w:rsidRPr="001800AF" w:rsidR="00534BFE">
        <w:rPr>
          <w:rFonts w:ascii="Times New Roman" w:eastAsia="Times New Roman" w:hAnsi="Times New Roman" w:cs="Times New Roman"/>
          <w:sz w:val="26"/>
          <w:szCs w:val="26"/>
        </w:rPr>
        <w:t xml:space="preserve"> Section 311</w:t>
      </w:r>
      <w:r w:rsidRPr="001800AF" w:rsidR="006C03C8">
        <w:rPr>
          <w:rFonts w:ascii="Times New Roman" w:eastAsia="Times New Roman" w:hAnsi="Times New Roman" w:cs="Times New Roman"/>
          <w:sz w:val="26"/>
          <w:szCs w:val="26"/>
        </w:rPr>
        <w:t xml:space="preserve"> Transaction</w:t>
      </w:r>
      <w:r w:rsidRPr="001800AF" w:rsidR="00534BFE">
        <w:rPr>
          <w:rFonts w:ascii="Times New Roman" w:eastAsia="Times New Roman" w:hAnsi="Times New Roman" w:cs="Times New Roman"/>
          <w:sz w:val="26"/>
          <w:szCs w:val="26"/>
        </w:rPr>
        <w:t>s</w:t>
      </w:r>
      <w:r w:rsidRPr="001800AF" w:rsidR="006C03C8">
        <w:rPr>
          <w:rFonts w:ascii="Times New Roman" w:eastAsia="Times New Roman" w:hAnsi="Times New Roman" w:cs="Times New Roman"/>
          <w:sz w:val="26"/>
          <w:szCs w:val="26"/>
        </w:rPr>
        <w:t xml:space="preserve"> and NGA Blanket Certificate Transactions).</w:t>
      </w:r>
      <w:r w:rsidR="001565E1">
        <w:rPr>
          <w:rFonts w:ascii="Times New Roman" w:eastAsia="Times New Roman" w:hAnsi="Times New Roman" w:cs="Times New Roman"/>
          <w:sz w:val="26"/>
          <w:szCs w:val="26"/>
        </w:rPr>
        <w:t xml:space="preserve"> </w:t>
      </w:r>
      <w:r w:rsidRPr="001800AF" w:rsidR="37C9049E">
        <w:rPr>
          <w:rFonts w:ascii="Times New Roman" w:eastAsia="Times New Roman" w:hAnsi="Times New Roman" w:cs="Times New Roman"/>
          <w:sz w:val="26"/>
          <w:szCs w:val="26"/>
        </w:rPr>
        <w:t>There are no proposed changes to the collection requirements.</w:t>
      </w:r>
    </w:p>
    <w:p w:rsidR="00466D3F" w:rsidRPr="005F2224" w:rsidP="00466D3F" w14:paraId="7243C272" w14:textId="2E6AF8DE">
      <w:pPr>
        <w:spacing w:after="0" w:line="480" w:lineRule="auto"/>
        <w:rPr>
          <w:rFonts w:ascii="Times New Roman" w:eastAsia="Times New Roman" w:hAnsi="Times New Roman" w:cs="Times New Roman"/>
          <w:sz w:val="26"/>
          <w:szCs w:val="26"/>
        </w:rPr>
      </w:pPr>
      <w:r w:rsidRPr="001800AF">
        <w:rPr>
          <w:rFonts w:ascii="Times New Roman" w:eastAsia="Times New Roman" w:hAnsi="Times New Roman" w:cs="Times New Roman"/>
          <w:b/>
          <w:bCs/>
          <w:sz w:val="26"/>
          <w:szCs w:val="26"/>
        </w:rPr>
        <w:t>DATES:</w:t>
      </w:r>
      <w:r w:rsidRPr="001800AF" w:rsidR="76CF617E">
        <w:rPr>
          <w:rFonts w:ascii="Times New Roman" w:eastAsia="Times New Roman" w:hAnsi="Times New Roman" w:cs="Times New Roman"/>
          <w:sz w:val="26"/>
          <w:szCs w:val="26"/>
        </w:rPr>
        <w:t xml:space="preserve"> </w:t>
      </w:r>
      <w:r w:rsidRPr="001800AF">
        <w:rPr>
          <w:rFonts w:ascii="Times New Roman" w:eastAsia="Times New Roman" w:hAnsi="Times New Roman" w:cs="Times New Roman"/>
          <w:sz w:val="26"/>
          <w:szCs w:val="26"/>
        </w:rPr>
        <w:t xml:space="preserve">Comments on the collection </w:t>
      </w:r>
      <w:r w:rsidRPr="005F2224">
        <w:rPr>
          <w:rFonts w:ascii="Times New Roman" w:eastAsia="Times New Roman" w:hAnsi="Times New Roman" w:cs="Times New Roman"/>
          <w:sz w:val="26"/>
          <w:szCs w:val="26"/>
        </w:rPr>
        <w:t>of information are due [</w:t>
      </w:r>
      <w:r w:rsidRPr="005F2224">
        <w:rPr>
          <w:rFonts w:ascii="Times New Roman" w:eastAsia="Times New Roman" w:hAnsi="Times New Roman" w:cs="Times New Roman"/>
          <w:b/>
          <w:bCs/>
          <w:sz w:val="26"/>
          <w:szCs w:val="26"/>
        </w:rPr>
        <w:t xml:space="preserve">INSERT DATE </w:t>
      </w:r>
      <w:r w:rsidRPr="005F2224" w:rsidR="00931504">
        <w:rPr>
          <w:rFonts w:ascii="Times New Roman" w:eastAsia="Times New Roman" w:hAnsi="Times New Roman" w:cs="Times New Roman"/>
          <w:b/>
          <w:bCs/>
          <w:sz w:val="26"/>
          <w:szCs w:val="26"/>
        </w:rPr>
        <w:t>60 DAYS AFTER DATE OF PUBLICATION IN THE FEDERAL REGISTER</w:t>
      </w:r>
      <w:r w:rsidRPr="005F2224">
        <w:rPr>
          <w:rFonts w:ascii="Times New Roman" w:eastAsia="Times New Roman" w:hAnsi="Times New Roman" w:cs="Times New Roman"/>
          <w:sz w:val="26"/>
          <w:szCs w:val="26"/>
        </w:rPr>
        <w:t xml:space="preserve">]. </w:t>
      </w:r>
    </w:p>
    <w:p w:rsidR="0BDB3F89" w:rsidRPr="005F2224" w:rsidP="0BDB3F89" w14:paraId="718B3CEC" w14:textId="1A086154">
      <w:pPr>
        <w:spacing w:after="0" w:line="480" w:lineRule="auto"/>
        <w:rPr>
          <w:rFonts w:ascii="Times New Roman" w:eastAsia="Times New Roman" w:hAnsi="Times New Roman" w:cs="Times New Roman"/>
          <w:color w:val="000000" w:themeColor="text1"/>
          <w:sz w:val="26"/>
          <w:szCs w:val="26"/>
        </w:rPr>
      </w:pPr>
      <w:r w:rsidRPr="005F2224">
        <w:rPr>
          <w:rFonts w:ascii="Times New Roman" w:eastAsia="Times New Roman" w:hAnsi="Times New Roman" w:cs="Times New Roman"/>
          <w:b/>
          <w:bCs/>
          <w:sz w:val="26"/>
          <w:szCs w:val="26"/>
        </w:rPr>
        <w:t>ADDRESSES:</w:t>
      </w:r>
      <w:r w:rsidRPr="005F2224" w:rsidR="76CF617E">
        <w:rPr>
          <w:rFonts w:ascii="Times New Roman" w:eastAsia="Times New Roman" w:hAnsi="Times New Roman" w:cs="Times New Roman"/>
          <w:sz w:val="26"/>
          <w:szCs w:val="26"/>
        </w:rPr>
        <w:t xml:space="preserve"> </w:t>
      </w:r>
      <w:r w:rsidRPr="005F2224" w:rsidR="7981EB00">
        <w:rPr>
          <w:rFonts w:ascii="Times New Roman" w:eastAsia="Times New Roman" w:hAnsi="Times New Roman" w:cs="Times New Roman"/>
          <w:color w:val="000000" w:themeColor="text1"/>
          <w:sz w:val="26"/>
          <w:szCs w:val="26"/>
        </w:rPr>
        <w:t xml:space="preserve">Please submit comments via email to </w:t>
      </w:r>
      <w:hyperlink r:id="rId10">
        <w:r w:rsidRPr="005F2224" w:rsidR="7981EB00">
          <w:rPr>
            <w:rStyle w:val="Hyperlink"/>
            <w:rFonts w:ascii="Times New Roman" w:eastAsia="Times New Roman" w:hAnsi="Times New Roman" w:cs="Times New Roman"/>
            <w:sz w:val="26"/>
            <w:szCs w:val="26"/>
          </w:rPr>
          <w:t>DataClearance@FERC.gov</w:t>
        </w:r>
      </w:hyperlink>
      <w:r w:rsidRPr="005F2224" w:rsidR="7981EB00">
        <w:rPr>
          <w:rFonts w:ascii="Times New Roman" w:eastAsia="Times New Roman" w:hAnsi="Times New Roman" w:cs="Times New Roman"/>
          <w:color w:val="000000" w:themeColor="text1"/>
          <w:sz w:val="26"/>
          <w:szCs w:val="26"/>
        </w:rPr>
        <w:t>.</w:t>
      </w:r>
      <w:r w:rsidR="0051428A">
        <w:rPr>
          <w:rFonts w:ascii="Times New Roman" w:eastAsia="Times New Roman" w:hAnsi="Times New Roman" w:cs="Times New Roman"/>
          <w:color w:val="000000" w:themeColor="text1"/>
          <w:sz w:val="26"/>
          <w:szCs w:val="26"/>
        </w:rPr>
        <w:t xml:space="preserve"> </w:t>
      </w:r>
      <w:r w:rsidRPr="005F2224" w:rsidR="7981EB00">
        <w:rPr>
          <w:rFonts w:ascii="Times New Roman" w:eastAsia="Times New Roman" w:hAnsi="Times New Roman" w:cs="Times New Roman"/>
          <w:color w:val="000000" w:themeColor="text1"/>
          <w:sz w:val="26"/>
          <w:szCs w:val="26"/>
        </w:rPr>
        <w:t>You must specify the Docket No. (</w:t>
      </w:r>
      <w:r w:rsidRPr="005F2224" w:rsidR="04010090">
        <w:rPr>
          <w:rFonts w:ascii="Times New Roman" w:eastAsia="Times New Roman" w:hAnsi="Times New Roman" w:cs="Times New Roman"/>
          <w:color w:val="000000" w:themeColor="text1"/>
          <w:sz w:val="26"/>
          <w:szCs w:val="26"/>
        </w:rPr>
        <w:t>IC26-17-000</w:t>
      </w:r>
      <w:r w:rsidRPr="005F2224" w:rsidR="7981EB00">
        <w:rPr>
          <w:rFonts w:ascii="Times New Roman" w:eastAsia="Times New Roman" w:hAnsi="Times New Roman" w:cs="Times New Roman"/>
          <w:color w:val="000000" w:themeColor="text1"/>
          <w:sz w:val="26"/>
          <w:szCs w:val="26"/>
        </w:rPr>
        <w:t>) and the FERC Information Collection</w:t>
      </w:r>
      <w:r w:rsidRPr="005F2224" w:rsidR="7981EB00">
        <w:rPr>
          <w:rFonts w:ascii="Times New Roman" w:eastAsia="Times New Roman" w:hAnsi="Times New Roman" w:cs="Times New Roman"/>
          <w:b/>
          <w:bCs/>
          <w:color w:val="000000" w:themeColor="text1"/>
          <w:sz w:val="26"/>
          <w:szCs w:val="26"/>
        </w:rPr>
        <w:t xml:space="preserve"> </w:t>
      </w:r>
      <w:r w:rsidRPr="005F2224" w:rsidR="7981EB00">
        <w:rPr>
          <w:rFonts w:ascii="Times New Roman" w:eastAsia="Times New Roman" w:hAnsi="Times New Roman" w:cs="Times New Roman"/>
          <w:color w:val="000000" w:themeColor="text1"/>
          <w:sz w:val="26"/>
          <w:szCs w:val="26"/>
        </w:rPr>
        <w:t>number (FERC-549) in your email.</w:t>
      </w:r>
      <w:r w:rsidR="001565E1">
        <w:rPr>
          <w:rFonts w:ascii="Times New Roman" w:eastAsia="Times New Roman" w:hAnsi="Times New Roman" w:cs="Times New Roman"/>
          <w:color w:val="000000" w:themeColor="text1"/>
          <w:sz w:val="26"/>
          <w:szCs w:val="26"/>
        </w:rPr>
        <w:t xml:space="preserve"> </w:t>
      </w:r>
      <w:r w:rsidRPr="005F2224" w:rsidR="7981EB00">
        <w:rPr>
          <w:rFonts w:ascii="Times New Roman" w:eastAsia="Times New Roman" w:hAnsi="Times New Roman" w:cs="Times New Roman"/>
          <w:color w:val="000000" w:themeColor="text1"/>
          <w:sz w:val="26"/>
          <w:szCs w:val="26"/>
        </w:rPr>
        <w:t>If you are unable to file electronically, comments may be filed by USPS mail or by hand (including courier) delivery:</w:t>
      </w:r>
    </w:p>
    <w:p w:rsidR="7981EB00" w:rsidRPr="005F2224" w:rsidP="0BDB3F89" w14:paraId="4069AB39" w14:textId="160F346C">
      <w:pPr>
        <w:pStyle w:val="ListParagraph"/>
        <w:numPr>
          <w:ilvl w:val="0"/>
          <w:numId w:val="1"/>
        </w:numPr>
        <w:spacing w:after="0" w:line="480" w:lineRule="auto"/>
        <w:rPr>
          <w:rFonts w:ascii="Times New Roman" w:eastAsia="Times New Roman" w:hAnsi="Times New Roman" w:cs="Times New Roman"/>
          <w:color w:val="000000" w:themeColor="text1"/>
          <w:sz w:val="26"/>
          <w:szCs w:val="26"/>
        </w:rPr>
      </w:pPr>
      <w:r w:rsidRPr="005F2224">
        <w:rPr>
          <w:rFonts w:ascii="Times New Roman" w:eastAsia="Times New Roman" w:hAnsi="Times New Roman" w:cs="Times New Roman"/>
          <w:color w:val="000000" w:themeColor="text1"/>
          <w:sz w:val="26"/>
          <w:szCs w:val="26"/>
        </w:rPr>
        <w:t>Mail via U.S. Postal Service only, addressed to: Federal Energy Regulatory Commission, Secretary of the Commission, 888 First Street, N.E., Washington, DC 20426.</w:t>
      </w:r>
    </w:p>
    <w:p w:rsidR="7981EB00" w:rsidRPr="005F2224" w:rsidP="0BDB3F89" w14:paraId="52B1ABFA" w14:textId="3F8C20AE">
      <w:pPr>
        <w:pStyle w:val="ListParagraph"/>
        <w:numPr>
          <w:ilvl w:val="0"/>
          <w:numId w:val="1"/>
        </w:numPr>
        <w:spacing w:after="0" w:line="480" w:lineRule="auto"/>
        <w:rPr>
          <w:rFonts w:ascii="Times New Roman" w:eastAsia="Times New Roman" w:hAnsi="Times New Roman" w:cs="Times New Roman"/>
          <w:color w:val="000000" w:themeColor="text1"/>
          <w:sz w:val="26"/>
          <w:szCs w:val="26"/>
        </w:rPr>
      </w:pPr>
      <w:r w:rsidRPr="005F2224">
        <w:rPr>
          <w:rFonts w:ascii="Times New Roman" w:eastAsia="Times New Roman" w:hAnsi="Times New Roman" w:cs="Times New Roman"/>
          <w:color w:val="000000" w:themeColor="text1"/>
          <w:sz w:val="26"/>
          <w:szCs w:val="26"/>
        </w:rPr>
        <w:t>Hand (including courier) delivery to: Federal Energy Regulatory Commission, 12225 Wilkins Avenue, Rockville, MD 20852.</w:t>
      </w:r>
    </w:p>
    <w:p w:rsidR="7981EB00" w:rsidRPr="005F2224" w:rsidP="0BDB3F89" w14:paraId="207B8000" w14:textId="11B2BAF0">
      <w:pPr>
        <w:spacing w:after="0" w:line="480" w:lineRule="auto"/>
        <w:rPr>
          <w:rFonts w:ascii="Times New Roman" w:eastAsia="Times New Roman" w:hAnsi="Times New Roman" w:cs="Times New Roman"/>
          <w:color w:val="000000" w:themeColor="text1"/>
          <w:sz w:val="26"/>
          <w:szCs w:val="26"/>
        </w:rPr>
      </w:pPr>
      <w:r w:rsidRPr="005F2224">
        <w:rPr>
          <w:rFonts w:ascii="Times New Roman" w:eastAsia="Times New Roman" w:hAnsi="Times New Roman" w:cs="Times New Roman"/>
          <w:i/>
          <w:iCs/>
          <w:color w:val="000000" w:themeColor="text1"/>
          <w:sz w:val="26"/>
          <w:szCs w:val="26"/>
        </w:rPr>
        <w:t>Docket:</w:t>
      </w:r>
      <w:r w:rsidRPr="005F2224">
        <w:rPr>
          <w:rFonts w:ascii="Times New Roman" w:eastAsia="Times New Roman" w:hAnsi="Times New Roman" w:cs="Times New Roman"/>
          <w:color w:val="000000" w:themeColor="text1"/>
          <w:sz w:val="26"/>
          <w:szCs w:val="26"/>
        </w:rPr>
        <w:t xml:space="preserve"> To view comments and issuances in this docket, please visit </w:t>
      </w:r>
      <w:hyperlink r:id="rId11">
        <w:r w:rsidRPr="005F2224">
          <w:rPr>
            <w:rStyle w:val="Hyperlink"/>
            <w:rFonts w:ascii="Times New Roman" w:eastAsia="Times New Roman" w:hAnsi="Times New Roman" w:cs="Times New Roman"/>
            <w:sz w:val="26"/>
            <w:szCs w:val="26"/>
          </w:rPr>
          <w:t>https://elibrary.ferc.gov/eLibrary/search</w:t>
        </w:r>
      </w:hyperlink>
      <w:r w:rsidRPr="005F2224">
        <w:rPr>
          <w:rFonts w:ascii="Times New Roman" w:eastAsia="Times New Roman" w:hAnsi="Times New Roman" w:cs="Times New Roman"/>
          <w:color w:val="000000" w:themeColor="text1"/>
          <w:sz w:val="26"/>
          <w:szCs w:val="26"/>
        </w:rPr>
        <w:t>.</w:t>
      </w:r>
    </w:p>
    <w:p w:rsidR="7981EB00" w:rsidRPr="005F2224" w:rsidP="0BDB3F89" w14:paraId="14D214AA" w14:textId="07010940">
      <w:pPr>
        <w:spacing w:after="0" w:line="480" w:lineRule="auto"/>
        <w:rPr>
          <w:sz w:val="26"/>
          <w:szCs w:val="26"/>
        </w:rPr>
      </w:pPr>
      <w:r w:rsidRPr="005F2224">
        <w:rPr>
          <w:rFonts w:ascii="Times New Roman" w:eastAsia="Times New Roman" w:hAnsi="Times New Roman" w:cs="Times New Roman"/>
          <w:b/>
          <w:bCs/>
          <w:color w:val="000000" w:themeColor="text1"/>
          <w:sz w:val="26"/>
          <w:szCs w:val="26"/>
        </w:rPr>
        <w:t>FOR FURTHER INFORMATION:</w:t>
      </w:r>
      <w:r w:rsidRPr="005F2224">
        <w:rPr>
          <w:rFonts w:ascii="Times New Roman" w:eastAsia="Times New Roman" w:hAnsi="Times New Roman" w:cs="Times New Roman"/>
          <w:color w:val="000000" w:themeColor="text1"/>
          <w:sz w:val="26"/>
          <w:szCs w:val="26"/>
        </w:rPr>
        <w:t xml:space="preserve"> Kayla Williams may be reached by e-mail at </w:t>
      </w:r>
      <w:hyperlink r:id="rId10">
        <w:r w:rsidRPr="005F2224">
          <w:rPr>
            <w:rStyle w:val="Hyperlink"/>
            <w:rFonts w:ascii="Times New Roman" w:eastAsia="Times New Roman" w:hAnsi="Times New Roman" w:cs="Times New Roman"/>
            <w:sz w:val="26"/>
            <w:szCs w:val="26"/>
          </w:rPr>
          <w:t>DataClearance@FERC.gov</w:t>
        </w:r>
      </w:hyperlink>
      <w:r w:rsidRPr="005F2224">
        <w:rPr>
          <w:rFonts w:ascii="Times New Roman" w:eastAsia="Times New Roman" w:hAnsi="Times New Roman" w:cs="Times New Roman"/>
          <w:color w:val="000000" w:themeColor="text1"/>
          <w:sz w:val="26"/>
          <w:szCs w:val="26"/>
        </w:rPr>
        <w:t>, or by telephone at (202)502-6468.</w:t>
      </w:r>
    </w:p>
    <w:p w:rsidR="00466D3F" w:rsidRPr="005F2224" w:rsidP="004606F9" w14:paraId="3331D9FB" w14:textId="7F514DF9">
      <w:pPr>
        <w:spacing w:after="0" w:line="480" w:lineRule="auto"/>
        <w:rPr>
          <w:rFonts w:ascii="Times New Roman" w:eastAsia="Times New Roman" w:hAnsi="Times New Roman" w:cs="Times New Roman"/>
          <w:sz w:val="26"/>
          <w:szCs w:val="26"/>
        </w:rPr>
      </w:pPr>
      <w:r w:rsidRPr="005F2224">
        <w:rPr>
          <w:rFonts w:ascii="Times New Roman" w:eastAsia="Times New Roman" w:hAnsi="Times New Roman" w:cs="Times New Roman"/>
          <w:b/>
          <w:sz w:val="26"/>
          <w:szCs w:val="26"/>
        </w:rPr>
        <w:t>SUPPLEMENTARY INFORMATION:</w:t>
      </w:r>
    </w:p>
    <w:p w:rsidR="007C1472" w:rsidRPr="005F2224" w:rsidP="007C1472" w14:paraId="351676F1" w14:textId="63AE8B49">
      <w:pPr>
        <w:spacing w:after="0" w:line="480" w:lineRule="auto"/>
        <w:rPr>
          <w:rFonts w:ascii="Times New Roman" w:eastAsia="Times New Roman" w:hAnsi="Times New Roman" w:cs="Times New Roman"/>
          <w:i/>
          <w:sz w:val="26"/>
          <w:szCs w:val="26"/>
        </w:rPr>
      </w:pPr>
      <w:r w:rsidRPr="005F2224">
        <w:rPr>
          <w:rFonts w:ascii="Times New Roman" w:eastAsia="Times New Roman" w:hAnsi="Times New Roman" w:cs="Times New Roman"/>
          <w:i/>
          <w:sz w:val="26"/>
          <w:szCs w:val="26"/>
        </w:rPr>
        <w:t xml:space="preserve">Title: </w:t>
      </w:r>
      <w:r w:rsidRPr="005F2224">
        <w:rPr>
          <w:rFonts w:ascii="Times New Roman" w:eastAsia="Times New Roman" w:hAnsi="Times New Roman" w:cs="Times New Roman"/>
          <w:sz w:val="26"/>
          <w:szCs w:val="26"/>
        </w:rPr>
        <w:t xml:space="preserve">NGPA </w:t>
      </w:r>
      <w:r w:rsidRPr="005F2224" w:rsidR="00534BFE">
        <w:rPr>
          <w:rFonts w:ascii="Times New Roman" w:eastAsia="Times New Roman" w:hAnsi="Times New Roman" w:cs="Times New Roman"/>
          <w:sz w:val="26"/>
          <w:szCs w:val="26"/>
        </w:rPr>
        <w:t xml:space="preserve">Section 311 </w:t>
      </w:r>
      <w:r w:rsidRPr="005F2224">
        <w:rPr>
          <w:rFonts w:ascii="Times New Roman" w:eastAsia="Times New Roman" w:hAnsi="Times New Roman" w:cs="Times New Roman"/>
          <w:sz w:val="26"/>
          <w:szCs w:val="26"/>
        </w:rPr>
        <w:t>Transactions and NGA Blanket Certificate Transactions</w:t>
      </w:r>
    </w:p>
    <w:p w:rsidR="007C1472" w:rsidRPr="005F2224" w:rsidP="007C1472" w14:paraId="39DDC55B" w14:textId="77777777">
      <w:pPr>
        <w:spacing w:after="0" w:line="480" w:lineRule="auto"/>
        <w:rPr>
          <w:rFonts w:ascii="Times New Roman" w:eastAsia="Times New Roman" w:hAnsi="Times New Roman" w:cs="Times New Roman"/>
          <w:sz w:val="26"/>
          <w:szCs w:val="26"/>
        </w:rPr>
      </w:pPr>
      <w:r w:rsidRPr="005F2224">
        <w:rPr>
          <w:rFonts w:ascii="Times New Roman" w:eastAsia="Times New Roman" w:hAnsi="Times New Roman" w:cs="Times New Roman"/>
          <w:i/>
          <w:sz w:val="26"/>
          <w:szCs w:val="26"/>
        </w:rPr>
        <w:t>OMB Control No.:</w:t>
      </w:r>
      <w:r w:rsidRPr="005F2224">
        <w:rPr>
          <w:rFonts w:ascii="Times New Roman" w:eastAsia="Times New Roman" w:hAnsi="Times New Roman" w:cs="Times New Roman"/>
          <w:sz w:val="26"/>
          <w:szCs w:val="26"/>
        </w:rPr>
        <w:t xml:space="preserve"> 1902-0086</w:t>
      </w:r>
    </w:p>
    <w:p w:rsidR="007C1472" w:rsidRPr="005F2224" w:rsidP="007C1472" w14:paraId="0BE90AAE" w14:textId="0CE64F21">
      <w:pPr>
        <w:spacing w:after="0" w:line="480" w:lineRule="auto"/>
        <w:rPr>
          <w:rFonts w:ascii="Times New Roman" w:eastAsia="Times New Roman" w:hAnsi="Times New Roman" w:cs="Times New Roman"/>
          <w:sz w:val="26"/>
          <w:szCs w:val="26"/>
        </w:rPr>
      </w:pPr>
      <w:r w:rsidRPr="005F2224">
        <w:rPr>
          <w:rFonts w:ascii="Times New Roman" w:eastAsia="Times New Roman" w:hAnsi="Times New Roman" w:cs="Times New Roman"/>
          <w:i/>
          <w:iCs/>
          <w:sz w:val="26"/>
          <w:szCs w:val="26"/>
        </w:rPr>
        <w:t>Type of Request:</w:t>
      </w:r>
      <w:r w:rsidRPr="005F2224">
        <w:rPr>
          <w:rFonts w:ascii="Times New Roman" w:eastAsia="Times New Roman" w:hAnsi="Times New Roman" w:cs="Times New Roman"/>
          <w:sz w:val="26"/>
          <w:szCs w:val="26"/>
        </w:rPr>
        <w:t xml:space="preserve"> Three-year extension of the FERC-549 information collection requirements with </w:t>
      </w:r>
      <w:r w:rsidRPr="005F2224" w:rsidR="1C3847AD">
        <w:rPr>
          <w:rFonts w:ascii="Times New Roman" w:eastAsia="Times New Roman" w:hAnsi="Times New Roman" w:cs="Times New Roman"/>
          <w:sz w:val="26"/>
          <w:szCs w:val="26"/>
        </w:rPr>
        <w:t>no proposed changes to the collection</w:t>
      </w:r>
      <w:r w:rsidRPr="005F2224" w:rsidR="006B07AF">
        <w:rPr>
          <w:rFonts w:ascii="Times New Roman" w:hAnsi="Times New Roman"/>
          <w:sz w:val="26"/>
          <w:szCs w:val="26"/>
        </w:rPr>
        <w:t>.</w:t>
      </w:r>
    </w:p>
    <w:p w:rsidR="007C1472" w:rsidRPr="005F2224" w:rsidP="007C1472" w14:paraId="064B67CB" w14:textId="77AF00FE">
      <w:pPr>
        <w:spacing w:after="0" w:line="480" w:lineRule="auto"/>
        <w:rPr>
          <w:rFonts w:ascii="Times New Roman" w:eastAsia="Times New Roman" w:hAnsi="Times New Roman" w:cs="Times New Roman"/>
          <w:sz w:val="26"/>
          <w:szCs w:val="26"/>
        </w:rPr>
      </w:pPr>
      <w:r w:rsidRPr="005F2224">
        <w:rPr>
          <w:rFonts w:ascii="Times New Roman" w:eastAsia="Times New Roman" w:hAnsi="Times New Roman" w:cs="Times New Roman"/>
          <w:i/>
          <w:iCs/>
          <w:sz w:val="26"/>
          <w:szCs w:val="26"/>
        </w:rPr>
        <w:t>Abstract</w:t>
      </w:r>
      <w:r w:rsidRPr="00F90B8B">
        <w:rPr>
          <w:rFonts w:ascii="Times New Roman" w:eastAsia="Times New Roman" w:hAnsi="Times New Roman" w:cs="Times New Roman"/>
          <w:i/>
          <w:iCs/>
          <w:sz w:val="26"/>
          <w:szCs w:val="26"/>
        </w:rPr>
        <w:t xml:space="preserve">: </w:t>
      </w:r>
      <w:r w:rsidRPr="007B2C29">
        <w:rPr>
          <w:rFonts w:ascii="Times New Roman" w:eastAsia="Times New Roman" w:hAnsi="Times New Roman" w:cs="Times New Roman"/>
          <w:sz w:val="26"/>
          <w:szCs w:val="26"/>
        </w:rPr>
        <w:t>FERC-549 implement</w:t>
      </w:r>
      <w:r w:rsidRPr="007B2C29" w:rsidR="001565E1">
        <w:rPr>
          <w:rFonts w:ascii="Times New Roman" w:eastAsia="Times New Roman" w:hAnsi="Times New Roman" w:cs="Times New Roman"/>
          <w:sz w:val="26"/>
          <w:szCs w:val="26"/>
        </w:rPr>
        <w:t>s</w:t>
      </w:r>
      <w:r w:rsidRPr="007B2C29">
        <w:rPr>
          <w:rFonts w:ascii="Times New Roman" w:eastAsia="Times New Roman" w:hAnsi="Times New Roman" w:cs="Times New Roman"/>
          <w:sz w:val="26"/>
          <w:szCs w:val="26"/>
        </w:rPr>
        <w:t xml:space="preserve"> </w:t>
      </w:r>
      <w:r w:rsidRPr="007B2C29" w:rsidR="005D2C0E">
        <w:rPr>
          <w:rFonts w:ascii="Times New Roman" w:eastAsia="Times New Roman" w:hAnsi="Times New Roman" w:cs="Times New Roman"/>
          <w:sz w:val="26"/>
          <w:szCs w:val="26"/>
        </w:rPr>
        <w:t xml:space="preserve">portions of </w:t>
      </w:r>
      <w:r w:rsidRPr="007B2C29">
        <w:rPr>
          <w:rFonts w:ascii="Times New Roman" w:eastAsia="Times New Roman" w:hAnsi="Times New Roman" w:cs="Times New Roman"/>
          <w:sz w:val="26"/>
          <w:szCs w:val="26"/>
        </w:rPr>
        <w:t xml:space="preserve">the </w:t>
      </w:r>
      <w:r w:rsidRPr="007B2C29" w:rsidR="008E2281">
        <w:rPr>
          <w:rFonts w:ascii="Times New Roman" w:eastAsia="Times New Roman" w:hAnsi="Times New Roman" w:cs="Times New Roman"/>
          <w:sz w:val="26"/>
          <w:szCs w:val="26"/>
        </w:rPr>
        <w:t xml:space="preserve">following </w:t>
      </w:r>
      <w:r w:rsidRPr="007B2C29">
        <w:rPr>
          <w:rFonts w:ascii="Times New Roman" w:eastAsia="Times New Roman" w:hAnsi="Times New Roman" w:cs="Times New Roman"/>
          <w:sz w:val="26"/>
          <w:szCs w:val="26"/>
        </w:rPr>
        <w:t>statutory provisions</w:t>
      </w:r>
      <w:r w:rsidRPr="007B2C29" w:rsidR="008E2281">
        <w:rPr>
          <w:rFonts w:ascii="Times New Roman" w:eastAsia="Times New Roman" w:hAnsi="Times New Roman" w:cs="Times New Roman"/>
          <w:sz w:val="26"/>
          <w:szCs w:val="26"/>
        </w:rPr>
        <w:t>:</w:t>
      </w:r>
      <w:r w:rsidRPr="007B2C29" w:rsidR="76CF617E">
        <w:rPr>
          <w:rFonts w:ascii="Times New Roman" w:eastAsia="Times New Roman" w:hAnsi="Times New Roman" w:cs="Times New Roman"/>
          <w:sz w:val="26"/>
          <w:szCs w:val="26"/>
        </w:rPr>
        <w:t xml:space="preserve"> </w:t>
      </w:r>
      <w:r w:rsidRPr="007B2C29" w:rsidR="00D438A5">
        <w:rPr>
          <w:rFonts w:ascii="Times New Roman" w:eastAsia="Times New Roman" w:hAnsi="Times New Roman" w:cs="Times New Roman"/>
          <w:sz w:val="26"/>
          <w:szCs w:val="26"/>
        </w:rPr>
        <w:t>(1)</w:t>
      </w:r>
      <w:r w:rsidRPr="007B2C29" w:rsidR="76CF617E">
        <w:rPr>
          <w:rFonts w:ascii="Times New Roman" w:eastAsia="Times New Roman" w:hAnsi="Times New Roman" w:cs="Times New Roman"/>
          <w:sz w:val="26"/>
          <w:szCs w:val="26"/>
        </w:rPr>
        <w:t xml:space="preserve"> </w:t>
      </w:r>
      <w:r w:rsidRPr="007B2C29">
        <w:rPr>
          <w:rFonts w:ascii="Times New Roman" w:eastAsia="Times New Roman" w:hAnsi="Times New Roman" w:cs="Times New Roman"/>
          <w:sz w:val="26"/>
          <w:szCs w:val="26"/>
        </w:rPr>
        <w:t>Section 311 of the Natural Gas Policy Act (NGPA) (15 U</w:t>
      </w:r>
      <w:r w:rsidRPr="007B2C29" w:rsidR="002D19FF">
        <w:rPr>
          <w:rFonts w:ascii="Times New Roman" w:eastAsia="Times New Roman" w:hAnsi="Times New Roman" w:cs="Times New Roman"/>
          <w:sz w:val="26"/>
          <w:szCs w:val="26"/>
        </w:rPr>
        <w:t>.</w:t>
      </w:r>
      <w:r w:rsidRPr="007B2C29">
        <w:rPr>
          <w:rFonts w:ascii="Times New Roman" w:eastAsia="Times New Roman" w:hAnsi="Times New Roman" w:cs="Times New Roman"/>
          <w:sz w:val="26"/>
          <w:szCs w:val="26"/>
        </w:rPr>
        <w:t>S</w:t>
      </w:r>
      <w:r w:rsidRPr="007B2C29" w:rsidR="002D19FF">
        <w:rPr>
          <w:rFonts w:ascii="Times New Roman" w:eastAsia="Times New Roman" w:hAnsi="Times New Roman" w:cs="Times New Roman"/>
          <w:sz w:val="26"/>
          <w:szCs w:val="26"/>
        </w:rPr>
        <w:t>.</w:t>
      </w:r>
      <w:r w:rsidRPr="007B2C29">
        <w:rPr>
          <w:rFonts w:ascii="Times New Roman" w:eastAsia="Times New Roman" w:hAnsi="Times New Roman" w:cs="Times New Roman"/>
          <w:sz w:val="26"/>
          <w:szCs w:val="26"/>
        </w:rPr>
        <w:t>C</w:t>
      </w:r>
      <w:r w:rsidRPr="007B2C29" w:rsidR="002D19FF">
        <w:rPr>
          <w:rFonts w:ascii="Times New Roman" w:eastAsia="Times New Roman" w:hAnsi="Times New Roman" w:cs="Times New Roman"/>
          <w:sz w:val="26"/>
          <w:szCs w:val="26"/>
        </w:rPr>
        <w:t>.</w:t>
      </w:r>
      <w:r w:rsidRPr="007B2C29">
        <w:rPr>
          <w:rFonts w:ascii="Times New Roman" w:eastAsia="Times New Roman" w:hAnsi="Times New Roman" w:cs="Times New Roman"/>
          <w:sz w:val="26"/>
          <w:szCs w:val="26"/>
        </w:rPr>
        <w:t xml:space="preserve"> 3371)</w:t>
      </w:r>
      <w:r w:rsidRPr="007B2C29" w:rsidR="007863D9">
        <w:rPr>
          <w:rFonts w:ascii="Times New Roman" w:eastAsia="Times New Roman" w:hAnsi="Times New Roman" w:cs="Times New Roman"/>
          <w:sz w:val="26"/>
          <w:szCs w:val="26"/>
        </w:rPr>
        <w:t>; (2) Sectio</w:t>
      </w:r>
      <w:r w:rsidRPr="007B2C29" w:rsidR="0094185E">
        <w:rPr>
          <w:rFonts w:ascii="Times New Roman" w:eastAsia="Times New Roman" w:hAnsi="Times New Roman" w:cs="Times New Roman"/>
          <w:sz w:val="26"/>
          <w:szCs w:val="26"/>
        </w:rPr>
        <w:t>n</w:t>
      </w:r>
      <w:r w:rsidRPr="007B2C29" w:rsidR="007863D9">
        <w:rPr>
          <w:rFonts w:ascii="Times New Roman" w:eastAsia="Times New Roman" w:hAnsi="Times New Roman" w:cs="Times New Roman"/>
          <w:sz w:val="26"/>
          <w:szCs w:val="26"/>
        </w:rPr>
        <w:t xml:space="preserve"> 4(f) of the Natural Gas Act (NGA) (15 U.S.C. </w:t>
      </w:r>
      <w:r w:rsidRPr="007B2C29" w:rsidR="00032162">
        <w:rPr>
          <w:rFonts w:ascii="Times New Roman" w:eastAsia="Times New Roman" w:hAnsi="Times New Roman" w:cs="Times New Roman"/>
          <w:sz w:val="26"/>
          <w:szCs w:val="26"/>
        </w:rPr>
        <w:t>717c</w:t>
      </w:r>
      <w:r w:rsidRPr="007B2C29" w:rsidR="005B038C">
        <w:rPr>
          <w:rFonts w:ascii="Times New Roman" w:eastAsia="Times New Roman" w:hAnsi="Times New Roman" w:cs="Times New Roman"/>
          <w:sz w:val="26"/>
          <w:szCs w:val="26"/>
        </w:rPr>
        <w:t>(f))</w:t>
      </w:r>
      <w:r w:rsidRPr="007B2C29" w:rsidR="00032162">
        <w:rPr>
          <w:rFonts w:ascii="Times New Roman" w:eastAsia="Times New Roman" w:hAnsi="Times New Roman" w:cs="Times New Roman"/>
          <w:sz w:val="26"/>
          <w:szCs w:val="26"/>
        </w:rPr>
        <w:t>; and</w:t>
      </w:r>
      <w:r w:rsidRPr="007B2C29">
        <w:rPr>
          <w:rFonts w:ascii="Times New Roman" w:eastAsia="Times New Roman" w:hAnsi="Times New Roman" w:cs="Times New Roman"/>
          <w:sz w:val="26"/>
          <w:szCs w:val="26"/>
        </w:rPr>
        <w:t xml:space="preserve"> </w:t>
      </w:r>
      <w:r w:rsidRPr="007B2C29" w:rsidR="00D438A5">
        <w:rPr>
          <w:rFonts w:ascii="Times New Roman" w:eastAsia="Times New Roman" w:hAnsi="Times New Roman" w:cs="Times New Roman"/>
          <w:sz w:val="26"/>
          <w:szCs w:val="26"/>
        </w:rPr>
        <w:t xml:space="preserve">(3) </w:t>
      </w:r>
      <w:r w:rsidRPr="007B2C29">
        <w:rPr>
          <w:rFonts w:ascii="Times New Roman" w:eastAsia="Times New Roman" w:hAnsi="Times New Roman" w:cs="Times New Roman"/>
          <w:sz w:val="26"/>
          <w:szCs w:val="26"/>
        </w:rPr>
        <w:t xml:space="preserve">Section 7 of the </w:t>
      </w:r>
      <w:r w:rsidRPr="007B2C29" w:rsidR="00032162">
        <w:rPr>
          <w:rFonts w:ascii="Times New Roman" w:eastAsia="Times New Roman" w:hAnsi="Times New Roman" w:cs="Times New Roman"/>
          <w:sz w:val="26"/>
          <w:szCs w:val="26"/>
        </w:rPr>
        <w:t xml:space="preserve">NGA </w:t>
      </w:r>
      <w:r w:rsidRPr="007B2C29">
        <w:rPr>
          <w:rFonts w:ascii="Times New Roman" w:eastAsia="Times New Roman" w:hAnsi="Times New Roman" w:cs="Times New Roman"/>
          <w:sz w:val="26"/>
          <w:szCs w:val="26"/>
        </w:rPr>
        <w:t>(15 U</w:t>
      </w:r>
      <w:r w:rsidRPr="007B2C29" w:rsidR="002D19FF">
        <w:rPr>
          <w:rFonts w:ascii="Times New Roman" w:eastAsia="Times New Roman" w:hAnsi="Times New Roman" w:cs="Times New Roman"/>
          <w:sz w:val="26"/>
          <w:szCs w:val="26"/>
        </w:rPr>
        <w:t>.</w:t>
      </w:r>
      <w:r w:rsidRPr="007B2C29">
        <w:rPr>
          <w:rFonts w:ascii="Times New Roman" w:eastAsia="Times New Roman" w:hAnsi="Times New Roman" w:cs="Times New Roman"/>
          <w:sz w:val="26"/>
          <w:szCs w:val="26"/>
        </w:rPr>
        <w:t>S</w:t>
      </w:r>
      <w:r w:rsidRPr="007B2C29" w:rsidR="002D19FF">
        <w:rPr>
          <w:rFonts w:ascii="Times New Roman" w:eastAsia="Times New Roman" w:hAnsi="Times New Roman" w:cs="Times New Roman"/>
          <w:sz w:val="26"/>
          <w:szCs w:val="26"/>
        </w:rPr>
        <w:t>.</w:t>
      </w:r>
      <w:r w:rsidRPr="007B2C29">
        <w:rPr>
          <w:rFonts w:ascii="Times New Roman" w:eastAsia="Times New Roman" w:hAnsi="Times New Roman" w:cs="Times New Roman"/>
          <w:sz w:val="26"/>
          <w:szCs w:val="26"/>
        </w:rPr>
        <w:t>C</w:t>
      </w:r>
      <w:r w:rsidRPr="007B2C29" w:rsidR="002D19FF">
        <w:rPr>
          <w:rFonts w:ascii="Times New Roman" w:eastAsia="Times New Roman" w:hAnsi="Times New Roman" w:cs="Times New Roman"/>
          <w:sz w:val="26"/>
          <w:szCs w:val="26"/>
        </w:rPr>
        <w:t>.</w:t>
      </w:r>
      <w:r w:rsidRPr="007B2C29">
        <w:rPr>
          <w:rFonts w:ascii="Times New Roman" w:eastAsia="Times New Roman" w:hAnsi="Times New Roman" w:cs="Times New Roman"/>
          <w:sz w:val="26"/>
          <w:szCs w:val="26"/>
        </w:rPr>
        <w:t xml:space="preserve"> 717f).</w:t>
      </w:r>
      <w:r w:rsidRPr="007B2C29" w:rsidR="001565E1">
        <w:rPr>
          <w:rFonts w:ascii="Times New Roman" w:eastAsia="Times New Roman" w:hAnsi="Times New Roman" w:cs="Times New Roman"/>
          <w:sz w:val="26"/>
          <w:szCs w:val="26"/>
        </w:rPr>
        <w:t xml:space="preserve"> </w:t>
      </w:r>
      <w:r w:rsidRPr="007B2C29">
        <w:rPr>
          <w:rFonts w:ascii="Times New Roman" w:eastAsia="Times New Roman" w:hAnsi="Times New Roman" w:cs="Times New Roman"/>
          <w:sz w:val="26"/>
          <w:szCs w:val="26"/>
        </w:rPr>
        <w:t>The reporting requirements for implementing these provisions are contained in 18 CFR Part 284.</w:t>
      </w:r>
    </w:p>
    <w:p w:rsidR="007C1472" w:rsidRPr="005F2224" w:rsidP="007C1472" w14:paraId="15D97B2A" w14:textId="56D93F2F">
      <w:pPr>
        <w:spacing w:after="0" w:line="480" w:lineRule="auto"/>
        <w:rPr>
          <w:rFonts w:ascii="Times New Roman" w:eastAsia="Times New Roman" w:hAnsi="Times New Roman" w:cs="Times New Roman"/>
          <w:b/>
          <w:sz w:val="26"/>
          <w:szCs w:val="26"/>
        </w:rPr>
      </w:pPr>
      <w:r w:rsidRPr="005F2224">
        <w:rPr>
          <w:rFonts w:ascii="Times New Roman" w:eastAsia="Times New Roman" w:hAnsi="Times New Roman" w:cs="Times New Roman"/>
          <w:b/>
          <w:sz w:val="26"/>
          <w:szCs w:val="26"/>
        </w:rPr>
        <w:t xml:space="preserve">Transportation </w:t>
      </w:r>
      <w:r w:rsidRPr="005F2224" w:rsidR="00D90B30">
        <w:rPr>
          <w:rFonts w:ascii="Times New Roman" w:eastAsia="Times New Roman" w:hAnsi="Times New Roman" w:cs="Times New Roman"/>
          <w:b/>
          <w:sz w:val="26"/>
          <w:szCs w:val="26"/>
        </w:rPr>
        <w:t xml:space="preserve">by Interstate Pipelines </w:t>
      </w:r>
      <w:r w:rsidRPr="005F2224">
        <w:rPr>
          <w:rFonts w:ascii="Times New Roman" w:eastAsia="Times New Roman" w:hAnsi="Times New Roman" w:cs="Times New Roman"/>
          <w:b/>
          <w:sz w:val="26"/>
          <w:szCs w:val="26"/>
        </w:rPr>
        <w:t>for Intrastate Pipelines</w:t>
      </w:r>
      <w:r w:rsidRPr="005F2224" w:rsidR="007E0B5F">
        <w:rPr>
          <w:rFonts w:ascii="Times New Roman" w:eastAsia="Times New Roman" w:hAnsi="Times New Roman" w:cs="Times New Roman"/>
          <w:b/>
          <w:sz w:val="26"/>
          <w:szCs w:val="26"/>
        </w:rPr>
        <w:t xml:space="preserve"> and Local Distribution Companies</w:t>
      </w:r>
    </w:p>
    <w:p w:rsidR="007979CB" w:rsidRPr="005F2224" w:rsidP="00665DA3" w14:paraId="169F1BF2" w14:textId="0427ACC2">
      <w:pPr>
        <w:spacing w:after="0" w:line="480" w:lineRule="auto"/>
        <w:rPr>
          <w:rFonts w:ascii="Times New Roman" w:eastAsia="Times New Roman" w:hAnsi="Times New Roman" w:cs="Times New Roman"/>
          <w:sz w:val="26"/>
          <w:szCs w:val="26"/>
        </w:rPr>
      </w:pPr>
      <w:r w:rsidRPr="005F2224">
        <w:rPr>
          <w:rFonts w:ascii="Times New Roman" w:eastAsia="Times New Roman" w:hAnsi="Times New Roman" w:cs="Times New Roman"/>
          <w:sz w:val="26"/>
          <w:szCs w:val="26"/>
        </w:rPr>
        <w:t>Under</w:t>
      </w:r>
      <w:r w:rsidRPr="005F2224" w:rsidR="007C1472">
        <w:rPr>
          <w:rFonts w:ascii="Times New Roman" w:eastAsia="Times New Roman" w:hAnsi="Times New Roman" w:cs="Times New Roman"/>
          <w:sz w:val="26"/>
          <w:szCs w:val="26"/>
        </w:rPr>
        <w:t xml:space="preserve"> </w:t>
      </w:r>
      <w:r w:rsidRPr="005F2224" w:rsidR="000A2063">
        <w:rPr>
          <w:rFonts w:ascii="Times New Roman" w:eastAsia="Times New Roman" w:hAnsi="Times New Roman" w:cs="Times New Roman"/>
          <w:sz w:val="26"/>
          <w:szCs w:val="26"/>
        </w:rPr>
        <w:t xml:space="preserve">section 311(a)(1) of the NGPA and </w:t>
      </w:r>
      <w:r w:rsidRPr="005362B7" w:rsidR="007C1472">
        <w:rPr>
          <w:rFonts w:ascii="Times New Roman" w:eastAsia="Times New Roman" w:hAnsi="Times New Roman" w:cs="Times New Roman"/>
          <w:sz w:val="26"/>
          <w:szCs w:val="26"/>
        </w:rPr>
        <w:t xml:space="preserve">18 CFR </w:t>
      </w:r>
      <w:r w:rsidRPr="005362B7" w:rsidR="006476C4">
        <w:rPr>
          <w:rFonts w:ascii="Times New Roman" w:eastAsia="Times New Roman" w:hAnsi="Times New Roman" w:cs="Times New Roman"/>
          <w:sz w:val="26"/>
          <w:szCs w:val="26"/>
        </w:rPr>
        <w:t>§</w:t>
      </w:r>
      <w:r w:rsidRPr="005362B7" w:rsidR="00574D56">
        <w:rPr>
          <w:rFonts w:ascii="Times New Roman" w:eastAsia="Times New Roman" w:hAnsi="Times New Roman" w:cs="Times New Roman"/>
          <w:sz w:val="26"/>
          <w:szCs w:val="26"/>
        </w:rPr>
        <w:t>§</w:t>
      </w:r>
      <w:r w:rsidRPr="005362B7" w:rsidR="006476C4">
        <w:rPr>
          <w:rFonts w:ascii="Times New Roman" w:eastAsia="Times New Roman" w:hAnsi="Times New Roman" w:cs="Times New Roman"/>
          <w:sz w:val="26"/>
          <w:szCs w:val="26"/>
        </w:rPr>
        <w:t xml:space="preserve"> </w:t>
      </w:r>
      <w:r w:rsidRPr="005362B7" w:rsidR="007C1472">
        <w:rPr>
          <w:rFonts w:ascii="Times New Roman" w:eastAsia="Times New Roman" w:hAnsi="Times New Roman" w:cs="Times New Roman"/>
          <w:sz w:val="26"/>
          <w:szCs w:val="26"/>
        </w:rPr>
        <w:t>284.</w:t>
      </w:r>
      <w:r w:rsidRPr="005362B7" w:rsidR="000A2063">
        <w:rPr>
          <w:rFonts w:ascii="Times New Roman" w:eastAsia="Times New Roman" w:hAnsi="Times New Roman" w:cs="Times New Roman"/>
          <w:sz w:val="26"/>
          <w:szCs w:val="26"/>
        </w:rPr>
        <w:t xml:space="preserve">101 </w:t>
      </w:r>
      <w:r w:rsidRPr="005362B7" w:rsidR="004C163A">
        <w:rPr>
          <w:rFonts w:ascii="Times New Roman" w:eastAsia="Times New Roman" w:hAnsi="Times New Roman" w:cs="Times New Roman"/>
          <w:sz w:val="26"/>
          <w:szCs w:val="26"/>
        </w:rPr>
        <w:t xml:space="preserve">to </w:t>
      </w:r>
      <w:r w:rsidRPr="005362B7" w:rsidR="000A2063">
        <w:rPr>
          <w:rFonts w:ascii="Times New Roman" w:eastAsia="Times New Roman" w:hAnsi="Times New Roman" w:cs="Times New Roman"/>
          <w:sz w:val="26"/>
          <w:szCs w:val="26"/>
        </w:rPr>
        <w:t>.</w:t>
      </w:r>
      <w:r w:rsidRPr="005362B7" w:rsidR="007C1472">
        <w:rPr>
          <w:rFonts w:ascii="Times New Roman" w:eastAsia="Times New Roman" w:hAnsi="Times New Roman" w:cs="Times New Roman"/>
          <w:sz w:val="26"/>
          <w:szCs w:val="26"/>
        </w:rPr>
        <w:t>102,</w:t>
      </w:r>
      <w:r w:rsidRPr="005F2224" w:rsidR="007C1472">
        <w:rPr>
          <w:rFonts w:ascii="Times New Roman" w:eastAsia="Times New Roman" w:hAnsi="Times New Roman" w:cs="Times New Roman"/>
          <w:sz w:val="26"/>
          <w:szCs w:val="26"/>
        </w:rPr>
        <w:t xml:space="preserve"> </w:t>
      </w:r>
      <w:r w:rsidRPr="005F2224" w:rsidR="00C81A4C">
        <w:rPr>
          <w:rFonts w:ascii="Times New Roman" w:eastAsia="Times New Roman" w:hAnsi="Times New Roman" w:cs="Times New Roman"/>
          <w:sz w:val="26"/>
          <w:szCs w:val="26"/>
        </w:rPr>
        <w:t xml:space="preserve">any interstate pipeline may transport natural </w:t>
      </w:r>
      <w:r w:rsidRPr="005F2224" w:rsidR="00C91D16">
        <w:rPr>
          <w:rFonts w:ascii="Times New Roman" w:eastAsia="Times New Roman" w:hAnsi="Times New Roman" w:cs="Times New Roman"/>
          <w:sz w:val="26"/>
          <w:szCs w:val="26"/>
        </w:rPr>
        <w:t xml:space="preserve">gas without prior Commission approval </w:t>
      </w:r>
      <w:r w:rsidRPr="005F2224" w:rsidR="00B90956">
        <w:rPr>
          <w:rFonts w:ascii="Times New Roman" w:eastAsia="Times New Roman" w:hAnsi="Times New Roman" w:cs="Times New Roman"/>
          <w:sz w:val="26"/>
          <w:szCs w:val="26"/>
        </w:rPr>
        <w:t>“</w:t>
      </w:r>
      <w:r w:rsidRPr="005F2224" w:rsidR="00C91D16">
        <w:rPr>
          <w:rFonts w:ascii="Times New Roman" w:eastAsia="Times New Roman" w:hAnsi="Times New Roman" w:cs="Times New Roman"/>
          <w:sz w:val="26"/>
          <w:szCs w:val="26"/>
        </w:rPr>
        <w:t>on behalf of</w:t>
      </w:r>
      <w:r w:rsidRPr="005F2224" w:rsidR="00B77552">
        <w:rPr>
          <w:rFonts w:ascii="Times New Roman" w:eastAsia="Times New Roman" w:hAnsi="Times New Roman" w:cs="Times New Roman"/>
          <w:sz w:val="26"/>
          <w:szCs w:val="26"/>
        </w:rPr>
        <w:t>”</w:t>
      </w:r>
      <w:r w:rsidRPr="005F2224" w:rsidR="00C91D16">
        <w:rPr>
          <w:rFonts w:ascii="Times New Roman" w:eastAsia="Times New Roman" w:hAnsi="Times New Roman" w:cs="Times New Roman"/>
          <w:sz w:val="26"/>
          <w:szCs w:val="26"/>
        </w:rPr>
        <w:t xml:space="preserve"> an intrastate pipeline or a local distribution company (LDC)</w:t>
      </w:r>
      <w:r w:rsidRPr="005F2224" w:rsidR="00F60443">
        <w:rPr>
          <w:rFonts w:ascii="Times New Roman" w:eastAsia="Times New Roman" w:hAnsi="Times New Roman" w:cs="Times New Roman"/>
          <w:sz w:val="26"/>
          <w:szCs w:val="26"/>
        </w:rPr>
        <w:t>.</w:t>
      </w:r>
      <w:r w:rsidR="001565E1">
        <w:rPr>
          <w:rFonts w:ascii="Times New Roman" w:eastAsia="Times New Roman" w:hAnsi="Times New Roman" w:cs="Times New Roman"/>
          <w:sz w:val="26"/>
          <w:szCs w:val="26"/>
        </w:rPr>
        <w:t xml:space="preserve"> </w:t>
      </w:r>
      <w:r w:rsidRPr="005F2224" w:rsidR="00665DA3">
        <w:rPr>
          <w:rFonts w:ascii="Times New Roman" w:eastAsia="Times New Roman" w:hAnsi="Times New Roman" w:cs="Times New Roman"/>
          <w:sz w:val="26"/>
          <w:szCs w:val="26"/>
        </w:rPr>
        <w:t>T</w:t>
      </w:r>
      <w:r w:rsidRPr="005F2224" w:rsidR="00F60443">
        <w:rPr>
          <w:rFonts w:ascii="Times New Roman" w:eastAsia="Times New Roman" w:hAnsi="Times New Roman" w:cs="Times New Roman"/>
          <w:sz w:val="26"/>
          <w:szCs w:val="26"/>
        </w:rPr>
        <w:t xml:space="preserve">he regulation at 18 CFR </w:t>
      </w:r>
      <w:r w:rsidRPr="006476C4" w:rsidR="00393442">
        <w:rPr>
          <w:rFonts w:ascii="Times New Roman" w:eastAsia="Times New Roman" w:hAnsi="Times New Roman" w:cs="Times New Roman"/>
          <w:sz w:val="26"/>
          <w:szCs w:val="26"/>
        </w:rPr>
        <w:t>§</w:t>
      </w:r>
      <w:r w:rsidR="00393442">
        <w:rPr>
          <w:rFonts w:ascii="Times New Roman" w:eastAsia="Times New Roman" w:hAnsi="Times New Roman" w:cs="Times New Roman"/>
          <w:sz w:val="26"/>
          <w:szCs w:val="26"/>
        </w:rPr>
        <w:t xml:space="preserve"> </w:t>
      </w:r>
      <w:r w:rsidRPr="005F2224" w:rsidR="00F60443">
        <w:rPr>
          <w:rFonts w:ascii="Times New Roman" w:eastAsia="Times New Roman" w:hAnsi="Times New Roman" w:cs="Times New Roman"/>
          <w:sz w:val="26"/>
          <w:szCs w:val="26"/>
        </w:rPr>
        <w:t>284.</w:t>
      </w:r>
      <w:r w:rsidRPr="005F2224" w:rsidR="00CD0B45">
        <w:rPr>
          <w:rFonts w:ascii="Times New Roman" w:eastAsia="Times New Roman" w:hAnsi="Times New Roman" w:cs="Times New Roman"/>
          <w:sz w:val="26"/>
          <w:szCs w:val="26"/>
        </w:rPr>
        <w:t>102(</w:t>
      </w:r>
      <w:r w:rsidRPr="005F2224" w:rsidR="002736F7">
        <w:rPr>
          <w:rFonts w:ascii="Times New Roman" w:eastAsia="Times New Roman" w:hAnsi="Times New Roman" w:cs="Times New Roman"/>
          <w:sz w:val="26"/>
          <w:szCs w:val="26"/>
        </w:rPr>
        <w:t>d</w:t>
      </w:r>
      <w:r w:rsidRPr="005F2224" w:rsidR="00CD0B45">
        <w:rPr>
          <w:rFonts w:ascii="Times New Roman" w:eastAsia="Times New Roman" w:hAnsi="Times New Roman" w:cs="Times New Roman"/>
          <w:sz w:val="26"/>
          <w:szCs w:val="26"/>
        </w:rPr>
        <w:t xml:space="preserve">) </w:t>
      </w:r>
      <w:r w:rsidRPr="005F2224" w:rsidR="002736F7">
        <w:rPr>
          <w:rFonts w:ascii="Times New Roman" w:eastAsia="Times New Roman" w:hAnsi="Times New Roman" w:cs="Times New Roman"/>
          <w:sz w:val="26"/>
          <w:szCs w:val="26"/>
        </w:rPr>
        <w:t xml:space="preserve">provides that the transportation is not “on behalf of” </w:t>
      </w:r>
      <w:r w:rsidRPr="005F2224" w:rsidR="003415CC">
        <w:rPr>
          <w:rFonts w:ascii="Times New Roman" w:eastAsia="Times New Roman" w:hAnsi="Times New Roman" w:cs="Times New Roman"/>
          <w:sz w:val="26"/>
          <w:szCs w:val="26"/>
        </w:rPr>
        <w:t>an intrastate pipeline or an LDC unless one of three conditions is met</w:t>
      </w:r>
      <w:r w:rsidRPr="005F2224" w:rsidR="002F17FD">
        <w:rPr>
          <w:rFonts w:ascii="Times New Roman" w:eastAsia="Times New Roman" w:hAnsi="Times New Roman" w:cs="Times New Roman"/>
          <w:sz w:val="26"/>
          <w:szCs w:val="26"/>
        </w:rPr>
        <w:t>:</w:t>
      </w:r>
    </w:p>
    <w:p w:rsidR="002F17FD" w:rsidRPr="005F2224" w:rsidP="007C2771" w14:paraId="2C2E58D0" w14:textId="3A467E8F">
      <w:pPr>
        <w:pStyle w:val="ListParagraph"/>
        <w:numPr>
          <w:ilvl w:val="0"/>
          <w:numId w:val="6"/>
        </w:numPr>
        <w:spacing w:after="0" w:line="480" w:lineRule="auto"/>
        <w:rPr>
          <w:rFonts w:ascii="Times New Roman" w:eastAsia="Times New Roman" w:hAnsi="Times New Roman" w:cs="Times New Roman"/>
          <w:sz w:val="26"/>
          <w:szCs w:val="26"/>
        </w:rPr>
      </w:pPr>
      <w:r w:rsidRPr="005F2224">
        <w:rPr>
          <w:rFonts w:ascii="Times New Roman" w:hAnsi="Times New Roman"/>
          <w:sz w:val="26"/>
          <w:szCs w:val="26"/>
        </w:rPr>
        <w:t xml:space="preserve">The </w:t>
      </w:r>
      <w:r w:rsidR="00F72271">
        <w:rPr>
          <w:rFonts w:ascii="Times New Roman" w:hAnsi="Times New Roman"/>
          <w:sz w:val="26"/>
          <w:szCs w:val="26"/>
        </w:rPr>
        <w:t xml:space="preserve">intrastate </w:t>
      </w:r>
      <w:r w:rsidRPr="005F2224" w:rsidR="009309CA">
        <w:rPr>
          <w:rFonts w:ascii="Times New Roman" w:hAnsi="Times New Roman"/>
          <w:sz w:val="26"/>
          <w:szCs w:val="26"/>
        </w:rPr>
        <w:t>pipeline</w:t>
      </w:r>
      <w:r w:rsidRPr="005F2224">
        <w:rPr>
          <w:rFonts w:ascii="Times New Roman" w:hAnsi="Times New Roman"/>
          <w:sz w:val="26"/>
          <w:szCs w:val="26"/>
        </w:rPr>
        <w:t xml:space="preserve"> or </w:t>
      </w:r>
      <w:r w:rsidRPr="005F2224" w:rsidR="002D5784">
        <w:rPr>
          <w:rFonts w:ascii="Times New Roman" w:hAnsi="Times New Roman"/>
          <w:sz w:val="26"/>
          <w:szCs w:val="26"/>
        </w:rPr>
        <w:t>LDC</w:t>
      </w:r>
      <w:r w:rsidRPr="005F2224">
        <w:rPr>
          <w:rFonts w:ascii="Times New Roman" w:hAnsi="Times New Roman"/>
          <w:sz w:val="26"/>
          <w:szCs w:val="26"/>
        </w:rPr>
        <w:t xml:space="preserve"> has physical custody of and transports the natural gas </w:t>
      </w:r>
      <w:r w:rsidRPr="005F2224" w:rsidR="00D61699">
        <w:rPr>
          <w:rFonts w:ascii="Times New Roman" w:hAnsi="Times New Roman"/>
          <w:sz w:val="26"/>
          <w:szCs w:val="26"/>
        </w:rPr>
        <w:t>at some point</w:t>
      </w:r>
      <w:r w:rsidRPr="005F2224" w:rsidR="002D5784">
        <w:rPr>
          <w:rFonts w:ascii="Times New Roman" w:hAnsi="Times New Roman"/>
          <w:sz w:val="26"/>
          <w:szCs w:val="26"/>
        </w:rPr>
        <w:t>;</w:t>
      </w:r>
      <w:r w:rsidR="00F92E0B">
        <w:rPr>
          <w:rFonts w:ascii="Times New Roman" w:hAnsi="Times New Roman"/>
          <w:sz w:val="26"/>
          <w:szCs w:val="26"/>
        </w:rPr>
        <w:t xml:space="preserve"> or </w:t>
      </w:r>
    </w:p>
    <w:p w:rsidR="00D61699" w:rsidRPr="005F2224" w:rsidP="007C2771" w14:paraId="071FE4C0" w14:textId="3D7211AF">
      <w:pPr>
        <w:pStyle w:val="ListParagraph"/>
        <w:numPr>
          <w:ilvl w:val="0"/>
          <w:numId w:val="6"/>
        </w:numPr>
        <w:spacing w:after="0" w:line="480" w:lineRule="auto"/>
        <w:rPr>
          <w:rFonts w:ascii="Times New Roman" w:eastAsia="Times New Roman" w:hAnsi="Times New Roman" w:cs="Times New Roman"/>
          <w:sz w:val="26"/>
          <w:szCs w:val="26"/>
        </w:rPr>
      </w:pPr>
      <w:r w:rsidRPr="005F2224">
        <w:rPr>
          <w:rFonts w:ascii="Times New Roman" w:hAnsi="Times New Roman"/>
          <w:sz w:val="26"/>
          <w:szCs w:val="26"/>
        </w:rPr>
        <w:t>The intrastate pipeline o</w:t>
      </w:r>
      <w:r w:rsidRPr="005F2224" w:rsidR="00665DA3">
        <w:rPr>
          <w:rFonts w:ascii="Times New Roman" w:hAnsi="Times New Roman"/>
          <w:sz w:val="26"/>
          <w:szCs w:val="26"/>
        </w:rPr>
        <w:t>r</w:t>
      </w:r>
      <w:r w:rsidRPr="005F2224">
        <w:rPr>
          <w:rFonts w:ascii="Times New Roman" w:hAnsi="Times New Roman"/>
          <w:sz w:val="26"/>
          <w:szCs w:val="26"/>
        </w:rPr>
        <w:t xml:space="preserve"> </w:t>
      </w:r>
      <w:r w:rsidRPr="005F2224" w:rsidR="002D5784">
        <w:rPr>
          <w:rFonts w:ascii="Times New Roman" w:hAnsi="Times New Roman"/>
          <w:sz w:val="26"/>
          <w:szCs w:val="26"/>
        </w:rPr>
        <w:t>LDC</w:t>
      </w:r>
      <w:r w:rsidRPr="005F2224">
        <w:rPr>
          <w:rFonts w:ascii="Times New Roman" w:hAnsi="Times New Roman"/>
          <w:sz w:val="26"/>
          <w:szCs w:val="26"/>
        </w:rPr>
        <w:t xml:space="preserve"> holds title to the natural gas at some point</w:t>
      </w:r>
      <w:r w:rsidRPr="005F2224" w:rsidR="0069495E">
        <w:rPr>
          <w:rFonts w:ascii="Times New Roman" w:hAnsi="Times New Roman"/>
          <w:sz w:val="26"/>
          <w:szCs w:val="26"/>
        </w:rPr>
        <w:t>, which may occur prior to, during, or after the time that the gas is being transported by the interstate pipeline, for a purpose related to its status and functions as a</w:t>
      </w:r>
      <w:r w:rsidR="00470B17">
        <w:rPr>
          <w:rFonts w:ascii="Times New Roman" w:hAnsi="Times New Roman"/>
          <w:sz w:val="26"/>
          <w:szCs w:val="26"/>
        </w:rPr>
        <w:t>n LDC</w:t>
      </w:r>
      <w:r w:rsidRPr="005F2224" w:rsidR="0069495E">
        <w:rPr>
          <w:rFonts w:ascii="Times New Roman" w:hAnsi="Times New Roman"/>
          <w:sz w:val="26"/>
          <w:szCs w:val="26"/>
        </w:rPr>
        <w:t>; or</w:t>
      </w:r>
    </w:p>
    <w:p w:rsidR="0069495E" w:rsidRPr="005F2224" w:rsidP="007C2771" w14:paraId="75AB7A71" w14:textId="0A067A02">
      <w:pPr>
        <w:pStyle w:val="ListParagraph"/>
        <w:numPr>
          <w:ilvl w:val="0"/>
          <w:numId w:val="6"/>
        </w:numPr>
        <w:spacing w:after="0" w:line="480" w:lineRule="auto"/>
        <w:rPr>
          <w:rFonts w:ascii="Times New Roman" w:eastAsia="Times New Roman" w:hAnsi="Times New Roman" w:cs="Times New Roman"/>
          <w:sz w:val="26"/>
          <w:szCs w:val="26"/>
        </w:rPr>
      </w:pPr>
      <w:r w:rsidRPr="005F2224">
        <w:rPr>
          <w:rFonts w:ascii="Times New Roman" w:hAnsi="Times New Roman"/>
          <w:sz w:val="26"/>
          <w:szCs w:val="26"/>
        </w:rPr>
        <w:t>The gas is delivered at some point to a customer that either is lo</w:t>
      </w:r>
      <w:r w:rsidRPr="005F2224" w:rsidR="00600A69">
        <w:rPr>
          <w:rFonts w:ascii="Times New Roman" w:hAnsi="Times New Roman"/>
          <w:sz w:val="26"/>
          <w:szCs w:val="26"/>
        </w:rPr>
        <w:t>cated in a</w:t>
      </w:r>
      <w:r w:rsidRPr="005F2224" w:rsidR="002D5784">
        <w:rPr>
          <w:rFonts w:ascii="Times New Roman" w:hAnsi="Times New Roman"/>
          <w:sz w:val="26"/>
          <w:szCs w:val="26"/>
        </w:rPr>
        <w:t>n LDC’s</w:t>
      </w:r>
      <w:r w:rsidRPr="005F2224" w:rsidR="00600A69">
        <w:rPr>
          <w:rFonts w:ascii="Times New Roman" w:hAnsi="Times New Roman"/>
          <w:sz w:val="26"/>
          <w:szCs w:val="26"/>
        </w:rPr>
        <w:t xml:space="preserve"> service area or is physically able to receive direct deliveries of gas from an </w:t>
      </w:r>
      <w:r w:rsidRPr="005F2224" w:rsidR="009E20F5">
        <w:rPr>
          <w:rFonts w:ascii="Times New Roman" w:hAnsi="Times New Roman"/>
          <w:sz w:val="26"/>
          <w:szCs w:val="26"/>
        </w:rPr>
        <w:t>intrastate</w:t>
      </w:r>
      <w:r w:rsidRPr="005F2224" w:rsidR="00600A69">
        <w:rPr>
          <w:rFonts w:ascii="Times New Roman" w:hAnsi="Times New Roman"/>
          <w:sz w:val="26"/>
          <w:szCs w:val="26"/>
        </w:rPr>
        <w:t xml:space="preserve"> pipeline</w:t>
      </w:r>
      <w:r w:rsidRPr="005F2224" w:rsidR="009E20F5">
        <w:rPr>
          <w:rFonts w:ascii="Times New Roman" w:hAnsi="Times New Roman"/>
          <w:sz w:val="26"/>
          <w:szCs w:val="26"/>
        </w:rPr>
        <w:t xml:space="preserve">, and </w:t>
      </w:r>
      <w:r w:rsidRPr="005F2224" w:rsidR="002D5784">
        <w:rPr>
          <w:rFonts w:ascii="Times New Roman" w:hAnsi="Times New Roman"/>
          <w:sz w:val="26"/>
          <w:szCs w:val="26"/>
        </w:rPr>
        <w:t>the LDC</w:t>
      </w:r>
      <w:r w:rsidRPr="005F2224" w:rsidR="009E20F5">
        <w:rPr>
          <w:rFonts w:ascii="Times New Roman" w:hAnsi="Times New Roman"/>
          <w:sz w:val="26"/>
          <w:szCs w:val="26"/>
        </w:rPr>
        <w:t xml:space="preserve"> or intrastate pipeline certifies that it is on its behalf that the interstate pipeline is providing transportation service.</w:t>
      </w:r>
    </w:p>
    <w:p w:rsidR="00886431" w:rsidP="00CE515E" w14:paraId="4EE71315" w14:textId="6FFE6517">
      <w:pPr>
        <w:spacing w:after="0" w:line="480" w:lineRule="auto"/>
        <w:rPr>
          <w:rFonts w:ascii="Times New Roman" w:eastAsia="Times New Roman" w:hAnsi="Times New Roman" w:cs="Times New Roman"/>
          <w:sz w:val="26"/>
          <w:szCs w:val="26"/>
        </w:rPr>
      </w:pPr>
      <w:r w:rsidRPr="005F2224">
        <w:rPr>
          <w:rFonts w:ascii="Times New Roman" w:eastAsia="Times New Roman" w:hAnsi="Times New Roman" w:cs="Times New Roman"/>
          <w:sz w:val="26"/>
          <w:szCs w:val="26"/>
        </w:rPr>
        <w:t xml:space="preserve">Before commencing </w:t>
      </w:r>
      <w:r w:rsidRPr="005F2224" w:rsidR="00243B92">
        <w:rPr>
          <w:rFonts w:ascii="Times New Roman" w:eastAsia="Times New Roman" w:hAnsi="Times New Roman" w:cs="Times New Roman"/>
          <w:sz w:val="26"/>
          <w:szCs w:val="26"/>
        </w:rPr>
        <w:t xml:space="preserve">service as described in </w:t>
      </w:r>
      <w:r w:rsidRPr="005F2224" w:rsidR="006233AE">
        <w:rPr>
          <w:rFonts w:ascii="Times New Roman" w:eastAsia="Times New Roman" w:hAnsi="Times New Roman" w:cs="Times New Roman"/>
          <w:sz w:val="26"/>
          <w:szCs w:val="26"/>
        </w:rPr>
        <w:t xml:space="preserve">18 CFR </w:t>
      </w:r>
      <w:r w:rsidRPr="006476C4" w:rsidR="006233AE">
        <w:rPr>
          <w:rFonts w:ascii="Times New Roman" w:eastAsia="Times New Roman" w:hAnsi="Times New Roman" w:cs="Times New Roman"/>
          <w:sz w:val="26"/>
          <w:szCs w:val="26"/>
        </w:rPr>
        <w:t>§</w:t>
      </w:r>
      <w:r w:rsidR="006233AE">
        <w:rPr>
          <w:rFonts w:ascii="Times New Roman" w:eastAsia="Times New Roman" w:hAnsi="Times New Roman" w:cs="Times New Roman"/>
          <w:sz w:val="26"/>
          <w:szCs w:val="26"/>
        </w:rPr>
        <w:t xml:space="preserve"> </w:t>
      </w:r>
      <w:r w:rsidRPr="005F2224" w:rsidR="006233AE">
        <w:rPr>
          <w:rFonts w:ascii="Times New Roman" w:eastAsia="Times New Roman" w:hAnsi="Times New Roman" w:cs="Times New Roman"/>
          <w:sz w:val="26"/>
          <w:szCs w:val="26"/>
        </w:rPr>
        <w:t>284.102(d)(3)</w:t>
      </w:r>
      <w:r w:rsidRPr="005F2224" w:rsidR="00243B92">
        <w:rPr>
          <w:rFonts w:ascii="Times New Roman" w:eastAsia="Times New Roman" w:hAnsi="Times New Roman" w:cs="Times New Roman"/>
          <w:sz w:val="26"/>
          <w:szCs w:val="26"/>
        </w:rPr>
        <w:t xml:space="preserve">, </w:t>
      </w:r>
      <w:r w:rsidRPr="005F2224" w:rsidR="0007119B">
        <w:rPr>
          <w:rFonts w:ascii="Times New Roman" w:eastAsia="Times New Roman" w:hAnsi="Times New Roman" w:cs="Times New Roman"/>
          <w:sz w:val="26"/>
          <w:szCs w:val="26"/>
        </w:rPr>
        <w:t>the interstate pipeline</w:t>
      </w:r>
      <w:r w:rsidRPr="005F2224" w:rsidR="00CE515E">
        <w:rPr>
          <w:rFonts w:ascii="Times New Roman" w:eastAsia="Times New Roman" w:hAnsi="Times New Roman" w:cs="Times New Roman"/>
          <w:sz w:val="26"/>
          <w:szCs w:val="26"/>
        </w:rPr>
        <w:t xml:space="preserve"> that is providing the transportation</w:t>
      </w:r>
      <w:r w:rsidRPr="005F2224" w:rsidR="0007119B">
        <w:rPr>
          <w:rFonts w:ascii="Times New Roman" w:eastAsia="Times New Roman" w:hAnsi="Times New Roman" w:cs="Times New Roman"/>
          <w:sz w:val="26"/>
          <w:szCs w:val="26"/>
        </w:rPr>
        <w:t xml:space="preserve"> must </w:t>
      </w:r>
      <w:r w:rsidRPr="005F2224" w:rsidR="00662352">
        <w:rPr>
          <w:rFonts w:ascii="Times New Roman" w:eastAsia="Times New Roman" w:hAnsi="Times New Roman" w:cs="Times New Roman"/>
          <w:sz w:val="26"/>
          <w:szCs w:val="26"/>
        </w:rPr>
        <w:t xml:space="preserve">receive certification from the pertinent LDC or intrastate pipeline </w:t>
      </w:r>
      <w:r w:rsidRPr="005F2224" w:rsidR="00CE515E">
        <w:rPr>
          <w:rFonts w:ascii="Times New Roman" w:eastAsia="Times New Roman" w:hAnsi="Times New Roman" w:cs="Times New Roman"/>
          <w:sz w:val="26"/>
          <w:szCs w:val="26"/>
        </w:rPr>
        <w:t xml:space="preserve">consisting </w:t>
      </w:r>
      <w:r w:rsidRPr="005F2224" w:rsidR="007C1472">
        <w:rPr>
          <w:rFonts w:ascii="Times New Roman" w:eastAsia="Times New Roman" w:hAnsi="Times New Roman" w:cs="Times New Roman"/>
          <w:sz w:val="26"/>
          <w:szCs w:val="26"/>
        </w:rPr>
        <w:t>of a letter from the intrastate pipeline or LDC authorizing the interstate pipeline to ship gas on its behalf</w:t>
      </w:r>
      <w:r w:rsidRPr="005F2224" w:rsidR="00022D68">
        <w:rPr>
          <w:rFonts w:ascii="Times New Roman" w:eastAsia="Times New Roman" w:hAnsi="Times New Roman" w:cs="Times New Roman"/>
          <w:sz w:val="26"/>
          <w:szCs w:val="26"/>
        </w:rPr>
        <w:t xml:space="preserve">, </w:t>
      </w:r>
      <w:r w:rsidRPr="005F2224" w:rsidR="00F10383">
        <w:rPr>
          <w:rFonts w:ascii="Times New Roman" w:eastAsia="Times New Roman" w:hAnsi="Times New Roman" w:cs="Times New Roman"/>
          <w:sz w:val="26"/>
          <w:szCs w:val="26"/>
        </w:rPr>
        <w:t>and</w:t>
      </w:r>
      <w:r w:rsidRPr="005F2224" w:rsidR="007C1472">
        <w:rPr>
          <w:rFonts w:ascii="Times New Roman" w:eastAsia="Times New Roman" w:hAnsi="Times New Roman" w:cs="Times New Roman"/>
          <w:sz w:val="26"/>
          <w:szCs w:val="26"/>
        </w:rPr>
        <w:t xml:space="preserve"> sufficient information to verify that the service</w:t>
      </w:r>
      <w:r w:rsidRPr="005F2224" w:rsidR="006D25B9">
        <w:rPr>
          <w:rFonts w:ascii="Times New Roman" w:eastAsia="Times New Roman" w:hAnsi="Times New Roman" w:cs="Times New Roman"/>
          <w:sz w:val="26"/>
          <w:szCs w:val="26"/>
        </w:rPr>
        <w:t xml:space="preserve"> </w:t>
      </w:r>
      <w:r w:rsidRPr="005F2224" w:rsidR="007C1472">
        <w:rPr>
          <w:rFonts w:ascii="Times New Roman" w:eastAsia="Times New Roman" w:hAnsi="Times New Roman" w:cs="Times New Roman"/>
          <w:sz w:val="26"/>
          <w:szCs w:val="26"/>
        </w:rPr>
        <w:t>quali</w:t>
      </w:r>
      <w:r w:rsidRPr="005F2224" w:rsidR="006D25B9">
        <w:rPr>
          <w:rFonts w:ascii="Times New Roman" w:eastAsia="Times New Roman" w:hAnsi="Times New Roman" w:cs="Times New Roman"/>
          <w:sz w:val="26"/>
          <w:szCs w:val="26"/>
        </w:rPr>
        <w:t>fies</w:t>
      </w:r>
      <w:r w:rsidRPr="005F2224" w:rsidR="007C1472">
        <w:rPr>
          <w:rFonts w:ascii="Times New Roman" w:eastAsia="Times New Roman" w:hAnsi="Times New Roman" w:cs="Times New Roman"/>
          <w:sz w:val="26"/>
          <w:szCs w:val="26"/>
        </w:rPr>
        <w:t xml:space="preserve"> under </w:t>
      </w:r>
      <w:r w:rsidRPr="005F2224" w:rsidR="005D740E">
        <w:rPr>
          <w:rFonts w:ascii="Times New Roman" w:eastAsia="Times New Roman" w:hAnsi="Times New Roman" w:cs="Times New Roman"/>
          <w:sz w:val="26"/>
          <w:szCs w:val="26"/>
        </w:rPr>
        <w:t xml:space="preserve">18 CFR </w:t>
      </w:r>
      <w:r w:rsidRPr="006476C4" w:rsidR="002E29A5">
        <w:rPr>
          <w:rFonts w:ascii="Times New Roman" w:eastAsia="Times New Roman" w:hAnsi="Times New Roman" w:cs="Times New Roman"/>
          <w:sz w:val="26"/>
          <w:szCs w:val="26"/>
        </w:rPr>
        <w:t>§</w:t>
      </w:r>
      <w:r w:rsidR="002E29A5">
        <w:rPr>
          <w:rFonts w:ascii="Times New Roman" w:eastAsia="Times New Roman" w:hAnsi="Times New Roman" w:cs="Times New Roman"/>
          <w:sz w:val="26"/>
          <w:szCs w:val="26"/>
        </w:rPr>
        <w:t xml:space="preserve"> </w:t>
      </w:r>
      <w:r w:rsidRPr="005F2224" w:rsidR="005D740E">
        <w:rPr>
          <w:rFonts w:ascii="Times New Roman" w:eastAsia="Times New Roman" w:hAnsi="Times New Roman" w:cs="Times New Roman"/>
          <w:sz w:val="26"/>
          <w:szCs w:val="26"/>
        </w:rPr>
        <w:t>284.10</w:t>
      </w:r>
      <w:r w:rsidRPr="005F2224" w:rsidR="0BDB3F89">
        <w:rPr>
          <w:rFonts w:ascii="Times New Roman" w:eastAsia="Times New Roman" w:hAnsi="Times New Roman" w:cs="Times New Roman"/>
          <w:sz w:val="26"/>
          <w:szCs w:val="26"/>
        </w:rPr>
        <w:t>2.</w:t>
      </w:r>
    </w:p>
    <w:p w:rsidR="00B43ECB" w:rsidRPr="005F2224" w:rsidP="00B43ECB" w14:paraId="41A447DE" w14:textId="42919ADA">
      <w:pPr>
        <w:spacing w:after="0" w:line="480" w:lineRule="auto"/>
        <w:rPr>
          <w:rFonts w:ascii="Times New Roman" w:eastAsia="Times New Roman" w:hAnsi="Times New Roman" w:cs="Times New Roman"/>
          <w:sz w:val="26"/>
          <w:szCs w:val="26"/>
        </w:rPr>
      </w:pPr>
      <w:r w:rsidRPr="005F2224">
        <w:rPr>
          <w:rFonts w:ascii="Times New Roman" w:eastAsia="Times New Roman" w:hAnsi="Times New Roman" w:cs="Times New Roman"/>
          <w:b/>
          <w:bCs/>
          <w:sz w:val="26"/>
          <w:szCs w:val="26"/>
        </w:rPr>
        <w:t xml:space="preserve">Transportation by Intrastate Pipelines </w:t>
      </w:r>
      <w:r w:rsidRPr="005F2224" w:rsidR="00D53E6E">
        <w:rPr>
          <w:rFonts w:ascii="Times New Roman" w:eastAsia="Times New Roman" w:hAnsi="Times New Roman" w:cs="Times New Roman"/>
          <w:b/>
          <w:bCs/>
          <w:sz w:val="26"/>
          <w:szCs w:val="26"/>
        </w:rPr>
        <w:t>for Interstate Pipelines or LDCs Served by an Interstate Pipeline</w:t>
      </w:r>
    </w:p>
    <w:p w:rsidR="005A6E75" w:rsidRPr="005F2224" w:rsidP="00B43ECB" w14:paraId="66EE783B" w14:textId="33AC5F87">
      <w:pPr>
        <w:spacing w:after="0" w:line="480" w:lineRule="auto"/>
        <w:rPr>
          <w:rFonts w:ascii="Times New Roman" w:eastAsia="Times New Roman" w:hAnsi="Times New Roman" w:cs="Times New Roman"/>
          <w:sz w:val="26"/>
          <w:szCs w:val="26"/>
        </w:rPr>
      </w:pPr>
      <w:r w:rsidRPr="005F2224">
        <w:rPr>
          <w:rFonts w:ascii="Times New Roman" w:eastAsia="Times New Roman" w:hAnsi="Times New Roman" w:cs="Times New Roman"/>
          <w:sz w:val="26"/>
          <w:szCs w:val="26"/>
        </w:rPr>
        <w:t xml:space="preserve">Under </w:t>
      </w:r>
      <w:r w:rsidRPr="005F2224" w:rsidR="000A09E6">
        <w:rPr>
          <w:rFonts w:ascii="Times New Roman" w:eastAsia="Times New Roman" w:hAnsi="Times New Roman" w:cs="Times New Roman"/>
          <w:sz w:val="26"/>
          <w:szCs w:val="26"/>
        </w:rPr>
        <w:t xml:space="preserve">section 311(a)(2) of the NGPA </w:t>
      </w:r>
      <w:r w:rsidRPr="005362B7" w:rsidR="000A09E6">
        <w:rPr>
          <w:rFonts w:ascii="Times New Roman" w:eastAsia="Times New Roman" w:hAnsi="Times New Roman" w:cs="Times New Roman"/>
          <w:sz w:val="26"/>
          <w:szCs w:val="26"/>
        </w:rPr>
        <w:t xml:space="preserve">and 18 CFR </w:t>
      </w:r>
      <w:r w:rsidRPr="005362B7" w:rsidR="002E29A5">
        <w:rPr>
          <w:rFonts w:ascii="Times New Roman" w:eastAsia="Times New Roman" w:hAnsi="Times New Roman" w:cs="Times New Roman"/>
          <w:sz w:val="26"/>
          <w:szCs w:val="26"/>
        </w:rPr>
        <w:t>§</w:t>
      </w:r>
      <w:r w:rsidRPr="005362B7" w:rsidR="00984B21">
        <w:rPr>
          <w:rFonts w:ascii="Times New Roman" w:eastAsia="Times New Roman" w:hAnsi="Times New Roman" w:cs="Times New Roman"/>
          <w:sz w:val="26"/>
          <w:szCs w:val="26"/>
        </w:rPr>
        <w:t>§</w:t>
      </w:r>
      <w:r w:rsidRPr="005362B7" w:rsidR="002E29A5">
        <w:rPr>
          <w:rFonts w:ascii="Times New Roman" w:eastAsia="Times New Roman" w:hAnsi="Times New Roman" w:cs="Times New Roman"/>
          <w:sz w:val="26"/>
          <w:szCs w:val="26"/>
        </w:rPr>
        <w:t xml:space="preserve"> </w:t>
      </w:r>
      <w:r w:rsidRPr="005362B7" w:rsidR="000A09E6">
        <w:rPr>
          <w:rFonts w:ascii="Times New Roman" w:eastAsia="Times New Roman" w:hAnsi="Times New Roman" w:cs="Times New Roman"/>
          <w:sz w:val="26"/>
          <w:szCs w:val="26"/>
        </w:rPr>
        <w:t xml:space="preserve">284.122 </w:t>
      </w:r>
      <w:r w:rsidRPr="005362B7" w:rsidR="00984B21">
        <w:rPr>
          <w:rFonts w:ascii="Times New Roman" w:eastAsia="Times New Roman" w:hAnsi="Times New Roman" w:cs="Times New Roman"/>
          <w:sz w:val="26"/>
          <w:szCs w:val="26"/>
        </w:rPr>
        <w:t xml:space="preserve">to </w:t>
      </w:r>
      <w:r w:rsidRPr="005362B7" w:rsidR="000A09E6">
        <w:rPr>
          <w:rFonts w:ascii="Times New Roman" w:eastAsia="Times New Roman" w:hAnsi="Times New Roman" w:cs="Times New Roman"/>
          <w:sz w:val="26"/>
          <w:szCs w:val="26"/>
        </w:rPr>
        <w:t>.123</w:t>
      </w:r>
      <w:r w:rsidRPr="005F2224" w:rsidR="000A09E6">
        <w:rPr>
          <w:rFonts w:ascii="Times New Roman" w:eastAsia="Times New Roman" w:hAnsi="Times New Roman" w:cs="Times New Roman"/>
          <w:sz w:val="26"/>
          <w:szCs w:val="26"/>
        </w:rPr>
        <w:t xml:space="preserve">, any intrastate pipeline may, without </w:t>
      </w:r>
      <w:r w:rsidRPr="005F2224" w:rsidR="007F32AB">
        <w:rPr>
          <w:rFonts w:ascii="Times New Roman" w:eastAsia="Times New Roman" w:hAnsi="Times New Roman" w:cs="Times New Roman"/>
          <w:sz w:val="26"/>
          <w:szCs w:val="26"/>
        </w:rPr>
        <w:t xml:space="preserve">prior Commission approval, transport natural gas on behalf of </w:t>
      </w:r>
      <w:r w:rsidRPr="005F2224" w:rsidR="00E93C05">
        <w:rPr>
          <w:rFonts w:ascii="Times New Roman" w:eastAsia="Times New Roman" w:hAnsi="Times New Roman" w:cs="Times New Roman"/>
          <w:sz w:val="26"/>
          <w:szCs w:val="26"/>
        </w:rPr>
        <w:t>any interstate pipeline or any LDC served by an interstate pipeline.</w:t>
      </w:r>
      <w:r w:rsidR="001565E1">
        <w:rPr>
          <w:rFonts w:ascii="Times New Roman" w:eastAsia="Times New Roman" w:hAnsi="Times New Roman" w:cs="Times New Roman"/>
          <w:sz w:val="26"/>
          <w:szCs w:val="26"/>
        </w:rPr>
        <w:t xml:space="preserve"> </w:t>
      </w:r>
      <w:r w:rsidRPr="005F2224" w:rsidR="002311B5">
        <w:rPr>
          <w:rFonts w:ascii="Times New Roman" w:eastAsia="Times New Roman" w:hAnsi="Times New Roman" w:cs="Times New Roman"/>
          <w:sz w:val="26"/>
          <w:szCs w:val="26"/>
        </w:rPr>
        <w:t xml:space="preserve">No rate charged for such transportation </w:t>
      </w:r>
      <w:r w:rsidRPr="005F2224" w:rsidR="00995CCC">
        <w:rPr>
          <w:rFonts w:ascii="Times New Roman" w:eastAsia="Times New Roman" w:hAnsi="Times New Roman" w:cs="Times New Roman"/>
          <w:sz w:val="26"/>
          <w:szCs w:val="26"/>
        </w:rPr>
        <w:t>may exceed a fair and equitable rate.</w:t>
      </w:r>
      <w:r w:rsidR="001565E1">
        <w:rPr>
          <w:rFonts w:ascii="Times New Roman" w:eastAsia="Times New Roman" w:hAnsi="Times New Roman" w:cs="Times New Roman"/>
          <w:sz w:val="26"/>
          <w:szCs w:val="26"/>
        </w:rPr>
        <w:t xml:space="preserve"> </w:t>
      </w:r>
    </w:p>
    <w:p w:rsidR="007C1472" w:rsidRPr="005F2224" w:rsidP="007C1472" w14:paraId="40EC049B" w14:textId="26553761">
      <w:pPr>
        <w:spacing w:after="0" w:line="480" w:lineRule="auto"/>
        <w:rPr>
          <w:rFonts w:ascii="Times New Roman" w:eastAsia="Times New Roman" w:hAnsi="Times New Roman" w:cs="Times New Roman"/>
          <w:sz w:val="26"/>
          <w:szCs w:val="26"/>
        </w:rPr>
      </w:pPr>
      <w:r w:rsidRPr="005F2224">
        <w:rPr>
          <w:rFonts w:ascii="Times New Roman" w:eastAsia="Times New Roman" w:hAnsi="Times New Roman" w:cs="Times New Roman"/>
          <w:sz w:val="26"/>
          <w:szCs w:val="26"/>
        </w:rPr>
        <w:t xml:space="preserve">The regulation at 18 CFR </w:t>
      </w:r>
      <w:r w:rsidRPr="006476C4" w:rsidR="00DC2A9E">
        <w:rPr>
          <w:rFonts w:ascii="Times New Roman" w:eastAsia="Times New Roman" w:hAnsi="Times New Roman" w:cs="Times New Roman"/>
          <w:sz w:val="26"/>
          <w:szCs w:val="26"/>
        </w:rPr>
        <w:t>§</w:t>
      </w:r>
      <w:r w:rsidR="00DC2A9E">
        <w:rPr>
          <w:rFonts w:ascii="Times New Roman" w:eastAsia="Times New Roman" w:hAnsi="Times New Roman" w:cs="Times New Roman"/>
          <w:sz w:val="26"/>
          <w:szCs w:val="26"/>
        </w:rPr>
        <w:t xml:space="preserve"> </w:t>
      </w:r>
      <w:r w:rsidRPr="005F2224">
        <w:rPr>
          <w:rFonts w:ascii="Times New Roman" w:eastAsia="Times New Roman" w:hAnsi="Times New Roman" w:cs="Times New Roman"/>
          <w:sz w:val="26"/>
          <w:szCs w:val="26"/>
        </w:rPr>
        <w:t xml:space="preserve">284.123(b) provides that intrastate gas pipeline companies </w:t>
      </w:r>
      <w:r w:rsidRPr="005F2224" w:rsidR="00D843F2">
        <w:rPr>
          <w:rFonts w:ascii="Times New Roman" w:eastAsia="Times New Roman" w:hAnsi="Times New Roman" w:cs="Times New Roman"/>
          <w:sz w:val="26"/>
          <w:szCs w:val="26"/>
        </w:rPr>
        <w:t xml:space="preserve">must </w:t>
      </w:r>
      <w:r w:rsidRPr="005F2224">
        <w:rPr>
          <w:rFonts w:ascii="Times New Roman" w:eastAsia="Times New Roman" w:hAnsi="Times New Roman" w:cs="Times New Roman"/>
          <w:sz w:val="26"/>
          <w:szCs w:val="26"/>
        </w:rPr>
        <w:t>file for Commission approval of rates for services performed in the interstate transportation of gas.</w:t>
      </w:r>
      <w:r w:rsidR="001565E1">
        <w:rPr>
          <w:rFonts w:ascii="Times New Roman" w:eastAsia="Times New Roman" w:hAnsi="Times New Roman" w:cs="Times New Roman"/>
          <w:sz w:val="26"/>
          <w:szCs w:val="26"/>
        </w:rPr>
        <w:t xml:space="preserve"> </w:t>
      </w:r>
      <w:r w:rsidRPr="005F2224">
        <w:rPr>
          <w:rFonts w:ascii="Times New Roman" w:eastAsia="Times New Roman" w:hAnsi="Times New Roman" w:cs="Times New Roman"/>
          <w:sz w:val="26"/>
          <w:szCs w:val="26"/>
        </w:rPr>
        <w:t xml:space="preserve">An intrastate gas pipeline company may elect to use rates contained in one of its </w:t>
      </w:r>
      <w:r w:rsidR="00BA2BB1">
        <w:rPr>
          <w:rFonts w:ascii="Times New Roman" w:eastAsia="Times New Roman" w:hAnsi="Times New Roman" w:cs="Times New Roman"/>
          <w:sz w:val="26"/>
          <w:szCs w:val="26"/>
        </w:rPr>
        <w:t xml:space="preserve">then </w:t>
      </w:r>
      <w:r w:rsidRPr="005F2224">
        <w:rPr>
          <w:rFonts w:ascii="Times New Roman" w:eastAsia="Times New Roman" w:hAnsi="Times New Roman" w:cs="Times New Roman"/>
          <w:sz w:val="26"/>
          <w:szCs w:val="26"/>
        </w:rPr>
        <w:t>effective transportation rate schedules on file with an appropriate state regulatory agency for intrastate service comparable to the interstate service or file proposed rates and supporting information showing the rates are cost based and are fair and equitable.</w:t>
      </w:r>
      <w:r w:rsidR="001565E1">
        <w:rPr>
          <w:rFonts w:ascii="Times New Roman" w:eastAsia="Times New Roman" w:hAnsi="Times New Roman" w:cs="Times New Roman"/>
          <w:sz w:val="26"/>
          <w:szCs w:val="26"/>
        </w:rPr>
        <w:t xml:space="preserve"> </w:t>
      </w:r>
      <w:r w:rsidRPr="005F2224">
        <w:rPr>
          <w:rFonts w:ascii="Times New Roman" w:eastAsia="Times New Roman" w:hAnsi="Times New Roman" w:cs="Times New Roman"/>
          <w:sz w:val="26"/>
          <w:szCs w:val="26"/>
        </w:rPr>
        <w:t xml:space="preserve">It is Commission policy that each pipeline must file at least every </w:t>
      </w:r>
      <w:r w:rsidR="00F84781">
        <w:rPr>
          <w:rFonts w:ascii="Times New Roman" w:eastAsia="Times New Roman" w:hAnsi="Times New Roman" w:cs="Times New Roman"/>
          <w:sz w:val="26"/>
          <w:szCs w:val="26"/>
        </w:rPr>
        <w:t xml:space="preserve">5 </w:t>
      </w:r>
      <w:r w:rsidRPr="005F2224">
        <w:rPr>
          <w:rFonts w:ascii="Times New Roman" w:eastAsia="Times New Roman" w:hAnsi="Times New Roman" w:cs="Times New Roman"/>
          <w:sz w:val="26"/>
          <w:szCs w:val="26"/>
        </w:rPr>
        <w:t>years to ensure its rates are fair and equitable.</w:t>
      </w:r>
      <w:r w:rsidR="001565E1">
        <w:rPr>
          <w:rFonts w:ascii="Times New Roman" w:eastAsia="Times New Roman" w:hAnsi="Times New Roman" w:cs="Times New Roman"/>
          <w:sz w:val="26"/>
          <w:szCs w:val="26"/>
        </w:rPr>
        <w:t xml:space="preserve"> </w:t>
      </w:r>
      <w:r w:rsidRPr="005F2224">
        <w:rPr>
          <w:rFonts w:ascii="Times New Roman" w:eastAsia="Times New Roman" w:hAnsi="Times New Roman" w:cs="Times New Roman"/>
          <w:sz w:val="26"/>
          <w:szCs w:val="26"/>
        </w:rPr>
        <w:t>Depending on the business process used, either 60 or 150 days after the application is filed, the rate is deemed to be fair and equitable unless the Commission either extends the time for action, institutes a proceeding or issues an order providing for rates it deems to be fair and equitable.</w:t>
      </w:r>
    </w:p>
    <w:p w:rsidR="007C1472" w:rsidRPr="005F2224" w:rsidP="007C1472" w14:paraId="39797DF5" w14:textId="2D756991">
      <w:pPr>
        <w:spacing w:after="0" w:line="480" w:lineRule="auto"/>
        <w:rPr>
          <w:rFonts w:ascii="Times New Roman" w:eastAsia="Times New Roman" w:hAnsi="Times New Roman" w:cs="Times New Roman"/>
          <w:sz w:val="26"/>
          <w:szCs w:val="26"/>
        </w:rPr>
      </w:pPr>
      <w:r w:rsidRPr="005F2224">
        <w:rPr>
          <w:rFonts w:ascii="Times New Roman" w:eastAsia="Times New Roman" w:hAnsi="Times New Roman" w:cs="Times New Roman"/>
          <w:sz w:val="26"/>
          <w:szCs w:val="26"/>
        </w:rPr>
        <w:t xml:space="preserve">The regulation at 18 CFR </w:t>
      </w:r>
      <w:r w:rsidRPr="006476C4" w:rsidR="002D52C7">
        <w:rPr>
          <w:rFonts w:ascii="Times New Roman" w:eastAsia="Times New Roman" w:hAnsi="Times New Roman" w:cs="Times New Roman"/>
          <w:sz w:val="26"/>
          <w:szCs w:val="26"/>
        </w:rPr>
        <w:t>§</w:t>
      </w:r>
      <w:r w:rsidR="002D52C7">
        <w:rPr>
          <w:rFonts w:ascii="Times New Roman" w:eastAsia="Times New Roman" w:hAnsi="Times New Roman" w:cs="Times New Roman"/>
          <w:sz w:val="26"/>
          <w:szCs w:val="26"/>
        </w:rPr>
        <w:t xml:space="preserve"> </w:t>
      </w:r>
      <w:r w:rsidRPr="005F2224">
        <w:rPr>
          <w:rFonts w:ascii="Times New Roman" w:eastAsia="Times New Roman" w:hAnsi="Times New Roman" w:cs="Times New Roman"/>
          <w:sz w:val="26"/>
          <w:szCs w:val="26"/>
        </w:rPr>
        <w:t xml:space="preserve">284.123(e) requires that within 30 days of commencement of new service any intrastate pipeline engaging in the transportation of gas in interstate commerce must file a statement that includes the interstate </w:t>
      </w:r>
      <w:r w:rsidRPr="005F2224" w:rsidR="008B48C3">
        <w:rPr>
          <w:rFonts w:ascii="Times New Roman" w:eastAsia="Times New Roman" w:hAnsi="Times New Roman" w:cs="Times New Roman"/>
          <w:sz w:val="26"/>
          <w:szCs w:val="26"/>
        </w:rPr>
        <w:t>rates,</w:t>
      </w:r>
      <w:r w:rsidRPr="005F2224">
        <w:rPr>
          <w:rFonts w:ascii="Times New Roman" w:eastAsia="Times New Roman" w:hAnsi="Times New Roman" w:cs="Times New Roman"/>
          <w:sz w:val="26"/>
          <w:szCs w:val="26"/>
        </w:rPr>
        <w:t xml:space="preserve"> and a description of how the pipeline will engage in the transportation services, including operating conditions.</w:t>
      </w:r>
      <w:r w:rsidR="001565E1">
        <w:rPr>
          <w:rFonts w:ascii="Times New Roman" w:eastAsia="Times New Roman" w:hAnsi="Times New Roman" w:cs="Times New Roman"/>
          <w:sz w:val="26"/>
          <w:szCs w:val="26"/>
        </w:rPr>
        <w:t xml:space="preserve"> </w:t>
      </w:r>
      <w:r w:rsidRPr="005F2224">
        <w:rPr>
          <w:rFonts w:ascii="Times New Roman" w:eastAsia="Times New Roman" w:hAnsi="Times New Roman" w:cs="Times New Roman"/>
          <w:sz w:val="26"/>
          <w:szCs w:val="26"/>
        </w:rPr>
        <w:t>If an intrastate gas pipeline company changes its operations or rates it must amend the statement on file with the Commission.</w:t>
      </w:r>
      <w:r w:rsidR="001565E1">
        <w:rPr>
          <w:rFonts w:ascii="Times New Roman" w:eastAsia="Times New Roman" w:hAnsi="Times New Roman" w:cs="Times New Roman"/>
          <w:sz w:val="26"/>
          <w:szCs w:val="26"/>
        </w:rPr>
        <w:t xml:space="preserve"> </w:t>
      </w:r>
      <w:r w:rsidRPr="005F2224">
        <w:rPr>
          <w:rFonts w:ascii="Times New Roman" w:eastAsia="Times New Roman" w:hAnsi="Times New Roman" w:cs="Times New Roman"/>
          <w:sz w:val="26"/>
          <w:szCs w:val="26"/>
        </w:rPr>
        <w:t>Such amendment is to be filed not later than 30 days after commencement of the change in operations or change in rate election.</w:t>
      </w:r>
    </w:p>
    <w:p w:rsidR="007C1472" w:rsidRPr="005F2224" w:rsidP="007C1472" w14:paraId="04E1FD12" w14:textId="757ABA08">
      <w:pPr>
        <w:spacing w:after="0" w:line="480" w:lineRule="auto"/>
        <w:rPr>
          <w:rFonts w:ascii="Times New Roman" w:eastAsia="Times New Roman" w:hAnsi="Times New Roman" w:cs="Times New Roman"/>
          <w:b/>
          <w:sz w:val="26"/>
          <w:szCs w:val="26"/>
          <w:u w:val="single"/>
        </w:rPr>
      </w:pPr>
      <w:r w:rsidRPr="005F2224">
        <w:rPr>
          <w:rFonts w:ascii="Times New Roman" w:eastAsia="Times New Roman" w:hAnsi="Times New Roman" w:cs="Times New Roman"/>
          <w:b/>
          <w:sz w:val="26"/>
          <w:szCs w:val="26"/>
          <w:u w:val="single"/>
        </w:rPr>
        <w:t xml:space="preserve">Initial </w:t>
      </w:r>
      <w:r w:rsidRPr="005F2224" w:rsidR="002D1114">
        <w:rPr>
          <w:rFonts w:ascii="Times New Roman" w:eastAsia="Times New Roman" w:hAnsi="Times New Roman" w:cs="Times New Roman"/>
          <w:b/>
          <w:sz w:val="26"/>
          <w:szCs w:val="26"/>
          <w:u w:val="single"/>
        </w:rPr>
        <w:t xml:space="preserve">Approval of </w:t>
      </w:r>
      <w:r w:rsidRPr="005F2224">
        <w:rPr>
          <w:rFonts w:ascii="Times New Roman" w:eastAsia="Times New Roman" w:hAnsi="Times New Roman" w:cs="Times New Roman"/>
          <w:b/>
          <w:sz w:val="26"/>
          <w:szCs w:val="26"/>
          <w:u w:val="single"/>
        </w:rPr>
        <w:t>Market-Based Rates for Storage</w:t>
      </w:r>
    </w:p>
    <w:p w:rsidR="00215CCF" w:rsidRPr="005F2224" w:rsidP="00215CCF" w14:paraId="084DE592" w14:textId="37EFE18C">
      <w:pPr>
        <w:spacing w:after="0" w:line="480" w:lineRule="auto"/>
        <w:rPr>
          <w:rFonts w:ascii="Times New Roman" w:eastAsia="Times New Roman" w:hAnsi="Times New Roman" w:cs="Times New Roman"/>
          <w:sz w:val="26"/>
          <w:szCs w:val="26"/>
        </w:rPr>
      </w:pPr>
      <w:r w:rsidRPr="005F2224">
        <w:rPr>
          <w:rFonts w:ascii="Times New Roman" w:eastAsia="Times New Roman" w:hAnsi="Times New Roman" w:cs="Times New Roman"/>
          <w:sz w:val="26"/>
          <w:szCs w:val="26"/>
        </w:rPr>
        <w:t>S</w:t>
      </w:r>
      <w:r w:rsidRPr="005F2224" w:rsidR="0074637D">
        <w:rPr>
          <w:rFonts w:ascii="Times New Roman" w:eastAsia="Times New Roman" w:hAnsi="Times New Roman" w:cs="Times New Roman"/>
          <w:sz w:val="26"/>
          <w:szCs w:val="26"/>
        </w:rPr>
        <w:t xml:space="preserve">ection 4(f) </w:t>
      </w:r>
      <w:r w:rsidRPr="005F2224" w:rsidR="005B038C">
        <w:rPr>
          <w:rFonts w:ascii="Times New Roman" w:eastAsia="Times New Roman" w:hAnsi="Times New Roman" w:cs="Times New Roman"/>
          <w:sz w:val="26"/>
          <w:szCs w:val="26"/>
        </w:rPr>
        <w:t xml:space="preserve">of </w:t>
      </w:r>
      <w:r w:rsidRPr="005F2224" w:rsidR="009C1A4E">
        <w:rPr>
          <w:rFonts w:ascii="Times New Roman" w:eastAsia="Times New Roman" w:hAnsi="Times New Roman" w:cs="Times New Roman"/>
          <w:sz w:val="26"/>
          <w:szCs w:val="26"/>
        </w:rPr>
        <w:t xml:space="preserve">the </w:t>
      </w:r>
      <w:r w:rsidRPr="005F2224" w:rsidR="0074637D">
        <w:rPr>
          <w:rFonts w:ascii="Times New Roman" w:eastAsia="Times New Roman" w:hAnsi="Times New Roman" w:cs="Times New Roman"/>
          <w:sz w:val="26"/>
          <w:szCs w:val="26"/>
        </w:rPr>
        <w:t xml:space="preserve">NGA </w:t>
      </w:r>
      <w:r w:rsidRPr="005F2224" w:rsidR="00FB0C11">
        <w:rPr>
          <w:rFonts w:ascii="Times New Roman" w:eastAsia="Times New Roman" w:hAnsi="Times New Roman" w:cs="Times New Roman"/>
          <w:sz w:val="26"/>
          <w:szCs w:val="26"/>
        </w:rPr>
        <w:t>a</w:t>
      </w:r>
      <w:r w:rsidRPr="005F2224" w:rsidR="00336AD0">
        <w:rPr>
          <w:rFonts w:ascii="Times New Roman" w:eastAsia="Times New Roman" w:hAnsi="Times New Roman" w:cs="Times New Roman"/>
          <w:sz w:val="26"/>
          <w:szCs w:val="26"/>
        </w:rPr>
        <w:t>uthorizes</w:t>
      </w:r>
      <w:r w:rsidRPr="005F2224" w:rsidR="00FB0C11">
        <w:rPr>
          <w:rFonts w:ascii="Times New Roman" w:eastAsia="Times New Roman" w:hAnsi="Times New Roman" w:cs="Times New Roman"/>
          <w:sz w:val="26"/>
          <w:szCs w:val="26"/>
        </w:rPr>
        <w:t xml:space="preserve"> the Commission to</w:t>
      </w:r>
      <w:r w:rsidRPr="005F2224" w:rsidR="009851BC">
        <w:rPr>
          <w:rFonts w:ascii="Times New Roman" w:eastAsia="Times New Roman" w:hAnsi="Times New Roman" w:cs="Times New Roman"/>
          <w:sz w:val="26"/>
          <w:szCs w:val="26"/>
        </w:rPr>
        <w:t xml:space="preserve"> permit</w:t>
      </w:r>
      <w:r w:rsidRPr="005F2224" w:rsidR="00FB0C11">
        <w:rPr>
          <w:rFonts w:ascii="Times New Roman" w:eastAsia="Times New Roman" w:hAnsi="Times New Roman" w:cs="Times New Roman"/>
          <w:sz w:val="26"/>
          <w:szCs w:val="26"/>
        </w:rPr>
        <w:t xml:space="preserve"> natural gas storage service providers to charge market-based rates</w:t>
      </w:r>
      <w:r w:rsidRPr="005F2224" w:rsidR="003203B3">
        <w:rPr>
          <w:rFonts w:ascii="Times New Roman" w:eastAsia="Times New Roman" w:hAnsi="Times New Roman" w:cs="Times New Roman"/>
          <w:sz w:val="26"/>
          <w:szCs w:val="26"/>
        </w:rPr>
        <w:t xml:space="preserve"> for storage</w:t>
      </w:r>
      <w:r w:rsidRPr="005F2224" w:rsidR="00FB0C11">
        <w:rPr>
          <w:rFonts w:ascii="Times New Roman" w:eastAsia="Times New Roman" w:hAnsi="Times New Roman" w:cs="Times New Roman"/>
          <w:sz w:val="26"/>
          <w:szCs w:val="26"/>
        </w:rPr>
        <w:t>, subject to conditions and requirements set forth in the statute.</w:t>
      </w:r>
      <w:r w:rsidRPr="005F2224" w:rsidR="76CF617E">
        <w:rPr>
          <w:rFonts w:ascii="Times New Roman" w:eastAsia="Times New Roman" w:hAnsi="Times New Roman" w:cs="Times New Roman"/>
          <w:sz w:val="26"/>
          <w:szCs w:val="26"/>
        </w:rPr>
        <w:t xml:space="preserve"> </w:t>
      </w:r>
      <w:r w:rsidRPr="005F2224" w:rsidR="00772EF8">
        <w:rPr>
          <w:rFonts w:ascii="Times New Roman" w:eastAsia="Times New Roman" w:hAnsi="Times New Roman" w:cs="Times New Roman"/>
          <w:sz w:val="26"/>
          <w:szCs w:val="26"/>
        </w:rPr>
        <w:t>T</w:t>
      </w:r>
      <w:r w:rsidRPr="005F2224" w:rsidR="007C1472">
        <w:rPr>
          <w:rFonts w:ascii="Times New Roman" w:eastAsia="Times New Roman" w:hAnsi="Times New Roman" w:cs="Times New Roman"/>
          <w:sz w:val="26"/>
          <w:szCs w:val="26"/>
        </w:rPr>
        <w:t xml:space="preserve">he Commission </w:t>
      </w:r>
      <w:r w:rsidRPr="005F2224" w:rsidR="00772EF8">
        <w:rPr>
          <w:rFonts w:ascii="Times New Roman" w:eastAsia="Times New Roman" w:hAnsi="Times New Roman" w:cs="Times New Roman"/>
          <w:sz w:val="26"/>
          <w:szCs w:val="26"/>
        </w:rPr>
        <w:t xml:space="preserve">implements this authority </w:t>
      </w:r>
      <w:r w:rsidRPr="005F2224" w:rsidR="007C1472">
        <w:rPr>
          <w:rFonts w:ascii="Times New Roman" w:eastAsia="Times New Roman" w:hAnsi="Times New Roman" w:cs="Times New Roman"/>
          <w:sz w:val="26"/>
          <w:szCs w:val="26"/>
        </w:rPr>
        <w:t>under 18 CFR</w:t>
      </w:r>
      <w:r w:rsidR="00540E36">
        <w:rPr>
          <w:rFonts w:ascii="Times New Roman" w:eastAsia="Times New Roman" w:hAnsi="Times New Roman" w:cs="Times New Roman"/>
          <w:sz w:val="26"/>
          <w:szCs w:val="26"/>
        </w:rPr>
        <w:t xml:space="preserve"> </w:t>
      </w:r>
      <w:r w:rsidRPr="006476C4" w:rsidR="00540E36">
        <w:rPr>
          <w:rFonts w:ascii="Times New Roman" w:eastAsia="Times New Roman" w:hAnsi="Times New Roman" w:cs="Times New Roman"/>
          <w:sz w:val="26"/>
          <w:szCs w:val="26"/>
        </w:rPr>
        <w:t>§</w:t>
      </w:r>
      <w:r w:rsidRPr="006476C4" w:rsidR="006C1EB6">
        <w:rPr>
          <w:rFonts w:ascii="Times New Roman" w:eastAsia="Times New Roman" w:hAnsi="Times New Roman" w:cs="Times New Roman"/>
          <w:sz w:val="26"/>
          <w:szCs w:val="26"/>
        </w:rPr>
        <w:t>§</w:t>
      </w:r>
      <w:r w:rsidRPr="005F2224" w:rsidR="007C1472">
        <w:rPr>
          <w:rFonts w:ascii="Times New Roman" w:eastAsia="Times New Roman" w:hAnsi="Times New Roman" w:cs="Times New Roman"/>
          <w:sz w:val="26"/>
          <w:szCs w:val="26"/>
        </w:rPr>
        <w:t xml:space="preserve"> </w:t>
      </w:r>
      <w:r w:rsidRPr="005F2224" w:rsidR="007C1472">
        <w:rPr>
          <w:rFonts w:ascii="Times New Roman" w:eastAsia="Times New Roman" w:hAnsi="Times New Roman" w:cs="Times New Roman"/>
          <w:sz w:val="26"/>
          <w:szCs w:val="26"/>
        </w:rPr>
        <w:t>284.501</w:t>
      </w:r>
      <w:r w:rsidRPr="005F2224" w:rsidR="002C61EF">
        <w:rPr>
          <w:rFonts w:ascii="Times New Roman" w:eastAsia="Times New Roman" w:hAnsi="Times New Roman" w:cs="Times New Roman"/>
          <w:sz w:val="26"/>
          <w:szCs w:val="26"/>
        </w:rPr>
        <w:t xml:space="preserve"> </w:t>
      </w:r>
      <w:r w:rsidR="006C1EB6">
        <w:rPr>
          <w:rFonts w:ascii="Times New Roman" w:eastAsia="Times New Roman" w:hAnsi="Times New Roman" w:cs="Times New Roman"/>
          <w:sz w:val="26"/>
          <w:szCs w:val="26"/>
        </w:rPr>
        <w:t xml:space="preserve">to </w:t>
      </w:r>
      <w:r w:rsidRPr="005F2224" w:rsidR="002C61EF">
        <w:rPr>
          <w:rFonts w:ascii="Times New Roman" w:eastAsia="Times New Roman" w:hAnsi="Times New Roman" w:cs="Times New Roman"/>
          <w:sz w:val="26"/>
          <w:szCs w:val="26"/>
        </w:rPr>
        <w:t>.505</w:t>
      </w:r>
      <w:r w:rsidRPr="005F2224" w:rsidR="007C1472">
        <w:rPr>
          <w:rFonts w:ascii="Times New Roman" w:eastAsia="Times New Roman" w:hAnsi="Times New Roman" w:cs="Times New Roman"/>
          <w:sz w:val="26"/>
          <w:szCs w:val="26"/>
        </w:rPr>
        <w:t>.</w:t>
      </w:r>
      <w:r w:rsidR="001565E1">
        <w:rPr>
          <w:rFonts w:ascii="Times New Roman" w:eastAsia="Times New Roman" w:hAnsi="Times New Roman" w:cs="Times New Roman"/>
          <w:sz w:val="26"/>
          <w:szCs w:val="26"/>
        </w:rPr>
        <w:t xml:space="preserve"> </w:t>
      </w:r>
      <w:r w:rsidRPr="005F2224">
        <w:rPr>
          <w:rFonts w:ascii="Times New Roman" w:eastAsia="Times New Roman" w:hAnsi="Times New Roman" w:cs="Times New Roman"/>
          <w:sz w:val="26"/>
          <w:szCs w:val="26"/>
        </w:rPr>
        <w:t>An applicant may apply for market-based rates by filing a request for a market-power determination that complies with the following:</w:t>
      </w:r>
    </w:p>
    <w:p w:rsidR="00215CCF" w:rsidRPr="005F2224" w:rsidP="00215CCF" w14:paraId="2F6CBBED" w14:textId="77777777">
      <w:pPr>
        <w:spacing w:after="0" w:line="480" w:lineRule="auto"/>
        <w:rPr>
          <w:rFonts w:ascii="Times New Roman" w:eastAsia="Times New Roman" w:hAnsi="Times New Roman" w:cs="Times New Roman"/>
          <w:sz w:val="26"/>
          <w:szCs w:val="26"/>
        </w:rPr>
      </w:pPr>
      <w:r w:rsidRPr="005F2224">
        <w:rPr>
          <w:rFonts w:ascii="Times New Roman" w:eastAsia="Times New Roman" w:hAnsi="Times New Roman" w:cs="Times New Roman"/>
          <w:sz w:val="26"/>
          <w:szCs w:val="26"/>
        </w:rPr>
        <w:t xml:space="preserve">(a) </w:t>
      </w:r>
      <w:r w:rsidRPr="005F2224">
        <w:rPr>
          <w:rFonts w:ascii="Times New Roman" w:eastAsia="Times New Roman" w:hAnsi="Times New Roman" w:cs="Times New Roman"/>
          <w:sz w:val="26"/>
          <w:szCs w:val="26"/>
        </w:rPr>
        <w:tab/>
        <w:t xml:space="preserve">The applicant must set forth its specific request and adequately demonstrate that it lacks market power in the market to be served, and must include an executive summary of its statement of position and a statement of material facts in addition to its </w:t>
      </w:r>
    </w:p>
    <w:p w:rsidR="00215CCF" w:rsidRPr="005F2224" w:rsidP="00215CCF" w14:paraId="79723B2D" w14:textId="3506C97C">
      <w:pPr>
        <w:spacing w:after="0" w:line="480" w:lineRule="auto"/>
        <w:rPr>
          <w:rFonts w:ascii="Times New Roman" w:eastAsia="Times New Roman" w:hAnsi="Times New Roman" w:cs="Times New Roman"/>
          <w:sz w:val="26"/>
          <w:szCs w:val="26"/>
        </w:rPr>
      </w:pPr>
      <w:r w:rsidRPr="005F2224">
        <w:rPr>
          <w:rFonts w:ascii="Times New Roman" w:eastAsia="Times New Roman" w:hAnsi="Times New Roman" w:cs="Times New Roman"/>
          <w:sz w:val="26"/>
          <w:szCs w:val="26"/>
        </w:rPr>
        <w:t>complete statement of position.</w:t>
      </w:r>
      <w:r w:rsidRPr="005F2224" w:rsidR="76CF617E">
        <w:rPr>
          <w:rFonts w:ascii="Times New Roman" w:eastAsia="Times New Roman" w:hAnsi="Times New Roman" w:cs="Times New Roman"/>
          <w:sz w:val="26"/>
          <w:szCs w:val="26"/>
        </w:rPr>
        <w:t xml:space="preserve"> </w:t>
      </w:r>
      <w:r w:rsidRPr="005F2224">
        <w:rPr>
          <w:rFonts w:ascii="Times New Roman" w:eastAsia="Times New Roman" w:hAnsi="Times New Roman" w:cs="Times New Roman"/>
          <w:sz w:val="26"/>
          <w:szCs w:val="26"/>
        </w:rPr>
        <w:t>The statement of material facts must include citation to the supporting statements, exhibits, affidavits, and prepared testimony.</w:t>
      </w:r>
    </w:p>
    <w:p w:rsidR="00215CCF" w:rsidRPr="005F2224" w:rsidP="00F44332" w14:paraId="2E552383" w14:textId="5FE08727">
      <w:pPr>
        <w:spacing w:after="0" w:line="480" w:lineRule="auto"/>
        <w:rPr>
          <w:rFonts w:ascii="Times New Roman" w:eastAsia="Times New Roman" w:hAnsi="Times New Roman" w:cs="Times New Roman"/>
          <w:sz w:val="26"/>
          <w:szCs w:val="26"/>
        </w:rPr>
      </w:pPr>
      <w:r w:rsidRPr="005F2224">
        <w:rPr>
          <w:rFonts w:ascii="Times New Roman" w:eastAsia="Times New Roman" w:hAnsi="Times New Roman" w:cs="Times New Roman"/>
          <w:sz w:val="26"/>
          <w:szCs w:val="26"/>
        </w:rPr>
        <w:t xml:space="preserve">The regulation at </w:t>
      </w:r>
      <w:r w:rsidRPr="002A3DED" w:rsidR="007D1483">
        <w:rPr>
          <w:rFonts w:ascii="Times New Roman" w:eastAsia="Times New Roman" w:hAnsi="Times New Roman" w:cs="Times New Roman"/>
          <w:sz w:val="26"/>
          <w:szCs w:val="26"/>
        </w:rPr>
        <w:t>18 CFR</w:t>
      </w:r>
      <w:r w:rsidR="007D1483">
        <w:rPr>
          <w:rFonts w:ascii="Times New Roman" w:eastAsia="Times New Roman" w:hAnsi="Times New Roman" w:cs="Times New Roman"/>
          <w:sz w:val="26"/>
          <w:szCs w:val="26"/>
        </w:rPr>
        <w:t xml:space="preserve"> </w:t>
      </w:r>
      <w:r w:rsidRPr="006476C4" w:rsidR="007D1483">
        <w:rPr>
          <w:rFonts w:ascii="Times New Roman" w:eastAsia="Times New Roman" w:hAnsi="Times New Roman" w:cs="Times New Roman"/>
          <w:sz w:val="26"/>
          <w:szCs w:val="26"/>
        </w:rPr>
        <w:t>§</w:t>
      </w:r>
      <w:r w:rsidRPr="005F2224">
        <w:rPr>
          <w:rFonts w:ascii="Times New Roman" w:eastAsia="Times New Roman" w:hAnsi="Times New Roman" w:cs="Times New Roman"/>
          <w:sz w:val="26"/>
          <w:szCs w:val="26"/>
        </w:rPr>
        <w:t xml:space="preserve"> 284.503 requires that </w:t>
      </w:r>
      <w:r w:rsidRPr="005F2224" w:rsidR="005B04E1">
        <w:rPr>
          <w:rFonts w:ascii="Times New Roman" w:eastAsia="Times New Roman" w:hAnsi="Times New Roman" w:cs="Times New Roman"/>
          <w:sz w:val="26"/>
          <w:szCs w:val="26"/>
        </w:rPr>
        <w:t xml:space="preserve">an application to charge market-based rate for storage services </w:t>
      </w:r>
      <w:r w:rsidRPr="005F2224" w:rsidR="00AA2049">
        <w:rPr>
          <w:rFonts w:ascii="Times New Roman" w:eastAsia="Times New Roman" w:hAnsi="Times New Roman" w:cs="Times New Roman"/>
          <w:sz w:val="26"/>
          <w:szCs w:val="26"/>
        </w:rPr>
        <w:t>must include the fo</w:t>
      </w:r>
      <w:r w:rsidRPr="005F2224">
        <w:rPr>
          <w:rFonts w:ascii="Times New Roman" w:eastAsia="Times New Roman" w:hAnsi="Times New Roman" w:cs="Times New Roman"/>
          <w:sz w:val="26"/>
          <w:szCs w:val="26"/>
        </w:rPr>
        <w:t>llowing information:</w:t>
      </w:r>
    </w:p>
    <w:p w:rsidR="00215CCF" w:rsidRPr="005F2224" w:rsidP="005F2224" w14:paraId="13401D4D" w14:textId="409B970C">
      <w:pPr>
        <w:pStyle w:val="ListParagraph"/>
        <w:numPr>
          <w:ilvl w:val="0"/>
          <w:numId w:val="9"/>
        </w:numPr>
        <w:spacing w:after="0" w:line="480" w:lineRule="auto"/>
        <w:rPr>
          <w:rFonts w:ascii="Times New Roman" w:eastAsia="Times New Roman" w:hAnsi="Times New Roman" w:cs="Times New Roman"/>
          <w:sz w:val="26"/>
          <w:szCs w:val="26"/>
        </w:rPr>
      </w:pPr>
      <w:r w:rsidRPr="005F2224">
        <w:rPr>
          <w:rFonts w:ascii="Times New Roman" w:eastAsia="Times New Roman" w:hAnsi="Times New Roman" w:cs="Times New Roman"/>
          <w:sz w:val="26"/>
          <w:szCs w:val="26"/>
          <w:u w:val="single"/>
        </w:rPr>
        <w:t>Statement A--geographic market</w:t>
      </w:r>
      <w:r w:rsidRPr="005F2224">
        <w:rPr>
          <w:rFonts w:ascii="Times New Roman" w:eastAsia="Times New Roman" w:hAnsi="Times New Roman" w:cs="Times New Roman"/>
          <w:sz w:val="26"/>
          <w:szCs w:val="26"/>
        </w:rPr>
        <w:t>.</w:t>
      </w:r>
      <w:r w:rsidRPr="005F2224" w:rsidR="76CF617E">
        <w:rPr>
          <w:rFonts w:ascii="Times New Roman" w:eastAsia="Times New Roman" w:hAnsi="Times New Roman" w:cs="Times New Roman"/>
          <w:sz w:val="26"/>
          <w:szCs w:val="26"/>
        </w:rPr>
        <w:t xml:space="preserve"> </w:t>
      </w:r>
      <w:r w:rsidRPr="005F2224">
        <w:rPr>
          <w:rFonts w:ascii="Times New Roman" w:eastAsia="Times New Roman" w:hAnsi="Times New Roman" w:cs="Times New Roman"/>
          <w:sz w:val="26"/>
          <w:szCs w:val="26"/>
        </w:rPr>
        <w:t>This statement must describe the geographic markets for storage services in which the applicant seeks to establish that it lacks significant market power.</w:t>
      </w:r>
      <w:r w:rsidRPr="005F2224" w:rsidR="001565E1">
        <w:rPr>
          <w:rFonts w:ascii="Times New Roman" w:eastAsia="Times New Roman" w:hAnsi="Times New Roman" w:cs="Times New Roman"/>
          <w:sz w:val="26"/>
          <w:szCs w:val="26"/>
        </w:rPr>
        <w:t xml:space="preserve"> </w:t>
      </w:r>
      <w:r w:rsidRPr="005F2224">
        <w:rPr>
          <w:rFonts w:ascii="Times New Roman" w:eastAsia="Times New Roman" w:hAnsi="Times New Roman" w:cs="Times New Roman"/>
          <w:sz w:val="26"/>
          <w:szCs w:val="26"/>
        </w:rPr>
        <w:t>It must include the market related to the service for which it proposes to charge market-based rates.</w:t>
      </w:r>
      <w:r w:rsidRPr="005F2224" w:rsidR="001565E1">
        <w:rPr>
          <w:rFonts w:ascii="Times New Roman" w:eastAsia="Times New Roman" w:hAnsi="Times New Roman" w:cs="Times New Roman"/>
          <w:sz w:val="26"/>
          <w:szCs w:val="26"/>
        </w:rPr>
        <w:t xml:space="preserve"> </w:t>
      </w:r>
      <w:r w:rsidRPr="005F2224">
        <w:rPr>
          <w:rFonts w:ascii="Times New Roman" w:eastAsia="Times New Roman" w:hAnsi="Times New Roman" w:cs="Times New Roman"/>
          <w:sz w:val="26"/>
          <w:szCs w:val="26"/>
        </w:rPr>
        <w:t>The statement must explain why the applicant’s method for selecting the geographic markets is appropriate.</w:t>
      </w:r>
    </w:p>
    <w:p w:rsidR="00215CCF" w:rsidRPr="005F2224" w:rsidP="005F2224" w14:paraId="1DB0DC1B" w14:textId="601397A7">
      <w:pPr>
        <w:pStyle w:val="ListParagraph"/>
        <w:numPr>
          <w:ilvl w:val="0"/>
          <w:numId w:val="9"/>
        </w:numPr>
        <w:spacing w:after="0" w:line="480" w:lineRule="auto"/>
        <w:rPr>
          <w:rFonts w:ascii="Times New Roman" w:eastAsia="Times New Roman" w:hAnsi="Times New Roman" w:cs="Times New Roman"/>
          <w:sz w:val="26"/>
          <w:szCs w:val="26"/>
        </w:rPr>
      </w:pPr>
      <w:r w:rsidRPr="005F2224">
        <w:rPr>
          <w:rFonts w:ascii="Times New Roman" w:eastAsia="Times New Roman" w:hAnsi="Times New Roman" w:cs="Times New Roman"/>
          <w:sz w:val="26"/>
          <w:szCs w:val="26"/>
          <w:u w:val="single"/>
        </w:rPr>
        <w:t>Statement B--product market</w:t>
      </w:r>
      <w:r w:rsidRPr="005F2224">
        <w:rPr>
          <w:rFonts w:ascii="Times New Roman" w:eastAsia="Times New Roman" w:hAnsi="Times New Roman" w:cs="Times New Roman"/>
          <w:sz w:val="26"/>
          <w:szCs w:val="26"/>
        </w:rPr>
        <w:t>.</w:t>
      </w:r>
      <w:r w:rsidRPr="005F2224" w:rsidR="76CF617E">
        <w:rPr>
          <w:rFonts w:ascii="Times New Roman" w:eastAsia="Times New Roman" w:hAnsi="Times New Roman" w:cs="Times New Roman"/>
          <w:sz w:val="26"/>
          <w:szCs w:val="26"/>
        </w:rPr>
        <w:t xml:space="preserve"> </w:t>
      </w:r>
      <w:r w:rsidRPr="005F2224">
        <w:rPr>
          <w:rFonts w:ascii="Times New Roman" w:eastAsia="Times New Roman" w:hAnsi="Times New Roman" w:cs="Times New Roman"/>
          <w:sz w:val="26"/>
          <w:szCs w:val="26"/>
        </w:rPr>
        <w:t>This statement must identify the product market or markets for which the applicant seeks to establish that it lacks significant market power.</w:t>
      </w:r>
      <w:r w:rsidRPr="005F2224" w:rsidR="76CF617E">
        <w:rPr>
          <w:rFonts w:ascii="Times New Roman" w:eastAsia="Times New Roman" w:hAnsi="Times New Roman" w:cs="Times New Roman"/>
          <w:sz w:val="26"/>
          <w:szCs w:val="26"/>
        </w:rPr>
        <w:t xml:space="preserve"> </w:t>
      </w:r>
      <w:r w:rsidRPr="005F2224">
        <w:rPr>
          <w:rFonts w:ascii="Times New Roman" w:eastAsia="Times New Roman" w:hAnsi="Times New Roman" w:cs="Times New Roman"/>
          <w:sz w:val="26"/>
          <w:szCs w:val="26"/>
        </w:rPr>
        <w:t>The statement must explain why the particular product definition is appropriate.</w:t>
      </w:r>
    </w:p>
    <w:p w:rsidR="00215CCF" w:rsidRPr="005F2224" w:rsidP="005F2224" w14:paraId="24F8B613" w14:textId="7F9AB04A">
      <w:pPr>
        <w:pStyle w:val="ListParagraph"/>
        <w:numPr>
          <w:ilvl w:val="0"/>
          <w:numId w:val="9"/>
        </w:numPr>
        <w:spacing w:after="0" w:line="480" w:lineRule="auto"/>
        <w:rPr>
          <w:rFonts w:ascii="Times New Roman" w:eastAsia="Times New Roman" w:hAnsi="Times New Roman" w:cs="Times New Roman"/>
          <w:sz w:val="26"/>
          <w:szCs w:val="26"/>
        </w:rPr>
      </w:pPr>
      <w:r w:rsidRPr="005F2224">
        <w:rPr>
          <w:rFonts w:ascii="Times New Roman" w:eastAsia="Times New Roman" w:hAnsi="Times New Roman" w:cs="Times New Roman"/>
          <w:sz w:val="26"/>
          <w:szCs w:val="26"/>
          <w:u w:val="single"/>
        </w:rPr>
        <w:t>Statement C--the applicant’s facilities and services</w:t>
      </w:r>
      <w:r w:rsidRPr="005F2224">
        <w:rPr>
          <w:rFonts w:ascii="Times New Roman" w:eastAsia="Times New Roman" w:hAnsi="Times New Roman" w:cs="Times New Roman"/>
          <w:sz w:val="26"/>
          <w:szCs w:val="26"/>
        </w:rPr>
        <w:t>.</w:t>
      </w:r>
      <w:r w:rsidRPr="005F2224" w:rsidR="76CF617E">
        <w:rPr>
          <w:rFonts w:ascii="Times New Roman" w:eastAsia="Times New Roman" w:hAnsi="Times New Roman" w:cs="Times New Roman"/>
          <w:sz w:val="26"/>
          <w:szCs w:val="26"/>
        </w:rPr>
        <w:t xml:space="preserve"> </w:t>
      </w:r>
      <w:r w:rsidRPr="005F2224">
        <w:rPr>
          <w:rFonts w:ascii="Times New Roman" w:eastAsia="Times New Roman" w:hAnsi="Times New Roman" w:cs="Times New Roman"/>
          <w:sz w:val="26"/>
          <w:szCs w:val="26"/>
        </w:rPr>
        <w:t xml:space="preserve">This statement must describe the applicant’s own facilities and services, and those of all parent, subsidiary, or affiliated companies, in the relevant markets identified in </w:t>
      </w:r>
      <w:r w:rsidRPr="005F2224">
        <w:rPr>
          <w:rFonts w:ascii="Times New Roman" w:eastAsia="Times New Roman" w:hAnsi="Times New Roman" w:cs="Times New Roman"/>
          <w:sz w:val="26"/>
          <w:szCs w:val="26"/>
        </w:rPr>
        <w:t>Statements A and B in paragraphs (b) (1) and (2) of this section.</w:t>
      </w:r>
      <w:r w:rsidRPr="005F2224" w:rsidR="001565E1">
        <w:rPr>
          <w:rFonts w:ascii="Times New Roman" w:eastAsia="Times New Roman" w:hAnsi="Times New Roman" w:cs="Times New Roman"/>
          <w:sz w:val="26"/>
          <w:szCs w:val="26"/>
        </w:rPr>
        <w:t xml:space="preserve"> </w:t>
      </w:r>
      <w:r w:rsidRPr="005F2224">
        <w:rPr>
          <w:rFonts w:ascii="Times New Roman" w:eastAsia="Times New Roman" w:hAnsi="Times New Roman" w:cs="Times New Roman"/>
          <w:sz w:val="26"/>
          <w:szCs w:val="26"/>
        </w:rPr>
        <w:t>The statement must include all pertinent data about the storage facilities and services.</w:t>
      </w:r>
    </w:p>
    <w:p w:rsidR="00215CCF" w:rsidRPr="005F2224" w:rsidP="005F2224" w14:paraId="746DCE91" w14:textId="47F226BD">
      <w:pPr>
        <w:pStyle w:val="ListParagraph"/>
        <w:numPr>
          <w:ilvl w:val="0"/>
          <w:numId w:val="9"/>
        </w:numPr>
        <w:spacing w:after="0" w:line="480" w:lineRule="auto"/>
        <w:rPr>
          <w:rFonts w:ascii="Times New Roman" w:eastAsia="Times New Roman" w:hAnsi="Times New Roman" w:cs="Times New Roman"/>
          <w:sz w:val="26"/>
          <w:szCs w:val="26"/>
        </w:rPr>
      </w:pPr>
      <w:r w:rsidRPr="005F2224">
        <w:rPr>
          <w:rFonts w:ascii="Times New Roman" w:eastAsia="Times New Roman" w:hAnsi="Times New Roman" w:cs="Times New Roman"/>
          <w:sz w:val="26"/>
          <w:szCs w:val="26"/>
          <w:u w:val="single"/>
        </w:rPr>
        <w:t>Statement D--competitive alternatives</w:t>
      </w:r>
      <w:r w:rsidRPr="005F2224">
        <w:rPr>
          <w:rFonts w:ascii="Times New Roman" w:eastAsia="Times New Roman" w:hAnsi="Times New Roman" w:cs="Times New Roman"/>
          <w:sz w:val="26"/>
          <w:szCs w:val="26"/>
        </w:rPr>
        <w:t>.</w:t>
      </w:r>
      <w:r w:rsidRPr="005F2224" w:rsidR="76CF617E">
        <w:rPr>
          <w:rFonts w:ascii="Times New Roman" w:eastAsia="Times New Roman" w:hAnsi="Times New Roman" w:cs="Times New Roman"/>
          <w:sz w:val="26"/>
          <w:szCs w:val="26"/>
        </w:rPr>
        <w:t xml:space="preserve"> </w:t>
      </w:r>
      <w:r w:rsidRPr="005F2224">
        <w:rPr>
          <w:rFonts w:ascii="Times New Roman" w:eastAsia="Times New Roman" w:hAnsi="Times New Roman" w:cs="Times New Roman"/>
          <w:sz w:val="26"/>
          <w:szCs w:val="26"/>
        </w:rPr>
        <w:t>This statement must describe available alternatives in competition with the applicant in the relevant markets and other competition constraining the applicant’s rates in those markets.</w:t>
      </w:r>
      <w:r w:rsidRPr="005F2224" w:rsidR="001565E1">
        <w:rPr>
          <w:rFonts w:ascii="Times New Roman" w:eastAsia="Times New Roman" w:hAnsi="Times New Roman" w:cs="Times New Roman"/>
          <w:sz w:val="26"/>
          <w:szCs w:val="26"/>
        </w:rPr>
        <w:t xml:space="preserve"> </w:t>
      </w:r>
      <w:r w:rsidRPr="005F2224">
        <w:rPr>
          <w:rFonts w:ascii="Times New Roman" w:eastAsia="Times New Roman" w:hAnsi="Times New Roman" w:cs="Times New Roman"/>
          <w:sz w:val="26"/>
          <w:szCs w:val="26"/>
        </w:rPr>
        <w:t>Such proposed alternatives may include an appropriate combination of other storage, local gas supply, LNG, financial instruments and pipeline capacity.</w:t>
      </w:r>
      <w:r w:rsidRPr="005F2224" w:rsidR="001565E1">
        <w:rPr>
          <w:rFonts w:ascii="Times New Roman" w:eastAsia="Times New Roman" w:hAnsi="Times New Roman" w:cs="Times New Roman"/>
          <w:sz w:val="26"/>
          <w:szCs w:val="26"/>
        </w:rPr>
        <w:t xml:space="preserve"> </w:t>
      </w:r>
      <w:r w:rsidRPr="005F2224">
        <w:rPr>
          <w:rFonts w:ascii="Times New Roman" w:eastAsia="Times New Roman" w:hAnsi="Times New Roman" w:cs="Times New Roman"/>
          <w:sz w:val="26"/>
          <w:szCs w:val="26"/>
        </w:rPr>
        <w:t>These alternatives must be shown to be reasonably available as a substitute in the area to be served soon enough, at a price low enough, and with a quality high enough to be a reasonable alternative to the applicant’s services.</w:t>
      </w:r>
      <w:r w:rsidRPr="005F2224" w:rsidR="001565E1">
        <w:rPr>
          <w:rFonts w:ascii="Times New Roman" w:eastAsia="Times New Roman" w:hAnsi="Times New Roman" w:cs="Times New Roman"/>
          <w:sz w:val="26"/>
          <w:szCs w:val="26"/>
        </w:rPr>
        <w:t xml:space="preserve"> </w:t>
      </w:r>
      <w:r w:rsidRPr="005F2224">
        <w:rPr>
          <w:rFonts w:ascii="Times New Roman" w:eastAsia="Times New Roman" w:hAnsi="Times New Roman" w:cs="Times New Roman"/>
          <w:sz w:val="26"/>
          <w:szCs w:val="26"/>
        </w:rPr>
        <w:t>Capacity (transportation, storage, LNG,</w:t>
      </w:r>
      <w:r w:rsidRPr="005F2224" w:rsidR="00FD3F53">
        <w:rPr>
          <w:rFonts w:ascii="Times New Roman" w:eastAsia="Times New Roman" w:hAnsi="Times New Roman" w:cs="Times New Roman"/>
          <w:sz w:val="26"/>
          <w:szCs w:val="26"/>
        </w:rPr>
        <w:t xml:space="preserve"> </w:t>
      </w:r>
      <w:r w:rsidRPr="005F2224">
        <w:rPr>
          <w:rFonts w:ascii="Times New Roman" w:eastAsia="Times New Roman" w:hAnsi="Times New Roman" w:cs="Times New Roman"/>
          <w:sz w:val="26"/>
          <w:szCs w:val="26"/>
        </w:rPr>
        <w:t>or production) owned or controlled by the applicant and affiliates of the applicant in the relevant market shall be clearly and fully identified and may not be considered as alternatives competing with the applicant.</w:t>
      </w:r>
      <w:r w:rsidRPr="005F2224" w:rsidR="76CF617E">
        <w:rPr>
          <w:rFonts w:ascii="Times New Roman" w:eastAsia="Times New Roman" w:hAnsi="Times New Roman" w:cs="Times New Roman"/>
          <w:sz w:val="26"/>
          <w:szCs w:val="26"/>
        </w:rPr>
        <w:t xml:space="preserve"> </w:t>
      </w:r>
      <w:r w:rsidRPr="005F2224">
        <w:rPr>
          <w:rFonts w:ascii="Times New Roman" w:eastAsia="Times New Roman" w:hAnsi="Times New Roman" w:cs="Times New Roman"/>
          <w:sz w:val="26"/>
          <w:szCs w:val="26"/>
        </w:rPr>
        <w:t>Rather, the capacity of an applicant’s affiliates is to be included in the market share calculated for the applicant.</w:t>
      </w:r>
      <w:r w:rsidRPr="005F2224" w:rsidR="001565E1">
        <w:rPr>
          <w:rFonts w:ascii="Times New Roman" w:eastAsia="Times New Roman" w:hAnsi="Times New Roman" w:cs="Times New Roman"/>
          <w:sz w:val="26"/>
          <w:szCs w:val="26"/>
        </w:rPr>
        <w:t xml:space="preserve"> </w:t>
      </w:r>
      <w:r w:rsidRPr="005F2224">
        <w:rPr>
          <w:rFonts w:ascii="Times New Roman" w:eastAsia="Times New Roman" w:hAnsi="Times New Roman" w:cs="Times New Roman"/>
          <w:sz w:val="26"/>
          <w:szCs w:val="26"/>
        </w:rPr>
        <w:t>To the extent available, the statement must include all pertinent data about storage or other alternatives and other constraining competition.</w:t>
      </w:r>
    </w:p>
    <w:p w:rsidR="00215CCF" w:rsidRPr="005F2224" w:rsidP="005F2224" w14:paraId="339A7E72" w14:textId="59B0A360">
      <w:pPr>
        <w:pStyle w:val="ListParagraph"/>
        <w:numPr>
          <w:ilvl w:val="0"/>
          <w:numId w:val="9"/>
        </w:numPr>
        <w:spacing w:after="0" w:line="480" w:lineRule="auto"/>
        <w:rPr>
          <w:rFonts w:ascii="Times New Roman" w:eastAsia="Times New Roman" w:hAnsi="Times New Roman" w:cs="Times New Roman"/>
          <w:sz w:val="26"/>
          <w:szCs w:val="26"/>
        </w:rPr>
      </w:pPr>
      <w:r w:rsidRPr="005F2224">
        <w:rPr>
          <w:rFonts w:ascii="Times New Roman" w:eastAsia="Times New Roman" w:hAnsi="Times New Roman" w:cs="Times New Roman"/>
          <w:sz w:val="26"/>
          <w:szCs w:val="26"/>
          <w:u w:val="single"/>
        </w:rPr>
        <w:t>Statement E--potential competition</w:t>
      </w:r>
      <w:r w:rsidRPr="005F2224">
        <w:rPr>
          <w:rFonts w:ascii="Times New Roman" w:eastAsia="Times New Roman" w:hAnsi="Times New Roman" w:cs="Times New Roman"/>
          <w:sz w:val="26"/>
          <w:szCs w:val="26"/>
        </w:rPr>
        <w:t>.</w:t>
      </w:r>
      <w:r w:rsidRPr="005F2224" w:rsidR="76CF617E">
        <w:rPr>
          <w:rFonts w:ascii="Times New Roman" w:eastAsia="Times New Roman" w:hAnsi="Times New Roman" w:cs="Times New Roman"/>
          <w:sz w:val="26"/>
          <w:szCs w:val="26"/>
        </w:rPr>
        <w:t xml:space="preserve"> </w:t>
      </w:r>
      <w:r w:rsidRPr="005F2224">
        <w:rPr>
          <w:rFonts w:ascii="Times New Roman" w:eastAsia="Times New Roman" w:hAnsi="Times New Roman" w:cs="Times New Roman"/>
          <w:sz w:val="26"/>
          <w:szCs w:val="26"/>
        </w:rPr>
        <w:t>This statement must describe potential competition in the relevant markets.</w:t>
      </w:r>
      <w:r w:rsidRPr="005F2224" w:rsidR="001565E1">
        <w:rPr>
          <w:rFonts w:ascii="Times New Roman" w:eastAsia="Times New Roman" w:hAnsi="Times New Roman" w:cs="Times New Roman"/>
          <w:sz w:val="26"/>
          <w:szCs w:val="26"/>
        </w:rPr>
        <w:t xml:space="preserve"> </w:t>
      </w:r>
      <w:r w:rsidRPr="005F2224">
        <w:rPr>
          <w:rFonts w:ascii="Times New Roman" w:eastAsia="Times New Roman" w:hAnsi="Times New Roman" w:cs="Times New Roman"/>
          <w:sz w:val="26"/>
          <w:szCs w:val="26"/>
        </w:rPr>
        <w:t>To the extent available, the statement must include data about the potential competitors, including their costs, and their distance in miles from the applicant’s facilities and major consuming markets.</w:t>
      </w:r>
      <w:r w:rsidRPr="005F2224" w:rsidR="001565E1">
        <w:rPr>
          <w:rFonts w:ascii="Times New Roman" w:eastAsia="Times New Roman" w:hAnsi="Times New Roman" w:cs="Times New Roman"/>
          <w:sz w:val="26"/>
          <w:szCs w:val="26"/>
        </w:rPr>
        <w:t xml:space="preserve"> </w:t>
      </w:r>
      <w:r w:rsidRPr="005F2224">
        <w:rPr>
          <w:rFonts w:ascii="Times New Roman" w:eastAsia="Times New Roman" w:hAnsi="Times New Roman" w:cs="Times New Roman"/>
          <w:sz w:val="26"/>
          <w:szCs w:val="26"/>
        </w:rPr>
        <w:t xml:space="preserve">This statement must also describe any relevant barriers to entry and the </w:t>
      </w:r>
      <w:r w:rsidRPr="005F2224">
        <w:rPr>
          <w:rFonts w:ascii="Times New Roman" w:eastAsia="Times New Roman" w:hAnsi="Times New Roman" w:cs="Times New Roman"/>
          <w:sz w:val="26"/>
          <w:szCs w:val="26"/>
        </w:rPr>
        <w:t>applicant’s assessment of whether ease of entry is an effective counter to attempts to exercise market power in the relevant markets.</w:t>
      </w:r>
    </w:p>
    <w:p w:rsidR="00215CCF" w:rsidRPr="005F2224" w:rsidP="005F2224" w14:paraId="51C63001" w14:textId="20A61D36">
      <w:pPr>
        <w:pStyle w:val="ListParagraph"/>
        <w:numPr>
          <w:ilvl w:val="0"/>
          <w:numId w:val="9"/>
        </w:numPr>
        <w:spacing w:after="0" w:line="480" w:lineRule="auto"/>
        <w:rPr>
          <w:rFonts w:ascii="Times New Roman" w:eastAsia="Times New Roman" w:hAnsi="Times New Roman" w:cs="Times New Roman"/>
          <w:sz w:val="26"/>
          <w:szCs w:val="26"/>
        </w:rPr>
      </w:pPr>
      <w:r w:rsidRPr="005F2224">
        <w:rPr>
          <w:rFonts w:ascii="Times New Roman" w:eastAsia="Times New Roman" w:hAnsi="Times New Roman" w:cs="Times New Roman"/>
          <w:sz w:val="26"/>
          <w:szCs w:val="26"/>
          <w:u w:val="single"/>
        </w:rPr>
        <w:t xml:space="preserve">Statement </w:t>
      </w:r>
      <w:r w:rsidRPr="005F2224">
        <w:rPr>
          <w:rFonts w:ascii="Times New Roman" w:eastAsia="Times New Roman" w:hAnsi="Times New Roman" w:cs="Times New Roman"/>
          <w:sz w:val="26"/>
          <w:szCs w:val="26"/>
          <w:u w:val="single"/>
        </w:rPr>
        <w:t>F</w:t>
      </w:r>
      <w:r w:rsidRPr="005F2224">
        <w:rPr>
          <w:rFonts w:ascii="Times New Roman" w:eastAsia="Times New Roman" w:hAnsi="Times New Roman" w:cs="Times New Roman"/>
          <w:sz w:val="26"/>
          <w:szCs w:val="26"/>
          <w:u w:val="single"/>
        </w:rPr>
        <w:t>--maps</w:t>
      </w:r>
      <w:r w:rsidRPr="005F2224">
        <w:rPr>
          <w:rFonts w:ascii="Times New Roman" w:eastAsia="Times New Roman" w:hAnsi="Times New Roman" w:cs="Times New Roman"/>
          <w:sz w:val="26"/>
          <w:szCs w:val="26"/>
        </w:rPr>
        <w:t>.</w:t>
      </w:r>
      <w:r w:rsidRPr="005F2224" w:rsidR="76CF617E">
        <w:rPr>
          <w:rFonts w:ascii="Times New Roman" w:eastAsia="Times New Roman" w:hAnsi="Times New Roman" w:cs="Times New Roman"/>
          <w:sz w:val="26"/>
          <w:szCs w:val="26"/>
        </w:rPr>
        <w:t xml:space="preserve"> </w:t>
      </w:r>
      <w:r w:rsidRPr="005F2224">
        <w:rPr>
          <w:rFonts w:ascii="Times New Roman" w:eastAsia="Times New Roman" w:hAnsi="Times New Roman" w:cs="Times New Roman"/>
          <w:sz w:val="26"/>
          <w:szCs w:val="26"/>
        </w:rPr>
        <w:t>This statement must consist of maps showing the applicant’s principal facilities, pipelines to which the applicant intends to interconnect and other pipelines within the area to be served, the direction of flow of each line, the location of the alternatives to the applicant’s service offerings, including their distance in miles from the applicant’s facility.</w:t>
      </w:r>
      <w:r w:rsidRPr="005F2224" w:rsidR="001565E1">
        <w:rPr>
          <w:rFonts w:ascii="Times New Roman" w:eastAsia="Times New Roman" w:hAnsi="Times New Roman" w:cs="Times New Roman"/>
          <w:sz w:val="26"/>
          <w:szCs w:val="26"/>
        </w:rPr>
        <w:t xml:space="preserve"> </w:t>
      </w:r>
      <w:r w:rsidRPr="005F2224">
        <w:rPr>
          <w:rFonts w:ascii="Times New Roman" w:eastAsia="Times New Roman" w:hAnsi="Times New Roman" w:cs="Times New Roman"/>
          <w:sz w:val="26"/>
          <w:szCs w:val="26"/>
        </w:rPr>
        <w:t>The statement must include a general system map and maps by geographic markets.</w:t>
      </w:r>
      <w:r w:rsidRPr="005F2224" w:rsidR="001565E1">
        <w:rPr>
          <w:rFonts w:ascii="Times New Roman" w:eastAsia="Times New Roman" w:hAnsi="Times New Roman" w:cs="Times New Roman"/>
          <w:sz w:val="26"/>
          <w:szCs w:val="26"/>
        </w:rPr>
        <w:t xml:space="preserve"> </w:t>
      </w:r>
      <w:r w:rsidRPr="005F2224">
        <w:rPr>
          <w:rFonts w:ascii="Times New Roman" w:eastAsia="Times New Roman" w:hAnsi="Times New Roman" w:cs="Times New Roman"/>
          <w:sz w:val="26"/>
          <w:szCs w:val="26"/>
        </w:rPr>
        <w:t>The information required by this statement may be on separate pages.</w:t>
      </w:r>
    </w:p>
    <w:p w:rsidR="00215CCF" w:rsidRPr="005F2224" w:rsidP="005F2224" w14:paraId="3B2C78E5" w14:textId="3AE3EBFF">
      <w:pPr>
        <w:pStyle w:val="ListParagraph"/>
        <w:numPr>
          <w:ilvl w:val="0"/>
          <w:numId w:val="9"/>
        </w:numPr>
        <w:spacing w:after="0" w:line="480" w:lineRule="auto"/>
        <w:rPr>
          <w:rFonts w:ascii="Times New Roman" w:eastAsia="Times New Roman" w:hAnsi="Times New Roman" w:cs="Times New Roman"/>
          <w:sz w:val="26"/>
          <w:szCs w:val="26"/>
        </w:rPr>
      </w:pPr>
      <w:r w:rsidRPr="005F2224">
        <w:rPr>
          <w:rFonts w:ascii="Times New Roman" w:eastAsia="Times New Roman" w:hAnsi="Times New Roman" w:cs="Times New Roman"/>
          <w:sz w:val="26"/>
          <w:szCs w:val="26"/>
          <w:u w:val="single"/>
        </w:rPr>
        <w:t>Statement G—market-power measures</w:t>
      </w:r>
      <w:r w:rsidRPr="005F2224">
        <w:rPr>
          <w:rFonts w:ascii="Times New Roman" w:eastAsia="Times New Roman" w:hAnsi="Times New Roman" w:cs="Times New Roman"/>
          <w:sz w:val="26"/>
          <w:szCs w:val="26"/>
        </w:rPr>
        <w:t>.</w:t>
      </w:r>
      <w:r w:rsidRPr="005F2224" w:rsidR="76CF617E">
        <w:rPr>
          <w:rFonts w:ascii="Times New Roman" w:eastAsia="Times New Roman" w:hAnsi="Times New Roman" w:cs="Times New Roman"/>
          <w:sz w:val="26"/>
          <w:szCs w:val="26"/>
        </w:rPr>
        <w:t xml:space="preserve"> </w:t>
      </w:r>
      <w:r w:rsidRPr="005F2224">
        <w:rPr>
          <w:rFonts w:ascii="Times New Roman" w:eastAsia="Times New Roman" w:hAnsi="Times New Roman" w:cs="Times New Roman"/>
          <w:sz w:val="26"/>
          <w:szCs w:val="26"/>
        </w:rPr>
        <w:t>This statement must set forth the calculation of the market concentration of the relevant markets using the Herfindahl-Hirschman Index.</w:t>
      </w:r>
      <w:r w:rsidRPr="005F2224" w:rsidR="001565E1">
        <w:rPr>
          <w:rFonts w:ascii="Times New Roman" w:eastAsia="Times New Roman" w:hAnsi="Times New Roman" w:cs="Times New Roman"/>
          <w:sz w:val="26"/>
          <w:szCs w:val="26"/>
        </w:rPr>
        <w:t xml:space="preserve"> </w:t>
      </w:r>
      <w:r w:rsidRPr="005F2224">
        <w:rPr>
          <w:rFonts w:ascii="Times New Roman" w:eastAsia="Times New Roman" w:hAnsi="Times New Roman" w:cs="Times New Roman"/>
          <w:sz w:val="26"/>
          <w:szCs w:val="26"/>
        </w:rPr>
        <w:t>The statement must also set forth the applicant’s market share, inclusive of affiliated service offerings, in the markets to be served.</w:t>
      </w:r>
      <w:r w:rsidRPr="005F2224" w:rsidR="001565E1">
        <w:rPr>
          <w:rFonts w:ascii="Times New Roman" w:eastAsia="Times New Roman" w:hAnsi="Times New Roman" w:cs="Times New Roman"/>
          <w:sz w:val="26"/>
          <w:szCs w:val="26"/>
        </w:rPr>
        <w:t xml:space="preserve"> </w:t>
      </w:r>
      <w:r w:rsidRPr="005F2224">
        <w:rPr>
          <w:rFonts w:ascii="Times New Roman" w:eastAsia="Times New Roman" w:hAnsi="Times New Roman" w:cs="Times New Roman"/>
          <w:sz w:val="26"/>
          <w:szCs w:val="26"/>
        </w:rPr>
        <w:t>The statement must also set forth the calculation of other market-power measures relied on by the applicant.</w:t>
      </w:r>
      <w:r w:rsidRPr="005F2224" w:rsidR="001565E1">
        <w:rPr>
          <w:rFonts w:ascii="Times New Roman" w:eastAsia="Times New Roman" w:hAnsi="Times New Roman" w:cs="Times New Roman"/>
          <w:sz w:val="26"/>
          <w:szCs w:val="26"/>
        </w:rPr>
        <w:t xml:space="preserve"> </w:t>
      </w:r>
      <w:r w:rsidRPr="005F2224">
        <w:rPr>
          <w:rFonts w:ascii="Times New Roman" w:eastAsia="Times New Roman" w:hAnsi="Times New Roman" w:cs="Times New Roman"/>
          <w:sz w:val="26"/>
          <w:szCs w:val="26"/>
        </w:rPr>
        <w:t>The statement must include complete particulars about the applicant’s calculations.</w:t>
      </w:r>
    </w:p>
    <w:p w:rsidR="00215CCF" w:rsidRPr="005F2224" w:rsidP="005F2224" w14:paraId="3426BD90" w14:textId="0314EDA7">
      <w:pPr>
        <w:pStyle w:val="ListParagraph"/>
        <w:numPr>
          <w:ilvl w:val="0"/>
          <w:numId w:val="9"/>
        </w:numPr>
        <w:spacing w:after="0" w:line="480" w:lineRule="auto"/>
        <w:rPr>
          <w:rFonts w:ascii="Times New Roman" w:eastAsia="Times New Roman" w:hAnsi="Times New Roman" w:cs="Times New Roman"/>
          <w:sz w:val="26"/>
          <w:szCs w:val="26"/>
        </w:rPr>
      </w:pPr>
      <w:r w:rsidRPr="005F2224">
        <w:rPr>
          <w:rFonts w:ascii="Times New Roman" w:eastAsia="Times New Roman" w:hAnsi="Times New Roman" w:cs="Times New Roman"/>
          <w:sz w:val="26"/>
          <w:szCs w:val="26"/>
          <w:u w:val="single"/>
        </w:rPr>
        <w:t>Statement H--other factors</w:t>
      </w:r>
      <w:r w:rsidRPr="005F2224">
        <w:rPr>
          <w:rFonts w:ascii="Times New Roman" w:eastAsia="Times New Roman" w:hAnsi="Times New Roman" w:cs="Times New Roman"/>
          <w:sz w:val="26"/>
          <w:szCs w:val="26"/>
        </w:rPr>
        <w:t>.</w:t>
      </w:r>
      <w:r w:rsidRPr="005F2224" w:rsidR="76CF617E">
        <w:rPr>
          <w:rFonts w:ascii="Times New Roman" w:eastAsia="Times New Roman" w:hAnsi="Times New Roman" w:cs="Times New Roman"/>
          <w:sz w:val="26"/>
          <w:szCs w:val="26"/>
        </w:rPr>
        <w:t xml:space="preserve"> </w:t>
      </w:r>
      <w:r w:rsidRPr="005F2224">
        <w:rPr>
          <w:rFonts w:ascii="Times New Roman" w:eastAsia="Times New Roman" w:hAnsi="Times New Roman" w:cs="Times New Roman"/>
          <w:sz w:val="26"/>
          <w:szCs w:val="26"/>
        </w:rPr>
        <w:t>This statement must describe any other factors that bear on the issue of whether the applicant lacks significant market power in the relevant markets.</w:t>
      </w:r>
      <w:r w:rsidRPr="005F2224" w:rsidR="001565E1">
        <w:rPr>
          <w:rFonts w:ascii="Times New Roman" w:eastAsia="Times New Roman" w:hAnsi="Times New Roman" w:cs="Times New Roman"/>
          <w:sz w:val="26"/>
          <w:szCs w:val="26"/>
        </w:rPr>
        <w:t xml:space="preserve"> </w:t>
      </w:r>
      <w:r w:rsidRPr="005F2224">
        <w:rPr>
          <w:rFonts w:ascii="Times New Roman" w:eastAsia="Times New Roman" w:hAnsi="Times New Roman" w:cs="Times New Roman"/>
          <w:sz w:val="26"/>
          <w:szCs w:val="26"/>
        </w:rPr>
        <w:t>The description must explain why those other factors are pertinent.</w:t>
      </w:r>
    </w:p>
    <w:p w:rsidR="00215CCF" w:rsidRPr="005F2224" w:rsidP="005F2224" w14:paraId="3B1ECD69" w14:textId="6AAFF9F1">
      <w:pPr>
        <w:pStyle w:val="ListParagraph"/>
        <w:numPr>
          <w:ilvl w:val="0"/>
          <w:numId w:val="9"/>
        </w:numPr>
        <w:spacing w:after="0" w:line="480" w:lineRule="auto"/>
        <w:rPr>
          <w:rFonts w:ascii="Times New Roman" w:eastAsia="Times New Roman" w:hAnsi="Times New Roman" w:cs="Times New Roman"/>
          <w:sz w:val="26"/>
          <w:szCs w:val="26"/>
        </w:rPr>
      </w:pPr>
      <w:r w:rsidRPr="005F2224">
        <w:rPr>
          <w:rFonts w:ascii="Times New Roman" w:eastAsia="Times New Roman" w:hAnsi="Times New Roman" w:cs="Times New Roman"/>
          <w:sz w:val="26"/>
          <w:szCs w:val="26"/>
          <w:u w:val="single"/>
        </w:rPr>
        <w:t>Statement I--prepared testimony</w:t>
      </w:r>
      <w:r w:rsidRPr="005F2224">
        <w:rPr>
          <w:rFonts w:ascii="Times New Roman" w:eastAsia="Times New Roman" w:hAnsi="Times New Roman" w:cs="Times New Roman"/>
          <w:sz w:val="26"/>
          <w:szCs w:val="26"/>
        </w:rPr>
        <w:t>.</w:t>
      </w:r>
      <w:r w:rsidRPr="005F2224" w:rsidR="76CF617E">
        <w:rPr>
          <w:rFonts w:ascii="Times New Roman" w:eastAsia="Times New Roman" w:hAnsi="Times New Roman" w:cs="Times New Roman"/>
          <w:sz w:val="26"/>
          <w:szCs w:val="26"/>
        </w:rPr>
        <w:t xml:space="preserve"> </w:t>
      </w:r>
      <w:r w:rsidRPr="005F2224">
        <w:rPr>
          <w:rFonts w:ascii="Times New Roman" w:eastAsia="Times New Roman" w:hAnsi="Times New Roman" w:cs="Times New Roman"/>
          <w:sz w:val="26"/>
          <w:szCs w:val="26"/>
        </w:rPr>
        <w:t>This statement must include the proposed testimony in support of the application and will serve as the applicant’s case-</w:t>
      </w:r>
      <w:r w:rsidRPr="005F2224">
        <w:rPr>
          <w:rFonts w:ascii="Times New Roman" w:eastAsia="Times New Roman" w:hAnsi="Times New Roman" w:cs="Times New Roman"/>
          <w:sz w:val="26"/>
          <w:szCs w:val="26"/>
        </w:rPr>
        <w:t>in-chief, if the Commission sets the application for hearing.</w:t>
      </w:r>
      <w:r w:rsidRPr="005F2224" w:rsidR="001565E1">
        <w:rPr>
          <w:rFonts w:ascii="Times New Roman" w:eastAsia="Times New Roman" w:hAnsi="Times New Roman" w:cs="Times New Roman"/>
          <w:sz w:val="26"/>
          <w:szCs w:val="26"/>
        </w:rPr>
        <w:t xml:space="preserve"> </w:t>
      </w:r>
      <w:r w:rsidRPr="005F2224">
        <w:rPr>
          <w:rFonts w:ascii="Times New Roman" w:eastAsia="Times New Roman" w:hAnsi="Times New Roman" w:cs="Times New Roman"/>
          <w:sz w:val="26"/>
          <w:szCs w:val="26"/>
        </w:rPr>
        <w:t>The proposed witness must subscribe to the testimony and swear that all statements of fact contained in the proposed testimony are true and correct to the best of his or her knowledge, information, and belief.</w:t>
      </w:r>
    </w:p>
    <w:p w:rsidR="007C1472" w:rsidRPr="005F2224" w:rsidP="007C1472" w14:paraId="6CB63F94" w14:textId="4A87A293">
      <w:pPr>
        <w:spacing w:after="0" w:line="480" w:lineRule="auto"/>
        <w:rPr>
          <w:rFonts w:ascii="Times New Roman" w:eastAsia="Times New Roman" w:hAnsi="Times New Roman" w:cs="Times New Roman"/>
          <w:sz w:val="26"/>
          <w:szCs w:val="26"/>
        </w:rPr>
      </w:pPr>
      <w:r w:rsidRPr="005F2224">
        <w:rPr>
          <w:rFonts w:ascii="Times New Roman" w:eastAsia="Times New Roman" w:hAnsi="Times New Roman" w:cs="Times New Roman"/>
          <w:sz w:val="26"/>
          <w:szCs w:val="26"/>
        </w:rPr>
        <w:t xml:space="preserve">The </w:t>
      </w:r>
      <w:r w:rsidRPr="005F2224" w:rsidR="00AA2049">
        <w:rPr>
          <w:rFonts w:ascii="Times New Roman" w:eastAsia="Times New Roman" w:hAnsi="Times New Roman" w:cs="Times New Roman"/>
          <w:sz w:val="26"/>
          <w:szCs w:val="26"/>
        </w:rPr>
        <w:t>regulation at 1</w:t>
      </w:r>
      <w:r w:rsidRPr="005F2224" w:rsidR="00E47BC9">
        <w:rPr>
          <w:rFonts w:ascii="Times New Roman" w:eastAsia="Times New Roman" w:hAnsi="Times New Roman" w:cs="Times New Roman"/>
          <w:sz w:val="26"/>
          <w:szCs w:val="26"/>
        </w:rPr>
        <w:t xml:space="preserve">8 CFR </w:t>
      </w:r>
      <w:r w:rsidRPr="006476C4" w:rsidR="00BE4257">
        <w:rPr>
          <w:rFonts w:ascii="Times New Roman" w:eastAsia="Times New Roman" w:hAnsi="Times New Roman" w:cs="Times New Roman"/>
          <w:sz w:val="26"/>
          <w:szCs w:val="26"/>
        </w:rPr>
        <w:t>§</w:t>
      </w:r>
      <w:r w:rsidR="00BE4257">
        <w:rPr>
          <w:rFonts w:ascii="Times New Roman" w:eastAsia="Times New Roman" w:hAnsi="Times New Roman" w:cs="Times New Roman"/>
          <w:sz w:val="26"/>
          <w:szCs w:val="26"/>
        </w:rPr>
        <w:t xml:space="preserve"> </w:t>
      </w:r>
      <w:r w:rsidRPr="005F2224" w:rsidR="00E47BC9">
        <w:rPr>
          <w:rFonts w:ascii="Times New Roman" w:eastAsia="Times New Roman" w:hAnsi="Times New Roman" w:cs="Times New Roman"/>
          <w:sz w:val="26"/>
          <w:szCs w:val="26"/>
        </w:rPr>
        <w:t>284.505(a)</w:t>
      </w:r>
      <w:r w:rsidRPr="005F2224" w:rsidR="00647D81">
        <w:rPr>
          <w:rFonts w:ascii="Times New Roman" w:eastAsia="Times New Roman" w:hAnsi="Times New Roman" w:cs="Times New Roman"/>
          <w:sz w:val="26"/>
          <w:szCs w:val="26"/>
        </w:rPr>
        <w:t>, requires:</w:t>
      </w:r>
      <w:r w:rsidRPr="005F2224" w:rsidR="76CF617E">
        <w:rPr>
          <w:rFonts w:ascii="Times New Roman" w:eastAsia="Times New Roman" w:hAnsi="Times New Roman" w:cs="Times New Roman"/>
          <w:sz w:val="26"/>
          <w:szCs w:val="26"/>
        </w:rPr>
        <w:t xml:space="preserve"> </w:t>
      </w:r>
      <w:r w:rsidRPr="005F2224" w:rsidR="00647D81">
        <w:rPr>
          <w:rFonts w:ascii="Times New Roman" w:eastAsia="Times New Roman" w:hAnsi="Times New Roman" w:cs="Times New Roman"/>
          <w:sz w:val="26"/>
          <w:szCs w:val="26"/>
        </w:rPr>
        <w:t xml:space="preserve">(1) a demonstration that market-based rates are in the public interest and necessary to encourage the construction of </w:t>
      </w:r>
      <w:r w:rsidRPr="005F2224" w:rsidR="004659AB">
        <w:rPr>
          <w:rFonts w:ascii="Times New Roman" w:eastAsia="Times New Roman" w:hAnsi="Times New Roman" w:cs="Times New Roman"/>
          <w:sz w:val="26"/>
          <w:szCs w:val="26"/>
        </w:rPr>
        <w:t>storage capacity</w:t>
      </w:r>
      <w:r w:rsidRPr="005F2224" w:rsidR="00E47BC9">
        <w:rPr>
          <w:rFonts w:ascii="Times New Roman" w:eastAsia="Times New Roman" w:hAnsi="Times New Roman" w:cs="Times New Roman"/>
          <w:sz w:val="26"/>
          <w:szCs w:val="26"/>
        </w:rPr>
        <w:t xml:space="preserve"> </w:t>
      </w:r>
      <w:r w:rsidRPr="005F2224" w:rsidR="004659AB">
        <w:rPr>
          <w:rFonts w:ascii="Times New Roman" w:eastAsia="Times New Roman" w:hAnsi="Times New Roman" w:cs="Times New Roman"/>
          <w:sz w:val="26"/>
          <w:szCs w:val="26"/>
        </w:rPr>
        <w:t xml:space="preserve">in an area needing storage services, and (2) </w:t>
      </w:r>
      <w:r w:rsidRPr="005F2224" w:rsidR="00797F17">
        <w:rPr>
          <w:rFonts w:ascii="Times New Roman" w:eastAsia="Times New Roman" w:hAnsi="Times New Roman" w:cs="Times New Roman"/>
          <w:sz w:val="26"/>
          <w:szCs w:val="26"/>
        </w:rPr>
        <w:t xml:space="preserve">an explanation of what means the storage service provider </w:t>
      </w:r>
      <w:r w:rsidRPr="005F2224" w:rsidR="00E30866">
        <w:rPr>
          <w:rFonts w:ascii="Times New Roman" w:eastAsia="Times New Roman" w:hAnsi="Times New Roman" w:cs="Times New Roman"/>
          <w:sz w:val="26"/>
          <w:szCs w:val="26"/>
        </w:rPr>
        <w:t>will use to protect customers from the potential exercise of market power.</w:t>
      </w:r>
    </w:p>
    <w:p w:rsidR="00024B44" w:rsidRPr="005F2224" w:rsidP="007C1472" w14:paraId="4EAC1164" w14:textId="4C6117FE">
      <w:pPr>
        <w:spacing w:after="0" w:line="480" w:lineRule="auto"/>
        <w:rPr>
          <w:rFonts w:ascii="Times New Roman" w:eastAsia="Times New Roman" w:hAnsi="Times New Roman" w:cs="Times New Roman"/>
          <w:b/>
          <w:bCs/>
          <w:sz w:val="26"/>
          <w:szCs w:val="26"/>
          <w:u w:val="single"/>
        </w:rPr>
      </w:pPr>
      <w:r w:rsidRPr="005F2224">
        <w:rPr>
          <w:rFonts w:ascii="Times New Roman" w:eastAsia="Times New Roman" w:hAnsi="Times New Roman" w:cs="Times New Roman"/>
          <w:b/>
          <w:bCs/>
          <w:sz w:val="26"/>
          <w:szCs w:val="26"/>
          <w:u w:val="single"/>
        </w:rPr>
        <w:t xml:space="preserve">Market Based-Rates </w:t>
      </w:r>
      <w:r w:rsidRPr="005F2224" w:rsidR="00CA610E">
        <w:rPr>
          <w:rFonts w:ascii="Times New Roman" w:eastAsia="Times New Roman" w:hAnsi="Times New Roman" w:cs="Times New Roman"/>
          <w:b/>
          <w:bCs/>
          <w:sz w:val="26"/>
          <w:szCs w:val="26"/>
          <w:u w:val="single"/>
        </w:rPr>
        <w:t>–</w:t>
      </w:r>
      <w:r w:rsidRPr="005F2224">
        <w:rPr>
          <w:rFonts w:ascii="Times New Roman" w:eastAsia="Times New Roman" w:hAnsi="Times New Roman" w:cs="Times New Roman"/>
          <w:b/>
          <w:bCs/>
          <w:sz w:val="26"/>
          <w:szCs w:val="26"/>
          <w:u w:val="single"/>
        </w:rPr>
        <w:t xml:space="preserve"> </w:t>
      </w:r>
      <w:r w:rsidRPr="005F2224" w:rsidR="00CA610E">
        <w:rPr>
          <w:rFonts w:ascii="Times New Roman" w:eastAsia="Times New Roman" w:hAnsi="Times New Roman" w:cs="Times New Roman"/>
          <w:b/>
          <w:bCs/>
          <w:sz w:val="26"/>
          <w:szCs w:val="26"/>
          <w:u w:val="single"/>
        </w:rPr>
        <w:t>Noti</w:t>
      </w:r>
      <w:r w:rsidRPr="005F2224" w:rsidR="002F1D68">
        <w:rPr>
          <w:rFonts w:ascii="Times New Roman" w:eastAsia="Times New Roman" w:hAnsi="Times New Roman" w:cs="Times New Roman"/>
          <w:b/>
          <w:bCs/>
          <w:sz w:val="26"/>
          <w:szCs w:val="26"/>
          <w:u w:val="single"/>
        </w:rPr>
        <w:t>ce</w:t>
      </w:r>
      <w:r w:rsidRPr="005F2224" w:rsidR="00CA610E">
        <w:rPr>
          <w:rFonts w:ascii="Times New Roman" w:eastAsia="Times New Roman" w:hAnsi="Times New Roman" w:cs="Times New Roman"/>
          <w:b/>
          <w:bCs/>
          <w:sz w:val="26"/>
          <w:szCs w:val="26"/>
          <w:u w:val="single"/>
        </w:rPr>
        <w:t xml:space="preserve"> of </w:t>
      </w:r>
      <w:r w:rsidRPr="005F2224">
        <w:rPr>
          <w:rFonts w:ascii="Times New Roman" w:eastAsia="Times New Roman" w:hAnsi="Times New Roman" w:cs="Times New Roman"/>
          <w:b/>
          <w:bCs/>
          <w:sz w:val="26"/>
          <w:szCs w:val="26"/>
          <w:u w:val="single"/>
        </w:rPr>
        <w:t xml:space="preserve">Change </w:t>
      </w:r>
      <w:r w:rsidRPr="005F2224" w:rsidR="00CA610E">
        <w:rPr>
          <w:rFonts w:ascii="Times New Roman" w:eastAsia="Times New Roman" w:hAnsi="Times New Roman" w:cs="Times New Roman"/>
          <w:b/>
          <w:bCs/>
          <w:sz w:val="26"/>
          <w:szCs w:val="26"/>
          <w:u w:val="single"/>
        </w:rPr>
        <w:t>in</w:t>
      </w:r>
      <w:r w:rsidRPr="005F2224">
        <w:rPr>
          <w:rFonts w:ascii="Times New Roman" w:eastAsia="Times New Roman" w:hAnsi="Times New Roman" w:cs="Times New Roman"/>
          <w:b/>
          <w:bCs/>
          <w:sz w:val="26"/>
          <w:szCs w:val="26"/>
          <w:u w:val="single"/>
        </w:rPr>
        <w:t xml:space="preserve"> Circumstances</w:t>
      </w:r>
    </w:p>
    <w:p w:rsidR="00361E96" w:rsidRPr="005F2224" w:rsidP="007C1472" w14:paraId="42C0971C" w14:textId="5C5CC3A0">
      <w:pPr>
        <w:spacing w:after="0" w:line="480" w:lineRule="auto"/>
        <w:rPr>
          <w:rFonts w:ascii="Times New Roman" w:eastAsia="Times New Roman" w:hAnsi="Times New Roman" w:cs="Times New Roman"/>
          <w:sz w:val="26"/>
          <w:szCs w:val="26"/>
        </w:rPr>
      </w:pPr>
      <w:r w:rsidRPr="2395874A">
        <w:rPr>
          <w:rFonts w:ascii="Times New Roman" w:eastAsia="Times New Roman" w:hAnsi="Times New Roman" w:cs="Times New Roman"/>
          <w:sz w:val="26"/>
          <w:szCs w:val="26"/>
        </w:rPr>
        <w:t xml:space="preserve">The Commission’s regulations at 18 CFR </w:t>
      </w:r>
      <w:r w:rsidRPr="2395874A" w:rsidR="003A104B">
        <w:rPr>
          <w:rFonts w:ascii="Times New Roman" w:eastAsia="Times New Roman" w:hAnsi="Times New Roman" w:cs="Times New Roman"/>
          <w:sz w:val="26"/>
          <w:szCs w:val="26"/>
        </w:rPr>
        <w:t xml:space="preserve">§ </w:t>
      </w:r>
      <w:r w:rsidRPr="2395874A">
        <w:rPr>
          <w:rFonts w:ascii="Times New Roman" w:eastAsia="Times New Roman" w:hAnsi="Times New Roman" w:cs="Times New Roman"/>
          <w:sz w:val="26"/>
          <w:szCs w:val="26"/>
        </w:rPr>
        <w:t>284.504 (b) provide that a storage service provider granted the authority to charge market-based rates is required to notify the Commission within 10 days of acquiring knowledge of significant change occurring in its market power status.</w:t>
      </w:r>
      <w:r w:rsidRPr="2395874A" w:rsidR="001565E1">
        <w:rPr>
          <w:rFonts w:ascii="Times New Roman" w:eastAsia="Times New Roman" w:hAnsi="Times New Roman" w:cs="Times New Roman"/>
          <w:sz w:val="26"/>
          <w:szCs w:val="26"/>
        </w:rPr>
        <w:t xml:space="preserve"> </w:t>
      </w:r>
      <w:r w:rsidRPr="2395874A">
        <w:rPr>
          <w:rFonts w:ascii="Times New Roman" w:eastAsia="Times New Roman" w:hAnsi="Times New Roman" w:cs="Times New Roman"/>
          <w:sz w:val="26"/>
          <w:szCs w:val="26"/>
        </w:rPr>
        <w:t>The notification should include a detailed description of the new facilities/services and their relationship to the storage service provider.</w:t>
      </w:r>
      <w:r w:rsidRPr="2395874A" w:rsidR="001565E1">
        <w:rPr>
          <w:rFonts w:ascii="Times New Roman" w:eastAsia="Times New Roman" w:hAnsi="Times New Roman" w:cs="Times New Roman"/>
          <w:sz w:val="26"/>
          <w:szCs w:val="26"/>
        </w:rPr>
        <w:t xml:space="preserve"> </w:t>
      </w:r>
      <w:r w:rsidRPr="2395874A">
        <w:rPr>
          <w:rFonts w:ascii="Times New Roman" w:eastAsia="Times New Roman" w:hAnsi="Times New Roman" w:cs="Times New Roman"/>
          <w:sz w:val="26"/>
          <w:szCs w:val="26"/>
        </w:rPr>
        <w:t xml:space="preserve">Significant </w:t>
      </w:r>
      <w:r w:rsidRPr="2395874A" w:rsidR="00C30DD5">
        <w:rPr>
          <w:rFonts w:ascii="Times New Roman" w:eastAsia="Times New Roman" w:hAnsi="Times New Roman" w:cs="Times New Roman"/>
          <w:sz w:val="26"/>
          <w:szCs w:val="26"/>
        </w:rPr>
        <w:t>c</w:t>
      </w:r>
      <w:r w:rsidRPr="2395874A">
        <w:rPr>
          <w:rFonts w:ascii="Times New Roman" w:eastAsia="Times New Roman" w:hAnsi="Times New Roman" w:cs="Times New Roman"/>
          <w:sz w:val="26"/>
          <w:szCs w:val="26"/>
        </w:rPr>
        <w:t xml:space="preserve">hanges include: </w:t>
      </w:r>
      <w:r w:rsidRPr="2395874A" w:rsidR="002F1D68">
        <w:rPr>
          <w:rFonts w:ascii="Times New Roman" w:eastAsia="Times New Roman" w:hAnsi="Times New Roman" w:cs="Times New Roman"/>
          <w:sz w:val="26"/>
          <w:szCs w:val="26"/>
        </w:rPr>
        <w:t>(</w:t>
      </w:r>
      <w:r w:rsidRPr="2395874A">
        <w:rPr>
          <w:rFonts w:ascii="Times New Roman" w:eastAsia="Times New Roman" w:hAnsi="Times New Roman" w:cs="Times New Roman"/>
          <w:sz w:val="26"/>
          <w:szCs w:val="26"/>
        </w:rPr>
        <w:t xml:space="preserve">1) The storage provider expanding its storage capacity beyond the amount authorized; </w:t>
      </w:r>
      <w:r w:rsidRPr="2395874A" w:rsidR="002F1D68">
        <w:rPr>
          <w:rFonts w:ascii="Times New Roman" w:eastAsia="Times New Roman" w:hAnsi="Times New Roman" w:cs="Times New Roman"/>
          <w:sz w:val="26"/>
          <w:szCs w:val="26"/>
        </w:rPr>
        <w:t>(</w:t>
      </w:r>
      <w:r w:rsidRPr="2395874A">
        <w:rPr>
          <w:rFonts w:ascii="Times New Roman" w:eastAsia="Times New Roman" w:hAnsi="Times New Roman" w:cs="Times New Roman"/>
          <w:sz w:val="26"/>
          <w:szCs w:val="26"/>
        </w:rPr>
        <w:t xml:space="preserve">2) The storage provider acquiring transportation facilities or additional storage capacity; </w:t>
      </w:r>
      <w:r w:rsidRPr="2395874A" w:rsidR="002F1D68">
        <w:rPr>
          <w:rFonts w:ascii="Times New Roman" w:eastAsia="Times New Roman" w:hAnsi="Times New Roman" w:cs="Times New Roman"/>
          <w:sz w:val="26"/>
          <w:szCs w:val="26"/>
        </w:rPr>
        <w:t>(</w:t>
      </w:r>
      <w:r w:rsidRPr="2395874A">
        <w:rPr>
          <w:rFonts w:ascii="Times New Roman" w:eastAsia="Times New Roman" w:hAnsi="Times New Roman" w:cs="Times New Roman"/>
          <w:sz w:val="26"/>
          <w:szCs w:val="26"/>
        </w:rPr>
        <w:t xml:space="preserve">3) An affiliate providing storage or transportation services in the same market area; and </w:t>
      </w:r>
      <w:r w:rsidRPr="2395874A" w:rsidR="002F1D68">
        <w:rPr>
          <w:rFonts w:ascii="Times New Roman" w:eastAsia="Times New Roman" w:hAnsi="Times New Roman" w:cs="Times New Roman"/>
          <w:sz w:val="26"/>
          <w:szCs w:val="26"/>
        </w:rPr>
        <w:t>(</w:t>
      </w:r>
      <w:r w:rsidRPr="2395874A">
        <w:rPr>
          <w:rFonts w:ascii="Times New Roman" w:eastAsia="Times New Roman" w:hAnsi="Times New Roman" w:cs="Times New Roman"/>
          <w:sz w:val="26"/>
          <w:szCs w:val="26"/>
        </w:rPr>
        <w:t>4) The storage provider or an affiliate acquiring an interest in or is acquired by an interstate pipeline.</w:t>
      </w:r>
    </w:p>
    <w:p w:rsidR="008B48C3" w:rsidP="007C1472" w14:paraId="4B7D1B3E" w14:textId="77777777">
      <w:pPr>
        <w:spacing w:after="0" w:line="480" w:lineRule="auto"/>
        <w:rPr>
          <w:rFonts w:ascii="Times New Roman" w:eastAsia="Times New Roman" w:hAnsi="Times New Roman" w:cs="Times New Roman"/>
          <w:b/>
          <w:sz w:val="26"/>
          <w:szCs w:val="26"/>
          <w:u w:val="single"/>
        </w:rPr>
      </w:pPr>
    </w:p>
    <w:p w:rsidR="008B48C3" w:rsidP="007C1472" w14:paraId="02EEE53A" w14:textId="77777777">
      <w:pPr>
        <w:spacing w:after="0" w:line="480" w:lineRule="auto"/>
        <w:rPr>
          <w:rFonts w:ascii="Times New Roman" w:eastAsia="Times New Roman" w:hAnsi="Times New Roman" w:cs="Times New Roman"/>
          <w:b/>
          <w:sz w:val="26"/>
          <w:szCs w:val="26"/>
          <w:u w:val="single"/>
        </w:rPr>
      </w:pPr>
    </w:p>
    <w:p w:rsidR="007C1472" w:rsidRPr="005F2224" w:rsidP="007C1472" w14:paraId="26B1F8C5" w14:textId="198AF53D">
      <w:pPr>
        <w:spacing w:after="0" w:line="480" w:lineRule="auto"/>
        <w:rPr>
          <w:rFonts w:ascii="Times New Roman" w:eastAsia="Times New Roman" w:hAnsi="Times New Roman" w:cs="Times New Roman"/>
          <w:b/>
          <w:sz w:val="26"/>
          <w:szCs w:val="26"/>
          <w:u w:val="single"/>
        </w:rPr>
      </w:pPr>
      <w:r w:rsidRPr="005F2224">
        <w:rPr>
          <w:rFonts w:ascii="Times New Roman" w:eastAsia="Times New Roman" w:hAnsi="Times New Roman" w:cs="Times New Roman"/>
          <w:b/>
          <w:sz w:val="26"/>
          <w:szCs w:val="26"/>
          <w:u w:val="single"/>
        </w:rPr>
        <w:t>Code of Conduct</w:t>
      </w:r>
      <w:r w:rsidRPr="005F2224" w:rsidR="00A95C87">
        <w:rPr>
          <w:rFonts w:ascii="Times New Roman" w:eastAsia="Times New Roman" w:hAnsi="Times New Roman" w:cs="Times New Roman"/>
          <w:b/>
          <w:sz w:val="26"/>
          <w:szCs w:val="26"/>
          <w:u w:val="single"/>
        </w:rPr>
        <w:t xml:space="preserve"> Record Retention</w:t>
      </w:r>
    </w:p>
    <w:p w:rsidR="00457DBE" w:rsidRPr="005F2224" w:rsidP="00457DBE" w14:paraId="270ED537" w14:textId="4B5CAC13">
      <w:pPr>
        <w:spacing w:after="0" w:line="480" w:lineRule="auto"/>
        <w:rPr>
          <w:rFonts w:ascii="Times New Roman" w:eastAsia="Times New Roman" w:hAnsi="Times New Roman" w:cs="Times New Roman"/>
          <w:sz w:val="26"/>
          <w:szCs w:val="26"/>
        </w:rPr>
      </w:pPr>
      <w:r w:rsidRPr="005F2224">
        <w:rPr>
          <w:rFonts w:ascii="Times New Roman" w:eastAsia="Times New Roman" w:hAnsi="Times New Roman" w:cs="Times New Roman"/>
          <w:sz w:val="26"/>
          <w:szCs w:val="26"/>
        </w:rPr>
        <w:t xml:space="preserve">The Commission’s regulations at 18 CFR </w:t>
      </w:r>
      <w:r w:rsidRPr="006476C4" w:rsidR="00B0530D">
        <w:rPr>
          <w:rFonts w:ascii="Times New Roman" w:eastAsia="Times New Roman" w:hAnsi="Times New Roman" w:cs="Times New Roman"/>
          <w:sz w:val="26"/>
          <w:szCs w:val="26"/>
        </w:rPr>
        <w:t>§</w:t>
      </w:r>
      <w:r w:rsidR="00B0530D">
        <w:rPr>
          <w:rFonts w:ascii="Times New Roman" w:eastAsia="Times New Roman" w:hAnsi="Times New Roman" w:cs="Times New Roman"/>
          <w:sz w:val="26"/>
          <w:szCs w:val="26"/>
        </w:rPr>
        <w:t xml:space="preserve"> </w:t>
      </w:r>
      <w:r w:rsidRPr="005F2224">
        <w:rPr>
          <w:rFonts w:ascii="Times New Roman" w:eastAsia="Times New Roman" w:hAnsi="Times New Roman" w:cs="Times New Roman"/>
          <w:sz w:val="26"/>
          <w:szCs w:val="26"/>
        </w:rPr>
        <w:t>284.288</w:t>
      </w:r>
      <w:r w:rsidRPr="005F2224" w:rsidR="00051BEB">
        <w:rPr>
          <w:rFonts w:ascii="Times New Roman" w:eastAsia="Times New Roman" w:hAnsi="Times New Roman" w:cs="Times New Roman"/>
          <w:sz w:val="26"/>
          <w:szCs w:val="26"/>
        </w:rPr>
        <w:t>(b)</w:t>
      </w:r>
      <w:r w:rsidRPr="005F2224">
        <w:rPr>
          <w:rFonts w:ascii="Times New Roman" w:eastAsia="Times New Roman" w:hAnsi="Times New Roman" w:cs="Times New Roman"/>
          <w:sz w:val="26"/>
          <w:szCs w:val="26"/>
        </w:rPr>
        <w:t xml:space="preserve"> and </w:t>
      </w:r>
      <w:r w:rsidRPr="002A3DED" w:rsidR="00B0530D">
        <w:rPr>
          <w:rFonts w:ascii="Times New Roman" w:eastAsia="Times New Roman" w:hAnsi="Times New Roman" w:cs="Times New Roman"/>
          <w:sz w:val="26"/>
          <w:szCs w:val="26"/>
        </w:rPr>
        <w:t xml:space="preserve">18 CFR </w:t>
      </w:r>
      <w:r w:rsidRPr="006476C4" w:rsidR="00B0530D">
        <w:rPr>
          <w:rFonts w:ascii="Times New Roman" w:eastAsia="Times New Roman" w:hAnsi="Times New Roman" w:cs="Times New Roman"/>
          <w:sz w:val="26"/>
          <w:szCs w:val="26"/>
        </w:rPr>
        <w:t>§</w:t>
      </w:r>
      <w:r w:rsidR="00B0530D">
        <w:rPr>
          <w:rFonts w:ascii="Times New Roman" w:eastAsia="Times New Roman" w:hAnsi="Times New Roman" w:cs="Times New Roman"/>
          <w:sz w:val="26"/>
          <w:szCs w:val="26"/>
        </w:rPr>
        <w:t xml:space="preserve"> </w:t>
      </w:r>
      <w:r w:rsidRPr="005F2224">
        <w:rPr>
          <w:rFonts w:ascii="Times New Roman" w:eastAsia="Times New Roman" w:hAnsi="Times New Roman" w:cs="Times New Roman"/>
          <w:sz w:val="26"/>
          <w:szCs w:val="26"/>
        </w:rPr>
        <w:t>284.403</w:t>
      </w:r>
      <w:r w:rsidRPr="005F2224" w:rsidR="00051BEB">
        <w:rPr>
          <w:rFonts w:ascii="Times New Roman" w:eastAsia="Times New Roman" w:hAnsi="Times New Roman" w:cs="Times New Roman"/>
          <w:sz w:val="26"/>
          <w:szCs w:val="26"/>
        </w:rPr>
        <w:t>(b)</w:t>
      </w:r>
      <w:r w:rsidRPr="005F2224" w:rsidR="00C945A2">
        <w:rPr>
          <w:rFonts w:ascii="Times New Roman" w:eastAsia="Times New Roman" w:hAnsi="Times New Roman" w:cs="Times New Roman"/>
          <w:sz w:val="26"/>
          <w:szCs w:val="26"/>
        </w:rPr>
        <w:t>, respectively</w:t>
      </w:r>
      <w:r w:rsidRPr="005F2224" w:rsidR="00D95A4E">
        <w:rPr>
          <w:rFonts w:ascii="Times New Roman" w:eastAsia="Times New Roman" w:hAnsi="Times New Roman" w:cs="Times New Roman"/>
          <w:sz w:val="26"/>
          <w:szCs w:val="26"/>
        </w:rPr>
        <w:t>,</w:t>
      </w:r>
      <w:r w:rsidRPr="005F2224">
        <w:rPr>
          <w:rFonts w:ascii="Times New Roman" w:eastAsia="Times New Roman" w:hAnsi="Times New Roman" w:cs="Times New Roman"/>
          <w:sz w:val="26"/>
          <w:szCs w:val="26"/>
        </w:rPr>
        <w:t xml:space="preserve"> </w:t>
      </w:r>
      <w:r w:rsidRPr="005F2224" w:rsidR="00051BEB">
        <w:rPr>
          <w:rFonts w:ascii="Times New Roman" w:eastAsia="Times New Roman" w:hAnsi="Times New Roman" w:cs="Times New Roman"/>
          <w:sz w:val="26"/>
          <w:szCs w:val="26"/>
        </w:rPr>
        <w:t>impose</w:t>
      </w:r>
      <w:r w:rsidRPr="005F2224" w:rsidR="00A648F7">
        <w:rPr>
          <w:rFonts w:ascii="Times New Roman" w:eastAsia="Times New Roman" w:hAnsi="Times New Roman" w:cs="Times New Roman"/>
          <w:sz w:val="26"/>
          <w:szCs w:val="26"/>
        </w:rPr>
        <w:t xml:space="preserve"> a </w:t>
      </w:r>
      <w:r w:rsidRPr="005F2224">
        <w:rPr>
          <w:rFonts w:ascii="Times New Roman" w:eastAsia="Times New Roman" w:hAnsi="Times New Roman" w:cs="Times New Roman"/>
          <w:sz w:val="26"/>
          <w:szCs w:val="26"/>
        </w:rPr>
        <w:t xml:space="preserve">record retention requirement </w:t>
      </w:r>
      <w:r w:rsidRPr="005F2224" w:rsidR="0069465D">
        <w:rPr>
          <w:rFonts w:ascii="Times New Roman" w:eastAsia="Times New Roman" w:hAnsi="Times New Roman" w:cs="Times New Roman"/>
          <w:sz w:val="26"/>
          <w:szCs w:val="26"/>
        </w:rPr>
        <w:t xml:space="preserve">contained in </w:t>
      </w:r>
      <w:r w:rsidRPr="005F2224" w:rsidR="005537FE">
        <w:rPr>
          <w:rFonts w:ascii="Times New Roman" w:eastAsia="Times New Roman" w:hAnsi="Times New Roman" w:cs="Times New Roman"/>
          <w:sz w:val="26"/>
          <w:szCs w:val="26"/>
        </w:rPr>
        <w:t>a Code of Conduct appli</w:t>
      </w:r>
      <w:r w:rsidRPr="005F2224" w:rsidR="00E2514A">
        <w:rPr>
          <w:rFonts w:ascii="Times New Roman" w:eastAsia="Times New Roman" w:hAnsi="Times New Roman" w:cs="Times New Roman"/>
          <w:sz w:val="26"/>
          <w:szCs w:val="26"/>
        </w:rPr>
        <w:t>cable</w:t>
      </w:r>
      <w:r w:rsidRPr="005F2224" w:rsidR="005537FE">
        <w:rPr>
          <w:rFonts w:ascii="Times New Roman" w:eastAsia="Times New Roman" w:hAnsi="Times New Roman" w:cs="Times New Roman"/>
          <w:sz w:val="26"/>
          <w:szCs w:val="26"/>
        </w:rPr>
        <w:t xml:space="preserve"> to</w:t>
      </w:r>
      <w:r w:rsidRPr="005F2224" w:rsidR="0094607A">
        <w:rPr>
          <w:rFonts w:ascii="Times New Roman" w:eastAsia="Times New Roman" w:hAnsi="Times New Roman" w:cs="Times New Roman"/>
          <w:sz w:val="26"/>
          <w:szCs w:val="26"/>
        </w:rPr>
        <w:t>:</w:t>
      </w:r>
      <w:r w:rsidRPr="005F2224" w:rsidR="76CF617E">
        <w:rPr>
          <w:rFonts w:ascii="Times New Roman" w:eastAsia="Times New Roman" w:hAnsi="Times New Roman" w:cs="Times New Roman"/>
          <w:sz w:val="26"/>
          <w:szCs w:val="26"/>
        </w:rPr>
        <w:t xml:space="preserve"> </w:t>
      </w:r>
      <w:r w:rsidRPr="005F2224" w:rsidR="009A28A8">
        <w:rPr>
          <w:rFonts w:ascii="Times New Roman" w:eastAsia="Times New Roman" w:hAnsi="Times New Roman" w:cs="Times New Roman"/>
          <w:sz w:val="26"/>
          <w:szCs w:val="26"/>
        </w:rPr>
        <w:t xml:space="preserve">(1) </w:t>
      </w:r>
      <w:r w:rsidRPr="005F2224" w:rsidR="005C7D81">
        <w:rPr>
          <w:rFonts w:ascii="Times New Roman" w:eastAsia="Times New Roman" w:hAnsi="Times New Roman" w:cs="Times New Roman"/>
          <w:sz w:val="26"/>
          <w:szCs w:val="26"/>
        </w:rPr>
        <w:t xml:space="preserve">interstate </w:t>
      </w:r>
      <w:r w:rsidRPr="005F2224" w:rsidR="009A28A8">
        <w:rPr>
          <w:rFonts w:ascii="Times New Roman" w:eastAsia="Times New Roman" w:hAnsi="Times New Roman" w:cs="Times New Roman"/>
          <w:sz w:val="26"/>
          <w:szCs w:val="26"/>
        </w:rPr>
        <w:t xml:space="preserve">pipelines that </w:t>
      </w:r>
      <w:r w:rsidRPr="005F2224" w:rsidR="00E94D79">
        <w:rPr>
          <w:rFonts w:ascii="Times New Roman" w:eastAsia="Times New Roman" w:hAnsi="Times New Roman" w:cs="Times New Roman"/>
          <w:sz w:val="26"/>
          <w:szCs w:val="26"/>
        </w:rPr>
        <w:t>provide</w:t>
      </w:r>
      <w:r w:rsidRPr="005F2224" w:rsidR="009A28A8">
        <w:rPr>
          <w:rFonts w:ascii="Times New Roman" w:eastAsia="Times New Roman" w:hAnsi="Times New Roman" w:cs="Times New Roman"/>
          <w:sz w:val="26"/>
          <w:szCs w:val="26"/>
        </w:rPr>
        <w:t xml:space="preserve"> unbundled natural gas sales service</w:t>
      </w:r>
      <w:r w:rsidRPr="005F2224" w:rsidR="00184E44">
        <w:rPr>
          <w:rFonts w:ascii="Times New Roman" w:eastAsia="Times New Roman" w:hAnsi="Times New Roman" w:cs="Times New Roman"/>
          <w:sz w:val="26"/>
          <w:szCs w:val="26"/>
        </w:rPr>
        <w:t>,</w:t>
      </w:r>
      <w:r>
        <w:rPr>
          <w:rStyle w:val="FootnoteReference"/>
          <w:rFonts w:eastAsia="Times New Roman" w:cs="Times New Roman"/>
          <w:bCs/>
        </w:rPr>
        <w:footnoteReference w:id="3"/>
      </w:r>
      <w:r w:rsidRPr="005F2224" w:rsidR="00AE30E3">
        <w:rPr>
          <w:rFonts w:ascii="Times New Roman" w:eastAsia="Times New Roman" w:hAnsi="Times New Roman" w:cs="Times New Roman"/>
          <w:sz w:val="26"/>
          <w:szCs w:val="26"/>
        </w:rPr>
        <w:t xml:space="preserve"> and (2) </w:t>
      </w:r>
      <w:r w:rsidRPr="005F2224" w:rsidR="00B840E7">
        <w:rPr>
          <w:rFonts w:ascii="Times New Roman" w:eastAsia="Times New Roman" w:hAnsi="Times New Roman" w:cs="Times New Roman"/>
          <w:sz w:val="26"/>
          <w:szCs w:val="26"/>
        </w:rPr>
        <w:t xml:space="preserve">persons who are not interstate </w:t>
      </w:r>
      <w:r w:rsidRPr="005F2224" w:rsidR="00A0384C">
        <w:rPr>
          <w:rFonts w:ascii="Times New Roman" w:eastAsia="Times New Roman" w:hAnsi="Times New Roman" w:cs="Times New Roman"/>
          <w:sz w:val="26"/>
          <w:szCs w:val="26"/>
        </w:rPr>
        <w:t xml:space="preserve">pipelines and whose sales of natural gas are authorized by the “automatic” blanket marketing certificate </w:t>
      </w:r>
      <w:r w:rsidRPr="005F2224" w:rsidR="00A566A5">
        <w:rPr>
          <w:rFonts w:ascii="Times New Roman" w:eastAsia="Times New Roman" w:hAnsi="Times New Roman" w:cs="Times New Roman"/>
          <w:sz w:val="26"/>
          <w:szCs w:val="26"/>
        </w:rPr>
        <w:t xml:space="preserve">granted by operation of </w:t>
      </w:r>
      <w:r w:rsidR="00B63089">
        <w:rPr>
          <w:rFonts w:ascii="Times New Roman" w:eastAsia="Times New Roman" w:hAnsi="Times New Roman" w:cs="Times New Roman"/>
          <w:sz w:val="26"/>
          <w:szCs w:val="26"/>
        </w:rPr>
        <w:t>1</w:t>
      </w:r>
      <w:r w:rsidRPr="002A3DED" w:rsidR="00B0530D">
        <w:rPr>
          <w:rFonts w:ascii="Times New Roman" w:eastAsia="Times New Roman" w:hAnsi="Times New Roman" w:cs="Times New Roman"/>
          <w:sz w:val="26"/>
          <w:szCs w:val="26"/>
        </w:rPr>
        <w:t xml:space="preserve">8 CFR </w:t>
      </w:r>
      <w:r w:rsidRPr="006476C4" w:rsidR="00B0530D">
        <w:rPr>
          <w:rFonts w:ascii="Times New Roman" w:eastAsia="Times New Roman" w:hAnsi="Times New Roman" w:cs="Times New Roman"/>
          <w:sz w:val="26"/>
          <w:szCs w:val="26"/>
        </w:rPr>
        <w:t>§</w:t>
      </w:r>
      <w:r w:rsidR="00F9699C">
        <w:rPr>
          <w:rFonts w:ascii="Times New Roman" w:eastAsia="Times New Roman" w:hAnsi="Times New Roman" w:cs="Times New Roman"/>
          <w:sz w:val="26"/>
          <w:szCs w:val="26"/>
        </w:rPr>
        <w:t xml:space="preserve"> </w:t>
      </w:r>
      <w:r w:rsidRPr="005F2224" w:rsidR="00970DE3">
        <w:rPr>
          <w:rFonts w:ascii="Times New Roman" w:eastAsia="Times New Roman" w:hAnsi="Times New Roman" w:cs="Times New Roman"/>
          <w:sz w:val="26"/>
          <w:szCs w:val="26"/>
        </w:rPr>
        <w:t>284.402.</w:t>
      </w:r>
      <w:r>
        <w:rPr>
          <w:rStyle w:val="FootnoteReference"/>
          <w:rFonts w:eastAsia="Times New Roman" w:cs="Times New Roman"/>
          <w:bCs/>
        </w:rPr>
        <w:footnoteReference w:id="4"/>
      </w:r>
      <w:r w:rsidR="001565E1">
        <w:rPr>
          <w:rFonts w:ascii="Times New Roman" w:eastAsia="Times New Roman" w:hAnsi="Times New Roman" w:cs="Times New Roman"/>
          <w:sz w:val="26"/>
          <w:szCs w:val="26"/>
        </w:rPr>
        <w:t xml:space="preserve"> </w:t>
      </w:r>
      <w:r w:rsidRPr="005F2224" w:rsidR="00C1332E">
        <w:rPr>
          <w:rFonts w:ascii="Times New Roman" w:eastAsia="Times New Roman" w:hAnsi="Times New Roman" w:cs="Times New Roman"/>
          <w:sz w:val="26"/>
          <w:szCs w:val="26"/>
        </w:rPr>
        <w:t>Any entity f</w:t>
      </w:r>
      <w:r w:rsidRPr="005F2224" w:rsidR="00A2385F">
        <w:rPr>
          <w:rFonts w:ascii="Times New Roman" w:eastAsia="Times New Roman" w:hAnsi="Times New Roman" w:cs="Times New Roman"/>
          <w:sz w:val="26"/>
          <w:szCs w:val="26"/>
        </w:rPr>
        <w:t xml:space="preserve">itting </w:t>
      </w:r>
      <w:r w:rsidRPr="005F2224" w:rsidR="00C1332E">
        <w:rPr>
          <w:rFonts w:ascii="Times New Roman" w:eastAsia="Times New Roman" w:hAnsi="Times New Roman" w:cs="Times New Roman"/>
          <w:sz w:val="26"/>
          <w:szCs w:val="26"/>
        </w:rPr>
        <w:t xml:space="preserve">one of </w:t>
      </w:r>
      <w:r w:rsidRPr="005F2224" w:rsidR="00A2385F">
        <w:rPr>
          <w:rFonts w:ascii="Times New Roman" w:eastAsia="Times New Roman" w:hAnsi="Times New Roman" w:cs="Times New Roman"/>
          <w:sz w:val="26"/>
          <w:szCs w:val="26"/>
        </w:rPr>
        <w:t xml:space="preserve">those descriptions must </w:t>
      </w:r>
      <w:r w:rsidRPr="005F2224">
        <w:rPr>
          <w:rFonts w:ascii="Times New Roman" w:eastAsia="Times New Roman" w:hAnsi="Times New Roman" w:cs="Times New Roman"/>
          <w:sz w:val="26"/>
          <w:szCs w:val="26"/>
        </w:rPr>
        <w:t>retain, for a period of five years, all data and information upon which it billed the prices it charged for natural gas it sold pursuant to its market based sales certificate or the prices it reported for use in price indices.</w:t>
      </w:r>
    </w:p>
    <w:p w:rsidR="00457DBE" w:rsidRPr="005F2224" w:rsidP="00457DBE" w14:paraId="0CC7A0E8" w14:textId="1E46D7DA">
      <w:pPr>
        <w:spacing w:after="0" w:line="480" w:lineRule="auto"/>
        <w:rPr>
          <w:rFonts w:ascii="Times New Roman" w:eastAsia="Times New Roman" w:hAnsi="Times New Roman" w:cs="Times New Roman"/>
          <w:sz w:val="26"/>
          <w:szCs w:val="26"/>
        </w:rPr>
      </w:pPr>
      <w:r w:rsidRPr="005F2224">
        <w:rPr>
          <w:rFonts w:ascii="Times New Roman" w:eastAsia="Times New Roman" w:hAnsi="Times New Roman" w:cs="Times New Roman"/>
          <w:sz w:val="26"/>
          <w:szCs w:val="26"/>
        </w:rPr>
        <w:t>FERC uses these records to monitor the jurisdictional transportation activities and unbundled sales activities of interstate natural gas pipelines and blanket marketing certificate holders.</w:t>
      </w:r>
      <w:r w:rsidRPr="005F2224" w:rsidR="76CF617E">
        <w:rPr>
          <w:rFonts w:ascii="Times New Roman" w:eastAsia="Times New Roman" w:hAnsi="Times New Roman" w:cs="Times New Roman"/>
          <w:sz w:val="26"/>
          <w:szCs w:val="26"/>
        </w:rPr>
        <w:t xml:space="preserve"> </w:t>
      </w:r>
    </w:p>
    <w:p w:rsidR="00457DBE" w:rsidRPr="005F2224" w:rsidP="00457DBE" w14:paraId="61749E46" w14:textId="30678C57">
      <w:pPr>
        <w:spacing w:after="0" w:line="480" w:lineRule="auto"/>
        <w:rPr>
          <w:rFonts w:ascii="Times New Roman" w:eastAsia="Times New Roman" w:hAnsi="Times New Roman" w:cs="Times New Roman"/>
          <w:sz w:val="26"/>
          <w:szCs w:val="26"/>
        </w:rPr>
      </w:pPr>
      <w:r w:rsidRPr="005F2224">
        <w:rPr>
          <w:rFonts w:ascii="Times New Roman" w:eastAsia="Times New Roman" w:hAnsi="Times New Roman" w:cs="Times New Roman"/>
          <w:sz w:val="26"/>
          <w:szCs w:val="26"/>
        </w:rPr>
        <w:t xml:space="preserve">The record retention period of </w:t>
      </w:r>
      <w:r w:rsidR="00B63089">
        <w:rPr>
          <w:rFonts w:ascii="Times New Roman" w:eastAsia="Times New Roman" w:hAnsi="Times New Roman" w:cs="Times New Roman"/>
          <w:sz w:val="26"/>
          <w:szCs w:val="26"/>
        </w:rPr>
        <w:t>5</w:t>
      </w:r>
      <w:r w:rsidRPr="005F2224">
        <w:rPr>
          <w:rFonts w:ascii="Times New Roman" w:eastAsia="Times New Roman" w:hAnsi="Times New Roman" w:cs="Times New Roman"/>
          <w:sz w:val="26"/>
          <w:szCs w:val="26"/>
        </w:rPr>
        <w:t xml:space="preserve"> years is necessary due to the importance of records related to any investigation of possible wrongdoing and related to assuring compliance with the codes of conduct and the integrity of the market.</w:t>
      </w:r>
      <w:r w:rsidR="001565E1">
        <w:rPr>
          <w:rFonts w:ascii="Times New Roman" w:eastAsia="Times New Roman" w:hAnsi="Times New Roman" w:cs="Times New Roman"/>
          <w:sz w:val="26"/>
          <w:szCs w:val="26"/>
        </w:rPr>
        <w:t xml:space="preserve"> </w:t>
      </w:r>
      <w:r w:rsidRPr="005F2224">
        <w:rPr>
          <w:rFonts w:ascii="Times New Roman" w:eastAsia="Times New Roman" w:hAnsi="Times New Roman" w:cs="Times New Roman"/>
          <w:sz w:val="26"/>
          <w:szCs w:val="26"/>
        </w:rPr>
        <w:t xml:space="preserve">The requirement is necessary to </w:t>
      </w:r>
      <w:r w:rsidRPr="005F2224">
        <w:rPr>
          <w:rFonts w:ascii="Times New Roman" w:eastAsia="Times New Roman" w:hAnsi="Times New Roman" w:cs="Times New Roman"/>
          <w:sz w:val="26"/>
          <w:szCs w:val="26"/>
        </w:rPr>
        <w:t xml:space="preserve">ensure consistency with 18 CFR </w:t>
      </w:r>
      <w:r w:rsidRPr="006476C4" w:rsidR="00F9699C">
        <w:rPr>
          <w:rFonts w:ascii="Times New Roman" w:eastAsia="Times New Roman" w:hAnsi="Times New Roman" w:cs="Times New Roman"/>
          <w:sz w:val="26"/>
          <w:szCs w:val="26"/>
        </w:rPr>
        <w:t>§</w:t>
      </w:r>
      <w:r w:rsidR="00F9699C">
        <w:rPr>
          <w:rFonts w:ascii="Times New Roman" w:eastAsia="Times New Roman" w:hAnsi="Times New Roman" w:cs="Times New Roman"/>
          <w:sz w:val="26"/>
          <w:szCs w:val="26"/>
        </w:rPr>
        <w:t xml:space="preserve"> </w:t>
      </w:r>
      <w:r w:rsidRPr="005F2224">
        <w:rPr>
          <w:rFonts w:ascii="Times New Roman" w:eastAsia="Times New Roman" w:hAnsi="Times New Roman" w:cs="Times New Roman"/>
          <w:sz w:val="26"/>
          <w:szCs w:val="26"/>
        </w:rPr>
        <w:t>1c.1 (Prohibition of Natural Gas Market Manipulation) and the generally applicable five-year statute of limitations where the Commission seeks civil penalties for violations of the anti-manipulation rules or other rules, regulations, or orders to which the price data may be relevant.</w:t>
      </w:r>
      <w:r w:rsidR="001565E1">
        <w:rPr>
          <w:rFonts w:ascii="Times New Roman" w:eastAsia="Times New Roman" w:hAnsi="Times New Roman" w:cs="Times New Roman"/>
          <w:sz w:val="26"/>
          <w:szCs w:val="26"/>
        </w:rPr>
        <w:t xml:space="preserve"> </w:t>
      </w:r>
    </w:p>
    <w:p w:rsidR="006B00B0" w:rsidRPr="005F2224" w:rsidP="006B00B0" w14:paraId="4AD57582" w14:textId="5B785892">
      <w:pPr>
        <w:spacing w:after="0" w:line="480" w:lineRule="auto"/>
        <w:rPr>
          <w:rFonts w:ascii="Times New Roman" w:hAnsi="Times New Roman" w:cs="Times New Roman"/>
          <w:sz w:val="26"/>
          <w:szCs w:val="26"/>
        </w:rPr>
      </w:pPr>
      <w:r w:rsidRPr="005F2224">
        <w:rPr>
          <w:rFonts w:ascii="Times New Roman" w:eastAsia="Times New Roman" w:hAnsi="Times New Roman" w:cs="Times New Roman"/>
          <w:sz w:val="26"/>
          <w:szCs w:val="26"/>
        </w:rPr>
        <w:t>Failure to have this information available would mean the Commission would have difficulty performing its regulatory functions to monitor and evaluate transactions and operations of interstate pipelines and blanket marketing certificate holders.</w:t>
      </w:r>
      <w:r w:rsidR="001565E1">
        <w:rPr>
          <w:rFonts w:ascii="Times New Roman" w:eastAsia="Times New Roman" w:hAnsi="Times New Roman" w:cs="Times New Roman"/>
          <w:sz w:val="26"/>
          <w:szCs w:val="26"/>
        </w:rPr>
        <w:t xml:space="preserve"> </w:t>
      </w:r>
      <w:r w:rsidRPr="005F2224">
        <w:rPr>
          <w:rFonts w:ascii="Times New Roman" w:hAnsi="Times New Roman" w:cs="Times New Roman"/>
          <w:sz w:val="26"/>
          <w:szCs w:val="26"/>
        </w:rPr>
        <w:t>The Code of Conduct Record Retention burden</w:t>
      </w:r>
      <w:r>
        <w:rPr>
          <w:rStyle w:val="FootnoteReference"/>
          <w:rFonts w:cs="Times New Roman"/>
        </w:rPr>
        <w:footnoteReference w:id="5"/>
      </w:r>
      <w:r w:rsidRPr="005F2224">
        <w:rPr>
          <w:rFonts w:ascii="Times New Roman" w:hAnsi="Times New Roman" w:cs="Times New Roman"/>
          <w:sz w:val="26"/>
          <w:szCs w:val="26"/>
        </w:rPr>
        <w:t xml:space="preserve"> associated with the FERC-549 includes labor costs.</w:t>
      </w:r>
    </w:p>
    <w:p w:rsidR="007C1472" w:rsidRPr="005F2224" w:rsidP="007C1472" w14:paraId="1C355FD2" w14:textId="77777777">
      <w:pPr>
        <w:spacing w:after="0" w:line="480" w:lineRule="auto"/>
        <w:rPr>
          <w:rFonts w:ascii="Times New Roman" w:eastAsia="Times New Roman" w:hAnsi="Times New Roman" w:cs="Times New Roman"/>
          <w:sz w:val="26"/>
          <w:szCs w:val="26"/>
        </w:rPr>
      </w:pPr>
      <w:r w:rsidRPr="005F2224">
        <w:rPr>
          <w:rFonts w:ascii="Times New Roman" w:eastAsia="Times New Roman" w:hAnsi="Times New Roman" w:cs="Times New Roman"/>
          <w:i/>
          <w:sz w:val="26"/>
          <w:szCs w:val="26"/>
        </w:rPr>
        <w:t xml:space="preserve">Type of Respondents: </w:t>
      </w:r>
      <w:r w:rsidRPr="005F2224">
        <w:rPr>
          <w:rFonts w:ascii="Times New Roman" w:eastAsia="Times New Roman" w:hAnsi="Times New Roman" w:cs="Times New Roman"/>
          <w:sz w:val="26"/>
          <w:szCs w:val="26"/>
        </w:rPr>
        <w:t>Jurisdictional interstate and intrastate natural gas pipelines.</w:t>
      </w:r>
    </w:p>
    <w:p w:rsidR="001D7F09" w:rsidRPr="005F2224" w:rsidP="007C1472" w14:paraId="46A9BE93" w14:textId="71AECE4D">
      <w:pPr>
        <w:spacing w:after="0" w:line="480" w:lineRule="auto"/>
        <w:rPr>
          <w:rFonts w:ascii="Times New Roman" w:eastAsia="Times New Roman" w:hAnsi="Times New Roman" w:cs="Times New Roman"/>
          <w:sz w:val="26"/>
          <w:szCs w:val="26"/>
        </w:rPr>
      </w:pPr>
      <w:r w:rsidRPr="005F2224">
        <w:rPr>
          <w:rFonts w:ascii="Times New Roman" w:eastAsia="Times New Roman" w:hAnsi="Times New Roman" w:cs="Times New Roman"/>
          <w:i/>
          <w:sz w:val="26"/>
          <w:szCs w:val="26"/>
        </w:rPr>
        <w:t>Estimate of Annual Burden</w:t>
      </w:r>
      <w:r>
        <w:rPr>
          <w:rFonts w:ascii="Times New Roman" w:eastAsia="Times New Roman" w:hAnsi="Times New Roman" w:cs="Times New Roman"/>
          <w:sz w:val="26"/>
          <w:szCs w:val="26"/>
          <w:vertAlign w:val="superscript"/>
        </w:rPr>
        <w:footnoteReference w:id="6"/>
      </w:r>
      <w:r w:rsidRPr="005F2224">
        <w:rPr>
          <w:rFonts w:ascii="Times New Roman" w:eastAsia="Times New Roman" w:hAnsi="Times New Roman" w:cs="Times New Roman"/>
          <w:i/>
          <w:sz w:val="26"/>
          <w:szCs w:val="26"/>
        </w:rPr>
        <w:t xml:space="preserve">: </w:t>
      </w:r>
      <w:r w:rsidRPr="005F2224">
        <w:rPr>
          <w:rFonts w:ascii="Times New Roman" w:eastAsia="Times New Roman" w:hAnsi="Times New Roman" w:cs="Times New Roman"/>
          <w:sz w:val="26"/>
          <w:szCs w:val="26"/>
        </w:rPr>
        <w:t xml:space="preserve">The Commission estimates the annual burden and </w:t>
      </w:r>
      <w:r w:rsidRPr="005F2224" w:rsidR="00F44332">
        <w:rPr>
          <w:rFonts w:ascii="Times New Roman" w:eastAsia="Times New Roman" w:hAnsi="Times New Roman" w:cs="Times New Roman"/>
          <w:sz w:val="26"/>
          <w:szCs w:val="26"/>
        </w:rPr>
        <w:t xml:space="preserve">labor </w:t>
      </w:r>
      <w:r w:rsidRPr="005F2224">
        <w:rPr>
          <w:rFonts w:ascii="Times New Roman" w:eastAsia="Times New Roman" w:hAnsi="Times New Roman" w:cs="Times New Roman"/>
          <w:sz w:val="26"/>
          <w:szCs w:val="26"/>
        </w:rPr>
        <w:t>cost</w:t>
      </w:r>
      <w:r w:rsidRPr="005F2224" w:rsidR="00F44332">
        <w:rPr>
          <w:rFonts w:ascii="Times New Roman" w:eastAsia="Times New Roman" w:hAnsi="Times New Roman" w:cs="Times New Roman"/>
          <w:sz w:val="26"/>
          <w:szCs w:val="26"/>
        </w:rPr>
        <w:t>s</w:t>
      </w:r>
      <w:r w:rsidRPr="005F2224">
        <w:rPr>
          <w:rFonts w:ascii="Times New Roman" w:eastAsia="Times New Roman" w:hAnsi="Times New Roman" w:cs="Times New Roman"/>
          <w:sz w:val="26"/>
          <w:szCs w:val="26"/>
        </w:rPr>
        <w:t xml:space="preserve"> for the information collection as follows</w:t>
      </w:r>
      <w:r w:rsidRPr="005F2224" w:rsidR="00147A9D">
        <w:rPr>
          <w:rFonts w:ascii="Times New Roman" w:eastAsia="Times New Roman" w:hAnsi="Times New Roman" w:cs="Times New Roman"/>
          <w:sz w:val="26"/>
          <w:szCs w:val="26"/>
        </w:rPr>
        <w:t>:</w:t>
      </w:r>
    </w:p>
    <w:p w:rsidR="00E63B23" w:rsidRPr="005F2224" w:rsidP="2395874A" w14:paraId="2E642C9E" w14:textId="75BFE884">
      <w:pPr>
        <w:rPr>
          <w:rFonts w:ascii="Times New Roman" w:eastAsia="Times New Roman" w:hAnsi="Times New Roman" w:cs="Times New Roman"/>
          <w:sz w:val="26"/>
          <w:szCs w:val="26"/>
        </w:rPr>
      </w:pPr>
    </w:p>
    <w:tbl>
      <w:tblPr>
        <w:tblW w:w="5920" w:type="pct"/>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C0"/>
      </w:tblPr>
      <w:tblGrid>
        <w:gridCol w:w="1980"/>
        <w:gridCol w:w="1801"/>
        <w:gridCol w:w="1621"/>
        <w:gridCol w:w="1439"/>
        <w:gridCol w:w="1351"/>
        <w:gridCol w:w="1251"/>
        <w:gridCol w:w="1627"/>
      </w:tblGrid>
      <w:tr w14:paraId="18FE5400" w14:textId="77777777" w:rsidTr="2395874A">
        <w:tblPrEx>
          <w:tblW w:w="5920" w:type="pct"/>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C0"/>
        </w:tblPrEx>
        <w:trPr>
          <w:cantSplit/>
        </w:trPr>
        <w:tc>
          <w:tcPr>
            <w:tcW w:w="894" w:type="pct"/>
            <w:shd w:val="clear" w:color="auto" w:fill="D9D9D9" w:themeFill="background1" w:themeFillShade="D9"/>
          </w:tcPr>
          <w:p w:rsidR="006852E0" w:rsidRPr="005F2224" w:rsidP="006852E0" w14:paraId="273E5B93" w14:textId="77777777">
            <w:pPr>
              <w:spacing w:after="0" w:line="480" w:lineRule="auto"/>
              <w:rPr>
                <w:rFonts w:ascii="Times New Roman" w:eastAsia="Times New Roman" w:hAnsi="Times New Roman" w:cs="Times New Roman"/>
                <w:sz w:val="26"/>
                <w:szCs w:val="26"/>
              </w:rPr>
            </w:pPr>
          </w:p>
        </w:tc>
        <w:tc>
          <w:tcPr>
            <w:tcW w:w="813" w:type="pct"/>
            <w:shd w:val="clear" w:color="auto" w:fill="D9D9D9" w:themeFill="background1" w:themeFillShade="D9"/>
            <w:vAlign w:val="bottom"/>
          </w:tcPr>
          <w:p w:rsidR="006852E0" w:rsidRPr="005F2224" w:rsidP="006852E0" w14:paraId="1E4BD5B8" w14:textId="22562663">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Nu</w:t>
            </w:r>
            <w:r w:rsidRPr="006E2F94">
              <w:rPr>
                <w:rFonts w:ascii="Times New Roman" w:eastAsia="Times New Roman" w:hAnsi="Times New Roman" w:cs="Times New Roman"/>
                <w:b/>
                <w:sz w:val="26"/>
                <w:szCs w:val="26"/>
              </w:rPr>
              <w:t>mber of Respondents</w:t>
            </w:r>
            <w:r>
              <w:rPr>
                <w:rFonts w:ascii="Times New Roman" w:eastAsia="Times New Roman" w:hAnsi="Times New Roman" w:cs="Times New Roman"/>
                <w:b/>
                <w:sz w:val="26"/>
                <w:szCs w:val="26"/>
              </w:rPr>
              <w:br/>
              <w:t>(1)</w:t>
            </w:r>
          </w:p>
        </w:tc>
        <w:tc>
          <w:tcPr>
            <w:tcW w:w="732" w:type="pct"/>
            <w:shd w:val="clear" w:color="auto" w:fill="D9D9D9" w:themeFill="background1" w:themeFillShade="D9"/>
            <w:vAlign w:val="bottom"/>
          </w:tcPr>
          <w:p w:rsidR="006852E0" w:rsidRPr="00ED4632" w:rsidP="006852E0" w14:paraId="4D0E26F4" w14:textId="77777777">
            <w:pPr>
              <w:spacing w:after="0" w:line="240" w:lineRule="auto"/>
              <w:jc w:val="center"/>
              <w:rPr>
                <w:rFonts w:ascii="Times New Roman" w:eastAsia="Times New Roman" w:hAnsi="Times New Roman" w:cs="Times New Roman"/>
                <w:b/>
                <w:sz w:val="26"/>
                <w:szCs w:val="26"/>
              </w:rPr>
            </w:pPr>
            <w:r w:rsidRPr="00ED4632">
              <w:rPr>
                <w:rFonts w:ascii="Times New Roman" w:eastAsia="Times New Roman" w:hAnsi="Times New Roman" w:cs="Times New Roman"/>
                <w:b/>
                <w:sz w:val="26"/>
                <w:szCs w:val="26"/>
              </w:rPr>
              <w:t>Number of Responses Per Respondent</w:t>
            </w:r>
          </w:p>
          <w:p w:rsidR="006852E0" w:rsidRPr="005F2224" w:rsidP="006852E0" w14:paraId="26B58643" w14:textId="7092EC45">
            <w:pPr>
              <w:spacing w:after="0" w:line="240" w:lineRule="auto"/>
              <w:jc w:val="center"/>
              <w:rPr>
                <w:rFonts w:ascii="Times New Roman" w:eastAsia="Times New Roman" w:hAnsi="Times New Roman" w:cs="Times New Roman"/>
                <w:b/>
                <w:sz w:val="26"/>
                <w:szCs w:val="26"/>
              </w:rPr>
            </w:pPr>
            <w:r w:rsidRPr="00ED4632">
              <w:rPr>
                <w:rFonts w:ascii="Times New Roman" w:eastAsia="Times New Roman" w:hAnsi="Times New Roman" w:cs="Times New Roman"/>
                <w:b/>
                <w:sz w:val="26"/>
                <w:szCs w:val="26"/>
              </w:rPr>
              <w:t>(2)</w:t>
            </w:r>
          </w:p>
        </w:tc>
        <w:tc>
          <w:tcPr>
            <w:tcW w:w="650" w:type="pct"/>
            <w:shd w:val="clear" w:color="auto" w:fill="D9D9D9" w:themeFill="background1" w:themeFillShade="D9"/>
            <w:vAlign w:val="bottom"/>
          </w:tcPr>
          <w:p w:rsidR="006852E0" w:rsidRPr="005F2224" w:rsidP="005F2224" w14:paraId="7BA671C9" w14:textId="7695FF37">
            <w:pPr>
              <w:spacing w:after="0" w:line="240" w:lineRule="auto"/>
              <w:jc w:val="center"/>
              <w:rPr>
                <w:rFonts w:ascii="Times New Roman" w:eastAsia="Times New Roman" w:hAnsi="Times New Roman" w:cs="Times New Roman"/>
                <w:b/>
                <w:sz w:val="26"/>
                <w:szCs w:val="26"/>
              </w:rPr>
            </w:pPr>
            <w:r w:rsidRPr="005F2224">
              <w:rPr>
                <w:rFonts w:ascii="Times New Roman" w:eastAsia="Times New Roman" w:hAnsi="Times New Roman" w:cs="Times New Roman"/>
                <w:b/>
                <w:sz w:val="26"/>
                <w:szCs w:val="26"/>
              </w:rPr>
              <w:t>Total Number of</w:t>
            </w:r>
            <w:r w:rsidR="00F61590">
              <w:rPr>
                <w:rFonts w:ascii="Times New Roman" w:eastAsia="Times New Roman" w:hAnsi="Times New Roman" w:cs="Times New Roman"/>
                <w:b/>
                <w:sz w:val="26"/>
                <w:szCs w:val="26"/>
              </w:rPr>
              <w:t xml:space="preserve"> </w:t>
            </w:r>
            <w:r w:rsidRPr="005F2224">
              <w:rPr>
                <w:rFonts w:ascii="Times New Roman" w:eastAsia="Times New Roman" w:hAnsi="Times New Roman" w:cs="Times New Roman"/>
                <w:b/>
                <w:sz w:val="26"/>
                <w:szCs w:val="26"/>
              </w:rPr>
              <w:t>Responses</w:t>
            </w:r>
          </w:p>
          <w:p w:rsidR="006852E0" w:rsidRPr="005F2224" w:rsidP="006852E0" w14:paraId="1CEC7509" w14:textId="2F7E11DD">
            <w:pPr>
              <w:spacing w:after="0" w:line="240" w:lineRule="auto"/>
              <w:jc w:val="center"/>
              <w:rPr>
                <w:rFonts w:ascii="Times New Roman" w:eastAsia="Times New Roman" w:hAnsi="Times New Roman" w:cs="Times New Roman"/>
                <w:b/>
                <w:sz w:val="26"/>
                <w:szCs w:val="26"/>
              </w:rPr>
            </w:pPr>
            <w:r w:rsidRPr="005F2224">
              <w:rPr>
                <w:rFonts w:ascii="Times New Roman" w:eastAsia="Times New Roman" w:hAnsi="Times New Roman" w:cs="Times New Roman"/>
                <w:b/>
                <w:sz w:val="26"/>
                <w:szCs w:val="26"/>
              </w:rPr>
              <w:t>(1) x (2) = (3)</w:t>
            </w:r>
          </w:p>
        </w:tc>
        <w:tc>
          <w:tcPr>
            <w:tcW w:w="610" w:type="pct"/>
            <w:shd w:val="clear" w:color="auto" w:fill="D9D9D9" w:themeFill="background1" w:themeFillShade="D9"/>
            <w:vAlign w:val="bottom"/>
          </w:tcPr>
          <w:p w:rsidR="006852E0" w:rsidRPr="00D46E96" w:rsidP="006852E0" w14:paraId="3C1D1D70" w14:textId="77777777">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br/>
            </w:r>
            <w:r>
              <w:rPr>
                <w:rFonts w:ascii="Times New Roman" w:eastAsia="Times New Roman" w:hAnsi="Times New Roman" w:cs="Times New Roman"/>
                <w:b/>
                <w:sz w:val="26"/>
                <w:szCs w:val="26"/>
              </w:rPr>
              <w:br/>
            </w:r>
            <w:r w:rsidRPr="00D46E96">
              <w:rPr>
                <w:rFonts w:ascii="Times New Roman" w:eastAsia="Times New Roman" w:hAnsi="Times New Roman" w:cs="Times New Roman"/>
                <w:b/>
                <w:sz w:val="26"/>
                <w:szCs w:val="26"/>
              </w:rPr>
              <w:t>Average Burden Hours &amp; Average Cost</w:t>
            </w:r>
            <w:r>
              <w:rPr>
                <w:rFonts w:ascii="Times New Roman" w:eastAsia="Times New Roman" w:hAnsi="Times New Roman" w:cs="Times New Roman"/>
                <w:b/>
                <w:sz w:val="26"/>
                <w:szCs w:val="26"/>
                <w:vertAlign w:val="superscript"/>
              </w:rPr>
              <w:footnoteReference w:id="7"/>
            </w:r>
            <w:r w:rsidRPr="00D46E96">
              <w:rPr>
                <w:rFonts w:ascii="Times New Roman" w:eastAsia="Times New Roman" w:hAnsi="Times New Roman" w:cs="Times New Roman"/>
                <w:b/>
                <w:sz w:val="26"/>
                <w:szCs w:val="26"/>
              </w:rPr>
              <w:t xml:space="preserve"> per Response ($)</w:t>
            </w:r>
          </w:p>
          <w:p w:rsidR="006852E0" w:rsidRPr="005F2224" w:rsidP="006852E0" w14:paraId="18D26187" w14:textId="5454D3B7">
            <w:pPr>
              <w:spacing w:after="0" w:line="240" w:lineRule="auto"/>
              <w:jc w:val="center"/>
              <w:rPr>
                <w:rFonts w:ascii="Times New Roman" w:eastAsia="Times New Roman" w:hAnsi="Times New Roman" w:cs="Times New Roman"/>
                <w:b/>
                <w:sz w:val="26"/>
                <w:szCs w:val="26"/>
              </w:rPr>
            </w:pPr>
            <w:r w:rsidRPr="00D46E96">
              <w:rPr>
                <w:rFonts w:ascii="Times New Roman" w:eastAsia="Times New Roman" w:hAnsi="Times New Roman" w:cs="Times New Roman"/>
                <w:b/>
                <w:sz w:val="26"/>
                <w:szCs w:val="26"/>
              </w:rPr>
              <w:t>(4)</w:t>
            </w:r>
          </w:p>
        </w:tc>
        <w:tc>
          <w:tcPr>
            <w:tcW w:w="565" w:type="pct"/>
            <w:shd w:val="clear" w:color="auto" w:fill="D9D9D9" w:themeFill="background1" w:themeFillShade="D9"/>
            <w:vAlign w:val="bottom"/>
          </w:tcPr>
          <w:p w:rsidR="006852E0" w:rsidRPr="005F2224" w:rsidP="005F2224" w14:paraId="3B39E8B2" w14:textId="77777777">
            <w:pPr>
              <w:spacing w:after="0" w:line="240" w:lineRule="auto"/>
              <w:jc w:val="center"/>
              <w:rPr>
                <w:rFonts w:ascii="Times New Roman" w:eastAsia="Times New Roman" w:hAnsi="Times New Roman" w:cs="Times New Roman"/>
                <w:b/>
                <w:sz w:val="26"/>
                <w:szCs w:val="26"/>
              </w:rPr>
            </w:pPr>
            <w:r w:rsidRPr="005F2224">
              <w:rPr>
                <w:rFonts w:ascii="Times New Roman" w:eastAsia="Times New Roman" w:hAnsi="Times New Roman" w:cs="Times New Roman"/>
                <w:b/>
                <w:sz w:val="26"/>
                <w:szCs w:val="26"/>
              </w:rPr>
              <w:t>Total Annual Burden Hours &amp; Total Annual Cost ($)</w:t>
            </w:r>
          </w:p>
          <w:p w:rsidR="006852E0" w:rsidRPr="005F2224" w:rsidP="006852E0" w14:paraId="06A0E5B8" w14:textId="56E5A20D">
            <w:pPr>
              <w:spacing w:after="0" w:line="240" w:lineRule="auto"/>
              <w:jc w:val="center"/>
              <w:rPr>
                <w:rFonts w:ascii="Times New Roman" w:eastAsia="Times New Roman" w:hAnsi="Times New Roman" w:cs="Times New Roman"/>
                <w:b/>
                <w:sz w:val="26"/>
                <w:szCs w:val="26"/>
              </w:rPr>
            </w:pPr>
            <w:r w:rsidRPr="005F2224">
              <w:rPr>
                <w:rFonts w:ascii="Times New Roman" w:eastAsia="Times New Roman" w:hAnsi="Times New Roman" w:cs="Times New Roman"/>
                <w:b/>
                <w:sz w:val="26"/>
                <w:szCs w:val="26"/>
              </w:rPr>
              <w:t>(3) x (4) = (5)</w:t>
            </w:r>
          </w:p>
        </w:tc>
        <w:tc>
          <w:tcPr>
            <w:tcW w:w="735" w:type="pct"/>
            <w:shd w:val="clear" w:color="auto" w:fill="D9D9D9" w:themeFill="background1" w:themeFillShade="D9"/>
            <w:vAlign w:val="bottom"/>
          </w:tcPr>
          <w:p w:rsidR="00F61590" w:rsidRPr="00F61590" w:rsidP="00F61590" w14:paraId="61763FDE" w14:textId="77777777">
            <w:pPr>
              <w:spacing w:after="0" w:line="240" w:lineRule="auto"/>
              <w:jc w:val="center"/>
              <w:rPr>
                <w:rFonts w:ascii="Times New Roman" w:eastAsia="Times New Roman" w:hAnsi="Times New Roman" w:cs="Times New Roman"/>
                <w:b/>
                <w:sz w:val="26"/>
                <w:szCs w:val="26"/>
              </w:rPr>
            </w:pPr>
            <w:r w:rsidRPr="00F61590">
              <w:rPr>
                <w:rFonts w:ascii="Times New Roman" w:eastAsia="Times New Roman" w:hAnsi="Times New Roman" w:cs="Times New Roman"/>
                <w:b/>
                <w:sz w:val="26"/>
                <w:szCs w:val="26"/>
              </w:rPr>
              <w:t>Cost per Respondent ($)</w:t>
            </w:r>
          </w:p>
          <w:p w:rsidR="006852E0" w:rsidRPr="005F2224" w:rsidP="006852E0" w14:paraId="20A29A18" w14:textId="060C0BD1">
            <w:pPr>
              <w:spacing w:after="0" w:line="240" w:lineRule="auto"/>
              <w:jc w:val="center"/>
              <w:rPr>
                <w:rFonts w:ascii="Times New Roman" w:eastAsia="Times New Roman" w:hAnsi="Times New Roman" w:cs="Times New Roman"/>
                <w:b/>
                <w:sz w:val="26"/>
                <w:szCs w:val="26"/>
              </w:rPr>
            </w:pPr>
            <w:r w:rsidRPr="00F61590">
              <w:rPr>
                <w:rFonts w:ascii="Times New Roman" w:eastAsia="Times New Roman" w:hAnsi="Times New Roman" w:cs="Times New Roman"/>
                <w:b/>
                <w:sz w:val="26"/>
                <w:szCs w:val="26"/>
              </w:rPr>
              <w:t>(5) ÷ (1) = (6)</w:t>
            </w:r>
          </w:p>
        </w:tc>
      </w:tr>
      <w:tr w14:paraId="36EF97C7" w14:textId="77777777" w:rsidTr="2395874A">
        <w:tblPrEx>
          <w:tblW w:w="5920" w:type="pct"/>
          <w:tblInd w:w="-905" w:type="dxa"/>
          <w:tblLayout w:type="fixed"/>
          <w:tblLook w:val="01C0"/>
        </w:tblPrEx>
        <w:trPr>
          <w:cantSplit/>
        </w:trPr>
        <w:tc>
          <w:tcPr>
            <w:tcW w:w="894" w:type="pct"/>
          </w:tcPr>
          <w:p w:rsidR="006852E0" w:rsidRPr="005F2224" w:rsidP="00681451" w14:paraId="6FE95033" w14:textId="63E06581">
            <w:pPr>
              <w:spacing w:after="0" w:line="240" w:lineRule="auto"/>
              <w:ind w:left="144" w:hanging="144"/>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Transportation by Interstate Pipelines and </w:t>
            </w:r>
            <w:r w:rsidR="002544C1">
              <w:rPr>
                <w:rFonts w:ascii="Times New Roman" w:eastAsia="Times New Roman" w:hAnsi="Times New Roman" w:cs="Times New Roman"/>
                <w:sz w:val="26"/>
                <w:szCs w:val="26"/>
              </w:rPr>
              <w:t>R</w:t>
            </w:r>
            <w:r w:rsidRPr="00A8795D" w:rsidR="00A8795D">
              <w:rPr>
                <w:rFonts w:ascii="Times New Roman" w:eastAsia="Times New Roman" w:hAnsi="Times New Roman" w:cs="Times New Roman"/>
                <w:sz w:val="26"/>
                <w:szCs w:val="26"/>
              </w:rPr>
              <w:t>ates and</w:t>
            </w:r>
            <w:r w:rsidR="00A8795D">
              <w:rPr>
                <w:rFonts w:ascii="Times New Roman" w:eastAsia="Times New Roman" w:hAnsi="Times New Roman" w:cs="Times New Roman"/>
                <w:sz w:val="26"/>
                <w:szCs w:val="26"/>
              </w:rPr>
              <w:t xml:space="preserve"> </w:t>
            </w:r>
            <w:r w:rsidRPr="00A8795D" w:rsidR="00A8795D">
              <w:rPr>
                <w:rFonts w:ascii="Times New Roman" w:eastAsia="Times New Roman" w:hAnsi="Times New Roman" w:cs="Times New Roman"/>
                <w:sz w:val="26"/>
                <w:szCs w:val="26"/>
              </w:rPr>
              <w:t>Charges for Intrastate Pipelines</w:t>
            </w:r>
            <w:r w:rsidRPr="00A8795D" w:rsidR="00A8795D">
              <w:rPr>
                <w:rFonts w:ascii="Times New Roman" w:eastAsia="Times New Roman" w:hAnsi="Times New Roman" w:cs="Times New Roman"/>
                <w:sz w:val="26"/>
                <w:szCs w:val="26"/>
              </w:rPr>
              <w:t xml:space="preserve"> </w:t>
            </w:r>
            <w:r>
              <w:rPr>
                <w:rFonts w:ascii="Times New Roman" w:eastAsia="Times New Roman" w:hAnsi="Times New Roman" w:cs="Times New Roman"/>
                <w:b/>
                <w:bCs/>
                <w:sz w:val="26"/>
                <w:szCs w:val="26"/>
                <w:vertAlign w:val="superscript"/>
              </w:rPr>
              <w:footnoteReference w:id="8"/>
            </w:r>
          </w:p>
        </w:tc>
        <w:tc>
          <w:tcPr>
            <w:tcW w:w="813" w:type="pct"/>
          </w:tcPr>
          <w:p w:rsidR="006852E0" w:rsidRPr="005F2224" w:rsidP="00681451" w14:paraId="64B6AA50" w14:textId="032C23D9">
            <w:pPr>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61</w:t>
            </w:r>
          </w:p>
        </w:tc>
        <w:tc>
          <w:tcPr>
            <w:tcW w:w="732" w:type="pct"/>
          </w:tcPr>
          <w:p w:rsidR="006852E0" w:rsidRPr="005F2224" w:rsidP="00681451" w14:paraId="4EB0AD95" w14:textId="6134A808">
            <w:pPr>
              <w:spacing w:after="0" w:line="240" w:lineRule="auto"/>
              <w:jc w:val="right"/>
              <w:rPr>
                <w:rFonts w:ascii="Times New Roman" w:eastAsia="Times New Roman" w:hAnsi="Times New Roman" w:cs="Times New Roman"/>
                <w:sz w:val="26"/>
                <w:szCs w:val="26"/>
              </w:rPr>
            </w:pPr>
            <w:r w:rsidRPr="005F2224">
              <w:rPr>
                <w:rFonts w:ascii="Times New Roman" w:eastAsia="Times New Roman" w:hAnsi="Times New Roman" w:cs="Times New Roman"/>
                <w:sz w:val="26"/>
                <w:szCs w:val="26"/>
              </w:rPr>
              <w:t>2</w:t>
            </w:r>
          </w:p>
        </w:tc>
        <w:tc>
          <w:tcPr>
            <w:tcW w:w="650" w:type="pct"/>
          </w:tcPr>
          <w:p w:rsidR="006852E0" w:rsidRPr="005F2224" w:rsidP="00681451" w14:paraId="6B0003E5" w14:textId="3A571481">
            <w:pPr>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122</w:t>
            </w:r>
          </w:p>
        </w:tc>
        <w:tc>
          <w:tcPr>
            <w:tcW w:w="610" w:type="pct"/>
          </w:tcPr>
          <w:p w:rsidR="006852E0" w:rsidRPr="005F2224" w:rsidP="00681451" w14:paraId="7AA24F11" w14:textId="1B1E20FB">
            <w:pPr>
              <w:spacing w:after="0" w:line="240" w:lineRule="auto"/>
              <w:jc w:val="right"/>
              <w:rPr>
                <w:rFonts w:ascii="Times New Roman" w:eastAsia="Times New Roman" w:hAnsi="Times New Roman" w:cs="Times New Roman"/>
                <w:sz w:val="26"/>
                <w:szCs w:val="26"/>
              </w:rPr>
            </w:pPr>
            <w:r w:rsidRPr="005F2224">
              <w:rPr>
                <w:rFonts w:ascii="Times New Roman" w:eastAsia="Times New Roman" w:hAnsi="Times New Roman" w:cs="Times New Roman"/>
                <w:sz w:val="26"/>
                <w:szCs w:val="26"/>
              </w:rPr>
              <w:t>50 hrs.;</w:t>
            </w:r>
          </w:p>
          <w:p w:rsidR="006852E0" w:rsidRPr="005F2224" w:rsidP="00681451" w14:paraId="3FC02827" w14:textId="66372792">
            <w:pPr>
              <w:spacing w:after="0" w:line="240" w:lineRule="auto"/>
              <w:jc w:val="right"/>
              <w:rPr>
                <w:rFonts w:ascii="Times New Roman" w:eastAsia="Times New Roman" w:hAnsi="Times New Roman" w:cs="Times New Roman"/>
                <w:sz w:val="26"/>
                <w:szCs w:val="26"/>
              </w:rPr>
            </w:pPr>
            <w:r w:rsidRPr="005F2224">
              <w:rPr>
                <w:rFonts w:ascii="Times New Roman" w:eastAsia="Times New Roman" w:hAnsi="Times New Roman" w:cs="Times New Roman"/>
                <w:sz w:val="26"/>
                <w:szCs w:val="26"/>
              </w:rPr>
              <w:t>$</w:t>
            </w:r>
            <w:r w:rsidR="007531D0">
              <w:rPr>
                <w:rFonts w:ascii="Times New Roman" w:eastAsia="Times New Roman" w:hAnsi="Times New Roman" w:cs="Times New Roman"/>
                <w:sz w:val="26"/>
                <w:szCs w:val="26"/>
              </w:rPr>
              <w:t>5,100</w:t>
            </w:r>
          </w:p>
        </w:tc>
        <w:tc>
          <w:tcPr>
            <w:tcW w:w="565" w:type="pct"/>
          </w:tcPr>
          <w:p w:rsidR="006852E0" w:rsidRPr="005F2224" w:rsidP="00681451" w14:paraId="49D12613" w14:textId="3BDBAF38">
            <w:pPr>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6,100</w:t>
            </w:r>
            <w:r w:rsidRPr="005F2224">
              <w:rPr>
                <w:rFonts w:ascii="Times New Roman" w:eastAsia="Times New Roman" w:hAnsi="Times New Roman" w:cs="Times New Roman"/>
                <w:sz w:val="26"/>
                <w:szCs w:val="26"/>
              </w:rPr>
              <w:t xml:space="preserve"> hrs.;</w:t>
            </w:r>
          </w:p>
          <w:p w:rsidR="006852E0" w:rsidRPr="005F2224" w:rsidP="00681451" w14:paraId="77AE92CC" w14:textId="027F4E48">
            <w:pPr>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00145468">
              <w:rPr>
                <w:rFonts w:ascii="Times New Roman" w:eastAsia="Times New Roman" w:hAnsi="Times New Roman" w:cs="Times New Roman"/>
                <w:sz w:val="26"/>
                <w:szCs w:val="26"/>
              </w:rPr>
              <w:t>622,200</w:t>
            </w:r>
          </w:p>
        </w:tc>
        <w:tc>
          <w:tcPr>
            <w:tcW w:w="735" w:type="pct"/>
          </w:tcPr>
          <w:p w:rsidR="006852E0" w:rsidRPr="005F2224" w:rsidP="00681451" w14:paraId="792596B0" w14:textId="22F31304">
            <w:pPr>
              <w:spacing w:after="0" w:line="240" w:lineRule="auto"/>
              <w:jc w:val="right"/>
              <w:rPr>
                <w:rFonts w:ascii="Times New Roman" w:eastAsia="Times New Roman" w:hAnsi="Times New Roman" w:cs="Times New Roman"/>
                <w:sz w:val="26"/>
                <w:szCs w:val="26"/>
              </w:rPr>
            </w:pPr>
          </w:p>
          <w:p w:rsidR="006852E0" w:rsidRPr="005F2224" w:rsidP="00681451" w14:paraId="7F428B86" w14:textId="6EEC8E75">
            <w:pPr>
              <w:spacing w:after="0" w:line="240" w:lineRule="auto"/>
              <w:jc w:val="right"/>
              <w:rPr>
                <w:rFonts w:ascii="Times New Roman" w:eastAsia="Times New Roman" w:hAnsi="Times New Roman" w:cs="Times New Roman"/>
                <w:sz w:val="26"/>
                <w:szCs w:val="26"/>
              </w:rPr>
            </w:pPr>
            <w:r w:rsidRPr="005F2224">
              <w:rPr>
                <w:rFonts w:ascii="Times New Roman" w:eastAsia="Times New Roman" w:hAnsi="Times New Roman" w:cs="Times New Roman"/>
                <w:sz w:val="26"/>
                <w:szCs w:val="26"/>
              </w:rPr>
              <w:t>$</w:t>
            </w:r>
            <w:r w:rsidR="00145468">
              <w:rPr>
                <w:rFonts w:ascii="Times New Roman" w:eastAsia="Times New Roman" w:hAnsi="Times New Roman" w:cs="Times New Roman"/>
                <w:sz w:val="26"/>
                <w:szCs w:val="26"/>
              </w:rPr>
              <w:t>10,200</w:t>
            </w:r>
          </w:p>
        </w:tc>
      </w:tr>
      <w:tr w14:paraId="45BD5E02" w14:textId="77777777" w:rsidTr="2395874A">
        <w:tblPrEx>
          <w:tblW w:w="5920" w:type="pct"/>
          <w:tblInd w:w="-905" w:type="dxa"/>
          <w:tblLayout w:type="fixed"/>
          <w:tblLook w:val="01C0"/>
        </w:tblPrEx>
        <w:trPr>
          <w:cantSplit/>
        </w:trPr>
        <w:tc>
          <w:tcPr>
            <w:tcW w:w="894" w:type="pct"/>
          </w:tcPr>
          <w:p w:rsidR="00AA4CC6" w:rsidRPr="00AA4CC6" w:rsidP="00681451" w14:paraId="25FE6F9E" w14:textId="6D926FD9">
            <w:pPr>
              <w:spacing w:after="0" w:line="240" w:lineRule="auto"/>
              <w:ind w:left="144" w:hanging="144"/>
              <w:rPr>
                <w:rFonts w:ascii="Times New Roman" w:eastAsia="Calibri" w:hAnsi="Times New Roman" w:cs="Times New Roman"/>
                <w:sz w:val="26"/>
                <w:szCs w:val="26"/>
              </w:rPr>
            </w:pPr>
            <w:r>
              <w:rPr>
                <w:rFonts w:ascii="Times New Roman" w:eastAsia="Calibri" w:hAnsi="Times New Roman" w:cs="Times New Roman"/>
                <w:sz w:val="26"/>
                <w:szCs w:val="26"/>
              </w:rPr>
              <w:t>MBR – Initial Approval</w:t>
            </w:r>
            <w:r>
              <w:rPr>
                <w:rFonts w:ascii="Times New Roman" w:eastAsia="Times New Roman" w:hAnsi="Times New Roman" w:cs="Times New Roman"/>
                <w:b/>
                <w:bCs/>
                <w:sz w:val="26"/>
                <w:szCs w:val="26"/>
                <w:vertAlign w:val="superscript"/>
              </w:rPr>
              <w:footnoteReference w:id="9"/>
            </w:r>
          </w:p>
        </w:tc>
        <w:tc>
          <w:tcPr>
            <w:tcW w:w="813" w:type="pct"/>
          </w:tcPr>
          <w:p w:rsidR="00AA4CC6" w:rsidP="00681451" w14:paraId="2D0CD54B" w14:textId="59A6E3A9">
            <w:pPr>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c>
          <w:tcPr>
            <w:tcW w:w="732" w:type="pct"/>
          </w:tcPr>
          <w:p w:rsidR="00AA4CC6" w:rsidP="00681451" w14:paraId="605F705E" w14:textId="61B7C67C">
            <w:pPr>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650" w:type="pct"/>
          </w:tcPr>
          <w:p w:rsidR="00AA4CC6" w:rsidP="00681451" w14:paraId="4866A2FC" w14:textId="793ED86A">
            <w:pPr>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c>
          <w:tcPr>
            <w:tcW w:w="610" w:type="pct"/>
          </w:tcPr>
          <w:p w:rsidR="00AA4CC6" w:rsidRPr="005F2224" w:rsidP="00681451" w14:paraId="24877969" w14:textId="7D865380">
            <w:pPr>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350 hrs</w:t>
            </w:r>
            <w:r w:rsidR="00E97892">
              <w:rPr>
                <w:rFonts w:ascii="Times New Roman" w:eastAsia="Times New Roman" w:hAnsi="Times New Roman" w:cs="Times New Roman"/>
                <w:sz w:val="26"/>
                <w:szCs w:val="26"/>
              </w:rPr>
              <w:t>.</w:t>
            </w:r>
            <w:r>
              <w:rPr>
                <w:rFonts w:ascii="Times New Roman" w:eastAsia="Times New Roman" w:hAnsi="Times New Roman" w:cs="Times New Roman"/>
                <w:sz w:val="26"/>
                <w:szCs w:val="26"/>
              </w:rPr>
              <w:t>;</w:t>
            </w:r>
            <w:r w:rsidR="00BB2A6A">
              <w:rPr>
                <w:rFonts w:ascii="Times New Roman" w:eastAsia="Times New Roman" w:hAnsi="Times New Roman" w:cs="Times New Roman"/>
                <w:sz w:val="26"/>
                <w:szCs w:val="26"/>
              </w:rPr>
              <w:t xml:space="preserve"> $</w:t>
            </w:r>
            <w:r w:rsidR="005421D0">
              <w:rPr>
                <w:rFonts w:ascii="Times New Roman" w:eastAsia="Times New Roman" w:hAnsi="Times New Roman" w:cs="Times New Roman"/>
                <w:sz w:val="26"/>
                <w:szCs w:val="26"/>
              </w:rPr>
              <w:t>35,700</w:t>
            </w:r>
          </w:p>
        </w:tc>
        <w:tc>
          <w:tcPr>
            <w:tcW w:w="565" w:type="pct"/>
          </w:tcPr>
          <w:p w:rsidR="00AA4CC6" w:rsidRPr="005F2224" w:rsidP="00681451" w14:paraId="7C497F24" w14:textId="46CEBC50">
            <w:pPr>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1,400 hrs.; </w:t>
            </w:r>
            <w:r w:rsidR="00367987">
              <w:rPr>
                <w:rFonts w:ascii="Times New Roman" w:eastAsia="Times New Roman" w:hAnsi="Times New Roman" w:cs="Times New Roman"/>
                <w:sz w:val="26"/>
                <w:szCs w:val="26"/>
              </w:rPr>
              <w:t>$142,800</w:t>
            </w:r>
          </w:p>
        </w:tc>
        <w:tc>
          <w:tcPr>
            <w:tcW w:w="735" w:type="pct"/>
          </w:tcPr>
          <w:p w:rsidR="00AA4CC6" w:rsidRPr="005F2224" w:rsidP="00681451" w14:paraId="2A9F8BA7" w14:textId="4C57004A">
            <w:pPr>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$35,700</w:t>
            </w:r>
          </w:p>
        </w:tc>
      </w:tr>
      <w:tr w14:paraId="3FD5197B" w14:textId="77777777" w:rsidTr="2395874A">
        <w:tblPrEx>
          <w:tblW w:w="5920" w:type="pct"/>
          <w:tblInd w:w="-905" w:type="dxa"/>
          <w:tblLayout w:type="fixed"/>
          <w:tblLook w:val="01C0"/>
        </w:tblPrEx>
        <w:trPr>
          <w:cantSplit/>
        </w:trPr>
        <w:tc>
          <w:tcPr>
            <w:tcW w:w="894" w:type="pct"/>
          </w:tcPr>
          <w:p w:rsidR="00DC4F94" w:rsidRPr="005F2224" w:rsidP="00681451" w14:paraId="209E9020" w14:textId="04912290">
            <w:pPr>
              <w:spacing w:after="0" w:line="240" w:lineRule="auto"/>
              <w:ind w:left="144" w:hanging="144"/>
              <w:rPr>
                <w:rFonts w:ascii="Times New Roman" w:eastAsia="Times New Roman" w:hAnsi="Times New Roman" w:cs="Times New Roman"/>
                <w:sz w:val="26"/>
                <w:szCs w:val="26"/>
              </w:rPr>
            </w:pPr>
            <w:r w:rsidRPr="00DB6C20">
              <w:rPr>
                <w:rFonts w:ascii="Times New Roman" w:eastAsia="Times New Roman" w:hAnsi="Times New Roman" w:cs="Times New Roman"/>
                <w:sz w:val="26"/>
                <w:szCs w:val="26"/>
              </w:rPr>
              <w:t>M</w:t>
            </w:r>
            <w:r w:rsidR="003F000E">
              <w:rPr>
                <w:rFonts w:ascii="Times New Roman" w:eastAsia="Times New Roman" w:hAnsi="Times New Roman" w:cs="Times New Roman"/>
                <w:sz w:val="26"/>
                <w:szCs w:val="26"/>
              </w:rPr>
              <w:t>BR</w:t>
            </w:r>
            <w:r w:rsidRPr="00DB6C20">
              <w:rPr>
                <w:rFonts w:ascii="Times New Roman" w:eastAsia="Times New Roman" w:hAnsi="Times New Roman" w:cs="Times New Roman"/>
                <w:sz w:val="26"/>
                <w:szCs w:val="26"/>
              </w:rPr>
              <w:t>-</w:t>
            </w:r>
            <w:r w:rsidR="003F000E">
              <w:rPr>
                <w:rFonts w:ascii="Times New Roman" w:eastAsia="Times New Roman" w:hAnsi="Times New Roman" w:cs="Times New Roman"/>
                <w:sz w:val="26"/>
                <w:szCs w:val="26"/>
              </w:rPr>
              <w:t>Change in Circumstances</w:t>
            </w:r>
            <w:r>
              <w:rPr>
                <w:rFonts w:ascii="Times New Roman" w:eastAsia="Times New Roman" w:hAnsi="Times New Roman" w:cs="Times New Roman"/>
                <w:b/>
                <w:bCs/>
                <w:sz w:val="26"/>
                <w:szCs w:val="26"/>
                <w:vertAlign w:val="superscript"/>
              </w:rPr>
              <w:footnoteReference w:id="10"/>
            </w:r>
          </w:p>
        </w:tc>
        <w:tc>
          <w:tcPr>
            <w:tcW w:w="813" w:type="pct"/>
          </w:tcPr>
          <w:p w:rsidR="00DC4F94" w:rsidRPr="005F2224" w:rsidP="00681451" w14:paraId="7E0BE580" w14:textId="3722F4EE">
            <w:pPr>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c>
          <w:tcPr>
            <w:tcW w:w="732" w:type="pct"/>
          </w:tcPr>
          <w:p w:rsidR="00DC4F94" w:rsidRPr="005F2224" w:rsidP="00681451" w14:paraId="29706373" w14:textId="7505E046">
            <w:pPr>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650" w:type="pct"/>
          </w:tcPr>
          <w:p w:rsidR="00DC4F94" w:rsidRPr="005F2224" w:rsidP="00681451" w14:paraId="57A407AC" w14:textId="424391E7">
            <w:pPr>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c>
          <w:tcPr>
            <w:tcW w:w="610" w:type="pct"/>
          </w:tcPr>
          <w:p w:rsidR="005421D0" w:rsidRPr="005F2224" w:rsidP="009B7C79" w14:paraId="54ADCE25" w14:textId="7C2E523D">
            <w:pPr>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75 hrs.;</w:t>
            </w:r>
            <w:r>
              <w:rPr>
                <w:rFonts w:ascii="Times New Roman" w:eastAsia="Times New Roman" w:hAnsi="Times New Roman" w:cs="Times New Roman"/>
                <w:sz w:val="26"/>
                <w:szCs w:val="26"/>
              </w:rPr>
              <w:t xml:space="preserve"> $7,650</w:t>
            </w:r>
          </w:p>
        </w:tc>
        <w:tc>
          <w:tcPr>
            <w:tcW w:w="565" w:type="pct"/>
          </w:tcPr>
          <w:p w:rsidR="00DC4F94" w:rsidRPr="005F2224" w:rsidP="00681451" w14:paraId="2B9EA756" w14:textId="6FCBA6A3">
            <w:pPr>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300 hrs.; $30,600</w:t>
            </w:r>
          </w:p>
        </w:tc>
        <w:tc>
          <w:tcPr>
            <w:tcW w:w="735" w:type="pct"/>
          </w:tcPr>
          <w:p w:rsidR="00DC4F94" w:rsidRPr="005F2224" w:rsidP="00681451" w14:paraId="00866B75" w14:textId="6C2EDF98">
            <w:pPr>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$7,650</w:t>
            </w:r>
          </w:p>
        </w:tc>
      </w:tr>
      <w:tr w14:paraId="12675810" w14:textId="77777777" w:rsidTr="2395874A">
        <w:tblPrEx>
          <w:tblW w:w="5920" w:type="pct"/>
          <w:tblInd w:w="-905" w:type="dxa"/>
          <w:tblLayout w:type="fixed"/>
          <w:tblLook w:val="01C0"/>
        </w:tblPrEx>
        <w:trPr>
          <w:cantSplit/>
        </w:trPr>
        <w:tc>
          <w:tcPr>
            <w:tcW w:w="894" w:type="pct"/>
          </w:tcPr>
          <w:p w:rsidR="00DC4F94" w:rsidRPr="00DB6C20" w:rsidP="00681451" w14:paraId="39161D72" w14:textId="77777777">
            <w:pPr>
              <w:spacing w:after="0" w:line="240" w:lineRule="auto"/>
              <w:ind w:left="144" w:hanging="144"/>
              <w:jc w:val="right"/>
              <w:rPr>
                <w:rFonts w:ascii="Times New Roman" w:eastAsia="Times New Roman" w:hAnsi="Times New Roman" w:cs="Times New Roman"/>
                <w:sz w:val="26"/>
                <w:szCs w:val="26"/>
              </w:rPr>
            </w:pPr>
          </w:p>
        </w:tc>
        <w:tc>
          <w:tcPr>
            <w:tcW w:w="813" w:type="pct"/>
          </w:tcPr>
          <w:p w:rsidR="00DC4F94" w:rsidP="00681451" w14:paraId="207478EE" w14:textId="77777777">
            <w:pPr>
              <w:spacing w:after="0" w:line="240" w:lineRule="auto"/>
              <w:jc w:val="right"/>
              <w:rPr>
                <w:rFonts w:ascii="Times New Roman" w:eastAsia="Times New Roman" w:hAnsi="Times New Roman" w:cs="Times New Roman"/>
                <w:sz w:val="26"/>
                <w:szCs w:val="26"/>
              </w:rPr>
            </w:pPr>
          </w:p>
        </w:tc>
        <w:tc>
          <w:tcPr>
            <w:tcW w:w="732" w:type="pct"/>
          </w:tcPr>
          <w:p w:rsidR="00DC4F94" w:rsidP="00681451" w14:paraId="2F50061F" w14:textId="77777777">
            <w:pPr>
              <w:spacing w:after="0" w:line="240" w:lineRule="auto"/>
              <w:jc w:val="right"/>
              <w:rPr>
                <w:rFonts w:ascii="Times New Roman" w:eastAsia="Times New Roman" w:hAnsi="Times New Roman" w:cs="Times New Roman"/>
                <w:sz w:val="26"/>
                <w:szCs w:val="26"/>
              </w:rPr>
            </w:pPr>
          </w:p>
        </w:tc>
        <w:tc>
          <w:tcPr>
            <w:tcW w:w="650" w:type="pct"/>
          </w:tcPr>
          <w:p w:rsidR="00DC4F94" w:rsidP="00681451" w14:paraId="2C07ADED" w14:textId="77777777">
            <w:pPr>
              <w:spacing w:after="0" w:line="240" w:lineRule="auto"/>
              <w:jc w:val="right"/>
              <w:rPr>
                <w:rFonts w:ascii="Times New Roman" w:eastAsia="Times New Roman" w:hAnsi="Times New Roman" w:cs="Times New Roman"/>
                <w:sz w:val="26"/>
                <w:szCs w:val="26"/>
              </w:rPr>
            </w:pPr>
          </w:p>
        </w:tc>
        <w:tc>
          <w:tcPr>
            <w:tcW w:w="610" w:type="pct"/>
          </w:tcPr>
          <w:p w:rsidR="00DC4F94" w:rsidRPr="005F2224" w:rsidP="00681451" w14:paraId="3DA82EB2" w14:textId="77777777">
            <w:pPr>
              <w:spacing w:after="0" w:line="240" w:lineRule="auto"/>
              <w:jc w:val="right"/>
              <w:rPr>
                <w:rFonts w:ascii="Times New Roman" w:eastAsia="Times New Roman" w:hAnsi="Times New Roman" w:cs="Times New Roman"/>
                <w:sz w:val="26"/>
                <w:szCs w:val="26"/>
              </w:rPr>
            </w:pPr>
          </w:p>
        </w:tc>
        <w:tc>
          <w:tcPr>
            <w:tcW w:w="565" w:type="pct"/>
          </w:tcPr>
          <w:p w:rsidR="00DC4F94" w:rsidRPr="005F2224" w:rsidP="00681451" w14:paraId="78143515" w14:textId="77777777">
            <w:pPr>
              <w:spacing w:after="0" w:line="240" w:lineRule="auto"/>
              <w:jc w:val="right"/>
              <w:rPr>
                <w:rFonts w:ascii="Times New Roman" w:eastAsia="Times New Roman" w:hAnsi="Times New Roman" w:cs="Times New Roman"/>
                <w:sz w:val="26"/>
                <w:szCs w:val="26"/>
              </w:rPr>
            </w:pPr>
          </w:p>
        </w:tc>
        <w:tc>
          <w:tcPr>
            <w:tcW w:w="735" w:type="pct"/>
          </w:tcPr>
          <w:p w:rsidR="00DC4F94" w:rsidRPr="005F2224" w:rsidP="00681451" w14:paraId="3A455F57" w14:textId="77777777">
            <w:pPr>
              <w:spacing w:after="0" w:line="240" w:lineRule="auto"/>
              <w:jc w:val="right"/>
              <w:rPr>
                <w:rFonts w:ascii="Times New Roman" w:eastAsia="Times New Roman" w:hAnsi="Times New Roman" w:cs="Times New Roman"/>
                <w:sz w:val="26"/>
                <w:szCs w:val="26"/>
              </w:rPr>
            </w:pPr>
          </w:p>
        </w:tc>
      </w:tr>
      <w:tr w14:paraId="7E1A0E61" w14:textId="77777777" w:rsidTr="2395874A">
        <w:tblPrEx>
          <w:tblW w:w="5920" w:type="pct"/>
          <w:tblInd w:w="-905" w:type="dxa"/>
          <w:tblLayout w:type="fixed"/>
          <w:tblLook w:val="01C0"/>
        </w:tblPrEx>
        <w:trPr>
          <w:cantSplit/>
        </w:trPr>
        <w:tc>
          <w:tcPr>
            <w:tcW w:w="894" w:type="pct"/>
          </w:tcPr>
          <w:p w:rsidR="00DC4F94" w:rsidRPr="005F2224" w:rsidP="00681451" w14:paraId="0D132F42" w14:textId="6804DF31">
            <w:pPr>
              <w:spacing w:after="0" w:line="240" w:lineRule="auto"/>
              <w:ind w:left="144" w:hanging="144"/>
              <w:jc w:val="right"/>
              <w:rPr>
                <w:rFonts w:ascii="Times New Roman" w:eastAsia="Times New Roman" w:hAnsi="Times New Roman" w:cs="Times New Roman"/>
                <w:sz w:val="26"/>
                <w:szCs w:val="26"/>
              </w:rPr>
            </w:pPr>
            <w:r w:rsidRPr="005F2224">
              <w:rPr>
                <w:rFonts w:ascii="Times New Roman" w:eastAsia="Times New Roman" w:hAnsi="Times New Roman" w:cs="Times New Roman"/>
                <w:sz w:val="26"/>
                <w:szCs w:val="26"/>
              </w:rPr>
              <w:t>Record Retention</w:t>
            </w:r>
          </w:p>
        </w:tc>
        <w:tc>
          <w:tcPr>
            <w:tcW w:w="813" w:type="pct"/>
          </w:tcPr>
          <w:p w:rsidR="00DC4F94" w:rsidRPr="005F2224" w:rsidP="00681451" w14:paraId="3408A150" w14:textId="626C0504">
            <w:pPr>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176</w:t>
            </w:r>
          </w:p>
        </w:tc>
        <w:tc>
          <w:tcPr>
            <w:tcW w:w="732" w:type="pct"/>
          </w:tcPr>
          <w:p w:rsidR="00DC4F94" w:rsidRPr="005F2224" w:rsidP="00681451" w14:paraId="4A214597" w14:textId="65094F61">
            <w:pPr>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650" w:type="pct"/>
          </w:tcPr>
          <w:p w:rsidR="00DC4F94" w:rsidRPr="005F2224" w:rsidP="00681451" w14:paraId="79778F4A" w14:textId="31372FC7">
            <w:pPr>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176</w:t>
            </w:r>
          </w:p>
        </w:tc>
        <w:tc>
          <w:tcPr>
            <w:tcW w:w="610" w:type="pct"/>
          </w:tcPr>
          <w:p w:rsidR="00DC4F94" w:rsidRPr="005F2224" w:rsidP="00681451" w14:paraId="229F857F" w14:textId="77777777">
            <w:pPr>
              <w:spacing w:after="0" w:line="240" w:lineRule="auto"/>
              <w:jc w:val="right"/>
              <w:rPr>
                <w:rFonts w:ascii="Times New Roman" w:eastAsia="Times New Roman" w:hAnsi="Times New Roman" w:cs="Times New Roman"/>
                <w:sz w:val="26"/>
                <w:szCs w:val="26"/>
              </w:rPr>
            </w:pPr>
            <w:r w:rsidRPr="005F2224">
              <w:rPr>
                <w:rFonts w:ascii="Times New Roman" w:eastAsia="Times New Roman" w:hAnsi="Times New Roman" w:cs="Times New Roman"/>
                <w:sz w:val="26"/>
                <w:szCs w:val="26"/>
              </w:rPr>
              <w:t>1 hr.;</w:t>
            </w:r>
          </w:p>
          <w:p w:rsidR="00DC4F94" w:rsidRPr="005F2224" w:rsidP="00681451" w14:paraId="7AC0F720" w14:textId="594CCA62">
            <w:pPr>
              <w:spacing w:after="0" w:line="240" w:lineRule="auto"/>
              <w:jc w:val="right"/>
              <w:rPr>
                <w:rFonts w:ascii="Times New Roman" w:eastAsia="Times New Roman" w:hAnsi="Times New Roman" w:cs="Times New Roman"/>
                <w:sz w:val="26"/>
                <w:szCs w:val="26"/>
              </w:rPr>
            </w:pPr>
            <w:r w:rsidRPr="005F2224">
              <w:rPr>
                <w:rFonts w:ascii="Times New Roman" w:eastAsia="Times New Roman" w:hAnsi="Times New Roman" w:cs="Times New Roman"/>
                <w:sz w:val="26"/>
                <w:szCs w:val="26"/>
              </w:rPr>
              <w:t>$</w:t>
            </w:r>
            <w:r>
              <w:rPr>
                <w:rFonts w:ascii="Times New Roman" w:eastAsia="Times New Roman" w:hAnsi="Times New Roman" w:cs="Times New Roman"/>
                <w:sz w:val="26"/>
                <w:szCs w:val="26"/>
              </w:rPr>
              <w:t>29.36</w:t>
            </w:r>
          </w:p>
        </w:tc>
        <w:tc>
          <w:tcPr>
            <w:tcW w:w="565" w:type="pct"/>
          </w:tcPr>
          <w:p w:rsidR="00DC4F94" w:rsidRPr="005F2224" w:rsidP="00681451" w14:paraId="3988C5E7" w14:textId="4D5715DE">
            <w:pPr>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176</w:t>
            </w:r>
            <w:r w:rsidRPr="005F2224">
              <w:rPr>
                <w:rFonts w:ascii="Times New Roman" w:eastAsia="Times New Roman" w:hAnsi="Times New Roman" w:cs="Times New Roman"/>
                <w:sz w:val="26"/>
                <w:szCs w:val="26"/>
              </w:rPr>
              <w:t xml:space="preserve"> hrs.;</w:t>
            </w:r>
          </w:p>
          <w:p w:rsidR="00DC4F94" w:rsidRPr="005F2224" w:rsidP="00681451" w14:paraId="57D58088" w14:textId="70850822">
            <w:pPr>
              <w:spacing w:after="0" w:line="240" w:lineRule="auto"/>
              <w:jc w:val="right"/>
              <w:rPr>
                <w:rFonts w:ascii="Times New Roman" w:eastAsia="Times New Roman" w:hAnsi="Times New Roman" w:cs="Times New Roman"/>
                <w:sz w:val="26"/>
                <w:szCs w:val="26"/>
              </w:rPr>
            </w:pPr>
            <w:r w:rsidRPr="005F2224">
              <w:rPr>
                <w:rFonts w:ascii="Times New Roman" w:eastAsia="Times New Roman" w:hAnsi="Times New Roman" w:cs="Times New Roman"/>
                <w:sz w:val="26"/>
                <w:szCs w:val="26"/>
              </w:rPr>
              <w:t>$</w:t>
            </w:r>
            <w:r>
              <w:rPr>
                <w:rFonts w:ascii="Times New Roman" w:eastAsia="Times New Roman" w:hAnsi="Times New Roman" w:cs="Times New Roman"/>
                <w:sz w:val="26"/>
                <w:szCs w:val="26"/>
              </w:rPr>
              <w:t>5,167</w:t>
            </w:r>
          </w:p>
        </w:tc>
        <w:tc>
          <w:tcPr>
            <w:tcW w:w="735" w:type="pct"/>
          </w:tcPr>
          <w:p w:rsidR="00DC4F94" w:rsidRPr="005F2224" w:rsidP="00681451" w14:paraId="34B0CFA0" w14:textId="3FAC369B">
            <w:pPr>
              <w:spacing w:after="0" w:line="240" w:lineRule="auto"/>
              <w:jc w:val="right"/>
              <w:rPr>
                <w:rFonts w:ascii="Times New Roman" w:eastAsia="Times New Roman" w:hAnsi="Times New Roman" w:cs="Times New Roman"/>
                <w:sz w:val="26"/>
                <w:szCs w:val="26"/>
              </w:rPr>
            </w:pPr>
            <w:r w:rsidRPr="005F2224">
              <w:rPr>
                <w:rFonts w:ascii="Times New Roman" w:eastAsia="Times New Roman" w:hAnsi="Times New Roman" w:cs="Times New Roman"/>
                <w:sz w:val="26"/>
                <w:szCs w:val="26"/>
              </w:rPr>
              <w:t>$</w:t>
            </w:r>
            <w:r>
              <w:rPr>
                <w:rFonts w:ascii="Times New Roman" w:eastAsia="Times New Roman" w:hAnsi="Times New Roman" w:cs="Times New Roman"/>
                <w:sz w:val="26"/>
                <w:szCs w:val="26"/>
              </w:rPr>
              <w:t>29.36</w:t>
            </w:r>
          </w:p>
        </w:tc>
      </w:tr>
      <w:tr w14:paraId="421474E9" w14:textId="77777777" w:rsidTr="2395874A">
        <w:tblPrEx>
          <w:tblW w:w="5920" w:type="pct"/>
          <w:tblInd w:w="-905" w:type="dxa"/>
          <w:tblLayout w:type="fixed"/>
          <w:tblLook w:val="01C0"/>
        </w:tblPrEx>
        <w:trPr>
          <w:cantSplit/>
        </w:trPr>
        <w:tc>
          <w:tcPr>
            <w:tcW w:w="894" w:type="pct"/>
            <w:vAlign w:val="bottom"/>
          </w:tcPr>
          <w:p w:rsidR="00DC4F94" w:rsidRPr="005F2224" w:rsidP="00DC4F94" w14:paraId="3785F119" w14:textId="0E1FAB0D">
            <w:pPr>
              <w:spacing w:after="0" w:line="240" w:lineRule="auto"/>
              <w:ind w:left="144" w:hanging="144"/>
              <w:rPr>
                <w:rFonts w:ascii="Times New Roman" w:eastAsia="Times New Roman" w:hAnsi="Times New Roman" w:cs="Times New Roman"/>
                <w:sz w:val="26"/>
                <w:szCs w:val="26"/>
              </w:rPr>
            </w:pPr>
            <w:r w:rsidRPr="005F2224">
              <w:rPr>
                <w:rFonts w:ascii="Times New Roman" w:eastAsia="Times New Roman" w:hAnsi="Times New Roman" w:cs="Times New Roman"/>
                <w:sz w:val="26"/>
                <w:szCs w:val="26"/>
              </w:rPr>
              <w:t>Totals</w:t>
            </w:r>
          </w:p>
        </w:tc>
        <w:tc>
          <w:tcPr>
            <w:tcW w:w="813" w:type="pct"/>
          </w:tcPr>
          <w:p w:rsidR="00DC4F94" w:rsidRPr="005F2224" w:rsidP="00DC4F94" w14:paraId="287F0E05" w14:textId="26E2889F">
            <w:pPr>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245</w:t>
            </w:r>
          </w:p>
        </w:tc>
        <w:tc>
          <w:tcPr>
            <w:tcW w:w="732" w:type="pct"/>
            <w:shd w:val="clear" w:color="auto" w:fill="D9D9D9" w:themeFill="background1" w:themeFillShade="D9"/>
          </w:tcPr>
          <w:p w:rsidR="00DC4F94" w:rsidRPr="005F2224" w:rsidP="00DC4F94" w14:paraId="2D49A9AA" w14:textId="77777777">
            <w:pPr>
              <w:spacing w:after="0" w:line="240" w:lineRule="auto"/>
              <w:jc w:val="right"/>
              <w:rPr>
                <w:rFonts w:ascii="Times New Roman" w:eastAsia="Times New Roman" w:hAnsi="Times New Roman" w:cs="Times New Roman"/>
                <w:sz w:val="26"/>
                <w:szCs w:val="26"/>
              </w:rPr>
            </w:pPr>
          </w:p>
        </w:tc>
        <w:tc>
          <w:tcPr>
            <w:tcW w:w="650" w:type="pct"/>
          </w:tcPr>
          <w:p w:rsidR="00DC4F94" w:rsidRPr="005F2224" w:rsidP="00DC4F94" w14:paraId="7DFE9C0C" w14:textId="0E54A148">
            <w:pPr>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306</w:t>
            </w:r>
          </w:p>
        </w:tc>
        <w:tc>
          <w:tcPr>
            <w:tcW w:w="610" w:type="pct"/>
            <w:shd w:val="clear" w:color="auto" w:fill="D9D9D9" w:themeFill="background1" w:themeFillShade="D9"/>
          </w:tcPr>
          <w:p w:rsidR="00DC4F94" w:rsidRPr="005F2224" w:rsidP="00DC4F94" w14:paraId="2BB56887" w14:textId="77777777">
            <w:pPr>
              <w:spacing w:after="0" w:line="240" w:lineRule="auto"/>
              <w:jc w:val="right"/>
              <w:rPr>
                <w:rFonts w:ascii="Times New Roman" w:eastAsia="Times New Roman" w:hAnsi="Times New Roman" w:cs="Times New Roman"/>
                <w:sz w:val="26"/>
                <w:szCs w:val="26"/>
              </w:rPr>
            </w:pPr>
          </w:p>
        </w:tc>
        <w:tc>
          <w:tcPr>
            <w:tcW w:w="565" w:type="pct"/>
          </w:tcPr>
          <w:p w:rsidR="00DC4F94" w:rsidRPr="005F2224" w:rsidP="00DC4F94" w14:paraId="66BB1F47" w14:textId="76B3C01A">
            <w:pPr>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7,976</w:t>
            </w:r>
            <w:r w:rsidRPr="005F2224">
              <w:rPr>
                <w:rFonts w:ascii="Times New Roman" w:eastAsia="Times New Roman" w:hAnsi="Times New Roman" w:cs="Times New Roman"/>
                <w:sz w:val="26"/>
                <w:szCs w:val="26"/>
              </w:rPr>
              <w:t xml:space="preserve"> hrs.;</w:t>
            </w:r>
          </w:p>
          <w:p w:rsidR="00DC4F94" w:rsidRPr="005F2224" w:rsidP="00DC4F94" w14:paraId="6977D9BC" w14:textId="6020FA63">
            <w:pPr>
              <w:spacing w:after="0" w:line="240" w:lineRule="auto"/>
              <w:jc w:val="right"/>
              <w:rPr>
                <w:rFonts w:ascii="Times New Roman" w:eastAsia="Times New Roman" w:hAnsi="Times New Roman" w:cs="Times New Roman"/>
                <w:sz w:val="26"/>
                <w:szCs w:val="26"/>
              </w:rPr>
            </w:pPr>
            <w:r w:rsidRPr="005F2224">
              <w:rPr>
                <w:rFonts w:ascii="Times New Roman" w:eastAsia="Times New Roman" w:hAnsi="Times New Roman" w:cs="Times New Roman"/>
                <w:sz w:val="26"/>
                <w:szCs w:val="26"/>
              </w:rPr>
              <w:t>$</w:t>
            </w:r>
            <w:r w:rsidR="00D002D7">
              <w:rPr>
                <w:rFonts w:ascii="Times New Roman" w:eastAsia="Times New Roman" w:hAnsi="Times New Roman" w:cs="Times New Roman"/>
                <w:sz w:val="26"/>
                <w:szCs w:val="26"/>
              </w:rPr>
              <w:t>800,767</w:t>
            </w:r>
          </w:p>
        </w:tc>
        <w:tc>
          <w:tcPr>
            <w:tcW w:w="735" w:type="pct"/>
            <w:shd w:val="clear" w:color="auto" w:fill="D9D9D9" w:themeFill="background1" w:themeFillShade="D9"/>
          </w:tcPr>
          <w:p w:rsidR="00DC4F94" w:rsidRPr="005F2224" w:rsidP="00DC4F94" w14:paraId="35E8E135" w14:textId="77777777">
            <w:pPr>
              <w:spacing w:after="0" w:line="240" w:lineRule="auto"/>
              <w:jc w:val="right"/>
              <w:rPr>
                <w:rFonts w:ascii="Times New Roman" w:eastAsia="Times New Roman" w:hAnsi="Times New Roman" w:cs="Times New Roman"/>
                <w:sz w:val="26"/>
                <w:szCs w:val="26"/>
              </w:rPr>
            </w:pPr>
          </w:p>
        </w:tc>
      </w:tr>
    </w:tbl>
    <w:p w:rsidR="00CC6B66" w:rsidRPr="005F2224" w:rsidP="006B00B0" w14:paraId="381D7E34" w14:textId="77777777">
      <w:pPr>
        <w:spacing w:after="0" w:line="480" w:lineRule="auto"/>
        <w:rPr>
          <w:rFonts w:ascii="Times New Roman" w:hAnsi="Times New Roman" w:cs="Times New Roman"/>
          <w:b/>
          <w:sz w:val="26"/>
          <w:szCs w:val="26"/>
          <w:u w:val="single"/>
        </w:rPr>
      </w:pPr>
    </w:p>
    <w:p w:rsidR="003B7F4D" w:rsidRPr="005F2224" w:rsidP="005F2224" w14:paraId="375EBCB3" w14:textId="3820293F">
      <w:pPr>
        <w:spacing w:line="480" w:lineRule="auto"/>
        <w:rPr>
          <w:rFonts w:ascii="Times New Roman" w:eastAsia="Times New Roman" w:hAnsi="Times New Roman" w:cs="Times New Roman"/>
          <w:sz w:val="26"/>
          <w:szCs w:val="26"/>
        </w:rPr>
      </w:pPr>
      <w:r w:rsidRPr="005F2224">
        <w:rPr>
          <w:rFonts w:ascii="Times New Roman" w:hAnsi="Times New Roman" w:cs="Times New Roman"/>
          <w:sz w:val="26"/>
          <w:szCs w:val="26"/>
        </w:rPr>
        <w:t>Comments are invited on:</w:t>
      </w:r>
      <w:r w:rsidRPr="005F2224" w:rsidR="76CF617E">
        <w:rPr>
          <w:rFonts w:ascii="Times New Roman" w:hAnsi="Times New Roman" w:cs="Times New Roman"/>
          <w:sz w:val="26"/>
          <w:szCs w:val="26"/>
        </w:rPr>
        <w:t xml:space="preserve"> </w:t>
      </w:r>
      <w:r w:rsidRPr="005F2224">
        <w:rPr>
          <w:rFonts w:ascii="Times New Roman" w:hAnsi="Times New Roman" w:cs="Times New Roman"/>
          <w:sz w:val="26"/>
          <w:szCs w:val="26"/>
        </w:rPr>
        <w:t xml:space="preserve">(1)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w:t>
      </w:r>
      <w:r w:rsidRPr="005F2224" w:rsidR="000E377C">
        <w:rPr>
          <w:rFonts w:ascii="Times New Roman" w:hAnsi="Times New Roman" w:cs="Times New Roman"/>
          <w:sz w:val="26"/>
          <w:szCs w:val="26"/>
        </w:rPr>
        <w:t>the information collection; and (4) ways to minimize the burden of the collection of information on those who are to respond, including the use of automated collection techniques or other forms of information technology.</w:t>
      </w:r>
    </w:p>
    <w:p w:rsidR="003B7F4D" w:rsidP="00466D3F" w14:paraId="516BEC5C" w14:textId="77777777">
      <w:pPr>
        <w:spacing w:after="0" w:line="240" w:lineRule="auto"/>
        <w:ind w:firstLine="2174"/>
        <w:jc w:val="center"/>
        <w:rPr>
          <w:rFonts w:ascii="Times New Roman" w:eastAsia="Times New Roman" w:hAnsi="Times New Roman" w:cs="Times New Roman"/>
          <w:sz w:val="26"/>
          <w:szCs w:val="26"/>
        </w:rPr>
      </w:pPr>
    </w:p>
    <w:p w:rsidR="008B48C3" w:rsidP="00466D3F" w14:paraId="6C8BD01D" w14:textId="77777777">
      <w:pPr>
        <w:spacing w:after="0" w:line="240" w:lineRule="auto"/>
        <w:ind w:firstLine="2174"/>
        <w:jc w:val="center"/>
        <w:rPr>
          <w:rFonts w:ascii="Times New Roman" w:eastAsia="Times New Roman" w:hAnsi="Times New Roman" w:cs="Times New Roman"/>
          <w:sz w:val="26"/>
          <w:szCs w:val="26"/>
        </w:rPr>
      </w:pPr>
    </w:p>
    <w:p w:rsidR="008B48C3" w:rsidP="00466D3F" w14:paraId="24751CA6" w14:textId="77777777">
      <w:pPr>
        <w:spacing w:after="0" w:line="240" w:lineRule="auto"/>
        <w:ind w:firstLine="2174"/>
        <w:jc w:val="center"/>
        <w:rPr>
          <w:rFonts w:ascii="Times New Roman" w:eastAsia="Times New Roman" w:hAnsi="Times New Roman" w:cs="Times New Roman"/>
          <w:sz w:val="26"/>
          <w:szCs w:val="26"/>
        </w:rPr>
      </w:pPr>
    </w:p>
    <w:p w:rsidR="008B48C3" w:rsidRPr="005F2224" w:rsidP="00466D3F" w14:paraId="09BD19BB" w14:textId="77777777">
      <w:pPr>
        <w:spacing w:after="0" w:line="240" w:lineRule="auto"/>
        <w:ind w:firstLine="2174"/>
        <w:jc w:val="center"/>
        <w:rPr>
          <w:rFonts w:ascii="Times New Roman" w:eastAsia="Times New Roman" w:hAnsi="Times New Roman" w:cs="Times New Roman"/>
          <w:sz w:val="26"/>
          <w:szCs w:val="26"/>
        </w:rPr>
      </w:pPr>
    </w:p>
    <w:p w:rsidR="00466D3F" w:rsidRPr="005F2224" w:rsidP="00466D3F" w14:paraId="246437CC" w14:textId="7CB90961">
      <w:pPr>
        <w:spacing w:after="0" w:line="240" w:lineRule="auto"/>
        <w:ind w:firstLine="2174"/>
        <w:jc w:val="center"/>
        <w:rPr>
          <w:rFonts w:ascii="Times New Roman" w:eastAsia="Times New Roman" w:hAnsi="Times New Roman" w:cs="Times New Roman"/>
          <w:sz w:val="26"/>
          <w:szCs w:val="26"/>
        </w:rPr>
      </w:pPr>
      <w:r w:rsidRPr="005F2224">
        <w:rPr>
          <w:rFonts w:ascii="Times New Roman" w:eastAsia="Times New Roman" w:hAnsi="Times New Roman" w:cs="Times New Roman"/>
          <w:sz w:val="26"/>
          <w:szCs w:val="26"/>
        </w:rPr>
        <w:t>Debbie-Anne A. Reese</w:t>
      </w:r>
      <w:r w:rsidRPr="005F2224" w:rsidR="000E377C">
        <w:rPr>
          <w:rFonts w:ascii="Times New Roman" w:eastAsia="Times New Roman" w:hAnsi="Times New Roman" w:cs="Times New Roman"/>
          <w:sz w:val="26"/>
          <w:szCs w:val="26"/>
        </w:rPr>
        <w:t>,</w:t>
      </w:r>
    </w:p>
    <w:p w:rsidR="00466D3F" w:rsidRPr="005F2224" w:rsidP="00466D3F" w14:paraId="33BD465B" w14:textId="77777777">
      <w:pPr>
        <w:spacing w:after="0" w:line="240" w:lineRule="auto"/>
        <w:ind w:firstLine="2174"/>
        <w:jc w:val="center"/>
        <w:rPr>
          <w:rFonts w:ascii="Times New Roman" w:eastAsia="Times New Roman" w:hAnsi="Times New Roman" w:cs="Times New Roman"/>
          <w:sz w:val="26"/>
          <w:szCs w:val="26"/>
        </w:rPr>
      </w:pPr>
      <w:r w:rsidRPr="005F2224">
        <w:rPr>
          <w:rFonts w:ascii="Times New Roman" w:eastAsia="Times New Roman" w:hAnsi="Times New Roman" w:cs="Times New Roman"/>
          <w:sz w:val="26"/>
          <w:szCs w:val="26"/>
        </w:rPr>
        <w:t>Secretary.</w:t>
      </w:r>
    </w:p>
    <w:sectPr w:rsidSect="002D2DBD">
      <w:headerReference w:type="default" r:id="rId12"/>
      <w:headerReference w:type="first" r:id="rId13"/>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D6078" w:rsidP="00466D3F" w14:paraId="1F783BD5" w14:textId="77777777">
      <w:pPr>
        <w:spacing w:after="0" w:line="240" w:lineRule="auto"/>
      </w:pPr>
      <w:r>
        <w:separator/>
      </w:r>
    </w:p>
  </w:footnote>
  <w:footnote w:type="continuationSeparator" w:id="1">
    <w:p w:rsidR="006D6078" w:rsidP="00466D3F" w14:paraId="18E32FB0" w14:textId="77777777">
      <w:pPr>
        <w:spacing w:after="0" w:line="240" w:lineRule="auto"/>
      </w:pPr>
      <w:r>
        <w:continuationSeparator/>
      </w:r>
    </w:p>
  </w:footnote>
  <w:footnote w:type="continuationNotice" w:id="2">
    <w:p w:rsidR="006D6078" w14:paraId="1D77FC8C" w14:textId="77777777">
      <w:pPr>
        <w:spacing w:after="0" w:line="240" w:lineRule="auto"/>
      </w:pPr>
    </w:p>
  </w:footnote>
  <w:footnote w:id="3">
    <w:p w:rsidR="008F466B" w:rsidRPr="008B48C3" w:rsidP="008B48C3" w14:paraId="6E93DCD5" w14:textId="2FFBE85D">
      <w:pPr>
        <w:pStyle w:val="FootnoteText"/>
        <w:spacing w:after="260"/>
        <w:rPr>
          <w:rFonts w:ascii="Times New Roman" w:hAnsi="Times New Roman"/>
          <w:sz w:val="26"/>
          <w:szCs w:val="26"/>
        </w:rPr>
      </w:pPr>
      <w:r>
        <w:rPr>
          <w:rFonts w:ascii="Times New Roman" w:hAnsi="Times New Roman"/>
          <w:sz w:val="26"/>
          <w:szCs w:val="26"/>
        </w:rPr>
        <w:t xml:space="preserve">      </w:t>
      </w:r>
      <w:r w:rsidRPr="008B48C3" w:rsidR="000E377C">
        <w:rPr>
          <w:rStyle w:val="FootnoteReference"/>
        </w:rPr>
        <w:footnoteRef/>
      </w:r>
      <w:r w:rsidRPr="008B48C3" w:rsidR="000E377C">
        <w:rPr>
          <w:rFonts w:ascii="Times New Roman" w:hAnsi="Times New Roman"/>
          <w:sz w:val="26"/>
          <w:szCs w:val="26"/>
        </w:rPr>
        <w:t xml:space="preserve"> </w:t>
      </w:r>
      <w:r w:rsidRPr="008B48C3" w:rsidR="004B437A">
        <w:rPr>
          <w:rFonts w:ascii="Times New Roman" w:hAnsi="Times New Roman"/>
          <w:sz w:val="26"/>
          <w:szCs w:val="26"/>
        </w:rPr>
        <w:t xml:space="preserve">As defined at 18 CFR </w:t>
      </w:r>
      <w:r w:rsidRPr="008B48C3" w:rsidR="00A03C75">
        <w:rPr>
          <w:rFonts w:ascii="Times New Roman" w:hAnsi="Times New Roman"/>
          <w:sz w:val="26"/>
          <w:szCs w:val="26"/>
        </w:rPr>
        <w:t xml:space="preserve">§ </w:t>
      </w:r>
      <w:r w:rsidRPr="008B48C3" w:rsidR="004B437A">
        <w:rPr>
          <w:rFonts w:ascii="Times New Roman" w:hAnsi="Times New Roman"/>
          <w:sz w:val="26"/>
          <w:szCs w:val="26"/>
        </w:rPr>
        <w:t>284.282(c), unbundled sales service is gas sales service that is sold separately from transportation service.</w:t>
      </w:r>
    </w:p>
  </w:footnote>
  <w:footnote w:id="4">
    <w:p w:rsidR="00970DE3" w:rsidRPr="008B48C3" w:rsidP="008B48C3" w14:paraId="3233D2EF" w14:textId="7ECAE71D">
      <w:pPr>
        <w:pStyle w:val="FootnoteText"/>
        <w:spacing w:after="260"/>
        <w:rPr>
          <w:rFonts w:ascii="Times New Roman" w:hAnsi="Times New Roman"/>
          <w:sz w:val="26"/>
          <w:szCs w:val="26"/>
        </w:rPr>
      </w:pPr>
      <w:r>
        <w:rPr>
          <w:rFonts w:ascii="Times New Roman" w:hAnsi="Times New Roman"/>
          <w:sz w:val="26"/>
          <w:szCs w:val="26"/>
        </w:rPr>
        <w:t xml:space="preserve">      </w:t>
      </w:r>
      <w:r w:rsidRPr="008B48C3" w:rsidR="000E377C">
        <w:rPr>
          <w:rStyle w:val="FootnoteReference"/>
          <w:bCs/>
        </w:rPr>
        <w:footnoteRef/>
      </w:r>
      <w:r w:rsidRPr="008B48C3" w:rsidR="0BDB3F89">
        <w:rPr>
          <w:rFonts w:ascii="Times New Roman" w:hAnsi="Times New Roman"/>
          <w:sz w:val="26"/>
          <w:szCs w:val="26"/>
        </w:rPr>
        <w:t xml:space="preserve"> The regulation at </w:t>
      </w:r>
      <w:r w:rsidRPr="008B48C3" w:rsidR="00A03C75">
        <w:rPr>
          <w:rFonts w:ascii="Times New Roman" w:hAnsi="Times New Roman"/>
          <w:sz w:val="26"/>
          <w:szCs w:val="26"/>
        </w:rPr>
        <w:t>18 CFR §</w:t>
      </w:r>
      <w:r w:rsidRPr="008B48C3" w:rsidR="0BDB3F89">
        <w:rPr>
          <w:rFonts w:ascii="Times New Roman" w:hAnsi="Times New Roman"/>
          <w:sz w:val="26"/>
          <w:szCs w:val="26"/>
        </w:rPr>
        <w:t xml:space="preserve"> 284.402(a) provides that any person who is not an interstate pipeline is granted a blanket certificate of public convenience and necessity, pursuant to section 7 of the NGA, that authorizes the certificate holder to make sales for resale of natural gas at negotiated rates in interstate commerce. Section 2(1) of the NGA (15 U.S.C. 717a(1)) defines a “person” to include an individual or corporation.</w:t>
      </w:r>
    </w:p>
  </w:footnote>
  <w:footnote w:id="5">
    <w:p w:rsidR="006B00B0" w:rsidRPr="008B48C3" w:rsidP="008B48C3" w14:paraId="11641AB2" w14:textId="12E7CE00">
      <w:pPr>
        <w:pStyle w:val="FootnoteText"/>
        <w:spacing w:after="260"/>
        <w:rPr>
          <w:sz w:val="26"/>
          <w:szCs w:val="26"/>
        </w:rPr>
      </w:pPr>
      <w:r>
        <w:rPr>
          <w:sz w:val="26"/>
          <w:szCs w:val="26"/>
        </w:rPr>
        <w:t xml:space="preserve">      </w:t>
      </w:r>
      <w:r w:rsidRPr="008B48C3" w:rsidR="000E377C">
        <w:rPr>
          <w:rStyle w:val="FootnoteReference"/>
        </w:rPr>
        <w:footnoteRef/>
      </w:r>
      <w:r w:rsidRPr="008B48C3" w:rsidR="000E377C">
        <w:rPr>
          <w:sz w:val="26"/>
          <w:szCs w:val="26"/>
        </w:rPr>
        <w:t xml:space="preserve"> </w:t>
      </w:r>
      <w:r w:rsidRPr="008B48C3" w:rsidR="000E377C">
        <w:rPr>
          <w:rFonts w:ascii="Times New Roman" w:hAnsi="Times New Roman"/>
          <w:sz w:val="26"/>
          <w:szCs w:val="26"/>
        </w:rPr>
        <w:t xml:space="preserve">18 CFR </w:t>
      </w:r>
      <w:r w:rsidRPr="008B48C3" w:rsidR="00A03C75">
        <w:rPr>
          <w:rFonts w:ascii="Times New Roman" w:hAnsi="Times New Roman"/>
          <w:sz w:val="26"/>
          <w:szCs w:val="26"/>
        </w:rPr>
        <w:t xml:space="preserve">§ </w:t>
      </w:r>
      <w:r w:rsidRPr="008B48C3" w:rsidR="000E377C">
        <w:rPr>
          <w:rFonts w:ascii="Times New Roman" w:hAnsi="Times New Roman"/>
          <w:sz w:val="26"/>
          <w:szCs w:val="26"/>
        </w:rPr>
        <w:t xml:space="preserve">284.288(b) and 18 CFR </w:t>
      </w:r>
      <w:r w:rsidRPr="008B48C3" w:rsidR="00A03C75">
        <w:rPr>
          <w:rFonts w:ascii="Times New Roman" w:hAnsi="Times New Roman"/>
          <w:sz w:val="26"/>
          <w:szCs w:val="26"/>
        </w:rPr>
        <w:t xml:space="preserve">§ </w:t>
      </w:r>
      <w:r w:rsidRPr="008B48C3" w:rsidR="000E377C">
        <w:rPr>
          <w:rFonts w:ascii="Times New Roman" w:hAnsi="Times New Roman"/>
          <w:sz w:val="26"/>
          <w:szCs w:val="26"/>
        </w:rPr>
        <w:t>284.403(b)</w:t>
      </w:r>
      <w:r w:rsidRPr="008B48C3" w:rsidR="00024208">
        <w:rPr>
          <w:rFonts w:ascii="Times New Roman" w:hAnsi="Times New Roman"/>
          <w:sz w:val="26"/>
          <w:szCs w:val="26"/>
        </w:rPr>
        <w:t>.</w:t>
      </w:r>
    </w:p>
  </w:footnote>
  <w:footnote w:id="6">
    <w:p w:rsidR="00346077" w:rsidRPr="008B48C3" w:rsidP="008B48C3" w14:paraId="2E994938" w14:textId="46B09C29">
      <w:pPr>
        <w:pStyle w:val="FootnoteText"/>
        <w:spacing w:after="260"/>
        <w:rPr>
          <w:rFonts w:ascii="Times New Roman" w:hAnsi="Times New Roman" w:cs="Times New Roman"/>
          <w:sz w:val="26"/>
          <w:szCs w:val="26"/>
        </w:rPr>
      </w:pPr>
      <w:r>
        <w:rPr>
          <w:rFonts w:ascii="Times New Roman" w:hAnsi="Times New Roman" w:cs="Times New Roman"/>
          <w:sz w:val="26"/>
          <w:szCs w:val="26"/>
        </w:rPr>
        <w:t xml:space="preserve">     </w:t>
      </w:r>
      <w:r w:rsidRPr="008B48C3" w:rsidR="000E377C">
        <w:rPr>
          <w:rStyle w:val="FootnoteReference"/>
          <w:rFonts w:cs="Times New Roman"/>
        </w:rPr>
        <w:footnoteRef/>
      </w:r>
      <w:r w:rsidRPr="008B48C3" w:rsidR="000E377C">
        <w:rPr>
          <w:rFonts w:ascii="Times New Roman" w:hAnsi="Times New Roman" w:cs="Times New Roman"/>
          <w:sz w:val="26"/>
          <w:szCs w:val="26"/>
        </w:rPr>
        <w:t xml:space="preserve"> </w:t>
      </w:r>
      <w:r w:rsidRPr="008B48C3" w:rsidR="00F17DB0">
        <w:rPr>
          <w:rFonts w:ascii="Times New Roman" w:hAnsi="Times New Roman" w:cs="Times New Roman"/>
          <w:sz w:val="26"/>
          <w:szCs w:val="26"/>
        </w:rPr>
        <w:t>B</w:t>
      </w:r>
      <w:r w:rsidRPr="008B48C3" w:rsidR="000E377C">
        <w:rPr>
          <w:rFonts w:ascii="Times New Roman" w:hAnsi="Times New Roman" w:cs="Times New Roman"/>
          <w:sz w:val="26"/>
          <w:szCs w:val="26"/>
        </w:rPr>
        <w:t>urden</w:t>
      </w:r>
      <w:r w:rsidRPr="008B48C3" w:rsidR="00F17DB0">
        <w:rPr>
          <w:rFonts w:ascii="Times New Roman" w:hAnsi="Times New Roman" w:cs="Times New Roman"/>
          <w:sz w:val="26"/>
          <w:szCs w:val="26"/>
        </w:rPr>
        <w:t xml:space="preserve"> is defined</w:t>
      </w:r>
      <w:r w:rsidRPr="008B48C3" w:rsidR="000E377C">
        <w:rPr>
          <w:rFonts w:ascii="Times New Roman" w:hAnsi="Times New Roman" w:cs="Times New Roman"/>
          <w:sz w:val="26"/>
          <w:szCs w:val="26"/>
        </w:rPr>
        <w:t xml:space="preserve"> as the total time, effort, or financial resources expended by persons to generate, maintain, retain, or disclose or provide information to or for a </w:t>
      </w:r>
      <w:r w:rsidRPr="008B48C3" w:rsidR="00C30DD5">
        <w:rPr>
          <w:rFonts w:ascii="Times New Roman" w:hAnsi="Times New Roman" w:cs="Times New Roman"/>
          <w:sz w:val="26"/>
          <w:szCs w:val="26"/>
        </w:rPr>
        <w:t>f</w:t>
      </w:r>
      <w:r w:rsidRPr="008B48C3" w:rsidR="000E377C">
        <w:rPr>
          <w:rFonts w:ascii="Times New Roman" w:hAnsi="Times New Roman" w:cs="Times New Roman"/>
          <w:sz w:val="26"/>
          <w:szCs w:val="26"/>
        </w:rPr>
        <w:t>ederal agency. For further explanation of what is included in the information collection burden, refer to 5 CFR 1320.3.</w:t>
      </w:r>
    </w:p>
  </w:footnote>
  <w:footnote w:id="7">
    <w:p w:rsidR="006852E0" w:rsidRPr="008B48C3" w:rsidP="008B48C3" w14:paraId="2FC8451F" w14:textId="6D689339">
      <w:pPr>
        <w:pStyle w:val="FootnoteText"/>
        <w:tabs>
          <w:tab w:val="left" w:pos="450"/>
        </w:tabs>
        <w:spacing w:after="260"/>
        <w:rPr>
          <w:rFonts w:ascii="Times New Roman" w:hAnsi="Times New Roman" w:cs="Times New Roman"/>
          <w:sz w:val="26"/>
          <w:szCs w:val="26"/>
        </w:rPr>
      </w:pPr>
      <w:r>
        <w:rPr>
          <w:rFonts w:ascii="Times New Roman" w:hAnsi="Times New Roman" w:cs="Times New Roman"/>
          <w:sz w:val="26"/>
          <w:szCs w:val="26"/>
        </w:rPr>
        <w:t xml:space="preserve">       </w:t>
      </w:r>
      <w:r w:rsidRPr="008B48C3">
        <w:rPr>
          <w:rStyle w:val="FootnoteReference"/>
          <w:rFonts w:cs="Times New Roman"/>
        </w:rPr>
        <w:footnoteRef/>
      </w:r>
      <w:r w:rsidRPr="008B48C3">
        <w:rPr>
          <w:rFonts w:ascii="Times New Roman" w:hAnsi="Times New Roman" w:cs="Times New Roman"/>
          <w:sz w:val="26"/>
          <w:szCs w:val="26"/>
        </w:rPr>
        <w:t xml:space="preserve"> </w:t>
      </w:r>
      <w:r w:rsidRPr="008B48C3">
        <w:rPr>
          <w:rFonts w:ascii="Times New Roman" w:eastAsia="Calibri" w:hAnsi="Times New Roman" w:cs="Times New Roman"/>
          <w:sz w:val="26"/>
          <w:szCs w:val="26"/>
        </w:rPr>
        <w:t>FERC estimates that industry costs for salary plus benefits are similar to Commission costs.</w:t>
      </w:r>
      <w:r w:rsidRPr="008B48C3" w:rsidR="001565E1">
        <w:rPr>
          <w:rFonts w:ascii="Times New Roman" w:eastAsia="Calibri" w:hAnsi="Times New Roman" w:cs="Times New Roman"/>
          <w:sz w:val="26"/>
          <w:szCs w:val="26"/>
        </w:rPr>
        <w:t xml:space="preserve"> </w:t>
      </w:r>
      <w:r w:rsidRPr="008B48C3">
        <w:rPr>
          <w:rFonts w:ascii="Times New Roman" w:eastAsia="Calibri" w:hAnsi="Times New Roman" w:cs="Times New Roman"/>
          <w:sz w:val="26"/>
          <w:szCs w:val="26"/>
        </w:rPr>
        <w:t>The cost figure is the FY202</w:t>
      </w:r>
      <w:r w:rsidRPr="008B48C3" w:rsidR="00502B4A">
        <w:rPr>
          <w:rFonts w:ascii="Times New Roman" w:eastAsia="Calibri" w:hAnsi="Times New Roman" w:cs="Times New Roman"/>
          <w:sz w:val="26"/>
          <w:szCs w:val="26"/>
        </w:rPr>
        <w:t>6</w:t>
      </w:r>
      <w:r w:rsidRPr="008B48C3">
        <w:rPr>
          <w:rFonts w:ascii="Times New Roman" w:eastAsia="Calibri" w:hAnsi="Times New Roman" w:cs="Times New Roman"/>
          <w:sz w:val="26"/>
          <w:szCs w:val="26"/>
        </w:rPr>
        <w:t xml:space="preserve"> FERC average annual salary plus benefits ($2</w:t>
      </w:r>
      <w:r w:rsidRPr="008B48C3" w:rsidR="00455013">
        <w:rPr>
          <w:rFonts w:ascii="Times New Roman" w:eastAsia="Calibri" w:hAnsi="Times New Roman" w:cs="Times New Roman"/>
          <w:sz w:val="26"/>
          <w:szCs w:val="26"/>
        </w:rPr>
        <w:t>13,003</w:t>
      </w:r>
      <w:r w:rsidRPr="008B48C3" w:rsidR="00E1426F">
        <w:rPr>
          <w:rFonts w:ascii="Times New Roman" w:eastAsia="Calibri" w:hAnsi="Times New Roman" w:cs="Times New Roman"/>
          <w:sz w:val="26"/>
          <w:szCs w:val="26"/>
        </w:rPr>
        <w:t xml:space="preserve"> </w:t>
      </w:r>
      <w:r w:rsidRPr="008B48C3">
        <w:rPr>
          <w:rFonts w:ascii="Times New Roman" w:eastAsia="Calibri" w:hAnsi="Times New Roman" w:cs="Times New Roman"/>
          <w:sz w:val="26"/>
          <w:szCs w:val="26"/>
        </w:rPr>
        <w:t>year or $10</w:t>
      </w:r>
      <w:r w:rsidRPr="008B48C3" w:rsidR="00455013">
        <w:rPr>
          <w:rFonts w:ascii="Times New Roman" w:eastAsia="Calibri" w:hAnsi="Times New Roman" w:cs="Times New Roman"/>
          <w:sz w:val="26"/>
          <w:szCs w:val="26"/>
        </w:rPr>
        <w:t>2</w:t>
      </w:r>
      <w:r w:rsidRPr="008B48C3">
        <w:rPr>
          <w:rFonts w:ascii="Times New Roman" w:eastAsia="Calibri" w:hAnsi="Times New Roman" w:cs="Times New Roman"/>
          <w:sz w:val="26"/>
          <w:szCs w:val="26"/>
        </w:rPr>
        <w:t>/hour).</w:t>
      </w:r>
      <w:r w:rsidRPr="008B48C3" w:rsidR="001565E1">
        <w:rPr>
          <w:rFonts w:ascii="Times New Roman" w:eastAsia="Calibri" w:hAnsi="Times New Roman" w:cs="Times New Roman"/>
          <w:sz w:val="26"/>
          <w:szCs w:val="26"/>
        </w:rPr>
        <w:t xml:space="preserve"> </w:t>
      </w:r>
      <w:r w:rsidRPr="008B48C3" w:rsidR="00F06703">
        <w:rPr>
          <w:rFonts w:ascii="Times New Roman" w:eastAsia="Calibri" w:hAnsi="Times New Roman" w:cs="Times New Roman"/>
          <w:sz w:val="26"/>
          <w:szCs w:val="26"/>
        </w:rPr>
        <w:t xml:space="preserve">The exception is </w:t>
      </w:r>
      <w:r w:rsidRPr="008B48C3" w:rsidR="008E6ED1">
        <w:rPr>
          <w:rFonts w:ascii="Times New Roman" w:eastAsia="Calibri" w:hAnsi="Times New Roman" w:cs="Times New Roman"/>
          <w:sz w:val="26"/>
          <w:szCs w:val="26"/>
        </w:rPr>
        <w:t>for the Record Retention line</w:t>
      </w:r>
      <w:r w:rsidRPr="008B48C3" w:rsidR="00722E80">
        <w:rPr>
          <w:rFonts w:ascii="Times New Roman" w:eastAsia="Calibri" w:hAnsi="Times New Roman" w:cs="Times New Roman"/>
          <w:sz w:val="26"/>
          <w:szCs w:val="26"/>
        </w:rPr>
        <w:t xml:space="preserve"> of</w:t>
      </w:r>
      <w:r w:rsidRPr="008B48C3" w:rsidR="008E6ED1">
        <w:rPr>
          <w:rFonts w:ascii="Times New Roman" w:eastAsia="Calibri" w:hAnsi="Times New Roman" w:cs="Times New Roman"/>
          <w:sz w:val="26"/>
          <w:szCs w:val="26"/>
        </w:rPr>
        <w:t xml:space="preserve"> </w:t>
      </w:r>
      <w:r w:rsidRPr="008B48C3" w:rsidR="00F06703">
        <w:rPr>
          <w:rFonts w:ascii="Times New Roman" w:eastAsia="Calibri" w:hAnsi="Times New Roman" w:cs="Times New Roman"/>
          <w:sz w:val="26"/>
          <w:szCs w:val="26"/>
        </w:rPr>
        <w:t>$29.36 hourly</w:t>
      </w:r>
      <w:r w:rsidRPr="008B48C3" w:rsidR="00722E80">
        <w:rPr>
          <w:rFonts w:ascii="Times New Roman" w:eastAsia="Calibri" w:hAnsi="Times New Roman" w:cs="Times New Roman"/>
          <w:sz w:val="26"/>
          <w:szCs w:val="26"/>
        </w:rPr>
        <w:t>, which</w:t>
      </w:r>
      <w:r w:rsidRPr="008B48C3" w:rsidR="00F06703">
        <w:rPr>
          <w:rFonts w:ascii="Times New Roman" w:eastAsia="Calibri" w:hAnsi="Times New Roman" w:cs="Times New Roman"/>
          <w:sz w:val="26"/>
          <w:szCs w:val="26"/>
        </w:rPr>
        <w:t xml:space="preserve"> comes from the average cost (wages plus benefits) of a file clerk (Occupation Code 43-4071) as posted on the BLS website (http://www.bls.gov/oes/current/naics2_22.htm).</w:t>
      </w:r>
    </w:p>
  </w:footnote>
  <w:footnote w:id="8">
    <w:p w:rsidR="00431598" w:rsidRPr="008B48C3" w:rsidP="008B48C3" w14:paraId="359FFEB7" w14:textId="6D3D0277">
      <w:pPr>
        <w:pStyle w:val="FootnoteText"/>
        <w:spacing w:after="260"/>
        <w:rPr>
          <w:rFonts w:ascii="Times New Roman" w:hAnsi="Times New Roman" w:cs="Times New Roman"/>
          <w:sz w:val="26"/>
          <w:szCs w:val="26"/>
        </w:rPr>
      </w:pPr>
      <w:r>
        <w:rPr>
          <w:rFonts w:ascii="Times New Roman" w:hAnsi="Times New Roman" w:cs="Times New Roman"/>
          <w:sz w:val="26"/>
          <w:szCs w:val="26"/>
        </w:rPr>
        <w:t xml:space="preserve">      </w:t>
      </w:r>
      <w:r w:rsidRPr="008B48C3">
        <w:rPr>
          <w:rStyle w:val="FootnoteReference"/>
          <w:rFonts w:cs="Times New Roman"/>
        </w:rPr>
        <w:footnoteRef/>
      </w:r>
      <w:r w:rsidRPr="008B48C3">
        <w:rPr>
          <w:rFonts w:ascii="Times New Roman" w:hAnsi="Times New Roman" w:cs="Times New Roman"/>
          <w:sz w:val="26"/>
          <w:szCs w:val="26"/>
        </w:rPr>
        <w:t xml:space="preserve"> The entities affected by 18 CFR 284.123(b) and (e) are intrastate pipelines.</w:t>
      </w:r>
      <w:r w:rsidRPr="008B48C3" w:rsidR="0011151B">
        <w:rPr>
          <w:rFonts w:ascii="Times New Roman" w:hAnsi="Times New Roman" w:cs="Times New Roman"/>
          <w:sz w:val="26"/>
          <w:szCs w:val="26"/>
        </w:rPr>
        <w:t xml:space="preserve">  Interstate and intrastate pipelines are affected by 18 CFR 284.102(e). Since 2016, the Commission has not received any filings under 18 CFR 284.102(e).</w:t>
      </w:r>
      <w:r w:rsidRPr="008B48C3" w:rsidR="0084108B">
        <w:rPr>
          <w:rFonts w:ascii="Times New Roman" w:hAnsi="Times New Roman" w:cs="Times New Roman"/>
          <w:sz w:val="26"/>
          <w:szCs w:val="26"/>
        </w:rPr>
        <w:t xml:space="preserve"> </w:t>
      </w:r>
    </w:p>
  </w:footnote>
  <w:footnote w:id="9">
    <w:p w:rsidR="00D55DC4" w:rsidRPr="008B48C3" w:rsidP="008B48C3" w14:paraId="2E08A80F" w14:textId="5A12581A">
      <w:pPr>
        <w:pStyle w:val="FootnoteText"/>
        <w:spacing w:after="260"/>
        <w:rPr>
          <w:rFonts w:ascii="Times New Roman" w:hAnsi="Times New Roman" w:cs="Times New Roman"/>
          <w:sz w:val="26"/>
          <w:szCs w:val="26"/>
        </w:rPr>
      </w:pPr>
      <w:r>
        <w:rPr>
          <w:rFonts w:ascii="Times New Roman" w:hAnsi="Times New Roman" w:cs="Times New Roman"/>
          <w:sz w:val="26"/>
          <w:szCs w:val="26"/>
        </w:rPr>
        <w:t xml:space="preserve">      </w:t>
      </w:r>
      <w:r w:rsidRPr="008B48C3">
        <w:rPr>
          <w:rStyle w:val="FootnoteReference"/>
          <w:rFonts w:cs="Times New Roman"/>
        </w:rPr>
        <w:footnoteRef/>
      </w:r>
      <w:r w:rsidRPr="008B48C3">
        <w:rPr>
          <w:rFonts w:ascii="Times New Roman" w:hAnsi="Times New Roman" w:cs="Times New Roman"/>
          <w:sz w:val="26"/>
          <w:szCs w:val="26"/>
        </w:rPr>
        <w:t xml:space="preserve"> 18 CFR §</w:t>
      </w:r>
      <w:r w:rsidRPr="008B48C3" w:rsidR="00B000F6">
        <w:rPr>
          <w:rFonts w:ascii="Times New Roman" w:hAnsi="Times New Roman" w:cs="Times New Roman"/>
          <w:sz w:val="26"/>
          <w:szCs w:val="26"/>
        </w:rPr>
        <w:t>§</w:t>
      </w:r>
      <w:r w:rsidRPr="008B48C3">
        <w:rPr>
          <w:rFonts w:ascii="Times New Roman" w:hAnsi="Times New Roman" w:cs="Times New Roman"/>
          <w:sz w:val="26"/>
          <w:szCs w:val="26"/>
        </w:rPr>
        <w:t xml:space="preserve"> 284.501</w:t>
      </w:r>
      <w:r w:rsidRPr="008B48C3" w:rsidR="00B000F6">
        <w:rPr>
          <w:rFonts w:ascii="Times New Roman" w:hAnsi="Times New Roman" w:cs="Times New Roman"/>
          <w:sz w:val="26"/>
          <w:szCs w:val="26"/>
        </w:rPr>
        <w:t xml:space="preserve"> to .</w:t>
      </w:r>
      <w:r w:rsidRPr="008B48C3">
        <w:rPr>
          <w:rFonts w:ascii="Times New Roman" w:hAnsi="Times New Roman" w:cs="Times New Roman"/>
          <w:sz w:val="26"/>
          <w:szCs w:val="26"/>
        </w:rPr>
        <w:t>505.</w:t>
      </w:r>
    </w:p>
  </w:footnote>
  <w:footnote w:id="10">
    <w:p w:rsidR="00DC4F94" w:rsidRPr="008B48C3" w:rsidP="008B48C3" w14:paraId="201C6C66" w14:textId="5E2C87F4">
      <w:pPr>
        <w:pStyle w:val="FootnoteText"/>
        <w:spacing w:after="260"/>
        <w:rPr>
          <w:rFonts w:ascii="Times New Roman" w:hAnsi="Times New Roman" w:cs="Times New Roman"/>
          <w:sz w:val="26"/>
          <w:szCs w:val="26"/>
        </w:rPr>
      </w:pPr>
      <w:r>
        <w:rPr>
          <w:rFonts w:ascii="Times New Roman" w:hAnsi="Times New Roman" w:cs="Times New Roman"/>
          <w:sz w:val="26"/>
          <w:szCs w:val="26"/>
        </w:rPr>
        <w:t xml:space="preserve">      </w:t>
      </w:r>
      <w:r w:rsidRPr="008B48C3">
        <w:rPr>
          <w:rStyle w:val="FootnoteReference"/>
          <w:rFonts w:cs="Times New Roman"/>
        </w:rPr>
        <w:footnoteRef/>
      </w:r>
      <w:r w:rsidRPr="008B48C3">
        <w:rPr>
          <w:rFonts w:ascii="Times New Roman" w:hAnsi="Times New Roman" w:cs="Times New Roman"/>
          <w:sz w:val="26"/>
          <w:szCs w:val="26"/>
        </w:rPr>
        <w:t xml:space="preserve"> 18 CFR §</w:t>
      </w:r>
      <w:r w:rsidRPr="008B48C3" w:rsidR="00B000F6">
        <w:rPr>
          <w:rFonts w:ascii="Times New Roman" w:hAnsi="Times New Roman" w:cs="Times New Roman"/>
          <w:sz w:val="26"/>
          <w:szCs w:val="26"/>
        </w:rPr>
        <w:t>§</w:t>
      </w:r>
      <w:r w:rsidRPr="008B48C3">
        <w:rPr>
          <w:rFonts w:ascii="Times New Roman" w:hAnsi="Times New Roman" w:cs="Times New Roman"/>
          <w:sz w:val="26"/>
          <w:szCs w:val="26"/>
        </w:rPr>
        <w:t xml:space="preserve"> 284.501</w:t>
      </w:r>
      <w:r w:rsidRPr="008B48C3" w:rsidR="00B000F6">
        <w:rPr>
          <w:rFonts w:ascii="Times New Roman" w:hAnsi="Times New Roman" w:cs="Times New Roman"/>
          <w:sz w:val="26"/>
          <w:szCs w:val="26"/>
        </w:rPr>
        <w:t xml:space="preserve"> to .</w:t>
      </w:r>
      <w:r w:rsidRPr="008B48C3">
        <w:rPr>
          <w:rFonts w:ascii="Times New Roman" w:hAnsi="Times New Roman" w:cs="Times New Roman"/>
          <w:sz w:val="26"/>
          <w:szCs w:val="26"/>
        </w:rPr>
        <w:t>505.</w:t>
      </w:r>
      <w:r w:rsidRPr="008B48C3" w:rsidR="00393938">
        <w:rPr>
          <w:rFonts w:ascii="Times New Roman" w:hAnsi="Times New Roman" w:cs="Times New Roman"/>
          <w:sz w:val="26"/>
          <w:szCs w:val="26"/>
        </w:rPr>
        <w:t xml:space="preserve"> This new row was added to account for the differences between initial MBR filings and MBR filings pertaining </w:t>
      </w:r>
      <w:r w:rsidRPr="008B48C3" w:rsidR="00177780">
        <w:rPr>
          <w:rFonts w:ascii="Times New Roman" w:hAnsi="Times New Roman" w:cs="Times New Roman"/>
          <w:sz w:val="26"/>
          <w:szCs w:val="26"/>
        </w:rPr>
        <w:t>to a change in circumstances.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6077" w:rsidRPr="00093E00" w14:paraId="12F1BB6A" w14:textId="6C75CB91">
    <w:pPr>
      <w:pStyle w:val="Header"/>
      <w:jc w:val="right"/>
      <w:rPr>
        <w:rFonts w:ascii="Times New Roman" w:hAnsi="Times New Roman" w:cs="Times New Roman"/>
        <w:sz w:val="24"/>
        <w:szCs w:val="24"/>
      </w:rPr>
    </w:pPr>
    <w:sdt>
      <w:sdtPr>
        <w:rPr>
          <w:rFonts w:ascii="Times New Roman" w:hAnsi="Times New Roman" w:cs="Times New Roman"/>
          <w:sz w:val="24"/>
          <w:szCs w:val="24"/>
        </w:rPr>
        <w:id w:val="1789858271"/>
        <w:docPartObj>
          <w:docPartGallery w:val="Page Numbers (Top of Page)"/>
          <w:docPartUnique/>
        </w:docPartObj>
      </w:sdtPr>
      <w:sdtEndPr>
        <w:rPr>
          <w:noProof/>
        </w:rPr>
      </w:sdtEndPr>
      <w:sdtContent>
        <w:r w:rsidRPr="6CA7A0A3" w:rsidR="6CA7A0A3">
          <w:rPr>
            <w:rFonts w:ascii="Times New Roman" w:hAnsi="Times New Roman" w:cs="Times New Roman"/>
            <w:sz w:val="24"/>
            <w:szCs w:val="24"/>
          </w:rPr>
          <w:t>Docket No. IC26-17-000</w:t>
        </w:r>
        <w:r w:rsidR="000E377C">
          <w:tab/>
        </w:r>
        <w:r w:rsidR="000E377C">
          <w:tab/>
        </w:r>
        <w:r w:rsidRPr="6CA7A0A3" w:rsidR="6CA7A0A3">
          <w:rPr>
            <w:rFonts w:ascii="Times New Roman" w:hAnsi="Times New Roman" w:cs="Times New Roman"/>
            <w:sz w:val="24"/>
            <w:szCs w:val="24"/>
          </w:rPr>
          <w:t xml:space="preserve"> </w:t>
        </w:r>
        <w:r w:rsidRPr="6CA7A0A3" w:rsidR="000E377C">
          <w:rPr>
            <w:rFonts w:ascii="Times New Roman" w:hAnsi="Times New Roman" w:cs="Times New Roman"/>
            <w:noProof/>
            <w:sz w:val="24"/>
            <w:szCs w:val="24"/>
          </w:rPr>
          <w:fldChar w:fldCharType="begin"/>
        </w:r>
        <w:r w:rsidRPr="6CA7A0A3" w:rsidR="000E377C">
          <w:rPr>
            <w:rFonts w:ascii="Times New Roman" w:hAnsi="Times New Roman" w:cs="Times New Roman"/>
            <w:sz w:val="24"/>
            <w:szCs w:val="24"/>
          </w:rPr>
          <w:instrText xml:space="preserve"> PAGE   \* MERGEFORMAT </w:instrText>
        </w:r>
        <w:r w:rsidRPr="6CA7A0A3" w:rsidR="000E377C">
          <w:rPr>
            <w:rFonts w:ascii="Times New Roman" w:hAnsi="Times New Roman" w:cs="Times New Roman"/>
            <w:sz w:val="24"/>
            <w:szCs w:val="24"/>
          </w:rPr>
          <w:fldChar w:fldCharType="separate"/>
        </w:r>
        <w:r w:rsidRPr="6CA7A0A3" w:rsidR="6CA7A0A3">
          <w:rPr>
            <w:rFonts w:ascii="Times New Roman" w:hAnsi="Times New Roman" w:cs="Times New Roman"/>
            <w:noProof/>
            <w:sz w:val="24"/>
            <w:szCs w:val="24"/>
          </w:rPr>
          <w:t>2</w:t>
        </w:r>
        <w:r w:rsidRPr="6CA7A0A3" w:rsidR="000E377C">
          <w:rPr>
            <w:rFonts w:ascii="Times New Roman" w:hAnsi="Times New Roman" w:cs="Times New Roman"/>
            <w:noProof/>
            <w:sz w:val="24"/>
            <w:szCs w:val="24"/>
          </w:rPr>
          <w:fldChar w:fldCharType="end"/>
        </w:r>
      </w:sdtContent>
    </w:sdt>
  </w:p>
  <w:p w:rsidR="00346077" w:rsidRPr="00093E00" w14:paraId="0DC08035" w14:textId="77777777">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6077" w14:paraId="17542D39" w14:textId="7D1E9A28">
    <w:pPr>
      <w:pStyle w:val="Header"/>
      <w:jc w:val="right"/>
    </w:pPr>
  </w:p>
  <w:p w:rsidR="00346077" w14:paraId="4622F39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6F0CC7"/>
    <w:multiLevelType w:val="hybridMultilevel"/>
    <w:tmpl w:val="96B4E7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A7DAEAE"/>
    <w:multiLevelType w:val="hybridMultilevel"/>
    <w:tmpl w:val="691E22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339764E2"/>
    <w:multiLevelType w:val="hybridMultilevel"/>
    <w:tmpl w:val="DC5672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2B90142"/>
    <w:multiLevelType w:val="hybridMultilevel"/>
    <w:tmpl w:val="5DC259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9091260"/>
    <w:multiLevelType w:val="hybridMultilevel"/>
    <w:tmpl w:val="42C849F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60413DC"/>
    <w:multiLevelType w:val="hybridMultilevel"/>
    <w:tmpl w:val="3C588EE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
    <w:nsid w:val="667D17C4"/>
    <w:multiLevelType w:val="hybridMultilevel"/>
    <w:tmpl w:val="BAD2A4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8E91307"/>
    <w:multiLevelType w:val="hybridMultilevel"/>
    <w:tmpl w:val="066244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D991F60"/>
    <w:multiLevelType w:val="hybridMultilevel"/>
    <w:tmpl w:val="B7C82360"/>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64928247">
    <w:abstractNumId w:val="1"/>
  </w:num>
  <w:num w:numId="2" w16cid:durableId="2110464595">
    <w:abstractNumId w:val="0"/>
  </w:num>
  <w:num w:numId="3" w16cid:durableId="484902857">
    <w:abstractNumId w:val="2"/>
  </w:num>
  <w:num w:numId="4" w16cid:durableId="872041155">
    <w:abstractNumId w:val="7"/>
  </w:num>
  <w:num w:numId="5" w16cid:durableId="1936589310">
    <w:abstractNumId w:val="5"/>
  </w:num>
  <w:num w:numId="6" w16cid:durableId="1650477912">
    <w:abstractNumId w:val="6"/>
  </w:num>
  <w:num w:numId="7" w16cid:durableId="813915016">
    <w:abstractNumId w:val="3"/>
  </w:num>
  <w:num w:numId="8" w16cid:durableId="681277886">
    <w:abstractNumId w:val="4"/>
  </w:num>
  <w:num w:numId="9" w16cid:durableId="5452233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D3F"/>
    <w:rsid w:val="00003CEB"/>
    <w:rsid w:val="00005C43"/>
    <w:rsid w:val="00006688"/>
    <w:rsid w:val="00020ACB"/>
    <w:rsid w:val="00020BF9"/>
    <w:rsid w:val="00021FFF"/>
    <w:rsid w:val="00022D68"/>
    <w:rsid w:val="00024208"/>
    <w:rsid w:val="00024B44"/>
    <w:rsid w:val="000309FB"/>
    <w:rsid w:val="00032162"/>
    <w:rsid w:val="00037D6A"/>
    <w:rsid w:val="000400C4"/>
    <w:rsid w:val="000403B8"/>
    <w:rsid w:val="00045348"/>
    <w:rsid w:val="00047FB1"/>
    <w:rsid w:val="00051BEB"/>
    <w:rsid w:val="0005602C"/>
    <w:rsid w:val="000565BC"/>
    <w:rsid w:val="000618EA"/>
    <w:rsid w:val="0007119B"/>
    <w:rsid w:val="00074992"/>
    <w:rsid w:val="00076023"/>
    <w:rsid w:val="000767CD"/>
    <w:rsid w:val="00082999"/>
    <w:rsid w:val="00083CA5"/>
    <w:rsid w:val="0009033C"/>
    <w:rsid w:val="00091C32"/>
    <w:rsid w:val="00093E00"/>
    <w:rsid w:val="00093E85"/>
    <w:rsid w:val="00095D55"/>
    <w:rsid w:val="00096548"/>
    <w:rsid w:val="00096710"/>
    <w:rsid w:val="000A09E6"/>
    <w:rsid w:val="000A2063"/>
    <w:rsid w:val="000A779F"/>
    <w:rsid w:val="000B12EE"/>
    <w:rsid w:val="000B197D"/>
    <w:rsid w:val="000B31E6"/>
    <w:rsid w:val="000B3B48"/>
    <w:rsid w:val="000B7A1A"/>
    <w:rsid w:val="000C2EAF"/>
    <w:rsid w:val="000C64F3"/>
    <w:rsid w:val="000C6AD3"/>
    <w:rsid w:val="000D1AE3"/>
    <w:rsid w:val="000D7958"/>
    <w:rsid w:val="000E377C"/>
    <w:rsid w:val="000E4343"/>
    <w:rsid w:val="000F2CAE"/>
    <w:rsid w:val="000F5767"/>
    <w:rsid w:val="00102A1B"/>
    <w:rsid w:val="00103589"/>
    <w:rsid w:val="00103AE0"/>
    <w:rsid w:val="00103F64"/>
    <w:rsid w:val="00107004"/>
    <w:rsid w:val="0011151B"/>
    <w:rsid w:val="0011443B"/>
    <w:rsid w:val="00122242"/>
    <w:rsid w:val="00131985"/>
    <w:rsid w:val="0013624B"/>
    <w:rsid w:val="0013687F"/>
    <w:rsid w:val="00140E1F"/>
    <w:rsid w:val="0014454B"/>
    <w:rsid w:val="00145468"/>
    <w:rsid w:val="00147A9D"/>
    <w:rsid w:val="001534EA"/>
    <w:rsid w:val="00153EA1"/>
    <w:rsid w:val="001565E1"/>
    <w:rsid w:val="00162270"/>
    <w:rsid w:val="00165645"/>
    <w:rsid w:val="00172311"/>
    <w:rsid w:val="001723BB"/>
    <w:rsid w:val="00176916"/>
    <w:rsid w:val="00177780"/>
    <w:rsid w:val="001800AF"/>
    <w:rsid w:val="00180A41"/>
    <w:rsid w:val="00184E44"/>
    <w:rsid w:val="00187821"/>
    <w:rsid w:val="00191B4A"/>
    <w:rsid w:val="001920DA"/>
    <w:rsid w:val="00196065"/>
    <w:rsid w:val="001972FB"/>
    <w:rsid w:val="001973F9"/>
    <w:rsid w:val="001A1128"/>
    <w:rsid w:val="001A1647"/>
    <w:rsid w:val="001A41C0"/>
    <w:rsid w:val="001A5291"/>
    <w:rsid w:val="001B029A"/>
    <w:rsid w:val="001B1C69"/>
    <w:rsid w:val="001B2956"/>
    <w:rsid w:val="001B3223"/>
    <w:rsid w:val="001B6DF4"/>
    <w:rsid w:val="001B6F1F"/>
    <w:rsid w:val="001B7D12"/>
    <w:rsid w:val="001C3607"/>
    <w:rsid w:val="001C4BF7"/>
    <w:rsid w:val="001C589F"/>
    <w:rsid w:val="001C73C6"/>
    <w:rsid w:val="001D0E8F"/>
    <w:rsid w:val="001D4217"/>
    <w:rsid w:val="001D5376"/>
    <w:rsid w:val="001D7F09"/>
    <w:rsid w:val="001F072A"/>
    <w:rsid w:val="001F186D"/>
    <w:rsid w:val="001F42D4"/>
    <w:rsid w:val="00202CA7"/>
    <w:rsid w:val="0020383C"/>
    <w:rsid w:val="002079CF"/>
    <w:rsid w:val="0021260D"/>
    <w:rsid w:val="00213565"/>
    <w:rsid w:val="002149DB"/>
    <w:rsid w:val="00215CCF"/>
    <w:rsid w:val="00216C87"/>
    <w:rsid w:val="002311B5"/>
    <w:rsid w:val="0023168E"/>
    <w:rsid w:val="00234FEA"/>
    <w:rsid w:val="002408DA"/>
    <w:rsid w:val="00240B55"/>
    <w:rsid w:val="00243B92"/>
    <w:rsid w:val="002544C1"/>
    <w:rsid w:val="00254E36"/>
    <w:rsid w:val="00266544"/>
    <w:rsid w:val="00267984"/>
    <w:rsid w:val="0027175B"/>
    <w:rsid w:val="002736F7"/>
    <w:rsid w:val="002815BD"/>
    <w:rsid w:val="002835EC"/>
    <w:rsid w:val="00284FDB"/>
    <w:rsid w:val="002865F7"/>
    <w:rsid w:val="00287AA1"/>
    <w:rsid w:val="0029413B"/>
    <w:rsid w:val="002943A7"/>
    <w:rsid w:val="00296D85"/>
    <w:rsid w:val="002973C9"/>
    <w:rsid w:val="002977ED"/>
    <w:rsid w:val="002A0B59"/>
    <w:rsid w:val="002A1E9F"/>
    <w:rsid w:val="002A3DED"/>
    <w:rsid w:val="002A3EDC"/>
    <w:rsid w:val="002A5732"/>
    <w:rsid w:val="002B0EE0"/>
    <w:rsid w:val="002B2603"/>
    <w:rsid w:val="002B6E7F"/>
    <w:rsid w:val="002B7D0C"/>
    <w:rsid w:val="002C1716"/>
    <w:rsid w:val="002C1DD8"/>
    <w:rsid w:val="002C24D8"/>
    <w:rsid w:val="002C61EF"/>
    <w:rsid w:val="002C6ED3"/>
    <w:rsid w:val="002D1114"/>
    <w:rsid w:val="002D19FF"/>
    <w:rsid w:val="002D2DBD"/>
    <w:rsid w:val="002D39F6"/>
    <w:rsid w:val="002D3B37"/>
    <w:rsid w:val="002D52C7"/>
    <w:rsid w:val="002D5759"/>
    <w:rsid w:val="002D5784"/>
    <w:rsid w:val="002E29A5"/>
    <w:rsid w:val="002E729D"/>
    <w:rsid w:val="002E7B3F"/>
    <w:rsid w:val="002F09CA"/>
    <w:rsid w:val="002F17FD"/>
    <w:rsid w:val="002F1D68"/>
    <w:rsid w:val="002F2136"/>
    <w:rsid w:val="002F2B0E"/>
    <w:rsid w:val="002F57DB"/>
    <w:rsid w:val="002F73C7"/>
    <w:rsid w:val="00303F9F"/>
    <w:rsid w:val="00304D89"/>
    <w:rsid w:val="00310953"/>
    <w:rsid w:val="00314ADD"/>
    <w:rsid w:val="003203B3"/>
    <w:rsid w:val="00320E05"/>
    <w:rsid w:val="00321F5B"/>
    <w:rsid w:val="00323CB1"/>
    <w:rsid w:val="00325647"/>
    <w:rsid w:val="003301AE"/>
    <w:rsid w:val="00330EF9"/>
    <w:rsid w:val="0033158D"/>
    <w:rsid w:val="0033285B"/>
    <w:rsid w:val="00334A94"/>
    <w:rsid w:val="00336AD0"/>
    <w:rsid w:val="003415CC"/>
    <w:rsid w:val="00341F38"/>
    <w:rsid w:val="00342190"/>
    <w:rsid w:val="00345116"/>
    <w:rsid w:val="003455FF"/>
    <w:rsid w:val="00346077"/>
    <w:rsid w:val="003476A6"/>
    <w:rsid w:val="003528EC"/>
    <w:rsid w:val="00354A70"/>
    <w:rsid w:val="00360A25"/>
    <w:rsid w:val="00361E96"/>
    <w:rsid w:val="003665C1"/>
    <w:rsid w:val="00367987"/>
    <w:rsid w:val="00367C64"/>
    <w:rsid w:val="0037461E"/>
    <w:rsid w:val="00382A80"/>
    <w:rsid w:val="00390BAB"/>
    <w:rsid w:val="00393442"/>
    <w:rsid w:val="00393938"/>
    <w:rsid w:val="003A0A27"/>
    <w:rsid w:val="003A0D6B"/>
    <w:rsid w:val="003A104B"/>
    <w:rsid w:val="003A3DAE"/>
    <w:rsid w:val="003A480E"/>
    <w:rsid w:val="003A5179"/>
    <w:rsid w:val="003A6160"/>
    <w:rsid w:val="003A6914"/>
    <w:rsid w:val="003B427B"/>
    <w:rsid w:val="003B45CC"/>
    <w:rsid w:val="003B5DDA"/>
    <w:rsid w:val="003B76BC"/>
    <w:rsid w:val="003B7F4D"/>
    <w:rsid w:val="003C0E79"/>
    <w:rsid w:val="003C1341"/>
    <w:rsid w:val="003C57EC"/>
    <w:rsid w:val="003D0842"/>
    <w:rsid w:val="003D56D4"/>
    <w:rsid w:val="003D66A4"/>
    <w:rsid w:val="003E1BCB"/>
    <w:rsid w:val="003E459E"/>
    <w:rsid w:val="003E7086"/>
    <w:rsid w:val="003F000E"/>
    <w:rsid w:val="003F33A7"/>
    <w:rsid w:val="003F536A"/>
    <w:rsid w:val="003F7BE5"/>
    <w:rsid w:val="00411025"/>
    <w:rsid w:val="00413856"/>
    <w:rsid w:val="004158BA"/>
    <w:rsid w:val="00421720"/>
    <w:rsid w:val="00422264"/>
    <w:rsid w:val="00422D28"/>
    <w:rsid w:val="00431598"/>
    <w:rsid w:val="00433988"/>
    <w:rsid w:val="00434533"/>
    <w:rsid w:val="004347EA"/>
    <w:rsid w:val="00441605"/>
    <w:rsid w:val="00442F80"/>
    <w:rsid w:val="00450550"/>
    <w:rsid w:val="00453F3A"/>
    <w:rsid w:val="00454437"/>
    <w:rsid w:val="00455013"/>
    <w:rsid w:val="00456117"/>
    <w:rsid w:val="004574D9"/>
    <w:rsid w:val="00457DBE"/>
    <w:rsid w:val="004606F9"/>
    <w:rsid w:val="00460CE5"/>
    <w:rsid w:val="00464045"/>
    <w:rsid w:val="004659AB"/>
    <w:rsid w:val="00466D3F"/>
    <w:rsid w:val="00467BC4"/>
    <w:rsid w:val="00470B17"/>
    <w:rsid w:val="004714D5"/>
    <w:rsid w:val="00474C1F"/>
    <w:rsid w:val="004826BF"/>
    <w:rsid w:val="00486EA4"/>
    <w:rsid w:val="004873A9"/>
    <w:rsid w:val="00492572"/>
    <w:rsid w:val="004933ED"/>
    <w:rsid w:val="00494551"/>
    <w:rsid w:val="00495213"/>
    <w:rsid w:val="00495599"/>
    <w:rsid w:val="00495A22"/>
    <w:rsid w:val="004A2630"/>
    <w:rsid w:val="004A3B0F"/>
    <w:rsid w:val="004B2205"/>
    <w:rsid w:val="004B437A"/>
    <w:rsid w:val="004B4CFD"/>
    <w:rsid w:val="004B5060"/>
    <w:rsid w:val="004C15A5"/>
    <w:rsid w:val="004C163A"/>
    <w:rsid w:val="004C23FC"/>
    <w:rsid w:val="004C3D4D"/>
    <w:rsid w:val="004C46B8"/>
    <w:rsid w:val="004C4724"/>
    <w:rsid w:val="004D01CC"/>
    <w:rsid w:val="004D073C"/>
    <w:rsid w:val="004E085D"/>
    <w:rsid w:val="004E0958"/>
    <w:rsid w:val="004F1A9A"/>
    <w:rsid w:val="004F278B"/>
    <w:rsid w:val="004F605F"/>
    <w:rsid w:val="00502B4A"/>
    <w:rsid w:val="00504341"/>
    <w:rsid w:val="0050718F"/>
    <w:rsid w:val="0051428A"/>
    <w:rsid w:val="00514514"/>
    <w:rsid w:val="005151CD"/>
    <w:rsid w:val="00515837"/>
    <w:rsid w:val="00515998"/>
    <w:rsid w:val="00523CFF"/>
    <w:rsid w:val="005261CC"/>
    <w:rsid w:val="005336B0"/>
    <w:rsid w:val="00533798"/>
    <w:rsid w:val="00534BFE"/>
    <w:rsid w:val="0053522F"/>
    <w:rsid w:val="005362B7"/>
    <w:rsid w:val="005369EB"/>
    <w:rsid w:val="00537BD7"/>
    <w:rsid w:val="00540E36"/>
    <w:rsid w:val="0054198E"/>
    <w:rsid w:val="00541E07"/>
    <w:rsid w:val="005421D0"/>
    <w:rsid w:val="005439B2"/>
    <w:rsid w:val="00546048"/>
    <w:rsid w:val="00551A4D"/>
    <w:rsid w:val="005537FE"/>
    <w:rsid w:val="00553C5C"/>
    <w:rsid w:val="00556B37"/>
    <w:rsid w:val="00563FDC"/>
    <w:rsid w:val="00574D56"/>
    <w:rsid w:val="00574F35"/>
    <w:rsid w:val="00576BC9"/>
    <w:rsid w:val="005810E9"/>
    <w:rsid w:val="00581485"/>
    <w:rsid w:val="00584A8D"/>
    <w:rsid w:val="00586F59"/>
    <w:rsid w:val="00591DCE"/>
    <w:rsid w:val="00597C35"/>
    <w:rsid w:val="005A6E75"/>
    <w:rsid w:val="005B038C"/>
    <w:rsid w:val="005B04E1"/>
    <w:rsid w:val="005B1F29"/>
    <w:rsid w:val="005B5602"/>
    <w:rsid w:val="005C0AC4"/>
    <w:rsid w:val="005C7D81"/>
    <w:rsid w:val="005D0443"/>
    <w:rsid w:val="005D24A9"/>
    <w:rsid w:val="005D2C0E"/>
    <w:rsid w:val="005D4FBC"/>
    <w:rsid w:val="005D740E"/>
    <w:rsid w:val="005E1AA4"/>
    <w:rsid w:val="005E5A35"/>
    <w:rsid w:val="005F055D"/>
    <w:rsid w:val="005F2224"/>
    <w:rsid w:val="005F5CD0"/>
    <w:rsid w:val="00600738"/>
    <w:rsid w:val="00600A69"/>
    <w:rsid w:val="00615765"/>
    <w:rsid w:val="006158E2"/>
    <w:rsid w:val="00623298"/>
    <w:rsid w:val="006233AE"/>
    <w:rsid w:val="00624C22"/>
    <w:rsid w:val="00625EC7"/>
    <w:rsid w:val="00626969"/>
    <w:rsid w:val="00630EF8"/>
    <w:rsid w:val="006426A4"/>
    <w:rsid w:val="00642E7F"/>
    <w:rsid w:val="006460BB"/>
    <w:rsid w:val="006476C4"/>
    <w:rsid w:val="00647D81"/>
    <w:rsid w:val="00650765"/>
    <w:rsid w:val="00651871"/>
    <w:rsid w:val="00652717"/>
    <w:rsid w:val="00653FF5"/>
    <w:rsid w:val="00656359"/>
    <w:rsid w:val="00656F3D"/>
    <w:rsid w:val="00662352"/>
    <w:rsid w:val="00662D74"/>
    <w:rsid w:val="006657EB"/>
    <w:rsid w:val="00665DA3"/>
    <w:rsid w:val="00671337"/>
    <w:rsid w:val="0067681B"/>
    <w:rsid w:val="0067769C"/>
    <w:rsid w:val="00681451"/>
    <w:rsid w:val="00682991"/>
    <w:rsid w:val="006852E0"/>
    <w:rsid w:val="00690F36"/>
    <w:rsid w:val="0069184D"/>
    <w:rsid w:val="006944CC"/>
    <w:rsid w:val="0069465D"/>
    <w:rsid w:val="0069495E"/>
    <w:rsid w:val="00694AC0"/>
    <w:rsid w:val="006B00B0"/>
    <w:rsid w:val="006B07AF"/>
    <w:rsid w:val="006B3C16"/>
    <w:rsid w:val="006B6567"/>
    <w:rsid w:val="006C03C8"/>
    <w:rsid w:val="006C0CA8"/>
    <w:rsid w:val="006C1EB6"/>
    <w:rsid w:val="006C2C6D"/>
    <w:rsid w:val="006C7F61"/>
    <w:rsid w:val="006D25B9"/>
    <w:rsid w:val="006D6078"/>
    <w:rsid w:val="006E2F94"/>
    <w:rsid w:val="006E4625"/>
    <w:rsid w:val="006E498B"/>
    <w:rsid w:val="006E53A3"/>
    <w:rsid w:val="006E55BC"/>
    <w:rsid w:val="006E6CA9"/>
    <w:rsid w:val="006F2451"/>
    <w:rsid w:val="006F4BEA"/>
    <w:rsid w:val="00700398"/>
    <w:rsid w:val="00717760"/>
    <w:rsid w:val="00720B0D"/>
    <w:rsid w:val="00721F16"/>
    <w:rsid w:val="00722B12"/>
    <w:rsid w:val="00722E80"/>
    <w:rsid w:val="00734DA9"/>
    <w:rsid w:val="00742311"/>
    <w:rsid w:val="00744B43"/>
    <w:rsid w:val="0074637D"/>
    <w:rsid w:val="00752BA9"/>
    <w:rsid w:val="007531D0"/>
    <w:rsid w:val="0075421E"/>
    <w:rsid w:val="007549BE"/>
    <w:rsid w:val="00756422"/>
    <w:rsid w:val="00756BA1"/>
    <w:rsid w:val="00761E56"/>
    <w:rsid w:val="007647EC"/>
    <w:rsid w:val="00770003"/>
    <w:rsid w:val="00770F3F"/>
    <w:rsid w:val="00772EF8"/>
    <w:rsid w:val="0077308A"/>
    <w:rsid w:val="007748EE"/>
    <w:rsid w:val="00776279"/>
    <w:rsid w:val="00783003"/>
    <w:rsid w:val="00783708"/>
    <w:rsid w:val="007863D9"/>
    <w:rsid w:val="007865AC"/>
    <w:rsid w:val="007979CB"/>
    <w:rsid w:val="00797F17"/>
    <w:rsid w:val="007A2699"/>
    <w:rsid w:val="007A32D9"/>
    <w:rsid w:val="007A6880"/>
    <w:rsid w:val="007B14B6"/>
    <w:rsid w:val="007B2C29"/>
    <w:rsid w:val="007B2F95"/>
    <w:rsid w:val="007B60F0"/>
    <w:rsid w:val="007B62C8"/>
    <w:rsid w:val="007B6B7D"/>
    <w:rsid w:val="007C1472"/>
    <w:rsid w:val="007C1A37"/>
    <w:rsid w:val="007C2771"/>
    <w:rsid w:val="007C3CD9"/>
    <w:rsid w:val="007C5F3B"/>
    <w:rsid w:val="007C61F2"/>
    <w:rsid w:val="007D1483"/>
    <w:rsid w:val="007E08C3"/>
    <w:rsid w:val="007E0B5F"/>
    <w:rsid w:val="007E0DDB"/>
    <w:rsid w:val="007E21CF"/>
    <w:rsid w:val="007E702E"/>
    <w:rsid w:val="007F32AB"/>
    <w:rsid w:val="007F76C2"/>
    <w:rsid w:val="007F7899"/>
    <w:rsid w:val="007F7B04"/>
    <w:rsid w:val="0080071F"/>
    <w:rsid w:val="00801D27"/>
    <w:rsid w:val="0080685F"/>
    <w:rsid w:val="00807CFD"/>
    <w:rsid w:val="008114E3"/>
    <w:rsid w:val="008141DC"/>
    <w:rsid w:val="00816489"/>
    <w:rsid w:val="008335D1"/>
    <w:rsid w:val="00840C58"/>
    <w:rsid w:val="0084108B"/>
    <w:rsid w:val="00851550"/>
    <w:rsid w:val="00860E9B"/>
    <w:rsid w:val="0087204F"/>
    <w:rsid w:val="00872CD3"/>
    <w:rsid w:val="008734A1"/>
    <w:rsid w:val="00874C40"/>
    <w:rsid w:val="0087575A"/>
    <w:rsid w:val="00875E16"/>
    <w:rsid w:val="00876220"/>
    <w:rsid w:val="00877EE9"/>
    <w:rsid w:val="00880C4C"/>
    <w:rsid w:val="008845EC"/>
    <w:rsid w:val="00886431"/>
    <w:rsid w:val="00893CBD"/>
    <w:rsid w:val="008A1372"/>
    <w:rsid w:val="008A29E6"/>
    <w:rsid w:val="008A4458"/>
    <w:rsid w:val="008A63F7"/>
    <w:rsid w:val="008B41B2"/>
    <w:rsid w:val="008B48C3"/>
    <w:rsid w:val="008B5F9E"/>
    <w:rsid w:val="008B7877"/>
    <w:rsid w:val="008C1A30"/>
    <w:rsid w:val="008C52FE"/>
    <w:rsid w:val="008C68C0"/>
    <w:rsid w:val="008D34FD"/>
    <w:rsid w:val="008D7F61"/>
    <w:rsid w:val="008E2281"/>
    <w:rsid w:val="008E2762"/>
    <w:rsid w:val="008E3743"/>
    <w:rsid w:val="008E5855"/>
    <w:rsid w:val="008E5E27"/>
    <w:rsid w:val="008E6ED1"/>
    <w:rsid w:val="008F02E7"/>
    <w:rsid w:val="008F1DFB"/>
    <w:rsid w:val="008F466B"/>
    <w:rsid w:val="0090377E"/>
    <w:rsid w:val="00904253"/>
    <w:rsid w:val="009054B4"/>
    <w:rsid w:val="00910294"/>
    <w:rsid w:val="00911E30"/>
    <w:rsid w:val="00914698"/>
    <w:rsid w:val="009151E6"/>
    <w:rsid w:val="00922015"/>
    <w:rsid w:val="00924ED6"/>
    <w:rsid w:val="009309CA"/>
    <w:rsid w:val="00931504"/>
    <w:rsid w:val="00933DAB"/>
    <w:rsid w:val="0094185E"/>
    <w:rsid w:val="00943842"/>
    <w:rsid w:val="0094392C"/>
    <w:rsid w:val="0094590C"/>
    <w:rsid w:val="00945DB0"/>
    <w:rsid w:val="0094607A"/>
    <w:rsid w:val="00951BF7"/>
    <w:rsid w:val="0095326E"/>
    <w:rsid w:val="009557FD"/>
    <w:rsid w:val="00956F9D"/>
    <w:rsid w:val="0096259F"/>
    <w:rsid w:val="009632A8"/>
    <w:rsid w:val="00963BBF"/>
    <w:rsid w:val="00963C2F"/>
    <w:rsid w:val="00965752"/>
    <w:rsid w:val="0096644D"/>
    <w:rsid w:val="00970DE3"/>
    <w:rsid w:val="009724D0"/>
    <w:rsid w:val="00981076"/>
    <w:rsid w:val="00982FA8"/>
    <w:rsid w:val="00984B21"/>
    <w:rsid w:val="009851BC"/>
    <w:rsid w:val="00992031"/>
    <w:rsid w:val="00995CCC"/>
    <w:rsid w:val="009A28A8"/>
    <w:rsid w:val="009A7B97"/>
    <w:rsid w:val="009B36C8"/>
    <w:rsid w:val="009B5A53"/>
    <w:rsid w:val="009B7C79"/>
    <w:rsid w:val="009C1A4E"/>
    <w:rsid w:val="009D0486"/>
    <w:rsid w:val="009D1023"/>
    <w:rsid w:val="009E0E6B"/>
    <w:rsid w:val="009E1119"/>
    <w:rsid w:val="009E20F5"/>
    <w:rsid w:val="009E3EAA"/>
    <w:rsid w:val="009E4480"/>
    <w:rsid w:val="009E78CD"/>
    <w:rsid w:val="009F2138"/>
    <w:rsid w:val="009F69B3"/>
    <w:rsid w:val="009F740C"/>
    <w:rsid w:val="00A0384C"/>
    <w:rsid w:val="00A03C75"/>
    <w:rsid w:val="00A04559"/>
    <w:rsid w:val="00A075E9"/>
    <w:rsid w:val="00A07739"/>
    <w:rsid w:val="00A079EA"/>
    <w:rsid w:val="00A1310E"/>
    <w:rsid w:val="00A231C9"/>
    <w:rsid w:val="00A2385F"/>
    <w:rsid w:val="00A44AD0"/>
    <w:rsid w:val="00A464D1"/>
    <w:rsid w:val="00A535CA"/>
    <w:rsid w:val="00A5419E"/>
    <w:rsid w:val="00A566A5"/>
    <w:rsid w:val="00A60896"/>
    <w:rsid w:val="00A616D8"/>
    <w:rsid w:val="00A62109"/>
    <w:rsid w:val="00A6482D"/>
    <w:rsid w:val="00A648F7"/>
    <w:rsid w:val="00A64D60"/>
    <w:rsid w:val="00A71C52"/>
    <w:rsid w:val="00A76E67"/>
    <w:rsid w:val="00A77350"/>
    <w:rsid w:val="00A804F1"/>
    <w:rsid w:val="00A81500"/>
    <w:rsid w:val="00A81A74"/>
    <w:rsid w:val="00A83895"/>
    <w:rsid w:val="00A8795D"/>
    <w:rsid w:val="00A93029"/>
    <w:rsid w:val="00A94C31"/>
    <w:rsid w:val="00A9561E"/>
    <w:rsid w:val="00A95C87"/>
    <w:rsid w:val="00A95D87"/>
    <w:rsid w:val="00AA2049"/>
    <w:rsid w:val="00AA2D82"/>
    <w:rsid w:val="00AA3631"/>
    <w:rsid w:val="00AA4CC6"/>
    <w:rsid w:val="00AA5FFE"/>
    <w:rsid w:val="00AB4123"/>
    <w:rsid w:val="00AB73FA"/>
    <w:rsid w:val="00AC1F51"/>
    <w:rsid w:val="00AC26DD"/>
    <w:rsid w:val="00AD0500"/>
    <w:rsid w:val="00AD083C"/>
    <w:rsid w:val="00AD0A12"/>
    <w:rsid w:val="00AD1A1E"/>
    <w:rsid w:val="00AE3081"/>
    <w:rsid w:val="00AE30E3"/>
    <w:rsid w:val="00AE7E9C"/>
    <w:rsid w:val="00AE7EE3"/>
    <w:rsid w:val="00AF2C7E"/>
    <w:rsid w:val="00AF59F8"/>
    <w:rsid w:val="00AF6486"/>
    <w:rsid w:val="00B000F6"/>
    <w:rsid w:val="00B04D8A"/>
    <w:rsid w:val="00B0530D"/>
    <w:rsid w:val="00B107B8"/>
    <w:rsid w:val="00B21535"/>
    <w:rsid w:val="00B21FDD"/>
    <w:rsid w:val="00B27FFE"/>
    <w:rsid w:val="00B30B22"/>
    <w:rsid w:val="00B32FAC"/>
    <w:rsid w:val="00B338C3"/>
    <w:rsid w:val="00B34247"/>
    <w:rsid w:val="00B348F7"/>
    <w:rsid w:val="00B36B61"/>
    <w:rsid w:val="00B43ECB"/>
    <w:rsid w:val="00B440F1"/>
    <w:rsid w:val="00B44E86"/>
    <w:rsid w:val="00B50E70"/>
    <w:rsid w:val="00B5308F"/>
    <w:rsid w:val="00B54CB1"/>
    <w:rsid w:val="00B553C6"/>
    <w:rsid w:val="00B55FF1"/>
    <w:rsid w:val="00B56503"/>
    <w:rsid w:val="00B5790B"/>
    <w:rsid w:val="00B63089"/>
    <w:rsid w:val="00B63325"/>
    <w:rsid w:val="00B67DD3"/>
    <w:rsid w:val="00B75B97"/>
    <w:rsid w:val="00B76EC4"/>
    <w:rsid w:val="00B77552"/>
    <w:rsid w:val="00B817BD"/>
    <w:rsid w:val="00B82761"/>
    <w:rsid w:val="00B840E7"/>
    <w:rsid w:val="00B84A24"/>
    <w:rsid w:val="00B8556F"/>
    <w:rsid w:val="00B85EED"/>
    <w:rsid w:val="00B90956"/>
    <w:rsid w:val="00B93166"/>
    <w:rsid w:val="00BA18E3"/>
    <w:rsid w:val="00BA2BB1"/>
    <w:rsid w:val="00BB1E84"/>
    <w:rsid w:val="00BB2A6A"/>
    <w:rsid w:val="00BB5A90"/>
    <w:rsid w:val="00BC2FCE"/>
    <w:rsid w:val="00BC5B31"/>
    <w:rsid w:val="00BD1F01"/>
    <w:rsid w:val="00BE072B"/>
    <w:rsid w:val="00BE3212"/>
    <w:rsid w:val="00BE3698"/>
    <w:rsid w:val="00BE4257"/>
    <w:rsid w:val="00BE48A7"/>
    <w:rsid w:val="00BE5F1D"/>
    <w:rsid w:val="00BE7787"/>
    <w:rsid w:val="00BF27AC"/>
    <w:rsid w:val="00BF7A38"/>
    <w:rsid w:val="00C006E4"/>
    <w:rsid w:val="00C027FD"/>
    <w:rsid w:val="00C05869"/>
    <w:rsid w:val="00C10C17"/>
    <w:rsid w:val="00C123B1"/>
    <w:rsid w:val="00C1332E"/>
    <w:rsid w:val="00C16EBA"/>
    <w:rsid w:val="00C206C9"/>
    <w:rsid w:val="00C22F1B"/>
    <w:rsid w:val="00C25F21"/>
    <w:rsid w:val="00C30DD5"/>
    <w:rsid w:val="00C3463E"/>
    <w:rsid w:val="00C46E1B"/>
    <w:rsid w:val="00C5200E"/>
    <w:rsid w:val="00C547B8"/>
    <w:rsid w:val="00C56643"/>
    <w:rsid w:val="00C70653"/>
    <w:rsid w:val="00C7142A"/>
    <w:rsid w:val="00C72267"/>
    <w:rsid w:val="00C751D3"/>
    <w:rsid w:val="00C7640A"/>
    <w:rsid w:val="00C81A4C"/>
    <w:rsid w:val="00C82A86"/>
    <w:rsid w:val="00C8475B"/>
    <w:rsid w:val="00C86696"/>
    <w:rsid w:val="00C87E61"/>
    <w:rsid w:val="00C90002"/>
    <w:rsid w:val="00C91D16"/>
    <w:rsid w:val="00C92720"/>
    <w:rsid w:val="00C93C51"/>
    <w:rsid w:val="00C94330"/>
    <w:rsid w:val="00C945A2"/>
    <w:rsid w:val="00C9534A"/>
    <w:rsid w:val="00CA0B6F"/>
    <w:rsid w:val="00CA50BF"/>
    <w:rsid w:val="00CA610E"/>
    <w:rsid w:val="00CA6B65"/>
    <w:rsid w:val="00CB29B4"/>
    <w:rsid w:val="00CC1F1C"/>
    <w:rsid w:val="00CC3919"/>
    <w:rsid w:val="00CC4F42"/>
    <w:rsid w:val="00CC66BE"/>
    <w:rsid w:val="00CC6B66"/>
    <w:rsid w:val="00CC7985"/>
    <w:rsid w:val="00CD0B45"/>
    <w:rsid w:val="00CD316F"/>
    <w:rsid w:val="00CD3F0B"/>
    <w:rsid w:val="00CD4EF6"/>
    <w:rsid w:val="00CD5564"/>
    <w:rsid w:val="00CD7712"/>
    <w:rsid w:val="00CE2112"/>
    <w:rsid w:val="00CE3789"/>
    <w:rsid w:val="00CE3B16"/>
    <w:rsid w:val="00CE4A04"/>
    <w:rsid w:val="00CE515E"/>
    <w:rsid w:val="00CE7A4F"/>
    <w:rsid w:val="00CF067F"/>
    <w:rsid w:val="00CF1D98"/>
    <w:rsid w:val="00CF3ACF"/>
    <w:rsid w:val="00CF4873"/>
    <w:rsid w:val="00D002D7"/>
    <w:rsid w:val="00D02C0E"/>
    <w:rsid w:val="00D0347B"/>
    <w:rsid w:val="00D0764D"/>
    <w:rsid w:val="00D07BD0"/>
    <w:rsid w:val="00D10C24"/>
    <w:rsid w:val="00D12B3B"/>
    <w:rsid w:val="00D156D8"/>
    <w:rsid w:val="00D15823"/>
    <w:rsid w:val="00D17C7A"/>
    <w:rsid w:val="00D21996"/>
    <w:rsid w:val="00D36804"/>
    <w:rsid w:val="00D40E8C"/>
    <w:rsid w:val="00D41309"/>
    <w:rsid w:val="00D438A5"/>
    <w:rsid w:val="00D46E96"/>
    <w:rsid w:val="00D50892"/>
    <w:rsid w:val="00D50D9A"/>
    <w:rsid w:val="00D5241C"/>
    <w:rsid w:val="00D53E6E"/>
    <w:rsid w:val="00D54467"/>
    <w:rsid w:val="00D5524B"/>
    <w:rsid w:val="00D55DC4"/>
    <w:rsid w:val="00D61699"/>
    <w:rsid w:val="00D61ECB"/>
    <w:rsid w:val="00D65B4A"/>
    <w:rsid w:val="00D75E95"/>
    <w:rsid w:val="00D83A91"/>
    <w:rsid w:val="00D843F2"/>
    <w:rsid w:val="00D87FF3"/>
    <w:rsid w:val="00D90B30"/>
    <w:rsid w:val="00D924D1"/>
    <w:rsid w:val="00D94B4E"/>
    <w:rsid w:val="00D95176"/>
    <w:rsid w:val="00D95A4E"/>
    <w:rsid w:val="00DA08CC"/>
    <w:rsid w:val="00DA2187"/>
    <w:rsid w:val="00DA4F23"/>
    <w:rsid w:val="00DB6C20"/>
    <w:rsid w:val="00DC0184"/>
    <w:rsid w:val="00DC2A9E"/>
    <w:rsid w:val="00DC4878"/>
    <w:rsid w:val="00DC4F94"/>
    <w:rsid w:val="00DD1ABB"/>
    <w:rsid w:val="00DD3D06"/>
    <w:rsid w:val="00DD40E6"/>
    <w:rsid w:val="00DD5F31"/>
    <w:rsid w:val="00DD741A"/>
    <w:rsid w:val="00DE0803"/>
    <w:rsid w:val="00DE246F"/>
    <w:rsid w:val="00DE4024"/>
    <w:rsid w:val="00DE5615"/>
    <w:rsid w:val="00DE65D7"/>
    <w:rsid w:val="00DF21F5"/>
    <w:rsid w:val="00DF6DB0"/>
    <w:rsid w:val="00E005CD"/>
    <w:rsid w:val="00E03A49"/>
    <w:rsid w:val="00E06798"/>
    <w:rsid w:val="00E10360"/>
    <w:rsid w:val="00E116B5"/>
    <w:rsid w:val="00E14092"/>
    <w:rsid w:val="00E1426F"/>
    <w:rsid w:val="00E1715D"/>
    <w:rsid w:val="00E223A4"/>
    <w:rsid w:val="00E2514A"/>
    <w:rsid w:val="00E274EB"/>
    <w:rsid w:val="00E30866"/>
    <w:rsid w:val="00E30E24"/>
    <w:rsid w:val="00E36739"/>
    <w:rsid w:val="00E46A6C"/>
    <w:rsid w:val="00E473D3"/>
    <w:rsid w:val="00E47BC9"/>
    <w:rsid w:val="00E53671"/>
    <w:rsid w:val="00E53F5D"/>
    <w:rsid w:val="00E553DC"/>
    <w:rsid w:val="00E57E96"/>
    <w:rsid w:val="00E62AB4"/>
    <w:rsid w:val="00E63B23"/>
    <w:rsid w:val="00E7533E"/>
    <w:rsid w:val="00E77AF2"/>
    <w:rsid w:val="00E84E2A"/>
    <w:rsid w:val="00E90A71"/>
    <w:rsid w:val="00E93C05"/>
    <w:rsid w:val="00E94D79"/>
    <w:rsid w:val="00E9638B"/>
    <w:rsid w:val="00E963CC"/>
    <w:rsid w:val="00E97892"/>
    <w:rsid w:val="00EA17D8"/>
    <w:rsid w:val="00EA76F2"/>
    <w:rsid w:val="00EA7B48"/>
    <w:rsid w:val="00EB1505"/>
    <w:rsid w:val="00EB473F"/>
    <w:rsid w:val="00EB5FBF"/>
    <w:rsid w:val="00EB7C16"/>
    <w:rsid w:val="00EC01DC"/>
    <w:rsid w:val="00EC2018"/>
    <w:rsid w:val="00EC4D40"/>
    <w:rsid w:val="00ED0A93"/>
    <w:rsid w:val="00ED4632"/>
    <w:rsid w:val="00EE5809"/>
    <w:rsid w:val="00EF0EA3"/>
    <w:rsid w:val="00EF173E"/>
    <w:rsid w:val="00EF3D6F"/>
    <w:rsid w:val="00EF6974"/>
    <w:rsid w:val="00EF74D3"/>
    <w:rsid w:val="00EF7CA4"/>
    <w:rsid w:val="00F01907"/>
    <w:rsid w:val="00F06703"/>
    <w:rsid w:val="00F10115"/>
    <w:rsid w:val="00F10383"/>
    <w:rsid w:val="00F13837"/>
    <w:rsid w:val="00F176DC"/>
    <w:rsid w:val="00F17DB0"/>
    <w:rsid w:val="00F233FB"/>
    <w:rsid w:val="00F3536C"/>
    <w:rsid w:val="00F44332"/>
    <w:rsid w:val="00F50BD5"/>
    <w:rsid w:val="00F5413F"/>
    <w:rsid w:val="00F60150"/>
    <w:rsid w:val="00F60443"/>
    <w:rsid w:val="00F61590"/>
    <w:rsid w:val="00F65D03"/>
    <w:rsid w:val="00F65FF0"/>
    <w:rsid w:val="00F7090D"/>
    <w:rsid w:val="00F7199A"/>
    <w:rsid w:val="00F720DA"/>
    <w:rsid w:val="00F72271"/>
    <w:rsid w:val="00F72320"/>
    <w:rsid w:val="00F73C98"/>
    <w:rsid w:val="00F81541"/>
    <w:rsid w:val="00F82A21"/>
    <w:rsid w:val="00F84781"/>
    <w:rsid w:val="00F87EEE"/>
    <w:rsid w:val="00F90B8B"/>
    <w:rsid w:val="00F92E0B"/>
    <w:rsid w:val="00F9699C"/>
    <w:rsid w:val="00F97C49"/>
    <w:rsid w:val="00FA07A7"/>
    <w:rsid w:val="00FA3A58"/>
    <w:rsid w:val="00FA4E56"/>
    <w:rsid w:val="00FA6E98"/>
    <w:rsid w:val="00FA71CF"/>
    <w:rsid w:val="00FB0C11"/>
    <w:rsid w:val="00FB1BDE"/>
    <w:rsid w:val="00FB629F"/>
    <w:rsid w:val="00FB7F53"/>
    <w:rsid w:val="00FC4D9C"/>
    <w:rsid w:val="00FC5A59"/>
    <w:rsid w:val="00FC5D1C"/>
    <w:rsid w:val="00FC6CC1"/>
    <w:rsid w:val="00FD2EC5"/>
    <w:rsid w:val="00FD3F53"/>
    <w:rsid w:val="00FF187C"/>
    <w:rsid w:val="04010090"/>
    <w:rsid w:val="09C2053A"/>
    <w:rsid w:val="0BDB3F89"/>
    <w:rsid w:val="116995DB"/>
    <w:rsid w:val="1C3847AD"/>
    <w:rsid w:val="2395874A"/>
    <w:rsid w:val="25BBDB4E"/>
    <w:rsid w:val="37C9049E"/>
    <w:rsid w:val="515766C0"/>
    <w:rsid w:val="6107AB30"/>
    <w:rsid w:val="64D6CB45"/>
    <w:rsid w:val="6CA7A0A3"/>
    <w:rsid w:val="73B4F555"/>
    <w:rsid w:val="76CF617E"/>
    <w:rsid w:val="7981EB00"/>
    <w:rsid w:val="7E56823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8FEE842"/>
  <w15:chartTrackingRefBased/>
  <w15:docId w15:val="{CEAECD07-4A3C-4F6A-BC2D-C1EB49265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66D3F"/>
    <w:rPr>
      <w:sz w:val="16"/>
      <w:szCs w:val="16"/>
    </w:rPr>
  </w:style>
  <w:style w:type="paragraph" w:styleId="CommentText">
    <w:name w:val="annotation text"/>
    <w:basedOn w:val="Normal"/>
    <w:link w:val="CommentTextChar"/>
    <w:uiPriority w:val="99"/>
    <w:unhideWhenUsed/>
    <w:rsid w:val="00466D3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466D3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66D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D3F"/>
    <w:rPr>
      <w:rFonts w:ascii="Segoe UI" w:hAnsi="Segoe UI" w:cs="Segoe UI"/>
      <w:sz w:val="18"/>
      <w:szCs w:val="18"/>
    </w:rPr>
  </w:style>
  <w:style w:type="paragraph" w:styleId="FootnoteText">
    <w:name w:val="footnote text"/>
    <w:aliases w:val="Footnote Text Char Char Char Char Char,Footnote Text Char Char1 Char,Footnote Text Char1 Char Char Char,Footnote Text Char1 Char Char Char Char Char Char Char,Footnote Text Char1 Char1 Char,Footnote Text Char2 Char,Footnote Text MRP,fn,ft"/>
    <w:basedOn w:val="Normal"/>
    <w:link w:val="FootnoteTextChar"/>
    <w:unhideWhenUsed/>
    <w:qFormat/>
    <w:rsid w:val="00466D3F"/>
    <w:pPr>
      <w:spacing w:after="0" w:line="240" w:lineRule="auto"/>
    </w:pPr>
    <w:rPr>
      <w:sz w:val="20"/>
      <w:szCs w:val="20"/>
    </w:rPr>
  </w:style>
  <w:style w:type="character" w:customStyle="1" w:styleId="FootnoteTextChar">
    <w:name w:val="Footnote Text Char"/>
    <w:aliases w:val="Footnote Text Char Char Char Char Char Char,Footnote Text Char Char1 Char Char,Footnote Text Char1 Char Char Char Char,Footnote Text Char1 Char Char Char Char Char Char Char Char,Footnote Text Char2 Char Char,fn Char,ft Char"/>
    <w:basedOn w:val="DefaultParagraphFont"/>
    <w:link w:val="FootnoteText"/>
    <w:rsid w:val="00466D3F"/>
    <w:rPr>
      <w:sz w:val="20"/>
      <w:szCs w:val="20"/>
    </w:r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rsid w:val="00466D3F"/>
    <w:rPr>
      <w:rFonts w:ascii="Times New Roman" w:hAnsi="Times New Roman"/>
      <w:b/>
      <w:sz w:val="26"/>
      <w:szCs w:val="26"/>
      <w:vertAlign w:val="superscript"/>
    </w:rPr>
  </w:style>
  <w:style w:type="paragraph" w:styleId="CommentSubject">
    <w:name w:val="annotation subject"/>
    <w:basedOn w:val="CommentText"/>
    <w:next w:val="CommentText"/>
    <w:link w:val="CommentSubjectChar"/>
    <w:uiPriority w:val="99"/>
    <w:semiHidden/>
    <w:unhideWhenUsed/>
    <w:rsid w:val="00AC26DD"/>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C26DD"/>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093E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3E00"/>
  </w:style>
  <w:style w:type="paragraph" w:styleId="Footer">
    <w:name w:val="footer"/>
    <w:basedOn w:val="Normal"/>
    <w:link w:val="FooterChar"/>
    <w:uiPriority w:val="99"/>
    <w:unhideWhenUsed/>
    <w:rsid w:val="00093E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3E00"/>
  </w:style>
  <w:style w:type="character" w:styleId="Hyperlink">
    <w:name w:val="Hyperlink"/>
    <w:basedOn w:val="DefaultParagraphFont"/>
    <w:uiPriority w:val="99"/>
    <w:unhideWhenUsed/>
    <w:rsid w:val="00E10360"/>
    <w:rPr>
      <w:color w:val="0563C1" w:themeColor="hyperlink"/>
      <w:u w:val="single"/>
    </w:rPr>
  </w:style>
  <w:style w:type="character" w:styleId="UnresolvedMention">
    <w:name w:val="Unresolved Mention"/>
    <w:basedOn w:val="DefaultParagraphFont"/>
    <w:uiPriority w:val="99"/>
    <w:semiHidden/>
    <w:unhideWhenUsed/>
    <w:rsid w:val="00E10360"/>
    <w:rPr>
      <w:color w:val="605E5C"/>
      <w:shd w:val="clear" w:color="auto" w:fill="E1DFDD"/>
    </w:rPr>
  </w:style>
  <w:style w:type="paragraph" w:styleId="ListParagraph">
    <w:name w:val="List Paragraph"/>
    <w:basedOn w:val="Normal"/>
    <w:uiPriority w:val="34"/>
    <w:qFormat/>
    <w:rsid w:val="002F2136"/>
    <w:pPr>
      <w:ind w:left="720"/>
      <w:contextualSpacing/>
    </w:pPr>
  </w:style>
  <w:style w:type="paragraph" w:styleId="Revision">
    <w:name w:val="Revision"/>
    <w:hidden/>
    <w:uiPriority w:val="99"/>
    <w:semiHidden/>
    <w:rsid w:val="00F5413F"/>
    <w:pPr>
      <w:spacing w:after="0" w:line="240" w:lineRule="auto"/>
    </w:pPr>
  </w:style>
  <w:style w:type="character" w:styleId="FollowedHyperlink">
    <w:name w:val="FollowedHyperlink"/>
    <w:basedOn w:val="DefaultParagraphFont"/>
    <w:uiPriority w:val="99"/>
    <w:semiHidden/>
    <w:unhideWhenUsed/>
    <w:rsid w:val="00600738"/>
    <w:rPr>
      <w:color w:val="954F72" w:themeColor="followedHyperlink"/>
      <w:u w:val="single"/>
    </w:rPr>
  </w:style>
  <w:style w:type="table" w:styleId="TableGrid">
    <w:name w:val="Table Grid"/>
    <w:basedOn w:val="TableNormal"/>
    <w:uiPriority w:val="39"/>
    <w:rsid w:val="00F443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BB5A9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DataClearance@FERC.gov" TargetMode="External" /><Relationship Id="rId11" Type="http://schemas.openxmlformats.org/officeDocument/2006/relationships/hyperlink" Target="https://elibrary.ferc.gov/eLibrary/search"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74a4cd09-5f17-433b-814a-38e7e9115d16" ContentTypeId="0x0101"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A9F766-238E-458E-864A-6E8CCA7B27BA}">
  <ds:schemaRefs>
    <ds:schemaRef ds:uri="http://purl.org/dc/terms/"/>
    <ds:schemaRef ds:uri="http://schemas.openxmlformats.org/package/2006/metadata/core-properties"/>
    <ds:schemaRef ds:uri="http://purl.org/dc/dcmitype/"/>
    <ds:schemaRef ds:uri="http://schemas.microsoft.com/office/infopath/2007/PartnerControls"/>
    <ds:schemaRef ds:uri="5e8733a2-e908-454b-85cf-c9d17e1d0943"/>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79A935CE-3525-4B49-A1AB-C652A77F9AB5}">
  <ds:schemaRefs>
    <ds:schemaRef ds:uri="http://schemas.microsoft.com/sharepoint/v3/contenttype/forms"/>
  </ds:schemaRefs>
</ds:datastoreItem>
</file>

<file path=customXml/itemProps3.xml><?xml version="1.0" encoding="utf-8"?>
<ds:datastoreItem xmlns:ds="http://schemas.openxmlformats.org/officeDocument/2006/customXml" ds:itemID="{B163B3E2-2E79-4DA3-8A55-D5B1FAEF986B}">
  <ds:schemaRefs>
    <ds:schemaRef ds:uri="Microsoft.SharePoint.Taxonomy.ContentTypeSync"/>
  </ds:schemaRefs>
</ds:datastoreItem>
</file>

<file path=customXml/itemProps4.xml><?xml version="1.0" encoding="utf-8"?>
<ds:datastoreItem xmlns:ds="http://schemas.openxmlformats.org/officeDocument/2006/customXml" ds:itemID="{A64361F2-963A-4679-BC52-7C184571C356}">
  <ds:schemaRefs>
    <ds:schemaRef ds:uri="http://schemas.openxmlformats.org/officeDocument/2006/bibliography"/>
  </ds:schemaRefs>
</ds:datastoreItem>
</file>

<file path=customXml/itemProps5.xml><?xml version="1.0" encoding="utf-8"?>
<ds:datastoreItem xmlns:ds="http://schemas.openxmlformats.org/officeDocument/2006/customXml" ds:itemID="{C8CB4638-87DE-4119-8699-6EFB729375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otalTime>6</TotalTime>
  <Pages>12</Pages>
  <Words>2451</Words>
  <Characters>13654</Characters>
  <Application>Microsoft Office Word</Application>
  <DocSecurity>0</DocSecurity>
  <Lines>333</Lines>
  <Paragraphs>124</Paragraphs>
  <ScaleCrop>false</ScaleCrop>
  <Company/>
  <LinksUpToDate>false</LinksUpToDate>
  <CharactersWithSpaces>15981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2022-10-01T05:32:00Z</dcterms:created>
  <dcterms:modified xsi:type="dcterms:W3CDTF">2026-03-13T18:45:00Z</dcterms:modified>
</cp:coreProperties>
</file>