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5C3D" w:rsidP="00D928FD" w14:paraId="7D1130BE" w14:textId="77777777">
      <w:pPr>
        <w:sectPr w:rsidSect="000E2DF4">
          <w:headerReference w:type="default" r:id="rId9"/>
          <w:footerReference w:type="default" r:id="rId10"/>
          <w:footerReference w:type="firs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b/>
          <w:bCs/>
        </w:rPr>
        <w:id w:val="819469860"/>
        <w:docPartObj>
          <w:docPartGallery w:val="Table of Contents"/>
          <w:docPartUnique/>
        </w:docPartObj>
      </w:sdtPr>
      <w:sdtEndPr>
        <w:rPr>
          <w:b w:val="0"/>
          <w:bCs w:val="0"/>
          <w:noProof/>
        </w:rPr>
      </w:sdtEndPr>
      <w:sdtContent>
        <w:p w:rsidR="00731B88" w14:paraId="793366A4" w14:textId="1A303659">
          <w:pPr>
            <w:rPr>
              <w:noProof/>
            </w:rPr>
          </w:pPr>
        </w:p>
        <w:p w:rsidR="00731B88" w:rsidP="00313D14" w14:paraId="43F59604" w14:textId="77777777">
          <w:r>
            <w:tab/>
          </w:r>
        </w:p>
        <w:p w:rsidR="00731B88" w14:paraId="3F88FBC8" w14:textId="77777777"/>
        <w:p w:rsidR="00731B88" w14:paraId="053009D1" w14:textId="77777777"/>
        <w:p w:rsidR="00731B88" w14:paraId="1EF54875" w14:textId="77777777"/>
        <w:p w:rsidR="00731B88" w:rsidP="00313D14" w14:paraId="42E96674" w14:textId="7B5B5969">
          <w:r>
            <w:rPr>
              <w:noProof/>
            </w:rPr>
            <mc:AlternateContent>
              <mc:Choice Requires="wps">
                <w:drawing>
                  <wp:anchor distT="0" distB="0" distL="114300" distR="114300" simplePos="0" relativeHeight="251664384"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1374488129"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1B88" w:rsidRPr="00E054DF" w:rsidP="00E054DF" w14:textId="7694409C">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Pr>
                                    <w:rStyle w:val="Heading1Char"/>
                                  </w:rPr>
                                  <w:t>Justifications</w:t>
                                </w:r>
                                <w:bookmarkEnd w:id="1"/>
                                <w:r>
                                  <w:br/>
                                </w:r>
                                <w:r w:rsidRPr="00E054DF">
                                  <w:rPr>
                                    <w:rFonts w:ascii="Times New Roman" w:hAnsi="Times New Roman"/>
                                    <w:sz w:val="36"/>
                                    <w:szCs w:val="36"/>
                                  </w:rPr>
                                  <w:t xml:space="preserve">OMB No. </w:t>
                                </w:r>
                                <w:r w:rsidRPr="00731B88">
                                  <w:rPr>
                                    <w:rFonts w:ascii="Times New Roman" w:hAnsi="Times New Roman"/>
                                    <w:sz w:val="36"/>
                                    <w:szCs w:val="36"/>
                                  </w:rPr>
                                  <w:t>1901-0287</w:t>
                                </w:r>
                              </w:p>
                              <w:p w:rsidR="00731B88" w:rsidRPr="0059212D" w:rsidP="00E054DF" w14:textId="22FFC2DA">
                                <w:pPr>
                                  <w:rPr>
                                    <w:i/>
                                    <w:sz w:val="28"/>
                                    <w:szCs w:val="28"/>
                                  </w:rPr>
                                </w:pPr>
                                <w:r w:rsidRPr="0059212D">
                                  <w:rPr>
                                    <w:i/>
                                    <w:sz w:val="28"/>
                                    <w:szCs w:val="28"/>
                                  </w:rPr>
                                  <w:t xml:space="preserve">Form </w:t>
                                </w:r>
                                <w:r>
                                  <w:rPr>
                                    <w:i/>
                                    <w:sz w:val="28"/>
                                    <w:szCs w:val="28"/>
                                  </w:rPr>
                                  <w:t>GC-859, Nuclear Fuel Data Survey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
                      <w:txbxContent>
                        <w:p w:rsidR="00731B88" w:rsidRPr="00E054DF" w:rsidP="00E054DF" w14:paraId="39F180E9" w14:textId="7694409C">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Pr>
                              <w:rStyle w:val="Heading1Char"/>
                            </w:rPr>
                            <w:t>Justifications</w:t>
                          </w:r>
                          <w:bookmarkEnd w:id="1"/>
                          <w:r>
                            <w:br/>
                          </w:r>
                          <w:r w:rsidRPr="00E054DF">
                            <w:rPr>
                              <w:rFonts w:ascii="Times New Roman" w:hAnsi="Times New Roman"/>
                              <w:sz w:val="36"/>
                              <w:szCs w:val="36"/>
                            </w:rPr>
                            <w:t xml:space="preserve">OMB No. </w:t>
                          </w:r>
                          <w:r w:rsidRPr="00731B88">
                            <w:rPr>
                              <w:rFonts w:ascii="Times New Roman" w:hAnsi="Times New Roman"/>
                              <w:sz w:val="36"/>
                              <w:szCs w:val="36"/>
                            </w:rPr>
                            <w:t>1901-0287</w:t>
                          </w:r>
                        </w:p>
                        <w:p w:rsidR="00731B88" w:rsidRPr="0059212D" w:rsidP="00E054DF" w14:paraId="00EB44B6" w14:textId="22FFC2DA">
                          <w:pPr>
                            <w:rPr>
                              <w:i/>
                              <w:sz w:val="28"/>
                              <w:szCs w:val="28"/>
                            </w:rPr>
                          </w:pPr>
                          <w:r w:rsidRPr="0059212D">
                            <w:rPr>
                              <w:i/>
                              <w:sz w:val="28"/>
                              <w:szCs w:val="28"/>
                            </w:rPr>
                            <w:t xml:space="preserve">Form </w:t>
                          </w:r>
                          <w:r>
                            <w:rPr>
                              <w:i/>
                              <w:sz w:val="28"/>
                              <w:szCs w:val="28"/>
                            </w:rPr>
                            <w:t>GC-859, Nuclear Fuel Data Survey</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1B88" w:rsidRPr="009F61F7" w:rsidP="00313D14" w14:textId="43364CCF">
                                <w:pPr>
                                  <w:spacing w:line="276" w:lineRule="auto"/>
                                  <w:rPr>
                                    <w:b/>
                                    <w:sz w:val="60"/>
                                    <w:szCs w:val="60"/>
                                  </w:rPr>
                                </w:pPr>
                                <w:r>
                                  <w:rPr>
                                    <w:rFonts w:ascii="Times New Roman" w:hAnsi="Times New Roman"/>
                                    <w:b/>
                                    <w:color w:val="139CD8"/>
                                    <w:sz w:val="60"/>
                                    <w:szCs w:val="60"/>
                                  </w:rPr>
                                  <w:t xml:space="preserve">Supporting Statement for </w:t>
                                </w:r>
                                <w:r w:rsidRPr="00731B88">
                                  <w:rPr>
                                    <w:rFonts w:ascii="Times New Roman" w:hAnsi="Times New Roman"/>
                                    <w:b/>
                                    <w:color w:val="139CD8"/>
                                    <w:sz w:val="60"/>
                                    <w:szCs w:val="60"/>
                                  </w:rPr>
                                  <w:t>Nuclear Fuel Data Survey (Form GC-859)</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731B88" w:rsidRPr="009F61F7" w:rsidP="00313D14" w14:paraId="0F741BE9" w14:textId="43364CCF">
                          <w:pPr>
                            <w:spacing w:line="276" w:lineRule="auto"/>
                            <w:rPr>
                              <w:b/>
                              <w:sz w:val="60"/>
                              <w:szCs w:val="60"/>
                            </w:rPr>
                          </w:pPr>
                          <w:r>
                            <w:rPr>
                              <w:rFonts w:ascii="Times New Roman" w:hAnsi="Times New Roman"/>
                              <w:b/>
                              <w:color w:val="139CD8"/>
                              <w:sz w:val="60"/>
                              <w:szCs w:val="60"/>
                            </w:rPr>
                            <w:t xml:space="preserve">Supporting Statement for </w:t>
                          </w:r>
                          <w:r w:rsidRPr="00731B88">
                            <w:rPr>
                              <w:rFonts w:ascii="Times New Roman" w:hAnsi="Times New Roman"/>
                              <w:b/>
                              <w:color w:val="139CD8"/>
                              <w:sz w:val="60"/>
                              <w:szCs w:val="60"/>
                            </w:rPr>
                            <w:t>Nuclear Fuel Data Survey (Form GC-859)</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731B88" w14:textId="4DD0B36F"/>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3360" filled="f" stroked="f">
                    <v:textbox>
                      <w:txbxContent>
                        <w:p w:rsidR="00731B88" w14:paraId="686674B0" w14:textId="4DD0B36F"/>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1B88" w:rsidRPr="00E054DF" w14:textId="47D191BC">
                                <w:pPr>
                                  <w:rPr>
                                    <w:rFonts w:ascii="Franklin Gothic Medium" w:hAnsi="Franklin Gothic Medium"/>
                                    <w:color w:val="7F7F7F"/>
                                    <w:sz w:val="36"/>
                                  </w:rPr>
                                </w:pPr>
                                <w:r>
                                  <w:rPr>
                                    <w:rFonts w:ascii="Franklin Gothic Medium" w:hAnsi="Franklin Gothic Medium"/>
                                    <w:color w:val="7F7F7F"/>
                                    <w:sz w:val="36"/>
                                  </w:rPr>
                                  <w:t>April</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731B88" w:rsidRPr="00E054DF" w14:paraId="354F13FE" w14:textId="47D191BC">
                          <w:pPr>
                            <w:rPr>
                              <w:rFonts w:ascii="Franklin Gothic Medium" w:hAnsi="Franklin Gothic Medium"/>
                              <w:color w:val="7F7F7F"/>
                              <w:sz w:val="36"/>
                            </w:rPr>
                          </w:pPr>
                          <w:r>
                            <w:rPr>
                              <w:rFonts w:ascii="Franklin Gothic Medium" w:hAnsi="Franklin Gothic Medium"/>
                              <w:color w:val="7F7F7F"/>
                              <w:sz w:val="36"/>
                            </w:rPr>
                            <w:t>April</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v:textbox>
                    <w10:wrap type="square"/>
                  </v:shape>
                </w:pict>
              </mc:Fallback>
            </mc:AlternateContent>
          </w:r>
          <w:r>
            <w:br w:type="page"/>
          </w:r>
        </w:p>
        <w:p w:rsidR="00731B88" w14:paraId="0F0C4197" w14:textId="77777777">
          <w:pPr>
            <w:sectPr w:rsidSect="00731B88">
              <w:footerReference w:type="default" r:id="rId12"/>
              <w:footnotePr>
                <w:pos w:val="beneathText"/>
              </w:footnotePr>
              <w:type w:val="continuous"/>
              <w:pgSz w:w="12240" w:h="15840"/>
              <w:pgMar w:top="1440" w:right="1440" w:bottom="1440" w:left="1440" w:header="720" w:footer="720" w:gutter="0"/>
              <w:pgNumType w:fmt="lowerRoman" w:start="1"/>
              <w:cols w:space="720"/>
              <w:docGrid w:linePitch="360"/>
            </w:sectPr>
          </w:pPr>
        </w:p>
        <w:p w:rsidR="00731B88" w14:paraId="643D0257" w14:textId="77777777"/>
        <w:p w:rsidR="00731B88" w14:paraId="138F9E32" w14:textId="77777777"/>
        <w:p w:rsidR="00731B88" w14:paraId="07B4AECC" w14:textId="77777777"/>
        <w:p w:rsidR="00731B88" w14:paraId="39A2784A" w14:textId="77777777"/>
        <w:p w:rsidR="00731B88" w14:paraId="28ED80DB" w14:textId="77777777"/>
        <w:p w:rsidR="00731B88" w14:paraId="3A752075" w14:textId="77777777"/>
        <w:p w:rsidR="00731B88" w14:paraId="3A6B0C9C" w14:textId="77777777"/>
        <w:p w:rsidR="00731B88" w14:paraId="37CF89EC" w14:textId="77777777"/>
        <w:p w:rsidR="00731B88" w14:paraId="2FEB06FD" w14:textId="77777777"/>
        <w:p w:rsidR="00731B88" w14:paraId="6677F319" w14:textId="77777777"/>
        <w:p w:rsidR="00731B88" w14:paraId="22B5E219" w14:textId="77777777"/>
        <w:p w:rsidR="00731B88" w14:paraId="36AF8EA8" w14:textId="77777777"/>
        <w:p w:rsidR="00731B88" w14:paraId="08009801" w14:textId="77777777"/>
        <w:p w:rsidR="00731B88" w14:paraId="19D41118" w14:textId="77777777"/>
        <w:p w:rsidR="00731B88" w14:paraId="77A07811" w14:textId="77777777"/>
        <w:p w:rsidR="00731B88" w14:paraId="622B26C6" w14:textId="77777777"/>
        <w:p w:rsidR="00731B88" w14:paraId="2C7B6AD9" w14:textId="77777777"/>
        <w:p w:rsidR="00731B88" w14:paraId="15BED669" w14:textId="77777777"/>
        <w:p w:rsidR="0059212D" w:rsidP="00EE2CAF" w14:paraId="1787F3F1" w14:textId="51342049">
          <w:pPr>
            <w:pStyle w:val="TOCHeading"/>
          </w:pPr>
          <w:r>
            <w:t>Table of Contents</w:t>
          </w:r>
        </w:p>
        <w:p w:rsidR="00EA5A07" w14:paraId="55A63566" w14:textId="77777777">
          <w:pPr>
            <w:pStyle w:val="TOC1"/>
            <w:rPr>
              <w:rFonts w:eastAsiaTheme="minorEastAsia"/>
              <w:noProof/>
              <w:color w:val="auto"/>
            </w:rPr>
          </w:pPr>
          <w:r>
            <w:fldChar w:fldCharType="begin"/>
          </w:r>
          <w:r>
            <w:instrText xml:space="preserve"> TOC \o "1-3" \h \z \u </w:instrText>
          </w:r>
          <w:r>
            <w:fldChar w:fldCharType="separate"/>
          </w:r>
          <w:hyperlink w:anchor="_Toc115164307" w:history="1">
            <w:r w:rsidRPr="00745C3C">
              <w:rPr>
                <w:rStyle w:val="Hyperlink"/>
                <w:noProof/>
              </w:rPr>
              <w:t>Part A: Justification</w:t>
            </w:r>
            <w:r>
              <w:rPr>
                <w:noProof/>
                <w:webHidden/>
              </w:rPr>
              <w:tab/>
            </w:r>
            <w:r>
              <w:rPr>
                <w:noProof/>
                <w:webHidden/>
              </w:rPr>
              <w:fldChar w:fldCharType="begin"/>
            </w:r>
            <w:r>
              <w:rPr>
                <w:noProof/>
                <w:webHidden/>
              </w:rPr>
              <w:instrText xml:space="preserve"> PAGEREF _Toc115164307 \h </w:instrText>
            </w:r>
            <w:r>
              <w:rPr>
                <w:noProof/>
                <w:webHidden/>
              </w:rPr>
              <w:fldChar w:fldCharType="separate"/>
            </w:r>
            <w:r>
              <w:rPr>
                <w:noProof/>
                <w:webHidden/>
              </w:rPr>
              <w:t>i</w:t>
            </w:r>
            <w:r>
              <w:rPr>
                <w:noProof/>
                <w:webHidden/>
              </w:rPr>
              <w:fldChar w:fldCharType="end"/>
            </w:r>
          </w:hyperlink>
        </w:p>
        <w:p w:rsidR="00EA5A07" w14:paraId="645B6384" w14:textId="77777777">
          <w:pPr>
            <w:pStyle w:val="TOC2"/>
            <w:rPr>
              <w:rFonts w:eastAsiaTheme="minorEastAsia"/>
              <w:noProof/>
              <w:color w:val="auto"/>
            </w:rPr>
          </w:pPr>
          <w:hyperlink w:anchor="_Toc115164308" w:history="1">
            <w:r w:rsidRPr="00745C3C">
              <w:rPr>
                <w:rStyle w:val="Hyperlink"/>
                <w:noProof/>
              </w:rPr>
              <w:t>Introduction</w:t>
            </w:r>
            <w:r>
              <w:rPr>
                <w:noProof/>
                <w:webHidden/>
              </w:rPr>
              <w:tab/>
            </w:r>
            <w:r>
              <w:rPr>
                <w:noProof/>
                <w:webHidden/>
              </w:rPr>
              <w:fldChar w:fldCharType="begin"/>
            </w:r>
            <w:r>
              <w:rPr>
                <w:noProof/>
                <w:webHidden/>
              </w:rPr>
              <w:instrText xml:space="preserve"> PAGEREF _Toc115164308 \h </w:instrText>
            </w:r>
            <w:r>
              <w:rPr>
                <w:noProof/>
                <w:webHidden/>
              </w:rPr>
              <w:fldChar w:fldCharType="separate"/>
            </w:r>
            <w:r>
              <w:rPr>
                <w:noProof/>
                <w:webHidden/>
              </w:rPr>
              <w:t>2</w:t>
            </w:r>
            <w:r>
              <w:rPr>
                <w:noProof/>
                <w:webHidden/>
              </w:rPr>
              <w:fldChar w:fldCharType="end"/>
            </w:r>
          </w:hyperlink>
        </w:p>
        <w:p w:rsidR="00EA5A07" w14:paraId="2105BA83" w14:textId="77777777">
          <w:pPr>
            <w:pStyle w:val="TOC2"/>
            <w:rPr>
              <w:rFonts w:eastAsiaTheme="minorEastAsia"/>
              <w:noProof/>
              <w:color w:val="auto"/>
            </w:rPr>
          </w:pPr>
          <w:hyperlink w:anchor="_Toc115164309" w:history="1">
            <w:r w:rsidRPr="00745C3C">
              <w:rPr>
                <w:rStyle w:val="Hyperlink"/>
                <w:noProof/>
              </w:rPr>
              <w:t>A.1. Legal Justification</w:t>
            </w:r>
            <w:r>
              <w:rPr>
                <w:noProof/>
                <w:webHidden/>
              </w:rPr>
              <w:tab/>
            </w:r>
            <w:r>
              <w:rPr>
                <w:noProof/>
                <w:webHidden/>
              </w:rPr>
              <w:fldChar w:fldCharType="begin"/>
            </w:r>
            <w:r>
              <w:rPr>
                <w:noProof/>
                <w:webHidden/>
              </w:rPr>
              <w:instrText xml:space="preserve"> PAGEREF _Toc115164309 \h </w:instrText>
            </w:r>
            <w:r>
              <w:rPr>
                <w:noProof/>
                <w:webHidden/>
              </w:rPr>
              <w:fldChar w:fldCharType="separate"/>
            </w:r>
            <w:r>
              <w:rPr>
                <w:noProof/>
                <w:webHidden/>
              </w:rPr>
              <w:t>3</w:t>
            </w:r>
            <w:r>
              <w:rPr>
                <w:noProof/>
                <w:webHidden/>
              </w:rPr>
              <w:fldChar w:fldCharType="end"/>
            </w:r>
          </w:hyperlink>
        </w:p>
        <w:p w:rsidR="00EA5A07" w14:paraId="73D0FB38" w14:textId="77777777">
          <w:pPr>
            <w:pStyle w:val="TOC2"/>
            <w:rPr>
              <w:rFonts w:eastAsiaTheme="minorEastAsia"/>
              <w:noProof/>
              <w:color w:val="auto"/>
            </w:rPr>
          </w:pPr>
          <w:hyperlink w:anchor="_Toc115164310" w:history="1">
            <w:r w:rsidRPr="00745C3C">
              <w:rPr>
                <w:rStyle w:val="Hyperlink"/>
                <w:noProof/>
              </w:rPr>
              <w:t>A.2. Needs and Uses of Data</w:t>
            </w:r>
            <w:r>
              <w:rPr>
                <w:noProof/>
                <w:webHidden/>
              </w:rPr>
              <w:tab/>
            </w:r>
            <w:r>
              <w:rPr>
                <w:noProof/>
                <w:webHidden/>
              </w:rPr>
              <w:fldChar w:fldCharType="begin"/>
            </w:r>
            <w:r>
              <w:rPr>
                <w:noProof/>
                <w:webHidden/>
              </w:rPr>
              <w:instrText xml:space="preserve"> PAGEREF _Toc115164310 \h </w:instrText>
            </w:r>
            <w:r>
              <w:rPr>
                <w:noProof/>
                <w:webHidden/>
              </w:rPr>
              <w:fldChar w:fldCharType="separate"/>
            </w:r>
            <w:r>
              <w:rPr>
                <w:noProof/>
                <w:webHidden/>
              </w:rPr>
              <w:t>3</w:t>
            </w:r>
            <w:r>
              <w:rPr>
                <w:noProof/>
                <w:webHidden/>
              </w:rPr>
              <w:fldChar w:fldCharType="end"/>
            </w:r>
          </w:hyperlink>
        </w:p>
        <w:p w:rsidR="00EA5A07" w14:paraId="3342860F" w14:textId="77777777">
          <w:pPr>
            <w:pStyle w:val="TOC2"/>
            <w:rPr>
              <w:rFonts w:eastAsiaTheme="minorEastAsia"/>
              <w:noProof/>
              <w:color w:val="auto"/>
            </w:rPr>
          </w:pPr>
          <w:hyperlink w:anchor="_Toc115164311" w:history="1">
            <w:r w:rsidRPr="00745C3C">
              <w:rPr>
                <w:rStyle w:val="Hyperlink"/>
                <w:noProof/>
              </w:rPr>
              <w:t>A.3. Use of Technology</w:t>
            </w:r>
            <w:r>
              <w:rPr>
                <w:noProof/>
                <w:webHidden/>
              </w:rPr>
              <w:tab/>
            </w:r>
            <w:r>
              <w:rPr>
                <w:noProof/>
                <w:webHidden/>
              </w:rPr>
              <w:fldChar w:fldCharType="begin"/>
            </w:r>
            <w:r>
              <w:rPr>
                <w:noProof/>
                <w:webHidden/>
              </w:rPr>
              <w:instrText xml:space="preserve"> PAGEREF _Toc115164311 \h </w:instrText>
            </w:r>
            <w:r>
              <w:rPr>
                <w:noProof/>
                <w:webHidden/>
              </w:rPr>
              <w:fldChar w:fldCharType="separate"/>
            </w:r>
            <w:r>
              <w:rPr>
                <w:noProof/>
                <w:webHidden/>
              </w:rPr>
              <w:t>4</w:t>
            </w:r>
            <w:r>
              <w:rPr>
                <w:noProof/>
                <w:webHidden/>
              </w:rPr>
              <w:fldChar w:fldCharType="end"/>
            </w:r>
          </w:hyperlink>
        </w:p>
        <w:p w:rsidR="00EA5A07" w14:paraId="1A1DCAE3" w14:textId="77777777">
          <w:pPr>
            <w:pStyle w:val="TOC2"/>
            <w:rPr>
              <w:rFonts w:eastAsiaTheme="minorEastAsia"/>
              <w:noProof/>
              <w:color w:val="auto"/>
            </w:rPr>
          </w:pPr>
          <w:hyperlink w:anchor="_Toc115164312" w:history="1">
            <w:r w:rsidRPr="00745C3C">
              <w:rPr>
                <w:rStyle w:val="Hyperlink"/>
                <w:noProof/>
              </w:rPr>
              <w:t>A.4. Efforts to Identify Duplication</w:t>
            </w:r>
            <w:r>
              <w:rPr>
                <w:noProof/>
                <w:webHidden/>
              </w:rPr>
              <w:tab/>
            </w:r>
            <w:r>
              <w:rPr>
                <w:noProof/>
                <w:webHidden/>
              </w:rPr>
              <w:fldChar w:fldCharType="begin"/>
            </w:r>
            <w:r>
              <w:rPr>
                <w:noProof/>
                <w:webHidden/>
              </w:rPr>
              <w:instrText xml:space="preserve"> PAGEREF _Toc115164312 \h </w:instrText>
            </w:r>
            <w:r>
              <w:rPr>
                <w:noProof/>
                <w:webHidden/>
              </w:rPr>
              <w:fldChar w:fldCharType="separate"/>
            </w:r>
            <w:r>
              <w:rPr>
                <w:noProof/>
                <w:webHidden/>
              </w:rPr>
              <w:t>4</w:t>
            </w:r>
            <w:r>
              <w:rPr>
                <w:noProof/>
                <w:webHidden/>
              </w:rPr>
              <w:fldChar w:fldCharType="end"/>
            </w:r>
          </w:hyperlink>
        </w:p>
        <w:p w:rsidR="00EA5A07" w14:paraId="03FD2D5A" w14:textId="77777777">
          <w:pPr>
            <w:pStyle w:val="TOC2"/>
            <w:rPr>
              <w:rFonts w:eastAsiaTheme="minorEastAsia"/>
              <w:noProof/>
              <w:color w:val="auto"/>
            </w:rPr>
          </w:pPr>
          <w:hyperlink w:anchor="_Toc115164313" w:history="1">
            <w:r w:rsidRPr="00745C3C">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_Toc115164313 \h </w:instrText>
            </w:r>
            <w:r>
              <w:rPr>
                <w:noProof/>
                <w:webHidden/>
              </w:rPr>
              <w:fldChar w:fldCharType="separate"/>
            </w:r>
            <w:r>
              <w:rPr>
                <w:noProof/>
                <w:webHidden/>
              </w:rPr>
              <w:t>5</w:t>
            </w:r>
            <w:r>
              <w:rPr>
                <w:noProof/>
                <w:webHidden/>
              </w:rPr>
              <w:fldChar w:fldCharType="end"/>
            </w:r>
          </w:hyperlink>
        </w:p>
        <w:p w:rsidR="00EA5A07" w14:paraId="22C182BB" w14:textId="77777777">
          <w:pPr>
            <w:pStyle w:val="TOC2"/>
            <w:rPr>
              <w:rFonts w:eastAsiaTheme="minorEastAsia"/>
              <w:noProof/>
              <w:color w:val="auto"/>
            </w:rPr>
          </w:pPr>
          <w:hyperlink w:anchor="_Toc115164314" w:history="1">
            <w:r w:rsidRPr="00745C3C">
              <w:rPr>
                <w:rStyle w:val="Hyperlink"/>
                <w:noProof/>
              </w:rPr>
              <w:t>A.6. Consequences of Less-Frequent Reporting</w:t>
            </w:r>
            <w:r>
              <w:rPr>
                <w:noProof/>
                <w:webHidden/>
              </w:rPr>
              <w:tab/>
            </w:r>
            <w:r>
              <w:rPr>
                <w:noProof/>
                <w:webHidden/>
              </w:rPr>
              <w:fldChar w:fldCharType="begin"/>
            </w:r>
            <w:r>
              <w:rPr>
                <w:noProof/>
                <w:webHidden/>
              </w:rPr>
              <w:instrText xml:space="preserve"> PAGEREF _Toc115164314 \h </w:instrText>
            </w:r>
            <w:r>
              <w:rPr>
                <w:noProof/>
                <w:webHidden/>
              </w:rPr>
              <w:fldChar w:fldCharType="separate"/>
            </w:r>
            <w:r>
              <w:rPr>
                <w:noProof/>
                <w:webHidden/>
              </w:rPr>
              <w:t>5</w:t>
            </w:r>
            <w:r>
              <w:rPr>
                <w:noProof/>
                <w:webHidden/>
              </w:rPr>
              <w:fldChar w:fldCharType="end"/>
            </w:r>
          </w:hyperlink>
        </w:p>
        <w:p w:rsidR="00EA5A07" w14:paraId="74C0F9C6" w14:textId="77777777">
          <w:pPr>
            <w:pStyle w:val="TOC2"/>
            <w:rPr>
              <w:rFonts w:eastAsiaTheme="minorEastAsia"/>
              <w:noProof/>
              <w:color w:val="auto"/>
            </w:rPr>
          </w:pPr>
          <w:hyperlink w:anchor="_Toc115164315" w:history="1">
            <w:r w:rsidRPr="00745C3C">
              <w:rPr>
                <w:rStyle w:val="Hyperlink"/>
                <w:noProof/>
              </w:rPr>
              <w:t>A.7. Compliance with 5 CFR 1320.5</w:t>
            </w:r>
            <w:r>
              <w:rPr>
                <w:noProof/>
                <w:webHidden/>
              </w:rPr>
              <w:tab/>
            </w:r>
            <w:r>
              <w:rPr>
                <w:noProof/>
                <w:webHidden/>
              </w:rPr>
              <w:fldChar w:fldCharType="begin"/>
            </w:r>
            <w:r>
              <w:rPr>
                <w:noProof/>
                <w:webHidden/>
              </w:rPr>
              <w:instrText xml:space="preserve"> PAGEREF _Toc115164315 \h </w:instrText>
            </w:r>
            <w:r>
              <w:rPr>
                <w:noProof/>
                <w:webHidden/>
              </w:rPr>
              <w:fldChar w:fldCharType="separate"/>
            </w:r>
            <w:r>
              <w:rPr>
                <w:noProof/>
                <w:webHidden/>
              </w:rPr>
              <w:t>6</w:t>
            </w:r>
            <w:r>
              <w:rPr>
                <w:noProof/>
                <w:webHidden/>
              </w:rPr>
              <w:fldChar w:fldCharType="end"/>
            </w:r>
          </w:hyperlink>
        </w:p>
        <w:p w:rsidR="00EA5A07" w14:paraId="2A3B29D3" w14:textId="77777777">
          <w:pPr>
            <w:pStyle w:val="TOC2"/>
            <w:rPr>
              <w:rFonts w:eastAsiaTheme="minorEastAsia"/>
              <w:noProof/>
              <w:color w:val="auto"/>
            </w:rPr>
          </w:pPr>
          <w:hyperlink w:anchor="_Toc115164316" w:history="1">
            <w:r w:rsidRPr="00745C3C">
              <w:rPr>
                <w:rStyle w:val="Hyperlink"/>
                <w:noProof/>
              </w:rPr>
              <w:t>A.8. Summary of Consultations Outside of the Agency</w:t>
            </w:r>
            <w:r>
              <w:rPr>
                <w:noProof/>
                <w:webHidden/>
              </w:rPr>
              <w:tab/>
            </w:r>
            <w:r>
              <w:rPr>
                <w:noProof/>
                <w:webHidden/>
              </w:rPr>
              <w:fldChar w:fldCharType="begin"/>
            </w:r>
            <w:r>
              <w:rPr>
                <w:noProof/>
                <w:webHidden/>
              </w:rPr>
              <w:instrText xml:space="preserve"> PAGEREF _Toc115164316 \h </w:instrText>
            </w:r>
            <w:r>
              <w:rPr>
                <w:noProof/>
                <w:webHidden/>
              </w:rPr>
              <w:fldChar w:fldCharType="separate"/>
            </w:r>
            <w:r>
              <w:rPr>
                <w:noProof/>
                <w:webHidden/>
              </w:rPr>
              <w:t>6</w:t>
            </w:r>
            <w:r>
              <w:rPr>
                <w:noProof/>
                <w:webHidden/>
              </w:rPr>
              <w:fldChar w:fldCharType="end"/>
            </w:r>
          </w:hyperlink>
        </w:p>
        <w:p w:rsidR="00EA5A07" w14:paraId="3AC05819" w14:textId="77777777">
          <w:pPr>
            <w:pStyle w:val="TOC2"/>
            <w:rPr>
              <w:rFonts w:eastAsiaTheme="minorEastAsia"/>
              <w:noProof/>
              <w:color w:val="auto"/>
            </w:rPr>
          </w:pPr>
          <w:hyperlink w:anchor="_Toc115164317" w:history="1">
            <w:r w:rsidRPr="00745C3C">
              <w:rPr>
                <w:rStyle w:val="Hyperlink"/>
                <w:noProof/>
              </w:rPr>
              <w:t>A.9. Payments or Gifts to Respondents</w:t>
            </w:r>
            <w:r>
              <w:rPr>
                <w:noProof/>
                <w:webHidden/>
              </w:rPr>
              <w:tab/>
            </w:r>
            <w:r>
              <w:rPr>
                <w:noProof/>
                <w:webHidden/>
              </w:rPr>
              <w:fldChar w:fldCharType="begin"/>
            </w:r>
            <w:r>
              <w:rPr>
                <w:noProof/>
                <w:webHidden/>
              </w:rPr>
              <w:instrText xml:space="preserve"> PAGEREF _Toc115164317 \h </w:instrText>
            </w:r>
            <w:r>
              <w:rPr>
                <w:noProof/>
                <w:webHidden/>
              </w:rPr>
              <w:fldChar w:fldCharType="separate"/>
            </w:r>
            <w:r>
              <w:rPr>
                <w:noProof/>
                <w:webHidden/>
              </w:rPr>
              <w:t>6</w:t>
            </w:r>
            <w:r>
              <w:rPr>
                <w:noProof/>
                <w:webHidden/>
              </w:rPr>
              <w:fldChar w:fldCharType="end"/>
            </w:r>
          </w:hyperlink>
        </w:p>
        <w:p w:rsidR="00EA5A07" w14:paraId="000085C3" w14:textId="77777777">
          <w:pPr>
            <w:pStyle w:val="TOC2"/>
            <w:rPr>
              <w:rFonts w:eastAsiaTheme="minorEastAsia"/>
              <w:noProof/>
              <w:color w:val="auto"/>
            </w:rPr>
          </w:pPr>
          <w:hyperlink w:anchor="_Toc115164318" w:history="1">
            <w:r w:rsidRPr="00745C3C">
              <w:rPr>
                <w:rStyle w:val="Hyperlink"/>
                <w:noProof/>
              </w:rPr>
              <w:t>A.10. Provisions for Protection of Information</w:t>
            </w:r>
            <w:r>
              <w:rPr>
                <w:noProof/>
                <w:webHidden/>
              </w:rPr>
              <w:tab/>
            </w:r>
            <w:r>
              <w:rPr>
                <w:noProof/>
                <w:webHidden/>
              </w:rPr>
              <w:fldChar w:fldCharType="begin"/>
            </w:r>
            <w:r>
              <w:rPr>
                <w:noProof/>
                <w:webHidden/>
              </w:rPr>
              <w:instrText xml:space="preserve"> PAGEREF _Toc115164318 \h </w:instrText>
            </w:r>
            <w:r>
              <w:rPr>
                <w:noProof/>
                <w:webHidden/>
              </w:rPr>
              <w:fldChar w:fldCharType="separate"/>
            </w:r>
            <w:r>
              <w:rPr>
                <w:noProof/>
                <w:webHidden/>
              </w:rPr>
              <w:t>6</w:t>
            </w:r>
            <w:r>
              <w:rPr>
                <w:noProof/>
                <w:webHidden/>
              </w:rPr>
              <w:fldChar w:fldCharType="end"/>
            </w:r>
          </w:hyperlink>
        </w:p>
        <w:p w:rsidR="00EA5A07" w14:paraId="2F1832AD" w14:textId="77777777">
          <w:pPr>
            <w:pStyle w:val="TOC2"/>
            <w:rPr>
              <w:rFonts w:eastAsiaTheme="minorEastAsia"/>
              <w:noProof/>
              <w:color w:val="auto"/>
            </w:rPr>
          </w:pPr>
          <w:hyperlink w:anchor="_Toc115164319" w:history="1">
            <w:r w:rsidRPr="00745C3C">
              <w:rPr>
                <w:rStyle w:val="Hyperlink"/>
                <w:noProof/>
              </w:rPr>
              <w:t>A.11. Justification for Sensitive Questions</w:t>
            </w:r>
            <w:r>
              <w:rPr>
                <w:noProof/>
                <w:webHidden/>
              </w:rPr>
              <w:tab/>
            </w:r>
            <w:r>
              <w:rPr>
                <w:noProof/>
                <w:webHidden/>
              </w:rPr>
              <w:fldChar w:fldCharType="begin"/>
            </w:r>
            <w:r>
              <w:rPr>
                <w:noProof/>
                <w:webHidden/>
              </w:rPr>
              <w:instrText xml:space="preserve"> PAGEREF _Toc115164319 \h </w:instrText>
            </w:r>
            <w:r>
              <w:rPr>
                <w:noProof/>
                <w:webHidden/>
              </w:rPr>
              <w:fldChar w:fldCharType="separate"/>
            </w:r>
            <w:r>
              <w:rPr>
                <w:noProof/>
                <w:webHidden/>
              </w:rPr>
              <w:t>7</w:t>
            </w:r>
            <w:r>
              <w:rPr>
                <w:noProof/>
                <w:webHidden/>
              </w:rPr>
              <w:fldChar w:fldCharType="end"/>
            </w:r>
          </w:hyperlink>
        </w:p>
        <w:p w:rsidR="00EA5A07" w14:paraId="4E5CF076" w14:textId="77777777">
          <w:pPr>
            <w:pStyle w:val="TOC2"/>
            <w:rPr>
              <w:rFonts w:eastAsiaTheme="minorEastAsia"/>
              <w:noProof/>
              <w:color w:val="auto"/>
            </w:rPr>
          </w:pPr>
          <w:hyperlink w:anchor="_Toc115164320" w:history="1">
            <w:r w:rsidRPr="00745C3C">
              <w:rPr>
                <w:rStyle w:val="Hyperlink"/>
                <w:noProof/>
              </w:rPr>
              <w:t>A.12. Estimate of Respondent Burden Hours and Cost</w:t>
            </w:r>
            <w:r>
              <w:rPr>
                <w:noProof/>
                <w:webHidden/>
              </w:rPr>
              <w:tab/>
            </w:r>
            <w:r>
              <w:rPr>
                <w:noProof/>
                <w:webHidden/>
              </w:rPr>
              <w:fldChar w:fldCharType="begin"/>
            </w:r>
            <w:r>
              <w:rPr>
                <w:noProof/>
                <w:webHidden/>
              </w:rPr>
              <w:instrText xml:space="preserve"> PAGEREF _Toc115164320 \h </w:instrText>
            </w:r>
            <w:r>
              <w:rPr>
                <w:noProof/>
                <w:webHidden/>
              </w:rPr>
              <w:fldChar w:fldCharType="separate"/>
            </w:r>
            <w:r>
              <w:rPr>
                <w:noProof/>
                <w:webHidden/>
              </w:rPr>
              <w:t>7</w:t>
            </w:r>
            <w:r>
              <w:rPr>
                <w:noProof/>
                <w:webHidden/>
              </w:rPr>
              <w:fldChar w:fldCharType="end"/>
            </w:r>
          </w:hyperlink>
        </w:p>
        <w:p w:rsidR="00EA5A07" w14:paraId="5E81CFC8" w14:textId="77777777">
          <w:pPr>
            <w:pStyle w:val="TOC2"/>
            <w:rPr>
              <w:rFonts w:eastAsiaTheme="minorEastAsia"/>
              <w:noProof/>
              <w:color w:val="auto"/>
            </w:rPr>
          </w:pPr>
          <w:hyperlink w:anchor="_Toc115164321" w:history="1">
            <w:r w:rsidRPr="00745C3C">
              <w:rPr>
                <w:rStyle w:val="Hyperlink"/>
                <w:noProof/>
              </w:rPr>
              <w:t>A.13. Annual Cost to the Federal Government</w:t>
            </w:r>
            <w:r>
              <w:rPr>
                <w:noProof/>
                <w:webHidden/>
              </w:rPr>
              <w:tab/>
            </w:r>
            <w:r>
              <w:rPr>
                <w:noProof/>
                <w:webHidden/>
              </w:rPr>
              <w:fldChar w:fldCharType="begin"/>
            </w:r>
            <w:r>
              <w:rPr>
                <w:noProof/>
                <w:webHidden/>
              </w:rPr>
              <w:instrText xml:space="preserve"> PAGEREF _Toc115164321 \h </w:instrText>
            </w:r>
            <w:r>
              <w:rPr>
                <w:noProof/>
                <w:webHidden/>
              </w:rPr>
              <w:fldChar w:fldCharType="separate"/>
            </w:r>
            <w:r>
              <w:rPr>
                <w:noProof/>
                <w:webHidden/>
              </w:rPr>
              <w:t>8</w:t>
            </w:r>
            <w:r>
              <w:rPr>
                <w:noProof/>
                <w:webHidden/>
              </w:rPr>
              <w:fldChar w:fldCharType="end"/>
            </w:r>
          </w:hyperlink>
        </w:p>
        <w:p w:rsidR="00EA5A07" w14:paraId="350D2198" w14:textId="77777777">
          <w:pPr>
            <w:pStyle w:val="TOC2"/>
            <w:rPr>
              <w:rFonts w:eastAsiaTheme="minorEastAsia"/>
              <w:noProof/>
              <w:color w:val="auto"/>
            </w:rPr>
          </w:pPr>
          <w:hyperlink w:anchor="_Toc115164322" w:history="1">
            <w:r w:rsidRPr="00745C3C">
              <w:rPr>
                <w:rStyle w:val="Hyperlink"/>
                <w:noProof/>
              </w:rPr>
              <w:t>A.14. Changes in Burden</w:t>
            </w:r>
            <w:r>
              <w:rPr>
                <w:noProof/>
                <w:webHidden/>
              </w:rPr>
              <w:tab/>
            </w:r>
            <w:r>
              <w:rPr>
                <w:noProof/>
                <w:webHidden/>
              </w:rPr>
              <w:fldChar w:fldCharType="begin"/>
            </w:r>
            <w:r>
              <w:rPr>
                <w:noProof/>
                <w:webHidden/>
              </w:rPr>
              <w:instrText xml:space="preserve"> PAGEREF _Toc115164322 \h </w:instrText>
            </w:r>
            <w:r>
              <w:rPr>
                <w:noProof/>
                <w:webHidden/>
              </w:rPr>
              <w:fldChar w:fldCharType="separate"/>
            </w:r>
            <w:r>
              <w:rPr>
                <w:noProof/>
                <w:webHidden/>
              </w:rPr>
              <w:t>9</w:t>
            </w:r>
            <w:r>
              <w:rPr>
                <w:noProof/>
                <w:webHidden/>
              </w:rPr>
              <w:fldChar w:fldCharType="end"/>
            </w:r>
          </w:hyperlink>
        </w:p>
        <w:p w:rsidR="00EA5A07" w14:paraId="53CE9A4F" w14:textId="77777777">
          <w:pPr>
            <w:pStyle w:val="TOC2"/>
            <w:rPr>
              <w:rFonts w:eastAsiaTheme="minorEastAsia"/>
              <w:noProof/>
              <w:color w:val="auto"/>
            </w:rPr>
          </w:pPr>
          <w:hyperlink w:anchor="_Toc115164323" w:history="1">
            <w:r w:rsidRPr="00745C3C">
              <w:rPr>
                <w:rStyle w:val="Hyperlink"/>
                <w:noProof/>
              </w:rPr>
              <w:t>A.15. Reasons for Changes in Burden</w:t>
            </w:r>
            <w:r>
              <w:rPr>
                <w:noProof/>
                <w:webHidden/>
              </w:rPr>
              <w:tab/>
            </w:r>
            <w:r>
              <w:rPr>
                <w:noProof/>
                <w:webHidden/>
              </w:rPr>
              <w:fldChar w:fldCharType="begin"/>
            </w:r>
            <w:r>
              <w:rPr>
                <w:noProof/>
                <w:webHidden/>
              </w:rPr>
              <w:instrText xml:space="preserve"> PAGEREF _Toc115164323 \h </w:instrText>
            </w:r>
            <w:r>
              <w:rPr>
                <w:noProof/>
                <w:webHidden/>
              </w:rPr>
              <w:fldChar w:fldCharType="separate"/>
            </w:r>
            <w:r>
              <w:rPr>
                <w:noProof/>
                <w:webHidden/>
              </w:rPr>
              <w:t>10</w:t>
            </w:r>
            <w:r>
              <w:rPr>
                <w:noProof/>
                <w:webHidden/>
              </w:rPr>
              <w:fldChar w:fldCharType="end"/>
            </w:r>
          </w:hyperlink>
        </w:p>
        <w:p w:rsidR="00EA5A07" w14:paraId="3802BD97" w14:textId="77777777">
          <w:pPr>
            <w:pStyle w:val="TOC2"/>
            <w:rPr>
              <w:rFonts w:eastAsiaTheme="minorEastAsia"/>
              <w:noProof/>
              <w:color w:val="auto"/>
            </w:rPr>
          </w:pPr>
          <w:hyperlink w:anchor="_Toc115164324" w:history="1">
            <w:r w:rsidRPr="00745C3C">
              <w:rPr>
                <w:rStyle w:val="Hyperlink"/>
                <w:noProof/>
              </w:rPr>
              <w:t>A.16. Collection, Tabulation, and Publication Plans</w:t>
            </w:r>
            <w:r>
              <w:rPr>
                <w:noProof/>
                <w:webHidden/>
              </w:rPr>
              <w:tab/>
            </w:r>
            <w:r>
              <w:rPr>
                <w:noProof/>
                <w:webHidden/>
              </w:rPr>
              <w:fldChar w:fldCharType="begin"/>
            </w:r>
            <w:r>
              <w:rPr>
                <w:noProof/>
                <w:webHidden/>
              </w:rPr>
              <w:instrText xml:space="preserve"> PAGEREF _Toc115164324 \h </w:instrText>
            </w:r>
            <w:r>
              <w:rPr>
                <w:noProof/>
                <w:webHidden/>
              </w:rPr>
              <w:fldChar w:fldCharType="separate"/>
            </w:r>
            <w:r>
              <w:rPr>
                <w:noProof/>
                <w:webHidden/>
              </w:rPr>
              <w:t>11</w:t>
            </w:r>
            <w:r>
              <w:rPr>
                <w:noProof/>
                <w:webHidden/>
              </w:rPr>
              <w:fldChar w:fldCharType="end"/>
            </w:r>
          </w:hyperlink>
        </w:p>
        <w:p w:rsidR="00EA5A07" w14:paraId="5C300B1E" w14:textId="77777777">
          <w:pPr>
            <w:pStyle w:val="TOC2"/>
            <w:rPr>
              <w:rFonts w:eastAsiaTheme="minorEastAsia"/>
              <w:noProof/>
              <w:color w:val="auto"/>
            </w:rPr>
          </w:pPr>
          <w:hyperlink w:anchor="_Toc115164325" w:history="1">
            <w:r w:rsidRPr="00745C3C">
              <w:rPr>
                <w:rStyle w:val="Hyperlink"/>
                <w:noProof/>
              </w:rPr>
              <w:t>A.17. OMB Number and Expiration Date</w:t>
            </w:r>
            <w:r>
              <w:rPr>
                <w:noProof/>
                <w:webHidden/>
              </w:rPr>
              <w:tab/>
            </w:r>
            <w:r>
              <w:rPr>
                <w:noProof/>
                <w:webHidden/>
              </w:rPr>
              <w:fldChar w:fldCharType="begin"/>
            </w:r>
            <w:r>
              <w:rPr>
                <w:noProof/>
                <w:webHidden/>
              </w:rPr>
              <w:instrText xml:space="preserve"> PAGEREF _Toc115164325 \h </w:instrText>
            </w:r>
            <w:r>
              <w:rPr>
                <w:noProof/>
                <w:webHidden/>
              </w:rPr>
              <w:fldChar w:fldCharType="separate"/>
            </w:r>
            <w:r>
              <w:rPr>
                <w:noProof/>
                <w:webHidden/>
              </w:rPr>
              <w:t>11</w:t>
            </w:r>
            <w:r>
              <w:rPr>
                <w:noProof/>
                <w:webHidden/>
              </w:rPr>
              <w:fldChar w:fldCharType="end"/>
            </w:r>
          </w:hyperlink>
        </w:p>
        <w:p w:rsidR="00EA5A07" w14:paraId="3A275FC1" w14:textId="77777777">
          <w:pPr>
            <w:pStyle w:val="TOC2"/>
            <w:rPr>
              <w:rFonts w:eastAsiaTheme="minorEastAsia"/>
              <w:noProof/>
              <w:color w:val="auto"/>
            </w:rPr>
          </w:pPr>
          <w:hyperlink w:anchor="_Toc115164326" w:history="1">
            <w:r w:rsidRPr="00745C3C">
              <w:rPr>
                <w:rStyle w:val="Hyperlink"/>
                <w:noProof/>
              </w:rPr>
              <w:t>A.18. Certification Statement</w:t>
            </w:r>
            <w:r>
              <w:rPr>
                <w:noProof/>
                <w:webHidden/>
              </w:rPr>
              <w:tab/>
            </w:r>
            <w:r>
              <w:rPr>
                <w:noProof/>
                <w:webHidden/>
              </w:rPr>
              <w:fldChar w:fldCharType="begin"/>
            </w:r>
            <w:r>
              <w:rPr>
                <w:noProof/>
                <w:webHidden/>
              </w:rPr>
              <w:instrText xml:space="preserve"> PAGEREF _Toc115164326 \h </w:instrText>
            </w:r>
            <w:r>
              <w:rPr>
                <w:noProof/>
                <w:webHidden/>
              </w:rPr>
              <w:fldChar w:fldCharType="separate"/>
            </w:r>
            <w:r>
              <w:rPr>
                <w:noProof/>
                <w:webHidden/>
              </w:rPr>
              <w:t>11</w:t>
            </w:r>
            <w:r>
              <w:rPr>
                <w:noProof/>
                <w:webHidden/>
              </w:rPr>
              <w:fldChar w:fldCharType="end"/>
            </w:r>
          </w:hyperlink>
        </w:p>
        <w:p w:rsidR="0059212D" w14:paraId="1391517F" w14:textId="77777777">
          <w:r>
            <w:rPr>
              <w:b/>
              <w:bCs/>
              <w:noProof/>
            </w:rPr>
            <w:fldChar w:fldCharType="end"/>
          </w:r>
        </w:p>
      </w:sdtContent>
    </w:sdt>
    <w:p w:rsidR="001F3A8F" w:rsidP="00D928FD" w14:paraId="48F03B92" w14:textId="77777777"/>
    <w:p w:rsidR="00D928FD" w:rsidP="00D928FD" w14:paraId="432A1FFD" w14:textId="77777777">
      <w:pPr>
        <w:sectPr w:rsidSect="000E2DF4">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4219FF7B" w14:textId="77777777">
      <w:pPr>
        <w:spacing w:line="240" w:lineRule="auto"/>
      </w:pPr>
    </w:p>
    <w:p w:rsidR="00933D5D" w:rsidP="00933D5D" w14:paraId="7A6AF1F7" w14:textId="77777777">
      <w:pPr>
        <w:tabs>
          <w:tab w:val="left" w:pos="7365"/>
        </w:tabs>
      </w:pPr>
      <w:r>
        <w:tab/>
      </w:r>
    </w:p>
    <w:p w:rsidR="00041909" w:rsidRPr="00933D5D" w:rsidP="00933D5D" w14:paraId="73D17A3A" w14:textId="77777777">
      <w:pPr>
        <w:tabs>
          <w:tab w:val="left" w:pos="7365"/>
        </w:tabs>
        <w:sectPr w:rsidSect="000E2DF4">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5B1380" w14:paraId="464AF9AF" w14:textId="77777777">
      <w:pPr>
        <w:pStyle w:val="Heading2"/>
      </w:pPr>
      <w:bookmarkStart w:id="2" w:name="_Toc115164308"/>
      <w:r>
        <w:t>Introdu</w:t>
      </w:r>
      <w:r w:rsidR="00844524">
        <w:t>ction</w:t>
      </w:r>
      <w:bookmarkEnd w:id="2"/>
    </w:p>
    <w:p w:rsidR="00197407" w:rsidRPr="00BA6C32" w:rsidP="00197407" w14:paraId="455976BB" w14:textId="77777777">
      <w:pPr>
        <w:spacing w:before="120" w:after="120"/>
        <w:rPr>
          <w:i/>
          <w:u w:val="single"/>
        </w:rPr>
      </w:pPr>
      <w:r w:rsidRPr="009E304F">
        <w:t>The U.S. Energy Information Administration (EIA) is the statistical and analytical agency within the U.S. Department of Energy (DOE).</w:t>
      </w:r>
      <w:r>
        <w:t xml:space="preserve"> </w:t>
      </w:r>
      <w:r w:rsidRPr="009E304F">
        <w:t>It collects, analyzes, and disseminates independent and impartial energy information to promote sound policymaking, efficient markets, and public understanding regarding energy and its interaction with the economy and the environment.</w:t>
      </w:r>
      <w:r>
        <w:t xml:space="preserve"> </w:t>
      </w:r>
    </w:p>
    <w:p w:rsidR="00197407" w:rsidP="00197407" w14:paraId="142CBAB4" w14:textId="77777777">
      <w:pPr>
        <w:spacing w:before="120" w:after="120"/>
      </w:pPr>
      <w:r w:rsidRPr="00BA6C32">
        <w:t>This request is for the Office of Management and Budget (OMB) approval of a</w:t>
      </w:r>
      <w:r>
        <w:t xml:space="preserve"> three-year extension to </w:t>
      </w:r>
      <w:r w:rsidRPr="00BA6C32">
        <w:t>Form GC-859</w:t>
      </w:r>
      <w:r>
        <w:t xml:space="preserve"> </w:t>
      </w:r>
      <w:r w:rsidRPr="009E304F">
        <w:rPr>
          <w:i/>
        </w:rPr>
        <w:t>Nuclear Fuel Data Survey</w:t>
      </w:r>
      <w:r w:rsidRPr="00BA6C32">
        <w:t xml:space="preserve">. EIA is </w:t>
      </w:r>
      <w:r>
        <w:t>s</w:t>
      </w:r>
      <w:r w:rsidRPr="00BA6C32">
        <w:t>ubmi</w:t>
      </w:r>
      <w:r>
        <w:t>tting this form</w:t>
      </w:r>
      <w:r w:rsidRPr="00BA6C32">
        <w:t xml:space="preserve"> to OMB pursuant to the Paperwork Reduction Act of 1995.</w:t>
      </w:r>
      <w:r>
        <w:t xml:space="preserve"> </w:t>
      </w:r>
      <w:r w:rsidRPr="00BA6C32">
        <w:t xml:space="preserve">The Nuclear Waste Policy Act of 1982 (42 U.S.C. </w:t>
      </w:r>
      <w:r>
        <w:t>§</w:t>
      </w:r>
      <w:r w:rsidRPr="00BA6C32">
        <w:t>10101 et seq.) require</w:t>
      </w:r>
      <w:r>
        <w:t>s that</w:t>
      </w:r>
      <w:r w:rsidRPr="00BA6C32">
        <w:t xml:space="preserve"> the</w:t>
      </w:r>
      <w:r>
        <w:t xml:space="preserve"> </w:t>
      </w:r>
      <w:r w:rsidRPr="00BA6C32">
        <w:t>DOE enter into Standard Contracts with all generators or owners of spent nuclear fuel and high-level radioactive waste of domestic origin.</w:t>
      </w:r>
      <w:r>
        <w:t xml:space="preserve"> To meet this policy, </w:t>
      </w:r>
      <w:r w:rsidRPr="00BA6C32">
        <w:t>Form GC-859 collect</w:t>
      </w:r>
      <w:r>
        <w:t>s</w:t>
      </w:r>
      <w:r w:rsidRPr="00BA6C32">
        <w:t xml:space="preserve"> information on nuclear fuel use and spent fuel discharges from all utilities that operate commercial nuclear reactors and from all others that possess irradiated fuel from commercial nuclear reactors.</w:t>
      </w:r>
      <w:r w:rsidRPr="007047F1">
        <w:t xml:space="preserve"> </w:t>
      </w:r>
      <w:r>
        <w:t xml:space="preserve">The data collected includes </w:t>
      </w:r>
      <w:r w:rsidRPr="00DF25D0">
        <w:t>reactor license information, reactor cycle data, data on permanently discharged fuel, historical assembly cycle data, special fuel forms, data on canisters and their contents, pool and dry storage capacities and inventories, nonfuel components data, and data on Greater Than Class C (GT</w:t>
      </w:r>
      <w:r>
        <w:t xml:space="preserve">CC) Low-Level Radioactive Waste </w:t>
      </w:r>
      <w:r w:rsidRPr="00DF25D0">
        <w:t>(LLRW).</w:t>
      </w:r>
      <w:r>
        <w:t xml:space="preserve">  </w:t>
      </w:r>
    </w:p>
    <w:p w:rsidR="00197407" w:rsidP="00197407" w14:paraId="13034BE8" w14:textId="6AECB602">
      <w:pPr>
        <w:spacing w:before="120" w:after="120"/>
      </w:pPr>
      <w:r w:rsidRPr="00BA6C32">
        <w:t xml:space="preserve">EIA </w:t>
      </w:r>
      <w:r>
        <w:t xml:space="preserve">previously </w:t>
      </w:r>
      <w:r w:rsidRPr="00BA6C32">
        <w:t>collected th</w:t>
      </w:r>
      <w:r>
        <w:t>is information in 20</w:t>
      </w:r>
      <w:r w:rsidR="0085478C">
        <w:t>23</w:t>
      </w:r>
      <w:r>
        <w:t xml:space="preserve"> on</w:t>
      </w:r>
      <w:r w:rsidRPr="00BA6C32">
        <w:t xml:space="preserve"> Form GC-859 for </w:t>
      </w:r>
      <w:r w:rsidRPr="00197407">
        <w:t>U.S. Department of Energy</w:t>
      </w:r>
      <w:r w:rsidRPr="00BA6C32">
        <w:t xml:space="preserve"> </w:t>
      </w:r>
      <w:r>
        <w:t>(</w:t>
      </w:r>
      <w:r w:rsidRPr="00BA6C32">
        <w:t>DOE</w:t>
      </w:r>
      <w:r>
        <w:t>)</w:t>
      </w:r>
      <w:r w:rsidRPr="00BA6C32">
        <w:t xml:space="preserve"> Office of Standard Contract Management, Office of the General Counsel (GC).</w:t>
      </w:r>
    </w:p>
    <w:p w:rsidR="00197407" w:rsidRPr="00BA6C32" w:rsidP="00197407" w14:paraId="0083C5D2" w14:textId="08A56856">
      <w:pPr>
        <w:spacing w:before="120" w:after="120"/>
      </w:pPr>
      <w:r w:rsidRPr="00BA6C32">
        <w:t>Form GC-859 last collected in 20</w:t>
      </w:r>
      <w:r w:rsidR="0085478C">
        <w:t>23</w:t>
      </w:r>
      <w:r w:rsidRPr="00BA6C32">
        <w:t xml:space="preserve"> was </w:t>
      </w:r>
      <w:r w:rsidR="0085478C">
        <w:t xml:space="preserve">conducted with an online </w:t>
      </w:r>
      <w:r w:rsidRPr="0061328D" w:rsidR="0085478C">
        <w:rPr>
          <w:rFonts w:cstheme="minorHAnsi"/>
        </w:rPr>
        <w:t>platform (</w:t>
      </w:r>
      <w:hyperlink r:id="rId15" w:history="1">
        <w:r w:rsidRPr="00621910" w:rsidR="006F655E">
          <w:rPr>
            <w:rStyle w:val="Hyperlink"/>
            <w:rFonts w:cstheme="minorHAnsi"/>
            <w:i/>
          </w:rPr>
          <w:t>https://gc859.pnnl.gov</w:t>
        </w:r>
      </w:hyperlink>
      <w:r w:rsidRPr="0061328D" w:rsidR="0085478C">
        <w:rPr>
          <w:rFonts w:cstheme="minorHAnsi"/>
        </w:rPr>
        <w:t>)</w:t>
      </w:r>
      <w:r w:rsidR="0085478C">
        <w:t xml:space="preserve"> that facilitated responses and allowed electronic files to aid in the submittal.</w:t>
      </w:r>
      <w:r>
        <w:t xml:space="preserve"> </w:t>
      </w:r>
      <w:r w:rsidRPr="00BA6C32">
        <w:t xml:space="preserve">The survey containing data </w:t>
      </w:r>
      <w:r>
        <w:t>from</w:t>
      </w:r>
      <w:r w:rsidRPr="00BA6C32">
        <w:t xml:space="preserve"> </w:t>
      </w:r>
      <w:r w:rsidR="00A65DCD">
        <w:t xml:space="preserve">December 31, </w:t>
      </w:r>
      <w:r w:rsidR="00A65DCD">
        <w:t>20</w:t>
      </w:r>
      <w:r w:rsidR="0085478C">
        <w:t>22</w:t>
      </w:r>
      <w:r>
        <w:t xml:space="preserve"> is the last</w:t>
      </w:r>
      <w:r w:rsidRPr="00BA6C32">
        <w:t xml:space="preserve"> collected and most recent data on spent nuclear fuel discharges and storage available within DOE.</w:t>
      </w:r>
      <w:r>
        <w:t xml:space="preserve">  </w:t>
      </w:r>
    </w:p>
    <w:p w:rsidR="00197407" w:rsidP="00197407" w14:paraId="5A48C827" w14:textId="277C141D">
      <w:pPr>
        <w:spacing w:before="120" w:after="120"/>
      </w:pPr>
      <w:r w:rsidRPr="00BA6C32">
        <w:t xml:space="preserve">The </w:t>
      </w:r>
      <w:r>
        <w:t>20</w:t>
      </w:r>
      <w:r w:rsidR="00A65DCD">
        <w:t>2</w:t>
      </w:r>
      <w:r w:rsidR="0085478C">
        <w:t>8</w:t>
      </w:r>
      <w:r>
        <w:t xml:space="preserve"> version of </w:t>
      </w:r>
      <w:r w:rsidRPr="00BA6C32">
        <w:t xml:space="preserve">Form GC-859 </w:t>
      </w:r>
      <w:r>
        <w:t xml:space="preserve">has </w:t>
      </w:r>
      <w:r w:rsidR="002E3EDD">
        <w:t>slightly</w:t>
      </w:r>
      <w:r w:rsidR="00A65DCD">
        <w:t xml:space="preserve"> different</w:t>
      </w:r>
      <w:r>
        <w:t xml:space="preserve"> data requirements compared to the previously approved ICR. </w:t>
      </w:r>
      <w:r w:rsidRPr="00064BFC" w:rsidR="002E3EDD">
        <w:t xml:space="preserve">The difference is in </w:t>
      </w:r>
      <w:r w:rsidR="00B609F9">
        <w:t xml:space="preserve">Section B.2: Reactor License Data (discontinued), </w:t>
      </w:r>
      <w:r w:rsidR="00BF1974">
        <w:t>Section</w:t>
      </w:r>
      <w:r w:rsidR="0085478C">
        <w:t xml:space="preserve"> C.1.1: Data on Discharged Fuel Assemblies and Non-Fuel Components Integral to the Assembly, </w:t>
      </w:r>
      <w:r w:rsidR="00BF1974">
        <w:t>Section</w:t>
      </w:r>
      <w:r w:rsidR="0085478C">
        <w:t xml:space="preserve"> C.2: Projected Assembly Discharges</w:t>
      </w:r>
      <w:r w:rsidR="00F74583">
        <w:t xml:space="preserve"> (reinstatement)</w:t>
      </w:r>
      <w:r w:rsidR="0085478C">
        <w:t xml:space="preserve">, </w:t>
      </w:r>
      <w:r w:rsidR="009066DC">
        <w:t>Section D</w:t>
      </w:r>
      <w:r w:rsidRPr="009066DC" w:rsidR="009066DC">
        <w:t>.3.3: Assemblies in Dry Storage</w:t>
      </w:r>
      <w:r w:rsidR="009066DC">
        <w:t xml:space="preserve">, Appendix C: </w:t>
      </w:r>
      <w:r w:rsidRPr="003F3074" w:rsidR="009066DC">
        <w:t>Reactor and Spent Fuel Storage Site Identification Codes</w:t>
      </w:r>
      <w:r w:rsidR="009066DC">
        <w:t>,</w:t>
      </w:r>
      <w:r w:rsidRPr="009066DC" w:rsidR="009066DC">
        <w:t xml:space="preserve"> </w:t>
      </w:r>
      <w:r w:rsidR="0085478C">
        <w:t xml:space="preserve">and Appendix E: Fuel Assembly Type Codes. </w:t>
      </w:r>
      <w:r>
        <w:t xml:space="preserve">The </w:t>
      </w:r>
      <w:r w:rsidR="002E3EDD">
        <w:t>web application data collection tool has been implemented to provide both</w:t>
      </w:r>
      <w:r>
        <w:t xml:space="preserve"> </w:t>
      </w:r>
      <w:r w:rsidR="002E3EDD">
        <w:t xml:space="preserve">streamlined reporting for the respondent population and essential data management benefit </w:t>
      </w:r>
      <w:r>
        <w:t xml:space="preserve">for </w:t>
      </w:r>
      <w:r w:rsidRPr="00BA6C32">
        <w:t xml:space="preserve">personnel </w:t>
      </w:r>
      <w:r w:rsidRPr="009E304F">
        <w:t>from DOE Office of Nuclear Energy (NE), DOE Office of Environmental Management (EM), and the national laboratories to meet their research objectives of developing a range of options and supporting analyses that facilitate informed choices about how best to manage spent nuclear fuel</w:t>
      </w:r>
      <w:r w:rsidRPr="00610E16">
        <w:t>.</w:t>
      </w:r>
      <w:r w:rsidRPr="00610E16">
        <w:rPr>
          <w:i/>
        </w:rPr>
        <w:t xml:space="preserve"> </w:t>
      </w:r>
      <w:r w:rsidRPr="00610E16" w:rsidR="002E3EDD">
        <w:t>The differences applied to</w:t>
      </w:r>
      <w:r w:rsidRPr="00610E16">
        <w:t xml:space="preserve"> Form GC-859 from the last data collection in 20</w:t>
      </w:r>
      <w:r w:rsidR="0085478C">
        <w:t>23</w:t>
      </w:r>
      <w:r w:rsidRPr="00610E16">
        <w:t xml:space="preserve"> include the following:</w:t>
      </w:r>
    </w:p>
    <w:p w:rsidR="00E13085" w:rsidP="00E13085" w14:paraId="6DAE81F7" w14:textId="77777777">
      <w:pPr>
        <w:pStyle w:val="ListParagraph"/>
        <w:ind w:left="360"/>
      </w:pPr>
      <w:r w:rsidRPr="0044487E">
        <w:t>Clarified instructions, definitions, and tables based on the feedback received from the last survey collection. This lessens the burden on respondents by avoiding unnecessary clarifications.</w:t>
      </w:r>
    </w:p>
    <w:p w:rsidR="008E1E03" w:rsidP="008E1E03" w14:paraId="5867321F" w14:textId="77777777">
      <w:pPr>
        <w:pStyle w:val="ListParagraph"/>
        <w:ind w:left="360"/>
      </w:pPr>
      <w:r w:rsidRPr="00E13085">
        <w:t xml:space="preserve">Section B.2: Reactor License Data. Section B.2 is being discontinued because the license status and other data is publicly available on the Nuclear Regulatory Commission’s website.  Section B.2 now indicates “Discontinued” to preserve the subsection numbering in Section B.  </w:t>
      </w:r>
    </w:p>
    <w:p w:rsidR="00B971A5" w:rsidP="00B971A5" w14:paraId="254FB912" w14:textId="77777777">
      <w:pPr>
        <w:pStyle w:val="ListParagraph"/>
        <w:ind w:left="360"/>
      </w:pPr>
      <w:r w:rsidRPr="008E1E03">
        <w:t xml:space="preserve">Section C.1.1: Data on Discharged Fuel Assemblies and Non-Fuel Components Integral to the Assembly - Addition of an optional data field for Assembly-Average Initial Enrichment. The form </w:t>
      </w:r>
      <w:r w:rsidRPr="008E1E03">
        <w:t>currently includes a data field only for Maximum Planar-Average Initial Enrichment. Assembly-Average Initial Enrichment is critical for evaluating decay heat and dose rates, while Maximum Planar-Average Initial Enrichment accounts for axial and radial variations in enrichment, essential for criticality safety assessments. Having data for both enrichment values available reduces conservatism and uncertainty in assessing the transportability of transportation packages, providing DOE with the information necessary for effective planning of future spent nuclear fuel transport and storage while maintaining compliance with thermal, radiological, and criticality safety requirements.  Furthermore, Assembly-Average Initial Enrichment is considered non-conservative from a criticality safety perspective so obtaining this data would significantly benefit other planning, such as in scenarios involving disposal in addition to transport and storage.</w:t>
      </w:r>
      <w:r>
        <w:t xml:space="preserve"> </w:t>
      </w:r>
    </w:p>
    <w:p w:rsidR="00B971A5" w:rsidP="00621910" w14:paraId="1FBCD765" w14:textId="7727949C">
      <w:pPr>
        <w:pStyle w:val="ListParagraph"/>
        <w:ind w:left="360"/>
      </w:pPr>
      <w:r w:rsidRPr="57EF97BC">
        <w:t xml:space="preserve">Reinstating Section C.2: Projected Assembly Discharges. </w:t>
      </w:r>
      <w:r w:rsidRPr="004C7D83" w:rsidR="004C7D83">
        <w:t xml:space="preserve">DOE paused collection of projected assembly discharge data in section C.2 starting with the survey covering the July 1, 2013 – December 31, </w:t>
      </w:r>
      <w:r w:rsidRPr="004C7D83" w:rsidR="004C7D83">
        <w:t>2017</w:t>
      </w:r>
      <w:r w:rsidRPr="004C7D83" w:rsidR="004C7D83">
        <w:t xml:space="preserve"> period. However, reinstating this section is now necessary to provide insight on planned changes in reactor operations, particularly power </w:t>
      </w:r>
      <w:r w:rsidRPr="004C7D83" w:rsidR="004C7D83">
        <w:t>uprates</w:t>
      </w:r>
      <w:r w:rsidRPr="004C7D83" w:rsidR="004C7D83">
        <w:t xml:space="preserve"> and the introduction of high-assay low-enriched uranium fuel. These developments will directly impact spent fuel characteristics, including enrichment levels and burnup rates. Section C.2 originally called for projections of discharged assemblies to be reported for five cycles. This has been reduced to three cycles as reporting a minimum of three cycles will be sufficient to cover the five-year gap in between survey collections. By collecting data on projected assembly discharges, DOE can ensure that it has the necessary information to manage and plan spent fuel storage, disposal strategies, and infrastructure investments in light of these anticipated changes. Section C.2 includes improvements for clarity of data requested, including an updated description and example of Projected Final Average Discharge Burnup of the Group.</w:t>
      </w:r>
    </w:p>
    <w:p w:rsidR="00DB731C" w:rsidP="00DB731C" w14:paraId="5F3AAE85" w14:textId="77777777">
      <w:pPr>
        <w:pStyle w:val="ListParagraph"/>
        <w:ind w:left="360"/>
      </w:pPr>
      <w:r>
        <w:t>Non-Fuel Components (NFC). The 3 NFC columns in Table C.1.1 will be removed (NFC, NFC Identifier, and Estimated Total Weight) and added to the D.3.3 (Assemblies in Dry Storage) table. The NFC stored in the pool is already captured in Section E: Non-Fuel Data and the text was modified in E.2: Non-Fuel Components – Integral to an Assembly. This change was made to simplify the reporting of non-fuel components in the spent fuel pool. For these components, DOE does not require tracking of their current location in the spent fuel pool, only the tentative amount of hardware delivered to DOE. This reduces the burden on respondents by not requiring them to track and report the location of hardware components in the pool.</w:t>
      </w:r>
    </w:p>
    <w:p w:rsidR="003F3074" w:rsidP="003F3074" w14:paraId="4B95C098" w14:textId="77777777">
      <w:pPr>
        <w:pStyle w:val="ListParagraph"/>
        <w:ind w:left="360"/>
      </w:pPr>
      <w:r>
        <w:t>D.3.3: Assemblies in Dry Storage. An additional column for Damaged Fuel Canister (DFC) will be added to the D.3.3 table. This eases the burden on respondents because this change improves clarity by avoiding confusion between a single assembly canister in section C.3.1 and a DFC reported in D.3.3. Additionally, it enhances clarity during canister unloading, ensuring it is clear which assemblies are damaged and whether additional hardware is present in the cask. This information is also used to verify compliance with the Certificate of Compliance when accepting the cask for transportation.</w:t>
      </w:r>
    </w:p>
    <w:p w:rsidR="003F3074" w:rsidP="003F3074" w14:paraId="0CFE2020" w14:textId="41B18016">
      <w:pPr>
        <w:pStyle w:val="ListParagraph"/>
        <w:ind w:left="360"/>
      </w:pPr>
      <w:r w:rsidRPr="003F3074">
        <w:t xml:space="preserve">Appendix C: Reactor and Spent Fuel Storage Site Identification Codes. Appendix C has been updated to remove numeric ID numbers for reactors or storage locations. These have been replaced with easily recognizable names, consistent with the choices in the web-application. Pools that no longer exist or that are no longer planned for storage have been removed from the list. Appendix C has been renamed to Reactor or Facility and Spent Fuel Storage Site. The form has been revised to </w:t>
      </w:r>
      <w:r w:rsidRPr="003F3074">
        <w:t>remove references to numeric IDs, so the form now contains only user friendly, easily recognizable names.</w:t>
      </w:r>
    </w:p>
    <w:p w:rsidR="006F655E" w:rsidRPr="00621910" w:rsidP="00621910" w14:paraId="641A376B" w14:textId="1E6F477B">
      <w:pPr>
        <w:pStyle w:val="ListParagraph"/>
        <w:ind w:left="360"/>
      </w:pPr>
      <w:r w:rsidRPr="00F62272">
        <w:t>Appendix E</w:t>
      </w:r>
      <w:r w:rsidRPr="65DB0C9D">
        <w:t>, Fuel Assembly Type Codes has been modified to include codes submitted on the 20</w:t>
      </w:r>
      <w:r>
        <w:t>23</w:t>
      </w:r>
      <w:r w:rsidRPr="65DB0C9D">
        <w:t xml:space="preserve"> data collection that were not already on the list</w:t>
      </w:r>
      <w:r>
        <w:t xml:space="preserve"> and to remove codes that are not in use,</w:t>
      </w:r>
      <w:r w:rsidRPr="65DB0C9D">
        <w:t xml:space="preserve"> for the </w:t>
      </w:r>
      <w:r>
        <w:t xml:space="preserve">convenience of the </w:t>
      </w:r>
      <w:r w:rsidRPr="65DB0C9D">
        <w:t>respondent</w:t>
      </w:r>
      <w:r>
        <w:t>s.</w:t>
      </w:r>
    </w:p>
    <w:p w:rsidR="00A41763" w:rsidRPr="00A41763" w:rsidP="00A41763" w14:paraId="29A57677" w14:textId="77777777"/>
    <w:p w:rsidR="008C734C" w:rsidP="005B1380" w14:paraId="4BBE7012" w14:textId="77777777">
      <w:pPr>
        <w:pStyle w:val="Heading2"/>
      </w:pPr>
      <w:bookmarkStart w:id="3" w:name="_Toc115164309"/>
      <w:r>
        <w:t>A.1. Legal Justification</w:t>
      </w:r>
      <w:bookmarkEnd w:id="3"/>
    </w:p>
    <w:p w:rsidR="00F508CE" w:rsidRPr="00FD1CD4" w:rsidP="00F508CE" w14:paraId="63DE4F42" w14:textId="0885D976">
      <w:r w:rsidRPr="00FD1CD4">
        <w:rPr>
          <w:rFonts w:eastAsia="Calibri"/>
        </w:rPr>
        <w:t xml:space="preserve">The authority for </w:t>
      </w:r>
      <w:r w:rsidRPr="00FD1CD4" w:rsidR="00F74583">
        <w:rPr>
          <w:rFonts w:eastAsia="Calibri"/>
        </w:rPr>
        <w:t>this</w:t>
      </w:r>
      <w:r w:rsidRPr="00FD1CD4">
        <w:rPr>
          <w:rFonts w:eastAsia="Calibri"/>
        </w:rPr>
        <w:t xml:space="preserve"> data collection is provided by the following provisions:</w:t>
      </w:r>
    </w:p>
    <w:p w:rsidR="00F508CE" w:rsidRPr="00FD1CD4" w:rsidP="00F508CE" w14:paraId="62938651" w14:textId="77777777">
      <w:pPr>
        <w:numPr>
          <w:ilvl w:val="0"/>
          <w:numId w:val="56"/>
        </w:numPr>
        <w:spacing w:before="240"/>
        <w:contextualSpacing/>
        <w:jc w:val="both"/>
        <w:rPr>
          <w:rFonts w:ascii="Calibri" w:eastAsia="Calibri" w:hAnsi="Calibri" w:cs="Times New Roman"/>
        </w:rPr>
      </w:pPr>
      <w:r>
        <w:t>Title 15 U.S.C. 772(b), which establishes the mandatory reporting requirement of owners and operators of businesses in the U.S. to make available energy supply and consumption data to the EIA Administrator.</w:t>
      </w:r>
    </w:p>
    <w:p w:rsidR="00F508CE" w:rsidRPr="00FD1CD4" w:rsidP="00F508CE" w14:paraId="5094CE7B" w14:textId="77777777">
      <w:pPr>
        <w:spacing w:before="240"/>
        <w:ind w:left="810"/>
        <w:contextualSpacing/>
        <w:jc w:val="both"/>
        <w:rPr>
          <w:rFonts w:ascii="Calibri" w:eastAsia="Calibri" w:hAnsi="Calibri" w:cs="Times New Roman"/>
        </w:rPr>
      </w:pPr>
    </w:p>
    <w:p w:rsidR="00F508CE" w:rsidRPr="00FD1CD4" w:rsidP="00F508CE" w14:paraId="77C22497" w14:textId="77777777">
      <w:pPr>
        <w:numPr>
          <w:ilvl w:val="0"/>
          <w:numId w:val="56"/>
        </w:numPr>
        <w:spacing w:before="240"/>
        <w:contextualSpacing/>
        <w:jc w:val="both"/>
        <w:rPr>
          <w:rFonts w:ascii="Calibri" w:eastAsia="Calibri" w:hAnsi="Calibri" w:cs="Times New Roman"/>
        </w:rPr>
      </w:pPr>
      <w:r>
        <w:t>Title 15 U.S.C. 764(a and b), which establishes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F508CE" w:rsidRPr="00FD1CD4" w:rsidP="00F508CE" w14:paraId="6E02A1E0" w14:textId="77777777">
      <w:pPr>
        <w:ind w:left="810"/>
        <w:contextualSpacing/>
        <w:rPr>
          <w:rFonts w:ascii="Calibri" w:eastAsia="Calibri" w:hAnsi="Calibri" w:cs="Times New Roman"/>
        </w:rPr>
      </w:pPr>
    </w:p>
    <w:p w:rsidR="00F508CE" w:rsidP="00F508CE" w14:paraId="7608F34D" w14:textId="77777777">
      <w:pPr>
        <w:numPr>
          <w:ilvl w:val="0"/>
          <w:numId w:val="56"/>
        </w:numPr>
        <w:spacing w:before="240"/>
        <w:contextualSpacing/>
        <w:jc w:val="both"/>
        <w:rPr>
          <w:rFonts w:ascii="Calibri" w:eastAsia="Calibri" w:hAnsi="Calibri" w:cs="Times New Roman"/>
        </w:rPr>
      </w:pPr>
      <w:r>
        <w:t>Title 15 U.S.C. 790(a), which establishes a National Energy Information System that is the enclave containing the energy data collected by EIA, which allows EIA to describe and analyze energy supply and consumption in the U.S.  This enclave allows EIA to perform statistical and forecasting activities to meet the needs of the Department of Energy, Congress, and the States.</w:t>
      </w:r>
    </w:p>
    <w:p w:rsidR="00F508CE" w:rsidRPr="00D6129B" w:rsidP="00621910" w14:paraId="506AC496" w14:textId="77777777">
      <w:pPr>
        <w:spacing w:after="0"/>
        <w:ind w:left="360"/>
        <w:rPr>
          <w:rFonts w:cstheme="minorHAnsi"/>
        </w:rPr>
      </w:pPr>
    </w:p>
    <w:p w:rsidR="00F508CE" w:rsidRPr="005E309D" w:rsidP="00F508CE" w14:paraId="2B0492D3" w14:textId="77777777">
      <w:pPr>
        <w:numPr>
          <w:ilvl w:val="0"/>
          <w:numId w:val="56"/>
        </w:numPr>
        <w:spacing w:before="240"/>
        <w:contextualSpacing/>
        <w:jc w:val="both"/>
        <w:rPr>
          <w:rFonts w:ascii="Calibri" w:eastAsia="Calibri" w:hAnsi="Calibri" w:cs="Times New Roman"/>
        </w:rPr>
      </w:pPr>
      <w:r w:rsidRPr="7062BDA0">
        <w:t xml:space="preserve">Title 42 U.S.C. 10222, which </w:t>
      </w:r>
      <w:r w:rsidRPr="7062BDA0">
        <w:rPr>
          <w:rFonts w:ascii="Calibri" w:hAnsi="Calibri" w:cs="Calibri"/>
        </w:rPr>
        <w:t>a</w:t>
      </w:r>
      <w:r w:rsidRPr="7062BDA0">
        <w:rPr>
          <w:rFonts w:ascii="Calibri" w:hAnsi="Calibri" w:cs="Calibri"/>
          <w:color w:val="000000" w:themeColor="text1"/>
        </w:rPr>
        <w:t xml:space="preserve">uthorizes the Secretary of Energy to enter into contracts with any person who generates or holds title to high-level radioactive waste, or spent nuclear fuel, of domestic origin for the acceptance of title, subsequent transportation, and disposal of such waste or spent fuel. </w:t>
      </w:r>
    </w:p>
    <w:p w:rsidR="008C734C" w:rsidRPr="00A41763" w:rsidP="00A41763" w14:paraId="69816471" w14:textId="77777777"/>
    <w:p w:rsidR="008C734C" w:rsidP="005B1380" w14:paraId="23F7414F" w14:textId="77777777">
      <w:pPr>
        <w:pStyle w:val="Heading2"/>
      </w:pPr>
      <w:bookmarkStart w:id="4" w:name="_Toc115164310"/>
      <w:r>
        <w:t>A.2. Needs and Uses of Data</w:t>
      </w:r>
      <w:bookmarkEnd w:id="4"/>
    </w:p>
    <w:p w:rsidR="00161DB4" w:rsidP="00F96C9B" w14:paraId="5F9129A5" w14:textId="1900591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ind w:right="72"/>
      </w:pPr>
      <w:r w:rsidRPr="00161DB4">
        <w:t xml:space="preserve">The Nuclear Waste Policy Act (NWPA) of 1982, as amended, established DOE’s responsibility to provide permanent disposal of the United </w:t>
      </w:r>
      <w:r w:rsidRPr="00161DB4">
        <w:t>States’</w:t>
      </w:r>
      <w:r w:rsidRPr="00161DB4">
        <w:t xml:space="preserve"> spent nuclear fuel and high-level radioactive waste and gave DOE the authority to enter contracts with owners and generators of spent nuclear fuel and high-level radioactive waste.  A standardized contract for commercially generated waste of domestic origin was developed and promulgated through the rulemaking process – the Standard Contract for the Disposal of Spent Nuclear Fuel and/or High-Level Radioactive Waste (10 CFR 961) -- This is commonly referred as the “Standard Contract.”</w:t>
      </w:r>
      <w:r w:rsidR="00955DCE">
        <w:t xml:space="preserve"> </w:t>
      </w:r>
      <w:r w:rsidRPr="00161DB4">
        <w:t xml:space="preserve">Annual submission of spent nuclear fuel data is a requirement of contract holders under the Standard Contract. Both the NWPA and the contracts required that DOE was to begin acceptance by January 31, 1998, but DOE has not done so because there is no facility yet to dispose of the spent nuclear fuel or high-level radioactive waste. Because of this, the collection has been less </w:t>
      </w:r>
      <w:r w:rsidRPr="00161DB4" w:rsidR="00F74583">
        <w:t>frequent</w:t>
      </w:r>
      <w:r w:rsidRPr="00161DB4">
        <w:t xml:space="preserve"> than annually since 1995 because it would be an unnecessary burden on private parties, as well as on DOE. The form was temporarily discontinued because of the shift to a five-year cycle and the need to focus on </w:t>
      </w:r>
      <w:r w:rsidRPr="00161DB4" w:rsidR="00F74583">
        <w:t>the development</w:t>
      </w:r>
      <w:r w:rsidRPr="00161DB4">
        <w:t xml:space="preserve"> of the web-application. Based on a cost analysis and review of programmatic needs, DOE decided to move to a five-year cycle until DOE is closer to having a facility to accept spent fuel from contract holders. The shift to a five-year cycle also provided sufficient time to develop the new web-based application and develop/provide training to respondents.     </w:t>
      </w:r>
    </w:p>
    <w:p w:rsidR="00F96C9B" w:rsidRPr="009E304F" w:rsidP="00F96C9B" w14:paraId="5EF796C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ind w:right="72"/>
      </w:pPr>
      <w:r w:rsidRPr="009E304F">
        <w:t>The information obtained by Form GC</w:t>
      </w:r>
      <w:r w:rsidRPr="009E304F">
        <w:noBreakHyphen/>
        <w:t>859 is the original data upon which the Office of Standard Contract Management activities are based.</w:t>
      </w:r>
      <w:r>
        <w:t xml:space="preserve"> </w:t>
      </w:r>
      <w:r w:rsidRPr="009E304F">
        <w:t xml:space="preserve">A key requirement for the success of this program is an information system with detailed data on the quantity of radioactive waste material currently in storage at commercial nuclear facilities and the amount of additional waste likely to be produced over the operating lives of existing and planned nuclear reactors. This information is necessary to understand and explore the specific requirements of developing and conducting these programs, and thereby, to </w:t>
      </w:r>
      <w:r w:rsidRPr="009E304F">
        <w:t>effectuate</w:t>
      </w:r>
      <w:r w:rsidRPr="009E304F">
        <w:t xml:space="preserve"> the purposes of the </w:t>
      </w:r>
      <w:r w:rsidRPr="003B4B8E" w:rsidR="003B4B8E">
        <w:t>Nuclear Waste Policy Act (NWPA)</w:t>
      </w:r>
      <w:r w:rsidRPr="009E304F">
        <w:t xml:space="preserve">. </w:t>
      </w:r>
    </w:p>
    <w:p w:rsidR="00F96C9B" w:rsidP="00A36542" w14:paraId="5B5F2E99" w14:textId="15CF7ECB">
      <w:pPr>
        <w:pStyle w:val="BodyTextIndent2"/>
        <w:spacing w:before="120" w:after="0" w:line="300" w:lineRule="atLeast"/>
        <w:ind w:left="0"/>
      </w:pPr>
      <w:r w:rsidRPr="009E304F">
        <w:t>The detailed data collected on Form GC</w:t>
      </w:r>
      <w:r w:rsidRPr="009E304F">
        <w:noBreakHyphen/>
        <w:t xml:space="preserve">859 are </w:t>
      </w:r>
      <w:r>
        <w:t>critical</w:t>
      </w:r>
      <w:r w:rsidRPr="009E304F">
        <w:t xml:space="preserve"> for assessing spent fuel storage requirements.</w:t>
      </w:r>
      <w:r>
        <w:t xml:space="preserve"> </w:t>
      </w:r>
      <w:r w:rsidRPr="009E304F">
        <w:t xml:space="preserve">The data also </w:t>
      </w:r>
      <w:r w:rsidRPr="009E304F" w:rsidR="007312DB">
        <w:t>constitutes</w:t>
      </w:r>
      <w:r w:rsidRPr="009E304F">
        <w:t xml:space="preserve"> inputs to a number of nuclear fuel </w:t>
      </w:r>
      <w:r w:rsidRPr="009E304F" w:rsidR="007312DB">
        <w:t>databases</w:t>
      </w:r>
      <w:r w:rsidRPr="009E304F">
        <w:t xml:space="preserve"> maintained by the DOE National Laboratories.</w:t>
      </w:r>
      <w:r>
        <w:t xml:space="preserve"> </w:t>
      </w:r>
      <w:r w:rsidRPr="009E304F">
        <w:t>For example, discharge dates, assembly types, burnups, and initial enrichments are used by analysts to calculate the gamma, neutron, other radiation, and heat intensities for shielding design and thermal design of facilities and equipment, as well as the isotopic inventories of the fuel to be emplaced in a future repository.</w:t>
      </w:r>
      <w:r>
        <w:t xml:space="preserve"> </w:t>
      </w:r>
      <w:r w:rsidRPr="009E304F">
        <w:t xml:space="preserve">The quantities and dimensions of nuclear fuel are used to </w:t>
      </w:r>
      <w:r>
        <w:t>estimate the</w:t>
      </w:r>
      <w:r w:rsidRPr="009E304F">
        <w:t xml:space="preserve"> size </w:t>
      </w:r>
      <w:r>
        <w:t xml:space="preserve">of </w:t>
      </w:r>
      <w:r w:rsidRPr="009E304F">
        <w:t xml:space="preserve">the facilities and </w:t>
      </w:r>
      <w:r>
        <w:t xml:space="preserve">capacity of the </w:t>
      </w:r>
      <w:r w:rsidRPr="009E304F">
        <w:t>equipment.</w:t>
      </w:r>
      <w:r>
        <w:t xml:space="preserve"> </w:t>
      </w:r>
      <w:r w:rsidRPr="009E304F">
        <w:t>Trends based on historical spent nuclear fuel data provided by the respondents are used by the DOE to estimate future discharges from U.S. commercial nuclear reactors and their characteristics.</w:t>
      </w:r>
      <w:r>
        <w:t xml:space="preserve"> </w:t>
      </w:r>
      <w:r w:rsidRPr="009E304F">
        <w:t>The projected need for additional spent fuel storage capacity is based on these estimated cumulative discharges, and on the estimated maximum storage capacity of both at-reactor and away-from-reactor storage facilities.</w:t>
      </w:r>
    </w:p>
    <w:p w:rsidR="00F96C9B" w:rsidRPr="009E304F" w:rsidP="00F96C9B" w14:paraId="6D8B7E2B" w14:textId="77777777">
      <w:pPr>
        <w:pStyle w:val="BodyTextIndent2"/>
        <w:spacing w:before="120" w:after="0" w:line="240" w:lineRule="auto"/>
        <w:ind w:left="0"/>
        <w:rPr>
          <w:rStyle w:val="Hyperlink"/>
          <w:b/>
        </w:rPr>
      </w:pPr>
      <w:r>
        <w:t>The information is also used in publications by various stakeholders for a range of uses and purposes.</w:t>
      </w:r>
    </w:p>
    <w:p w:rsidR="00F559C0" w:rsidRPr="005B1380" w:rsidP="005B1380" w14:paraId="1B74289E" w14:textId="77777777">
      <w:pPr>
        <w:pStyle w:val="ListParagraph"/>
      </w:pPr>
      <w:r w:rsidRPr="005B1380">
        <w:t>Nuclear Power Plant Infrastructure Evaluations for Removal of Spent Nuclear Fuel, Report prepared for DOE Office of Nuclear Energy, Office of Integrated Waste Management by S. J. Maheras et al., Pacific Northwest National Laboratory (PNNL), PNNL-30429, April 2021.</w:t>
      </w:r>
    </w:p>
    <w:p w:rsidR="00F559C0" w:rsidRPr="005B1380" w:rsidP="005B1380" w14:paraId="5246E594" w14:textId="77777777">
      <w:pPr>
        <w:pStyle w:val="ListParagraph"/>
      </w:pPr>
      <w:r w:rsidRPr="005B1380">
        <w:t>Integration of the Back End of the Nuclear Fuel Cycle, G. Freeze et al., Sandia National Laboratories, SAND2021-10444, August 2021.</w:t>
      </w:r>
    </w:p>
    <w:p w:rsidR="00F559C0" w:rsidRPr="005B1380" w:rsidP="005B1380" w14:paraId="04E230BE" w14:textId="77777777">
      <w:pPr>
        <w:pStyle w:val="ListParagraph"/>
      </w:pPr>
      <w:r w:rsidRPr="005B1380">
        <w:t>Fuel Assembly Reference Information for SNF Radiation Source Term Calculations, G. Radulescu, Grogan, B.R., Banerjee, K., Oak Ridge National Laboratory, ORNL/SPR-2021/2093, September 2021.</w:t>
      </w:r>
    </w:p>
    <w:p w:rsidR="00F559C0" w:rsidRPr="005B1380" w:rsidP="005B1380" w14:paraId="7474918F" w14:textId="77777777">
      <w:pPr>
        <w:pStyle w:val="ListParagraph"/>
      </w:pPr>
      <w:r w:rsidRPr="005B1380">
        <w:t>Spent Nuclear Fuel Transportation Tabletop Exercise, Midwestern Radioactive Materials Transportation Committee, Council of State Governments Midwest, December 2021.</w:t>
      </w:r>
    </w:p>
    <w:p w:rsidR="00F559C0" w:rsidRPr="005B1380" w:rsidP="005B1380" w14:paraId="3700FF0E" w14:textId="77777777">
      <w:pPr>
        <w:pStyle w:val="ListParagraph"/>
      </w:pPr>
      <w:r w:rsidRPr="005B1380">
        <w:t xml:space="preserve">Validation of UNF-ST&amp;DARDS As-Loaded Safety Analysis Methods for BWR Decay Heat Calculations, J. B. Clarity, H. K. Liljenfeldt, K. Banerjee, and P. L. Miller, Journal Article in </w:t>
      </w:r>
      <w:r w:rsidRPr="005B1380">
        <w:rPr>
          <w:i/>
          <w:iCs/>
        </w:rPr>
        <w:t>Progress in Nuclear Energy</w:t>
      </w:r>
      <w:r w:rsidRPr="005B1380">
        <w:t>, 143(3), January 2022.</w:t>
      </w:r>
    </w:p>
    <w:p w:rsidR="005302BC" w:rsidP="005302BC" w14:paraId="56B8A6C9" w14:textId="4EB6110C">
      <w:pPr>
        <w:pStyle w:val="ListParagraph"/>
      </w:pPr>
      <w:r w:rsidRPr="005B1380">
        <w:t>Next Generation System Analysis Model: Recently Added Features and Future Plans, R. Joseph of Idaho National Laboratory et al., WM2022 Conference, March 2022.</w:t>
      </w:r>
    </w:p>
    <w:p w:rsidR="005302BC" w:rsidRPr="005B1380" w:rsidP="005302BC" w14:paraId="4318360B" w14:textId="790EDABB">
      <w:pPr>
        <w:pStyle w:val="ListParagraph"/>
      </w:pPr>
      <w:r w:rsidRPr="005302BC">
        <w:t>Validation of UNF-ST&amp;DARDS As-loaded Methods for Spent Nuclear Fuel Analysis, J.B. Clarity, K. Banerjee, P. Miller, W.J. Marshall, H. Liljenfeldt, and A.M. Shaw, Proceedings of the International High-Level Radioactive Waste Management Conference, Phoenix, AZ, November 13-17, 2022.</w:t>
      </w:r>
    </w:p>
    <w:p w:rsidR="00F559C0" w:rsidP="005B1380" w14:paraId="26C4BF54" w14:textId="77777777">
      <w:pPr>
        <w:pStyle w:val="ListParagraph"/>
      </w:pPr>
      <w:r w:rsidRPr="005B1380">
        <w:t>Laboratory Analysis of the Cooling Time Requirements and Criticality Safety Requirements Prior to Transporting Commercial Spent Nuclear Fuel, Presentation by Dr. Kaushik Banerjee of PNNL to the U.S. Nuclear Waste Technical Review Board, Spring Meeting, March 2023.</w:t>
      </w:r>
    </w:p>
    <w:p w:rsidR="00E15356" w:rsidP="00E15356" w14:paraId="450F63F1" w14:textId="77777777">
      <w:pPr>
        <w:pStyle w:val="ListParagraph"/>
      </w:pPr>
      <w:r>
        <w:t>National Report for the Eighth Review Meeting of the Joint Convention on the Safety of Spent Fuel Management and on the Safety of Radioactive Waste Management, United States of America, August 2024.</w:t>
      </w:r>
    </w:p>
    <w:p w:rsidR="00E15356" w:rsidRPr="005B1380" w:rsidP="00E15356" w14:paraId="0C6F7BFC" w14:textId="5B0A3E17">
      <w:pPr>
        <w:pStyle w:val="ListParagraph"/>
      </w:pPr>
      <w:r w:rsidRPr="005B1380">
        <w:t xml:space="preserve">Spent Nuclear Fuel and Reprocessing Waste Inventory, Report prepared for U.S. DOE Office of Nuclear Energy by </w:t>
      </w:r>
      <w:r>
        <w:t xml:space="preserve">Pacific Northwest </w:t>
      </w:r>
      <w:r w:rsidRPr="005B1380">
        <w:t>National Laboratory</w:t>
      </w:r>
      <w:r>
        <w:t xml:space="preserve">, </w:t>
      </w:r>
      <w:r w:rsidRPr="0036375D">
        <w:t>PNNL-33938, Rev. 1.1</w:t>
      </w:r>
      <w:r>
        <w:t xml:space="preserve">, </w:t>
      </w:r>
      <w:r w:rsidRPr="0036375D">
        <w:t>December 2024</w:t>
      </w:r>
      <w:r w:rsidRPr="005B1380">
        <w:t xml:space="preserve">. </w:t>
      </w:r>
    </w:p>
    <w:p w:rsidR="00F559C0" w:rsidRPr="005B1380" w:rsidP="005B1380" w14:paraId="64ECAF2A" w14:textId="6D0AA103">
      <w:pPr>
        <w:pStyle w:val="ListParagraph"/>
        <w:rPr>
          <w:rStyle w:val="cf01"/>
          <w:rFonts w:asciiTheme="minorHAnsi" w:hAnsiTheme="minorHAnsi" w:cstheme="minorHAnsi"/>
          <w:sz w:val="22"/>
          <w:szCs w:val="22"/>
          <w:u w:val="single"/>
        </w:rPr>
      </w:pPr>
      <w:r w:rsidRPr="005B1380">
        <w:rPr>
          <w:rStyle w:val="cf01"/>
          <w:rFonts w:asciiTheme="minorHAnsi" w:hAnsiTheme="minorHAnsi" w:cstheme="minorHAnsi"/>
          <w:sz w:val="22"/>
          <w:szCs w:val="22"/>
        </w:rPr>
        <w:t xml:space="preserve">Although an </w:t>
      </w:r>
      <w:r w:rsidRPr="005B1380" w:rsidR="00BE19C4">
        <w:rPr>
          <w:rStyle w:val="cf01"/>
          <w:rFonts w:asciiTheme="minorHAnsi" w:hAnsiTheme="minorHAnsi" w:cstheme="minorHAnsi"/>
          <w:sz w:val="22"/>
          <w:szCs w:val="22"/>
        </w:rPr>
        <w:t xml:space="preserve">updated </w:t>
      </w:r>
      <w:r w:rsidRPr="005B1380">
        <w:rPr>
          <w:rStyle w:val="cf01"/>
          <w:rFonts w:asciiTheme="minorHAnsi" w:hAnsiTheme="minorHAnsi" w:cstheme="minorHAnsi"/>
          <w:sz w:val="22"/>
          <w:szCs w:val="22"/>
        </w:rPr>
        <w:t xml:space="preserve">Acceptance Priority Ranking (APR) and Annual Capacity Report </w:t>
      </w:r>
      <w:r w:rsidRPr="005B1380" w:rsidR="00BE19C4">
        <w:rPr>
          <w:rStyle w:val="cf01"/>
          <w:rFonts w:asciiTheme="minorHAnsi" w:hAnsiTheme="minorHAnsi" w:cstheme="minorHAnsi"/>
          <w:sz w:val="22"/>
          <w:szCs w:val="22"/>
        </w:rPr>
        <w:t xml:space="preserve">(ACR) </w:t>
      </w:r>
      <w:r w:rsidRPr="005B1380">
        <w:rPr>
          <w:rStyle w:val="cf01"/>
          <w:rFonts w:asciiTheme="minorHAnsi" w:hAnsiTheme="minorHAnsi" w:cstheme="minorHAnsi"/>
          <w:sz w:val="22"/>
          <w:szCs w:val="22"/>
        </w:rPr>
        <w:t xml:space="preserve">has not been issued since 2004, DOE and the Department of Justice still use the spent nuclear fuel discharge data reported in subsequent GC-859 collections in administering settlement agreements and for litigation related to DOE’s delay in waste acceptance. </w:t>
      </w:r>
    </w:p>
    <w:p w:rsidR="00F96C9B" w:rsidP="005B1380" w14:paraId="6708BA31" w14:textId="77777777">
      <w:pPr>
        <w:pStyle w:val="Heading2"/>
      </w:pPr>
    </w:p>
    <w:p w:rsidR="008C734C" w:rsidP="005B1380" w14:paraId="54DBE522" w14:textId="77777777">
      <w:pPr>
        <w:pStyle w:val="Heading2"/>
      </w:pPr>
      <w:bookmarkStart w:id="5" w:name="_Toc115164311"/>
      <w:r>
        <w:t>A.</w:t>
      </w:r>
      <w:r w:rsidRPr="00A41763" w:rsidR="00A41763">
        <w:t xml:space="preserve">3. </w:t>
      </w:r>
      <w:r>
        <w:t>Use of Technology</w:t>
      </w:r>
      <w:bookmarkEnd w:id="5"/>
    </w:p>
    <w:p w:rsidR="003B4B8E" w:rsidRPr="009E304F" w:rsidP="00F96C9B" w14:paraId="12F22272" w14:textId="0C96FD5F">
      <w:pPr>
        <w:spacing w:before="120" w:after="120" w:line="276" w:lineRule="auto"/>
      </w:pPr>
      <w:r w:rsidRPr="009E304F">
        <w:rPr>
          <w:lang w:val="en-CA"/>
        </w:rPr>
        <w:t>EIA continues</w:t>
      </w:r>
      <w:r>
        <w:rPr>
          <w:lang w:val="en-CA"/>
        </w:rPr>
        <w:t xml:space="preserve"> to</w:t>
      </w:r>
      <w:r w:rsidRPr="009E304F">
        <w:rPr>
          <w:lang w:val="en-CA"/>
        </w:rPr>
        <w:t xml:space="preserve"> improve </w:t>
      </w:r>
      <w:r>
        <w:rPr>
          <w:lang w:val="en-CA"/>
        </w:rPr>
        <w:t xml:space="preserve">survey </w:t>
      </w:r>
      <w:r w:rsidRPr="009E304F">
        <w:rPr>
          <w:lang w:val="en-CA"/>
        </w:rPr>
        <w:t>reporting options</w:t>
      </w:r>
      <w:r>
        <w:rPr>
          <w:lang w:val="en-CA"/>
        </w:rPr>
        <w:t xml:space="preserve"> </w:t>
      </w:r>
      <w:r>
        <w:rPr>
          <w:lang w:val="en-CA"/>
        </w:rPr>
        <w:t>through the use of</w:t>
      </w:r>
      <w:r>
        <w:rPr>
          <w:lang w:val="en-CA"/>
        </w:rPr>
        <w:t xml:space="preserve"> information technology</w:t>
      </w:r>
      <w:r w:rsidRPr="009E304F">
        <w:rPr>
          <w:lang w:val="en-CA"/>
        </w:rPr>
        <w:t>.</w:t>
      </w:r>
      <w:r>
        <w:rPr>
          <w:lang w:val="en-CA"/>
        </w:rPr>
        <w:t xml:space="preserve"> </w:t>
      </w:r>
      <w:r w:rsidRPr="009E304F">
        <w:rPr>
          <w:lang w:val="en-CA"/>
        </w:rPr>
        <w:t>Form GC-859</w:t>
      </w:r>
      <w:r>
        <w:rPr>
          <w:lang w:val="en-CA"/>
        </w:rPr>
        <w:t xml:space="preserve"> </w:t>
      </w:r>
      <w:r w:rsidRPr="009E304F">
        <w:rPr>
          <w:lang w:val="en-CA"/>
        </w:rPr>
        <w:t>use</w:t>
      </w:r>
      <w:r>
        <w:rPr>
          <w:lang w:val="en-CA"/>
        </w:rPr>
        <w:t>s</w:t>
      </w:r>
      <w:r w:rsidRPr="009E304F">
        <w:rPr>
          <w:lang w:val="en-CA"/>
        </w:rPr>
        <w:t xml:space="preserve"> </w:t>
      </w:r>
      <w:r w:rsidRPr="009E304F">
        <w:t xml:space="preserve">an automated </w:t>
      </w:r>
      <w:r w:rsidRPr="00732527">
        <w:t>collection system</w:t>
      </w:r>
      <w:r w:rsidRPr="009E304F">
        <w:t xml:space="preserve"> for filing survey data</w:t>
      </w:r>
      <w:r>
        <w:t xml:space="preserve"> and </w:t>
      </w:r>
      <w:r w:rsidRPr="00732527">
        <w:t>DOE will provid</w:t>
      </w:r>
      <w:r>
        <w:t>e</w:t>
      </w:r>
      <w:r w:rsidRPr="00732527">
        <w:t xml:space="preserve"> respondents with an online platform to facilitate their responses. Respondents will also be provided with electronic files to aid in the current submittal and operating instructions for the software. To the greatest extent practicable, respondents will provide data either in the data collection system or as any commonly readable, present-</w:t>
      </w:r>
      <w:r w:rsidRPr="00E31E5F">
        <w:rPr>
          <w:rFonts w:cstheme="minorHAnsi"/>
        </w:rPr>
        <w:t>day electronic spreadsheet file type.</w:t>
      </w:r>
      <w:r w:rsidR="00955DCE">
        <w:rPr>
          <w:rFonts w:cstheme="minorHAnsi"/>
        </w:rPr>
        <w:t xml:space="preserve"> </w:t>
      </w:r>
      <w:r w:rsidRPr="00E31E5F">
        <w:rPr>
          <w:rFonts w:cstheme="minorHAnsi"/>
        </w:rPr>
        <w:t xml:space="preserve">The following website will be used to submit data: </w:t>
      </w:r>
      <w:hyperlink r:id="rId15" w:history="1">
        <w:r w:rsidRPr="00621910" w:rsidR="00EA5A07">
          <w:rPr>
            <w:rStyle w:val="Hyperlink"/>
            <w:rFonts w:cstheme="minorHAnsi"/>
            <w:i/>
          </w:rPr>
          <w:t>https://gc859.pnnl.gov</w:t>
        </w:r>
      </w:hyperlink>
      <w:r w:rsidRPr="00E31E5F">
        <w:rPr>
          <w:rFonts w:cstheme="minorHAnsi"/>
        </w:rPr>
        <w:t>. Alternatively</w:t>
      </w:r>
      <w:r>
        <w:t xml:space="preserve">, </w:t>
      </w:r>
      <w:r w:rsidRPr="00732527">
        <w:t xml:space="preserve">a </w:t>
      </w:r>
      <w:r>
        <w:t xml:space="preserve">standalone </w:t>
      </w:r>
      <w:r w:rsidRPr="00732527">
        <w:t>copy of the submission software</w:t>
      </w:r>
      <w:r>
        <w:t xml:space="preserve"> may be requested</w:t>
      </w:r>
      <w:r w:rsidRPr="00732527">
        <w:t xml:space="preserve"> from the EIA GC-859 Survey Team contact</w:t>
      </w:r>
      <w:r>
        <w:t xml:space="preserve"> identified earlier in the ‘</w:t>
      </w:r>
      <w:r w:rsidRPr="00732527">
        <w:t>For Further Information Contact</w:t>
      </w:r>
      <w:r>
        <w:t>’ section of this notice.</w:t>
      </w:r>
    </w:p>
    <w:p w:rsidR="00F96C9B" w:rsidRPr="00BA6C32" w:rsidP="00F96C9B" w14:paraId="6E2021C3" w14:textId="77777777">
      <w:pPr>
        <w:spacing w:before="120" w:after="120" w:line="276" w:lineRule="auto"/>
        <w:rPr>
          <w:i/>
          <w:iCs/>
        </w:rPr>
      </w:pPr>
      <w:r>
        <w:t>Providing two reporting</w:t>
      </w:r>
      <w:r w:rsidRPr="009E304F">
        <w:t xml:space="preserve"> option</w:t>
      </w:r>
      <w:r>
        <w:t>s</w:t>
      </w:r>
      <w:r w:rsidRPr="009E304F">
        <w:t xml:space="preserve"> </w:t>
      </w:r>
      <w:r w:rsidR="003B4B8E">
        <w:t xml:space="preserve">potentially </w:t>
      </w:r>
      <w:r w:rsidRPr="009E304F">
        <w:t>reduces respondent burden in filling out the large amounts of data required on the discharged assemblies, historical cycles, and canisters data section of the form.</w:t>
      </w:r>
      <w:r>
        <w:t xml:space="preserve"> </w:t>
      </w:r>
      <w:r w:rsidRPr="009E304F">
        <w:t>A</w:t>
      </w:r>
      <w:r>
        <w:t>n</w:t>
      </w:r>
      <w:r w:rsidRPr="009E304F">
        <w:t xml:space="preserve"> option in the</w:t>
      </w:r>
      <w:r>
        <w:t xml:space="preserve"> </w:t>
      </w:r>
      <w:r w:rsidRPr="009E304F">
        <w:t>software permit</w:t>
      </w:r>
      <w:r>
        <w:t>s</w:t>
      </w:r>
      <w:r w:rsidRPr="009E304F">
        <w:t xml:space="preserve"> respondents to print a hardcopy of the form or individual sections of the form.</w:t>
      </w:r>
      <w:r w:rsidRPr="00BA6C32">
        <w:rPr>
          <w:i/>
          <w:iCs/>
        </w:rPr>
        <w:t xml:space="preserve"> </w:t>
      </w:r>
    </w:p>
    <w:p w:rsidR="008C734C" w:rsidRPr="00A41763" w:rsidP="00A41763" w14:paraId="61BC3870" w14:textId="77777777"/>
    <w:p w:rsidR="008C734C" w:rsidP="005B1380" w14:paraId="0CCE119C" w14:textId="77777777">
      <w:pPr>
        <w:pStyle w:val="Heading2"/>
      </w:pPr>
      <w:bookmarkStart w:id="6" w:name="_Toc115164312"/>
      <w:r>
        <w:t>A.</w:t>
      </w:r>
      <w:r w:rsidRPr="00A41763" w:rsidR="00A41763">
        <w:t xml:space="preserve">4. </w:t>
      </w:r>
      <w:r>
        <w:t>Efforts to Identify Duplication</w:t>
      </w:r>
      <w:bookmarkEnd w:id="6"/>
    </w:p>
    <w:p w:rsidR="00F96C9B" w:rsidRPr="009E304F" w:rsidP="00F96C9B" w14:paraId="588636E2" w14:textId="77777777">
      <w:pPr>
        <w:pStyle w:val="BodyTextIndent2"/>
        <w:spacing w:before="120" w:line="276" w:lineRule="auto"/>
        <w:ind w:left="0"/>
      </w:pPr>
      <w:r w:rsidRPr="009E304F">
        <w:t xml:space="preserve">As part of a continuing effort to avoid duplication, EIA routinely reviews and evaluates information from a variety of sources, including other </w:t>
      </w:r>
      <w:r>
        <w:t>f</w:t>
      </w:r>
      <w:r w:rsidRPr="009E304F">
        <w:t xml:space="preserve">ederal agencies, industry trade associations, </w:t>
      </w:r>
      <w:r>
        <w:t>s</w:t>
      </w:r>
      <w:r w:rsidRPr="009E304F">
        <w:t>tate governments, and commercial information services to identify instances of duplication.</w:t>
      </w:r>
      <w:r>
        <w:t xml:space="preserve"> </w:t>
      </w:r>
      <w:r w:rsidRPr="009E304F">
        <w:t xml:space="preserve">The form </w:t>
      </w:r>
      <w:r>
        <w:t>is</w:t>
      </w:r>
      <w:r w:rsidRPr="009E304F">
        <w:t xml:space="preserve"> designed to eliminate duplicate reporting of information and eliminate data elements </w:t>
      </w:r>
      <w:r>
        <w:t xml:space="preserve">not </w:t>
      </w:r>
      <w:r w:rsidRPr="009E304F">
        <w:t>required by the government.</w:t>
      </w:r>
    </w:p>
    <w:p w:rsidR="00644648" w:rsidP="00DB71A4" w14:paraId="7D2ACAF2" w14:textId="471A7DAB">
      <w:pPr>
        <w:autoSpaceDE w:val="0"/>
        <w:autoSpaceDN w:val="0"/>
        <w:adjustRightInd w:val="0"/>
        <w:spacing w:after="0" w:line="276" w:lineRule="auto"/>
        <w:rPr>
          <w:rFonts w:cs="Arial"/>
        </w:rPr>
      </w:pPr>
      <w:r>
        <w:t xml:space="preserve">DOE and </w:t>
      </w:r>
      <w:r w:rsidRPr="009E304F" w:rsidR="00223A97">
        <w:t xml:space="preserve">EIA evaluated all known sources of data relating to nuclear waste and found </w:t>
      </w:r>
      <w:r w:rsidR="00223A97">
        <w:t>that t</w:t>
      </w:r>
      <w:r w:rsidRPr="009700A0" w:rsidR="00223A97">
        <w:rPr>
          <w:rFonts w:cs="Arial"/>
        </w:rPr>
        <w:t>he U.S. Nuclear Regulatory Commission (NRC)</w:t>
      </w:r>
      <w:r w:rsidR="00223A97">
        <w:rPr>
          <w:rFonts w:cs="Arial"/>
        </w:rPr>
        <w:t xml:space="preserve"> collects information on shipments of fuel assemblages that is similar to information reported in section C.1.4 of Form GC-859. After examining the contents of NRC’s data files, </w:t>
      </w:r>
      <w:r w:rsidR="00223A97">
        <w:t>DOE</w:t>
      </w:r>
      <w:r w:rsidRPr="009E304F" w:rsidR="00223A97">
        <w:t xml:space="preserve"> determined that </w:t>
      </w:r>
      <w:r w:rsidR="00223A97">
        <w:t xml:space="preserve">this </w:t>
      </w:r>
      <w:r w:rsidRPr="009E304F" w:rsidR="00223A97">
        <w:t xml:space="preserve">other source cannot replace or approximate the information provided </w:t>
      </w:r>
      <w:r w:rsidR="00223A97">
        <w:t xml:space="preserve">in section C.1.4 </w:t>
      </w:r>
      <w:r w:rsidRPr="009E304F" w:rsidR="00223A97">
        <w:t>because of differences in classification, inconsistency, incompleteness, infrequency, availability, or lack of coverage.</w:t>
      </w:r>
      <w:r w:rsidR="00BF51BF">
        <w:t xml:space="preserve"> </w:t>
      </w:r>
      <w:r>
        <w:rPr>
          <w:rFonts w:cstheme="minorHAnsi"/>
        </w:rPr>
        <w:t xml:space="preserve">This is because the spent nuclear fuel discharge information required by the Standard Contract is at the individual spent nuclear fuel assembly level; whereas NRC Form 741 captures transfers/shipments at a higher level. Respondents to the </w:t>
      </w:r>
      <w:r w:rsidR="000001F0">
        <w:rPr>
          <w:rFonts w:cstheme="minorHAnsi"/>
        </w:rPr>
        <w:t xml:space="preserve">form </w:t>
      </w:r>
      <w:r>
        <w:rPr>
          <w:rFonts w:cstheme="minorHAnsi"/>
        </w:rPr>
        <w:t>GC-859 report assembly-level data on spent nuclear fuel when it is permanently discharged. Section C.1.4 of the GC-859 captures subsequent transfers/shipments of spent nuclear fuel assemblies that have already been reported -</w:t>
      </w:r>
      <w:r w:rsidR="00BF51BF">
        <w:rPr>
          <w:rFonts w:cstheme="minorHAnsi"/>
        </w:rPr>
        <w:t xml:space="preserve"> </w:t>
      </w:r>
      <w:r>
        <w:rPr>
          <w:rFonts w:cstheme="minorHAnsi"/>
        </w:rPr>
        <w:t xml:space="preserve">C.1.4 is only needed to capture the subsequent change in location resulting from moving spent nuclear fuel to a different location. DOE cannot use the current NRC Form 741 </w:t>
      </w:r>
      <w:r w:rsidRPr="005934BC">
        <w:rPr>
          <w:rFonts w:cstheme="minorHAnsi"/>
          <w:i/>
        </w:rPr>
        <w:t>Nuclear Material Transaction Report</w:t>
      </w:r>
      <w:r w:rsidRPr="005934BC">
        <w:rPr>
          <w:rFonts w:cstheme="minorHAnsi"/>
        </w:rPr>
        <w:t xml:space="preserve"> </w:t>
      </w:r>
      <w:r>
        <w:rPr>
          <w:rFonts w:cstheme="minorHAnsi"/>
        </w:rPr>
        <w:t xml:space="preserve">because the data does not identify specific assemblies. </w:t>
      </w:r>
      <w:r w:rsidRPr="00621910" w:rsidR="00A86DEB">
        <w:rPr>
          <w:rFonts w:cstheme="minorHAnsi"/>
        </w:rPr>
        <w:t xml:space="preserve">DOE </w:t>
      </w:r>
      <w:r w:rsidRPr="00621910" w:rsidR="00324E28">
        <w:rPr>
          <w:rFonts w:cstheme="minorHAnsi"/>
        </w:rPr>
        <w:t xml:space="preserve">reached out to </w:t>
      </w:r>
      <w:r w:rsidRPr="00621910" w:rsidR="005D1D5F">
        <w:rPr>
          <w:rFonts w:cstheme="minorHAnsi"/>
        </w:rPr>
        <w:t xml:space="preserve">the appropriate NRC Form 741 </w:t>
      </w:r>
      <w:r w:rsidR="00996D26">
        <w:rPr>
          <w:rFonts w:cstheme="minorHAnsi"/>
        </w:rPr>
        <w:t>contact</w:t>
      </w:r>
      <w:r w:rsidRPr="00621910" w:rsidR="005D1D5F">
        <w:rPr>
          <w:rFonts w:cstheme="minorHAnsi"/>
        </w:rPr>
        <w:t xml:space="preserve"> who confirmed that th</w:t>
      </w:r>
      <w:r w:rsidRPr="00621910" w:rsidR="00D916D4">
        <w:rPr>
          <w:rFonts w:cstheme="minorHAnsi"/>
        </w:rPr>
        <w:t xml:space="preserve">e Form GC-859 does not duplicate NRC Form 741. Additionally, the </w:t>
      </w:r>
      <w:r w:rsidRPr="00D916D4">
        <w:rPr>
          <w:rFonts w:cstheme="minorHAnsi"/>
        </w:rPr>
        <w:t>number of transfers/shipments for the current collection is expected to be minimal.</w:t>
      </w:r>
      <w:r>
        <w:rPr>
          <w:rFonts w:cstheme="minorHAnsi"/>
        </w:rPr>
        <w:t xml:space="preserve"> Most historical transfers/shipments occurred years </w:t>
      </w:r>
      <w:r w:rsidR="000001F0">
        <w:rPr>
          <w:rFonts w:cstheme="minorHAnsi"/>
        </w:rPr>
        <w:t>ago,</w:t>
      </w:r>
      <w:r>
        <w:rPr>
          <w:rFonts w:cstheme="minorHAnsi"/>
        </w:rPr>
        <w:t xml:space="preserve"> and </w:t>
      </w:r>
      <w:r w:rsidR="00BF51BF">
        <w:rPr>
          <w:rFonts w:cstheme="minorHAnsi"/>
        </w:rPr>
        <w:t>collective</w:t>
      </w:r>
      <w:r>
        <w:rPr>
          <w:rFonts w:cstheme="minorHAnsi"/>
        </w:rPr>
        <w:t xml:space="preserve"> transfers/shipments were applicable to only ~ 3% of assemblies. DOE believes the appropriate time to coordinate changes in the NRC Form 741 would be when there are significant transfers/shipment anticipated.</w:t>
      </w:r>
      <w:r w:rsidR="00970A68">
        <w:rPr>
          <w:rFonts w:cs="Arial"/>
        </w:rPr>
        <w:t xml:space="preserve"> </w:t>
      </w:r>
    </w:p>
    <w:p w:rsidR="00644648" w:rsidRPr="009E304F" w:rsidP="00644648" w14:paraId="1950F7F8" w14:textId="0C49936C">
      <w:pPr>
        <w:pStyle w:val="BodyTextIndent2"/>
        <w:spacing w:before="120" w:line="276" w:lineRule="auto"/>
        <w:ind w:left="0"/>
      </w:pPr>
      <w:r w:rsidRPr="009700A0">
        <w:rPr>
          <w:rFonts w:cs="Arial"/>
        </w:rPr>
        <w:t>NRC regulations require licensees who ship, receive, or adjust their physical inventory of source or special nuclear material (SNM) to document and report such activities using DOE/NRC Form 741 under OMB Control No. 3150-0003.</w:t>
      </w:r>
      <w:r>
        <w:rPr>
          <w:rFonts w:cs="Arial"/>
        </w:rPr>
        <w:t xml:space="preserve"> </w:t>
      </w:r>
      <w:r w:rsidR="000001F0">
        <w:rPr>
          <w:rFonts w:cs="Arial"/>
        </w:rPr>
        <w:t xml:space="preserve">Previously, </w:t>
      </w:r>
      <w:r w:rsidRPr="00DC1C48">
        <w:t>EIA assessed the</w:t>
      </w:r>
      <w:r w:rsidRPr="009700A0">
        <w:t xml:space="preserve"> utility of the data file generated from information collected on DOE/NRC Form 741 </w:t>
      </w:r>
      <w:r w:rsidRPr="009700A0">
        <w:rPr>
          <w:i/>
        </w:rPr>
        <w:t xml:space="preserve">Nuclear Material Transaction Report </w:t>
      </w:r>
      <w:r w:rsidRPr="009700A0">
        <w:t xml:space="preserve">by submitting three separate data queries. The results </w:t>
      </w:r>
      <w:r w:rsidRPr="00DC1C48">
        <w:t>showed</w:t>
      </w:r>
      <w:r w:rsidRPr="009700A0">
        <w:t xml:space="preserve"> that the DOE/NRC Form 741 data file does not contain the level of detail that is needed and is not an appropriate substitute for the information collected by Form</w:t>
      </w:r>
      <w:r>
        <w:t xml:space="preserve"> GC-859.</w:t>
      </w:r>
    </w:p>
    <w:p w:rsidR="00F96C9B" w:rsidP="00F96C9B" w14:paraId="28816FCC" w14:textId="77777777">
      <w:pPr>
        <w:spacing w:before="120" w:after="120" w:line="276" w:lineRule="auto"/>
      </w:pPr>
      <w:r>
        <w:t xml:space="preserve">EIA also examined DOE/NRC Form 742 </w:t>
      </w:r>
      <w:r>
        <w:rPr>
          <w:i/>
        </w:rPr>
        <w:t>Material Balance Report</w:t>
      </w:r>
      <w:r>
        <w:t xml:space="preserve">. This material accountability report tracks items by weight. It does not track fuel assemblies and is also not a valid data source to </w:t>
      </w:r>
      <w:r w:rsidRPr="00FD449A">
        <w:rPr>
          <w:iCs/>
        </w:rPr>
        <w:t>replace GC-859 Section C.1.4 ‘Shipments/Transfers of Discharged Fuel’.</w:t>
      </w:r>
    </w:p>
    <w:p w:rsidR="008C734C" w:rsidRPr="00A41763" w:rsidP="00A41763" w14:paraId="08AAB510" w14:textId="77777777"/>
    <w:p w:rsidR="008C734C" w:rsidP="005B1380" w14:paraId="17F0D306" w14:textId="77777777">
      <w:pPr>
        <w:pStyle w:val="Heading2"/>
      </w:pPr>
      <w:bookmarkStart w:id="7" w:name="_Toc115164313"/>
      <w:r>
        <w:t>A.</w:t>
      </w:r>
      <w:r w:rsidRPr="00A41763" w:rsidR="00A41763">
        <w:t xml:space="preserve">5. </w:t>
      </w:r>
      <w:r w:rsidRPr="008C734C">
        <w:t>Provisions for Reducing Burden on Small Businesses</w:t>
      </w:r>
      <w:bookmarkEnd w:id="7"/>
      <w:r w:rsidRPr="008C734C">
        <w:t xml:space="preserve"> </w:t>
      </w:r>
    </w:p>
    <w:p w:rsidR="00F96C9B" w:rsidRPr="00BA6C32" w:rsidP="00F96C9B" w14:paraId="0CDC471A" w14:textId="77777777">
      <w:pPr>
        <w:spacing w:before="120" w:after="120" w:line="276" w:lineRule="auto"/>
      </w:pPr>
      <w:r w:rsidRPr="009E304F">
        <w:t>This collection of information does not involve small businesses or other small entities.</w:t>
      </w:r>
      <w:r>
        <w:t xml:space="preserve"> </w:t>
      </w:r>
      <w:r w:rsidRPr="009E304F">
        <w:t>All respondents are either major commercial utilities or operating companies.</w:t>
      </w:r>
    </w:p>
    <w:p w:rsidR="008C734C" w:rsidRPr="00A41763" w:rsidP="00A41763" w14:paraId="79A07394" w14:textId="77777777"/>
    <w:p w:rsidR="008C734C" w:rsidP="005B1380" w14:paraId="1B7EEB61" w14:textId="77777777">
      <w:pPr>
        <w:pStyle w:val="Heading2"/>
      </w:pPr>
      <w:bookmarkStart w:id="8" w:name="_Toc115164314"/>
      <w:r>
        <w:t>A.</w:t>
      </w:r>
      <w:r w:rsidRPr="00A41763" w:rsidR="00A41763">
        <w:t xml:space="preserve">6. </w:t>
      </w:r>
      <w:r w:rsidRPr="008C734C">
        <w:t xml:space="preserve">Consequences of </w:t>
      </w:r>
      <w:r w:rsidRPr="008C734C">
        <w:t>Less-Frequent</w:t>
      </w:r>
      <w:r w:rsidRPr="008C734C">
        <w:t xml:space="preserve"> Reporting</w:t>
      </w:r>
      <w:bookmarkEnd w:id="8"/>
    </w:p>
    <w:p w:rsidR="008C734C" w:rsidP="00A41763" w14:paraId="6F18B064" w14:textId="0DA9A96D">
      <w:r w:rsidRPr="009E304F">
        <w:t>The Standard Contract for Disposal of Spent Nuclear Fuel and/or High-Level Radioactive Waste required that owners and operators of commercial nuclear power plants report certain data annually to DOE.</w:t>
      </w:r>
      <w:r>
        <w:t xml:space="preserve"> </w:t>
      </w:r>
      <w:r w:rsidRPr="00700E3C" w:rsidR="00700E3C">
        <w:t xml:space="preserve">Data had been collected annually for the survey years 1983 through 1995, but then only periodically for survey years thereafter due to the burden on DOE and the contract holders. Surveys have been </w:t>
      </w:r>
      <w:r w:rsidRPr="00700E3C" w:rsidR="00700E3C">
        <w:t xml:space="preserve">collected reflecting data as of December 31, 1998, December 31, 2002, June 30, 2013, and December 31, 2017. Based on a cost analysis and review of programmatic needs, DOE decided to move to a five-year cycle until DOE is closer to having a facility to accept spent fuel from contract holders. The shift to a five-year cycle also provided sufficient time to develop the new web-based application and develop/provide training to respondents. The web-application will also provide </w:t>
      </w:r>
      <w:r w:rsidRPr="00700E3C" w:rsidR="00A474E6">
        <w:t>respondents with</w:t>
      </w:r>
      <w:r w:rsidRPr="00700E3C" w:rsidR="00700E3C">
        <w:t xml:space="preserve"> the ability to enter their spent nuclear fuel data as it is discharged. This provides </w:t>
      </w:r>
      <w:r w:rsidRPr="00700E3C" w:rsidR="00A474E6">
        <w:t>respondents with</w:t>
      </w:r>
      <w:r w:rsidRPr="00700E3C" w:rsidR="00700E3C">
        <w:t xml:space="preserve"> greater flexibility and allows them to enter data as it becomes available rather than waiting for the incremental five-year collection. Respondents would not be permitted to certify their new data until an official incremental collection has begun.  </w:t>
      </w:r>
    </w:p>
    <w:p w:rsidR="0024380D" w:rsidRPr="00A41763" w:rsidP="00A41763" w14:paraId="2133E976" w14:textId="77777777"/>
    <w:p w:rsidR="008C734C" w:rsidP="005B1380" w14:paraId="5F901487" w14:textId="77777777">
      <w:pPr>
        <w:pStyle w:val="Heading2"/>
      </w:pPr>
      <w:bookmarkStart w:id="9" w:name="_Toc115164315"/>
      <w:r>
        <w:t>A.</w:t>
      </w:r>
      <w:r w:rsidRPr="00A41763" w:rsidR="00A41763">
        <w:t xml:space="preserve">7. </w:t>
      </w:r>
      <w:r w:rsidRPr="008C734C">
        <w:t>Compliance with 5 CFR 1320.5</w:t>
      </w:r>
      <w:bookmarkEnd w:id="9"/>
    </w:p>
    <w:p w:rsidR="00F96C9B" w:rsidRPr="00BA6C32" w:rsidP="00F96C9B" w14:paraId="357075E1" w14:textId="77777777">
      <w:pPr>
        <w:spacing w:before="120" w:after="120"/>
        <w:rPr>
          <w:b/>
          <w:bCs/>
        </w:rPr>
      </w:pPr>
      <w:r w:rsidRPr="009E304F">
        <w:t xml:space="preserve">The data are being collected in accordance with all guidelines set forth </w:t>
      </w:r>
      <w:r w:rsidRPr="009E304F">
        <w:t>in</w:t>
      </w:r>
      <w:r w:rsidRPr="009E304F">
        <w:t xml:space="preserve"> 5 C.F.R. 1320.5.</w:t>
      </w:r>
    </w:p>
    <w:p w:rsidR="008C734C" w:rsidP="00A41763" w14:paraId="366715BA" w14:textId="77777777">
      <w:pPr>
        <w:rPr>
          <w:b/>
          <w:bCs/>
        </w:rPr>
      </w:pPr>
    </w:p>
    <w:p w:rsidR="008C734C" w:rsidP="005B1380" w14:paraId="2BB94402" w14:textId="77777777">
      <w:pPr>
        <w:pStyle w:val="Heading2"/>
      </w:pPr>
      <w:bookmarkStart w:id="10" w:name="_Toc115164316"/>
      <w:r>
        <w:t>A.</w:t>
      </w:r>
      <w:r w:rsidRPr="00A41763" w:rsidR="00A41763">
        <w:t xml:space="preserve">8. </w:t>
      </w:r>
      <w:r w:rsidRPr="008C734C">
        <w:t>Summary of Consultations Outside of the Agency</w:t>
      </w:r>
      <w:bookmarkEnd w:id="10"/>
    </w:p>
    <w:p w:rsidR="00F96C9B" w:rsidP="00F96C9B" w14:paraId="7D72C67B" w14:textId="40D5624F">
      <w:pPr>
        <w:spacing w:before="120" w:after="120" w:line="276" w:lineRule="auto"/>
      </w:pPr>
      <w:r>
        <w:t>During 2016 and 2017, a</w:t>
      </w:r>
      <w:r w:rsidRPr="009E304F">
        <w:t xml:space="preserve"> series </w:t>
      </w:r>
      <w:r w:rsidRPr="007014E2">
        <w:t xml:space="preserve">of </w:t>
      </w:r>
      <w:r>
        <w:t>w</w:t>
      </w:r>
      <w:r w:rsidRPr="007014E2">
        <w:t>orking</w:t>
      </w:r>
      <w:r w:rsidRPr="009E304F">
        <w:t xml:space="preserve"> </w:t>
      </w:r>
      <w:r>
        <w:t>g</w:t>
      </w:r>
      <w:r w:rsidRPr="009E304F">
        <w:t xml:space="preserve">roup </w:t>
      </w:r>
      <w:r>
        <w:t>m</w:t>
      </w:r>
      <w:r w:rsidRPr="009E304F">
        <w:t>eetings were held throughout the form design process among the current contractors</w:t>
      </w:r>
      <w:r>
        <w:t xml:space="preserve">, </w:t>
      </w:r>
      <w:r w:rsidRPr="007014E2">
        <w:t>staff</w:t>
      </w:r>
      <w:r w:rsidRPr="009E304F">
        <w:t xml:space="preserve"> from DOE Offices including the Energy Information Administration (EIA), the Offices of the General Counsel (GC), Nuclear Energy (NE), Environmental Management (EM), </w:t>
      </w:r>
      <w:r>
        <w:t xml:space="preserve">and </w:t>
      </w:r>
      <w:r w:rsidRPr="009E304F">
        <w:t xml:space="preserve">the DOE national laboratories. </w:t>
      </w:r>
      <w:r>
        <w:t>A s</w:t>
      </w:r>
      <w:r w:rsidRPr="009E304F">
        <w:t>eries o</w:t>
      </w:r>
      <w:r w:rsidRPr="00CF3CF8">
        <w:t xml:space="preserve">f </w:t>
      </w:r>
      <w:r w:rsidRPr="00CF3CF8" w:rsidR="00A474E6">
        <w:t>drafts</w:t>
      </w:r>
      <w:r w:rsidRPr="00CF3CF8">
        <w:t xml:space="preserve"> and revised mockups of the</w:t>
      </w:r>
      <w:r w:rsidRPr="009E304F">
        <w:t xml:space="preserve"> proposed </w:t>
      </w:r>
      <w:r>
        <w:t xml:space="preserve">Form </w:t>
      </w:r>
      <w:r w:rsidRPr="00CF3CF8">
        <w:t>GC-859</w:t>
      </w:r>
      <w:r>
        <w:t xml:space="preserve"> </w:t>
      </w:r>
      <w:r w:rsidRPr="009E304F">
        <w:t>were developed for use in these meetings.</w:t>
      </w:r>
      <w:r>
        <w:t xml:space="preserve"> </w:t>
      </w:r>
      <w:r w:rsidRPr="009E304F">
        <w:t>All issues regarding the content of the form were resolved during these meetings and subsequent dialog.</w:t>
      </w:r>
    </w:p>
    <w:p w:rsidR="00F96C9B" w:rsidP="00F96C9B" w14:paraId="37356102" w14:textId="77777777">
      <w:pPr>
        <w:spacing w:before="120" w:after="120" w:line="276" w:lineRule="auto"/>
      </w:pPr>
      <w:r>
        <w:t xml:space="preserve">On March 29, </w:t>
      </w:r>
      <w:r>
        <w:t>2017</w:t>
      </w:r>
      <w:r>
        <w:t xml:space="preserve"> a meeting with nuclear industry respondents and the </w:t>
      </w:r>
      <w:r w:rsidRPr="00B5303E">
        <w:t>N</w:t>
      </w:r>
      <w:r>
        <w:t xml:space="preserve">uclear </w:t>
      </w:r>
      <w:r w:rsidRPr="00B5303E">
        <w:t>E</w:t>
      </w:r>
      <w:r>
        <w:t>nergy Institute (NEI) was held to review and discuss the draft version of the survey form. Feedback and comments from this meeting are incorporated into the design of the survey form and for the estimated burden hours.</w:t>
      </w:r>
    </w:p>
    <w:p w:rsidR="00DD4630" w:rsidP="00F96C9B" w14:paraId="15D75B2D" w14:textId="552954E1">
      <w:pPr>
        <w:spacing w:before="120" w:after="120" w:line="276" w:lineRule="auto"/>
      </w:pPr>
      <w:r>
        <w:t>Th</w:t>
      </w:r>
      <w:r w:rsidR="005C19BE">
        <w:t xml:space="preserve">e 2023 </w:t>
      </w:r>
      <w:r>
        <w:t xml:space="preserve">survey cycle </w:t>
      </w:r>
      <w:r w:rsidR="00372755">
        <w:t xml:space="preserve">(and future survey cycles) </w:t>
      </w:r>
      <w:r>
        <w:t>utilize</w:t>
      </w:r>
      <w:r w:rsidR="00372755">
        <w:t>d</w:t>
      </w:r>
      <w:r>
        <w:t xml:space="preserve"> the Federal Register Notice </w:t>
      </w:r>
      <w:r w:rsidR="005C19BE">
        <w:t xml:space="preserve">(FRN) </w:t>
      </w:r>
      <w:r>
        <w:t xml:space="preserve">process to </w:t>
      </w:r>
      <w:r w:rsidR="005C19BE">
        <w:t xml:space="preserve">consult outside the agency and </w:t>
      </w:r>
      <w:r>
        <w:t xml:space="preserve">collect feedback regarding the Form GC-859 as the data points for this survey version are the same as the previous survey cycle and have already been agreed upon by </w:t>
      </w:r>
      <w:r w:rsidR="005C19BE">
        <w:t xml:space="preserve">both </w:t>
      </w:r>
      <w:r>
        <w:t>industry and the public thus extensive working group meetings</w:t>
      </w:r>
      <w:r w:rsidR="005C19BE">
        <w:t xml:space="preserve"> and/or c</w:t>
      </w:r>
      <w:r w:rsidRPr="008C734C" w:rsidR="005C19BE">
        <w:t>onsultations outside of the agency</w:t>
      </w:r>
      <w:r>
        <w:t xml:space="preserve"> are unnecessary to discuss the </w:t>
      </w:r>
      <w:r w:rsidR="005C19BE">
        <w:t xml:space="preserve">unchanging form </w:t>
      </w:r>
      <w:r>
        <w:t xml:space="preserve">design </w:t>
      </w:r>
      <w:r w:rsidR="005C19BE">
        <w:t>and</w:t>
      </w:r>
      <w:r w:rsidR="002957FE">
        <w:t xml:space="preserve"> </w:t>
      </w:r>
      <w:r w:rsidR="005C19BE">
        <w:t xml:space="preserve">data points of the proposed </w:t>
      </w:r>
      <w:r>
        <w:t>survey form</w:t>
      </w:r>
      <w:r w:rsidR="002957FE">
        <w:t>.</w:t>
      </w:r>
    </w:p>
    <w:p w:rsidR="008C734C" w:rsidP="00A41763" w14:paraId="5551670F" w14:textId="17B9ED94">
      <w:r>
        <w:t xml:space="preserve">The 60-day FRN </w:t>
      </w:r>
      <w:r w:rsidRPr="00927CE5">
        <w:t>public comment period started on 08/28/2025 and ended on 10/27/2025</w:t>
      </w:r>
      <w:r>
        <w:t>. During that time period, three comments were received. The first comment stated that the form needs to stop changing</w:t>
      </w:r>
      <w:r w:rsidR="00941096">
        <w:t xml:space="preserve"> and our response was that since the most recent survey collection was conducted online for the first time, we received user feedback that we implemented to make the collection process easier and more user-friendly. We also noted that we do not foresee additional form changes in future collections, other than minor clarifications or updates to the appendices. T</w:t>
      </w:r>
      <w:r>
        <w:t>he second comment stated that they had reviewed the changes and had no comments</w:t>
      </w:r>
      <w:r w:rsidR="00941096">
        <w:t>. Since there were no comments, no response was given (other than the acknowledgement email). T</w:t>
      </w:r>
      <w:r>
        <w:t xml:space="preserve">he third comment provided four </w:t>
      </w:r>
      <w:r w:rsidR="00941096">
        <w:t>form clarifications, and we responded back with the exact four changes we implemented.</w:t>
      </w:r>
      <w:r>
        <w:t xml:space="preserve"> A day after the 60-</w:t>
      </w:r>
      <w:r>
        <w:t xml:space="preserve">day FRN public comment period ended, a fourth comment was received regarding questions on Schedule C.2 </w:t>
      </w:r>
      <w:r w:rsidR="00941096">
        <w:t>that we answered which</w:t>
      </w:r>
      <w:r>
        <w:t xml:space="preserve"> also resulted in two minor changes to the form. </w:t>
      </w:r>
    </w:p>
    <w:p w:rsidR="00927CE5" w:rsidRPr="00927CE5" w:rsidP="00A41763" w14:paraId="49585CEC" w14:textId="77777777"/>
    <w:p w:rsidR="008C734C" w:rsidP="005B1380" w14:paraId="2EEBA0EA" w14:textId="77777777">
      <w:pPr>
        <w:pStyle w:val="Heading2"/>
      </w:pPr>
      <w:bookmarkStart w:id="11" w:name="_Toc115164317"/>
      <w:r>
        <w:t>A.</w:t>
      </w:r>
      <w:r w:rsidRPr="00A41763" w:rsidR="00A41763">
        <w:t xml:space="preserve">9. </w:t>
      </w:r>
      <w:r w:rsidRPr="008C734C">
        <w:t>Payments or Gifts to Respondents</w:t>
      </w:r>
      <w:bookmarkEnd w:id="11"/>
      <w:r w:rsidRPr="008C734C">
        <w:t xml:space="preserve"> </w:t>
      </w:r>
    </w:p>
    <w:p w:rsidR="00F96C9B" w:rsidRPr="00BA6C32" w:rsidP="00F96C9B" w14:paraId="2088EB28" w14:textId="77777777">
      <w:pPr>
        <w:spacing w:before="120" w:after="120"/>
        <w:rPr>
          <w:b/>
          <w:bCs/>
        </w:rPr>
      </w:pPr>
      <w:r w:rsidRPr="009E304F">
        <w:t>There are no provisions for payments to respondents.</w:t>
      </w:r>
    </w:p>
    <w:p w:rsidR="008C734C" w:rsidP="00A41763" w14:paraId="3FB20F36" w14:textId="77777777">
      <w:pPr>
        <w:rPr>
          <w:b/>
          <w:bCs/>
        </w:rPr>
      </w:pPr>
    </w:p>
    <w:p w:rsidR="008C734C" w:rsidP="005B1380" w14:paraId="2CFE4E81" w14:textId="77777777">
      <w:pPr>
        <w:pStyle w:val="Heading2"/>
      </w:pPr>
      <w:bookmarkStart w:id="12" w:name="_Toc115164318"/>
      <w:r>
        <w:t>A.</w:t>
      </w:r>
      <w:r w:rsidRPr="00A41763" w:rsidR="00A41763">
        <w:t xml:space="preserve">10. </w:t>
      </w:r>
      <w:r w:rsidRPr="008C734C">
        <w:t>Provisions for Protection of Information</w:t>
      </w:r>
      <w:bookmarkEnd w:id="12"/>
      <w:r w:rsidRPr="008C734C">
        <w:t xml:space="preserve"> </w:t>
      </w:r>
    </w:p>
    <w:p w:rsidR="00F96C9B" w:rsidRPr="000B6F77" w:rsidP="7062BDA0" w14:paraId="33167412" w14:textId="77777777">
      <w:pPr>
        <w:tabs>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t>The information reported on Form GC-859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F96C9B" w:rsidRPr="00BA6C32" w:rsidP="00F96C9B" w14:paraId="77B7CE79" w14:textId="7381C834">
      <w:pPr>
        <w:pStyle w:val="BodyTextIndent"/>
        <w:spacing w:before="120" w:line="276" w:lineRule="auto"/>
        <w:ind w:left="0"/>
      </w:pPr>
      <w:r>
        <w:t>T</w:t>
      </w:r>
      <w:r w:rsidR="00A9027C">
        <w:t xml:space="preserve">he </w:t>
      </w:r>
      <w:r w:rsidRPr="00BA6C32" w:rsidR="00A9027C">
        <w:t>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F96C9B" w:rsidRPr="00BA6C32" w:rsidP="00F96C9B" w14:paraId="6178E62D" w14:textId="77777777">
      <w:pPr>
        <w:spacing w:before="120" w:after="120" w:line="276" w:lineRule="auto"/>
        <w:rPr>
          <w:b/>
          <w:bCs/>
        </w:rPr>
      </w:pPr>
      <w:r w:rsidRPr="00BA6C32">
        <w:t xml:space="preserve">EIA </w:t>
      </w:r>
      <w:r>
        <w:t xml:space="preserve">also </w:t>
      </w:r>
      <w:r w:rsidRPr="00BA6C32">
        <w:t>has an agreement to provide company-specific information to the DOE Office of Standard Contract Management, within the Office of the General Counsel. The data a</w:t>
      </w:r>
      <w:r>
        <w:t>re</w:t>
      </w:r>
      <w:r w:rsidRPr="00BA6C32">
        <w:t xml:space="preserve"> used for administrative, regulatory, and adjudicatory purposes only. The agreement requires that the information is protected and not disclosed to the public as set forth above.</w:t>
      </w:r>
      <w:r>
        <w:t xml:space="preserve"> However, d</w:t>
      </w:r>
      <w:r w:rsidRPr="00BA6C32">
        <w:t xml:space="preserve">isclosure limitation procedures are not applied to the </w:t>
      </w:r>
      <w:r>
        <w:t xml:space="preserve">published aggregate </w:t>
      </w:r>
      <w:r w:rsidRPr="00BA6C32">
        <w:t>statistical data derived from this survey’s information.</w:t>
      </w:r>
      <w:r w:rsidRPr="009E304F">
        <w:rPr>
          <w:rFonts w:asciiTheme="majorHAnsi" w:hAnsiTheme="majorHAnsi" w:cstheme="majorHAnsi"/>
          <w:sz w:val="24"/>
          <w:szCs w:val="24"/>
        </w:rPr>
        <w:t xml:space="preserve"> </w:t>
      </w:r>
      <w:r w:rsidRPr="009E304F">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r w:rsidRPr="009E304F">
        <w:rPr>
          <w:rFonts w:asciiTheme="majorHAnsi" w:hAnsiTheme="majorHAnsi" w:cstheme="majorHAnsi"/>
          <w:sz w:val="24"/>
          <w:szCs w:val="24"/>
        </w:rPr>
        <w:t xml:space="preserve"> </w:t>
      </w:r>
    </w:p>
    <w:p w:rsidR="00F056C3" w:rsidP="00A41763" w14:paraId="76232DAD" w14:textId="77777777">
      <w:pPr>
        <w:rPr>
          <w:b/>
          <w:bCs/>
        </w:rPr>
      </w:pPr>
    </w:p>
    <w:p w:rsidR="00F056C3" w:rsidP="005B1380" w14:paraId="3E9C442D" w14:textId="77777777">
      <w:pPr>
        <w:pStyle w:val="Heading2"/>
      </w:pPr>
      <w:bookmarkStart w:id="13" w:name="_Toc115164319"/>
      <w:r>
        <w:t>A.</w:t>
      </w:r>
      <w:r w:rsidRPr="00A41763" w:rsidR="00A41763">
        <w:t xml:space="preserve">11. </w:t>
      </w:r>
      <w:r w:rsidRPr="00F056C3">
        <w:t>Justification for Sensitive Questions</w:t>
      </w:r>
      <w:bookmarkEnd w:id="13"/>
      <w:r w:rsidRPr="00F056C3">
        <w:t xml:space="preserve"> </w:t>
      </w:r>
    </w:p>
    <w:p w:rsidR="00F96C9B" w:rsidRPr="009E304F" w:rsidP="00F96C9B" w14:paraId="0BF055C8"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pPr>
      <w:r w:rsidRPr="009E304F">
        <w:t>There are no questions of a sensitive nature in these data collections.</w:t>
      </w:r>
    </w:p>
    <w:p w:rsidR="00F056C3" w:rsidP="00A41763" w14:paraId="1E178E8F" w14:textId="77777777">
      <w:pPr>
        <w:rPr>
          <w:b/>
          <w:bCs/>
        </w:rPr>
      </w:pPr>
    </w:p>
    <w:p w:rsidR="00F056C3" w:rsidP="005B1380" w14:paraId="08C4C092" w14:textId="77777777">
      <w:pPr>
        <w:pStyle w:val="Heading2"/>
      </w:pPr>
      <w:bookmarkStart w:id="14" w:name="_Toc115164320"/>
      <w:r>
        <w:t>A.</w:t>
      </w:r>
      <w:r w:rsidRPr="00A41763" w:rsidR="00A41763">
        <w:t xml:space="preserve">12. </w:t>
      </w:r>
      <w:r w:rsidRPr="00F056C3">
        <w:t>Estimate of Respondent Burden Hours and Cost</w:t>
      </w:r>
      <w:bookmarkEnd w:id="14"/>
      <w:r w:rsidRPr="00F056C3">
        <w:t xml:space="preserve"> </w:t>
      </w:r>
    </w:p>
    <w:p w:rsidR="00F96C9B" w:rsidRPr="00515493" w:rsidP="63F5753C" w14:paraId="7F1C527D" w14:textId="32E1B2FD">
      <w:pPr>
        <w:spacing w:before="240" w:after="240" w:line="276" w:lineRule="auto"/>
      </w:pPr>
      <w:r>
        <w:t>Current plans call for the survey to be collected once every five years, so respondents will only file the Form GC-859 once over the three-year approval period, for an average reporting frequency of 1/3 of a response per year from each respondent. For the three-year approval period, the annual estimate is 12</w:t>
      </w:r>
      <w:r w:rsidR="00E001EB">
        <w:t>6</w:t>
      </w:r>
      <w:r>
        <w:t xml:space="preserve">/3 = 42 responses. The </w:t>
      </w:r>
      <w:r w:rsidR="00700D75">
        <w:t xml:space="preserve">annual </w:t>
      </w:r>
      <w:r>
        <w:t xml:space="preserve">estimated number of burden hours of </w:t>
      </w:r>
      <w:r w:rsidR="001E17DF">
        <w:t>3,</w:t>
      </w:r>
      <w:r w:rsidR="00E001EB">
        <w:t>707</w:t>
      </w:r>
      <w:r>
        <w:t xml:space="preserve"> is obtained by multiplying </w:t>
      </w:r>
      <w:r>
        <w:t xml:space="preserve">the burden per response for each category by the corresponding number of </w:t>
      </w:r>
      <w:r w:rsidR="00700D75">
        <w:t xml:space="preserve">annual </w:t>
      </w:r>
      <w:r>
        <w:t xml:space="preserve">responses and adding the burden estimates for each category. Based on the estimated </w:t>
      </w:r>
      <w:r w:rsidRPr="00515493">
        <w:t xml:space="preserve">rate of </w:t>
      </w:r>
      <w:r w:rsidRPr="00515493" w:rsidR="001E17DF">
        <w:t>$</w:t>
      </w:r>
      <w:r w:rsidR="006022BA">
        <w:t>94.99</w:t>
      </w:r>
      <w:r w:rsidRPr="00515493" w:rsidR="001E17DF">
        <w:t xml:space="preserve"> </w:t>
      </w:r>
      <w:r w:rsidRPr="00515493">
        <w:t xml:space="preserve">per hour for employees </w:t>
      </w:r>
      <w:r w:rsidRPr="00515493">
        <w:t>who would</w:t>
      </w:r>
      <w:r w:rsidRPr="00515493">
        <w:t xml:space="preserve"> complete these forms, the total annual respondent cost for all forms is estimated to be:</w:t>
      </w:r>
    </w:p>
    <w:p w:rsidR="001E17DF" w:rsidRPr="00515493" w:rsidP="005B1380" w14:paraId="7C95811D" w14:textId="0095481F">
      <w:pPr>
        <w:pStyle w:val="ListParagraph"/>
        <w:rPr>
          <w:rFonts w:eastAsiaTheme="minorEastAsia"/>
        </w:rPr>
      </w:pPr>
      <w:r w:rsidRPr="00515493">
        <w:t xml:space="preserve">The </w:t>
      </w:r>
      <w:r w:rsidRPr="00515493" w:rsidR="00700D75">
        <w:t xml:space="preserve">annual </w:t>
      </w:r>
      <w:r w:rsidRPr="00515493">
        <w:t>cost of the burden hours is estimated to be $3</w:t>
      </w:r>
      <w:r w:rsidR="006022BA">
        <w:t>52,128</w:t>
      </w:r>
      <w:r w:rsidRPr="00515493">
        <w:t xml:space="preserve"> (3,</w:t>
      </w:r>
      <w:r w:rsidR="00070425">
        <w:t>707</w:t>
      </w:r>
      <w:r w:rsidRPr="00515493" w:rsidR="00070425">
        <w:t xml:space="preserve"> </w:t>
      </w:r>
      <w:r w:rsidRPr="00515493">
        <w:t>burden hours times $</w:t>
      </w:r>
      <w:r w:rsidR="006022BA">
        <w:t>94.99</w:t>
      </w:r>
      <w:r w:rsidRPr="00515493">
        <w:t xml:space="preserve"> per hour)</w:t>
      </w:r>
      <w:r w:rsidR="00CC2A1A">
        <w:t>.</w:t>
      </w:r>
    </w:p>
    <w:p w:rsidR="00F96C9B" w:rsidRPr="00B377E0" w:rsidP="63F5753C" w14:paraId="0E87318B" w14:textId="4B7EDF70">
      <w:r w:rsidRPr="00515493">
        <w:t xml:space="preserve">An average cost per hour of </w:t>
      </w:r>
      <w:r w:rsidRPr="004F67E2" w:rsidR="001E17DF">
        <w:rPr>
          <w:color w:val="000000" w:themeColor="text1"/>
        </w:rPr>
        <w:t>$</w:t>
      </w:r>
      <w:r w:rsidR="006022BA">
        <w:rPr>
          <w:rFonts w:ascii="Calibri" w:eastAsia="Calibri" w:hAnsi="Calibri" w:cs="Calibri"/>
          <w:color w:val="000000" w:themeColor="text1"/>
        </w:rPr>
        <w:t>94.99</w:t>
      </w:r>
      <w:r w:rsidRPr="004F67E2">
        <w:rPr>
          <w:color w:val="000000" w:themeColor="text1"/>
        </w:rPr>
        <w:t xml:space="preserve"> is </w:t>
      </w:r>
      <w:r w:rsidRPr="00515493">
        <w:t>used because that is the average loaded (salary plus</w:t>
      </w:r>
      <w:r>
        <w:t xml:space="preserve"> benefits) cost for an EIA employee assigned to data survey work. EIA assumes that the survey respondent workforce completing surveys for EIA is comparable with EIA workforce. </w:t>
      </w:r>
    </w:p>
    <w:p w:rsidR="00700D75" w:rsidP="00A41763" w14:paraId="73846CA5" w14:textId="77777777">
      <w:pPr>
        <w:rPr>
          <w:b/>
          <w:bCs/>
        </w:rPr>
      </w:pPr>
      <w:r w:rsidRPr="00E22F81">
        <w:t xml:space="preserve">There </w:t>
      </w:r>
      <w:r w:rsidRPr="00E22F81">
        <w:t>are</w:t>
      </w:r>
      <w:r w:rsidRPr="00E22F81">
        <w:t xml:space="preserve"> no additional capital, start-up, or operating and maintenance costs to respondents beyond the cost of the hours described in Item </w:t>
      </w:r>
      <w:r>
        <w:t>A.</w:t>
      </w:r>
      <w:r w:rsidRPr="00E22F81">
        <w:t>12.</w:t>
      </w:r>
      <w:r>
        <w:t xml:space="preserve"> </w:t>
      </w:r>
      <w:r w:rsidRPr="00E22F81">
        <w:t>The only costs are for the burden hours required to report on the Form GC-859.</w:t>
      </w:r>
      <w:r>
        <w:rPr>
          <w:b/>
          <w:bCs/>
        </w:rPr>
        <w:t xml:space="preserve"> </w:t>
      </w:r>
    </w:p>
    <w:p w:rsidR="00EC7E50" w:rsidP="00712045" w14:paraId="3A48FD43" w14:textId="77777777">
      <w:pPr>
        <w:jc w:val="center"/>
        <w:rPr>
          <w:b/>
          <w:bCs/>
        </w:rPr>
      </w:pPr>
      <w:r>
        <w:rPr>
          <w:b/>
          <w:bCs/>
        </w:rPr>
        <w:t xml:space="preserve"> </w:t>
      </w:r>
    </w:p>
    <w:tbl>
      <w:tblPr>
        <w:tblW w:w="8980" w:type="dxa"/>
        <w:tblLook w:val="04A0"/>
      </w:tblPr>
      <w:tblGrid>
        <w:gridCol w:w="3677"/>
        <w:gridCol w:w="1081"/>
        <w:gridCol w:w="1296"/>
        <w:gridCol w:w="1092"/>
        <w:gridCol w:w="1012"/>
        <w:gridCol w:w="822"/>
      </w:tblGrid>
      <w:tr w14:paraId="41992C47" w14:textId="77777777" w:rsidTr="00EC7E50">
        <w:tblPrEx>
          <w:tblW w:w="8980" w:type="dxa"/>
          <w:tblLook w:val="04A0"/>
        </w:tblPrEx>
        <w:trPr>
          <w:trHeight w:val="360"/>
        </w:trPr>
        <w:tc>
          <w:tcPr>
            <w:tcW w:w="8980" w:type="dxa"/>
            <w:gridSpan w:val="6"/>
            <w:tcBorders>
              <w:top w:val="nil"/>
              <w:left w:val="nil"/>
              <w:bottom w:val="single" w:sz="4" w:space="0" w:color="auto"/>
              <w:right w:val="nil"/>
            </w:tcBorders>
            <w:hideMark/>
          </w:tcPr>
          <w:p w:rsidR="00EC7E50" w:rsidRPr="00EC7E50" w:rsidP="00EC7E50" w14:paraId="1D28CEFB" w14:textId="77777777">
            <w:pPr>
              <w:spacing w:after="0" w:line="240" w:lineRule="auto"/>
              <w:jc w:val="center"/>
              <w:rPr>
                <w:rFonts w:ascii="Calibri" w:eastAsia="Times New Roman" w:hAnsi="Calibri" w:cs="Calibri"/>
                <w:b/>
                <w:bCs/>
                <w:color w:val="0070C0"/>
                <w:sz w:val="28"/>
                <w:szCs w:val="28"/>
              </w:rPr>
            </w:pPr>
            <w:r w:rsidRPr="00EC7E50">
              <w:rPr>
                <w:rFonts w:ascii="Calibri" w:eastAsia="Times New Roman" w:hAnsi="Calibri" w:cs="Calibri"/>
                <w:b/>
                <w:bCs/>
                <w:color w:val="0070C0"/>
                <w:sz w:val="28"/>
                <w:szCs w:val="28"/>
              </w:rPr>
              <w:t>Table A1. Estimated Respondent Burden</w:t>
            </w:r>
          </w:p>
        </w:tc>
      </w:tr>
      <w:tr w14:paraId="61862980" w14:textId="77777777" w:rsidTr="00EC7E50">
        <w:tblPrEx>
          <w:tblW w:w="8980" w:type="dxa"/>
          <w:tblLook w:val="04A0"/>
        </w:tblPrEx>
        <w:trPr>
          <w:trHeight w:val="780"/>
        </w:trPr>
        <w:tc>
          <w:tcPr>
            <w:tcW w:w="4040" w:type="dxa"/>
            <w:tcBorders>
              <w:top w:val="nil"/>
              <w:left w:val="single" w:sz="4" w:space="0" w:color="auto"/>
              <w:bottom w:val="single" w:sz="4" w:space="0" w:color="auto"/>
              <w:right w:val="single" w:sz="4" w:space="0" w:color="auto"/>
            </w:tcBorders>
            <w:shd w:val="clear" w:color="000000" w:fill="00B0F0"/>
            <w:vAlign w:val="center"/>
            <w:hideMark/>
          </w:tcPr>
          <w:p w:rsidR="00EC7E50" w:rsidRPr="00EC7E50" w:rsidP="00EC7E50" w14:paraId="2C44895E"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EIA Form Number/Title</w:t>
            </w:r>
          </w:p>
        </w:tc>
        <w:tc>
          <w:tcPr>
            <w:tcW w:w="1000" w:type="dxa"/>
            <w:tcBorders>
              <w:top w:val="nil"/>
              <w:left w:val="nil"/>
              <w:bottom w:val="single" w:sz="4" w:space="0" w:color="auto"/>
              <w:right w:val="single" w:sz="4" w:space="0" w:color="auto"/>
            </w:tcBorders>
            <w:shd w:val="clear" w:color="000000" w:fill="00B0F0"/>
            <w:vAlign w:val="center"/>
            <w:hideMark/>
          </w:tcPr>
          <w:p w:rsidR="00EC7E50" w:rsidRPr="00EC7E50" w:rsidP="00EC7E50" w14:paraId="5C56B25D"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Annual</w:t>
            </w:r>
            <w:r w:rsidRPr="00EC7E50">
              <w:rPr>
                <w:rFonts w:ascii="Calibri" w:eastAsia="Times New Roman" w:hAnsi="Calibri" w:cs="Calibri"/>
                <w:b/>
                <w:bCs/>
                <w:sz w:val="20"/>
                <w:szCs w:val="20"/>
              </w:rPr>
              <w:br/>
              <w:t>Reporting</w:t>
            </w:r>
            <w:r w:rsidRPr="00EC7E50">
              <w:rPr>
                <w:rFonts w:ascii="Calibri" w:eastAsia="Times New Roman" w:hAnsi="Calibri" w:cs="Calibri"/>
                <w:b/>
                <w:bCs/>
                <w:sz w:val="20"/>
                <w:szCs w:val="20"/>
              </w:rPr>
              <w:br/>
              <w:t>Frequency</w:t>
            </w:r>
          </w:p>
        </w:tc>
        <w:tc>
          <w:tcPr>
            <w:tcW w:w="1240" w:type="dxa"/>
            <w:tcBorders>
              <w:top w:val="nil"/>
              <w:left w:val="nil"/>
              <w:bottom w:val="single" w:sz="4" w:space="0" w:color="auto"/>
              <w:right w:val="single" w:sz="4" w:space="0" w:color="auto"/>
            </w:tcBorders>
            <w:shd w:val="clear" w:color="000000" w:fill="00B0F0"/>
            <w:vAlign w:val="center"/>
            <w:hideMark/>
          </w:tcPr>
          <w:p w:rsidR="00EC7E50" w:rsidRPr="00EC7E50" w:rsidP="00EC7E50" w14:paraId="0505841D"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 xml:space="preserve">Number </w:t>
            </w:r>
            <w:r w:rsidRPr="00EC7E50">
              <w:rPr>
                <w:rFonts w:ascii="Calibri" w:eastAsia="Times New Roman" w:hAnsi="Calibri" w:cs="Calibri"/>
                <w:b/>
                <w:bCs/>
                <w:sz w:val="20"/>
                <w:szCs w:val="20"/>
              </w:rPr>
              <w:br/>
              <w:t>of</w:t>
            </w:r>
            <w:r w:rsidRPr="00EC7E50">
              <w:rPr>
                <w:rFonts w:ascii="Calibri" w:eastAsia="Times New Roman" w:hAnsi="Calibri" w:cs="Calibri"/>
                <w:b/>
                <w:bCs/>
                <w:sz w:val="20"/>
                <w:szCs w:val="20"/>
              </w:rPr>
              <w:br/>
              <w:t>Respondents</w:t>
            </w:r>
          </w:p>
        </w:tc>
        <w:tc>
          <w:tcPr>
            <w:tcW w:w="1020" w:type="dxa"/>
            <w:tcBorders>
              <w:top w:val="nil"/>
              <w:left w:val="nil"/>
              <w:bottom w:val="single" w:sz="4" w:space="0" w:color="auto"/>
              <w:right w:val="single" w:sz="4" w:space="0" w:color="auto"/>
            </w:tcBorders>
            <w:shd w:val="clear" w:color="000000" w:fill="00B0F0"/>
            <w:vAlign w:val="center"/>
            <w:hideMark/>
          </w:tcPr>
          <w:p w:rsidR="00EC7E50" w:rsidRPr="00EC7E50" w:rsidP="00EC7E50" w14:paraId="3FA9F658"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 xml:space="preserve">Annual </w:t>
            </w:r>
            <w:r w:rsidRPr="00EC7E50">
              <w:rPr>
                <w:rFonts w:ascii="Calibri" w:eastAsia="Times New Roman" w:hAnsi="Calibri" w:cs="Calibri"/>
                <w:b/>
                <w:bCs/>
                <w:sz w:val="20"/>
                <w:szCs w:val="20"/>
              </w:rPr>
              <w:br/>
              <w:t xml:space="preserve">Number of </w:t>
            </w:r>
            <w:r w:rsidRPr="00EC7E50">
              <w:rPr>
                <w:rFonts w:ascii="Calibri" w:eastAsia="Times New Roman" w:hAnsi="Calibri" w:cs="Calibri"/>
                <w:b/>
                <w:bCs/>
                <w:sz w:val="20"/>
                <w:szCs w:val="20"/>
              </w:rPr>
              <w:br/>
              <w:t>Responses</w:t>
            </w:r>
          </w:p>
        </w:tc>
        <w:tc>
          <w:tcPr>
            <w:tcW w:w="940" w:type="dxa"/>
            <w:tcBorders>
              <w:top w:val="nil"/>
              <w:left w:val="nil"/>
              <w:bottom w:val="single" w:sz="4" w:space="0" w:color="auto"/>
              <w:right w:val="single" w:sz="4" w:space="0" w:color="auto"/>
            </w:tcBorders>
            <w:shd w:val="clear" w:color="000000" w:fill="00B0F0"/>
            <w:vAlign w:val="center"/>
            <w:hideMark/>
          </w:tcPr>
          <w:p w:rsidR="00EC7E50" w:rsidRPr="00EC7E50" w:rsidP="00EC7E50" w14:paraId="765C7571"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 xml:space="preserve">Burden </w:t>
            </w:r>
            <w:r w:rsidRPr="00EC7E50">
              <w:rPr>
                <w:rFonts w:ascii="Calibri" w:eastAsia="Times New Roman" w:hAnsi="Calibri" w:cs="Calibri"/>
                <w:b/>
                <w:bCs/>
                <w:sz w:val="20"/>
                <w:szCs w:val="20"/>
              </w:rPr>
              <w:br/>
              <w:t xml:space="preserve">Hours Per </w:t>
            </w:r>
            <w:r w:rsidRPr="00EC7E50">
              <w:rPr>
                <w:rFonts w:ascii="Calibri" w:eastAsia="Times New Roman" w:hAnsi="Calibri" w:cs="Calibri"/>
                <w:b/>
                <w:bCs/>
                <w:sz w:val="20"/>
                <w:szCs w:val="20"/>
              </w:rPr>
              <w:br/>
              <w:t>Response</w:t>
            </w:r>
          </w:p>
        </w:tc>
        <w:tc>
          <w:tcPr>
            <w:tcW w:w="740" w:type="dxa"/>
            <w:tcBorders>
              <w:top w:val="nil"/>
              <w:left w:val="nil"/>
              <w:bottom w:val="single" w:sz="4" w:space="0" w:color="auto"/>
              <w:right w:val="single" w:sz="4" w:space="0" w:color="auto"/>
            </w:tcBorders>
            <w:shd w:val="clear" w:color="000000" w:fill="00B0F0"/>
            <w:vAlign w:val="center"/>
            <w:hideMark/>
          </w:tcPr>
          <w:p w:rsidR="00EC7E50" w:rsidRPr="00EC7E50" w:rsidP="00EC7E50" w14:paraId="54126A55" w14:textId="77777777">
            <w:pPr>
              <w:spacing w:after="0" w:line="240" w:lineRule="auto"/>
              <w:jc w:val="center"/>
              <w:rPr>
                <w:rFonts w:ascii="Calibri" w:eastAsia="Times New Roman" w:hAnsi="Calibri" w:cs="Calibri"/>
                <w:b/>
                <w:bCs/>
                <w:sz w:val="20"/>
                <w:szCs w:val="20"/>
              </w:rPr>
            </w:pPr>
            <w:r w:rsidRPr="00EC7E50">
              <w:rPr>
                <w:rFonts w:ascii="Calibri" w:eastAsia="Times New Roman" w:hAnsi="Calibri" w:cs="Calibri"/>
                <w:b/>
                <w:bCs/>
                <w:sz w:val="20"/>
                <w:szCs w:val="20"/>
              </w:rPr>
              <w:t xml:space="preserve">Annual </w:t>
            </w:r>
            <w:r w:rsidRPr="00EC7E50">
              <w:rPr>
                <w:rFonts w:ascii="Calibri" w:eastAsia="Times New Roman" w:hAnsi="Calibri" w:cs="Calibri"/>
                <w:b/>
                <w:bCs/>
                <w:sz w:val="20"/>
                <w:szCs w:val="20"/>
              </w:rPr>
              <w:br/>
              <w:t xml:space="preserve">Burden </w:t>
            </w:r>
            <w:r w:rsidRPr="00EC7E50">
              <w:rPr>
                <w:rFonts w:ascii="Calibri" w:eastAsia="Times New Roman" w:hAnsi="Calibri" w:cs="Calibri"/>
                <w:b/>
                <w:bCs/>
                <w:sz w:val="20"/>
                <w:szCs w:val="20"/>
              </w:rPr>
              <w:br/>
              <w:t>Hours</w:t>
            </w:r>
          </w:p>
        </w:tc>
      </w:tr>
      <w:tr w14:paraId="473572EC" w14:textId="77777777" w:rsidTr="00EC7E50">
        <w:tblPrEx>
          <w:tblW w:w="8980" w:type="dxa"/>
          <w:tblLook w:val="04A0"/>
        </w:tblPrEx>
        <w:trPr>
          <w:trHeight w:val="520"/>
        </w:trPr>
        <w:tc>
          <w:tcPr>
            <w:tcW w:w="4040" w:type="dxa"/>
            <w:tcBorders>
              <w:top w:val="nil"/>
              <w:left w:val="single" w:sz="4" w:space="0" w:color="auto"/>
              <w:bottom w:val="single" w:sz="4" w:space="0" w:color="auto"/>
              <w:right w:val="single" w:sz="4" w:space="0" w:color="auto"/>
            </w:tcBorders>
            <w:vAlign w:val="bottom"/>
            <w:hideMark/>
          </w:tcPr>
          <w:p w:rsidR="00EC7E50" w:rsidRPr="00EC7E50" w:rsidP="00EC7E50" w14:paraId="72F2FF8B" w14:textId="77777777">
            <w:pPr>
              <w:spacing w:after="0" w:line="240" w:lineRule="auto"/>
              <w:rPr>
                <w:rFonts w:ascii="Calibri" w:eastAsia="Times New Roman" w:hAnsi="Calibri" w:cs="Calibri"/>
                <w:color w:val="000000"/>
                <w:sz w:val="20"/>
                <w:szCs w:val="20"/>
              </w:rPr>
            </w:pPr>
            <w:r w:rsidRPr="00EC7E50">
              <w:rPr>
                <w:rFonts w:ascii="Calibri" w:eastAsia="Times New Roman" w:hAnsi="Calibri" w:cs="Calibri"/>
                <w:color w:val="000000"/>
                <w:sz w:val="20"/>
                <w:szCs w:val="20"/>
              </w:rPr>
              <w:t>Form GC–859, ‘‘Nuclear Fuel Data Survey’’</w:t>
            </w:r>
            <w:r w:rsidRPr="00EC7E50">
              <w:rPr>
                <w:rFonts w:ascii="Calibri" w:eastAsia="Times New Roman" w:hAnsi="Calibri" w:cs="Calibri"/>
                <w:color w:val="000000"/>
                <w:sz w:val="20"/>
                <w:szCs w:val="20"/>
              </w:rPr>
              <w:br/>
            </w:r>
            <w:r w:rsidRPr="00EC7E50">
              <w:rPr>
                <w:rFonts w:ascii="Calibri" w:eastAsia="Times New Roman" w:hAnsi="Calibri" w:cs="Calibri"/>
                <w:b/>
                <w:bCs/>
                <w:i/>
                <w:iCs/>
                <w:color w:val="000000"/>
                <w:sz w:val="20"/>
                <w:szCs w:val="20"/>
              </w:rPr>
              <w:t>Operating Nuclear Reactors</w:t>
            </w:r>
          </w:p>
        </w:tc>
        <w:tc>
          <w:tcPr>
            <w:tcW w:w="1000" w:type="dxa"/>
            <w:tcBorders>
              <w:top w:val="nil"/>
              <w:left w:val="nil"/>
              <w:bottom w:val="single" w:sz="4" w:space="0" w:color="auto"/>
              <w:right w:val="single" w:sz="4" w:space="0" w:color="auto"/>
            </w:tcBorders>
            <w:noWrap/>
            <w:vAlign w:val="bottom"/>
            <w:hideMark/>
          </w:tcPr>
          <w:p w:rsidR="00EC7E50" w:rsidRPr="00EC7E50" w:rsidP="00EC7E50" w14:paraId="6F4274D9"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33</w:t>
            </w:r>
            <w:r w:rsidR="001F4736">
              <w:rPr>
                <w:rFonts w:ascii="Calibri" w:eastAsia="Times New Roman" w:hAnsi="Calibri" w:cs="Calibri"/>
                <w:color w:val="000000"/>
                <w:sz w:val="20"/>
                <w:szCs w:val="20"/>
              </w:rPr>
              <w:t>%</w:t>
            </w:r>
          </w:p>
        </w:tc>
        <w:tc>
          <w:tcPr>
            <w:tcW w:w="1240" w:type="dxa"/>
            <w:tcBorders>
              <w:top w:val="nil"/>
              <w:left w:val="nil"/>
              <w:bottom w:val="single" w:sz="4" w:space="0" w:color="auto"/>
              <w:right w:val="single" w:sz="4" w:space="0" w:color="auto"/>
            </w:tcBorders>
            <w:noWrap/>
            <w:vAlign w:val="bottom"/>
            <w:hideMark/>
          </w:tcPr>
          <w:p w:rsidR="00EC7E50" w:rsidRPr="00EC7E50" w:rsidP="00EC7E50" w14:paraId="6389A4B0"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92</w:t>
            </w:r>
          </w:p>
        </w:tc>
        <w:tc>
          <w:tcPr>
            <w:tcW w:w="102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327FD785"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30.67</w:t>
            </w:r>
          </w:p>
        </w:tc>
        <w:tc>
          <w:tcPr>
            <w:tcW w:w="940" w:type="dxa"/>
            <w:tcBorders>
              <w:top w:val="nil"/>
              <w:left w:val="nil"/>
              <w:bottom w:val="single" w:sz="4" w:space="0" w:color="auto"/>
              <w:right w:val="single" w:sz="4" w:space="0" w:color="auto"/>
            </w:tcBorders>
            <w:noWrap/>
            <w:vAlign w:val="bottom"/>
            <w:hideMark/>
          </w:tcPr>
          <w:p w:rsidR="00EC7E50" w:rsidRPr="00EC7E50" w:rsidP="00EC7E50" w14:paraId="6D7BCC26"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100.00</w:t>
            </w:r>
          </w:p>
        </w:tc>
        <w:tc>
          <w:tcPr>
            <w:tcW w:w="74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4153CEE8"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3,067</w:t>
            </w:r>
          </w:p>
        </w:tc>
      </w:tr>
      <w:tr w14:paraId="73F3E011" w14:textId="77777777" w:rsidTr="00EC7E50">
        <w:tblPrEx>
          <w:tblW w:w="8980" w:type="dxa"/>
          <w:tblLook w:val="04A0"/>
        </w:tblPrEx>
        <w:trPr>
          <w:trHeight w:val="520"/>
        </w:trPr>
        <w:tc>
          <w:tcPr>
            <w:tcW w:w="4040" w:type="dxa"/>
            <w:tcBorders>
              <w:top w:val="nil"/>
              <w:left w:val="single" w:sz="4" w:space="0" w:color="auto"/>
              <w:bottom w:val="single" w:sz="4" w:space="0" w:color="auto"/>
              <w:right w:val="single" w:sz="4" w:space="0" w:color="auto"/>
            </w:tcBorders>
            <w:vAlign w:val="bottom"/>
            <w:hideMark/>
          </w:tcPr>
          <w:p w:rsidR="00EC7E50" w:rsidRPr="00EC7E50" w:rsidP="00EC7E50" w14:paraId="68869D00" w14:textId="77777777">
            <w:pPr>
              <w:spacing w:after="0" w:line="240" w:lineRule="auto"/>
              <w:rPr>
                <w:rFonts w:ascii="Calibri" w:eastAsia="Times New Roman" w:hAnsi="Calibri" w:cs="Calibri"/>
                <w:color w:val="000000"/>
                <w:sz w:val="20"/>
                <w:szCs w:val="20"/>
              </w:rPr>
            </w:pPr>
            <w:r w:rsidRPr="00EC7E50">
              <w:rPr>
                <w:rFonts w:ascii="Calibri" w:eastAsia="Times New Roman" w:hAnsi="Calibri" w:cs="Calibri"/>
                <w:color w:val="000000"/>
                <w:sz w:val="20"/>
                <w:szCs w:val="20"/>
              </w:rPr>
              <w:t>Form GC–859, ‘‘Nuclear Fuel Data Survey’’</w:t>
            </w:r>
            <w:r w:rsidRPr="00EC7E50">
              <w:rPr>
                <w:rFonts w:ascii="Calibri" w:eastAsia="Times New Roman" w:hAnsi="Calibri" w:cs="Calibri"/>
                <w:color w:val="000000"/>
                <w:sz w:val="20"/>
                <w:szCs w:val="20"/>
              </w:rPr>
              <w:br/>
            </w:r>
            <w:r w:rsidRPr="00EC7E50">
              <w:rPr>
                <w:rFonts w:ascii="Calibri" w:eastAsia="Times New Roman" w:hAnsi="Calibri" w:cs="Calibri"/>
                <w:b/>
                <w:bCs/>
                <w:i/>
                <w:iCs/>
                <w:color w:val="000000"/>
                <w:sz w:val="20"/>
                <w:szCs w:val="20"/>
              </w:rPr>
              <w:t>Permanently Shut Down Nuclear Reactors</w:t>
            </w:r>
          </w:p>
        </w:tc>
        <w:tc>
          <w:tcPr>
            <w:tcW w:w="1000" w:type="dxa"/>
            <w:tcBorders>
              <w:top w:val="nil"/>
              <w:left w:val="nil"/>
              <w:bottom w:val="single" w:sz="4" w:space="0" w:color="auto"/>
              <w:right w:val="single" w:sz="4" w:space="0" w:color="auto"/>
            </w:tcBorders>
            <w:noWrap/>
            <w:vAlign w:val="bottom"/>
            <w:hideMark/>
          </w:tcPr>
          <w:p w:rsidR="00EC7E50" w:rsidRPr="00EC7E50" w:rsidP="00EC7E50" w14:paraId="0F41FDF7" w14:textId="77777777">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Pr="00EC7E50">
              <w:rPr>
                <w:rFonts w:ascii="Calibri" w:eastAsia="Times New Roman" w:hAnsi="Calibri" w:cs="Calibri"/>
                <w:color w:val="000000"/>
                <w:sz w:val="20"/>
                <w:szCs w:val="20"/>
              </w:rPr>
              <w:t>3</w:t>
            </w:r>
            <w:r>
              <w:rPr>
                <w:rFonts w:ascii="Calibri" w:eastAsia="Times New Roman" w:hAnsi="Calibri" w:cs="Calibri"/>
                <w:color w:val="000000"/>
                <w:sz w:val="20"/>
                <w:szCs w:val="20"/>
              </w:rPr>
              <w:t>%</w:t>
            </w:r>
          </w:p>
        </w:tc>
        <w:tc>
          <w:tcPr>
            <w:tcW w:w="1240" w:type="dxa"/>
            <w:tcBorders>
              <w:top w:val="nil"/>
              <w:left w:val="nil"/>
              <w:bottom w:val="single" w:sz="4" w:space="0" w:color="auto"/>
              <w:right w:val="single" w:sz="4" w:space="0" w:color="auto"/>
            </w:tcBorders>
            <w:noWrap/>
            <w:vAlign w:val="bottom"/>
            <w:hideMark/>
          </w:tcPr>
          <w:p w:rsidR="00EC7E50" w:rsidRPr="00EC7E50" w:rsidP="00EC7E50" w14:paraId="71B8B4F5"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28</w:t>
            </w:r>
          </w:p>
        </w:tc>
        <w:tc>
          <w:tcPr>
            <w:tcW w:w="102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56031F1A"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9.33</w:t>
            </w:r>
          </w:p>
        </w:tc>
        <w:tc>
          <w:tcPr>
            <w:tcW w:w="940" w:type="dxa"/>
            <w:tcBorders>
              <w:top w:val="nil"/>
              <w:left w:val="nil"/>
              <w:bottom w:val="single" w:sz="4" w:space="0" w:color="auto"/>
              <w:right w:val="single" w:sz="4" w:space="0" w:color="auto"/>
            </w:tcBorders>
            <w:noWrap/>
            <w:vAlign w:val="bottom"/>
            <w:hideMark/>
          </w:tcPr>
          <w:p w:rsidR="00EC7E50" w:rsidRPr="00EC7E50" w:rsidP="00EC7E50" w14:paraId="50CD0B46"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60.00</w:t>
            </w:r>
          </w:p>
        </w:tc>
        <w:tc>
          <w:tcPr>
            <w:tcW w:w="74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65366CAC"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560</w:t>
            </w:r>
          </w:p>
        </w:tc>
      </w:tr>
      <w:tr w14:paraId="456BCAF1" w14:textId="77777777" w:rsidTr="00EC7E50">
        <w:tblPrEx>
          <w:tblW w:w="8980" w:type="dxa"/>
          <w:tblLook w:val="04A0"/>
        </w:tblPrEx>
        <w:trPr>
          <w:trHeight w:val="520"/>
        </w:trPr>
        <w:tc>
          <w:tcPr>
            <w:tcW w:w="4040" w:type="dxa"/>
            <w:tcBorders>
              <w:top w:val="nil"/>
              <w:left w:val="single" w:sz="4" w:space="0" w:color="auto"/>
              <w:bottom w:val="single" w:sz="4" w:space="0" w:color="auto"/>
              <w:right w:val="single" w:sz="4" w:space="0" w:color="auto"/>
            </w:tcBorders>
            <w:vAlign w:val="bottom"/>
            <w:hideMark/>
          </w:tcPr>
          <w:p w:rsidR="00EC7E50" w:rsidRPr="00EC7E50" w:rsidP="00EC7E50" w14:paraId="6DE7E75B" w14:textId="77777777">
            <w:pPr>
              <w:spacing w:after="0" w:line="240" w:lineRule="auto"/>
              <w:rPr>
                <w:rFonts w:ascii="Calibri" w:eastAsia="Times New Roman" w:hAnsi="Calibri" w:cs="Calibri"/>
                <w:color w:val="000000"/>
                <w:sz w:val="20"/>
                <w:szCs w:val="20"/>
              </w:rPr>
            </w:pPr>
            <w:r w:rsidRPr="00EC7E50">
              <w:rPr>
                <w:rFonts w:ascii="Calibri" w:eastAsia="Times New Roman" w:hAnsi="Calibri" w:cs="Calibri"/>
                <w:color w:val="000000"/>
                <w:sz w:val="20"/>
                <w:szCs w:val="20"/>
              </w:rPr>
              <w:t>Form GC–859, ‘‘Nuclear Fuel Data Survey’’</w:t>
            </w:r>
            <w:r w:rsidRPr="00EC7E50">
              <w:rPr>
                <w:rFonts w:ascii="Calibri" w:eastAsia="Times New Roman" w:hAnsi="Calibri" w:cs="Calibri"/>
                <w:color w:val="000000"/>
                <w:sz w:val="20"/>
                <w:szCs w:val="20"/>
              </w:rPr>
              <w:br/>
            </w:r>
            <w:r w:rsidRPr="00EC7E50">
              <w:rPr>
                <w:rFonts w:ascii="Calibri" w:eastAsia="Times New Roman" w:hAnsi="Calibri" w:cs="Calibri"/>
                <w:b/>
                <w:bCs/>
                <w:i/>
                <w:iCs/>
                <w:color w:val="000000"/>
                <w:sz w:val="20"/>
                <w:szCs w:val="20"/>
              </w:rPr>
              <w:t>Storage Facilities and Research/Test Reactors</w:t>
            </w:r>
          </w:p>
        </w:tc>
        <w:tc>
          <w:tcPr>
            <w:tcW w:w="1000" w:type="dxa"/>
            <w:tcBorders>
              <w:top w:val="nil"/>
              <w:left w:val="nil"/>
              <w:bottom w:val="single" w:sz="4" w:space="0" w:color="auto"/>
              <w:right w:val="single" w:sz="4" w:space="0" w:color="auto"/>
            </w:tcBorders>
            <w:noWrap/>
            <w:vAlign w:val="bottom"/>
            <w:hideMark/>
          </w:tcPr>
          <w:p w:rsidR="00EC7E50" w:rsidRPr="00EC7E50" w:rsidP="00EC7E50" w14:paraId="74A37F92" w14:textId="77777777">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Pr="00EC7E50">
              <w:rPr>
                <w:rFonts w:ascii="Calibri" w:eastAsia="Times New Roman" w:hAnsi="Calibri" w:cs="Calibri"/>
                <w:color w:val="000000"/>
                <w:sz w:val="20"/>
                <w:szCs w:val="20"/>
              </w:rPr>
              <w:t>3</w:t>
            </w:r>
            <w:r>
              <w:rPr>
                <w:rFonts w:ascii="Calibri" w:eastAsia="Times New Roman" w:hAnsi="Calibri" w:cs="Calibri"/>
                <w:color w:val="000000"/>
                <w:sz w:val="20"/>
                <w:szCs w:val="20"/>
              </w:rPr>
              <w:t>%</w:t>
            </w:r>
          </w:p>
        </w:tc>
        <w:tc>
          <w:tcPr>
            <w:tcW w:w="1240" w:type="dxa"/>
            <w:tcBorders>
              <w:top w:val="nil"/>
              <w:left w:val="nil"/>
              <w:bottom w:val="single" w:sz="4" w:space="0" w:color="auto"/>
              <w:right w:val="single" w:sz="4" w:space="0" w:color="auto"/>
            </w:tcBorders>
            <w:noWrap/>
            <w:vAlign w:val="bottom"/>
            <w:hideMark/>
          </w:tcPr>
          <w:p w:rsidR="00EC7E50" w:rsidRPr="00EC7E50" w:rsidP="00EC7E50" w14:paraId="3F620B6F"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6</w:t>
            </w:r>
          </w:p>
        </w:tc>
        <w:tc>
          <w:tcPr>
            <w:tcW w:w="102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2F5D83DB"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2.00</w:t>
            </w:r>
          </w:p>
        </w:tc>
        <w:tc>
          <w:tcPr>
            <w:tcW w:w="940" w:type="dxa"/>
            <w:tcBorders>
              <w:top w:val="nil"/>
              <w:left w:val="nil"/>
              <w:bottom w:val="single" w:sz="4" w:space="0" w:color="auto"/>
              <w:right w:val="single" w:sz="4" w:space="0" w:color="auto"/>
            </w:tcBorders>
            <w:noWrap/>
            <w:vAlign w:val="bottom"/>
            <w:hideMark/>
          </w:tcPr>
          <w:p w:rsidR="00EC7E50" w:rsidRPr="00EC7E50" w:rsidP="00EC7E50" w14:paraId="31983CEE"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40.00</w:t>
            </w:r>
          </w:p>
        </w:tc>
        <w:tc>
          <w:tcPr>
            <w:tcW w:w="74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38663E2B" w14:textId="77777777">
            <w:pPr>
              <w:spacing w:after="0" w:line="240" w:lineRule="auto"/>
              <w:jc w:val="right"/>
              <w:rPr>
                <w:rFonts w:ascii="Calibri" w:eastAsia="Times New Roman" w:hAnsi="Calibri" w:cs="Calibri"/>
                <w:color w:val="000000"/>
                <w:sz w:val="20"/>
                <w:szCs w:val="20"/>
              </w:rPr>
            </w:pPr>
            <w:r w:rsidRPr="00EC7E50">
              <w:rPr>
                <w:rFonts w:ascii="Calibri" w:eastAsia="Times New Roman" w:hAnsi="Calibri" w:cs="Calibri"/>
                <w:color w:val="000000"/>
                <w:sz w:val="20"/>
                <w:szCs w:val="20"/>
              </w:rPr>
              <w:t>80</w:t>
            </w:r>
          </w:p>
        </w:tc>
      </w:tr>
      <w:tr w14:paraId="701801C6" w14:textId="77777777" w:rsidTr="00EC7E50">
        <w:tblPrEx>
          <w:tblW w:w="8980" w:type="dxa"/>
          <w:tblLook w:val="04A0"/>
        </w:tblPrEx>
        <w:trPr>
          <w:trHeight w:val="280"/>
        </w:trPr>
        <w:tc>
          <w:tcPr>
            <w:tcW w:w="4040" w:type="dxa"/>
            <w:tcBorders>
              <w:top w:val="nil"/>
              <w:left w:val="single" w:sz="4" w:space="0" w:color="auto"/>
              <w:bottom w:val="single" w:sz="4" w:space="0" w:color="auto"/>
              <w:right w:val="single" w:sz="4" w:space="0" w:color="auto"/>
            </w:tcBorders>
            <w:vAlign w:val="bottom"/>
            <w:hideMark/>
          </w:tcPr>
          <w:p w:rsidR="00EC7E50" w:rsidRPr="00EC7E50" w:rsidP="00EC7E50" w14:paraId="535558CA" w14:textId="77777777">
            <w:pPr>
              <w:spacing w:after="0" w:line="240" w:lineRule="auto"/>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TOTAL</w:t>
            </w:r>
          </w:p>
        </w:tc>
        <w:tc>
          <w:tcPr>
            <w:tcW w:w="1000" w:type="dxa"/>
            <w:tcBorders>
              <w:top w:val="nil"/>
              <w:left w:val="nil"/>
              <w:bottom w:val="single" w:sz="4" w:space="0" w:color="auto"/>
              <w:right w:val="single" w:sz="4" w:space="0" w:color="auto"/>
            </w:tcBorders>
            <w:shd w:val="clear" w:color="000000" w:fill="333333"/>
            <w:noWrap/>
            <w:vAlign w:val="bottom"/>
            <w:hideMark/>
          </w:tcPr>
          <w:p w:rsidR="00EC7E50" w:rsidRPr="00EC7E50" w:rsidP="00EC7E50" w14:paraId="0C3C240A" w14:textId="77777777">
            <w:pPr>
              <w:spacing w:after="0" w:line="240" w:lineRule="auto"/>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7A3F4143" w14:textId="77777777">
            <w:pPr>
              <w:spacing w:after="0" w:line="240" w:lineRule="auto"/>
              <w:jc w:val="right"/>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126</w:t>
            </w:r>
          </w:p>
        </w:tc>
        <w:tc>
          <w:tcPr>
            <w:tcW w:w="102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67B798EE" w14:textId="77777777">
            <w:pPr>
              <w:spacing w:after="0" w:line="240" w:lineRule="auto"/>
              <w:jc w:val="right"/>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42</w:t>
            </w:r>
          </w:p>
        </w:tc>
        <w:tc>
          <w:tcPr>
            <w:tcW w:w="940" w:type="dxa"/>
            <w:tcBorders>
              <w:top w:val="nil"/>
              <w:left w:val="nil"/>
              <w:bottom w:val="single" w:sz="4" w:space="0" w:color="auto"/>
              <w:right w:val="single" w:sz="4" w:space="0" w:color="auto"/>
            </w:tcBorders>
            <w:shd w:val="clear" w:color="000000" w:fill="333333"/>
            <w:noWrap/>
            <w:vAlign w:val="bottom"/>
            <w:hideMark/>
          </w:tcPr>
          <w:p w:rsidR="00EC7E50" w:rsidRPr="00EC7E50" w:rsidP="00EC7E50" w14:paraId="0972CA64" w14:textId="77777777">
            <w:pPr>
              <w:spacing w:after="0" w:line="240" w:lineRule="auto"/>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 </w:t>
            </w:r>
          </w:p>
        </w:tc>
        <w:tc>
          <w:tcPr>
            <w:tcW w:w="740" w:type="dxa"/>
            <w:tcBorders>
              <w:top w:val="nil"/>
              <w:left w:val="nil"/>
              <w:bottom w:val="single" w:sz="4" w:space="0" w:color="auto"/>
              <w:right w:val="single" w:sz="4" w:space="0" w:color="auto"/>
            </w:tcBorders>
            <w:shd w:val="clear" w:color="000000" w:fill="E2A5AC"/>
            <w:noWrap/>
            <w:vAlign w:val="bottom"/>
            <w:hideMark/>
          </w:tcPr>
          <w:p w:rsidR="00EC7E50" w:rsidRPr="00EC7E50" w:rsidP="00EC7E50" w14:paraId="13CB0F56" w14:textId="77777777">
            <w:pPr>
              <w:spacing w:after="0" w:line="240" w:lineRule="auto"/>
              <w:jc w:val="right"/>
              <w:rPr>
                <w:rFonts w:ascii="Calibri" w:eastAsia="Times New Roman" w:hAnsi="Calibri" w:cs="Calibri"/>
                <w:b/>
                <w:bCs/>
                <w:color w:val="000000"/>
                <w:sz w:val="20"/>
                <w:szCs w:val="20"/>
              </w:rPr>
            </w:pPr>
            <w:r w:rsidRPr="00EC7E50">
              <w:rPr>
                <w:rFonts w:ascii="Calibri" w:eastAsia="Times New Roman" w:hAnsi="Calibri" w:cs="Calibri"/>
                <w:b/>
                <w:bCs/>
                <w:color w:val="000000"/>
                <w:sz w:val="20"/>
                <w:szCs w:val="20"/>
              </w:rPr>
              <w:t>3,707</w:t>
            </w:r>
          </w:p>
        </w:tc>
      </w:tr>
    </w:tbl>
    <w:p w:rsidR="00F056C3" w:rsidP="00712045" w14:paraId="6408F739" w14:textId="77777777">
      <w:pPr>
        <w:jc w:val="center"/>
        <w:rPr>
          <w:b/>
          <w:bCs/>
        </w:rPr>
      </w:pPr>
    </w:p>
    <w:p w:rsidR="00F056C3" w:rsidP="005B1380" w14:paraId="47012DEF" w14:textId="77777777">
      <w:pPr>
        <w:pStyle w:val="Heading2"/>
      </w:pPr>
      <w:bookmarkStart w:id="15" w:name="_Toc115164321"/>
      <w:r>
        <w:t>A.</w:t>
      </w:r>
      <w:r w:rsidRPr="00A41763" w:rsidR="00A41763">
        <w:t xml:space="preserve">13. </w:t>
      </w:r>
      <w:r w:rsidRPr="00F056C3">
        <w:t>Annual Cost to the Federal Government</w:t>
      </w:r>
      <w:bookmarkEnd w:id="15"/>
    </w:p>
    <w:p w:rsidR="00F96C9B" w:rsidRPr="009E304F" w:rsidP="00DA571A" w14:paraId="134BF6B4" w14:textId="0223AC32">
      <w:pPr>
        <w:pStyle w:val="BodyTextIndent2"/>
        <w:spacing w:before="120" w:line="276" w:lineRule="auto"/>
        <w:ind w:left="0"/>
      </w:pPr>
      <w:r>
        <w:t>The estimated annual cost to the Federal Government for the Form GC</w:t>
      </w:r>
      <w:r w:rsidR="00B0552E">
        <w:t>-</w:t>
      </w:r>
      <w:r>
        <w:t xml:space="preserve">859 data collection is shown below. The figures below are developed on the assumption that the Form GC-859 data will be collected only once during the OMB approval period. </w:t>
      </w:r>
    </w:p>
    <w:p w:rsidR="00515493" w:rsidP="00DA571A" w14:paraId="644418CD" w14:textId="7984CA12">
      <w:pPr>
        <w:tabs>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t>The estimated total cost to the Federal Government for Form GC-</w:t>
      </w:r>
      <w:r w:rsidR="00DE1E9B">
        <w:t>859</w:t>
      </w:r>
      <w:r>
        <w:t xml:space="preserve"> is </w:t>
      </w:r>
      <w:r w:rsidR="005A5B05">
        <w:t>$1,</w:t>
      </w:r>
      <w:r w:rsidR="00102B0A">
        <w:t>523</w:t>
      </w:r>
      <w:r w:rsidR="005A5B05">
        <w:t>,</w:t>
      </w:r>
      <w:r w:rsidR="00102B0A">
        <w:t>083</w:t>
      </w:r>
      <w:r>
        <w:t xml:space="preserve">. This includes the cost of </w:t>
      </w:r>
      <w:r w:rsidR="00FD7DBC">
        <w:t>5</w:t>
      </w:r>
      <w:r>
        <w:t>0</w:t>
      </w:r>
      <w:r>
        <w:t>% time</w:t>
      </w:r>
      <w:r>
        <w:t xml:space="preserve"> of one EIA employee</w:t>
      </w:r>
      <w:r w:rsidR="00FD7DBC">
        <w:t>,</w:t>
      </w:r>
      <w:r>
        <w:t xml:space="preserve"> </w:t>
      </w:r>
      <w:r w:rsidR="00FD7DBC">
        <w:t xml:space="preserve">EIA’s </w:t>
      </w:r>
      <w:r>
        <w:t>contractor costs</w:t>
      </w:r>
      <w:r w:rsidR="00FD7DBC">
        <w:t xml:space="preserve">, and Pacific Northwest National Laboratory for </w:t>
      </w:r>
      <w:r w:rsidR="00997289">
        <w:t>fiscal years 202</w:t>
      </w:r>
      <w:r w:rsidR="00FE4EA3">
        <w:t>5</w:t>
      </w:r>
      <w:r w:rsidR="00997289">
        <w:t>-202</w:t>
      </w:r>
      <w:r w:rsidR="008D73A6">
        <w:t>7</w:t>
      </w:r>
      <w:r>
        <w:t xml:space="preserve">. This represents an annual cost for the three-year </w:t>
      </w:r>
      <w:r w:rsidR="00DE2E2F">
        <w:t>clearance</w:t>
      </w:r>
      <w:r w:rsidR="00700D75">
        <w:t xml:space="preserve"> period of $</w:t>
      </w:r>
      <w:r w:rsidR="00102B0A">
        <w:t>507,694</w:t>
      </w:r>
      <w:r>
        <w:t xml:space="preserve"> per year. </w:t>
      </w:r>
    </w:p>
    <w:tbl>
      <w:tblPr>
        <w:tblW w:w="5000" w:type="pct"/>
        <w:tblLayout w:type="fixed"/>
        <w:tblLook w:val="04A0"/>
      </w:tblPr>
      <w:tblGrid>
        <w:gridCol w:w="1526"/>
        <w:gridCol w:w="7824"/>
      </w:tblGrid>
      <w:tr w14:paraId="366B27A7" w14:textId="77777777" w:rsidTr="000E2DF4">
        <w:tblPrEx>
          <w:tblW w:w="5000" w:type="pct"/>
          <w:tblLayout w:type="fixed"/>
          <w:tblLook w:val="04A0"/>
        </w:tblPrEx>
        <w:trPr>
          <w:trHeight w:val="280"/>
        </w:trPr>
        <w:tc>
          <w:tcPr>
            <w:tcW w:w="816" w:type="pct"/>
            <w:tcBorders>
              <w:top w:val="single" w:sz="4" w:space="0" w:color="auto"/>
              <w:left w:val="single" w:sz="4" w:space="0" w:color="auto"/>
              <w:bottom w:val="nil"/>
              <w:right w:val="nil"/>
            </w:tcBorders>
            <w:noWrap/>
            <w:vAlign w:val="bottom"/>
            <w:hideMark/>
          </w:tcPr>
          <w:p w:rsidR="005A5B05" w:rsidRPr="001E31CE" w:rsidP="005A5B05" w14:paraId="23786045" w14:textId="7B6AA733">
            <w:pPr>
              <w:spacing w:after="0" w:line="240" w:lineRule="auto"/>
              <w:jc w:val="right"/>
              <w:rPr>
                <w:rFonts w:eastAsia="Times New Roman" w:cstheme="minorHAnsi"/>
              </w:rPr>
            </w:pPr>
            <w:r w:rsidRPr="001E31CE">
              <w:rPr>
                <w:rFonts w:eastAsia="Times New Roman" w:cstheme="minorHAnsi"/>
              </w:rPr>
              <w:t>$     1</w:t>
            </w:r>
            <w:r w:rsidR="000001F0">
              <w:rPr>
                <w:rFonts w:eastAsia="Times New Roman" w:cstheme="minorHAnsi"/>
              </w:rPr>
              <w:t>52,055</w:t>
            </w:r>
            <w:r w:rsidRPr="001E31CE">
              <w:rPr>
                <w:rFonts w:eastAsia="Times New Roman" w:cstheme="minorHAnsi"/>
              </w:rPr>
              <w:t xml:space="preserve"> </w:t>
            </w:r>
          </w:p>
        </w:tc>
        <w:tc>
          <w:tcPr>
            <w:tcW w:w="4184" w:type="pct"/>
            <w:tcBorders>
              <w:top w:val="single" w:sz="4" w:space="0" w:color="auto"/>
              <w:left w:val="nil"/>
              <w:bottom w:val="nil"/>
              <w:right w:val="single" w:sz="4" w:space="0" w:color="auto"/>
            </w:tcBorders>
            <w:noWrap/>
            <w:vAlign w:val="bottom"/>
            <w:hideMark/>
          </w:tcPr>
          <w:p w:rsidR="005A5B05" w:rsidRPr="001E31CE" w:rsidP="005A5B05" w14:paraId="5C11EAD7" w14:textId="0E6AC734">
            <w:pPr>
              <w:spacing w:after="0" w:line="240" w:lineRule="auto"/>
              <w:rPr>
                <w:rFonts w:eastAsia="Times New Roman" w:cstheme="minorHAnsi"/>
              </w:rPr>
            </w:pPr>
            <w:r>
              <w:rPr>
                <w:rFonts w:eastAsia="Times New Roman" w:cstheme="minorHAnsi"/>
              </w:rPr>
              <w:t>Average c</w:t>
            </w:r>
            <w:r w:rsidRPr="001E31CE" w:rsidR="00A9027C">
              <w:rPr>
                <w:rFonts w:eastAsia="Times New Roman" w:cstheme="minorHAnsi"/>
              </w:rPr>
              <w:t>ost of EIA employee</w:t>
            </w:r>
          </w:p>
        </w:tc>
      </w:tr>
      <w:tr w14:paraId="39B614A8" w14:textId="77777777" w:rsidTr="000E2DF4">
        <w:tblPrEx>
          <w:tblW w:w="5000" w:type="pct"/>
          <w:tblLayout w:type="fixed"/>
          <w:tblLook w:val="04A0"/>
        </w:tblPrEx>
        <w:trPr>
          <w:trHeight w:val="280"/>
        </w:trPr>
        <w:tc>
          <w:tcPr>
            <w:tcW w:w="816" w:type="pct"/>
            <w:tcBorders>
              <w:top w:val="nil"/>
              <w:left w:val="single" w:sz="4" w:space="0" w:color="auto"/>
              <w:bottom w:val="nil"/>
              <w:right w:val="nil"/>
            </w:tcBorders>
            <w:noWrap/>
            <w:vAlign w:val="bottom"/>
            <w:hideMark/>
          </w:tcPr>
          <w:p w:rsidR="005A5B05" w:rsidRPr="009C49F9" w:rsidP="005A5B05" w14:paraId="47DCFA93" w14:textId="77777777">
            <w:pPr>
              <w:spacing w:after="0" w:line="240" w:lineRule="auto"/>
              <w:jc w:val="right"/>
              <w:rPr>
                <w:rFonts w:eastAsia="Times New Roman" w:cstheme="minorHAnsi"/>
                <w:i/>
              </w:rPr>
            </w:pPr>
            <w:r w:rsidRPr="009C49F9">
              <w:rPr>
                <w:rFonts w:eastAsia="Times New Roman" w:cstheme="minorHAnsi"/>
                <w:i/>
              </w:rPr>
              <w:t>50%</w:t>
            </w:r>
          </w:p>
        </w:tc>
        <w:tc>
          <w:tcPr>
            <w:tcW w:w="4184" w:type="pct"/>
            <w:tcBorders>
              <w:top w:val="nil"/>
              <w:left w:val="nil"/>
              <w:bottom w:val="nil"/>
              <w:right w:val="single" w:sz="4" w:space="0" w:color="auto"/>
            </w:tcBorders>
            <w:noWrap/>
            <w:vAlign w:val="bottom"/>
            <w:hideMark/>
          </w:tcPr>
          <w:p w:rsidR="005A5B05" w:rsidRPr="009C49F9" w:rsidP="005A5B05" w14:paraId="0385A921" w14:textId="77777777">
            <w:pPr>
              <w:spacing w:after="0" w:line="240" w:lineRule="auto"/>
              <w:rPr>
                <w:rFonts w:eastAsia="Times New Roman" w:cstheme="minorHAnsi"/>
                <w:i/>
              </w:rPr>
            </w:pPr>
            <w:r w:rsidRPr="009C49F9">
              <w:rPr>
                <w:rFonts w:eastAsia="Times New Roman" w:cstheme="minorHAnsi"/>
                <w:i/>
              </w:rPr>
              <w:t xml:space="preserve">859 </w:t>
            </w:r>
            <w:r w:rsidRPr="009C49F9">
              <w:rPr>
                <w:rFonts w:eastAsia="Times New Roman" w:cstheme="minorHAnsi"/>
                <w:i/>
              </w:rPr>
              <w:t>portion</w:t>
            </w:r>
            <w:r w:rsidRPr="009C49F9">
              <w:rPr>
                <w:rFonts w:eastAsia="Times New Roman" w:cstheme="minorHAnsi"/>
                <w:i/>
              </w:rPr>
              <w:t xml:space="preserve"> of service agreement</w:t>
            </w:r>
          </w:p>
        </w:tc>
      </w:tr>
      <w:tr w14:paraId="23880381" w14:textId="77777777" w:rsidTr="000E2DF4">
        <w:tblPrEx>
          <w:tblW w:w="5000" w:type="pct"/>
          <w:tblLayout w:type="fixed"/>
          <w:tblLook w:val="04A0"/>
        </w:tblPrEx>
        <w:trPr>
          <w:trHeight w:val="280"/>
        </w:trPr>
        <w:tc>
          <w:tcPr>
            <w:tcW w:w="816" w:type="pct"/>
            <w:tcBorders>
              <w:top w:val="nil"/>
              <w:left w:val="single" w:sz="4" w:space="0" w:color="auto"/>
              <w:bottom w:val="nil"/>
              <w:right w:val="nil"/>
            </w:tcBorders>
            <w:noWrap/>
            <w:vAlign w:val="bottom"/>
            <w:hideMark/>
          </w:tcPr>
          <w:p w:rsidR="005A5B05" w:rsidRPr="001E31CE" w:rsidP="005A5B05" w14:paraId="19433751" w14:textId="2A05D9C7">
            <w:pPr>
              <w:spacing w:after="0" w:line="240" w:lineRule="auto"/>
              <w:jc w:val="right"/>
              <w:rPr>
                <w:rFonts w:eastAsia="Times New Roman" w:cstheme="minorHAnsi"/>
              </w:rPr>
            </w:pPr>
            <w:r w:rsidRPr="001E31CE">
              <w:rPr>
                <w:rFonts w:eastAsia="Times New Roman" w:cstheme="minorHAnsi"/>
              </w:rPr>
              <w:t xml:space="preserve"> $       </w:t>
            </w:r>
            <w:r w:rsidR="000001F0">
              <w:rPr>
                <w:rFonts w:eastAsia="Times New Roman" w:cstheme="minorHAnsi"/>
              </w:rPr>
              <w:t>76,028</w:t>
            </w:r>
            <w:r w:rsidRPr="001E31CE">
              <w:rPr>
                <w:rFonts w:eastAsia="Times New Roman" w:cstheme="minorHAnsi"/>
              </w:rPr>
              <w:t xml:space="preserve"> </w:t>
            </w:r>
          </w:p>
        </w:tc>
        <w:tc>
          <w:tcPr>
            <w:tcW w:w="4184" w:type="pct"/>
            <w:tcBorders>
              <w:top w:val="nil"/>
              <w:left w:val="nil"/>
              <w:bottom w:val="nil"/>
              <w:right w:val="single" w:sz="4" w:space="0" w:color="auto"/>
            </w:tcBorders>
            <w:noWrap/>
            <w:vAlign w:val="bottom"/>
            <w:hideMark/>
          </w:tcPr>
          <w:p w:rsidR="005A5B05" w:rsidRPr="001E31CE" w:rsidP="005A5B05" w14:paraId="42ADE070" w14:textId="65100D8E">
            <w:pPr>
              <w:spacing w:after="0" w:line="240" w:lineRule="auto"/>
              <w:rPr>
                <w:rFonts w:eastAsia="Times New Roman" w:cstheme="minorHAnsi"/>
              </w:rPr>
            </w:pPr>
            <w:r w:rsidRPr="001E31CE">
              <w:rPr>
                <w:rFonts w:eastAsia="Times New Roman" w:cstheme="minorHAnsi"/>
              </w:rPr>
              <w:t xml:space="preserve">Annual cost of EIA employee </w:t>
            </w:r>
            <w:r w:rsidR="000001F0">
              <w:rPr>
                <w:rFonts w:eastAsia="Times New Roman" w:cstheme="minorHAnsi"/>
              </w:rPr>
              <w:t>GC-</w:t>
            </w:r>
            <w:r w:rsidRPr="001E31CE">
              <w:rPr>
                <w:rFonts w:eastAsia="Times New Roman" w:cstheme="minorHAnsi"/>
              </w:rPr>
              <w:t>859 work</w:t>
            </w:r>
          </w:p>
        </w:tc>
      </w:tr>
      <w:tr w14:paraId="5DF3D2DF" w14:textId="77777777" w:rsidTr="009C49F9">
        <w:tblPrEx>
          <w:tblW w:w="5000" w:type="pct"/>
          <w:tblLayout w:type="fixed"/>
          <w:tblLook w:val="04A0"/>
        </w:tblPrEx>
        <w:trPr>
          <w:trHeight w:val="252"/>
        </w:trPr>
        <w:tc>
          <w:tcPr>
            <w:tcW w:w="816" w:type="pct"/>
            <w:tcBorders>
              <w:top w:val="nil"/>
              <w:left w:val="single" w:sz="4" w:space="0" w:color="auto"/>
              <w:bottom w:val="nil"/>
              <w:right w:val="nil"/>
            </w:tcBorders>
            <w:noWrap/>
            <w:vAlign w:val="bottom"/>
            <w:hideMark/>
          </w:tcPr>
          <w:p w:rsidR="005A5B05" w:rsidRPr="009C49F9" w:rsidP="005A5B05" w14:paraId="33FB2509" w14:textId="77777777">
            <w:pPr>
              <w:spacing w:after="0" w:line="240" w:lineRule="auto"/>
              <w:jc w:val="right"/>
              <w:rPr>
                <w:rFonts w:eastAsia="Times New Roman" w:cstheme="minorHAnsi"/>
                <w:i/>
              </w:rPr>
            </w:pPr>
            <w:r w:rsidRPr="009C49F9">
              <w:rPr>
                <w:rFonts w:eastAsia="Times New Roman" w:cstheme="minorHAnsi"/>
                <w:i/>
              </w:rPr>
              <w:t>3</w:t>
            </w:r>
          </w:p>
        </w:tc>
        <w:tc>
          <w:tcPr>
            <w:tcW w:w="4184" w:type="pct"/>
            <w:tcBorders>
              <w:top w:val="nil"/>
              <w:left w:val="nil"/>
              <w:bottom w:val="nil"/>
              <w:right w:val="single" w:sz="4" w:space="0" w:color="auto"/>
            </w:tcBorders>
            <w:noWrap/>
            <w:vAlign w:val="bottom"/>
            <w:hideMark/>
          </w:tcPr>
          <w:p w:rsidR="005A5B05" w:rsidRPr="009C49F9" w:rsidP="005A5B05" w14:paraId="44C89473" w14:textId="77777777">
            <w:pPr>
              <w:spacing w:after="0" w:line="240" w:lineRule="auto"/>
              <w:rPr>
                <w:rFonts w:eastAsia="Times New Roman" w:cstheme="minorHAnsi"/>
                <w:i/>
              </w:rPr>
            </w:pPr>
            <w:r w:rsidRPr="009C49F9">
              <w:rPr>
                <w:rFonts w:eastAsia="Times New Roman" w:cstheme="minorHAnsi"/>
                <w:i/>
              </w:rPr>
              <w:t>Clearance period years</w:t>
            </w:r>
          </w:p>
        </w:tc>
      </w:tr>
      <w:tr w14:paraId="4A59B983" w14:textId="77777777" w:rsidTr="009C49F9">
        <w:tblPrEx>
          <w:tblW w:w="5000" w:type="pct"/>
          <w:tblLayout w:type="fixed"/>
          <w:tblLook w:val="04A0"/>
        </w:tblPrEx>
        <w:trPr>
          <w:trHeight w:val="80"/>
        </w:trPr>
        <w:tc>
          <w:tcPr>
            <w:tcW w:w="816" w:type="pct"/>
            <w:tcBorders>
              <w:top w:val="nil"/>
              <w:left w:val="single" w:sz="4" w:space="0" w:color="auto"/>
              <w:bottom w:val="nil"/>
              <w:right w:val="nil"/>
            </w:tcBorders>
            <w:noWrap/>
            <w:vAlign w:val="bottom"/>
            <w:hideMark/>
          </w:tcPr>
          <w:p w:rsidR="005A5B05" w:rsidRPr="001E31CE" w:rsidP="005A5B05" w14:paraId="6DED9FB5" w14:textId="77777777">
            <w:pPr>
              <w:spacing w:after="0" w:line="240" w:lineRule="auto"/>
              <w:jc w:val="right"/>
              <w:rPr>
                <w:rFonts w:eastAsia="Times New Roman" w:cstheme="minorHAnsi"/>
              </w:rPr>
            </w:pPr>
            <w:r w:rsidRPr="001E31CE">
              <w:rPr>
                <w:rFonts w:eastAsia="Times New Roman" w:cstheme="minorHAnsi"/>
              </w:rPr>
              <w:t> </w:t>
            </w:r>
          </w:p>
        </w:tc>
        <w:tc>
          <w:tcPr>
            <w:tcW w:w="4184" w:type="pct"/>
            <w:tcBorders>
              <w:top w:val="nil"/>
              <w:left w:val="nil"/>
              <w:bottom w:val="nil"/>
              <w:right w:val="single" w:sz="4" w:space="0" w:color="auto"/>
            </w:tcBorders>
            <w:noWrap/>
            <w:vAlign w:val="bottom"/>
            <w:hideMark/>
          </w:tcPr>
          <w:p w:rsidR="005A5B05" w:rsidRPr="001E31CE" w:rsidP="005A5B05" w14:paraId="5014D5C5" w14:textId="77777777">
            <w:pPr>
              <w:spacing w:after="0" w:line="240" w:lineRule="auto"/>
              <w:rPr>
                <w:rFonts w:eastAsia="Times New Roman" w:cstheme="minorHAnsi"/>
              </w:rPr>
            </w:pPr>
            <w:r w:rsidRPr="001E31CE">
              <w:rPr>
                <w:rFonts w:eastAsia="Times New Roman" w:cstheme="minorHAnsi"/>
              </w:rPr>
              <w:t> </w:t>
            </w:r>
          </w:p>
        </w:tc>
      </w:tr>
      <w:tr w14:paraId="2E8A6B0E" w14:textId="77777777" w:rsidTr="000E2DF4">
        <w:tblPrEx>
          <w:tblW w:w="5000" w:type="pct"/>
          <w:tblLayout w:type="fixed"/>
          <w:tblLook w:val="04A0"/>
        </w:tblPrEx>
        <w:trPr>
          <w:trHeight w:val="280"/>
        </w:trPr>
        <w:tc>
          <w:tcPr>
            <w:tcW w:w="816" w:type="pct"/>
            <w:tcBorders>
              <w:top w:val="nil"/>
              <w:left w:val="single" w:sz="4" w:space="0" w:color="auto"/>
              <w:bottom w:val="single" w:sz="4" w:space="0" w:color="auto"/>
              <w:right w:val="nil"/>
            </w:tcBorders>
            <w:noWrap/>
            <w:vAlign w:val="bottom"/>
            <w:hideMark/>
          </w:tcPr>
          <w:p w:rsidR="005A5B05" w:rsidRPr="009C49F9" w:rsidP="005A5B05" w14:paraId="6F2EB359" w14:textId="0A2B0087">
            <w:pPr>
              <w:spacing w:after="0" w:line="240" w:lineRule="auto"/>
              <w:jc w:val="right"/>
              <w:rPr>
                <w:rFonts w:eastAsia="Times New Roman" w:cstheme="minorHAnsi"/>
                <w:b/>
              </w:rPr>
            </w:pPr>
            <w:r w:rsidRPr="009C49F9">
              <w:rPr>
                <w:rFonts w:eastAsia="Times New Roman" w:cstheme="minorHAnsi"/>
                <w:b/>
              </w:rPr>
              <w:t xml:space="preserve"> $     2</w:t>
            </w:r>
            <w:r w:rsidR="000001F0">
              <w:rPr>
                <w:rFonts w:eastAsia="Times New Roman" w:cstheme="minorHAnsi"/>
                <w:b/>
              </w:rPr>
              <w:t>28,083</w:t>
            </w:r>
            <w:r w:rsidRPr="009C49F9">
              <w:rPr>
                <w:rFonts w:eastAsia="Times New Roman" w:cstheme="minorHAnsi"/>
                <w:b/>
              </w:rPr>
              <w:t xml:space="preserve"> </w:t>
            </w:r>
          </w:p>
        </w:tc>
        <w:tc>
          <w:tcPr>
            <w:tcW w:w="4184" w:type="pct"/>
            <w:tcBorders>
              <w:top w:val="nil"/>
              <w:left w:val="nil"/>
              <w:bottom w:val="single" w:sz="4" w:space="0" w:color="auto"/>
              <w:right w:val="single" w:sz="4" w:space="0" w:color="auto"/>
            </w:tcBorders>
            <w:noWrap/>
            <w:vAlign w:val="bottom"/>
            <w:hideMark/>
          </w:tcPr>
          <w:p w:rsidR="005A5B05" w:rsidRPr="009C49F9" w:rsidP="005A5B05" w14:paraId="6DA35896" w14:textId="4EB1CEAC">
            <w:pPr>
              <w:spacing w:after="0" w:line="240" w:lineRule="auto"/>
              <w:rPr>
                <w:rFonts w:eastAsia="Times New Roman" w:cstheme="minorHAnsi"/>
                <w:b/>
              </w:rPr>
            </w:pPr>
            <w:r w:rsidRPr="009C49F9">
              <w:rPr>
                <w:rFonts w:eastAsia="Times New Roman" w:cstheme="minorHAnsi"/>
                <w:b/>
              </w:rPr>
              <w:t xml:space="preserve">Estimated total cost of </w:t>
            </w:r>
            <w:r w:rsidR="000001F0">
              <w:rPr>
                <w:rFonts w:eastAsia="Times New Roman" w:cstheme="minorHAnsi"/>
                <w:b/>
              </w:rPr>
              <w:t>GC-</w:t>
            </w:r>
            <w:r w:rsidRPr="009C49F9">
              <w:rPr>
                <w:rFonts w:eastAsia="Times New Roman" w:cstheme="minorHAnsi"/>
                <w:b/>
              </w:rPr>
              <w:t>859 work by EIA employee</w:t>
            </w:r>
          </w:p>
        </w:tc>
      </w:tr>
      <w:tr w14:paraId="6710FE48" w14:textId="77777777" w:rsidTr="000E2DF4">
        <w:tblPrEx>
          <w:tblW w:w="5000" w:type="pct"/>
          <w:tblLayout w:type="fixed"/>
          <w:tblLook w:val="04A0"/>
        </w:tblPrEx>
        <w:trPr>
          <w:trHeight w:val="280"/>
        </w:trPr>
        <w:tc>
          <w:tcPr>
            <w:tcW w:w="816" w:type="pct"/>
            <w:tcBorders>
              <w:top w:val="nil"/>
              <w:left w:val="nil"/>
              <w:bottom w:val="nil"/>
              <w:right w:val="nil"/>
            </w:tcBorders>
            <w:noWrap/>
            <w:vAlign w:val="bottom"/>
            <w:hideMark/>
          </w:tcPr>
          <w:p w:rsidR="005A5B05" w:rsidRPr="001E31CE" w:rsidP="005A5B05" w14:paraId="0F39B59B" w14:textId="77777777">
            <w:pPr>
              <w:spacing w:after="0" w:line="240" w:lineRule="auto"/>
              <w:jc w:val="right"/>
              <w:rPr>
                <w:rFonts w:eastAsia="Times New Roman" w:cstheme="minorHAnsi"/>
              </w:rPr>
            </w:pPr>
          </w:p>
        </w:tc>
        <w:tc>
          <w:tcPr>
            <w:tcW w:w="4184" w:type="pct"/>
            <w:tcBorders>
              <w:top w:val="nil"/>
              <w:left w:val="nil"/>
              <w:bottom w:val="nil"/>
              <w:right w:val="nil"/>
            </w:tcBorders>
            <w:noWrap/>
            <w:vAlign w:val="bottom"/>
            <w:hideMark/>
          </w:tcPr>
          <w:p w:rsidR="005A5B05" w:rsidRPr="001E31CE" w:rsidP="005A5B05" w14:paraId="33F8B3A8" w14:textId="77777777">
            <w:pPr>
              <w:spacing w:after="0" w:line="240" w:lineRule="auto"/>
              <w:rPr>
                <w:rFonts w:eastAsia="Times New Roman" w:cstheme="minorHAnsi"/>
              </w:rPr>
            </w:pPr>
          </w:p>
        </w:tc>
      </w:tr>
      <w:tr w14:paraId="61248EC7" w14:textId="77777777" w:rsidTr="000E2DF4">
        <w:tblPrEx>
          <w:tblW w:w="5000" w:type="pct"/>
          <w:tblLayout w:type="fixed"/>
          <w:tblLook w:val="04A0"/>
        </w:tblPrEx>
        <w:trPr>
          <w:trHeight w:val="280"/>
        </w:trPr>
        <w:tc>
          <w:tcPr>
            <w:tcW w:w="816" w:type="pct"/>
            <w:tcBorders>
              <w:top w:val="single" w:sz="4" w:space="0" w:color="auto"/>
              <w:left w:val="single" w:sz="4" w:space="0" w:color="auto"/>
              <w:bottom w:val="nil"/>
              <w:right w:val="nil"/>
            </w:tcBorders>
            <w:noWrap/>
            <w:vAlign w:val="bottom"/>
            <w:hideMark/>
          </w:tcPr>
          <w:p w:rsidR="005A5B05" w:rsidRPr="001E31CE" w:rsidP="005A5B05" w14:paraId="11F81096" w14:textId="77777777">
            <w:pPr>
              <w:spacing w:after="0" w:line="240" w:lineRule="auto"/>
              <w:jc w:val="right"/>
              <w:rPr>
                <w:rFonts w:eastAsia="Times New Roman" w:cstheme="minorHAnsi"/>
              </w:rPr>
            </w:pPr>
            <w:r w:rsidRPr="001E31CE">
              <w:rPr>
                <w:rFonts w:eastAsia="Times New Roman" w:cstheme="minorHAnsi"/>
              </w:rPr>
              <w:t xml:space="preserve"> $     325,000 </w:t>
            </w:r>
          </w:p>
        </w:tc>
        <w:tc>
          <w:tcPr>
            <w:tcW w:w="4184" w:type="pct"/>
            <w:tcBorders>
              <w:top w:val="single" w:sz="4" w:space="0" w:color="auto"/>
              <w:left w:val="nil"/>
              <w:bottom w:val="nil"/>
              <w:right w:val="single" w:sz="4" w:space="0" w:color="auto"/>
            </w:tcBorders>
            <w:noWrap/>
            <w:vAlign w:val="bottom"/>
            <w:hideMark/>
          </w:tcPr>
          <w:p w:rsidR="005A5B05" w:rsidRPr="001E31CE" w:rsidP="005A5B05" w14:paraId="74A10AB4" w14:textId="77777777">
            <w:pPr>
              <w:spacing w:after="0" w:line="240" w:lineRule="auto"/>
              <w:rPr>
                <w:rFonts w:eastAsia="Times New Roman" w:cstheme="minorHAnsi"/>
              </w:rPr>
            </w:pPr>
            <w:r w:rsidRPr="001E31CE">
              <w:rPr>
                <w:rFonts w:eastAsia="Times New Roman" w:cstheme="minorHAnsi"/>
              </w:rPr>
              <w:t>Three years budget for EIA's contractor costs, survey customer support</w:t>
            </w:r>
          </w:p>
        </w:tc>
      </w:tr>
      <w:tr w14:paraId="7FC172E4" w14:textId="77777777" w:rsidTr="000E2DF4">
        <w:tblPrEx>
          <w:tblW w:w="5000" w:type="pct"/>
          <w:tblLayout w:type="fixed"/>
          <w:tblLook w:val="04A0"/>
        </w:tblPrEx>
        <w:trPr>
          <w:trHeight w:val="280"/>
        </w:trPr>
        <w:tc>
          <w:tcPr>
            <w:tcW w:w="816" w:type="pct"/>
            <w:tcBorders>
              <w:top w:val="nil"/>
              <w:left w:val="single" w:sz="4" w:space="0" w:color="auto"/>
              <w:bottom w:val="nil"/>
              <w:right w:val="nil"/>
            </w:tcBorders>
            <w:noWrap/>
            <w:vAlign w:val="bottom"/>
            <w:hideMark/>
          </w:tcPr>
          <w:p w:rsidR="005A5B05" w:rsidRPr="001E31CE" w:rsidP="005A5B05" w14:paraId="52865E01" w14:textId="31912D64">
            <w:pPr>
              <w:spacing w:after="0" w:line="240" w:lineRule="auto"/>
              <w:jc w:val="right"/>
              <w:rPr>
                <w:rFonts w:eastAsia="Times New Roman" w:cstheme="minorHAnsi"/>
              </w:rPr>
            </w:pPr>
            <w:r w:rsidRPr="001E31CE">
              <w:rPr>
                <w:rFonts w:eastAsia="Times New Roman" w:cstheme="minorHAnsi"/>
              </w:rPr>
              <w:t xml:space="preserve"> $     </w:t>
            </w:r>
            <w:r w:rsidR="00102B0A">
              <w:rPr>
                <w:rFonts w:eastAsia="Times New Roman" w:cstheme="minorHAnsi"/>
              </w:rPr>
              <w:t>970,</w:t>
            </w:r>
            <w:r w:rsidRPr="001E31CE">
              <w:rPr>
                <w:rFonts w:eastAsia="Times New Roman" w:cstheme="minorHAnsi"/>
              </w:rPr>
              <w:t xml:space="preserve">000 </w:t>
            </w:r>
          </w:p>
        </w:tc>
        <w:tc>
          <w:tcPr>
            <w:tcW w:w="4184" w:type="pct"/>
            <w:tcBorders>
              <w:top w:val="nil"/>
              <w:left w:val="nil"/>
              <w:bottom w:val="nil"/>
              <w:right w:val="single" w:sz="4" w:space="0" w:color="auto"/>
            </w:tcBorders>
            <w:noWrap/>
            <w:vAlign w:val="bottom"/>
            <w:hideMark/>
          </w:tcPr>
          <w:p w:rsidR="005A5B05" w:rsidRPr="001E31CE" w:rsidP="005A5B05" w14:paraId="07D133EB" w14:textId="6EAC8D28">
            <w:pPr>
              <w:spacing w:after="0" w:line="240" w:lineRule="auto"/>
              <w:rPr>
                <w:rFonts w:eastAsia="Times New Roman" w:cstheme="minorHAnsi"/>
              </w:rPr>
            </w:pPr>
            <w:r w:rsidRPr="001E31CE">
              <w:rPr>
                <w:rFonts w:eastAsia="Times New Roman" w:cstheme="minorHAnsi"/>
              </w:rPr>
              <w:t>PNNL web-application development and system testing and technical support</w:t>
            </w:r>
          </w:p>
        </w:tc>
      </w:tr>
      <w:tr w14:paraId="25ED5FAE" w14:textId="77777777" w:rsidTr="000E2DF4">
        <w:tblPrEx>
          <w:tblW w:w="5000" w:type="pct"/>
          <w:tblLayout w:type="fixed"/>
          <w:tblLook w:val="04A0"/>
        </w:tblPrEx>
        <w:trPr>
          <w:trHeight w:val="135"/>
        </w:trPr>
        <w:tc>
          <w:tcPr>
            <w:tcW w:w="816" w:type="pct"/>
            <w:tcBorders>
              <w:top w:val="nil"/>
              <w:left w:val="single" w:sz="4" w:space="0" w:color="auto"/>
              <w:bottom w:val="nil"/>
              <w:right w:val="nil"/>
            </w:tcBorders>
            <w:noWrap/>
            <w:vAlign w:val="bottom"/>
            <w:hideMark/>
          </w:tcPr>
          <w:p w:rsidR="005A5B05" w:rsidRPr="001E31CE" w:rsidP="005A5B05" w14:paraId="3B61A1B2" w14:textId="77777777">
            <w:pPr>
              <w:spacing w:after="0" w:line="240" w:lineRule="auto"/>
              <w:jc w:val="right"/>
              <w:rPr>
                <w:rFonts w:eastAsia="Times New Roman" w:cstheme="minorHAnsi"/>
              </w:rPr>
            </w:pPr>
            <w:r w:rsidRPr="001E31CE">
              <w:rPr>
                <w:rFonts w:eastAsia="Times New Roman" w:cstheme="minorHAnsi"/>
              </w:rPr>
              <w:t> </w:t>
            </w:r>
          </w:p>
        </w:tc>
        <w:tc>
          <w:tcPr>
            <w:tcW w:w="4184" w:type="pct"/>
            <w:tcBorders>
              <w:top w:val="nil"/>
              <w:left w:val="nil"/>
              <w:bottom w:val="nil"/>
              <w:right w:val="single" w:sz="4" w:space="0" w:color="auto"/>
            </w:tcBorders>
            <w:noWrap/>
            <w:vAlign w:val="bottom"/>
            <w:hideMark/>
          </w:tcPr>
          <w:p w:rsidR="005A5B05" w:rsidRPr="001E31CE" w:rsidP="005A5B05" w14:paraId="2B84EFB9" w14:textId="77777777">
            <w:pPr>
              <w:spacing w:after="0" w:line="240" w:lineRule="auto"/>
              <w:rPr>
                <w:rFonts w:eastAsia="Times New Roman" w:cstheme="minorHAnsi"/>
              </w:rPr>
            </w:pPr>
            <w:r w:rsidRPr="001E31CE">
              <w:rPr>
                <w:rFonts w:eastAsia="Times New Roman" w:cstheme="minorHAnsi"/>
              </w:rPr>
              <w:t> </w:t>
            </w:r>
          </w:p>
        </w:tc>
      </w:tr>
      <w:tr w14:paraId="1F16F89A" w14:textId="77777777" w:rsidTr="000E2DF4">
        <w:tblPrEx>
          <w:tblW w:w="5000" w:type="pct"/>
          <w:tblLayout w:type="fixed"/>
          <w:tblLook w:val="04A0"/>
        </w:tblPrEx>
        <w:trPr>
          <w:trHeight w:val="280"/>
        </w:trPr>
        <w:tc>
          <w:tcPr>
            <w:tcW w:w="816" w:type="pct"/>
            <w:tcBorders>
              <w:top w:val="nil"/>
              <w:left w:val="single" w:sz="4" w:space="0" w:color="auto"/>
              <w:bottom w:val="single" w:sz="4" w:space="0" w:color="auto"/>
              <w:right w:val="nil"/>
            </w:tcBorders>
            <w:noWrap/>
            <w:vAlign w:val="bottom"/>
            <w:hideMark/>
          </w:tcPr>
          <w:p w:rsidR="005A5B05" w:rsidRPr="009C49F9" w:rsidP="005A5B05" w14:paraId="1E7C5707" w14:textId="561392D9">
            <w:pPr>
              <w:spacing w:after="0" w:line="240" w:lineRule="auto"/>
              <w:jc w:val="right"/>
              <w:rPr>
                <w:rFonts w:eastAsia="Times New Roman" w:cstheme="minorHAnsi"/>
                <w:b/>
              </w:rPr>
            </w:pPr>
            <w:r w:rsidRPr="009C49F9">
              <w:rPr>
                <w:rFonts w:eastAsia="Times New Roman" w:cstheme="minorHAnsi"/>
                <w:b/>
              </w:rPr>
              <w:t xml:space="preserve"> </w:t>
            </w:r>
            <w:r w:rsidRPr="009C49F9">
              <w:rPr>
                <w:rFonts w:eastAsia="Times New Roman" w:cstheme="minorHAnsi"/>
                <w:b/>
              </w:rPr>
              <w:t>$  1,</w:t>
            </w:r>
            <w:r w:rsidR="00102B0A">
              <w:rPr>
                <w:rFonts w:eastAsia="Times New Roman" w:cstheme="minorHAnsi"/>
                <w:b/>
              </w:rPr>
              <w:t>29</w:t>
            </w:r>
            <w:r w:rsidRPr="009C49F9">
              <w:rPr>
                <w:rFonts w:eastAsia="Times New Roman" w:cstheme="minorHAnsi"/>
                <w:b/>
              </w:rPr>
              <w:t>5,000</w:t>
            </w:r>
            <w:r w:rsidRPr="009C49F9">
              <w:rPr>
                <w:rFonts w:eastAsia="Times New Roman" w:cstheme="minorHAnsi"/>
                <w:b/>
              </w:rPr>
              <w:t xml:space="preserve"> </w:t>
            </w:r>
          </w:p>
        </w:tc>
        <w:tc>
          <w:tcPr>
            <w:tcW w:w="4184" w:type="pct"/>
            <w:tcBorders>
              <w:top w:val="nil"/>
              <w:left w:val="nil"/>
              <w:bottom w:val="single" w:sz="4" w:space="0" w:color="auto"/>
              <w:right w:val="single" w:sz="4" w:space="0" w:color="auto"/>
            </w:tcBorders>
            <w:noWrap/>
            <w:vAlign w:val="bottom"/>
            <w:hideMark/>
          </w:tcPr>
          <w:p w:rsidR="005A5B05" w:rsidRPr="009C49F9" w:rsidP="005A5B05" w14:paraId="23235F97" w14:textId="51B93E59">
            <w:pPr>
              <w:spacing w:after="0" w:line="240" w:lineRule="auto"/>
              <w:rPr>
                <w:rFonts w:eastAsia="Times New Roman" w:cstheme="minorHAnsi"/>
                <w:b/>
              </w:rPr>
            </w:pPr>
            <w:r w:rsidRPr="009C49F9">
              <w:rPr>
                <w:rFonts w:eastAsia="Times New Roman" w:cstheme="minorHAnsi"/>
                <w:b/>
              </w:rPr>
              <w:t xml:space="preserve">Estimated total cost of </w:t>
            </w:r>
            <w:r w:rsidR="000001F0">
              <w:rPr>
                <w:rFonts w:eastAsia="Times New Roman" w:cstheme="minorHAnsi"/>
                <w:b/>
              </w:rPr>
              <w:t>GC-</w:t>
            </w:r>
            <w:r w:rsidRPr="009C49F9">
              <w:rPr>
                <w:rFonts w:eastAsia="Times New Roman" w:cstheme="minorHAnsi"/>
                <w:b/>
              </w:rPr>
              <w:t>859 work by Contractors for three years</w:t>
            </w:r>
          </w:p>
        </w:tc>
      </w:tr>
      <w:tr w14:paraId="7943F249" w14:textId="77777777" w:rsidTr="000E2DF4">
        <w:tblPrEx>
          <w:tblW w:w="5000" w:type="pct"/>
          <w:tblLayout w:type="fixed"/>
          <w:tblLook w:val="04A0"/>
        </w:tblPrEx>
        <w:trPr>
          <w:trHeight w:val="280"/>
        </w:trPr>
        <w:tc>
          <w:tcPr>
            <w:tcW w:w="816" w:type="pct"/>
            <w:tcBorders>
              <w:top w:val="nil"/>
              <w:left w:val="nil"/>
              <w:bottom w:val="nil"/>
              <w:right w:val="nil"/>
            </w:tcBorders>
            <w:noWrap/>
            <w:vAlign w:val="bottom"/>
            <w:hideMark/>
          </w:tcPr>
          <w:p w:rsidR="005A5B05" w:rsidRPr="001E31CE" w:rsidP="005A5B05" w14:paraId="4F4BF021" w14:textId="77777777">
            <w:pPr>
              <w:spacing w:after="0" w:line="240" w:lineRule="auto"/>
              <w:jc w:val="right"/>
              <w:rPr>
                <w:rFonts w:eastAsia="Times New Roman" w:cstheme="minorHAnsi"/>
              </w:rPr>
            </w:pPr>
          </w:p>
        </w:tc>
        <w:tc>
          <w:tcPr>
            <w:tcW w:w="4184" w:type="pct"/>
            <w:tcBorders>
              <w:top w:val="nil"/>
              <w:left w:val="nil"/>
              <w:bottom w:val="nil"/>
              <w:right w:val="nil"/>
            </w:tcBorders>
            <w:noWrap/>
            <w:vAlign w:val="bottom"/>
            <w:hideMark/>
          </w:tcPr>
          <w:p w:rsidR="005A5B05" w:rsidRPr="001E31CE" w:rsidP="005A5B05" w14:paraId="2F480711" w14:textId="77777777">
            <w:pPr>
              <w:spacing w:after="0" w:line="240" w:lineRule="auto"/>
              <w:rPr>
                <w:rFonts w:eastAsia="Times New Roman" w:cstheme="minorHAnsi"/>
              </w:rPr>
            </w:pPr>
          </w:p>
        </w:tc>
      </w:tr>
      <w:tr w14:paraId="572C43FF" w14:textId="77777777" w:rsidTr="000E2DF4">
        <w:tblPrEx>
          <w:tblW w:w="5000" w:type="pct"/>
          <w:tblLayout w:type="fixed"/>
          <w:tblLook w:val="04A0"/>
        </w:tblPrEx>
        <w:trPr>
          <w:trHeight w:val="280"/>
        </w:trPr>
        <w:tc>
          <w:tcPr>
            <w:tcW w:w="816" w:type="pct"/>
            <w:tcBorders>
              <w:top w:val="single" w:sz="4" w:space="0" w:color="auto"/>
              <w:left w:val="single" w:sz="4" w:space="0" w:color="auto"/>
              <w:bottom w:val="single" w:sz="4" w:space="0" w:color="auto"/>
              <w:right w:val="nil"/>
            </w:tcBorders>
            <w:noWrap/>
            <w:vAlign w:val="bottom"/>
            <w:hideMark/>
          </w:tcPr>
          <w:p w:rsidR="005A5B05" w:rsidRPr="009C49F9" w:rsidP="005A5B05" w14:paraId="3EB2D5ED" w14:textId="732B45A3">
            <w:pPr>
              <w:spacing w:after="0" w:line="240" w:lineRule="auto"/>
              <w:jc w:val="right"/>
              <w:rPr>
                <w:rFonts w:eastAsia="Times New Roman" w:cstheme="minorHAnsi"/>
                <w:b/>
              </w:rPr>
            </w:pPr>
            <w:r w:rsidRPr="009C49F9">
              <w:rPr>
                <w:rFonts w:eastAsia="Times New Roman" w:cstheme="minorHAnsi"/>
                <w:b/>
              </w:rPr>
              <w:t xml:space="preserve"> </w:t>
            </w:r>
            <w:r w:rsidRPr="009C49F9">
              <w:rPr>
                <w:rFonts w:eastAsia="Times New Roman" w:cstheme="minorHAnsi"/>
                <w:b/>
              </w:rPr>
              <w:t>$  1,</w:t>
            </w:r>
            <w:r w:rsidR="00102B0A">
              <w:rPr>
                <w:rFonts w:eastAsia="Times New Roman" w:cstheme="minorHAnsi"/>
                <w:b/>
              </w:rPr>
              <w:t>523</w:t>
            </w:r>
            <w:r w:rsidRPr="009C49F9">
              <w:rPr>
                <w:rFonts w:eastAsia="Times New Roman" w:cstheme="minorHAnsi"/>
                <w:b/>
              </w:rPr>
              <w:t>,</w:t>
            </w:r>
            <w:r w:rsidR="00102B0A">
              <w:rPr>
                <w:rFonts w:eastAsia="Times New Roman" w:cstheme="minorHAnsi"/>
                <w:b/>
              </w:rPr>
              <w:t>083</w:t>
            </w:r>
            <w:r w:rsidRPr="009C49F9">
              <w:rPr>
                <w:rFonts w:eastAsia="Times New Roman" w:cstheme="minorHAnsi"/>
                <w:b/>
              </w:rPr>
              <w:t xml:space="preserve"> </w:t>
            </w:r>
          </w:p>
        </w:tc>
        <w:tc>
          <w:tcPr>
            <w:tcW w:w="4184" w:type="pct"/>
            <w:tcBorders>
              <w:top w:val="single" w:sz="4" w:space="0" w:color="auto"/>
              <w:left w:val="nil"/>
              <w:bottom w:val="single" w:sz="4" w:space="0" w:color="auto"/>
              <w:right w:val="single" w:sz="4" w:space="0" w:color="auto"/>
            </w:tcBorders>
            <w:noWrap/>
            <w:vAlign w:val="bottom"/>
            <w:hideMark/>
          </w:tcPr>
          <w:p w:rsidR="005A5B05" w:rsidRPr="009C49F9" w:rsidP="005A5B05" w14:paraId="6DC5C53A" w14:textId="3A6B8941">
            <w:pPr>
              <w:spacing w:after="0" w:line="240" w:lineRule="auto"/>
              <w:rPr>
                <w:rFonts w:eastAsia="Times New Roman" w:cstheme="minorHAnsi"/>
                <w:b/>
              </w:rPr>
            </w:pPr>
            <w:r w:rsidRPr="009C49F9">
              <w:rPr>
                <w:rFonts w:eastAsia="Times New Roman" w:cstheme="minorHAnsi"/>
                <w:b/>
              </w:rPr>
              <w:t xml:space="preserve">Estimated total cost of </w:t>
            </w:r>
            <w:r w:rsidR="000001F0">
              <w:rPr>
                <w:rFonts w:eastAsia="Times New Roman" w:cstheme="minorHAnsi"/>
                <w:b/>
              </w:rPr>
              <w:t>GC-</w:t>
            </w:r>
            <w:r w:rsidRPr="009C49F9">
              <w:rPr>
                <w:rFonts w:eastAsia="Times New Roman" w:cstheme="minorHAnsi"/>
                <w:b/>
              </w:rPr>
              <w:t>859 work by EIA and contractors support for three years</w:t>
            </w:r>
          </w:p>
        </w:tc>
      </w:tr>
      <w:tr w14:paraId="2DEB3F6A" w14:textId="77777777" w:rsidTr="000E2DF4">
        <w:tblPrEx>
          <w:tblW w:w="5000" w:type="pct"/>
          <w:tblLayout w:type="fixed"/>
          <w:tblLook w:val="04A0"/>
        </w:tblPrEx>
        <w:trPr>
          <w:trHeight w:val="280"/>
        </w:trPr>
        <w:tc>
          <w:tcPr>
            <w:tcW w:w="816" w:type="pct"/>
            <w:tcBorders>
              <w:top w:val="nil"/>
              <w:left w:val="nil"/>
              <w:bottom w:val="nil"/>
              <w:right w:val="nil"/>
            </w:tcBorders>
            <w:noWrap/>
            <w:vAlign w:val="bottom"/>
            <w:hideMark/>
          </w:tcPr>
          <w:p w:rsidR="005A5B05" w:rsidRPr="001E31CE" w:rsidP="005A5B05" w14:paraId="58396647" w14:textId="77777777">
            <w:pPr>
              <w:spacing w:after="0" w:line="240" w:lineRule="auto"/>
              <w:jc w:val="right"/>
              <w:rPr>
                <w:rFonts w:eastAsia="Times New Roman" w:cstheme="minorHAnsi"/>
              </w:rPr>
            </w:pPr>
          </w:p>
        </w:tc>
        <w:tc>
          <w:tcPr>
            <w:tcW w:w="4184" w:type="pct"/>
            <w:tcBorders>
              <w:top w:val="nil"/>
              <w:left w:val="nil"/>
              <w:bottom w:val="nil"/>
              <w:right w:val="nil"/>
            </w:tcBorders>
            <w:noWrap/>
            <w:vAlign w:val="bottom"/>
            <w:hideMark/>
          </w:tcPr>
          <w:p w:rsidR="005A5B05" w:rsidRPr="001E31CE" w:rsidP="005A5B05" w14:paraId="2D158710" w14:textId="77777777">
            <w:pPr>
              <w:spacing w:after="0" w:line="240" w:lineRule="auto"/>
              <w:rPr>
                <w:rFonts w:eastAsia="Times New Roman" w:cstheme="minorHAnsi"/>
              </w:rPr>
            </w:pPr>
          </w:p>
        </w:tc>
      </w:tr>
      <w:tr w14:paraId="7B062A72" w14:textId="77777777" w:rsidTr="000E2DF4">
        <w:tblPrEx>
          <w:tblW w:w="5000" w:type="pct"/>
          <w:tblLayout w:type="fixed"/>
          <w:tblLook w:val="04A0"/>
        </w:tblPrEx>
        <w:trPr>
          <w:trHeight w:val="280"/>
        </w:trPr>
        <w:tc>
          <w:tcPr>
            <w:tcW w:w="816" w:type="pct"/>
            <w:tcBorders>
              <w:top w:val="single" w:sz="4" w:space="0" w:color="auto"/>
              <w:left w:val="single" w:sz="4" w:space="0" w:color="auto"/>
              <w:bottom w:val="single" w:sz="4" w:space="0" w:color="auto"/>
              <w:right w:val="nil"/>
            </w:tcBorders>
            <w:noWrap/>
            <w:vAlign w:val="bottom"/>
            <w:hideMark/>
          </w:tcPr>
          <w:p w:rsidR="005A5B05" w:rsidRPr="009C49F9" w:rsidP="005A5B05" w14:paraId="34EC8DBD" w14:textId="2EAF4212">
            <w:pPr>
              <w:spacing w:after="0" w:line="240" w:lineRule="auto"/>
              <w:jc w:val="right"/>
              <w:rPr>
                <w:rFonts w:eastAsia="Times New Roman" w:cstheme="minorHAnsi"/>
                <w:b/>
              </w:rPr>
            </w:pPr>
            <w:r w:rsidRPr="009C49F9">
              <w:rPr>
                <w:rFonts w:eastAsia="Times New Roman" w:cstheme="minorHAnsi"/>
                <w:b/>
              </w:rPr>
              <w:t xml:space="preserve"> $     </w:t>
            </w:r>
            <w:r w:rsidR="00102B0A">
              <w:rPr>
                <w:rFonts w:eastAsia="Times New Roman" w:cstheme="minorHAnsi"/>
                <w:b/>
              </w:rPr>
              <w:t>507,694</w:t>
            </w:r>
            <w:r w:rsidRPr="009C49F9">
              <w:rPr>
                <w:rFonts w:eastAsia="Times New Roman" w:cstheme="minorHAnsi"/>
                <w:b/>
              </w:rPr>
              <w:t xml:space="preserve"> </w:t>
            </w:r>
          </w:p>
        </w:tc>
        <w:tc>
          <w:tcPr>
            <w:tcW w:w="4184" w:type="pct"/>
            <w:tcBorders>
              <w:top w:val="single" w:sz="4" w:space="0" w:color="auto"/>
              <w:left w:val="nil"/>
              <w:bottom w:val="single" w:sz="4" w:space="0" w:color="auto"/>
              <w:right w:val="single" w:sz="4" w:space="0" w:color="auto"/>
            </w:tcBorders>
            <w:noWrap/>
            <w:vAlign w:val="bottom"/>
            <w:hideMark/>
          </w:tcPr>
          <w:p w:rsidR="005A5B05" w:rsidRPr="009C49F9" w:rsidP="005A5B05" w14:paraId="72066965" w14:textId="77777777">
            <w:pPr>
              <w:spacing w:after="0" w:line="240" w:lineRule="auto"/>
              <w:rPr>
                <w:rFonts w:eastAsia="Times New Roman" w:cstheme="minorHAnsi"/>
                <w:b/>
              </w:rPr>
            </w:pPr>
            <w:r w:rsidRPr="009C49F9">
              <w:rPr>
                <w:rFonts w:eastAsia="Times New Roman" w:cstheme="minorHAnsi"/>
                <w:b/>
              </w:rPr>
              <w:t>Estimated annual cost for the three-year clearance period</w:t>
            </w:r>
          </w:p>
        </w:tc>
      </w:tr>
    </w:tbl>
    <w:p w:rsidR="00FD7DBC" w:rsidP="00712045" w14:paraId="369740D7"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ind w:left="720"/>
        <w:jc w:val="center"/>
      </w:pPr>
    </w:p>
    <w:p w:rsidR="000E2DF4" w:rsidP="00712045" w14:paraId="639F4175"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ind w:left="720"/>
        <w:jc w:val="center"/>
        <w:sectPr w:rsidSect="000E2DF4">
          <w:footerReference w:type="default" r:id="rId16"/>
          <w:pgSz w:w="12240" w:h="15840"/>
          <w:pgMar w:top="1440" w:right="1440" w:bottom="1440" w:left="1440" w:header="720" w:footer="720" w:gutter="0"/>
          <w:cols w:space="720"/>
          <w:docGrid w:linePitch="360"/>
        </w:sectPr>
      </w:pPr>
    </w:p>
    <w:p w:rsidR="00FD7DBC" w:rsidRPr="009E304F" w:rsidP="00712045" w14:paraId="6F9F1F09"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ind w:left="720"/>
        <w:jc w:val="center"/>
      </w:pPr>
    </w:p>
    <w:p w:rsidR="00F96C9B" w:rsidP="005B1380" w14:paraId="46768DF0" w14:textId="77777777">
      <w:pPr>
        <w:pStyle w:val="Heading2"/>
      </w:pPr>
    </w:p>
    <w:p w:rsidR="00F056C3" w:rsidP="005B1380" w14:paraId="4D2FF8CB" w14:textId="77777777">
      <w:pPr>
        <w:pStyle w:val="Heading2"/>
      </w:pPr>
      <w:bookmarkStart w:id="16" w:name="_Toc115164322"/>
      <w:r>
        <w:t>A.</w:t>
      </w:r>
      <w:r w:rsidRPr="00A41763" w:rsidR="00A41763">
        <w:t xml:space="preserve">14. </w:t>
      </w:r>
      <w:r w:rsidRPr="00F056C3">
        <w:t>Changes in Burden</w:t>
      </w:r>
      <w:bookmarkEnd w:id="16"/>
      <w:r w:rsidRPr="00F056C3">
        <w:t xml:space="preserve"> </w:t>
      </w:r>
    </w:p>
    <w:p w:rsidR="00F96C9B" w:rsidP="00F96C9B" w14:paraId="44685DF6" w14:textId="08B35DAC">
      <w:pPr>
        <w:pStyle w:val="BodyTextIndent2"/>
        <w:spacing w:before="120" w:line="240" w:lineRule="auto"/>
        <w:ind w:left="0"/>
      </w:pPr>
      <w:r>
        <w:t>The</w:t>
      </w:r>
      <w:r w:rsidR="00913683">
        <w:t xml:space="preserve">re is no </w:t>
      </w:r>
      <w:r>
        <w:t>estimated change in annual burden.</w:t>
      </w:r>
    </w:p>
    <w:p w:rsidR="004301EA" w:rsidP="00F96C9B" w14:paraId="25C5E439" w14:textId="2A860E1F">
      <w:pPr>
        <w:pStyle w:val="BodyTextIndent2"/>
        <w:spacing w:before="120" w:line="240" w:lineRule="auto"/>
        <w:ind w:left="0"/>
      </w:pPr>
      <w:r>
        <w:rPr>
          <w:noProof/>
        </w:rPr>
        <w:drawing>
          <wp:inline distT="0" distB="0" distL="0" distR="0">
            <wp:extent cx="8223250" cy="1092200"/>
            <wp:effectExtent l="0" t="0" r="6350" b="0"/>
            <wp:docPr id="244055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55454" name="Picture 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3250" cy="1092200"/>
                    </a:xfrm>
                    <a:prstGeom prst="rect">
                      <a:avLst/>
                    </a:prstGeom>
                    <a:noFill/>
                    <a:ln>
                      <a:noFill/>
                    </a:ln>
                  </pic:spPr>
                </pic:pic>
              </a:graphicData>
            </a:graphic>
          </wp:inline>
        </w:drawing>
      </w:r>
    </w:p>
    <w:p w:rsidR="0085404C" w:rsidRPr="009E304F" w:rsidP="00F96C9B" w14:paraId="0127D71B" w14:textId="77777777">
      <w:pPr>
        <w:pStyle w:val="BodyTextIndent2"/>
        <w:spacing w:before="120" w:line="240" w:lineRule="auto"/>
        <w:ind w:left="0"/>
      </w:pPr>
    </w:p>
    <w:p w:rsidR="00F056C3" w:rsidP="00712045" w14:paraId="7073D0B1" w14:textId="77777777">
      <w:pPr>
        <w:ind w:left="-720" w:right="-720"/>
        <w:jc w:val="center"/>
        <w:rPr>
          <w:b/>
          <w:bCs/>
        </w:rPr>
      </w:pPr>
    </w:p>
    <w:p w:rsidR="00812C91" w:rsidP="00933D5D" w14:paraId="261A04C0" w14:textId="77777777">
      <w:pPr>
        <w:ind w:left="-720" w:right="-720"/>
        <w:rPr>
          <w:b/>
          <w:bCs/>
        </w:rPr>
      </w:pPr>
    </w:p>
    <w:p w:rsidR="0091409C" w:rsidP="005B1380" w14:paraId="4F34EEB9" w14:textId="77777777">
      <w:pPr>
        <w:pStyle w:val="Heading2"/>
        <w:sectPr w:rsidSect="000E2DF4">
          <w:pgSz w:w="15840" w:h="12240" w:orient="landscape"/>
          <w:pgMar w:top="1440" w:right="1440" w:bottom="1440" w:left="1440" w:header="720" w:footer="720" w:gutter="0"/>
          <w:cols w:space="720"/>
          <w:docGrid w:linePitch="360"/>
        </w:sectPr>
      </w:pPr>
    </w:p>
    <w:p w:rsidR="006D42EC" w:rsidP="00BF3C7D" w14:paraId="3CB71928" w14:textId="77777777">
      <w:pPr>
        <w:pStyle w:val="Heading2"/>
        <w:spacing w:after="240"/>
      </w:pPr>
      <w:bookmarkStart w:id="17" w:name="_Toc115164323"/>
      <w:r>
        <w:t>A.</w:t>
      </w:r>
      <w:r w:rsidRPr="00A41763" w:rsidR="00A41763">
        <w:t xml:space="preserve">15. </w:t>
      </w:r>
      <w:r>
        <w:t>Reasons for Changes in Burden</w:t>
      </w:r>
      <w:bookmarkEnd w:id="17"/>
    </w:p>
    <w:p w:rsidR="00761712" w:rsidRPr="00761712" w:rsidP="00BF3C7D" w14:paraId="3B39E41D" w14:textId="4A1ABA5B">
      <w:r>
        <w:t xml:space="preserve">There </w:t>
      </w:r>
      <w:r w:rsidR="00441E7A">
        <w:t xml:space="preserve">are </w:t>
      </w:r>
      <w:r>
        <w:t>no changes to burden.</w:t>
      </w:r>
    </w:p>
    <w:p w:rsidR="00A41763" w:rsidP="00A41763" w14:paraId="7D7E55FF" w14:textId="77777777">
      <w:pPr>
        <w:rPr>
          <w:i/>
          <w:iCs/>
        </w:rPr>
      </w:pPr>
    </w:p>
    <w:tbl>
      <w:tblPr>
        <w:tblW w:w="9360" w:type="dxa"/>
        <w:jc w:val="center"/>
        <w:tblLayout w:type="fixed"/>
        <w:tblCellMar>
          <w:left w:w="115" w:type="dxa"/>
          <w:right w:w="115" w:type="dxa"/>
        </w:tblCellMar>
        <w:tblLook w:val="04A0"/>
      </w:tblPr>
      <w:tblGrid>
        <w:gridCol w:w="1872"/>
        <w:gridCol w:w="1818"/>
        <w:gridCol w:w="1926"/>
        <w:gridCol w:w="1872"/>
        <w:gridCol w:w="1872"/>
      </w:tblGrid>
      <w:tr w14:paraId="4CE8D9DB"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812C91" w:rsidP="00700D75" w14:paraId="72B60B9F" w14:textId="77777777">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A3. ICR Summary of Burden</w:t>
            </w:r>
          </w:p>
        </w:tc>
      </w:tr>
      <w:tr w14:paraId="3A6D0D60" w14:textId="77777777" w:rsidTr="00B67C29">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700D75" w14:paraId="1BFA9395"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18"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700D75" w14:paraId="76FC799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926"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700D75" w14:paraId="4ED28EF8"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700D75" w14:paraId="7EC3A192"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700D75" w14:paraId="321A6A4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444BE957" w14:textId="77777777" w:rsidTr="00AA03BA">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8A7E5F" w:rsidRPr="00812C91" w:rsidP="0095693C" w14:paraId="04A6E9F4"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18" w:type="dxa"/>
            <w:tcBorders>
              <w:top w:val="nil"/>
              <w:left w:val="nil"/>
              <w:bottom w:val="single" w:sz="4" w:space="0" w:color="auto"/>
              <w:right w:val="single" w:sz="4" w:space="0" w:color="auto"/>
            </w:tcBorders>
            <w:vAlign w:val="center"/>
            <w:hideMark/>
          </w:tcPr>
          <w:p w:rsidR="00BE7519" w:rsidP="00EA783C" w14:paraId="1269F376" w14:textId="77777777">
            <w:pPr>
              <w:spacing w:after="0" w:line="240" w:lineRule="auto"/>
            </w:pPr>
            <w:r>
              <w:fldChar w:fldCharType="begin"/>
            </w:r>
            <w:r>
              <w:instrText xml:space="preserve"> LINK Excel.Sheet.12 "\\\\fs-f3\\OES\\SDSI\\SDT\\OMB_Forms_Clearance_Team\\Templates\\Supporting Statement A Template.docx" "_1566376226!Table A2. Changes in Burden!R11C6" \f 0 \h </w:instrText>
            </w:r>
            <w:r w:rsidR="00EA783C">
              <w:instrText xml:space="preserve"> \* MERGEFORMAT </w:instrText>
            </w:r>
            <w:r>
              <w:fldChar w:fldCharType="separate"/>
            </w:r>
          </w:p>
          <w:p w:rsidR="00E26D0B" w:rsidP="00E26D0B" w14:paraId="05ADA3BA"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fldChar w:fldCharType="end"/>
            </w:r>
          </w:p>
          <w:p w:rsidR="00896446" w:rsidRPr="00331B1A" w:rsidP="00E26D0B" w14:paraId="716ED056" w14:textId="77777777">
            <w:pPr>
              <w:spacing w:after="0" w:line="240" w:lineRule="auto"/>
              <w:jc w:val="center"/>
              <w:rPr>
                <w:rFonts w:cstheme="minorHAnsi"/>
              </w:rPr>
            </w:pPr>
            <w:r>
              <w:rPr>
                <w:rFonts w:eastAsia="Times New Roman" w:cstheme="minorHAnsi"/>
                <w:sz w:val="20"/>
                <w:szCs w:val="20"/>
              </w:rPr>
              <w:t>42</w:t>
            </w:r>
            <w:r>
              <w:rPr>
                <w:rFonts w:eastAsia="Times New Roman" w:cstheme="minorHAnsi"/>
                <w:sz w:val="20"/>
                <w:szCs w:val="20"/>
              </w:rPr>
              <w:fldChar w:fldCharType="begin"/>
            </w:r>
            <w:r w:rsidRPr="00331B1A" w:rsidR="00223A97">
              <w:rPr>
                <w:rFonts w:eastAsia="Times New Roman" w:cstheme="minorHAnsi"/>
                <w:sz w:val="20"/>
                <w:szCs w:val="20"/>
              </w:rPr>
              <w:instrText xml:space="preserve"> LINK Excel.Sheet.12 "\\\\fs-f3\\OES\\SDSI\\SDT\\OMB_Forms_Clearance_Team\\Templates\\Supporting Statement A Template.docx" "_1566376226!Table A2. Changes in Burden!R11C6" \f 0 \h </w:instrText>
            </w:r>
            <w:r w:rsidRPr="00331B1A" w:rsidR="00EA783C">
              <w:rPr>
                <w:rFonts w:eastAsia="Times New Roman" w:cstheme="minorHAnsi"/>
                <w:sz w:val="20"/>
                <w:szCs w:val="20"/>
              </w:rPr>
              <w:instrText xml:space="preserve"> \* MERGEFORMAT </w:instrText>
            </w:r>
            <w:r>
              <w:rPr>
                <w:rFonts w:eastAsia="Times New Roman" w:cstheme="minorHAnsi"/>
                <w:sz w:val="20"/>
                <w:szCs w:val="20"/>
              </w:rPr>
              <w:fldChar w:fldCharType="separate"/>
            </w:r>
          </w:p>
          <w:p w:rsidR="00333DB4" w:rsidRPr="00333DB4" w:rsidP="00EA783C" w14:paraId="6A8399B7" w14:textId="0E1786C9">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fldChar w:fldCharType="end"/>
            </w:r>
            <w:r>
              <w:rPr>
                <w:rFonts w:ascii="Calibri" w:eastAsia="Times New Roman" w:hAnsi="Calibri" w:cs="Arial"/>
                <w:color w:val="576170"/>
                <w:sz w:val="20"/>
                <w:szCs w:val="20"/>
              </w:rPr>
              <w:fldChar w:fldCharType="begin"/>
            </w:r>
            <w:r w:rsidR="00B67C29">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Burden!R11C6" </w:instrText>
            </w:r>
            <w:r w:rsidR="00B67C29">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5B3E84E1" w14:textId="77777777">
            <w:pPr>
              <w:spacing w:after="0" w:line="240" w:lineRule="auto"/>
              <w:jc w:val="center"/>
              <w:rPr>
                <w:rFonts w:ascii="Calibri" w:eastAsia="Times New Roman" w:hAnsi="Calibri" w:cs="Arial"/>
                <w:b/>
                <w:bCs/>
                <w:sz w:val="20"/>
                <w:szCs w:val="20"/>
              </w:rPr>
            </w:pPr>
            <w:r w:rsidRPr="00333DB4">
              <w:rPr>
                <w:rFonts w:ascii="Calibri" w:eastAsia="Times New Roman" w:hAnsi="Calibri" w:cs="Arial"/>
                <w:b/>
                <w:bCs/>
                <w:sz w:val="20"/>
                <w:szCs w:val="20"/>
              </w:rPr>
              <w:t>0</w:t>
            </w:r>
          </w:p>
          <w:p w:rsidR="008A7E5F" w:rsidRPr="00AA03BA" w:rsidP="00EA783C" w14:paraId="5B0ACB43" w14:textId="77777777">
            <w:pPr>
              <w:spacing w:after="0" w:line="240" w:lineRule="auto"/>
              <w:jc w:val="center"/>
            </w:pPr>
            <w:r>
              <w:rPr>
                <w:rFonts w:ascii="Calibri" w:eastAsia="Times New Roman" w:hAnsi="Calibri" w:cs="Arial"/>
                <w:color w:val="576170"/>
                <w:sz w:val="20"/>
                <w:szCs w:val="20"/>
              </w:rPr>
              <w:fldChar w:fldCharType="end"/>
            </w:r>
          </w:p>
        </w:tc>
        <w:tc>
          <w:tcPr>
            <w:tcW w:w="1926" w:type="dxa"/>
            <w:tcBorders>
              <w:top w:val="nil"/>
              <w:left w:val="nil"/>
              <w:bottom w:val="single" w:sz="4" w:space="0" w:color="auto"/>
              <w:right w:val="single" w:sz="4" w:space="0" w:color="auto"/>
            </w:tcBorders>
            <w:vAlign w:val="center"/>
            <w:hideMark/>
          </w:tcPr>
          <w:p w:rsidR="00333DB4" w:rsidRPr="00333DB4" w:rsidP="00EA783C" w14:paraId="6BF47F83" w14:textId="3733F141">
            <w:pPr>
              <w:spacing w:after="0" w:line="240" w:lineRule="auto"/>
              <w:jc w:val="center"/>
              <w:rPr>
                <w:rFonts w:ascii="Calibri" w:eastAsia="Times New Roman" w:hAnsi="Calibri" w:cs="Arial"/>
                <w:b/>
                <w:bCs/>
                <w:color w:val="576170"/>
                <w:sz w:val="20"/>
                <w:szCs w:val="20"/>
              </w:rPr>
            </w:pPr>
            <w:r>
              <w:rPr>
                <w:rFonts w:ascii="Calibri" w:eastAsia="Times New Roman" w:hAnsi="Calibri" w:cs="Arial"/>
                <w:color w:val="576170"/>
                <w:sz w:val="20"/>
                <w:szCs w:val="20"/>
              </w:rPr>
              <w:fldChar w:fldCharType="begin"/>
            </w:r>
            <w:r>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Burden!R11C11" </w:instrText>
            </w:r>
            <w:r>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2B5BA10E" w14:textId="77777777">
            <w:pPr>
              <w:spacing w:after="0" w:line="240" w:lineRule="auto"/>
              <w:jc w:val="center"/>
              <w:rPr>
                <w:rFonts w:eastAsia="Times New Roman" w:cstheme="minorHAnsi"/>
                <w:color w:val="576170"/>
                <w:sz w:val="20"/>
                <w:szCs w:val="20"/>
              </w:rPr>
            </w:pPr>
            <w:r w:rsidRPr="00333DB4">
              <w:rPr>
                <w:rFonts w:ascii="Calibri" w:eastAsia="Times New Roman" w:hAnsi="Calibri" w:cs="Arial"/>
                <w:color w:val="576170"/>
                <w:sz w:val="20"/>
                <w:szCs w:val="20"/>
              </w:rPr>
              <w:t>0</w:t>
            </w:r>
          </w:p>
          <w:p w:rsidR="008A7E5F" w:rsidRPr="00AA03BA" w:rsidP="00EA783C" w14:paraId="659C66A9" w14:textId="77777777">
            <w:pPr>
              <w:spacing w:after="0" w:line="240" w:lineRule="auto"/>
              <w:jc w:val="center"/>
            </w:pPr>
            <w:r>
              <w:rPr>
                <w:rFonts w:ascii="Calibri" w:eastAsia="Times New Roman" w:hAnsi="Calibri" w:cs="Arial"/>
                <w:color w:val="576170"/>
                <w:sz w:val="20"/>
                <w:szCs w:val="20"/>
              </w:rPr>
              <w:fldChar w:fldCharType="end"/>
            </w:r>
          </w:p>
        </w:tc>
        <w:tc>
          <w:tcPr>
            <w:tcW w:w="1872" w:type="dxa"/>
            <w:tcBorders>
              <w:top w:val="nil"/>
              <w:left w:val="nil"/>
              <w:bottom w:val="single" w:sz="4" w:space="0" w:color="auto"/>
              <w:right w:val="single" w:sz="4" w:space="0" w:color="auto"/>
            </w:tcBorders>
            <w:vAlign w:val="center"/>
            <w:hideMark/>
          </w:tcPr>
          <w:p w:rsidR="00333DB4" w:rsidRPr="00333DB4" w:rsidP="00EA783C" w14:paraId="3F575409" w14:textId="77F86C84">
            <w:pPr>
              <w:spacing w:after="0" w:line="240" w:lineRule="auto"/>
              <w:jc w:val="center"/>
              <w:rPr>
                <w:rFonts w:ascii="Calibri" w:eastAsia="Times New Roman" w:hAnsi="Calibri" w:cs="Arial"/>
                <w:b/>
                <w:bCs/>
                <w:color w:val="576170"/>
                <w:sz w:val="20"/>
                <w:szCs w:val="20"/>
              </w:rPr>
            </w:pPr>
            <w:r>
              <w:rPr>
                <w:rFonts w:ascii="Calibri" w:eastAsia="Times New Roman" w:hAnsi="Calibri" w:cs="Arial"/>
                <w:color w:val="576170"/>
                <w:sz w:val="20"/>
                <w:szCs w:val="20"/>
              </w:rPr>
              <w:fldChar w:fldCharType="begin"/>
            </w:r>
            <w:r>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Burden!R11C12" </w:instrText>
            </w:r>
            <w:r>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0319C18E" w14:textId="77777777">
            <w:pPr>
              <w:spacing w:after="0" w:line="240" w:lineRule="auto"/>
              <w:jc w:val="center"/>
              <w:rPr>
                <w:rFonts w:eastAsia="Times New Roman" w:cstheme="minorHAnsi"/>
                <w:color w:val="576170"/>
                <w:sz w:val="20"/>
                <w:szCs w:val="20"/>
              </w:rPr>
            </w:pPr>
            <w:r w:rsidRPr="00333DB4">
              <w:rPr>
                <w:rFonts w:eastAsia="Times New Roman" w:cstheme="minorHAnsi"/>
                <w:color w:val="576170"/>
                <w:sz w:val="20"/>
                <w:szCs w:val="20"/>
              </w:rPr>
              <w:t>0</w:t>
            </w:r>
          </w:p>
          <w:p w:rsidR="008A7E5F" w:rsidRPr="00AA03BA" w:rsidP="00EA783C" w14:paraId="6602DD4C" w14:textId="77777777">
            <w:pPr>
              <w:spacing w:after="0" w:line="240" w:lineRule="auto"/>
              <w:jc w:val="center"/>
            </w:pPr>
            <w:r>
              <w:rPr>
                <w:rFonts w:ascii="Calibri" w:eastAsia="Times New Roman" w:hAnsi="Calibri" w:cs="Arial"/>
                <w:color w:val="576170"/>
                <w:sz w:val="20"/>
                <w:szCs w:val="20"/>
              </w:rPr>
              <w:fldChar w:fldCharType="end"/>
            </w:r>
          </w:p>
        </w:tc>
        <w:tc>
          <w:tcPr>
            <w:tcW w:w="1872" w:type="dxa"/>
            <w:tcBorders>
              <w:top w:val="nil"/>
              <w:left w:val="nil"/>
              <w:bottom w:val="single" w:sz="4" w:space="0" w:color="auto"/>
              <w:right w:val="single" w:sz="4" w:space="0" w:color="auto"/>
            </w:tcBorders>
            <w:vAlign w:val="center"/>
            <w:hideMark/>
          </w:tcPr>
          <w:p w:rsidR="00333DB4" w:rsidRPr="00333DB4" w:rsidP="00EA783C" w14:paraId="184527BE" w14:textId="54DF5D1C">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fldChar w:fldCharType="begin"/>
            </w:r>
            <w:r>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Burden!R11C5" </w:instrText>
            </w:r>
            <w:r>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4A9F68DF" w14:textId="77777777">
            <w:pPr>
              <w:spacing w:after="0" w:line="240" w:lineRule="auto"/>
              <w:jc w:val="center"/>
              <w:rPr>
                <w:rFonts w:ascii="Calibri" w:eastAsia="Times New Roman" w:hAnsi="Calibri" w:cs="Arial"/>
                <w:b/>
                <w:bCs/>
                <w:color w:val="576170"/>
                <w:sz w:val="20"/>
                <w:szCs w:val="20"/>
              </w:rPr>
            </w:pPr>
            <w:r w:rsidRPr="00333DB4">
              <w:rPr>
                <w:rFonts w:ascii="Calibri" w:eastAsia="Times New Roman" w:hAnsi="Calibri" w:cs="Arial"/>
                <w:b/>
                <w:bCs/>
                <w:color w:val="576170"/>
                <w:sz w:val="20"/>
                <w:szCs w:val="20"/>
              </w:rPr>
              <w:t>0</w:t>
            </w:r>
          </w:p>
          <w:p w:rsidR="008A7E5F" w:rsidRPr="00A017C3" w:rsidP="00EA783C" w14:paraId="23E5DC94" w14:textId="77777777">
            <w:pPr>
              <w:spacing w:after="0" w:line="240" w:lineRule="auto"/>
              <w:jc w:val="center"/>
            </w:pPr>
            <w:r>
              <w:rPr>
                <w:rFonts w:ascii="Calibri" w:eastAsia="Times New Roman" w:hAnsi="Calibri" w:cs="Arial"/>
                <w:color w:val="576170"/>
                <w:sz w:val="20"/>
                <w:szCs w:val="20"/>
              </w:rPr>
              <w:fldChar w:fldCharType="end"/>
            </w:r>
          </w:p>
        </w:tc>
      </w:tr>
      <w:tr w14:paraId="3383154A" w14:textId="77777777" w:rsidTr="00EA783C">
        <w:tblPrEx>
          <w:tblW w:w="9360" w:type="dxa"/>
          <w:jc w:val="center"/>
          <w:tblLayout w:type="fixed"/>
          <w:tblCellMar>
            <w:left w:w="115" w:type="dxa"/>
            <w:right w:w="115" w:type="dxa"/>
          </w:tblCellMar>
          <w:tblLook w:val="04A0"/>
        </w:tblPrEx>
        <w:trPr>
          <w:trHeight w:val="863"/>
          <w:jc w:val="center"/>
        </w:trPr>
        <w:tc>
          <w:tcPr>
            <w:tcW w:w="1872" w:type="dxa"/>
            <w:tcBorders>
              <w:top w:val="nil"/>
              <w:left w:val="single" w:sz="4" w:space="0" w:color="auto"/>
              <w:bottom w:val="single" w:sz="4" w:space="0" w:color="auto"/>
              <w:right w:val="single" w:sz="4" w:space="0" w:color="auto"/>
            </w:tcBorders>
            <w:vAlign w:val="center"/>
            <w:hideMark/>
          </w:tcPr>
          <w:p w:rsidR="008A7E5F" w:rsidRPr="00812C91" w:rsidP="0095693C" w14:paraId="2F4384B3"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sidR="00840045">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1818" w:type="dxa"/>
            <w:tcBorders>
              <w:top w:val="nil"/>
              <w:left w:val="nil"/>
              <w:bottom w:val="single" w:sz="4" w:space="0" w:color="auto"/>
              <w:right w:val="single" w:sz="4" w:space="0" w:color="auto"/>
            </w:tcBorders>
            <w:vAlign w:val="center"/>
            <w:hideMark/>
          </w:tcPr>
          <w:p w:rsidR="00333DB4" w:rsidRPr="00333DB4" w:rsidP="00EA783C" w14:paraId="2A239095" w14:textId="5CE5A131">
            <w:pPr>
              <w:spacing w:after="0" w:line="240" w:lineRule="auto"/>
              <w:jc w:val="center"/>
              <w:rPr>
                <w:rFonts w:ascii="Calibri" w:eastAsia="Times New Roman" w:hAnsi="Calibri" w:cs="Arial"/>
                <w:b/>
                <w:bCs/>
                <w:color w:val="576170"/>
                <w:sz w:val="20"/>
                <w:szCs w:val="20"/>
              </w:rPr>
            </w:pPr>
            <w:r>
              <w:rPr>
                <w:rFonts w:ascii="Calibri" w:eastAsia="Times New Roman" w:hAnsi="Calibri" w:cs="Arial"/>
                <w:color w:val="576170"/>
                <w:sz w:val="20"/>
                <w:szCs w:val="20"/>
              </w:rPr>
              <w:fldChar w:fldCharType="begin"/>
            </w:r>
            <w:r>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Burden!R11C10" </w:instrText>
            </w:r>
            <w:r>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186EAEE7" w14:textId="77777777">
            <w:pPr>
              <w:spacing w:after="0" w:line="240" w:lineRule="auto"/>
              <w:jc w:val="center"/>
              <w:rPr>
                <w:rFonts w:eastAsia="Times New Roman" w:cstheme="minorHAnsi"/>
                <w:color w:val="576170"/>
                <w:sz w:val="20"/>
                <w:szCs w:val="20"/>
              </w:rPr>
            </w:pPr>
            <w:r w:rsidRPr="00333DB4">
              <w:rPr>
                <w:rFonts w:eastAsia="Times New Roman" w:cstheme="minorHAnsi"/>
                <w:color w:val="576170"/>
                <w:sz w:val="20"/>
                <w:szCs w:val="20"/>
              </w:rPr>
              <w:t>0</w:t>
            </w:r>
          </w:p>
          <w:p w:rsidR="008A7E5F" w:rsidRPr="00A017C3" w:rsidP="00EA783C" w14:paraId="2E264BB1" w14:textId="77777777">
            <w:pPr>
              <w:spacing w:after="0" w:line="240" w:lineRule="auto"/>
              <w:jc w:val="center"/>
            </w:pPr>
            <w:r>
              <w:rPr>
                <w:rFonts w:ascii="Calibri" w:eastAsia="Times New Roman" w:hAnsi="Calibri" w:cs="Arial"/>
                <w:color w:val="576170"/>
                <w:sz w:val="20"/>
                <w:szCs w:val="20"/>
              </w:rPr>
              <w:fldChar w:fldCharType="end"/>
            </w:r>
          </w:p>
        </w:tc>
        <w:tc>
          <w:tcPr>
            <w:tcW w:w="1926" w:type="dxa"/>
            <w:tcBorders>
              <w:top w:val="nil"/>
              <w:left w:val="nil"/>
              <w:bottom w:val="single" w:sz="4" w:space="0" w:color="auto"/>
              <w:right w:val="single" w:sz="4" w:space="0" w:color="auto"/>
            </w:tcBorders>
            <w:vAlign w:val="center"/>
            <w:hideMark/>
          </w:tcPr>
          <w:p w:rsidR="00333DB4" w:rsidRPr="00333DB4" w:rsidP="00EA783C" w14:paraId="4AC34D42" w14:textId="182EE3AA">
            <w:pPr>
              <w:spacing w:after="0" w:line="240" w:lineRule="auto"/>
              <w:jc w:val="center"/>
              <w:rPr>
                <w:rFonts w:ascii="Calibri" w:eastAsia="Times New Roman" w:hAnsi="Calibri" w:cs="Arial"/>
                <w:b/>
                <w:bCs/>
                <w:color w:val="576170"/>
                <w:sz w:val="20"/>
                <w:szCs w:val="20"/>
              </w:rPr>
            </w:pPr>
            <w:r>
              <w:rPr>
                <w:rFonts w:ascii="Calibri" w:eastAsia="Times New Roman" w:hAnsi="Calibri" w:cs="Arial"/>
                <w:color w:val="576170"/>
                <w:sz w:val="20"/>
                <w:szCs w:val="20"/>
              </w:rPr>
              <w:fldChar w:fldCharType="begin"/>
            </w:r>
            <w:r>
              <w:rPr>
                <w:rFonts w:ascii="Calibri" w:eastAsia="Times New Roman" w:hAnsi="Calibri" w:cs="Arial"/>
                <w:color w:val="576170"/>
                <w:sz w:val="20"/>
                <w:szCs w:val="20"/>
              </w:rPr>
              <w:instrText xml:space="preserve"> LINK </w:instrText>
            </w:r>
            <w:r>
              <w:rPr>
                <w:rFonts w:ascii="Calibri" w:eastAsia="Times New Roman" w:hAnsi="Calibri" w:cs="Arial"/>
                <w:color w:val="576170"/>
                <w:sz w:val="20"/>
                <w:szCs w:val="20"/>
              </w:rPr>
              <w:instrText xml:space="preserve">Excel.Sheet.12 "\\\\fs-f3\\OES\\SDSI\\SDT\\OMB_Forms_Clearance_Team\\Templates\\Supporting Statement A Template.docx" "_1566376226!Table A2. Changes in Burden!R11C14" </w:instrText>
            </w:r>
            <w:r>
              <w:rPr>
                <w:rFonts w:ascii="Calibri" w:eastAsia="Times New Roman" w:hAnsi="Calibri" w:cs="Arial"/>
                <w:color w:val="576170"/>
                <w:sz w:val="20"/>
                <w:szCs w:val="20"/>
              </w:rPr>
              <w:instrText xml:space="preserve">\a \f 5 \h  \* MERGEFORMAT </w:instrText>
            </w:r>
            <w:r>
              <w:rPr>
                <w:rFonts w:ascii="Calibri" w:eastAsia="Times New Roman" w:hAnsi="Calibri" w:cs="Arial"/>
                <w:color w:val="576170"/>
                <w:sz w:val="20"/>
                <w:szCs w:val="20"/>
              </w:rPr>
              <w:fldChar w:fldCharType="separate"/>
            </w:r>
          </w:p>
          <w:p w:rsidR="00333DB4" w:rsidRPr="00333DB4" w:rsidP="00333DB4" w14:paraId="52B8D697" w14:textId="77777777">
            <w:pPr>
              <w:spacing w:after="0" w:line="240" w:lineRule="auto"/>
              <w:jc w:val="center"/>
              <w:rPr>
                <w:rFonts w:eastAsia="Times New Roman" w:cstheme="minorHAnsi"/>
                <w:color w:val="576170"/>
                <w:sz w:val="20"/>
                <w:szCs w:val="20"/>
              </w:rPr>
            </w:pPr>
            <w:r w:rsidRPr="00333DB4">
              <w:rPr>
                <w:rFonts w:eastAsia="Times New Roman" w:cstheme="minorHAnsi"/>
                <w:color w:val="576170"/>
                <w:sz w:val="20"/>
                <w:szCs w:val="20"/>
              </w:rPr>
              <w:t>0</w:t>
            </w:r>
          </w:p>
          <w:p w:rsidR="008A7E5F" w:rsidRPr="00A017C3" w:rsidP="00EA783C" w14:paraId="597473A7" w14:textId="77777777">
            <w:pPr>
              <w:spacing w:after="0" w:line="240" w:lineRule="auto"/>
              <w:jc w:val="center"/>
            </w:pPr>
            <w:r>
              <w:rPr>
                <w:rFonts w:ascii="Calibri" w:eastAsia="Times New Roman" w:hAnsi="Calibri" w:cs="Arial"/>
                <w:color w:val="576170"/>
                <w:sz w:val="20"/>
                <w:szCs w:val="20"/>
              </w:rPr>
              <w:fldChar w:fldCharType="end"/>
            </w:r>
          </w:p>
        </w:tc>
        <w:tc>
          <w:tcPr>
            <w:tcW w:w="1872" w:type="dxa"/>
            <w:tcBorders>
              <w:top w:val="nil"/>
              <w:left w:val="nil"/>
              <w:bottom w:val="single" w:sz="4" w:space="0" w:color="auto"/>
              <w:right w:val="single" w:sz="4" w:space="0" w:color="auto"/>
            </w:tcBorders>
            <w:vAlign w:val="center"/>
            <w:hideMark/>
          </w:tcPr>
          <w:p w:rsidR="00333DB4" w:rsidRPr="00333DB4" w:rsidP="00957008" w14:paraId="30A72AE9" w14:textId="6E278305">
            <w:pPr>
              <w:spacing w:after="0" w:line="240" w:lineRule="auto"/>
              <w:jc w:val="center"/>
              <w:rPr>
                <w:rFonts w:cstheme="minorHAnsi"/>
                <w:sz w:val="20"/>
                <w:szCs w:val="20"/>
              </w:rPr>
            </w:pPr>
            <w:r w:rsidRPr="00331B1A">
              <w:rPr>
                <w:rFonts w:eastAsia="Times New Roman" w:cstheme="minorHAnsi"/>
                <w:color w:val="576170"/>
                <w:sz w:val="20"/>
                <w:szCs w:val="20"/>
              </w:rPr>
              <w:fldChar w:fldCharType="begin"/>
            </w:r>
            <w:r w:rsidRPr="00331B1A">
              <w:rPr>
                <w:rFonts w:eastAsia="Times New Roman" w:cstheme="minorHAnsi"/>
                <w:color w:val="576170"/>
                <w:sz w:val="20"/>
                <w:szCs w:val="20"/>
              </w:rPr>
              <w:instrText xml:space="preserve"> LINK </w:instrText>
            </w:r>
            <w:r>
              <w:rPr>
                <w:rFonts w:eastAsia="Times New Roman" w:cstheme="minorHAnsi"/>
                <w:color w:val="576170"/>
                <w:sz w:val="20"/>
                <w:szCs w:val="20"/>
              </w:rPr>
              <w:instrText xml:space="preserve">Excel.Sheet.12 "\\\\fs-f3\\OES\\SDSI\\SDT\\OMB_Forms_Clearance_Team\\Templates\\Supporting Statement A Template.docx" "_1566376226!Table A2. Changes in Burden!R11C15" </w:instrText>
            </w:r>
            <w:r w:rsidRPr="00331B1A">
              <w:rPr>
                <w:rFonts w:eastAsia="Times New Roman" w:cstheme="minorHAnsi"/>
                <w:color w:val="576170"/>
                <w:sz w:val="20"/>
                <w:szCs w:val="20"/>
              </w:rPr>
              <w:instrText xml:space="preserve">\a \f 5 \h  \* MERGEFORMAT </w:instrText>
            </w:r>
            <w:r w:rsidRPr="00331B1A">
              <w:rPr>
                <w:rFonts w:eastAsia="Times New Roman" w:cstheme="minorHAnsi"/>
                <w:color w:val="576170"/>
                <w:sz w:val="20"/>
                <w:szCs w:val="20"/>
              </w:rPr>
              <w:fldChar w:fldCharType="separate"/>
            </w:r>
          </w:p>
          <w:p w:rsidR="00333DB4" w:rsidRPr="00333DB4" w:rsidP="00333DB4" w14:paraId="3C522509" w14:textId="77777777">
            <w:pPr>
              <w:spacing w:after="0" w:line="240" w:lineRule="auto"/>
              <w:jc w:val="center"/>
              <w:rPr>
                <w:rFonts w:cstheme="minorHAnsi"/>
                <w:sz w:val="20"/>
                <w:szCs w:val="20"/>
              </w:rPr>
            </w:pPr>
            <w:r w:rsidRPr="00333DB4">
              <w:rPr>
                <w:rFonts w:cstheme="minorHAnsi"/>
                <w:sz w:val="20"/>
                <w:szCs w:val="20"/>
              </w:rPr>
              <w:t>0</w:t>
            </w:r>
          </w:p>
          <w:p w:rsidR="008A7E5F" w:rsidRPr="00331B1A" w:rsidP="00957008" w14:paraId="6385C69A" w14:textId="6D101810">
            <w:pPr>
              <w:spacing w:after="0" w:line="240" w:lineRule="auto"/>
              <w:jc w:val="center"/>
            </w:pPr>
            <w:r w:rsidRPr="00331B1A">
              <w:rPr>
                <w:rFonts w:eastAsia="Times New Roman" w:cstheme="minorHAnsi"/>
                <w:color w:val="576170"/>
                <w:sz w:val="20"/>
                <w:szCs w:val="20"/>
              </w:rPr>
              <w:fldChar w:fldCharType="end"/>
            </w:r>
          </w:p>
        </w:tc>
        <w:tc>
          <w:tcPr>
            <w:tcW w:w="1872" w:type="dxa"/>
            <w:tcBorders>
              <w:top w:val="nil"/>
              <w:left w:val="nil"/>
              <w:bottom w:val="single" w:sz="4" w:space="0" w:color="auto"/>
              <w:right w:val="single" w:sz="4" w:space="0" w:color="auto"/>
            </w:tcBorders>
            <w:vAlign w:val="center"/>
            <w:hideMark/>
          </w:tcPr>
          <w:p w:rsidR="00EA783C" w:rsidP="00EA783C" w14:paraId="1E20E23B" w14:textId="77777777">
            <w:pPr>
              <w:spacing w:after="0" w:line="240" w:lineRule="auto"/>
              <w:jc w:val="center"/>
              <w:rPr>
                <w:sz w:val="20"/>
                <w:szCs w:val="20"/>
              </w:rPr>
            </w:pPr>
          </w:p>
          <w:p w:rsidR="008A7E5F" w:rsidRPr="00331B1A" w:rsidP="00EA783C" w14:paraId="6E93B491" w14:textId="58498860">
            <w:pPr>
              <w:spacing w:after="0" w:line="240" w:lineRule="auto"/>
              <w:jc w:val="center"/>
              <w:rPr>
                <w:sz w:val="20"/>
                <w:szCs w:val="20"/>
              </w:rPr>
            </w:pPr>
            <w:r w:rsidRPr="00331B1A">
              <w:rPr>
                <w:sz w:val="20"/>
                <w:szCs w:val="20"/>
              </w:rPr>
              <w:t>3,</w:t>
            </w:r>
            <w:r w:rsidR="00761712">
              <w:rPr>
                <w:sz w:val="20"/>
                <w:szCs w:val="20"/>
              </w:rPr>
              <w:t>707</w:t>
            </w:r>
          </w:p>
        </w:tc>
      </w:tr>
    </w:tbl>
    <w:p w:rsidR="00D854D8" w:rsidP="00A41763" w14:paraId="46D4800A" w14:textId="77777777"/>
    <w:p w:rsidR="00F34094" w:rsidRPr="00A41763" w:rsidP="00A41763" w14:paraId="6279470E" w14:textId="77777777"/>
    <w:p w:rsidR="00F056C3" w:rsidP="005B1380" w14:paraId="6140D666" w14:textId="77777777">
      <w:pPr>
        <w:pStyle w:val="Heading2"/>
      </w:pPr>
      <w:bookmarkStart w:id="18" w:name="_Toc115164324"/>
      <w:r>
        <w:t>A.</w:t>
      </w:r>
      <w:r w:rsidRPr="00A41763" w:rsidR="00A41763">
        <w:t xml:space="preserve">16. </w:t>
      </w:r>
      <w:r w:rsidRPr="00F056C3">
        <w:t>Collection, Tabulation, and Publication Plans</w:t>
      </w:r>
      <w:bookmarkEnd w:id="18"/>
      <w:r w:rsidRPr="00F056C3">
        <w:t xml:space="preserve"> </w:t>
      </w:r>
    </w:p>
    <w:p w:rsidR="00F96C9B" w:rsidRPr="009E304F" w:rsidP="00F96C9B" w14:paraId="0F6DEDEF"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pPr>
      <w:r w:rsidRPr="009E304F">
        <w:t>The current schedule for the collection and processing of the Form GC-859 survey is as follows:</w:t>
      </w:r>
    </w:p>
    <w:p w:rsidR="003E507A" w:rsidRPr="009E304F" w:rsidP="003E507A" w14:paraId="074DAC5D" w14:textId="61C853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 xml:space="preserve">Survey files </w:t>
      </w:r>
      <w:r>
        <w:t>sent to respondents</w:t>
      </w:r>
      <w:r w:rsidRPr="009E304F">
        <w:tab/>
      </w:r>
      <w:r w:rsidRPr="009E304F">
        <w:tab/>
      </w:r>
      <w:r w:rsidRPr="009E304F">
        <w:tab/>
      </w:r>
      <w:r w:rsidRPr="009E304F">
        <w:tab/>
      </w:r>
      <w:r>
        <w:t xml:space="preserve">    </w:t>
      </w:r>
      <w:r>
        <w:tab/>
      </w:r>
      <w:r>
        <w:tab/>
      </w:r>
      <w:r>
        <w:tab/>
      </w:r>
      <w:r>
        <w:tab/>
      </w:r>
      <w:r w:rsidR="00441E7A">
        <w:t>04</w:t>
      </w:r>
      <w:r w:rsidRPr="009E304F">
        <w:t>/</w:t>
      </w:r>
      <w:r>
        <w:t>30</w:t>
      </w:r>
      <w:r w:rsidRPr="009E304F">
        <w:t>/20</w:t>
      </w:r>
      <w:r>
        <w:t>2</w:t>
      </w:r>
      <w:r w:rsidR="00E75982">
        <w:t>8</w:t>
      </w:r>
    </w:p>
    <w:p w:rsidR="003E507A" w:rsidRPr="009E304F" w:rsidP="003E507A" w14:paraId="49DA2AA6" w14:textId="32897A8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Surveys due back at DOE</w:t>
      </w:r>
      <w:r w:rsidRPr="009E304F">
        <w:tab/>
      </w:r>
      <w:r w:rsidRPr="009E304F">
        <w:tab/>
      </w:r>
      <w:r w:rsidRPr="009E304F">
        <w:tab/>
      </w:r>
      <w:r w:rsidRPr="009E304F">
        <w:tab/>
      </w:r>
      <w:r>
        <w:t xml:space="preserve">   </w:t>
      </w:r>
      <w:r>
        <w:tab/>
      </w:r>
      <w:r>
        <w:tab/>
      </w:r>
      <w:r>
        <w:tab/>
      </w:r>
      <w:r>
        <w:tab/>
      </w:r>
      <w:r>
        <w:tab/>
      </w:r>
      <w:r>
        <w:tab/>
      </w:r>
      <w:r w:rsidR="00441E7A">
        <w:t>10</w:t>
      </w:r>
      <w:r w:rsidRPr="009E304F">
        <w:t>/3</w:t>
      </w:r>
      <w:r w:rsidR="00441E7A">
        <w:t>1</w:t>
      </w:r>
      <w:r>
        <w:t>/202</w:t>
      </w:r>
      <w:r w:rsidR="00E75982">
        <w:t>8</w:t>
      </w:r>
    </w:p>
    <w:p w:rsidR="003E507A" w:rsidRPr="009E304F" w:rsidP="003E507A" w14:paraId="51A30B5A" w14:textId="43717DA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Draft Form GC-859 Database</w:t>
      </w:r>
      <w:r w:rsidRPr="009E304F">
        <w:tab/>
      </w:r>
      <w:r w:rsidRPr="009E304F">
        <w:tab/>
      </w:r>
      <w:r w:rsidRPr="009E304F">
        <w:tab/>
      </w:r>
      <w:r w:rsidRPr="009E304F">
        <w:tab/>
      </w:r>
      <w:r>
        <w:t xml:space="preserve">   </w:t>
      </w:r>
      <w:r>
        <w:tab/>
      </w:r>
      <w:r>
        <w:tab/>
      </w:r>
      <w:r>
        <w:tab/>
      </w:r>
      <w:r>
        <w:tab/>
      </w:r>
      <w:r>
        <w:tab/>
      </w:r>
      <w:r w:rsidR="00441E7A">
        <w:t>10</w:t>
      </w:r>
      <w:r w:rsidRPr="009E304F">
        <w:t>/3</w:t>
      </w:r>
      <w:r w:rsidR="00441E7A">
        <w:t>1</w:t>
      </w:r>
      <w:r>
        <w:t>/202</w:t>
      </w:r>
      <w:r w:rsidR="00E75982">
        <w:t>9</w:t>
      </w:r>
    </w:p>
    <w:p w:rsidR="003E507A" w:rsidP="003E507A" w14:paraId="76F76EDB" w14:textId="20A336E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Final Form GC-859 Database</w:t>
      </w:r>
      <w:r w:rsidRPr="009E304F">
        <w:tab/>
      </w:r>
      <w:r w:rsidRPr="009E304F">
        <w:tab/>
      </w:r>
      <w:r w:rsidRPr="009E304F">
        <w:tab/>
      </w:r>
      <w:r w:rsidRPr="009E304F">
        <w:tab/>
      </w:r>
      <w:r>
        <w:t xml:space="preserve">   </w:t>
      </w:r>
      <w:r>
        <w:tab/>
      </w:r>
      <w:r>
        <w:tab/>
      </w:r>
      <w:r>
        <w:tab/>
      </w:r>
      <w:r>
        <w:tab/>
        <w:t xml:space="preserve">              </w:t>
      </w:r>
      <w:r w:rsidR="00441E7A">
        <w:t>04</w:t>
      </w:r>
      <w:r w:rsidRPr="009E304F">
        <w:t>/</w:t>
      </w:r>
      <w:r>
        <w:t>30</w:t>
      </w:r>
      <w:r w:rsidRPr="009E304F">
        <w:t>/20</w:t>
      </w:r>
      <w:r w:rsidR="00E75982">
        <w:t>30</w:t>
      </w:r>
    </w:p>
    <w:p w:rsidR="003E507A" w:rsidP="00F96C9B" w14:paraId="0D64CEBC"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p>
    <w:p w:rsidR="00F96C9B" w:rsidRPr="009E304F" w:rsidP="00F96C9B" w14:paraId="6F5BA97B"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t xml:space="preserve">Data collected from the GC-859 will be used to update </w:t>
      </w:r>
      <w:hyperlink r:id="rId18" w:history="1">
        <w:r w:rsidRPr="00712045">
          <w:rPr>
            <w:rStyle w:val="Hyperlink"/>
            <w:i/>
          </w:rPr>
          <w:t>Spent Nuclear Fuel</w:t>
        </w:r>
      </w:hyperlink>
      <w:r>
        <w:t xml:space="preserve"> related information presented on the EIA website. </w:t>
      </w:r>
    </w:p>
    <w:p w:rsidR="00F056C3" w:rsidRPr="00A41763" w:rsidP="00A41763" w14:paraId="2A81D3D0" w14:textId="77777777"/>
    <w:p w:rsidR="00F056C3" w:rsidP="005B1380" w14:paraId="51A79D6A" w14:textId="77777777">
      <w:pPr>
        <w:pStyle w:val="Heading2"/>
      </w:pPr>
      <w:bookmarkStart w:id="19" w:name="_Toc115164325"/>
      <w:r>
        <w:t>A.</w:t>
      </w:r>
      <w:r w:rsidRPr="00A41763" w:rsidR="00A41763">
        <w:t xml:space="preserve">17. </w:t>
      </w:r>
      <w:r w:rsidRPr="00F056C3">
        <w:t>OMB Number and Expiration Date</w:t>
      </w:r>
      <w:bookmarkEnd w:id="19"/>
      <w:r w:rsidRPr="00F056C3">
        <w:t xml:space="preserve"> </w:t>
      </w:r>
    </w:p>
    <w:p w:rsidR="00F96C9B" w:rsidRPr="00BA6C32" w:rsidP="00F96C9B" w14:paraId="264ED6F5" w14:textId="77777777">
      <w:pPr>
        <w:spacing w:before="120" w:after="120"/>
      </w:pPr>
      <w:r w:rsidRPr="009E304F">
        <w:t>The expiration date and OMB control number</w:t>
      </w:r>
      <w:r>
        <w:t xml:space="preserve"> (1901-0287) </w:t>
      </w:r>
      <w:r w:rsidRPr="009E304F">
        <w:t xml:space="preserve">will be displayed on the </w:t>
      </w:r>
      <w:r>
        <w:t xml:space="preserve">survey </w:t>
      </w:r>
      <w:r w:rsidRPr="009E304F">
        <w:t>form</w:t>
      </w:r>
      <w:r w:rsidRPr="00BA6C32">
        <w:rPr>
          <w:i/>
          <w:iCs/>
        </w:rPr>
        <w:t xml:space="preserve">. </w:t>
      </w:r>
    </w:p>
    <w:p w:rsidR="00F056C3" w:rsidP="00A41763" w14:paraId="39993A9D" w14:textId="77777777">
      <w:pPr>
        <w:rPr>
          <w:b/>
          <w:bCs/>
        </w:rPr>
      </w:pPr>
    </w:p>
    <w:p w:rsidR="00F056C3" w:rsidP="005B1380" w14:paraId="466A690F" w14:textId="77777777">
      <w:pPr>
        <w:pStyle w:val="Heading2"/>
      </w:pPr>
      <w:bookmarkStart w:id="20" w:name="_Toc115164326"/>
      <w:r>
        <w:t>A.</w:t>
      </w:r>
      <w:r w:rsidRPr="00A41763" w:rsidR="00A41763">
        <w:t xml:space="preserve">18. </w:t>
      </w:r>
      <w:r w:rsidRPr="00F056C3">
        <w:t>Certification Statement</w:t>
      </w:r>
      <w:bookmarkEnd w:id="20"/>
      <w:r w:rsidRPr="00F056C3">
        <w:t xml:space="preserve"> </w:t>
      </w:r>
    </w:p>
    <w:p w:rsidR="00A41763" w:rsidP="00F96C9B" w14:paraId="592BC1F9" w14:textId="379F4048">
      <w:r w:rsidRPr="00D371B3">
        <w:t>There are no exceptions to the certification statement identified in Item 19, "Certification for Paperwork Reduction Act Submissions," of OMB Form 83-I.</w:t>
      </w:r>
      <w:r>
        <w:t xml:space="preserve"> This information collection request complies with 5 C</w:t>
      </w:r>
      <w:r w:rsidRPr="00DA2DAA">
        <w:t xml:space="preserve">FR 1320.9. </w:t>
      </w:r>
    </w:p>
    <w:p w:rsidR="00227237" w:rsidRPr="00A41763" w:rsidP="00F96C9B" w14:paraId="5F457193" w14:textId="5A8F993E">
      <w:r w:rsidRPr="00227237">
        <w:t xml:space="preserve">The Department </w:t>
      </w:r>
      <w:r w:rsidR="006229B5">
        <w:t>of</w:t>
      </w:r>
      <w:r>
        <w:t xml:space="preserve"> Energy </w:t>
      </w:r>
      <w:r w:rsidRPr="00227237">
        <w:t xml:space="preserve">has determined </w:t>
      </w:r>
      <w:r w:rsidRPr="00227237" w:rsidR="009E76A9">
        <w:t>that</w:t>
      </w:r>
      <w:r w:rsidRPr="00227237">
        <w:t xml:space="preserve"> </w:t>
      </w:r>
      <w:r w:rsidR="009E76A9">
        <w:t xml:space="preserve">no </w:t>
      </w:r>
      <w:r w:rsidRPr="00227237">
        <w:t>Part B is needed for this ICR because this information collection is not a statistical collection and does not require statistical sampling, estimation, or imputation methodologies.</w:t>
      </w:r>
    </w:p>
    <w:sectPr w:rsidSect="000E2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rsidRPr="001F3A8F" w:rsidP="00616E46" w14:paraId="71DA1BD7" w14:textId="77777777">
    <w:pPr>
      <w:pStyle w:val="Footer"/>
      <w:tabs>
        <w:tab w:val="left" w:pos="8655"/>
        <w:tab w:val="clear" w:pos="9720"/>
      </w:tabs>
    </w:pPr>
    <w:r w:rsidRPr="00CB180D">
      <w:t>U.S. Energy Information Administration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Nuclear Fuel Data Survey (Form GC-859)</w:t>
        </w:r>
      </w:sdtContent>
    </w:sdt>
    <w:r>
      <w:t xml:space="preserve"> </w:t>
    </w:r>
    <w:r>
      <w:tab/>
      <w:t xml:space="preserve"> </w:t>
    </w:r>
    <w:r>
      <w:fldChar w:fldCharType="begin"/>
    </w:r>
    <w:r>
      <w:instrText xml:space="preserve"> PAGE   \* MERGEFORMAT </w:instrText>
    </w:r>
    <w:r>
      <w:fldChar w:fldCharType="separate"/>
    </w:r>
    <w:r w:rsidR="007B69B9">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14:paraId="40EFE8D7" w14:textId="77777777">
    <w:pPr>
      <w:pStyle w:val="Footer"/>
    </w:pPr>
    <w:r>
      <w:rPr>
        <w:noProof/>
      </w:rPr>
      <mc:AlternateContent>
        <mc:Choice Requires="wps">
          <w:drawing>
            <wp:inline distT="0" distB="0" distL="114300" distR="114300">
              <wp:extent cx="2706370" cy="607060"/>
              <wp:effectExtent l="0" t="0" r="17780" b="2540"/>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6070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5A07" w:rsidRPr="008F4CBD" w:rsidP="00EA5A07" w14:textId="1EB18426">
                          <w:pPr>
                            <w:spacing w:before="40" w:after="0"/>
                            <w:rPr>
                              <w:rFonts w:eastAsia="Times New Roman"/>
                              <w:color w:val="808080" w:themeColor="background1" w:themeShade="80"/>
                              <w:sz w:val="20"/>
                            </w:rPr>
                          </w:pPr>
                        </w:p>
                      </w:txbxContent>
                    </wps:txbx>
                    <wps:bodyPr rot="0" vert="horz" wrap="square" lIns="0" tIns="45720" rIns="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35" o:spid="_x0000_i2049" type="#_x0000_t202" style="width:213.1pt;height:47.8pt;mso-left-percent:-10001;mso-position-horizontal-relative:char;mso-position-vertical-relative:line;mso-top-percent:-10001;mso-wrap-style:square;visibility:visible;v-text-anchor:top" filled="f" stroked="f">
              <v:textbox inset="0,,0">
                <w:txbxContent>
                  <w:p w:rsidR="00EA5A07" w:rsidRPr="008F4CBD" w:rsidP="00EA5A07" w14:paraId="54D143F5" w14:textId="1EB18426">
                    <w:pPr>
                      <w:spacing w:before="40" w:after="0"/>
                      <w:rPr>
                        <w:rFonts w:eastAsia="Times New Roman"/>
                        <w:color w:val="808080" w:themeColor="background1" w:themeShade="80"/>
                        <w:sz w:val="20"/>
                      </w:rPr>
                    </w:pPr>
                  </w:p>
                </w:txbxContent>
              </v:textbox>
              <w10:wrap type="non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B88" w:rsidRPr="001F3A8F" w:rsidP="001F3A8F" w14:paraId="73F99AF8" w14:textId="7E7FB84C">
    <w:pPr>
      <w:pStyle w:val="Footer"/>
    </w:pPr>
    <w:r w:rsidRPr="00CB180D">
      <w:t xml:space="preserve">U.S. Energy Information Administration   |   </w:t>
    </w:r>
    <w:r>
      <w:t>Supporting Statement for Nuclear Fuel Data Survey (Form GC-859)</w:t>
    </w:r>
    <w: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rsidP="00760677" w14:paraId="5FCF32A9" w14:textId="77777777">
    <w:pPr>
      <w:pStyle w:val="Footer"/>
    </w:pPr>
    <w:sdt>
      <w:sdtPr>
        <w:id w:val="272451101"/>
        <w:docPartObj>
          <w:docPartGallery w:val="Page Numbers (Bottom of Page)"/>
          <w:docPartUnique/>
        </w:docPartObj>
      </w:sdtPr>
      <w:sdtContent>
        <w:r w:rsidRPr="00CB180D" w:rsidR="00223A97">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223A97">
              <w:t>Improving the Quality and Scope of EIA Data</w:t>
            </w:r>
          </w:sdtContent>
        </w:sdt>
        <w:r w:rsidRPr="00CB180D" w:rsidR="00223A97">
          <w:tab/>
        </w:r>
      </w:sdtContent>
    </w:sdt>
    <w:r w:rsidRPr="00760677" w:rsidR="00223A97">
      <w:t xml:space="preserve"> </w:t>
    </w:r>
    <w:r w:rsidR="00223A97">
      <w:fldChar w:fldCharType="begin"/>
    </w:r>
    <w:r w:rsidR="00223A97">
      <w:instrText xml:space="preserve"> PAGE   \* MERGEFORMAT </w:instrText>
    </w:r>
    <w:r w:rsidR="00223A97">
      <w:fldChar w:fldCharType="separate"/>
    </w:r>
    <w:r w:rsidR="00223A97">
      <w:rPr>
        <w:noProof/>
      </w:rPr>
      <w:t>i</w:t>
    </w:r>
    <w:r w:rsidR="00223A97">
      <w:rPr>
        <w:noProof/>
      </w:rPr>
      <w:fldChar w:fldCharType="end"/>
    </w:r>
  </w:p>
  <w:p w:rsidR="00EA5A07" w14:paraId="2AD75BA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rsidP="00760677" w14:paraId="204DBE89" w14:textId="77777777">
    <w:pPr>
      <w:pStyle w:val="Footer"/>
    </w:pPr>
    <w:sdt>
      <w:sdtPr>
        <w:id w:val="-22715443"/>
        <w:docPartObj>
          <w:docPartGallery w:val="Page Numbers (Bottom of Page)"/>
          <w:docPartUnique/>
        </w:docPartObj>
      </w:sdtPr>
      <w:sdtContent>
        <w:r w:rsidRPr="00CB180D" w:rsidR="00223A97">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223A97">
              <w:t>Improving the Quality and Scope of EIA Data</w:t>
            </w:r>
          </w:sdtContent>
        </w:sdt>
        <w:r w:rsidRPr="00CB180D" w:rsidR="00223A97">
          <w:tab/>
        </w:r>
      </w:sdtContent>
    </w:sdt>
    <w:r w:rsidRPr="00760677" w:rsidR="00223A97">
      <w:t xml:space="preserve"> </w:t>
    </w:r>
    <w:r w:rsidR="00223A97">
      <w:fldChar w:fldCharType="begin"/>
    </w:r>
    <w:r w:rsidR="00223A97">
      <w:instrText xml:space="preserve"> PAGE   \* MERGEFORMAT </w:instrText>
    </w:r>
    <w:r w:rsidR="00223A97">
      <w:fldChar w:fldCharType="separate"/>
    </w:r>
    <w:r w:rsidR="00223A97">
      <w:rPr>
        <w:noProof/>
      </w:rPr>
      <w:t>ii</w:t>
    </w:r>
    <w:r w:rsidR="00223A97">
      <w:rPr>
        <w:noProof/>
      </w:rPr>
      <w:fldChar w:fldCharType="end"/>
    </w:r>
  </w:p>
  <w:p w:rsidR="00EA5A07" w:rsidP="00760677" w14:paraId="61934BB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rsidRPr="001F3A8F" w:rsidP="00616E46" w14:paraId="61213308" w14:textId="77777777">
    <w:pPr>
      <w:pStyle w:val="Footer"/>
      <w:tabs>
        <w:tab w:val="left" w:pos="8655"/>
        <w:tab w:val="clear" w:pos="9720"/>
      </w:tabs>
    </w:pPr>
    <w:r w:rsidRPr="00CB180D">
      <w:t>U.S. Energy Information Administration   |</w:t>
    </w:r>
    <w:r>
      <w:t xml:space="preserve">   </w:t>
    </w:r>
    <w:sdt>
      <w:sdtPr>
        <w:alias w:val="Title"/>
        <w:id w:val="-936058786"/>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Nuclear Fuel Data Survey (Form GC-859)</w:t>
        </w:r>
      </w:sdtContent>
    </w:sdt>
    <w:r>
      <w:t xml:space="preserve"> </w:t>
    </w:r>
    <w:r>
      <w:tab/>
      <w:t xml:space="preserve"> </w:t>
    </w:r>
    <w:r>
      <w:fldChar w:fldCharType="begin"/>
    </w:r>
    <w:r>
      <w:instrText xml:space="preserve"> PAGE   \* MERGEFORMAT </w:instrText>
    </w:r>
    <w:r>
      <w:fldChar w:fldCharType="separate"/>
    </w:r>
    <w:r w:rsidR="007B69B9">
      <w:rPr>
        <w:noProof/>
      </w:rPr>
      <w:t>11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A07" w:rsidP="00725453" w14:paraId="3FC729A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A240C56"/>
    <w:lvl w:ilvl="0">
      <w:start w:val="1"/>
      <w:numFmt w:val="decimal"/>
      <w:lvlText w:val="%1."/>
      <w:lvlJc w:val="left"/>
      <w:pPr>
        <w:tabs>
          <w:tab w:val="num" w:pos="1800"/>
        </w:tabs>
        <w:ind w:left="1800" w:hanging="360"/>
      </w:pPr>
    </w:lvl>
  </w:abstractNum>
  <w:abstractNum w:abstractNumId="1">
    <w:nsid w:val="FFFFFF7D"/>
    <w:multiLevelType w:val="singleLevel"/>
    <w:tmpl w:val="292E382E"/>
    <w:lvl w:ilvl="0">
      <w:start w:val="1"/>
      <w:numFmt w:val="decimal"/>
      <w:lvlText w:val="%1."/>
      <w:lvlJc w:val="left"/>
      <w:pPr>
        <w:tabs>
          <w:tab w:val="num" w:pos="1440"/>
        </w:tabs>
        <w:ind w:left="1440" w:hanging="360"/>
      </w:pPr>
    </w:lvl>
  </w:abstractNum>
  <w:abstractNum w:abstractNumId="2">
    <w:nsid w:val="FFFFFF7E"/>
    <w:multiLevelType w:val="singleLevel"/>
    <w:tmpl w:val="D1BE0FA2"/>
    <w:lvl w:ilvl="0">
      <w:start w:val="1"/>
      <w:numFmt w:val="decimal"/>
      <w:lvlText w:val="%1."/>
      <w:lvlJc w:val="left"/>
      <w:pPr>
        <w:tabs>
          <w:tab w:val="num" w:pos="1080"/>
        </w:tabs>
        <w:ind w:left="1080" w:hanging="360"/>
      </w:pPr>
    </w:lvl>
  </w:abstractNum>
  <w:abstractNum w:abstractNumId="3">
    <w:nsid w:val="FFFFFF7F"/>
    <w:multiLevelType w:val="singleLevel"/>
    <w:tmpl w:val="732E230C"/>
    <w:lvl w:ilvl="0">
      <w:start w:val="1"/>
      <w:numFmt w:val="decimal"/>
      <w:lvlText w:val="%1."/>
      <w:lvlJc w:val="left"/>
      <w:pPr>
        <w:tabs>
          <w:tab w:val="num" w:pos="720"/>
        </w:tabs>
        <w:ind w:left="720" w:hanging="360"/>
      </w:pPr>
    </w:lvl>
  </w:abstractNum>
  <w:abstractNum w:abstractNumId="4">
    <w:nsid w:val="FFFFFF80"/>
    <w:multiLevelType w:val="singleLevel"/>
    <w:tmpl w:val="44FCFA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B223D81"/>
    <w:multiLevelType w:val="hybridMultilevel"/>
    <w:tmpl w:val="AA587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982785"/>
    <w:multiLevelType w:val="hybridMultilevel"/>
    <w:tmpl w:val="A5B493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1AB247EF"/>
    <w:multiLevelType w:val="hybridMultilevel"/>
    <w:tmpl w:val="A940830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BA7ABE"/>
    <w:multiLevelType w:val="hybridMultilevel"/>
    <w:tmpl w:val="FE7EB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7F1DC7"/>
    <w:multiLevelType w:val="hybridMultilevel"/>
    <w:tmpl w:val="8DCC766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2740E9"/>
    <w:multiLevelType w:val="hybridMultilevel"/>
    <w:tmpl w:val="DD2ED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5552EF9"/>
    <w:multiLevelType w:val="hybridMultilevel"/>
    <w:tmpl w:val="0CDCD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B53780"/>
    <w:multiLevelType w:val="hybridMultilevel"/>
    <w:tmpl w:val="C7F22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1A0393"/>
    <w:multiLevelType w:val="hybridMultilevel"/>
    <w:tmpl w:val="810A0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8">
    <w:nsid w:val="74552032"/>
    <w:multiLevelType w:val="hybridMultilevel"/>
    <w:tmpl w:val="D05032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233925519">
    <w:abstractNumId w:val="10"/>
  </w:num>
  <w:num w:numId="2" w16cid:durableId="456261783">
    <w:abstractNumId w:val="9"/>
  </w:num>
  <w:num w:numId="3" w16cid:durableId="1230725613">
    <w:abstractNumId w:val="7"/>
  </w:num>
  <w:num w:numId="4" w16cid:durableId="1614901535">
    <w:abstractNumId w:val="6"/>
  </w:num>
  <w:num w:numId="5" w16cid:durableId="1550415308">
    <w:abstractNumId w:val="5"/>
  </w:num>
  <w:num w:numId="6" w16cid:durableId="839084841">
    <w:abstractNumId w:val="4"/>
  </w:num>
  <w:num w:numId="7" w16cid:durableId="42142668">
    <w:abstractNumId w:val="8"/>
  </w:num>
  <w:num w:numId="8" w16cid:durableId="184635152">
    <w:abstractNumId w:val="3"/>
  </w:num>
  <w:num w:numId="9" w16cid:durableId="1849785578">
    <w:abstractNumId w:val="2"/>
  </w:num>
  <w:num w:numId="10" w16cid:durableId="2031176916">
    <w:abstractNumId w:val="1"/>
  </w:num>
  <w:num w:numId="11" w16cid:durableId="1530221320">
    <w:abstractNumId w:val="0"/>
  </w:num>
  <w:num w:numId="12" w16cid:durableId="1518540320">
    <w:abstractNumId w:val="24"/>
  </w:num>
  <w:num w:numId="13" w16cid:durableId="881793089">
    <w:abstractNumId w:val="12"/>
  </w:num>
  <w:num w:numId="14" w16cid:durableId="913702965">
    <w:abstractNumId w:val="20"/>
  </w:num>
  <w:num w:numId="15" w16cid:durableId="812909025">
    <w:abstractNumId w:val="22"/>
  </w:num>
  <w:num w:numId="16" w16cid:durableId="2041204650">
    <w:abstractNumId w:val="10"/>
  </w:num>
  <w:num w:numId="17" w16cid:durableId="1219707813">
    <w:abstractNumId w:val="10"/>
  </w:num>
  <w:num w:numId="18" w16cid:durableId="323054183">
    <w:abstractNumId w:val="21"/>
  </w:num>
  <w:num w:numId="19" w16cid:durableId="90441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464439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870219035">
    <w:abstractNumId w:val="10"/>
  </w:num>
  <w:num w:numId="22" w16cid:durableId="1765757230">
    <w:abstractNumId w:val="10"/>
  </w:num>
  <w:num w:numId="23" w16cid:durableId="682129781">
    <w:abstractNumId w:val="10"/>
  </w:num>
  <w:num w:numId="24" w16cid:durableId="1459298079">
    <w:abstractNumId w:val="10"/>
  </w:num>
  <w:num w:numId="25" w16cid:durableId="747852105">
    <w:abstractNumId w:val="10"/>
  </w:num>
  <w:num w:numId="26" w16cid:durableId="416632796">
    <w:abstractNumId w:val="27"/>
  </w:num>
  <w:num w:numId="27" w16cid:durableId="481704077">
    <w:abstractNumId w:val="10"/>
  </w:num>
  <w:num w:numId="28" w16cid:durableId="688070942">
    <w:abstractNumId w:val="27"/>
  </w:num>
  <w:num w:numId="29" w16cid:durableId="303853923">
    <w:abstractNumId w:val="27"/>
  </w:num>
  <w:num w:numId="30" w16cid:durableId="614093173">
    <w:abstractNumId w:val="27"/>
  </w:num>
  <w:num w:numId="31" w16cid:durableId="589432296">
    <w:abstractNumId w:val="10"/>
  </w:num>
  <w:num w:numId="32" w16cid:durableId="1581402864">
    <w:abstractNumId w:val="10"/>
  </w:num>
  <w:num w:numId="33" w16cid:durableId="232669148">
    <w:abstractNumId w:val="10"/>
  </w:num>
  <w:num w:numId="34" w16cid:durableId="1957710358">
    <w:abstractNumId w:val="9"/>
  </w:num>
  <w:num w:numId="35" w16cid:durableId="204101043">
    <w:abstractNumId w:val="7"/>
  </w:num>
  <w:num w:numId="36" w16cid:durableId="1504709909">
    <w:abstractNumId w:val="6"/>
  </w:num>
  <w:num w:numId="37" w16cid:durableId="1811483528">
    <w:abstractNumId w:val="5"/>
  </w:num>
  <w:num w:numId="38" w16cid:durableId="168565886">
    <w:abstractNumId w:val="12"/>
  </w:num>
  <w:num w:numId="39" w16cid:durableId="1704671962">
    <w:abstractNumId w:val="27"/>
  </w:num>
  <w:num w:numId="40" w16cid:durableId="368381526">
    <w:abstractNumId w:val="27"/>
  </w:num>
  <w:num w:numId="41" w16cid:durableId="994839786">
    <w:abstractNumId w:val="27"/>
  </w:num>
  <w:num w:numId="42" w16cid:durableId="1828744962">
    <w:abstractNumId w:val="12"/>
  </w:num>
  <w:num w:numId="43" w16cid:durableId="1978678184">
    <w:abstractNumId w:val="12"/>
  </w:num>
  <w:num w:numId="44" w16cid:durableId="506096257">
    <w:abstractNumId w:val="12"/>
  </w:num>
  <w:num w:numId="45" w16cid:durableId="1022366218">
    <w:abstractNumId w:val="12"/>
  </w:num>
  <w:num w:numId="46" w16cid:durableId="1625309457">
    <w:abstractNumId w:val="11"/>
  </w:num>
  <w:num w:numId="47" w16cid:durableId="2076388259">
    <w:abstractNumId w:val="29"/>
  </w:num>
  <w:num w:numId="48" w16cid:durableId="425926836">
    <w:abstractNumId w:val="29"/>
  </w:num>
  <w:num w:numId="49" w16cid:durableId="1779373893">
    <w:abstractNumId w:val="16"/>
  </w:num>
  <w:num w:numId="50" w16cid:durableId="647561467">
    <w:abstractNumId w:val="14"/>
  </w:num>
  <w:num w:numId="51" w16cid:durableId="2070029847">
    <w:abstractNumId w:val="13"/>
  </w:num>
  <w:num w:numId="52" w16cid:durableId="1697653705">
    <w:abstractNumId w:val="17"/>
  </w:num>
  <w:num w:numId="53" w16cid:durableId="1110317920">
    <w:abstractNumId w:val="19"/>
  </w:num>
  <w:num w:numId="54" w16cid:durableId="571892387">
    <w:abstractNumId w:val="28"/>
  </w:num>
  <w:num w:numId="55" w16cid:durableId="805588865">
    <w:abstractNumId w:val="15"/>
  </w:num>
  <w:num w:numId="56" w16cid:durableId="1285968746">
    <w:abstractNumId w:val="25"/>
  </w:num>
  <w:num w:numId="57" w16cid:durableId="1125536822">
    <w:abstractNumId w:val="18"/>
  </w:num>
  <w:num w:numId="58" w16cid:durableId="1231228809">
    <w:abstractNumId w:val="26"/>
  </w:num>
  <w:num w:numId="59" w16cid:durableId="101360833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0"/>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1F0"/>
    <w:rsid w:val="00001011"/>
    <w:rsid w:val="0000364C"/>
    <w:rsid w:val="00004135"/>
    <w:rsid w:val="000041A1"/>
    <w:rsid w:val="000053BB"/>
    <w:rsid w:val="00007B3D"/>
    <w:rsid w:val="0001085B"/>
    <w:rsid w:val="00011B3F"/>
    <w:rsid w:val="00013373"/>
    <w:rsid w:val="00013C54"/>
    <w:rsid w:val="000142E5"/>
    <w:rsid w:val="00015DA7"/>
    <w:rsid w:val="000248CE"/>
    <w:rsid w:val="00024E1E"/>
    <w:rsid w:val="000301B1"/>
    <w:rsid w:val="00034A4B"/>
    <w:rsid w:val="00041909"/>
    <w:rsid w:val="00044285"/>
    <w:rsid w:val="0004473C"/>
    <w:rsid w:val="00044E81"/>
    <w:rsid w:val="000457E4"/>
    <w:rsid w:val="00046593"/>
    <w:rsid w:val="00047C08"/>
    <w:rsid w:val="000524D5"/>
    <w:rsid w:val="0005401F"/>
    <w:rsid w:val="00055769"/>
    <w:rsid w:val="00056EC3"/>
    <w:rsid w:val="00062CFE"/>
    <w:rsid w:val="00064BFC"/>
    <w:rsid w:val="00070425"/>
    <w:rsid w:val="0007129A"/>
    <w:rsid w:val="00080240"/>
    <w:rsid w:val="000831C4"/>
    <w:rsid w:val="000844CA"/>
    <w:rsid w:val="000846A5"/>
    <w:rsid w:val="00092602"/>
    <w:rsid w:val="000A5DD2"/>
    <w:rsid w:val="000B0CF4"/>
    <w:rsid w:val="000B3FBE"/>
    <w:rsid w:val="000B6F77"/>
    <w:rsid w:val="000C28E1"/>
    <w:rsid w:val="000C5311"/>
    <w:rsid w:val="000D15B4"/>
    <w:rsid w:val="000E2DF4"/>
    <w:rsid w:val="000F040A"/>
    <w:rsid w:val="00102B0A"/>
    <w:rsid w:val="001034E8"/>
    <w:rsid w:val="001117C8"/>
    <w:rsid w:val="00112A69"/>
    <w:rsid w:val="0011541D"/>
    <w:rsid w:val="00132F4A"/>
    <w:rsid w:val="00153F51"/>
    <w:rsid w:val="00154192"/>
    <w:rsid w:val="00160BC8"/>
    <w:rsid w:val="00161DB4"/>
    <w:rsid w:val="00164EB0"/>
    <w:rsid w:val="00167425"/>
    <w:rsid w:val="00177C3D"/>
    <w:rsid w:val="001807A3"/>
    <w:rsid w:val="00182186"/>
    <w:rsid w:val="00184DAF"/>
    <w:rsid w:val="001947D5"/>
    <w:rsid w:val="00197407"/>
    <w:rsid w:val="001A56AC"/>
    <w:rsid w:val="001A6E1E"/>
    <w:rsid w:val="001B0E69"/>
    <w:rsid w:val="001B6585"/>
    <w:rsid w:val="001D03A8"/>
    <w:rsid w:val="001D0E89"/>
    <w:rsid w:val="001E17DF"/>
    <w:rsid w:val="001E31CE"/>
    <w:rsid w:val="001E72B5"/>
    <w:rsid w:val="001E7C51"/>
    <w:rsid w:val="001F3167"/>
    <w:rsid w:val="001F3A8F"/>
    <w:rsid w:val="001F4736"/>
    <w:rsid w:val="002008B4"/>
    <w:rsid w:val="0020157F"/>
    <w:rsid w:val="00201F24"/>
    <w:rsid w:val="002127CE"/>
    <w:rsid w:val="00215842"/>
    <w:rsid w:val="002207DF"/>
    <w:rsid w:val="00221AC2"/>
    <w:rsid w:val="00223A97"/>
    <w:rsid w:val="00227237"/>
    <w:rsid w:val="00227E4B"/>
    <w:rsid w:val="0023015A"/>
    <w:rsid w:val="002314F5"/>
    <w:rsid w:val="0023708A"/>
    <w:rsid w:val="0024380D"/>
    <w:rsid w:val="002468D6"/>
    <w:rsid w:val="0025022D"/>
    <w:rsid w:val="002530BB"/>
    <w:rsid w:val="002556F3"/>
    <w:rsid w:val="0025697A"/>
    <w:rsid w:val="00260EDF"/>
    <w:rsid w:val="00264148"/>
    <w:rsid w:val="0027033C"/>
    <w:rsid w:val="002722D9"/>
    <w:rsid w:val="00274179"/>
    <w:rsid w:val="00274633"/>
    <w:rsid w:val="0028133D"/>
    <w:rsid w:val="002930F3"/>
    <w:rsid w:val="002957FE"/>
    <w:rsid w:val="002B0FD2"/>
    <w:rsid w:val="002C340E"/>
    <w:rsid w:val="002C378C"/>
    <w:rsid w:val="002E3EDD"/>
    <w:rsid w:val="002E3FD5"/>
    <w:rsid w:val="002E7A38"/>
    <w:rsid w:val="002F6D38"/>
    <w:rsid w:val="00306516"/>
    <w:rsid w:val="00313D14"/>
    <w:rsid w:val="00324E28"/>
    <w:rsid w:val="00331B1A"/>
    <w:rsid w:val="00333DB4"/>
    <w:rsid w:val="003469CB"/>
    <w:rsid w:val="00350C8B"/>
    <w:rsid w:val="00351313"/>
    <w:rsid w:val="00351A73"/>
    <w:rsid w:val="00363331"/>
    <w:rsid w:val="0036375D"/>
    <w:rsid w:val="003677EB"/>
    <w:rsid w:val="00371E14"/>
    <w:rsid w:val="00372755"/>
    <w:rsid w:val="00373208"/>
    <w:rsid w:val="00383DB3"/>
    <w:rsid w:val="003854B2"/>
    <w:rsid w:val="00385AE6"/>
    <w:rsid w:val="00387C8D"/>
    <w:rsid w:val="00392DD0"/>
    <w:rsid w:val="00396BCB"/>
    <w:rsid w:val="00397825"/>
    <w:rsid w:val="003A1073"/>
    <w:rsid w:val="003A10F3"/>
    <w:rsid w:val="003A3906"/>
    <w:rsid w:val="003A55A9"/>
    <w:rsid w:val="003B03A4"/>
    <w:rsid w:val="003B4B8E"/>
    <w:rsid w:val="003C03EA"/>
    <w:rsid w:val="003C3398"/>
    <w:rsid w:val="003C690C"/>
    <w:rsid w:val="003D702D"/>
    <w:rsid w:val="003E3A52"/>
    <w:rsid w:val="003E40FA"/>
    <w:rsid w:val="003E507A"/>
    <w:rsid w:val="003F24ED"/>
    <w:rsid w:val="003F3074"/>
    <w:rsid w:val="003F3438"/>
    <w:rsid w:val="003F3F76"/>
    <w:rsid w:val="003F529E"/>
    <w:rsid w:val="00407CCE"/>
    <w:rsid w:val="00411E6A"/>
    <w:rsid w:val="00420178"/>
    <w:rsid w:val="00426481"/>
    <w:rsid w:val="004301EA"/>
    <w:rsid w:val="00432966"/>
    <w:rsid w:val="00433CEC"/>
    <w:rsid w:val="004411FA"/>
    <w:rsid w:val="00441E7A"/>
    <w:rsid w:val="0044487E"/>
    <w:rsid w:val="00452DC3"/>
    <w:rsid w:val="0045608E"/>
    <w:rsid w:val="0045662F"/>
    <w:rsid w:val="00466959"/>
    <w:rsid w:val="0047687B"/>
    <w:rsid w:val="0047784B"/>
    <w:rsid w:val="004867F9"/>
    <w:rsid w:val="004946F0"/>
    <w:rsid w:val="00497C2A"/>
    <w:rsid w:val="004B0E21"/>
    <w:rsid w:val="004B1075"/>
    <w:rsid w:val="004C277B"/>
    <w:rsid w:val="004C7D83"/>
    <w:rsid w:val="004D05FB"/>
    <w:rsid w:val="004D29C7"/>
    <w:rsid w:val="004E66EE"/>
    <w:rsid w:val="004F67E2"/>
    <w:rsid w:val="00504119"/>
    <w:rsid w:val="005065CF"/>
    <w:rsid w:val="005068A3"/>
    <w:rsid w:val="00506BB4"/>
    <w:rsid w:val="0050705F"/>
    <w:rsid w:val="00515493"/>
    <w:rsid w:val="005170D3"/>
    <w:rsid w:val="00517E98"/>
    <w:rsid w:val="0052493A"/>
    <w:rsid w:val="0052783E"/>
    <w:rsid w:val="005302BC"/>
    <w:rsid w:val="00535CAF"/>
    <w:rsid w:val="00536054"/>
    <w:rsid w:val="0053654B"/>
    <w:rsid w:val="00536CE1"/>
    <w:rsid w:val="00536DA4"/>
    <w:rsid w:val="0054180D"/>
    <w:rsid w:val="00545C0F"/>
    <w:rsid w:val="00547B53"/>
    <w:rsid w:val="005515CD"/>
    <w:rsid w:val="0056291F"/>
    <w:rsid w:val="00571B3F"/>
    <w:rsid w:val="00571D8F"/>
    <w:rsid w:val="005735EB"/>
    <w:rsid w:val="0057367D"/>
    <w:rsid w:val="00574594"/>
    <w:rsid w:val="00580BF7"/>
    <w:rsid w:val="00585BE3"/>
    <w:rsid w:val="0059212D"/>
    <w:rsid w:val="005934BC"/>
    <w:rsid w:val="005A45C3"/>
    <w:rsid w:val="005A5B05"/>
    <w:rsid w:val="005A763C"/>
    <w:rsid w:val="005B1380"/>
    <w:rsid w:val="005B2B58"/>
    <w:rsid w:val="005B4A8B"/>
    <w:rsid w:val="005B56E3"/>
    <w:rsid w:val="005B6371"/>
    <w:rsid w:val="005C00FA"/>
    <w:rsid w:val="005C19BE"/>
    <w:rsid w:val="005C2D89"/>
    <w:rsid w:val="005C485B"/>
    <w:rsid w:val="005D1D5F"/>
    <w:rsid w:val="005D39D7"/>
    <w:rsid w:val="005D5956"/>
    <w:rsid w:val="005D5A0B"/>
    <w:rsid w:val="005D6F63"/>
    <w:rsid w:val="005E309D"/>
    <w:rsid w:val="005F2644"/>
    <w:rsid w:val="005F4848"/>
    <w:rsid w:val="005F7D07"/>
    <w:rsid w:val="006022BA"/>
    <w:rsid w:val="00607E02"/>
    <w:rsid w:val="00610E16"/>
    <w:rsid w:val="0061328D"/>
    <w:rsid w:val="00616E46"/>
    <w:rsid w:val="0062008C"/>
    <w:rsid w:val="00620797"/>
    <w:rsid w:val="00621910"/>
    <w:rsid w:val="006229B5"/>
    <w:rsid w:val="00626494"/>
    <w:rsid w:val="00626DFA"/>
    <w:rsid w:val="00635515"/>
    <w:rsid w:val="00641DE2"/>
    <w:rsid w:val="00643384"/>
    <w:rsid w:val="00644648"/>
    <w:rsid w:val="00650458"/>
    <w:rsid w:val="0065406F"/>
    <w:rsid w:val="0065685B"/>
    <w:rsid w:val="00660679"/>
    <w:rsid w:val="00662082"/>
    <w:rsid w:val="006624F8"/>
    <w:rsid w:val="00663EC4"/>
    <w:rsid w:val="00673212"/>
    <w:rsid w:val="00677C5F"/>
    <w:rsid w:val="0068326C"/>
    <w:rsid w:val="00683F3B"/>
    <w:rsid w:val="006979D2"/>
    <w:rsid w:val="006A0BC7"/>
    <w:rsid w:val="006A1E38"/>
    <w:rsid w:val="006B2BC3"/>
    <w:rsid w:val="006B655D"/>
    <w:rsid w:val="006C0062"/>
    <w:rsid w:val="006C097E"/>
    <w:rsid w:val="006C2DC3"/>
    <w:rsid w:val="006C71F2"/>
    <w:rsid w:val="006D0439"/>
    <w:rsid w:val="006D42EC"/>
    <w:rsid w:val="006E0AB9"/>
    <w:rsid w:val="006E1D62"/>
    <w:rsid w:val="006F0273"/>
    <w:rsid w:val="006F491C"/>
    <w:rsid w:val="006F655E"/>
    <w:rsid w:val="006F7850"/>
    <w:rsid w:val="00700C2E"/>
    <w:rsid w:val="00700D75"/>
    <w:rsid w:val="00700E3C"/>
    <w:rsid w:val="00700FEA"/>
    <w:rsid w:val="007014E2"/>
    <w:rsid w:val="007047F1"/>
    <w:rsid w:val="00704B7D"/>
    <w:rsid w:val="00711414"/>
    <w:rsid w:val="00712045"/>
    <w:rsid w:val="007136D7"/>
    <w:rsid w:val="00725453"/>
    <w:rsid w:val="00730DA0"/>
    <w:rsid w:val="007312DB"/>
    <w:rsid w:val="00731B88"/>
    <w:rsid w:val="00732527"/>
    <w:rsid w:val="00737591"/>
    <w:rsid w:val="007438F2"/>
    <w:rsid w:val="00745C3C"/>
    <w:rsid w:val="007466FD"/>
    <w:rsid w:val="0075074E"/>
    <w:rsid w:val="00755C3D"/>
    <w:rsid w:val="00755CF4"/>
    <w:rsid w:val="007567A4"/>
    <w:rsid w:val="007576EF"/>
    <w:rsid w:val="00760677"/>
    <w:rsid w:val="00761712"/>
    <w:rsid w:val="00761C12"/>
    <w:rsid w:val="007658BA"/>
    <w:rsid w:val="007723AA"/>
    <w:rsid w:val="00776CF4"/>
    <w:rsid w:val="00777E63"/>
    <w:rsid w:val="00784F89"/>
    <w:rsid w:val="00786336"/>
    <w:rsid w:val="007951D6"/>
    <w:rsid w:val="00796BCD"/>
    <w:rsid w:val="007A0E7F"/>
    <w:rsid w:val="007A4378"/>
    <w:rsid w:val="007A54C3"/>
    <w:rsid w:val="007A58FB"/>
    <w:rsid w:val="007B69B9"/>
    <w:rsid w:val="007C5CE9"/>
    <w:rsid w:val="007D11D3"/>
    <w:rsid w:val="007D39CC"/>
    <w:rsid w:val="007D6AAF"/>
    <w:rsid w:val="007E29F8"/>
    <w:rsid w:val="007E5A11"/>
    <w:rsid w:val="007E73E6"/>
    <w:rsid w:val="007F1954"/>
    <w:rsid w:val="007F21D7"/>
    <w:rsid w:val="00802CF0"/>
    <w:rsid w:val="008057F8"/>
    <w:rsid w:val="00811910"/>
    <w:rsid w:val="00812C91"/>
    <w:rsid w:val="00812D8D"/>
    <w:rsid w:val="008213F9"/>
    <w:rsid w:val="00823303"/>
    <w:rsid w:val="008307E1"/>
    <w:rsid w:val="00836D62"/>
    <w:rsid w:val="00840045"/>
    <w:rsid w:val="008425D7"/>
    <w:rsid w:val="00844524"/>
    <w:rsid w:val="00845123"/>
    <w:rsid w:val="00851BA9"/>
    <w:rsid w:val="0085404C"/>
    <w:rsid w:val="0085478C"/>
    <w:rsid w:val="00856B76"/>
    <w:rsid w:val="00867160"/>
    <w:rsid w:val="0087205B"/>
    <w:rsid w:val="00874FB8"/>
    <w:rsid w:val="00877A7D"/>
    <w:rsid w:val="0088089A"/>
    <w:rsid w:val="00895669"/>
    <w:rsid w:val="00896446"/>
    <w:rsid w:val="00897946"/>
    <w:rsid w:val="008A05E4"/>
    <w:rsid w:val="008A0CD9"/>
    <w:rsid w:val="008A1490"/>
    <w:rsid w:val="008A3276"/>
    <w:rsid w:val="008A3447"/>
    <w:rsid w:val="008A7E5F"/>
    <w:rsid w:val="008C218E"/>
    <w:rsid w:val="008C734C"/>
    <w:rsid w:val="008D4D6D"/>
    <w:rsid w:val="008D73A6"/>
    <w:rsid w:val="008E1E03"/>
    <w:rsid w:val="008E3150"/>
    <w:rsid w:val="008E4BF2"/>
    <w:rsid w:val="008F169E"/>
    <w:rsid w:val="008F1E2B"/>
    <w:rsid w:val="008F4CBD"/>
    <w:rsid w:val="009017AD"/>
    <w:rsid w:val="00901BED"/>
    <w:rsid w:val="00905735"/>
    <w:rsid w:val="009066DC"/>
    <w:rsid w:val="00912344"/>
    <w:rsid w:val="009131B9"/>
    <w:rsid w:val="00913683"/>
    <w:rsid w:val="0091409C"/>
    <w:rsid w:val="009249A5"/>
    <w:rsid w:val="00927CE5"/>
    <w:rsid w:val="00933D5D"/>
    <w:rsid w:val="009341D1"/>
    <w:rsid w:val="00935805"/>
    <w:rsid w:val="009368F3"/>
    <w:rsid w:val="00941096"/>
    <w:rsid w:val="00947C42"/>
    <w:rsid w:val="00950489"/>
    <w:rsid w:val="0095073D"/>
    <w:rsid w:val="00955DCE"/>
    <w:rsid w:val="0095693C"/>
    <w:rsid w:val="00957008"/>
    <w:rsid w:val="00957DE9"/>
    <w:rsid w:val="009616F7"/>
    <w:rsid w:val="00965A44"/>
    <w:rsid w:val="00967D7C"/>
    <w:rsid w:val="009700A0"/>
    <w:rsid w:val="00970A68"/>
    <w:rsid w:val="0097548D"/>
    <w:rsid w:val="009757AD"/>
    <w:rsid w:val="009778DB"/>
    <w:rsid w:val="00980B6A"/>
    <w:rsid w:val="009818F9"/>
    <w:rsid w:val="0098618F"/>
    <w:rsid w:val="00987C32"/>
    <w:rsid w:val="00991646"/>
    <w:rsid w:val="00992B7D"/>
    <w:rsid w:val="0099448B"/>
    <w:rsid w:val="00996D26"/>
    <w:rsid w:val="00997289"/>
    <w:rsid w:val="00997347"/>
    <w:rsid w:val="009A31C1"/>
    <w:rsid w:val="009B19CE"/>
    <w:rsid w:val="009C202F"/>
    <w:rsid w:val="009C49F9"/>
    <w:rsid w:val="009C63DB"/>
    <w:rsid w:val="009C77F7"/>
    <w:rsid w:val="009D4CB8"/>
    <w:rsid w:val="009E304F"/>
    <w:rsid w:val="009E48F1"/>
    <w:rsid w:val="009E5ABC"/>
    <w:rsid w:val="009E5B9C"/>
    <w:rsid w:val="009E5D27"/>
    <w:rsid w:val="009E75B6"/>
    <w:rsid w:val="009E76A9"/>
    <w:rsid w:val="009F4ED1"/>
    <w:rsid w:val="009F61F7"/>
    <w:rsid w:val="00A00D71"/>
    <w:rsid w:val="00A00EDF"/>
    <w:rsid w:val="00A017C3"/>
    <w:rsid w:val="00A02E26"/>
    <w:rsid w:val="00A2456E"/>
    <w:rsid w:val="00A26A17"/>
    <w:rsid w:val="00A30169"/>
    <w:rsid w:val="00A312A3"/>
    <w:rsid w:val="00A33D9F"/>
    <w:rsid w:val="00A36542"/>
    <w:rsid w:val="00A37229"/>
    <w:rsid w:val="00A41763"/>
    <w:rsid w:val="00A418C9"/>
    <w:rsid w:val="00A474E6"/>
    <w:rsid w:val="00A53F99"/>
    <w:rsid w:val="00A56B59"/>
    <w:rsid w:val="00A575A4"/>
    <w:rsid w:val="00A60E2E"/>
    <w:rsid w:val="00A65DCD"/>
    <w:rsid w:val="00A72AA8"/>
    <w:rsid w:val="00A74C9B"/>
    <w:rsid w:val="00A7500B"/>
    <w:rsid w:val="00A86DEB"/>
    <w:rsid w:val="00A874E4"/>
    <w:rsid w:val="00A9027C"/>
    <w:rsid w:val="00A93478"/>
    <w:rsid w:val="00A95B6E"/>
    <w:rsid w:val="00A97FE7"/>
    <w:rsid w:val="00AA03BA"/>
    <w:rsid w:val="00AA3D91"/>
    <w:rsid w:val="00AA3FD0"/>
    <w:rsid w:val="00AA46CA"/>
    <w:rsid w:val="00AA7EFA"/>
    <w:rsid w:val="00AB12A6"/>
    <w:rsid w:val="00AB19EB"/>
    <w:rsid w:val="00AB46D2"/>
    <w:rsid w:val="00AB61B3"/>
    <w:rsid w:val="00AC1D23"/>
    <w:rsid w:val="00AC323A"/>
    <w:rsid w:val="00AD6357"/>
    <w:rsid w:val="00AD6482"/>
    <w:rsid w:val="00AD7F81"/>
    <w:rsid w:val="00AE33DF"/>
    <w:rsid w:val="00AE4CA9"/>
    <w:rsid w:val="00AF367D"/>
    <w:rsid w:val="00AF45FD"/>
    <w:rsid w:val="00AF72D1"/>
    <w:rsid w:val="00B023E4"/>
    <w:rsid w:val="00B0552E"/>
    <w:rsid w:val="00B2386E"/>
    <w:rsid w:val="00B2552D"/>
    <w:rsid w:val="00B25A7D"/>
    <w:rsid w:val="00B34BAB"/>
    <w:rsid w:val="00B35E2A"/>
    <w:rsid w:val="00B377E0"/>
    <w:rsid w:val="00B4263D"/>
    <w:rsid w:val="00B4575E"/>
    <w:rsid w:val="00B5303E"/>
    <w:rsid w:val="00B54624"/>
    <w:rsid w:val="00B56F49"/>
    <w:rsid w:val="00B609F9"/>
    <w:rsid w:val="00B60CE6"/>
    <w:rsid w:val="00B67C29"/>
    <w:rsid w:val="00B7442A"/>
    <w:rsid w:val="00B8086B"/>
    <w:rsid w:val="00B85831"/>
    <w:rsid w:val="00B85A50"/>
    <w:rsid w:val="00B871BF"/>
    <w:rsid w:val="00B97002"/>
    <w:rsid w:val="00B971A5"/>
    <w:rsid w:val="00BA6C32"/>
    <w:rsid w:val="00BB0879"/>
    <w:rsid w:val="00BB2F70"/>
    <w:rsid w:val="00BB6CF4"/>
    <w:rsid w:val="00BC14C3"/>
    <w:rsid w:val="00BC1ABE"/>
    <w:rsid w:val="00BC6CA7"/>
    <w:rsid w:val="00BD2F20"/>
    <w:rsid w:val="00BD4F62"/>
    <w:rsid w:val="00BD59CA"/>
    <w:rsid w:val="00BD68BB"/>
    <w:rsid w:val="00BD696F"/>
    <w:rsid w:val="00BE19C4"/>
    <w:rsid w:val="00BE4AFD"/>
    <w:rsid w:val="00BE7519"/>
    <w:rsid w:val="00BF1974"/>
    <w:rsid w:val="00BF3C7D"/>
    <w:rsid w:val="00BF51BF"/>
    <w:rsid w:val="00BF5F1B"/>
    <w:rsid w:val="00BF60BE"/>
    <w:rsid w:val="00C00590"/>
    <w:rsid w:val="00C04647"/>
    <w:rsid w:val="00C058CF"/>
    <w:rsid w:val="00C076A3"/>
    <w:rsid w:val="00C12551"/>
    <w:rsid w:val="00C211CD"/>
    <w:rsid w:val="00C25328"/>
    <w:rsid w:val="00C329F1"/>
    <w:rsid w:val="00C3744D"/>
    <w:rsid w:val="00C43A84"/>
    <w:rsid w:val="00C4618F"/>
    <w:rsid w:val="00C64137"/>
    <w:rsid w:val="00C658E4"/>
    <w:rsid w:val="00C711A2"/>
    <w:rsid w:val="00C7266E"/>
    <w:rsid w:val="00C76C66"/>
    <w:rsid w:val="00C82DF9"/>
    <w:rsid w:val="00C862E3"/>
    <w:rsid w:val="00C87190"/>
    <w:rsid w:val="00CA1564"/>
    <w:rsid w:val="00CA7C1A"/>
    <w:rsid w:val="00CA7C8A"/>
    <w:rsid w:val="00CB180D"/>
    <w:rsid w:val="00CB44E8"/>
    <w:rsid w:val="00CB7978"/>
    <w:rsid w:val="00CB79D7"/>
    <w:rsid w:val="00CC1D12"/>
    <w:rsid w:val="00CC2A1A"/>
    <w:rsid w:val="00CE26F5"/>
    <w:rsid w:val="00CE42E9"/>
    <w:rsid w:val="00CF3CF8"/>
    <w:rsid w:val="00CF3DF0"/>
    <w:rsid w:val="00CF7283"/>
    <w:rsid w:val="00D001E4"/>
    <w:rsid w:val="00D00AA8"/>
    <w:rsid w:val="00D01794"/>
    <w:rsid w:val="00D0257E"/>
    <w:rsid w:val="00D02778"/>
    <w:rsid w:val="00D13E84"/>
    <w:rsid w:val="00D17918"/>
    <w:rsid w:val="00D2181F"/>
    <w:rsid w:val="00D300F4"/>
    <w:rsid w:val="00D3344B"/>
    <w:rsid w:val="00D371B3"/>
    <w:rsid w:val="00D40175"/>
    <w:rsid w:val="00D44989"/>
    <w:rsid w:val="00D55243"/>
    <w:rsid w:val="00D6129B"/>
    <w:rsid w:val="00D62F90"/>
    <w:rsid w:val="00D63E74"/>
    <w:rsid w:val="00D71272"/>
    <w:rsid w:val="00D715C4"/>
    <w:rsid w:val="00D75ABC"/>
    <w:rsid w:val="00D807D9"/>
    <w:rsid w:val="00D854D8"/>
    <w:rsid w:val="00D916D4"/>
    <w:rsid w:val="00D928FD"/>
    <w:rsid w:val="00D96614"/>
    <w:rsid w:val="00D97C4D"/>
    <w:rsid w:val="00DA2588"/>
    <w:rsid w:val="00DA2DAA"/>
    <w:rsid w:val="00DA3DB6"/>
    <w:rsid w:val="00DA571A"/>
    <w:rsid w:val="00DA5F1F"/>
    <w:rsid w:val="00DB71A4"/>
    <w:rsid w:val="00DB731C"/>
    <w:rsid w:val="00DC1C48"/>
    <w:rsid w:val="00DC6FCC"/>
    <w:rsid w:val="00DC79E3"/>
    <w:rsid w:val="00DD4630"/>
    <w:rsid w:val="00DD51E1"/>
    <w:rsid w:val="00DD54B5"/>
    <w:rsid w:val="00DE1E9B"/>
    <w:rsid w:val="00DE2D54"/>
    <w:rsid w:val="00DE2E2F"/>
    <w:rsid w:val="00DF25D0"/>
    <w:rsid w:val="00DF32F5"/>
    <w:rsid w:val="00E001EB"/>
    <w:rsid w:val="00E02BB0"/>
    <w:rsid w:val="00E03A93"/>
    <w:rsid w:val="00E03CE6"/>
    <w:rsid w:val="00E054DF"/>
    <w:rsid w:val="00E13085"/>
    <w:rsid w:val="00E13716"/>
    <w:rsid w:val="00E15356"/>
    <w:rsid w:val="00E178C0"/>
    <w:rsid w:val="00E227C7"/>
    <w:rsid w:val="00E22F81"/>
    <w:rsid w:val="00E23295"/>
    <w:rsid w:val="00E266FF"/>
    <w:rsid w:val="00E26D0B"/>
    <w:rsid w:val="00E27661"/>
    <w:rsid w:val="00E31E5F"/>
    <w:rsid w:val="00E47DB3"/>
    <w:rsid w:val="00E509A9"/>
    <w:rsid w:val="00E51F8B"/>
    <w:rsid w:val="00E5242A"/>
    <w:rsid w:val="00E53398"/>
    <w:rsid w:val="00E618BE"/>
    <w:rsid w:val="00E66694"/>
    <w:rsid w:val="00E66AE2"/>
    <w:rsid w:val="00E74DA4"/>
    <w:rsid w:val="00E75982"/>
    <w:rsid w:val="00E81B89"/>
    <w:rsid w:val="00E91432"/>
    <w:rsid w:val="00E91B5A"/>
    <w:rsid w:val="00E9484E"/>
    <w:rsid w:val="00EA5A07"/>
    <w:rsid w:val="00EA783C"/>
    <w:rsid w:val="00EB2A1B"/>
    <w:rsid w:val="00EC1162"/>
    <w:rsid w:val="00EC7535"/>
    <w:rsid w:val="00EC7E50"/>
    <w:rsid w:val="00ED5EC3"/>
    <w:rsid w:val="00ED6E45"/>
    <w:rsid w:val="00EE2CAF"/>
    <w:rsid w:val="00EE43E4"/>
    <w:rsid w:val="00EE6E9B"/>
    <w:rsid w:val="00EF634C"/>
    <w:rsid w:val="00F001EA"/>
    <w:rsid w:val="00F056C3"/>
    <w:rsid w:val="00F16B90"/>
    <w:rsid w:val="00F33A65"/>
    <w:rsid w:val="00F34094"/>
    <w:rsid w:val="00F34F19"/>
    <w:rsid w:val="00F43BF2"/>
    <w:rsid w:val="00F43F3F"/>
    <w:rsid w:val="00F44A21"/>
    <w:rsid w:val="00F508CE"/>
    <w:rsid w:val="00F53C11"/>
    <w:rsid w:val="00F559C0"/>
    <w:rsid w:val="00F575F0"/>
    <w:rsid w:val="00F621F5"/>
    <w:rsid w:val="00F62272"/>
    <w:rsid w:val="00F6664C"/>
    <w:rsid w:val="00F74583"/>
    <w:rsid w:val="00F750E7"/>
    <w:rsid w:val="00F755AE"/>
    <w:rsid w:val="00F80AF1"/>
    <w:rsid w:val="00F8298C"/>
    <w:rsid w:val="00F83067"/>
    <w:rsid w:val="00F84AF9"/>
    <w:rsid w:val="00F8607A"/>
    <w:rsid w:val="00F90245"/>
    <w:rsid w:val="00F920D9"/>
    <w:rsid w:val="00F94781"/>
    <w:rsid w:val="00F96C9B"/>
    <w:rsid w:val="00FA39B8"/>
    <w:rsid w:val="00FA5388"/>
    <w:rsid w:val="00FB08E3"/>
    <w:rsid w:val="00FB6BF3"/>
    <w:rsid w:val="00FB724F"/>
    <w:rsid w:val="00FC319A"/>
    <w:rsid w:val="00FD1CD4"/>
    <w:rsid w:val="00FD1DD1"/>
    <w:rsid w:val="00FD397B"/>
    <w:rsid w:val="00FD449A"/>
    <w:rsid w:val="00FD4B01"/>
    <w:rsid w:val="00FD52F2"/>
    <w:rsid w:val="00FD7CDC"/>
    <w:rsid w:val="00FD7DBC"/>
    <w:rsid w:val="00FE4EA3"/>
    <w:rsid w:val="00FE58E0"/>
    <w:rsid w:val="00FE74D0"/>
    <w:rsid w:val="00FF679E"/>
    <w:rsid w:val="00FF7541"/>
    <w:rsid w:val="03DB7271"/>
    <w:rsid w:val="04AE1F81"/>
    <w:rsid w:val="106F3DA5"/>
    <w:rsid w:val="112BCC19"/>
    <w:rsid w:val="12E6C22F"/>
    <w:rsid w:val="35EE6DEB"/>
    <w:rsid w:val="507D110E"/>
    <w:rsid w:val="5128972B"/>
    <w:rsid w:val="57EF97BC"/>
    <w:rsid w:val="63F5753C"/>
    <w:rsid w:val="65DB0C9D"/>
    <w:rsid w:val="6C624A2F"/>
    <w:rsid w:val="7062BDA0"/>
    <w:rsid w:val="76208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9128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7033C"/>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B138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B138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5B1380"/>
    <w:pPr>
      <w:numPr>
        <w:numId w:val="55"/>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A65DCD"/>
    <w:rPr>
      <w:sz w:val="16"/>
      <w:szCs w:val="16"/>
    </w:rPr>
  </w:style>
  <w:style w:type="paragraph" w:styleId="CommentText">
    <w:name w:val="annotation text"/>
    <w:basedOn w:val="Normal"/>
    <w:link w:val="CommentTextChar"/>
    <w:uiPriority w:val="99"/>
    <w:unhideWhenUsed/>
    <w:locked/>
    <w:rsid w:val="0027033C"/>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27033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A65DCD"/>
    <w:rPr>
      <w:b/>
      <w:bCs/>
    </w:rPr>
  </w:style>
  <w:style w:type="character" w:customStyle="1" w:styleId="CommentSubjectChar">
    <w:name w:val="Comment Subject Char"/>
    <w:basedOn w:val="CommentTextChar"/>
    <w:link w:val="CommentSubject"/>
    <w:uiPriority w:val="99"/>
    <w:semiHidden/>
    <w:rsid w:val="00A65DCD"/>
    <w:rPr>
      <w:rFonts w:ascii="Arial" w:hAnsi="Arial"/>
      <w:b/>
      <w:bCs/>
      <w:sz w:val="20"/>
      <w:szCs w:val="20"/>
    </w:rPr>
  </w:style>
  <w:style w:type="paragraph" w:styleId="Revision">
    <w:name w:val="Revision"/>
    <w:hidden/>
    <w:uiPriority w:val="99"/>
    <w:semiHidden/>
    <w:rsid w:val="00A65DCD"/>
    <w:pPr>
      <w:spacing w:after="0"/>
    </w:pPr>
  </w:style>
  <w:style w:type="paragraph" w:styleId="HTMLPreformatted">
    <w:name w:val="HTML Preformatted"/>
    <w:basedOn w:val="Normal"/>
    <w:link w:val="HTMLPreformattedChar"/>
    <w:locked/>
    <w:rsid w:val="00A6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65DCD"/>
    <w:rPr>
      <w:rFonts w:ascii="Courier New" w:eastAsia="Times New Roman" w:hAnsi="Courier New" w:cs="Courier New"/>
      <w:sz w:val="20"/>
      <w:szCs w:val="20"/>
    </w:rPr>
  </w:style>
  <w:style w:type="paragraph" w:styleId="BodyTextIndent2">
    <w:name w:val="Body Text Indent 2"/>
    <w:basedOn w:val="Normal"/>
    <w:link w:val="BodyTextIndent2Char"/>
    <w:uiPriority w:val="99"/>
    <w:unhideWhenUsed/>
    <w:locked/>
    <w:rsid w:val="00F96C9B"/>
    <w:pPr>
      <w:spacing w:after="120" w:line="480" w:lineRule="auto"/>
      <w:ind w:left="360"/>
    </w:pPr>
  </w:style>
  <w:style w:type="character" w:customStyle="1" w:styleId="BodyTextIndent2Char">
    <w:name w:val="Body Text Indent 2 Char"/>
    <w:basedOn w:val="DefaultParagraphFont"/>
    <w:link w:val="BodyTextIndent2"/>
    <w:uiPriority w:val="99"/>
    <w:rsid w:val="00F96C9B"/>
  </w:style>
  <w:style w:type="paragraph" w:styleId="BodyTextIndent">
    <w:name w:val="Body Text Indent"/>
    <w:basedOn w:val="Normal"/>
    <w:link w:val="BodyTextIndentChar"/>
    <w:uiPriority w:val="99"/>
    <w:semiHidden/>
    <w:unhideWhenUsed/>
    <w:locked/>
    <w:rsid w:val="00F96C9B"/>
    <w:pPr>
      <w:spacing w:after="120"/>
      <w:ind w:left="360"/>
    </w:pPr>
  </w:style>
  <w:style w:type="character" w:customStyle="1" w:styleId="BodyTextIndentChar">
    <w:name w:val="Body Text Indent Char"/>
    <w:basedOn w:val="DefaultParagraphFont"/>
    <w:link w:val="BodyTextIndent"/>
    <w:uiPriority w:val="99"/>
    <w:semiHidden/>
    <w:rsid w:val="00F96C9B"/>
  </w:style>
  <w:style w:type="character" w:styleId="UnresolvedMention">
    <w:name w:val="Unresolved Mention"/>
    <w:basedOn w:val="DefaultParagraphFont"/>
    <w:uiPriority w:val="99"/>
    <w:semiHidden/>
    <w:unhideWhenUsed/>
    <w:rsid w:val="00610E16"/>
    <w:rPr>
      <w:color w:val="605E5C"/>
      <w:shd w:val="clear" w:color="auto" w:fill="E1DFDD"/>
    </w:rPr>
  </w:style>
  <w:style w:type="character" w:styleId="FollowedHyperlink">
    <w:name w:val="FollowedHyperlink"/>
    <w:basedOn w:val="DefaultParagraphFont"/>
    <w:uiPriority w:val="99"/>
    <w:semiHidden/>
    <w:unhideWhenUsed/>
    <w:locked/>
    <w:rsid w:val="00662082"/>
    <w:rPr>
      <w:color w:val="5D9732" w:themeColor="followedHyperlink"/>
      <w:u w:val="single"/>
    </w:rPr>
  </w:style>
  <w:style w:type="character" w:customStyle="1" w:styleId="cf01">
    <w:name w:val="cf01"/>
    <w:basedOn w:val="DefaultParagraphFont"/>
    <w:rsid w:val="00F559C0"/>
    <w:rPr>
      <w:rFonts w:ascii="Segoe UI" w:hAnsi="Segoe UI" w:cs="Segoe UI" w:hint="default"/>
      <w:sz w:val="18"/>
      <w:szCs w:val="18"/>
    </w:rPr>
  </w:style>
  <w:style w:type="paragraph" w:customStyle="1" w:styleId="pf0">
    <w:name w:val="pf0"/>
    <w:basedOn w:val="Normal"/>
    <w:rsid w:val="00D97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s://gc859.pnnl.gov" TargetMode="External" /><Relationship Id="rId16" Type="http://schemas.openxmlformats.org/officeDocument/2006/relationships/footer" Target="footer6.xml" /><Relationship Id="rId17" Type="http://schemas.openxmlformats.org/officeDocument/2006/relationships/image" Target="media/image1.png" /><Relationship Id="rId18" Type="http://schemas.openxmlformats.org/officeDocument/2006/relationships/hyperlink" Target="https://www.eia.gov/nuclear/spent_fuel/" TargetMode="Externa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A5DD2"/>
    <w:rsid w:val="000F48A4"/>
    <w:rsid w:val="00182186"/>
    <w:rsid w:val="001C559B"/>
    <w:rsid w:val="0020157F"/>
    <w:rsid w:val="002257BC"/>
    <w:rsid w:val="002737DE"/>
    <w:rsid w:val="002F559F"/>
    <w:rsid w:val="00336508"/>
    <w:rsid w:val="00364C46"/>
    <w:rsid w:val="003661C5"/>
    <w:rsid w:val="00373E79"/>
    <w:rsid w:val="00420178"/>
    <w:rsid w:val="00426B57"/>
    <w:rsid w:val="00440DBE"/>
    <w:rsid w:val="0047374C"/>
    <w:rsid w:val="005068A3"/>
    <w:rsid w:val="00517E98"/>
    <w:rsid w:val="0056291F"/>
    <w:rsid w:val="00587FCD"/>
    <w:rsid w:val="00593D9A"/>
    <w:rsid w:val="0063086E"/>
    <w:rsid w:val="00691159"/>
    <w:rsid w:val="006B655D"/>
    <w:rsid w:val="006D196F"/>
    <w:rsid w:val="00700FEA"/>
    <w:rsid w:val="00755CF4"/>
    <w:rsid w:val="008C4A54"/>
    <w:rsid w:val="0095073D"/>
    <w:rsid w:val="00955489"/>
    <w:rsid w:val="0097548D"/>
    <w:rsid w:val="00980AFE"/>
    <w:rsid w:val="0098331D"/>
    <w:rsid w:val="00984F69"/>
    <w:rsid w:val="009E75B6"/>
    <w:rsid w:val="00A56B59"/>
    <w:rsid w:val="00A7500B"/>
    <w:rsid w:val="00A95B6E"/>
    <w:rsid w:val="00B84DB2"/>
    <w:rsid w:val="00B85A50"/>
    <w:rsid w:val="00BD696F"/>
    <w:rsid w:val="00C076A3"/>
    <w:rsid w:val="00CB79D7"/>
    <w:rsid w:val="00D17918"/>
    <w:rsid w:val="00D2181F"/>
    <w:rsid w:val="00D84DE7"/>
    <w:rsid w:val="00DC46C0"/>
    <w:rsid w:val="00DD54B5"/>
    <w:rsid w:val="00EB3226"/>
    <w:rsid w:val="00F33A65"/>
    <w:rsid w:val="00F51897"/>
    <w:rsid w:val="00F54E12"/>
    <w:rsid w:val="00F61C5C"/>
    <w:rsid w:val="00F63D31"/>
    <w:rsid w:val="00F83067"/>
    <w:rsid w:val="00FC7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6266BA4958FA42A12812968CAFD311" ma:contentTypeVersion="2" ma:contentTypeDescription="Create a new document." ma:contentTypeScope="" ma:versionID="ae0b6effa4ffab652cf5bec14a9eaa52">
  <xsd:schema xmlns:xsd="http://www.w3.org/2001/XMLSchema" xmlns:xs="http://www.w3.org/2001/XMLSchema" xmlns:p="http://schemas.microsoft.com/office/2006/metadata/properties" xmlns:ns2="0c8b09f3-5077-489d-bcfe-bf0345569a6f" targetNamespace="http://schemas.microsoft.com/office/2006/metadata/properties" ma:root="true" ma:fieldsID="303bdaddd200f8fc347122f45319bc10" ns2:_="">
    <xsd:import namespace="0c8b09f3-5077-489d-bcfe-bf0345569a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b09f3-5077-489d-bcfe-bf034556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41CB4-448F-40DB-90E9-A7B1E3329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8A7B2-0B84-456D-B613-BFBCB747CA05}">
  <ds:schemaRefs>
    <ds:schemaRef ds:uri="http://schemas.openxmlformats.org/officeDocument/2006/bibliography"/>
  </ds:schemaRefs>
</ds:datastoreItem>
</file>

<file path=customXml/itemProps4.xml><?xml version="1.0" encoding="utf-8"?>
<ds:datastoreItem xmlns:ds="http://schemas.openxmlformats.org/officeDocument/2006/customXml" ds:itemID="{90D0F198-0252-4153-8D1A-45136B75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b09f3-5077-489d-bcfe-bf034556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DAF016-1A1E-4978-81E1-10F83048D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5229</Words>
  <Characters>29181</Characters>
  <Application>Microsoft Office Word</Application>
  <DocSecurity>0</DocSecurity>
  <Lines>607</Lines>
  <Paragraphs>226</Paragraphs>
  <ScaleCrop>false</ScaleCrop>
  <HeadingPairs>
    <vt:vector size="2" baseType="variant">
      <vt:variant>
        <vt:lpstr>Title</vt:lpstr>
      </vt:variant>
      <vt:variant>
        <vt:i4>1</vt:i4>
      </vt:variant>
    </vt:vector>
  </HeadingPairs>
  <TitlesOfParts>
    <vt:vector size="1" baseType="lpstr">
      <vt:lpstr>Supporting Statement for Nuclear Fuel Data Survey (Form GC-859)</vt:lpstr>
    </vt:vector>
  </TitlesOfParts>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Nuclear Fuel Data Survey (Form GC-859)</dc:title>
  <dc:subject>Improving the Quality and Scope of EIA Data</dc:subject>
  <dc:creator>Antonio, Katherine</dc:creator>
  <cp:lastModifiedBy>Aloulou, Faouzi</cp:lastModifiedBy>
  <cp:revision>5</cp:revision>
  <cp:lastPrinted>2011-12-12T20:42:00Z</cp:lastPrinted>
  <dcterms:created xsi:type="dcterms:W3CDTF">2026-04-14T15:28:00Z</dcterms:created>
  <dcterms:modified xsi:type="dcterms:W3CDTF">2026-04-14T19:00:00Z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0x010100FC6266BA4958FA42A12812968CAFD311</vt:lpwstr>
  </property>
</Properties>
</file>