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204D" w:rsidRPr="00280A7C" w:rsidP="00280A7C" w14:paraId="04F3A155" w14:textId="4BBD0F5E">
      <w:pPr>
        <w:spacing w:after="0"/>
        <w:jc w:val="center"/>
        <w:rPr>
          <w:rFonts w:ascii="Times New Roman" w:hAnsi="Times New Roman" w:cs="Times New Roman"/>
          <w:b/>
          <w:color w:val="33588B"/>
          <w:sz w:val="28"/>
          <w:szCs w:val="28"/>
        </w:rPr>
      </w:pPr>
      <w:bookmarkStart w:id="0" w:name="_Hlk216685817"/>
      <w:r w:rsidRPr="00280A7C">
        <w:rPr>
          <w:rFonts w:ascii="Times New Roman" w:hAnsi="Times New Roman" w:cs="Times New Roman"/>
          <w:b/>
          <w:color w:val="33588B"/>
          <w:sz w:val="28"/>
          <w:szCs w:val="28"/>
        </w:rPr>
        <w:t xml:space="preserve">Supporting Statement for Paperwork Reduction Act Submissions </w:t>
      </w:r>
    </w:p>
    <w:p w:rsidR="000E204D" w:rsidRPr="00280A7C" w:rsidP="00280A7C" w14:paraId="1180FEF7" w14:textId="77777777">
      <w:pPr>
        <w:spacing w:after="0"/>
        <w:jc w:val="center"/>
        <w:rPr>
          <w:rFonts w:ascii="Times New Roman" w:hAnsi="Times New Roman" w:cs="Times New Roman"/>
          <w:b/>
          <w:color w:val="33588B"/>
          <w:sz w:val="28"/>
          <w:szCs w:val="28"/>
        </w:rPr>
      </w:pPr>
      <w:r w:rsidRPr="00280A7C">
        <w:rPr>
          <w:rFonts w:ascii="Times New Roman" w:hAnsi="Times New Roman" w:cs="Times New Roman"/>
          <w:b/>
          <w:color w:val="33588B"/>
          <w:sz w:val="28"/>
          <w:szCs w:val="28"/>
        </w:rPr>
        <w:t>Community Development Financial Institutions Fund (CDFI Fund)</w:t>
      </w:r>
    </w:p>
    <w:p w:rsidR="000E204D" w:rsidRPr="00280A7C" w:rsidP="00280A7C" w14:paraId="1CC20F57" w14:textId="4043AD62">
      <w:pPr>
        <w:spacing w:after="0"/>
        <w:jc w:val="center"/>
        <w:rPr>
          <w:rFonts w:ascii="Times New Roman" w:hAnsi="Times New Roman" w:cs="Times New Roman"/>
          <w:b/>
          <w:color w:val="33588B"/>
          <w:sz w:val="28"/>
          <w:szCs w:val="28"/>
        </w:rPr>
      </w:pPr>
      <w:r w:rsidRPr="00280A7C">
        <w:rPr>
          <w:rFonts w:ascii="Times New Roman" w:hAnsi="Times New Roman" w:cs="Times New Roman"/>
          <w:b/>
          <w:color w:val="33588B"/>
          <w:sz w:val="28"/>
          <w:szCs w:val="28"/>
        </w:rPr>
        <w:t xml:space="preserve">Opportunity Zone </w:t>
      </w:r>
      <w:r w:rsidR="00025685">
        <w:rPr>
          <w:rFonts w:ascii="Times New Roman" w:hAnsi="Times New Roman" w:cs="Times New Roman"/>
          <w:b/>
          <w:color w:val="33588B"/>
          <w:sz w:val="28"/>
          <w:szCs w:val="28"/>
        </w:rPr>
        <w:t xml:space="preserve">(OZ) </w:t>
      </w:r>
      <w:r w:rsidRPr="00280A7C">
        <w:rPr>
          <w:rFonts w:ascii="Times New Roman" w:hAnsi="Times New Roman" w:cs="Times New Roman"/>
          <w:b/>
          <w:color w:val="33588B"/>
          <w:sz w:val="28"/>
          <w:szCs w:val="28"/>
        </w:rPr>
        <w:t>Nomination Tool</w:t>
      </w:r>
    </w:p>
    <w:p w:rsidR="000E204D" w:rsidRPr="00134D08" w:rsidP="00280A7C" w14:paraId="5BD34CA1" w14:textId="77777777">
      <w:pPr>
        <w:spacing w:after="0"/>
        <w:rPr>
          <w:rFonts w:ascii="Times New Roman" w:hAnsi="Times New Roman" w:cs="Times New Roman"/>
          <w:strike/>
          <w:sz w:val="24"/>
          <w:szCs w:val="24"/>
        </w:rPr>
      </w:pPr>
    </w:p>
    <w:p w:rsidR="000E204D" w:rsidRPr="00280A7C" w:rsidP="00653FE3" w14:paraId="542F9607" w14:textId="77777777">
      <w:pPr>
        <w:spacing w:after="0"/>
        <w:rPr>
          <w:rFonts w:ascii="Times New Roman" w:hAnsi="Times New Roman" w:cs="Times New Roman"/>
          <w:b/>
          <w:sz w:val="28"/>
          <w:szCs w:val="28"/>
        </w:rPr>
      </w:pPr>
      <w:r w:rsidRPr="00280A7C">
        <w:rPr>
          <w:rFonts w:ascii="Times New Roman" w:hAnsi="Times New Roman" w:cs="Times New Roman"/>
          <w:b/>
          <w:sz w:val="28"/>
          <w:szCs w:val="28"/>
        </w:rPr>
        <w:t>A.  Justification</w:t>
      </w:r>
    </w:p>
    <w:p w:rsidR="00653FE3" w:rsidRPr="00134D08" w:rsidP="00280A7C" w14:paraId="591323E3" w14:textId="77777777">
      <w:pPr>
        <w:spacing w:after="0"/>
        <w:rPr>
          <w:rFonts w:ascii="Times New Roman" w:hAnsi="Times New Roman" w:cs="Times New Roman"/>
          <w:b/>
          <w:sz w:val="24"/>
          <w:szCs w:val="24"/>
        </w:rPr>
      </w:pPr>
    </w:p>
    <w:p w:rsidR="00653FE3" w:rsidP="00280A7C" w14:paraId="6737140C" w14:textId="61E3F4B6">
      <w:pPr>
        <w:spacing w:after="0" w:line="240" w:lineRule="auto"/>
        <w:rPr>
          <w:rFonts w:ascii="Times New Roman" w:hAnsi="Times New Roman" w:cs="Times New Roman"/>
          <w:iCs/>
          <w:sz w:val="24"/>
          <w:szCs w:val="24"/>
        </w:rPr>
      </w:pPr>
      <w:r w:rsidRPr="00D43972">
        <w:rPr>
          <w:rFonts w:ascii="Times New Roman" w:hAnsi="Times New Roman" w:cs="Times New Roman"/>
          <w:sz w:val="24"/>
          <w:szCs w:val="24"/>
          <w:u w:val="single"/>
        </w:rPr>
        <w:t>1.  Circumstances necessitating collection of information</w:t>
      </w:r>
      <w:bookmarkStart w:id="1" w:name="_Hlk215658585"/>
      <w:bookmarkStart w:id="2" w:name="_Hlk215037329"/>
    </w:p>
    <w:p w:rsidR="008C3871" w14:paraId="1347FC57" w14:textId="42F9F77B">
      <w:pPr>
        <w:spacing w:after="0"/>
        <w:rPr>
          <w:rFonts w:ascii="Times New Roman" w:hAnsi="Times New Roman" w:cs="Times New Roman"/>
          <w:iCs/>
          <w:sz w:val="24"/>
          <w:szCs w:val="24"/>
        </w:rPr>
      </w:pPr>
      <w:r w:rsidRPr="003D4F05">
        <w:rPr>
          <w:rFonts w:ascii="Times New Roman" w:hAnsi="Times New Roman" w:cs="Times New Roman"/>
          <w:iCs/>
          <w:sz w:val="24"/>
          <w:szCs w:val="24"/>
        </w:rPr>
        <w:t xml:space="preserve">The Tax Cuts and Jobs Act of 2017 (TCJA; Pub. L. 115-97) created a tax incentive for investors who reinvest eligible capital gains into </w:t>
      </w:r>
      <w:r w:rsidRPr="003D4F05" w:rsidR="00AC6D1F">
        <w:rPr>
          <w:rFonts w:ascii="Times New Roman" w:hAnsi="Times New Roman" w:cs="Times New Roman"/>
          <w:iCs/>
          <w:sz w:val="24"/>
          <w:szCs w:val="24"/>
        </w:rPr>
        <w:t>Q</w:t>
      </w:r>
      <w:r w:rsidRPr="003D4F05">
        <w:rPr>
          <w:rFonts w:ascii="Times New Roman" w:hAnsi="Times New Roman" w:cs="Times New Roman"/>
          <w:iCs/>
          <w:sz w:val="24"/>
          <w:szCs w:val="24"/>
        </w:rPr>
        <w:t>ualified Opportunity Funds</w:t>
      </w:r>
      <w:r w:rsidR="00D709EB">
        <w:rPr>
          <w:rFonts w:ascii="Times New Roman" w:hAnsi="Times New Roman" w:cs="Times New Roman"/>
          <w:iCs/>
          <w:sz w:val="24"/>
          <w:szCs w:val="24"/>
        </w:rPr>
        <w:t xml:space="preserve"> (QOFs)</w:t>
      </w:r>
      <w:r w:rsidRPr="003D4F05">
        <w:rPr>
          <w:rFonts w:ascii="Times New Roman" w:hAnsi="Times New Roman" w:cs="Times New Roman"/>
          <w:iCs/>
          <w:sz w:val="24"/>
          <w:szCs w:val="24"/>
        </w:rPr>
        <w:t xml:space="preserve"> that in turn deploy these resources into certain distressed census tracts in </w:t>
      </w:r>
      <w:r w:rsidR="005D66E4">
        <w:rPr>
          <w:rFonts w:ascii="Times New Roman" w:hAnsi="Times New Roman" w:cs="Times New Roman"/>
          <w:iCs/>
          <w:sz w:val="24"/>
          <w:szCs w:val="24"/>
        </w:rPr>
        <w:t xml:space="preserve">the </w:t>
      </w:r>
      <w:r w:rsidR="003E0276">
        <w:rPr>
          <w:rFonts w:ascii="Times New Roman" w:hAnsi="Times New Roman" w:cs="Times New Roman"/>
          <w:iCs/>
          <w:sz w:val="24"/>
          <w:szCs w:val="24"/>
        </w:rPr>
        <w:t>50</w:t>
      </w:r>
      <w:r w:rsidR="005D66E4">
        <w:rPr>
          <w:rFonts w:ascii="Times New Roman" w:hAnsi="Times New Roman" w:cs="Times New Roman"/>
          <w:iCs/>
          <w:sz w:val="24"/>
          <w:szCs w:val="24"/>
        </w:rPr>
        <w:t xml:space="preserve"> </w:t>
      </w:r>
      <w:r w:rsidR="003E0276">
        <w:rPr>
          <w:rFonts w:ascii="Times New Roman" w:hAnsi="Times New Roman" w:cs="Times New Roman"/>
          <w:iCs/>
          <w:sz w:val="24"/>
          <w:szCs w:val="24"/>
        </w:rPr>
        <w:t>s</w:t>
      </w:r>
      <w:r w:rsidRPr="00D709EB" w:rsidR="00D709EB">
        <w:rPr>
          <w:rFonts w:ascii="Times New Roman" w:hAnsi="Times New Roman" w:cs="Times New Roman"/>
          <w:iCs/>
          <w:sz w:val="24"/>
          <w:szCs w:val="24"/>
        </w:rPr>
        <w:t>tates, U.S. territories, and the District of Columbia (</w:t>
      </w:r>
      <w:r w:rsidRPr="0005754D" w:rsidR="0005754D">
        <w:rPr>
          <w:rFonts w:ascii="Times New Roman" w:hAnsi="Times New Roman" w:cs="Times New Roman"/>
          <w:iCs/>
          <w:sz w:val="24"/>
          <w:szCs w:val="24"/>
        </w:rPr>
        <w:t>collectively</w:t>
      </w:r>
      <w:r w:rsidR="005D368C">
        <w:rPr>
          <w:rFonts w:ascii="Times New Roman" w:hAnsi="Times New Roman" w:cs="Times New Roman"/>
          <w:iCs/>
          <w:sz w:val="24"/>
          <w:szCs w:val="24"/>
        </w:rPr>
        <w:t>,</w:t>
      </w:r>
      <w:r w:rsidRPr="0005754D" w:rsidR="0005754D">
        <w:rPr>
          <w:rFonts w:ascii="Times New Roman" w:hAnsi="Times New Roman" w:cs="Times New Roman"/>
          <w:iCs/>
          <w:sz w:val="24"/>
          <w:szCs w:val="24"/>
        </w:rPr>
        <w:t xml:space="preserve"> “States”</w:t>
      </w:r>
      <w:r w:rsidR="00D709EB">
        <w:rPr>
          <w:rFonts w:ascii="Times New Roman" w:hAnsi="Times New Roman" w:cs="Times New Roman"/>
          <w:iCs/>
          <w:sz w:val="24"/>
          <w:szCs w:val="24"/>
        </w:rPr>
        <w:t>)</w:t>
      </w:r>
      <w:r w:rsidRPr="003D4F05">
        <w:rPr>
          <w:rFonts w:ascii="Times New Roman" w:hAnsi="Times New Roman" w:cs="Times New Roman"/>
          <w:iCs/>
          <w:sz w:val="24"/>
          <w:szCs w:val="24"/>
        </w:rPr>
        <w:t xml:space="preserve"> </w:t>
      </w:r>
      <w:r w:rsidRPr="00575480" w:rsidR="00575480">
        <w:rPr>
          <w:rFonts w:ascii="Times New Roman" w:hAnsi="Times New Roman" w:cs="Times New Roman"/>
          <w:iCs/>
          <w:sz w:val="24"/>
          <w:szCs w:val="24"/>
        </w:rPr>
        <w:t xml:space="preserve">which may be </w:t>
      </w:r>
      <w:r w:rsidRPr="003D4F05">
        <w:rPr>
          <w:rFonts w:ascii="Times New Roman" w:hAnsi="Times New Roman" w:cs="Times New Roman"/>
          <w:iCs/>
          <w:sz w:val="24"/>
          <w:szCs w:val="24"/>
        </w:rPr>
        <w:t>designated as Qualified Opportunity Zones (QOZ</w:t>
      </w:r>
      <w:r w:rsidR="008658EE">
        <w:rPr>
          <w:rFonts w:ascii="Times New Roman" w:hAnsi="Times New Roman" w:cs="Times New Roman"/>
          <w:iCs/>
          <w:sz w:val="24"/>
          <w:szCs w:val="24"/>
        </w:rPr>
        <w:t>s</w:t>
      </w:r>
      <w:r w:rsidR="00327803">
        <w:rPr>
          <w:rFonts w:ascii="Times New Roman" w:hAnsi="Times New Roman" w:cs="Times New Roman"/>
          <w:iCs/>
          <w:sz w:val="24"/>
          <w:szCs w:val="24"/>
        </w:rPr>
        <w:t>)</w:t>
      </w:r>
      <w:r w:rsidRPr="003D4F05">
        <w:rPr>
          <w:rFonts w:ascii="Times New Roman" w:hAnsi="Times New Roman" w:cs="Times New Roman"/>
          <w:iCs/>
          <w:sz w:val="24"/>
          <w:szCs w:val="24"/>
        </w:rPr>
        <w:t xml:space="preserve">. </w:t>
      </w:r>
      <w:r w:rsidRPr="003D4F05" w:rsidR="009B3A24">
        <w:rPr>
          <w:rFonts w:ascii="Times New Roman" w:hAnsi="Times New Roman" w:cs="Times New Roman"/>
          <w:iCs/>
          <w:sz w:val="24"/>
          <w:szCs w:val="24"/>
        </w:rPr>
        <w:t xml:space="preserve"> </w:t>
      </w:r>
      <w:r w:rsidR="00CE086F">
        <w:rPr>
          <w:rFonts w:ascii="Times New Roman" w:hAnsi="Times New Roman" w:cs="Times New Roman"/>
          <w:iCs/>
          <w:sz w:val="24"/>
          <w:szCs w:val="24"/>
        </w:rPr>
        <w:t xml:space="preserve">A </w:t>
      </w:r>
      <w:r w:rsidR="00D709EB">
        <w:rPr>
          <w:rFonts w:ascii="Times New Roman" w:hAnsi="Times New Roman" w:cs="Times New Roman"/>
          <w:iCs/>
          <w:sz w:val="24"/>
          <w:szCs w:val="24"/>
        </w:rPr>
        <w:t>QOF</w:t>
      </w:r>
      <w:r w:rsidR="00CE086F">
        <w:rPr>
          <w:rFonts w:ascii="Times New Roman" w:hAnsi="Times New Roman" w:cs="Times New Roman"/>
          <w:iCs/>
          <w:sz w:val="24"/>
          <w:szCs w:val="24"/>
        </w:rPr>
        <w:t xml:space="preserve"> is an investment vehicle that is </w:t>
      </w:r>
      <w:r w:rsidR="00C51479">
        <w:rPr>
          <w:rFonts w:ascii="Times New Roman" w:hAnsi="Times New Roman" w:cs="Times New Roman"/>
          <w:iCs/>
          <w:sz w:val="24"/>
          <w:szCs w:val="24"/>
        </w:rPr>
        <w:t>organized</w:t>
      </w:r>
      <w:r w:rsidR="00CE086F">
        <w:rPr>
          <w:rFonts w:ascii="Times New Roman" w:hAnsi="Times New Roman" w:cs="Times New Roman"/>
          <w:iCs/>
          <w:sz w:val="24"/>
          <w:szCs w:val="24"/>
        </w:rPr>
        <w:t xml:space="preserve"> as a corporation or partnership for the purpose of investing in QOZ property (other than another </w:t>
      </w:r>
      <w:r w:rsidR="00D709EB">
        <w:rPr>
          <w:rFonts w:ascii="Times New Roman" w:hAnsi="Times New Roman" w:cs="Times New Roman"/>
          <w:iCs/>
          <w:sz w:val="24"/>
          <w:szCs w:val="24"/>
        </w:rPr>
        <w:t>QOF</w:t>
      </w:r>
      <w:r w:rsidR="00CE086F">
        <w:rPr>
          <w:rFonts w:ascii="Times New Roman" w:hAnsi="Times New Roman" w:cs="Times New Roman"/>
          <w:iCs/>
          <w:sz w:val="24"/>
          <w:szCs w:val="24"/>
        </w:rPr>
        <w:t xml:space="preserve">).  </w:t>
      </w:r>
      <w:r w:rsidRPr="00C51479" w:rsidR="00C51479">
        <w:rPr>
          <w:rFonts w:ascii="Times New Roman" w:hAnsi="Times New Roman" w:cs="Times New Roman"/>
          <w:iCs/>
          <w:sz w:val="24"/>
          <w:szCs w:val="24"/>
        </w:rPr>
        <w:t>QOZs are certain low-income community (LIC) eligible census tracts nominated by the States, and certified and designated by the Secretary of the Treasury (Secretary).</w:t>
      </w:r>
      <w:r w:rsidR="00C51479">
        <w:rPr>
          <w:rFonts w:ascii="Times New Roman" w:hAnsi="Times New Roman" w:cs="Times New Roman"/>
          <w:iCs/>
          <w:sz w:val="24"/>
          <w:szCs w:val="24"/>
        </w:rPr>
        <w:t xml:space="preserve">  </w:t>
      </w:r>
      <w:r w:rsidRPr="003D4F05">
        <w:rPr>
          <w:rFonts w:ascii="Times New Roman" w:hAnsi="Times New Roman" w:cs="Times New Roman"/>
          <w:iCs/>
          <w:sz w:val="24"/>
          <w:szCs w:val="24"/>
        </w:rPr>
        <w:t>Taxpayers who invest in</w:t>
      </w:r>
      <w:r w:rsidR="00D709EB">
        <w:rPr>
          <w:rFonts w:ascii="Times New Roman" w:hAnsi="Times New Roman" w:cs="Times New Roman"/>
          <w:iCs/>
          <w:sz w:val="24"/>
          <w:szCs w:val="24"/>
        </w:rPr>
        <w:t xml:space="preserve"> a</w:t>
      </w:r>
      <w:r w:rsidRPr="003D4F05">
        <w:rPr>
          <w:rFonts w:ascii="Times New Roman" w:hAnsi="Times New Roman" w:cs="Times New Roman"/>
          <w:iCs/>
          <w:sz w:val="24"/>
          <w:szCs w:val="24"/>
        </w:rPr>
        <w:t xml:space="preserve"> QOZ can receive certain tax benefits for their investments as an incentive to improve economic growth and job creation in underserved communities.  </w:t>
      </w:r>
    </w:p>
    <w:p w:rsidR="008C3871" w14:paraId="78F6A612" w14:textId="77777777">
      <w:pPr>
        <w:spacing w:after="0"/>
        <w:rPr>
          <w:rFonts w:ascii="Times New Roman" w:hAnsi="Times New Roman" w:cs="Times New Roman"/>
          <w:iCs/>
          <w:sz w:val="24"/>
          <w:szCs w:val="24"/>
        </w:rPr>
      </w:pPr>
    </w:p>
    <w:p w:rsidR="00926914" w:rsidRPr="003D4F05" w:rsidP="00280A7C" w14:paraId="43DE9DEC" w14:textId="61D75789">
      <w:pPr>
        <w:spacing w:after="0"/>
        <w:rPr>
          <w:rFonts w:ascii="Times New Roman" w:hAnsi="Times New Roman" w:cs="Times New Roman"/>
          <w:i/>
          <w:sz w:val="24"/>
          <w:szCs w:val="24"/>
        </w:rPr>
      </w:pPr>
      <w:r w:rsidRPr="003D4F05">
        <w:rPr>
          <w:rFonts w:ascii="Times New Roman" w:hAnsi="Times New Roman" w:cs="Times New Roman"/>
          <w:iCs/>
          <w:sz w:val="24"/>
          <w:szCs w:val="24"/>
        </w:rPr>
        <w:t>Section 70421 of the One Big Beautiful Bill Act (</w:t>
      </w:r>
      <w:r w:rsidRPr="005D66E4" w:rsidR="005D66E4">
        <w:rPr>
          <w:rFonts w:ascii="Times New Roman" w:hAnsi="Times New Roman" w:cs="Times New Roman"/>
          <w:iCs/>
          <w:sz w:val="24"/>
          <w:szCs w:val="24"/>
        </w:rPr>
        <w:t>OBBBA,</w:t>
      </w:r>
      <w:r w:rsidR="005D66E4">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Pub. L. 119-21), signed into law on July 4, 2025, made </w:t>
      </w:r>
      <w:r w:rsidR="005D66E4">
        <w:rPr>
          <w:rFonts w:ascii="Times New Roman" w:hAnsi="Times New Roman" w:cs="Times New Roman"/>
          <w:iCs/>
          <w:sz w:val="24"/>
          <w:szCs w:val="24"/>
        </w:rPr>
        <w:t xml:space="preserve">the </w:t>
      </w:r>
      <w:r w:rsidR="00A0352B">
        <w:rPr>
          <w:rFonts w:ascii="Times New Roman" w:hAnsi="Times New Roman" w:cs="Times New Roman"/>
          <w:iCs/>
          <w:sz w:val="24"/>
          <w:szCs w:val="24"/>
        </w:rPr>
        <w:t xml:space="preserve">QOZ </w:t>
      </w:r>
      <w:r w:rsidR="00D709EB">
        <w:rPr>
          <w:rFonts w:ascii="Times New Roman" w:hAnsi="Times New Roman" w:cs="Times New Roman"/>
          <w:iCs/>
          <w:sz w:val="24"/>
          <w:szCs w:val="24"/>
        </w:rPr>
        <w:t xml:space="preserve">incentives </w:t>
      </w:r>
      <w:r w:rsidRPr="003D4F05">
        <w:rPr>
          <w:rFonts w:ascii="Times New Roman" w:hAnsi="Times New Roman" w:cs="Times New Roman"/>
          <w:iCs/>
          <w:sz w:val="24"/>
          <w:szCs w:val="24"/>
        </w:rPr>
        <w:t>permanent and</w:t>
      </w:r>
      <w:r w:rsidR="00592983">
        <w:rPr>
          <w:rFonts w:ascii="Times New Roman" w:hAnsi="Times New Roman" w:cs="Times New Roman"/>
          <w:iCs/>
          <w:sz w:val="24"/>
          <w:szCs w:val="24"/>
        </w:rPr>
        <w:t>,</w:t>
      </w:r>
      <w:r w:rsidRPr="00592983" w:rsidR="00592983">
        <w:t xml:space="preserve"> </w:t>
      </w:r>
      <w:r w:rsidRPr="00592983" w:rsidR="00592983">
        <w:rPr>
          <w:rFonts w:ascii="Times New Roman" w:hAnsi="Times New Roman" w:cs="Times New Roman"/>
          <w:iCs/>
          <w:sz w:val="24"/>
          <w:szCs w:val="24"/>
        </w:rPr>
        <w:t>pertinent to this collection of information,</w:t>
      </w:r>
      <w:r w:rsidRPr="003D4F05">
        <w:rPr>
          <w:rFonts w:ascii="Times New Roman" w:hAnsi="Times New Roman" w:cs="Times New Roman"/>
          <w:iCs/>
          <w:sz w:val="24"/>
          <w:szCs w:val="24"/>
        </w:rPr>
        <w:t xml:space="preserve"> </w:t>
      </w:r>
      <w:r w:rsidR="004C1864">
        <w:rPr>
          <w:rFonts w:ascii="Times New Roman" w:hAnsi="Times New Roman" w:cs="Times New Roman"/>
          <w:iCs/>
          <w:sz w:val="24"/>
          <w:szCs w:val="24"/>
        </w:rPr>
        <w:t xml:space="preserve">established new </w:t>
      </w:r>
      <w:r w:rsidRPr="003D4F05">
        <w:rPr>
          <w:rFonts w:ascii="Times New Roman" w:hAnsi="Times New Roman" w:cs="Times New Roman"/>
          <w:iCs/>
          <w:sz w:val="24"/>
          <w:szCs w:val="24"/>
        </w:rPr>
        <w:t xml:space="preserve">dates </w:t>
      </w:r>
      <w:r w:rsidR="005D66E4">
        <w:rPr>
          <w:rFonts w:ascii="Times New Roman" w:hAnsi="Times New Roman" w:cs="Times New Roman"/>
          <w:iCs/>
          <w:sz w:val="24"/>
          <w:szCs w:val="24"/>
        </w:rPr>
        <w:t>by</w:t>
      </w:r>
      <w:r w:rsidR="00614B26">
        <w:rPr>
          <w:rFonts w:ascii="Times New Roman" w:hAnsi="Times New Roman" w:cs="Times New Roman"/>
          <w:iCs/>
          <w:sz w:val="24"/>
          <w:szCs w:val="24"/>
        </w:rPr>
        <w:t xml:space="preserve"> which</w:t>
      </w:r>
      <w:r w:rsidRPr="003D4F05">
        <w:rPr>
          <w:rFonts w:ascii="Times New Roman" w:hAnsi="Times New Roman" w:cs="Times New Roman"/>
          <w:iCs/>
          <w:sz w:val="24"/>
          <w:szCs w:val="24"/>
        </w:rPr>
        <w:t xml:space="preserve"> </w:t>
      </w:r>
      <w:r w:rsidR="00327803">
        <w:rPr>
          <w:rFonts w:ascii="Times New Roman" w:hAnsi="Times New Roman" w:cs="Times New Roman"/>
          <w:iCs/>
          <w:sz w:val="24"/>
          <w:szCs w:val="24"/>
        </w:rPr>
        <w:t>eligible</w:t>
      </w:r>
      <w:r w:rsidR="005D66E4">
        <w:rPr>
          <w:rFonts w:ascii="Times New Roman" w:hAnsi="Times New Roman" w:cs="Times New Roman"/>
          <w:iCs/>
          <w:sz w:val="24"/>
          <w:szCs w:val="24"/>
        </w:rPr>
        <w:t xml:space="preserve"> census tracts </w:t>
      </w:r>
      <w:r w:rsidRPr="003D4F05">
        <w:rPr>
          <w:rFonts w:ascii="Times New Roman" w:hAnsi="Times New Roman" w:cs="Times New Roman"/>
          <w:iCs/>
          <w:sz w:val="24"/>
          <w:szCs w:val="24"/>
        </w:rPr>
        <w:t xml:space="preserve">may be nominated </w:t>
      </w:r>
      <w:r w:rsidRPr="00097ED1" w:rsidR="00097ED1">
        <w:rPr>
          <w:rFonts w:ascii="Times New Roman" w:hAnsi="Times New Roman" w:cs="Times New Roman"/>
          <w:iCs/>
          <w:sz w:val="24"/>
          <w:szCs w:val="24"/>
        </w:rPr>
        <w:t>as a QOZ by the Chief Executive Officer (CEO) of a State</w:t>
      </w:r>
      <w:r w:rsidRPr="003D4F05">
        <w:rPr>
          <w:rFonts w:ascii="Times New Roman" w:hAnsi="Times New Roman" w:cs="Times New Roman"/>
          <w:iCs/>
          <w:sz w:val="24"/>
          <w:szCs w:val="24"/>
        </w:rPr>
        <w:t xml:space="preserve">.  </w:t>
      </w:r>
      <w:r w:rsidRPr="00097ED1" w:rsidR="00097ED1">
        <w:rPr>
          <w:rFonts w:ascii="Times New Roman" w:hAnsi="Times New Roman" w:cs="Times New Roman"/>
          <w:iCs/>
          <w:sz w:val="24"/>
          <w:szCs w:val="24"/>
        </w:rPr>
        <w:t>The designation period for the first set of new QOZs will begin on July 1, 2026, with additional rounds of designations to follow every ten years thereafter.  New</w:t>
      </w:r>
      <w:r w:rsidR="0014167A">
        <w:rPr>
          <w:rFonts w:ascii="Times New Roman" w:hAnsi="Times New Roman" w:cs="Times New Roman"/>
          <w:iCs/>
          <w:sz w:val="24"/>
          <w:szCs w:val="24"/>
        </w:rPr>
        <w:t>ly</w:t>
      </w:r>
      <w:r w:rsidRPr="00097ED1" w:rsidR="00097ED1">
        <w:rPr>
          <w:rFonts w:ascii="Times New Roman" w:hAnsi="Times New Roman" w:cs="Times New Roman"/>
          <w:iCs/>
          <w:sz w:val="24"/>
          <w:szCs w:val="24"/>
        </w:rPr>
        <w:t xml:space="preserve"> approved designations will become effective as of January 1, 2027, and will remain in effect for a similar ten-year period</w:t>
      </w:r>
      <w:r w:rsidR="00097ED1">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To take advantage of this incentive, </w:t>
      </w:r>
      <w:r w:rsidR="00097ED1">
        <w:rPr>
          <w:rFonts w:ascii="Times New Roman" w:hAnsi="Times New Roman" w:cs="Times New Roman"/>
          <w:iCs/>
          <w:sz w:val="24"/>
          <w:szCs w:val="24"/>
        </w:rPr>
        <w:t>State CEOs</w:t>
      </w:r>
      <w:r w:rsidR="005D66E4">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must nominate </w:t>
      </w:r>
      <w:r w:rsidRPr="006A1346" w:rsidR="006A1346">
        <w:rPr>
          <w:rFonts w:ascii="Times New Roman" w:hAnsi="Times New Roman" w:cs="Times New Roman"/>
          <w:iCs/>
          <w:sz w:val="24"/>
          <w:szCs w:val="24"/>
        </w:rPr>
        <w:t>eligible census tracts</w:t>
      </w:r>
      <w:r w:rsidR="00C30F3C">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for designation as </w:t>
      </w:r>
      <w:r w:rsidR="005D66E4">
        <w:rPr>
          <w:rFonts w:ascii="Times New Roman" w:hAnsi="Times New Roman" w:cs="Times New Roman"/>
          <w:iCs/>
          <w:sz w:val="24"/>
          <w:szCs w:val="24"/>
        </w:rPr>
        <w:t xml:space="preserve">a </w:t>
      </w:r>
      <w:r w:rsidRPr="003D4F05" w:rsidR="000A4A28">
        <w:rPr>
          <w:rFonts w:ascii="Times New Roman" w:hAnsi="Times New Roman" w:cs="Times New Roman"/>
          <w:iCs/>
          <w:sz w:val="24"/>
          <w:szCs w:val="24"/>
        </w:rPr>
        <w:t>QOZ</w:t>
      </w:r>
      <w:r w:rsidRPr="003D4F05">
        <w:rPr>
          <w:rFonts w:ascii="Times New Roman" w:hAnsi="Times New Roman" w:cs="Times New Roman"/>
          <w:iCs/>
          <w:sz w:val="24"/>
          <w:szCs w:val="24"/>
        </w:rPr>
        <w:t xml:space="preserve"> </w:t>
      </w:r>
      <w:r w:rsidRPr="009C7489" w:rsidR="009C7489">
        <w:rPr>
          <w:rFonts w:ascii="Times New Roman" w:hAnsi="Times New Roman" w:cs="Times New Roman"/>
          <w:iCs/>
          <w:sz w:val="24"/>
          <w:szCs w:val="24"/>
        </w:rPr>
        <w:t>during a 90-day period, subject to a single 30-day extension period,</w:t>
      </w:r>
      <w:r w:rsidR="009C7489">
        <w:rPr>
          <w:rFonts w:ascii="Times New Roman" w:hAnsi="Times New Roman" w:cs="Times New Roman"/>
          <w:iCs/>
          <w:sz w:val="24"/>
          <w:szCs w:val="24"/>
        </w:rPr>
        <w:t xml:space="preserve"> </w:t>
      </w:r>
      <w:r w:rsidR="00016F62">
        <w:rPr>
          <w:rFonts w:ascii="Times New Roman" w:hAnsi="Times New Roman" w:cs="Times New Roman"/>
          <w:iCs/>
          <w:sz w:val="24"/>
          <w:szCs w:val="24"/>
        </w:rPr>
        <w:t>beginning on</w:t>
      </w:r>
      <w:r w:rsidRPr="00F81453" w:rsidR="00016F62">
        <w:rPr>
          <w:rFonts w:ascii="Times New Roman" w:hAnsi="Times New Roman" w:cs="Times New Roman"/>
          <w:iCs/>
          <w:sz w:val="24"/>
          <w:szCs w:val="24"/>
        </w:rPr>
        <w:t xml:space="preserve"> </w:t>
      </w:r>
      <w:r w:rsidRPr="00280A7C">
        <w:rPr>
          <w:rFonts w:ascii="Times New Roman" w:hAnsi="Times New Roman" w:cs="Times New Roman"/>
          <w:iCs/>
          <w:sz w:val="24"/>
          <w:szCs w:val="24"/>
        </w:rPr>
        <w:t>July 1, 2026</w:t>
      </w:r>
      <w:r w:rsidRPr="00280A7C" w:rsidR="00A4593D">
        <w:rPr>
          <w:rFonts w:ascii="Times New Roman" w:hAnsi="Times New Roman" w:cs="Times New Roman"/>
          <w:iCs/>
          <w:sz w:val="24"/>
          <w:szCs w:val="24"/>
        </w:rPr>
        <w:t>.</w:t>
      </w:r>
      <w:r w:rsidRPr="00280A7C">
        <w:rPr>
          <w:rFonts w:ascii="Times New Roman" w:hAnsi="Times New Roman" w:cs="Times New Roman"/>
          <w:iCs/>
          <w:sz w:val="24"/>
          <w:szCs w:val="24"/>
        </w:rPr>
        <w:t xml:space="preserve"> </w:t>
      </w:r>
      <w:r w:rsidR="003C675B">
        <w:rPr>
          <w:rFonts w:ascii="Times New Roman" w:hAnsi="Times New Roman" w:cs="Times New Roman"/>
          <w:iCs/>
          <w:sz w:val="24"/>
          <w:szCs w:val="24"/>
        </w:rPr>
        <w:t xml:space="preserve"> </w:t>
      </w:r>
      <w:r w:rsidRPr="003D4F05">
        <w:rPr>
          <w:rFonts w:ascii="Times New Roman" w:hAnsi="Times New Roman" w:cs="Times New Roman"/>
          <w:iCs/>
          <w:sz w:val="24"/>
          <w:szCs w:val="24"/>
        </w:rPr>
        <w:t>The Secretary certif</w:t>
      </w:r>
      <w:r w:rsidR="00A417C3">
        <w:rPr>
          <w:rFonts w:ascii="Times New Roman" w:hAnsi="Times New Roman" w:cs="Times New Roman"/>
          <w:iCs/>
          <w:sz w:val="24"/>
          <w:szCs w:val="24"/>
        </w:rPr>
        <w:t>ies</w:t>
      </w:r>
      <w:r w:rsidRPr="003D4F05">
        <w:rPr>
          <w:rFonts w:ascii="Times New Roman" w:hAnsi="Times New Roman" w:cs="Times New Roman"/>
          <w:iCs/>
          <w:sz w:val="24"/>
          <w:szCs w:val="24"/>
        </w:rPr>
        <w:t xml:space="preserve"> such nominations and designate</w:t>
      </w:r>
      <w:r w:rsidR="00A417C3">
        <w:rPr>
          <w:rFonts w:ascii="Times New Roman" w:hAnsi="Times New Roman" w:cs="Times New Roman"/>
          <w:iCs/>
          <w:sz w:val="24"/>
          <w:szCs w:val="24"/>
        </w:rPr>
        <w:t>s</w:t>
      </w:r>
      <w:r w:rsidRPr="003D4F05">
        <w:rPr>
          <w:rFonts w:ascii="Times New Roman" w:hAnsi="Times New Roman" w:cs="Times New Roman"/>
          <w:iCs/>
          <w:sz w:val="24"/>
          <w:szCs w:val="24"/>
        </w:rPr>
        <w:t xml:space="preserve"> the </w:t>
      </w:r>
      <w:r w:rsidRPr="00016F62" w:rsidR="00016F62">
        <w:rPr>
          <w:rFonts w:ascii="Times New Roman" w:hAnsi="Times New Roman" w:cs="Times New Roman"/>
          <w:iCs/>
          <w:sz w:val="24"/>
          <w:szCs w:val="24"/>
        </w:rPr>
        <w:t xml:space="preserve">eligible census tract as a </w:t>
      </w:r>
      <w:r w:rsidRPr="003D4F05" w:rsidR="00D03036">
        <w:rPr>
          <w:rFonts w:ascii="Times New Roman" w:hAnsi="Times New Roman" w:cs="Times New Roman"/>
          <w:iCs/>
          <w:sz w:val="24"/>
          <w:szCs w:val="24"/>
        </w:rPr>
        <w:t>QOZ</w:t>
      </w:r>
      <w:r w:rsidRPr="003D4F05">
        <w:rPr>
          <w:rFonts w:ascii="Times New Roman" w:hAnsi="Times New Roman" w:cs="Times New Roman"/>
          <w:iCs/>
          <w:sz w:val="24"/>
          <w:szCs w:val="24"/>
        </w:rPr>
        <w:t xml:space="preserve"> within 30 days of </w:t>
      </w:r>
      <w:r w:rsidRPr="00016F62" w:rsidR="00016F62">
        <w:rPr>
          <w:rFonts w:ascii="Times New Roman" w:hAnsi="Times New Roman" w:cs="Times New Roman"/>
          <w:iCs/>
          <w:sz w:val="24"/>
          <w:szCs w:val="24"/>
        </w:rPr>
        <w:t>receiving notice from the CEO that the State has made its nomination</w:t>
      </w:r>
      <w:r w:rsidRPr="003D4F05">
        <w:rPr>
          <w:rFonts w:ascii="Times New Roman" w:hAnsi="Times New Roman" w:cs="Times New Roman"/>
          <w:iCs/>
          <w:sz w:val="24"/>
          <w:szCs w:val="24"/>
        </w:rPr>
        <w:t>.</w:t>
      </w:r>
      <w:r w:rsidR="00E72F4E">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 In response to </w:t>
      </w:r>
      <w:r w:rsidR="00016F62">
        <w:rPr>
          <w:rFonts w:ascii="Times New Roman" w:hAnsi="Times New Roman" w:cs="Times New Roman"/>
          <w:iCs/>
          <w:sz w:val="24"/>
          <w:szCs w:val="24"/>
        </w:rPr>
        <w:t>these</w:t>
      </w:r>
      <w:r w:rsidRPr="003D4F05">
        <w:rPr>
          <w:rFonts w:ascii="Times New Roman" w:hAnsi="Times New Roman" w:cs="Times New Roman"/>
          <w:iCs/>
          <w:sz w:val="24"/>
          <w:szCs w:val="24"/>
        </w:rPr>
        <w:t xml:space="preserve"> statutory requirement</w:t>
      </w:r>
      <w:r w:rsidR="00016F62">
        <w:rPr>
          <w:rFonts w:ascii="Times New Roman" w:hAnsi="Times New Roman" w:cs="Times New Roman"/>
          <w:iCs/>
          <w:sz w:val="24"/>
          <w:szCs w:val="24"/>
        </w:rPr>
        <w:t>s</w:t>
      </w:r>
      <w:r w:rsidRPr="003D4F05">
        <w:rPr>
          <w:rFonts w:ascii="Times New Roman" w:hAnsi="Times New Roman" w:cs="Times New Roman"/>
          <w:iCs/>
          <w:sz w:val="24"/>
          <w:szCs w:val="24"/>
        </w:rPr>
        <w:t xml:space="preserve">, the CDFI Fund </w:t>
      </w:r>
      <w:r w:rsidRPr="003D4F05" w:rsidR="000A4A28">
        <w:rPr>
          <w:rFonts w:ascii="Times New Roman" w:hAnsi="Times New Roman" w:cs="Times New Roman"/>
          <w:iCs/>
          <w:sz w:val="24"/>
          <w:szCs w:val="24"/>
        </w:rPr>
        <w:t xml:space="preserve">will </w:t>
      </w:r>
      <w:r w:rsidRPr="003D4F05" w:rsidR="00D835BF">
        <w:rPr>
          <w:rFonts w:ascii="Times New Roman" w:hAnsi="Times New Roman" w:cs="Times New Roman"/>
          <w:iCs/>
          <w:sz w:val="24"/>
          <w:szCs w:val="24"/>
        </w:rPr>
        <w:t>reinstate</w:t>
      </w:r>
      <w:r w:rsidRPr="003D4F05">
        <w:rPr>
          <w:rFonts w:ascii="Times New Roman" w:hAnsi="Times New Roman" w:cs="Times New Roman"/>
          <w:iCs/>
          <w:sz w:val="24"/>
          <w:szCs w:val="24"/>
        </w:rPr>
        <w:t xml:space="preserve"> the </w:t>
      </w:r>
      <w:r w:rsidR="00536667">
        <w:rPr>
          <w:rFonts w:ascii="Times New Roman" w:hAnsi="Times New Roman" w:cs="Times New Roman"/>
          <w:iCs/>
          <w:sz w:val="24"/>
          <w:szCs w:val="24"/>
        </w:rPr>
        <w:t xml:space="preserve">OZ </w:t>
      </w:r>
      <w:r w:rsidRPr="003D4F05">
        <w:rPr>
          <w:rFonts w:ascii="Times New Roman" w:hAnsi="Times New Roman" w:cs="Times New Roman"/>
          <w:iCs/>
          <w:sz w:val="24"/>
          <w:szCs w:val="24"/>
        </w:rPr>
        <w:t>Nomination Tool</w:t>
      </w:r>
      <w:r w:rsidR="00016F62">
        <w:rPr>
          <w:rFonts w:ascii="Times New Roman" w:hAnsi="Times New Roman" w:cs="Times New Roman"/>
          <w:iCs/>
          <w:sz w:val="24"/>
          <w:szCs w:val="24"/>
        </w:rPr>
        <w:t>,</w:t>
      </w:r>
      <w:r w:rsidRPr="003D4F05">
        <w:rPr>
          <w:rFonts w:ascii="Times New Roman" w:hAnsi="Times New Roman" w:cs="Times New Roman"/>
          <w:iCs/>
          <w:sz w:val="24"/>
          <w:szCs w:val="24"/>
        </w:rPr>
        <w:t xml:space="preserve"> </w:t>
      </w:r>
      <w:r w:rsidR="00016F62">
        <w:rPr>
          <w:rFonts w:ascii="Times New Roman" w:hAnsi="Times New Roman" w:cs="Times New Roman"/>
          <w:iCs/>
          <w:sz w:val="24"/>
          <w:szCs w:val="24"/>
        </w:rPr>
        <w:t>which</w:t>
      </w:r>
      <w:r w:rsidRPr="003D4F05" w:rsidR="00016F62">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will assist the </w:t>
      </w:r>
      <w:r w:rsidR="00016F62">
        <w:rPr>
          <w:rFonts w:ascii="Times New Roman" w:hAnsi="Times New Roman" w:cs="Times New Roman"/>
          <w:iCs/>
          <w:sz w:val="24"/>
          <w:szCs w:val="24"/>
        </w:rPr>
        <w:t>Secretary</w:t>
      </w:r>
      <w:r w:rsidR="00933583">
        <w:rPr>
          <w:rFonts w:ascii="Times New Roman" w:hAnsi="Times New Roman" w:cs="Times New Roman"/>
          <w:iCs/>
          <w:sz w:val="24"/>
          <w:szCs w:val="24"/>
        </w:rPr>
        <w:t xml:space="preserve"> </w:t>
      </w:r>
      <w:r w:rsidRPr="003D4F05">
        <w:rPr>
          <w:rFonts w:ascii="Times New Roman" w:hAnsi="Times New Roman" w:cs="Times New Roman"/>
          <w:iCs/>
          <w:sz w:val="24"/>
          <w:szCs w:val="24"/>
        </w:rPr>
        <w:t xml:space="preserve">in the </w:t>
      </w:r>
      <w:r w:rsidR="00016F62">
        <w:rPr>
          <w:rFonts w:ascii="Times New Roman" w:hAnsi="Times New Roman" w:cs="Times New Roman"/>
          <w:iCs/>
          <w:sz w:val="24"/>
          <w:szCs w:val="24"/>
        </w:rPr>
        <w:t xml:space="preserve">certification and </w:t>
      </w:r>
      <w:r w:rsidRPr="003D4F05">
        <w:rPr>
          <w:rFonts w:ascii="Times New Roman" w:hAnsi="Times New Roman" w:cs="Times New Roman"/>
          <w:iCs/>
          <w:sz w:val="24"/>
          <w:szCs w:val="24"/>
        </w:rPr>
        <w:t xml:space="preserve">designation </w:t>
      </w:r>
      <w:r w:rsidR="00016F62">
        <w:rPr>
          <w:rFonts w:ascii="Times New Roman" w:hAnsi="Times New Roman" w:cs="Times New Roman"/>
          <w:iCs/>
          <w:sz w:val="24"/>
          <w:szCs w:val="24"/>
        </w:rPr>
        <w:t>process</w:t>
      </w:r>
      <w:r w:rsidRPr="003D4F05">
        <w:rPr>
          <w:rFonts w:ascii="Times New Roman" w:hAnsi="Times New Roman" w:cs="Times New Roman"/>
          <w:iCs/>
          <w:sz w:val="24"/>
          <w:szCs w:val="24"/>
        </w:rPr>
        <w:t>.</w:t>
      </w:r>
      <w:bookmarkEnd w:id="1"/>
      <w:r w:rsidR="00E72F4E">
        <w:rPr>
          <w:rFonts w:ascii="Times New Roman" w:hAnsi="Times New Roman" w:cs="Times New Roman"/>
          <w:i/>
          <w:sz w:val="24"/>
          <w:szCs w:val="24"/>
        </w:rPr>
        <w:t xml:space="preserve"> </w:t>
      </w:r>
      <w:r w:rsidRPr="003D4F05">
        <w:rPr>
          <w:rFonts w:ascii="Times New Roman" w:hAnsi="Times New Roman" w:cs="Times New Roman"/>
          <w:i/>
          <w:sz w:val="24"/>
          <w:szCs w:val="24"/>
        </w:rPr>
        <w:t xml:space="preserve"> </w:t>
      </w:r>
    </w:p>
    <w:bookmarkEnd w:id="2"/>
    <w:p w:rsidR="00653FE3" w:rsidP="00653FE3" w14:paraId="69281D0F" w14:textId="77777777">
      <w:pPr>
        <w:spacing w:after="0"/>
        <w:rPr>
          <w:rFonts w:ascii="Times New Roman" w:hAnsi="Times New Roman" w:cs="Times New Roman"/>
          <w:sz w:val="24"/>
          <w:szCs w:val="24"/>
          <w:u w:val="single"/>
        </w:rPr>
      </w:pPr>
    </w:p>
    <w:p w:rsidR="00653FE3" w:rsidRPr="00134D08" w:rsidP="00280A7C" w14:paraId="53298788" w14:textId="6C0D2CA9">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2.  Method of collection and use of data</w:t>
      </w:r>
    </w:p>
    <w:p w:rsidR="00653FE3" w:rsidP="00653FE3" w14:paraId="4B645747" w14:textId="0D99A6A0">
      <w:pPr>
        <w:spacing w:after="0"/>
        <w:rPr>
          <w:rFonts w:ascii="Times New Roman" w:hAnsi="Times New Roman" w:cs="Times New Roman"/>
          <w:sz w:val="24"/>
          <w:szCs w:val="24"/>
        </w:rPr>
      </w:pPr>
      <w:r w:rsidRPr="00134D08">
        <w:rPr>
          <w:rFonts w:ascii="Times New Roman" w:hAnsi="Times New Roman" w:cs="Times New Roman"/>
          <w:sz w:val="24"/>
          <w:szCs w:val="24"/>
        </w:rPr>
        <w:t xml:space="preserve">The CDFI Fund will collect data by means of the </w:t>
      </w:r>
      <w:r w:rsidR="00536667">
        <w:rPr>
          <w:rFonts w:ascii="Times New Roman" w:hAnsi="Times New Roman" w:cs="Times New Roman"/>
          <w:sz w:val="24"/>
          <w:szCs w:val="24"/>
        </w:rPr>
        <w:t xml:space="preserve">OZ </w:t>
      </w:r>
      <w:r w:rsidRPr="00134D08">
        <w:rPr>
          <w:rFonts w:ascii="Times New Roman" w:hAnsi="Times New Roman" w:cs="Times New Roman"/>
          <w:sz w:val="24"/>
          <w:szCs w:val="24"/>
        </w:rPr>
        <w:t xml:space="preserve">Nomination Tool.  State </w:t>
      </w:r>
      <w:r w:rsidR="00D709EB">
        <w:rPr>
          <w:rFonts w:ascii="Times New Roman" w:hAnsi="Times New Roman" w:cs="Times New Roman"/>
          <w:sz w:val="24"/>
          <w:szCs w:val="24"/>
        </w:rPr>
        <w:t>CEOs</w:t>
      </w:r>
      <w:r w:rsidRPr="00134D08">
        <w:rPr>
          <w:rFonts w:ascii="Times New Roman" w:hAnsi="Times New Roman" w:cs="Times New Roman"/>
          <w:sz w:val="24"/>
          <w:szCs w:val="24"/>
        </w:rPr>
        <w:t xml:space="preserve"> must complete and </w:t>
      </w:r>
      <w:r w:rsidRPr="00134D08" w:rsidR="002C394D">
        <w:rPr>
          <w:rFonts w:ascii="Times New Roman" w:hAnsi="Times New Roman" w:cs="Times New Roman"/>
          <w:sz w:val="24"/>
          <w:szCs w:val="24"/>
        </w:rPr>
        <w:t xml:space="preserve">submit </w:t>
      </w:r>
      <w:r w:rsidRPr="00134D08">
        <w:rPr>
          <w:rFonts w:ascii="Times New Roman" w:hAnsi="Times New Roman" w:cs="Times New Roman"/>
          <w:sz w:val="24"/>
          <w:szCs w:val="24"/>
        </w:rPr>
        <w:t xml:space="preserve">the </w:t>
      </w:r>
      <w:r w:rsidR="004379F8">
        <w:rPr>
          <w:rFonts w:ascii="Times New Roman" w:hAnsi="Times New Roman" w:cs="Times New Roman"/>
          <w:sz w:val="24"/>
          <w:szCs w:val="24"/>
        </w:rPr>
        <w:t xml:space="preserve">OZ </w:t>
      </w:r>
      <w:r w:rsidRPr="00134D08" w:rsidR="004379F8">
        <w:rPr>
          <w:rFonts w:ascii="Times New Roman" w:hAnsi="Times New Roman" w:cs="Times New Roman"/>
          <w:sz w:val="24"/>
          <w:szCs w:val="24"/>
        </w:rPr>
        <w:t>Nomination</w:t>
      </w:r>
      <w:r w:rsidRPr="00134D08">
        <w:rPr>
          <w:rFonts w:ascii="Times New Roman" w:hAnsi="Times New Roman" w:cs="Times New Roman"/>
          <w:sz w:val="24"/>
          <w:szCs w:val="24"/>
        </w:rPr>
        <w:t xml:space="preserve"> Tool </w:t>
      </w:r>
      <w:r w:rsidRPr="00134D08" w:rsidR="002C394D">
        <w:rPr>
          <w:rFonts w:ascii="Times New Roman" w:hAnsi="Times New Roman" w:cs="Times New Roman"/>
          <w:sz w:val="24"/>
          <w:szCs w:val="24"/>
        </w:rPr>
        <w:t>form using</w:t>
      </w:r>
      <w:r w:rsidRPr="00134D08">
        <w:rPr>
          <w:rFonts w:ascii="Times New Roman" w:hAnsi="Times New Roman" w:cs="Times New Roman"/>
          <w:sz w:val="24"/>
          <w:szCs w:val="24"/>
        </w:rPr>
        <w:t xml:space="preserve"> a CDFI Fund-managed web-based portal.  The CDFI Fund will use the data collected to </w:t>
      </w:r>
      <w:r w:rsidR="00B25F61">
        <w:rPr>
          <w:rFonts w:ascii="Times New Roman" w:hAnsi="Times New Roman" w:cs="Times New Roman"/>
          <w:sz w:val="24"/>
          <w:szCs w:val="24"/>
        </w:rPr>
        <w:t xml:space="preserve">assist in efforts to </w:t>
      </w:r>
      <w:r w:rsidRPr="00134D08">
        <w:rPr>
          <w:rFonts w:ascii="Times New Roman" w:hAnsi="Times New Roman" w:cs="Times New Roman"/>
          <w:sz w:val="24"/>
          <w:szCs w:val="24"/>
        </w:rPr>
        <w:t xml:space="preserve">certify eligible nominations and designate </w:t>
      </w:r>
      <w:r w:rsidRPr="00134D08" w:rsidR="00AC6D1F">
        <w:rPr>
          <w:rFonts w:ascii="Times New Roman" w:hAnsi="Times New Roman" w:cs="Times New Roman"/>
          <w:sz w:val="24"/>
          <w:szCs w:val="24"/>
        </w:rPr>
        <w:t>QOZ</w:t>
      </w:r>
      <w:r w:rsidR="00D709EB">
        <w:rPr>
          <w:rFonts w:ascii="Times New Roman" w:hAnsi="Times New Roman" w:cs="Times New Roman"/>
          <w:sz w:val="24"/>
          <w:szCs w:val="24"/>
        </w:rPr>
        <w:t>s</w:t>
      </w:r>
      <w:r w:rsidRPr="00134D08">
        <w:rPr>
          <w:rFonts w:ascii="Times New Roman" w:hAnsi="Times New Roman" w:cs="Times New Roman"/>
          <w:sz w:val="24"/>
          <w:szCs w:val="24"/>
        </w:rPr>
        <w:t>.</w:t>
      </w:r>
    </w:p>
    <w:p w:rsidR="000E204D" w:rsidRPr="00134D08" w:rsidP="00280A7C" w14:paraId="1F4EC539" w14:textId="39E96F6C">
      <w:pPr>
        <w:spacing w:after="0"/>
        <w:rPr>
          <w:rFonts w:ascii="Times New Roman" w:hAnsi="Times New Roman" w:cs="Times New Roman"/>
          <w:sz w:val="24"/>
          <w:szCs w:val="24"/>
        </w:rPr>
      </w:pPr>
      <w:r w:rsidRPr="00134D08">
        <w:rPr>
          <w:rFonts w:ascii="Times New Roman" w:hAnsi="Times New Roman" w:cs="Times New Roman"/>
          <w:sz w:val="24"/>
          <w:szCs w:val="24"/>
        </w:rPr>
        <w:t xml:space="preserve">  </w:t>
      </w:r>
    </w:p>
    <w:p w:rsidR="00653FE3" w:rsidRPr="00134D08" w:rsidP="00280A7C" w14:paraId="4A9E0A47" w14:textId="1B774C9B">
      <w:pPr>
        <w:spacing w:after="0"/>
        <w:jc w:val="both"/>
        <w:rPr>
          <w:rFonts w:ascii="Times New Roman" w:hAnsi="Times New Roman" w:cs="Times New Roman"/>
          <w:sz w:val="24"/>
          <w:szCs w:val="24"/>
          <w:u w:val="single"/>
        </w:rPr>
      </w:pPr>
      <w:r w:rsidRPr="00D43972">
        <w:rPr>
          <w:rFonts w:ascii="Times New Roman" w:hAnsi="Times New Roman" w:cs="Times New Roman"/>
          <w:sz w:val="24"/>
          <w:szCs w:val="24"/>
          <w:u w:val="single"/>
        </w:rPr>
        <w:t>3.</w:t>
      </w:r>
      <w:r w:rsidRPr="00D43972" w:rsidR="00E72F4E">
        <w:rPr>
          <w:rFonts w:ascii="Times New Roman" w:hAnsi="Times New Roman" w:cs="Times New Roman"/>
          <w:sz w:val="24"/>
          <w:szCs w:val="24"/>
          <w:u w:val="single"/>
        </w:rPr>
        <w:t xml:space="preserve"> </w:t>
      </w:r>
      <w:r w:rsidRPr="00D43972">
        <w:rPr>
          <w:rFonts w:ascii="Times New Roman" w:hAnsi="Times New Roman" w:cs="Times New Roman"/>
          <w:sz w:val="24"/>
          <w:szCs w:val="24"/>
          <w:u w:val="single"/>
        </w:rPr>
        <w:t xml:space="preserve"> Use of Information Technology</w:t>
      </w:r>
    </w:p>
    <w:p w:rsidR="00653FE3" w:rsidP="00653FE3" w14:paraId="3E84DED6" w14:textId="4E058E06">
      <w:pPr>
        <w:pStyle w:val="Header"/>
        <w:spacing w:line="259" w:lineRule="auto"/>
        <w:rPr>
          <w:rFonts w:ascii="Times New Roman" w:hAnsi="Times New Roman" w:cs="Times New Roman"/>
          <w:sz w:val="24"/>
          <w:szCs w:val="24"/>
        </w:rPr>
      </w:pPr>
      <w:r w:rsidRPr="00134D08">
        <w:rPr>
          <w:rFonts w:ascii="Times New Roman" w:hAnsi="Times New Roman" w:cs="Times New Roman"/>
          <w:sz w:val="24"/>
          <w:szCs w:val="24"/>
        </w:rPr>
        <w:t xml:space="preserve">The CDFI Fund will only accept electronic nominations unless </w:t>
      </w:r>
      <w:r w:rsidR="00A32C30">
        <w:rPr>
          <w:rFonts w:ascii="Times New Roman" w:hAnsi="Times New Roman" w:cs="Times New Roman"/>
          <w:sz w:val="24"/>
          <w:szCs w:val="24"/>
        </w:rPr>
        <w:t>a State CEO</w:t>
      </w:r>
      <w:r w:rsidRPr="00134D08">
        <w:rPr>
          <w:rFonts w:ascii="Times New Roman" w:hAnsi="Times New Roman" w:cs="Times New Roman"/>
          <w:sz w:val="24"/>
          <w:szCs w:val="24"/>
        </w:rPr>
        <w:t xml:space="preserve"> </w:t>
      </w:r>
      <w:r w:rsidR="004218CF">
        <w:rPr>
          <w:rFonts w:ascii="Times New Roman" w:hAnsi="Times New Roman" w:cs="Times New Roman"/>
          <w:sz w:val="24"/>
          <w:szCs w:val="24"/>
        </w:rPr>
        <w:t xml:space="preserve">respondent </w:t>
      </w:r>
      <w:r w:rsidRPr="00134D08">
        <w:rPr>
          <w:rFonts w:ascii="Times New Roman" w:hAnsi="Times New Roman" w:cs="Times New Roman"/>
          <w:sz w:val="24"/>
          <w:szCs w:val="24"/>
        </w:rPr>
        <w:t xml:space="preserve">receives advance written permission from the CDFI Fund that </w:t>
      </w:r>
      <w:r w:rsidR="00614B26">
        <w:rPr>
          <w:rFonts w:ascii="Times New Roman" w:hAnsi="Times New Roman" w:cs="Times New Roman"/>
          <w:sz w:val="24"/>
          <w:szCs w:val="24"/>
        </w:rPr>
        <w:t>it</w:t>
      </w:r>
      <w:r w:rsidRPr="00134D08">
        <w:rPr>
          <w:rFonts w:ascii="Times New Roman" w:hAnsi="Times New Roman" w:cs="Times New Roman"/>
          <w:sz w:val="24"/>
          <w:szCs w:val="24"/>
        </w:rPr>
        <w:t xml:space="preserve"> may submit </w:t>
      </w:r>
      <w:r w:rsidR="00614B26">
        <w:rPr>
          <w:rFonts w:ascii="Times New Roman" w:hAnsi="Times New Roman" w:cs="Times New Roman"/>
          <w:sz w:val="24"/>
          <w:szCs w:val="24"/>
        </w:rPr>
        <w:t>its</w:t>
      </w:r>
      <w:r w:rsidRPr="00134D08">
        <w:rPr>
          <w:rFonts w:ascii="Times New Roman" w:hAnsi="Times New Roman" w:cs="Times New Roman"/>
          <w:sz w:val="24"/>
          <w:szCs w:val="24"/>
        </w:rPr>
        <w:t xml:space="preserve"> nomination in another </w:t>
      </w:r>
      <w:r w:rsidRPr="00134D08">
        <w:rPr>
          <w:rFonts w:ascii="Times New Roman" w:hAnsi="Times New Roman" w:cs="Times New Roman"/>
          <w:sz w:val="24"/>
          <w:szCs w:val="24"/>
        </w:rPr>
        <w:t>format.  All nomination materials must be submitted in the CDFI Fund-managed web-based portal</w:t>
      </w:r>
      <w:r w:rsidR="00D448DF">
        <w:rPr>
          <w:rFonts w:ascii="Times New Roman" w:hAnsi="Times New Roman" w:cs="Times New Roman"/>
          <w:sz w:val="24"/>
          <w:szCs w:val="24"/>
        </w:rPr>
        <w:t xml:space="preserve">, </w:t>
      </w:r>
      <w:r w:rsidRPr="00D448DF" w:rsidR="00D448DF">
        <w:rPr>
          <w:rFonts w:ascii="Times New Roman" w:hAnsi="Times New Roman" w:cs="Times New Roman"/>
          <w:sz w:val="24"/>
          <w:szCs w:val="24"/>
        </w:rPr>
        <w:t>unless otherwise published in guidance</w:t>
      </w:r>
      <w:r w:rsidRPr="00134D08">
        <w:rPr>
          <w:rFonts w:ascii="Times New Roman" w:hAnsi="Times New Roman" w:cs="Times New Roman"/>
          <w:sz w:val="24"/>
          <w:szCs w:val="24"/>
        </w:rPr>
        <w:t>.</w:t>
      </w:r>
    </w:p>
    <w:p w:rsidR="000E204D" w:rsidP="00280A7C" w14:paraId="17DBE844" w14:textId="1C6735BA">
      <w:pPr>
        <w:pStyle w:val="Heade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134D08">
        <w:rPr>
          <w:rFonts w:ascii="Times New Roman" w:hAnsi="Times New Roman" w:cs="Times New Roman"/>
          <w:sz w:val="24"/>
          <w:szCs w:val="24"/>
        </w:rPr>
        <w:t xml:space="preserve"> </w:t>
      </w:r>
    </w:p>
    <w:p w:rsidR="00653FE3" w:rsidRPr="00134D08" w:rsidP="00280A7C" w14:paraId="7EA4C579" w14:textId="3CF0E8DB">
      <w:pPr>
        <w:spacing w:after="0"/>
        <w:jc w:val="both"/>
        <w:rPr>
          <w:rFonts w:ascii="Times New Roman" w:hAnsi="Times New Roman" w:cs="Times New Roman"/>
          <w:sz w:val="24"/>
          <w:szCs w:val="24"/>
          <w:u w:val="single"/>
        </w:rPr>
      </w:pPr>
      <w:r w:rsidRPr="00D43972">
        <w:rPr>
          <w:rFonts w:ascii="Times New Roman" w:hAnsi="Times New Roman" w:cs="Times New Roman"/>
          <w:sz w:val="24"/>
          <w:szCs w:val="24"/>
          <w:u w:val="single"/>
        </w:rPr>
        <w:t>4.  Efforts to identify duplication</w:t>
      </w:r>
    </w:p>
    <w:p w:rsidR="00653FE3" w:rsidP="00653FE3" w14:paraId="4674CFE6" w14:textId="77777777">
      <w:pPr>
        <w:spacing w:after="0"/>
        <w:rPr>
          <w:rFonts w:ascii="Times New Roman" w:hAnsi="Times New Roman" w:cs="Times New Roman"/>
          <w:sz w:val="24"/>
          <w:szCs w:val="24"/>
        </w:rPr>
      </w:pPr>
      <w:r w:rsidRPr="00134D08">
        <w:rPr>
          <w:rFonts w:ascii="Times New Roman" w:hAnsi="Times New Roman" w:cs="Times New Roman"/>
          <w:sz w:val="24"/>
          <w:szCs w:val="24"/>
        </w:rPr>
        <w:t xml:space="preserve">The </w:t>
      </w:r>
      <w:r w:rsidR="004379F8">
        <w:rPr>
          <w:rFonts w:ascii="Times New Roman" w:hAnsi="Times New Roman" w:cs="Times New Roman"/>
          <w:sz w:val="24"/>
          <w:szCs w:val="24"/>
        </w:rPr>
        <w:t xml:space="preserve">OZ </w:t>
      </w:r>
      <w:r w:rsidRPr="00134D08" w:rsidR="004379F8">
        <w:rPr>
          <w:rFonts w:ascii="Times New Roman" w:hAnsi="Times New Roman" w:cs="Times New Roman"/>
          <w:sz w:val="24"/>
          <w:szCs w:val="24"/>
        </w:rPr>
        <w:t>Nomination</w:t>
      </w:r>
      <w:r w:rsidRPr="00134D08">
        <w:rPr>
          <w:rFonts w:ascii="Times New Roman" w:hAnsi="Times New Roman" w:cs="Times New Roman"/>
          <w:sz w:val="24"/>
          <w:szCs w:val="24"/>
        </w:rPr>
        <w:t xml:space="preserve"> Tool does not request information that is available from other Federal agencies or collected in other information collections.</w:t>
      </w:r>
    </w:p>
    <w:p w:rsidR="00E41ED1" w:rsidP="00280A7C" w14:paraId="2F6795B8" w14:textId="3465F50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53FE3" w:rsidRPr="00134D08" w:rsidP="00280A7C" w14:paraId="4E505D60" w14:textId="1529771D">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5.  Impact on small entities</w:t>
      </w:r>
    </w:p>
    <w:p w:rsidR="00653FE3" w:rsidP="00653FE3" w14:paraId="48F4FB92" w14:textId="77777777">
      <w:pPr>
        <w:spacing w:after="0"/>
        <w:rPr>
          <w:rFonts w:ascii="Times New Roman" w:hAnsi="Times New Roman" w:cs="Times New Roman"/>
          <w:sz w:val="24"/>
          <w:szCs w:val="24"/>
        </w:rPr>
      </w:pPr>
      <w:r w:rsidRPr="00134D08">
        <w:rPr>
          <w:rFonts w:ascii="Times New Roman" w:hAnsi="Times New Roman" w:cs="Times New Roman"/>
          <w:sz w:val="24"/>
          <w:szCs w:val="24"/>
        </w:rPr>
        <w:t>This collection of information will only be completed by</w:t>
      </w:r>
      <w:r w:rsidR="003C675B">
        <w:rPr>
          <w:rFonts w:ascii="Times New Roman" w:hAnsi="Times New Roman" w:cs="Times New Roman"/>
          <w:sz w:val="24"/>
          <w:szCs w:val="24"/>
        </w:rPr>
        <w:t xml:space="preserve"> the</w:t>
      </w:r>
      <w:r w:rsidRPr="00134D08">
        <w:rPr>
          <w:rFonts w:ascii="Times New Roman" w:hAnsi="Times New Roman" w:cs="Times New Roman"/>
          <w:sz w:val="24"/>
          <w:szCs w:val="24"/>
        </w:rPr>
        <w:t xml:space="preserve"> States and will not impact small entities.</w:t>
      </w:r>
    </w:p>
    <w:p w:rsidR="000E204D" w:rsidP="00280A7C" w14:paraId="3F35D165" w14:textId="085F3EB3">
      <w:pPr>
        <w:spacing w:after="0"/>
        <w:rPr>
          <w:rFonts w:ascii="Times New Roman" w:hAnsi="Times New Roman" w:cs="Times New Roman"/>
          <w:sz w:val="24"/>
          <w:szCs w:val="24"/>
        </w:rPr>
      </w:pPr>
      <w:r w:rsidRPr="00134D08">
        <w:rPr>
          <w:rFonts w:ascii="Times New Roman" w:hAnsi="Times New Roman" w:cs="Times New Roman"/>
          <w:sz w:val="24"/>
          <w:szCs w:val="24"/>
        </w:rPr>
        <w:t xml:space="preserve"> </w:t>
      </w:r>
      <w:r w:rsidR="00E72F4E">
        <w:rPr>
          <w:rFonts w:ascii="Times New Roman" w:hAnsi="Times New Roman" w:cs="Times New Roman"/>
          <w:sz w:val="24"/>
          <w:szCs w:val="24"/>
        </w:rPr>
        <w:t xml:space="preserve"> </w:t>
      </w:r>
    </w:p>
    <w:p w:rsidR="00653FE3" w:rsidRPr="00134D08" w:rsidP="00280A7C" w14:paraId="1A756C57" w14:textId="42641D16">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6.  Consequences of less frequent collection and obstacles to burden reduction</w:t>
      </w:r>
    </w:p>
    <w:p w:rsidR="00653FE3" w:rsidP="00653FE3" w14:paraId="0FA09ECB" w14:textId="0DCCBBFB">
      <w:pPr>
        <w:spacing w:after="0"/>
        <w:rPr>
          <w:rFonts w:ascii="Times New Roman" w:hAnsi="Times New Roman" w:cs="Times New Roman"/>
          <w:sz w:val="24"/>
          <w:szCs w:val="24"/>
        </w:rPr>
      </w:pPr>
      <w:r w:rsidRPr="00134D08">
        <w:rPr>
          <w:rFonts w:ascii="Times New Roman" w:hAnsi="Times New Roman" w:cs="Times New Roman"/>
          <w:sz w:val="24"/>
          <w:szCs w:val="24"/>
        </w:rPr>
        <w:t xml:space="preserve">This collection is </w:t>
      </w:r>
      <w:r w:rsidR="002F7BFB">
        <w:rPr>
          <w:rFonts w:ascii="Times New Roman" w:hAnsi="Times New Roman" w:cs="Times New Roman"/>
          <w:sz w:val="24"/>
          <w:szCs w:val="24"/>
        </w:rPr>
        <w:t xml:space="preserve">only conducted once every ten years and frequency cannot be reduced further due to the </w:t>
      </w:r>
      <w:r w:rsidRPr="00134D08">
        <w:rPr>
          <w:rFonts w:ascii="Times New Roman" w:hAnsi="Times New Roman" w:cs="Times New Roman"/>
          <w:sz w:val="24"/>
          <w:szCs w:val="24"/>
        </w:rPr>
        <w:t xml:space="preserve">statutory requirement established by Congress for States to nominate </w:t>
      </w:r>
      <w:r w:rsidRPr="00134D08" w:rsidR="00AC6D1F">
        <w:rPr>
          <w:rFonts w:ascii="Times New Roman" w:hAnsi="Times New Roman" w:cs="Times New Roman"/>
          <w:sz w:val="24"/>
          <w:szCs w:val="24"/>
        </w:rPr>
        <w:t>QOZ</w:t>
      </w:r>
      <w:r w:rsidR="008658EE">
        <w:rPr>
          <w:rFonts w:ascii="Times New Roman" w:hAnsi="Times New Roman" w:cs="Times New Roman"/>
          <w:sz w:val="24"/>
          <w:szCs w:val="24"/>
        </w:rPr>
        <w:t>s</w:t>
      </w:r>
      <w:r w:rsidRPr="00134D08">
        <w:rPr>
          <w:rFonts w:ascii="Times New Roman" w:hAnsi="Times New Roman" w:cs="Times New Roman"/>
          <w:sz w:val="24"/>
          <w:szCs w:val="24"/>
        </w:rPr>
        <w:t xml:space="preserve"> </w:t>
      </w:r>
      <w:r w:rsidR="00070C89">
        <w:rPr>
          <w:rFonts w:ascii="Times New Roman" w:hAnsi="Times New Roman" w:cs="Times New Roman"/>
          <w:sz w:val="24"/>
          <w:szCs w:val="24"/>
        </w:rPr>
        <w:t>beginning</w:t>
      </w:r>
      <w:r w:rsidR="00C640E2">
        <w:rPr>
          <w:rFonts w:ascii="Times New Roman" w:hAnsi="Times New Roman" w:cs="Times New Roman"/>
          <w:sz w:val="24"/>
          <w:szCs w:val="24"/>
        </w:rPr>
        <w:t xml:space="preserve"> </w:t>
      </w:r>
      <w:r w:rsidRPr="00134D08" w:rsidR="00E72ECE">
        <w:rPr>
          <w:rFonts w:ascii="Times New Roman" w:hAnsi="Times New Roman" w:cs="Times New Roman"/>
          <w:sz w:val="24"/>
          <w:szCs w:val="24"/>
        </w:rPr>
        <w:t xml:space="preserve">July 1, </w:t>
      </w:r>
      <w:r w:rsidRPr="00134D08" w:rsidR="002F7BFB">
        <w:rPr>
          <w:rFonts w:ascii="Times New Roman" w:hAnsi="Times New Roman" w:cs="Times New Roman"/>
          <w:sz w:val="24"/>
          <w:szCs w:val="24"/>
        </w:rPr>
        <w:t>2026,</w:t>
      </w:r>
      <w:r w:rsidR="002F7BFB">
        <w:rPr>
          <w:rFonts w:ascii="Times New Roman" w:hAnsi="Times New Roman" w:cs="Times New Roman"/>
          <w:sz w:val="24"/>
          <w:szCs w:val="24"/>
        </w:rPr>
        <w:t xml:space="preserve"> and each ten years thereafter</w:t>
      </w:r>
      <w:r w:rsidR="00070C89">
        <w:rPr>
          <w:rFonts w:ascii="Times New Roman" w:hAnsi="Times New Roman" w:cs="Times New Roman"/>
          <w:sz w:val="24"/>
          <w:szCs w:val="24"/>
        </w:rPr>
        <w:t xml:space="preserve">. </w:t>
      </w:r>
      <w:r w:rsidRPr="00134D08">
        <w:rPr>
          <w:rFonts w:ascii="Times New Roman" w:hAnsi="Times New Roman" w:cs="Times New Roman"/>
          <w:sz w:val="24"/>
          <w:szCs w:val="24"/>
        </w:rPr>
        <w:t>Failure to implement and collect</w:t>
      </w:r>
      <w:r w:rsidR="00D709EB">
        <w:rPr>
          <w:rFonts w:ascii="Times New Roman" w:hAnsi="Times New Roman" w:cs="Times New Roman"/>
          <w:sz w:val="24"/>
          <w:szCs w:val="24"/>
        </w:rPr>
        <w:t xml:space="preserve"> information using</w:t>
      </w:r>
      <w:r w:rsidRPr="00134D08">
        <w:rPr>
          <w:rFonts w:ascii="Times New Roman" w:hAnsi="Times New Roman" w:cs="Times New Roman"/>
          <w:sz w:val="24"/>
          <w:szCs w:val="24"/>
        </w:rPr>
        <w:t xml:space="preserve"> the </w:t>
      </w:r>
      <w:r w:rsidR="00536667">
        <w:rPr>
          <w:rFonts w:ascii="Times New Roman" w:hAnsi="Times New Roman" w:cs="Times New Roman"/>
          <w:sz w:val="24"/>
          <w:szCs w:val="24"/>
        </w:rPr>
        <w:t xml:space="preserve">OZ </w:t>
      </w:r>
      <w:r w:rsidRPr="00134D08">
        <w:rPr>
          <w:rFonts w:ascii="Times New Roman" w:hAnsi="Times New Roman" w:cs="Times New Roman"/>
          <w:sz w:val="24"/>
          <w:szCs w:val="24"/>
        </w:rPr>
        <w:t xml:space="preserve">Nomination Tool will result in the significant loss of benefits to </w:t>
      </w:r>
      <w:r w:rsidR="00F3508F">
        <w:rPr>
          <w:rFonts w:ascii="Times New Roman" w:hAnsi="Times New Roman" w:cs="Times New Roman"/>
          <w:sz w:val="24"/>
          <w:szCs w:val="24"/>
        </w:rPr>
        <w:t>distressed census tracts</w:t>
      </w:r>
      <w:r w:rsidRPr="00134D08">
        <w:rPr>
          <w:rFonts w:ascii="Times New Roman" w:hAnsi="Times New Roman" w:cs="Times New Roman"/>
          <w:sz w:val="24"/>
          <w:szCs w:val="24"/>
        </w:rPr>
        <w:t xml:space="preserve"> across the country.  The intention of this collection is to </w:t>
      </w:r>
      <w:r w:rsidR="002F7BFB">
        <w:rPr>
          <w:rFonts w:ascii="Times New Roman" w:hAnsi="Times New Roman" w:cs="Times New Roman"/>
          <w:sz w:val="24"/>
          <w:szCs w:val="24"/>
        </w:rPr>
        <w:t>minimize</w:t>
      </w:r>
      <w:r w:rsidRPr="00134D08">
        <w:rPr>
          <w:rFonts w:ascii="Times New Roman" w:hAnsi="Times New Roman" w:cs="Times New Roman"/>
          <w:sz w:val="24"/>
          <w:szCs w:val="24"/>
        </w:rPr>
        <w:t xml:space="preserve"> the burden on States to meet this statutory requirement.</w:t>
      </w:r>
    </w:p>
    <w:p w:rsidR="000E204D" w:rsidRPr="00134D08" w:rsidP="00280A7C" w14:paraId="03B0B4C0" w14:textId="19CE04F3">
      <w:pPr>
        <w:spacing w:after="0"/>
        <w:rPr>
          <w:rFonts w:ascii="Times New Roman" w:hAnsi="Times New Roman" w:cs="Times New Roman"/>
          <w:sz w:val="24"/>
          <w:szCs w:val="24"/>
        </w:rPr>
      </w:pPr>
      <w:r w:rsidRPr="00134D08">
        <w:rPr>
          <w:rFonts w:ascii="Times New Roman" w:hAnsi="Times New Roman" w:cs="Times New Roman"/>
          <w:sz w:val="24"/>
          <w:szCs w:val="24"/>
        </w:rPr>
        <w:t xml:space="preserve"> </w:t>
      </w:r>
      <w:r w:rsidR="00E72F4E">
        <w:rPr>
          <w:rFonts w:ascii="Times New Roman" w:hAnsi="Times New Roman" w:cs="Times New Roman"/>
          <w:sz w:val="24"/>
          <w:szCs w:val="24"/>
        </w:rPr>
        <w:t xml:space="preserve"> </w:t>
      </w:r>
    </w:p>
    <w:p w:rsidR="00653FE3" w:rsidRPr="00134D08" w:rsidP="00280A7C" w14:paraId="71A968A6" w14:textId="58B52F9F">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7.  Circumstances requiring special information collection</w:t>
      </w:r>
    </w:p>
    <w:p w:rsidR="000E204D" w:rsidP="00653FE3" w14:paraId="3DAAB0D6" w14:textId="031F847E">
      <w:pPr>
        <w:spacing w:after="0"/>
        <w:rPr>
          <w:rFonts w:ascii="Times New Roman" w:hAnsi="Times New Roman" w:cs="Times New Roman"/>
          <w:sz w:val="24"/>
          <w:szCs w:val="24"/>
        </w:rPr>
      </w:pPr>
      <w:r w:rsidRPr="00134D08">
        <w:rPr>
          <w:rFonts w:ascii="Times New Roman" w:hAnsi="Times New Roman" w:cs="Times New Roman"/>
          <w:sz w:val="24"/>
          <w:szCs w:val="24"/>
        </w:rPr>
        <w:t xml:space="preserve">Not applicable. </w:t>
      </w:r>
      <w:r w:rsidR="00E72F4E">
        <w:rPr>
          <w:rFonts w:ascii="Times New Roman" w:hAnsi="Times New Roman" w:cs="Times New Roman"/>
          <w:sz w:val="24"/>
          <w:szCs w:val="24"/>
        </w:rPr>
        <w:t xml:space="preserve"> </w:t>
      </w:r>
    </w:p>
    <w:p w:rsidR="00653FE3" w:rsidRPr="00134D08" w:rsidP="00280A7C" w14:paraId="600C6269" w14:textId="77777777">
      <w:pPr>
        <w:spacing w:after="0"/>
        <w:rPr>
          <w:rFonts w:ascii="Times New Roman" w:hAnsi="Times New Roman" w:cs="Times New Roman"/>
          <w:sz w:val="24"/>
          <w:szCs w:val="24"/>
        </w:rPr>
      </w:pPr>
    </w:p>
    <w:p w:rsidR="00653FE3" w:rsidRPr="00134D08" w:rsidP="00280A7C" w14:paraId="76F51001" w14:textId="0EFDB0E5">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8.  Solicitation of comments on information collection</w:t>
      </w:r>
    </w:p>
    <w:p w:rsidR="004E5B49" w:rsidP="004E5B49" w14:paraId="0520BFFE" w14:textId="2486C55B">
      <w:pPr>
        <w:rPr>
          <w:rFonts w:ascii="Times New Roman" w:hAnsi="Times New Roman" w:cs="Times New Roman"/>
          <w:sz w:val="24"/>
          <w:szCs w:val="24"/>
        </w:rPr>
      </w:pPr>
      <w:r w:rsidRPr="00D62FFA">
        <w:rPr>
          <w:rFonts w:ascii="Times New Roman" w:hAnsi="Times New Roman" w:cs="Times New Roman"/>
          <w:sz w:val="24"/>
          <w:szCs w:val="24"/>
        </w:rPr>
        <w:t xml:space="preserve">Comments on the Opportunity Zone (OZ) Nomination Tool were solicited via notice in the </w:t>
      </w:r>
      <w:r w:rsidRPr="002F7BFB">
        <w:rPr>
          <w:rFonts w:ascii="Times New Roman" w:hAnsi="Times New Roman" w:cs="Times New Roman"/>
          <w:i/>
          <w:iCs/>
          <w:sz w:val="24"/>
          <w:szCs w:val="24"/>
        </w:rPr>
        <w:t>Federal Register</w:t>
      </w:r>
      <w:r w:rsidRPr="00D62FFA">
        <w:rPr>
          <w:rFonts w:ascii="Times New Roman" w:hAnsi="Times New Roman" w:cs="Times New Roman"/>
          <w:sz w:val="24"/>
          <w:szCs w:val="24"/>
        </w:rPr>
        <w:t xml:space="preserve"> on </w:t>
      </w:r>
      <w:r w:rsidRPr="00D62FFA" w:rsidR="00565BBE">
        <w:rPr>
          <w:rFonts w:ascii="Times New Roman" w:hAnsi="Times New Roman" w:cs="Times New Roman"/>
          <w:sz w:val="24"/>
          <w:szCs w:val="24"/>
        </w:rPr>
        <w:t>March</w:t>
      </w:r>
      <w:r w:rsidRPr="00D62FFA">
        <w:rPr>
          <w:rFonts w:ascii="Times New Roman" w:hAnsi="Times New Roman" w:cs="Times New Roman"/>
          <w:sz w:val="24"/>
          <w:szCs w:val="24"/>
        </w:rPr>
        <w:t xml:space="preserve"> </w:t>
      </w:r>
      <w:r w:rsidRPr="00D62FFA" w:rsidR="00565BBE">
        <w:rPr>
          <w:rFonts w:ascii="Times New Roman" w:hAnsi="Times New Roman" w:cs="Times New Roman"/>
          <w:sz w:val="24"/>
          <w:szCs w:val="24"/>
        </w:rPr>
        <w:t>6</w:t>
      </w:r>
      <w:r w:rsidRPr="00D62FFA">
        <w:rPr>
          <w:rFonts w:ascii="Times New Roman" w:hAnsi="Times New Roman" w:cs="Times New Roman"/>
          <w:sz w:val="24"/>
          <w:szCs w:val="24"/>
        </w:rPr>
        <w:t>, 2026 (</w:t>
      </w:r>
      <w:r w:rsidRPr="00D62FFA" w:rsidR="00565BBE">
        <w:rPr>
          <w:rFonts w:ascii="Times New Roman" w:hAnsi="Times New Roman" w:cs="Times New Roman"/>
          <w:sz w:val="24"/>
          <w:szCs w:val="24"/>
        </w:rPr>
        <w:t>91</w:t>
      </w:r>
      <w:r w:rsidRPr="00D62FFA">
        <w:rPr>
          <w:rFonts w:ascii="Times New Roman" w:hAnsi="Times New Roman" w:cs="Times New Roman"/>
          <w:sz w:val="24"/>
          <w:szCs w:val="24"/>
        </w:rPr>
        <w:t xml:space="preserve"> FR </w:t>
      </w:r>
      <w:r w:rsidRPr="00D62FFA" w:rsidR="00565BBE">
        <w:rPr>
          <w:rFonts w:ascii="Times New Roman" w:hAnsi="Times New Roman" w:cs="Times New Roman"/>
          <w:sz w:val="24"/>
          <w:szCs w:val="24"/>
        </w:rPr>
        <w:t>11126</w:t>
      </w:r>
      <w:r w:rsidRPr="00D62FFA">
        <w:rPr>
          <w:rFonts w:ascii="Times New Roman" w:hAnsi="Times New Roman" w:cs="Times New Roman"/>
          <w:sz w:val="24"/>
          <w:szCs w:val="24"/>
        </w:rPr>
        <w:t>).</w:t>
      </w:r>
      <w:r w:rsidRPr="00D62FFA" w:rsidR="00565BBE">
        <w:rPr>
          <w:rFonts w:ascii="Times New Roman" w:hAnsi="Times New Roman" w:cs="Times New Roman"/>
          <w:sz w:val="24"/>
          <w:szCs w:val="24"/>
        </w:rPr>
        <w:t xml:space="preserve"> </w:t>
      </w:r>
      <w:r w:rsidRPr="00D62FFA">
        <w:rPr>
          <w:rFonts w:ascii="Times New Roman" w:hAnsi="Times New Roman" w:cs="Times New Roman"/>
          <w:sz w:val="24"/>
          <w:szCs w:val="24"/>
        </w:rPr>
        <w:t xml:space="preserve">The CDFI Fund received </w:t>
      </w:r>
      <w:r w:rsidRPr="00D62FFA" w:rsidR="00565BBE">
        <w:rPr>
          <w:rFonts w:ascii="Times New Roman" w:hAnsi="Times New Roman" w:cs="Times New Roman"/>
          <w:sz w:val="24"/>
          <w:szCs w:val="24"/>
        </w:rPr>
        <w:t>23</w:t>
      </w:r>
      <w:r w:rsidRPr="00D62FFA">
        <w:rPr>
          <w:rFonts w:ascii="Times New Roman" w:hAnsi="Times New Roman" w:cs="Times New Roman"/>
          <w:sz w:val="24"/>
          <w:szCs w:val="24"/>
        </w:rPr>
        <w:t xml:space="preserve"> public comments in response to this request</w:t>
      </w:r>
      <w:r w:rsidR="002F7BFB">
        <w:rPr>
          <w:rFonts w:ascii="Times New Roman" w:hAnsi="Times New Roman" w:cs="Times New Roman"/>
          <w:sz w:val="24"/>
          <w:szCs w:val="24"/>
        </w:rPr>
        <w:t>,</w:t>
      </w:r>
      <w:r w:rsidRPr="00D62FFA" w:rsidR="00565BBE">
        <w:rPr>
          <w:rFonts w:ascii="Times New Roman" w:hAnsi="Times New Roman" w:cs="Times New Roman"/>
          <w:sz w:val="24"/>
          <w:szCs w:val="24"/>
        </w:rPr>
        <w:t xml:space="preserve"> including duplicates</w:t>
      </w:r>
      <w:r w:rsidRPr="00D62FFA">
        <w:rPr>
          <w:rFonts w:ascii="Times New Roman" w:hAnsi="Times New Roman" w:cs="Times New Roman"/>
          <w:sz w:val="24"/>
          <w:szCs w:val="24"/>
        </w:rPr>
        <w:t>.</w:t>
      </w:r>
      <w:r w:rsidR="00C479D7">
        <w:rPr>
          <w:rFonts w:ascii="Times New Roman" w:hAnsi="Times New Roman" w:cs="Times New Roman"/>
          <w:sz w:val="24"/>
          <w:szCs w:val="24"/>
        </w:rPr>
        <w:t xml:space="preserve"> </w:t>
      </w:r>
      <w:r w:rsidRPr="00D62FFA" w:rsidR="00565BBE">
        <w:rPr>
          <w:rFonts w:ascii="Times New Roman" w:hAnsi="Times New Roman" w:cs="Times New Roman"/>
          <w:sz w:val="24"/>
          <w:szCs w:val="24"/>
        </w:rPr>
        <w:t>The majority of the comments were not related to the OZ Nomination Tool’s functionality or scope but to the nominations submitted to State CEOs</w:t>
      </w:r>
      <w:r w:rsidR="00C479D7">
        <w:rPr>
          <w:rFonts w:ascii="Times New Roman" w:hAnsi="Times New Roman" w:cs="Times New Roman"/>
          <w:sz w:val="24"/>
          <w:szCs w:val="24"/>
        </w:rPr>
        <w:t>. The table shown in Appendix A displays the 8 unique comments.</w:t>
      </w:r>
      <w:r w:rsidRPr="00D62FFA">
        <w:rPr>
          <w:rFonts w:ascii="Times New Roman" w:hAnsi="Times New Roman" w:cs="Times New Roman"/>
          <w:sz w:val="24"/>
          <w:szCs w:val="24"/>
        </w:rPr>
        <w:t xml:space="preserve"> (See Appendix A)</w:t>
      </w:r>
      <w:r w:rsidRPr="00D62FFA" w:rsidR="00565BBE">
        <w:rPr>
          <w:rFonts w:ascii="Times New Roman" w:hAnsi="Times New Roman" w:cs="Times New Roman"/>
          <w:sz w:val="24"/>
          <w:szCs w:val="24"/>
        </w:rPr>
        <w:t>.</w:t>
      </w:r>
      <w:r w:rsidR="003C4A60">
        <w:rPr>
          <w:rFonts w:ascii="Times New Roman" w:hAnsi="Times New Roman" w:cs="Times New Roman"/>
          <w:sz w:val="24"/>
          <w:szCs w:val="24"/>
        </w:rPr>
        <w:t xml:space="preserve"> </w:t>
      </w:r>
      <w:r w:rsidR="002A6ACE">
        <w:rPr>
          <w:rFonts w:ascii="Times New Roman" w:hAnsi="Times New Roman" w:cs="Times New Roman"/>
          <w:sz w:val="24"/>
          <w:szCs w:val="24"/>
        </w:rPr>
        <w:t xml:space="preserve">Full copies of the comments are available in the docket at </w:t>
      </w:r>
      <w:hyperlink r:id="rId5" w:history="1">
        <w:r w:rsidRPr="00FA3716" w:rsidR="002A6ACE">
          <w:rPr>
            <w:rStyle w:val="Hyperlink"/>
            <w:rFonts w:ascii="Times New Roman" w:hAnsi="Times New Roman" w:cs="Times New Roman"/>
            <w:sz w:val="24"/>
            <w:szCs w:val="24"/>
          </w:rPr>
          <w:t>https://www.regulations.gov/docket/CDFI-2026-0067/comments</w:t>
        </w:r>
      </w:hyperlink>
      <w:r w:rsidR="002A6ACE">
        <w:rPr>
          <w:rFonts w:ascii="Times New Roman" w:hAnsi="Times New Roman" w:cs="Times New Roman"/>
          <w:sz w:val="24"/>
          <w:szCs w:val="24"/>
        </w:rPr>
        <w:t>.</w:t>
      </w:r>
    </w:p>
    <w:p w:rsidR="000E204D" w:rsidRPr="00134D08" w:rsidP="00280A7C" w14:paraId="5C83F5EA" w14:textId="45C00C11">
      <w:pPr>
        <w:spacing w:after="0"/>
        <w:rPr>
          <w:rFonts w:ascii="Times New Roman" w:hAnsi="Times New Roman" w:cs="Times New Roman"/>
          <w:i/>
          <w:iCs/>
          <w:sz w:val="24"/>
          <w:szCs w:val="24"/>
        </w:rPr>
      </w:pPr>
    </w:p>
    <w:p w:rsidR="00653FE3" w:rsidRPr="00134D08" w:rsidP="00280A7C" w14:paraId="184FD9D7" w14:textId="56849988">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9</w:t>
      </w:r>
      <w:r w:rsidRPr="00D43972">
        <w:rPr>
          <w:rFonts w:ascii="Times New Roman" w:hAnsi="Times New Roman" w:cs="Times New Roman"/>
          <w:sz w:val="24"/>
          <w:szCs w:val="24"/>
          <w:u w:val="single"/>
        </w:rPr>
        <w:t>.  Provision</w:t>
      </w:r>
      <w:r w:rsidRPr="00D43972">
        <w:rPr>
          <w:rFonts w:ascii="Times New Roman" w:hAnsi="Times New Roman" w:cs="Times New Roman"/>
          <w:sz w:val="24"/>
          <w:szCs w:val="24"/>
          <w:u w:val="single"/>
        </w:rPr>
        <w:t xml:space="preserve"> of payment to respondents</w:t>
      </w:r>
    </w:p>
    <w:p w:rsidR="00653FE3" w:rsidP="00653FE3" w14:paraId="60CBB4EF" w14:textId="77777777">
      <w:pPr>
        <w:spacing w:after="0"/>
        <w:rPr>
          <w:rFonts w:ascii="Times New Roman" w:hAnsi="Times New Roman" w:cs="Times New Roman"/>
          <w:sz w:val="24"/>
          <w:szCs w:val="24"/>
        </w:rPr>
      </w:pPr>
      <w:r w:rsidRPr="00134D08">
        <w:rPr>
          <w:rFonts w:ascii="Times New Roman" w:hAnsi="Times New Roman" w:cs="Times New Roman"/>
          <w:sz w:val="24"/>
          <w:szCs w:val="24"/>
        </w:rPr>
        <w:t>No payments or gifts will be made to respondents.</w:t>
      </w:r>
    </w:p>
    <w:p w:rsidR="000E204D" w:rsidRPr="00134D08" w:rsidP="00280A7C" w14:paraId="64032A87" w14:textId="2674902C">
      <w:pPr>
        <w:spacing w:after="0"/>
        <w:rPr>
          <w:rFonts w:ascii="Times New Roman" w:hAnsi="Times New Roman" w:cs="Times New Roman"/>
          <w:sz w:val="24"/>
          <w:szCs w:val="24"/>
          <w:u w:val="single"/>
        </w:rPr>
      </w:pPr>
      <w:r w:rsidRPr="00134D08">
        <w:rPr>
          <w:rFonts w:ascii="Times New Roman" w:hAnsi="Times New Roman" w:cs="Times New Roman"/>
          <w:sz w:val="24"/>
          <w:szCs w:val="24"/>
        </w:rPr>
        <w:t xml:space="preserve"> </w:t>
      </w:r>
      <w:r w:rsidR="00E72F4E">
        <w:rPr>
          <w:rFonts w:ascii="Times New Roman" w:hAnsi="Times New Roman" w:cs="Times New Roman"/>
          <w:sz w:val="24"/>
          <w:szCs w:val="24"/>
        </w:rPr>
        <w:t xml:space="preserve"> </w:t>
      </w:r>
    </w:p>
    <w:p w:rsidR="00653FE3" w:rsidRPr="00134D08" w:rsidP="00280A7C" w14:paraId="12FB387F" w14:textId="7F9358BC">
      <w:pPr>
        <w:spacing w:after="0"/>
        <w:rPr>
          <w:rFonts w:ascii="Times New Roman" w:hAnsi="Times New Roman" w:cs="Times New Roman"/>
          <w:sz w:val="24"/>
          <w:szCs w:val="24"/>
          <w:u w:val="single"/>
        </w:rPr>
      </w:pPr>
      <w:bookmarkStart w:id="3" w:name="_Hlk217996330"/>
      <w:r w:rsidRPr="00D43972">
        <w:rPr>
          <w:rFonts w:ascii="Times New Roman" w:hAnsi="Times New Roman" w:cs="Times New Roman"/>
          <w:sz w:val="24"/>
          <w:szCs w:val="24"/>
          <w:u w:val="single"/>
        </w:rPr>
        <w:t>10.  Assurance of confidentiality</w:t>
      </w:r>
    </w:p>
    <w:p w:rsidR="00653FE3" w:rsidP="00653FE3" w14:paraId="5B932C44" w14:textId="5B54B87F">
      <w:pPr>
        <w:spacing w:after="0"/>
        <w:rPr>
          <w:rStyle w:val="cf01"/>
          <w:rFonts w:ascii="Times New Roman" w:hAnsi="Times New Roman" w:cs="Times New Roman"/>
          <w:sz w:val="24"/>
          <w:szCs w:val="24"/>
        </w:rPr>
      </w:pPr>
      <w:r w:rsidRPr="00700FFB">
        <w:rPr>
          <w:rFonts w:ascii="Times New Roman" w:hAnsi="Times New Roman" w:cs="Times New Roman"/>
          <w:sz w:val="24"/>
          <w:szCs w:val="24"/>
        </w:rPr>
        <w:t xml:space="preserve">The CDFI Fund is subject to all Federal statutes and regulations with respect to confidentiality of information provided by State </w:t>
      </w:r>
      <w:r w:rsidR="00D709EB">
        <w:rPr>
          <w:rFonts w:ascii="Times New Roman" w:hAnsi="Times New Roman" w:cs="Times New Roman"/>
          <w:sz w:val="24"/>
          <w:szCs w:val="24"/>
        </w:rPr>
        <w:t>CEOs</w:t>
      </w:r>
      <w:r w:rsidRPr="00700FFB">
        <w:rPr>
          <w:rFonts w:ascii="Times New Roman" w:hAnsi="Times New Roman" w:cs="Times New Roman"/>
          <w:sz w:val="24"/>
          <w:szCs w:val="24"/>
        </w:rPr>
        <w:t>.</w:t>
      </w:r>
      <w:r w:rsidR="00E72F4E">
        <w:rPr>
          <w:rFonts w:ascii="Times New Roman" w:hAnsi="Times New Roman" w:cs="Times New Roman"/>
          <w:sz w:val="24"/>
          <w:szCs w:val="24"/>
        </w:rPr>
        <w:t xml:space="preserve"> </w:t>
      </w:r>
      <w:r w:rsidRPr="00700FFB">
        <w:rPr>
          <w:rFonts w:ascii="Times New Roman" w:hAnsi="Times New Roman" w:cs="Times New Roman"/>
          <w:sz w:val="24"/>
          <w:szCs w:val="24"/>
        </w:rPr>
        <w:t xml:space="preserve"> Access to information in the </w:t>
      </w:r>
      <w:r w:rsidRPr="00700FFB" w:rsidR="002605C1">
        <w:rPr>
          <w:rFonts w:ascii="Times New Roman" w:hAnsi="Times New Roman" w:cs="Times New Roman"/>
          <w:sz w:val="24"/>
          <w:szCs w:val="24"/>
        </w:rPr>
        <w:t>OZ Nomination</w:t>
      </w:r>
      <w:r w:rsidRPr="00700FFB">
        <w:rPr>
          <w:rFonts w:ascii="Times New Roman" w:hAnsi="Times New Roman" w:cs="Times New Roman"/>
          <w:sz w:val="24"/>
          <w:szCs w:val="24"/>
        </w:rPr>
        <w:t xml:space="preserve"> Tool is restricted to the State </w:t>
      </w:r>
      <w:r w:rsidR="00D709EB">
        <w:rPr>
          <w:rFonts w:ascii="Times New Roman" w:hAnsi="Times New Roman" w:cs="Times New Roman"/>
          <w:sz w:val="24"/>
          <w:szCs w:val="24"/>
        </w:rPr>
        <w:t>CEO</w:t>
      </w:r>
      <w:r w:rsidR="00033793">
        <w:rPr>
          <w:rFonts w:ascii="Times New Roman" w:hAnsi="Times New Roman" w:cs="Times New Roman"/>
          <w:sz w:val="24"/>
          <w:szCs w:val="24"/>
        </w:rPr>
        <w:t>s</w:t>
      </w:r>
      <w:r w:rsidRPr="00700FFB">
        <w:rPr>
          <w:rFonts w:ascii="Times New Roman" w:hAnsi="Times New Roman" w:cs="Times New Roman"/>
          <w:sz w:val="24"/>
          <w:szCs w:val="24"/>
        </w:rPr>
        <w:t xml:space="preserve">, their designated representatives, </w:t>
      </w:r>
      <w:r w:rsidRPr="00700FFB" w:rsidR="0049288F">
        <w:rPr>
          <w:rFonts w:ascii="Times New Roman" w:hAnsi="Times New Roman" w:cs="Times New Roman"/>
          <w:sz w:val="24"/>
          <w:szCs w:val="24"/>
        </w:rPr>
        <w:t xml:space="preserve">IRS </w:t>
      </w:r>
      <w:r w:rsidRPr="00700FFB">
        <w:rPr>
          <w:rFonts w:ascii="Times New Roman" w:hAnsi="Times New Roman" w:cs="Times New Roman"/>
          <w:sz w:val="24"/>
          <w:szCs w:val="24"/>
        </w:rPr>
        <w:t>and CDFI Fund staff</w:t>
      </w:r>
      <w:r w:rsidR="00700FFB">
        <w:rPr>
          <w:rFonts w:ascii="Times New Roman" w:hAnsi="Times New Roman" w:cs="Times New Roman"/>
          <w:sz w:val="24"/>
          <w:szCs w:val="24"/>
        </w:rPr>
        <w:t>,</w:t>
      </w:r>
      <w:r w:rsidRPr="00405AAB" w:rsidR="00700FFB">
        <w:rPr>
          <w:rFonts w:ascii="Times New Roman" w:hAnsi="Times New Roman" w:cs="Times New Roman"/>
          <w:sz w:val="24"/>
          <w:szCs w:val="24"/>
        </w:rPr>
        <w:t xml:space="preserve"> </w:t>
      </w:r>
      <w:r w:rsidRPr="00405AAB" w:rsidR="00700FFB">
        <w:rPr>
          <w:rStyle w:val="cf01"/>
          <w:rFonts w:ascii="Times New Roman" w:hAnsi="Times New Roman" w:cs="Times New Roman"/>
          <w:sz w:val="24"/>
          <w:szCs w:val="24"/>
        </w:rPr>
        <w:t xml:space="preserve">and any other </w:t>
      </w:r>
      <w:r w:rsidR="00D709EB">
        <w:rPr>
          <w:rStyle w:val="cf01"/>
          <w:rFonts w:ascii="Times New Roman" w:hAnsi="Times New Roman" w:cs="Times New Roman"/>
          <w:sz w:val="24"/>
          <w:szCs w:val="24"/>
        </w:rPr>
        <w:t>F</w:t>
      </w:r>
      <w:r w:rsidRPr="00405AAB" w:rsidR="00700FFB">
        <w:rPr>
          <w:rStyle w:val="cf01"/>
          <w:rFonts w:ascii="Times New Roman" w:hAnsi="Times New Roman" w:cs="Times New Roman"/>
          <w:sz w:val="24"/>
          <w:szCs w:val="24"/>
        </w:rPr>
        <w:t>ederal agency staff as determined by the Secretary needed for the fulfillment of the OZ determination and impact assessment process.</w:t>
      </w:r>
    </w:p>
    <w:p w:rsidR="000E204D" w:rsidRPr="00700FFB" w:rsidP="00280A7C" w14:paraId="4F6CED64" w14:textId="33799D45">
      <w:pPr>
        <w:spacing w:after="0"/>
        <w:rPr>
          <w:rFonts w:ascii="Times New Roman" w:hAnsi="Times New Roman" w:cs="Times New Roman"/>
          <w:sz w:val="24"/>
          <w:szCs w:val="24"/>
          <w:u w:val="single"/>
        </w:rPr>
      </w:pPr>
      <w:r>
        <w:rPr>
          <w:rStyle w:val="cf01"/>
          <w:rFonts w:ascii="Times New Roman" w:hAnsi="Times New Roman" w:cs="Times New Roman"/>
          <w:sz w:val="24"/>
          <w:szCs w:val="24"/>
        </w:rPr>
        <w:t xml:space="preserve">  </w:t>
      </w:r>
    </w:p>
    <w:bookmarkEnd w:id="3"/>
    <w:p w:rsidR="000E204D" w:rsidRPr="00134D08" w:rsidP="00280A7C" w14:paraId="3002FB57" w14:textId="2C7CFC57">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11.  Justification of sensitive questions</w:t>
      </w:r>
    </w:p>
    <w:p w:rsidR="00653FE3" w:rsidP="00653FE3" w14:paraId="287BF0B5" w14:textId="537F5FAF">
      <w:pPr>
        <w:spacing w:after="0"/>
        <w:rPr>
          <w:rFonts w:ascii="Times New Roman" w:hAnsi="Times New Roman" w:cs="Times New Roman"/>
          <w:sz w:val="24"/>
          <w:szCs w:val="24"/>
        </w:rPr>
      </w:pPr>
      <w:r w:rsidRPr="00C9192E">
        <w:rPr>
          <w:rFonts w:ascii="Times New Roman" w:hAnsi="Times New Roman" w:cs="Times New Roman"/>
          <w:sz w:val="24"/>
          <w:szCs w:val="24"/>
        </w:rPr>
        <w:t>This information collection does not include questions of a sensitive nature.</w:t>
      </w:r>
      <w:r w:rsidRPr="00134D08" w:rsidR="000E204D">
        <w:rPr>
          <w:rFonts w:ascii="Times New Roman" w:hAnsi="Times New Roman" w:cs="Times New Roman"/>
          <w:sz w:val="24"/>
          <w:szCs w:val="24"/>
        </w:rPr>
        <w:t xml:space="preserve"> </w:t>
      </w:r>
      <w:r w:rsidR="00F81453">
        <w:rPr>
          <w:rFonts w:ascii="Times New Roman" w:hAnsi="Times New Roman" w:cs="Times New Roman"/>
          <w:sz w:val="24"/>
          <w:szCs w:val="24"/>
        </w:rPr>
        <w:t xml:space="preserve"> </w:t>
      </w:r>
      <w:r w:rsidRPr="00134D08" w:rsidR="000E204D">
        <w:rPr>
          <w:rFonts w:ascii="Times New Roman" w:hAnsi="Times New Roman" w:cs="Times New Roman"/>
          <w:sz w:val="24"/>
          <w:szCs w:val="24"/>
        </w:rPr>
        <w:t>No personally identifiable information (PII) is collected.</w:t>
      </w:r>
    </w:p>
    <w:p w:rsidR="005D638A" w:rsidP="00653FE3" w14:paraId="0B17BE1A" w14:textId="77777777">
      <w:pPr>
        <w:spacing w:after="0"/>
        <w:rPr>
          <w:rFonts w:ascii="Times New Roman" w:hAnsi="Times New Roman" w:cs="Times New Roman"/>
          <w:sz w:val="24"/>
          <w:szCs w:val="24"/>
        </w:rPr>
      </w:pPr>
    </w:p>
    <w:p w:rsidR="000E204D" w:rsidRPr="00134D08" w:rsidP="00280A7C" w14:paraId="7D70F2E5" w14:textId="25B83FF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E204D" w:rsidRPr="00134D08" w:rsidP="00280A7C" w14:paraId="717C0E7C" w14:textId="3E846F56">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12.  Estimate of the hour burden of information collection</w:t>
      </w:r>
    </w:p>
    <w:p w:rsidR="00FA7CA7" w14:paraId="61DCF93B" w14:textId="10CC4382">
      <w:pPr>
        <w:spacing w:after="0"/>
        <w:rPr>
          <w:rFonts w:ascii="Times New Roman" w:hAnsi="Times New Roman" w:cs="Times New Roman"/>
          <w:sz w:val="24"/>
          <w:szCs w:val="24"/>
        </w:rPr>
      </w:pPr>
      <w:r w:rsidRPr="00280A7C">
        <w:rPr>
          <w:rFonts w:ascii="Times New Roman" w:hAnsi="Times New Roman" w:cs="Times New Roman"/>
          <w:sz w:val="24"/>
          <w:szCs w:val="24"/>
        </w:rPr>
        <w:t xml:space="preserve">It is estimated that it will take each of the 56 State </w:t>
      </w:r>
      <w:r w:rsidRPr="00280A7C" w:rsidR="00933583">
        <w:rPr>
          <w:rFonts w:ascii="Times New Roman" w:hAnsi="Times New Roman" w:cs="Times New Roman"/>
          <w:sz w:val="24"/>
          <w:szCs w:val="24"/>
        </w:rPr>
        <w:t>CEOs</w:t>
      </w:r>
      <w:r w:rsidRPr="00280A7C">
        <w:rPr>
          <w:rFonts w:ascii="Times New Roman" w:hAnsi="Times New Roman" w:cs="Times New Roman"/>
          <w:sz w:val="24"/>
          <w:szCs w:val="24"/>
        </w:rPr>
        <w:t xml:space="preserve"> one (1) hour to complete the </w:t>
      </w:r>
      <w:r w:rsidRPr="00280A7C" w:rsidR="00536667">
        <w:rPr>
          <w:rFonts w:ascii="Times New Roman" w:hAnsi="Times New Roman" w:cs="Times New Roman"/>
          <w:sz w:val="24"/>
          <w:szCs w:val="24"/>
        </w:rPr>
        <w:t xml:space="preserve">OZ </w:t>
      </w:r>
      <w:r w:rsidRPr="00280A7C">
        <w:rPr>
          <w:rFonts w:ascii="Times New Roman" w:hAnsi="Times New Roman" w:cs="Times New Roman"/>
          <w:sz w:val="24"/>
          <w:szCs w:val="24"/>
        </w:rPr>
        <w:t xml:space="preserve">Nomination Tool for a total of 56 hours. </w:t>
      </w:r>
      <w:r w:rsidRPr="00280A7C" w:rsidR="004A3B7C">
        <w:rPr>
          <w:rFonts w:ascii="Times New Roman" w:hAnsi="Times New Roman" w:cs="Times New Roman"/>
          <w:sz w:val="24"/>
          <w:szCs w:val="24"/>
        </w:rPr>
        <w:t xml:space="preserve"> </w:t>
      </w:r>
      <w:r w:rsidRPr="00280A7C">
        <w:rPr>
          <w:rFonts w:ascii="Times New Roman" w:hAnsi="Times New Roman" w:cs="Times New Roman"/>
          <w:sz w:val="24"/>
          <w:szCs w:val="24"/>
        </w:rPr>
        <w:t xml:space="preserve">Only State </w:t>
      </w:r>
      <w:r w:rsidRPr="00280A7C" w:rsidR="00933583">
        <w:rPr>
          <w:rFonts w:ascii="Times New Roman" w:hAnsi="Times New Roman" w:cs="Times New Roman"/>
          <w:sz w:val="24"/>
          <w:szCs w:val="24"/>
        </w:rPr>
        <w:t>CEOs</w:t>
      </w:r>
      <w:r w:rsidRPr="00280A7C">
        <w:rPr>
          <w:rFonts w:ascii="Times New Roman" w:hAnsi="Times New Roman" w:cs="Times New Roman"/>
          <w:sz w:val="24"/>
          <w:szCs w:val="24"/>
        </w:rPr>
        <w:t xml:space="preserve"> can nominate </w:t>
      </w:r>
      <w:r w:rsidRPr="00280A7C" w:rsidR="00F45180">
        <w:rPr>
          <w:rFonts w:ascii="Times New Roman" w:hAnsi="Times New Roman" w:cs="Times New Roman"/>
          <w:sz w:val="24"/>
          <w:szCs w:val="24"/>
        </w:rPr>
        <w:t>QOZ</w:t>
      </w:r>
      <w:r w:rsidRPr="00280A7C" w:rsidR="00933583">
        <w:rPr>
          <w:rFonts w:ascii="Times New Roman" w:hAnsi="Times New Roman" w:cs="Times New Roman"/>
          <w:sz w:val="24"/>
          <w:szCs w:val="24"/>
        </w:rPr>
        <w:t>s</w:t>
      </w:r>
      <w:r w:rsidRPr="00280A7C" w:rsidR="00940B11">
        <w:rPr>
          <w:rFonts w:ascii="Times New Roman" w:hAnsi="Times New Roman" w:cs="Times New Roman"/>
          <w:sz w:val="24"/>
          <w:szCs w:val="24"/>
        </w:rPr>
        <w:t>;</w:t>
      </w:r>
      <w:r w:rsidRPr="00280A7C">
        <w:rPr>
          <w:rFonts w:ascii="Times New Roman" w:hAnsi="Times New Roman" w:cs="Times New Roman"/>
          <w:sz w:val="24"/>
          <w:szCs w:val="24"/>
        </w:rPr>
        <w:t xml:space="preserve"> therefore, the monetized burden hour estimate is based on the hourly rate for a State </w:t>
      </w:r>
      <w:r w:rsidRPr="00280A7C" w:rsidR="00933583">
        <w:rPr>
          <w:rFonts w:ascii="Times New Roman" w:hAnsi="Times New Roman" w:cs="Times New Roman"/>
          <w:sz w:val="24"/>
          <w:szCs w:val="24"/>
        </w:rPr>
        <w:t>CEO</w:t>
      </w:r>
      <w:r w:rsidRPr="00280A7C">
        <w:rPr>
          <w:rFonts w:ascii="Times New Roman" w:hAnsi="Times New Roman" w:cs="Times New Roman"/>
          <w:sz w:val="24"/>
          <w:szCs w:val="24"/>
        </w:rPr>
        <w:t xml:space="preserve"> per the Bureau of Labor Statistics.</w:t>
      </w:r>
    </w:p>
    <w:p w:rsidR="00137153" w:rsidP="00653FE3" w14:paraId="049A81A3" w14:textId="31D68DB5">
      <w:pPr>
        <w:pStyle w:val="BodyText3"/>
        <w:spacing w:after="0"/>
        <w:rPr>
          <w:bCs/>
          <w:iCs/>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5"/>
        <w:gridCol w:w="1440"/>
        <w:gridCol w:w="1350"/>
        <w:gridCol w:w="1260"/>
        <w:gridCol w:w="1156"/>
        <w:gridCol w:w="841"/>
        <w:gridCol w:w="1153"/>
        <w:gridCol w:w="1265"/>
      </w:tblGrid>
      <w:tr w14:paraId="7E91CD94" w14:textId="77777777" w:rsidTr="00E53DAC">
        <w:tblPrEx>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615" w:type="dxa"/>
            <w:tcBorders>
              <w:right w:val="single" w:sz="8" w:space="0" w:color="auto"/>
            </w:tcBorders>
            <w:shd w:val="clear" w:color="auto" w:fill="D9D9D9" w:themeFill="background1" w:themeFillShade="D9"/>
            <w:vAlign w:val="center"/>
          </w:tcPr>
          <w:p w:rsidR="000E204D" w:rsidRPr="00493E1F" w:rsidP="00653FE3" w14:paraId="657B52E5" w14:textId="787CBCB5">
            <w:pPr>
              <w:pStyle w:val="BodyText2"/>
              <w:spacing w:after="0" w:line="240" w:lineRule="auto"/>
              <w:jc w:val="center"/>
              <w:rPr>
                <w:b/>
                <w:sz w:val="22"/>
                <w:szCs w:val="22"/>
              </w:rPr>
            </w:pPr>
            <w:r w:rsidRPr="00493E1F">
              <w:rPr>
                <w:b/>
                <w:bCs/>
                <w:iCs/>
                <w:sz w:val="22"/>
                <w:szCs w:val="22"/>
              </w:rPr>
              <w:t>Affected Pub</w:t>
            </w:r>
            <w:r w:rsidR="00493E1F">
              <w:rPr>
                <w:b/>
                <w:bCs/>
                <w:iCs/>
                <w:sz w:val="22"/>
                <w:szCs w:val="22"/>
              </w:rPr>
              <w:t>l</w:t>
            </w:r>
            <w:r w:rsidRPr="00493E1F">
              <w:rPr>
                <w:b/>
                <w:bCs/>
                <w:iCs/>
                <w:sz w:val="22"/>
                <w:szCs w:val="22"/>
              </w:rPr>
              <w:t>ic</w:t>
            </w:r>
          </w:p>
        </w:tc>
        <w:tc>
          <w:tcPr>
            <w:tcW w:w="1440"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134D08" w:rsidP="00653FE3" w14:paraId="472805D0" w14:textId="5401A13C">
            <w:pPr>
              <w:pStyle w:val="BodyText2"/>
              <w:spacing w:after="0" w:line="240" w:lineRule="auto"/>
              <w:jc w:val="center"/>
              <w:rPr>
                <w:b/>
              </w:rPr>
            </w:pPr>
            <w:r w:rsidRPr="00134D08">
              <w:rPr>
                <w:b/>
              </w:rPr>
              <w:t xml:space="preserve"># </w:t>
            </w:r>
            <w:r w:rsidR="00A32C30">
              <w:rPr>
                <w:b/>
                <w:sz w:val="22"/>
                <w:szCs w:val="22"/>
              </w:rPr>
              <w:t>Respondents</w:t>
            </w:r>
          </w:p>
        </w:tc>
        <w:tc>
          <w:tcPr>
            <w:tcW w:w="1350"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134D08" w:rsidP="00653FE3" w14:paraId="6573E89B" w14:textId="5D9360D9">
            <w:pPr>
              <w:pStyle w:val="BodyText2"/>
              <w:spacing w:after="0" w:line="240" w:lineRule="auto"/>
              <w:jc w:val="center"/>
              <w:rPr>
                <w:b/>
              </w:rPr>
            </w:pPr>
            <w:r w:rsidRPr="00134D08">
              <w:rPr>
                <w:b/>
              </w:rPr>
              <w:t xml:space="preserve"># </w:t>
            </w:r>
            <w:r w:rsidRPr="00493E1F">
              <w:rPr>
                <w:b/>
                <w:sz w:val="22"/>
                <w:szCs w:val="22"/>
              </w:rPr>
              <w:t xml:space="preserve">Responses Per </w:t>
            </w:r>
            <w:r w:rsidR="00A32C30">
              <w:rPr>
                <w:b/>
                <w:sz w:val="22"/>
                <w:szCs w:val="22"/>
              </w:rPr>
              <w:t>Respondent</w:t>
            </w:r>
          </w:p>
        </w:tc>
        <w:tc>
          <w:tcPr>
            <w:tcW w:w="1260"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493E1F" w:rsidP="00653FE3" w14:paraId="2AAF7FAA" w14:textId="77777777">
            <w:pPr>
              <w:pStyle w:val="BodyText2"/>
              <w:spacing w:after="0" w:line="240" w:lineRule="auto"/>
              <w:jc w:val="center"/>
              <w:rPr>
                <w:b/>
                <w:sz w:val="22"/>
                <w:szCs w:val="22"/>
              </w:rPr>
            </w:pPr>
            <w:r w:rsidRPr="00493E1F">
              <w:rPr>
                <w:b/>
                <w:sz w:val="22"/>
                <w:szCs w:val="22"/>
              </w:rPr>
              <w:t>Total Annual Responses</w:t>
            </w:r>
          </w:p>
        </w:tc>
        <w:tc>
          <w:tcPr>
            <w:tcW w:w="1156"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493E1F" w:rsidP="00653FE3" w14:paraId="29C1722E" w14:textId="77777777">
            <w:pPr>
              <w:pStyle w:val="BodyText2"/>
              <w:spacing w:after="0" w:line="240" w:lineRule="auto"/>
              <w:jc w:val="center"/>
              <w:rPr>
                <w:b/>
                <w:sz w:val="22"/>
                <w:szCs w:val="22"/>
              </w:rPr>
            </w:pPr>
            <w:r w:rsidRPr="00493E1F">
              <w:rPr>
                <w:b/>
                <w:sz w:val="22"/>
                <w:szCs w:val="22"/>
              </w:rPr>
              <w:t>Hours Per Response</w:t>
            </w:r>
          </w:p>
        </w:tc>
        <w:tc>
          <w:tcPr>
            <w:tcW w:w="841"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493E1F" w:rsidP="00653FE3" w14:paraId="7D4604E1" w14:textId="36B929A2">
            <w:pPr>
              <w:pStyle w:val="BodyText2"/>
              <w:spacing w:after="0" w:line="240" w:lineRule="auto"/>
              <w:jc w:val="center"/>
              <w:rPr>
                <w:b/>
                <w:sz w:val="22"/>
                <w:szCs w:val="22"/>
              </w:rPr>
            </w:pPr>
            <w:r w:rsidRPr="00493E1F">
              <w:rPr>
                <w:b/>
                <w:sz w:val="22"/>
                <w:szCs w:val="22"/>
              </w:rPr>
              <w:t>Total Hours</w:t>
            </w:r>
          </w:p>
        </w:tc>
        <w:tc>
          <w:tcPr>
            <w:tcW w:w="1153"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134D08" w:rsidP="00653FE3" w14:paraId="02363875" w14:textId="77777777">
            <w:pPr>
              <w:pStyle w:val="BodyText2"/>
              <w:spacing w:after="0" w:line="240" w:lineRule="auto"/>
              <w:jc w:val="center"/>
              <w:rPr>
                <w:b/>
              </w:rPr>
            </w:pPr>
            <w:r w:rsidRPr="00493E1F">
              <w:rPr>
                <w:b/>
                <w:sz w:val="22"/>
                <w:szCs w:val="22"/>
              </w:rPr>
              <w:t>Time Value (per hour</w:t>
            </w:r>
            <w:r w:rsidRPr="00134D08">
              <w:rPr>
                <w:b/>
              </w:rPr>
              <w:t>)</w:t>
            </w:r>
          </w:p>
        </w:tc>
        <w:tc>
          <w:tcPr>
            <w:tcW w:w="1265" w:type="dxa"/>
            <w:tcBorders>
              <w:left w:val="single" w:sz="8" w:space="0" w:color="auto"/>
              <w:bottom w:val="single" w:sz="4" w:space="0" w:color="000000"/>
              <w:right w:val="single" w:sz="8" w:space="0" w:color="auto"/>
            </w:tcBorders>
            <w:shd w:val="clear" w:color="auto" w:fill="D9D9D9" w:themeFill="background1" w:themeFillShade="D9"/>
            <w:vAlign w:val="center"/>
          </w:tcPr>
          <w:p w:rsidR="000E204D" w:rsidRPr="00493E1F" w:rsidP="00653FE3" w14:paraId="752098C6" w14:textId="77777777">
            <w:pPr>
              <w:pStyle w:val="BodyText2"/>
              <w:spacing w:after="0" w:line="240" w:lineRule="auto"/>
              <w:jc w:val="center"/>
              <w:rPr>
                <w:b/>
                <w:sz w:val="22"/>
                <w:szCs w:val="22"/>
              </w:rPr>
            </w:pPr>
            <w:r w:rsidRPr="00493E1F">
              <w:rPr>
                <w:b/>
                <w:sz w:val="22"/>
                <w:szCs w:val="22"/>
              </w:rPr>
              <w:t xml:space="preserve">Monetized Burden Hours </w:t>
            </w:r>
          </w:p>
        </w:tc>
      </w:tr>
      <w:tr w14:paraId="0529A4D6" w14:textId="77777777" w:rsidTr="00E53DAC">
        <w:tblPrEx>
          <w:tblW w:w="10080" w:type="dxa"/>
          <w:tblLayout w:type="fixed"/>
          <w:tblLook w:val="04A0"/>
        </w:tblPrEx>
        <w:tc>
          <w:tcPr>
            <w:tcW w:w="1615" w:type="dxa"/>
            <w:tcBorders>
              <w:right w:val="single" w:sz="8" w:space="0" w:color="auto"/>
            </w:tcBorders>
            <w:vAlign w:val="center"/>
          </w:tcPr>
          <w:p w:rsidR="000E204D" w:rsidRPr="00134D08" w:rsidP="00653FE3" w14:paraId="3A889C07" w14:textId="641590B6">
            <w:pPr>
              <w:pStyle w:val="BodyText2"/>
              <w:spacing w:after="0" w:line="240" w:lineRule="auto"/>
            </w:pPr>
            <w:r w:rsidRPr="00134D08">
              <w:t>O</w:t>
            </w:r>
            <w:r w:rsidR="00137153">
              <w:t>Z</w:t>
            </w:r>
            <w:r w:rsidRPr="00134D08">
              <w:t xml:space="preserve"> Nomination Tool</w:t>
            </w:r>
          </w:p>
        </w:tc>
        <w:tc>
          <w:tcPr>
            <w:tcW w:w="1440"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25D69CB9" w14:textId="77777777">
            <w:pPr>
              <w:pStyle w:val="BodyText2"/>
              <w:spacing w:after="0" w:line="240" w:lineRule="auto"/>
              <w:jc w:val="center"/>
            </w:pPr>
            <w:r w:rsidRPr="00134D08">
              <w:t>56</w:t>
            </w:r>
          </w:p>
        </w:tc>
        <w:tc>
          <w:tcPr>
            <w:tcW w:w="1350"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3547396D" w14:textId="77777777">
            <w:pPr>
              <w:pStyle w:val="BodyText2"/>
              <w:spacing w:after="0" w:line="240" w:lineRule="auto"/>
              <w:jc w:val="center"/>
            </w:pPr>
            <w:r w:rsidRPr="00134D08">
              <w:t>1</w:t>
            </w:r>
          </w:p>
        </w:tc>
        <w:tc>
          <w:tcPr>
            <w:tcW w:w="1260"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0872EABC" w14:textId="77777777">
            <w:pPr>
              <w:pStyle w:val="BodyText2"/>
              <w:spacing w:after="0" w:line="240" w:lineRule="auto"/>
              <w:jc w:val="center"/>
            </w:pPr>
            <w:r w:rsidRPr="00134D08">
              <w:t>56</w:t>
            </w:r>
          </w:p>
        </w:tc>
        <w:tc>
          <w:tcPr>
            <w:tcW w:w="1156"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3BA3E37F" w14:textId="77777777">
            <w:pPr>
              <w:pStyle w:val="BodyText2"/>
              <w:spacing w:after="0" w:line="240" w:lineRule="auto"/>
              <w:jc w:val="center"/>
            </w:pPr>
            <w:r w:rsidRPr="00134D08">
              <w:t>1</w:t>
            </w:r>
          </w:p>
        </w:tc>
        <w:tc>
          <w:tcPr>
            <w:tcW w:w="841"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195B57A1" w14:textId="77777777">
            <w:pPr>
              <w:pStyle w:val="BodyText2"/>
              <w:spacing w:after="0" w:line="240" w:lineRule="auto"/>
              <w:jc w:val="center"/>
            </w:pPr>
            <w:r w:rsidRPr="00134D08">
              <w:t>56</w:t>
            </w:r>
          </w:p>
        </w:tc>
        <w:tc>
          <w:tcPr>
            <w:tcW w:w="1153"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603D82D2" w14:textId="5E57B345">
            <w:pPr>
              <w:pStyle w:val="BodyText2"/>
              <w:spacing w:after="0" w:line="240" w:lineRule="auto"/>
              <w:jc w:val="center"/>
            </w:pPr>
            <w:r w:rsidRPr="00134D08">
              <w:t>$</w:t>
            </w:r>
            <w:r w:rsidR="00A27680">
              <w:t>73</w:t>
            </w:r>
            <w:r w:rsidRPr="00134D08">
              <w:t>.</w:t>
            </w:r>
            <w:r w:rsidR="00A27680">
              <w:t>31</w:t>
            </w:r>
            <w:r>
              <w:rPr>
                <w:rStyle w:val="FootnoteReference"/>
              </w:rPr>
              <w:footnoteReference w:id="3"/>
            </w:r>
          </w:p>
        </w:tc>
        <w:tc>
          <w:tcPr>
            <w:tcW w:w="1265" w:type="dxa"/>
            <w:tcBorders>
              <w:top w:val="single" w:sz="4" w:space="0" w:color="000000"/>
              <w:left w:val="single" w:sz="8" w:space="0" w:color="auto"/>
              <w:bottom w:val="single" w:sz="4" w:space="0" w:color="000000"/>
              <w:right w:val="single" w:sz="8" w:space="0" w:color="auto"/>
            </w:tcBorders>
            <w:vAlign w:val="center"/>
          </w:tcPr>
          <w:p w:rsidR="000E204D" w:rsidRPr="00134D08" w:rsidP="00653FE3" w14:paraId="32D08922" w14:textId="42C73091">
            <w:pPr>
              <w:pStyle w:val="BodyText2"/>
              <w:spacing w:after="0" w:line="240" w:lineRule="auto"/>
              <w:jc w:val="center"/>
            </w:pPr>
            <w:r w:rsidRPr="00134D08">
              <w:t>$</w:t>
            </w:r>
            <w:r w:rsidR="00110515">
              <w:t>4,105</w:t>
            </w:r>
            <w:r w:rsidRPr="00134D08">
              <w:t>.</w:t>
            </w:r>
            <w:r w:rsidR="00110515">
              <w:t>36</w:t>
            </w:r>
          </w:p>
        </w:tc>
      </w:tr>
    </w:tbl>
    <w:p w:rsidR="000E204D" w:rsidRPr="003D4F05" w:rsidP="00653FE3" w14:paraId="29A56429" w14:textId="77777777">
      <w:pPr>
        <w:pStyle w:val="BodyText3"/>
        <w:spacing w:after="0"/>
        <w:rPr>
          <w:bCs/>
          <w:iCs/>
          <w:sz w:val="24"/>
          <w:szCs w:val="24"/>
        </w:rPr>
      </w:pPr>
    </w:p>
    <w:p w:rsidR="00653FE3" w:rsidRPr="00134D08" w:rsidP="00280A7C" w14:paraId="0251D9CE" w14:textId="6C99323D">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13.  Estimate of total annual cost burden to respondents</w:t>
      </w:r>
    </w:p>
    <w:p w:rsidR="00653FE3" w:rsidP="00653FE3" w14:paraId="40B43E43" w14:textId="20DBCCA9">
      <w:pPr>
        <w:spacing w:after="0"/>
        <w:rPr>
          <w:rFonts w:ascii="Times New Roman" w:hAnsi="Times New Roman" w:cs="Times New Roman"/>
          <w:sz w:val="24"/>
          <w:szCs w:val="24"/>
        </w:rPr>
      </w:pPr>
      <w:r w:rsidRPr="00134D08">
        <w:rPr>
          <w:rFonts w:ascii="Times New Roman" w:hAnsi="Times New Roman" w:cs="Times New Roman"/>
          <w:sz w:val="24"/>
          <w:szCs w:val="24"/>
        </w:rPr>
        <w:t xml:space="preserve">Per the table in Question 12, the average annual cost burden to respondents </w:t>
      </w:r>
      <w:r w:rsidR="00A32C30">
        <w:rPr>
          <w:rFonts w:ascii="Times New Roman" w:hAnsi="Times New Roman" w:cs="Times New Roman"/>
          <w:sz w:val="24"/>
          <w:szCs w:val="24"/>
        </w:rPr>
        <w:t>(State CEOs)</w:t>
      </w:r>
      <w:r w:rsidRPr="00134D08" w:rsidR="00A32C30">
        <w:rPr>
          <w:rFonts w:ascii="Times New Roman" w:hAnsi="Times New Roman" w:cs="Times New Roman"/>
          <w:sz w:val="24"/>
          <w:szCs w:val="24"/>
        </w:rPr>
        <w:t xml:space="preserve"> </w:t>
      </w:r>
      <w:r w:rsidRPr="00134D08">
        <w:rPr>
          <w:rFonts w:ascii="Times New Roman" w:hAnsi="Times New Roman" w:cs="Times New Roman"/>
          <w:sz w:val="24"/>
          <w:szCs w:val="24"/>
        </w:rPr>
        <w:t>is $</w:t>
      </w:r>
      <w:r w:rsidR="00110515">
        <w:rPr>
          <w:rFonts w:ascii="Times New Roman" w:hAnsi="Times New Roman" w:cs="Times New Roman"/>
          <w:sz w:val="24"/>
          <w:szCs w:val="24"/>
        </w:rPr>
        <w:t>4,105.36</w:t>
      </w:r>
      <w:r w:rsidRPr="00134D08">
        <w:rPr>
          <w:rFonts w:ascii="Times New Roman" w:hAnsi="Times New Roman" w:cs="Times New Roman"/>
          <w:sz w:val="24"/>
          <w:szCs w:val="24"/>
        </w:rPr>
        <w:t>.  No purchase of equipment or services will need to be made by respondents</w:t>
      </w:r>
      <w:r w:rsidR="001B1490">
        <w:rPr>
          <w:rFonts w:ascii="Times New Roman" w:hAnsi="Times New Roman" w:cs="Times New Roman"/>
          <w:sz w:val="24"/>
          <w:szCs w:val="24"/>
        </w:rPr>
        <w:t xml:space="preserve"> </w:t>
      </w:r>
      <w:r w:rsidRPr="00134D08">
        <w:rPr>
          <w:rFonts w:ascii="Times New Roman" w:hAnsi="Times New Roman" w:cs="Times New Roman"/>
          <w:sz w:val="24"/>
          <w:szCs w:val="24"/>
        </w:rPr>
        <w:t>for this information collection</w:t>
      </w:r>
      <w:r w:rsidR="00066DBA">
        <w:rPr>
          <w:rFonts w:ascii="Times New Roman" w:hAnsi="Times New Roman" w:cs="Times New Roman"/>
          <w:sz w:val="24"/>
          <w:szCs w:val="24"/>
        </w:rPr>
        <w:t>,</w:t>
      </w:r>
      <w:r w:rsidRPr="00134D08">
        <w:rPr>
          <w:rFonts w:ascii="Times New Roman" w:hAnsi="Times New Roman" w:cs="Times New Roman"/>
          <w:sz w:val="24"/>
          <w:szCs w:val="24"/>
        </w:rPr>
        <w:t xml:space="preserve"> other than as required as part of customary and usual business practices.</w:t>
      </w:r>
    </w:p>
    <w:p w:rsidR="000E204D" w:rsidRPr="00134D08" w:rsidP="00280A7C" w14:paraId="287655E2" w14:textId="3173C0B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53FE3" w:rsidRPr="00134D08" w:rsidP="00280A7C" w14:paraId="11D30A7F" w14:textId="75F1F9E6">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14.  Estimate of annualized cost to the Government</w:t>
      </w:r>
    </w:p>
    <w:p w:rsidR="00653FE3" w:rsidP="00653FE3" w14:paraId="25EF7FDB" w14:textId="22FEEA57">
      <w:pPr>
        <w:spacing w:after="0"/>
        <w:rPr>
          <w:rFonts w:ascii="Times New Roman" w:hAnsi="Times New Roman" w:cs="Times New Roman"/>
          <w:sz w:val="24"/>
          <w:szCs w:val="24"/>
        </w:rPr>
      </w:pPr>
      <w:r w:rsidRPr="00134D08">
        <w:rPr>
          <w:rFonts w:ascii="Times New Roman" w:hAnsi="Times New Roman" w:cs="Times New Roman"/>
          <w:sz w:val="24"/>
          <w:szCs w:val="24"/>
        </w:rPr>
        <w:t xml:space="preserve">The cost to the </w:t>
      </w:r>
      <w:r w:rsidR="00305B53">
        <w:rPr>
          <w:rFonts w:ascii="Times New Roman" w:hAnsi="Times New Roman" w:cs="Times New Roman"/>
          <w:sz w:val="24"/>
          <w:szCs w:val="24"/>
        </w:rPr>
        <w:t xml:space="preserve">Federal </w:t>
      </w:r>
      <w:r w:rsidRPr="00134D08">
        <w:rPr>
          <w:rFonts w:ascii="Times New Roman" w:hAnsi="Times New Roman" w:cs="Times New Roman"/>
          <w:sz w:val="24"/>
          <w:szCs w:val="24"/>
        </w:rPr>
        <w:t xml:space="preserve">Government is the CDFI Fund staff and contractor time required to review the </w:t>
      </w:r>
      <w:r w:rsidR="00536667">
        <w:rPr>
          <w:rFonts w:ascii="Times New Roman" w:hAnsi="Times New Roman" w:cs="Times New Roman"/>
          <w:sz w:val="24"/>
          <w:szCs w:val="24"/>
        </w:rPr>
        <w:t xml:space="preserve">OZ </w:t>
      </w:r>
      <w:r w:rsidRPr="00134D08">
        <w:rPr>
          <w:rFonts w:ascii="Times New Roman" w:hAnsi="Times New Roman" w:cs="Times New Roman"/>
          <w:sz w:val="24"/>
          <w:szCs w:val="24"/>
        </w:rPr>
        <w:t>Nomination Tool</w:t>
      </w:r>
      <w:r w:rsidRPr="00134D08" w:rsidR="002C394D">
        <w:rPr>
          <w:rFonts w:ascii="Times New Roman" w:hAnsi="Times New Roman" w:cs="Times New Roman"/>
          <w:sz w:val="24"/>
          <w:szCs w:val="24"/>
        </w:rPr>
        <w:t xml:space="preserve"> submissions</w:t>
      </w:r>
      <w:r w:rsidRPr="00134D08">
        <w:rPr>
          <w:rFonts w:ascii="Times New Roman" w:hAnsi="Times New Roman" w:cs="Times New Roman"/>
          <w:sz w:val="24"/>
          <w:szCs w:val="24"/>
        </w:rPr>
        <w:t xml:space="preserve">, maintain </w:t>
      </w:r>
      <w:r w:rsidR="00751D1E">
        <w:rPr>
          <w:rFonts w:ascii="Times New Roman" w:hAnsi="Times New Roman" w:cs="Times New Roman"/>
          <w:sz w:val="24"/>
          <w:szCs w:val="24"/>
        </w:rPr>
        <w:t xml:space="preserve">and make necessary modifications to the </w:t>
      </w:r>
      <w:r w:rsidRPr="00134D08" w:rsidR="00751D1E">
        <w:rPr>
          <w:rFonts w:ascii="Times New Roman" w:hAnsi="Times New Roman" w:cs="Times New Roman"/>
          <w:sz w:val="24"/>
          <w:szCs w:val="24"/>
        </w:rPr>
        <w:t>Award</w:t>
      </w:r>
      <w:r w:rsidR="00A32C30">
        <w:rPr>
          <w:rFonts w:ascii="Times New Roman" w:hAnsi="Times New Roman" w:cs="Times New Roman"/>
          <w:sz w:val="24"/>
          <w:szCs w:val="24"/>
        </w:rPr>
        <w:t>s</w:t>
      </w:r>
      <w:r w:rsidRPr="00134D08" w:rsidR="00751D1E">
        <w:rPr>
          <w:rFonts w:ascii="Times New Roman" w:hAnsi="Times New Roman" w:cs="Times New Roman"/>
          <w:sz w:val="24"/>
          <w:szCs w:val="24"/>
        </w:rPr>
        <w:t xml:space="preserve"> Management Information System</w:t>
      </w:r>
      <w:r w:rsidR="00110BD2">
        <w:rPr>
          <w:rFonts w:ascii="Times New Roman" w:hAnsi="Times New Roman" w:cs="Times New Roman"/>
          <w:sz w:val="24"/>
          <w:szCs w:val="24"/>
        </w:rPr>
        <w:t xml:space="preserve"> (AMIS)</w:t>
      </w:r>
      <w:r w:rsidR="00751D1E">
        <w:rPr>
          <w:rFonts w:ascii="Times New Roman" w:hAnsi="Times New Roman" w:cs="Times New Roman"/>
          <w:sz w:val="24"/>
          <w:szCs w:val="24"/>
        </w:rPr>
        <w:t>, the CDFI Fun</w:t>
      </w:r>
      <w:r w:rsidR="00A32C30">
        <w:rPr>
          <w:rFonts w:ascii="Times New Roman" w:hAnsi="Times New Roman" w:cs="Times New Roman"/>
          <w:sz w:val="24"/>
          <w:szCs w:val="24"/>
        </w:rPr>
        <w:t>d-managed</w:t>
      </w:r>
      <w:r w:rsidRPr="00134D08">
        <w:rPr>
          <w:rFonts w:ascii="Times New Roman" w:hAnsi="Times New Roman" w:cs="Times New Roman"/>
          <w:sz w:val="24"/>
          <w:szCs w:val="24"/>
        </w:rPr>
        <w:t xml:space="preserve"> </w:t>
      </w:r>
      <w:r w:rsidR="00A32C30">
        <w:rPr>
          <w:rFonts w:ascii="Times New Roman" w:hAnsi="Times New Roman" w:cs="Times New Roman"/>
          <w:sz w:val="24"/>
          <w:szCs w:val="24"/>
        </w:rPr>
        <w:t>web-based portal</w:t>
      </w:r>
      <w:r w:rsidRPr="00D57AE9">
        <w:rPr>
          <w:rFonts w:ascii="Times New Roman" w:hAnsi="Times New Roman" w:cs="Times New Roman"/>
          <w:sz w:val="24"/>
          <w:szCs w:val="24"/>
        </w:rPr>
        <w:t>, and collect follow-up information from</w:t>
      </w:r>
      <w:r w:rsidRPr="00280A7C" w:rsidR="00305B53">
        <w:rPr>
          <w:rFonts w:ascii="Times New Roman" w:hAnsi="Times New Roman" w:cs="Times New Roman"/>
          <w:sz w:val="24"/>
          <w:szCs w:val="24"/>
        </w:rPr>
        <w:t xml:space="preserve"> </w:t>
      </w:r>
      <w:r w:rsidR="00A32C30">
        <w:rPr>
          <w:rFonts w:ascii="Times New Roman" w:hAnsi="Times New Roman" w:cs="Times New Roman"/>
          <w:sz w:val="24"/>
          <w:szCs w:val="24"/>
        </w:rPr>
        <w:t>State CEO</w:t>
      </w:r>
      <w:r w:rsidR="005E3115">
        <w:rPr>
          <w:rFonts w:ascii="Times New Roman" w:hAnsi="Times New Roman" w:cs="Times New Roman"/>
          <w:sz w:val="24"/>
          <w:szCs w:val="24"/>
        </w:rPr>
        <w:t xml:space="preserve"> </w:t>
      </w:r>
      <w:r w:rsidR="00CF2B44">
        <w:rPr>
          <w:rFonts w:ascii="Times New Roman" w:hAnsi="Times New Roman" w:cs="Times New Roman"/>
          <w:sz w:val="24"/>
          <w:szCs w:val="24"/>
        </w:rPr>
        <w:t>respondents</w:t>
      </w:r>
      <w:r w:rsidRPr="00280A7C" w:rsidR="00305B53">
        <w:rPr>
          <w:rFonts w:ascii="Times New Roman" w:hAnsi="Times New Roman" w:cs="Times New Roman"/>
          <w:sz w:val="24"/>
          <w:szCs w:val="24"/>
        </w:rPr>
        <w:t>.</w:t>
      </w:r>
      <w:r w:rsidRPr="00D57AE9" w:rsidR="00832A77">
        <w:rPr>
          <w:rFonts w:ascii="Times New Roman" w:hAnsi="Times New Roman" w:cs="Times New Roman"/>
          <w:sz w:val="24"/>
          <w:szCs w:val="24"/>
        </w:rPr>
        <w:t xml:space="preserve"> </w:t>
      </w:r>
      <w:r w:rsidR="00070C89">
        <w:rPr>
          <w:rFonts w:ascii="Times New Roman" w:hAnsi="Times New Roman" w:cs="Times New Roman"/>
          <w:sz w:val="24"/>
          <w:szCs w:val="24"/>
        </w:rPr>
        <w:t xml:space="preserve"> </w:t>
      </w:r>
      <w:r w:rsidRPr="00280A7C" w:rsidR="00305B53">
        <w:rPr>
          <w:rFonts w:ascii="Times New Roman" w:hAnsi="Times New Roman" w:cs="Times New Roman"/>
          <w:sz w:val="24"/>
          <w:szCs w:val="24"/>
        </w:rPr>
        <w:t>The</w:t>
      </w:r>
      <w:r w:rsidRPr="00D57AE9">
        <w:rPr>
          <w:rFonts w:ascii="Times New Roman" w:hAnsi="Times New Roman" w:cs="Times New Roman"/>
          <w:sz w:val="24"/>
          <w:szCs w:val="24"/>
        </w:rPr>
        <w:t xml:space="preserve"> </w:t>
      </w:r>
      <w:r w:rsidRPr="00D57AE9" w:rsidR="005671B2">
        <w:rPr>
          <w:rFonts w:ascii="Times New Roman" w:hAnsi="Times New Roman" w:cs="Times New Roman"/>
          <w:sz w:val="24"/>
          <w:szCs w:val="24"/>
        </w:rPr>
        <w:t>estimate</w:t>
      </w:r>
      <w:r w:rsidRPr="00D57AE9" w:rsidR="009008EF">
        <w:rPr>
          <w:rFonts w:ascii="Times New Roman" w:hAnsi="Times New Roman" w:cs="Times New Roman"/>
          <w:sz w:val="24"/>
          <w:szCs w:val="24"/>
        </w:rPr>
        <w:t xml:space="preserve">d </w:t>
      </w:r>
      <w:r w:rsidRPr="00D57AE9" w:rsidR="005671B2">
        <w:rPr>
          <w:rFonts w:ascii="Times New Roman" w:hAnsi="Times New Roman" w:cs="Times New Roman"/>
          <w:sz w:val="24"/>
          <w:szCs w:val="24"/>
        </w:rPr>
        <w:t xml:space="preserve">annual cost to the Federal </w:t>
      </w:r>
      <w:r w:rsidRPr="00280A7C" w:rsidR="00305B53">
        <w:rPr>
          <w:rFonts w:ascii="Times New Roman" w:hAnsi="Times New Roman" w:cs="Times New Roman"/>
          <w:sz w:val="24"/>
          <w:szCs w:val="24"/>
        </w:rPr>
        <w:t>G</w:t>
      </w:r>
      <w:r w:rsidRPr="00D57AE9" w:rsidR="005671B2">
        <w:rPr>
          <w:rFonts w:ascii="Times New Roman" w:hAnsi="Times New Roman" w:cs="Times New Roman"/>
          <w:sz w:val="24"/>
          <w:szCs w:val="24"/>
        </w:rPr>
        <w:t>overnment</w:t>
      </w:r>
      <w:r w:rsidRPr="00D57AE9" w:rsidR="009008EF">
        <w:rPr>
          <w:rFonts w:ascii="Times New Roman" w:hAnsi="Times New Roman" w:cs="Times New Roman"/>
          <w:sz w:val="24"/>
          <w:szCs w:val="24"/>
        </w:rPr>
        <w:t xml:space="preserve">, calculated using a </w:t>
      </w:r>
      <w:r w:rsidRPr="00D57AE9" w:rsidR="005671B2">
        <w:rPr>
          <w:rFonts w:ascii="Times New Roman" w:hAnsi="Times New Roman" w:cs="Times New Roman"/>
          <w:sz w:val="24"/>
          <w:szCs w:val="24"/>
        </w:rPr>
        <w:t xml:space="preserve">methodology </w:t>
      </w:r>
      <w:r w:rsidRPr="00D57AE9" w:rsidR="009008EF">
        <w:rPr>
          <w:rFonts w:ascii="Times New Roman" w:hAnsi="Times New Roman" w:cs="Times New Roman"/>
          <w:sz w:val="24"/>
          <w:szCs w:val="24"/>
        </w:rPr>
        <w:t>based on</w:t>
      </w:r>
      <w:r w:rsidRPr="00D57AE9" w:rsidR="005671B2">
        <w:rPr>
          <w:rFonts w:ascii="Times New Roman" w:hAnsi="Times New Roman" w:cs="Times New Roman"/>
          <w:sz w:val="24"/>
          <w:szCs w:val="24"/>
        </w:rPr>
        <w:t xml:space="preserve"> estimated </w:t>
      </w:r>
      <w:r w:rsidRPr="00D57AE9" w:rsidR="009008EF">
        <w:rPr>
          <w:rFonts w:ascii="Times New Roman" w:hAnsi="Times New Roman" w:cs="Times New Roman"/>
          <w:sz w:val="24"/>
          <w:szCs w:val="24"/>
        </w:rPr>
        <w:t>staff time and labor rates</w:t>
      </w:r>
      <w:r w:rsidRPr="00134D08" w:rsidR="009008EF">
        <w:rPr>
          <w:rFonts w:ascii="Times New Roman" w:hAnsi="Times New Roman" w:cs="Times New Roman"/>
          <w:sz w:val="24"/>
          <w:szCs w:val="24"/>
        </w:rPr>
        <w:t xml:space="preserve"> by </w:t>
      </w:r>
      <w:r w:rsidRPr="00134D08" w:rsidR="005671B2">
        <w:rPr>
          <w:rFonts w:ascii="Times New Roman" w:hAnsi="Times New Roman" w:cs="Times New Roman"/>
          <w:sz w:val="24"/>
          <w:szCs w:val="24"/>
        </w:rPr>
        <w:t>general scale (GS) level and cost of contractor services</w:t>
      </w:r>
      <w:r w:rsidRPr="00134D08" w:rsidR="009008EF">
        <w:rPr>
          <w:rFonts w:ascii="Times New Roman" w:hAnsi="Times New Roman" w:cs="Times New Roman"/>
          <w:sz w:val="24"/>
          <w:szCs w:val="24"/>
        </w:rPr>
        <w:t>, totals</w:t>
      </w:r>
      <w:r w:rsidRPr="00134D08" w:rsidR="005671B2">
        <w:rPr>
          <w:rFonts w:ascii="Times New Roman" w:hAnsi="Times New Roman" w:cs="Times New Roman"/>
          <w:sz w:val="24"/>
          <w:szCs w:val="24"/>
        </w:rPr>
        <w:t xml:space="preserve"> </w:t>
      </w:r>
      <w:r w:rsidR="007E124F">
        <w:rPr>
          <w:rFonts w:ascii="Times New Roman" w:hAnsi="Times New Roman" w:cs="Times New Roman"/>
          <w:sz w:val="24"/>
          <w:szCs w:val="24"/>
        </w:rPr>
        <w:t>$750,000</w:t>
      </w:r>
      <w:r w:rsidRPr="00134D08" w:rsidR="005671B2">
        <w:rPr>
          <w:rFonts w:ascii="Times New Roman" w:hAnsi="Times New Roman" w:cs="Times New Roman"/>
          <w:sz w:val="24"/>
          <w:szCs w:val="24"/>
        </w:rPr>
        <w:t>.</w:t>
      </w:r>
      <w:r w:rsidR="00E72F4E">
        <w:rPr>
          <w:rFonts w:ascii="Times New Roman" w:hAnsi="Times New Roman" w:cs="Times New Roman"/>
          <w:sz w:val="24"/>
          <w:szCs w:val="24"/>
        </w:rPr>
        <w:t xml:space="preserve"> </w:t>
      </w:r>
    </w:p>
    <w:p w:rsidR="000E204D" w:rsidRPr="00134D08" w:rsidP="00280A7C" w14:paraId="7F56D62F" w14:textId="18C057A8">
      <w:pPr>
        <w:spacing w:after="0"/>
        <w:rPr>
          <w:rFonts w:ascii="Times New Roman" w:hAnsi="Times New Roman" w:cs="Times New Roman"/>
          <w:sz w:val="24"/>
          <w:szCs w:val="24"/>
        </w:rPr>
      </w:pPr>
      <w:r w:rsidRPr="00134D08">
        <w:rPr>
          <w:rFonts w:ascii="Times New Roman" w:hAnsi="Times New Roman" w:cs="Times New Roman"/>
          <w:sz w:val="24"/>
          <w:szCs w:val="24"/>
        </w:rPr>
        <w:t xml:space="preserve"> </w:t>
      </w:r>
    </w:p>
    <w:p w:rsidR="00653FE3" w:rsidRPr="00134D08" w:rsidP="00280A7C" w14:paraId="67B4B1A3" w14:textId="7E61781E">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15.  Any program changes or adjustments</w:t>
      </w:r>
    </w:p>
    <w:p w:rsidR="008D5343" w:rsidP="00653FE3" w14:paraId="4BF11874" w14:textId="695BEBC9">
      <w:pPr>
        <w:spacing w:after="0"/>
        <w:rPr>
          <w:rFonts w:ascii="Times New Roman" w:hAnsi="Times New Roman" w:cs="Times New Roman"/>
          <w:sz w:val="24"/>
          <w:szCs w:val="24"/>
        </w:rPr>
      </w:pPr>
      <w:r w:rsidRPr="00134D08">
        <w:rPr>
          <w:rFonts w:ascii="Times New Roman" w:hAnsi="Times New Roman" w:cs="Times New Roman"/>
          <w:sz w:val="24"/>
          <w:szCs w:val="24"/>
        </w:rPr>
        <w:t xml:space="preserve">This is </w:t>
      </w:r>
      <w:r w:rsidRPr="00134D08" w:rsidR="00E72ECE">
        <w:rPr>
          <w:rFonts w:ascii="Times New Roman" w:hAnsi="Times New Roman" w:cs="Times New Roman"/>
          <w:sz w:val="24"/>
          <w:szCs w:val="24"/>
        </w:rPr>
        <w:t xml:space="preserve">a </w:t>
      </w:r>
      <w:r w:rsidRPr="00134D08" w:rsidR="00607A6B">
        <w:rPr>
          <w:rFonts w:ascii="Times New Roman" w:hAnsi="Times New Roman" w:cs="Times New Roman"/>
          <w:sz w:val="24"/>
          <w:szCs w:val="24"/>
        </w:rPr>
        <w:t xml:space="preserve">reinstatement of </w:t>
      </w:r>
      <w:r w:rsidRPr="00134D08" w:rsidR="00CB7B19">
        <w:rPr>
          <w:rFonts w:ascii="Times New Roman" w:hAnsi="Times New Roman" w:cs="Times New Roman"/>
          <w:sz w:val="24"/>
          <w:szCs w:val="24"/>
        </w:rPr>
        <w:t xml:space="preserve">a </w:t>
      </w:r>
      <w:r w:rsidRPr="00134D08" w:rsidR="003D1357">
        <w:rPr>
          <w:rFonts w:ascii="Times New Roman" w:hAnsi="Times New Roman" w:cs="Times New Roman"/>
          <w:sz w:val="24"/>
          <w:szCs w:val="24"/>
        </w:rPr>
        <w:t xml:space="preserve">previous </w:t>
      </w:r>
      <w:r w:rsidRPr="00134D08">
        <w:rPr>
          <w:rFonts w:ascii="Times New Roman" w:hAnsi="Times New Roman" w:cs="Times New Roman"/>
          <w:sz w:val="24"/>
          <w:szCs w:val="24"/>
        </w:rPr>
        <w:t>information collection</w:t>
      </w:r>
      <w:r w:rsidR="00A0352B">
        <w:rPr>
          <w:rFonts w:ascii="Times New Roman" w:hAnsi="Times New Roman" w:cs="Times New Roman"/>
          <w:sz w:val="24"/>
          <w:szCs w:val="24"/>
        </w:rPr>
        <w:t xml:space="preserve"> effort</w:t>
      </w:r>
      <w:r w:rsidRPr="00134D08" w:rsidR="00E72ECE">
        <w:rPr>
          <w:rFonts w:ascii="Times New Roman" w:hAnsi="Times New Roman" w:cs="Times New Roman"/>
          <w:sz w:val="24"/>
          <w:szCs w:val="24"/>
        </w:rPr>
        <w:t xml:space="preserve">. </w:t>
      </w:r>
      <w:r w:rsidR="00E72F4E">
        <w:rPr>
          <w:rFonts w:ascii="Times New Roman" w:hAnsi="Times New Roman" w:cs="Times New Roman"/>
          <w:sz w:val="24"/>
          <w:szCs w:val="24"/>
        </w:rPr>
        <w:t xml:space="preserve"> </w:t>
      </w:r>
      <w:r w:rsidRPr="00134D08" w:rsidR="00607A6B">
        <w:rPr>
          <w:rFonts w:ascii="Times New Roman" w:hAnsi="Times New Roman" w:cs="Times New Roman"/>
          <w:sz w:val="24"/>
          <w:szCs w:val="24"/>
        </w:rPr>
        <w:t xml:space="preserve">The </w:t>
      </w:r>
      <w:r w:rsidRPr="00134D08" w:rsidR="00434969">
        <w:rPr>
          <w:rFonts w:ascii="Times New Roman" w:hAnsi="Times New Roman" w:cs="Times New Roman"/>
          <w:sz w:val="24"/>
          <w:szCs w:val="24"/>
        </w:rPr>
        <w:t>r</w:t>
      </w:r>
      <w:r w:rsidRPr="00134D08" w:rsidR="00607A6B">
        <w:rPr>
          <w:rFonts w:ascii="Times New Roman" w:hAnsi="Times New Roman" w:cs="Times New Roman"/>
          <w:sz w:val="24"/>
          <w:szCs w:val="24"/>
        </w:rPr>
        <w:t xml:space="preserve">einstatement of the </w:t>
      </w:r>
      <w:r w:rsidRPr="00134D08" w:rsidR="00370374">
        <w:rPr>
          <w:rFonts w:ascii="Times New Roman" w:hAnsi="Times New Roman" w:cs="Times New Roman"/>
          <w:sz w:val="24"/>
          <w:szCs w:val="24"/>
        </w:rPr>
        <w:t>O</w:t>
      </w:r>
      <w:r w:rsidR="00370374">
        <w:rPr>
          <w:rFonts w:ascii="Times New Roman" w:hAnsi="Times New Roman" w:cs="Times New Roman"/>
          <w:sz w:val="24"/>
          <w:szCs w:val="24"/>
        </w:rPr>
        <w:t xml:space="preserve">Z </w:t>
      </w:r>
      <w:r w:rsidRPr="00134D08" w:rsidR="00370374">
        <w:rPr>
          <w:rFonts w:ascii="Times New Roman" w:hAnsi="Times New Roman" w:cs="Times New Roman"/>
          <w:sz w:val="24"/>
          <w:szCs w:val="24"/>
        </w:rPr>
        <w:t>Nomination</w:t>
      </w:r>
      <w:r w:rsidRPr="00134D08" w:rsidR="00607A6B">
        <w:rPr>
          <w:rFonts w:ascii="Times New Roman" w:hAnsi="Times New Roman" w:cs="Times New Roman"/>
          <w:sz w:val="24"/>
          <w:szCs w:val="24"/>
        </w:rPr>
        <w:t xml:space="preserve"> Tool is</w:t>
      </w:r>
      <w:r w:rsidRPr="00134D08">
        <w:rPr>
          <w:rFonts w:ascii="Times New Roman" w:hAnsi="Times New Roman" w:cs="Times New Roman"/>
          <w:sz w:val="24"/>
          <w:szCs w:val="24"/>
        </w:rPr>
        <w:t xml:space="preserve"> in response to </w:t>
      </w:r>
      <w:r w:rsidRPr="00134D08" w:rsidR="00E72ECE">
        <w:rPr>
          <w:rFonts w:ascii="Times New Roman" w:hAnsi="Times New Roman" w:cs="Times New Roman"/>
          <w:sz w:val="24"/>
          <w:szCs w:val="24"/>
        </w:rPr>
        <w:t>the One Big Beautiful Bill Act (</w:t>
      </w:r>
      <w:r w:rsidRPr="005D66E4" w:rsidR="005D66E4">
        <w:rPr>
          <w:rFonts w:ascii="Times New Roman" w:hAnsi="Times New Roman" w:cs="Times New Roman"/>
          <w:sz w:val="24"/>
          <w:szCs w:val="24"/>
        </w:rPr>
        <w:t>OBBBA,</w:t>
      </w:r>
      <w:r w:rsidR="005D66E4">
        <w:rPr>
          <w:rFonts w:ascii="Times New Roman" w:hAnsi="Times New Roman" w:cs="Times New Roman"/>
          <w:sz w:val="24"/>
          <w:szCs w:val="24"/>
        </w:rPr>
        <w:t xml:space="preserve"> </w:t>
      </w:r>
      <w:r w:rsidRPr="00134D08" w:rsidR="00E72ECE">
        <w:rPr>
          <w:rFonts w:ascii="Times New Roman" w:hAnsi="Times New Roman" w:cs="Times New Roman"/>
          <w:sz w:val="24"/>
          <w:szCs w:val="24"/>
        </w:rPr>
        <w:t>Pub. L. 119-21) Section 70421</w:t>
      </w:r>
      <w:r w:rsidRPr="00134D08" w:rsidR="00434969">
        <w:rPr>
          <w:rFonts w:ascii="Times New Roman" w:hAnsi="Times New Roman" w:cs="Times New Roman"/>
          <w:sz w:val="24"/>
          <w:szCs w:val="24"/>
        </w:rPr>
        <w:t>,</w:t>
      </w:r>
      <w:r w:rsidRPr="00134D08" w:rsidR="00E72ECE">
        <w:rPr>
          <w:rFonts w:ascii="Times New Roman" w:hAnsi="Times New Roman" w:cs="Times New Roman"/>
          <w:sz w:val="24"/>
          <w:szCs w:val="24"/>
        </w:rPr>
        <w:t xml:space="preserve"> which made </w:t>
      </w:r>
      <w:r w:rsidR="005D66E4">
        <w:rPr>
          <w:rFonts w:ascii="Times New Roman" w:hAnsi="Times New Roman" w:cs="Times New Roman"/>
          <w:sz w:val="24"/>
          <w:szCs w:val="24"/>
        </w:rPr>
        <w:t xml:space="preserve">the </w:t>
      </w:r>
      <w:r w:rsidR="00832A77">
        <w:rPr>
          <w:rFonts w:ascii="Times New Roman" w:hAnsi="Times New Roman" w:cs="Times New Roman"/>
          <w:sz w:val="24"/>
          <w:szCs w:val="24"/>
        </w:rPr>
        <w:t>OZ incentives</w:t>
      </w:r>
      <w:r w:rsidRPr="00134D08" w:rsidR="00E72ECE">
        <w:rPr>
          <w:rFonts w:ascii="Times New Roman" w:hAnsi="Times New Roman" w:cs="Times New Roman"/>
          <w:sz w:val="24"/>
          <w:szCs w:val="24"/>
        </w:rPr>
        <w:t xml:space="preserve"> permanent and amended </w:t>
      </w:r>
      <w:r w:rsidRPr="00134D08" w:rsidR="00B20D9C">
        <w:rPr>
          <w:rFonts w:ascii="Times New Roman" w:hAnsi="Times New Roman" w:cs="Times New Roman"/>
          <w:sz w:val="24"/>
          <w:szCs w:val="24"/>
        </w:rPr>
        <w:t xml:space="preserve">provisions of </w:t>
      </w:r>
      <w:r w:rsidRPr="00134D08" w:rsidR="00E72ECE">
        <w:rPr>
          <w:rFonts w:ascii="Times New Roman" w:hAnsi="Times New Roman" w:cs="Times New Roman"/>
          <w:sz w:val="24"/>
          <w:szCs w:val="24"/>
        </w:rPr>
        <w:t xml:space="preserve">the </w:t>
      </w:r>
      <w:r w:rsidR="00832A77">
        <w:rPr>
          <w:rFonts w:ascii="Times New Roman" w:hAnsi="Times New Roman" w:cs="Times New Roman"/>
          <w:sz w:val="24"/>
          <w:szCs w:val="24"/>
        </w:rPr>
        <w:t>TCJA</w:t>
      </w:r>
      <w:r w:rsidRPr="00134D08" w:rsidR="00B20D9C">
        <w:rPr>
          <w:rFonts w:ascii="Times New Roman" w:hAnsi="Times New Roman" w:cs="Times New Roman"/>
          <w:sz w:val="24"/>
          <w:szCs w:val="24"/>
        </w:rPr>
        <w:t xml:space="preserve"> </w:t>
      </w:r>
      <w:r w:rsidRPr="00134D08" w:rsidR="00434969">
        <w:rPr>
          <w:rFonts w:ascii="Times New Roman" w:hAnsi="Times New Roman" w:cs="Times New Roman"/>
          <w:sz w:val="24"/>
          <w:szCs w:val="24"/>
        </w:rPr>
        <w:t>regarding</w:t>
      </w:r>
      <w:r w:rsidRPr="00134D08">
        <w:rPr>
          <w:rFonts w:ascii="Times New Roman" w:hAnsi="Times New Roman" w:cs="Times New Roman"/>
          <w:sz w:val="24"/>
          <w:szCs w:val="24"/>
        </w:rPr>
        <w:t xml:space="preserve"> tax incentives for investments in designated </w:t>
      </w:r>
      <w:r w:rsidR="00680D07">
        <w:rPr>
          <w:rFonts w:ascii="Times New Roman" w:hAnsi="Times New Roman" w:cs="Times New Roman"/>
          <w:sz w:val="24"/>
          <w:szCs w:val="24"/>
        </w:rPr>
        <w:t>QOZ</w:t>
      </w:r>
      <w:r w:rsidR="008658EE">
        <w:rPr>
          <w:rFonts w:ascii="Times New Roman" w:hAnsi="Times New Roman" w:cs="Times New Roman"/>
          <w:sz w:val="24"/>
          <w:szCs w:val="24"/>
        </w:rPr>
        <w:t>s</w:t>
      </w:r>
      <w:r w:rsidRPr="00134D08">
        <w:rPr>
          <w:rFonts w:ascii="Times New Roman" w:hAnsi="Times New Roman" w:cs="Times New Roman"/>
          <w:sz w:val="24"/>
          <w:szCs w:val="24"/>
        </w:rPr>
        <w:t>.</w:t>
      </w:r>
      <w:r w:rsidRPr="00134D08" w:rsidR="00E718EC">
        <w:rPr>
          <w:rFonts w:ascii="Times New Roman" w:hAnsi="Times New Roman" w:cs="Times New Roman"/>
          <w:sz w:val="24"/>
          <w:szCs w:val="24"/>
        </w:rPr>
        <w:t xml:space="preserve"> </w:t>
      </w:r>
      <w:r w:rsidRPr="008D5343">
        <w:rPr>
          <w:rFonts w:ascii="Times New Roman" w:hAnsi="Times New Roman" w:cs="Times New Roman"/>
          <w:iCs/>
          <w:sz w:val="24"/>
          <w:szCs w:val="24"/>
        </w:rPr>
        <w:t xml:space="preserve"> </w:t>
      </w:r>
    </w:p>
    <w:p w:rsidR="00936897" w:rsidRPr="004F4A90" w:rsidP="00280A7C" w14:paraId="7DB4ADDD" w14:textId="77777777">
      <w:pPr>
        <w:spacing w:after="0"/>
        <w:rPr>
          <w:rFonts w:ascii="Times New Roman" w:hAnsi="Times New Roman" w:cs="Times New Roman"/>
          <w:iCs/>
          <w:sz w:val="24"/>
          <w:szCs w:val="24"/>
        </w:rPr>
      </w:pPr>
    </w:p>
    <w:p w:rsidR="00653FE3" w:rsidRPr="00134D08" w:rsidP="00280A7C" w14:paraId="066BC2C9" w14:textId="1BCDF4D1">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16.  Plans for information tabulation and publication</w:t>
      </w:r>
    </w:p>
    <w:p w:rsidR="000E204D" w:rsidP="00653FE3" w14:paraId="4A5A1822" w14:textId="713AC778">
      <w:pPr>
        <w:spacing w:after="0"/>
        <w:rPr>
          <w:rFonts w:ascii="Times New Roman" w:hAnsi="Times New Roman" w:cs="Times New Roman"/>
          <w:sz w:val="24"/>
          <w:szCs w:val="24"/>
        </w:rPr>
      </w:pPr>
      <w:r w:rsidRPr="00134D08">
        <w:rPr>
          <w:rFonts w:ascii="Times New Roman" w:hAnsi="Times New Roman" w:cs="Times New Roman"/>
          <w:sz w:val="24"/>
          <w:szCs w:val="24"/>
        </w:rPr>
        <w:t xml:space="preserve">The final list of designated </w:t>
      </w:r>
      <w:r w:rsidRPr="00134D08" w:rsidR="000A4A28">
        <w:rPr>
          <w:rFonts w:ascii="Times New Roman" w:hAnsi="Times New Roman" w:cs="Times New Roman"/>
          <w:sz w:val="24"/>
          <w:szCs w:val="24"/>
        </w:rPr>
        <w:t>QOZ</w:t>
      </w:r>
      <w:r w:rsidR="008658EE">
        <w:rPr>
          <w:rFonts w:ascii="Times New Roman" w:hAnsi="Times New Roman" w:cs="Times New Roman"/>
          <w:sz w:val="24"/>
          <w:szCs w:val="24"/>
        </w:rPr>
        <w:t>s</w:t>
      </w:r>
      <w:r w:rsidRPr="00134D08">
        <w:rPr>
          <w:rFonts w:ascii="Times New Roman" w:hAnsi="Times New Roman" w:cs="Times New Roman"/>
          <w:sz w:val="24"/>
          <w:szCs w:val="24"/>
        </w:rPr>
        <w:t xml:space="preserve"> will be published in the </w:t>
      </w:r>
      <w:r w:rsidRPr="002F7BFB">
        <w:rPr>
          <w:rFonts w:ascii="Times New Roman" w:hAnsi="Times New Roman" w:cs="Times New Roman"/>
          <w:i/>
          <w:iCs/>
          <w:sz w:val="24"/>
          <w:szCs w:val="24"/>
        </w:rPr>
        <w:t>Federal Register</w:t>
      </w:r>
      <w:r w:rsidRPr="00134D08">
        <w:rPr>
          <w:rFonts w:ascii="Times New Roman" w:hAnsi="Times New Roman" w:cs="Times New Roman"/>
          <w:sz w:val="24"/>
          <w:szCs w:val="24"/>
        </w:rPr>
        <w:t xml:space="preserve"> and </w:t>
      </w:r>
      <w:r w:rsidRPr="00134D08" w:rsidR="00CC535D">
        <w:rPr>
          <w:rFonts w:ascii="Times New Roman" w:hAnsi="Times New Roman" w:cs="Times New Roman"/>
          <w:sz w:val="24"/>
          <w:szCs w:val="24"/>
        </w:rPr>
        <w:t xml:space="preserve">made available </w:t>
      </w:r>
      <w:r w:rsidRPr="00134D08">
        <w:rPr>
          <w:rFonts w:ascii="Times New Roman" w:hAnsi="Times New Roman" w:cs="Times New Roman"/>
          <w:sz w:val="24"/>
          <w:szCs w:val="24"/>
        </w:rPr>
        <w:t>on the</w:t>
      </w:r>
      <w:r w:rsidR="00743441">
        <w:rPr>
          <w:rFonts w:ascii="Times New Roman" w:hAnsi="Times New Roman" w:cs="Times New Roman"/>
          <w:sz w:val="24"/>
          <w:szCs w:val="24"/>
        </w:rPr>
        <w:t xml:space="preserve"> </w:t>
      </w:r>
      <w:hyperlink r:id="rId6" w:history="1">
        <w:r w:rsidR="00743441">
          <w:rPr>
            <w:rStyle w:val="Hyperlink"/>
            <w:rFonts w:ascii="Times New Roman" w:hAnsi="Times New Roman" w:cs="Times New Roman"/>
            <w:sz w:val="24"/>
            <w:szCs w:val="24"/>
          </w:rPr>
          <w:t>CDFI Fund’s website</w:t>
        </w:r>
      </w:hyperlink>
      <w:r w:rsidRPr="00134D08">
        <w:rPr>
          <w:rFonts w:ascii="Times New Roman" w:hAnsi="Times New Roman" w:cs="Times New Roman"/>
          <w:sz w:val="24"/>
          <w:szCs w:val="24"/>
        </w:rPr>
        <w:t>.  No confidential or proprietary information is collected through this information collection.</w:t>
      </w:r>
      <w:r w:rsidR="00E72F4E">
        <w:rPr>
          <w:rFonts w:ascii="Times New Roman" w:hAnsi="Times New Roman" w:cs="Times New Roman"/>
          <w:sz w:val="24"/>
          <w:szCs w:val="24"/>
        </w:rPr>
        <w:t xml:space="preserve">  </w:t>
      </w:r>
    </w:p>
    <w:p w:rsidR="00653FE3" w:rsidRPr="00134D08" w:rsidP="00280A7C" w14:paraId="65C80F08" w14:textId="77777777">
      <w:pPr>
        <w:spacing w:after="0"/>
        <w:rPr>
          <w:rFonts w:ascii="Times New Roman" w:hAnsi="Times New Roman" w:cs="Times New Roman"/>
          <w:sz w:val="24"/>
          <w:szCs w:val="24"/>
        </w:rPr>
      </w:pPr>
    </w:p>
    <w:p w:rsidR="00653FE3" w:rsidRPr="00280A7C" w:rsidP="00280A7C" w14:paraId="6220944D" w14:textId="5543894A">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17.  Reasons for not displaying expiration date of OMB approval</w:t>
      </w:r>
    </w:p>
    <w:p w:rsidR="00AD6048" w:rsidP="00653FE3" w14:paraId="57E7F025" w14:textId="3C2536DC">
      <w:pPr>
        <w:spacing w:after="0"/>
        <w:rPr>
          <w:rFonts w:ascii="Times New Roman" w:hAnsi="Times New Roman" w:cs="Times New Roman"/>
          <w:sz w:val="24"/>
          <w:szCs w:val="24"/>
        </w:rPr>
      </w:pPr>
      <w:r w:rsidRPr="00134D08">
        <w:rPr>
          <w:rFonts w:ascii="Times New Roman" w:hAnsi="Times New Roman" w:cs="Times New Roman"/>
          <w:sz w:val="24"/>
          <w:szCs w:val="24"/>
        </w:rPr>
        <w:t>The CDFI Fund will display the expiration date of the OMB approval on the OZ Nomination Tool</w:t>
      </w:r>
      <w:r w:rsidRPr="00134D08" w:rsidR="00CC535D">
        <w:rPr>
          <w:rFonts w:ascii="Times New Roman" w:hAnsi="Times New Roman" w:cs="Times New Roman"/>
          <w:sz w:val="24"/>
          <w:szCs w:val="24"/>
        </w:rPr>
        <w:t xml:space="preserve"> </w:t>
      </w:r>
      <w:r w:rsidRPr="00134D08" w:rsidR="00853849">
        <w:rPr>
          <w:rFonts w:ascii="Times New Roman" w:hAnsi="Times New Roman" w:cs="Times New Roman"/>
          <w:sz w:val="24"/>
          <w:szCs w:val="24"/>
        </w:rPr>
        <w:t xml:space="preserve">on the </w:t>
      </w:r>
      <w:hyperlink r:id="rId6" w:history="1">
        <w:r w:rsidR="00E74AD9">
          <w:rPr>
            <w:rStyle w:val="Hyperlink"/>
            <w:rFonts w:ascii="Times New Roman" w:hAnsi="Times New Roman" w:cs="Times New Roman"/>
            <w:sz w:val="24"/>
            <w:szCs w:val="24"/>
          </w:rPr>
          <w:t>CDFI Fund</w:t>
        </w:r>
        <w:r w:rsidR="00110BD2">
          <w:rPr>
            <w:rStyle w:val="Hyperlink"/>
            <w:rFonts w:ascii="Times New Roman" w:hAnsi="Times New Roman" w:cs="Times New Roman"/>
            <w:sz w:val="24"/>
            <w:szCs w:val="24"/>
          </w:rPr>
          <w:t>’</w:t>
        </w:r>
        <w:r w:rsidR="00E74AD9">
          <w:rPr>
            <w:rStyle w:val="Hyperlink"/>
            <w:rFonts w:ascii="Times New Roman" w:hAnsi="Times New Roman" w:cs="Times New Roman"/>
            <w:sz w:val="24"/>
            <w:szCs w:val="24"/>
          </w:rPr>
          <w:t>s website</w:t>
        </w:r>
      </w:hyperlink>
      <w:r w:rsidRPr="00134D08" w:rsidR="00E13EDA">
        <w:rPr>
          <w:rFonts w:ascii="Times New Roman" w:hAnsi="Times New Roman" w:cs="Times New Roman"/>
          <w:sz w:val="24"/>
          <w:szCs w:val="24"/>
        </w:rPr>
        <w:t>.</w:t>
      </w:r>
      <w:r w:rsidR="00E72F4E">
        <w:rPr>
          <w:rFonts w:ascii="Times New Roman" w:hAnsi="Times New Roman" w:cs="Times New Roman"/>
          <w:sz w:val="24"/>
          <w:szCs w:val="24"/>
        </w:rPr>
        <w:t xml:space="preserve">  </w:t>
      </w:r>
    </w:p>
    <w:p w:rsidR="00653FE3" w:rsidRPr="00134D08" w:rsidP="00280A7C" w14:paraId="176FB416" w14:textId="77777777">
      <w:pPr>
        <w:spacing w:after="0"/>
        <w:rPr>
          <w:rFonts w:ascii="Times New Roman" w:hAnsi="Times New Roman" w:cs="Times New Roman"/>
          <w:sz w:val="24"/>
          <w:szCs w:val="24"/>
        </w:rPr>
      </w:pPr>
    </w:p>
    <w:p w:rsidR="00653FE3" w:rsidRPr="00134D08" w:rsidP="00280A7C" w14:paraId="52F04C2D" w14:textId="2FC688C3">
      <w:pPr>
        <w:spacing w:after="0"/>
        <w:rPr>
          <w:rFonts w:ascii="Times New Roman" w:hAnsi="Times New Roman" w:cs="Times New Roman"/>
          <w:sz w:val="24"/>
          <w:szCs w:val="24"/>
          <w:u w:val="single"/>
        </w:rPr>
      </w:pPr>
      <w:r w:rsidRPr="00D43972">
        <w:rPr>
          <w:rFonts w:ascii="Times New Roman" w:hAnsi="Times New Roman" w:cs="Times New Roman"/>
          <w:sz w:val="24"/>
          <w:szCs w:val="24"/>
          <w:u w:val="single"/>
        </w:rPr>
        <w:t>18.  Explanation of exceptions to certification statement</w:t>
      </w:r>
    </w:p>
    <w:p w:rsidR="00137153" w:rsidP="00653FE3" w14:paraId="004F6DFF" w14:textId="08D23110">
      <w:pPr>
        <w:spacing w:after="0"/>
        <w:rPr>
          <w:rFonts w:ascii="Times New Roman" w:hAnsi="Times New Roman" w:cs="Times New Roman"/>
          <w:sz w:val="24"/>
          <w:szCs w:val="24"/>
        </w:rPr>
      </w:pPr>
      <w:r w:rsidRPr="00134D08">
        <w:rPr>
          <w:rFonts w:ascii="Times New Roman" w:hAnsi="Times New Roman" w:cs="Times New Roman"/>
          <w:sz w:val="24"/>
          <w:szCs w:val="24"/>
        </w:rPr>
        <w:t>Not applicable.</w:t>
      </w:r>
      <w:r w:rsidR="00E72F4E">
        <w:rPr>
          <w:rFonts w:ascii="Times New Roman" w:hAnsi="Times New Roman" w:cs="Times New Roman"/>
          <w:sz w:val="24"/>
          <w:szCs w:val="24"/>
        </w:rPr>
        <w:t xml:space="preserve">  </w:t>
      </w:r>
    </w:p>
    <w:p w:rsidR="00653FE3" w:rsidP="00280A7C" w14:paraId="4474C7BD" w14:textId="77777777">
      <w:pPr>
        <w:spacing w:after="0"/>
        <w:rPr>
          <w:rFonts w:ascii="Times New Roman" w:hAnsi="Times New Roman" w:cs="Times New Roman"/>
          <w:b/>
          <w:sz w:val="24"/>
          <w:szCs w:val="24"/>
        </w:rPr>
      </w:pPr>
    </w:p>
    <w:p w:rsidR="005B5D9D" w14:paraId="54A8A74E" w14:textId="7AB67C0C">
      <w:pPr>
        <w:rPr>
          <w:rFonts w:ascii="Times New Roman" w:hAnsi="Times New Roman" w:cs="Times New Roman"/>
          <w:b/>
          <w:sz w:val="28"/>
          <w:szCs w:val="28"/>
        </w:rPr>
      </w:pPr>
    </w:p>
    <w:p w:rsidR="000E204D" w:rsidRPr="00280A7C" w:rsidP="00653FE3" w14:paraId="5C594242" w14:textId="77034CDD">
      <w:pPr>
        <w:spacing w:after="0"/>
        <w:rPr>
          <w:rFonts w:ascii="Times New Roman" w:hAnsi="Times New Roman" w:cs="Times New Roman"/>
          <w:b/>
          <w:sz w:val="28"/>
          <w:szCs w:val="28"/>
        </w:rPr>
      </w:pPr>
      <w:r w:rsidRPr="00280A7C">
        <w:rPr>
          <w:rFonts w:ascii="Times New Roman" w:hAnsi="Times New Roman" w:cs="Times New Roman"/>
          <w:b/>
          <w:sz w:val="28"/>
          <w:szCs w:val="28"/>
        </w:rPr>
        <w:t>B.  Collections of Information Employing Statistical Methods</w:t>
      </w:r>
    </w:p>
    <w:p w:rsidR="00653FE3" w:rsidRPr="00134D08" w:rsidP="00280A7C" w14:paraId="127E4B62" w14:textId="77777777">
      <w:pPr>
        <w:spacing w:after="0"/>
        <w:rPr>
          <w:rFonts w:ascii="Times New Roman" w:hAnsi="Times New Roman" w:cs="Times New Roman"/>
          <w:b/>
          <w:sz w:val="24"/>
          <w:szCs w:val="24"/>
        </w:rPr>
      </w:pPr>
    </w:p>
    <w:p w:rsidR="003D4F05" w:rsidP="00280A7C" w14:paraId="712F4387" w14:textId="64622C33">
      <w:pPr>
        <w:spacing w:after="0"/>
        <w:rPr>
          <w:rFonts w:ascii="Times New Roman" w:hAnsi="Times New Roman" w:cs="Times New Roman"/>
          <w:sz w:val="24"/>
          <w:szCs w:val="24"/>
        </w:rPr>
      </w:pPr>
      <w:r w:rsidRPr="00134D08">
        <w:rPr>
          <w:rFonts w:ascii="Times New Roman" w:hAnsi="Times New Roman" w:cs="Times New Roman"/>
          <w:sz w:val="24"/>
          <w:szCs w:val="24"/>
        </w:rPr>
        <w:t>Not applicable.</w:t>
      </w:r>
      <w:r w:rsidR="00E72F4E">
        <w:rPr>
          <w:rFonts w:ascii="Times New Roman" w:hAnsi="Times New Roman" w:cs="Times New Roman"/>
          <w:sz w:val="24"/>
          <w:szCs w:val="24"/>
        </w:rPr>
        <w:t xml:space="preserve">  </w:t>
      </w:r>
      <w:bookmarkEnd w:id="0"/>
    </w:p>
    <w:p w:rsidR="00B92898" w14:paraId="45788AC1" w14:textId="1C9CA712">
      <w:pPr>
        <w:rPr>
          <w:rFonts w:ascii="Times New Roman" w:hAnsi="Times New Roman" w:cs="Times New Roman"/>
          <w:sz w:val="24"/>
          <w:szCs w:val="24"/>
        </w:rPr>
      </w:pPr>
      <w:r>
        <w:rPr>
          <w:rFonts w:ascii="Times New Roman" w:hAnsi="Times New Roman" w:cs="Times New Roman"/>
          <w:sz w:val="24"/>
          <w:szCs w:val="24"/>
        </w:rPr>
        <w:br w:type="page"/>
      </w:r>
    </w:p>
    <w:p w:rsidR="00B92898" w:rsidRPr="00307BD3" w:rsidP="00B92898" w14:paraId="62CC6C42" w14:textId="2543B4EC">
      <w:pPr>
        <w:pBdr>
          <w:bottom w:val="single" w:sz="4" w:space="1" w:color="auto"/>
        </w:pBdr>
        <w:rPr>
          <w:b/>
        </w:rPr>
      </w:pPr>
      <w:r w:rsidRPr="00307BD3">
        <w:rPr>
          <w:b/>
        </w:rPr>
        <w:t xml:space="preserve">Appendix A. </w:t>
      </w:r>
      <w:r>
        <w:rPr>
          <w:b/>
        </w:rPr>
        <w:t>Opportunity Zone</w:t>
      </w:r>
      <w:r w:rsidR="00B80B6C">
        <w:rPr>
          <w:b/>
        </w:rPr>
        <w:t xml:space="preserve"> (OZ)</w:t>
      </w:r>
      <w:r>
        <w:rPr>
          <w:b/>
        </w:rPr>
        <w:t xml:space="preserve"> Nomination Tool Paperwork Reduction Act (PRA) Adjudication of Public Comments, May 6, 2026</w:t>
      </w:r>
    </w:p>
    <w:p w:rsidR="00B92898" w:rsidP="00B92898" w14:paraId="5761FCBD" w14:textId="77777777"/>
    <w:tbl>
      <w:tblPr>
        <w:tblStyle w:val="TableGrid"/>
        <w:tblW w:w="0" w:type="auto"/>
        <w:tblLook w:val="04A0"/>
      </w:tblPr>
      <w:tblGrid>
        <w:gridCol w:w="383"/>
        <w:gridCol w:w="1292"/>
        <w:gridCol w:w="1343"/>
        <w:gridCol w:w="1304"/>
        <w:gridCol w:w="2360"/>
        <w:gridCol w:w="2668"/>
      </w:tblGrid>
      <w:tr w14:paraId="11F4828E" w14:textId="77777777" w:rsidTr="00BC3DDF">
        <w:tblPrEx>
          <w:tblW w:w="0" w:type="auto"/>
          <w:tblLook w:val="04A0"/>
        </w:tblPrEx>
        <w:trPr>
          <w:tblHeader/>
        </w:trPr>
        <w:tc>
          <w:tcPr>
            <w:tcW w:w="551" w:type="dxa"/>
          </w:tcPr>
          <w:p w:rsidR="00B92898" w:rsidRPr="00DC1DA9" w:rsidP="00BC3DDF" w14:paraId="6529B38D" w14:textId="77777777">
            <w:pPr>
              <w:jc w:val="center"/>
            </w:pPr>
            <w:r w:rsidRPr="00DC1DA9">
              <w:rPr>
                <w:b/>
                <w:bCs/>
                <w:color w:val="000000"/>
                <w:sz w:val="20"/>
                <w:szCs w:val="20"/>
              </w:rPr>
              <w:t>#</w:t>
            </w:r>
          </w:p>
        </w:tc>
        <w:tc>
          <w:tcPr>
            <w:tcW w:w="1777" w:type="dxa"/>
          </w:tcPr>
          <w:p w:rsidR="00B92898" w:rsidP="00BC3DDF" w14:paraId="0BDA20B6" w14:textId="77777777">
            <w:pPr>
              <w:jc w:val="center"/>
            </w:pPr>
            <w:r w:rsidRPr="00307BD3">
              <w:rPr>
                <w:b/>
                <w:bCs/>
                <w:color w:val="000000"/>
                <w:sz w:val="20"/>
                <w:szCs w:val="20"/>
              </w:rPr>
              <w:t>Date of Comment</w:t>
            </w:r>
          </w:p>
        </w:tc>
        <w:tc>
          <w:tcPr>
            <w:tcW w:w="1525" w:type="dxa"/>
          </w:tcPr>
          <w:p w:rsidR="00B92898" w:rsidP="00BC3DDF" w14:paraId="4A259C97" w14:textId="77777777">
            <w:pPr>
              <w:jc w:val="center"/>
            </w:pPr>
            <w:r w:rsidRPr="00307BD3">
              <w:rPr>
                <w:b/>
                <w:bCs/>
                <w:color w:val="000000"/>
                <w:sz w:val="20"/>
                <w:szCs w:val="20"/>
              </w:rPr>
              <w:t>Organization</w:t>
            </w:r>
          </w:p>
        </w:tc>
        <w:tc>
          <w:tcPr>
            <w:tcW w:w="1437" w:type="dxa"/>
          </w:tcPr>
          <w:p w:rsidR="00B92898" w:rsidP="00BC3DDF" w14:paraId="1FF528B8" w14:textId="77777777">
            <w:pPr>
              <w:jc w:val="center"/>
            </w:pPr>
            <w:r w:rsidRPr="00307BD3">
              <w:rPr>
                <w:b/>
                <w:bCs/>
                <w:color w:val="000000"/>
                <w:sz w:val="20"/>
                <w:szCs w:val="20"/>
              </w:rPr>
              <w:t>Author Name</w:t>
            </w:r>
          </w:p>
        </w:tc>
        <w:tc>
          <w:tcPr>
            <w:tcW w:w="4004" w:type="dxa"/>
          </w:tcPr>
          <w:p w:rsidR="00B92898" w:rsidP="00BC3DDF" w14:paraId="1B27E8D9" w14:textId="77777777">
            <w:pPr>
              <w:jc w:val="center"/>
            </w:pPr>
            <w:r w:rsidRPr="00307BD3">
              <w:rPr>
                <w:b/>
                <w:bCs/>
                <w:color w:val="000000"/>
                <w:sz w:val="20"/>
                <w:szCs w:val="20"/>
              </w:rPr>
              <w:t>Comment</w:t>
            </w:r>
          </w:p>
        </w:tc>
        <w:tc>
          <w:tcPr>
            <w:tcW w:w="5096" w:type="dxa"/>
          </w:tcPr>
          <w:p w:rsidR="00B92898" w:rsidP="00BC3DDF" w14:paraId="651C83AD" w14:textId="77777777">
            <w:pPr>
              <w:jc w:val="center"/>
            </w:pPr>
            <w:r w:rsidRPr="00307BD3">
              <w:rPr>
                <w:b/>
                <w:bCs/>
                <w:color w:val="000000"/>
                <w:sz w:val="20"/>
                <w:szCs w:val="20"/>
              </w:rPr>
              <w:t>Response</w:t>
            </w:r>
          </w:p>
        </w:tc>
      </w:tr>
      <w:tr w14:paraId="0CA65A62" w14:textId="77777777" w:rsidTr="00BC3DDF">
        <w:tblPrEx>
          <w:tblW w:w="0" w:type="auto"/>
          <w:tblLook w:val="04A0"/>
        </w:tblPrEx>
        <w:tc>
          <w:tcPr>
            <w:tcW w:w="551" w:type="dxa"/>
            <w:vAlign w:val="center"/>
          </w:tcPr>
          <w:p w:rsidR="00B92898" w:rsidRPr="00DC1DA9" w:rsidP="00BC3DDF" w14:paraId="6C413AFB" w14:textId="77777777">
            <w:r>
              <w:rPr>
                <w:rFonts w:ascii="Aptos Narrow" w:hAnsi="Aptos Narrow"/>
                <w:color w:val="000000"/>
              </w:rPr>
              <w:t>1</w:t>
            </w:r>
          </w:p>
        </w:tc>
        <w:tc>
          <w:tcPr>
            <w:tcW w:w="1777" w:type="dxa"/>
            <w:vAlign w:val="center"/>
          </w:tcPr>
          <w:p w:rsidR="00B92898" w:rsidP="00BC3DDF" w14:paraId="1D808E45" w14:textId="77777777">
            <w:r>
              <w:rPr>
                <w:rFonts w:ascii="Aptos Narrow" w:hAnsi="Aptos Narrow"/>
                <w:color w:val="000000"/>
              </w:rPr>
              <w:t>3/8/2026</w:t>
            </w:r>
          </w:p>
        </w:tc>
        <w:tc>
          <w:tcPr>
            <w:tcW w:w="1525" w:type="dxa"/>
            <w:vAlign w:val="center"/>
          </w:tcPr>
          <w:p w:rsidR="00B92898" w:rsidP="00BC3DDF" w14:paraId="67DEB3DF" w14:textId="77777777">
            <w:r>
              <w:rPr>
                <w:rFonts w:ascii="Aptos Narrow" w:hAnsi="Aptos Narrow"/>
                <w:color w:val="000000"/>
              </w:rPr>
              <w:t>Anonymous</w:t>
            </w:r>
          </w:p>
        </w:tc>
        <w:tc>
          <w:tcPr>
            <w:tcW w:w="1437" w:type="dxa"/>
            <w:vAlign w:val="center"/>
          </w:tcPr>
          <w:p w:rsidR="00B92898" w:rsidP="00BC3DDF" w14:paraId="65A764CD" w14:textId="77777777">
            <w:r>
              <w:rPr>
                <w:rFonts w:ascii="Aptos Narrow" w:hAnsi="Aptos Narrow"/>
                <w:color w:val="000000"/>
              </w:rPr>
              <w:t>Anonymous</w:t>
            </w:r>
          </w:p>
        </w:tc>
        <w:tc>
          <w:tcPr>
            <w:tcW w:w="4004" w:type="dxa"/>
            <w:vAlign w:val="center"/>
          </w:tcPr>
          <w:p w:rsidR="00B92898" w:rsidP="00BC3DDF" w14:paraId="61D2F0CD" w14:textId="77777777">
            <w:r>
              <w:rPr>
                <w:rFonts w:ascii="Aptos Narrow" w:hAnsi="Aptos Narrow"/>
                <w:color w:val="000000"/>
              </w:rPr>
              <w:t>It seems like the main goal of this tool is to make it easier for states to nominate eligible census tracts as Opportunity Zones. Keeping the process simple and minimizing unnecessary administrative burden would probably help ensure that states can submit nominations efficiently. Clear instructions and an easy-to-use interface could make the process smoother and help states identify communities that might benefit from the program.</w:t>
            </w:r>
          </w:p>
        </w:tc>
        <w:tc>
          <w:tcPr>
            <w:tcW w:w="5096" w:type="dxa"/>
            <w:vAlign w:val="center"/>
          </w:tcPr>
          <w:p w:rsidR="00B92898" w:rsidP="00BC3DDF" w14:paraId="746CCAA0" w14:textId="54A26201">
            <w:r>
              <w:rPr>
                <w:rFonts w:ascii="Aptos Narrow" w:hAnsi="Aptos Narrow"/>
                <w:color w:val="000000"/>
              </w:rPr>
              <w:t>Treasury agrees that the primary objective of the nomination tool is to simplify the nomination process and reduce unnecessary administrative burden. Treasury will ensure that the O</w:t>
            </w:r>
            <w:r w:rsidR="005D638A">
              <w:rPr>
                <w:rFonts w:ascii="Aptos Narrow" w:hAnsi="Aptos Narrow"/>
                <w:color w:val="000000"/>
              </w:rPr>
              <w:t>Z</w:t>
            </w:r>
            <w:r>
              <w:rPr>
                <w:rFonts w:ascii="Aptos Narrow" w:hAnsi="Aptos Narrow"/>
                <w:color w:val="000000"/>
              </w:rPr>
              <w:t xml:space="preserve"> Nomination </w:t>
            </w:r>
            <w:r w:rsidR="00984F0C">
              <w:rPr>
                <w:rFonts w:ascii="Aptos Narrow" w:hAnsi="Aptos Narrow"/>
                <w:color w:val="000000"/>
              </w:rPr>
              <w:t>T</w:t>
            </w:r>
            <w:r>
              <w:rPr>
                <w:rFonts w:ascii="Aptos Narrow" w:hAnsi="Aptos Narrow"/>
                <w:color w:val="000000"/>
              </w:rPr>
              <w:t>ool provides clear instructions and an intuitive, easy</w:t>
            </w:r>
            <w:r>
              <w:rPr>
                <w:rFonts w:ascii="Aptos Narrow" w:hAnsi="Aptos Narrow"/>
                <w:color w:val="000000"/>
              </w:rPr>
              <w:noBreakHyphen/>
              <w:t>to</w:t>
            </w:r>
            <w:r>
              <w:rPr>
                <w:rFonts w:ascii="Aptos Narrow" w:hAnsi="Aptos Narrow"/>
                <w:color w:val="000000"/>
              </w:rPr>
              <w:noBreakHyphen/>
              <w:t>use interface. Treasury is working closely with its IT contractor to implement these improvements and to support efficient and user</w:t>
            </w:r>
            <w:r>
              <w:rPr>
                <w:rFonts w:ascii="Aptos Narrow" w:hAnsi="Aptos Narrow"/>
                <w:color w:val="000000"/>
              </w:rPr>
              <w:noBreakHyphen/>
              <w:t>friendly functionality.</w:t>
            </w:r>
          </w:p>
        </w:tc>
      </w:tr>
      <w:tr w14:paraId="3390DC74" w14:textId="77777777" w:rsidTr="00BC3DDF">
        <w:tblPrEx>
          <w:tblW w:w="0" w:type="auto"/>
          <w:tblLook w:val="04A0"/>
        </w:tblPrEx>
        <w:tc>
          <w:tcPr>
            <w:tcW w:w="551" w:type="dxa"/>
            <w:vAlign w:val="center"/>
          </w:tcPr>
          <w:p w:rsidR="00B92898" w:rsidRPr="00DC1DA9" w:rsidP="00BC3DDF" w14:paraId="64E6179F" w14:textId="77777777">
            <w:r>
              <w:rPr>
                <w:rFonts w:ascii="Aptos Narrow" w:hAnsi="Aptos Narrow"/>
                <w:color w:val="000000"/>
              </w:rPr>
              <w:t>2</w:t>
            </w:r>
          </w:p>
        </w:tc>
        <w:tc>
          <w:tcPr>
            <w:tcW w:w="1777" w:type="dxa"/>
            <w:vAlign w:val="center"/>
          </w:tcPr>
          <w:p w:rsidR="00B92898" w:rsidP="00BC3DDF" w14:paraId="6A252D8A" w14:textId="77777777">
            <w:r>
              <w:rPr>
                <w:rFonts w:ascii="Aptos Narrow" w:hAnsi="Aptos Narrow"/>
              </w:rPr>
              <w:t>3/6/2026</w:t>
            </w:r>
          </w:p>
        </w:tc>
        <w:tc>
          <w:tcPr>
            <w:tcW w:w="1525" w:type="dxa"/>
            <w:vAlign w:val="center"/>
          </w:tcPr>
          <w:p w:rsidR="00B92898" w:rsidP="00BC3DDF" w14:paraId="2F50EDDC" w14:textId="77777777">
            <w:r>
              <w:rPr>
                <w:rFonts w:ascii="Aptos Narrow" w:hAnsi="Aptos Narrow"/>
                <w:color w:val="000000"/>
              </w:rPr>
              <w:t>N/A</w:t>
            </w:r>
          </w:p>
        </w:tc>
        <w:tc>
          <w:tcPr>
            <w:tcW w:w="1437" w:type="dxa"/>
            <w:vAlign w:val="center"/>
          </w:tcPr>
          <w:p w:rsidR="00B92898" w:rsidP="00BC3DDF" w14:paraId="4EC1EBE2" w14:textId="77777777">
            <w:r>
              <w:rPr>
                <w:rFonts w:ascii="Aptos Narrow" w:hAnsi="Aptos Narrow"/>
                <w:color w:val="000000"/>
              </w:rPr>
              <w:t>Jean M. Fleurimond </w:t>
            </w:r>
          </w:p>
        </w:tc>
        <w:tc>
          <w:tcPr>
            <w:tcW w:w="4004" w:type="dxa"/>
            <w:vAlign w:val="center"/>
          </w:tcPr>
          <w:p w:rsidR="00B92898" w:rsidP="00BC3DDF" w14:paraId="00832A93" w14:textId="77777777">
            <w:r>
              <w:rPr>
                <w:rFonts w:ascii="Aptos Narrow" w:hAnsi="Aptos Narrow"/>
                <w:color w:val="000000"/>
              </w:rPr>
              <w:t xml:space="preserve">Dear Opportunity Zone Team, I appreciate the opportunity to provide feedback on the OZ Nomination Tool. Based on my understanding, I’d like to share a few recommendations that I believe could improve its effectiveness: 1) Simplify the user interface so smaller communities with fewer resources can easily navigate it. 2) Ensure transparency in how the final Opportunity Zones are selected, with public access to criteria. 3) </w:t>
            </w:r>
            <w:r>
              <w:rPr>
                <w:rFonts w:ascii="Aptos Narrow" w:hAnsi="Aptos Narrow"/>
                <w:color w:val="000000"/>
              </w:rPr>
              <w:t>Incorporate the most recent local economic data to keep the selection fair. 4) Provide clear guidance or technical assistance for state officials, especially for smaller jurisdictions. 5) Consider a feedback mechanism post-nomination to improve future rounds. Thank you for your time and consideration.</w:t>
            </w:r>
          </w:p>
        </w:tc>
        <w:tc>
          <w:tcPr>
            <w:tcW w:w="5096" w:type="dxa"/>
            <w:vAlign w:val="center"/>
          </w:tcPr>
          <w:p w:rsidR="00B92898" w:rsidP="00BC3DDF" w14:paraId="43050B57" w14:textId="25D9C5BB">
            <w:r>
              <w:rPr>
                <w:rFonts w:ascii="Aptos Narrow" w:hAnsi="Aptos Narrow"/>
                <w:color w:val="000000"/>
              </w:rPr>
              <w:t>Treasury agrees that the primary objective of the nomination tool is to simplify the nomination process and reduce unnecessary administrative burden. Treasury will ensure that the O</w:t>
            </w:r>
            <w:r w:rsidR="005D638A">
              <w:rPr>
                <w:rFonts w:ascii="Aptos Narrow" w:hAnsi="Aptos Narrow"/>
                <w:color w:val="000000"/>
              </w:rPr>
              <w:t xml:space="preserve">Z </w:t>
            </w:r>
            <w:r>
              <w:rPr>
                <w:rFonts w:ascii="Aptos Narrow" w:hAnsi="Aptos Narrow"/>
                <w:color w:val="000000"/>
              </w:rPr>
              <w:t xml:space="preserve">Nomination </w:t>
            </w:r>
            <w:r w:rsidR="00984F0C">
              <w:rPr>
                <w:rFonts w:ascii="Aptos Narrow" w:hAnsi="Aptos Narrow"/>
                <w:color w:val="000000"/>
              </w:rPr>
              <w:t>T</w:t>
            </w:r>
            <w:r>
              <w:rPr>
                <w:rFonts w:ascii="Aptos Narrow" w:hAnsi="Aptos Narrow"/>
                <w:color w:val="000000"/>
              </w:rPr>
              <w:t>ool provides clear instructions and an intuitive, easy</w:t>
            </w:r>
            <w:r>
              <w:rPr>
                <w:rFonts w:ascii="Aptos Narrow" w:hAnsi="Aptos Narrow"/>
                <w:color w:val="000000"/>
              </w:rPr>
              <w:noBreakHyphen/>
              <w:t>to</w:t>
            </w:r>
            <w:r>
              <w:rPr>
                <w:rFonts w:ascii="Aptos Narrow" w:hAnsi="Aptos Narrow"/>
                <w:color w:val="000000"/>
              </w:rPr>
              <w:noBreakHyphen/>
              <w:t>use interface. Treasury is working closely with its IT contractor to implement these improvements and to support efficient and user</w:t>
            </w:r>
            <w:r>
              <w:rPr>
                <w:rFonts w:ascii="Aptos Narrow" w:hAnsi="Aptos Narrow"/>
                <w:color w:val="000000"/>
              </w:rPr>
              <w:noBreakHyphen/>
              <w:t>friendly functionality.</w:t>
            </w:r>
          </w:p>
        </w:tc>
      </w:tr>
      <w:tr w14:paraId="1EA5B8FA" w14:textId="77777777" w:rsidTr="00BC3DDF">
        <w:tblPrEx>
          <w:tblW w:w="0" w:type="auto"/>
          <w:tblLook w:val="04A0"/>
        </w:tblPrEx>
        <w:tc>
          <w:tcPr>
            <w:tcW w:w="551" w:type="dxa"/>
            <w:vAlign w:val="center"/>
          </w:tcPr>
          <w:p w:rsidR="00B92898" w:rsidRPr="00DC1DA9" w:rsidP="00BC3DDF" w14:paraId="576616E5" w14:textId="77777777">
            <w:r>
              <w:rPr>
                <w:rFonts w:ascii="Aptos Narrow" w:hAnsi="Aptos Narrow"/>
                <w:color w:val="000000"/>
              </w:rPr>
              <w:t>3</w:t>
            </w:r>
          </w:p>
        </w:tc>
        <w:tc>
          <w:tcPr>
            <w:tcW w:w="1777" w:type="dxa"/>
            <w:vAlign w:val="center"/>
          </w:tcPr>
          <w:p w:rsidR="00B92898" w:rsidP="00BC3DDF" w14:paraId="02893759" w14:textId="77777777">
            <w:r>
              <w:rPr>
                <w:rFonts w:ascii="Aptos Narrow" w:hAnsi="Aptos Narrow"/>
                <w:color w:val="000000"/>
              </w:rPr>
              <w:t>4/8/2026</w:t>
            </w:r>
          </w:p>
        </w:tc>
        <w:tc>
          <w:tcPr>
            <w:tcW w:w="1525" w:type="dxa"/>
            <w:vAlign w:val="center"/>
          </w:tcPr>
          <w:p w:rsidR="00B92898" w:rsidP="00BC3DDF" w14:paraId="651CF0E0" w14:textId="77777777">
            <w:r>
              <w:rPr>
                <w:rFonts w:ascii="Aptos Narrow" w:hAnsi="Aptos Narrow"/>
                <w:color w:val="000000"/>
              </w:rPr>
              <w:t>N/A</w:t>
            </w:r>
          </w:p>
        </w:tc>
        <w:tc>
          <w:tcPr>
            <w:tcW w:w="1437" w:type="dxa"/>
            <w:vAlign w:val="center"/>
          </w:tcPr>
          <w:p w:rsidR="00B92898" w:rsidP="00BC3DDF" w14:paraId="2251AD47" w14:textId="77777777">
            <w:r>
              <w:rPr>
                <w:rFonts w:ascii="Aptos Narrow" w:hAnsi="Aptos Narrow"/>
                <w:color w:val="000000"/>
              </w:rPr>
              <w:t>Carnell Oliver</w:t>
            </w:r>
          </w:p>
        </w:tc>
        <w:tc>
          <w:tcPr>
            <w:tcW w:w="4004" w:type="dxa"/>
            <w:vAlign w:val="center"/>
          </w:tcPr>
          <w:p w:rsidR="00B92898" w:rsidP="00BC3DDF" w14:paraId="3271367D" w14:textId="77777777">
            <w:r w:rsidRPr="00250B34">
              <w:rPr>
                <w:rFonts w:ascii="Aptos Narrow" w:hAnsi="Aptos Narrow"/>
                <w:color w:val="000000"/>
              </w:rPr>
              <w:t>Comment discusses the importance of embedding explicit civil rights protections into the Opportunity Zone 2.0 nomination and evaluation process.</w:t>
            </w:r>
          </w:p>
        </w:tc>
        <w:tc>
          <w:tcPr>
            <w:tcW w:w="5096" w:type="dxa"/>
            <w:vAlign w:val="center"/>
          </w:tcPr>
          <w:p w:rsidR="00B92898" w:rsidP="00BC3DDF" w14:paraId="3C442E01" w14:textId="732AF07E">
            <w:r>
              <w:rPr>
                <w:rFonts w:ascii="Aptos Narrow" w:hAnsi="Aptos Narrow"/>
                <w:color w:val="000000"/>
              </w:rPr>
              <w:t>Treasury agrees and the O</w:t>
            </w:r>
            <w:r w:rsidR="005D638A">
              <w:rPr>
                <w:rFonts w:ascii="Aptos Narrow" w:hAnsi="Aptos Narrow"/>
                <w:color w:val="000000"/>
              </w:rPr>
              <w:t>Z</w:t>
            </w:r>
            <w:r>
              <w:rPr>
                <w:rFonts w:ascii="Aptos Narrow" w:hAnsi="Aptos Narrow"/>
                <w:color w:val="000000"/>
              </w:rPr>
              <w:t xml:space="preserve"> Nomination Tool will adhere to civil rights requirements.</w:t>
            </w:r>
          </w:p>
        </w:tc>
      </w:tr>
      <w:tr w14:paraId="480629FA" w14:textId="77777777" w:rsidTr="00BC3DDF">
        <w:tblPrEx>
          <w:tblW w:w="0" w:type="auto"/>
          <w:tblLook w:val="04A0"/>
        </w:tblPrEx>
        <w:tc>
          <w:tcPr>
            <w:tcW w:w="551" w:type="dxa"/>
            <w:vAlign w:val="center"/>
          </w:tcPr>
          <w:p w:rsidR="00B92898" w:rsidRPr="00DC1DA9" w:rsidP="00BC3DDF" w14:paraId="56B615C7" w14:textId="77777777">
            <w:r>
              <w:rPr>
                <w:rFonts w:ascii="Aptos Narrow" w:hAnsi="Aptos Narrow"/>
                <w:color w:val="000000"/>
              </w:rPr>
              <w:t>4</w:t>
            </w:r>
          </w:p>
        </w:tc>
        <w:tc>
          <w:tcPr>
            <w:tcW w:w="1777" w:type="dxa"/>
            <w:vAlign w:val="center"/>
          </w:tcPr>
          <w:p w:rsidR="00B92898" w:rsidP="00BC3DDF" w14:paraId="226E4DA9" w14:textId="77777777">
            <w:r>
              <w:rPr>
                <w:rFonts w:ascii="Aptos Narrow" w:hAnsi="Aptos Narrow"/>
                <w:color w:val="000000"/>
              </w:rPr>
              <w:t>4/10/2026</w:t>
            </w:r>
          </w:p>
        </w:tc>
        <w:tc>
          <w:tcPr>
            <w:tcW w:w="1525" w:type="dxa"/>
            <w:vAlign w:val="center"/>
          </w:tcPr>
          <w:p w:rsidR="00B92898" w:rsidP="00BC3DDF" w14:paraId="7CA6021D" w14:textId="77777777">
            <w:r>
              <w:rPr>
                <w:rFonts w:ascii="Aptos Narrow" w:hAnsi="Aptos Narrow"/>
                <w:color w:val="000000"/>
              </w:rPr>
              <w:t>State of Kansas</w:t>
            </w:r>
          </w:p>
        </w:tc>
        <w:tc>
          <w:tcPr>
            <w:tcW w:w="1437" w:type="dxa"/>
            <w:vAlign w:val="center"/>
          </w:tcPr>
          <w:p w:rsidR="00B92898" w:rsidP="00BC3DDF" w14:paraId="07AC1BCF" w14:textId="77777777">
            <w:r>
              <w:rPr>
                <w:rFonts w:ascii="Aptos Narrow" w:hAnsi="Aptos Narrow"/>
                <w:color w:val="000000"/>
              </w:rPr>
              <w:t>Paul Hughes</w:t>
            </w:r>
          </w:p>
        </w:tc>
        <w:tc>
          <w:tcPr>
            <w:tcW w:w="4004" w:type="dxa"/>
            <w:vAlign w:val="center"/>
          </w:tcPr>
          <w:p w:rsidR="00B92898" w:rsidP="00BC3DDF" w14:paraId="70B37EAE" w14:textId="77777777">
            <w:r>
              <w:rPr>
                <w:rFonts w:ascii="Aptos Narrow" w:hAnsi="Aptos Narrow"/>
                <w:color w:val="000000"/>
              </w:rPr>
              <w:t>The State of Kansas is actively engaged with its OZ 2.0 stakeholders regarding the desired content of a nomination, that it be limited to three (3) pages, maximizes the use of links to supporting materials and maps, and be submitted in either Word or PDF format. Therefore, we would like the CDFI tool to support the uploading of nominated tracts in preference to copying and pasting information into a web form. A sample of our nomination guidance is attached for reference.</w:t>
            </w:r>
          </w:p>
        </w:tc>
        <w:tc>
          <w:tcPr>
            <w:tcW w:w="5096" w:type="dxa"/>
            <w:vAlign w:val="center"/>
          </w:tcPr>
          <w:p w:rsidR="00B92898" w:rsidP="00BC3DDF" w14:paraId="310FD90A" w14:textId="1E3140AC">
            <w:r>
              <w:rPr>
                <w:rFonts w:ascii="Aptos Narrow" w:hAnsi="Aptos Narrow"/>
                <w:color w:val="000000"/>
              </w:rPr>
              <w:t>Treasury agrees and the O</w:t>
            </w:r>
            <w:r w:rsidR="005D638A">
              <w:rPr>
                <w:rFonts w:ascii="Aptos Narrow" w:hAnsi="Aptos Narrow"/>
                <w:color w:val="000000"/>
              </w:rPr>
              <w:t>Z</w:t>
            </w:r>
            <w:r>
              <w:rPr>
                <w:rFonts w:ascii="Aptos Narrow" w:hAnsi="Aptos Narrow"/>
                <w:color w:val="000000"/>
              </w:rPr>
              <w:t xml:space="preserve"> Nomination Tool will limit the amount of documentation required and allow for bulk upload of tracts.</w:t>
            </w:r>
          </w:p>
        </w:tc>
      </w:tr>
      <w:tr w14:paraId="309CCD06" w14:textId="77777777" w:rsidTr="00BC3DDF">
        <w:tblPrEx>
          <w:tblW w:w="0" w:type="auto"/>
          <w:tblLook w:val="04A0"/>
        </w:tblPrEx>
        <w:tc>
          <w:tcPr>
            <w:tcW w:w="551" w:type="dxa"/>
            <w:vAlign w:val="center"/>
          </w:tcPr>
          <w:p w:rsidR="00B92898" w:rsidRPr="00DC1DA9" w:rsidP="00BC3DDF" w14:paraId="2F853164" w14:textId="77777777">
            <w:r>
              <w:rPr>
                <w:rFonts w:ascii="Aptos Narrow" w:hAnsi="Aptos Narrow"/>
                <w:color w:val="000000"/>
              </w:rPr>
              <w:t>5</w:t>
            </w:r>
          </w:p>
        </w:tc>
        <w:tc>
          <w:tcPr>
            <w:tcW w:w="1777" w:type="dxa"/>
            <w:vAlign w:val="center"/>
          </w:tcPr>
          <w:p w:rsidR="00B92898" w:rsidP="00BC3DDF" w14:paraId="23C48D71" w14:textId="77777777">
            <w:r>
              <w:rPr>
                <w:rFonts w:ascii="Aptos Narrow" w:hAnsi="Aptos Narrow"/>
                <w:color w:val="000000"/>
              </w:rPr>
              <w:t>5/2/2026</w:t>
            </w:r>
          </w:p>
        </w:tc>
        <w:tc>
          <w:tcPr>
            <w:tcW w:w="1525" w:type="dxa"/>
            <w:vAlign w:val="center"/>
          </w:tcPr>
          <w:p w:rsidR="00B92898" w:rsidP="00BC3DDF" w14:paraId="4672DFCC" w14:textId="77777777">
            <w:r>
              <w:rPr>
                <w:rFonts w:ascii="Aptos Narrow" w:hAnsi="Aptos Narrow"/>
                <w:color w:val="000000"/>
              </w:rPr>
              <w:t>Novogradac and Co. LLP</w:t>
            </w:r>
          </w:p>
        </w:tc>
        <w:tc>
          <w:tcPr>
            <w:tcW w:w="1437" w:type="dxa"/>
            <w:vAlign w:val="center"/>
          </w:tcPr>
          <w:p w:rsidR="00B92898" w:rsidP="00BC3DDF" w14:paraId="40007458" w14:textId="77777777">
            <w:r>
              <w:rPr>
                <w:rFonts w:ascii="Aptos Narrow" w:hAnsi="Aptos Narrow"/>
                <w:color w:val="000000"/>
              </w:rPr>
              <w:t>Jason Watkins</w:t>
            </w:r>
          </w:p>
        </w:tc>
        <w:tc>
          <w:tcPr>
            <w:tcW w:w="4004" w:type="dxa"/>
          </w:tcPr>
          <w:p w:rsidR="00B92898" w:rsidP="00BC3DDF" w14:paraId="6C7C28A3" w14:textId="77777777">
            <w:r>
              <w:rPr>
                <w:rFonts w:ascii="Aptos Narrow" w:hAnsi="Aptos Narrow"/>
                <w:color w:val="000000"/>
              </w:rPr>
              <w:t xml:space="preserve">Attached is a response from the Novogradac OZ </w:t>
            </w:r>
            <w:r>
              <w:rPr>
                <w:rFonts w:ascii="Aptos Narrow" w:hAnsi="Aptos Narrow"/>
                <w:color w:val="000000"/>
              </w:rPr>
              <w:t>Working Group in response to the March 6, 2026 notice requesting public comment on the Opportunity Zones (OZ) Nomination Tool. Recommend that tool include criteria for evaluating tracts that fall outside the eligibility list and sufficient time to review off-list nominations in addition to Treasury feedback. The tool should also include real-time indicators to support compliance with the 25% cap.</w:t>
            </w:r>
          </w:p>
        </w:tc>
        <w:tc>
          <w:tcPr>
            <w:tcW w:w="5096" w:type="dxa"/>
            <w:vAlign w:val="center"/>
          </w:tcPr>
          <w:p w:rsidR="00B92898" w:rsidP="00BC3DDF" w14:paraId="722FD8CB" w14:textId="10E4C607">
            <w:r>
              <w:rPr>
                <w:rFonts w:ascii="Aptos Narrow" w:hAnsi="Aptos Narrow"/>
                <w:color w:val="000000"/>
              </w:rPr>
              <w:t xml:space="preserve">Treasury acknowledges the recommendations </w:t>
            </w:r>
            <w:r>
              <w:rPr>
                <w:rFonts w:ascii="Aptos Narrow" w:hAnsi="Aptos Narrow"/>
                <w:color w:val="000000"/>
              </w:rPr>
              <w:t>regarding the nomination and review of tracts outside the list of eligible tracts. Specifically: Recommendations concerning criteria for evaluating tracts that fall outside the eligibility list will be directed to the Governor’s Office responsible for submitting tract nominations.</w:t>
            </w:r>
            <w:r>
              <w:rPr>
                <w:rFonts w:ascii="Aptos Narrow" w:hAnsi="Aptos Narrow"/>
                <w:color w:val="000000"/>
              </w:rPr>
              <w:br/>
            </w:r>
            <w:r>
              <w:rPr>
                <w:rFonts w:ascii="Aptos Narrow" w:hAnsi="Aptos Narrow"/>
                <w:color w:val="000000"/>
              </w:rPr>
              <w:br/>
              <w:t>The CDFI Fund will consider the need to allow sufficient time for reviewing off</w:t>
            </w:r>
            <w:r>
              <w:rPr>
                <w:rFonts w:ascii="Aptos Narrow" w:hAnsi="Aptos Narrow"/>
                <w:color w:val="000000"/>
              </w:rPr>
              <w:noBreakHyphen/>
              <w:t>list nominations.</w:t>
            </w:r>
            <w:r>
              <w:rPr>
                <w:rFonts w:ascii="Aptos Narrow" w:hAnsi="Aptos Narrow"/>
                <w:color w:val="000000"/>
              </w:rPr>
              <w:br/>
            </w:r>
            <w:r>
              <w:rPr>
                <w:rFonts w:ascii="Aptos Narrow" w:hAnsi="Aptos Narrow"/>
                <w:color w:val="000000"/>
              </w:rPr>
              <w:br/>
              <w:t>Treasury will provide feedback for any off</w:t>
            </w:r>
            <w:r>
              <w:rPr>
                <w:rFonts w:ascii="Aptos Narrow" w:hAnsi="Aptos Narrow"/>
                <w:color w:val="000000"/>
              </w:rPr>
              <w:noBreakHyphen/>
              <w:t>list tract nominations that are not accepted.</w:t>
            </w:r>
            <w:r>
              <w:rPr>
                <w:rFonts w:ascii="Aptos Narrow" w:hAnsi="Aptos Narrow"/>
                <w:color w:val="000000"/>
              </w:rPr>
              <w:br/>
            </w:r>
            <w:r>
              <w:rPr>
                <w:rFonts w:ascii="Aptos Narrow" w:hAnsi="Aptos Narrow"/>
                <w:color w:val="000000"/>
              </w:rPr>
              <w:br/>
              <w:t>The O</w:t>
            </w:r>
            <w:r w:rsidR="005D638A">
              <w:rPr>
                <w:rFonts w:ascii="Aptos Narrow" w:hAnsi="Aptos Narrow"/>
                <w:color w:val="000000"/>
              </w:rPr>
              <w:t>Z</w:t>
            </w:r>
            <w:r>
              <w:rPr>
                <w:rFonts w:ascii="Aptos Narrow" w:hAnsi="Aptos Narrow"/>
                <w:color w:val="000000"/>
              </w:rPr>
              <w:t xml:space="preserve"> Nomination Tool will include automatic, real</w:t>
            </w:r>
            <w:r>
              <w:rPr>
                <w:rFonts w:ascii="Aptos Narrow" w:hAnsi="Aptos Narrow"/>
                <w:color w:val="000000"/>
              </w:rPr>
              <w:noBreakHyphen/>
              <w:t>time indicators to support compliance with the 25 percent cap.</w:t>
            </w:r>
            <w:r>
              <w:rPr>
                <w:rFonts w:ascii="Aptos Narrow" w:hAnsi="Aptos Narrow"/>
                <w:color w:val="000000"/>
              </w:rPr>
              <w:br/>
            </w:r>
            <w:r>
              <w:rPr>
                <w:rFonts w:ascii="Aptos Narrow" w:hAnsi="Aptos Narrow"/>
                <w:color w:val="000000"/>
              </w:rPr>
              <w:br/>
              <w:t>The O</w:t>
            </w:r>
            <w:r w:rsidR="005D638A">
              <w:rPr>
                <w:rFonts w:ascii="Aptos Narrow" w:hAnsi="Aptos Narrow"/>
                <w:color w:val="000000"/>
              </w:rPr>
              <w:t>Z</w:t>
            </w:r>
            <w:r>
              <w:rPr>
                <w:rFonts w:ascii="Aptos Narrow" w:hAnsi="Aptos Narrow"/>
                <w:color w:val="000000"/>
              </w:rPr>
              <w:t xml:space="preserve"> Nomination Tool will also maintain time</w:t>
            </w:r>
            <w:r>
              <w:rPr>
                <w:rFonts w:ascii="Aptos Narrow" w:hAnsi="Aptos Narrow"/>
                <w:color w:val="000000"/>
              </w:rPr>
              <w:noBreakHyphen/>
              <w:t>stamped records of all nomination revisions in real time.</w:t>
            </w:r>
          </w:p>
        </w:tc>
      </w:tr>
      <w:tr w14:paraId="67FEEB06" w14:textId="77777777" w:rsidTr="00BC3DDF">
        <w:tblPrEx>
          <w:tblW w:w="0" w:type="auto"/>
          <w:tblLook w:val="04A0"/>
        </w:tblPrEx>
        <w:tc>
          <w:tcPr>
            <w:tcW w:w="551" w:type="dxa"/>
            <w:vAlign w:val="center"/>
          </w:tcPr>
          <w:p w:rsidR="00B92898" w:rsidRPr="00DC1DA9" w:rsidP="00BC3DDF" w14:paraId="0A721A9A" w14:textId="77777777">
            <w:r>
              <w:rPr>
                <w:rFonts w:ascii="Aptos Narrow" w:hAnsi="Aptos Narrow"/>
                <w:color w:val="000000"/>
              </w:rPr>
              <w:t>6</w:t>
            </w:r>
          </w:p>
        </w:tc>
        <w:tc>
          <w:tcPr>
            <w:tcW w:w="1777" w:type="dxa"/>
            <w:vAlign w:val="center"/>
          </w:tcPr>
          <w:p w:rsidR="00B92898" w:rsidP="00BC3DDF" w14:paraId="56733AFE" w14:textId="77777777">
            <w:r>
              <w:rPr>
                <w:rFonts w:ascii="Aptos Narrow" w:hAnsi="Aptos Narrow"/>
                <w:color w:val="000000"/>
              </w:rPr>
              <w:t>5/5/2026</w:t>
            </w:r>
          </w:p>
        </w:tc>
        <w:tc>
          <w:tcPr>
            <w:tcW w:w="1525" w:type="dxa"/>
            <w:vAlign w:val="center"/>
          </w:tcPr>
          <w:p w:rsidR="00B92898" w:rsidP="00BC3DDF" w14:paraId="1DAB1331" w14:textId="77777777">
            <w:r>
              <w:rPr>
                <w:rFonts w:ascii="Aptos Narrow" w:hAnsi="Aptos Narrow"/>
                <w:color w:val="000000"/>
              </w:rPr>
              <w:t>IFF</w:t>
            </w:r>
          </w:p>
        </w:tc>
        <w:tc>
          <w:tcPr>
            <w:tcW w:w="1437" w:type="dxa"/>
            <w:vAlign w:val="center"/>
          </w:tcPr>
          <w:p w:rsidR="00B92898" w:rsidP="00BC3DDF" w14:paraId="470C0E60" w14:textId="77777777">
            <w:r>
              <w:rPr>
                <w:rFonts w:ascii="Aptos Narrow" w:hAnsi="Aptos Narrow"/>
                <w:color w:val="000000"/>
              </w:rPr>
              <w:t>Kirby Burkholder</w:t>
            </w:r>
          </w:p>
        </w:tc>
        <w:tc>
          <w:tcPr>
            <w:tcW w:w="4004" w:type="dxa"/>
            <w:vAlign w:val="center"/>
          </w:tcPr>
          <w:p w:rsidR="00B92898" w:rsidRPr="001C3E94" w:rsidP="00BC3DDF" w14:paraId="34904EF8" w14:textId="77777777">
            <w:pPr>
              <w:rPr>
                <w:rFonts w:ascii="Aptos Narrow" w:hAnsi="Aptos Narrow"/>
                <w:color w:val="000000"/>
              </w:rPr>
            </w:pPr>
            <w:r>
              <w:rPr>
                <w:rFonts w:ascii="Aptos Narrow" w:hAnsi="Aptos Narrow"/>
                <w:color w:val="000000"/>
              </w:rPr>
              <w:t xml:space="preserve">IFF appreciates the opportunity to provide comments to the CDFI Fund regarding the Notice of Information Collection concerning the OZ Nomination Tool. As the landscape of community development finance evolves – particularly with the permanent </w:t>
            </w:r>
            <w:r>
              <w:rPr>
                <w:rFonts w:ascii="Aptos Narrow" w:hAnsi="Aptos Narrow"/>
                <w:color w:val="000000"/>
              </w:rPr>
              <w:t>extension and reporting requirements of the Opportunity Zones program (OZ 2.0) – it is critical that the CDFI Fund’s data collection and program frameworks are designed to maximize the participation of mission-aligned certified CDFIs.</w:t>
            </w:r>
            <w:r>
              <w:rPr>
                <w:rFonts w:ascii="Aptos Narrow" w:hAnsi="Aptos Narrow"/>
                <w:color w:val="000000"/>
              </w:rPr>
              <w:br/>
              <w:t>As a mission-driven CDFI and one of the largest in the Midwest, IFF strengthens nonprofits and the communities they serve by providing the capital and technical assistance necessary for impactful projects. We serve a 10-state region that includes Illinois, Indiana, Iowa, Kansas, Michigan, Minnesota, Missouri, Ohio, Wisconsin, and Kentucky. Since our founding in 1988, we have made over 2,300 loans for more than $1.7 billion – leveraging a total investment in communities of over $7 billion and supporting tens of thousands of jobs throughout the Midwest.</w:t>
            </w:r>
            <w:r>
              <w:rPr>
                <w:rFonts w:ascii="Aptos Narrow" w:hAnsi="Aptos Narrow"/>
                <w:color w:val="000000"/>
              </w:rPr>
              <w:br/>
              <w:t xml:space="preserve">Our primary concern regarding the first iteration of the Opportunity Zones program was the limited pathway for CDFIs to participate and guide </w:t>
            </w:r>
            <w:r>
              <w:rPr>
                <w:rFonts w:ascii="Aptos Narrow" w:hAnsi="Aptos Narrow"/>
                <w:color w:val="000000"/>
              </w:rPr>
              <w:t>capital toward the communities that need it most. CDFIs are uniquely positioned to help the administration meet its goals of effective capital deployment, particularly in rural and deeply distressed areas, because we are already present and operational in those markets. We believe the following recommendations will ensure the OZ 2.0 framework is both impactful and effective.</w:t>
            </w:r>
            <w:r>
              <w:rPr>
                <w:rFonts w:ascii="Aptos Narrow" w:hAnsi="Aptos Narrow"/>
                <w:color w:val="000000"/>
              </w:rPr>
              <w:br/>
              <w:t>1. Integrate Certified CDFI Data into Opportunity Zone Tools</w:t>
            </w:r>
            <w:r>
              <w:rPr>
                <w:rFonts w:ascii="Aptos Narrow" w:hAnsi="Aptos Narrow"/>
                <w:color w:val="000000"/>
              </w:rPr>
              <w:br/>
              <w:t>To bridge the gap between OZ investors and community-rooted projects, the CDFI Fund should integrate its internal data on Certified CDFIs into the public-facing OZ mapping and reporting tools.</w:t>
            </w:r>
            <w:r>
              <w:rPr>
                <w:rFonts w:ascii="Aptos Narrow" w:hAnsi="Aptos Narrow"/>
                <w:color w:val="000000"/>
              </w:rPr>
              <w:br/>
              <w:t xml:space="preserve">We suggest including an overlay in federal OZ 2.0 mapping tools that highlight certified CDFIs whose approved Target Markets serve designated census tracts. This creates a warm lead environment where investors can quickly identify local partners with deep community ties and existing investment pipelines. Showing an </w:t>
            </w:r>
            <w:r>
              <w:rPr>
                <w:rFonts w:ascii="Aptos Narrow" w:hAnsi="Aptos Narrow"/>
                <w:color w:val="000000"/>
              </w:rPr>
              <w:t>overlay of current CDFI investments in these tracts would further signal the investment readiness of these communities and get CDFIs into the conversation at the earliest stages of deal formation.</w:t>
            </w:r>
            <w:r>
              <w:rPr>
                <w:rFonts w:ascii="Aptos Narrow" w:hAnsi="Aptos Narrow"/>
                <w:color w:val="000000"/>
              </w:rPr>
              <w:br/>
              <w:t>2. Leverage the NMTC Model to Ensure Community Impact</w:t>
            </w:r>
            <w:r>
              <w:rPr>
                <w:rFonts w:ascii="Aptos Narrow" w:hAnsi="Aptos Narrow"/>
                <w:color w:val="000000"/>
              </w:rPr>
              <w:br/>
              <w:t>In the New Markets Tax Credit (NMTC) program, Community Development Entities (CDEs) take a leadership role to ensure mission alignment. We believe a similar leadership framework is necessary for OZ 2.0 to ensure the community impact comes before the money.</w:t>
            </w:r>
            <w:r>
              <w:rPr>
                <w:rFonts w:ascii="Aptos Narrow" w:hAnsi="Aptos Narrow"/>
                <w:color w:val="000000"/>
              </w:rPr>
              <w:br/>
              <w:t>2</w:t>
            </w:r>
            <w:r>
              <w:rPr>
                <w:rFonts w:ascii="Aptos Narrow" w:hAnsi="Aptos Narrow"/>
                <w:color w:val="000000"/>
              </w:rPr>
              <w:br/>
              <w:t xml:space="preserve">Treasury should provide specific benefits or incentives (such as streamlined reporting or priority designations) to Qualified Opportunity Funds (QOFs) that partner with or are managed by certified CDFIs. And just like in NMTC, QOFs should be required to have a Community Advisory Board to ensure that a new OZ project provides the jobs or services the locals need. The CDFI industry has decades of </w:t>
            </w:r>
            <w:r>
              <w:rPr>
                <w:rFonts w:ascii="Aptos Narrow" w:hAnsi="Aptos Narrow"/>
                <w:color w:val="000000"/>
              </w:rPr>
              <w:t>experience in ensuring that capital results in true community benefits – including jobs, affordable housing, and essential services.</w:t>
            </w:r>
            <w:r>
              <w:rPr>
                <w:rFonts w:ascii="Aptos Narrow" w:hAnsi="Aptos Narrow"/>
                <w:color w:val="000000"/>
              </w:rPr>
              <w:br/>
              <w:t>3. Designate Certified CDFIs as Pre-Qualified Investment Intermediaries</w:t>
            </w:r>
            <w:r>
              <w:rPr>
                <w:rFonts w:ascii="Aptos Narrow" w:hAnsi="Aptos Narrow"/>
                <w:color w:val="000000"/>
              </w:rPr>
              <w:br/>
              <w:t xml:space="preserve">The CDFI Fund should work with the Treasury to allow certified CDFIs to serve as automatically qualified investment intermediaries. This would allow OZ capital to be deployed through a CDFI’s existing mission-driven framework. This approach ensures that capital is managed by a professional intermediary with a 30-plus year track record of deploying capital for complex projects – like rural healthcare centers or affordable housing developments – in the most distressed tracts. The OZ 2.0 program should pre-qualify CDFIs as QOFs, allowing OZ equity to flow directly into a CDFI’s dedicated OZ fund and be deployed into an OZ. To support this, the OZ Nomination Tool should include a specific designation for tracts that are already within a certified CDFI’s </w:t>
            </w:r>
            <w:r>
              <w:rPr>
                <w:rFonts w:ascii="Aptos Narrow" w:hAnsi="Aptos Narrow"/>
                <w:color w:val="000000"/>
              </w:rPr>
              <w:t>target market. This would signal to investors that a pre-qualified deployment vehicle is already operational in that area.</w:t>
            </w:r>
            <w:r>
              <w:rPr>
                <w:rFonts w:ascii="Aptos Narrow" w:hAnsi="Aptos Narrow"/>
                <w:color w:val="000000"/>
              </w:rPr>
              <w:br/>
              <w:t>CDFIs have a 30-plus year track record as proven community partners. Any encouragement the CDFI Fund can provide to bring CDFIs into these deals will make them more impactful and effective at meeting the administration's goals. We look forward to working with you to refine these information collection processes to better reflect the strengths of the CDFI industry.</w:t>
            </w:r>
            <w:r>
              <w:rPr>
                <w:rFonts w:ascii="Aptos Narrow" w:hAnsi="Aptos Narrow"/>
                <w:color w:val="000000"/>
              </w:rPr>
              <w:br/>
            </w:r>
          </w:p>
        </w:tc>
        <w:tc>
          <w:tcPr>
            <w:tcW w:w="5096" w:type="dxa"/>
            <w:vAlign w:val="center"/>
          </w:tcPr>
          <w:p w:rsidR="00B92898" w:rsidP="00BC3DDF" w14:paraId="1F324E9F" w14:textId="29D0B247">
            <w:r>
              <w:rPr>
                <w:rFonts w:ascii="Aptos Narrow" w:hAnsi="Aptos Narrow"/>
                <w:color w:val="000000"/>
              </w:rPr>
              <w:t>Treasury acknowledges the recommendation to integrate Certified CDFI data and investment overlays into Opportunity Zone mapping tools and concerns about programmatic design decisions outside the scope of the O</w:t>
            </w:r>
            <w:r w:rsidR="005D638A">
              <w:rPr>
                <w:rFonts w:ascii="Aptos Narrow" w:hAnsi="Aptos Narrow"/>
                <w:color w:val="000000"/>
              </w:rPr>
              <w:t>Z</w:t>
            </w:r>
            <w:r>
              <w:rPr>
                <w:rFonts w:ascii="Aptos Narrow" w:hAnsi="Aptos Narrow"/>
                <w:color w:val="000000"/>
              </w:rPr>
              <w:t xml:space="preserve"> Nomination Tool.</w:t>
            </w:r>
            <w:r>
              <w:rPr>
                <w:rFonts w:ascii="Aptos Narrow" w:hAnsi="Aptos Narrow"/>
                <w:color w:val="000000"/>
              </w:rPr>
              <w:br/>
            </w:r>
            <w:r>
              <w:rPr>
                <w:rFonts w:ascii="Aptos Narrow" w:hAnsi="Aptos Narrow"/>
                <w:color w:val="000000"/>
              </w:rPr>
              <w:br/>
              <w:t xml:space="preserve">The proposal to apply an </w:t>
            </w:r>
            <w:r>
              <w:rPr>
                <w:rFonts w:ascii="Aptos Narrow" w:hAnsi="Aptos Narrow"/>
                <w:color w:val="000000"/>
              </w:rPr>
              <w:t>NMTC</w:t>
            </w:r>
            <w:r>
              <w:rPr>
                <w:rFonts w:ascii="Aptos Narrow" w:hAnsi="Aptos Narrow"/>
                <w:color w:val="000000"/>
              </w:rPr>
              <w:noBreakHyphen/>
              <w:t>style framework—such as incentives for QOF–CDFI partnerships and required Community Advisory Boards—relates to post</w:t>
            </w:r>
            <w:r>
              <w:rPr>
                <w:rFonts w:ascii="Aptos Narrow" w:hAnsi="Aptos Narrow"/>
                <w:color w:val="000000"/>
              </w:rPr>
              <w:noBreakHyphen/>
              <w:t>nomination program administration and not to the O</w:t>
            </w:r>
            <w:r w:rsidR="00B80B6C">
              <w:rPr>
                <w:rFonts w:ascii="Aptos Narrow" w:hAnsi="Aptos Narrow"/>
                <w:color w:val="000000"/>
              </w:rPr>
              <w:t>Z</w:t>
            </w:r>
            <w:r>
              <w:rPr>
                <w:rFonts w:ascii="Aptos Narrow" w:hAnsi="Aptos Narrow"/>
                <w:color w:val="000000"/>
              </w:rPr>
              <w:t xml:space="preserve"> Nomination Tool. As such, this is not relevant to the O</w:t>
            </w:r>
            <w:r w:rsidR="00B80B6C">
              <w:rPr>
                <w:rFonts w:ascii="Aptos Narrow" w:hAnsi="Aptos Narrow"/>
                <w:color w:val="000000"/>
              </w:rPr>
              <w:t>Z</w:t>
            </w:r>
            <w:r>
              <w:rPr>
                <w:rFonts w:ascii="Aptos Narrow" w:hAnsi="Aptos Narrow"/>
                <w:color w:val="000000"/>
              </w:rPr>
              <w:t xml:space="preserve"> Nomination Tool PRA notice. </w:t>
            </w:r>
            <w:r>
              <w:rPr>
                <w:rFonts w:ascii="Aptos Narrow" w:hAnsi="Aptos Narrow"/>
                <w:color w:val="000000"/>
              </w:rPr>
              <w:br/>
            </w:r>
            <w:r>
              <w:rPr>
                <w:rFonts w:ascii="Aptos Narrow" w:hAnsi="Aptos Narrow"/>
                <w:color w:val="000000"/>
              </w:rPr>
              <w:br/>
              <w:t>The proposal to pre</w:t>
            </w:r>
            <w:r>
              <w:rPr>
                <w:rFonts w:ascii="Aptos Narrow" w:hAnsi="Aptos Narrow"/>
                <w:color w:val="000000"/>
              </w:rPr>
              <w:noBreakHyphen/>
              <w:t>qualify Certified CDFIs as investment intermediaries and to signal eligible tracts accordingly concerns broader program policy rather than the functionality of the O</w:t>
            </w:r>
            <w:r w:rsidR="00B80B6C">
              <w:rPr>
                <w:rFonts w:ascii="Aptos Narrow" w:hAnsi="Aptos Narrow"/>
                <w:color w:val="000000"/>
              </w:rPr>
              <w:t>Z</w:t>
            </w:r>
            <w:r>
              <w:rPr>
                <w:rFonts w:ascii="Aptos Narrow" w:hAnsi="Aptos Narrow"/>
                <w:color w:val="000000"/>
              </w:rPr>
              <w:t xml:space="preserve"> Nomination Tool. As such, this is not relevant to the O</w:t>
            </w:r>
            <w:r w:rsidR="00B80B6C">
              <w:rPr>
                <w:rFonts w:ascii="Aptos Narrow" w:hAnsi="Aptos Narrow"/>
                <w:color w:val="000000"/>
              </w:rPr>
              <w:t>Z</w:t>
            </w:r>
            <w:r>
              <w:rPr>
                <w:rFonts w:ascii="Aptos Narrow" w:hAnsi="Aptos Narrow"/>
                <w:color w:val="000000"/>
              </w:rPr>
              <w:t xml:space="preserve"> Nomination Tool PRA notice. </w:t>
            </w:r>
          </w:p>
        </w:tc>
      </w:tr>
      <w:tr w14:paraId="5EE27042" w14:textId="77777777" w:rsidTr="00BC3DDF">
        <w:tblPrEx>
          <w:tblW w:w="0" w:type="auto"/>
          <w:tblLook w:val="04A0"/>
        </w:tblPrEx>
        <w:tc>
          <w:tcPr>
            <w:tcW w:w="551" w:type="dxa"/>
            <w:vAlign w:val="center"/>
          </w:tcPr>
          <w:p w:rsidR="00B92898" w:rsidRPr="00DC1DA9" w:rsidP="00BC3DDF" w14:paraId="398B2709" w14:textId="77777777">
            <w:r>
              <w:rPr>
                <w:rFonts w:ascii="Aptos Narrow" w:hAnsi="Aptos Narrow"/>
                <w:color w:val="000000"/>
              </w:rPr>
              <w:t>7</w:t>
            </w:r>
          </w:p>
        </w:tc>
        <w:tc>
          <w:tcPr>
            <w:tcW w:w="1777" w:type="dxa"/>
            <w:vAlign w:val="center"/>
          </w:tcPr>
          <w:p w:rsidR="00B92898" w:rsidP="00BC3DDF" w14:paraId="2A6566A7" w14:textId="77777777">
            <w:r>
              <w:rPr>
                <w:rFonts w:ascii="Aptos Narrow" w:hAnsi="Aptos Narrow"/>
                <w:color w:val="000000"/>
              </w:rPr>
              <w:t>5/5/2026</w:t>
            </w:r>
          </w:p>
        </w:tc>
        <w:tc>
          <w:tcPr>
            <w:tcW w:w="1525" w:type="dxa"/>
            <w:vAlign w:val="center"/>
          </w:tcPr>
          <w:p w:rsidR="00B92898" w:rsidP="00BC3DDF" w14:paraId="0F1FDB1B" w14:textId="77777777">
            <w:r>
              <w:rPr>
                <w:rFonts w:ascii="Aptos Narrow" w:hAnsi="Aptos Narrow"/>
                <w:color w:val="000000"/>
              </w:rPr>
              <w:t>Not Stated</w:t>
            </w:r>
          </w:p>
        </w:tc>
        <w:tc>
          <w:tcPr>
            <w:tcW w:w="1437" w:type="dxa"/>
            <w:vAlign w:val="center"/>
          </w:tcPr>
          <w:p w:rsidR="00B92898" w:rsidP="00BC3DDF" w14:paraId="54254465" w14:textId="77777777">
            <w:r>
              <w:rPr>
                <w:rFonts w:ascii="Aptos Narrow" w:hAnsi="Aptos Narrow"/>
                <w:color w:val="000000"/>
              </w:rPr>
              <w:t>Larry Dembrun</w:t>
            </w:r>
          </w:p>
        </w:tc>
        <w:tc>
          <w:tcPr>
            <w:tcW w:w="4004" w:type="dxa"/>
            <w:vAlign w:val="center"/>
          </w:tcPr>
          <w:p w:rsidR="00B92898" w:rsidRPr="001C3E94" w:rsidP="00BC3DDF" w14:paraId="34BDA943" w14:textId="77777777">
            <w:pPr>
              <w:rPr>
                <w:rFonts w:ascii="Aptos Narrow" w:hAnsi="Aptos Narrow"/>
                <w:color w:val="000000"/>
              </w:rPr>
            </w:pPr>
            <w:r>
              <w:rPr>
                <w:rFonts w:ascii="Aptos Narrow" w:hAnsi="Aptos Narrow"/>
                <w:color w:val="000000"/>
              </w:rPr>
              <w:t>Efforts to modernize and streamline regulatory requirements are important, particularly as technology continues to evolve. Any updates that improve efficiency and accessibility can benefit both agencies and the public. At the same time, it is essential that implementation remains practical and clearly defined to avoid confusion or unintended burden.</w:t>
            </w:r>
            <w:r>
              <w:rPr>
                <w:rFonts w:ascii="Aptos Narrow" w:hAnsi="Aptos Narrow"/>
                <w:color w:val="000000"/>
              </w:rPr>
              <w:br/>
            </w:r>
            <w:r>
              <w:rPr>
                <w:rFonts w:ascii="Aptos Narrow" w:hAnsi="Aptos Narrow"/>
                <w:color w:val="000000"/>
              </w:rPr>
              <w:br/>
              <w:t>I encourage consideration of the following:</w:t>
            </w:r>
            <w:r>
              <w:rPr>
                <w:rFonts w:ascii="Aptos Narrow" w:hAnsi="Aptos Narrow"/>
                <w:color w:val="000000"/>
              </w:rPr>
              <w:br/>
            </w:r>
            <w:r>
              <w:rPr>
                <w:rFonts w:ascii="Aptos Narrow" w:hAnsi="Aptos Narrow"/>
                <w:color w:val="000000"/>
              </w:rPr>
              <w:t>Clear guidance on compliance expectations</w:t>
            </w:r>
            <w:r>
              <w:rPr>
                <w:rFonts w:ascii="Aptos Narrow" w:hAnsi="Aptos Narrow"/>
                <w:color w:val="000000"/>
              </w:rPr>
              <w:br/>
              <w:t>Straightforward and user-friendly processes</w:t>
            </w:r>
            <w:r>
              <w:rPr>
                <w:rFonts w:ascii="Aptos Narrow" w:hAnsi="Aptos Narrow"/>
                <w:color w:val="000000"/>
              </w:rPr>
              <w:br/>
              <w:t>Reasonable implementation timelines</w:t>
            </w:r>
            <w:r>
              <w:rPr>
                <w:rFonts w:ascii="Aptos Narrow" w:hAnsi="Aptos Narrow"/>
                <w:color w:val="000000"/>
              </w:rPr>
              <w:br/>
              <w:t>Strong data privacy and security protections</w:t>
            </w:r>
            <w:r>
              <w:rPr>
                <w:rFonts w:ascii="Aptos Narrow" w:hAnsi="Aptos Narrow"/>
                <w:color w:val="000000"/>
              </w:rPr>
              <w:br/>
              <w:t>Flexibility for individuals who may require alternative methods of access</w:t>
            </w:r>
            <w:r>
              <w:rPr>
                <w:rFonts w:ascii="Aptos Narrow" w:hAnsi="Aptos Narrow"/>
                <w:color w:val="000000"/>
              </w:rPr>
              <w:br/>
            </w:r>
            <w:r>
              <w:rPr>
                <w:rFonts w:ascii="Aptos Narrow" w:hAnsi="Aptos Narrow"/>
                <w:color w:val="000000"/>
              </w:rPr>
              <w:br/>
              <w:t>Regulations are most effective when they balance oversight with usability. Ensuring that requirements are easy to understand and follow will lead to better outcomes and higher levels of compliance.</w:t>
            </w:r>
            <w:r>
              <w:rPr>
                <w:rFonts w:ascii="Aptos Narrow" w:hAnsi="Aptos Narrow"/>
                <w:color w:val="000000"/>
              </w:rPr>
              <w:br/>
            </w:r>
          </w:p>
        </w:tc>
        <w:tc>
          <w:tcPr>
            <w:tcW w:w="5096" w:type="dxa"/>
            <w:vAlign w:val="center"/>
          </w:tcPr>
          <w:p w:rsidR="00B92898" w:rsidP="00BC3DDF" w14:paraId="6B134F9F" w14:textId="59A84894">
            <w:r>
              <w:rPr>
                <w:rFonts w:ascii="Aptos Narrow" w:hAnsi="Aptos Narrow"/>
                <w:color w:val="000000"/>
              </w:rPr>
              <w:t>Treasury agrees that clear compliance guidance, straightforward and user</w:t>
            </w:r>
            <w:r>
              <w:rPr>
                <w:rFonts w:ascii="Aptos Narrow" w:hAnsi="Aptos Narrow"/>
                <w:color w:val="000000"/>
              </w:rPr>
              <w:noBreakHyphen/>
              <w:t>friendly processes, reasonable implementation timelines, strong data privacy and security protections, and flexible access options are important principles, and the O</w:t>
            </w:r>
            <w:r w:rsidR="00B80B6C">
              <w:rPr>
                <w:rFonts w:ascii="Aptos Narrow" w:hAnsi="Aptos Narrow"/>
                <w:color w:val="000000"/>
              </w:rPr>
              <w:t>Z</w:t>
            </w:r>
            <w:r>
              <w:rPr>
                <w:rFonts w:ascii="Aptos Narrow" w:hAnsi="Aptos Narrow"/>
                <w:color w:val="000000"/>
              </w:rPr>
              <w:t xml:space="preserve"> Nomination Tool will be developed taking them under consideration.</w:t>
            </w:r>
          </w:p>
        </w:tc>
      </w:tr>
      <w:tr w14:paraId="3D1DCCF8" w14:textId="77777777" w:rsidTr="00BC3DDF">
        <w:tblPrEx>
          <w:tblW w:w="0" w:type="auto"/>
          <w:tblLook w:val="04A0"/>
        </w:tblPrEx>
        <w:tc>
          <w:tcPr>
            <w:tcW w:w="551" w:type="dxa"/>
            <w:vAlign w:val="center"/>
          </w:tcPr>
          <w:p w:rsidR="00B92898" w:rsidRPr="00DC1DA9" w:rsidP="00BC3DDF" w14:paraId="2FF98A97" w14:textId="77777777">
            <w:r>
              <w:rPr>
                <w:rFonts w:ascii="Aptos Narrow" w:hAnsi="Aptos Narrow"/>
                <w:color w:val="000000"/>
              </w:rPr>
              <w:t>8</w:t>
            </w:r>
          </w:p>
        </w:tc>
        <w:tc>
          <w:tcPr>
            <w:tcW w:w="1777" w:type="dxa"/>
            <w:vAlign w:val="center"/>
          </w:tcPr>
          <w:p w:rsidR="00B92898" w:rsidP="00BC3DDF" w14:paraId="13468AF1" w14:textId="77777777">
            <w:r>
              <w:rPr>
                <w:rFonts w:ascii="Aptos Narrow" w:hAnsi="Aptos Narrow"/>
                <w:color w:val="000000"/>
              </w:rPr>
              <w:t>5/5/2026</w:t>
            </w:r>
          </w:p>
        </w:tc>
        <w:tc>
          <w:tcPr>
            <w:tcW w:w="1525" w:type="dxa"/>
            <w:vAlign w:val="center"/>
          </w:tcPr>
          <w:p w:rsidR="00B92898" w:rsidP="00BC3DDF" w14:paraId="144CE8FD" w14:textId="77777777">
            <w:r>
              <w:rPr>
                <w:rFonts w:ascii="Aptos Narrow" w:hAnsi="Aptos Narrow"/>
                <w:color w:val="000000"/>
              </w:rPr>
              <w:t>EIG Opportunity Zones Coalition</w:t>
            </w:r>
          </w:p>
        </w:tc>
        <w:tc>
          <w:tcPr>
            <w:tcW w:w="1437" w:type="dxa"/>
            <w:vAlign w:val="center"/>
          </w:tcPr>
          <w:p w:rsidR="00B92898" w:rsidP="00BC3DDF" w14:paraId="6592F68B" w14:textId="77777777">
            <w:r>
              <w:rPr>
                <w:rFonts w:ascii="Aptos Narrow" w:hAnsi="Aptos Narrow"/>
                <w:color w:val="000000"/>
              </w:rPr>
              <w:t>Catherine Lyons</w:t>
            </w:r>
          </w:p>
        </w:tc>
        <w:tc>
          <w:tcPr>
            <w:tcW w:w="4004" w:type="dxa"/>
            <w:vAlign w:val="center"/>
          </w:tcPr>
          <w:p w:rsidR="00B92898" w:rsidRPr="003759C4" w:rsidP="00BC3DDF" w14:paraId="52091B05" w14:textId="77777777">
            <w:pPr>
              <w:rPr>
                <w:rFonts w:ascii="Aptos Narrow" w:hAnsi="Aptos Narrow"/>
                <w:color w:val="000000"/>
              </w:rPr>
            </w:pPr>
            <w:r w:rsidRPr="00567909">
              <w:rPr>
                <w:rFonts w:ascii="Aptos Narrow" w:hAnsi="Aptos Narrow"/>
                <w:color w:val="000000"/>
              </w:rPr>
              <w:t>The comment recommends that Treasury provide clear guidance on how states may use supplemental data to justify nominating census tracts not included on the official eligibility list.</w:t>
            </w:r>
            <w:r>
              <w:rPr>
                <w:rFonts w:ascii="Aptos Narrow" w:hAnsi="Aptos Narrow"/>
                <w:color w:val="000000"/>
              </w:rPr>
              <w:t xml:space="preserve"> </w:t>
            </w:r>
            <w:r w:rsidRPr="00567909">
              <w:rPr>
                <w:rFonts w:ascii="Aptos Narrow" w:hAnsi="Aptos Narrow"/>
                <w:color w:val="000000"/>
              </w:rPr>
              <w:t xml:space="preserve">It </w:t>
            </w:r>
            <w:r>
              <w:rPr>
                <w:rFonts w:ascii="Aptos Narrow" w:hAnsi="Aptos Narrow"/>
                <w:color w:val="000000"/>
              </w:rPr>
              <w:t xml:space="preserve">recommends </w:t>
            </w:r>
            <w:r w:rsidRPr="00567909">
              <w:rPr>
                <w:rFonts w:ascii="Aptos Narrow" w:hAnsi="Aptos Narrow"/>
                <w:color w:val="000000"/>
              </w:rPr>
              <w:t>adopt</w:t>
            </w:r>
            <w:r>
              <w:rPr>
                <w:rFonts w:ascii="Aptos Narrow" w:hAnsi="Aptos Narrow"/>
                <w:color w:val="000000"/>
              </w:rPr>
              <w:t>ing</w:t>
            </w:r>
            <w:r w:rsidRPr="00567909">
              <w:rPr>
                <w:rFonts w:ascii="Aptos Narrow" w:hAnsi="Aptos Narrow"/>
                <w:color w:val="000000"/>
              </w:rPr>
              <w:t xml:space="preserve"> a high evidentiary standard and limit the number of off</w:t>
            </w:r>
            <w:r w:rsidRPr="00567909">
              <w:rPr>
                <w:rFonts w:ascii="Cambria Math" w:hAnsi="Cambria Math" w:cs="Cambria Math"/>
                <w:color w:val="000000"/>
              </w:rPr>
              <w:t>‑</w:t>
            </w:r>
            <w:r w:rsidRPr="00567909">
              <w:rPr>
                <w:rFonts w:ascii="Aptos Narrow" w:hAnsi="Aptos Narrow"/>
                <w:color w:val="000000"/>
              </w:rPr>
              <w:t>list tract nominations to maintain policy integrity and ensure alignment with statutory criteria.</w:t>
            </w:r>
            <w:r>
              <w:rPr>
                <w:rFonts w:ascii="Aptos Narrow" w:hAnsi="Aptos Narrow"/>
                <w:color w:val="000000"/>
              </w:rPr>
              <w:t xml:space="preserve"> The comment</w:t>
            </w:r>
            <w:r w:rsidRPr="00567909">
              <w:rPr>
                <w:rFonts w:ascii="Aptos Narrow" w:hAnsi="Aptos Narrow"/>
                <w:color w:val="000000"/>
              </w:rPr>
              <w:t xml:space="preserve"> recommends that successful off</w:t>
            </w:r>
            <w:r w:rsidRPr="00567909">
              <w:rPr>
                <w:rFonts w:ascii="Cambria Math" w:hAnsi="Cambria Math" w:cs="Cambria Math"/>
                <w:color w:val="000000"/>
              </w:rPr>
              <w:t>‑</w:t>
            </w:r>
            <w:r w:rsidRPr="00567909">
              <w:rPr>
                <w:rFonts w:ascii="Aptos Narrow" w:hAnsi="Aptos Narrow"/>
                <w:color w:val="000000"/>
              </w:rPr>
              <w:t>list nominations count toward each state</w:t>
            </w:r>
            <w:r w:rsidRPr="00567909">
              <w:rPr>
                <w:rFonts w:ascii="Aptos Narrow" w:hAnsi="Aptos Narrow" w:cs="Aptos Narrow"/>
                <w:color w:val="000000"/>
              </w:rPr>
              <w:t>’</w:t>
            </w:r>
            <w:r w:rsidRPr="00567909">
              <w:rPr>
                <w:rFonts w:ascii="Aptos Narrow" w:hAnsi="Aptos Narrow"/>
                <w:color w:val="000000"/>
              </w:rPr>
              <w:t xml:space="preserve">s </w:t>
            </w:r>
            <w:r w:rsidRPr="00567909">
              <w:rPr>
                <w:rFonts w:ascii="Aptos Narrow" w:hAnsi="Aptos Narrow"/>
                <w:color w:val="000000"/>
              </w:rPr>
              <w:t>total allotment and that Treasury clarify the process for replacement tracts if petitions are denied.</w:t>
            </w:r>
            <w:r>
              <w:rPr>
                <w:rFonts w:ascii="Aptos Narrow" w:hAnsi="Aptos Narrow"/>
                <w:color w:val="000000"/>
              </w:rPr>
              <w:t xml:space="preserve"> </w:t>
            </w:r>
            <w:r w:rsidRPr="00567909">
              <w:rPr>
                <w:rFonts w:ascii="Aptos Narrow" w:hAnsi="Aptos Narrow"/>
                <w:color w:val="000000"/>
              </w:rPr>
              <w:t>The comment requests detailed instructions within the nomination tool on how to submit off</w:t>
            </w:r>
            <w:r w:rsidRPr="00567909">
              <w:rPr>
                <w:rFonts w:ascii="Cambria Math" w:hAnsi="Cambria Math" w:cs="Cambria Math"/>
                <w:color w:val="000000"/>
              </w:rPr>
              <w:t>‑</w:t>
            </w:r>
            <w:r w:rsidRPr="00567909">
              <w:rPr>
                <w:rFonts w:ascii="Aptos Narrow" w:hAnsi="Aptos Narrow"/>
                <w:color w:val="000000"/>
              </w:rPr>
              <w:t>list tracts and how states will be notified of petition outcomes.</w:t>
            </w:r>
            <w:r>
              <w:rPr>
                <w:rFonts w:ascii="Aptos Narrow" w:hAnsi="Aptos Narrow"/>
                <w:color w:val="000000"/>
              </w:rPr>
              <w:t xml:space="preserve"> </w:t>
            </w:r>
            <w:r w:rsidRPr="00567909">
              <w:rPr>
                <w:rFonts w:ascii="Aptos Narrow" w:hAnsi="Aptos Narrow"/>
                <w:color w:val="000000"/>
              </w:rPr>
              <w:t>It advises Treasury to require that each off</w:t>
            </w:r>
            <w:r w:rsidRPr="00567909">
              <w:rPr>
                <w:rFonts w:ascii="Cambria Math" w:hAnsi="Cambria Math" w:cs="Cambria Math"/>
                <w:color w:val="000000"/>
              </w:rPr>
              <w:t>‑</w:t>
            </w:r>
            <w:r w:rsidRPr="00567909">
              <w:rPr>
                <w:rFonts w:ascii="Aptos Narrow" w:hAnsi="Aptos Narrow"/>
                <w:color w:val="000000"/>
              </w:rPr>
              <w:t>list tract be submitted with an eligible substitute or otherwise create an early review pathway for off</w:t>
            </w:r>
            <w:r w:rsidRPr="00567909">
              <w:rPr>
                <w:rFonts w:ascii="Cambria Math" w:hAnsi="Cambria Math" w:cs="Cambria Math"/>
                <w:color w:val="000000"/>
              </w:rPr>
              <w:t>‑</w:t>
            </w:r>
            <w:r w:rsidRPr="00567909">
              <w:rPr>
                <w:rFonts w:ascii="Aptos Narrow" w:hAnsi="Aptos Narrow"/>
                <w:color w:val="000000"/>
              </w:rPr>
              <w:t>list petitions.</w:t>
            </w:r>
            <w:r>
              <w:rPr>
                <w:rFonts w:ascii="Aptos Narrow" w:hAnsi="Aptos Narrow"/>
                <w:color w:val="000000"/>
              </w:rPr>
              <w:t xml:space="preserve"> </w:t>
            </w:r>
            <w:r w:rsidRPr="00567909">
              <w:rPr>
                <w:rFonts w:ascii="Aptos Narrow" w:hAnsi="Aptos Narrow"/>
                <w:color w:val="000000"/>
              </w:rPr>
              <w:t>The comment recommends that the nomination tool support flexible data submission methods, including direct uploads and integrated mapping features that display key eligibility metrics for each tract.</w:t>
            </w:r>
          </w:p>
        </w:tc>
        <w:tc>
          <w:tcPr>
            <w:tcW w:w="5096" w:type="dxa"/>
            <w:vAlign w:val="center"/>
          </w:tcPr>
          <w:p w:rsidR="00B92898" w:rsidP="00BC3DDF" w14:paraId="425E7791" w14:textId="10D1121A">
            <w:r>
              <w:rPr>
                <w:rFonts w:ascii="Aptos Narrow" w:hAnsi="Aptos Narrow"/>
                <w:color w:val="000000"/>
              </w:rPr>
              <w:t xml:space="preserve">Treasury agrees that guidance will be provided to the states nominating tracts not included in official eligibility list. Comments related to the clarity of eligibility criteria, transparency of designation rules, and alignment with statutory requirements will inform ongoing improvements to guidance and the instructions provided to states. Suggestions regarding mapping functionality, data presentation, and integration of relevant socioeconomic indicators will be considered as we refine the tool’s technical </w:t>
            </w:r>
            <w:r>
              <w:rPr>
                <w:rFonts w:ascii="Aptos Narrow" w:hAnsi="Aptos Narrow"/>
                <w:color w:val="000000"/>
              </w:rPr>
              <w:t>design to support accurate and efficient submissions. Feedback concerning user experience, including usability, workflow, error prevention, and support resources, will be incorporated into efforts to ensure that the tool is intuitive and accessible to all state users. Comments addressing reporting expectations, timelines, and interactions with other Treasury programs fall outside the scope of the O</w:t>
            </w:r>
            <w:r w:rsidR="00B80B6C">
              <w:rPr>
                <w:rFonts w:ascii="Aptos Narrow" w:hAnsi="Aptos Narrow"/>
                <w:color w:val="000000"/>
              </w:rPr>
              <w:t>Z</w:t>
            </w:r>
            <w:r>
              <w:rPr>
                <w:rFonts w:ascii="Aptos Narrow" w:hAnsi="Aptos Narrow"/>
                <w:color w:val="000000"/>
              </w:rPr>
              <w:t xml:space="preserve"> Nomination Tool itself but will be referred to the appropriate program staff for consideration. Treasury and the CDFI Fund value stakeholder input and will continue to use this feedback to guide the O</w:t>
            </w:r>
            <w:r w:rsidR="00B80B6C">
              <w:rPr>
                <w:rFonts w:ascii="Aptos Narrow" w:hAnsi="Aptos Narrow"/>
                <w:color w:val="000000"/>
              </w:rPr>
              <w:t>Z</w:t>
            </w:r>
            <w:r>
              <w:rPr>
                <w:rFonts w:ascii="Aptos Narrow" w:hAnsi="Aptos Narrow"/>
                <w:color w:val="000000"/>
              </w:rPr>
              <w:t xml:space="preserve"> Nomination Tool’s development consistent with PRA requirements.</w:t>
            </w:r>
          </w:p>
        </w:tc>
      </w:tr>
    </w:tbl>
    <w:p w:rsidR="00B92898" w:rsidP="00B92898" w14:paraId="3B4D1106" w14:textId="77777777"/>
    <w:p w:rsidR="00B92898" w:rsidRPr="00134D08" w:rsidP="00280A7C" w14:paraId="40C214C3" w14:textId="77777777">
      <w:pPr>
        <w:spacing w:after="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5F92" w:rsidP="00C05484" w14:paraId="2101F295" w14:textId="77777777">
      <w:pPr>
        <w:spacing w:after="0" w:line="240" w:lineRule="auto"/>
      </w:pPr>
      <w:r>
        <w:separator/>
      </w:r>
    </w:p>
  </w:footnote>
  <w:footnote w:type="continuationSeparator" w:id="1">
    <w:p w:rsidR="00365F92" w:rsidP="00C05484" w14:paraId="14ADBB3D" w14:textId="77777777">
      <w:pPr>
        <w:spacing w:after="0" w:line="240" w:lineRule="auto"/>
      </w:pPr>
      <w:r>
        <w:continuationSeparator/>
      </w:r>
    </w:p>
  </w:footnote>
  <w:footnote w:type="continuationNotice" w:id="2">
    <w:p w:rsidR="00365F92" w14:paraId="36131A44" w14:textId="77777777">
      <w:pPr>
        <w:spacing w:after="0" w:line="240" w:lineRule="auto"/>
      </w:pPr>
    </w:p>
  </w:footnote>
  <w:footnote w:id="3">
    <w:p w:rsidR="000E204D" w:rsidRPr="00134D08" w:rsidP="000E204D" w14:paraId="0772E358" w14:textId="32788C6E">
      <w:pPr>
        <w:pStyle w:val="FootnoteText"/>
        <w:rPr>
          <w:rFonts w:asciiTheme="minorHAnsi" w:hAnsiTheme="minorHAnsi" w:cstheme="minorHAnsi"/>
        </w:rPr>
      </w:pPr>
      <w:r w:rsidRPr="00134D08">
        <w:rPr>
          <w:rStyle w:val="FootnoteReference"/>
          <w:rFonts w:asciiTheme="minorHAnsi" w:hAnsiTheme="minorHAnsi" w:cstheme="minorHAnsi"/>
        </w:rPr>
        <w:footnoteRef/>
      </w:r>
      <w:r w:rsidRPr="00134D08">
        <w:rPr>
          <w:rFonts w:asciiTheme="minorHAnsi" w:hAnsiTheme="minorHAnsi" w:cstheme="minorHAnsi"/>
        </w:rPr>
        <w:t xml:space="preserve"> </w:t>
      </w:r>
      <w:r w:rsidRPr="00493E1F">
        <w:rPr>
          <w:iCs/>
        </w:rPr>
        <w:t>The hourly rate is based on the national estimate for the median hourly wage for Chief Executives</w:t>
      </w:r>
      <w:r w:rsidR="00A27680">
        <w:rPr>
          <w:iCs/>
        </w:rPr>
        <w:t xml:space="preserve"> in State Government as of May 2024</w:t>
      </w:r>
      <w:r w:rsidRPr="00493E1F">
        <w:rPr>
          <w:iCs/>
        </w:rPr>
        <w:t xml:space="preserve"> according the Bureau of Labor Statistics (</w:t>
      </w:r>
      <w:hyperlink r:id="rId1" w:history="1">
        <w:r w:rsidRPr="00A27680" w:rsidR="00A27680">
          <w:rPr>
            <w:rStyle w:val="Hyperlink"/>
            <w:iCs/>
          </w:rPr>
          <w:t>https://data.bls.gov/oes/#/industry/999201</w:t>
        </w:r>
      </w:hyperlink>
      <w:r w:rsidRPr="00493E1F">
        <w:rPr>
          <w:iCs/>
        </w:rPr>
        <w:t>)</w:t>
      </w:r>
      <w:r w:rsidR="00A27680">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44358"/>
    <w:multiLevelType w:val="hybridMultilevel"/>
    <w:tmpl w:val="D18C8B70"/>
    <w:lvl w:ilvl="0">
      <w:start w:val="1"/>
      <w:numFmt w:val="lowerLetter"/>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4308E"/>
    <w:multiLevelType w:val="hybridMultilevel"/>
    <w:tmpl w:val="25DCDADC"/>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F3EBA"/>
    <w:multiLevelType w:val="hybridMultilevel"/>
    <w:tmpl w:val="026A094A"/>
    <w:lvl w:ilvl="0">
      <w:start w:val="1"/>
      <w:numFmt w:val="decimal"/>
      <w:lvlText w:val="%1."/>
      <w:lvlJc w:val="left"/>
      <w:pPr>
        <w:ind w:left="3960" w:hanging="36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
    <w:nsid w:val="24300F1C"/>
    <w:multiLevelType w:val="hybridMultilevel"/>
    <w:tmpl w:val="F080DD80"/>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365809C4"/>
    <w:multiLevelType w:val="hybridMultilevel"/>
    <w:tmpl w:val="A94C7BDE"/>
    <w:lvl w:ilvl="0">
      <w:start w:val="1"/>
      <w:numFmt w:val="bullet"/>
      <w:lvlText w:val="•"/>
      <w:lvlJc w:val="left"/>
      <w:pPr>
        <w:ind w:left="14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5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22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6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4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5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8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5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nsid w:val="41E70DAE"/>
    <w:multiLevelType w:val="hybridMultilevel"/>
    <w:tmpl w:val="D450B7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5D0B61"/>
    <w:multiLevelType w:val="hybridMultilevel"/>
    <w:tmpl w:val="A6C43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B32CF5"/>
    <w:multiLevelType w:val="hybridMultilevel"/>
    <w:tmpl w:val="852C490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036038287">
    <w:abstractNumId w:val="0"/>
  </w:num>
  <w:num w:numId="2" w16cid:durableId="640579697">
    <w:abstractNumId w:val="5"/>
  </w:num>
  <w:num w:numId="3" w16cid:durableId="1253508107">
    <w:abstractNumId w:val="7"/>
  </w:num>
  <w:num w:numId="4" w16cid:durableId="67583803">
    <w:abstractNumId w:val="1"/>
  </w:num>
  <w:num w:numId="5" w16cid:durableId="435251659">
    <w:abstractNumId w:val="6"/>
  </w:num>
  <w:num w:numId="6" w16cid:durableId="600183284">
    <w:abstractNumId w:val="4"/>
  </w:num>
  <w:num w:numId="7" w16cid:durableId="940332219">
    <w:abstractNumId w:val="2"/>
  </w:num>
  <w:num w:numId="8" w16cid:durableId="1000891249">
    <w:abstractNumId w:val="3"/>
  </w:num>
  <w:num w:numId="9" w16cid:durableId="1511724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9D"/>
    <w:rsid w:val="00000D59"/>
    <w:rsid w:val="00000D67"/>
    <w:rsid w:val="0000374B"/>
    <w:rsid w:val="00003B80"/>
    <w:rsid w:val="00003D72"/>
    <w:rsid w:val="00003E81"/>
    <w:rsid w:val="00010744"/>
    <w:rsid w:val="00010FEB"/>
    <w:rsid w:val="00012E39"/>
    <w:rsid w:val="000163C9"/>
    <w:rsid w:val="00016F62"/>
    <w:rsid w:val="00016F88"/>
    <w:rsid w:val="00023B42"/>
    <w:rsid w:val="00024E57"/>
    <w:rsid w:val="00025685"/>
    <w:rsid w:val="00025DC2"/>
    <w:rsid w:val="00026637"/>
    <w:rsid w:val="00031F67"/>
    <w:rsid w:val="00032B3C"/>
    <w:rsid w:val="00033793"/>
    <w:rsid w:val="00040B04"/>
    <w:rsid w:val="00042C80"/>
    <w:rsid w:val="00044FEC"/>
    <w:rsid w:val="0004713F"/>
    <w:rsid w:val="000473B1"/>
    <w:rsid w:val="000500D2"/>
    <w:rsid w:val="00053648"/>
    <w:rsid w:val="000560C6"/>
    <w:rsid w:val="0005754D"/>
    <w:rsid w:val="00057BAE"/>
    <w:rsid w:val="00057E84"/>
    <w:rsid w:val="00060914"/>
    <w:rsid w:val="00062211"/>
    <w:rsid w:val="00062669"/>
    <w:rsid w:val="00063C39"/>
    <w:rsid w:val="000644D4"/>
    <w:rsid w:val="00064D5C"/>
    <w:rsid w:val="00066252"/>
    <w:rsid w:val="0006684F"/>
    <w:rsid w:val="00066DBA"/>
    <w:rsid w:val="000677FA"/>
    <w:rsid w:val="000709DB"/>
    <w:rsid w:val="00070C89"/>
    <w:rsid w:val="00073F71"/>
    <w:rsid w:val="00074099"/>
    <w:rsid w:val="00075F29"/>
    <w:rsid w:val="00076B70"/>
    <w:rsid w:val="00077891"/>
    <w:rsid w:val="00077955"/>
    <w:rsid w:val="000804A2"/>
    <w:rsid w:val="00080D43"/>
    <w:rsid w:val="00081F57"/>
    <w:rsid w:val="00087D87"/>
    <w:rsid w:val="00092853"/>
    <w:rsid w:val="00092F26"/>
    <w:rsid w:val="00093CE0"/>
    <w:rsid w:val="00095839"/>
    <w:rsid w:val="00097ED1"/>
    <w:rsid w:val="000A0235"/>
    <w:rsid w:val="000A0790"/>
    <w:rsid w:val="000A0F96"/>
    <w:rsid w:val="000A2B6E"/>
    <w:rsid w:val="000A304F"/>
    <w:rsid w:val="000A404D"/>
    <w:rsid w:val="000A4A28"/>
    <w:rsid w:val="000A5556"/>
    <w:rsid w:val="000A65BF"/>
    <w:rsid w:val="000A7251"/>
    <w:rsid w:val="000B14B1"/>
    <w:rsid w:val="000B5394"/>
    <w:rsid w:val="000B5BCD"/>
    <w:rsid w:val="000B7143"/>
    <w:rsid w:val="000C06BB"/>
    <w:rsid w:val="000C17B5"/>
    <w:rsid w:val="000C20B4"/>
    <w:rsid w:val="000C21B5"/>
    <w:rsid w:val="000C3AB6"/>
    <w:rsid w:val="000C3DE8"/>
    <w:rsid w:val="000C5C8D"/>
    <w:rsid w:val="000C6674"/>
    <w:rsid w:val="000C67CD"/>
    <w:rsid w:val="000C6B23"/>
    <w:rsid w:val="000C7E01"/>
    <w:rsid w:val="000C7EB0"/>
    <w:rsid w:val="000D038B"/>
    <w:rsid w:val="000D06E8"/>
    <w:rsid w:val="000D09C2"/>
    <w:rsid w:val="000D12F0"/>
    <w:rsid w:val="000D2030"/>
    <w:rsid w:val="000E15F5"/>
    <w:rsid w:val="000E204D"/>
    <w:rsid w:val="000E4B13"/>
    <w:rsid w:val="000E4BD7"/>
    <w:rsid w:val="000F301F"/>
    <w:rsid w:val="000F64BB"/>
    <w:rsid w:val="0010004E"/>
    <w:rsid w:val="00100ADF"/>
    <w:rsid w:val="00101B43"/>
    <w:rsid w:val="001037B8"/>
    <w:rsid w:val="00106DF5"/>
    <w:rsid w:val="00107130"/>
    <w:rsid w:val="00107F62"/>
    <w:rsid w:val="00110515"/>
    <w:rsid w:val="00110BD2"/>
    <w:rsid w:val="00110DD6"/>
    <w:rsid w:val="001124D5"/>
    <w:rsid w:val="00115107"/>
    <w:rsid w:val="00120227"/>
    <w:rsid w:val="0012129C"/>
    <w:rsid w:val="001221E4"/>
    <w:rsid w:val="0012485F"/>
    <w:rsid w:val="001250FE"/>
    <w:rsid w:val="001304AD"/>
    <w:rsid w:val="00131249"/>
    <w:rsid w:val="00132FAF"/>
    <w:rsid w:val="00134D08"/>
    <w:rsid w:val="001358A4"/>
    <w:rsid w:val="00137153"/>
    <w:rsid w:val="00137BCD"/>
    <w:rsid w:val="0014088C"/>
    <w:rsid w:val="0014167A"/>
    <w:rsid w:val="00141A70"/>
    <w:rsid w:val="00142113"/>
    <w:rsid w:val="001473A2"/>
    <w:rsid w:val="00147B72"/>
    <w:rsid w:val="001539DD"/>
    <w:rsid w:val="00153C57"/>
    <w:rsid w:val="00157C31"/>
    <w:rsid w:val="00160B2C"/>
    <w:rsid w:val="00161ACA"/>
    <w:rsid w:val="00161DC0"/>
    <w:rsid w:val="001629A3"/>
    <w:rsid w:val="001665DF"/>
    <w:rsid w:val="00170D5C"/>
    <w:rsid w:val="00174765"/>
    <w:rsid w:val="00176C88"/>
    <w:rsid w:val="001777F2"/>
    <w:rsid w:val="00181C63"/>
    <w:rsid w:val="001826F2"/>
    <w:rsid w:val="00183FA0"/>
    <w:rsid w:val="00187588"/>
    <w:rsid w:val="001915ED"/>
    <w:rsid w:val="00191DED"/>
    <w:rsid w:val="00194C3D"/>
    <w:rsid w:val="00195066"/>
    <w:rsid w:val="00196622"/>
    <w:rsid w:val="00196E0A"/>
    <w:rsid w:val="0019775B"/>
    <w:rsid w:val="00197A04"/>
    <w:rsid w:val="001A13DB"/>
    <w:rsid w:val="001A4A8D"/>
    <w:rsid w:val="001A618A"/>
    <w:rsid w:val="001A64D5"/>
    <w:rsid w:val="001A6B8C"/>
    <w:rsid w:val="001A7269"/>
    <w:rsid w:val="001B10F2"/>
    <w:rsid w:val="001B1490"/>
    <w:rsid w:val="001B5E5B"/>
    <w:rsid w:val="001B65FD"/>
    <w:rsid w:val="001C0623"/>
    <w:rsid w:val="001C11A7"/>
    <w:rsid w:val="001C159E"/>
    <w:rsid w:val="001C395C"/>
    <w:rsid w:val="001C3E94"/>
    <w:rsid w:val="001C6426"/>
    <w:rsid w:val="001D19EA"/>
    <w:rsid w:val="001D2B0C"/>
    <w:rsid w:val="001D60CA"/>
    <w:rsid w:val="001D6F47"/>
    <w:rsid w:val="001E022A"/>
    <w:rsid w:val="001E1412"/>
    <w:rsid w:val="001E1C36"/>
    <w:rsid w:val="001E325B"/>
    <w:rsid w:val="001E3CBB"/>
    <w:rsid w:val="001F5D01"/>
    <w:rsid w:val="001F5E58"/>
    <w:rsid w:val="001F69D1"/>
    <w:rsid w:val="00210214"/>
    <w:rsid w:val="00210A84"/>
    <w:rsid w:val="00222715"/>
    <w:rsid w:val="00223E5D"/>
    <w:rsid w:val="00227175"/>
    <w:rsid w:val="00231F8C"/>
    <w:rsid w:val="002341FF"/>
    <w:rsid w:val="00237CBA"/>
    <w:rsid w:val="00242006"/>
    <w:rsid w:val="00245EED"/>
    <w:rsid w:val="00247AD9"/>
    <w:rsid w:val="00250B34"/>
    <w:rsid w:val="00250EFE"/>
    <w:rsid w:val="00252246"/>
    <w:rsid w:val="00252810"/>
    <w:rsid w:val="00253B47"/>
    <w:rsid w:val="0025420F"/>
    <w:rsid w:val="002605C1"/>
    <w:rsid w:val="002614FC"/>
    <w:rsid w:val="002646D4"/>
    <w:rsid w:val="0026529A"/>
    <w:rsid w:val="002662BA"/>
    <w:rsid w:val="002756CF"/>
    <w:rsid w:val="0027607E"/>
    <w:rsid w:val="00280A7C"/>
    <w:rsid w:val="00283035"/>
    <w:rsid w:val="00284DD3"/>
    <w:rsid w:val="00285698"/>
    <w:rsid w:val="00285EF7"/>
    <w:rsid w:val="00285F82"/>
    <w:rsid w:val="00290070"/>
    <w:rsid w:val="00290821"/>
    <w:rsid w:val="00290FCE"/>
    <w:rsid w:val="002918B5"/>
    <w:rsid w:val="00291BCE"/>
    <w:rsid w:val="00292134"/>
    <w:rsid w:val="00294E03"/>
    <w:rsid w:val="002A02F9"/>
    <w:rsid w:val="002A17AF"/>
    <w:rsid w:val="002A1F9F"/>
    <w:rsid w:val="002A3209"/>
    <w:rsid w:val="002A6ACE"/>
    <w:rsid w:val="002A7120"/>
    <w:rsid w:val="002B1F3D"/>
    <w:rsid w:val="002B4503"/>
    <w:rsid w:val="002B4AF9"/>
    <w:rsid w:val="002B51AB"/>
    <w:rsid w:val="002B5FD4"/>
    <w:rsid w:val="002B67EF"/>
    <w:rsid w:val="002C06DB"/>
    <w:rsid w:val="002C277B"/>
    <w:rsid w:val="002C2C3E"/>
    <w:rsid w:val="002C35AA"/>
    <w:rsid w:val="002C394D"/>
    <w:rsid w:val="002C3A7D"/>
    <w:rsid w:val="002C4559"/>
    <w:rsid w:val="002C47FC"/>
    <w:rsid w:val="002C5564"/>
    <w:rsid w:val="002C61E3"/>
    <w:rsid w:val="002C7B2E"/>
    <w:rsid w:val="002D31EB"/>
    <w:rsid w:val="002D72FA"/>
    <w:rsid w:val="002E0336"/>
    <w:rsid w:val="002E21D1"/>
    <w:rsid w:val="002E2A52"/>
    <w:rsid w:val="002E59F9"/>
    <w:rsid w:val="002E6294"/>
    <w:rsid w:val="002E6A30"/>
    <w:rsid w:val="002F029E"/>
    <w:rsid w:val="002F08E7"/>
    <w:rsid w:val="002F1F16"/>
    <w:rsid w:val="002F279A"/>
    <w:rsid w:val="002F427E"/>
    <w:rsid w:val="002F46DD"/>
    <w:rsid w:val="002F5E72"/>
    <w:rsid w:val="002F7BFB"/>
    <w:rsid w:val="002F7FE6"/>
    <w:rsid w:val="00305B53"/>
    <w:rsid w:val="00307BD3"/>
    <w:rsid w:val="00307F3A"/>
    <w:rsid w:val="00313A46"/>
    <w:rsid w:val="00314FFA"/>
    <w:rsid w:val="003150EC"/>
    <w:rsid w:val="0031553B"/>
    <w:rsid w:val="00315947"/>
    <w:rsid w:val="00316629"/>
    <w:rsid w:val="003207A7"/>
    <w:rsid w:val="00321BCD"/>
    <w:rsid w:val="00321E51"/>
    <w:rsid w:val="00322EB5"/>
    <w:rsid w:val="00325B0D"/>
    <w:rsid w:val="00326C00"/>
    <w:rsid w:val="00327803"/>
    <w:rsid w:val="003317D7"/>
    <w:rsid w:val="00331E26"/>
    <w:rsid w:val="003329BE"/>
    <w:rsid w:val="00333628"/>
    <w:rsid w:val="003404C9"/>
    <w:rsid w:val="00341E38"/>
    <w:rsid w:val="00342379"/>
    <w:rsid w:val="00342652"/>
    <w:rsid w:val="003457E3"/>
    <w:rsid w:val="00347FF2"/>
    <w:rsid w:val="00351F0E"/>
    <w:rsid w:val="0035385E"/>
    <w:rsid w:val="00353EBE"/>
    <w:rsid w:val="00354189"/>
    <w:rsid w:val="00354B3B"/>
    <w:rsid w:val="00355963"/>
    <w:rsid w:val="0035637C"/>
    <w:rsid w:val="00356AE3"/>
    <w:rsid w:val="00357CB1"/>
    <w:rsid w:val="00360C70"/>
    <w:rsid w:val="003641E3"/>
    <w:rsid w:val="00364834"/>
    <w:rsid w:val="00365B67"/>
    <w:rsid w:val="00365F92"/>
    <w:rsid w:val="00367FF7"/>
    <w:rsid w:val="00370374"/>
    <w:rsid w:val="0037279C"/>
    <w:rsid w:val="0037335B"/>
    <w:rsid w:val="00373535"/>
    <w:rsid w:val="0037436D"/>
    <w:rsid w:val="003759C4"/>
    <w:rsid w:val="00376D04"/>
    <w:rsid w:val="00380F95"/>
    <w:rsid w:val="00383353"/>
    <w:rsid w:val="00385D28"/>
    <w:rsid w:val="00386003"/>
    <w:rsid w:val="0039013F"/>
    <w:rsid w:val="00392DC3"/>
    <w:rsid w:val="003A16A5"/>
    <w:rsid w:val="003A1DD7"/>
    <w:rsid w:val="003A3EAE"/>
    <w:rsid w:val="003A4157"/>
    <w:rsid w:val="003A4272"/>
    <w:rsid w:val="003A6F30"/>
    <w:rsid w:val="003B0B40"/>
    <w:rsid w:val="003B558E"/>
    <w:rsid w:val="003B680E"/>
    <w:rsid w:val="003C1E69"/>
    <w:rsid w:val="003C4A60"/>
    <w:rsid w:val="003C675B"/>
    <w:rsid w:val="003C7411"/>
    <w:rsid w:val="003D1357"/>
    <w:rsid w:val="003D4A18"/>
    <w:rsid w:val="003D4F05"/>
    <w:rsid w:val="003D7094"/>
    <w:rsid w:val="003D7ADF"/>
    <w:rsid w:val="003E0276"/>
    <w:rsid w:val="003E44D4"/>
    <w:rsid w:val="003E4B0A"/>
    <w:rsid w:val="003E680A"/>
    <w:rsid w:val="003E7403"/>
    <w:rsid w:val="003E7A0D"/>
    <w:rsid w:val="003F23DD"/>
    <w:rsid w:val="003F41ED"/>
    <w:rsid w:val="003F476F"/>
    <w:rsid w:val="003F73B8"/>
    <w:rsid w:val="00400528"/>
    <w:rsid w:val="00400C5F"/>
    <w:rsid w:val="004027ED"/>
    <w:rsid w:val="00405AAB"/>
    <w:rsid w:val="0041106D"/>
    <w:rsid w:val="00412B2A"/>
    <w:rsid w:val="00414ADE"/>
    <w:rsid w:val="00415793"/>
    <w:rsid w:val="00420A8C"/>
    <w:rsid w:val="00420F41"/>
    <w:rsid w:val="004218CF"/>
    <w:rsid w:val="004221FE"/>
    <w:rsid w:val="00430C47"/>
    <w:rsid w:val="00430DD5"/>
    <w:rsid w:val="00431E78"/>
    <w:rsid w:val="00432F8F"/>
    <w:rsid w:val="00433037"/>
    <w:rsid w:val="0043379A"/>
    <w:rsid w:val="00434935"/>
    <w:rsid w:val="00434969"/>
    <w:rsid w:val="00434F4B"/>
    <w:rsid w:val="004379F8"/>
    <w:rsid w:val="00440DF9"/>
    <w:rsid w:val="00441F9B"/>
    <w:rsid w:val="00443E14"/>
    <w:rsid w:val="00444BCE"/>
    <w:rsid w:val="00447234"/>
    <w:rsid w:val="00451211"/>
    <w:rsid w:val="00451E3A"/>
    <w:rsid w:val="004530DB"/>
    <w:rsid w:val="00461475"/>
    <w:rsid w:val="00465292"/>
    <w:rsid w:val="004661A9"/>
    <w:rsid w:val="00466A08"/>
    <w:rsid w:val="00470963"/>
    <w:rsid w:val="004716CB"/>
    <w:rsid w:val="0047215B"/>
    <w:rsid w:val="0047281D"/>
    <w:rsid w:val="00472CA9"/>
    <w:rsid w:val="00473C7E"/>
    <w:rsid w:val="00474EE7"/>
    <w:rsid w:val="00476A57"/>
    <w:rsid w:val="00476CF1"/>
    <w:rsid w:val="00476DC1"/>
    <w:rsid w:val="0047746B"/>
    <w:rsid w:val="00477D5C"/>
    <w:rsid w:val="00486D4C"/>
    <w:rsid w:val="00490C3E"/>
    <w:rsid w:val="00491B19"/>
    <w:rsid w:val="0049288F"/>
    <w:rsid w:val="00492FA5"/>
    <w:rsid w:val="00493E1F"/>
    <w:rsid w:val="004942FE"/>
    <w:rsid w:val="00496740"/>
    <w:rsid w:val="00496A66"/>
    <w:rsid w:val="004A026B"/>
    <w:rsid w:val="004A1AAC"/>
    <w:rsid w:val="004A3B7C"/>
    <w:rsid w:val="004A52C2"/>
    <w:rsid w:val="004A68AB"/>
    <w:rsid w:val="004B00E7"/>
    <w:rsid w:val="004B1809"/>
    <w:rsid w:val="004B2967"/>
    <w:rsid w:val="004B77C7"/>
    <w:rsid w:val="004B7990"/>
    <w:rsid w:val="004C1864"/>
    <w:rsid w:val="004C35E8"/>
    <w:rsid w:val="004C3D91"/>
    <w:rsid w:val="004C3EF6"/>
    <w:rsid w:val="004C6905"/>
    <w:rsid w:val="004D387F"/>
    <w:rsid w:val="004D3B8B"/>
    <w:rsid w:val="004D67A8"/>
    <w:rsid w:val="004D7713"/>
    <w:rsid w:val="004E1850"/>
    <w:rsid w:val="004E4C18"/>
    <w:rsid w:val="004E55DD"/>
    <w:rsid w:val="004E55E7"/>
    <w:rsid w:val="004E5A47"/>
    <w:rsid w:val="004E5B49"/>
    <w:rsid w:val="004E73D8"/>
    <w:rsid w:val="004E7524"/>
    <w:rsid w:val="004F0625"/>
    <w:rsid w:val="004F2722"/>
    <w:rsid w:val="004F3546"/>
    <w:rsid w:val="004F4A90"/>
    <w:rsid w:val="004F4D2C"/>
    <w:rsid w:val="004F56E4"/>
    <w:rsid w:val="004F57C7"/>
    <w:rsid w:val="004F723D"/>
    <w:rsid w:val="004F7BDC"/>
    <w:rsid w:val="005002D1"/>
    <w:rsid w:val="00500E51"/>
    <w:rsid w:val="00500F9D"/>
    <w:rsid w:val="00501274"/>
    <w:rsid w:val="00502860"/>
    <w:rsid w:val="00502A7D"/>
    <w:rsid w:val="00503254"/>
    <w:rsid w:val="00505978"/>
    <w:rsid w:val="00505E88"/>
    <w:rsid w:val="005109B5"/>
    <w:rsid w:val="005131FC"/>
    <w:rsid w:val="0051458C"/>
    <w:rsid w:val="00514F8E"/>
    <w:rsid w:val="0051510C"/>
    <w:rsid w:val="00520173"/>
    <w:rsid w:val="00521317"/>
    <w:rsid w:val="00521A82"/>
    <w:rsid w:val="00526773"/>
    <w:rsid w:val="00527D46"/>
    <w:rsid w:val="005331B0"/>
    <w:rsid w:val="00533C6F"/>
    <w:rsid w:val="00535D24"/>
    <w:rsid w:val="00536667"/>
    <w:rsid w:val="0054101E"/>
    <w:rsid w:val="00541430"/>
    <w:rsid w:val="00547011"/>
    <w:rsid w:val="00547487"/>
    <w:rsid w:val="00547A64"/>
    <w:rsid w:val="005536C5"/>
    <w:rsid w:val="005540A6"/>
    <w:rsid w:val="00556711"/>
    <w:rsid w:val="005577A1"/>
    <w:rsid w:val="005606D5"/>
    <w:rsid w:val="00561C88"/>
    <w:rsid w:val="0056479D"/>
    <w:rsid w:val="00565AE9"/>
    <w:rsid w:val="00565BBE"/>
    <w:rsid w:val="005671B2"/>
    <w:rsid w:val="00567909"/>
    <w:rsid w:val="005702F0"/>
    <w:rsid w:val="0057534D"/>
    <w:rsid w:val="00575480"/>
    <w:rsid w:val="005765D2"/>
    <w:rsid w:val="00585533"/>
    <w:rsid w:val="00591F91"/>
    <w:rsid w:val="00592983"/>
    <w:rsid w:val="00593F8F"/>
    <w:rsid w:val="00597BC5"/>
    <w:rsid w:val="005A026F"/>
    <w:rsid w:val="005A2DBC"/>
    <w:rsid w:val="005A3A9C"/>
    <w:rsid w:val="005A5084"/>
    <w:rsid w:val="005A5B6F"/>
    <w:rsid w:val="005B309B"/>
    <w:rsid w:val="005B5B60"/>
    <w:rsid w:val="005B5D9D"/>
    <w:rsid w:val="005C1A3E"/>
    <w:rsid w:val="005C2699"/>
    <w:rsid w:val="005C5608"/>
    <w:rsid w:val="005C7E9A"/>
    <w:rsid w:val="005D084E"/>
    <w:rsid w:val="005D20AA"/>
    <w:rsid w:val="005D368C"/>
    <w:rsid w:val="005D4ADE"/>
    <w:rsid w:val="005D638A"/>
    <w:rsid w:val="005D66E4"/>
    <w:rsid w:val="005D6CE5"/>
    <w:rsid w:val="005D7D7F"/>
    <w:rsid w:val="005E00FF"/>
    <w:rsid w:val="005E3115"/>
    <w:rsid w:val="005E32EA"/>
    <w:rsid w:val="005E56B4"/>
    <w:rsid w:val="005E56BC"/>
    <w:rsid w:val="005F0B37"/>
    <w:rsid w:val="005F23F2"/>
    <w:rsid w:val="005F2FB4"/>
    <w:rsid w:val="005F3382"/>
    <w:rsid w:val="005F60BF"/>
    <w:rsid w:val="005F61B0"/>
    <w:rsid w:val="005F6A35"/>
    <w:rsid w:val="005F767A"/>
    <w:rsid w:val="00606A62"/>
    <w:rsid w:val="00607922"/>
    <w:rsid w:val="00607A6B"/>
    <w:rsid w:val="0061098A"/>
    <w:rsid w:val="00610E11"/>
    <w:rsid w:val="00612257"/>
    <w:rsid w:val="006136C8"/>
    <w:rsid w:val="00614B26"/>
    <w:rsid w:val="006179F6"/>
    <w:rsid w:val="006221A0"/>
    <w:rsid w:val="00623148"/>
    <w:rsid w:val="00625715"/>
    <w:rsid w:val="00626F7F"/>
    <w:rsid w:val="00627CA4"/>
    <w:rsid w:val="0063172A"/>
    <w:rsid w:val="0063390A"/>
    <w:rsid w:val="00633B7B"/>
    <w:rsid w:val="006344BB"/>
    <w:rsid w:val="00636444"/>
    <w:rsid w:val="006366D3"/>
    <w:rsid w:val="006421E0"/>
    <w:rsid w:val="00646FEB"/>
    <w:rsid w:val="006471D0"/>
    <w:rsid w:val="00652086"/>
    <w:rsid w:val="006520C7"/>
    <w:rsid w:val="00652974"/>
    <w:rsid w:val="00653FE3"/>
    <w:rsid w:val="00655F8D"/>
    <w:rsid w:val="0066500D"/>
    <w:rsid w:val="00666985"/>
    <w:rsid w:val="00666D8A"/>
    <w:rsid w:val="00674C7D"/>
    <w:rsid w:val="00680D07"/>
    <w:rsid w:val="0068469D"/>
    <w:rsid w:val="00686537"/>
    <w:rsid w:val="006906DA"/>
    <w:rsid w:val="00692095"/>
    <w:rsid w:val="00692184"/>
    <w:rsid w:val="00693F44"/>
    <w:rsid w:val="006978B2"/>
    <w:rsid w:val="006979D2"/>
    <w:rsid w:val="006A1346"/>
    <w:rsid w:val="006A2EE5"/>
    <w:rsid w:val="006B065C"/>
    <w:rsid w:val="006B1E7D"/>
    <w:rsid w:val="006B3276"/>
    <w:rsid w:val="006B359D"/>
    <w:rsid w:val="006C2806"/>
    <w:rsid w:val="006C5079"/>
    <w:rsid w:val="006D1CA6"/>
    <w:rsid w:val="006D53E6"/>
    <w:rsid w:val="006E1610"/>
    <w:rsid w:val="006E18D9"/>
    <w:rsid w:val="006E33F1"/>
    <w:rsid w:val="006E384A"/>
    <w:rsid w:val="006E7768"/>
    <w:rsid w:val="006F1E90"/>
    <w:rsid w:val="006F4141"/>
    <w:rsid w:val="006F4AFA"/>
    <w:rsid w:val="00700FFB"/>
    <w:rsid w:val="0070108F"/>
    <w:rsid w:val="00702DD3"/>
    <w:rsid w:val="00705E7F"/>
    <w:rsid w:val="00706584"/>
    <w:rsid w:val="0071241A"/>
    <w:rsid w:val="007136F8"/>
    <w:rsid w:val="00714F1C"/>
    <w:rsid w:val="00720238"/>
    <w:rsid w:val="007228A5"/>
    <w:rsid w:val="0072323F"/>
    <w:rsid w:val="007247FD"/>
    <w:rsid w:val="00730B4D"/>
    <w:rsid w:val="00731FD7"/>
    <w:rsid w:val="00732555"/>
    <w:rsid w:val="00735595"/>
    <w:rsid w:val="0073661D"/>
    <w:rsid w:val="00743441"/>
    <w:rsid w:val="007435CF"/>
    <w:rsid w:val="007506D0"/>
    <w:rsid w:val="00750FB8"/>
    <w:rsid w:val="007516AE"/>
    <w:rsid w:val="00751D1E"/>
    <w:rsid w:val="00754988"/>
    <w:rsid w:val="00754AE4"/>
    <w:rsid w:val="00755FC2"/>
    <w:rsid w:val="00761D92"/>
    <w:rsid w:val="007668C6"/>
    <w:rsid w:val="0076731B"/>
    <w:rsid w:val="00767C88"/>
    <w:rsid w:val="00770B38"/>
    <w:rsid w:val="00770D31"/>
    <w:rsid w:val="00773081"/>
    <w:rsid w:val="00777A0F"/>
    <w:rsid w:val="00780319"/>
    <w:rsid w:val="00791390"/>
    <w:rsid w:val="007936B5"/>
    <w:rsid w:val="007943FB"/>
    <w:rsid w:val="007A33BF"/>
    <w:rsid w:val="007A5896"/>
    <w:rsid w:val="007B3911"/>
    <w:rsid w:val="007B4883"/>
    <w:rsid w:val="007C6E66"/>
    <w:rsid w:val="007C7354"/>
    <w:rsid w:val="007C7BE6"/>
    <w:rsid w:val="007D3132"/>
    <w:rsid w:val="007D478E"/>
    <w:rsid w:val="007D5C14"/>
    <w:rsid w:val="007E124F"/>
    <w:rsid w:val="007E35B5"/>
    <w:rsid w:val="007E3922"/>
    <w:rsid w:val="007E55F9"/>
    <w:rsid w:val="007F00FB"/>
    <w:rsid w:val="007F1C3D"/>
    <w:rsid w:val="007F1DD9"/>
    <w:rsid w:val="007F2430"/>
    <w:rsid w:val="008012F1"/>
    <w:rsid w:val="00806BEE"/>
    <w:rsid w:val="008073B8"/>
    <w:rsid w:val="0081186D"/>
    <w:rsid w:val="00811D9A"/>
    <w:rsid w:val="00812F87"/>
    <w:rsid w:val="00814686"/>
    <w:rsid w:val="00817476"/>
    <w:rsid w:val="0082135F"/>
    <w:rsid w:val="00824ACC"/>
    <w:rsid w:val="008319EC"/>
    <w:rsid w:val="00832A77"/>
    <w:rsid w:val="008339C0"/>
    <w:rsid w:val="00835DE2"/>
    <w:rsid w:val="0083663C"/>
    <w:rsid w:val="00836E86"/>
    <w:rsid w:val="00840115"/>
    <w:rsid w:val="008417C5"/>
    <w:rsid w:val="00842CB4"/>
    <w:rsid w:val="0084360B"/>
    <w:rsid w:val="00843B53"/>
    <w:rsid w:val="008469E0"/>
    <w:rsid w:val="00847C01"/>
    <w:rsid w:val="00851583"/>
    <w:rsid w:val="00852503"/>
    <w:rsid w:val="00853849"/>
    <w:rsid w:val="00855418"/>
    <w:rsid w:val="00855727"/>
    <w:rsid w:val="008611D6"/>
    <w:rsid w:val="00862180"/>
    <w:rsid w:val="00862F63"/>
    <w:rsid w:val="008658EE"/>
    <w:rsid w:val="008662F6"/>
    <w:rsid w:val="008667D7"/>
    <w:rsid w:val="00866D2A"/>
    <w:rsid w:val="00866F2F"/>
    <w:rsid w:val="00872AE6"/>
    <w:rsid w:val="00875810"/>
    <w:rsid w:val="00875A56"/>
    <w:rsid w:val="00876AE1"/>
    <w:rsid w:val="00876F08"/>
    <w:rsid w:val="0087730D"/>
    <w:rsid w:val="00877DD8"/>
    <w:rsid w:val="00880043"/>
    <w:rsid w:val="008809C5"/>
    <w:rsid w:val="0088137C"/>
    <w:rsid w:val="00881AA1"/>
    <w:rsid w:val="00884AAF"/>
    <w:rsid w:val="00885480"/>
    <w:rsid w:val="00887F7E"/>
    <w:rsid w:val="00891940"/>
    <w:rsid w:val="0089382E"/>
    <w:rsid w:val="00893D29"/>
    <w:rsid w:val="00894B0F"/>
    <w:rsid w:val="008958CB"/>
    <w:rsid w:val="00896DF8"/>
    <w:rsid w:val="008A08F7"/>
    <w:rsid w:val="008A183E"/>
    <w:rsid w:val="008A24E8"/>
    <w:rsid w:val="008A25AB"/>
    <w:rsid w:val="008A38FA"/>
    <w:rsid w:val="008B53F0"/>
    <w:rsid w:val="008B6064"/>
    <w:rsid w:val="008C03CA"/>
    <w:rsid w:val="008C3750"/>
    <w:rsid w:val="008C3871"/>
    <w:rsid w:val="008D143D"/>
    <w:rsid w:val="008D3F54"/>
    <w:rsid w:val="008D5343"/>
    <w:rsid w:val="008D659B"/>
    <w:rsid w:val="008D685E"/>
    <w:rsid w:val="008E0F41"/>
    <w:rsid w:val="008E1776"/>
    <w:rsid w:val="008E20B2"/>
    <w:rsid w:val="008E2278"/>
    <w:rsid w:val="008E3111"/>
    <w:rsid w:val="008E3FA8"/>
    <w:rsid w:val="008E4272"/>
    <w:rsid w:val="008E54A7"/>
    <w:rsid w:val="008E72C3"/>
    <w:rsid w:val="008F1EEA"/>
    <w:rsid w:val="008F3BA0"/>
    <w:rsid w:val="008F491B"/>
    <w:rsid w:val="008F5D32"/>
    <w:rsid w:val="008F7A6B"/>
    <w:rsid w:val="009002EB"/>
    <w:rsid w:val="009008EF"/>
    <w:rsid w:val="0090217A"/>
    <w:rsid w:val="0090222B"/>
    <w:rsid w:val="00902F9E"/>
    <w:rsid w:val="00903608"/>
    <w:rsid w:val="00906BC9"/>
    <w:rsid w:val="00910396"/>
    <w:rsid w:val="00911858"/>
    <w:rsid w:val="0091257D"/>
    <w:rsid w:val="00915205"/>
    <w:rsid w:val="00916EF3"/>
    <w:rsid w:val="00921E1E"/>
    <w:rsid w:val="0092213A"/>
    <w:rsid w:val="0092309B"/>
    <w:rsid w:val="00926914"/>
    <w:rsid w:val="0092711F"/>
    <w:rsid w:val="00927303"/>
    <w:rsid w:val="00930BC6"/>
    <w:rsid w:val="00930E58"/>
    <w:rsid w:val="009323E1"/>
    <w:rsid w:val="009330B9"/>
    <w:rsid w:val="0093315C"/>
    <w:rsid w:val="00933583"/>
    <w:rsid w:val="00935144"/>
    <w:rsid w:val="009354C5"/>
    <w:rsid w:val="00935BC0"/>
    <w:rsid w:val="00936897"/>
    <w:rsid w:val="009403BE"/>
    <w:rsid w:val="00940B11"/>
    <w:rsid w:val="0094427E"/>
    <w:rsid w:val="00945FA9"/>
    <w:rsid w:val="00951B6E"/>
    <w:rsid w:val="00951CFC"/>
    <w:rsid w:val="00952616"/>
    <w:rsid w:val="00953516"/>
    <w:rsid w:val="009539DB"/>
    <w:rsid w:val="009541B8"/>
    <w:rsid w:val="00955898"/>
    <w:rsid w:val="00957FFC"/>
    <w:rsid w:val="00963FED"/>
    <w:rsid w:val="00965344"/>
    <w:rsid w:val="009665F1"/>
    <w:rsid w:val="00967314"/>
    <w:rsid w:val="00967DCA"/>
    <w:rsid w:val="00967F6E"/>
    <w:rsid w:val="009711D7"/>
    <w:rsid w:val="009714CF"/>
    <w:rsid w:val="00974DE6"/>
    <w:rsid w:val="00981F43"/>
    <w:rsid w:val="009832F4"/>
    <w:rsid w:val="009837A8"/>
    <w:rsid w:val="009848A7"/>
    <w:rsid w:val="00984F09"/>
    <w:rsid w:val="00984F0C"/>
    <w:rsid w:val="00986B4B"/>
    <w:rsid w:val="00986CF3"/>
    <w:rsid w:val="00990389"/>
    <w:rsid w:val="00990EAA"/>
    <w:rsid w:val="0099121E"/>
    <w:rsid w:val="00992468"/>
    <w:rsid w:val="009946AC"/>
    <w:rsid w:val="009948D4"/>
    <w:rsid w:val="00994B2A"/>
    <w:rsid w:val="009957CB"/>
    <w:rsid w:val="009A404A"/>
    <w:rsid w:val="009A4BFA"/>
    <w:rsid w:val="009B3A24"/>
    <w:rsid w:val="009B4FC0"/>
    <w:rsid w:val="009B5833"/>
    <w:rsid w:val="009B60E5"/>
    <w:rsid w:val="009C1E46"/>
    <w:rsid w:val="009C345F"/>
    <w:rsid w:val="009C4289"/>
    <w:rsid w:val="009C52A0"/>
    <w:rsid w:val="009C7489"/>
    <w:rsid w:val="009C759A"/>
    <w:rsid w:val="009C77E5"/>
    <w:rsid w:val="009D01BF"/>
    <w:rsid w:val="009D366E"/>
    <w:rsid w:val="009D37D1"/>
    <w:rsid w:val="009D5375"/>
    <w:rsid w:val="009D5590"/>
    <w:rsid w:val="009D7810"/>
    <w:rsid w:val="009E1236"/>
    <w:rsid w:val="009F531E"/>
    <w:rsid w:val="009F7B04"/>
    <w:rsid w:val="00A00222"/>
    <w:rsid w:val="00A0352B"/>
    <w:rsid w:val="00A07388"/>
    <w:rsid w:val="00A07F78"/>
    <w:rsid w:val="00A110EA"/>
    <w:rsid w:val="00A114C7"/>
    <w:rsid w:val="00A13AD9"/>
    <w:rsid w:val="00A15DC5"/>
    <w:rsid w:val="00A17191"/>
    <w:rsid w:val="00A178F7"/>
    <w:rsid w:val="00A20157"/>
    <w:rsid w:val="00A21152"/>
    <w:rsid w:val="00A21261"/>
    <w:rsid w:val="00A21F14"/>
    <w:rsid w:val="00A22754"/>
    <w:rsid w:val="00A22E26"/>
    <w:rsid w:val="00A26982"/>
    <w:rsid w:val="00A27680"/>
    <w:rsid w:val="00A27F57"/>
    <w:rsid w:val="00A30E3C"/>
    <w:rsid w:val="00A3201E"/>
    <w:rsid w:val="00A32C30"/>
    <w:rsid w:val="00A36F97"/>
    <w:rsid w:val="00A37860"/>
    <w:rsid w:val="00A37EB8"/>
    <w:rsid w:val="00A40685"/>
    <w:rsid w:val="00A417C3"/>
    <w:rsid w:val="00A44508"/>
    <w:rsid w:val="00A456FA"/>
    <w:rsid w:val="00A4593D"/>
    <w:rsid w:val="00A47850"/>
    <w:rsid w:val="00A50925"/>
    <w:rsid w:val="00A52B5C"/>
    <w:rsid w:val="00A53FF3"/>
    <w:rsid w:val="00A5433E"/>
    <w:rsid w:val="00A54741"/>
    <w:rsid w:val="00A548E1"/>
    <w:rsid w:val="00A5531A"/>
    <w:rsid w:val="00A56B48"/>
    <w:rsid w:val="00A56EA6"/>
    <w:rsid w:val="00A60847"/>
    <w:rsid w:val="00A63A43"/>
    <w:rsid w:val="00A71077"/>
    <w:rsid w:val="00A715F6"/>
    <w:rsid w:val="00A74949"/>
    <w:rsid w:val="00A8144F"/>
    <w:rsid w:val="00A81D88"/>
    <w:rsid w:val="00A81E32"/>
    <w:rsid w:val="00A8366C"/>
    <w:rsid w:val="00A84379"/>
    <w:rsid w:val="00A87115"/>
    <w:rsid w:val="00A914E0"/>
    <w:rsid w:val="00A931A5"/>
    <w:rsid w:val="00A95E60"/>
    <w:rsid w:val="00A966D1"/>
    <w:rsid w:val="00AA129E"/>
    <w:rsid w:val="00AA5E74"/>
    <w:rsid w:val="00AA67D0"/>
    <w:rsid w:val="00AA687B"/>
    <w:rsid w:val="00AB21C4"/>
    <w:rsid w:val="00AB4814"/>
    <w:rsid w:val="00AB54FB"/>
    <w:rsid w:val="00AB597A"/>
    <w:rsid w:val="00AB68B6"/>
    <w:rsid w:val="00AB7B74"/>
    <w:rsid w:val="00AC1D3A"/>
    <w:rsid w:val="00AC6D1F"/>
    <w:rsid w:val="00AC76EA"/>
    <w:rsid w:val="00AD11CE"/>
    <w:rsid w:val="00AD248C"/>
    <w:rsid w:val="00AD2751"/>
    <w:rsid w:val="00AD2D37"/>
    <w:rsid w:val="00AD5E5A"/>
    <w:rsid w:val="00AD6048"/>
    <w:rsid w:val="00AD68B3"/>
    <w:rsid w:val="00AD6F4E"/>
    <w:rsid w:val="00AD7373"/>
    <w:rsid w:val="00AD79D2"/>
    <w:rsid w:val="00AE1C76"/>
    <w:rsid w:val="00AE39CE"/>
    <w:rsid w:val="00AE5086"/>
    <w:rsid w:val="00AE5569"/>
    <w:rsid w:val="00AE61D6"/>
    <w:rsid w:val="00AF1EA9"/>
    <w:rsid w:val="00AF3BF7"/>
    <w:rsid w:val="00AF5900"/>
    <w:rsid w:val="00AF7D9C"/>
    <w:rsid w:val="00B00A15"/>
    <w:rsid w:val="00B00DE9"/>
    <w:rsid w:val="00B011C2"/>
    <w:rsid w:val="00B02593"/>
    <w:rsid w:val="00B0388B"/>
    <w:rsid w:val="00B07DBA"/>
    <w:rsid w:val="00B11147"/>
    <w:rsid w:val="00B1489A"/>
    <w:rsid w:val="00B17C4A"/>
    <w:rsid w:val="00B20D9C"/>
    <w:rsid w:val="00B25F61"/>
    <w:rsid w:val="00B27B0E"/>
    <w:rsid w:val="00B27B79"/>
    <w:rsid w:val="00B302C4"/>
    <w:rsid w:val="00B304B0"/>
    <w:rsid w:val="00B33ACF"/>
    <w:rsid w:val="00B34319"/>
    <w:rsid w:val="00B35FD7"/>
    <w:rsid w:val="00B3789D"/>
    <w:rsid w:val="00B402D9"/>
    <w:rsid w:val="00B44763"/>
    <w:rsid w:val="00B44B24"/>
    <w:rsid w:val="00B450DE"/>
    <w:rsid w:val="00B455F0"/>
    <w:rsid w:val="00B45BFB"/>
    <w:rsid w:val="00B50F5A"/>
    <w:rsid w:val="00B546E3"/>
    <w:rsid w:val="00B54F0F"/>
    <w:rsid w:val="00B57B54"/>
    <w:rsid w:val="00B63198"/>
    <w:rsid w:val="00B64076"/>
    <w:rsid w:val="00B710BC"/>
    <w:rsid w:val="00B718D6"/>
    <w:rsid w:val="00B724C6"/>
    <w:rsid w:val="00B7414E"/>
    <w:rsid w:val="00B76003"/>
    <w:rsid w:val="00B80B6C"/>
    <w:rsid w:val="00B811F9"/>
    <w:rsid w:val="00B82EF7"/>
    <w:rsid w:val="00B848D7"/>
    <w:rsid w:val="00B8575C"/>
    <w:rsid w:val="00B87C70"/>
    <w:rsid w:val="00B901E7"/>
    <w:rsid w:val="00B92898"/>
    <w:rsid w:val="00B94346"/>
    <w:rsid w:val="00BA0453"/>
    <w:rsid w:val="00BA43C3"/>
    <w:rsid w:val="00BA5854"/>
    <w:rsid w:val="00BA6C4D"/>
    <w:rsid w:val="00BA7757"/>
    <w:rsid w:val="00BB0084"/>
    <w:rsid w:val="00BB5624"/>
    <w:rsid w:val="00BB6A68"/>
    <w:rsid w:val="00BB6AED"/>
    <w:rsid w:val="00BC1047"/>
    <w:rsid w:val="00BC28F8"/>
    <w:rsid w:val="00BC344E"/>
    <w:rsid w:val="00BC3DDF"/>
    <w:rsid w:val="00BC5D8B"/>
    <w:rsid w:val="00BC697E"/>
    <w:rsid w:val="00BC6B71"/>
    <w:rsid w:val="00BC71D4"/>
    <w:rsid w:val="00BD1A25"/>
    <w:rsid w:val="00BD299D"/>
    <w:rsid w:val="00BD37FC"/>
    <w:rsid w:val="00BD3D12"/>
    <w:rsid w:val="00BD4648"/>
    <w:rsid w:val="00BD7336"/>
    <w:rsid w:val="00BE2987"/>
    <w:rsid w:val="00BE7B06"/>
    <w:rsid w:val="00BF623E"/>
    <w:rsid w:val="00C017FE"/>
    <w:rsid w:val="00C0231B"/>
    <w:rsid w:val="00C05484"/>
    <w:rsid w:val="00C054F3"/>
    <w:rsid w:val="00C05A67"/>
    <w:rsid w:val="00C070AC"/>
    <w:rsid w:val="00C154A6"/>
    <w:rsid w:val="00C15658"/>
    <w:rsid w:val="00C159F3"/>
    <w:rsid w:val="00C17392"/>
    <w:rsid w:val="00C226B1"/>
    <w:rsid w:val="00C2497D"/>
    <w:rsid w:val="00C24B6C"/>
    <w:rsid w:val="00C25D8D"/>
    <w:rsid w:val="00C26F5B"/>
    <w:rsid w:val="00C30F3C"/>
    <w:rsid w:val="00C31B27"/>
    <w:rsid w:val="00C3298A"/>
    <w:rsid w:val="00C33758"/>
    <w:rsid w:val="00C344C8"/>
    <w:rsid w:val="00C34F62"/>
    <w:rsid w:val="00C359A7"/>
    <w:rsid w:val="00C37DF2"/>
    <w:rsid w:val="00C402D8"/>
    <w:rsid w:val="00C436B6"/>
    <w:rsid w:val="00C4501E"/>
    <w:rsid w:val="00C45176"/>
    <w:rsid w:val="00C45C67"/>
    <w:rsid w:val="00C479D7"/>
    <w:rsid w:val="00C51479"/>
    <w:rsid w:val="00C539E7"/>
    <w:rsid w:val="00C5559F"/>
    <w:rsid w:val="00C55B54"/>
    <w:rsid w:val="00C564CC"/>
    <w:rsid w:val="00C57045"/>
    <w:rsid w:val="00C574AA"/>
    <w:rsid w:val="00C60EEC"/>
    <w:rsid w:val="00C640E2"/>
    <w:rsid w:val="00C67AAB"/>
    <w:rsid w:val="00C70BEE"/>
    <w:rsid w:val="00C714BB"/>
    <w:rsid w:val="00C72F50"/>
    <w:rsid w:val="00C74C44"/>
    <w:rsid w:val="00C75BE5"/>
    <w:rsid w:val="00C7647F"/>
    <w:rsid w:val="00C76605"/>
    <w:rsid w:val="00C77A96"/>
    <w:rsid w:val="00C77F91"/>
    <w:rsid w:val="00C8114A"/>
    <w:rsid w:val="00C8260D"/>
    <w:rsid w:val="00C85266"/>
    <w:rsid w:val="00C86A90"/>
    <w:rsid w:val="00C87E94"/>
    <w:rsid w:val="00C9192E"/>
    <w:rsid w:val="00C933D2"/>
    <w:rsid w:val="00C936D6"/>
    <w:rsid w:val="00C946D1"/>
    <w:rsid w:val="00C95D0B"/>
    <w:rsid w:val="00C97710"/>
    <w:rsid w:val="00C977AC"/>
    <w:rsid w:val="00C97F5D"/>
    <w:rsid w:val="00CA063F"/>
    <w:rsid w:val="00CA5143"/>
    <w:rsid w:val="00CA5311"/>
    <w:rsid w:val="00CA5359"/>
    <w:rsid w:val="00CA70D1"/>
    <w:rsid w:val="00CA747C"/>
    <w:rsid w:val="00CB12F1"/>
    <w:rsid w:val="00CB2670"/>
    <w:rsid w:val="00CB2F10"/>
    <w:rsid w:val="00CB346A"/>
    <w:rsid w:val="00CB4C3C"/>
    <w:rsid w:val="00CB624B"/>
    <w:rsid w:val="00CB6774"/>
    <w:rsid w:val="00CB6F53"/>
    <w:rsid w:val="00CB7B19"/>
    <w:rsid w:val="00CC06D4"/>
    <w:rsid w:val="00CC330D"/>
    <w:rsid w:val="00CC535D"/>
    <w:rsid w:val="00CC5BAC"/>
    <w:rsid w:val="00CC6832"/>
    <w:rsid w:val="00CC7393"/>
    <w:rsid w:val="00CD0E5E"/>
    <w:rsid w:val="00CD1639"/>
    <w:rsid w:val="00CD763F"/>
    <w:rsid w:val="00CE0802"/>
    <w:rsid w:val="00CE086F"/>
    <w:rsid w:val="00CE09E0"/>
    <w:rsid w:val="00CE4471"/>
    <w:rsid w:val="00CE7DBA"/>
    <w:rsid w:val="00CF09C3"/>
    <w:rsid w:val="00CF267E"/>
    <w:rsid w:val="00CF2AF1"/>
    <w:rsid w:val="00CF2B44"/>
    <w:rsid w:val="00CF2E9D"/>
    <w:rsid w:val="00CF2FFC"/>
    <w:rsid w:val="00CF3114"/>
    <w:rsid w:val="00D017A0"/>
    <w:rsid w:val="00D01C87"/>
    <w:rsid w:val="00D03036"/>
    <w:rsid w:val="00D030D4"/>
    <w:rsid w:val="00D044D2"/>
    <w:rsid w:val="00D04992"/>
    <w:rsid w:val="00D062AF"/>
    <w:rsid w:val="00D0634D"/>
    <w:rsid w:val="00D071AE"/>
    <w:rsid w:val="00D105FF"/>
    <w:rsid w:val="00D10B85"/>
    <w:rsid w:val="00D11ED5"/>
    <w:rsid w:val="00D134CF"/>
    <w:rsid w:val="00D1396E"/>
    <w:rsid w:val="00D1521C"/>
    <w:rsid w:val="00D15E12"/>
    <w:rsid w:val="00D17D38"/>
    <w:rsid w:val="00D23845"/>
    <w:rsid w:val="00D23D5E"/>
    <w:rsid w:val="00D23E7F"/>
    <w:rsid w:val="00D2479F"/>
    <w:rsid w:val="00D24CF9"/>
    <w:rsid w:val="00D301BE"/>
    <w:rsid w:val="00D30296"/>
    <w:rsid w:val="00D31F1C"/>
    <w:rsid w:val="00D32107"/>
    <w:rsid w:val="00D33C67"/>
    <w:rsid w:val="00D3578C"/>
    <w:rsid w:val="00D401B9"/>
    <w:rsid w:val="00D401E0"/>
    <w:rsid w:val="00D41DF0"/>
    <w:rsid w:val="00D427B4"/>
    <w:rsid w:val="00D430A8"/>
    <w:rsid w:val="00D43972"/>
    <w:rsid w:val="00D448DF"/>
    <w:rsid w:val="00D45BC1"/>
    <w:rsid w:val="00D54F42"/>
    <w:rsid w:val="00D55479"/>
    <w:rsid w:val="00D57AE9"/>
    <w:rsid w:val="00D600F8"/>
    <w:rsid w:val="00D60605"/>
    <w:rsid w:val="00D61E5C"/>
    <w:rsid w:val="00D62B21"/>
    <w:rsid w:val="00D62FFA"/>
    <w:rsid w:val="00D63CDE"/>
    <w:rsid w:val="00D63E8D"/>
    <w:rsid w:val="00D64A8E"/>
    <w:rsid w:val="00D66063"/>
    <w:rsid w:val="00D66789"/>
    <w:rsid w:val="00D709EB"/>
    <w:rsid w:val="00D71DBB"/>
    <w:rsid w:val="00D74070"/>
    <w:rsid w:val="00D75165"/>
    <w:rsid w:val="00D756D6"/>
    <w:rsid w:val="00D75E86"/>
    <w:rsid w:val="00D82C3D"/>
    <w:rsid w:val="00D835BF"/>
    <w:rsid w:val="00D83F68"/>
    <w:rsid w:val="00D84B72"/>
    <w:rsid w:val="00D8500C"/>
    <w:rsid w:val="00D86FE9"/>
    <w:rsid w:val="00D93200"/>
    <w:rsid w:val="00D93CE3"/>
    <w:rsid w:val="00D95ED1"/>
    <w:rsid w:val="00D96FD7"/>
    <w:rsid w:val="00DA3E41"/>
    <w:rsid w:val="00DA4733"/>
    <w:rsid w:val="00DA4833"/>
    <w:rsid w:val="00DA5A8D"/>
    <w:rsid w:val="00DA6BD3"/>
    <w:rsid w:val="00DB003E"/>
    <w:rsid w:val="00DB502E"/>
    <w:rsid w:val="00DB567B"/>
    <w:rsid w:val="00DB5F41"/>
    <w:rsid w:val="00DB6973"/>
    <w:rsid w:val="00DB7DE2"/>
    <w:rsid w:val="00DC0077"/>
    <w:rsid w:val="00DC1A31"/>
    <w:rsid w:val="00DC1DA9"/>
    <w:rsid w:val="00DC338A"/>
    <w:rsid w:val="00DC3FCB"/>
    <w:rsid w:val="00DC4336"/>
    <w:rsid w:val="00DC63C3"/>
    <w:rsid w:val="00DD0129"/>
    <w:rsid w:val="00DD0A41"/>
    <w:rsid w:val="00DD11B8"/>
    <w:rsid w:val="00DD1678"/>
    <w:rsid w:val="00DD199C"/>
    <w:rsid w:val="00DD1B92"/>
    <w:rsid w:val="00DD3FDE"/>
    <w:rsid w:val="00DD4207"/>
    <w:rsid w:val="00DE0263"/>
    <w:rsid w:val="00DE2F8F"/>
    <w:rsid w:val="00DE326C"/>
    <w:rsid w:val="00DE392A"/>
    <w:rsid w:val="00DE4A4F"/>
    <w:rsid w:val="00DE51E2"/>
    <w:rsid w:val="00DE5276"/>
    <w:rsid w:val="00DE7706"/>
    <w:rsid w:val="00DF0879"/>
    <w:rsid w:val="00DF14E3"/>
    <w:rsid w:val="00DF471D"/>
    <w:rsid w:val="00DF7114"/>
    <w:rsid w:val="00E00ADC"/>
    <w:rsid w:val="00E0351A"/>
    <w:rsid w:val="00E03772"/>
    <w:rsid w:val="00E04222"/>
    <w:rsid w:val="00E04350"/>
    <w:rsid w:val="00E105BD"/>
    <w:rsid w:val="00E10CE0"/>
    <w:rsid w:val="00E13EDA"/>
    <w:rsid w:val="00E14E01"/>
    <w:rsid w:val="00E15B8D"/>
    <w:rsid w:val="00E16F86"/>
    <w:rsid w:val="00E16FF8"/>
    <w:rsid w:val="00E17373"/>
    <w:rsid w:val="00E21DA1"/>
    <w:rsid w:val="00E229E1"/>
    <w:rsid w:val="00E248BF"/>
    <w:rsid w:val="00E25F7A"/>
    <w:rsid w:val="00E26F49"/>
    <w:rsid w:val="00E30B70"/>
    <w:rsid w:val="00E30F80"/>
    <w:rsid w:val="00E3323D"/>
    <w:rsid w:val="00E343AE"/>
    <w:rsid w:val="00E35CBB"/>
    <w:rsid w:val="00E40BB9"/>
    <w:rsid w:val="00E41ED1"/>
    <w:rsid w:val="00E4205D"/>
    <w:rsid w:val="00E46AA8"/>
    <w:rsid w:val="00E46E56"/>
    <w:rsid w:val="00E47368"/>
    <w:rsid w:val="00E5065F"/>
    <w:rsid w:val="00E52806"/>
    <w:rsid w:val="00E53B1D"/>
    <w:rsid w:val="00E54179"/>
    <w:rsid w:val="00E5608D"/>
    <w:rsid w:val="00E6036F"/>
    <w:rsid w:val="00E65977"/>
    <w:rsid w:val="00E66330"/>
    <w:rsid w:val="00E672E6"/>
    <w:rsid w:val="00E70DB1"/>
    <w:rsid w:val="00E718EC"/>
    <w:rsid w:val="00E72ECE"/>
    <w:rsid w:val="00E72F4E"/>
    <w:rsid w:val="00E73FC2"/>
    <w:rsid w:val="00E74AD9"/>
    <w:rsid w:val="00E75263"/>
    <w:rsid w:val="00E779D0"/>
    <w:rsid w:val="00E84681"/>
    <w:rsid w:val="00E853F1"/>
    <w:rsid w:val="00E8575B"/>
    <w:rsid w:val="00E85BC0"/>
    <w:rsid w:val="00E86CBB"/>
    <w:rsid w:val="00E90241"/>
    <w:rsid w:val="00E90683"/>
    <w:rsid w:val="00E906D9"/>
    <w:rsid w:val="00E96A69"/>
    <w:rsid w:val="00EA3892"/>
    <w:rsid w:val="00EA57F3"/>
    <w:rsid w:val="00EA5F75"/>
    <w:rsid w:val="00EA6725"/>
    <w:rsid w:val="00EA7B60"/>
    <w:rsid w:val="00EB0341"/>
    <w:rsid w:val="00EB0B2B"/>
    <w:rsid w:val="00EB1615"/>
    <w:rsid w:val="00EB2484"/>
    <w:rsid w:val="00EB2952"/>
    <w:rsid w:val="00EB4EA5"/>
    <w:rsid w:val="00EB6F55"/>
    <w:rsid w:val="00EB7473"/>
    <w:rsid w:val="00EC00F3"/>
    <w:rsid w:val="00EC0877"/>
    <w:rsid w:val="00EC0962"/>
    <w:rsid w:val="00EC1285"/>
    <w:rsid w:val="00EC4F9F"/>
    <w:rsid w:val="00EC56C8"/>
    <w:rsid w:val="00EC67CC"/>
    <w:rsid w:val="00ED19C6"/>
    <w:rsid w:val="00ED2204"/>
    <w:rsid w:val="00ED3997"/>
    <w:rsid w:val="00ED3A7A"/>
    <w:rsid w:val="00ED5E82"/>
    <w:rsid w:val="00ED6EED"/>
    <w:rsid w:val="00ED74F4"/>
    <w:rsid w:val="00EE2F9E"/>
    <w:rsid w:val="00EE393B"/>
    <w:rsid w:val="00EE3D9E"/>
    <w:rsid w:val="00EE3FB6"/>
    <w:rsid w:val="00EE521B"/>
    <w:rsid w:val="00EE551A"/>
    <w:rsid w:val="00EF2461"/>
    <w:rsid w:val="00EF3CA1"/>
    <w:rsid w:val="00EF48CD"/>
    <w:rsid w:val="00EF580F"/>
    <w:rsid w:val="00EF5CFA"/>
    <w:rsid w:val="00EF7105"/>
    <w:rsid w:val="00EF74C4"/>
    <w:rsid w:val="00F00B73"/>
    <w:rsid w:val="00F02FA6"/>
    <w:rsid w:val="00F03654"/>
    <w:rsid w:val="00F04776"/>
    <w:rsid w:val="00F0597A"/>
    <w:rsid w:val="00F10293"/>
    <w:rsid w:val="00F12781"/>
    <w:rsid w:val="00F15841"/>
    <w:rsid w:val="00F15857"/>
    <w:rsid w:val="00F1599A"/>
    <w:rsid w:val="00F21B9F"/>
    <w:rsid w:val="00F22F46"/>
    <w:rsid w:val="00F25E22"/>
    <w:rsid w:val="00F2788C"/>
    <w:rsid w:val="00F27F46"/>
    <w:rsid w:val="00F30AC0"/>
    <w:rsid w:val="00F32470"/>
    <w:rsid w:val="00F330A3"/>
    <w:rsid w:val="00F35025"/>
    <w:rsid w:val="00F3508F"/>
    <w:rsid w:val="00F35F6C"/>
    <w:rsid w:val="00F403B2"/>
    <w:rsid w:val="00F40499"/>
    <w:rsid w:val="00F41088"/>
    <w:rsid w:val="00F412F8"/>
    <w:rsid w:val="00F45180"/>
    <w:rsid w:val="00F46D38"/>
    <w:rsid w:val="00F46D56"/>
    <w:rsid w:val="00F4718C"/>
    <w:rsid w:val="00F475E8"/>
    <w:rsid w:val="00F5284A"/>
    <w:rsid w:val="00F53471"/>
    <w:rsid w:val="00F55565"/>
    <w:rsid w:val="00F57C6B"/>
    <w:rsid w:val="00F6005E"/>
    <w:rsid w:val="00F600A9"/>
    <w:rsid w:val="00F62512"/>
    <w:rsid w:val="00F63F8A"/>
    <w:rsid w:val="00F65B14"/>
    <w:rsid w:val="00F66C4E"/>
    <w:rsid w:val="00F6738F"/>
    <w:rsid w:val="00F706DD"/>
    <w:rsid w:val="00F717E5"/>
    <w:rsid w:val="00F72D3B"/>
    <w:rsid w:val="00F72DA1"/>
    <w:rsid w:val="00F73449"/>
    <w:rsid w:val="00F758DA"/>
    <w:rsid w:val="00F76AA7"/>
    <w:rsid w:val="00F77FB4"/>
    <w:rsid w:val="00F809A6"/>
    <w:rsid w:val="00F81363"/>
    <w:rsid w:val="00F81453"/>
    <w:rsid w:val="00F81471"/>
    <w:rsid w:val="00F84688"/>
    <w:rsid w:val="00F848F2"/>
    <w:rsid w:val="00F856E6"/>
    <w:rsid w:val="00F86386"/>
    <w:rsid w:val="00F86516"/>
    <w:rsid w:val="00F86F33"/>
    <w:rsid w:val="00F8750D"/>
    <w:rsid w:val="00F90047"/>
    <w:rsid w:val="00F96CD6"/>
    <w:rsid w:val="00F97D9D"/>
    <w:rsid w:val="00FA0953"/>
    <w:rsid w:val="00FA1464"/>
    <w:rsid w:val="00FA1B5C"/>
    <w:rsid w:val="00FA1E21"/>
    <w:rsid w:val="00FA3716"/>
    <w:rsid w:val="00FA63EE"/>
    <w:rsid w:val="00FA71AD"/>
    <w:rsid w:val="00FA7CA7"/>
    <w:rsid w:val="00FA7DAE"/>
    <w:rsid w:val="00FB158E"/>
    <w:rsid w:val="00FB47AD"/>
    <w:rsid w:val="00FB4E6D"/>
    <w:rsid w:val="00FB5895"/>
    <w:rsid w:val="00FC3806"/>
    <w:rsid w:val="00FC45FE"/>
    <w:rsid w:val="00FC6191"/>
    <w:rsid w:val="00FD04FD"/>
    <w:rsid w:val="00FD0623"/>
    <w:rsid w:val="00FD0D1F"/>
    <w:rsid w:val="00FD1F12"/>
    <w:rsid w:val="00FD3A54"/>
    <w:rsid w:val="00FD6050"/>
    <w:rsid w:val="00FE2457"/>
    <w:rsid w:val="00FE487E"/>
    <w:rsid w:val="00FE498E"/>
    <w:rsid w:val="00FE6EBB"/>
    <w:rsid w:val="00FF07F2"/>
    <w:rsid w:val="00FF0E3C"/>
    <w:rsid w:val="00FF3ACA"/>
    <w:rsid w:val="00FF79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BF0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3D4F05"/>
    <w:pPr>
      <w:keepNext/>
      <w:keepLines/>
      <w:spacing w:after="0"/>
      <w:ind w:left="730" w:hanging="10"/>
      <w:outlineLvl w:val="0"/>
    </w:pPr>
    <w:rPr>
      <w:rFonts w:ascii="Arial" w:eastAsia="Arial" w:hAnsi="Arial" w:cs="Arial"/>
      <w:b/>
      <w:color w:val="415291"/>
      <w:kern w:val="2"/>
      <w:sz w:val="34"/>
      <w:szCs w:val="24"/>
      <w14:ligatures w14:val="standardContextual"/>
    </w:rPr>
  </w:style>
  <w:style w:type="paragraph" w:styleId="Heading2">
    <w:name w:val="heading 2"/>
    <w:next w:val="Normal"/>
    <w:link w:val="Heading2Char"/>
    <w:uiPriority w:val="9"/>
    <w:unhideWhenUsed/>
    <w:qFormat/>
    <w:rsid w:val="003D4F05"/>
    <w:pPr>
      <w:keepNext/>
      <w:keepLines/>
      <w:spacing w:after="0"/>
      <w:ind w:left="730" w:hanging="10"/>
      <w:outlineLvl w:val="1"/>
    </w:pPr>
    <w:rPr>
      <w:rFonts w:ascii="Arial" w:eastAsia="Arial" w:hAnsi="Arial" w:cs="Arial"/>
      <w:b/>
      <w:color w:val="415291"/>
      <w:kern w:val="2"/>
      <w:sz w:val="3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3D"/>
    <w:pPr>
      <w:ind w:left="720"/>
      <w:contextualSpacing/>
    </w:pPr>
  </w:style>
  <w:style w:type="character" w:styleId="Hyperlink">
    <w:name w:val="Hyperlink"/>
    <w:basedOn w:val="DefaultParagraphFont"/>
    <w:uiPriority w:val="99"/>
    <w:unhideWhenUsed/>
    <w:rsid w:val="00253B47"/>
    <w:rPr>
      <w:color w:val="0563C1" w:themeColor="hyperlink"/>
      <w:u w:val="single"/>
    </w:rPr>
  </w:style>
  <w:style w:type="character" w:styleId="CommentReference">
    <w:name w:val="annotation reference"/>
    <w:basedOn w:val="DefaultParagraphFont"/>
    <w:uiPriority w:val="99"/>
    <w:unhideWhenUsed/>
    <w:rsid w:val="000C06BB"/>
    <w:rPr>
      <w:sz w:val="16"/>
      <w:szCs w:val="16"/>
    </w:rPr>
  </w:style>
  <w:style w:type="paragraph" w:styleId="CommentText">
    <w:name w:val="annotation text"/>
    <w:basedOn w:val="Normal"/>
    <w:link w:val="CommentTextChar"/>
    <w:uiPriority w:val="99"/>
    <w:unhideWhenUsed/>
    <w:rsid w:val="000C06BB"/>
    <w:pPr>
      <w:spacing w:line="240" w:lineRule="auto"/>
    </w:pPr>
    <w:rPr>
      <w:sz w:val="20"/>
      <w:szCs w:val="20"/>
    </w:rPr>
  </w:style>
  <w:style w:type="character" w:customStyle="1" w:styleId="CommentTextChar">
    <w:name w:val="Comment Text Char"/>
    <w:basedOn w:val="DefaultParagraphFont"/>
    <w:link w:val="CommentText"/>
    <w:uiPriority w:val="99"/>
    <w:rsid w:val="000C06BB"/>
    <w:rPr>
      <w:sz w:val="20"/>
      <w:szCs w:val="20"/>
    </w:rPr>
  </w:style>
  <w:style w:type="paragraph" w:styleId="CommentSubject">
    <w:name w:val="annotation subject"/>
    <w:basedOn w:val="CommentText"/>
    <w:next w:val="CommentText"/>
    <w:link w:val="CommentSubjectChar"/>
    <w:uiPriority w:val="99"/>
    <w:semiHidden/>
    <w:unhideWhenUsed/>
    <w:rsid w:val="000C06BB"/>
    <w:rPr>
      <w:b/>
      <w:bCs/>
    </w:rPr>
  </w:style>
  <w:style w:type="character" w:customStyle="1" w:styleId="CommentSubjectChar">
    <w:name w:val="Comment Subject Char"/>
    <w:basedOn w:val="CommentTextChar"/>
    <w:link w:val="CommentSubject"/>
    <w:uiPriority w:val="99"/>
    <w:semiHidden/>
    <w:rsid w:val="000C06BB"/>
    <w:rPr>
      <w:b/>
      <w:bCs/>
      <w:sz w:val="20"/>
      <w:szCs w:val="20"/>
    </w:rPr>
  </w:style>
  <w:style w:type="paragraph" w:styleId="BalloonText">
    <w:name w:val="Balloon Text"/>
    <w:basedOn w:val="Normal"/>
    <w:link w:val="BalloonTextChar"/>
    <w:uiPriority w:val="99"/>
    <w:semiHidden/>
    <w:unhideWhenUsed/>
    <w:rsid w:val="000C0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6BB"/>
    <w:rPr>
      <w:rFonts w:ascii="Segoe UI" w:hAnsi="Segoe UI" w:cs="Segoe UI"/>
      <w:sz w:val="18"/>
      <w:szCs w:val="18"/>
    </w:rPr>
  </w:style>
  <w:style w:type="character" w:styleId="FollowedHyperlink">
    <w:name w:val="FollowedHyperlink"/>
    <w:basedOn w:val="DefaultParagraphFont"/>
    <w:uiPriority w:val="99"/>
    <w:semiHidden/>
    <w:unhideWhenUsed/>
    <w:rsid w:val="00EE521B"/>
    <w:rPr>
      <w:color w:val="954F72" w:themeColor="followedHyperlink"/>
      <w:u w:val="single"/>
    </w:rPr>
  </w:style>
  <w:style w:type="paragraph" w:styleId="Header">
    <w:name w:val="header"/>
    <w:basedOn w:val="Normal"/>
    <w:link w:val="HeaderChar"/>
    <w:uiPriority w:val="99"/>
    <w:unhideWhenUsed/>
    <w:rsid w:val="00C0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84"/>
  </w:style>
  <w:style w:type="paragraph" w:styleId="Footer">
    <w:name w:val="footer"/>
    <w:basedOn w:val="Normal"/>
    <w:link w:val="FooterChar"/>
    <w:uiPriority w:val="99"/>
    <w:unhideWhenUsed/>
    <w:rsid w:val="00C0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84"/>
  </w:style>
  <w:style w:type="table" w:styleId="TableGrid">
    <w:name w:val="Table Grid"/>
    <w:basedOn w:val="TableNormal"/>
    <w:uiPriority w:val="39"/>
    <w:rsid w:val="00E65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5977"/>
    <w:pPr>
      <w:spacing w:after="0" w:line="240" w:lineRule="auto"/>
    </w:pPr>
  </w:style>
  <w:style w:type="character" w:styleId="UnresolvedMention">
    <w:name w:val="Unresolved Mention"/>
    <w:basedOn w:val="DefaultParagraphFont"/>
    <w:uiPriority w:val="99"/>
    <w:semiHidden/>
    <w:unhideWhenUsed/>
    <w:rsid w:val="00DE4A4F"/>
    <w:rPr>
      <w:color w:val="605E5C"/>
      <w:shd w:val="clear" w:color="auto" w:fill="E1DFDD"/>
    </w:rPr>
  </w:style>
  <w:style w:type="paragraph" w:styleId="Revision">
    <w:name w:val="Revision"/>
    <w:hidden/>
    <w:uiPriority w:val="99"/>
    <w:semiHidden/>
    <w:rsid w:val="00DB003E"/>
    <w:pPr>
      <w:spacing w:after="0" w:line="240" w:lineRule="auto"/>
    </w:pPr>
  </w:style>
  <w:style w:type="paragraph" w:styleId="BodyText3">
    <w:name w:val="Body Text 3"/>
    <w:basedOn w:val="Normal"/>
    <w:link w:val="BodyText3Char"/>
    <w:rsid w:val="000E204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E204D"/>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0E204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E204D"/>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0E20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E204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E204D"/>
    <w:rPr>
      <w:vertAlign w:val="superscript"/>
    </w:rPr>
  </w:style>
  <w:style w:type="character" w:customStyle="1" w:styleId="Heading1Char">
    <w:name w:val="Heading 1 Char"/>
    <w:basedOn w:val="DefaultParagraphFont"/>
    <w:link w:val="Heading1"/>
    <w:uiPriority w:val="9"/>
    <w:rsid w:val="003D4F05"/>
    <w:rPr>
      <w:rFonts w:ascii="Arial" w:eastAsia="Arial" w:hAnsi="Arial" w:cs="Arial"/>
      <w:b/>
      <w:color w:val="415291"/>
      <w:kern w:val="2"/>
      <w:sz w:val="34"/>
      <w:szCs w:val="24"/>
      <w14:ligatures w14:val="standardContextual"/>
    </w:rPr>
  </w:style>
  <w:style w:type="character" w:customStyle="1" w:styleId="Heading2Char">
    <w:name w:val="Heading 2 Char"/>
    <w:basedOn w:val="DefaultParagraphFont"/>
    <w:link w:val="Heading2"/>
    <w:uiPriority w:val="9"/>
    <w:rsid w:val="003D4F05"/>
    <w:rPr>
      <w:rFonts w:ascii="Arial" w:eastAsia="Arial" w:hAnsi="Arial" w:cs="Arial"/>
      <w:b/>
      <w:color w:val="415291"/>
      <w:kern w:val="2"/>
      <w:sz w:val="34"/>
      <w:szCs w:val="24"/>
      <w14:ligatures w14:val="standardContextual"/>
    </w:rPr>
  </w:style>
  <w:style w:type="paragraph" w:styleId="TOC1">
    <w:name w:val="toc 1"/>
    <w:hidden/>
    <w:uiPriority w:val="39"/>
    <w:rsid w:val="003D4F05"/>
    <w:pPr>
      <w:spacing w:after="172"/>
      <w:ind w:left="745" w:right="57" w:hanging="10"/>
    </w:pPr>
    <w:rPr>
      <w:rFonts w:ascii="Calibri" w:eastAsia="Calibri" w:hAnsi="Calibri" w:cs="Calibri"/>
      <w:color w:val="415291"/>
      <w:kern w:val="2"/>
      <w:sz w:val="24"/>
      <w:szCs w:val="24"/>
      <w14:ligatures w14:val="standardContextual"/>
    </w:rPr>
  </w:style>
  <w:style w:type="character" w:customStyle="1" w:styleId="cf01">
    <w:name w:val="cf01"/>
    <w:basedOn w:val="DefaultParagraphFont"/>
    <w:rsid w:val="00700F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egulations.gov/docket/CDFI-2026-0067/comments" TargetMode="External" /><Relationship Id="rId6" Type="http://schemas.openxmlformats.org/officeDocument/2006/relationships/hyperlink" Target="https://www.cdfifund.gov/opportunity-zon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23/industry/999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2026-05-08T18:29:00Z</dcterms:created>
  <dcterms:modified xsi:type="dcterms:W3CDTF">2026-05-12T12:38:00Z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155c7b6b-0456-4a4b-8f5b-de9040c45bd6</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2026-05-08T14:29:51Z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