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3E40" w14:paraId="0916E1E7" w14:textId="15932B85">
      <w:pPr>
        <w:pStyle w:val="Title"/>
      </w:pPr>
      <w:r>
        <w:t>Supporting Statement</w:t>
      </w:r>
    </w:p>
    <w:p w:rsidR="00103E40" w14:paraId="4DE50E3E" w14:textId="77777777">
      <w:pPr>
        <w:jc w:val="center"/>
        <w:rPr>
          <w:b/>
          <w:bCs/>
        </w:rPr>
      </w:pPr>
      <w:r>
        <w:rPr>
          <w:b/>
          <w:bCs/>
        </w:rPr>
        <w:t xml:space="preserve">Recordkeeping Requirements for Securities Transactions </w:t>
      </w:r>
    </w:p>
    <w:p w:rsidR="00103E40" w14:paraId="67604A9F" w14:textId="77777777">
      <w:pPr>
        <w:jc w:val="center"/>
        <w:rPr>
          <w:b/>
          <w:bCs/>
        </w:rPr>
      </w:pPr>
      <w:r>
        <w:rPr>
          <w:b/>
          <w:bCs/>
        </w:rPr>
        <w:t>OMB Control No. 1557-0142</w:t>
      </w:r>
    </w:p>
    <w:p w:rsidR="00103E40" w14:paraId="741B9764" w14:textId="77777777">
      <w:pPr>
        <w:jc w:val="center"/>
      </w:pPr>
    </w:p>
    <w:p w:rsidR="00082F90" w14:paraId="618BCB2A" w14:textId="77777777">
      <w:pPr>
        <w:jc w:val="center"/>
      </w:pPr>
    </w:p>
    <w:p w:rsidR="00103E40" w14:paraId="4AFE0391" w14:textId="77777777">
      <w:pPr>
        <w:rPr>
          <w:b/>
          <w:bCs/>
        </w:rPr>
      </w:pPr>
      <w:r>
        <w:rPr>
          <w:b/>
          <w:bCs/>
        </w:rPr>
        <w:t>A.  Justification.</w:t>
      </w:r>
    </w:p>
    <w:p w:rsidR="00103E40" w14:paraId="0DDBAE71" w14:textId="77777777"/>
    <w:p w:rsidR="00103E40" w14:paraId="3FBFD395" w14:textId="77777777">
      <w:pPr>
        <w:rPr>
          <w:b/>
          <w:bCs/>
          <w:i/>
          <w:iCs/>
        </w:rPr>
      </w:pPr>
      <w:r>
        <w:rPr>
          <w:b/>
          <w:bCs/>
          <w:i/>
          <w:iCs/>
        </w:rPr>
        <w:t>1.  Circumstances that make the collection necessary:</w:t>
      </w:r>
    </w:p>
    <w:p w:rsidR="00E365F2" w:rsidRPr="00E365F2" w14:paraId="3D24CD40" w14:textId="77777777">
      <w:pPr>
        <w:rPr>
          <w:b/>
          <w:bCs/>
          <w:i/>
          <w:iCs/>
        </w:rPr>
      </w:pPr>
    </w:p>
    <w:p w:rsidR="006C182A" w:rsidRPr="00082F90" w:rsidP="00082F90" w14:paraId="47E2ED16" w14:textId="71FC7DDA">
      <w:pPr>
        <w:spacing w:before="100" w:after="100"/>
        <w:ind w:right="-180"/>
        <w:rPr>
          <w:color w:val="000000"/>
          <w:szCs w:val="24"/>
        </w:rPr>
      </w:pPr>
      <w:r>
        <w:rPr>
          <w:rStyle w:val="documentbody1"/>
          <w:rFonts w:ascii="Times New Roman" w:hAnsi="Times New Roman"/>
          <w:color w:val="000000"/>
          <w:sz w:val="24"/>
          <w:szCs w:val="24"/>
        </w:rPr>
        <w:tab/>
      </w:r>
      <w:r w:rsidRPr="00E365F2" w:rsidR="00F916A9">
        <w:rPr>
          <w:rStyle w:val="documentbody1"/>
          <w:rFonts w:ascii="Times New Roman" w:hAnsi="Times New Roman"/>
          <w:color w:val="000000"/>
          <w:sz w:val="24"/>
          <w:szCs w:val="24"/>
        </w:rPr>
        <w:t xml:space="preserve">The information collection requirements in 12 CFR parts 12 and 151 are </w:t>
      </w:r>
      <w:r w:rsidR="00661FB3">
        <w:rPr>
          <w:rStyle w:val="documentbody1"/>
          <w:rFonts w:ascii="Times New Roman" w:hAnsi="Times New Roman"/>
          <w:color w:val="000000"/>
          <w:sz w:val="24"/>
          <w:szCs w:val="24"/>
        </w:rPr>
        <w:t xml:space="preserve">designed </w:t>
      </w:r>
      <w:r w:rsidRPr="00E365F2" w:rsidR="00F916A9">
        <w:rPr>
          <w:rStyle w:val="documentbody1"/>
          <w:rFonts w:ascii="Times New Roman" w:hAnsi="Times New Roman"/>
          <w:color w:val="000000"/>
          <w:sz w:val="24"/>
          <w:szCs w:val="24"/>
        </w:rPr>
        <w:t xml:space="preserve">to ensure that national banks and Federal savings associations comply with </w:t>
      </w:r>
      <w:r w:rsidR="00AC7722">
        <w:rPr>
          <w:rStyle w:val="documentbody1"/>
          <w:rFonts w:ascii="Times New Roman" w:hAnsi="Times New Roman"/>
          <w:color w:val="000000"/>
          <w:sz w:val="24"/>
          <w:szCs w:val="24"/>
        </w:rPr>
        <w:t xml:space="preserve">banking and </w:t>
      </w:r>
      <w:r w:rsidRPr="00E365F2" w:rsidR="00F916A9">
        <w:rPr>
          <w:rStyle w:val="documentbody1"/>
          <w:rFonts w:ascii="Times New Roman" w:hAnsi="Times New Roman"/>
          <w:color w:val="000000"/>
          <w:sz w:val="24"/>
          <w:szCs w:val="24"/>
        </w:rPr>
        <w:t xml:space="preserve">securities laws and improve the protections afforded to persons who purchase and sell securities through these financial institutions.  Parts 12 and 151 </w:t>
      </w:r>
      <w:r w:rsidR="001D54C6">
        <w:rPr>
          <w:rStyle w:val="documentbody1"/>
          <w:rFonts w:ascii="Times New Roman" w:hAnsi="Times New Roman"/>
          <w:color w:val="000000"/>
          <w:sz w:val="24"/>
          <w:szCs w:val="24"/>
        </w:rPr>
        <w:t>establish</w:t>
      </w:r>
      <w:r w:rsidRPr="00E365F2" w:rsidR="001D54C6">
        <w:rPr>
          <w:rStyle w:val="documentbody1"/>
          <w:rFonts w:ascii="Times New Roman" w:hAnsi="Times New Roman"/>
          <w:color w:val="000000"/>
          <w:sz w:val="24"/>
          <w:szCs w:val="24"/>
        </w:rPr>
        <w:t xml:space="preserve"> </w:t>
      </w:r>
      <w:r w:rsidRPr="00E365F2" w:rsidR="00F916A9">
        <w:rPr>
          <w:rStyle w:val="documentbody1"/>
          <w:rFonts w:ascii="Times New Roman" w:hAnsi="Times New Roman"/>
          <w:color w:val="000000"/>
          <w:sz w:val="24"/>
          <w:szCs w:val="24"/>
        </w:rPr>
        <w:t xml:space="preserve">recordkeeping and confirmation requirements applicable to certain securities transactions effected by national banks </w:t>
      </w:r>
      <w:r w:rsidR="008C0DFB">
        <w:rPr>
          <w:rStyle w:val="documentbody1"/>
          <w:rFonts w:ascii="Times New Roman" w:hAnsi="Times New Roman"/>
          <w:color w:val="000000"/>
          <w:sz w:val="24"/>
          <w:szCs w:val="24"/>
        </w:rPr>
        <w:t>and</w:t>
      </w:r>
      <w:r w:rsidRPr="00E365F2" w:rsidR="00F916A9">
        <w:rPr>
          <w:rStyle w:val="documentbody1"/>
          <w:rFonts w:ascii="Times New Roman" w:hAnsi="Times New Roman"/>
          <w:color w:val="000000"/>
          <w:sz w:val="24"/>
          <w:szCs w:val="24"/>
        </w:rPr>
        <w:t xml:space="preserve"> Federal savings associations for customers.  </w:t>
      </w:r>
    </w:p>
    <w:p w:rsidR="00103E40" w:rsidRPr="00E365F2" w:rsidP="00E365F2" w14:paraId="67AE40DA" w14:textId="77777777">
      <w:pPr>
        <w:rPr>
          <w:szCs w:val="24"/>
        </w:rPr>
      </w:pPr>
    </w:p>
    <w:p w:rsidR="00103E40" w14:paraId="22FADF90" w14:textId="77777777">
      <w:pPr>
        <w:rPr>
          <w:b/>
          <w:bCs/>
          <w:i/>
          <w:iCs/>
        </w:rPr>
      </w:pPr>
      <w:r>
        <w:rPr>
          <w:b/>
          <w:bCs/>
          <w:i/>
          <w:iCs/>
        </w:rPr>
        <w:t>2.  Use of the information:</w:t>
      </w:r>
    </w:p>
    <w:p w:rsidR="00103E40" w14:paraId="0D5F4E2A" w14:textId="77777777"/>
    <w:p w:rsidR="00E365F2" w:rsidP="00E365F2" w14:paraId="1C46533D" w14:textId="494E93A0">
      <w:pPr>
        <w:spacing w:before="100" w:after="100"/>
        <w:ind w:right="-180"/>
        <w:rPr>
          <w:rStyle w:val="documentbody1"/>
          <w:rFonts w:ascii="Times New Roman" w:hAnsi="Times New Roman"/>
          <w:color w:val="000000"/>
          <w:sz w:val="24"/>
          <w:szCs w:val="24"/>
        </w:rPr>
      </w:pPr>
      <w:r>
        <w:rPr>
          <w:rStyle w:val="documentbody1"/>
          <w:rFonts w:ascii="Times New Roman" w:hAnsi="Times New Roman"/>
          <w:color w:val="000000"/>
          <w:sz w:val="24"/>
          <w:szCs w:val="24"/>
        </w:rPr>
        <w:tab/>
      </w:r>
      <w:r w:rsidRPr="00E365F2">
        <w:rPr>
          <w:rStyle w:val="documentbody1"/>
          <w:rFonts w:ascii="Times New Roman" w:hAnsi="Times New Roman"/>
          <w:color w:val="000000"/>
          <w:sz w:val="24"/>
          <w:szCs w:val="24"/>
        </w:rPr>
        <w:t xml:space="preserve">The transaction confirmation information required by these regulations ensures that customers receive a record of each securities transaction and that </w:t>
      </w:r>
      <w:r w:rsidR="00661FB3">
        <w:rPr>
          <w:rStyle w:val="documentbody1"/>
          <w:rFonts w:ascii="Times New Roman" w:hAnsi="Times New Roman"/>
          <w:color w:val="000000"/>
          <w:sz w:val="24"/>
          <w:szCs w:val="24"/>
        </w:rPr>
        <w:t xml:space="preserve">both </w:t>
      </w:r>
      <w:r w:rsidRPr="00E365F2">
        <w:rPr>
          <w:rStyle w:val="documentbody1"/>
          <w:rFonts w:ascii="Times New Roman" w:hAnsi="Times New Roman"/>
          <w:color w:val="000000"/>
          <w:sz w:val="24"/>
          <w:szCs w:val="24"/>
        </w:rPr>
        <w:t xml:space="preserve">financial institutions and the OCC have the records necessary to monitor compliance with </w:t>
      </w:r>
      <w:r w:rsidR="00AC7722">
        <w:rPr>
          <w:rStyle w:val="documentbody1"/>
          <w:rFonts w:ascii="Times New Roman" w:hAnsi="Times New Roman"/>
          <w:color w:val="000000"/>
          <w:sz w:val="24"/>
          <w:szCs w:val="24"/>
        </w:rPr>
        <w:t xml:space="preserve">the banking and </w:t>
      </w:r>
      <w:r w:rsidRPr="00E365F2">
        <w:rPr>
          <w:rStyle w:val="documentbody1"/>
          <w:rFonts w:ascii="Times New Roman" w:hAnsi="Times New Roman"/>
          <w:color w:val="000000"/>
          <w:sz w:val="24"/>
          <w:szCs w:val="24"/>
        </w:rPr>
        <w:t>securities laws and regulations.  The OCC uses the required information in the course of its examinations to evaluate, among other things, an institution’s compliance with the antifraud provisions of the Federal securities laws.</w:t>
      </w:r>
    </w:p>
    <w:p w:rsidR="00E365F2" w:rsidRPr="00E365F2" w:rsidP="00E365F2" w14:paraId="50F4048E" w14:textId="77777777">
      <w:pPr>
        <w:spacing w:before="100" w:after="100"/>
        <w:ind w:right="-180"/>
        <w:rPr>
          <w:color w:val="000000"/>
          <w:szCs w:val="24"/>
        </w:rPr>
      </w:pPr>
      <w:r w:rsidRPr="00E365F2">
        <w:rPr>
          <w:color w:val="000000"/>
          <w:szCs w:val="24"/>
        </w:rPr>
        <w:br/>
        <w:t xml:space="preserve">          </w:t>
      </w:r>
      <w:r w:rsidRPr="00E365F2">
        <w:rPr>
          <w:rStyle w:val="documentbody1"/>
          <w:rFonts w:ascii="Times New Roman" w:hAnsi="Times New Roman"/>
          <w:color w:val="000000"/>
          <w:sz w:val="24"/>
          <w:szCs w:val="24"/>
        </w:rPr>
        <w:t>The information collection requirements contained in 12 CFR parts 12 and 151 are as follows:</w:t>
      </w:r>
    </w:p>
    <w:p w:rsidR="00E365F2" w:rsidP="00E365F2" w14:paraId="3C5F9AAC" w14:textId="7E74FB71">
      <w:pPr>
        <w:numPr>
          <w:ilvl w:val="0"/>
          <w:numId w:val="30"/>
        </w:numPr>
        <w:rPr>
          <w:rStyle w:val="documentbody1"/>
          <w:rFonts w:ascii="Times New Roman" w:hAnsi="Times New Roman"/>
          <w:color w:val="000000"/>
          <w:sz w:val="24"/>
          <w:szCs w:val="24"/>
        </w:rPr>
      </w:pPr>
      <w:r w:rsidRPr="003636B8">
        <w:rPr>
          <w:color w:val="000000"/>
        </w:rPr>
        <w:t>Twelve CFR 12.3 requires a national bank effecting securities transactions for customers to maintain certain records for at least three years.  The records required by this section must clearly and accurately reflect the information required and provide an adequate basis for audit of the information</w:t>
      </w:r>
      <w:r w:rsidRPr="002811F8">
        <w:rPr>
          <w:color w:val="000000"/>
          <w:szCs w:val="24"/>
        </w:rPr>
        <w:t>.  Section 12.3(b) permits the use of a third-party service provider for records maintenance</w:t>
      </w:r>
      <w:r w:rsidRPr="003636B8">
        <w:rPr>
          <w:color w:val="000000"/>
        </w:rPr>
        <w:t>.</w:t>
      </w:r>
    </w:p>
    <w:p w:rsidR="00E365F2" w:rsidRPr="00E365F2" w:rsidP="00E365F2" w14:paraId="3ABD7F38" w14:textId="77777777">
      <w:pPr>
        <w:ind w:left="720"/>
        <w:rPr>
          <w:rStyle w:val="documentbody1"/>
          <w:rFonts w:ascii="Times New Roman" w:hAnsi="Times New Roman"/>
          <w:color w:val="000000"/>
          <w:sz w:val="24"/>
          <w:szCs w:val="24"/>
        </w:rPr>
      </w:pPr>
    </w:p>
    <w:p w:rsidR="00E365F2" w:rsidP="00E365F2" w14:paraId="12C64CCE" w14:textId="2D72C2A5">
      <w:pPr>
        <w:numPr>
          <w:ilvl w:val="0"/>
          <w:numId w:val="30"/>
        </w:numPr>
        <w:rPr>
          <w:rStyle w:val="documentbody1"/>
          <w:rFonts w:ascii="Times New Roman" w:hAnsi="Times New Roman"/>
          <w:color w:val="000000"/>
          <w:sz w:val="24"/>
          <w:szCs w:val="24"/>
        </w:rPr>
      </w:pPr>
      <w:r w:rsidRPr="003636B8">
        <w:rPr>
          <w:color w:val="000000"/>
        </w:rPr>
        <w:t xml:space="preserve">Twelve CFR 151.50 requires a </w:t>
      </w:r>
      <w:r w:rsidRPr="003636B8">
        <w:rPr>
          <w:color w:val="000000"/>
        </w:rPr>
        <w:t>Federal</w:t>
      </w:r>
      <w:r w:rsidRPr="003636B8">
        <w:rPr>
          <w:color w:val="000000"/>
        </w:rPr>
        <w:t xml:space="preserve"> savings association </w:t>
      </w:r>
      <w:r w:rsidRPr="003636B8">
        <w:rPr>
          <w:color w:val="000000"/>
        </w:rPr>
        <w:t>effecting</w:t>
      </w:r>
      <w:r w:rsidRPr="003636B8">
        <w:rPr>
          <w:color w:val="000000"/>
        </w:rPr>
        <w:t xml:space="preserve"> securities transactions for customers to maintain certain records for at least three years.  Twelve CFR 151.60 provides that the records required by </w:t>
      </w:r>
      <w:r w:rsidR="00FA507E">
        <w:rPr>
          <w:rStyle w:val="documentbody1"/>
          <w:rFonts w:ascii="Times New Roman" w:hAnsi="Times New Roman"/>
          <w:color w:val="000000"/>
          <w:sz w:val="24"/>
          <w:szCs w:val="24"/>
        </w:rPr>
        <w:t>§</w:t>
      </w:r>
      <w:r w:rsidR="00FA507E">
        <w:rPr>
          <w:color w:val="000000"/>
        </w:rPr>
        <w:t> </w:t>
      </w:r>
      <w:r w:rsidRPr="003636B8">
        <w:rPr>
          <w:color w:val="000000"/>
        </w:rPr>
        <w:t>151.50 must clearly and accurately reflect the information required and provide an adequate basis for audit of the information.  Section 151.60(b) permits the use of a third-party service provider for records maintenance.</w:t>
      </w:r>
    </w:p>
    <w:p w:rsidR="00E365F2" w:rsidRPr="00E365F2" w:rsidP="00E365F2" w14:paraId="5C7D3CEC" w14:textId="77777777">
      <w:pPr>
        <w:ind w:left="720"/>
        <w:rPr>
          <w:color w:val="000000"/>
          <w:szCs w:val="24"/>
        </w:rPr>
      </w:pPr>
    </w:p>
    <w:p w:rsidR="00E365F2" w:rsidP="000A2A62" w14:paraId="4B970B84" w14:textId="580E709F">
      <w:pPr>
        <w:numPr>
          <w:ilvl w:val="0"/>
          <w:numId w:val="30"/>
        </w:numPr>
        <w:rPr>
          <w:rStyle w:val="documentbody1"/>
          <w:rFonts w:ascii="Times New Roman" w:hAnsi="Times New Roman"/>
          <w:color w:val="000000"/>
          <w:sz w:val="24"/>
          <w:szCs w:val="24"/>
        </w:rPr>
      </w:pPr>
      <w:r w:rsidRPr="003636B8">
        <w:rPr>
          <w:color w:val="000000"/>
        </w:rPr>
        <w:t xml:space="preserve">Twelve CFR 12.4 requires a national bank </w:t>
      </w:r>
      <w:r w:rsidRPr="002811F8">
        <w:rPr>
          <w:color w:val="000000"/>
          <w:szCs w:val="24"/>
        </w:rPr>
        <w:t xml:space="preserve">effecting a securities transaction for a customer </w:t>
      </w:r>
      <w:r w:rsidRPr="003636B8">
        <w:rPr>
          <w:color w:val="000000"/>
        </w:rPr>
        <w:t xml:space="preserve">to give or send to the customer </w:t>
      </w:r>
      <w:r w:rsidRPr="002811F8">
        <w:rPr>
          <w:color w:val="000000"/>
          <w:szCs w:val="24"/>
        </w:rPr>
        <w:t xml:space="preserve">either </w:t>
      </w:r>
      <w:r w:rsidRPr="003636B8">
        <w:rPr>
          <w:color w:val="000000"/>
        </w:rPr>
        <w:t xml:space="preserve">a written notification of the transaction at or before completion of the </w:t>
      </w:r>
      <w:bookmarkStart w:id="0" w:name="_Hlk22907918"/>
      <w:r w:rsidRPr="003636B8">
        <w:rPr>
          <w:color w:val="000000"/>
        </w:rPr>
        <w:t>transaction</w:t>
      </w:r>
      <w:r w:rsidRPr="002811F8">
        <w:rPr>
          <w:color w:val="000000"/>
          <w:szCs w:val="24"/>
        </w:rPr>
        <w:t>,</w:t>
      </w:r>
      <w:r w:rsidRPr="003636B8">
        <w:rPr>
          <w:color w:val="000000"/>
        </w:rPr>
        <w:t xml:space="preserve"> or a </w:t>
      </w:r>
      <w:r w:rsidRPr="002811F8">
        <w:rPr>
          <w:color w:val="000000"/>
          <w:szCs w:val="24"/>
        </w:rPr>
        <w:t>copy of</w:t>
      </w:r>
      <w:r w:rsidRPr="003636B8">
        <w:rPr>
          <w:color w:val="000000"/>
        </w:rPr>
        <w:t xml:space="preserve"> a registered broker</w:t>
      </w:r>
      <w:r w:rsidRPr="002811F8">
        <w:rPr>
          <w:color w:val="000000"/>
          <w:szCs w:val="24"/>
        </w:rPr>
        <w:t>-dealer’s confirmation relating</w:t>
      </w:r>
      <w:r w:rsidRPr="003636B8">
        <w:rPr>
          <w:color w:val="000000"/>
        </w:rPr>
        <w:t xml:space="preserve"> to </w:t>
      </w:r>
      <w:r w:rsidRPr="002811F8">
        <w:rPr>
          <w:color w:val="000000"/>
          <w:szCs w:val="24"/>
        </w:rPr>
        <w:t>the transaction</w:t>
      </w:r>
      <w:r w:rsidRPr="003636B8">
        <w:rPr>
          <w:color w:val="000000"/>
        </w:rPr>
        <w:t xml:space="preserve"> within one business day from the bank’s receipt </w:t>
      </w:r>
      <w:r w:rsidRPr="003636B8">
        <w:rPr>
          <w:color w:val="000000"/>
        </w:rPr>
        <w:t xml:space="preserve">of </w:t>
      </w:r>
      <w:r w:rsidRPr="002811F8">
        <w:rPr>
          <w:color w:val="000000"/>
          <w:szCs w:val="24"/>
        </w:rPr>
        <w:t>such</w:t>
      </w:r>
      <w:r w:rsidRPr="003636B8">
        <w:rPr>
          <w:color w:val="000000"/>
        </w:rPr>
        <w:t xml:space="preserve"> confirmation. </w:t>
      </w:r>
      <w:bookmarkEnd w:id="0"/>
      <w:r w:rsidRPr="003636B8">
        <w:rPr>
          <w:color w:val="000000"/>
        </w:rPr>
        <w:t xml:space="preserve"> Section 12.4 also establishes disclosures </w:t>
      </w:r>
      <w:r w:rsidRPr="002811F8">
        <w:rPr>
          <w:color w:val="000000"/>
          <w:szCs w:val="24"/>
        </w:rPr>
        <w:t xml:space="preserve">that must be included in </w:t>
      </w:r>
      <w:r w:rsidR="003214FF">
        <w:rPr>
          <w:color w:val="000000"/>
          <w:szCs w:val="24"/>
        </w:rPr>
        <w:t>the bank’s</w:t>
      </w:r>
      <w:r w:rsidRPr="002811F8">
        <w:rPr>
          <w:color w:val="000000"/>
          <w:szCs w:val="24"/>
        </w:rPr>
        <w:t xml:space="preserve"> written notification or </w:t>
      </w:r>
      <w:r w:rsidR="003B141F">
        <w:rPr>
          <w:color w:val="000000"/>
          <w:szCs w:val="24"/>
        </w:rPr>
        <w:t xml:space="preserve">the </w:t>
      </w:r>
      <w:r w:rsidRPr="002811F8">
        <w:rPr>
          <w:color w:val="000000"/>
          <w:szCs w:val="24"/>
        </w:rPr>
        <w:t>broker-dealer confirmation</w:t>
      </w:r>
      <w:r w:rsidRPr="003636B8">
        <w:rPr>
          <w:color w:val="000000"/>
        </w:rPr>
        <w:t xml:space="preserve">.  Section 12.4(b) provides that </w:t>
      </w:r>
      <w:r w:rsidRPr="002811F8">
        <w:rPr>
          <w:color w:val="000000"/>
          <w:szCs w:val="24"/>
        </w:rPr>
        <w:t>national banks</w:t>
      </w:r>
      <w:r w:rsidRPr="003636B8">
        <w:rPr>
          <w:color w:val="000000"/>
        </w:rPr>
        <w:t xml:space="preserve"> may direct a broker-dealer to </w:t>
      </w:r>
      <w:r w:rsidRPr="002811F8">
        <w:rPr>
          <w:color w:val="000000"/>
          <w:szCs w:val="24"/>
        </w:rPr>
        <w:t>send</w:t>
      </w:r>
      <w:r w:rsidRPr="003636B8">
        <w:rPr>
          <w:color w:val="000000"/>
        </w:rPr>
        <w:t xml:space="preserve"> confirmations to customers </w:t>
      </w:r>
      <w:r w:rsidRPr="002811F8">
        <w:rPr>
          <w:color w:val="000000"/>
          <w:szCs w:val="24"/>
        </w:rPr>
        <w:t xml:space="preserve">directly </w:t>
      </w:r>
      <w:r w:rsidRPr="003636B8">
        <w:rPr>
          <w:color w:val="000000"/>
        </w:rPr>
        <w:t xml:space="preserve">without requiring a duplicate to be sent by the </w:t>
      </w:r>
      <w:r w:rsidRPr="002811F8">
        <w:rPr>
          <w:color w:val="000000"/>
          <w:szCs w:val="24"/>
        </w:rPr>
        <w:t>bank</w:t>
      </w:r>
      <w:r w:rsidRPr="003636B8">
        <w:rPr>
          <w:color w:val="000000"/>
        </w:rPr>
        <w:t>.</w:t>
      </w:r>
    </w:p>
    <w:p w:rsidR="00E365F2" w:rsidRPr="00E365F2" w:rsidP="00E365F2" w14:paraId="7CA1A25D" w14:textId="77777777">
      <w:pPr>
        <w:ind w:left="720"/>
        <w:rPr>
          <w:rStyle w:val="documentbody1"/>
          <w:rFonts w:ascii="Times New Roman" w:hAnsi="Times New Roman"/>
          <w:color w:val="000000"/>
          <w:sz w:val="24"/>
          <w:szCs w:val="24"/>
        </w:rPr>
      </w:pPr>
    </w:p>
    <w:p w:rsidR="00E365F2" w:rsidRPr="004E45F3" w:rsidP="004E45F3" w14:paraId="5FDEBAB3" w14:textId="3228F8AC">
      <w:pPr>
        <w:numPr>
          <w:ilvl w:val="0"/>
          <w:numId w:val="30"/>
        </w:numPr>
        <w:rPr>
          <w:rStyle w:val="documentbody1"/>
          <w:rFonts w:ascii="Times New Roman" w:hAnsi="Times New Roman"/>
          <w:color w:val="000000"/>
          <w:sz w:val="24"/>
          <w:szCs w:val="24"/>
        </w:rPr>
      </w:pPr>
      <w:bookmarkStart w:id="1" w:name="_Hlk22908117"/>
      <w:r w:rsidRPr="003636B8">
        <w:rPr>
          <w:color w:val="000000"/>
        </w:rPr>
        <w:t xml:space="preserve">Twelve CFR 151.70 </w:t>
      </w:r>
      <w:r w:rsidRPr="002811F8">
        <w:rPr>
          <w:color w:val="000000"/>
          <w:szCs w:val="24"/>
        </w:rPr>
        <w:t xml:space="preserve">requires </w:t>
      </w:r>
      <w:r w:rsidRPr="003636B8">
        <w:rPr>
          <w:color w:val="000000"/>
        </w:rPr>
        <w:t xml:space="preserve">a </w:t>
      </w:r>
      <w:r w:rsidRPr="003636B8">
        <w:rPr>
          <w:color w:val="000000"/>
        </w:rPr>
        <w:t>Federal</w:t>
      </w:r>
      <w:r w:rsidRPr="003636B8">
        <w:rPr>
          <w:color w:val="000000"/>
        </w:rPr>
        <w:t xml:space="preserve"> savings association effecting a securities transaction for a customer</w:t>
      </w:r>
      <w:r w:rsidRPr="002811F8">
        <w:rPr>
          <w:color w:val="000000"/>
          <w:szCs w:val="24"/>
        </w:rPr>
        <w:t xml:space="preserve"> to give or send the customer either the registered broker-dealer confirmation described at 12 CFR 151.80, or the written notice described at 12 CFR 151.90.  If</w:t>
      </w:r>
      <w:r w:rsidRPr="003636B8">
        <w:rPr>
          <w:color w:val="000000"/>
        </w:rPr>
        <w:t xml:space="preserve"> the Federal savings association is complying with § 151.70 by using a broker-dealer confirmation, </w:t>
      </w:r>
      <w:r w:rsidRPr="002811F8">
        <w:rPr>
          <w:color w:val="000000"/>
          <w:szCs w:val="24"/>
        </w:rPr>
        <w:t xml:space="preserve">§ 151.80 establishes when </w:t>
      </w:r>
      <w:r w:rsidRPr="003636B8">
        <w:rPr>
          <w:color w:val="000000"/>
        </w:rPr>
        <w:t xml:space="preserve">and </w:t>
      </w:r>
      <w:r w:rsidRPr="002811F8">
        <w:rPr>
          <w:color w:val="000000"/>
          <w:szCs w:val="24"/>
        </w:rPr>
        <w:t>how</w:t>
      </w:r>
      <w:r w:rsidRPr="003636B8">
        <w:rPr>
          <w:color w:val="000000"/>
        </w:rPr>
        <w:t xml:space="preserve"> the Federal savings association </w:t>
      </w:r>
      <w:r w:rsidRPr="002811F8">
        <w:rPr>
          <w:color w:val="000000"/>
          <w:szCs w:val="24"/>
        </w:rPr>
        <w:t>must</w:t>
      </w:r>
      <w:r w:rsidRPr="003636B8">
        <w:rPr>
          <w:color w:val="000000"/>
        </w:rPr>
        <w:t xml:space="preserve"> provide the </w:t>
      </w:r>
      <w:r w:rsidRPr="002811F8">
        <w:rPr>
          <w:color w:val="000000"/>
          <w:szCs w:val="24"/>
        </w:rPr>
        <w:t xml:space="preserve">broker-dealer </w:t>
      </w:r>
      <w:r w:rsidRPr="002811F8">
        <w:rPr>
          <w:color w:val="000000"/>
          <w:szCs w:val="24"/>
        </w:rPr>
        <w:t>confirmation,</w:t>
      </w:r>
      <w:r w:rsidRPr="003636B8">
        <w:rPr>
          <w:color w:val="000000"/>
        </w:rPr>
        <w:t xml:space="preserve"> and</w:t>
      </w:r>
      <w:r w:rsidRPr="003636B8">
        <w:rPr>
          <w:color w:val="000000"/>
        </w:rPr>
        <w:t xml:space="preserve"> </w:t>
      </w:r>
      <w:r w:rsidRPr="002811F8">
        <w:rPr>
          <w:color w:val="000000"/>
          <w:szCs w:val="24"/>
        </w:rPr>
        <w:t xml:space="preserve">establishes disclosures that must be included in that confirmation.  </w:t>
      </w:r>
      <w:r w:rsidRPr="003636B8">
        <w:rPr>
          <w:color w:val="000000"/>
        </w:rPr>
        <w:t>Section 151.80</w:t>
      </w:r>
      <w:r w:rsidRPr="002811F8">
        <w:rPr>
          <w:color w:val="000000"/>
          <w:szCs w:val="24"/>
        </w:rPr>
        <w:t>(a) also</w:t>
      </w:r>
      <w:r w:rsidRPr="003636B8">
        <w:rPr>
          <w:color w:val="000000"/>
        </w:rPr>
        <w:t xml:space="preserve"> provides that a Federal savings association </w:t>
      </w:r>
      <w:r w:rsidRPr="002811F8">
        <w:rPr>
          <w:color w:val="000000"/>
          <w:szCs w:val="24"/>
        </w:rPr>
        <w:t>may have a broker-dealer send confirmations</w:t>
      </w:r>
      <w:r w:rsidRPr="003636B8">
        <w:rPr>
          <w:color w:val="000000"/>
        </w:rPr>
        <w:t xml:space="preserve"> to customers </w:t>
      </w:r>
      <w:r w:rsidRPr="002811F8">
        <w:rPr>
          <w:color w:val="000000"/>
          <w:szCs w:val="24"/>
        </w:rPr>
        <w:t xml:space="preserve">directly without requiring a duplicate to be sent by the Federal savings association.  If the Federal savings association is complying with § 151.70 by using a written notice, § 151.90 establishes when and how the Federal savings association must provide the </w:t>
      </w:r>
      <w:r w:rsidRPr="003636B8">
        <w:rPr>
          <w:color w:val="000000"/>
        </w:rPr>
        <w:t xml:space="preserve">written </w:t>
      </w:r>
      <w:r w:rsidRPr="003636B8">
        <w:rPr>
          <w:color w:val="000000"/>
        </w:rPr>
        <w:t>notice</w:t>
      </w:r>
      <w:r w:rsidRPr="002811F8">
        <w:rPr>
          <w:color w:val="000000"/>
          <w:szCs w:val="24"/>
        </w:rPr>
        <w:t>, and</w:t>
      </w:r>
      <w:r w:rsidRPr="002811F8">
        <w:rPr>
          <w:color w:val="000000"/>
          <w:szCs w:val="24"/>
        </w:rPr>
        <w:t xml:space="preserve"> establishes disclosures that must be included in that notice.</w:t>
      </w:r>
      <w:bookmarkEnd w:id="1"/>
      <w:r w:rsidR="0075768A">
        <w:t xml:space="preserve">  </w:t>
      </w:r>
    </w:p>
    <w:p w:rsidR="00E365F2" w:rsidRPr="003636B8" w:rsidP="00E365F2" w14:paraId="7EAD5B09" w14:textId="77777777">
      <w:pPr>
        <w:ind w:left="720"/>
        <w:rPr>
          <w:color w:val="000000"/>
        </w:rPr>
      </w:pPr>
    </w:p>
    <w:p w:rsidR="00E365F2" w:rsidP="00E365F2" w14:paraId="39C271EB" w14:textId="2BD7FD65">
      <w:pPr>
        <w:numPr>
          <w:ilvl w:val="0"/>
          <w:numId w:val="30"/>
        </w:numPr>
        <w:rPr>
          <w:rStyle w:val="documentbody1"/>
          <w:rFonts w:ascii="Times New Roman" w:hAnsi="Times New Roman"/>
          <w:color w:val="000000"/>
          <w:sz w:val="24"/>
          <w:szCs w:val="24"/>
        </w:rPr>
      </w:pPr>
      <w:r w:rsidRPr="003636B8">
        <w:rPr>
          <w:color w:val="000000"/>
        </w:rPr>
        <w:t xml:space="preserve">Twelve CFR 12.5(a), (b), (c), and (e) describe notification procedures that a national bank may elect to use, as an alternative to complying with § 12.4, to notify customers of </w:t>
      </w:r>
      <w:r w:rsidRPr="002811F8">
        <w:rPr>
          <w:color w:val="000000"/>
          <w:szCs w:val="24"/>
        </w:rPr>
        <w:t xml:space="preserve">certain </w:t>
      </w:r>
      <w:r w:rsidRPr="003636B8">
        <w:rPr>
          <w:color w:val="000000"/>
        </w:rPr>
        <w:t>transactions in which the bank does not exercise investment discretion</w:t>
      </w:r>
      <w:r w:rsidRPr="002811F8">
        <w:rPr>
          <w:color w:val="000000"/>
          <w:szCs w:val="24"/>
        </w:rPr>
        <w:t>;</w:t>
      </w:r>
      <w:r w:rsidRPr="003636B8">
        <w:rPr>
          <w:color w:val="000000"/>
        </w:rPr>
        <w:t xml:space="preserve"> trust transactions</w:t>
      </w:r>
      <w:r w:rsidRPr="002811F8">
        <w:rPr>
          <w:color w:val="000000"/>
          <w:szCs w:val="24"/>
        </w:rPr>
        <w:t>;</w:t>
      </w:r>
      <w:r w:rsidRPr="003636B8">
        <w:rPr>
          <w:color w:val="000000"/>
        </w:rPr>
        <w:t xml:space="preserve"> agency transactions</w:t>
      </w:r>
      <w:r w:rsidRPr="002811F8">
        <w:rPr>
          <w:color w:val="000000"/>
          <w:szCs w:val="24"/>
        </w:rPr>
        <w:t>;</w:t>
      </w:r>
      <w:r w:rsidRPr="003636B8">
        <w:rPr>
          <w:color w:val="000000"/>
        </w:rPr>
        <w:t xml:space="preserve"> and periodic plan transactions.</w:t>
      </w:r>
    </w:p>
    <w:p w:rsidR="00E365F2" w:rsidRPr="00E365F2" w:rsidP="00E365F2" w14:paraId="73991A76" w14:textId="77777777">
      <w:pPr>
        <w:ind w:left="720"/>
        <w:rPr>
          <w:rStyle w:val="documentbody1"/>
          <w:rFonts w:ascii="Times New Roman" w:hAnsi="Times New Roman"/>
          <w:color w:val="000000"/>
          <w:sz w:val="24"/>
          <w:szCs w:val="24"/>
        </w:rPr>
      </w:pPr>
    </w:p>
    <w:p w:rsidR="00E365F2" w:rsidRPr="006569AC" w:rsidP="00850ECF" w14:paraId="539915C1" w14:textId="472863A4">
      <w:pPr>
        <w:pStyle w:val="ListParagraph"/>
        <w:numPr>
          <w:ilvl w:val="0"/>
          <w:numId w:val="31"/>
        </w:numPr>
        <w:spacing w:line="240" w:lineRule="auto"/>
        <w:rPr>
          <w:rStyle w:val="documentbody1"/>
          <w:rFonts w:ascii="Times New Roman" w:hAnsi="Times New Roman"/>
          <w:sz w:val="24"/>
          <w:szCs w:val="24"/>
        </w:rPr>
      </w:pPr>
      <w:r w:rsidRPr="002811F8">
        <w:t xml:space="preserve">Twelve CFR 151.100 describes the notification procedures a Federal savings association may elect to use, as an alternate means of satisfying § 151.70, if the Federal savings association effects a securities transaction for or with the account of a customer under a periodic plan, sweep account, or investment company plan; for or with the account of a customer in shares of certain open-ended management companies; for </w:t>
      </w:r>
      <w:bookmarkStart w:id="2" w:name="_Hlk22908218"/>
      <w:r w:rsidRPr="002811F8">
        <w:t>certain accounts for which the Federal savings association does not exercise investment discretion</w:t>
      </w:r>
      <w:bookmarkEnd w:id="2"/>
      <w:r w:rsidRPr="002811F8">
        <w:t>; for certain accounts for which the Federal savings association exercises investment discretion other than in an agency capacity; for an account in which the Federal savings association exercises investment discretion in an agency capacity; and for a common or collective investment fund.</w:t>
      </w:r>
      <w:r w:rsidR="006569AC">
        <w:t xml:space="preserve">   </w:t>
      </w:r>
    </w:p>
    <w:p w:rsidR="00E365F2" w:rsidP="00E365F2" w14:paraId="32E474BD" w14:textId="73836251">
      <w:pPr>
        <w:numPr>
          <w:ilvl w:val="0"/>
          <w:numId w:val="30"/>
        </w:numPr>
        <w:rPr>
          <w:rStyle w:val="documentbody1"/>
          <w:rFonts w:ascii="Times New Roman" w:hAnsi="Times New Roman"/>
          <w:color w:val="000000"/>
          <w:sz w:val="24"/>
          <w:szCs w:val="24"/>
        </w:rPr>
      </w:pPr>
      <w:r w:rsidRPr="003636B8">
        <w:rPr>
          <w:color w:val="000000"/>
        </w:rPr>
        <w:t>Twelve CFR 12.7(a)(1) through (a)(3) require national banks</w:t>
      </w:r>
      <w:r w:rsidRPr="002811F8">
        <w:rPr>
          <w:color w:val="000000"/>
          <w:szCs w:val="24"/>
        </w:rPr>
        <w:t xml:space="preserve"> effecting securities transactions for customers</w:t>
      </w:r>
      <w:r w:rsidRPr="003636B8">
        <w:rPr>
          <w:color w:val="000000"/>
        </w:rPr>
        <w:t xml:space="preserve"> to maintain and adhere to policies and procedures that assign responsibility for supervision of employees who perform securities trading functions, provide for the fair and equitable allocation of securities and prices to accounts for certain </w:t>
      </w:r>
      <w:r w:rsidRPr="002811F8">
        <w:rPr>
          <w:color w:val="000000"/>
          <w:szCs w:val="24"/>
        </w:rPr>
        <w:t>similarly-situated</w:t>
      </w:r>
      <w:r w:rsidRPr="003636B8">
        <w:rPr>
          <w:color w:val="000000"/>
        </w:rPr>
        <w:t xml:space="preserve"> orders, and provide for crossing of buy and sell orders on a fair and equitable basis.</w:t>
      </w:r>
    </w:p>
    <w:p w:rsidR="00E365F2" w:rsidRPr="00E365F2" w:rsidP="00E365F2" w14:paraId="015F5885" w14:textId="77777777">
      <w:pPr>
        <w:ind w:left="720"/>
        <w:rPr>
          <w:rStyle w:val="documentbody1"/>
          <w:rFonts w:ascii="Times New Roman" w:hAnsi="Times New Roman"/>
          <w:color w:val="000000"/>
          <w:sz w:val="24"/>
          <w:szCs w:val="24"/>
        </w:rPr>
      </w:pPr>
    </w:p>
    <w:p w:rsidR="00E365F2" w:rsidP="00E365F2" w14:paraId="41D3A256" w14:textId="52E78ED4">
      <w:pPr>
        <w:numPr>
          <w:ilvl w:val="0"/>
          <w:numId w:val="30"/>
        </w:numPr>
        <w:rPr>
          <w:rStyle w:val="documentbody1"/>
          <w:rFonts w:ascii="Times New Roman" w:hAnsi="Times New Roman"/>
          <w:color w:val="000000"/>
          <w:sz w:val="24"/>
          <w:szCs w:val="24"/>
        </w:rPr>
      </w:pPr>
      <w:r w:rsidRPr="003636B8">
        <w:rPr>
          <w:color w:val="000000"/>
        </w:rPr>
        <w:t xml:space="preserve">Twelve CFR 151.140 requires Federal savings associations effecting securities transactions </w:t>
      </w:r>
      <w:r w:rsidRPr="002811F8">
        <w:rPr>
          <w:color w:val="000000"/>
          <w:szCs w:val="24"/>
        </w:rPr>
        <w:t>for</w:t>
      </w:r>
      <w:r w:rsidRPr="003636B8">
        <w:rPr>
          <w:color w:val="000000"/>
        </w:rPr>
        <w:t xml:space="preserve"> customers</w:t>
      </w:r>
      <w:r w:rsidRPr="002811F8">
        <w:rPr>
          <w:color w:val="000000"/>
          <w:szCs w:val="24"/>
        </w:rPr>
        <w:t xml:space="preserve"> to maintain and follow</w:t>
      </w:r>
      <w:r w:rsidRPr="003636B8">
        <w:rPr>
          <w:color w:val="000000"/>
        </w:rPr>
        <w:t xml:space="preserve"> policies and procedures </w:t>
      </w:r>
      <w:r w:rsidRPr="002811F8">
        <w:rPr>
          <w:color w:val="000000"/>
          <w:szCs w:val="24"/>
        </w:rPr>
        <w:t>that</w:t>
      </w:r>
      <w:r w:rsidRPr="003636B8">
        <w:rPr>
          <w:color w:val="000000"/>
        </w:rPr>
        <w:t xml:space="preserve"> assign responsibility for the supervision of employees who perform securities trading functions, provide for the fair and equitable allocation of securities and prices to accounts for certain </w:t>
      </w:r>
      <w:r w:rsidRPr="002811F8">
        <w:rPr>
          <w:color w:val="000000"/>
          <w:szCs w:val="24"/>
        </w:rPr>
        <w:t>similarly-situated</w:t>
      </w:r>
      <w:r w:rsidRPr="003636B8">
        <w:rPr>
          <w:color w:val="000000"/>
        </w:rPr>
        <w:t xml:space="preserve"> orders, and provide for crossing of buy and sell orders on a fair and equitable basis.</w:t>
      </w:r>
    </w:p>
    <w:p w:rsidR="00E365F2" w:rsidRPr="00E365F2" w:rsidP="00E365F2" w14:paraId="6F0783AC" w14:textId="77777777">
      <w:pPr>
        <w:ind w:left="720"/>
        <w:rPr>
          <w:rStyle w:val="documentbody1"/>
          <w:rFonts w:ascii="Times New Roman" w:hAnsi="Times New Roman"/>
          <w:color w:val="000000"/>
          <w:sz w:val="24"/>
          <w:szCs w:val="24"/>
        </w:rPr>
      </w:pPr>
    </w:p>
    <w:p w:rsidR="00E365F2" w:rsidP="00E365F2" w14:paraId="0E535F43" w14:textId="386D0AB5">
      <w:pPr>
        <w:numPr>
          <w:ilvl w:val="0"/>
          <w:numId w:val="30"/>
        </w:numPr>
        <w:rPr>
          <w:rStyle w:val="documentbody1"/>
          <w:rFonts w:ascii="Times New Roman" w:hAnsi="Times New Roman"/>
          <w:color w:val="000000"/>
          <w:sz w:val="24"/>
          <w:szCs w:val="24"/>
        </w:rPr>
      </w:pPr>
      <w:r>
        <w:rPr>
          <w:rStyle w:val="documentbody1"/>
          <w:rFonts w:ascii="Times New Roman" w:hAnsi="Times New Roman"/>
          <w:color w:val="000000"/>
          <w:sz w:val="24"/>
          <w:szCs w:val="24"/>
        </w:rPr>
        <w:t>Twelve</w:t>
      </w:r>
      <w:r w:rsidRPr="00E365F2">
        <w:rPr>
          <w:rStyle w:val="documentbody1"/>
          <w:rFonts w:ascii="Times New Roman" w:hAnsi="Times New Roman"/>
          <w:color w:val="000000"/>
          <w:sz w:val="24"/>
          <w:szCs w:val="24"/>
        </w:rPr>
        <w:t xml:space="preserve"> CFR 12.7(a)(4) requires certain national bank officers and employees involved in the securities trading process to report to the bank all personal transactions in securities made by them or on their behalf in which they have a beneficial interest.</w:t>
      </w:r>
    </w:p>
    <w:p w:rsidR="00E365F2" w:rsidRPr="00E365F2" w:rsidP="00E365F2" w14:paraId="2F7A57E5" w14:textId="77777777">
      <w:pPr>
        <w:ind w:left="720"/>
        <w:rPr>
          <w:rStyle w:val="documentbody1"/>
          <w:rFonts w:ascii="Times New Roman" w:hAnsi="Times New Roman"/>
          <w:color w:val="000000"/>
          <w:sz w:val="24"/>
          <w:szCs w:val="24"/>
        </w:rPr>
      </w:pPr>
    </w:p>
    <w:p w:rsidR="00E365F2" w:rsidP="00E365F2" w14:paraId="038ABBC5" w14:textId="185F44E4">
      <w:pPr>
        <w:numPr>
          <w:ilvl w:val="0"/>
          <w:numId w:val="30"/>
        </w:numPr>
        <w:rPr>
          <w:rStyle w:val="documentbody1"/>
          <w:rFonts w:ascii="Times New Roman" w:hAnsi="Times New Roman"/>
          <w:color w:val="000000"/>
          <w:sz w:val="24"/>
          <w:szCs w:val="24"/>
        </w:rPr>
      </w:pPr>
      <w:r w:rsidRPr="003636B8">
        <w:rPr>
          <w:color w:val="000000"/>
        </w:rPr>
        <w:t xml:space="preserve">Twelve CFR 151.150 requires certain Federal savings association officers and employees </w:t>
      </w:r>
      <w:r w:rsidRPr="002811F8">
        <w:rPr>
          <w:color w:val="000000"/>
          <w:szCs w:val="24"/>
        </w:rPr>
        <w:t xml:space="preserve">involved in the securities trading process </w:t>
      </w:r>
      <w:r w:rsidRPr="003636B8">
        <w:rPr>
          <w:color w:val="000000"/>
        </w:rPr>
        <w:t xml:space="preserve">to report </w:t>
      </w:r>
      <w:r w:rsidRPr="002811F8">
        <w:rPr>
          <w:color w:val="000000"/>
          <w:szCs w:val="24"/>
        </w:rPr>
        <w:t xml:space="preserve">to the Federal savings association all </w:t>
      </w:r>
      <w:r w:rsidRPr="003636B8">
        <w:rPr>
          <w:color w:val="000000"/>
        </w:rPr>
        <w:t xml:space="preserve">personal transactions </w:t>
      </w:r>
      <w:r w:rsidRPr="002811F8">
        <w:rPr>
          <w:color w:val="000000"/>
          <w:szCs w:val="24"/>
        </w:rPr>
        <w:t>in securities</w:t>
      </w:r>
      <w:r w:rsidRPr="003636B8">
        <w:rPr>
          <w:color w:val="000000"/>
        </w:rPr>
        <w:t xml:space="preserve"> made</w:t>
      </w:r>
      <w:r w:rsidRPr="002811F8">
        <w:rPr>
          <w:color w:val="000000"/>
          <w:szCs w:val="24"/>
        </w:rPr>
        <w:t xml:space="preserve"> by them or</w:t>
      </w:r>
      <w:r w:rsidRPr="003636B8">
        <w:rPr>
          <w:color w:val="000000"/>
        </w:rPr>
        <w:t xml:space="preserve"> on their behalf in which they have a beneficial interest.</w:t>
      </w:r>
    </w:p>
    <w:p w:rsidR="00E365F2" w:rsidRPr="00E365F2" w:rsidP="00E365F2" w14:paraId="7C52244B" w14:textId="77777777">
      <w:pPr>
        <w:ind w:left="720"/>
        <w:rPr>
          <w:color w:val="000000"/>
          <w:szCs w:val="24"/>
        </w:rPr>
      </w:pPr>
    </w:p>
    <w:p w:rsidR="00E365F2" w:rsidP="00A96C34" w14:paraId="76474622" w14:textId="281FF01D">
      <w:pPr>
        <w:numPr>
          <w:ilvl w:val="0"/>
          <w:numId w:val="30"/>
        </w:numPr>
        <w:rPr>
          <w:b/>
          <w:bCs/>
          <w:i/>
          <w:iCs/>
        </w:rPr>
      </w:pPr>
      <w:r>
        <w:rPr>
          <w:rStyle w:val="documentbody1"/>
          <w:rFonts w:ascii="Times New Roman" w:hAnsi="Times New Roman"/>
          <w:color w:val="000000"/>
          <w:sz w:val="24"/>
          <w:szCs w:val="24"/>
        </w:rPr>
        <w:t>Twelve</w:t>
      </w:r>
      <w:r w:rsidRPr="00E365F2">
        <w:rPr>
          <w:rStyle w:val="documentbody1"/>
          <w:rFonts w:ascii="Times New Roman" w:hAnsi="Times New Roman"/>
          <w:color w:val="000000"/>
          <w:sz w:val="24"/>
          <w:szCs w:val="24"/>
        </w:rPr>
        <w:t xml:space="preserve"> CFR 12.8 requires a national bank seeking a waiver of one or more of the requirements of §§ 12.2 through 12.7 to file a written request for waiver with the OCC.</w:t>
      </w:r>
      <w:r w:rsidRPr="00E365F2">
        <w:rPr>
          <w:color w:val="000000"/>
          <w:szCs w:val="24"/>
        </w:rPr>
        <w:br/>
      </w:r>
    </w:p>
    <w:p w:rsidR="00103E40" w:rsidP="00E365F2" w14:paraId="275A6DFB" w14:textId="77777777">
      <w:pPr>
        <w:rPr>
          <w:b/>
          <w:bCs/>
          <w:i/>
          <w:iCs/>
        </w:rPr>
      </w:pPr>
      <w:r>
        <w:rPr>
          <w:b/>
          <w:bCs/>
          <w:i/>
          <w:iCs/>
        </w:rPr>
        <w:t>3.  Consideration of the use of improved information technology:</w:t>
      </w:r>
    </w:p>
    <w:p w:rsidR="00103E40" w14:paraId="5339F1C0" w14:textId="77777777"/>
    <w:p w:rsidR="00103E40" w14:paraId="70FC3C19" w14:textId="77777777">
      <w:r>
        <w:tab/>
      </w:r>
      <w:r w:rsidR="001B29BD">
        <w:t>An institution</w:t>
      </w:r>
      <w:r>
        <w:t xml:space="preserve"> </w:t>
      </w:r>
      <w:r w:rsidR="00A54BDD">
        <w:t>may</w:t>
      </w:r>
      <w:r>
        <w:t xml:space="preserve"> use any software or hardware </w:t>
      </w:r>
      <w:r w:rsidR="003827F4">
        <w:t xml:space="preserve">to facilitate </w:t>
      </w:r>
      <w:r>
        <w:t>compliance with the regulations.</w:t>
      </w:r>
    </w:p>
    <w:p w:rsidR="0017038F" w14:paraId="179A73C2" w14:textId="77777777">
      <w:pPr>
        <w:rPr>
          <w:b/>
          <w:bCs/>
          <w:i/>
          <w:iCs/>
        </w:rPr>
      </w:pPr>
    </w:p>
    <w:p w:rsidR="00103E40" w14:paraId="1B57A9E1" w14:textId="77777777">
      <w:pPr>
        <w:rPr>
          <w:b/>
          <w:bCs/>
          <w:i/>
          <w:iCs/>
        </w:rPr>
      </w:pPr>
      <w:r>
        <w:rPr>
          <w:b/>
          <w:bCs/>
          <w:i/>
          <w:iCs/>
        </w:rPr>
        <w:t>4.  Efforts to identify duplication:</w:t>
      </w:r>
    </w:p>
    <w:p w:rsidR="00103E40" w14:paraId="0D1CCC65" w14:textId="77777777"/>
    <w:p w:rsidR="00103E40" w14:paraId="24DA0640" w14:textId="73938C57">
      <w:r>
        <w:tab/>
        <w:t xml:space="preserve">This recordkeeping requirement is not duplicative of any other requirement imposed on </w:t>
      </w:r>
      <w:r w:rsidRPr="008C0DFB" w:rsidR="008C0DFB">
        <w:t>national banks and Federal savings associations</w:t>
      </w:r>
      <w:r w:rsidR="006F5D0A">
        <w:t>.</w:t>
      </w:r>
    </w:p>
    <w:p w:rsidR="00103E40" w14:paraId="5B2E8AA2" w14:textId="77777777"/>
    <w:p w:rsidR="00820955" w:rsidRPr="00820955" w:rsidP="00820955" w14:paraId="23894A56" w14:textId="04C1A623">
      <w:pPr>
        <w:pStyle w:val="BodyText"/>
        <w:widowControl w:val="0"/>
        <w:ind w:left="100" w:right="861"/>
        <w:rPr>
          <w:b/>
        </w:rPr>
      </w:pPr>
      <w:r w:rsidRPr="00820955">
        <w:rPr>
          <w:b/>
          <w:bCs/>
          <w:iCs w:val="0"/>
        </w:rPr>
        <w:t>5.</w:t>
      </w:r>
      <w:r w:rsidR="0014563D">
        <w:rPr>
          <w:b/>
          <w:bCs/>
          <w:iCs w:val="0"/>
        </w:rPr>
        <w:t xml:space="preserve">  </w:t>
      </w:r>
      <w:r w:rsidRPr="00820955">
        <w:rPr>
          <w:b/>
          <w:spacing w:val="-2"/>
        </w:rPr>
        <w:t>If</w:t>
      </w:r>
      <w:r w:rsidRPr="00820955">
        <w:rPr>
          <w:b/>
          <w:spacing w:val="-8"/>
        </w:rPr>
        <w:t xml:space="preserve"> </w:t>
      </w:r>
      <w:r w:rsidRPr="00820955">
        <w:rPr>
          <w:b/>
        </w:rPr>
        <w:t>the</w:t>
      </w:r>
      <w:r w:rsidRPr="00820955">
        <w:rPr>
          <w:b/>
          <w:spacing w:val="-7"/>
        </w:rPr>
        <w:t xml:space="preserve"> </w:t>
      </w:r>
      <w:r w:rsidRPr="00820955">
        <w:rPr>
          <w:b/>
          <w:spacing w:val="-1"/>
        </w:rPr>
        <w:t>collection</w:t>
      </w:r>
      <w:r w:rsidRPr="00820955">
        <w:rPr>
          <w:b/>
          <w:spacing w:val="-7"/>
        </w:rPr>
        <w:t xml:space="preserve"> </w:t>
      </w:r>
      <w:r w:rsidRPr="00820955">
        <w:rPr>
          <w:b/>
        </w:rPr>
        <w:t>of</w:t>
      </w:r>
      <w:r w:rsidRPr="00820955">
        <w:rPr>
          <w:b/>
          <w:spacing w:val="-8"/>
        </w:rPr>
        <w:t xml:space="preserve"> </w:t>
      </w:r>
      <w:r w:rsidRPr="00820955">
        <w:rPr>
          <w:b/>
          <w:spacing w:val="-1"/>
        </w:rPr>
        <w:t>information</w:t>
      </w:r>
      <w:r w:rsidRPr="00820955">
        <w:rPr>
          <w:b/>
          <w:spacing w:val="-7"/>
        </w:rPr>
        <w:t xml:space="preserve"> </w:t>
      </w:r>
      <w:r w:rsidRPr="00820955">
        <w:rPr>
          <w:b/>
          <w:spacing w:val="-1"/>
        </w:rPr>
        <w:t>impacts</w:t>
      </w:r>
      <w:r w:rsidRPr="00820955">
        <w:rPr>
          <w:b/>
          <w:spacing w:val="-6"/>
        </w:rPr>
        <w:t xml:space="preserve"> </w:t>
      </w:r>
      <w:r w:rsidRPr="00820955">
        <w:rPr>
          <w:b/>
          <w:spacing w:val="-1"/>
        </w:rPr>
        <w:t>small</w:t>
      </w:r>
      <w:r w:rsidRPr="00820955">
        <w:rPr>
          <w:b/>
          <w:spacing w:val="-7"/>
        </w:rPr>
        <w:t xml:space="preserve"> </w:t>
      </w:r>
      <w:r w:rsidRPr="00820955">
        <w:rPr>
          <w:b/>
          <w:spacing w:val="-1"/>
        </w:rPr>
        <w:t>businesses</w:t>
      </w:r>
      <w:r w:rsidRPr="00820955">
        <w:rPr>
          <w:b/>
          <w:spacing w:val="-6"/>
        </w:rPr>
        <w:t xml:space="preserve"> </w:t>
      </w:r>
      <w:r w:rsidRPr="00820955">
        <w:rPr>
          <w:b/>
        </w:rPr>
        <w:t>or</w:t>
      </w:r>
      <w:r w:rsidRPr="00820955">
        <w:rPr>
          <w:b/>
          <w:spacing w:val="-8"/>
        </w:rPr>
        <w:t xml:space="preserve"> </w:t>
      </w:r>
      <w:r w:rsidRPr="00820955">
        <w:rPr>
          <w:b/>
          <w:spacing w:val="1"/>
        </w:rPr>
        <w:t>other</w:t>
      </w:r>
      <w:r w:rsidRPr="00820955">
        <w:rPr>
          <w:b/>
          <w:spacing w:val="-7"/>
        </w:rPr>
        <w:t xml:space="preserve"> </w:t>
      </w:r>
      <w:r w:rsidRPr="00820955">
        <w:rPr>
          <w:b/>
          <w:spacing w:val="-1"/>
        </w:rPr>
        <w:t>small</w:t>
      </w:r>
      <w:r w:rsidRPr="00820955">
        <w:rPr>
          <w:b/>
          <w:spacing w:val="-6"/>
        </w:rPr>
        <w:t xml:space="preserve"> </w:t>
      </w:r>
      <w:r w:rsidRPr="00820955">
        <w:rPr>
          <w:b/>
        </w:rPr>
        <w:t>entities, describe</w:t>
      </w:r>
      <w:r w:rsidRPr="00820955">
        <w:rPr>
          <w:b/>
          <w:spacing w:val="-7"/>
        </w:rPr>
        <w:t xml:space="preserve"> </w:t>
      </w:r>
      <w:r w:rsidRPr="00820955">
        <w:rPr>
          <w:b/>
          <w:spacing w:val="1"/>
        </w:rPr>
        <w:t>any</w:t>
      </w:r>
      <w:r w:rsidRPr="00820955">
        <w:rPr>
          <w:b/>
          <w:spacing w:val="-11"/>
        </w:rPr>
        <w:t xml:space="preserve"> </w:t>
      </w:r>
      <w:r w:rsidRPr="00820955">
        <w:rPr>
          <w:b/>
          <w:spacing w:val="-1"/>
        </w:rPr>
        <w:t>methods</w:t>
      </w:r>
      <w:r w:rsidRPr="00820955">
        <w:rPr>
          <w:b/>
          <w:spacing w:val="-8"/>
        </w:rPr>
        <w:t xml:space="preserve"> </w:t>
      </w:r>
      <w:r w:rsidRPr="00820955">
        <w:rPr>
          <w:b/>
          <w:spacing w:val="-1"/>
        </w:rPr>
        <w:t>used</w:t>
      </w:r>
      <w:r w:rsidRPr="00820955">
        <w:rPr>
          <w:b/>
          <w:spacing w:val="-8"/>
        </w:rPr>
        <w:t xml:space="preserve"> </w:t>
      </w:r>
      <w:r w:rsidRPr="00820955">
        <w:rPr>
          <w:b/>
        </w:rPr>
        <w:t>to</w:t>
      </w:r>
      <w:r w:rsidRPr="00820955">
        <w:rPr>
          <w:b/>
          <w:spacing w:val="-8"/>
        </w:rPr>
        <w:t xml:space="preserve"> </w:t>
      </w:r>
      <w:r w:rsidRPr="00820955">
        <w:rPr>
          <w:b/>
        </w:rPr>
        <w:t>minimize</w:t>
      </w:r>
      <w:r w:rsidRPr="00820955">
        <w:rPr>
          <w:b/>
          <w:spacing w:val="-8"/>
        </w:rPr>
        <w:t xml:space="preserve"> </w:t>
      </w:r>
      <w:r w:rsidRPr="00820955">
        <w:rPr>
          <w:b/>
          <w:spacing w:val="-1"/>
        </w:rPr>
        <w:t>burden</w:t>
      </w:r>
      <w:r>
        <w:rPr>
          <w:b/>
          <w:spacing w:val="-1"/>
        </w:rPr>
        <w:t>:</w:t>
      </w:r>
    </w:p>
    <w:p w:rsidR="00820955" w:rsidP="00820955" w14:paraId="64F584C8" w14:textId="77777777"/>
    <w:p w:rsidR="00820955" w:rsidP="00820955" w14:paraId="39F3C7B2" w14:textId="49C0C250">
      <w:pPr>
        <w:ind w:firstLine="720"/>
        <w:rPr>
          <w:color w:val="000000"/>
        </w:rPr>
      </w:pPr>
      <w:r>
        <w:rPr>
          <w:color w:val="000000"/>
        </w:rPr>
        <w:t xml:space="preserve">There are no alternatives that would result in further lowering the burden on small </w:t>
      </w:r>
      <w:r w:rsidRPr="008C0DFB" w:rsidR="008C0DFB">
        <w:rPr>
          <w:color w:val="000000"/>
        </w:rPr>
        <w:t>national banks and Federal savings associations</w:t>
      </w:r>
      <w:r>
        <w:rPr>
          <w:color w:val="000000"/>
        </w:rPr>
        <w:t>, while still accomplishing the purpose of the rule.</w:t>
      </w:r>
    </w:p>
    <w:p w:rsidR="00103E40" w14:paraId="5840C5BD" w14:textId="77777777"/>
    <w:p w:rsidR="00103E40" w14:paraId="47EEC7D7" w14:textId="77777777">
      <w:pPr>
        <w:pStyle w:val="BodyText"/>
        <w:rPr>
          <w:b/>
          <w:bCs/>
        </w:rPr>
      </w:pPr>
      <w:r>
        <w:rPr>
          <w:b/>
          <w:bCs/>
        </w:rPr>
        <w:t>6.  Consequences to the Federal program if the collection were conducted less frequently:</w:t>
      </w:r>
    </w:p>
    <w:p w:rsidR="00103E40" w14:paraId="2E755754" w14:textId="77777777"/>
    <w:p w:rsidR="00A20221" w14:paraId="66A3EB49" w14:textId="77777777">
      <w:r>
        <w:tab/>
      </w:r>
      <w:r w:rsidR="00103E40">
        <w:t>Less frequent collection would not comply with applicable statutes, would be inadequate for OCC purposes, and could impair the OCC’s supervisory program.</w:t>
      </w:r>
    </w:p>
    <w:p w:rsidR="00E817E9" w:rsidP="00E817E9" w14:paraId="39862B15" w14:textId="77777777"/>
    <w:p w:rsidR="00103E40" w:rsidRPr="00E817E9" w:rsidP="00E817E9" w14:paraId="6B2F9D1E" w14:textId="77777777">
      <w:pPr>
        <w:rPr>
          <w:i/>
        </w:rPr>
      </w:pPr>
      <w:r w:rsidRPr="00E817E9">
        <w:rPr>
          <w:b/>
          <w:bCs/>
          <w:i/>
        </w:rPr>
        <w:t xml:space="preserve">7.  Special circumstances that would cause an information collection to be conducted in a </w:t>
      </w:r>
      <w:r w:rsidR="0020166E">
        <w:rPr>
          <w:b/>
          <w:bCs/>
          <w:i/>
        </w:rPr>
        <w:t>manner inconsistent with 5 CFR p</w:t>
      </w:r>
      <w:r w:rsidRPr="00E817E9">
        <w:rPr>
          <w:b/>
          <w:bCs/>
          <w:i/>
        </w:rPr>
        <w:t>art 1320:</w:t>
      </w:r>
    </w:p>
    <w:p w:rsidR="00103E40" w14:paraId="1CAB7599" w14:textId="77777777"/>
    <w:p w:rsidR="00103E40" w14:paraId="78CB1F0F" w14:textId="77777777">
      <w:r>
        <w:tab/>
      </w:r>
      <w:r w:rsidR="00C463E0">
        <w:t>Not applicable.</w:t>
      </w:r>
    </w:p>
    <w:p w:rsidR="00082F90" w14:paraId="2373704C" w14:textId="77777777">
      <w:pPr>
        <w:pStyle w:val="BodyText"/>
        <w:rPr>
          <w:b/>
          <w:bCs/>
        </w:rPr>
      </w:pPr>
    </w:p>
    <w:p w:rsidR="00103E40" w14:paraId="1EA7D22D" w14:textId="77777777">
      <w:pPr>
        <w:pStyle w:val="BodyText"/>
        <w:rPr>
          <w:b/>
          <w:bCs/>
        </w:rPr>
      </w:pPr>
      <w:r>
        <w:rPr>
          <w:b/>
          <w:bCs/>
        </w:rPr>
        <w:t>8.  Efforts to consult with persons outside the agency:</w:t>
      </w:r>
    </w:p>
    <w:p w:rsidR="00103E40" w14:paraId="2736D587" w14:textId="77777777"/>
    <w:p w:rsidR="0024213F" w:rsidRPr="003B4773" w:rsidP="0024213F" w14:paraId="7DAA52F6" w14:textId="5C33F2DF">
      <w:pPr>
        <w:pStyle w:val="BodyText"/>
        <w:ind w:firstLine="720"/>
        <w:rPr>
          <w:i w:val="0"/>
          <w:szCs w:val="24"/>
        </w:rPr>
      </w:pPr>
      <w:bookmarkStart w:id="3" w:name="_Hlk121399920"/>
      <w:r>
        <w:rPr>
          <w:i w:val="0"/>
        </w:rPr>
        <w:t xml:space="preserve">On </w:t>
      </w:r>
      <w:r w:rsidR="003B4773">
        <w:rPr>
          <w:i w:val="0"/>
        </w:rPr>
        <w:t xml:space="preserve">February 20, 2026, </w:t>
      </w:r>
      <w:r>
        <w:rPr>
          <w:i w:val="0"/>
        </w:rPr>
        <w:t>t</w:t>
      </w:r>
      <w:r w:rsidRPr="003B4773">
        <w:rPr>
          <w:i w:val="0"/>
          <w:szCs w:val="24"/>
        </w:rPr>
        <w:t xml:space="preserve">he OCC published a notice for 60 days of comment concerning this collection, </w:t>
      </w:r>
      <w:r w:rsidRPr="003B4773" w:rsidR="003B4773">
        <w:rPr>
          <w:rStyle w:val="documentbody1"/>
          <w:rFonts w:ascii="Times New Roman" w:hAnsi="Times New Roman"/>
          <w:i w:val="0"/>
          <w:iCs w:val="0"/>
          <w:color w:val="000000"/>
          <w:sz w:val="24"/>
          <w:szCs w:val="24"/>
        </w:rPr>
        <w:t>91 FR 8307.</w:t>
      </w:r>
      <w:r w:rsidRPr="003B4773">
        <w:rPr>
          <w:i w:val="0"/>
          <w:szCs w:val="24"/>
        </w:rPr>
        <w:t xml:space="preserve">  </w:t>
      </w:r>
      <w:r w:rsidRPr="003B4773" w:rsidR="0014563D">
        <w:rPr>
          <w:i w:val="0"/>
          <w:szCs w:val="24"/>
        </w:rPr>
        <w:t>No</w:t>
      </w:r>
      <w:r w:rsidRPr="003B4773">
        <w:rPr>
          <w:i w:val="0"/>
          <w:szCs w:val="24"/>
        </w:rPr>
        <w:t xml:space="preserve"> comments were received.</w:t>
      </w:r>
      <w:bookmarkEnd w:id="3"/>
    </w:p>
    <w:p w:rsidR="00C463E0" w:rsidRPr="003B4773" w:rsidP="0024213F" w14:paraId="0A3DAD0B" w14:textId="77777777">
      <w:pPr>
        <w:rPr>
          <w:b/>
          <w:bCs/>
          <w:szCs w:val="24"/>
        </w:rPr>
      </w:pPr>
    </w:p>
    <w:p w:rsidR="00103E40" w14:paraId="7B243444" w14:textId="77777777">
      <w:pPr>
        <w:pStyle w:val="BodyText"/>
        <w:rPr>
          <w:b/>
          <w:bCs/>
        </w:rPr>
      </w:pPr>
      <w:r>
        <w:rPr>
          <w:b/>
          <w:bCs/>
        </w:rPr>
        <w:t>9.  Payment or gift to respondents:</w:t>
      </w:r>
    </w:p>
    <w:p w:rsidR="00103E40" w14:paraId="36F61A87" w14:textId="77777777"/>
    <w:p w:rsidR="00103E40" w14:paraId="1A647068" w14:textId="77777777">
      <w:r>
        <w:tab/>
        <w:t>None.</w:t>
      </w:r>
    </w:p>
    <w:p w:rsidR="00103E40" w14:paraId="1A390493" w14:textId="77777777"/>
    <w:p w:rsidR="00103E40" w14:paraId="1871371F" w14:textId="77777777">
      <w:pPr>
        <w:pStyle w:val="BodyText"/>
        <w:rPr>
          <w:b/>
          <w:bCs/>
        </w:rPr>
      </w:pPr>
      <w:r>
        <w:rPr>
          <w:b/>
          <w:bCs/>
        </w:rPr>
        <w:t>10.  Any assurance of confidentiality:</w:t>
      </w:r>
    </w:p>
    <w:p w:rsidR="00103E40" w14:paraId="4A5C712F" w14:textId="77777777"/>
    <w:p w:rsidR="00103E40" w14:paraId="576EF881" w14:textId="77777777">
      <w:r>
        <w:tab/>
      </w:r>
      <w:r w:rsidR="00710AD1">
        <w:t xml:space="preserve">The information is kept </w:t>
      </w:r>
      <w:r w:rsidR="00C47F2A">
        <w:t xml:space="preserve">private </w:t>
      </w:r>
      <w:r w:rsidR="00710AD1">
        <w:t xml:space="preserve">to the extent </w:t>
      </w:r>
      <w:r w:rsidR="00C47F2A">
        <w:t>permitted</w:t>
      </w:r>
      <w:r w:rsidR="00710AD1">
        <w:t xml:space="preserve"> by law.</w:t>
      </w:r>
    </w:p>
    <w:p w:rsidR="00103E40" w14:paraId="5740644C" w14:textId="77777777"/>
    <w:p w:rsidR="00103E40" w14:paraId="5C54A5FA" w14:textId="77777777">
      <w:pPr>
        <w:pStyle w:val="BodyText"/>
        <w:rPr>
          <w:b/>
          <w:bCs/>
        </w:rPr>
      </w:pPr>
      <w:r>
        <w:rPr>
          <w:b/>
          <w:bCs/>
        </w:rPr>
        <w:t>11.  Justification for questions of a sensitive nature:</w:t>
      </w:r>
    </w:p>
    <w:p w:rsidR="00103E40" w14:paraId="36705704" w14:textId="77777777"/>
    <w:p w:rsidR="00103E40" w14:paraId="0EC6FD36" w14:textId="77777777">
      <w:r>
        <w:tab/>
      </w:r>
      <w:r w:rsidR="00710AD1">
        <w:t xml:space="preserve">Not applicable.  </w:t>
      </w:r>
    </w:p>
    <w:p w:rsidR="0017038F" w14:paraId="02ECC269" w14:textId="77777777">
      <w:pPr>
        <w:pStyle w:val="BodyText"/>
        <w:rPr>
          <w:b/>
          <w:bCs/>
        </w:rPr>
      </w:pPr>
    </w:p>
    <w:p w:rsidR="00103E40" w14:paraId="4FEAD5B0" w14:textId="517FA941">
      <w:pPr>
        <w:pStyle w:val="BodyText"/>
        <w:rPr>
          <w:b/>
          <w:bCs/>
        </w:rPr>
      </w:pPr>
      <w:r>
        <w:rPr>
          <w:b/>
          <w:bCs/>
        </w:rPr>
        <w:t>12.  Burden estimate:</w:t>
      </w:r>
    </w:p>
    <w:p w:rsidR="007671F5" w14:paraId="298D06A5" w14:textId="77777777">
      <w:pPr>
        <w:pStyle w:val="BodyText"/>
        <w:rPr>
          <w:b/>
          <w:bCs/>
        </w:rPr>
      </w:pPr>
    </w:p>
    <w:p w:rsidR="007671F5" w:rsidP="007671F5" w14:paraId="0F4F6572" w14:textId="77777777">
      <w:pPr>
        <w:pStyle w:val="BodyText"/>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2125"/>
        <w:gridCol w:w="1642"/>
        <w:gridCol w:w="1080"/>
        <w:gridCol w:w="1723"/>
      </w:tblGrid>
      <w:tr w14:paraId="0C86AA78" w14:textId="77777777" w:rsidTr="00BF3023">
        <w:tblPrEx>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3690" w:type="dxa"/>
            <w:tcBorders>
              <w:top w:val="single" w:sz="4" w:space="0" w:color="auto"/>
              <w:left w:val="single" w:sz="4" w:space="0" w:color="auto"/>
              <w:bottom w:val="single" w:sz="4" w:space="0" w:color="auto"/>
              <w:right w:val="single" w:sz="4" w:space="0" w:color="auto"/>
            </w:tcBorders>
            <w:shd w:val="pct20" w:color="auto" w:fill="auto"/>
            <w:hideMark/>
          </w:tcPr>
          <w:p w:rsidR="007671F5" w:rsidP="00BF3023" w14:paraId="73F37F95" w14:textId="77777777">
            <w:pPr>
              <w:jc w:val="center"/>
              <w:rPr>
                <w:b/>
                <w:bCs/>
                <w:sz w:val="20"/>
              </w:rPr>
            </w:pPr>
            <w:r>
              <w:rPr>
                <w:b/>
                <w:bCs/>
                <w:sz w:val="20"/>
              </w:rPr>
              <w:t>Section</w:t>
            </w:r>
          </w:p>
        </w:tc>
        <w:tc>
          <w:tcPr>
            <w:tcW w:w="2125" w:type="dxa"/>
            <w:tcBorders>
              <w:top w:val="single" w:sz="4" w:space="0" w:color="auto"/>
              <w:left w:val="single" w:sz="4" w:space="0" w:color="auto"/>
              <w:bottom w:val="single" w:sz="4" w:space="0" w:color="auto"/>
              <w:right w:val="single" w:sz="4" w:space="0" w:color="auto"/>
            </w:tcBorders>
            <w:shd w:val="pct20" w:color="auto" w:fill="auto"/>
            <w:hideMark/>
          </w:tcPr>
          <w:p w:rsidR="007671F5" w:rsidP="00BF3023" w14:paraId="5F7267AB" w14:textId="77777777">
            <w:pPr>
              <w:jc w:val="center"/>
              <w:rPr>
                <w:b/>
                <w:bCs/>
                <w:sz w:val="20"/>
              </w:rPr>
            </w:pPr>
            <w:r>
              <w:rPr>
                <w:b/>
                <w:bCs/>
                <w:sz w:val="20"/>
              </w:rPr>
              <w:t>Burden Type</w:t>
            </w:r>
          </w:p>
        </w:tc>
        <w:tc>
          <w:tcPr>
            <w:tcW w:w="1642" w:type="dxa"/>
            <w:tcBorders>
              <w:top w:val="single" w:sz="4" w:space="0" w:color="auto"/>
              <w:left w:val="single" w:sz="4" w:space="0" w:color="auto"/>
              <w:bottom w:val="single" w:sz="4" w:space="0" w:color="auto"/>
              <w:right w:val="single" w:sz="4" w:space="0" w:color="auto"/>
            </w:tcBorders>
            <w:shd w:val="pct20" w:color="auto" w:fill="auto"/>
            <w:hideMark/>
          </w:tcPr>
          <w:p w:rsidR="007671F5" w:rsidP="00BF3023" w14:paraId="430004BB" w14:textId="77777777">
            <w:pPr>
              <w:pStyle w:val="ArticleNumber"/>
              <w:numPr>
                <w:ilvl w:val="0"/>
                <w:numId w:val="0"/>
              </w:numPr>
              <w:spacing w:line="240" w:lineRule="auto"/>
              <w:rPr>
                <w:b/>
                <w:bCs/>
                <w:sz w:val="20"/>
              </w:rPr>
            </w:pPr>
            <w:r>
              <w:rPr>
                <w:b/>
                <w:bCs/>
                <w:sz w:val="20"/>
              </w:rPr>
              <w:t>Number</w:t>
            </w:r>
          </w:p>
          <w:p w:rsidR="007671F5" w:rsidP="00BF3023" w14:paraId="72C24C34" w14:textId="77777777">
            <w:pPr>
              <w:pStyle w:val="ArticleNumber"/>
              <w:numPr>
                <w:ilvl w:val="0"/>
                <w:numId w:val="0"/>
              </w:numPr>
              <w:spacing w:line="240" w:lineRule="auto"/>
              <w:rPr>
                <w:b/>
                <w:bCs/>
                <w:sz w:val="20"/>
              </w:rPr>
            </w:pPr>
            <w:r>
              <w:rPr>
                <w:b/>
                <w:bCs/>
                <w:sz w:val="20"/>
              </w:rPr>
              <w:t>of</w:t>
            </w:r>
          </w:p>
          <w:p w:rsidR="007671F5" w:rsidP="00BF3023" w14:paraId="22F251AA" w14:textId="77777777">
            <w:pPr>
              <w:pStyle w:val="ArticleNumber"/>
              <w:numPr>
                <w:ilvl w:val="0"/>
                <w:numId w:val="0"/>
              </w:numPr>
              <w:spacing w:line="240" w:lineRule="auto"/>
              <w:rPr>
                <w:b/>
                <w:bCs/>
                <w:sz w:val="20"/>
              </w:rPr>
            </w:pPr>
            <w:r>
              <w:rPr>
                <w:b/>
                <w:bCs/>
                <w:sz w:val="20"/>
              </w:rPr>
              <w:t>Respondents</w:t>
            </w:r>
          </w:p>
        </w:tc>
        <w:tc>
          <w:tcPr>
            <w:tcW w:w="1080" w:type="dxa"/>
            <w:tcBorders>
              <w:top w:val="single" w:sz="4" w:space="0" w:color="auto"/>
              <w:left w:val="single" w:sz="4" w:space="0" w:color="auto"/>
              <w:bottom w:val="single" w:sz="4" w:space="0" w:color="auto"/>
              <w:right w:val="single" w:sz="4" w:space="0" w:color="auto"/>
            </w:tcBorders>
            <w:shd w:val="pct20" w:color="auto" w:fill="auto"/>
            <w:hideMark/>
          </w:tcPr>
          <w:p w:rsidR="007671F5" w:rsidP="00BF3023" w14:paraId="4533BA74" w14:textId="77777777">
            <w:pPr>
              <w:pStyle w:val="ArticleNumber"/>
              <w:numPr>
                <w:ilvl w:val="0"/>
                <w:numId w:val="0"/>
              </w:numPr>
              <w:spacing w:line="240" w:lineRule="auto"/>
              <w:rPr>
                <w:b/>
                <w:bCs/>
                <w:sz w:val="20"/>
              </w:rPr>
            </w:pPr>
            <w:r>
              <w:rPr>
                <w:b/>
                <w:bCs/>
                <w:sz w:val="20"/>
              </w:rPr>
              <w:t>Average</w:t>
            </w:r>
          </w:p>
          <w:p w:rsidR="007671F5" w:rsidP="00BF3023" w14:paraId="6C84C9DB" w14:textId="77777777">
            <w:pPr>
              <w:jc w:val="center"/>
              <w:rPr>
                <w:b/>
                <w:bCs/>
                <w:sz w:val="20"/>
              </w:rPr>
            </w:pPr>
            <w:r>
              <w:rPr>
                <w:b/>
                <w:bCs/>
                <w:sz w:val="20"/>
              </w:rPr>
              <w:t>Hours Per</w:t>
            </w:r>
          </w:p>
          <w:p w:rsidR="007671F5" w:rsidP="00BF3023" w14:paraId="3D40CEF8" w14:textId="77777777">
            <w:pPr>
              <w:jc w:val="center"/>
              <w:rPr>
                <w:b/>
                <w:bCs/>
                <w:sz w:val="20"/>
              </w:rPr>
            </w:pPr>
            <w:r>
              <w:rPr>
                <w:b/>
                <w:bCs/>
                <w:sz w:val="20"/>
              </w:rPr>
              <w:t>Response</w:t>
            </w:r>
          </w:p>
        </w:tc>
        <w:tc>
          <w:tcPr>
            <w:tcW w:w="1723" w:type="dxa"/>
            <w:tcBorders>
              <w:top w:val="single" w:sz="4" w:space="0" w:color="auto"/>
              <w:left w:val="single" w:sz="4" w:space="0" w:color="auto"/>
              <w:bottom w:val="single" w:sz="4" w:space="0" w:color="auto"/>
              <w:right w:val="single" w:sz="4" w:space="0" w:color="auto"/>
            </w:tcBorders>
            <w:shd w:val="pct20" w:color="auto" w:fill="auto"/>
            <w:hideMark/>
          </w:tcPr>
          <w:p w:rsidR="007671F5" w:rsidP="00BF3023" w14:paraId="7A50D609" w14:textId="77777777">
            <w:pPr>
              <w:pStyle w:val="ArticleNumber"/>
              <w:numPr>
                <w:ilvl w:val="0"/>
                <w:numId w:val="0"/>
              </w:numPr>
              <w:spacing w:line="240" w:lineRule="auto"/>
              <w:rPr>
                <w:b/>
                <w:bCs/>
                <w:sz w:val="20"/>
              </w:rPr>
            </w:pPr>
            <w:r>
              <w:rPr>
                <w:b/>
                <w:bCs/>
                <w:sz w:val="20"/>
              </w:rPr>
              <w:t>Estimated</w:t>
            </w:r>
          </w:p>
          <w:p w:rsidR="007671F5" w:rsidP="00BF3023" w14:paraId="0A2FFE3A" w14:textId="77777777">
            <w:pPr>
              <w:jc w:val="center"/>
              <w:rPr>
                <w:b/>
                <w:bCs/>
                <w:sz w:val="20"/>
              </w:rPr>
            </w:pPr>
            <w:r>
              <w:rPr>
                <w:b/>
                <w:bCs/>
                <w:sz w:val="20"/>
              </w:rPr>
              <w:t>Burden</w:t>
            </w:r>
          </w:p>
          <w:p w:rsidR="007671F5" w:rsidP="00BF3023" w14:paraId="6E389A5C" w14:textId="77777777">
            <w:pPr>
              <w:jc w:val="center"/>
              <w:rPr>
                <w:b/>
                <w:bCs/>
                <w:sz w:val="20"/>
              </w:rPr>
            </w:pPr>
            <w:r>
              <w:rPr>
                <w:b/>
                <w:bCs/>
                <w:sz w:val="20"/>
              </w:rPr>
              <w:t>Hours</w:t>
            </w:r>
          </w:p>
        </w:tc>
      </w:tr>
      <w:tr w14:paraId="2FBD118A" w14:textId="77777777" w:rsidTr="00BF3023">
        <w:tblPrEx>
          <w:tblW w:w="10260" w:type="dxa"/>
          <w:tblInd w:w="18" w:type="dxa"/>
          <w:tblLook w:val="04A0"/>
        </w:tblPrEx>
        <w:tc>
          <w:tcPr>
            <w:tcW w:w="3690" w:type="dxa"/>
            <w:tcBorders>
              <w:top w:val="single" w:sz="4" w:space="0" w:color="auto"/>
              <w:left w:val="single" w:sz="4" w:space="0" w:color="auto"/>
              <w:bottom w:val="single" w:sz="4" w:space="0" w:color="auto"/>
              <w:right w:val="single" w:sz="4" w:space="0" w:color="auto"/>
            </w:tcBorders>
            <w:hideMark/>
          </w:tcPr>
          <w:p w:rsidR="007671F5" w:rsidP="00BF3023" w14:paraId="25467890" w14:textId="77777777">
            <w:pPr>
              <w:rPr>
                <w:sz w:val="20"/>
              </w:rPr>
            </w:pPr>
            <w:r>
              <w:rPr>
                <w:sz w:val="20"/>
              </w:rPr>
              <w:t xml:space="preserve">12 CFR 12.3, 151.50 and 151.60 </w:t>
            </w:r>
          </w:p>
          <w:p w:rsidR="007671F5" w:rsidP="00BF3023" w14:paraId="1B8C0448" w14:textId="77777777">
            <w:pPr>
              <w:pStyle w:val="FootnoteText"/>
            </w:pPr>
          </w:p>
        </w:tc>
        <w:tc>
          <w:tcPr>
            <w:tcW w:w="2125" w:type="dxa"/>
            <w:tcBorders>
              <w:top w:val="single" w:sz="4" w:space="0" w:color="auto"/>
              <w:left w:val="single" w:sz="4" w:space="0" w:color="auto"/>
              <w:bottom w:val="single" w:sz="4" w:space="0" w:color="auto"/>
              <w:right w:val="single" w:sz="4" w:space="0" w:color="auto"/>
            </w:tcBorders>
            <w:hideMark/>
          </w:tcPr>
          <w:p w:rsidR="007671F5" w:rsidRPr="00DE7FE3" w:rsidP="00BF3023" w14:paraId="658CFB12" w14:textId="77777777">
            <w:pPr>
              <w:rPr>
                <w:sz w:val="20"/>
              </w:rPr>
            </w:pPr>
            <w:r w:rsidRPr="00DE7FE3">
              <w:rPr>
                <w:bCs/>
                <w:iCs/>
                <w:sz w:val="20"/>
              </w:rPr>
              <w:t>Recordkeeping</w:t>
            </w:r>
          </w:p>
          <w:p w:rsidR="007671F5" w:rsidRPr="00DE7FE3" w:rsidP="00BF3023" w14:paraId="6C88D53A" w14:textId="77777777">
            <w:pPr>
              <w:ind w:left="720"/>
              <w:rPr>
                <w:sz w:val="20"/>
              </w:rPr>
            </w:pPr>
          </w:p>
        </w:tc>
        <w:tc>
          <w:tcPr>
            <w:tcW w:w="1642" w:type="dxa"/>
            <w:tcBorders>
              <w:top w:val="single" w:sz="4" w:space="0" w:color="auto"/>
              <w:left w:val="single" w:sz="4" w:space="0" w:color="auto"/>
              <w:bottom w:val="single" w:sz="4" w:space="0" w:color="auto"/>
              <w:right w:val="single" w:sz="4" w:space="0" w:color="auto"/>
            </w:tcBorders>
          </w:tcPr>
          <w:p w:rsidR="007671F5" w:rsidP="00BF3023" w14:paraId="5868FD4B" w14:textId="0110D84A">
            <w:pPr>
              <w:pStyle w:val="FootnoteText"/>
              <w:jc w:val="right"/>
            </w:pPr>
            <w:r>
              <w:t>30</w:t>
            </w:r>
            <w:r w:rsidR="0092787B">
              <w:t>6</w:t>
            </w:r>
          </w:p>
          <w:p w:rsidR="007671F5" w:rsidP="00BF3023" w14:paraId="4EC9FD63" w14:textId="77777777">
            <w:pPr>
              <w:pStyle w:val="FootnoteText"/>
              <w:jc w:val="right"/>
            </w:pPr>
          </w:p>
          <w:p w:rsidR="007671F5" w:rsidP="00BF3023" w14:paraId="360AA252" w14:textId="77777777">
            <w:pPr>
              <w:pStyle w:val="FootnoteText"/>
              <w:jc w:val="right"/>
            </w:pPr>
          </w:p>
        </w:tc>
        <w:tc>
          <w:tcPr>
            <w:tcW w:w="1080" w:type="dxa"/>
            <w:tcBorders>
              <w:top w:val="single" w:sz="4" w:space="0" w:color="auto"/>
              <w:left w:val="single" w:sz="4" w:space="0" w:color="auto"/>
              <w:bottom w:val="single" w:sz="4" w:space="0" w:color="auto"/>
              <w:right w:val="single" w:sz="4" w:space="0" w:color="auto"/>
            </w:tcBorders>
          </w:tcPr>
          <w:p w:rsidR="007671F5" w:rsidP="00BF3023" w14:paraId="5101F815" w14:textId="77777777">
            <w:pPr>
              <w:jc w:val="right"/>
              <w:rPr>
                <w:sz w:val="20"/>
              </w:rPr>
            </w:pPr>
            <w:r>
              <w:rPr>
                <w:sz w:val="20"/>
              </w:rPr>
              <w:t>.5 hour</w:t>
            </w:r>
          </w:p>
          <w:p w:rsidR="007671F5" w:rsidP="00BF3023" w14:paraId="539724BB" w14:textId="77777777">
            <w:pPr>
              <w:jc w:val="right"/>
              <w:rPr>
                <w:sz w:val="20"/>
              </w:rPr>
            </w:pPr>
          </w:p>
          <w:p w:rsidR="007671F5" w:rsidP="00BF3023" w14:paraId="6868F15F"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tcPr>
          <w:p w:rsidR="007671F5" w:rsidP="00BF3023" w14:paraId="1D00C8BE" w14:textId="7E464DD2">
            <w:pPr>
              <w:jc w:val="right"/>
              <w:rPr>
                <w:sz w:val="20"/>
              </w:rPr>
            </w:pPr>
            <w:r>
              <w:rPr>
                <w:sz w:val="20"/>
              </w:rPr>
              <w:t xml:space="preserve"> </w:t>
            </w:r>
            <w:r w:rsidR="00464109">
              <w:rPr>
                <w:sz w:val="20"/>
              </w:rPr>
              <w:t xml:space="preserve">153 </w:t>
            </w:r>
            <w:r>
              <w:rPr>
                <w:sz w:val="20"/>
              </w:rPr>
              <w:t>hours</w:t>
            </w:r>
          </w:p>
          <w:p w:rsidR="007671F5" w:rsidP="00BF3023" w14:paraId="4221E4D5" w14:textId="77777777">
            <w:pPr>
              <w:jc w:val="right"/>
              <w:rPr>
                <w:sz w:val="20"/>
              </w:rPr>
            </w:pPr>
          </w:p>
          <w:p w:rsidR="007671F5" w:rsidP="00BF3023" w14:paraId="2954A7FB" w14:textId="77777777">
            <w:pPr>
              <w:jc w:val="right"/>
              <w:rPr>
                <w:sz w:val="20"/>
              </w:rPr>
            </w:pPr>
          </w:p>
        </w:tc>
      </w:tr>
      <w:tr w14:paraId="184CE587" w14:textId="77777777" w:rsidTr="00BF3023">
        <w:tblPrEx>
          <w:tblW w:w="10260" w:type="dxa"/>
          <w:tblInd w:w="18" w:type="dxa"/>
          <w:tblLook w:val="04A0"/>
        </w:tblPrEx>
        <w:tc>
          <w:tcPr>
            <w:tcW w:w="3690" w:type="dxa"/>
            <w:tcBorders>
              <w:top w:val="single" w:sz="4" w:space="0" w:color="auto"/>
              <w:left w:val="single" w:sz="4" w:space="0" w:color="auto"/>
              <w:bottom w:val="single" w:sz="4" w:space="0" w:color="auto"/>
              <w:right w:val="single" w:sz="4" w:space="0" w:color="auto"/>
            </w:tcBorders>
          </w:tcPr>
          <w:p w:rsidR="007671F5" w:rsidP="00BF3023" w14:paraId="0356AE4F" w14:textId="77777777">
            <w:pPr>
              <w:rPr>
                <w:sz w:val="20"/>
              </w:rPr>
            </w:pPr>
            <w:r>
              <w:rPr>
                <w:sz w:val="20"/>
              </w:rPr>
              <w:t>12 CFR 12.4, 12.5, 151.70, 151.80, 151.90, and 151.100</w:t>
            </w:r>
          </w:p>
          <w:p w:rsidR="007671F5" w:rsidP="00BF3023" w14:paraId="2F69B1A4" w14:textId="77777777">
            <w:pPr>
              <w:rPr>
                <w:sz w:val="20"/>
              </w:rPr>
            </w:pPr>
          </w:p>
        </w:tc>
        <w:tc>
          <w:tcPr>
            <w:tcW w:w="2125" w:type="dxa"/>
            <w:tcBorders>
              <w:top w:val="single" w:sz="4" w:space="0" w:color="auto"/>
              <w:left w:val="single" w:sz="4" w:space="0" w:color="auto"/>
              <w:bottom w:val="single" w:sz="4" w:space="0" w:color="auto"/>
              <w:right w:val="single" w:sz="4" w:space="0" w:color="auto"/>
            </w:tcBorders>
          </w:tcPr>
          <w:p w:rsidR="007671F5" w:rsidRPr="00DE7FE3" w:rsidP="00BF3023" w14:paraId="04D0A91D" w14:textId="77777777">
            <w:pPr>
              <w:rPr>
                <w:sz w:val="20"/>
              </w:rPr>
            </w:pPr>
            <w:r w:rsidRPr="00DE7FE3">
              <w:rPr>
                <w:sz w:val="20"/>
              </w:rPr>
              <w:t>Disclosure</w:t>
            </w:r>
          </w:p>
          <w:p w:rsidR="007671F5" w:rsidRPr="00DE7FE3" w:rsidP="00BF3023" w14:paraId="53F46A6B" w14:textId="77777777">
            <w:pPr>
              <w:ind w:left="360"/>
              <w:rPr>
                <w:sz w:val="20"/>
              </w:rPr>
            </w:pPr>
          </w:p>
        </w:tc>
        <w:tc>
          <w:tcPr>
            <w:tcW w:w="1642" w:type="dxa"/>
            <w:tcBorders>
              <w:top w:val="single" w:sz="4" w:space="0" w:color="auto"/>
              <w:left w:val="single" w:sz="4" w:space="0" w:color="auto"/>
              <w:bottom w:val="single" w:sz="4" w:space="0" w:color="auto"/>
              <w:right w:val="single" w:sz="4" w:space="0" w:color="auto"/>
            </w:tcBorders>
          </w:tcPr>
          <w:p w:rsidR="007671F5" w:rsidP="00BF3023" w14:paraId="62A35D24" w14:textId="6A24614E">
            <w:pPr>
              <w:pStyle w:val="FootnoteText"/>
              <w:jc w:val="right"/>
            </w:pPr>
            <w:r>
              <w:t>306</w:t>
            </w:r>
          </w:p>
          <w:p w:rsidR="007671F5" w:rsidP="00BF3023" w14:paraId="303918DA" w14:textId="77777777">
            <w:pPr>
              <w:pStyle w:val="FootnoteText"/>
              <w:jc w:val="right"/>
            </w:pPr>
          </w:p>
          <w:p w:rsidR="007671F5" w:rsidP="00BF3023" w14:paraId="197B36D1" w14:textId="77777777">
            <w:pPr>
              <w:pStyle w:val="FootnoteText"/>
              <w:jc w:val="right"/>
            </w:pPr>
          </w:p>
        </w:tc>
        <w:tc>
          <w:tcPr>
            <w:tcW w:w="1080" w:type="dxa"/>
            <w:tcBorders>
              <w:top w:val="single" w:sz="4" w:space="0" w:color="auto"/>
              <w:left w:val="single" w:sz="4" w:space="0" w:color="auto"/>
              <w:bottom w:val="single" w:sz="4" w:space="0" w:color="auto"/>
              <w:right w:val="single" w:sz="4" w:space="0" w:color="auto"/>
            </w:tcBorders>
          </w:tcPr>
          <w:p w:rsidR="007671F5" w:rsidP="00BF3023" w14:paraId="26F2BEAD" w14:textId="77777777">
            <w:pPr>
              <w:jc w:val="right"/>
              <w:rPr>
                <w:sz w:val="20"/>
              </w:rPr>
            </w:pPr>
            <w:r>
              <w:rPr>
                <w:sz w:val="20"/>
              </w:rPr>
              <w:t>.5 hour</w:t>
            </w:r>
          </w:p>
          <w:p w:rsidR="007671F5" w:rsidP="00BF3023" w14:paraId="4989C904" w14:textId="77777777">
            <w:pPr>
              <w:jc w:val="right"/>
              <w:rPr>
                <w:sz w:val="20"/>
              </w:rPr>
            </w:pPr>
          </w:p>
          <w:p w:rsidR="007671F5" w:rsidP="00BF3023" w14:paraId="45F173F2"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tcPr>
          <w:p w:rsidR="007671F5" w:rsidP="00BF3023" w14:paraId="5AF9EE6B" w14:textId="6B49CF4A">
            <w:pPr>
              <w:jc w:val="right"/>
              <w:rPr>
                <w:sz w:val="20"/>
              </w:rPr>
            </w:pPr>
            <w:r>
              <w:rPr>
                <w:sz w:val="20"/>
              </w:rPr>
              <w:t>153</w:t>
            </w:r>
            <w:r w:rsidR="00BF7652">
              <w:rPr>
                <w:sz w:val="20"/>
              </w:rPr>
              <w:t xml:space="preserve"> </w:t>
            </w:r>
            <w:r>
              <w:rPr>
                <w:sz w:val="20"/>
              </w:rPr>
              <w:t>hours</w:t>
            </w:r>
          </w:p>
          <w:p w:rsidR="007671F5" w:rsidP="00BF3023" w14:paraId="413C611A" w14:textId="77777777">
            <w:pPr>
              <w:jc w:val="right"/>
              <w:rPr>
                <w:sz w:val="20"/>
              </w:rPr>
            </w:pPr>
          </w:p>
          <w:p w:rsidR="007671F5" w:rsidP="00BF3023" w14:paraId="4466014E" w14:textId="77777777">
            <w:pPr>
              <w:jc w:val="right"/>
              <w:rPr>
                <w:sz w:val="20"/>
              </w:rPr>
            </w:pPr>
          </w:p>
        </w:tc>
      </w:tr>
      <w:tr w14:paraId="1CCC2DB5" w14:textId="77777777" w:rsidTr="00BF3023">
        <w:tblPrEx>
          <w:tblW w:w="10260" w:type="dxa"/>
          <w:tblInd w:w="18" w:type="dxa"/>
          <w:tblLook w:val="04A0"/>
        </w:tblPrEx>
        <w:trPr>
          <w:trHeight w:val="2915"/>
        </w:trPr>
        <w:tc>
          <w:tcPr>
            <w:tcW w:w="3690" w:type="dxa"/>
            <w:tcBorders>
              <w:top w:val="single" w:sz="4" w:space="0" w:color="auto"/>
              <w:left w:val="single" w:sz="4" w:space="0" w:color="auto"/>
              <w:bottom w:val="single" w:sz="4" w:space="0" w:color="auto"/>
              <w:right w:val="single" w:sz="4" w:space="0" w:color="auto"/>
            </w:tcBorders>
          </w:tcPr>
          <w:p w:rsidR="007671F5" w:rsidP="00BF3023" w14:paraId="590E3DDD" w14:textId="77777777">
            <w:pPr>
              <w:rPr>
                <w:sz w:val="20"/>
              </w:rPr>
            </w:pPr>
            <w:r>
              <w:rPr>
                <w:sz w:val="20"/>
              </w:rPr>
              <w:t>12 CFR 12.7 and 151.140</w:t>
            </w:r>
          </w:p>
          <w:p w:rsidR="007671F5" w:rsidP="00BF3023" w14:paraId="12682E9D" w14:textId="77777777">
            <w:pPr>
              <w:rPr>
                <w:sz w:val="20"/>
              </w:rPr>
            </w:pPr>
          </w:p>
          <w:p w:rsidR="007671F5" w:rsidP="00BF3023" w14:paraId="41D10305" w14:textId="77777777">
            <w:pPr>
              <w:rPr>
                <w:sz w:val="20"/>
              </w:rPr>
            </w:pPr>
          </w:p>
          <w:p w:rsidR="007671F5" w:rsidP="00BF3023" w14:paraId="0A6DA352" w14:textId="77777777">
            <w:pPr>
              <w:rPr>
                <w:sz w:val="20"/>
              </w:rPr>
            </w:pPr>
          </w:p>
          <w:p w:rsidR="007671F5" w:rsidP="00BF3023" w14:paraId="2B1F45BA" w14:textId="77777777">
            <w:pPr>
              <w:rPr>
                <w:sz w:val="20"/>
              </w:rPr>
            </w:pPr>
          </w:p>
          <w:p w:rsidR="007671F5" w:rsidP="00BF3023" w14:paraId="69C2A83D" w14:textId="77777777">
            <w:pPr>
              <w:rPr>
                <w:sz w:val="20"/>
              </w:rPr>
            </w:pPr>
          </w:p>
          <w:p w:rsidR="007671F5" w:rsidP="00BF3023" w14:paraId="6BBD2AC9" w14:textId="77777777">
            <w:pPr>
              <w:rPr>
                <w:sz w:val="20"/>
              </w:rPr>
            </w:pPr>
          </w:p>
          <w:p w:rsidR="007671F5" w:rsidP="00BF3023" w14:paraId="531F602C" w14:textId="77777777">
            <w:pPr>
              <w:rPr>
                <w:sz w:val="20"/>
              </w:rPr>
            </w:pPr>
          </w:p>
          <w:p w:rsidR="007671F5" w:rsidP="00BF3023" w14:paraId="75B95B43" w14:textId="77777777">
            <w:pPr>
              <w:rPr>
                <w:sz w:val="20"/>
              </w:rPr>
            </w:pPr>
          </w:p>
        </w:tc>
        <w:tc>
          <w:tcPr>
            <w:tcW w:w="2125" w:type="dxa"/>
            <w:tcBorders>
              <w:top w:val="single" w:sz="4" w:space="0" w:color="auto"/>
              <w:left w:val="single" w:sz="4" w:space="0" w:color="auto"/>
              <w:bottom w:val="single" w:sz="4" w:space="0" w:color="auto"/>
              <w:right w:val="single" w:sz="4" w:space="0" w:color="auto"/>
            </w:tcBorders>
            <w:hideMark/>
          </w:tcPr>
          <w:p w:rsidR="007671F5" w:rsidRPr="00DE7FE3" w:rsidP="00BF3023" w14:paraId="62EF0D07" w14:textId="77777777">
            <w:pPr>
              <w:rPr>
                <w:bCs/>
                <w:iCs/>
                <w:sz w:val="20"/>
              </w:rPr>
            </w:pPr>
            <w:r w:rsidRPr="00DE7FE3">
              <w:rPr>
                <w:sz w:val="20"/>
              </w:rPr>
              <w:t>Recordkeeping</w:t>
            </w:r>
          </w:p>
        </w:tc>
        <w:tc>
          <w:tcPr>
            <w:tcW w:w="1642" w:type="dxa"/>
            <w:tcBorders>
              <w:top w:val="single" w:sz="4" w:space="0" w:color="auto"/>
              <w:left w:val="single" w:sz="4" w:space="0" w:color="auto"/>
              <w:bottom w:val="single" w:sz="4" w:space="0" w:color="auto"/>
              <w:right w:val="single" w:sz="4" w:space="0" w:color="auto"/>
            </w:tcBorders>
          </w:tcPr>
          <w:p w:rsidR="007671F5" w:rsidP="00BF3023" w14:paraId="07D3B0C5" w14:textId="4199963D">
            <w:pPr>
              <w:jc w:val="right"/>
              <w:rPr>
                <w:sz w:val="20"/>
              </w:rPr>
            </w:pPr>
            <w:r>
              <w:rPr>
                <w:sz w:val="20"/>
              </w:rPr>
              <w:t>30</w:t>
            </w:r>
            <w:r w:rsidR="0092787B">
              <w:rPr>
                <w:sz w:val="20"/>
              </w:rPr>
              <w:t>6</w:t>
            </w:r>
          </w:p>
          <w:p w:rsidR="007671F5" w:rsidP="00BF3023" w14:paraId="5F312645" w14:textId="77777777">
            <w:pPr>
              <w:jc w:val="right"/>
              <w:rPr>
                <w:sz w:val="20"/>
              </w:rPr>
            </w:pPr>
          </w:p>
          <w:p w:rsidR="007671F5" w:rsidP="00BF3023" w14:paraId="7B960173" w14:textId="77777777">
            <w:pPr>
              <w:jc w:val="right"/>
              <w:rPr>
                <w:sz w:val="20"/>
              </w:rPr>
            </w:pPr>
          </w:p>
          <w:p w:rsidR="007671F5" w:rsidP="00BF3023" w14:paraId="44C2978E" w14:textId="77777777">
            <w:pPr>
              <w:jc w:val="right"/>
              <w:rPr>
                <w:sz w:val="20"/>
              </w:rPr>
            </w:pPr>
          </w:p>
          <w:p w:rsidR="007671F5" w:rsidP="00BF3023" w14:paraId="783D094F" w14:textId="77777777">
            <w:pPr>
              <w:jc w:val="right"/>
              <w:rPr>
                <w:sz w:val="20"/>
              </w:rPr>
            </w:pPr>
          </w:p>
          <w:p w:rsidR="007671F5" w:rsidP="00BF3023" w14:paraId="589B1D06" w14:textId="77777777">
            <w:pPr>
              <w:jc w:val="right"/>
              <w:rPr>
                <w:sz w:val="20"/>
              </w:rPr>
            </w:pPr>
          </w:p>
          <w:p w:rsidR="007671F5" w:rsidP="00BF3023" w14:paraId="51B55CCD" w14:textId="77777777">
            <w:pPr>
              <w:jc w:val="right"/>
              <w:rPr>
                <w:sz w:val="20"/>
              </w:rPr>
            </w:pPr>
          </w:p>
          <w:p w:rsidR="007671F5" w:rsidP="00BF3023" w14:paraId="35B5F459" w14:textId="77777777">
            <w:pPr>
              <w:jc w:val="right"/>
              <w:rPr>
                <w:sz w:val="20"/>
              </w:rPr>
            </w:pPr>
            <w:r>
              <w:rPr>
                <w:sz w:val="20"/>
              </w:rPr>
              <w:t xml:space="preserve">     </w:t>
            </w:r>
          </w:p>
          <w:p w:rsidR="007671F5" w:rsidP="00BF3023" w14:paraId="206BC5F0" w14:textId="77777777">
            <w:pPr>
              <w:jc w:val="right"/>
              <w:rPr>
                <w:sz w:val="20"/>
              </w:rPr>
            </w:pPr>
          </w:p>
          <w:p w:rsidR="007671F5" w:rsidP="00BF3023" w14:paraId="6195463A" w14:textId="77777777">
            <w:pPr>
              <w:jc w:val="right"/>
              <w:rPr>
                <w:sz w:val="20"/>
              </w:rPr>
            </w:pPr>
          </w:p>
          <w:p w:rsidR="007671F5" w:rsidP="00BF3023" w14:paraId="36B40832" w14:textId="77777777">
            <w:pPr>
              <w:jc w:val="right"/>
              <w:rPr>
                <w:sz w:val="20"/>
              </w:rPr>
            </w:pPr>
          </w:p>
          <w:p w:rsidR="007671F5" w:rsidP="00BF3023" w14:paraId="33AB39EF" w14:textId="77777777">
            <w:pPr>
              <w:jc w:val="right"/>
              <w:rPr>
                <w:sz w:val="20"/>
              </w:rPr>
            </w:pPr>
            <w:r>
              <w:rPr>
                <w:sz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7671F5" w:rsidP="00BF3023" w14:paraId="4ADA6283" w14:textId="77777777">
            <w:pPr>
              <w:jc w:val="right"/>
              <w:rPr>
                <w:sz w:val="20"/>
              </w:rPr>
            </w:pPr>
            <w:r>
              <w:rPr>
                <w:sz w:val="20"/>
              </w:rPr>
              <w:t>2 hours</w:t>
            </w:r>
          </w:p>
          <w:p w:rsidR="007671F5" w:rsidP="00BF3023" w14:paraId="37020984" w14:textId="77777777">
            <w:pPr>
              <w:jc w:val="right"/>
              <w:rPr>
                <w:sz w:val="20"/>
              </w:rPr>
            </w:pPr>
          </w:p>
          <w:p w:rsidR="007671F5" w:rsidP="00BF3023" w14:paraId="6433E332" w14:textId="77777777">
            <w:pPr>
              <w:jc w:val="right"/>
              <w:rPr>
                <w:sz w:val="20"/>
              </w:rPr>
            </w:pPr>
          </w:p>
          <w:p w:rsidR="007671F5" w:rsidP="00BF3023" w14:paraId="359FD1A0" w14:textId="77777777">
            <w:pPr>
              <w:jc w:val="right"/>
              <w:rPr>
                <w:sz w:val="20"/>
              </w:rPr>
            </w:pPr>
          </w:p>
          <w:p w:rsidR="007671F5" w:rsidP="00BF3023" w14:paraId="4F39C682" w14:textId="77777777">
            <w:pPr>
              <w:jc w:val="right"/>
              <w:rPr>
                <w:sz w:val="20"/>
              </w:rPr>
            </w:pPr>
          </w:p>
          <w:p w:rsidR="007671F5" w:rsidP="00BF3023" w14:paraId="76814BD4" w14:textId="77777777">
            <w:pPr>
              <w:jc w:val="right"/>
              <w:rPr>
                <w:sz w:val="20"/>
              </w:rPr>
            </w:pPr>
          </w:p>
          <w:p w:rsidR="007671F5" w:rsidP="00BF3023" w14:paraId="594705B7" w14:textId="77777777">
            <w:pPr>
              <w:jc w:val="right"/>
              <w:rPr>
                <w:sz w:val="20"/>
              </w:rPr>
            </w:pPr>
          </w:p>
          <w:p w:rsidR="007671F5" w:rsidP="00BF3023" w14:paraId="14B32782"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tcPr>
          <w:p w:rsidR="007671F5" w:rsidP="00BF3023" w14:paraId="37FF5A87" w14:textId="3C2584D7">
            <w:pPr>
              <w:jc w:val="right"/>
              <w:rPr>
                <w:sz w:val="20"/>
              </w:rPr>
            </w:pPr>
            <w:r>
              <w:rPr>
                <w:sz w:val="20"/>
              </w:rPr>
              <w:t xml:space="preserve">612 </w:t>
            </w:r>
            <w:r w:rsidR="00D070FE">
              <w:rPr>
                <w:sz w:val="20"/>
              </w:rPr>
              <w:t>hours</w:t>
            </w:r>
          </w:p>
          <w:p w:rsidR="007671F5" w:rsidP="00BF3023" w14:paraId="5A40BEA3" w14:textId="77777777">
            <w:pPr>
              <w:tabs>
                <w:tab w:val="center" w:pos="567"/>
                <w:tab w:val="right" w:pos="1134"/>
              </w:tabs>
              <w:jc w:val="right"/>
              <w:rPr>
                <w:sz w:val="20"/>
              </w:rPr>
            </w:pPr>
            <w:r>
              <w:rPr>
                <w:sz w:val="20"/>
              </w:rPr>
              <w:t xml:space="preserve">  </w:t>
            </w:r>
          </w:p>
          <w:p w:rsidR="007671F5" w:rsidP="00BF3023" w14:paraId="00DE6C01" w14:textId="77777777">
            <w:pPr>
              <w:tabs>
                <w:tab w:val="center" w:pos="567"/>
                <w:tab w:val="right" w:pos="1134"/>
              </w:tabs>
              <w:rPr>
                <w:sz w:val="20"/>
              </w:rPr>
            </w:pPr>
          </w:p>
          <w:p w:rsidR="007671F5" w:rsidP="00BF3023" w14:paraId="6FE20E58" w14:textId="77777777">
            <w:pPr>
              <w:tabs>
                <w:tab w:val="center" w:pos="567"/>
                <w:tab w:val="right" w:pos="1134"/>
              </w:tabs>
              <w:rPr>
                <w:sz w:val="20"/>
              </w:rPr>
            </w:pPr>
            <w:r>
              <w:rPr>
                <w:sz w:val="20"/>
              </w:rPr>
              <w:t xml:space="preserve"> </w:t>
            </w:r>
          </w:p>
          <w:p w:rsidR="007671F5" w:rsidP="00BF3023" w14:paraId="4E4D37B6" w14:textId="77777777">
            <w:pPr>
              <w:tabs>
                <w:tab w:val="center" w:pos="567"/>
                <w:tab w:val="right" w:pos="1134"/>
              </w:tabs>
              <w:rPr>
                <w:sz w:val="20"/>
              </w:rPr>
            </w:pPr>
          </w:p>
          <w:p w:rsidR="007671F5" w:rsidP="00BF3023" w14:paraId="035F1C29" w14:textId="77777777">
            <w:pPr>
              <w:tabs>
                <w:tab w:val="center" w:pos="567"/>
                <w:tab w:val="right" w:pos="1134"/>
              </w:tabs>
              <w:rPr>
                <w:sz w:val="20"/>
              </w:rPr>
            </w:pPr>
          </w:p>
          <w:p w:rsidR="007671F5" w:rsidP="00BF3023" w14:paraId="72C7F89B" w14:textId="77777777">
            <w:pPr>
              <w:tabs>
                <w:tab w:val="center" w:pos="567"/>
                <w:tab w:val="right" w:pos="1134"/>
              </w:tabs>
              <w:rPr>
                <w:sz w:val="20"/>
              </w:rPr>
            </w:pPr>
          </w:p>
          <w:p w:rsidR="007671F5" w:rsidP="00BF3023" w14:paraId="7C99367C" w14:textId="77777777">
            <w:pPr>
              <w:jc w:val="right"/>
              <w:rPr>
                <w:sz w:val="20"/>
              </w:rPr>
            </w:pPr>
          </w:p>
        </w:tc>
      </w:tr>
      <w:tr w14:paraId="6BD3845B" w14:textId="77777777" w:rsidTr="00BF3023">
        <w:tblPrEx>
          <w:tblW w:w="10260" w:type="dxa"/>
          <w:tblInd w:w="18" w:type="dxa"/>
          <w:tblLook w:val="04A0"/>
        </w:tblPrEx>
        <w:tc>
          <w:tcPr>
            <w:tcW w:w="3690" w:type="dxa"/>
            <w:tcBorders>
              <w:top w:val="single" w:sz="4" w:space="0" w:color="auto"/>
              <w:left w:val="single" w:sz="4" w:space="0" w:color="auto"/>
              <w:bottom w:val="single" w:sz="4" w:space="0" w:color="auto"/>
              <w:right w:val="single" w:sz="4" w:space="0" w:color="auto"/>
            </w:tcBorders>
            <w:hideMark/>
          </w:tcPr>
          <w:p w:rsidR="007671F5" w:rsidP="00BF3023" w14:paraId="60023991" w14:textId="77777777">
            <w:pPr>
              <w:rPr>
                <w:sz w:val="20"/>
              </w:rPr>
            </w:pPr>
            <w:r>
              <w:rPr>
                <w:sz w:val="20"/>
              </w:rPr>
              <w:t>12 CFR 12.7 and 151.150</w:t>
            </w:r>
          </w:p>
          <w:p w:rsidR="007671F5" w:rsidP="00BF3023" w14:paraId="50674E16" w14:textId="77777777">
            <w:pPr>
              <w:rPr>
                <w:sz w:val="20"/>
              </w:rPr>
            </w:pPr>
          </w:p>
          <w:p w:rsidR="007671F5" w:rsidP="00BF3023" w14:paraId="262B76BD" w14:textId="77777777">
            <w:pPr>
              <w:rPr>
                <w:sz w:val="20"/>
              </w:rPr>
            </w:pPr>
          </w:p>
        </w:tc>
        <w:tc>
          <w:tcPr>
            <w:tcW w:w="2125" w:type="dxa"/>
            <w:tcBorders>
              <w:top w:val="single" w:sz="4" w:space="0" w:color="auto"/>
              <w:left w:val="single" w:sz="4" w:space="0" w:color="auto"/>
              <w:bottom w:val="single" w:sz="4" w:space="0" w:color="auto"/>
              <w:right w:val="single" w:sz="4" w:space="0" w:color="auto"/>
            </w:tcBorders>
            <w:hideMark/>
          </w:tcPr>
          <w:p w:rsidR="007671F5" w:rsidRPr="00DE7FE3" w:rsidP="00BF3023" w14:paraId="6C76F4D8" w14:textId="77777777">
            <w:pPr>
              <w:rPr>
                <w:sz w:val="20"/>
              </w:rPr>
            </w:pPr>
            <w:r w:rsidRPr="00DE7FE3">
              <w:rPr>
                <w:sz w:val="20"/>
              </w:rPr>
              <w:t>Reporting</w:t>
            </w:r>
          </w:p>
        </w:tc>
        <w:tc>
          <w:tcPr>
            <w:tcW w:w="1642" w:type="dxa"/>
            <w:tcBorders>
              <w:top w:val="single" w:sz="4" w:space="0" w:color="auto"/>
              <w:left w:val="single" w:sz="4" w:space="0" w:color="auto"/>
              <w:bottom w:val="single" w:sz="4" w:space="0" w:color="auto"/>
              <w:right w:val="single" w:sz="4" w:space="0" w:color="auto"/>
            </w:tcBorders>
          </w:tcPr>
          <w:p w:rsidR="007671F5" w:rsidP="00BF3023" w14:paraId="2A9BE78C" w14:textId="469A4CE8">
            <w:pPr>
              <w:jc w:val="right"/>
              <w:rPr>
                <w:sz w:val="20"/>
              </w:rPr>
            </w:pPr>
            <w:r>
              <w:rPr>
                <w:sz w:val="20"/>
              </w:rPr>
              <w:t>30</w:t>
            </w:r>
            <w:r w:rsidR="0092787B">
              <w:rPr>
                <w:sz w:val="20"/>
              </w:rPr>
              <w:t>6</w:t>
            </w:r>
          </w:p>
          <w:p w:rsidR="007671F5" w:rsidP="00BF3023" w14:paraId="3A0EC10C" w14:textId="77777777">
            <w:pPr>
              <w:jc w:val="right"/>
              <w:rPr>
                <w:sz w:val="20"/>
              </w:rPr>
            </w:pPr>
          </w:p>
          <w:p w:rsidR="007671F5" w:rsidP="00BF3023" w14:paraId="6310C55F" w14:textId="77777777">
            <w:pPr>
              <w:jc w:val="right"/>
              <w:rPr>
                <w:sz w:val="20"/>
              </w:rPr>
            </w:pPr>
          </w:p>
        </w:tc>
        <w:tc>
          <w:tcPr>
            <w:tcW w:w="1080" w:type="dxa"/>
            <w:tcBorders>
              <w:top w:val="single" w:sz="4" w:space="0" w:color="auto"/>
              <w:left w:val="single" w:sz="4" w:space="0" w:color="auto"/>
              <w:bottom w:val="single" w:sz="4" w:space="0" w:color="auto"/>
              <w:right w:val="single" w:sz="4" w:space="0" w:color="auto"/>
            </w:tcBorders>
          </w:tcPr>
          <w:p w:rsidR="007671F5" w:rsidP="00BF3023" w14:paraId="1570A974" w14:textId="77777777">
            <w:pPr>
              <w:jc w:val="right"/>
              <w:rPr>
                <w:sz w:val="20"/>
              </w:rPr>
            </w:pPr>
            <w:r>
              <w:rPr>
                <w:sz w:val="20"/>
              </w:rPr>
              <w:t>1.5 hours</w:t>
            </w:r>
          </w:p>
          <w:p w:rsidR="007671F5" w:rsidP="00BF3023" w14:paraId="1E2175C0" w14:textId="77777777">
            <w:pPr>
              <w:jc w:val="right"/>
              <w:rPr>
                <w:sz w:val="20"/>
              </w:rPr>
            </w:pPr>
          </w:p>
          <w:p w:rsidR="007671F5" w:rsidP="00BF3023" w14:paraId="04AEF97B"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tcPr>
          <w:p w:rsidR="007671F5" w:rsidP="00BF3023" w14:paraId="47A59609" w14:textId="288528D0">
            <w:pPr>
              <w:jc w:val="right"/>
              <w:rPr>
                <w:sz w:val="20"/>
              </w:rPr>
            </w:pPr>
            <w:r>
              <w:rPr>
                <w:sz w:val="20"/>
              </w:rPr>
              <w:t>459</w:t>
            </w:r>
            <w:r w:rsidR="00D070FE">
              <w:rPr>
                <w:sz w:val="20"/>
              </w:rPr>
              <w:t xml:space="preserve"> hours  </w:t>
            </w:r>
          </w:p>
          <w:p w:rsidR="007671F5" w:rsidP="00BF3023" w14:paraId="3679B382" w14:textId="77777777">
            <w:pPr>
              <w:jc w:val="right"/>
              <w:rPr>
                <w:sz w:val="20"/>
              </w:rPr>
            </w:pPr>
          </w:p>
          <w:p w:rsidR="007671F5" w:rsidP="00BF3023" w14:paraId="75E84CB4" w14:textId="77777777">
            <w:pPr>
              <w:jc w:val="right"/>
              <w:rPr>
                <w:sz w:val="20"/>
              </w:rPr>
            </w:pPr>
          </w:p>
        </w:tc>
      </w:tr>
      <w:tr w14:paraId="60E8CA4F" w14:textId="77777777" w:rsidTr="00BF3023">
        <w:tblPrEx>
          <w:tblW w:w="10260" w:type="dxa"/>
          <w:tblInd w:w="18" w:type="dxa"/>
          <w:tblLook w:val="04A0"/>
        </w:tblPrEx>
        <w:tc>
          <w:tcPr>
            <w:tcW w:w="3690" w:type="dxa"/>
            <w:tcBorders>
              <w:top w:val="single" w:sz="4" w:space="0" w:color="auto"/>
              <w:left w:val="single" w:sz="4" w:space="0" w:color="auto"/>
              <w:bottom w:val="single" w:sz="4" w:space="0" w:color="auto"/>
              <w:right w:val="single" w:sz="4" w:space="0" w:color="auto"/>
            </w:tcBorders>
            <w:hideMark/>
          </w:tcPr>
          <w:p w:rsidR="007671F5" w:rsidP="00BF3023" w14:paraId="2C8997B6" w14:textId="77777777">
            <w:pPr>
              <w:rPr>
                <w:sz w:val="20"/>
              </w:rPr>
            </w:pPr>
            <w:r>
              <w:rPr>
                <w:sz w:val="20"/>
              </w:rPr>
              <w:t>12 CFR 12.8</w:t>
            </w:r>
          </w:p>
          <w:p w:rsidR="007671F5" w:rsidP="00BF3023" w14:paraId="358DF650" w14:textId="77777777">
            <w:pPr>
              <w:rPr>
                <w:sz w:val="20"/>
              </w:rPr>
            </w:pPr>
          </w:p>
        </w:tc>
        <w:tc>
          <w:tcPr>
            <w:tcW w:w="2125" w:type="dxa"/>
            <w:tcBorders>
              <w:top w:val="single" w:sz="4" w:space="0" w:color="auto"/>
              <w:left w:val="single" w:sz="4" w:space="0" w:color="auto"/>
              <w:bottom w:val="single" w:sz="4" w:space="0" w:color="auto"/>
              <w:right w:val="single" w:sz="4" w:space="0" w:color="auto"/>
            </w:tcBorders>
            <w:hideMark/>
          </w:tcPr>
          <w:p w:rsidR="007671F5" w:rsidRPr="00DE7FE3" w:rsidP="00BF3023" w14:paraId="222F22B2" w14:textId="77777777">
            <w:pPr>
              <w:rPr>
                <w:sz w:val="20"/>
              </w:rPr>
            </w:pPr>
            <w:r>
              <w:rPr>
                <w:bCs/>
                <w:iCs/>
                <w:sz w:val="20"/>
              </w:rPr>
              <w:t>Reporting</w:t>
            </w:r>
          </w:p>
        </w:tc>
        <w:tc>
          <w:tcPr>
            <w:tcW w:w="1642" w:type="dxa"/>
            <w:tcBorders>
              <w:top w:val="single" w:sz="4" w:space="0" w:color="auto"/>
              <w:left w:val="single" w:sz="4" w:space="0" w:color="auto"/>
              <w:bottom w:val="single" w:sz="4" w:space="0" w:color="auto"/>
              <w:right w:val="single" w:sz="4" w:space="0" w:color="auto"/>
            </w:tcBorders>
          </w:tcPr>
          <w:p w:rsidR="007671F5" w:rsidP="00BF3023" w14:paraId="0552D305" w14:textId="77777777">
            <w:pPr>
              <w:jc w:val="right"/>
              <w:rPr>
                <w:sz w:val="20"/>
              </w:rPr>
            </w:pPr>
            <w:r>
              <w:rPr>
                <w:sz w:val="20"/>
              </w:rPr>
              <w:t>3</w:t>
            </w:r>
          </w:p>
          <w:p w:rsidR="007671F5" w:rsidP="00BF3023" w14:paraId="55761DD0" w14:textId="77777777">
            <w:pPr>
              <w:jc w:val="right"/>
              <w:rPr>
                <w:sz w:val="20"/>
              </w:rPr>
            </w:pPr>
          </w:p>
          <w:p w:rsidR="007671F5" w:rsidP="00BF3023" w14:paraId="2F629AD7" w14:textId="77777777">
            <w:pPr>
              <w:jc w:val="right"/>
              <w:rPr>
                <w:sz w:val="20"/>
              </w:rPr>
            </w:pPr>
          </w:p>
          <w:p w:rsidR="007671F5" w:rsidP="00BF3023" w14:paraId="74DB019E" w14:textId="77777777">
            <w:pPr>
              <w:pStyle w:val="FootnoteText"/>
              <w:jc w:val="right"/>
            </w:pPr>
          </w:p>
        </w:tc>
        <w:tc>
          <w:tcPr>
            <w:tcW w:w="1080" w:type="dxa"/>
            <w:tcBorders>
              <w:top w:val="single" w:sz="4" w:space="0" w:color="auto"/>
              <w:left w:val="single" w:sz="4" w:space="0" w:color="auto"/>
              <w:bottom w:val="single" w:sz="4" w:space="0" w:color="auto"/>
              <w:right w:val="single" w:sz="4" w:space="0" w:color="auto"/>
            </w:tcBorders>
          </w:tcPr>
          <w:p w:rsidR="007671F5" w:rsidP="00BF3023" w14:paraId="10DA1099" w14:textId="77777777">
            <w:pPr>
              <w:jc w:val="right"/>
              <w:rPr>
                <w:sz w:val="20"/>
              </w:rPr>
            </w:pPr>
            <w:r>
              <w:rPr>
                <w:sz w:val="20"/>
              </w:rPr>
              <w:t>40 hours</w:t>
            </w:r>
          </w:p>
          <w:p w:rsidR="007671F5" w:rsidP="00BF3023" w14:paraId="18BB7D59" w14:textId="77777777">
            <w:pPr>
              <w:jc w:val="right"/>
              <w:rPr>
                <w:sz w:val="20"/>
              </w:rPr>
            </w:pPr>
          </w:p>
          <w:p w:rsidR="007671F5" w:rsidP="00BF3023" w14:paraId="6BC488E9"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tcPr>
          <w:p w:rsidR="007671F5" w:rsidP="00BF3023" w14:paraId="6DC53AB8" w14:textId="77777777">
            <w:pPr>
              <w:jc w:val="right"/>
              <w:rPr>
                <w:sz w:val="20"/>
              </w:rPr>
            </w:pPr>
            <w:r>
              <w:rPr>
                <w:sz w:val="20"/>
              </w:rPr>
              <w:t>120 hours</w:t>
            </w:r>
          </w:p>
          <w:p w:rsidR="007671F5" w:rsidP="00BF3023" w14:paraId="426A8A39" w14:textId="77777777">
            <w:pPr>
              <w:jc w:val="right"/>
              <w:rPr>
                <w:sz w:val="20"/>
              </w:rPr>
            </w:pPr>
          </w:p>
          <w:p w:rsidR="007671F5" w:rsidP="00BF3023" w14:paraId="0C457D69" w14:textId="77777777">
            <w:pPr>
              <w:jc w:val="right"/>
              <w:rPr>
                <w:sz w:val="20"/>
              </w:rPr>
            </w:pPr>
          </w:p>
        </w:tc>
      </w:tr>
      <w:tr w14:paraId="6DB0FF22" w14:textId="77777777" w:rsidTr="00BF3023">
        <w:tblPrEx>
          <w:tblW w:w="10260" w:type="dxa"/>
          <w:tblInd w:w="18" w:type="dxa"/>
          <w:tblLook w:val="04A0"/>
        </w:tblPrEx>
        <w:tc>
          <w:tcPr>
            <w:tcW w:w="3690" w:type="dxa"/>
            <w:tcBorders>
              <w:top w:val="single" w:sz="4" w:space="0" w:color="auto"/>
              <w:left w:val="single" w:sz="4" w:space="0" w:color="auto"/>
              <w:bottom w:val="single" w:sz="4" w:space="0" w:color="auto"/>
              <w:right w:val="single" w:sz="4" w:space="0" w:color="auto"/>
            </w:tcBorders>
          </w:tcPr>
          <w:p w:rsidR="007671F5" w:rsidP="00BF3023" w14:paraId="5DA61622" w14:textId="77777777">
            <w:pPr>
              <w:pStyle w:val="Heading4"/>
            </w:pPr>
            <w:r>
              <w:t>Total</w:t>
            </w:r>
          </w:p>
          <w:p w:rsidR="007671F5" w:rsidP="00BF3023" w14:paraId="47AC0399" w14:textId="77777777">
            <w:pPr>
              <w:rPr>
                <w:sz w:val="20"/>
              </w:rPr>
            </w:pPr>
          </w:p>
        </w:tc>
        <w:tc>
          <w:tcPr>
            <w:tcW w:w="2125" w:type="dxa"/>
            <w:tcBorders>
              <w:top w:val="single" w:sz="4" w:space="0" w:color="auto"/>
              <w:left w:val="single" w:sz="4" w:space="0" w:color="auto"/>
              <w:bottom w:val="single" w:sz="4" w:space="0" w:color="auto"/>
              <w:right w:val="single" w:sz="4" w:space="0" w:color="auto"/>
            </w:tcBorders>
          </w:tcPr>
          <w:p w:rsidR="007671F5" w:rsidRPr="00DE7FE3" w:rsidP="00BF3023" w14:paraId="2D12D7FB" w14:textId="77777777">
            <w:pPr>
              <w:rPr>
                <w:sz w:val="20"/>
              </w:rPr>
            </w:pPr>
          </w:p>
        </w:tc>
        <w:tc>
          <w:tcPr>
            <w:tcW w:w="1642" w:type="dxa"/>
            <w:tcBorders>
              <w:top w:val="single" w:sz="4" w:space="0" w:color="auto"/>
              <w:left w:val="single" w:sz="4" w:space="0" w:color="auto"/>
              <w:bottom w:val="single" w:sz="4" w:space="0" w:color="auto"/>
              <w:right w:val="single" w:sz="4" w:space="0" w:color="auto"/>
            </w:tcBorders>
            <w:hideMark/>
          </w:tcPr>
          <w:p w:rsidR="007671F5" w:rsidP="00BF3023" w14:paraId="46F47207" w14:textId="446D351E">
            <w:pPr>
              <w:jc w:val="right"/>
              <w:rPr>
                <w:b/>
                <w:bCs/>
                <w:sz w:val="20"/>
              </w:rPr>
            </w:pPr>
            <w:r>
              <w:rPr>
                <w:b/>
                <w:bCs/>
                <w:sz w:val="20"/>
              </w:rPr>
              <w:t>30</w:t>
            </w:r>
            <w:r w:rsidR="0092787B">
              <w:rPr>
                <w:b/>
                <w:bCs/>
                <w:sz w:val="20"/>
              </w:rPr>
              <w:t>6</w:t>
            </w:r>
            <w:r>
              <w:rPr>
                <w:b/>
                <w:bCs/>
                <w:sz w:val="20"/>
              </w:rPr>
              <w:t xml:space="preserve"> respondents</w:t>
            </w:r>
          </w:p>
        </w:tc>
        <w:tc>
          <w:tcPr>
            <w:tcW w:w="1080" w:type="dxa"/>
            <w:tcBorders>
              <w:top w:val="single" w:sz="4" w:space="0" w:color="auto"/>
              <w:left w:val="single" w:sz="4" w:space="0" w:color="auto"/>
              <w:bottom w:val="single" w:sz="4" w:space="0" w:color="auto"/>
              <w:right w:val="single" w:sz="4" w:space="0" w:color="auto"/>
            </w:tcBorders>
          </w:tcPr>
          <w:p w:rsidR="007671F5" w:rsidP="00BF3023" w14:paraId="2AC75913" w14:textId="77777777">
            <w:pPr>
              <w:jc w:val="right"/>
              <w:rPr>
                <w:sz w:val="20"/>
              </w:rPr>
            </w:pPr>
          </w:p>
        </w:tc>
        <w:tc>
          <w:tcPr>
            <w:tcW w:w="1723" w:type="dxa"/>
            <w:tcBorders>
              <w:top w:val="single" w:sz="4" w:space="0" w:color="auto"/>
              <w:left w:val="single" w:sz="4" w:space="0" w:color="auto"/>
              <w:bottom w:val="single" w:sz="4" w:space="0" w:color="auto"/>
              <w:right w:val="single" w:sz="4" w:space="0" w:color="auto"/>
            </w:tcBorders>
            <w:hideMark/>
          </w:tcPr>
          <w:p w:rsidR="007671F5" w:rsidP="00BF3023" w14:paraId="3CB10246" w14:textId="7E4F6B4D">
            <w:pPr>
              <w:jc w:val="right"/>
              <w:rPr>
                <w:b/>
                <w:bCs/>
                <w:sz w:val="20"/>
              </w:rPr>
            </w:pPr>
            <w:r>
              <w:rPr>
                <w:b/>
                <w:sz w:val="20"/>
              </w:rPr>
              <w:t>1,497</w:t>
            </w:r>
            <w:r w:rsidR="00D070FE">
              <w:rPr>
                <w:b/>
                <w:sz w:val="20"/>
              </w:rPr>
              <w:t xml:space="preserve"> </w:t>
            </w:r>
            <w:r w:rsidR="00BF7652">
              <w:rPr>
                <w:b/>
                <w:sz w:val="20"/>
              </w:rPr>
              <w:t>h</w:t>
            </w:r>
            <w:r w:rsidR="00D070FE">
              <w:rPr>
                <w:b/>
                <w:sz w:val="20"/>
              </w:rPr>
              <w:t>ours</w:t>
            </w:r>
          </w:p>
        </w:tc>
      </w:tr>
    </w:tbl>
    <w:p w:rsidR="007671F5" w:rsidP="007671F5" w14:paraId="3A38B509" w14:textId="77777777"/>
    <w:p w:rsidR="007671F5" w:rsidP="007671F5" w14:paraId="2C85F383" w14:textId="77777777"/>
    <w:p w:rsidR="002105D3" w:rsidP="002105D3" w14:paraId="7F14ACD5" w14:textId="77777777">
      <w:pPr>
        <w:pStyle w:val="BodyText"/>
      </w:pPr>
    </w:p>
    <w:p w:rsidR="00103E40" w:rsidRPr="001151FB" w:rsidP="0014563D" w14:paraId="0A227093" w14:textId="77777777">
      <w:pPr>
        <w:ind w:firstLine="720"/>
        <w:rPr>
          <w:b/>
          <w:bCs/>
        </w:rPr>
      </w:pPr>
      <w:r w:rsidRPr="001151FB">
        <w:rPr>
          <w:b/>
          <w:bCs/>
        </w:rPr>
        <w:t>Cost of Hour Burden to Respondents:</w:t>
      </w:r>
    </w:p>
    <w:p w:rsidR="009532BB" w:rsidRPr="001F27A4" w:rsidP="0014563D" w14:paraId="66456E3F" w14:textId="77777777">
      <w:pPr>
        <w:ind w:firstLine="720"/>
        <w:rPr>
          <w:b/>
          <w:bCs/>
          <w:color w:val="FF0000"/>
        </w:rPr>
      </w:pPr>
    </w:p>
    <w:p w:rsidR="009532BB" w:rsidRPr="001151FB" w:rsidP="001151FB" w14:paraId="677D319D" w14:textId="523E1902">
      <w:pPr>
        <w:ind w:firstLine="720"/>
        <w:rPr>
          <w:b/>
          <w:bCs/>
        </w:rPr>
      </w:pPr>
      <w:r w:rsidRPr="001151FB">
        <w:rPr>
          <w:bCs/>
        </w:rPr>
        <w:t>1,497</w:t>
      </w:r>
      <w:r w:rsidRPr="001151FB" w:rsidR="00D070FE">
        <w:rPr>
          <w:bCs/>
        </w:rPr>
        <w:t xml:space="preserve"> </w:t>
      </w:r>
      <w:r w:rsidRPr="001151FB" w:rsidR="00C463E0">
        <w:rPr>
          <w:bCs/>
        </w:rPr>
        <w:t xml:space="preserve">hours </w:t>
      </w:r>
      <w:r w:rsidRPr="001151FB" w:rsidR="005D718A">
        <w:rPr>
          <w:bCs/>
        </w:rPr>
        <w:t>x $</w:t>
      </w:r>
      <w:r w:rsidR="001151FB">
        <w:rPr>
          <w:bCs/>
        </w:rPr>
        <w:t>131.10</w:t>
      </w:r>
      <w:r w:rsidRPr="001151FB" w:rsidR="005D718A">
        <w:rPr>
          <w:bCs/>
        </w:rPr>
        <w:t xml:space="preserve"> = </w:t>
      </w:r>
      <w:r w:rsidRPr="001151FB" w:rsidR="00D070FE">
        <w:rPr>
          <w:bCs/>
        </w:rPr>
        <w:t>$ 1</w:t>
      </w:r>
      <w:r w:rsidR="001151FB">
        <w:rPr>
          <w:bCs/>
        </w:rPr>
        <w:t>96,256.70</w:t>
      </w:r>
    </w:p>
    <w:p w:rsidR="001151FB" w:rsidRPr="001151FB" w:rsidP="0014563D" w14:paraId="07EF91CF" w14:textId="6C022879">
      <w:pPr>
        <w:ind w:firstLine="720"/>
        <w:rPr>
          <w:szCs w:val="24"/>
        </w:rPr>
      </w:pPr>
    </w:p>
    <w:p w:rsidR="001151FB" w:rsidRPr="001151FB" w:rsidP="001151FB" w14:paraId="69A77FE5" w14:textId="33523CC4">
      <w:pPr>
        <w:ind w:firstLine="720"/>
        <w:rPr>
          <w:szCs w:val="24"/>
        </w:rPr>
      </w:pPr>
      <w:r w:rsidRPr="001151FB">
        <w:rPr>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103E40" w14:paraId="1BE6F2FF" w14:textId="77777777">
      <w:pPr>
        <w:pStyle w:val="BodyText"/>
      </w:pPr>
    </w:p>
    <w:p w:rsidR="00103E40" w14:paraId="0604E619" w14:textId="77777777">
      <w:pPr>
        <w:pStyle w:val="BodyText"/>
        <w:rPr>
          <w:b/>
          <w:bCs/>
        </w:rPr>
      </w:pPr>
      <w:r>
        <w:rPr>
          <w:b/>
          <w:bCs/>
        </w:rPr>
        <w:t xml:space="preserve">13.  Estimate of </w:t>
      </w:r>
      <w:r w:rsidR="00C47F2A">
        <w:rPr>
          <w:b/>
          <w:bCs/>
        </w:rPr>
        <w:t>annualized</w:t>
      </w:r>
      <w:r>
        <w:rPr>
          <w:b/>
          <w:bCs/>
        </w:rPr>
        <w:t xml:space="preserve"> costs to respondents (excluding </w:t>
      </w:r>
      <w:r w:rsidR="00C47F2A">
        <w:rPr>
          <w:b/>
          <w:bCs/>
        </w:rPr>
        <w:t xml:space="preserve">the </w:t>
      </w:r>
      <w:r>
        <w:rPr>
          <w:b/>
          <w:bCs/>
        </w:rPr>
        <w:t>cost of hour burden in Item</w:t>
      </w:r>
      <w:r w:rsidR="00C47F2A">
        <w:rPr>
          <w:b/>
          <w:bCs/>
        </w:rPr>
        <w:t>s</w:t>
      </w:r>
      <w:r>
        <w:rPr>
          <w:b/>
          <w:bCs/>
        </w:rPr>
        <w:t xml:space="preserve"> 12</w:t>
      </w:r>
      <w:r w:rsidR="00C47F2A">
        <w:rPr>
          <w:b/>
          <w:bCs/>
        </w:rPr>
        <w:t xml:space="preserve"> and 14</w:t>
      </w:r>
      <w:r>
        <w:rPr>
          <w:b/>
          <w:bCs/>
        </w:rPr>
        <w:t>):</w:t>
      </w:r>
    </w:p>
    <w:p w:rsidR="00103E40" w14:paraId="04FC0F2C" w14:textId="2560E6E3">
      <w:r>
        <w:t>NC</w:t>
      </w:r>
    </w:p>
    <w:p w:rsidR="00103E40" w14:paraId="54DEC667" w14:textId="77777777">
      <w:r>
        <w:tab/>
        <w:t>None.</w:t>
      </w:r>
    </w:p>
    <w:p w:rsidR="00103E40" w14:paraId="016E38D6" w14:textId="77777777"/>
    <w:p w:rsidR="00103E40" w14:paraId="7C870DEE" w14:textId="77777777">
      <w:pPr>
        <w:pStyle w:val="BodyText"/>
        <w:rPr>
          <w:b/>
          <w:bCs/>
        </w:rPr>
      </w:pPr>
      <w:r>
        <w:rPr>
          <w:b/>
          <w:bCs/>
        </w:rPr>
        <w:t>14.  Estimate of annualized costs to the Federal government:</w:t>
      </w:r>
    </w:p>
    <w:p w:rsidR="00103E40" w14:paraId="642E5966" w14:textId="77777777"/>
    <w:p w:rsidR="00103E40" w14:paraId="61287FAF" w14:textId="77777777">
      <w:r>
        <w:tab/>
      </w:r>
      <w:r w:rsidR="00C47F2A">
        <w:t>Not applicable.</w:t>
      </w:r>
    </w:p>
    <w:p w:rsidR="00103E40" w14:paraId="69B75069" w14:textId="77777777"/>
    <w:p w:rsidR="00103E40" w14:paraId="3894C54E" w14:textId="77777777">
      <w:pPr>
        <w:pStyle w:val="BodyText"/>
        <w:rPr>
          <w:b/>
          <w:bCs/>
        </w:rPr>
      </w:pPr>
      <w:r>
        <w:rPr>
          <w:b/>
          <w:bCs/>
        </w:rPr>
        <w:t>15.  Change in burden:</w:t>
      </w:r>
    </w:p>
    <w:p w:rsidR="009C4AA5" w14:paraId="3E621029" w14:textId="77777777">
      <w:pPr>
        <w:pStyle w:val="BodyText"/>
        <w:rPr>
          <w:b/>
          <w:bCs/>
        </w:rPr>
      </w:pPr>
    </w:p>
    <w:p w:rsidR="009C4AA5" w:rsidP="00BF7652" w14:paraId="5312D208" w14:textId="2953D00C">
      <w:pPr>
        <w:pStyle w:val="BodyText"/>
        <w:ind w:firstLine="720"/>
        <w:rPr>
          <w:bCs/>
          <w:i w:val="0"/>
        </w:rPr>
      </w:pPr>
      <w:r>
        <w:rPr>
          <w:bCs/>
          <w:i w:val="0"/>
        </w:rPr>
        <w:t xml:space="preserve">Prior Burden: </w:t>
      </w:r>
      <w:r w:rsidR="007671F5">
        <w:rPr>
          <w:bCs/>
          <w:i w:val="0"/>
        </w:rPr>
        <w:t>1</w:t>
      </w:r>
      <w:r w:rsidR="00E2652F">
        <w:rPr>
          <w:bCs/>
          <w:i w:val="0"/>
        </w:rPr>
        <w:t>,</w:t>
      </w:r>
      <w:r w:rsidR="0092787B">
        <w:rPr>
          <w:bCs/>
          <w:i w:val="0"/>
        </w:rPr>
        <w:t>50</w:t>
      </w:r>
      <w:r w:rsidR="00DE4456">
        <w:rPr>
          <w:bCs/>
          <w:i w:val="0"/>
        </w:rPr>
        <w:t>2</w:t>
      </w:r>
      <w:r w:rsidR="00FA4203">
        <w:rPr>
          <w:bCs/>
          <w:i w:val="0"/>
        </w:rPr>
        <w:t xml:space="preserve"> hours</w:t>
      </w:r>
      <w:r w:rsidR="00DE4456">
        <w:rPr>
          <w:bCs/>
          <w:i w:val="0"/>
        </w:rPr>
        <w:t xml:space="preserve"> (Rounded up from 1,501.5 by ROCIS)</w:t>
      </w:r>
      <w:r w:rsidR="00FA4203">
        <w:rPr>
          <w:bCs/>
          <w:i w:val="0"/>
        </w:rPr>
        <w:t>.</w:t>
      </w:r>
    </w:p>
    <w:p w:rsidR="009C4AA5" w:rsidP="00BF7652" w14:paraId="14104E48" w14:textId="6E875069">
      <w:pPr>
        <w:pStyle w:val="BodyText"/>
        <w:ind w:firstLine="720"/>
        <w:rPr>
          <w:bCs/>
          <w:i w:val="0"/>
        </w:rPr>
      </w:pPr>
      <w:r>
        <w:rPr>
          <w:bCs/>
          <w:i w:val="0"/>
        </w:rPr>
        <w:t xml:space="preserve">Current Burden:  </w:t>
      </w:r>
      <w:r w:rsidR="00E2652F">
        <w:rPr>
          <w:bCs/>
          <w:i w:val="0"/>
        </w:rPr>
        <w:t>1,</w:t>
      </w:r>
      <w:r w:rsidR="0092787B">
        <w:rPr>
          <w:bCs/>
          <w:i w:val="0"/>
        </w:rPr>
        <w:t>497</w:t>
      </w:r>
      <w:r w:rsidR="00E2652F">
        <w:rPr>
          <w:bCs/>
          <w:i w:val="0"/>
        </w:rPr>
        <w:t xml:space="preserve"> hours.</w:t>
      </w:r>
    </w:p>
    <w:p w:rsidR="009C4AA5" w:rsidP="00BF7652" w14:paraId="5097DDAC" w14:textId="0F61172E">
      <w:pPr>
        <w:pStyle w:val="BodyText"/>
        <w:ind w:firstLine="720"/>
        <w:rPr>
          <w:bCs/>
          <w:i w:val="0"/>
        </w:rPr>
      </w:pPr>
      <w:r>
        <w:rPr>
          <w:bCs/>
          <w:i w:val="0"/>
        </w:rPr>
        <w:t xml:space="preserve">Difference: </w:t>
      </w:r>
      <w:r w:rsidR="00E2652F">
        <w:rPr>
          <w:bCs/>
          <w:i w:val="0"/>
        </w:rPr>
        <w:t xml:space="preserve">- </w:t>
      </w:r>
      <w:r w:rsidR="00DE4456">
        <w:rPr>
          <w:bCs/>
          <w:i w:val="0"/>
        </w:rPr>
        <w:t>5</w:t>
      </w:r>
      <w:r w:rsidR="0092787B">
        <w:rPr>
          <w:bCs/>
          <w:i w:val="0"/>
        </w:rPr>
        <w:t xml:space="preserve"> </w:t>
      </w:r>
      <w:r w:rsidR="00E2652F">
        <w:rPr>
          <w:bCs/>
          <w:i w:val="0"/>
        </w:rPr>
        <w:t>hours.</w:t>
      </w:r>
    </w:p>
    <w:p w:rsidR="00E2652F" w:rsidP="00BF7652" w14:paraId="47434CB2" w14:textId="7BE2245F">
      <w:pPr>
        <w:pStyle w:val="BodyText"/>
        <w:ind w:firstLine="720"/>
        <w:rPr>
          <w:bCs/>
          <w:i w:val="0"/>
        </w:rPr>
      </w:pPr>
    </w:p>
    <w:p w:rsidR="00E2652F" w:rsidP="00BF7652" w14:paraId="2D9A5D4E" w14:textId="5F8F99E3">
      <w:pPr>
        <w:pStyle w:val="BodyText"/>
        <w:ind w:firstLine="720"/>
        <w:rPr>
          <w:bCs/>
          <w:i w:val="0"/>
        </w:rPr>
      </w:pPr>
      <w:r>
        <w:rPr>
          <w:bCs/>
          <w:i w:val="0"/>
        </w:rPr>
        <w:t>The decrease in burden is due to the decrease in respondents.</w:t>
      </w:r>
    </w:p>
    <w:p w:rsidR="00103E40" w14:paraId="6D1FEE31" w14:textId="77777777"/>
    <w:p w:rsidR="00103E40" w14:paraId="7D01BE6A" w14:textId="77777777">
      <w:pPr>
        <w:pStyle w:val="BodyText"/>
        <w:rPr>
          <w:b/>
          <w:bCs/>
        </w:rPr>
      </w:pPr>
      <w:r>
        <w:rPr>
          <w:b/>
          <w:bCs/>
        </w:rPr>
        <w:t>16.  Information regarding collections whose results are to be published for statistical use:</w:t>
      </w:r>
    </w:p>
    <w:p w:rsidR="00103E40" w14:paraId="46F2E902" w14:textId="77777777"/>
    <w:p w:rsidR="00103E40" w14:paraId="6FE1DF58" w14:textId="77777777">
      <w:r>
        <w:tab/>
        <w:t>Not applicable.</w:t>
      </w:r>
    </w:p>
    <w:p w:rsidR="00F34726" w14:paraId="47422935" w14:textId="77777777"/>
    <w:p w:rsidR="00103E40" w14:paraId="5033A201" w14:textId="77777777">
      <w:pPr>
        <w:pStyle w:val="BodyText"/>
        <w:rPr>
          <w:b/>
          <w:bCs/>
        </w:rPr>
      </w:pPr>
      <w:r>
        <w:rPr>
          <w:b/>
          <w:bCs/>
        </w:rPr>
        <w:t xml:space="preserve">17.  </w:t>
      </w:r>
      <w:r w:rsidR="00C47F2A">
        <w:rPr>
          <w:b/>
          <w:bCs/>
        </w:rPr>
        <w:t>Display of</w:t>
      </w:r>
      <w:r>
        <w:rPr>
          <w:b/>
          <w:bCs/>
        </w:rPr>
        <w:t xml:space="preserve"> expiration date:</w:t>
      </w:r>
    </w:p>
    <w:p w:rsidR="00103E40" w14:paraId="67DAF2B4" w14:textId="77777777"/>
    <w:p w:rsidR="00103E40" w14:paraId="559DC446" w14:textId="77777777">
      <w:r>
        <w:tab/>
        <w:t xml:space="preserve">Not applicable. </w:t>
      </w:r>
    </w:p>
    <w:p w:rsidR="00082F90" w14:paraId="574290EB" w14:textId="77777777">
      <w:pPr>
        <w:pStyle w:val="BodyText"/>
        <w:rPr>
          <w:b/>
          <w:bCs/>
        </w:rPr>
      </w:pPr>
    </w:p>
    <w:p w:rsidR="00103E40" w14:paraId="2FBE78D0" w14:textId="77777777">
      <w:pPr>
        <w:pStyle w:val="BodyText"/>
        <w:rPr>
          <w:b/>
          <w:bCs/>
        </w:rPr>
      </w:pPr>
      <w:r>
        <w:rPr>
          <w:b/>
          <w:bCs/>
        </w:rPr>
        <w:t>18.  Exceptions to certification statement:</w:t>
      </w:r>
    </w:p>
    <w:p w:rsidR="00103E40" w14:paraId="392D9D8D" w14:textId="77777777"/>
    <w:p w:rsidR="00103E40" w14:paraId="260209D5" w14:textId="77777777">
      <w:r>
        <w:tab/>
        <w:t>None.</w:t>
      </w:r>
    </w:p>
    <w:p w:rsidR="00103E40" w14:paraId="37400187" w14:textId="77777777">
      <w:pPr>
        <w:rPr>
          <w:b/>
          <w:bCs/>
        </w:rPr>
      </w:pPr>
    </w:p>
    <w:p w:rsidR="00103E40" w14:paraId="2D876705" w14:textId="77777777">
      <w:r>
        <w:rPr>
          <w:b/>
          <w:bCs/>
        </w:rPr>
        <w:t>B.  Collections of Information Employing Statistical Methods.</w:t>
      </w:r>
    </w:p>
    <w:p w:rsidR="00103E40" w14:paraId="3E87EF87" w14:textId="77777777"/>
    <w:p w:rsidR="003D305B" w14:paraId="7FFCD72B" w14:textId="77777777">
      <w:r>
        <w:tab/>
      </w:r>
      <w:r w:rsidR="00103E40">
        <w:t>Not applicable.</w:t>
      </w:r>
    </w:p>
    <w:p w:rsidR="00103E40" w14:paraId="21D7979E" w14:textId="77777777"/>
    <w:sectPr>
      <w:footerReference w:type="even" r:id="rId5"/>
      <w:footerReference w:type="default" r:id="rId6"/>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972" w14:paraId="1A4F29D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215972" w14:paraId="6A049D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5972" w14:paraId="3EBC0D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050">
      <w:rPr>
        <w:rStyle w:val="PageNumber"/>
        <w:noProof/>
      </w:rPr>
      <w:t>5</w:t>
    </w:r>
    <w:r>
      <w:rPr>
        <w:rStyle w:val="PageNumber"/>
      </w:rPr>
      <w:fldChar w:fldCharType="end"/>
    </w:r>
  </w:p>
  <w:p w:rsidR="00215972" w14:paraId="4F53ACA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211CE4"/>
    <w:multiLevelType w:val="hybridMultilevel"/>
    <w:tmpl w:val="172AE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4750AC"/>
    <w:multiLevelType w:val="hybridMultilevel"/>
    <w:tmpl w:val="16E24C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041C96"/>
    <w:multiLevelType w:val="hybridMultilevel"/>
    <w:tmpl w:val="A28AFB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E8C4661"/>
    <w:multiLevelType w:val="hybridMultilevel"/>
    <w:tmpl w:val="76724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0757936"/>
    <w:multiLevelType w:val="hybridMultilevel"/>
    <w:tmpl w:val="C81C5B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AF1F09"/>
    <w:multiLevelType w:val="hybridMultilevel"/>
    <w:tmpl w:val="AB2A12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5CC03D5"/>
    <w:multiLevelType w:val="hybridMultilevel"/>
    <w:tmpl w:val="7388A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6054527">
    <w:abstractNumId w:val="2"/>
  </w:num>
  <w:num w:numId="2" w16cid:durableId="715935619">
    <w:abstractNumId w:val="13"/>
  </w:num>
  <w:num w:numId="3" w16cid:durableId="1679431100">
    <w:abstractNumId w:val="8"/>
  </w:num>
  <w:num w:numId="4" w16cid:durableId="630478629">
    <w:abstractNumId w:val="8"/>
  </w:num>
  <w:num w:numId="5" w16cid:durableId="1487436247">
    <w:abstractNumId w:val="3"/>
  </w:num>
  <w:num w:numId="6" w16cid:durableId="1926189334">
    <w:abstractNumId w:val="3"/>
  </w:num>
  <w:num w:numId="7" w16cid:durableId="707534631">
    <w:abstractNumId w:val="3"/>
  </w:num>
  <w:num w:numId="8" w16cid:durableId="1940680603">
    <w:abstractNumId w:val="3"/>
  </w:num>
  <w:num w:numId="9" w16cid:durableId="50540464">
    <w:abstractNumId w:val="3"/>
  </w:num>
  <w:num w:numId="10" w16cid:durableId="536772300">
    <w:abstractNumId w:val="3"/>
  </w:num>
  <w:num w:numId="11" w16cid:durableId="124739590">
    <w:abstractNumId w:val="3"/>
  </w:num>
  <w:num w:numId="12" w16cid:durableId="1857619183">
    <w:abstractNumId w:val="3"/>
  </w:num>
  <w:num w:numId="13" w16cid:durableId="1599634529">
    <w:abstractNumId w:val="8"/>
  </w:num>
  <w:num w:numId="14" w16cid:durableId="1227302164">
    <w:abstractNumId w:val="8"/>
  </w:num>
  <w:num w:numId="15" w16cid:durableId="454563132">
    <w:abstractNumId w:val="8"/>
  </w:num>
  <w:num w:numId="16" w16cid:durableId="1801267722">
    <w:abstractNumId w:val="8"/>
  </w:num>
  <w:num w:numId="17" w16cid:durableId="1874420522">
    <w:abstractNumId w:val="0"/>
  </w:num>
  <w:num w:numId="18" w16cid:durableId="1407806182">
    <w:abstractNumId w:val="4"/>
  </w:num>
  <w:num w:numId="19" w16cid:durableId="237331341">
    <w:abstractNumId w:val="7"/>
  </w:num>
  <w:num w:numId="20" w16cid:durableId="203637955">
    <w:abstractNumId w:val="14"/>
  </w:num>
  <w:num w:numId="21" w16cid:durableId="2136021587">
    <w:abstractNumId w:val="1"/>
  </w:num>
  <w:num w:numId="22" w16cid:durableId="611977144">
    <w:abstractNumId w:val="12"/>
  </w:num>
  <w:num w:numId="23" w16cid:durableId="914970835">
    <w:abstractNumId w:val="5"/>
  </w:num>
  <w:num w:numId="24" w16cid:durableId="1787890076">
    <w:abstractNumId w:val="6"/>
  </w:num>
  <w:num w:numId="25" w16cid:durableId="1378091202">
    <w:abstractNumId w:val="10"/>
  </w:num>
  <w:num w:numId="26" w16cid:durableId="179879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254789">
    <w:abstractNumId w:val="12"/>
  </w:num>
  <w:num w:numId="28" w16cid:durableId="202597956">
    <w:abstractNumId w:val="5"/>
  </w:num>
  <w:num w:numId="29" w16cid:durableId="2051681698">
    <w:abstractNumId w:val="6"/>
  </w:num>
  <w:num w:numId="30" w16cid:durableId="958340863">
    <w:abstractNumId w:val="11"/>
  </w:num>
  <w:num w:numId="31" w16cid:durableId="826822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58"/>
    <w:rsid w:val="0000142F"/>
    <w:rsid w:val="00007F6E"/>
    <w:rsid w:val="000107D3"/>
    <w:rsid w:val="00014258"/>
    <w:rsid w:val="00021302"/>
    <w:rsid w:val="00030728"/>
    <w:rsid w:val="00033EA6"/>
    <w:rsid w:val="000516C1"/>
    <w:rsid w:val="0005697C"/>
    <w:rsid w:val="00082F90"/>
    <w:rsid w:val="00094D15"/>
    <w:rsid w:val="00097B2D"/>
    <w:rsid w:val="000A227D"/>
    <w:rsid w:val="000A2A62"/>
    <w:rsid w:val="000D53C3"/>
    <w:rsid w:val="000E0C07"/>
    <w:rsid w:val="000E2D32"/>
    <w:rsid w:val="000F667E"/>
    <w:rsid w:val="000F6BAF"/>
    <w:rsid w:val="000F701F"/>
    <w:rsid w:val="00102842"/>
    <w:rsid w:val="00103E40"/>
    <w:rsid w:val="001151FB"/>
    <w:rsid w:val="00122209"/>
    <w:rsid w:val="001354A8"/>
    <w:rsid w:val="0014563D"/>
    <w:rsid w:val="0015132F"/>
    <w:rsid w:val="001608A3"/>
    <w:rsid w:val="00161B25"/>
    <w:rsid w:val="00163656"/>
    <w:rsid w:val="0017038F"/>
    <w:rsid w:val="00170E63"/>
    <w:rsid w:val="00183752"/>
    <w:rsid w:val="001A72ED"/>
    <w:rsid w:val="001B29BD"/>
    <w:rsid w:val="001D196D"/>
    <w:rsid w:val="001D366C"/>
    <w:rsid w:val="001D4E89"/>
    <w:rsid w:val="001D54C6"/>
    <w:rsid w:val="001E2FB5"/>
    <w:rsid w:val="001F27A4"/>
    <w:rsid w:val="001F5D7C"/>
    <w:rsid w:val="0020166E"/>
    <w:rsid w:val="002105D3"/>
    <w:rsid w:val="00210F59"/>
    <w:rsid w:val="00213775"/>
    <w:rsid w:val="00215914"/>
    <w:rsid w:val="00215972"/>
    <w:rsid w:val="00240961"/>
    <w:rsid w:val="0024213F"/>
    <w:rsid w:val="00252C4A"/>
    <w:rsid w:val="00260E4D"/>
    <w:rsid w:val="00267971"/>
    <w:rsid w:val="00270BA6"/>
    <w:rsid w:val="002811F8"/>
    <w:rsid w:val="00281FAB"/>
    <w:rsid w:val="00286922"/>
    <w:rsid w:val="002B02EE"/>
    <w:rsid w:val="002D1CE5"/>
    <w:rsid w:val="002D3444"/>
    <w:rsid w:val="002D453F"/>
    <w:rsid w:val="002D65CA"/>
    <w:rsid w:val="003067A0"/>
    <w:rsid w:val="0031057B"/>
    <w:rsid w:val="00315EFD"/>
    <w:rsid w:val="003168AD"/>
    <w:rsid w:val="003214FF"/>
    <w:rsid w:val="003228EE"/>
    <w:rsid w:val="00332CB5"/>
    <w:rsid w:val="00341561"/>
    <w:rsid w:val="00345D5A"/>
    <w:rsid w:val="00356D68"/>
    <w:rsid w:val="003616BD"/>
    <w:rsid w:val="003636B8"/>
    <w:rsid w:val="003647D0"/>
    <w:rsid w:val="00365F8E"/>
    <w:rsid w:val="00373842"/>
    <w:rsid w:val="003808C4"/>
    <w:rsid w:val="003827F4"/>
    <w:rsid w:val="00385E66"/>
    <w:rsid w:val="003913DD"/>
    <w:rsid w:val="003A02A9"/>
    <w:rsid w:val="003A22C0"/>
    <w:rsid w:val="003B141F"/>
    <w:rsid w:val="003B4773"/>
    <w:rsid w:val="003B6564"/>
    <w:rsid w:val="003C169F"/>
    <w:rsid w:val="003C1C4C"/>
    <w:rsid w:val="003C55FD"/>
    <w:rsid w:val="003D0378"/>
    <w:rsid w:val="003D305B"/>
    <w:rsid w:val="004274A8"/>
    <w:rsid w:val="004353EA"/>
    <w:rsid w:val="004425FD"/>
    <w:rsid w:val="00442F0F"/>
    <w:rsid w:val="004449EE"/>
    <w:rsid w:val="00464109"/>
    <w:rsid w:val="004658C8"/>
    <w:rsid w:val="00467BD2"/>
    <w:rsid w:val="00470220"/>
    <w:rsid w:val="00485FBF"/>
    <w:rsid w:val="004B224E"/>
    <w:rsid w:val="004C330D"/>
    <w:rsid w:val="004C3747"/>
    <w:rsid w:val="004D2675"/>
    <w:rsid w:val="004D789C"/>
    <w:rsid w:val="004E45F3"/>
    <w:rsid w:val="004E759A"/>
    <w:rsid w:val="004F0AB1"/>
    <w:rsid w:val="004F4956"/>
    <w:rsid w:val="0050038E"/>
    <w:rsid w:val="00503158"/>
    <w:rsid w:val="005065B7"/>
    <w:rsid w:val="0051180B"/>
    <w:rsid w:val="00522922"/>
    <w:rsid w:val="00540537"/>
    <w:rsid w:val="00564596"/>
    <w:rsid w:val="00564FED"/>
    <w:rsid w:val="00565C58"/>
    <w:rsid w:val="005712AD"/>
    <w:rsid w:val="00581ACA"/>
    <w:rsid w:val="00582E65"/>
    <w:rsid w:val="005B51FB"/>
    <w:rsid w:val="005B7B7C"/>
    <w:rsid w:val="005C6AA7"/>
    <w:rsid w:val="005C783D"/>
    <w:rsid w:val="005C7878"/>
    <w:rsid w:val="005C7C02"/>
    <w:rsid w:val="005D718A"/>
    <w:rsid w:val="005E4CA1"/>
    <w:rsid w:val="005E7B35"/>
    <w:rsid w:val="005F01C6"/>
    <w:rsid w:val="005F4CB4"/>
    <w:rsid w:val="005F6959"/>
    <w:rsid w:val="006062BD"/>
    <w:rsid w:val="006123CB"/>
    <w:rsid w:val="006244F4"/>
    <w:rsid w:val="0062643E"/>
    <w:rsid w:val="00631D32"/>
    <w:rsid w:val="006403C3"/>
    <w:rsid w:val="00640A3B"/>
    <w:rsid w:val="0065413D"/>
    <w:rsid w:val="006569AC"/>
    <w:rsid w:val="006603B2"/>
    <w:rsid w:val="00661FB3"/>
    <w:rsid w:val="00671685"/>
    <w:rsid w:val="0067181E"/>
    <w:rsid w:val="006729A9"/>
    <w:rsid w:val="00674DBB"/>
    <w:rsid w:val="006803A3"/>
    <w:rsid w:val="00685521"/>
    <w:rsid w:val="006B44A8"/>
    <w:rsid w:val="006C136E"/>
    <w:rsid w:val="006C182A"/>
    <w:rsid w:val="006D76F6"/>
    <w:rsid w:val="006E17C6"/>
    <w:rsid w:val="006E2D9C"/>
    <w:rsid w:val="006F5D0A"/>
    <w:rsid w:val="00701868"/>
    <w:rsid w:val="0070510D"/>
    <w:rsid w:val="0070706B"/>
    <w:rsid w:val="00710AD1"/>
    <w:rsid w:val="00725CA6"/>
    <w:rsid w:val="00733E50"/>
    <w:rsid w:val="00741A7E"/>
    <w:rsid w:val="00745DE8"/>
    <w:rsid w:val="0075768A"/>
    <w:rsid w:val="007671F5"/>
    <w:rsid w:val="00767A78"/>
    <w:rsid w:val="007A0EF5"/>
    <w:rsid w:val="007C00C0"/>
    <w:rsid w:val="007C45F9"/>
    <w:rsid w:val="007C4E18"/>
    <w:rsid w:val="007C7F77"/>
    <w:rsid w:val="007E5109"/>
    <w:rsid w:val="0081242C"/>
    <w:rsid w:val="00820955"/>
    <w:rsid w:val="008223FC"/>
    <w:rsid w:val="00831C88"/>
    <w:rsid w:val="008341E8"/>
    <w:rsid w:val="00841AEF"/>
    <w:rsid w:val="008435A7"/>
    <w:rsid w:val="00850910"/>
    <w:rsid w:val="00850CB1"/>
    <w:rsid w:val="00850ECF"/>
    <w:rsid w:val="00854725"/>
    <w:rsid w:val="008670A6"/>
    <w:rsid w:val="00896444"/>
    <w:rsid w:val="008B2C38"/>
    <w:rsid w:val="008C0A28"/>
    <w:rsid w:val="008C0DFB"/>
    <w:rsid w:val="008C5D44"/>
    <w:rsid w:val="008E37F5"/>
    <w:rsid w:val="00911E18"/>
    <w:rsid w:val="009260C5"/>
    <w:rsid w:val="0092787B"/>
    <w:rsid w:val="00932AA5"/>
    <w:rsid w:val="00951202"/>
    <w:rsid w:val="009532BB"/>
    <w:rsid w:val="00964925"/>
    <w:rsid w:val="009649D1"/>
    <w:rsid w:val="00966A23"/>
    <w:rsid w:val="00980FDD"/>
    <w:rsid w:val="009953E9"/>
    <w:rsid w:val="009961A6"/>
    <w:rsid w:val="009A4828"/>
    <w:rsid w:val="009A4C93"/>
    <w:rsid w:val="009B5532"/>
    <w:rsid w:val="009B5F78"/>
    <w:rsid w:val="009C4AA5"/>
    <w:rsid w:val="009D3F5E"/>
    <w:rsid w:val="009E2CB7"/>
    <w:rsid w:val="009E3604"/>
    <w:rsid w:val="009F3293"/>
    <w:rsid w:val="00A20221"/>
    <w:rsid w:val="00A3367F"/>
    <w:rsid w:val="00A46275"/>
    <w:rsid w:val="00A47152"/>
    <w:rsid w:val="00A50E97"/>
    <w:rsid w:val="00A52861"/>
    <w:rsid w:val="00A54BDD"/>
    <w:rsid w:val="00A64C5F"/>
    <w:rsid w:val="00A803FD"/>
    <w:rsid w:val="00A906FE"/>
    <w:rsid w:val="00A92993"/>
    <w:rsid w:val="00A96C34"/>
    <w:rsid w:val="00AA41E7"/>
    <w:rsid w:val="00AA4E8D"/>
    <w:rsid w:val="00AB3AEB"/>
    <w:rsid w:val="00AB753F"/>
    <w:rsid w:val="00AC5281"/>
    <w:rsid w:val="00AC7722"/>
    <w:rsid w:val="00AD0BFF"/>
    <w:rsid w:val="00AE6A5F"/>
    <w:rsid w:val="00AF1841"/>
    <w:rsid w:val="00B1528C"/>
    <w:rsid w:val="00B25CE1"/>
    <w:rsid w:val="00B34000"/>
    <w:rsid w:val="00B41B75"/>
    <w:rsid w:val="00B4450A"/>
    <w:rsid w:val="00B51A48"/>
    <w:rsid w:val="00B52E68"/>
    <w:rsid w:val="00B96920"/>
    <w:rsid w:val="00BC342B"/>
    <w:rsid w:val="00BD3D69"/>
    <w:rsid w:val="00BD60BA"/>
    <w:rsid w:val="00BE2DEE"/>
    <w:rsid w:val="00BF297A"/>
    <w:rsid w:val="00BF3023"/>
    <w:rsid w:val="00BF47C1"/>
    <w:rsid w:val="00BF7652"/>
    <w:rsid w:val="00C02831"/>
    <w:rsid w:val="00C2055F"/>
    <w:rsid w:val="00C26B74"/>
    <w:rsid w:val="00C42D53"/>
    <w:rsid w:val="00C45BC6"/>
    <w:rsid w:val="00C463E0"/>
    <w:rsid w:val="00C47F2A"/>
    <w:rsid w:val="00C54F7B"/>
    <w:rsid w:val="00C853BA"/>
    <w:rsid w:val="00C86C22"/>
    <w:rsid w:val="00C93F2D"/>
    <w:rsid w:val="00C945E7"/>
    <w:rsid w:val="00CA02C5"/>
    <w:rsid w:val="00CA608B"/>
    <w:rsid w:val="00CC0161"/>
    <w:rsid w:val="00CD622F"/>
    <w:rsid w:val="00CF2639"/>
    <w:rsid w:val="00D005DF"/>
    <w:rsid w:val="00D00C96"/>
    <w:rsid w:val="00D036CC"/>
    <w:rsid w:val="00D070FE"/>
    <w:rsid w:val="00D13551"/>
    <w:rsid w:val="00D13840"/>
    <w:rsid w:val="00D158AD"/>
    <w:rsid w:val="00D16FBF"/>
    <w:rsid w:val="00D20543"/>
    <w:rsid w:val="00D37FFC"/>
    <w:rsid w:val="00D5328A"/>
    <w:rsid w:val="00D713F6"/>
    <w:rsid w:val="00D86404"/>
    <w:rsid w:val="00D93E7D"/>
    <w:rsid w:val="00DB0232"/>
    <w:rsid w:val="00DB2AD7"/>
    <w:rsid w:val="00DC0050"/>
    <w:rsid w:val="00DC200C"/>
    <w:rsid w:val="00DC2EFB"/>
    <w:rsid w:val="00DC6A11"/>
    <w:rsid w:val="00DD6ECD"/>
    <w:rsid w:val="00DE4456"/>
    <w:rsid w:val="00DE7779"/>
    <w:rsid w:val="00DE7FE3"/>
    <w:rsid w:val="00E072F5"/>
    <w:rsid w:val="00E1680A"/>
    <w:rsid w:val="00E235E4"/>
    <w:rsid w:val="00E2652F"/>
    <w:rsid w:val="00E3546C"/>
    <w:rsid w:val="00E365F2"/>
    <w:rsid w:val="00E44C1D"/>
    <w:rsid w:val="00E52A74"/>
    <w:rsid w:val="00E7187B"/>
    <w:rsid w:val="00E817E9"/>
    <w:rsid w:val="00E93C12"/>
    <w:rsid w:val="00EA793A"/>
    <w:rsid w:val="00EB3D5F"/>
    <w:rsid w:val="00EF4D38"/>
    <w:rsid w:val="00EF77FA"/>
    <w:rsid w:val="00F0605D"/>
    <w:rsid w:val="00F25193"/>
    <w:rsid w:val="00F30AD7"/>
    <w:rsid w:val="00F34726"/>
    <w:rsid w:val="00F35DFF"/>
    <w:rsid w:val="00F422F8"/>
    <w:rsid w:val="00F50404"/>
    <w:rsid w:val="00F60F0E"/>
    <w:rsid w:val="00F6402C"/>
    <w:rsid w:val="00F64F48"/>
    <w:rsid w:val="00F77A26"/>
    <w:rsid w:val="00F816FC"/>
    <w:rsid w:val="00F85ED1"/>
    <w:rsid w:val="00F908D0"/>
    <w:rsid w:val="00F916A9"/>
    <w:rsid w:val="00F95FC6"/>
    <w:rsid w:val="00FA4203"/>
    <w:rsid w:val="00FA507E"/>
    <w:rsid w:val="00FC742E"/>
    <w:rsid w:val="00FD1E51"/>
    <w:rsid w:val="00FD6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8FF0EB"/>
  <w15:chartTrackingRefBased/>
  <w15:docId w15:val="{7BFFB454-CCBA-4B7E-8F72-99D6FBEE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link w:val="Heading4Char"/>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link w:val="BodyTextChar"/>
    <w:rPr>
      <w:i/>
      <w:iCs/>
    </w:rPr>
  </w:style>
  <w:style w:type="paragraph" w:styleId="BodyTextIndent">
    <w:name w:val="Body Text Indent"/>
    <w:basedOn w:val="Normal"/>
    <w:pPr>
      <w:ind w:left="720"/>
    </w:pPr>
  </w:style>
  <w:style w:type="paragraph" w:styleId="BalloonText">
    <w:name w:val="Balloon Text"/>
    <w:basedOn w:val="Normal"/>
    <w:link w:val="BalloonTextChar"/>
    <w:rsid w:val="00A47152"/>
    <w:rPr>
      <w:rFonts w:ascii="Tahoma" w:hAnsi="Tahoma" w:cs="Tahoma"/>
      <w:sz w:val="16"/>
      <w:szCs w:val="16"/>
    </w:rPr>
  </w:style>
  <w:style w:type="character" w:customStyle="1" w:styleId="BalloonTextChar">
    <w:name w:val="Balloon Text Char"/>
    <w:link w:val="BalloonText"/>
    <w:rsid w:val="00A47152"/>
    <w:rPr>
      <w:rFonts w:ascii="Tahoma" w:hAnsi="Tahoma" w:cs="Tahoma"/>
      <w:sz w:val="16"/>
      <w:szCs w:val="16"/>
    </w:rPr>
  </w:style>
  <w:style w:type="character" w:customStyle="1" w:styleId="Heading4Char">
    <w:name w:val="Heading 4 Char"/>
    <w:link w:val="Heading4"/>
    <w:rsid w:val="002105D3"/>
    <w:rPr>
      <w:b/>
      <w:bCs/>
    </w:rPr>
  </w:style>
  <w:style w:type="character" w:customStyle="1" w:styleId="FootnoteTextChar">
    <w:name w:val="Footnote Text Char"/>
    <w:link w:val="FootnoteText"/>
    <w:rsid w:val="002105D3"/>
  </w:style>
  <w:style w:type="character" w:customStyle="1" w:styleId="BodyTextChar">
    <w:name w:val="Body Text Char"/>
    <w:link w:val="BodyText"/>
    <w:rsid w:val="002105D3"/>
    <w:rPr>
      <w:i/>
      <w:iCs/>
      <w:sz w:val="24"/>
    </w:rPr>
  </w:style>
  <w:style w:type="character" w:customStyle="1" w:styleId="documentbody1">
    <w:name w:val="documentbody1"/>
    <w:rsid w:val="00F916A9"/>
    <w:rPr>
      <w:rFonts w:ascii="Verdana" w:hAnsi="Verdana" w:hint="default"/>
      <w:sz w:val="19"/>
      <w:szCs w:val="19"/>
    </w:rPr>
  </w:style>
  <w:style w:type="paragraph" w:styleId="ListParagraph">
    <w:name w:val="List Paragraph"/>
    <w:basedOn w:val="Normal"/>
    <w:uiPriority w:val="34"/>
    <w:qFormat/>
    <w:rsid w:val="006569AC"/>
    <w:pPr>
      <w:spacing w:after="200" w:line="276" w:lineRule="auto"/>
      <w:ind w:left="720"/>
      <w:contextualSpacing/>
    </w:pPr>
    <w:rPr>
      <w:rFonts w:eastAsia="Calibri"/>
      <w:szCs w:val="24"/>
    </w:rPr>
  </w:style>
  <w:style w:type="character" w:styleId="CommentReference">
    <w:name w:val="annotation reference"/>
    <w:rsid w:val="006C136E"/>
    <w:rPr>
      <w:sz w:val="16"/>
      <w:szCs w:val="16"/>
    </w:rPr>
  </w:style>
  <w:style w:type="paragraph" w:styleId="CommentText">
    <w:name w:val="annotation text"/>
    <w:basedOn w:val="Normal"/>
    <w:link w:val="CommentTextChar"/>
    <w:rsid w:val="006C136E"/>
    <w:rPr>
      <w:sz w:val="20"/>
    </w:rPr>
  </w:style>
  <w:style w:type="character" w:customStyle="1" w:styleId="CommentTextChar">
    <w:name w:val="Comment Text Char"/>
    <w:basedOn w:val="DefaultParagraphFont"/>
    <w:link w:val="CommentText"/>
    <w:rsid w:val="006C136E"/>
  </w:style>
  <w:style w:type="paragraph" w:styleId="CommentSubject">
    <w:name w:val="annotation subject"/>
    <w:basedOn w:val="CommentText"/>
    <w:next w:val="CommentText"/>
    <w:link w:val="CommentSubjectChar"/>
    <w:rsid w:val="006C136E"/>
    <w:rPr>
      <w:b/>
      <w:bCs/>
    </w:rPr>
  </w:style>
  <w:style w:type="character" w:customStyle="1" w:styleId="CommentSubjectChar">
    <w:name w:val="Comment Subject Char"/>
    <w:link w:val="CommentSubject"/>
    <w:rsid w:val="006C136E"/>
    <w:rPr>
      <w:b/>
      <w:bCs/>
    </w:rPr>
  </w:style>
  <w:style w:type="paragraph" w:styleId="Header">
    <w:name w:val="header"/>
    <w:basedOn w:val="Normal"/>
    <w:link w:val="HeaderChar"/>
    <w:rsid w:val="00661FB3"/>
    <w:pPr>
      <w:tabs>
        <w:tab w:val="center" w:pos="4680"/>
        <w:tab w:val="right" w:pos="9360"/>
      </w:tabs>
    </w:pPr>
  </w:style>
  <w:style w:type="character" w:customStyle="1" w:styleId="HeaderChar">
    <w:name w:val="Header Char"/>
    <w:basedOn w:val="DefaultParagraphFont"/>
    <w:link w:val="Header"/>
    <w:rsid w:val="00661FB3"/>
    <w:rPr>
      <w:sz w:val="24"/>
    </w:rPr>
  </w:style>
  <w:style w:type="character" w:customStyle="1" w:styleId="ptext-14">
    <w:name w:val="ptext-14"/>
    <w:rsid w:val="00B34000"/>
  </w:style>
  <w:style w:type="character" w:styleId="Hyperlink">
    <w:name w:val="Hyperlink"/>
    <w:rsid w:val="00FC742E"/>
    <w:rPr>
      <w:color w:val="0000FF"/>
      <w:u w:val="single"/>
    </w:rPr>
  </w:style>
  <w:style w:type="paragraph" w:styleId="Revision">
    <w:name w:val="Revision"/>
    <w:hidden/>
    <w:uiPriority w:val="99"/>
    <w:semiHidden/>
    <w:rsid w:val="00BE2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70FA-1365-4E3A-A0C6-BFD8E289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1473</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OCC Regulatory Specialist</cp:lastModifiedBy>
  <cp:revision>3</cp:revision>
  <cp:lastPrinted>2016-02-23T11:52:00Z</cp:lastPrinted>
  <dcterms:created xsi:type="dcterms:W3CDTF">2026-04-30T18:28:00Z</dcterms:created>
  <dcterms:modified xsi:type="dcterms:W3CDTF">2026-04-30T18:28:00Z</dcterms:modified>
</cp:coreProperties>
</file>