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E0663" w:rsidRPr="00AE0663" w:rsidP="00AE0663" w14:paraId="435C16DD" w14:textId="77777777">
      <w:pPr>
        <w:widowControl w:val="0"/>
        <w:jc w:val="center"/>
        <w:rPr>
          <w:b/>
          <w:bCs/>
          <w:snapToGrid w:val="0"/>
        </w:rPr>
      </w:pPr>
      <w:r w:rsidRPr="00AE0663">
        <w:rPr>
          <w:b/>
          <w:bCs/>
          <w:snapToGrid w:val="0"/>
        </w:rPr>
        <w:t>Office of the Comptroller of the Currency</w:t>
      </w:r>
    </w:p>
    <w:p w:rsidR="00AE4C0C" w:rsidP="00AE0663" w14:paraId="49CB00F3" w14:textId="4F351095">
      <w:pPr>
        <w:pStyle w:val="Title"/>
      </w:pPr>
      <w:r>
        <w:t>Supporting Statement</w:t>
      </w:r>
    </w:p>
    <w:p w:rsidR="00AE0663" w14:paraId="3B46EC07" w14:textId="77777777">
      <w:pPr>
        <w:jc w:val="center"/>
        <w:rPr>
          <w:b/>
          <w:bCs/>
        </w:rPr>
      </w:pPr>
      <w:r>
        <w:rPr>
          <w:b/>
          <w:bCs/>
        </w:rPr>
        <w:t>Privacy of Consumer Financial Information</w:t>
      </w:r>
    </w:p>
    <w:p w:rsidR="00AE0663" w:rsidP="00AE0663" w14:paraId="2AD997E5" w14:textId="63F503BA">
      <w:pPr>
        <w:jc w:val="center"/>
        <w:rPr>
          <w:b/>
          <w:bCs/>
        </w:rPr>
      </w:pPr>
      <w:r>
        <w:rPr>
          <w:b/>
          <w:bCs/>
        </w:rPr>
        <w:t>OMB Control No. 1557-0216</w:t>
      </w:r>
    </w:p>
    <w:p w:rsidR="00AE4C0C" w14:paraId="1BB9E157" w14:textId="7D0EC921">
      <w:pPr>
        <w:jc w:val="center"/>
        <w:rPr>
          <w:b/>
          <w:bCs/>
        </w:rPr>
      </w:pPr>
      <w:r>
        <w:rPr>
          <w:b/>
          <w:bCs/>
        </w:rPr>
        <w:t xml:space="preserve"> </w:t>
      </w:r>
    </w:p>
    <w:p w:rsidR="00AE4C0C" w14:paraId="450685B2" w14:textId="77777777">
      <w:pPr>
        <w:jc w:val="center"/>
        <w:rPr>
          <w:b/>
          <w:bCs/>
        </w:rPr>
      </w:pPr>
    </w:p>
    <w:p w:rsidR="00AE4C0C" w14:paraId="2643D542" w14:textId="77777777">
      <w:pPr>
        <w:rPr>
          <w:b/>
          <w:bCs/>
        </w:rPr>
      </w:pPr>
      <w:r>
        <w:rPr>
          <w:b/>
          <w:bCs/>
        </w:rPr>
        <w:t>A.  Justification</w:t>
      </w:r>
    </w:p>
    <w:p w:rsidR="00AE4C0C" w14:paraId="1359056B" w14:textId="77777777">
      <w:pPr>
        <w:rPr>
          <w:b/>
          <w:bCs/>
        </w:rPr>
      </w:pPr>
    </w:p>
    <w:p w:rsidR="00AE4C0C" w14:paraId="59319570" w14:textId="77777777">
      <w:pPr>
        <w:pStyle w:val="BodyText"/>
        <w:rPr>
          <w:b w:val="0"/>
          <w:bCs w:val="0"/>
        </w:rPr>
      </w:pPr>
      <w:r>
        <w:t xml:space="preserve">1.  </w:t>
      </w:r>
      <w:r>
        <w:rPr>
          <w:i/>
          <w:iCs/>
        </w:rPr>
        <w:t>Circumstances that make the collection necessary:</w:t>
      </w:r>
    </w:p>
    <w:p w:rsidR="00AE4C0C" w14:paraId="5E3ED309" w14:textId="77777777">
      <w:pPr>
        <w:pStyle w:val="BodyText"/>
        <w:rPr>
          <w:b w:val="0"/>
          <w:bCs w:val="0"/>
        </w:rPr>
      </w:pPr>
    </w:p>
    <w:p w:rsidR="00F70B1B" w:rsidP="00F70B1B" w14:paraId="2B32E8F2" w14:textId="77777777">
      <w:pPr>
        <w:ind w:firstLine="720"/>
      </w:pPr>
      <w:r>
        <w:t>The Gramm-Leach-Bliley Act (Act) (Pub. L. 106-102) requires this i</w:t>
      </w:r>
      <w:r w:rsidR="00746009">
        <w:t>nformation collection.  The Consumer Financial Protection Bureau</w:t>
      </w:r>
      <w:r>
        <w:t xml:space="preserve">’s regulation implements the Act’s notice requirements and restrictions on a financial institution’s ability to disclose nonpublic personal information about consumers to nonaffiliated third parties.  </w:t>
      </w:r>
    </w:p>
    <w:p w:rsidR="00AE4C0C" w:rsidP="00800540" w14:paraId="5B1F5C3C" w14:textId="77777777">
      <w:pPr>
        <w:pStyle w:val="BodyText"/>
        <w:rPr>
          <w:b w:val="0"/>
          <w:bCs w:val="0"/>
        </w:rPr>
      </w:pPr>
    </w:p>
    <w:p w:rsidR="00AE4C0C" w14:paraId="5D225F35" w14:textId="77777777">
      <w:pPr>
        <w:pStyle w:val="BodyText"/>
        <w:rPr>
          <w:b w:val="0"/>
          <w:bCs w:val="0"/>
        </w:rPr>
      </w:pPr>
      <w:r>
        <w:rPr>
          <w:i/>
          <w:iCs/>
        </w:rPr>
        <w:t>2.  Use of the information:</w:t>
      </w:r>
    </w:p>
    <w:p w:rsidR="00AE4C0C" w14:paraId="0AAB664C" w14:textId="77777777">
      <w:pPr>
        <w:pStyle w:val="BodyText"/>
        <w:rPr>
          <w:b w:val="0"/>
          <w:bCs w:val="0"/>
        </w:rPr>
      </w:pPr>
    </w:p>
    <w:p w:rsidR="00AE4C0C" w:rsidP="0064208B" w14:paraId="6C80369E" w14:textId="77777777">
      <w:pPr>
        <w:pStyle w:val="BodyText"/>
        <w:ind w:firstLine="720"/>
        <w:rPr>
          <w:b w:val="0"/>
          <w:bCs w:val="0"/>
        </w:rPr>
      </w:pPr>
      <w:r>
        <w:rPr>
          <w:b w:val="0"/>
          <w:bCs w:val="0"/>
        </w:rPr>
        <w:t xml:space="preserve">Consumers use the privacy notice to determine whether they want personal information disclosed to third parties that are not affiliated with the institution.  Further, consumers use the opt-out notice mechanism to advise the bank of their wishes regarding disclosure of their personal information.  Institutions use the opt-out information to determine the wishes of their consumers and act </w:t>
      </w:r>
      <w:r w:rsidR="008145C4">
        <w:rPr>
          <w:b w:val="0"/>
          <w:bCs w:val="0"/>
        </w:rPr>
        <w:t>in accordance with their customers’ instructions.</w:t>
      </w:r>
    </w:p>
    <w:p w:rsidR="00F70B1B" w:rsidP="00F70B1B" w14:paraId="0DBC3068" w14:textId="77777777">
      <w:pPr>
        <w:pStyle w:val="BodyText"/>
        <w:ind w:firstLine="720"/>
        <w:rPr>
          <w:b w:val="0"/>
          <w:bCs w:val="0"/>
        </w:rPr>
      </w:pPr>
    </w:p>
    <w:p w:rsidR="00F70B1B" w:rsidP="00F70B1B" w14:paraId="0799B391" w14:textId="65CC2954">
      <w:pPr>
        <w:ind w:firstLine="720"/>
      </w:pPr>
      <w:r>
        <w:t xml:space="preserve">The information collection requirements in </w:t>
      </w:r>
      <w:r w:rsidR="00AE0663">
        <w:t xml:space="preserve">12 CFR </w:t>
      </w:r>
      <w:r>
        <w:t>part 1016 are as follows:</w:t>
      </w:r>
    </w:p>
    <w:p w:rsidR="00F70B1B" w:rsidP="00F70B1B" w14:paraId="2E8A747B" w14:textId="77777777">
      <w:pPr>
        <w:ind w:firstLine="720"/>
      </w:pPr>
    </w:p>
    <w:p w:rsidR="00F70B1B" w:rsidP="00F70B1B" w14:paraId="10A34C02" w14:textId="7DD618AF">
      <w:pPr>
        <w:ind w:firstLine="720"/>
      </w:pPr>
      <w:r w:rsidRPr="00AE0663">
        <w:rPr>
          <w:i/>
          <w:iCs/>
        </w:rPr>
        <w:t>§ 1016.4(a) - Initial privacy notice to consumers requirement</w:t>
      </w:r>
      <w:r>
        <w:t xml:space="preserve"> – A national bank or </w:t>
      </w:r>
      <w:r w:rsidR="00AE0663">
        <w:t>F</w:t>
      </w:r>
      <w:r>
        <w:t xml:space="preserve">ederal savings association must provide a clear and conspicuous notice </w:t>
      </w:r>
      <w:r w:rsidR="00746009">
        <w:t xml:space="preserve">to customers and consumers </w:t>
      </w:r>
      <w:r>
        <w:t>that accurately reflects its privacy policies and practices.</w:t>
      </w:r>
    </w:p>
    <w:p w:rsidR="00F70B1B" w:rsidP="00F70B1B" w14:paraId="63A79A7A" w14:textId="77777777">
      <w:pPr>
        <w:ind w:firstLine="720"/>
      </w:pPr>
    </w:p>
    <w:p w:rsidR="00F70B1B" w:rsidP="00F70B1B" w14:paraId="2FDE2B8A" w14:textId="1154DE29">
      <w:pPr>
        <w:ind w:firstLine="720"/>
      </w:pPr>
      <w:r w:rsidRPr="00AE0663">
        <w:rPr>
          <w:i/>
          <w:iCs/>
        </w:rPr>
        <w:t>§ 1016.5(a)</w:t>
      </w:r>
      <w:r w:rsidRPr="00AE0663" w:rsidR="00746009">
        <w:rPr>
          <w:i/>
          <w:iCs/>
        </w:rPr>
        <w:t>(1)</w:t>
      </w:r>
      <w:r w:rsidRPr="00AE0663">
        <w:rPr>
          <w:i/>
          <w:iCs/>
        </w:rPr>
        <w:t xml:space="preserve"> - Annual privacy notice to customers requirement</w:t>
      </w:r>
      <w:r>
        <w:t xml:space="preserve"> – A national bank or </w:t>
      </w:r>
      <w:r w:rsidR="00AE0663">
        <w:t>F</w:t>
      </w:r>
      <w:r>
        <w:t>ederal savings association must provide a clear and conspicuous notice to customers that accurately reflects its privacy policies and practices not less than annually during the continuation of the customer relationship.</w:t>
      </w:r>
    </w:p>
    <w:p w:rsidR="00F70B1B" w:rsidP="00F70B1B" w14:paraId="79391237" w14:textId="77777777">
      <w:pPr>
        <w:ind w:firstLine="720"/>
      </w:pPr>
    </w:p>
    <w:p w:rsidR="00F70B1B" w:rsidRPr="00707608" w:rsidP="00F70B1B" w14:paraId="1D7CB3F4" w14:textId="1590FFAF">
      <w:pPr>
        <w:pStyle w:val="NormalWeb"/>
        <w:spacing w:before="0" w:beforeAutospacing="0" w:after="0" w:afterAutospacing="0"/>
        <w:ind w:firstLine="720"/>
        <w:rPr>
          <w:rFonts w:ascii="Times New Roman" w:hAnsi="Times New Roman" w:cs="Times New Roman"/>
        </w:rPr>
      </w:pPr>
      <w:r w:rsidRPr="00AE0663">
        <w:rPr>
          <w:rFonts w:ascii="Times New Roman" w:hAnsi="Times New Roman" w:cs="Times New Roman"/>
          <w:i/>
          <w:iCs/>
        </w:rPr>
        <w:t>§</w:t>
      </w:r>
      <w:r w:rsidRPr="00AE0663">
        <w:rPr>
          <w:rFonts w:ascii="Times New Roman" w:eastAsia="Times New Roman" w:hAnsi="Times New Roman" w:cs="Times New Roman"/>
          <w:i/>
          <w:iCs/>
          <w:szCs w:val="20"/>
        </w:rPr>
        <w:t xml:space="preserve"> 1016.8</w:t>
      </w:r>
      <w:r w:rsidR="003E0E12">
        <w:rPr>
          <w:rFonts w:ascii="Times New Roman" w:eastAsia="Times New Roman" w:hAnsi="Times New Roman" w:cs="Times New Roman"/>
          <w:i/>
          <w:iCs/>
          <w:szCs w:val="20"/>
        </w:rPr>
        <w:t>(a)</w:t>
      </w:r>
      <w:r w:rsidRPr="00AE0663">
        <w:rPr>
          <w:rFonts w:ascii="Times New Roman" w:eastAsia="Times New Roman" w:hAnsi="Times New Roman" w:cs="Times New Roman"/>
          <w:i/>
          <w:iCs/>
          <w:szCs w:val="20"/>
        </w:rPr>
        <w:t xml:space="preserve"> - </w:t>
      </w:r>
      <w:r w:rsidRPr="00AE0663">
        <w:rPr>
          <w:rFonts w:ascii="Times New Roman" w:hAnsi="Times New Roman" w:cs="Times New Roman"/>
          <w:i/>
          <w:iCs/>
        </w:rPr>
        <w:t>Revised privacy notices</w:t>
      </w:r>
      <w:r>
        <w:rPr>
          <w:rFonts w:ascii="Times New Roman" w:hAnsi="Times New Roman" w:cs="Times New Roman"/>
        </w:rPr>
        <w:t xml:space="preserve"> – </w:t>
      </w:r>
      <w:r w:rsidR="008E2ADE">
        <w:rPr>
          <w:rFonts w:ascii="Times New Roman" w:hAnsi="Times New Roman" w:cs="Times New Roman"/>
        </w:rPr>
        <w:t>A</w:t>
      </w:r>
      <w:r>
        <w:rPr>
          <w:rFonts w:ascii="Times New Roman" w:hAnsi="Times New Roman" w:cs="Times New Roman"/>
        </w:rPr>
        <w:t xml:space="preserve"> national bank or </w:t>
      </w:r>
      <w:r w:rsidR="00AE0663">
        <w:rPr>
          <w:rFonts w:ascii="Times New Roman" w:hAnsi="Times New Roman" w:cs="Times New Roman"/>
        </w:rPr>
        <w:t>F</w:t>
      </w:r>
      <w:r>
        <w:rPr>
          <w:rFonts w:ascii="Times New Roman" w:hAnsi="Times New Roman" w:cs="Times New Roman"/>
        </w:rPr>
        <w:t xml:space="preserve">ederal savings association </w:t>
      </w:r>
      <w:r w:rsidR="008E2ADE">
        <w:rPr>
          <w:rFonts w:ascii="Times New Roman" w:hAnsi="Times New Roman" w:cs="Times New Roman"/>
        </w:rPr>
        <w:t xml:space="preserve">must not </w:t>
      </w:r>
      <w:r>
        <w:rPr>
          <w:rFonts w:ascii="Times New Roman" w:hAnsi="Times New Roman" w:cs="Times New Roman"/>
        </w:rPr>
        <w:t>disclose</w:t>
      </w:r>
      <w:r w:rsidR="00623A4B">
        <w:rPr>
          <w:rFonts w:ascii="Times New Roman" w:hAnsi="Times New Roman" w:cs="Times New Roman"/>
        </w:rPr>
        <w:t xml:space="preserve"> any nonpublic personal</w:t>
      </w:r>
      <w:r>
        <w:rPr>
          <w:rFonts w:ascii="Times New Roman" w:hAnsi="Times New Roman" w:cs="Times New Roman"/>
        </w:rPr>
        <w:t xml:space="preserve"> information </w:t>
      </w:r>
      <w:r w:rsidR="00623A4B">
        <w:rPr>
          <w:rFonts w:ascii="Times New Roman" w:hAnsi="Times New Roman" w:cs="Times New Roman"/>
        </w:rPr>
        <w:t xml:space="preserve">to a nonaffiliated third party </w:t>
      </w:r>
      <w:r>
        <w:rPr>
          <w:rFonts w:ascii="Times New Roman" w:hAnsi="Times New Roman" w:cs="Times New Roman"/>
        </w:rPr>
        <w:t>in a way that is inconsistent with the notices previously given to a consumer</w:t>
      </w:r>
      <w:r w:rsidR="00210C1A">
        <w:rPr>
          <w:rFonts w:ascii="Times New Roman" w:hAnsi="Times New Roman" w:cs="Times New Roman"/>
        </w:rPr>
        <w:t xml:space="preserve"> unless </w:t>
      </w:r>
      <w:r>
        <w:rPr>
          <w:rFonts w:ascii="Times New Roman" w:hAnsi="Times New Roman" w:cs="Times New Roman"/>
        </w:rPr>
        <w:t xml:space="preserve">the </w:t>
      </w:r>
      <w:r w:rsidR="00746009">
        <w:rPr>
          <w:rFonts w:ascii="Times New Roman" w:hAnsi="Times New Roman" w:cs="Times New Roman"/>
        </w:rPr>
        <w:t>institution</w:t>
      </w:r>
      <w:r>
        <w:rPr>
          <w:rFonts w:ascii="Times New Roman" w:hAnsi="Times New Roman" w:cs="Times New Roman"/>
        </w:rPr>
        <w:t xml:space="preserve"> </w:t>
      </w:r>
      <w:r w:rsidR="00210C1A">
        <w:rPr>
          <w:rFonts w:ascii="Times New Roman" w:hAnsi="Times New Roman" w:cs="Times New Roman"/>
        </w:rPr>
        <w:t xml:space="preserve">has </w:t>
      </w:r>
      <w:r>
        <w:rPr>
          <w:rFonts w:ascii="Times New Roman" w:hAnsi="Times New Roman" w:cs="Times New Roman"/>
        </w:rPr>
        <w:t>provide</w:t>
      </w:r>
      <w:r w:rsidR="00210C1A">
        <w:rPr>
          <w:rFonts w:ascii="Times New Roman" w:hAnsi="Times New Roman" w:cs="Times New Roman"/>
        </w:rPr>
        <w:t>d</w:t>
      </w:r>
      <w:r>
        <w:rPr>
          <w:rFonts w:ascii="Times New Roman" w:hAnsi="Times New Roman" w:cs="Times New Roman"/>
        </w:rPr>
        <w:t xml:space="preserve"> </w:t>
      </w:r>
      <w:r w:rsidR="00746009">
        <w:rPr>
          <w:rFonts w:ascii="Times New Roman" w:hAnsi="Times New Roman" w:cs="Times New Roman"/>
        </w:rPr>
        <w:t xml:space="preserve">the </w:t>
      </w:r>
      <w:r>
        <w:rPr>
          <w:rFonts w:ascii="Times New Roman" w:hAnsi="Times New Roman" w:cs="Times New Roman"/>
        </w:rPr>
        <w:t xml:space="preserve">consumer with </w:t>
      </w:r>
      <w:r w:rsidRPr="00707608">
        <w:rPr>
          <w:rFonts w:ascii="Times New Roman" w:hAnsi="Times New Roman" w:cs="Times New Roman"/>
        </w:rPr>
        <w:t xml:space="preserve">a </w:t>
      </w:r>
      <w:r w:rsidRPr="00707608" w:rsidR="00707608">
        <w:rPr>
          <w:rFonts w:ascii="Times New Roman" w:hAnsi="Times New Roman" w:cs="Times New Roman"/>
        </w:rPr>
        <w:t xml:space="preserve">clear and conspicuous revised notice of the </w:t>
      </w:r>
      <w:r w:rsidR="00746009">
        <w:rPr>
          <w:rFonts w:ascii="Times New Roman" w:hAnsi="Times New Roman" w:cs="Times New Roman"/>
        </w:rPr>
        <w:t>institution</w:t>
      </w:r>
      <w:r w:rsidRPr="00707608" w:rsidR="00707608">
        <w:rPr>
          <w:rFonts w:ascii="Times New Roman" w:hAnsi="Times New Roman" w:cs="Times New Roman"/>
        </w:rPr>
        <w:t>’s policies and pr</w:t>
      </w:r>
      <w:r w:rsidR="00EC2B2B">
        <w:rPr>
          <w:rFonts w:ascii="Times New Roman" w:hAnsi="Times New Roman" w:cs="Times New Roman"/>
        </w:rPr>
        <w:t>actices</w:t>
      </w:r>
      <w:r w:rsidRPr="00707608" w:rsidR="00707608">
        <w:rPr>
          <w:rFonts w:ascii="Times New Roman" w:hAnsi="Times New Roman" w:cs="Times New Roman"/>
        </w:rPr>
        <w:t xml:space="preserve">, </w:t>
      </w:r>
      <w:r w:rsidR="00210C1A">
        <w:rPr>
          <w:rFonts w:ascii="Times New Roman" w:hAnsi="Times New Roman" w:cs="Times New Roman"/>
        </w:rPr>
        <w:t xml:space="preserve">the institution has </w:t>
      </w:r>
      <w:r w:rsidR="00746009">
        <w:rPr>
          <w:rFonts w:ascii="Times New Roman" w:hAnsi="Times New Roman" w:cs="Times New Roman"/>
        </w:rPr>
        <w:t>provide</w:t>
      </w:r>
      <w:r w:rsidR="00210C1A">
        <w:rPr>
          <w:rFonts w:ascii="Times New Roman" w:hAnsi="Times New Roman" w:cs="Times New Roman"/>
        </w:rPr>
        <w:t>d</w:t>
      </w:r>
      <w:r w:rsidR="00746009">
        <w:rPr>
          <w:rFonts w:ascii="Times New Roman" w:hAnsi="Times New Roman" w:cs="Times New Roman"/>
        </w:rPr>
        <w:t xml:space="preserve"> the consumer with </w:t>
      </w:r>
      <w:r w:rsidRPr="00707608" w:rsidR="00707608">
        <w:rPr>
          <w:rFonts w:ascii="Times New Roman" w:hAnsi="Times New Roman" w:cs="Times New Roman"/>
        </w:rPr>
        <w:t xml:space="preserve">a new opt out notice, </w:t>
      </w:r>
      <w:r w:rsidR="00210C1A">
        <w:rPr>
          <w:rFonts w:ascii="Times New Roman" w:hAnsi="Times New Roman" w:cs="Times New Roman"/>
        </w:rPr>
        <w:t xml:space="preserve">the institution has </w:t>
      </w:r>
      <w:r w:rsidR="00746009">
        <w:rPr>
          <w:rFonts w:ascii="Times New Roman" w:hAnsi="Times New Roman" w:cs="Times New Roman"/>
        </w:rPr>
        <w:t>give</w:t>
      </w:r>
      <w:r w:rsidR="00210C1A">
        <w:rPr>
          <w:rFonts w:ascii="Times New Roman" w:hAnsi="Times New Roman" w:cs="Times New Roman"/>
        </w:rPr>
        <w:t>n</w:t>
      </w:r>
      <w:r w:rsidR="00746009">
        <w:rPr>
          <w:rFonts w:ascii="Times New Roman" w:hAnsi="Times New Roman" w:cs="Times New Roman"/>
        </w:rPr>
        <w:t xml:space="preserve"> the consumer a </w:t>
      </w:r>
      <w:r w:rsidRPr="00707608" w:rsidR="00707608">
        <w:rPr>
          <w:rFonts w:ascii="Times New Roman" w:hAnsi="Times New Roman" w:cs="Times New Roman"/>
        </w:rPr>
        <w:t xml:space="preserve">reasonable opportunity to opt out of the disclosure, and the consumer </w:t>
      </w:r>
      <w:r w:rsidR="00210C1A">
        <w:rPr>
          <w:rFonts w:ascii="Times New Roman" w:hAnsi="Times New Roman" w:cs="Times New Roman"/>
        </w:rPr>
        <w:t>has</w:t>
      </w:r>
      <w:r w:rsidRPr="00707608" w:rsidR="00210C1A">
        <w:rPr>
          <w:rFonts w:ascii="Times New Roman" w:hAnsi="Times New Roman" w:cs="Times New Roman"/>
        </w:rPr>
        <w:t xml:space="preserve"> </w:t>
      </w:r>
      <w:r w:rsidRPr="00707608" w:rsidR="00707608">
        <w:rPr>
          <w:rFonts w:ascii="Times New Roman" w:hAnsi="Times New Roman" w:cs="Times New Roman"/>
        </w:rPr>
        <w:t>not opt</w:t>
      </w:r>
      <w:r w:rsidR="00135782">
        <w:rPr>
          <w:rFonts w:ascii="Times New Roman" w:hAnsi="Times New Roman" w:cs="Times New Roman"/>
        </w:rPr>
        <w:t>ed</w:t>
      </w:r>
      <w:r w:rsidRPr="00707608" w:rsidR="00707608">
        <w:rPr>
          <w:rFonts w:ascii="Times New Roman" w:hAnsi="Times New Roman" w:cs="Times New Roman"/>
        </w:rPr>
        <w:t xml:space="preserve"> out</w:t>
      </w:r>
      <w:r w:rsidRPr="00707608">
        <w:rPr>
          <w:rFonts w:ascii="Times New Roman" w:hAnsi="Times New Roman" w:cs="Times New Roman"/>
        </w:rPr>
        <w:t>.</w:t>
      </w:r>
    </w:p>
    <w:p w:rsidR="00F70B1B" w:rsidP="00F70B1B" w14:paraId="541067BD" w14:textId="77777777">
      <w:pPr>
        <w:pStyle w:val="NormalWeb"/>
        <w:spacing w:before="0" w:beforeAutospacing="0" w:after="0" w:afterAutospacing="0"/>
        <w:ind w:firstLine="720"/>
        <w:rPr>
          <w:rFonts w:ascii="Times New Roman" w:hAnsi="Times New Roman" w:cs="Times New Roman"/>
        </w:rPr>
      </w:pPr>
    </w:p>
    <w:p w:rsidR="00F70B1B" w:rsidP="00F70B1B" w14:paraId="14689E2C" w14:textId="433B4105">
      <w:r>
        <w:t xml:space="preserve">          </w:t>
      </w:r>
      <w:r w:rsidRPr="00AE0663">
        <w:rPr>
          <w:i/>
          <w:iCs/>
        </w:rPr>
        <w:t>§ 1016.7(a) - Form of opt out notice to consumers; opt out methods - Form of opt out notice</w:t>
      </w:r>
      <w:r>
        <w:t xml:space="preserve"> – If a national bank or </w:t>
      </w:r>
      <w:r w:rsidR="009B1989">
        <w:t>F</w:t>
      </w:r>
      <w:r>
        <w:t xml:space="preserve">ederal savings association is required to provide an opt-out notice under § 1016.10(a), it must provide </w:t>
      </w:r>
      <w:r w:rsidR="00C157A0">
        <w:t xml:space="preserve">each of its consumers with </w:t>
      </w:r>
      <w:r>
        <w:t>a clear and conspicuous notice that accurately explains the right to opt out under that section.  The notice must state:</w:t>
      </w:r>
    </w:p>
    <w:p w:rsidR="00F70B1B" w:rsidP="00F70B1B" w14:paraId="0C88AFAA" w14:textId="77777777"/>
    <w:p w:rsidR="00F70B1B" w:rsidP="00F70B1B" w14:paraId="72C7D0A4" w14:textId="7D01A92C">
      <w:pPr>
        <w:numPr>
          <w:ilvl w:val="0"/>
          <w:numId w:val="18"/>
        </w:numPr>
      </w:pPr>
      <w:r>
        <w:t xml:space="preserve">That the national bank or </w:t>
      </w:r>
      <w:r w:rsidR="009B1989">
        <w:t>F</w:t>
      </w:r>
      <w:r>
        <w:t xml:space="preserve">ederal savings association discloses or reserves the right to disclose </w:t>
      </w:r>
      <w:r w:rsidR="00A66E5E">
        <w:t xml:space="preserve">nonpublic personal information </w:t>
      </w:r>
      <w:r>
        <w:t>about its consumer to a nonaffiliated third party;</w:t>
      </w:r>
    </w:p>
    <w:p w:rsidR="00F70B1B" w:rsidP="00F70B1B" w14:paraId="769C1325" w14:textId="77777777">
      <w:pPr>
        <w:numPr>
          <w:ilvl w:val="0"/>
          <w:numId w:val="18"/>
        </w:numPr>
      </w:pPr>
      <w:r>
        <w:t>That the consumer has the right to opt out of that disclosure; and</w:t>
      </w:r>
    </w:p>
    <w:p w:rsidR="00F70B1B" w:rsidP="00F70B1B" w14:paraId="5C975E1D" w14:textId="77777777">
      <w:pPr>
        <w:numPr>
          <w:ilvl w:val="0"/>
          <w:numId w:val="18"/>
        </w:numPr>
      </w:pPr>
      <w:r>
        <w:t>A reasonable means by which the consumer may exercise the opt out right.</w:t>
      </w:r>
    </w:p>
    <w:p w:rsidR="00EF0516" w:rsidP="00EF0516" w14:paraId="36025920" w14:textId="77777777">
      <w:pPr>
        <w:ind w:left="720"/>
      </w:pPr>
    </w:p>
    <w:p w:rsidR="00F70B1B" w:rsidP="00F70B1B" w14:paraId="1321EB42" w14:textId="4F7EDB80">
      <w:pPr>
        <w:ind w:firstLine="360"/>
      </w:pPr>
      <w:r>
        <w:t xml:space="preserve">A national bank or </w:t>
      </w:r>
      <w:r w:rsidR="009B1989">
        <w:t>F</w:t>
      </w:r>
      <w:r>
        <w:t xml:space="preserve">ederal savings association provides a reasonable means to exercise an opt out right if it:  </w:t>
      </w:r>
    </w:p>
    <w:p w:rsidR="00F70B1B" w:rsidP="00F70B1B" w14:paraId="174AF329" w14:textId="77777777">
      <w:pPr>
        <w:numPr>
          <w:ilvl w:val="0"/>
          <w:numId w:val="20"/>
        </w:numPr>
      </w:pPr>
      <w:r>
        <w:t>Designates check-off boxes on the relevant forms with the opt out notice;</w:t>
      </w:r>
    </w:p>
    <w:p w:rsidR="00F70B1B" w:rsidP="00F70B1B" w14:paraId="315F1781" w14:textId="77777777">
      <w:pPr>
        <w:numPr>
          <w:ilvl w:val="0"/>
          <w:numId w:val="20"/>
        </w:numPr>
        <w:ind w:left="763"/>
      </w:pPr>
      <w:r>
        <w:t>Includes a reply form with the opt out notice;</w:t>
      </w:r>
    </w:p>
    <w:p w:rsidR="00F70B1B" w:rsidP="00F70B1B" w14:paraId="28157EC4" w14:textId="77777777">
      <w:pPr>
        <w:numPr>
          <w:ilvl w:val="0"/>
          <w:numId w:val="20"/>
        </w:numPr>
        <w:ind w:left="763"/>
      </w:pPr>
      <w:r>
        <w:t xml:space="preserve">Provides </w:t>
      </w:r>
      <w:r w:rsidR="00EC2B2B">
        <w:t xml:space="preserve">an </w:t>
      </w:r>
      <w:r>
        <w:t>electronic means to opt out; or</w:t>
      </w:r>
    </w:p>
    <w:p w:rsidR="00F70B1B" w:rsidP="00F70B1B" w14:paraId="5BACE2F1" w14:textId="25DA863C">
      <w:pPr>
        <w:numPr>
          <w:ilvl w:val="0"/>
          <w:numId w:val="20"/>
        </w:numPr>
        <w:ind w:left="763"/>
      </w:pPr>
      <w:r>
        <w:t xml:space="preserve">Provides a toll-free number </w:t>
      </w:r>
      <w:r w:rsidR="00EC2B2B">
        <w:t xml:space="preserve">that consumers may call </w:t>
      </w:r>
      <w:r>
        <w:t>to opt out.</w:t>
      </w:r>
    </w:p>
    <w:p w:rsidR="00F70B1B" w:rsidP="00707608" w14:paraId="128B2B2B" w14:textId="77777777">
      <w:pPr>
        <w:ind w:left="763"/>
      </w:pPr>
    </w:p>
    <w:p w:rsidR="008E2ADE" w:rsidRPr="008E2ADE" w:rsidP="001C072D" w14:paraId="6516C784" w14:textId="777035F9">
      <w:pPr>
        <w:pStyle w:val="NormalWeb"/>
        <w:spacing w:before="0" w:beforeAutospacing="0" w:after="0" w:afterAutospacing="0"/>
      </w:pPr>
      <w:r w:rsidRPr="009B1989">
        <w:rPr>
          <w:rFonts w:ascii="Times New Roman" w:hAnsi="Times New Roman" w:cs="Times New Roman"/>
          <w:i/>
          <w:iCs/>
        </w:rPr>
        <w:t xml:space="preserve">          §§ 1016.10(a)</w:t>
      </w:r>
      <w:r w:rsidRPr="009B1989" w:rsidR="007404C1">
        <w:rPr>
          <w:rFonts w:ascii="Times New Roman" w:hAnsi="Times New Roman" w:cs="Times New Roman"/>
          <w:i/>
          <w:iCs/>
        </w:rPr>
        <w:t xml:space="preserve">(1) and </w:t>
      </w:r>
      <w:r w:rsidRPr="009B1989">
        <w:rPr>
          <w:rFonts w:ascii="Times New Roman" w:hAnsi="Times New Roman" w:cs="Times New Roman"/>
          <w:i/>
          <w:iCs/>
        </w:rPr>
        <w:t>(2) and 1016</w:t>
      </w:r>
      <w:r w:rsidRPr="009B1989" w:rsidR="000346AF">
        <w:rPr>
          <w:rFonts w:ascii="Times New Roman" w:hAnsi="Times New Roman" w:cs="Times New Roman"/>
          <w:i/>
          <w:iCs/>
        </w:rPr>
        <w:t>.10</w:t>
      </w:r>
      <w:r w:rsidRPr="009B1989">
        <w:rPr>
          <w:rFonts w:ascii="Times New Roman" w:hAnsi="Times New Roman" w:cs="Times New Roman"/>
          <w:i/>
          <w:iCs/>
        </w:rPr>
        <w:t xml:space="preserve">(c) </w:t>
      </w:r>
      <w:bookmarkStart w:id="0" w:name="_Hlk205562664"/>
      <w:r w:rsidRPr="009B1989">
        <w:rPr>
          <w:rFonts w:ascii="Times New Roman" w:hAnsi="Times New Roman" w:cs="Times New Roman"/>
          <w:i/>
          <w:iCs/>
        </w:rPr>
        <w:t>-</w:t>
      </w:r>
      <w:bookmarkEnd w:id="0"/>
      <w:r w:rsidRPr="009B1989">
        <w:rPr>
          <w:rFonts w:ascii="Times New Roman" w:hAnsi="Times New Roman" w:cs="Times New Roman"/>
          <w:i/>
          <w:iCs/>
        </w:rPr>
        <w:t xml:space="preserve"> </w:t>
      </w:r>
      <w:bookmarkStart w:id="1" w:name="_Hlk97111934"/>
      <w:r w:rsidRPr="009B1989">
        <w:rPr>
          <w:rFonts w:ascii="Times New Roman" w:hAnsi="Times New Roman" w:cs="Times New Roman"/>
          <w:i/>
          <w:iCs/>
        </w:rPr>
        <w:t>Limits on disclosure of nonpublic personal information to</w:t>
      </w:r>
      <w:r w:rsidRPr="009B1989">
        <w:rPr>
          <w:rFonts w:ascii="Times New Roman" w:hAnsi="Times New Roman" w:cs="Times New Roman"/>
          <w:i/>
          <w:iCs/>
        </w:rPr>
        <w:t xml:space="preserve"> nonaffiliated parties</w:t>
      </w:r>
      <w:r>
        <w:rPr>
          <w:rFonts w:ascii="Times New Roman" w:hAnsi="Times New Roman" w:cs="Times New Roman"/>
        </w:rPr>
        <w:t xml:space="preserve"> – </w:t>
      </w:r>
      <w:r w:rsidRPr="008E2ADE">
        <w:rPr>
          <w:rFonts w:ascii="Times New Roman" w:eastAsia="Times New Roman" w:hAnsi="Times New Roman" w:cs="Times New Roman"/>
          <w:szCs w:val="20"/>
        </w:rPr>
        <w:t xml:space="preserve">A national bank or </w:t>
      </w:r>
      <w:r w:rsidR="009B1989">
        <w:rPr>
          <w:rFonts w:ascii="Times New Roman" w:eastAsia="Times New Roman" w:hAnsi="Times New Roman" w:cs="Times New Roman"/>
          <w:szCs w:val="20"/>
        </w:rPr>
        <w:t>F</w:t>
      </w:r>
      <w:r w:rsidRPr="008E2ADE">
        <w:rPr>
          <w:rFonts w:ascii="Times New Roman" w:eastAsia="Times New Roman" w:hAnsi="Times New Roman" w:cs="Times New Roman"/>
          <w:szCs w:val="20"/>
        </w:rPr>
        <w:t xml:space="preserve">ederal savings association may not disclose any nonpublic personal information about a consumer to a nonaffiliated third party unless the institution has provided the consumer with an initial notice under § 1016.4, </w:t>
      </w:r>
      <w:r w:rsidR="00210C1A">
        <w:rPr>
          <w:rFonts w:ascii="Times New Roman" w:eastAsia="Times New Roman" w:hAnsi="Times New Roman" w:cs="Times New Roman"/>
          <w:szCs w:val="20"/>
        </w:rPr>
        <w:t xml:space="preserve">the institution has </w:t>
      </w:r>
      <w:r w:rsidRPr="008E2ADE">
        <w:rPr>
          <w:rFonts w:ascii="Times New Roman" w:eastAsia="Times New Roman" w:hAnsi="Times New Roman" w:cs="Times New Roman"/>
          <w:szCs w:val="20"/>
        </w:rPr>
        <w:t>provide</w:t>
      </w:r>
      <w:r w:rsidR="00210C1A">
        <w:rPr>
          <w:rFonts w:ascii="Times New Roman" w:eastAsia="Times New Roman" w:hAnsi="Times New Roman" w:cs="Times New Roman"/>
          <w:szCs w:val="20"/>
        </w:rPr>
        <w:t>d</w:t>
      </w:r>
      <w:r w:rsidRPr="008E2ADE">
        <w:rPr>
          <w:rFonts w:ascii="Times New Roman" w:eastAsia="Times New Roman" w:hAnsi="Times New Roman" w:cs="Times New Roman"/>
          <w:szCs w:val="20"/>
        </w:rPr>
        <w:t xml:space="preserve"> the consumer with a opt out notice,</w:t>
      </w:r>
      <w:r w:rsidR="00210C1A">
        <w:rPr>
          <w:rFonts w:ascii="Times New Roman" w:eastAsia="Times New Roman" w:hAnsi="Times New Roman" w:cs="Times New Roman"/>
          <w:szCs w:val="20"/>
        </w:rPr>
        <w:t xml:space="preserve"> the institution has</w:t>
      </w:r>
      <w:r w:rsidRPr="008E2ADE">
        <w:rPr>
          <w:rFonts w:ascii="Times New Roman" w:eastAsia="Times New Roman" w:hAnsi="Times New Roman" w:cs="Times New Roman"/>
          <w:szCs w:val="20"/>
        </w:rPr>
        <w:t xml:space="preserve"> give</w:t>
      </w:r>
      <w:r w:rsidR="00210C1A">
        <w:rPr>
          <w:rFonts w:ascii="Times New Roman" w:eastAsia="Times New Roman" w:hAnsi="Times New Roman" w:cs="Times New Roman"/>
          <w:szCs w:val="20"/>
        </w:rPr>
        <w:t>n</w:t>
      </w:r>
      <w:r w:rsidRPr="008E2ADE">
        <w:rPr>
          <w:rFonts w:ascii="Times New Roman" w:eastAsia="Times New Roman" w:hAnsi="Times New Roman" w:cs="Times New Roman"/>
          <w:szCs w:val="20"/>
        </w:rPr>
        <w:t xml:space="preserve"> the consumer a reasonable opportunity to opt out of the disclosure, and the consumer </w:t>
      </w:r>
      <w:r w:rsidR="00210C1A">
        <w:rPr>
          <w:rFonts w:ascii="Times New Roman" w:eastAsia="Times New Roman" w:hAnsi="Times New Roman" w:cs="Times New Roman"/>
          <w:szCs w:val="20"/>
        </w:rPr>
        <w:t>has not</w:t>
      </w:r>
      <w:r w:rsidRPr="008E2ADE">
        <w:rPr>
          <w:rFonts w:ascii="Times New Roman" w:eastAsia="Times New Roman" w:hAnsi="Times New Roman" w:cs="Times New Roman"/>
          <w:szCs w:val="20"/>
        </w:rPr>
        <w:t xml:space="preserve"> opt</w:t>
      </w:r>
      <w:r w:rsidR="00893DCC">
        <w:rPr>
          <w:rFonts w:ascii="Times New Roman" w:eastAsia="Times New Roman" w:hAnsi="Times New Roman" w:cs="Times New Roman"/>
          <w:szCs w:val="20"/>
        </w:rPr>
        <w:t>ed</w:t>
      </w:r>
      <w:r w:rsidRPr="008E2ADE">
        <w:rPr>
          <w:rFonts w:ascii="Times New Roman" w:eastAsia="Times New Roman" w:hAnsi="Times New Roman" w:cs="Times New Roman"/>
          <w:szCs w:val="20"/>
        </w:rPr>
        <w:t xml:space="preserve"> out.</w:t>
      </w:r>
      <w:bookmarkEnd w:id="1"/>
      <w:r w:rsidR="007404C1">
        <w:rPr>
          <w:rFonts w:ascii="Times New Roman" w:eastAsia="Times New Roman" w:hAnsi="Times New Roman" w:cs="Times New Roman"/>
          <w:szCs w:val="20"/>
        </w:rPr>
        <w:t xml:space="preserve"> A customer may direct one of the following forms of opt out:</w:t>
      </w:r>
    </w:p>
    <w:p w:rsidR="00F70B1B" w:rsidP="00F70B1B" w14:paraId="4C72784E" w14:textId="5AB5178F">
      <w:pPr>
        <w:numPr>
          <w:ilvl w:val="0"/>
          <w:numId w:val="19"/>
        </w:numPr>
      </w:pPr>
      <w:r>
        <w:t>Opt</w:t>
      </w:r>
      <w:r>
        <w:t xml:space="preserve"> out – Consumers may direct that the national bank or </w:t>
      </w:r>
      <w:r w:rsidR="009B1989">
        <w:t>F</w:t>
      </w:r>
      <w:r>
        <w:t>ederal savings association</w:t>
      </w:r>
      <w:r w:rsidR="00EC2B2B">
        <w:t xml:space="preserve"> </w:t>
      </w:r>
      <w:r>
        <w:t>not disclose nonpublic personal information about them to a nonaffiliated third party, other than permitted by §§ 1016.13-1016.15</w:t>
      </w:r>
      <w:r w:rsidR="00EF0516">
        <w:t>.</w:t>
      </w:r>
    </w:p>
    <w:p w:rsidR="00F70B1B" w:rsidP="00F70B1B" w14:paraId="5E7E3218" w14:textId="0C0E92AB">
      <w:pPr>
        <w:numPr>
          <w:ilvl w:val="0"/>
          <w:numId w:val="19"/>
        </w:numPr>
      </w:pPr>
      <w:r>
        <w:t>Partial opt out – Consumer</w:t>
      </w:r>
      <w:r w:rsidR="00C53179">
        <w:t>s</w:t>
      </w:r>
      <w:r>
        <w:t xml:space="preserve"> may exercise partial opt out rights by selecting certain nonpublic personal information or certain nonaffiliated third parties with respect to which the consumer wishes to opt out.</w:t>
      </w:r>
    </w:p>
    <w:p w:rsidR="00F70B1B" w:rsidP="00F70B1B" w14:paraId="2A54BE80" w14:textId="77777777">
      <w:pPr>
        <w:ind w:left="720"/>
      </w:pPr>
    </w:p>
    <w:p w:rsidR="00F70B1B" w:rsidP="00F70B1B" w14:paraId="101D110A" w14:textId="0E5E7C7D">
      <w:r>
        <w:t xml:space="preserve">          </w:t>
      </w:r>
      <w:r w:rsidRPr="009B1989">
        <w:rPr>
          <w:i/>
          <w:iCs/>
        </w:rPr>
        <w:t>§§ 1016.7(h) and 1016</w:t>
      </w:r>
      <w:r w:rsidRPr="009B1989" w:rsidR="00DD11A7">
        <w:rPr>
          <w:i/>
          <w:iCs/>
        </w:rPr>
        <w:t>.7</w:t>
      </w:r>
      <w:r w:rsidRPr="009B1989">
        <w:rPr>
          <w:i/>
          <w:iCs/>
        </w:rPr>
        <w:t xml:space="preserve">(i) - </w:t>
      </w:r>
      <w:r w:rsidRPr="009B1989" w:rsidR="00EC2B2B">
        <w:rPr>
          <w:i/>
          <w:iCs/>
        </w:rPr>
        <w:t xml:space="preserve">Continuing right to opt out and </w:t>
      </w:r>
      <w:r w:rsidRPr="009B1989" w:rsidR="00C157A0">
        <w:rPr>
          <w:i/>
          <w:iCs/>
        </w:rPr>
        <w:t xml:space="preserve">Duration of </w:t>
      </w:r>
      <w:r w:rsidRPr="009B1989">
        <w:rPr>
          <w:i/>
          <w:iCs/>
        </w:rPr>
        <w:t>right to opt out</w:t>
      </w:r>
      <w:r w:rsidR="009B1989">
        <w:rPr>
          <w:i/>
          <w:iCs/>
        </w:rPr>
        <w:t xml:space="preserve"> </w:t>
      </w:r>
      <w:r w:rsidRPr="009B1989" w:rsidR="009B1989">
        <w:t>-</w:t>
      </w:r>
      <w:r>
        <w:t>A consumer may exercise the right to opt out at any time.  A consumer’s direction to opt out is effective until the consumer revokes it in writing or, if the consumer agrees, electronically.  When a customer relationship terminates, the customer’s opt out direction continues to apply</w:t>
      </w:r>
      <w:r w:rsidR="00C157A0">
        <w:t xml:space="preserve"> </w:t>
      </w:r>
      <w:r w:rsidRPr="00C157A0" w:rsidR="00C157A0">
        <w:rPr>
          <w:lang w:val="en"/>
        </w:rPr>
        <w:t>to the nonpublic personal information collected during or related to that relationship</w:t>
      </w:r>
      <w:r w:rsidRPr="00C157A0" w:rsidR="00C157A0">
        <w:t>.</w:t>
      </w:r>
      <w:r w:rsidRPr="00C157A0" w:rsidR="00C157A0">
        <w:tab/>
      </w:r>
      <w:bookmarkStart w:id="2" w:name="_Hlk97111968"/>
      <w:r w:rsidR="00210C1A">
        <w:t xml:space="preserve">If the </w:t>
      </w:r>
      <w:r w:rsidR="00F83082">
        <w:t xml:space="preserve">individual </w:t>
      </w:r>
      <w:r w:rsidR="00210C1A">
        <w:t>subsequently establishes a new customer relationship with the institution, the opt out direction that applied to the former relationship does not apply to the new relationship.</w:t>
      </w:r>
      <w:r>
        <w:tab/>
      </w:r>
      <w:bookmarkEnd w:id="2"/>
    </w:p>
    <w:p w:rsidR="00AE4C0C" w14:paraId="46236C9F" w14:textId="77777777">
      <w:pPr>
        <w:pStyle w:val="BodyText"/>
        <w:rPr>
          <w:b w:val="0"/>
          <w:bCs w:val="0"/>
        </w:rPr>
      </w:pPr>
    </w:p>
    <w:p w:rsidR="00AE4C0C" w14:paraId="580AEE3F" w14:textId="77777777">
      <w:pPr>
        <w:pStyle w:val="BodyText"/>
        <w:rPr>
          <w:b w:val="0"/>
          <w:bCs w:val="0"/>
        </w:rPr>
      </w:pPr>
      <w:r>
        <w:rPr>
          <w:i/>
          <w:iCs/>
        </w:rPr>
        <w:t>3.  Consideration of the use of improved information technology:</w:t>
      </w:r>
    </w:p>
    <w:p w:rsidR="00AE4C0C" w14:paraId="3662C29A" w14:textId="77777777">
      <w:pPr>
        <w:pStyle w:val="BodyText"/>
        <w:rPr>
          <w:b w:val="0"/>
          <w:bCs w:val="0"/>
        </w:rPr>
      </w:pPr>
    </w:p>
    <w:p w:rsidR="00AE4C0C" w:rsidP="0064208B" w14:paraId="05D04E03" w14:textId="77777777">
      <w:pPr>
        <w:pStyle w:val="BodyText"/>
        <w:ind w:firstLine="720"/>
        <w:rPr>
          <w:b w:val="0"/>
          <w:bCs w:val="0"/>
        </w:rPr>
      </w:pPr>
      <w:r>
        <w:rPr>
          <w:b w:val="0"/>
          <w:bCs w:val="0"/>
        </w:rPr>
        <w:t>The collections are disclosures, filings from consumers, and internal institution records.  Institutions are not prohibited from using any technology that facilitates consumer understanding and response, and that permits review, as appropriate, by examiners.</w:t>
      </w:r>
    </w:p>
    <w:p w:rsidR="00AE4C0C" w14:paraId="234D882E" w14:textId="77777777">
      <w:pPr>
        <w:pStyle w:val="BodyText"/>
        <w:rPr>
          <w:b w:val="0"/>
          <w:bCs w:val="0"/>
        </w:rPr>
      </w:pPr>
    </w:p>
    <w:p w:rsidR="00AE4C0C" w14:paraId="706E244D" w14:textId="77777777">
      <w:pPr>
        <w:pStyle w:val="BodyText"/>
        <w:rPr>
          <w:b w:val="0"/>
          <w:bCs w:val="0"/>
        </w:rPr>
      </w:pPr>
      <w:r>
        <w:rPr>
          <w:i/>
          <w:iCs/>
        </w:rPr>
        <w:t>4.  Efforts to identify duplication:</w:t>
      </w:r>
    </w:p>
    <w:p w:rsidR="00AE4C0C" w14:paraId="4C7384C6" w14:textId="77777777">
      <w:pPr>
        <w:pStyle w:val="BodyText"/>
        <w:rPr>
          <w:b w:val="0"/>
          <w:bCs w:val="0"/>
        </w:rPr>
      </w:pPr>
    </w:p>
    <w:p w:rsidR="00AE4C0C" w:rsidP="0064208B" w14:paraId="06B981DD" w14:textId="77777777">
      <w:pPr>
        <w:pStyle w:val="BodyText"/>
        <w:ind w:firstLine="720"/>
        <w:rPr>
          <w:b w:val="0"/>
          <w:bCs w:val="0"/>
        </w:rPr>
      </w:pPr>
      <w:r>
        <w:rPr>
          <w:b w:val="0"/>
          <w:bCs w:val="0"/>
        </w:rPr>
        <w:t>The collections of information are unique and cover the institution’s particular circumstances.  No duplication exists.</w:t>
      </w:r>
    </w:p>
    <w:p w:rsidR="00AE4C0C" w14:paraId="15B7BE46" w14:textId="77777777">
      <w:pPr>
        <w:pStyle w:val="BodyText"/>
      </w:pPr>
    </w:p>
    <w:p w:rsidR="00805FDC" w:rsidP="00805FDC" w14:paraId="450B45BE" w14:textId="77777777">
      <w:pPr>
        <w:pStyle w:val="BodyText"/>
        <w:widowControl w:val="0"/>
        <w:ind w:left="100" w:right="861"/>
        <w:rPr>
          <w:b w:val="0"/>
          <w:i/>
        </w:rPr>
      </w:pPr>
      <w:r>
        <w:rPr>
          <w:i/>
          <w:iCs/>
        </w:rPr>
        <w:t>5.</w:t>
      </w:r>
      <w:r>
        <w:rPr>
          <w:i/>
          <w:iCs/>
        </w:rPr>
        <w:tab/>
      </w:r>
      <w:r>
        <w:rPr>
          <w:i/>
          <w:spacing w:val="-2"/>
        </w:rPr>
        <w:t>If</w:t>
      </w:r>
      <w:r>
        <w:rPr>
          <w:i/>
          <w:spacing w:val="-8"/>
        </w:rPr>
        <w:t xml:space="preserve"> </w:t>
      </w:r>
      <w:r>
        <w:rPr>
          <w:i/>
        </w:rPr>
        <w:t>the</w:t>
      </w:r>
      <w:r>
        <w:rPr>
          <w:i/>
          <w:spacing w:val="-7"/>
        </w:rPr>
        <w:t xml:space="preserve"> </w:t>
      </w:r>
      <w:r>
        <w:rPr>
          <w:i/>
          <w:spacing w:val="-1"/>
        </w:rPr>
        <w:t>collection</w:t>
      </w:r>
      <w:r>
        <w:rPr>
          <w:i/>
          <w:spacing w:val="-7"/>
        </w:rPr>
        <w:t xml:space="preserve"> </w:t>
      </w:r>
      <w:r>
        <w:rPr>
          <w:i/>
        </w:rPr>
        <w:t>of</w:t>
      </w:r>
      <w:r>
        <w:rPr>
          <w:i/>
          <w:spacing w:val="-8"/>
        </w:rPr>
        <w:t xml:space="preserve"> </w:t>
      </w:r>
      <w:r>
        <w:rPr>
          <w:i/>
          <w:spacing w:val="-1"/>
        </w:rPr>
        <w:t>information</w:t>
      </w:r>
      <w:r>
        <w:rPr>
          <w:i/>
          <w:spacing w:val="-7"/>
        </w:rPr>
        <w:t xml:space="preserve"> </w:t>
      </w:r>
      <w:r>
        <w:rPr>
          <w:i/>
          <w:spacing w:val="-1"/>
        </w:rPr>
        <w:t>impacts</w:t>
      </w:r>
      <w:r>
        <w:rPr>
          <w:i/>
          <w:spacing w:val="-6"/>
        </w:rPr>
        <w:t xml:space="preserve"> </w:t>
      </w:r>
      <w:r>
        <w:rPr>
          <w:i/>
          <w:spacing w:val="-1"/>
        </w:rPr>
        <w:t>small</w:t>
      </w:r>
      <w:r>
        <w:rPr>
          <w:i/>
          <w:spacing w:val="-7"/>
        </w:rPr>
        <w:t xml:space="preserve"> </w:t>
      </w:r>
      <w:r>
        <w:rPr>
          <w:i/>
          <w:spacing w:val="-1"/>
        </w:rPr>
        <w:t>businesses</w:t>
      </w:r>
      <w:r>
        <w:rPr>
          <w:i/>
          <w:spacing w:val="-6"/>
        </w:rPr>
        <w:t xml:space="preserve"> </w:t>
      </w:r>
      <w:r>
        <w:rPr>
          <w:i/>
        </w:rPr>
        <w:t>or</w:t>
      </w:r>
      <w:r>
        <w:rPr>
          <w:i/>
          <w:spacing w:val="-8"/>
        </w:rPr>
        <w:t xml:space="preserve"> </w:t>
      </w:r>
      <w:r>
        <w:rPr>
          <w:i/>
          <w:spacing w:val="1"/>
        </w:rPr>
        <w:t>other</w:t>
      </w:r>
      <w:r>
        <w:rPr>
          <w:i/>
          <w:spacing w:val="-7"/>
        </w:rPr>
        <w:t xml:space="preserve"> </w:t>
      </w:r>
      <w:r>
        <w:rPr>
          <w:i/>
          <w:spacing w:val="-1"/>
        </w:rPr>
        <w:t>small</w:t>
      </w:r>
      <w:r>
        <w:rPr>
          <w:i/>
          <w:spacing w:val="-6"/>
        </w:rPr>
        <w:t xml:space="preserve"> </w:t>
      </w:r>
      <w:r>
        <w:rPr>
          <w:i/>
        </w:rPr>
        <w:t>entities, describe</w:t>
      </w:r>
      <w:r>
        <w:rPr>
          <w:i/>
          <w:spacing w:val="-7"/>
        </w:rPr>
        <w:t xml:space="preserve"> </w:t>
      </w:r>
      <w:r>
        <w:rPr>
          <w:i/>
          <w:spacing w:val="1"/>
        </w:rPr>
        <w:t>any</w:t>
      </w:r>
      <w:r>
        <w:rPr>
          <w:i/>
          <w:spacing w:val="-11"/>
        </w:rPr>
        <w:t xml:space="preserve"> </w:t>
      </w:r>
      <w:r>
        <w:rPr>
          <w:i/>
          <w:spacing w:val="-1"/>
        </w:rPr>
        <w:t>methods</w:t>
      </w:r>
      <w:r>
        <w:rPr>
          <w:i/>
          <w:spacing w:val="-8"/>
        </w:rPr>
        <w:t xml:space="preserve"> </w:t>
      </w:r>
      <w:r>
        <w:rPr>
          <w:i/>
          <w:spacing w:val="-1"/>
        </w:rPr>
        <w:t>used</w:t>
      </w:r>
      <w:r>
        <w:rPr>
          <w:i/>
          <w:spacing w:val="-8"/>
        </w:rPr>
        <w:t xml:space="preserve"> </w:t>
      </w:r>
      <w:r>
        <w:rPr>
          <w:i/>
        </w:rPr>
        <w:t>to</w:t>
      </w:r>
      <w:r>
        <w:rPr>
          <w:i/>
          <w:spacing w:val="-8"/>
        </w:rPr>
        <w:t xml:space="preserve"> </w:t>
      </w:r>
      <w:r>
        <w:rPr>
          <w:i/>
        </w:rPr>
        <w:t>minimize</w:t>
      </w:r>
      <w:r>
        <w:rPr>
          <w:i/>
          <w:spacing w:val="-8"/>
        </w:rPr>
        <w:t xml:space="preserve"> </w:t>
      </w:r>
      <w:r>
        <w:rPr>
          <w:i/>
          <w:spacing w:val="-1"/>
        </w:rPr>
        <w:t>burden.</w:t>
      </w:r>
    </w:p>
    <w:p w:rsidR="00805FDC" w:rsidP="00805FDC" w14:paraId="5C7F5A58" w14:textId="77777777"/>
    <w:p w:rsidR="00805FDC" w:rsidP="00805FDC" w14:paraId="1CB9D762" w14:textId="77777777">
      <w:pPr>
        <w:ind w:firstLine="720"/>
        <w:rPr>
          <w:color w:val="000000"/>
        </w:rPr>
      </w:pPr>
      <w:r>
        <w:rPr>
          <w:color w:val="000000"/>
        </w:rPr>
        <w:t>There are no alternatives that would result in lowering the burden on small institutions, while still accomplishing the purpose of the rule.</w:t>
      </w:r>
    </w:p>
    <w:p w:rsidR="00B42548" w14:paraId="3DD7E943" w14:textId="77777777">
      <w:pPr>
        <w:pStyle w:val="BodyText"/>
        <w:rPr>
          <w:i/>
          <w:iCs/>
        </w:rPr>
      </w:pPr>
    </w:p>
    <w:p w:rsidR="00AE4C0C" w14:paraId="1F1C837D" w14:textId="3246EC06">
      <w:pPr>
        <w:pStyle w:val="BodyText"/>
        <w:rPr>
          <w:b w:val="0"/>
          <w:bCs w:val="0"/>
        </w:rPr>
      </w:pPr>
      <w:r>
        <w:rPr>
          <w:i/>
          <w:iCs/>
        </w:rPr>
        <w:t xml:space="preserve">6.  Consequences to the </w:t>
      </w:r>
      <w:r w:rsidR="00EC2B2B">
        <w:rPr>
          <w:i/>
          <w:iCs/>
        </w:rPr>
        <w:t>f</w:t>
      </w:r>
      <w:r>
        <w:rPr>
          <w:i/>
          <w:iCs/>
        </w:rPr>
        <w:t>ederal program if the collection were conducted less frequently:</w:t>
      </w:r>
    </w:p>
    <w:p w:rsidR="00AE4C0C" w14:paraId="23ED0537" w14:textId="77777777">
      <w:pPr>
        <w:pStyle w:val="BodyText"/>
        <w:rPr>
          <w:b w:val="0"/>
          <w:bCs w:val="0"/>
        </w:rPr>
      </w:pPr>
    </w:p>
    <w:p w:rsidR="00AE4C0C" w:rsidP="0064208B" w14:paraId="56EDC84D" w14:textId="77777777">
      <w:pPr>
        <w:pStyle w:val="BodyText"/>
        <w:ind w:firstLine="720"/>
        <w:rPr>
          <w:b w:val="0"/>
          <w:bCs w:val="0"/>
        </w:rPr>
      </w:pPr>
      <w:r>
        <w:rPr>
          <w:b w:val="0"/>
          <w:bCs w:val="0"/>
        </w:rPr>
        <w:t xml:space="preserve">The information collection requirements closely follow the Act, which requires institutions to provide an </w:t>
      </w:r>
      <w:r w:rsidR="001C6320">
        <w:rPr>
          <w:b w:val="0"/>
          <w:bCs w:val="0"/>
        </w:rPr>
        <w:t>annual</w:t>
      </w:r>
      <w:r>
        <w:rPr>
          <w:b w:val="0"/>
          <w:bCs w:val="0"/>
        </w:rPr>
        <w:t xml:space="preserve"> notice of their privacy policies and practices</w:t>
      </w:r>
      <w:r w:rsidRPr="008F7137" w:rsidR="008F7137">
        <w:rPr>
          <w:b w:val="0"/>
          <w:bCs w:val="0"/>
        </w:rPr>
        <w:t xml:space="preserve"> </w:t>
      </w:r>
      <w:r w:rsidR="008F7137">
        <w:rPr>
          <w:b w:val="0"/>
          <w:bCs w:val="0"/>
        </w:rPr>
        <w:t>to their customers</w:t>
      </w:r>
      <w:r>
        <w:rPr>
          <w:b w:val="0"/>
          <w:bCs w:val="0"/>
        </w:rPr>
        <w:t>, and to permit customers to opt-out of the disclosure of their personal information.  There is no flexibility under the Act to collect the information less frequently.</w:t>
      </w:r>
    </w:p>
    <w:p w:rsidR="00AE4C0C" w14:paraId="7B2A0A16" w14:textId="77777777">
      <w:pPr>
        <w:pStyle w:val="BodyText"/>
        <w:rPr>
          <w:b w:val="0"/>
          <w:bCs w:val="0"/>
        </w:rPr>
      </w:pPr>
    </w:p>
    <w:p w:rsidR="00AE4C0C" w14:paraId="16D1DF36" w14:textId="77777777">
      <w:pPr>
        <w:pStyle w:val="BodyText"/>
        <w:rPr>
          <w:b w:val="0"/>
          <w:bCs w:val="0"/>
        </w:rPr>
      </w:pPr>
      <w:r>
        <w:rPr>
          <w:i/>
          <w:iCs/>
        </w:rPr>
        <w:t xml:space="preserve">7.  Special circumstances necessitating collection inconsistent with 5 CFR </w:t>
      </w:r>
      <w:r w:rsidR="00805FDC">
        <w:rPr>
          <w:i/>
          <w:iCs/>
        </w:rPr>
        <w:t xml:space="preserve">part </w:t>
      </w:r>
      <w:r>
        <w:rPr>
          <w:i/>
          <w:iCs/>
        </w:rPr>
        <w:t>1320:</w:t>
      </w:r>
    </w:p>
    <w:p w:rsidR="00AE4C0C" w14:paraId="0C6CDFC8" w14:textId="77777777">
      <w:pPr>
        <w:pStyle w:val="BodyText"/>
        <w:rPr>
          <w:b w:val="0"/>
          <w:bCs w:val="0"/>
        </w:rPr>
      </w:pPr>
    </w:p>
    <w:p w:rsidR="00AE4C0C" w:rsidP="0064208B" w14:paraId="47D1A1DF" w14:textId="77777777">
      <w:pPr>
        <w:pStyle w:val="BodyText"/>
        <w:ind w:firstLine="720"/>
        <w:rPr>
          <w:b w:val="0"/>
          <w:bCs w:val="0"/>
        </w:rPr>
      </w:pPr>
      <w:r>
        <w:rPr>
          <w:b w:val="0"/>
          <w:bCs w:val="0"/>
        </w:rPr>
        <w:t xml:space="preserve">This collection is conducted consistent with the requirements of 5 CFR </w:t>
      </w:r>
      <w:r w:rsidR="00805FDC">
        <w:rPr>
          <w:b w:val="0"/>
          <w:bCs w:val="0"/>
        </w:rPr>
        <w:t xml:space="preserve">part </w:t>
      </w:r>
      <w:r>
        <w:rPr>
          <w:b w:val="0"/>
          <w:bCs w:val="0"/>
        </w:rPr>
        <w:t>1320.</w:t>
      </w:r>
    </w:p>
    <w:p w:rsidR="00AE4C0C" w14:paraId="503BB3EA" w14:textId="77777777">
      <w:pPr>
        <w:pStyle w:val="BodyText"/>
        <w:rPr>
          <w:b w:val="0"/>
          <w:bCs w:val="0"/>
        </w:rPr>
      </w:pPr>
    </w:p>
    <w:p w:rsidR="00AE4C0C" w14:paraId="1D71F1ED" w14:textId="77777777">
      <w:pPr>
        <w:pStyle w:val="BodyText"/>
        <w:rPr>
          <w:b w:val="0"/>
          <w:bCs w:val="0"/>
        </w:rPr>
      </w:pPr>
      <w:r>
        <w:rPr>
          <w:i/>
          <w:iCs/>
        </w:rPr>
        <w:t>8.  Efforts to consult with persons outside the agency:</w:t>
      </w:r>
    </w:p>
    <w:p w:rsidR="00AE4C0C" w14:paraId="375AC360" w14:textId="77777777">
      <w:pPr>
        <w:pStyle w:val="BodyText"/>
        <w:rPr>
          <w:b w:val="0"/>
          <w:bCs w:val="0"/>
        </w:rPr>
      </w:pPr>
    </w:p>
    <w:p w:rsidR="00AE4C0C" w:rsidP="0064208B" w14:paraId="30060F25" w14:textId="0DD7ED1F">
      <w:pPr>
        <w:ind w:firstLine="720"/>
        <w:rPr>
          <w:rFonts w:ascii="`" w:hAnsi="`"/>
          <w:color w:val="000000"/>
          <w:szCs w:val="24"/>
        </w:rPr>
      </w:pPr>
      <w:r>
        <w:t xml:space="preserve">The OCC published a notice regarding this collection on </w:t>
      </w:r>
      <w:r w:rsidR="00C63953">
        <w:t>October 2, 2025</w:t>
      </w:r>
      <w:r w:rsidR="00685BD3">
        <w:t xml:space="preserve">, </w:t>
      </w:r>
      <w:r w:rsidR="00CF4B32">
        <w:t>90</w:t>
      </w:r>
      <w:r w:rsidR="00685BD3">
        <w:t xml:space="preserve"> FR </w:t>
      </w:r>
      <w:r w:rsidR="00C63953">
        <w:t>47905</w:t>
      </w:r>
      <w:r>
        <w:t>.</w:t>
      </w:r>
      <w:r w:rsidR="008239FD">
        <w:t xml:space="preserve">  No</w:t>
      </w:r>
      <w:r w:rsidR="00C63953">
        <w:t xml:space="preserve"> comments were received</w:t>
      </w:r>
      <w:r w:rsidR="008239FD">
        <w:t>.</w:t>
      </w:r>
      <w:r>
        <w:t xml:space="preserve">  </w:t>
      </w:r>
    </w:p>
    <w:p w:rsidR="00AE4C0C" w14:paraId="737FCD0A" w14:textId="77777777">
      <w:pPr>
        <w:pStyle w:val="BodyText"/>
        <w:rPr>
          <w:b w:val="0"/>
          <w:bCs w:val="0"/>
        </w:rPr>
      </w:pPr>
    </w:p>
    <w:p w:rsidR="00AE4C0C" w14:paraId="08E9E73B" w14:textId="77777777">
      <w:pPr>
        <w:pStyle w:val="BodyText"/>
        <w:rPr>
          <w:b w:val="0"/>
          <w:bCs w:val="0"/>
        </w:rPr>
      </w:pPr>
      <w:r>
        <w:rPr>
          <w:i/>
          <w:iCs/>
        </w:rPr>
        <w:t>9.  Payment to respondents:</w:t>
      </w:r>
    </w:p>
    <w:p w:rsidR="00AE4C0C" w14:paraId="105879CF" w14:textId="77777777">
      <w:pPr>
        <w:pStyle w:val="BodyText"/>
        <w:rPr>
          <w:b w:val="0"/>
          <w:bCs w:val="0"/>
        </w:rPr>
      </w:pPr>
    </w:p>
    <w:p w:rsidR="00AE4C0C" w:rsidP="0064208B" w14:paraId="2D45B698" w14:textId="77777777">
      <w:pPr>
        <w:pStyle w:val="BodyText"/>
        <w:ind w:firstLine="720"/>
        <w:rPr>
          <w:b w:val="0"/>
          <w:bCs w:val="0"/>
        </w:rPr>
      </w:pPr>
      <w:r>
        <w:rPr>
          <w:b w:val="0"/>
          <w:bCs w:val="0"/>
        </w:rPr>
        <w:t>Not applicable.</w:t>
      </w:r>
    </w:p>
    <w:p w:rsidR="00AE4C0C" w14:paraId="667AA821" w14:textId="77777777">
      <w:pPr>
        <w:pStyle w:val="BodyText"/>
        <w:rPr>
          <w:b w:val="0"/>
          <w:bCs w:val="0"/>
        </w:rPr>
      </w:pPr>
    </w:p>
    <w:p w:rsidR="00AE4C0C" w14:paraId="0A90DBB3" w14:textId="77777777">
      <w:pPr>
        <w:pStyle w:val="BodyText"/>
        <w:rPr>
          <w:b w:val="0"/>
          <w:bCs w:val="0"/>
        </w:rPr>
      </w:pPr>
      <w:r>
        <w:rPr>
          <w:i/>
          <w:iCs/>
        </w:rPr>
        <w:t>10.  Any assurance of confidentiality:</w:t>
      </w:r>
    </w:p>
    <w:p w:rsidR="00AE4C0C" w14:paraId="7249101B" w14:textId="77777777">
      <w:pPr>
        <w:pStyle w:val="BodyText"/>
        <w:rPr>
          <w:b w:val="0"/>
          <w:bCs w:val="0"/>
        </w:rPr>
      </w:pPr>
    </w:p>
    <w:p w:rsidR="00AE4C0C" w:rsidP="0064208B" w14:paraId="77FBD0D8" w14:textId="77777777">
      <w:pPr>
        <w:pStyle w:val="BodyText"/>
        <w:ind w:firstLine="720"/>
        <w:rPr>
          <w:b w:val="0"/>
          <w:bCs w:val="0"/>
        </w:rPr>
      </w:pPr>
      <w:r>
        <w:rPr>
          <w:b w:val="0"/>
          <w:bCs w:val="0"/>
        </w:rPr>
        <w:t>Not applicable.</w:t>
      </w:r>
    </w:p>
    <w:p w:rsidR="00AE4C0C" w14:paraId="1287E42F" w14:textId="77777777">
      <w:pPr>
        <w:pStyle w:val="BodyText"/>
        <w:rPr>
          <w:b w:val="0"/>
          <w:bCs w:val="0"/>
        </w:rPr>
      </w:pPr>
    </w:p>
    <w:p w:rsidR="00AE4C0C" w14:paraId="0249A057" w14:textId="77777777">
      <w:pPr>
        <w:pStyle w:val="BodyText"/>
        <w:rPr>
          <w:b w:val="0"/>
          <w:bCs w:val="0"/>
        </w:rPr>
      </w:pPr>
      <w:r>
        <w:rPr>
          <w:i/>
          <w:iCs/>
        </w:rPr>
        <w:t>11.  Justification for questions of a sensitive nature:</w:t>
      </w:r>
    </w:p>
    <w:p w:rsidR="00AE4C0C" w14:paraId="5D98E519" w14:textId="77777777">
      <w:pPr>
        <w:pStyle w:val="BodyText"/>
        <w:rPr>
          <w:b w:val="0"/>
          <w:bCs w:val="0"/>
        </w:rPr>
      </w:pPr>
    </w:p>
    <w:p w:rsidR="00AE4C0C" w:rsidP="0064208B" w14:paraId="4D99D277" w14:textId="77777777">
      <w:pPr>
        <w:pStyle w:val="BodyText"/>
        <w:ind w:firstLine="360"/>
        <w:rPr>
          <w:b w:val="0"/>
          <w:bCs w:val="0"/>
        </w:rPr>
      </w:pPr>
      <w:r>
        <w:rPr>
          <w:b w:val="0"/>
          <w:bCs w:val="0"/>
        </w:rPr>
        <w:t>There are no questions of a sensitive nature.</w:t>
      </w:r>
    </w:p>
    <w:p w:rsidR="00AE4C0C" w14:paraId="212BFCAB" w14:textId="77777777">
      <w:pPr>
        <w:pStyle w:val="BodyText"/>
        <w:rPr>
          <w:b w:val="0"/>
          <w:bCs w:val="0"/>
        </w:rPr>
      </w:pPr>
    </w:p>
    <w:p w:rsidR="00AE4C0C" w:rsidP="00373BE3" w14:paraId="2F88F301" w14:textId="77777777">
      <w:pPr>
        <w:pStyle w:val="BodyText"/>
        <w:numPr>
          <w:ilvl w:val="0"/>
          <w:numId w:val="17"/>
        </w:numPr>
        <w:tabs>
          <w:tab w:val="num" w:pos="360"/>
          <w:tab w:val="clear" w:pos="780"/>
        </w:tabs>
        <w:ind w:hanging="780"/>
        <w:rPr>
          <w:i/>
          <w:iCs/>
        </w:rPr>
      </w:pPr>
      <w:r>
        <w:rPr>
          <w:i/>
          <w:iCs/>
        </w:rPr>
        <w:t>Burden estimate:</w:t>
      </w:r>
    </w:p>
    <w:p w:rsidR="00AE4C0C" w14:paraId="33DF40C2" w14:textId="77777777">
      <w:pPr>
        <w:pStyle w:val="BodyText"/>
        <w:rPr>
          <w:i/>
          <w:iCs/>
        </w:rPr>
      </w:pPr>
    </w:p>
    <w:p w:rsidR="00AE4C0C" w:rsidP="0064208B" w14:paraId="16C432B0" w14:textId="77777777">
      <w:pPr>
        <w:pStyle w:val="BodyText"/>
        <w:ind w:firstLine="360"/>
        <w:rPr>
          <w:b w:val="0"/>
          <w:bCs w:val="0"/>
        </w:rPr>
      </w:pPr>
      <w:r>
        <w:rPr>
          <w:b w:val="0"/>
          <w:bCs w:val="0"/>
        </w:rPr>
        <w:t>The information collection requirements and burden estimate are as follows:</w:t>
      </w:r>
    </w:p>
    <w:p w:rsidR="00AE4C0C" w14:paraId="7FD9461A" w14:textId="77777777">
      <w:pPr>
        <w:pStyle w:val="ArticleNumber"/>
        <w:numPr>
          <w:ilvl w:val="0"/>
          <w:numId w:val="0"/>
        </w:num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7"/>
        <w:gridCol w:w="3742"/>
        <w:gridCol w:w="1333"/>
        <w:gridCol w:w="1388"/>
        <w:gridCol w:w="1150"/>
      </w:tblGrid>
      <w:tr w14:paraId="5872E75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blHeader/>
        </w:trPr>
        <w:tc>
          <w:tcPr>
            <w:tcW w:w="1773" w:type="dxa"/>
          </w:tcPr>
          <w:p w:rsidR="00AE4C0C" w14:paraId="4D634E2D" w14:textId="77777777">
            <w:pPr>
              <w:pStyle w:val="ArticleNumber"/>
              <w:numPr>
                <w:ilvl w:val="0"/>
                <w:numId w:val="0"/>
              </w:numPr>
              <w:spacing w:line="240" w:lineRule="auto"/>
              <w:rPr>
                <w:b/>
                <w:bCs/>
                <w:sz w:val="20"/>
              </w:rPr>
            </w:pPr>
            <w:r>
              <w:rPr>
                <w:b/>
                <w:bCs/>
                <w:sz w:val="20"/>
              </w:rPr>
              <w:t>Cite</w:t>
            </w:r>
          </w:p>
          <w:p w:rsidR="00AE4C0C" w14:paraId="75BB0290" w14:textId="77777777">
            <w:pPr>
              <w:jc w:val="center"/>
              <w:rPr>
                <w:b/>
                <w:bCs/>
                <w:sz w:val="20"/>
              </w:rPr>
            </w:pPr>
            <w:r>
              <w:rPr>
                <w:b/>
                <w:bCs/>
                <w:sz w:val="20"/>
              </w:rPr>
              <w:t>and</w:t>
            </w:r>
          </w:p>
          <w:p w:rsidR="00AE4C0C" w14:paraId="225E55EF" w14:textId="77777777">
            <w:pPr>
              <w:jc w:val="center"/>
              <w:rPr>
                <w:b/>
                <w:bCs/>
                <w:sz w:val="20"/>
              </w:rPr>
            </w:pPr>
            <w:r>
              <w:rPr>
                <w:b/>
                <w:bCs/>
                <w:sz w:val="20"/>
              </w:rPr>
              <w:t>Burden Type</w:t>
            </w:r>
          </w:p>
        </w:tc>
        <w:tc>
          <w:tcPr>
            <w:tcW w:w="3895" w:type="dxa"/>
          </w:tcPr>
          <w:p w:rsidR="00AE4C0C" w14:paraId="181382F9" w14:textId="77777777">
            <w:pPr>
              <w:jc w:val="center"/>
              <w:rPr>
                <w:b/>
                <w:bCs/>
                <w:sz w:val="20"/>
              </w:rPr>
            </w:pPr>
            <w:r>
              <w:rPr>
                <w:b/>
                <w:bCs/>
                <w:sz w:val="20"/>
              </w:rPr>
              <w:t>Requirements</w:t>
            </w:r>
          </w:p>
          <w:p w:rsidR="00AE4C0C" w14:paraId="3F94596F" w14:textId="77777777">
            <w:pPr>
              <w:jc w:val="center"/>
              <w:rPr>
                <w:b/>
                <w:bCs/>
                <w:sz w:val="20"/>
              </w:rPr>
            </w:pPr>
            <w:r>
              <w:rPr>
                <w:b/>
                <w:bCs/>
                <w:sz w:val="20"/>
              </w:rPr>
              <w:t>in</w:t>
            </w:r>
          </w:p>
          <w:p w:rsidR="00AE4C0C" w:rsidP="00EF0516" w14:paraId="3937BC09" w14:textId="77777777">
            <w:pPr>
              <w:jc w:val="center"/>
              <w:rPr>
                <w:b/>
                <w:bCs/>
                <w:sz w:val="20"/>
              </w:rPr>
            </w:pPr>
            <w:r>
              <w:rPr>
                <w:b/>
                <w:bCs/>
                <w:sz w:val="20"/>
              </w:rPr>
              <w:t xml:space="preserve">12 CFR Part </w:t>
            </w:r>
            <w:r w:rsidR="00EF0516">
              <w:rPr>
                <w:b/>
                <w:bCs/>
                <w:sz w:val="20"/>
              </w:rPr>
              <w:t>1016</w:t>
            </w:r>
          </w:p>
        </w:tc>
        <w:tc>
          <w:tcPr>
            <w:tcW w:w="1335" w:type="dxa"/>
          </w:tcPr>
          <w:p w:rsidR="00AE4C0C" w14:paraId="2A356E67" w14:textId="77777777">
            <w:pPr>
              <w:pStyle w:val="ArticleNumber"/>
              <w:numPr>
                <w:ilvl w:val="0"/>
                <w:numId w:val="0"/>
              </w:numPr>
              <w:spacing w:line="240" w:lineRule="auto"/>
              <w:rPr>
                <w:b/>
                <w:bCs/>
                <w:sz w:val="20"/>
              </w:rPr>
            </w:pPr>
            <w:r>
              <w:rPr>
                <w:b/>
                <w:bCs/>
                <w:sz w:val="20"/>
              </w:rPr>
              <w:t>Number</w:t>
            </w:r>
          </w:p>
          <w:p w:rsidR="00AE4C0C" w14:paraId="5ED923AF" w14:textId="77777777">
            <w:pPr>
              <w:pStyle w:val="ArticleNumber"/>
              <w:numPr>
                <w:ilvl w:val="0"/>
                <w:numId w:val="0"/>
              </w:numPr>
              <w:spacing w:line="240" w:lineRule="auto"/>
              <w:rPr>
                <w:b/>
                <w:bCs/>
                <w:sz w:val="20"/>
              </w:rPr>
            </w:pPr>
            <w:r>
              <w:rPr>
                <w:b/>
                <w:bCs/>
                <w:sz w:val="20"/>
              </w:rPr>
              <w:t>of</w:t>
            </w:r>
          </w:p>
          <w:p w:rsidR="00AE4C0C" w14:paraId="4B3AC83D" w14:textId="77777777">
            <w:pPr>
              <w:pStyle w:val="ArticleNumber"/>
              <w:numPr>
                <w:ilvl w:val="0"/>
                <w:numId w:val="0"/>
              </w:numPr>
              <w:spacing w:line="240" w:lineRule="auto"/>
              <w:rPr>
                <w:b/>
                <w:bCs/>
                <w:sz w:val="20"/>
              </w:rPr>
            </w:pPr>
            <w:r>
              <w:rPr>
                <w:b/>
                <w:bCs/>
                <w:sz w:val="20"/>
              </w:rPr>
              <w:t>Respondents</w:t>
            </w:r>
          </w:p>
        </w:tc>
        <w:tc>
          <w:tcPr>
            <w:tcW w:w="1420" w:type="dxa"/>
          </w:tcPr>
          <w:p w:rsidR="00AE4C0C" w14:paraId="2920B9EF" w14:textId="77777777">
            <w:pPr>
              <w:pStyle w:val="ArticleNumber"/>
              <w:numPr>
                <w:ilvl w:val="0"/>
                <w:numId w:val="0"/>
              </w:numPr>
              <w:spacing w:line="240" w:lineRule="auto"/>
              <w:rPr>
                <w:b/>
                <w:bCs/>
                <w:sz w:val="20"/>
              </w:rPr>
            </w:pPr>
            <w:r>
              <w:rPr>
                <w:b/>
                <w:bCs/>
                <w:sz w:val="20"/>
              </w:rPr>
              <w:t>Average</w:t>
            </w:r>
          </w:p>
          <w:p w:rsidR="00AE4C0C" w14:paraId="6789BD45" w14:textId="77777777">
            <w:pPr>
              <w:jc w:val="center"/>
              <w:rPr>
                <w:b/>
                <w:bCs/>
                <w:sz w:val="20"/>
              </w:rPr>
            </w:pPr>
            <w:r>
              <w:rPr>
                <w:b/>
                <w:bCs/>
                <w:sz w:val="20"/>
              </w:rPr>
              <w:t>Hours Per</w:t>
            </w:r>
          </w:p>
          <w:p w:rsidR="00AE4C0C" w14:paraId="2A2EE9CB" w14:textId="77777777">
            <w:pPr>
              <w:jc w:val="center"/>
              <w:rPr>
                <w:b/>
                <w:bCs/>
                <w:sz w:val="20"/>
              </w:rPr>
            </w:pPr>
            <w:r>
              <w:rPr>
                <w:b/>
                <w:bCs/>
                <w:sz w:val="20"/>
              </w:rPr>
              <w:t>Response</w:t>
            </w:r>
          </w:p>
        </w:tc>
        <w:tc>
          <w:tcPr>
            <w:tcW w:w="1153" w:type="dxa"/>
          </w:tcPr>
          <w:p w:rsidR="00AE4C0C" w14:paraId="64CBCF89" w14:textId="77777777">
            <w:pPr>
              <w:pStyle w:val="ArticleNumber"/>
              <w:numPr>
                <w:ilvl w:val="0"/>
                <w:numId w:val="0"/>
              </w:numPr>
              <w:spacing w:line="240" w:lineRule="auto"/>
              <w:rPr>
                <w:b/>
                <w:bCs/>
                <w:sz w:val="20"/>
              </w:rPr>
            </w:pPr>
            <w:r>
              <w:rPr>
                <w:b/>
                <w:bCs/>
                <w:sz w:val="20"/>
              </w:rPr>
              <w:t>Estimated</w:t>
            </w:r>
          </w:p>
          <w:p w:rsidR="00AE4C0C" w14:paraId="79E59CD9" w14:textId="77777777">
            <w:pPr>
              <w:jc w:val="center"/>
              <w:rPr>
                <w:b/>
                <w:bCs/>
                <w:sz w:val="20"/>
              </w:rPr>
            </w:pPr>
            <w:r>
              <w:rPr>
                <w:b/>
                <w:bCs/>
                <w:sz w:val="20"/>
              </w:rPr>
              <w:t>Burden</w:t>
            </w:r>
          </w:p>
          <w:p w:rsidR="00AE4C0C" w14:paraId="78BF281D" w14:textId="77777777">
            <w:pPr>
              <w:jc w:val="center"/>
              <w:rPr>
                <w:b/>
                <w:bCs/>
                <w:sz w:val="20"/>
              </w:rPr>
            </w:pPr>
            <w:r>
              <w:rPr>
                <w:b/>
                <w:bCs/>
                <w:sz w:val="20"/>
              </w:rPr>
              <w:t>Hours</w:t>
            </w:r>
          </w:p>
        </w:tc>
      </w:tr>
      <w:tr w14:paraId="2B9D3E6C" w14:textId="77777777">
        <w:tblPrEx>
          <w:tblW w:w="0" w:type="auto"/>
          <w:tblLook w:val="0000"/>
        </w:tblPrEx>
        <w:tc>
          <w:tcPr>
            <w:tcW w:w="1773" w:type="dxa"/>
          </w:tcPr>
          <w:p w:rsidR="00AE4C0C" w14:paraId="4B217907" w14:textId="77777777">
            <w:pPr>
              <w:rPr>
                <w:sz w:val="20"/>
              </w:rPr>
            </w:pPr>
            <w:r>
              <w:rPr>
                <w:sz w:val="20"/>
              </w:rPr>
              <w:t xml:space="preserve">12 CFR </w:t>
            </w:r>
            <w:r w:rsidR="00EF0516">
              <w:rPr>
                <w:sz w:val="20"/>
              </w:rPr>
              <w:t>1016</w:t>
            </w:r>
            <w:r>
              <w:rPr>
                <w:sz w:val="20"/>
              </w:rPr>
              <w:t>.4(a)</w:t>
            </w:r>
          </w:p>
          <w:p w:rsidR="00AE4C0C" w14:paraId="5E2CD084" w14:textId="77777777">
            <w:pPr>
              <w:rPr>
                <w:sz w:val="20"/>
              </w:rPr>
            </w:pPr>
            <w:r>
              <w:rPr>
                <w:sz w:val="20"/>
              </w:rPr>
              <w:t>Disclosure</w:t>
            </w:r>
          </w:p>
          <w:p w:rsidR="00AE4C0C" w14:paraId="78484306" w14:textId="77777777">
            <w:pPr>
              <w:rPr>
                <w:sz w:val="20"/>
              </w:rPr>
            </w:pPr>
            <w:r>
              <w:rPr>
                <w:sz w:val="20"/>
              </w:rPr>
              <w:t>(institution)</w:t>
            </w:r>
          </w:p>
        </w:tc>
        <w:tc>
          <w:tcPr>
            <w:tcW w:w="3895" w:type="dxa"/>
          </w:tcPr>
          <w:p w:rsidR="00AE4C0C" w14:paraId="07402CAD" w14:textId="4856C1E1">
            <w:pPr>
              <w:rPr>
                <w:sz w:val="20"/>
              </w:rPr>
            </w:pPr>
            <w:r>
              <w:rPr>
                <w:i/>
                <w:iCs/>
                <w:sz w:val="20"/>
                <w:u w:val="single"/>
              </w:rPr>
              <w:t>Initial privacy notice to consumers requirement</w:t>
            </w:r>
            <w:r>
              <w:rPr>
                <w:sz w:val="20"/>
              </w:rPr>
              <w:t xml:space="preserve"> – A bank must provide a clear and conspicuous notice that accurately reflects its privacy policies and practices to customers and consumers.</w:t>
            </w:r>
          </w:p>
        </w:tc>
        <w:tc>
          <w:tcPr>
            <w:tcW w:w="1335" w:type="dxa"/>
          </w:tcPr>
          <w:p w:rsidR="00AE4C0C" w14:paraId="43FEA71D" w14:textId="77777777">
            <w:pPr>
              <w:jc w:val="right"/>
              <w:rPr>
                <w:sz w:val="20"/>
              </w:rPr>
            </w:pPr>
            <w:r>
              <w:rPr>
                <w:sz w:val="20"/>
              </w:rPr>
              <w:t>3</w:t>
            </w:r>
          </w:p>
        </w:tc>
        <w:tc>
          <w:tcPr>
            <w:tcW w:w="1420" w:type="dxa"/>
          </w:tcPr>
          <w:p w:rsidR="00AE4C0C" w14:paraId="1B5DDB34" w14:textId="77777777">
            <w:pPr>
              <w:jc w:val="right"/>
              <w:rPr>
                <w:sz w:val="20"/>
              </w:rPr>
            </w:pPr>
            <w:r>
              <w:rPr>
                <w:sz w:val="20"/>
              </w:rPr>
              <w:t>80</w:t>
            </w:r>
          </w:p>
        </w:tc>
        <w:tc>
          <w:tcPr>
            <w:tcW w:w="1153" w:type="dxa"/>
          </w:tcPr>
          <w:p w:rsidR="00AE4C0C" w14:paraId="7AAF214B" w14:textId="77777777">
            <w:pPr>
              <w:jc w:val="right"/>
              <w:rPr>
                <w:sz w:val="20"/>
              </w:rPr>
            </w:pPr>
            <w:r>
              <w:rPr>
                <w:sz w:val="20"/>
              </w:rPr>
              <w:t>240</w:t>
            </w:r>
          </w:p>
        </w:tc>
      </w:tr>
      <w:tr w14:paraId="6AA3624F" w14:textId="77777777" w:rsidTr="00AE009B">
        <w:tblPrEx>
          <w:tblW w:w="0" w:type="auto"/>
          <w:tblLook w:val="0000"/>
        </w:tblPrEx>
        <w:tc>
          <w:tcPr>
            <w:tcW w:w="1773" w:type="dxa"/>
            <w:tcBorders>
              <w:bottom w:val="single" w:sz="4" w:space="0" w:color="auto"/>
            </w:tcBorders>
          </w:tcPr>
          <w:p w:rsidR="00AE4C0C" w14:paraId="4A707898" w14:textId="77777777">
            <w:pPr>
              <w:rPr>
                <w:sz w:val="20"/>
              </w:rPr>
            </w:pPr>
            <w:r>
              <w:rPr>
                <w:sz w:val="20"/>
              </w:rPr>
              <w:t xml:space="preserve">12 CFR </w:t>
            </w:r>
            <w:r w:rsidR="00EF0516">
              <w:rPr>
                <w:sz w:val="20"/>
              </w:rPr>
              <w:t>1016</w:t>
            </w:r>
            <w:r>
              <w:rPr>
                <w:sz w:val="20"/>
              </w:rPr>
              <w:t>.5(a)</w:t>
            </w:r>
            <w:r w:rsidR="00A66E5E">
              <w:rPr>
                <w:sz w:val="20"/>
              </w:rPr>
              <w:t>(1)</w:t>
            </w:r>
          </w:p>
          <w:p w:rsidR="00AE4C0C" w14:paraId="57CF445F" w14:textId="77777777">
            <w:pPr>
              <w:rPr>
                <w:sz w:val="20"/>
              </w:rPr>
            </w:pPr>
            <w:r>
              <w:rPr>
                <w:sz w:val="20"/>
              </w:rPr>
              <w:t>Disclosure</w:t>
            </w:r>
          </w:p>
          <w:p w:rsidR="00AE4C0C" w14:paraId="457ED298" w14:textId="77777777">
            <w:pPr>
              <w:rPr>
                <w:sz w:val="20"/>
              </w:rPr>
            </w:pPr>
            <w:r>
              <w:rPr>
                <w:sz w:val="20"/>
              </w:rPr>
              <w:t>(institution)</w:t>
            </w:r>
          </w:p>
          <w:p w:rsidR="00CC227C" w14:paraId="2D61E225" w14:textId="77777777">
            <w:pPr>
              <w:rPr>
                <w:sz w:val="20"/>
              </w:rPr>
            </w:pPr>
          </w:p>
          <w:p w:rsidR="00CC227C" w:rsidP="00CC227C" w14:paraId="1F2D5F83" w14:textId="77777777">
            <w:pPr>
              <w:rPr>
                <w:sz w:val="20"/>
              </w:rPr>
            </w:pPr>
          </w:p>
          <w:p w:rsidR="00CC227C" w:rsidP="00CC227C" w14:paraId="2AB5F5AA" w14:textId="77777777">
            <w:pPr>
              <w:rPr>
                <w:sz w:val="20"/>
              </w:rPr>
            </w:pPr>
          </w:p>
          <w:p w:rsidR="00CC227C" w:rsidP="00CC227C" w14:paraId="219E42C4" w14:textId="2A85BD31">
            <w:pPr>
              <w:rPr>
                <w:sz w:val="20"/>
              </w:rPr>
            </w:pPr>
            <w:r>
              <w:rPr>
                <w:sz w:val="20"/>
              </w:rPr>
              <w:t xml:space="preserve">12 CFR </w:t>
            </w:r>
            <w:r w:rsidR="00EF0516">
              <w:rPr>
                <w:sz w:val="20"/>
              </w:rPr>
              <w:t>1016</w:t>
            </w:r>
            <w:r>
              <w:rPr>
                <w:sz w:val="20"/>
              </w:rPr>
              <w:t>.8</w:t>
            </w:r>
            <w:r w:rsidR="00D95BEA">
              <w:rPr>
                <w:sz w:val="20"/>
              </w:rPr>
              <w:t>(a)</w:t>
            </w:r>
          </w:p>
          <w:p w:rsidR="00CC227C" w:rsidP="00CC227C" w14:paraId="4F742208" w14:textId="77777777">
            <w:pPr>
              <w:rPr>
                <w:sz w:val="20"/>
              </w:rPr>
            </w:pPr>
            <w:r>
              <w:rPr>
                <w:sz w:val="20"/>
              </w:rPr>
              <w:t>Disclosure</w:t>
            </w:r>
          </w:p>
          <w:p w:rsidR="00CC227C" w:rsidP="00CC227C" w14:paraId="354A7C07" w14:textId="77777777">
            <w:pPr>
              <w:rPr>
                <w:sz w:val="20"/>
              </w:rPr>
            </w:pPr>
            <w:r>
              <w:rPr>
                <w:sz w:val="20"/>
              </w:rPr>
              <w:t>(institution)</w:t>
            </w:r>
          </w:p>
        </w:tc>
        <w:tc>
          <w:tcPr>
            <w:tcW w:w="3895" w:type="dxa"/>
            <w:tcBorders>
              <w:bottom w:val="single" w:sz="4" w:space="0" w:color="auto"/>
            </w:tcBorders>
          </w:tcPr>
          <w:p w:rsidR="00AE4C0C" w14:paraId="0584DA55" w14:textId="77777777">
            <w:pPr>
              <w:rPr>
                <w:sz w:val="20"/>
              </w:rPr>
            </w:pPr>
            <w:r>
              <w:rPr>
                <w:i/>
                <w:iCs/>
                <w:sz w:val="20"/>
                <w:u w:val="single"/>
              </w:rPr>
              <w:t>Annual privacy notice to customers requirement</w:t>
            </w:r>
            <w:r>
              <w:rPr>
                <w:sz w:val="20"/>
              </w:rPr>
              <w:t xml:space="preserve"> – A bank must provide a clear </w:t>
            </w:r>
            <w:r>
              <w:rPr>
                <w:sz w:val="20"/>
              </w:rPr>
              <w:t>and conspicuous notice to customers that accurately reflects its privacy policies and practices not less than annually during the continuation of the customer relationship.</w:t>
            </w:r>
          </w:p>
          <w:p w:rsidR="00A66E5E" w14:paraId="54B8B4C9" w14:textId="77777777">
            <w:pPr>
              <w:rPr>
                <w:i/>
                <w:iCs/>
                <w:sz w:val="20"/>
                <w:u w:val="single"/>
              </w:rPr>
            </w:pPr>
          </w:p>
          <w:p w:rsidR="00CC227C" w14:paraId="4CFC6EEA" w14:textId="42373A40">
            <w:pPr>
              <w:rPr>
                <w:sz w:val="20"/>
              </w:rPr>
            </w:pPr>
            <w:r>
              <w:rPr>
                <w:i/>
                <w:iCs/>
                <w:sz w:val="20"/>
                <w:u w:val="single"/>
              </w:rPr>
              <w:t>Revised privacy notices</w:t>
            </w:r>
            <w:r>
              <w:rPr>
                <w:sz w:val="20"/>
              </w:rPr>
              <w:t xml:space="preserve"> – If a bank wishes to disclose information in a way that is inconsistent with the notices previously given to a consumer, the bank must provide consumers with a revised notice of the bank’s policies and procedures and a new opt out notice</w:t>
            </w:r>
            <w:r w:rsidR="00A46003">
              <w:rPr>
                <w:sz w:val="20"/>
              </w:rPr>
              <w:t xml:space="preserve"> </w:t>
            </w:r>
            <w:r w:rsidR="00135782">
              <w:rPr>
                <w:sz w:val="20"/>
              </w:rPr>
              <w:t>and also</w:t>
            </w:r>
            <w:r w:rsidR="00A46003">
              <w:rPr>
                <w:sz w:val="20"/>
              </w:rPr>
              <w:t xml:space="preserve"> provide the consumer </w:t>
            </w:r>
            <w:r w:rsidR="00135782">
              <w:rPr>
                <w:sz w:val="20"/>
              </w:rPr>
              <w:t xml:space="preserve">with a reasonable </w:t>
            </w:r>
            <w:r w:rsidR="00A46003">
              <w:rPr>
                <w:sz w:val="20"/>
              </w:rPr>
              <w:t>opportunity to opt out</w:t>
            </w:r>
            <w:r>
              <w:rPr>
                <w:sz w:val="20"/>
              </w:rPr>
              <w:t>.</w:t>
            </w:r>
          </w:p>
        </w:tc>
        <w:tc>
          <w:tcPr>
            <w:tcW w:w="1335" w:type="dxa"/>
            <w:tcBorders>
              <w:bottom w:val="single" w:sz="4" w:space="0" w:color="auto"/>
            </w:tcBorders>
          </w:tcPr>
          <w:p w:rsidR="00AE4C0C" w14:paraId="0B37F66E" w14:textId="3330AD67">
            <w:pPr>
              <w:jc w:val="right"/>
              <w:rPr>
                <w:sz w:val="20"/>
              </w:rPr>
            </w:pPr>
            <w:r>
              <w:rPr>
                <w:sz w:val="20"/>
              </w:rPr>
              <w:t>1,0</w:t>
            </w:r>
            <w:r w:rsidR="001933B3">
              <w:rPr>
                <w:sz w:val="20"/>
              </w:rPr>
              <w:t>1</w:t>
            </w:r>
            <w:r>
              <w:rPr>
                <w:sz w:val="20"/>
              </w:rPr>
              <w:t>6</w:t>
            </w:r>
          </w:p>
        </w:tc>
        <w:tc>
          <w:tcPr>
            <w:tcW w:w="1420" w:type="dxa"/>
            <w:tcBorders>
              <w:bottom w:val="single" w:sz="4" w:space="0" w:color="auto"/>
            </w:tcBorders>
          </w:tcPr>
          <w:p w:rsidR="00AE4C0C" w14:paraId="7CF59141" w14:textId="77777777">
            <w:pPr>
              <w:jc w:val="right"/>
              <w:rPr>
                <w:sz w:val="20"/>
              </w:rPr>
            </w:pPr>
            <w:r>
              <w:rPr>
                <w:sz w:val="20"/>
              </w:rPr>
              <w:t>8</w:t>
            </w:r>
          </w:p>
        </w:tc>
        <w:tc>
          <w:tcPr>
            <w:tcW w:w="1153" w:type="dxa"/>
            <w:tcBorders>
              <w:bottom w:val="single" w:sz="4" w:space="0" w:color="auto"/>
            </w:tcBorders>
          </w:tcPr>
          <w:p w:rsidR="00AE4C0C" w:rsidP="00A57062" w14:paraId="73D26CC3" w14:textId="6D792A1F">
            <w:pPr>
              <w:jc w:val="right"/>
              <w:rPr>
                <w:sz w:val="20"/>
              </w:rPr>
            </w:pPr>
            <w:r>
              <w:rPr>
                <w:sz w:val="20"/>
              </w:rPr>
              <w:t>8,</w:t>
            </w:r>
            <w:r w:rsidR="001933B3">
              <w:rPr>
                <w:sz w:val="20"/>
              </w:rPr>
              <w:t>128</w:t>
            </w:r>
          </w:p>
        </w:tc>
      </w:tr>
      <w:tr w14:paraId="5A563439" w14:textId="77777777" w:rsidTr="00AE009B">
        <w:tblPrEx>
          <w:tblW w:w="0" w:type="auto"/>
          <w:tblLook w:val="0000"/>
        </w:tblPrEx>
        <w:trPr>
          <w:cantSplit/>
        </w:trPr>
        <w:tc>
          <w:tcPr>
            <w:tcW w:w="1773" w:type="dxa"/>
            <w:tcBorders>
              <w:bottom w:val="single" w:sz="4" w:space="0" w:color="auto"/>
            </w:tcBorders>
          </w:tcPr>
          <w:p w:rsidR="00AE4C0C" w14:paraId="18FF5914" w14:textId="77777777">
            <w:pPr>
              <w:rPr>
                <w:sz w:val="20"/>
              </w:rPr>
            </w:pPr>
            <w:r>
              <w:rPr>
                <w:sz w:val="20"/>
              </w:rPr>
              <w:t xml:space="preserve">12 CFR </w:t>
            </w:r>
            <w:r w:rsidR="00EF0516">
              <w:rPr>
                <w:sz w:val="20"/>
              </w:rPr>
              <w:t>1016</w:t>
            </w:r>
            <w:r>
              <w:rPr>
                <w:sz w:val="20"/>
              </w:rPr>
              <w:t>.7(a)</w:t>
            </w:r>
          </w:p>
          <w:p w:rsidR="00AE4C0C" w14:paraId="170908B8" w14:textId="77777777">
            <w:pPr>
              <w:rPr>
                <w:sz w:val="20"/>
              </w:rPr>
            </w:pPr>
            <w:r>
              <w:rPr>
                <w:sz w:val="20"/>
              </w:rPr>
              <w:t>Disclosure</w:t>
            </w:r>
          </w:p>
          <w:p w:rsidR="00AE4C0C" w14:paraId="50A03403" w14:textId="77777777">
            <w:pPr>
              <w:rPr>
                <w:sz w:val="20"/>
              </w:rPr>
            </w:pPr>
            <w:r>
              <w:rPr>
                <w:sz w:val="20"/>
              </w:rPr>
              <w:t>(institution)</w:t>
            </w:r>
          </w:p>
          <w:p w:rsidR="00AE4C0C" w14:paraId="2CF847A2" w14:textId="77777777">
            <w:pPr>
              <w:rPr>
                <w:sz w:val="20"/>
              </w:rPr>
            </w:pPr>
          </w:p>
          <w:p w:rsidR="00AE4C0C" w14:paraId="4BE0E4F2" w14:textId="77777777">
            <w:pPr>
              <w:rPr>
                <w:sz w:val="20"/>
              </w:rPr>
            </w:pPr>
          </w:p>
          <w:p w:rsidR="00AE4C0C" w14:paraId="0DBC029E" w14:textId="77777777">
            <w:pPr>
              <w:rPr>
                <w:sz w:val="20"/>
              </w:rPr>
            </w:pPr>
          </w:p>
          <w:p w:rsidR="00AE4C0C" w14:paraId="00BD0DB1" w14:textId="77777777">
            <w:pPr>
              <w:rPr>
                <w:sz w:val="20"/>
              </w:rPr>
            </w:pPr>
          </w:p>
          <w:p w:rsidR="00AE4C0C" w14:paraId="6FC2EBCE" w14:textId="77777777">
            <w:pPr>
              <w:rPr>
                <w:sz w:val="20"/>
              </w:rPr>
            </w:pPr>
          </w:p>
          <w:p w:rsidR="00AE4C0C" w14:paraId="23DD39FF" w14:textId="77777777">
            <w:pPr>
              <w:rPr>
                <w:sz w:val="20"/>
              </w:rPr>
            </w:pPr>
          </w:p>
          <w:p w:rsidR="00AE4C0C" w14:paraId="7906A9E6" w14:textId="77777777">
            <w:pPr>
              <w:rPr>
                <w:sz w:val="20"/>
              </w:rPr>
            </w:pPr>
          </w:p>
          <w:p w:rsidR="00AE4C0C" w14:paraId="0FB0DA96" w14:textId="77777777">
            <w:pPr>
              <w:rPr>
                <w:sz w:val="20"/>
              </w:rPr>
            </w:pPr>
          </w:p>
          <w:p w:rsidR="00AE4C0C" w14:paraId="0EBE740D" w14:textId="77777777">
            <w:pPr>
              <w:rPr>
                <w:sz w:val="20"/>
              </w:rPr>
            </w:pPr>
          </w:p>
          <w:p w:rsidR="00AE4C0C" w14:paraId="3B76DC1B" w14:textId="77777777">
            <w:pPr>
              <w:rPr>
                <w:sz w:val="20"/>
              </w:rPr>
            </w:pPr>
          </w:p>
          <w:p w:rsidR="00AE4C0C" w14:paraId="59E6D94A" w14:textId="77777777">
            <w:pPr>
              <w:rPr>
                <w:sz w:val="20"/>
              </w:rPr>
            </w:pPr>
          </w:p>
          <w:p w:rsidR="00AE4C0C" w14:paraId="082AD1CA" w14:textId="77777777">
            <w:pPr>
              <w:rPr>
                <w:sz w:val="20"/>
              </w:rPr>
            </w:pPr>
          </w:p>
          <w:p w:rsidR="00AE4C0C" w14:paraId="6DBEE70E" w14:textId="77777777">
            <w:pPr>
              <w:rPr>
                <w:sz w:val="20"/>
              </w:rPr>
            </w:pPr>
          </w:p>
          <w:p w:rsidR="00AE4C0C" w14:paraId="4FB2F886" w14:textId="77777777">
            <w:pPr>
              <w:rPr>
                <w:sz w:val="20"/>
              </w:rPr>
            </w:pPr>
          </w:p>
          <w:p w:rsidR="00AE4C0C" w14:paraId="1FF51103" w14:textId="77777777">
            <w:pPr>
              <w:rPr>
                <w:sz w:val="20"/>
              </w:rPr>
            </w:pPr>
          </w:p>
          <w:p w:rsidR="00AE4C0C" w14:paraId="179A5BE3" w14:textId="77777777">
            <w:pPr>
              <w:rPr>
                <w:sz w:val="20"/>
              </w:rPr>
            </w:pPr>
          </w:p>
          <w:p w:rsidR="00AE4C0C" w14:paraId="17C3C4FF" w14:textId="77777777">
            <w:pPr>
              <w:rPr>
                <w:sz w:val="20"/>
              </w:rPr>
            </w:pPr>
          </w:p>
          <w:p w:rsidR="00AE4C0C" w14:paraId="4C692096" w14:textId="77777777">
            <w:pPr>
              <w:rPr>
                <w:sz w:val="20"/>
              </w:rPr>
            </w:pPr>
          </w:p>
          <w:p w:rsidR="00AE4C0C" w14:paraId="7813EBF0" w14:textId="77777777">
            <w:pPr>
              <w:rPr>
                <w:sz w:val="20"/>
              </w:rPr>
            </w:pPr>
          </w:p>
        </w:tc>
        <w:tc>
          <w:tcPr>
            <w:tcW w:w="3895" w:type="dxa"/>
            <w:tcBorders>
              <w:bottom w:val="single" w:sz="4" w:space="0" w:color="auto"/>
            </w:tcBorders>
          </w:tcPr>
          <w:p w:rsidR="00AE4C0C" w14:paraId="2F4F4109" w14:textId="77777777">
            <w:pPr>
              <w:rPr>
                <w:sz w:val="20"/>
              </w:rPr>
            </w:pPr>
            <w:r>
              <w:rPr>
                <w:i/>
                <w:iCs/>
                <w:sz w:val="20"/>
                <w:u w:val="single"/>
              </w:rPr>
              <w:t>Form of opt out notice to consumers; opt out methods</w:t>
            </w:r>
            <w:r>
              <w:rPr>
                <w:sz w:val="20"/>
              </w:rPr>
              <w:t xml:space="preserve"> – </w:t>
            </w:r>
            <w:r>
              <w:rPr>
                <w:i/>
                <w:iCs/>
                <w:sz w:val="20"/>
                <w:u w:val="single"/>
              </w:rPr>
              <w:t>Form of opt out notice</w:t>
            </w:r>
            <w:r>
              <w:rPr>
                <w:sz w:val="20"/>
              </w:rPr>
              <w:t xml:space="preserve"> – If a bank is required to provide an opt out notice under § </w:t>
            </w:r>
            <w:r w:rsidR="009036DA">
              <w:rPr>
                <w:sz w:val="20"/>
              </w:rPr>
              <w:t>1016</w:t>
            </w:r>
            <w:r>
              <w:rPr>
                <w:sz w:val="20"/>
              </w:rPr>
              <w:t>.10(a), it must provide a clear and conspicuous notice to each of its consumers that accurately explains the right to opt out under that section.  The notice must state:</w:t>
            </w:r>
          </w:p>
          <w:p w:rsidR="00AE4C0C" w14:paraId="0E7ED103" w14:textId="77777777">
            <w:pPr>
              <w:numPr>
                <w:ilvl w:val="0"/>
                <w:numId w:val="18"/>
              </w:numPr>
              <w:rPr>
                <w:sz w:val="20"/>
              </w:rPr>
            </w:pPr>
            <w:r>
              <w:rPr>
                <w:sz w:val="20"/>
              </w:rPr>
              <w:t>That the bank discloses or reserves the right to disclose nonpublic personal information about its consumer to a nonaffiliated third party</w:t>
            </w:r>
            <w:r w:rsidR="0020052A">
              <w:rPr>
                <w:sz w:val="20"/>
              </w:rPr>
              <w:t>;</w:t>
            </w:r>
          </w:p>
          <w:p w:rsidR="00AE4C0C" w14:paraId="3225124B" w14:textId="77777777">
            <w:pPr>
              <w:numPr>
                <w:ilvl w:val="0"/>
                <w:numId w:val="18"/>
              </w:numPr>
              <w:rPr>
                <w:sz w:val="20"/>
              </w:rPr>
            </w:pPr>
            <w:r>
              <w:rPr>
                <w:sz w:val="20"/>
              </w:rPr>
              <w:t>That the consumer has the right to opt out of that disclosure</w:t>
            </w:r>
            <w:r w:rsidR="0020052A">
              <w:rPr>
                <w:sz w:val="20"/>
              </w:rPr>
              <w:t>; and</w:t>
            </w:r>
          </w:p>
          <w:p w:rsidR="00AE4C0C" w14:paraId="533B958C" w14:textId="77777777">
            <w:pPr>
              <w:numPr>
                <w:ilvl w:val="0"/>
                <w:numId w:val="18"/>
              </w:numPr>
              <w:rPr>
                <w:sz w:val="20"/>
              </w:rPr>
            </w:pPr>
            <w:r>
              <w:rPr>
                <w:sz w:val="20"/>
              </w:rPr>
              <w:t>A reasonable means by which the consumer may exercise the opt out right</w:t>
            </w:r>
            <w:r w:rsidR="0020052A">
              <w:rPr>
                <w:sz w:val="20"/>
              </w:rPr>
              <w:t>.</w:t>
            </w:r>
          </w:p>
          <w:p w:rsidR="00AE4C0C" w14:paraId="2FE4EE95" w14:textId="77777777">
            <w:pPr>
              <w:rPr>
                <w:sz w:val="20"/>
              </w:rPr>
            </w:pPr>
          </w:p>
          <w:p w:rsidR="00AE4C0C" w:rsidRPr="00A46003" w14:paraId="7CA191FB" w14:textId="2C52D389">
            <w:pPr>
              <w:rPr>
                <w:sz w:val="20"/>
              </w:rPr>
            </w:pPr>
            <w:r w:rsidRPr="001C072D">
              <w:rPr>
                <w:sz w:val="20"/>
              </w:rPr>
              <w:t>A b</w:t>
            </w:r>
            <w:r w:rsidRPr="001C072D">
              <w:rPr>
                <w:sz w:val="20"/>
              </w:rPr>
              <w:t>ank provide</w:t>
            </w:r>
            <w:r w:rsidRPr="001C072D">
              <w:rPr>
                <w:sz w:val="20"/>
              </w:rPr>
              <w:t>s a</w:t>
            </w:r>
            <w:r w:rsidRPr="001C072D">
              <w:rPr>
                <w:sz w:val="20"/>
              </w:rPr>
              <w:t xml:space="preserve"> reasonable means</w:t>
            </w:r>
            <w:r w:rsidRPr="001C072D" w:rsidR="00BE442A">
              <w:rPr>
                <w:sz w:val="20"/>
              </w:rPr>
              <w:t xml:space="preserve"> </w:t>
            </w:r>
            <w:r w:rsidRPr="001C072D">
              <w:rPr>
                <w:sz w:val="20"/>
              </w:rPr>
              <w:t>to exercise an opt out right if it:</w:t>
            </w:r>
          </w:p>
          <w:p w:rsidR="00AE4C0C" w14:paraId="5D6A51CD" w14:textId="77777777">
            <w:pPr>
              <w:numPr>
                <w:ilvl w:val="0"/>
                <w:numId w:val="20"/>
              </w:numPr>
              <w:rPr>
                <w:sz w:val="20"/>
              </w:rPr>
            </w:pPr>
            <w:r>
              <w:rPr>
                <w:sz w:val="20"/>
              </w:rPr>
              <w:t>Designates</w:t>
            </w:r>
            <w:r>
              <w:rPr>
                <w:sz w:val="20"/>
              </w:rPr>
              <w:t xml:space="preserve"> check-off boxes on the relevant forms with </w:t>
            </w:r>
            <w:r>
              <w:rPr>
                <w:sz w:val="20"/>
              </w:rPr>
              <w:t xml:space="preserve">the </w:t>
            </w:r>
            <w:r>
              <w:rPr>
                <w:sz w:val="20"/>
              </w:rPr>
              <w:t>opt out notice</w:t>
            </w:r>
            <w:r>
              <w:rPr>
                <w:sz w:val="20"/>
              </w:rPr>
              <w:t>;</w:t>
            </w:r>
          </w:p>
          <w:p w:rsidR="00AE4C0C" w14:paraId="52D11CFC" w14:textId="77777777">
            <w:pPr>
              <w:numPr>
                <w:ilvl w:val="0"/>
                <w:numId w:val="20"/>
              </w:numPr>
              <w:rPr>
                <w:sz w:val="20"/>
              </w:rPr>
            </w:pPr>
            <w:r>
              <w:rPr>
                <w:sz w:val="20"/>
              </w:rPr>
              <w:t>Includes a</w:t>
            </w:r>
            <w:r>
              <w:rPr>
                <w:sz w:val="20"/>
              </w:rPr>
              <w:t xml:space="preserve"> reply form with opt out notice</w:t>
            </w:r>
            <w:r>
              <w:rPr>
                <w:sz w:val="20"/>
              </w:rPr>
              <w:t>;</w:t>
            </w:r>
          </w:p>
          <w:p w:rsidR="00AE4C0C" w14:paraId="3B51BE86" w14:textId="77777777">
            <w:pPr>
              <w:numPr>
                <w:ilvl w:val="0"/>
                <w:numId w:val="20"/>
              </w:numPr>
              <w:rPr>
                <w:sz w:val="20"/>
              </w:rPr>
            </w:pPr>
            <w:r>
              <w:rPr>
                <w:sz w:val="20"/>
              </w:rPr>
              <w:t>Provides</w:t>
            </w:r>
            <w:r>
              <w:rPr>
                <w:sz w:val="20"/>
              </w:rPr>
              <w:t xml:space="preserve"> </w:t>
            </w:r>
            <w:r w:rsidR="00EC2B2B">
              <w:rPr>
                <w:sz w:val="20"/>
              </w:rPr>
              <w:t xml:space="preserve">an </w:t>
            </w:r>
            <w:r>
              <w:rPr>
                <w:sz w:val="20"/>
              </w:rPr>
              <w:t>electronic means to opt out</w:t>
            </w:r>
            <w:r w:rsidR="00793C17">
              <w:rPr>
                <w:sz w:val="20"/>
              </w:rPr>
              <w:t>; or</w:t>
            </w:r>
          </w:p>
          <w:p w:rsidR="00AE4C0C" w14:paraId="4A06DF63" w14:textId="77777777">
            <w:pPr>
              <w:numPr>
                <w:ilvl w:val="0"/>
                <w:numId w:val="20"/>
              </w:numPr>
              <w:rPr>
                <w:sz w:val="20"/>
              </w:rPr>
            </w:pPr>
            <w:r>
              <w:rPr>
                <w:sz w:val="20"/>
              </w:rPr>
              <w:t>Provides</w:t>
            </w:r>
            <w:r>
              <w:rPr>
                <w:sz w:val="20"/>
              </w:rPr>
              <w:t xml:space="preserve"> a toll-free number</w:t>
            </w:r>
            <w:r w:rsidR="00EC2B2B">
              <w:rPr>
                <w:sz w:val="20"/>
              </w:rPr>
              <w:t xml:space="preserve"> that consumers may call</w:t>
            </w:r>
            <w:r>
              <w:rPr>
                <w:sz w:val="20"/>
              </w:rPr>
              <w:t xml:space="preserve"> to opt out</w:t>
            </w:r>
            <w:r>
              <w:rPr>
                <w:sz w:val="20"/>
              </w:rPr>
              <w:t>.</w:t>
            </w:r>
          </w:p>
        </w:tc>
        <w:tc>
          <w:tcPr>
            <w:tcW w:w="1335" w:type="dxa"/>
            <w:tcBorders>
              <w:bottom w:val="single" w:sz="4" w:space="0" w:color="auto"/>
            </w:tcBorders>
          </w:tcPr>
          <w:p w:rsidR="00AE4C0C" w14:paraId="04B4C876" w14:textId="77777777">
            <w:pPr>
              <w:jc w:val="right"/>
              <w:rPr>
                <w:sz w:val="20"/>
              </w:rPr>
            </w:pPr>
            <w:r>
              <w:rPr>
                <w:sz w:val="20"/>
              </w:rPr>
              <w:t>553</w:t>
            </w:r>
          </w:p>
        </w:tc>
        <w:tc>
          <w:tcPr>
            <w:tcW w:w="1420" w:type="dxa"/>
            <w:tcBorders>
              <w:bottom w:val="single" w:sz="4" w:space="0" w:color="auto"/>
            </w:tcBorders>
          </w:tcPr>
          <w:p w:rsidR="00AE4C0C" w14:paraId="267B1522" w14:textId="77777777">
            <w:pPr>
              <w:jc w:val="right"/>
              <w:rPr>
                <w:sz w:val="20"/>
              </w:rPr>
            </w:pPr>
            <w:r>
              <w:rPr>
                <w:sz w:val="20"/>
              </w:rPr>
              <w:t>8</w:t>
            </w:r>
          </w:p>
        </w:tc>
        <w:tc>
          <w:tcPr>
            <w:tcW w:w="1153" w:type="dxa"/>
            <w:tcBorders>
              <w:bottom w:val="single" w:sz="4" w:space="0" w:color="auto"/>
            </w:tcBorders>
          </w:tcPr>
          <w:p w:rsidR="00AE4C0C" w14:paraId="5AE69104" w14:textId="77777777">
            <w:pPr>
              <w:jc w:val="right"/>
              <w:rPr>
                <w:sz w:val="20"/>
              </w:rPr>
            </w:pPr>
            <w:r>
              <w:rPr>
                <w:sz w:val="20"/>
              </w:rPr>
              <w:t>4,424</w:t>
            </w:r>
          </w:p>
        </w:tc>
      </w:tr>
      <w:tr w14:paraId="56FFD81F" w14:textId="77777777" w:rsidTr="00AE009B">
        <w:tblPrEx>
          <w:tblW w:w="0" w:type="auto"/>
          <w:tblLook w:val="0000"/>
        </w:tblPrEx>
        <w:trPr>
          <w:cantSplit/>
        </w:trPr>
        <w:tc>
          <w:tcPr>
            <w:tcW w:w="1773" w:type="dxa"/>
            <w:tcBorders>
              <w:top w:val="single" w:sz="4" w:space="0" w:color="auto"/>
            </w:tcBorders>
          </w:tcPr>
          <w:p w:rsidR="00AE4C0C" w14:paraId="381E4C85" w14:textId="07697926">
            <w:pPr>
              <w:rPr>
                <w:sz w:val="20"/>
              </w:rPr>
            </w:pPr>
            <w:r>
              <w:rPr>
                <w:sz w:val="20"/>
              </w:rPr>
              <w:t xml:space="preserve">12 CFR </w:t>
            </w:r>
            <w:r w:rsidR="00EF0516">
              <w:rPr>
                <w:sz w:val="20"/>
              </w:rPr>
              <w:t>1016</w:t>
            </w:r>
            <w:r>
              <w:rPr>
                <w:sz w:val="20"/>
              </w:rPr>
              <w:t>.10(a)</w:t>
            </w:r>
            <w:r w:rsidR="007404C1">
              <w:rPr>
                <w:sz w:val="20"/>
              </w:rPr>
              <w:t xml:space="preserve">(1) and </w:t>
            </w:r>
            <w:r w:rsidR="00A66E5E">
              <w:rPr>
                <w:sz w:val="20"/>
              </w:rPr>
              <w:t>(2)</w:t>
            </w:r>
          </w:p>
          <w:p w:rsidR="00AE4C0C" w14:paraId="7D6A4DAC" w14:textId="77777777">
            <w:pPr>
              <w:rPr>
                <w:sz w:val="20"/>
              </w:rPr>
            </w:pPr>
            <w:r>
              <w:rPr>
                <w:sz w:val="20"/>
              </w:rPr>
              <w:t xml:space="preserve">12 CFR </w:t>
            </w:r>
            <w:r w:rsidR="00EF0516">
              <w:rPr>
                <w:sz w:val="20"/>
              </w:rPr>
              <w:t>1016</w:t>
            </w:r>
            <w:r>
              <w:rPr>
                <w:sz w:val="20"/>
              </w:rPr>
              <w:t>.10(c)</w:t>
            </w:r>
          </w:p>
          <w:p w:rsidR="00AE4C0C" w14:paraId="7232CB00" w14:textId="77777777">
            <w:pPr>
              <w:rPr>
                <w:sz w:val="20"/>
              </w:rPr>
            </w:pPr>
          </w:p>
          <w:p w:rsidR="00AE4C0C" w14:paraId="21A2A13C" w14:textId="77777777">
            <w:pPr>
              <w:rPr>
                <w:sz w:val="20"/>
              </w:rPr>
            </w:pPr>
          </w:p>
          <w:p w:rsidR="00AE4C0C" w14:paraId="7710335D" w14:textId="77777777">
            <w:pPr>
              <w:rPr>
                <w:sz w:val="20"/>
              </w:rPr>
            </w:pPr>
          </w:p>
          <w:p w:rsidR="00AE4C0C" w14:paraId="438F7C4F" w14:textId="77777777">
            <w:pPr>
              <w:rPr>
                <w:sz w:val="20"/>
              </w:rPr>
            </w:pPr>
          </w:p>
          <w:p w:rsidR="00AE4C0C" w14:paraId="72A0B08C" w14:textId="77777777">
            <w:pPr>
              <w:rPr>
                <w:sz w:val="20"/>
              </w:rPr>
            </w:pPr>
          </w:p>
          <w:p w:rsidR="00AE4C0C" w14:paraId="19A1E080" w14:textId="77777777">
            <w:pPr>
              <w:rPr>
                <w:sz w:val="20"/>
              </w:rPr>
            </w:pPr>
          </w:p>
          <w:p w:rsidR="00AE4C0C" w14:paraId="722E48DE" w14:textId="77777777">
            <w:pPr>
              <w:rPr>
                <w:sz w:val="20"/>
              </w:rPr>
            </w:pPr>
          </w:p>
          <w:p w:rsidR="00AE4C0C" w14:paraId="74AE5997" w14:textId="77777777">
            <w:pPr>
              <w:rPr>
                <w:sz w:val="20"/>
              </w:rPr>
            </w:pPr>
          </w:p>
          <w:p w:rsidR="00AE4C0C" w14:paraId="5FAFFA41" w14:textId="77777777">
            <w:pPr>
              <w:rPr>
                <w:sz w:val="20"/>
              </w:rPr>
            </w:pPr>
          </w:p>
          <w:p w:rsidR="00AE4C0C" w14:paraId="7D2067F3" w14:textId="77777777">
            <w:pPr>
              <w:rPr>
                <w:sz w:val="20"/>
              </w:rPr>
            </w:pPr>
          </w:p>
          <w:p w:rsidR="00AE4C0C" w14:paraId="5F40DB66" w14:textId="77777777">
            <w:pPr>
              <w:rPr>
                <w:sz w:val="20"/>
              </w:rPr>
            </w:pPr>
          </w:p>
          <w:p w:rsidR="00AE4C0C" w14:paraId="562DB74A" w14:textId="77777777">
            <w:pPr>
              <w:rPr>
                <w:sz w:val="20"/>
              </w:rPr>
            </w:pPr>
          </w:p>
          <w:p w:rsidR="00A46003" w14:paraId="2F46BB7D" w14:textId="479379D6">
            <w:pPr>
              <w:rPr>
                <w:sz w:val="20"/>
              </w:rPr>
            </w:pPr>
          </w:p>
          <w:p w:rsidR="00A46003" w14:paraId="7FB5CEE5" w14:textId="7CCF2451">
            <w:pPr>
              <w:rPr>
                <w:sz w:val="20"/>
              </w:rPr>
            </w:pPr>
          </w:p>
          <w:p w:rsidR="00A46003" w14:paraId="31B144D1" w14:textId="78A9D678">
            <w:pPr>
              <w:rPr>
                <w:sz w:val="20"/>
              </w:rPr>
            </w:pPr>
          </w:p>
          <w:p w:rsidR="00A46003" w14:paraId="2695C3EA" w14:textId="5A89A779">
            <w:pPr>
              <w:rPr>
                <w:sz w:val="20"/>
              </w:rPr>
            </w:pPr>
          </w:p>
          <w:p w:rsidR="00A46003" w14:paraId="6DEAA106" w14:textId="5D305BBD">
            <w:pPr>
              <w:rPr>
                <w:sz w:val="20"/>
              </w:rPr>
            </w:pPr>
          </w:p>
          <w:p w:rsidR="00A46003" w14:paraId="233C458B" w14:textId="5A449DD7">
            <w:pPr>
              <w:rPr>
                <w:sz w:val="20"/>
              </w:rPr>
            </w:pPr>
          </w:p>
          <w:p w:rsidR="00A46003" w14:paraId="156831BA" w14:textId="59486045">
            <w:pPr>
              <w:rPr>
                <w:sz w:val="20"/>
              </w:rPr>
            </w:pPr>
          </w:p>
          <w:p w:rsidR="00A46003" w14:paraId="48A21DA5" w14:textId="0E580FF9">
            <w:pPr>
              <w:rPr>
                <w:sz w:val="20"/>
              </w:rPr>
            </w:pPr>
          </w:p>
          <w:p w:rsidR="00A46003" w14:paraId="63696C71" w14:textId="5E72129A">
            <w:pPr>
              <w:rPr>
                <w:sz w:val="20"/>
              </w:rPr>
            </w:pPr>
          </w:p>
          <w:p w:rsidR="00A46003" w14:paraId="594078D5" w14:textId="196869E2">
            <w:pPr>
              <w:rPr>
                <w:sz w:val="20"/>
              </w:rPr>
            </w:pPr>
          </w:p>
          <w:p w:rsidR="00A46003" w14:paraId="0093BFF7" w14:textId="5BC28FAD">
            <w:pPr>
              <w:rPr>
                <w:sz w:val="20"/>
              </w:rPr>
            </w:pPr>
          </w:p>
          <w:p w:rsidR="00AE4C0C" w14:paraId="72B412CD" w14:textId="77777777">
            <w:pPr>
              <w:rPr>
                <w:sz w:val="20"/>
              </w:rPr>
            </w:pPr>
            <w:r>
              <w:rPr>
                <w:sz w:val="20"/>
              </w:rPr>
              <w:t xml:space="preserve">12 CFR </w:t>
            </w:r>
            <w:r w:rsidR="00EF0516">
              <w:rPr>
                <w:sz w:val="20"/>
              </w:rPr>
              <w:t>1016</w:t>
            </w:r>
            <w:r w:rsidR="00A66E5E">
              <w:rPr>
                <w:sz w:val="20"/>
              </w:rPr>
              <w:t>.7(h) and (i</w:t>
            </w:r>
            <w:r>
              <w:rPr>
                <w:sz w:val="20"/>
              </w:rPr>
              <w:t>)</w:t>
            </w:r>
          </w:p>
          <w:p w:rsidR="00AE4C0C" w14:paraId="01422BAD" w14:textId="77777777">
            <w:pPr>
              <w:rPr>
                <w:sz w:val="20"/>
              </w:rPr>
            </w:pPr>
          </w:p>
          <w:p w:rsidR="00AE4C0C" w14:paraId="62924039" w14:textId="77777777">
            <w:pPr>
              <w:rPr>
                <w:sz w:val="20"/>
              </w:rPr>
            </w:pPr>
            <w:r>
              <w:rPr>
                <w:sz w:val="20"/>
              </w:rPr>
              <w:t>Reporting (consumer)</w:t>
            </w:r>
          </w:p>
          <w:p w:rsidR="00AE4C0C" w14:paraId="1FB6A347" w14:textId="77777777">
            <w:pPr>
              <w:rPr>
                <w:sz w:val="20"/>
              </w:rPr>
            </w:pPr>
          </w:p>
        </w:tc>
        <w:tc>
          <w:tcPr>
            <w:tcW w:w="3895" w:type="dxa"/>
            <w:tcBorders>
              <w:top w:val="single" w:sz="4" w:space="0" w:color="auto"/>
            </w:tcBorders>
          </w:tcPr>
          <w:p w:rsidR="00A46003" w:rsidRPr="007404C1" w14:paraId="0D8847B9" w14:textId="5AF6EB91">
            <w:pPr>
              <w:rPr>
                <w:sz w:val="20"/>
              </w:rPr>
            </w:pPr>
            <w:r w:rsidRPr="00A46003">
              <w:rPr>
                <w:i/>
                <w:iCs/>
                <w:sz w:val="20"/>
                <w:u w:val="single"/>
              </w:rPr>
              <w:t>Limits on disclosure of nonpublic personal information to nonaffiliated parties</w:t>
            </w:r>
            <w:r w:rsidRPr="00A46003">
              <w:rPr>
                <w:sz w:val="20"/>
              </w:rPr>
              <w:t xml:space="preserve"> – A national bank or federal savings association may not disclose any nonpublic personal information about a consumer to a nonaffiliated third party unless the institution has provided the consumer with an initial notice under § 1016.4, the institution has provided the consumer with a opt out notice, the institution has given the consumer a reasonable opportunity to opt out of the disclosure, and the consumer has not opt</w:t>
            </w:r>
            <w:r w:rsidR="00893DCC">
              <w:rPr>
                <w:sz w:val="20"/>
              </w:rPr>
              <w:t>ed</w:t>
            </w:r>
            <w:r w:rsidRPr="00A46003">
              <w:rPr>
                <w:sz w:val="20"/>
              </w:rPr>
              <w:t xml:space="preserve"> out.</w:t>
            </w:r>
            <w:r w:rsidR="007404C1">
              <w:t xml:space="preserve"> </w:t>
            </w:r>
            <w:r w:rsidRPr="00C717A9" w:rsidR="007404C1">
              <w:rPr>
                <w:sz w:val="20"/>
              </w:rPr>
              <w:t>A customer may direct one of the following forms of opt out:</w:t>
            </w:r>
          </w:p>
          <w:p w:rsidR="00AE4C0C" w14:paraId="4335DEDE" w14:textId="4CF52143">
            <w:pPr>
              <w:numPr>
                <w:ilvl w:val="0"/>
                <w:numId w:val="19"/>
              </w:numPr>
              <w:rPr>
                <w:sz w:val="20"/>
              </w:rPr>
            </w:pPr>
            <w:r>
              <w:rPr>
                <w:i/>
                <w:iCs/>
                <w:sz w:val="20"/>
                <w:u w:val="single"/>
              </w:rPr>
              <w:t>Opt</w:t>
            </w:r>
            <w:r>
              <w:rPr>
                <w:i/>
                <w:iCs/>
                <w:sz w:val="20"/>
                <w:u w:val="single"/>
              </w:rPr>
              <w:t xml:space="preserve"> out </w:t>
            </w:r>
            <w:r>
              <w:rPr>
                <w:sz w:val="20"/>
              </w:rPr>
              <w:t>– Consumers may direct that the bank not disclose nonpublic personal information about them to a nonaffiliated third party, other t</w:t>
            </w:r>
            <w:r w:rsidR="00793C17">
              <w:rPr>
                <w:sz w:val="20"/>
              </w:rPr>
              <w:t xml:space="preserve">han permitted by §§ </w:t>
            </w:r>
            <w:r w:rsidR="001117AC">
              <w:rPr>
                <w:sz w:val="20"/>
              </w:rPr>
              <w:t>1016</w:t>
            </w:r>
            <w:r w:rsidR="00793C17">
              <w:rPr>
                <w:sz w:val="20"/>
              </w:rPr>
              <w:t>.13-</w:t>
            </w:r>
            <w:r w:rsidR="001117AC">
              <w:rPr>
                <w:sz w:val="20"/>
              </w:rPr>
              <w:t>1</w:t>
            </w:r>
            <w:r w:rsidR="00793C17">
              <w:rPr>
                <w:sz w:val="20"/>
              </w:rPr>
              <w:t>.15</w:t>
            </w:r>
            <w:r w:rsidR="00BE442A">
              <w:rPr>
                <w:sz w:val="20"/>
              </w:rPr>
              <w:t>.</w:t>
            </w:r>
          </w:p>
          <w:p w:rsidR="00AE4C0C" w14:paraId="04B3C82A" w14:textId="77777777">
            <w:pPr>
              <w:numPr>
                <w:ilvl w:val="0"/>
                <w:numId w:val="19"/>
              </w:numPr>
              <w:rPr>
                <w:sz w:val="20"/>
              </w:rPr>
            </w:pPr>
            <w:r>
              <w:rPr>
                <w:i/>
                <w:iCs/>
                <w:sz w:val="20"/>
                <w:u w:val="single"/>
              </w:rPr>
              <w:t>Partial</w:t>
            </w:r>
            <w:r>
              <w:rPr>
                <w:i/>
                <w:iCs/>
                <w:sz w:val="20"/>
                <w:u w:val="single"/>
              </w:rPr>
              <w:t xml:space="preserve"> opt out</w:t>
            </w:r>
            <w:r>
              <w:rPr>
                <w:sz w:val="20"/>
              </w:rPr>
              <w:t xml:space="preserve"> --Consumer</w:t>
            </w:r>
            <w:r w:rsidR="00793C17">
              <w:rPr>
                <w:sz w:val="20"/>
              </w:rPr>
              <w:t>s</w:t>
            </w:r>
            <w:r>
              <w:rPr>
                <w:sz w:val="20"/>
              </w:rPr>
              <w:t xml:space="preserve"> may exercise partial opt out rights by selecting certain nonpublic personal information or certain nonaffiliated third parties with respect to which</w:t>
            </w:r>
            <w:r w:rsidR="00793C17">
              <w:rPr>
                <w:sz w:val="20"/>
              </w:rPr>
              <w:t xml:space="preserve"> the consumer wishes to opt out</w:t>
            </w:r>
            <w:r w:rsidR="00BE442A">
              <w:rPr>
                <w:sz w:val="20"/>
              </w:rPr>
              <w:t>.</w:t>
            </w:r>
          </w:p>
          <w:p w:rsidR="00A66E5E" w14:paraId="00129AC0" w14:textId="77777777">
            <w:pPr>
              <w:rPr>
                <w:i/>
                <w:iCs/>
                <w:sz w:val="20"/>
                <w:u w:val="single"/>
              </w:rPr>
            </w:pPr>
          </w:p>
          <w:p w:rsidR="00AE4C0C" w14:paraId="64C760A9" w14:textId="0928271E">
            <w:pPr>
              <w:rPr>
                <w:sz w:val="20"/>
              </w:rPr>
            </w:pPr>
            <w:r w:rsidRPr="00A46003">
              <w:rPr>
                <w:i/>
                <w:iCs/>
                <w:sz w:val="20"/>
                <w:u w:val="single"/>
              </w:rPr>
              <w:t>Continuing right to opt out and Duration of right to opt out</w:t>
            </w:r>
            <w:r>
              <w:rPr>
                <w:i/>
                <w:iCs/>
                <w:sz w:val="20"/>
                <w:u w:val="single"/>
              </w:rPr>
              <w:t xml:space="preserve"> </w:t>
            </w:r>
            <w:r>
              <w:rPr>
                <w:sz w:val="20"/>
              </w:rPr>
              <w:t xml:space="preserve">– </w:t>
            </w:r>
            <w:r w:rsidR="00135782">
              <w:rPr>
                <w:sz w:val="20"/>
              </w:rPr>
              <w:t>A c</w:t>
            </w:r>
            <w:r>
              <w:rPr>
                <w:sz w:val="20"/>
              </w:rPr>
              <w:t xml:space="preserve">onsumer may opt out at any time.  </w:t>
            </w:r>
            <w:r w:rsidR="00793C17">
              <w:rPr>
                <w:sz w:val="20"/>
              </w:rPr>
              <w:t>A c</w:t>
            </w:r>
            <w:r>
              <w:rPr>
                <w:sz w:val="20"/>
              </w:rPr>
              <w:t>onsumer’s direction to opt out is effective until the consumer revokes it in writing or, if the consumer agrees, electronically.  When a customer relationship terminates, the customer’s opt o</w:t>
            </w:r>
            <w:r w:rsidR="00793C17">
              <w:rPr>
                <w:sz w:val="20"/>
              </w:rPr>
              <w:t>ut direction continues to apply</w:t>
            </w:r>
            <w:r w:rsidRPr="00A46003" w:rsidR="00BE442A">
              <w:rPr>
                <w:sz w:val="20"/>
              </w:rPr>
              <w:t>.</w:t>
            </w:r>
            <w:r w:rsidRPr="00A46003">
              <w:rPr>
                <w:sz w:val="20"/>
              </w:rPr>
              <w:t xml:space="preserve"> If the consumer subsequently establishes a new customer relationship with the institution, the opt out direction that applied to the former relationship does not apply to the new relationship</w:t>
            </w:r>
            <w:r>
              <w:rPr>
                <w:sz w:val="20"/>
              </w:rPr>
              <w:t>.</w:t>
            </w:r>
          </w:p>
        </w:tc>
        <w:tc>
          <w:tcPr>
            <w:tcW w:w="1335" w:type="dxa"/>
            <w:tcBorders>
              <w:top w:val="single" w:sz="4" w:space="0" w:color="auto"/>
            </w:tcBorders>
          </w:tcPr>
          <w:p w:rsidR="00AE4C0C" w:rsidRPr="0098539D" w14:paraId="4FD413FA" w14:textId="77777777">
            <w:pPr>
              <w:pStyle w:val="FootnoteText"/>
              <w:jc w:val="right"/>
            </w:pPr>
            <w:r w:rsidRPr="0098539D">
              <w:t>2,</w:t>
            </w:r>
            <w:r w:rsidR="00A67A24">
              <w:t>449,997</w:t>
            </w:r>
          </w:p>
        </w:tc>
        <w:tc>
          <w:tcPr>
            <w:tcW w:w="1420" w:type="dxa"/>
            <w:tcBorders>
              <w:top w:val="single" w:sz="4" w:space="0" w:color="auto"/>
            </w:tcBorders>
          </w:tcPr>
          <w:p w:rsidR="00AE4C0C" w14:paraId="160F4A78" w14:textId="77777777">
            <w:pPr>
              <w:jc w:val="center"/>
              <w:rPr>
                <w:sz w:val="20"/>
              </w:rPr>
            </w:pPr>
            <w:r>
              <w:rPr>
                <w:sz w:val="20"/>
              </w:rPr>
              <w:t>0.25 hours</w:t>
            </w:r>
          </w:p>
        </w:tc>
        <w:tc>
          <w:tcPr>
            <w:tcW w:w="1153" w:type="dxa"/>
            <w:tcBorders>
              <w:top w:val="single" w:sz="4" w:space="0" w:color="auto"/>
            </w:tcBorders>
          </w:tcPr>
          <w:p w:rsidR="00AE4C0C" w14:paraId="63A89F9B" w14:textId="77777777">
            <w:pPr>
              <w:jc w:val="right"/>
              <w:rPr>
                <w:sz w:val="20"/>
              </w:rPr>
            </w:pPr>
            <w:r>
              <w:rPr>
                <w:sz w:val="20"/>
              </w:rPr>
              <w:t>6</w:t>
            </w:r>
            <w:r w:rsidR="00A67A24">
              <w:rPr>
                <w:sz w:val="20"/>
              </w:rPr>
              <w:t>12,499.25</w:t>
            </w:r>
          </w:p>
        </w:tc>
      </w:tr>
      <w:tr w14:paraId="13AD3897" w14:textId="77777777">
        <w:tblPrEx>
          <w:tblW w:w="0" w:type="auto"/>
          <w:tblLook w:val="0000"/>
        </w:tblPrEx>
        <w:tc>
          <w:tcPr>
            <w:tcW w:w="1773" w:type="dxa"/>
          </w:tcPr>
          <w:p w:rsidR="00AE4C0C" w14:paraId="3012FCCC" w14:textId="77777777">
            <w:pPr>
              <w:pStyle w:val="Heading4"/>
              <w:jc w:val="left"/>
              <w:rPr>
                <w:b/>
                <w:bCs/>
                <w:i w:val="0"/>
                <w:iCs w:val="0"/>
                <w:sz w:val="20"/>
                <w:u w:val="none"/>
              </w:rPr>
            </w:pPr>
            <w:r>
              <w:rPr>
                <w:b/>
                <w:bCs/>
                <w:i w:val="0"/>
                <w:iCs w:val="0"/>
                <w:sz w:val="20"/>
                <w:u w:val="none"/>
              </w:rPr>
              <w:t>Total burden</w:t>
            </w:r>
          </w:p>
        </w:tc>
        <w:tc>
          <w:tcPr>
            <w:tcW w:w="3895" w:type="dxa"/>
          </w:tcPr>
          <w:p w:rsidR="00AE4C0C" w14:paraId="6378E849" w14:textId="77777777">
            <w:pPr>
              <w:rPr>
                <w:sz w:val="20"/>
              </w:rPr>
            </w:pPr>
          </w:p>
        </w:tc>
        <w:tc>
          <w:tcPr>
            <w:tcW w:w="1335" w:type="dxa"/>
          </w:tcPr>
          <w:p w:rsidR="00E44B82" w14:paraId="307431FB" w14:textId="5C51E211">
            <w:pPr>
              <w:jc w:val="right"/>
              <w:rPr>
                <w:b/>
                <w:bCs/>
                <w:sz w:val="20"/>
              </w:rPr>
            </w:pPr>
            <w:r>
              <w:rPr>
                <w:b/>
                <w:bCs/>
                <w:sz w:val="20"/>
              </w:rPr>
              <w:t>2,451,</w:t>
            </w:r>
            <w:r w:rsidR="001933B3">
              <w:rPr>
                <w:b/>
                <w:bCs/>
                <w:sz w:val="20"/>
              </w:rPr>
              <w:t>5</w:t>
            </w:r>
            <w:r>
              <w:rPr>
                <w:b/>
                <w:bCs/>
                <w:sz w:val="20"/>
              </w:rPr>
              <w:t>69</w:t>
            </w:r>
          </w:p>
          <w:p w:rsidR="00AE4C0C" w14:paraId="74AE2E84" w14:textId="77777777">
            <w:pPr>
              <w:jc w:val="right"/>
              <w:rPr>
                <w:b/>
                <w:bCs/>
                <w:sz w:val="20"/>
              </w:rPr>
            </w:pPr>
            <w:r>
              <w:rPr>
                <w:b/>
                <w:bCs/>
                <w:sz w:val="20"/>
              </w:rPr>
              <w:t>respondents</w:t>
            </w:r>
          </w:p>
        </w:tc>
        <w:tc>
          <w:tcPr>
            <w:tcW w:w="1420" w:type="dxa"/>
          </w:tcPr>
          <w:p w:rsidR="00AE4C0C" w14:paraId="593B70F8" w14:textId="77777777">
            <w:pPr>
              <w:jc w:val="right"/>
              <w:rPr>
                <w:b/>
                <w:bCs/>
                <w:sz w:val="20"/>
              </w:rPr>
            </w:pPr>
          </w:p>
        </w:tc>
        <w:tc>
          <w:tcPr>
            <w:tcW w:w="1153" w:type="dxa"/>
          </w:tcPr>
          <w:p w:rsidR="00E44B82" w14:paraId="5869AD0A" w14:textId="4B043C0D">
            <w:pPr>
              <w:jc w:val="right"/>
              <w:rPr>
                <w:b/>
                <w:bCs/>
                <w:sz w:val="20"/>
              </w:rPr>
            </w:pPr>
            <w:r>
              <w:rPr>
                <w:b/>
                <w:bCs/>
                <w:sz w:val="20"/>
              </w:rPr>
              <w:t>625</w:t>
            </w:r>
            <w:r w:rsidR="00A67A24">
              <w:rPr>
                <w:b/>
                <w:bCs/>
                <w:sz w:val="20"/>
              </w:rPr>
              <w:t>,</w:t>
            </w:r>
            <w:r>
              <w:rPr>
                <w:b/>
                <w:bCs/>
                <w:sz w:val="20"/>
              </w:rPr>
              <w:t>291</w:t>
            </w:r>
            <w:r w:rsidR="00A67A24">
              <w:rPr>
                <w:b/>
                <w:bCs/>
                <w:sz w:val="20"/>
              </w:rPr>
              <w:t>.25</w:t>
            </w:r>
          </w:p>
          <w:p w:rsidR="00AE4C0C" w14:paraId="69203564" w14:textId="77777777">
            <w:pPr>
              <w:jc w:val="right"/>
              <w:rPr>
                <w:b/>
                <w:bCs/>
                <w:sz w:val="20"/>
              </w:rPr>
            </w:pPr>
            <w:r>
              <w:rPr>
                <w:b/>
                <w:bCs/>
                <w:sz w:val="20"/>
              </w:rPr>
              <w:t>hours</w:t>
            </w:r>
          </w:p>
        </w:tc>
      </w:tr>
    </w:tbl>
    <w:p w:rsidR="00AE4C0C" w14:paraId="7760A49C" w14:textId="77777777"/>
    <w:p w:rsidR="00097273" w:rsidRPr="003300C4" w14:paraId="5197F7DF" w14:textId="6BC2E57C">
      <w:pPr>
        <w:rPr>
          <w:bCs/>
          <w:szCs w:val="24"/>
        </w:rPr>
      </w:pPr>
      <w:r w:rsidRPr="003300C4">
        <w:rPr>
          <w:szCs w:val="24"/>
        </w:rPr>
        <w:t xml:space="preserve">Cost of Hour Burden:  </w:t>
      </w:r>
      <w:r w:rsidR="00765B9F">
        <w:rPr>
          <w:bCs/>
          <w:szCs w:val="24"/>
        </w:rPr>
        <w:t>625,291.25</w:t>
      </w:r>
      <w:r w:rsidRPr="003300C4" w:rsidR="003300C4">
        <w:rPr>
          <w:bCs/>
          <w:szCs w:val="24"/>
        </w:rPr>
        <w:t xml:space="preserve"> </w:t>
      </w:r>
      <w:r w:rsidRPr="003300C4">
        <w:rPr>
          <w:szCs w:val="24"/>
        </w:rPr>
        <w:t>x $1</w:t>
      </w:r>
      <w:r w:rsidR="002C39FA">
        <w:rPr>
          <w:szCs w:val="24"/>
        </w:rPr>
        <w:t>31</w:t>
      </w:r>
      <w:r w:rsidR="00AE009B">
        <w:rPr>
          <w:szCs w:val="24"/>
        </w:rPr>
        <w:t>.</w:t>
      </w:r>
      <w:r w:rsidR="002C39FA">
        <w:rPr>
          <w:szCs w:val="24"/>
        </w:rPr>
        <w:t>10</w:t>
      </w:r>
      <w:r w:rsidRPr="003300C4">
        <w:rPr>
          <w:szCs w:val="24"/>
        </w:rPr>
        <w:t xml:space="preserve"> = </w:t>
      </w:r>
      <w:r w:rsidRPr="003300C4" w:rsidR="00B33674">
        <w:rPr>
          <w:szCs w:val="24"/>
        </w:rPr>
        <w:t>$</w:t>
      </w:r>
      <w:r w:rsidR="00765B9F">
        <w:rPr>
          <w:szCs w:val="24"/>
        </w:rPr>
        <w:t>81,975,683 (rounded)</w:t>
      </w:r>
    </w:p>
    <w:p w:rsidR="0064376E" w14:paraId="4E0D01F3" w14:textId="77777777"/>
    <w:p w:rsidR="002C39FA" w:rsidP="00AE009B" w14:paraId="33810CC4" w14:textId="77777777">
      <w:pPr>
        <w:rPr>
          <w:color w:val="000000"/>
          <w:szCs w:val="24"/>
        </w:rPr>
      </w:pPr>
      <w:r w:rsidRPr="002C39FA">
        <w:rPr>
          <w:color w:val="000000"/>
          <w:szCs w:val="24"/>
        </w:rPr>
        <w:t xml:space="preserve">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w:t>
      </w:r>
      <w:r w:rsidRPr="002C39FA">
        <w:rPr>
          <w:color w:val="000000"/>
          <w:szCs w:val="24"/>
        </w:rPr>
        <w:t xml:space="preserve">(based on the percent of total compensation allocated to benefits as of Q4 2024 for NAICS 522: credit intermediation and related activities).      </w:t>
      </w:r>
    </w:p>
    <w:p w:rsidR="00AE009B" w:rsidRPr="004C6FCA" w:rsidP="00AE009B" w14:paraId="2BBB1D65" w14:textId="376EDF80">
      <w:r w:rsidRPr="002C39FA">
        <w:rPr>
          <w:color w:val="000000"/>
          <w:szCs w:val="24"/>
        </w:rPr>
        <w:t xml:space="preserve">                                                                                                     </w:t>
      </w:r>
    </w:p>
    <w:p w:rsidR="00AE4C0C" w14:paraId="79575088" w14:textId="77777777">
      <w:r>
        <w:rPr>
          <w:b/>
          <w:bCs/>
          <w:i/>
          <w:iCs/>
        </w:rPr>
        <w:t>13.  Estimate of annualized costs to respondents:</w:t>
      </w:r>
    </w:p>
    <w:p w:rsidR="00AE4C0C" w14:paraId="25B97402" w14:textId="77777777"/>
    <w:p w:rsidR="00AE4C0C" w:rsidP="0064208B" w14:paraId="56A43B47" w14:textId="77777777">
      <w:pPr>
        <w:ind w:firstLine="720"/>
      </w:pPr>
      <w:r>
        <w:t>Not applicable.</w:t>
      </w:r>
    </w:p>
    <w:p w:rsidR="00AE4C0C" w14:paraId="758308BA" w14:textId="77777777"/>
    <w:p w:rsidR="00AE4C0C" w14:paraId="3EF2C407" w14:textId="1C141720">
      <w:r>
        <w:rPr>
          <w:b/>
          <w:bCs/>
          <w:i/>
          <w:iCs/>
        </w:rPr>
        <w:t xml:space="preserve">14.  Estimate of annualized costs to the Federal </w:t>
      </w:r>
      <w:r w:rsidR="007404C1">
        <w:rPr>
          <w:b/>
          <w:bCs/>
          <w:i/>
          <w:iCs/>
        </w:rPr>
        <w:t>G</w:t>
      </w:r>
      <w:r>
        <w:rPr>
          <w:b/>
          <w:bCs/>
          <w:i/>
          <w:iCs/>
        </w:rPr>
        <w:t>overnment:</w:t>
      </w:r>
    </w:p>
    <w:p w:rsidR="00AE4C0C" w14:paraId="02570F26" w14:textId="77777777"/>
    <w:p w:rsidR="00AE4C0C" w:rsidP="0064208B" w14:paraId="60ECC6AC" w14:textId="77777777">
      <w:pPr>
        <w:ind w:firstLine="720"/>
      </w:pPr>
      <w:r>
        <w:t>Not applicable.</w:t>
      </w:r>
    </w:p>
    <w:p w:rsidR="00B42548" w14:paraId="568C681A" w14:textId="77777777">
      <w:pPr>
        <w:rPr>
          <w:b/>
          <w:bCs/>
          <w:i/>
          <w:iCs/>
        </w:rPr>
      </w:pPr>
    </w:p>
    <w:p w:rsidR="00AE4C0C" w14:paraId="63828DBA" w14:textId="61BD8D78">
      <w:pPr>
        <w:rPr>
          <w:b/>
          <w:bCs/>
          <w:i/>
          <w:iCs/>
        </w:rPr>
      </w:pPr>
      <w:r>
        <w:rPr>
          <w:b/>
          <w:bCs/>
          <w:i/>
          <w:iCs/>
        </w:rPr>
        <w:t>15.  Changes in burden:</w:t>
      </w:r>
    </w:p>
    <w:p w:rsidR="00373BE3" w14:paraId="3FE9110E" w14:textId="77777777"/>
    <w:p w:rsidR="00D42A4F" w14:paraId="3A2507AA" w14:textId="78E51838">
      <w:bookmarkStart w:id="3" w:name="_Hlk206508426"/>
      <w:r>
        <w:t>Prior Burden: 626,011 hours</w:t>
      </w:r>
    </w:p>
    <w:p w:rsidR="00D42A4F" w14:paraId="6539F9E0" w14:textId="44FA0C21">
      <w:r>
        <w:t>Current Burden: 625,291 hours</w:t>
      </w:r>
    </w:p>
    <w:p w:rsidR="00D42A4F" w14:paraId="5E6EF1F0" w14:textId="398A8826">
      <w:r>
        <w:t>Difference: -</w:t>
      </w:r>
      <w:r w:rsidR="00D61163">
        <w:t>720</w:t>
      </w:r>
    </w:p>
    <w:bookmarkEnd w:id="3"/>
    <w:p w:rsidR="00D42A4F" w14:paraId="48DC8D73" w14:textId="77777777"/>
    <w:p w:rsidR="00D10DD9" w:rsidRPr="00D24757" w14:paraId="37501C3F" w14:textId="1791FECF">
      <w:pPr>
        <w:rPr>
          <w:szCs w:val="24"/>
        </w:rPr>
      </w:pPr>
      <w:r>
        <w:t>The change in burden</w:t>
      </w:r>
      <w:r w:rsidR="00CE7D79">
        <w:t xml:space="preserve"> is due to the decrease in the number of OCC supervised institutions</w:t>
      </w:r>
      <w:r>
        <w:t>.</w:t>
      </w:r>
    </w:p>
    <w:p w:rsidR="002D26CC" w14:paraId="175868A4" w14:textId="77777777"/>
    <w:p w:rsidR="00AE4C0C" w14:paraId="35B3278E" w14:textId="77777777">
      <w:pPr>
        <w:pStyle w:val="BodyText2"/>
      </w:pPr>
      <w:r>
        <w:t>16.  Information regarding information collections whose results are planned to be published for statistical use:</w:t>
      </w:r>
    </w:p>
    <w:p w:rsidR="00AE4C0C" w14:paraId="35015378" w14:textId="77777777"/>
    <w:p w:rsidR="00AE4C0C" w:rsidP="0064208B" w14:paraId="0EEBF71E" w14:textId="77777777">
      <w:pPr>
        <w:ind w:firstLine="720"/>
      </w:pPr>
      <w:r>
        <w:t>Not applicable.</w:t>
      </w:r>
    </w:p>
    <w:p w:rsidR="00AE4C0C" w14:paraId="0D73E92E" w14:textId="77777777"/>
    <w:p w:rsidR="00AE4C0C" w14:paraId="32C554CA" w14:textId="77777777">
      <w:pPr>
        <w:pStyle w:val="BodyText2"/>
      </w:pPr>
      <w:r>
        <w:t>17.  Display of expiration date:</w:t>
      </w:r>
    </w:p>
    <w:p w:rsidR="00AE4C0C" w14:paraId="5752A35F" w14:textId="77777777">
      <w:pPr>
        <w:rPr>
          <w:b/>
          <w:bCs/>
          <w:i/>
          <w:iCs/>
        </w:rPr>
      </w:pPr>
    </w:p>
    <w:p w:rsidR="00AE4C0C" w:rsidP="0064208B" w14:paraId="1852531F" w14:textId="77777777">
      <w:pPr>
        <w:ind w:firstLine="720"/>
      </w:pPr>
      <w:r>
        <w:t>Not applicable.</w:t>
      </w:r>
    </w:p>
    <w:p w:rsidR="00AE4C0C" w14:paraId="294B9D69" w14:textId="77777777"/>
    <w:p w:rsidR="00AE4C0C" w14:paraId="54E2941E" w14:textId="77777777">
      <w:pPr>
        <w:pStyle w:val="BodyText2"/>
      </w:pPr>
      <w:r>
        <w:t>18.  Exceptions to certification statement:</w:t>
      </w:r>
    </w:p>
    <w:p w:rsidR="00AE4C0C" w14:paraId="13592DF9" w14:textId="77777777"/>
    <w:p w:rsidR="00AE4C0C" w:rsidP="0064208B" w14:paraId="5F457296" w14:textId="77777777">
      <w:pPr>
        <w:ind w:firstLine="720"/>
      </w:pPr>
      <w:r>
        <w:t>None.</w:t>
      </w:r>
    </w:p>
    <w:p w:rsidR="00AE4C0C" w14:paraId="0649C920" w14:textId="77777777"/>
    <w:p w:rsidR="00AE4C0C" w14:paraId="57B581ED" w14:textId="77777777">
      <w:pPr>
        <w:pStyle w:val="BodyText"/>
      </w:pPr>
      <w:r>
        <w:t>B.  Collections of Information Employing Statistical Methods:</w:t>
      </w:r>
    </w:p>
    <w:p w:rsidR="00AE4C0C" w14:paraId="69464EDE" w14:textId="77777777">
      <w:pPr>
        <w:rPr>
          <w:b/>
          <w:bCs/>
          <w:i/>
          <w:iCs/>
        </w:rPr>
      </w:pPr>
    </w:p>
    <w:p w:rsidR="00AE4C0C" w:rsidP="0064208B" w14:paraId="494C7875" w14:textId="77777777">
      <w:pPr>
        <w:ind w:firstLine="720"/>
      </w:pPr>
      <w:r>
        <w:t>Not applicable.</w:t>
      </w:r>
    </w:p>
    <w:p w:rsidR="00AE4C0C" w14:paraId="15B60A3B" w14:textId="77777777">
      <w:pPr>
        <w:pStyle w:val="BodyText"/>
        <w:rPr>
          <w:b w:val="0"/>
          <w:bCs w:val="0"/>
        </w:rPr>
      </w:pPr>
    </w:p>
    <w:sectPr w:rsidSect="00ED743A">
      <w:footerReference w:type="even" r:id="rId5"/>
      <w:footerReference w:type="default" r:id="rId6"/>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7137" w14:paraId="226B2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F7137" w14:paraId="03AE36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7137" w14:paraId="552696B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11A7">
      <w:rPr>
        <w:rStyle w:val="PageNumber"/>
        <w:noProof/>
      </w:rPr>
      <w:t>6</w:t>
    </w:r>
    <w:r>
      <w:rPr>
        <w:rStyle w:val="PageNumber"/>
      </w:rPr>
      <w:fldChar w:fldCharType="end"/>
    </w:r>
  </w:p>
  <w:p w:rsidR="008F7137" w14:paraId="4470C8E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B3108FD"/>
    <w:multiLevelType w:val="hybridMultilevel"/>
    <w:tmpl w:val="E390B0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15E47C3D"/>
    <w:multiLevelType w:val="hybridMultilevel"/>
    <w:tmpl w:val="16AC03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CF15605"/>
    <w:multiLevelType w:val="hybridMultilevel"/>
    <w:tmpl w:val="911EBAE6"/>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F4C2CD7"/>
    <w:multiLevelType w:val="hybridMultilevel"/>
    <w:tmpl w:val="EF5C37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33E173B"/>
    <w:multiLevelType w:val="hybridMultilevel"/>
    <w:tmpl w:val="B3C2B056"/>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3E0516B6"/>
    <w:multiLevelType w:val="hybridMultilevel"/>
    <w:tmpl w:val="932A154C"/>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2586401"/>
    <w:multiLevelType w:val="hybridMultilevel"/>
    <w:tmpl w:val="87F2B8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F3A2A03"/>
    <w:multiLevelType w:val="hybridMultilevel"/>
    <w:tmpl w:val="C206E0B0"/>
    <w:lvl w:ilvl="0">
      <w:start w:val="1"/>
      <w:numFmt w:val="bullet"/>
      <w:lvlText w:val=""/>
      <w:lvlJc w:val="left"/>
      <w:pPr>
        <w:tabs>
          <w:tab w:val="num" w:pos="765"/>
        </w:tabs>
        <w:ind w:left="765" w:hanging="360"/>
      </w:pPr>
      <w:rPr>
        <w:rFonts w:ascii="Symbol" w:hAnsi="Symbol" w:hint="default"/>
      </w:rPr>
    </w:lvl>
    <w:lvl w:ilvl="1" w:tentative="1">
      <w:start w:val="1"/>
      <w:numFmt w:val="bullet"/>
      <w:lvlText w:val="o"/>
      <w:lvlJc w:val="left"/>
      <w:pPr>
        <w:tabs>
          <w:tab w:val="num" w:pos="1485"/>
        </w:tabs>
        <w:ind w:left="1485" w:hanging="360"/>
      </w:pPr>
      <w:rPr>
        <w:rFonts w:ascii="Courier New" w:hAnsi="Courier New" w:hint="default"/>
      </w:rPr>
    </w:lvl>
    <w:lvl w:ilvl="2" w:tentative="1">
      <w:start w:val="1"/>
      <w:numFmt w:val="bullet"/>
      <w:lvlText w:val=""/>
      <w:lvlJc w:val="left"/>
      <w:pPr>
        <w:tabs>
          <w:tab w:val="num" w:pos="2205"/>
        </w:tabs>
        <w:ind w:left="2205" w:hanging="360"/>
      </w:pPr>
      <w:rPr>
        <w:rFonts w:ascii="Wingdings" w:hAnsi="Wingdings" w:hint="default"/>
      </w:rPr>
    </w:lvl>
    <w:lvl w:ilvl="3" w:tentative="1">
      <w:start w:val="1"/>
      <w:numFmt w:val="bullet"/>
      <w:lvlText w:val=""/>
      <w:lvlJc w:val="left"/>
      <w:pPr>
        <w:tabs>
          <w:tab w:val="num" w:pos="2925"/>
        </w:tabs>
        <w:ind w:left="2925" w:hanging="360"/>
      </w:pPr>
      <w:rPr>
        <w:rFonts w:ascii="Symbol" w:hAnsi="Symbol" w:hint="default"/>
      </w:rPr>
    </w:lvl>
    <w:lvl w:ilvl="4" w:tentative="1">
      <w:start w:val="1"/>
      <w:numFmt w:val="bullet"/>
      <w:lvlText w:val="o"/>
      <w:lvlJc w:val="left"/>
      <w:pPr>
        <w:tabs>
          <w:tab w:val="num" w:pos="3645"/>
        </w:tabs>
        <w:ind w:left="3645" w:hanging="360"/>
      </w:pPr>
      <w:rPr>
        <w:rFonts w:ascii="Courier New" w:hAnsi="Courier New" w:hint="default"/>
      </w:rPr>
    </w:lvl>
    <w:lvl w:ilvl="5" w:tentative="1">
      <w:start w:val="1"/>
      <w:numFmt w:val="bullet"/>
      <w:lvlText w:val=""/>
      <w:lvlJc w:val="left"/>
      <w:pPr>
        <w:tabs>
          <w:tab w:val="num" w:pos="4365"/>
        </w:tabs>
        <w:ind w:left="4365" w:hanging="360"/>
      </w:pPr>
      <w:rPr>
        <w:rFonts w:ascii="Wingdings" w:hAnsi="Wingdings" w:hint="default"/>
      </w:rPr>
    </w:lvl>
    <w:lvl w:ilvl="6" w:tentative="1">
      <w:start w:val="1"/>
      <w:numFmt w:val="bullet"/>
      <w:lvlText w:val=""/>
      <w:lvlJc w:val="left"/>
      <w:pPr>
        <w:tabs>
          <w:tab w:val="num" w:pos="5085"/>
        </w:tabs>
        <w:ind w:left="5085" w:hanging="360"/>
      </w:pPr>
      <w:rPr>
        <w:rFonts w:ascii="Symbol" w:hAnsi="Symbol" w:hint="default"/>
      </w:rPr>
    </w:lvl>
    <w:lvl w:ilvl="7" w:tentative="1">
      <w:start w:val="1"/>
      <w:numFmt w:val="bullet"/>
      <w:lvlText w:val="o"/>
      <w:lvlJc w:val="left"/>
      <w:pPr>
        <w:tabs>
          <w:tab w:val="num" w:pos="5805"/>
        </w:tabs>
        <w:ind w:left="5805" w:hanging="360"/>
      </w:pPr>
      <w:rPr>
        <w:rFonts w:ascii="Courier New" w:hAnsi="Courier New" w:hint="default"/>
      </w:rPr>
    </w:lvl>
    <w:lvl w:ilvl="8" w:tentative="1">
      <w:start w:val="1"/>
      <w:numFmt w:val="bullet"/>
      <w:lvlText w:val=""/>
      <w:lvlJc w:val="left"/>
      <w:pPr>
        <w:tabs>
          <w:tab w:val="num" w:pos="6525"/>
        </w:tabs>
        <w:ind w:left="6525" w:hanging="360"/>
      </w:pPr>
      <w:rPr>
        <w:rFonts w:ascii="Wingdings" w:hAnsi="Wingdings" w:hint="default"/>
      </w:rPr>
    </w:lvl>
  </w:abstractNum>
  <w:abstractNum w:abstractNumId="11">
    <w:nsid w:val="51F736A7"/>
    <w:multiLevelType w:val="hybridMultilevel"/>
    <w:tmpl w:val="B238AE3A"/>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AAC51FB"/>
    <w:multiLevelType w:val="hybridMultilevel"/>
    <w:tmpl w:val="94C84D4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6B0C03C9"/>
    <w:multiLevelType w:val="hybridMultilevel"/>
    <w:tmpl w:val="D578E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5EA6D4B"/>
    <w:multiLevelType w:val="hybridMultilevel"/>
    <w:tmpl w:val="1956691A"/>
    <w:lvl w:ilvl="0">
      <w:start w:val="1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498958732">
    <w:abstractNumId w:val="0"/>
  </w:num>
  <w:num w:numId="2" w16cid:durableId="2127117014">
    <w:abstractNumId w:val="15"/>
  </w:num>
  <w:num w:numId="3" w16cid:durableId="351150898">
    <w:abstractNumId w:val="7"/>
  </w:num>
  <w:num w:numId="4" w16cid:durableId="32972687">
    <w:abstractNumId w:val="7"/>
  </w:num>
  <w:num w:numId="5" w16cid:durableId="1647128543">
    <w:abstractNumId w:val="2"/>
  </w:num>
  <w:num w:numId="6" w16cid:durableId="437795048">
    <w:abstractNumId w:val="2"/>
  </w:num>
  <w:num w:numId="7" w16cid:durableId="205652189">
    <w:abstractNumId w:val="2"/>
  </w:num>
  <w:num w:numId="8" w16cid:durableId="1904097120">
    <w:abstractNumId w:val="2"/>
  </w:num>
  <w:num w:numId="9" w16cid:durableId="758677101">
    <w:abstractNumId w:val="2"/>
  </w:num>
  <w:num w:numId="10" w16cid:durableId="785731708">
    <w:abstractNumId w:val="2"/>
  </w:num>
  <w:num w:numId="11" w16cid:durableId="1257403067">
    <w:abstractNumId w:val="2"/>
  </w:num>
  <w:num w:numId="12" w16cid:durableId="1713922051">
    <w:abstractNumId w:val="2"/>
  </w:num>
  <w:num w:numId="13" w16cid:durableId="123041403">
    <w:abstractNumId w:val="7"/>
  </w:num>
  <w:num w:numId="14" w16cid:durableId="1343046268">
    <w:abstractNumId w:val="7"/>
  </w:num>
  <w:num w:numId="15" w16cid:durableId="1781098852">
    <w:abstractNumId w:val="7"/>
  </w:num>
  <w:num w:numId="16" w16cid:durableId="870729100">
    <w:abstractNumId w:val="7"/>
  </w:num>
  <w:num w:numId="17" w16cid:durableId="1084305748">
    <w:abstractNumId w:val="14"/>
  </w:num>
  <w:num w:numId="18" w16cid:durableId="695541086">
    <w:abstractNumId w:val="1"/>
  </w:num>
  <w:num w:numId="19" w16cid:durableId="126899987">
    <w:abstractNumId w:val="3"/>
  </w:num>
  <w:num w:numId="20" w16cid:durableId="424037248">
    <w:abstractNumId w:val="10"/>
  </w:num>
  <w:num w:numId="21" w16cid:durableId="1005671061">
    <w:abstractNumId w:val="12"/>
  </w:num>
  <w:num w:numId="22" w16cid:durableId="1622305101">
    <w:abstractNumId w:val="4"/>
  </w:num>
  <w:num w:numId="23" w16cid:durableId="1658650898">
    <w:abstractNumId w:val="8"/>
  </w:num>
  <w:num w:numId="24" w16cid:durableId="1578591864">
    <w:abstractNumId w:val="11"/>
  </w:num>
  <w:num w:numId="25" w16cid:durableId="2121099333">
    <w:abstractNumId w:val="6"/>
  </w:num>
  <w:num w:numId="26" w16cid:durableId="1389306572">
    <w:abstractNumId w:val="9"/>
  </w:num>
  <w:num w:numId="27" w16cid:durableId="1570073157">
    <w:abstractNumId w:val="13"/>
  </w:num>
  <w:num w:numId="28" w16cid:durableId="1825506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020"/>
    <w:rsid w:val="0000758E"/>
    <w:rsid w:val="00012E63"/>
    <w:rsid w:val="000178C6"/>
    <w:rsid w:val="0002018D"/>
    <w:rsid w:val="00032541"/>
    <w:rsid w:val="000346AF"/>
    <w:rsid w:val="00097273"/>
    <w:rsid w:val="000A2FAB"/>
    <w:rsid w:val="000A54E5"/>
    <w:rsid w:val="000A56B9"/>
    <w:rsid w:val="000D0DF9"/>
    <w:rsid w:val="000D1365"/>
    <w:rsid w:val="001117AC"/>
    <w:rsid w:val="00116020"/>
    <w:rsid w:val="00122A88"/>
    <w:rsid w:val="00124988"/>
    <w:rsid w:val="00135782"/>
    <w:rsid w:val="00135CB4"/>
    <w:rsid w:val="00146AD9"/>
    <w:rsid w:val="00162566"/>
    <w:rsid w:val="00183034"/>
    <w:rsid w:val="001933B3"/>
    <w:rsid w:val="00196C5E"/>
    <w:rsid w:val="001A5846"/>
    <w:rsid w:val="001C072D"/>
    <w:rsid w:val="001C6320"/>
    <w:rsid w:val="001F0EB7"/>
    <w:rsid w:val="0020052A"/>
    <w:rsid w:val="002041A2"/>
    <w:rsid w:val="00210C1A"/>
    <w:rsid w:val="002178E4"/>
    <w:rsid w:val="002259AC"/>
    <w:rsid w:val="002522FE"/>
    <w:rsid w:val="002536D7"/>
    <w:rsid w:val="00284362"/>
    <w:rsid w:val="00290EF1"/>
    <w:rsid w:val="002A1F7E"/>
    <w:rsid w:val="002A23DE"/>
    <w:rsid w:val="002C2F15"/>
    <w:rsid w:val="002C39FA"/>
    <w:rsid w:val="002D26CC"/>
    <w:rsid w:val="002D3EE6"/>
    <w:rsid w:val="002F2719"/>
    <w:rsid w:val="003069E0"/>
    <w:rsid w:val="0031001D"/>
    <w:rsid w:val="003300C4"/>
    <w:rsid w:val="00373BE3"/>
    <w:rsid w:val="00384FE7"/>
    <w:rsid w:val="003929D5"/>
    <w:rsid w:val="003B2F03"/>
    <w:rsid w:val="003C0B76"/>
    <w:rsid w:val="003E0E12"/>
    <w:rsid w:val="004117D0"/>
    <w:rsid w:val="00422DFE"/>
    <w:rsid w:val="00422E12"/>
    <w:rsid w:val="0043685A"/>
    <w:rsid w:val="00462350"/>
    <w:rsid w:val="00465AE5"/>
    <w:rsid w:val="004831B5"/>
    <w:rsid w:val="00485C5F"/>
    <w:rsid w:val="004957EF"/>
    <w:rsid w:val="004C6FCA"/>
    <w:rsid w:val="004D17C1"/>
    <w:rsid w:val="004E2B9D"/>
    <w:rsid w:val="004F4141"/>
    <w:rsid w:val="004F4C56"/>
    <w:rsid w:val="00524853"/>
    <w:rsid w:val="005310E8"/>
    <w:rsid w:val="00531F33"/>
    <w:rsid w:val="00536DA9"/>
    <w:rsid w:val="00573BE6"/>
    <w:rsid w:val="005A0CB9"/>
    <w:rsid w:val="005B42C4"/>
    <w:rsid w:val="005F5420"/>
    <w:rsid w:val="00623A4B"/>
    <w:rsid w:val="0064208B"/>
    <w:rsid w:val="0064376E"/>
    <w:rsid w:val="006540FB"/>
    <w:rsid w:val="00672C46"/>
    <w:rsid w:val="0067348B"/>
    <w:rsid w:val="00676362"/>
    <w:rsid w:val="00682C37"/>
    <w:rsid w:val="00685BD3"/>
    <w:rsid w:val="00696F86"/>
    <w:rsid w:val="006A2087"/>
    <w:rsid w:val="006B70F3"/>
    <w:rsid w:val="006C458D"/>
    <w:rsid w:val="0070055A"/>
    <w:rsid w:val="00707608"/>
    <w:rsid w:val="0071182C"/>
    <w:rsid w:val="007404C1"/>
    <w:rsid w:val="00746009"/>
    <w:rsid w:val="00750032"/>
    <w:rsid w:val="007618F0"/>
    <w:rsid w:val="00764BFB"/>
    <w:rsid w:val="00764E0E"/>
    <w:rsid w:val="00765B9F"/>
    <w:rsid w:val="00792673"/>
    <w:rsid w:val="00793C17"/>
    <w:rsid w:val="007A327C"/>
    <w:rsid w:val="007A6298"/>
    <w:rsid w:val="007C23C4"/>
    <w:rsid w:val="007F1D6C"/>
    <w:rsid w:val="00800540"/>
    <w:rsid w:val="00805FDC"/>
    <w:rsid w:val="008145C4"/>
    <w:rsid w:val="008239FD"/>
    <w:rsid w:val="0082511B"/>
    <w:rsid w:val="00874A07"/>
    <w:rsid w:val="00893DCC"/>
    <w:rsid w:val="0089694A"/>
    <w:rsid w:val="008A36F9"/>
    <w:rsid w:val="008A46BE"/>
    <w:rsid w:val="008C3151"/>
    <w:rsid w:val="008C6E77"/>
    <w:rsid w:val="008E2ADE"/>
    <w:rsid w:val="008F7137"/>
    <w:rsid w:val="009036DA"/>
    <w:rsid w:val="00903AE7"/>
    <w:rsid w:val="00944EF8"/>
    <w:rsid w:val="00953329"/>
    <w:rsid w:val="0098539D"/>
    <w:rsid w:val="00990A21"/>
    <w:rsid w:val="0099330C"/>
    <w:rsid w:val="0099533C"/>
    <w:rsid w:val="00997EC6"/>
    <w:rsid w:val="009B1989"/>
    <w:rsid w:val="009F0B86"/>
    <w:rsid w:val="009F2951"/>
    <w:rsid w:val="009F5DB3"/>
    <w:rsid w:val="00A14A11"/>
    <w:rsid w:val="00A300B5"/>
    <w:rsid w:val="00A4236B"/>
    <w:rsid w:val="00A46003"/>
    <w:rsid w:val="00A57062"/>
    <w:rsid w:val="00A60CCE"/>
    <w:rsid w:val="00A66E5E"/>
    <w:rsid w:val="00A67A24"/>
    <w:rsid w:val="00A84D05"/>
    <w:rsid w:val="00A85EDB"/>
    <w:rsid w:val="00A8761F"/>
    <w:rsid w:val="00A908CC"/>
    <w:rsid w:val="00AD0819"/>
    <w:rsid w:val="00AE009B"/>
    <w:rsid w:val="00AE0663"/>
    <w:rsid w:val="00AE4C0C"/>
    <w:rsid w:val="00AF2DA2"/>
    <w:rsid w:val="00B020B7"/>
    <w:rsid w:val="00B15A7C"/>
    <w:rsid w:val="00B21AC7"/>
    <w:rsid w:val="00B250D4"/>
    <w:rsid w:val="00B26886"/>
    <w:rsid w:val="00B33674"/>
    <w:rsid w:val="00B42548"/>
    <w:rsid w:val="00B52949"/>
    <w:rsid w:val="00B571BC"/>
    <w:rsid w:val="00B75391"/>
    <w:rsid w:val="00B940DC"/>
    <w:rsid w:val="00B94376"/>
    <w:rsid w:val="00BA2413"/>
    <w:rsid w:val="00BA5626"/>
    <w:rsid w:val="00BB10E9"/>
    <w:rsid w:val="00BE3C8A"/>
    <w:rsid w:val="00BE442A"/>
    <w:rsid w:val="00C12833"/>
    <w:rsid w:val="00C157A0"/>
    <w:rsid w:val="00C30778"/>
    <w:rsid w:val="00C358F0"/>
    <w:rsid w:val="00C53179"/>
    <w:rsid w:val="00C63953"/>
    <w:rsid w:val="00C717A9"/>
    <w:rsid w:val="00CC227C"/>
    <w:rsid w:val="00CC4ADA"/>
    <w:rsid w:val="00CD7739"/>
    <w:rsid w:val="00CE7D79"/>
    <w:rsid w:val="00CF3B78"/>
    <w:rsid w:val="00CF4B32"/>
    <w:rsid w:val="00D06B35"/>
    <w:rsid w:val="00D10DD9"/>
    <w:rsid w:val="00D24757"/>
    <w:rsid w:val="00D4035D"/>
    <w:rsid w:val="00D42A4F"/>
    <w:rsid w:val="00D43579"/>
    <w:rsid w:val="00D60DC8"/>
    <w:rsid w:val="00D61163"/>
    <w:rsid w:val="00D67222"/>
    <w:rsid w:val="00D85D33"/>
    <w:rsid w:val="00D95BEA"/>
    <w:rsid w:val="00DA0DFE"/>
    <w:rsid w:val="00DD11A7"/>
    <w:rsid w:val="00DD4307"/>
    <w:rsid w:val="00DD6DBB"/>
    <w:rsid w:val="00DE089F"/>
    <w:rsid w:val="00DE72BA"/>
    <w:rsid w:val="00E232FB"/>
    <w:rsid w:val="00E313B3"/>
    <w:rsid w:val="00E44B82"/>
    <w:rsid w:val="00E61511"/>
    <w:rsid w:val="00E73A2F"/>
    <w:rsid w:val="00EB6AC8"/>
    <w:rsid w:val="00EB6D42"/>
    <w:rsid w:val="00EC2B2B"/>
    <w:rsid w:val="00ED743A"/>
    <w:rsid w:val="00EE62A6"/>
    <w:rsid w:val="00EF0516"/>
    <w:rsid w:val="00F3469F"/>
    <w:rsid w:val="00F37C36"/>
    <w:rsid w:val="00F441B1"/>
    <w:rsid w:val="00F47CE7"/>
    <w:rsid w:val="00F6188B"/>
    <w:rsid w:val="00F665B1"/>
    <w:rsid w:val="00F70B1B"/>
    <w:rsid w:val="00F71F9E"/>
    <w:rsid w:val="00F83082"/>
    <w:rsid w:val="00F94957"/>
    <w:rsid w:val="00FA0AF4"/>
    <w:rsid w:val="00FD77EF"/>
    <w:rsid w:val="00FE2D94"/>
    <w:rsid w:val="00FE5F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F4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743A"/>
    <w:rPr>
      <w:sz w:val="24"/>
    </w:rPr>
  </w:style>
  <w:style w:type="paragraph" w:styleId="Heading1">
    <w:name w:val="heading 1"/>
    <w:basedOn w:val="Normal"/>
    <w:next w:val="Normal"/>
    <w:qFormat/>
    <w:rsid w:val="00ED743A"/>
    <w:pPr>
      <w:keepNext/>
      <w:spacing w:before="240" w:after="60"/>
      <w:outlineLvl w:val="0"/>
    </w:pPr>
    <w:rPr>
      <w:b/>
      <w:kern w:val="28"/>
      <w:sz w:val="28"/>
    </w:rPr>
  </w:style>
  <w:style w:type="paragraph" w:styleId="Heading2">
    <w:name w:val="heading 2"/>
    <w:basedOn w:val="Normal"/>
    <w:next w:val="Normal"/>
    <w:qFormat/>
    <w:rsid w:val="00ED743A"/>
    <w:pPr>
      <w:keepNext/>
      <w:spacing w:before="240" w:after="60"/>
      <w:outlineLvl w:val="1"/>
    </w:pPr>
    <w:rPr>
      <w:b/>
    </w:rPr>
  </w:style>
  <w:style w:type="paragraph" w:styleId="Heading3">
    <w:name w:val="heading 3"/>
    <w:basedOn w:val="Normal"/>
    <w:next w:val="Normal"/>
    <w:qFormat/>
    <w:rsid w:val="00ED743A"/>
    <w:pPr>
      <w:keepNext/>
      <w:spacing w:before="240" w:after="60"/>
      <w:outlineLvl w:val="2"/>
    </w:pPr>
    <w:rPr>
      <w:u w:val="single"/>
    </w:rPr>
  </w:style>
  <w:style w:type="paragraph" w:styleId="Heading4">
    <w:name w:val="heading 4"/>
    <w:basedOn w:val="Normal"/>
    <w:next w:val="Normal"/>
    <w:qFormat/>
    <w:rsid w:val="00ED743A"/>
    <w:pPr>
      <w:keepNext/>
      <w:tabs>
        <w:tab w:val="left" w:pos="-1440"/>
        <w:tab w:val="left" w:pos="-720"/>
        <w:tab w:val="left" w:pos="0"/>
        <w:tab w:val="left" w:pos="240"/>
        <w:tab w:val="left" w:pos="720"/>
        <w:tab w:val="left" w:pos="1440"/>
        <w:tab w:val="left" w:pos="2160"/>
        <w:tab w:val="left" w:pos="2880"/>
        <w:tab w:val="left" w:pos="3600"/>
      </w:tabs>
      <w:spacing w:before="144"/>
      <w:jc w:val="right"/>
      <w:outlineLvl w:val="3"/>
    </w:pPr>
    <w:rPr>
      <w:rFonts w:ascii="Times" w:hAnsi="Times"/>
      <w:i/>
      <w:iCs/>
      <w:snapToGrid w:val="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D743A"/>
    <w:rPr>
      <w:vertAlign w:val="superscript"/>
    </w:rPr>
  </w:style>
  <w:style w:type="paragraph" w:styleId="FootnoteText">
    <w:name w:val="footnote text"/>
    <w:basedOn w:val="Normal"/>
    <w:semiHidden/>
    <w:rsid w:val="00ED743A"/>
    <w:rPr>
      <w:sz w:val="20"/>
    </w:rPr>
  </w:style>
  <w:style w:type="paragraph" w:customStyle="1" w:styleId="ArticleNumber">
    <w:name w:val="Article Number"/>
    <w:basedOn w:val="Normal"/>
    <w:rsid w:val="00ED743A"/>
    <w:pPr>
      <w:numPr>
        <w:numId w:val="16"/>
      </w:numPr>
      <w:spacing w:line="480" w:lineRule="auto"/>
      <w:jc w:val="center"/>
    </w:pPr>
  </w:style>
  <w:style w:type="paragraph" w:customStyle="1" w:styleId="ArticleLevel1">
    <w:name w:val="Article Level (1)"/>
    <w:basedOn w:val="Normal"/>
    <w:rsid w:val="00ED743A"/>
    <w:pPr>
      <w:numPr>
        <w:ilvl w:val="1"/>
        <w:numId w:val="13"/>
      </w:numPr>
      <w:tabs>
        <w:tab w:val="clear" w:pos="1080"/>
      </w:tabs>
      <w:spacing w:line="480" w:lineRule="auto"/>
    </w:pPr>
  </w:style>
  <w:style w:type="paragraph" w:customStyle="1" w:styleId="ArticleLevela">
    <w:name w:val="Article Level (a)"/>
    <w:basedOn w:val="Normal"/>
    <w:rsid w:val="00ED743A"/>
    <w:pPr>
      <w:numPr>
        <w:ilvl w:val="2"/>
        <w:numId w:val="14"/>
      </w:numPr>
      <w:tabs>
        <w:tab w:val="clear" w:pos="1440"/>
      </w:tabs>
      <w:spacing w:line="480" w:lineRule="auto"/>
      <w:ind w:left="2160"/>
    </w:pPr>
  </w:style>
  <w:style w:type="paragraph" w:customStyle="1" w:styleId="ArticleLeveli">
    <w:name w:val="Article Level (i)"/>
    <w:basedOn w:val="Normal"/>
    <w:rsid w:val="00ED743A"/>
    <w:pPr>
      <w:numPr>
        <w:ilvl w:val="3"/>
        <w:numId w:val="15"/>
      </w:numPr>
      <w:tabs>
        <w:tab w:val="clear" w:pos="2160"/>
      </w:tabs>
      <w:spacing w:line="480" w:lineRule="auto"/>
      <w:ind w:left="2880"/>
    </w:pPr>
  </w:style>
  <w:style w:type="paragraph" w:styleId="Title">
    <w:name w:val="Title"/>
    <w:basedOn w:val="Normal"/>
    <w:qFormat/>
    <w:rsid w:val="00ED743A"/>
    <w:pPr>
      <w:jc w:val="center"/>
    </w:pPr>
    <w:rPr>
      <w:b/>
      <w:bCs/>
    </w:rPr>
  </w:style>
  <w:style w:type="paragraph" w:styleId="BodyText">
    <w:name w:val="Body Text"/>
    <w:basedOn w:val="Normal"/>
    <w:rsid w:val="00ED743A"/>
    <w:rPr>
      <w:b/>
      <w:bCs/>
    </w:rPr>
  </w:style>
  <w:style w:type="paragraph" w:styleId="BodyText2">
    <w:name w:val="Body Text 2"/>
    <w:basedOn w:val="Normal"/>
    <w:rsid w:val="00ED743A"/>
    <w:rPr>
      <w:b/>
      <w:bCs/>
      <w:i/>
      <w:iCs/>
    </w:rPr>
  </w:style>
  <w:style w:type="paragraph" w:styleId="Footer">
    <w:name w:val="footer"/>
    <w:basedOn w:val="Normal"/>
    <w:rsid w:val="00ED743A"/>
    <w:pPr>
      <w:tabs>
        <w:tab w:val="center" w:pos="4320"/>
        <w:tab w:val="right" w:pos="8640"/>
      </w:tabs>
    </w:pPr>
  </w:style>
  <w:style w:type="character" w:styleId="PageNumber">
    <w:name w:val="page number"/>
    <w:basedOn w:val="DefaultParagraphFont"/>
    <w:rsid w:val="00ED743A"/>
  </w:style>
  <w:style w:type="paragraph" w:styleId="Header">
    <w:name w:val="header"/>
    <w:basedOn w:val="Normal"/>
    <w:rsid w:val="00ED743A"/>
    <w:pPr>
      <w:tabs>
        <w:tab w:val="center" w:pos="4320"/>
        <w:tab w:val="right" w:pos="8640"/>
      </w:tabs>
    </w:pPr>
    <w:rPr>
      <w:snapToGrid w:val="0"/>
    </w:rPr>
  </w:style>
  <w:style w:type="paragraph" w:styleId="BalloonText">
    <w:name w:val="Balloon Text"/>
    <w:basedOn w:val="Normal"/>
    <w:semiHidden/>
    <w:rsid w:val="00284362"/>
    <w:rPr>
      <w:rFonts w:ascii="Tahoma" w:hAnsi="Tahoma" w:cs="Tahoma"/>
      <w:sz w:val="16"/>
      <w:szCs w:val="16"/>
    </w:rPr>
  </w:style>
  <w:style w:type="paragraph" w:styleId="ListParagraph">
    <w:name w:val="List Paragraph"/>
    <w:basedOn w:val="Normal"/>
    <w:uiPriority w:val="34"/>
    <w:qFormat/>
    <w:rsid w:val="002A23DE"/>
    <w:pPr>
      <w:ind w:left="720"/>
      <w:contextualSpacing/>
    </w:pPr>
  </w:style>
  <w:style w:type="paragraph" w:styleId="NormalWeb">
    <w:name w:val="Normal (Web)"/>
    <w:basedOn w:val="Normal"/>
    <w:rsid w:val="00F70B1B"/>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rsid w:val="00B940DC"/>
    <w:rPr>
      <w:sz w:val="16"/>
      <w:szCs w:val="16"/>
    </w:rPr>
  </w:style>
  <w:style w:type="paragraph" w:styleId="CommentText">
    <w:name w:val="annotation text"/>
    <w:basedOn w:val="Normal"/>
    <w:link w:val="CommentTextChar"/>
    <w:rsid w:val="00B940DC"/>
    <w:rPr>
      <w:sz w:val="20"/>
    </w:rPr>
  </w:style>
  <w:style w:type="character" w:customStyle="1" w:styleId="CommentTextChar">
    <w:name w:val="Comment Text Char"/>
    <w:basedOn w:val="DefaultParagraphFont"/>
    <w:link w:val="CommentText"/>
    <w:rsid w:val="00B940DC"/>
  </w:style>
  <w:style w:type="paragraph" w:styleId="CommentSubject">
    <w:name w:val="annotation subject"/>
    <w:basedOn w:val="CommentText"/>
    <w:next w:val="CommentText"/>
    <w:link w:val="CommentSubjectChar"/>
    <w:rsid w:val="00B940DC"/>
    <w:rPr>
      <w:b/>
      <w:bCs/>
    </w:rPr>
  </w:style>
  <w:style w:type="character" w:customStyle="1" w:styleId="CommentSubjectChar">
    <w:name w:val="Comment Subject Char"/>
    <w:basedOn w:val="CommentTextChar"/>
    <w:link w:val="CommentSubject"/>
    <w:rsid w:val="00B940DC"/>
    <w:rPr>
      <w:b/>
      <w:bCs/>
    </w:rPr>
  </w:style>
  <w:style w:type="paragraph" w:styleId="Revision">
    <w:name w:val="Revision"/>
    <w:hidden/>
    <w:uiPriority w:val="99"/>
    <w:semiHidden/>
    <w:rsid w:val="003E0E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E5BE3-0193-41C4-AF3B-626646C98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1799</Words>
  <Characters>10177</Characters>
  <Application>Microsoft Office Word</Application>
  <DocSecurity>0</DocSecurity>
  <Lines>84</Lines>
  <Paragraphs>23</Paragraphs>
  <ScaleCrop>false</ScaleCrop>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2026-04-06T17:53:00Z</dcterms:created>
  <dcterms:modified xsi:type="dcterms:W3CDTF">2026-04-06T17:53:00Z</dcterms:modified>
</cp:coreProperties>
</file>