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8589C" w:rsidRPr="006C062E" w:rsidP="00D8589C" w14:paraId="58B3D454" w14:textId="31A9CDB1">
      <w:pPr>
        <w:jc w:val="center"/>
        <w:rPr>
          <w:b/>
          <w:sz w:val="24"/>
          <w:szCs w:val="24"/>
        </w:rPr>
      </w:pPr>
      <w:bookmarkStart w:id="0" w:name="_Hlk125626647"/>
      <w:r w:rsidRPr="006C062E">
        <w:rPr>
          <w:b/>
          <w:sz w:val="24"/>
          <w:szCs w:val="24"/>
        </w:rPr>
        <w:t>U.S. Department of Labor</w:t>
      </w:r>
    </w:p>
    <w:p w:rsidR="00D8589C" w:rsidRPr="006C062E" w:rsidP="00D8589C" w14:paraId="05E57E79" w14:textId="77777777">
      <w:pPr>
        <w:jc w:val="center"/>
        <w:rPr>
          <w:b/>
          <w:sz w:val="24"/>
          <w:szCs w:val="24"/>
        </w:rPr>
      </w:pPr>
      <w:r w:rsidRPr="006C062E">
        <w:rPr>
          <w:b/>
          <w:sz w:val="24"/>
          <w:szCs w:val="24"/>
        </w:rPr>
        <w:t>Office of Federal Contract Compliance Programs</w:t>
      </w:r>
      <w:bookmarkEnd w:id="0"/>
    </w:p>
    <w:p w:rsidR="00D8589C" w:rsidRPr="006C062E" w:rsidP="00D8589C" w14:paraId="5031A745" w14:textId="24572FC9">
      <w:pPr>
        <w:tabs>
          <w:tab w:val="left" w:pos="-720"/>
        </w:tabs>
        <w:jc w:val="center"/>
        <w:rPr>
          <w:b/>
          <w:sz w:val="24"/>
          <w:szCs w:val="24"/>
        </w:rPr>
      </w:pPr>
      <w:r w:rsidRPr="006C062E">
        <w:rPr>
          <w:b/>
          <w:color w:val="000000"/>
          <w:sz w:val="24"/>
          <w:szCs w:val="24"/>
        </w:rPr>
        <w:t>Recordkeeping Requirements—</w:t>
      </w:r>
      <w:r w:rsidRPr="006C062E">
        <w:rPr>
          <w:b/>
          <w:sz w:val="24"/>
          <w:szCs w:val="24"/>
        </w:rPr>
        <w:t>29 U.S.C. 793</w:t>
      </w:r>
    </w:p>
    <w:p w:rsidR="00D8589C" w:rsidRPr="006C062E" w:rsidP="00D8589C" w14:paraId="1BEAEE91" w14:textId="77777777">
      <w:pPr>
        <w:tabs>
          <w:tab w:val="left" w:pos="-720"/>
        </w:tabs>
        <w:jc w:val="center"/>
        <w:rPr>
          <w:b/>
          <w:sz w:val="24"/>
          <w:szCs w:val="24"/>
        </w:rPr>
      </w:pPr>
      <w:r w:rsidRPr="006C062E">
        <w:rPr>
          <w:b/>
          <w:sz w:val="24"/>
          <w:szCs w:val="24"/>
        </w:rPr>
        <w:t>Section 503 of the Rehabilitation Act of 1973, As Amended</w:t>
      </w:r>
    </w:p>
    <w:p w:rsidR="00D8589C" w:rsidRPr="006C062E" w:rsidP="00D8589C" w14:paraId="1ECEE4C1" w14:textId="77777777">
      <w:pPr>
        <w:jc w:val="center"/>
        <w:rPr>
          <w:b/>
          <w:color w:val="000000"/>
          <w:sz w:val="24"/>
          <w:szCs w:val="24"/>
        </w:rPr>
      </w:pPr>
    </w:p>
    <w:p w:rsidR="00D8589C" w:rsidRPr="006C062E" w:rsidP="00D8589C" w14:paraId="022A7CCF" w14:textId="774E8450">
      <w:pPr>
        <w:pStyle w:val="Heading1"/>
        <w:jc w:val="center"/>
        <w:rPr>
          <w:caps/>
          <w:szCs w:val="24"/>
        </w:rPr>
      </w:pPr>
      <w:r w:rsidRPr="006C062E">
        <w:rPr>
          <w:szCs w:val="24"/>
        </w:rPr>
        <w:t>O</w:t>
      </w:r>
      <w:r w:rsidR="00E01147">
        <w:rPr>
          <w:szCs w:val="24"/>
        </w:rPr>
        <w:t xml:space="preserve">ffice of </w:t>
      </w:r>
      <w:r w:rsidRPr="006C062E">
        <w:rPr>
          <w:szCs w:val="24"/>
        </w:rPr>
        <w:t>M</w:t>
      </w:r>
      <w:r w:rsidR="00E01147">
        <w:rPr>
          <w:szCs w:val="24"/>
        </w:rPr>
        <w:t xml:space="preserve">anagement and </w:t>
      </w:r>
      <w:r w:rsidRPr="006C062E">
        <w:rPr>
          <w:szCs w:val="24"/>
        </w:rPr>
        <w:t>B</w:t>
      </w:r>
      <w:r w:rsidR="00E01147">
        <w:rPr>
          <w:szCs w:val="24"/>
        </w:rPr>
        <w:t>udget (OMB)</w:t>
      </w:r>
      <w:r w:rsidRPr="006C062E">
        <w:rPr>
          <w:szCs w:val="24"/>
        </w:rPr>
        <w:t xml:space="preserve"> Number 1250-0005</w:t>
      </w:r>
    </w:p>
    <w:p w:rsidR="00D8589C" w:rsidRPr="006C062E" w:rsidP="00D8589C" w14:paraId="3302C99F" w14:textId="77777777">
      <w:pPr>
        <w:rPr>
          <w:color w:val="000000"/>
          <w:sz w:val="24"/>
          <w:szCs w:val="24"/>
        </w:rPr>
      </w:pPr>
    </w:p>
    <w:p w:rsidR="003B39BD" w:rsidP="00D8589C" w14:paraId="3EBD3910" w14:textId="662BF012">
      <w:pPr>
        <w:rPr>
          <w:sz w:val="24"/>
          <w:szCs w:val="24"/>
        </w:rPr>
      </w:pPr>
      <w:r w:rsidRPr="006C062E">
        <w:rPr>
          <w:sz w:val="24"/>
          <w:szCs w:val="24"/>
        </w:rPr>
        <w:t>Th</w:t>
      </w:r>
      <w:r w:rsidR="00CB2D47">
        <w:rPr>
          <w:sz w:val="24"/>
          <w:szCs w:val="24"/>
        </w:rPr>
        <w:t>e</w:t>
      </w:r>
      <w:r w:rsidR="00CD1976">
        <w:rPr>
          <w:sz w:val="24"/>
          <w:szCs w:val="24"/>
        </w:rPr>
        <w:t xml:space="preserve"> U.S. Department of Labor</w:t>
      </w:r>
      <w:r w:rsidR="00CF3AEE">
        <w:rPr>
          <w:sz w:val="24"/>
          <w:szCs w:val="24"/>
        </w:rPr>
        <w:t xml:space="preserve">’s Office of Federal Contract Compliance Programs </w:t>
      </w:r>
      <w:r w:rsidR="00CD1976">
        <w:rPr>
          <w:sz w:val="24"/>
          <w:szCs w:val="24"/>
        </w:rPr>
        <w:t>(</w:t>
      </w:r>
      <w:r w:rsidR="00CF3AEE">
        <w:rPr>
          <w:sz w:val="24"/>
          <w:szCs w:val="24"/>
        </w:rPr>
        <w:t>OFCCP</w:t>
      </w:r>
      <w:r w:rsidR="00CD1976">
        <w:rPr>
          <w:sz w:val="24"/>
          <w:szCs w:val="24"/>
        </w:rPr>
        <w:t>) is seeking an extension</w:t>
      </w:r>
      <w:r w:rsidR="00006921">
        <w:rPr>
          <w:sz w:val="24"/>
          <w:szCs w:val="24"/>
        </w:rPr>
        <w:t xml:space="preserve"> without change</w:t>
      </w:r>
      <w:r w:rsidR="00CD1976">
        <w:rPr>
          <w:sz w:val="24"/>
          <w:szCs w:val="24"/>
        </w:rPr>
        <w:t xml:space="preserve"> of </w:t>
      </w:r>
      <w:r w:rsidR="00CB2D47">
        <w:rPr>
          <w:sz w:val="24"/>
          <w:szCs w:val="24"/>
        </w:rPr>
        <w:t>a currently approved information collection (OMB #1250-0005).</w:t>
      </w:r>
    </w:p>
    <w:p w:rsidR="00AC26F5" w:rsidP="00D8589C" w14:paraId="1FE38E13" w14:textId="77777777">
      <w:pPr>
        <w:rPr>
          <w:sz w:val="24"/>
          <w:szCs w:val="24"/>
        </w:rPr>
      </w:pPr>
    </w:p>
    <w:p w:rsidR="00D8589C" w:rsidRPr="006C062E" w:rsidP="657BF8E6" w14:paraId="129860A9" w14:textId="47E6D356">
      <w:pPr>
        <w:pStyle w:val="Heading2"/>
      </w:pPr>
      <w:r>
        <w:t>JUSTIFICATION</w:t>
      </w:r>
    </w:p>
    <w:p w:rsidR="00D8589C" w:rsidRPr="006C062E" w:rsidP="00D8589C" w14:paraId="7AC0FDCC" w14:textId="77777777">
      <w:pPr>
        <w:rPr>
          <w:sz w:val="24"/>
          <w:szCs w:val="24"/>
        </w:rPr>
      </w:pPr>
    </w:p>
    <w:p w:rsidR="00D8589C" w:rsidP="657BF8E6" w14:paraId="58D5631C" w14:textId="7D466042">
      <w:pPr>
        <w:pStyle w:val="Heading3"/>
      </w:pPr>
      <w:r>
        <w:t>Legal and Administrative Requirements</w:t>
      </w:r>
    </w:p>
    <w:p w:rsidR="00425BFE" w:rsidP="00425BFE" w14:paraId="34BC17E9" w14:textId="77777777"/>
    <w:p w:rsidR="00AC62E7" w:rsidRPr="00505CF7" w:rsidP="00725A44" w14:paraId="5F25B60B" w14:textId="60F04E0E">
      <w:pPr>
        <w:rPr>
          <w:sz w:val="24"/>
          <w:szCs w:val="24"/>
        </w:rPr>
      </w:pPr>
      <w:r w:rsidRPr="000836F1">
        <w:rPr>
          <w:sz w:val="24"/>
          <w:szCs w:val="24"/>
        </w:rPr>
        <w:t xml:space="preserve">This information collection request (ICR) covers </w:t>
      </w:r>
      <w:r w:rsidRPr="000836F1" w:rsidR="004B5596">
        <w:rPr>
          <w:sz w:val="24"/>
          <w:szCs w:val="24"/>
        </w:rPr>
        <w:t>the information collection burden</w:t>
      </w:r>
      <w:r w:rsidRPr="000836F1">
        <w:rPr>
          <w:sz w:val="24"/>
          <w:szCs w:val="24"/>
        </w:rPr>
        <w:t xml:space="preserve"> </w:t>
      </w:r>
      <w:r w:rsidRPr="000836F1" w:rsidR="00505CF7">
        <w:rPr>
          <w:sz w:val="24"/>
          <w:szCs w:val="24"/>
        </w:rPr>
        <w:t xml:space="preserve">for </w:t>
      </w:r>
      <w:r w:rsidRPr="000836F1" w:rsidR="00382D0D">
        <w:rPr>
          <w:sz w:val="24"/>
          <w:szCs w:val="24"/>
        </w:rPr>
        <w:t xml:space="preserve">various requirements under </w:t>
      </w:r>
      <w:r w:rsidRPr="000836F1" w:rsidR="00AB7C34">
        <w:rPr>
          <w:sz w:val="24"/>
          <w:szCs w:val="24"/>
        </w:rPr>
        <w:t>Section 503 of the Rehabilitation Act of 1973, as amended, 29 U.S.C. 793 (Section 503</w:t>
      </w:r>
      <w:r w:rsidRPr="000836F1" w:rsidR="00505CF7">
        <w:rPr>
          <w:sz w:val="24"/>
          <w:szCs w:val="24"/>
        </w:rPr>
        <w:t>)</w:t>
      </w:r>
      <w:r w:rsidRPr="000836F1" w:rsidR="005778C6">
        <w:rPr>
          <w:sz w:val="24"/>
          <w:szCs w:val="24"/>
        </w:rPr>
        <w:t xml:space="preserve">, and its implementing regulations at </w:t>
      </w:r>
      <w:r w:rsidRPr="000836F1" w:rsidR="005778C6">
        <w:rPr>
          <w:color w:val="000000"/>
          <w:sz w:val="24"/>
          <w:szCs w:val="24"/>
        </w:rPr>
        <w:t>41 CFR part 60-741.</w:t>
      </w:r>
      <w:r w:rsidRPr="000836F1" w:rsidR="005778C6">
        <w:rPr>
          <w:sz w:val="24"/>
          <w:szCs w:val="24"/>
        </w:rPr>
        <w:t xml:space="preserve"> </w:t>
      </w:r>
      <w:r w:rsidRPr="000836F1" w:rsidR="00425BFE">
        <w:rPr>
          <w:color w:val="000000"/>
          <w:sz w:val="24"/>
          <w:szCs w:val="24"/>
        </w:rPr>
        <w:t>Section 503</w:t>
      </w:r>
      <w:r w:rsidRPr="000836F1" w:rsidR="00733F3D">
        <w:rPr>
          <w:color w:val="000000"/>
          <w:sz w:val="24"/>
          <w:szCs w:val="24"/>
        </w:rPr>
        <w:t xml:space="preserve"> </w:t>
      </w:r>
      <w:r w:rsidRPr="000836F1" w:rsidR="00425BFE">
        <w:rPr>
          <w:color w:val="000000"/>
          <w:sz w:val="24"/>
          <w:szCs w:val="24"/>
        </w:rPr>
        <w:t>prohibit</w:t>
      </w:r>
      <w:r w:rsidRPr="000836F1" w:rsidR="00733F3D">
        <w:rPr>
          <w:color w:val="000000"/>
          <w:sz w:val="24"/>
          <w:szCs w:val="24"/>
        </w:rPr>
        <w:t>s</w:t>
      </w:r>
      <w:r w:rsidRPr="000836F1" w:rsidR="00425BFE">
        <w:rPr>
          <w:color w:val="000000"/>
          <w:sz w:val="24"/>
          <w:szCs w:val="24"/>
        </w:rPr>
        <w:t xml:space="preserve"> </w:t>
      </w:r>
      <w:r w:rsidRPr="000836F1" w:rsidR="00E877A2">
        <w:rPr>
          <w:color w:val="000000"/>
          <w:sz w:val="24"/>
          <w:szCs w:val="24"/>
        </w:rPr>
        <w:t xml:space="preserve">covered </w:t>
      </w:r>
      <w:r w:rsidR="00200D56">
        <w:rPr>
          <w:color w:val="000000"/>
          <w:sz w:val="24"/>
          <w:szCs w:val="24"/>
        </w:rPr>
        <w:t>f</w:t>
      </w:r>
      <w:r w:rsidRPr="000836F1" w:rsidR="00E877A2">
        <w:rPr>
          <w:color w:val="000000"/>
          <w:sz w:val="24"/>
          <w:szCs w:val="24"/>
        </w:rPr>
        <w:t>ederal contractors and subcontractors (“contractors”)</w:t>
      </w:r>
      <w:r>
        <w:rPr>
          <w:rStyle w:val="FootnoteReference"/>
          <w:sz w:val="24"/>
          <w:szCs w:val="24"/>
          <w:vertAlign w:val="superscript"/>
        </w:rPr>
        <w:footnoteReference w:id="2"/>
      </w:r>
      <w:r w:rsidRPr="000836F1" w:rsidR="00E877A2">
        <w:rPr>
          <w:color w:val="000000"/>
          <w:sz w:val="24"/>
          <w:szCs w:val="24"/>
        </w:rPr>
        <w:t xml:space="preserve"> from d</w:t>
      </w:r>
      <w:r w:rsidRPr="000836F1" w:rsidR="00425BFE">
        <w:rPr>
          <w:color w:val="000000"/>
          <w:sz w:val="24"/>
          <w:szCs w:val="24"/>
        </w:rPr>
        <w:t>iscriminati</w:t>
      </w:r>
      <w:r w:rsidRPr="000836F1" w:rsidR="00E877A2">
        <w:rPr>
          <w:color w:val="000000"/>
          <w:sz w:val="24"/>
          <w:szCs w:val="24"/>
        </w:rPr>
        <w:t>ng</w:t>
      </w:r>
      <w:r w:rsidRPr="000836F1" w:rsidR="00425BFE">
        <w:rPr>
          <w:color w:val="000000"/>
          <w:sz w:val="24"/>
          <w:szCs w:val="24"/>
        </w:rPr>
        <w:t xml:space="preserve"> against applicants and employees based on disability status</w:t>
      </w:r>
      <w:r w:rsidRPr="000836F1" w:rsidR="00E877A2">
        <w:rPr>
          <w:color w:val="000000"/>
          <w:sz w:val="24"/>
          <w:szCs w:val="24"/>
        </w:rPr>
        <w:t>. Contractors are also required</w:t>
      </w:r>
      <w:r w:rsidRPr="000836F1" w:rsidR="00425BFE">
        <w:rPr>
          <w:color w:val="000000"/>
          <w:sz w:val="24"/>
          <w:szCs w:val="24"/>
        </w:rPr>
        <w:t xml:space="preserve"> to </w:t>
      </w:r>
      <w:r w:rsidRPr="000836F1" w:rsidR="00F52714">
        <w:rPr>
          <w:color w:val="000000"/>
          <w:sz w:val="24"/>
          <w:szCs w:val="24"/>
        </w:rPr>
        <w:t>“</w:t>
      </w:r>
      <w:r w:rsidRPr="000836F1" w:rsidR="00425BFE">
        <w:rPr>
          <w:color w:val="000000"/>
          <w:sz w:val="24"/>
          <w:szCs w:val="24"/>
        </w:rPr>
        <w:t>take affirmative action to employ and advance in employment qualified individuals with disabilities.</w:t>
      </w:r>
      <w:r w:rsidRPr="000836F1" w:rsidR="009B3CD4">
        <w:rPr>
          <w:color w:val="000000"/>
          <w:sz w:val="24"/>
          <w:szCs w:val="24"/>
        </w:rPr>
        <w:t xml:space="preserve">” </w:t>
      </w:r>
      <w:r w:rsidRPr="000836F1" w:rsidR="009B3CD4">
        <w:rPr>
          <w:sz w:val="24"/>
          <w:szCs w:val="24"/>
        </w:rPr>
        <w:t>29 U.S.C. 793(a).</w:t>
      </w:r>
    </w:p>
    <w:p w:rsidR="00AC62E7" w:rsidRPr="0083451F" w:rsidP="00AC62E7" w14:paraId="6BFD0FA5" w14:textId="77777777">
      <w:pPr>
        <w:tabs>
          <w:tab w:val="left" w:pos="-720"/>
        </w:tabs>
        <w:rPr>
          <w:color w:val="000000"/>
          <w:sz w:val="24"/>
          <w:szCs w:val="24"/>
        </w:rPr>
      </w:pPr>
    </w:p>
    <w:p w:rsidR="00570A78" w:rsidRPr="0083451F" w:rsidP="657BF8E6" w14:paraId="5CF63847" w14:textId="78B23277">
      <w:pPr>
        <w:rPr>
          <w:color w:val="000000"/>
          <w:sz w:val="24"/>
          <w:szCs w:val="24"/>
        </w:rPr>
      </w:pPr>
      <w:r w:rsidRPr="48728C8C">
        <w:rPr>
          <w:color w:val="000000" w:themeColor="text1"/>
          <w:sz w:val="24"/>
          <w:szCs w:val="24"/>
        </w:rPr>
        <w:t xml:space="preserve">On </w:t>
      </w:r>
      <w:r w:rsidRPr="48728C8C" w:rsidR="007E78C7">
        <w:rPr>
          <w:color w:val="000000" w:themeColor="text1"/>
          <w:sz w:val="24"/>
          <w:szCs w:val="24"/>
        </w:rPr>
        <w:t xml:space="preserve">July </w:t>
      </w:r>
      <w:r w:rsidRPr="48728C8C">
        <w:rPr>
          <w:color w:val="000000" w:themeColor="text1"/>
          <w:sz w:val="24"/>
          <w:szCs w:val="24"/>
        </w:rPr>
        <w:t xml:space="preserve">1, </w:t>
      </w:r>
      <w:r w:rsidRPr="48728C8C" w:rsidR="007E78C7">
        <w:rPr>
          <w:color w:val="000000" w:themeColor="text1"/>
          <w:sz w:val="24"/>
          <w:szCs w:val="24"/>
        </w:rPr>
        <w:t>20</w:t>
      </w:r>
      <w:r w:rsidRPr="48728C8C">
        <w:rPr>
          <w:color w:val="000000" w:themeColor="text1"/>
          <w:sz w:val="24"/>
          <w:szCs w:val="24"/>
        </w:rPr>
        <w:t>25</w:t>
      </w:r>
      <w:r w:rsidRPr="48728C8C" w:rsidR="00AC62E7">
        <w:rPr>
          <w:color w:val="000000" w:themeColor="text1"/>
          <w:sz w:val="24"/>
          <w:szCs w:val="24"/>
        </w:rPr>
        <w:t xml:space="preserve">, </w:t>
      </w:r>
      <w:r w:rsidRPr="48728C8C" w:rsidR="00CF3AEE">
        <w:rPr>
          <w:color w:val="000000" w:themeColor="text1"/>
          <w:sz w:val="24"/>
          <w:szCs w:val="24"/>
        </w:rPr>
        <w:t>OFCCP</w:t>
      </w:r>
      <w:r w:rsidRPr="48728C8C" w:rsidR="00AC62E7">
        <w:rPr>
          <w:color w:val="000000" w:themeColor="text1"/>
          <w:sz w:val="24"/>
          <w:szCs w:val="24"/>
        </w:rPr>
        <w:t xml:space="preserve"> issued a </w:t>
      </w:r>
      <w:r w:rsidRPr="48728C8C" w:rsidR="00856435">
        <w:rPr>
          <w:color w:val="000000" w:themeColor="text1"/>
          <w:sz w:val="24"/>
          <w:szCs w:val="24"/>
        </w:rPr>
        <w:t>Notice of Proposed Rulemaking (NPRM)</w:t>
      </w:r>
      <w:r w:rsidRPr="48728C8C" w:rsidR="00AC62E7">
        <w:rPr>
          <w:color w:val="000000" w:themeColor="text1"/>
          <w:sz w:val="24"/>
          <w:szCs w:val="24"/>
        </w:rPr>
        <w:t xml:space="preserve"> seeking to modify the Section 503 regulations. </w:t>
      </w:r>
      <w:r w:rsidRPr="48728C8C" w:rsidR="00AB47A0">
        <w:rPr>
          <w:sz w:val="24"/>
          <w:szCs w:val="24"/>
        </w:rPr>
        <w:t>90 FR 28494 (July 1, 2025).</w:t>
      </w:r>
      <w:r w:rsidRPr="48728C8C" w:rsidR="001238E6">
        <w:rPr>
          <w:sz w:val="24"/>
          <w:szCs w:val="24"/>
        </w:rPr>
        <w:t xml:space="preserve"> </w:t>
      </w:r>
      <w:r w:rsidRPr="48728C8C" w:rsidR="249C2BBC">
        <w:rPr>
          <w:color w:val="000000" w:themeColor="text1"/>
          <w:sz w:val="24"/>
          <w:szCs w:val="24"/>
        </w:rPr>
        <w:t xml:space="preserve">Among other </w:t>
      </w:r>
      <w:r w:rsidRPr="48728C8C" w:rsidR="00D2108F">
        <w:rPr>
          <w:color w:val="000000" w:themeColor="text1"/>
          <w:sz w:val="24"/>
          <w:szCs w:val="24"/>
        </w:rPr>
        <w:t>proposals</w:t>
      </w:r>
      <w:r w:rsidRPr="48728C8C" w:rsidR="249C2BBC">
        <w:rPr>
          <w:color w:val="000000" w:themeColor="text1"/>
          <w:sz w:val="24"/>
          <w:szCs w:val="24"/>
        </w:rPr>
        <w:t xml:space="preserve"> in the NRPM</w:t>
      </w:r>
      <w:r w:rsidRPr="48728C8C" w:rsidR="00425BFE">
        <w:rPr>
          <w:color w:val="000000" w:themeColor="text1"/>
          <w:sz w:val="24"/>
          <w:szCs w:val="24"/>
        </w:rPr>
        <w:t xml:space="preserve">, </w:t>
      </w:r>
      <w:r w:rsidRPr="48728C8C" w:rsidR="00CF3AEE">
        <w:rPr>
          <w:color w:val="000000" w:themeColor="text1"/>
          <w:sz w:val="24"/>
          <w:szCs w:val="24"/>
        </w:rPr>
        <w:t>OFCCP</w:t>
      </w:r>
      <w:r w:rsidRPr="48728C8C" w:rsidR="00425BFE">
        <w:rPr>
          <w:color w:val="000000" w:themeColor="text1"/>
          <w:sz w:val="24"/>
          <w:szCs w:val="24"/>
        </w:rPr>
        <w:t xml:space="preserve"> proposed to rescind the regulations at 41 CFR 60-741.42, which require contractors to ask applicants and employees about their disability status</w:t>
      </w:r>
      <w:r w:rsidRPr="48728C8C" w:rsidR="3995357E">
        <w:rPr>
          <w:color w:val="000000" w:themeColor="text1"/>
          <w:sz w:val="24"/>
          <w:szCs w:val="24"/>
        </w:rPr>
        <w:t xml:space="preserve"> (</w:t>
      </w:r>
      <w:r w:rsidRPr="48728C8C" w:rsidR="78FC0AB9">
        <w:rPr>
          <w:color w:val="000000" w:themeColor="text1"/>
          <w:sz w:val="24"/>
          <w:szCs w:val="24"/>
        </w:rPr>
        <w:t>the “</w:t>
      </w:r>
      <w:r w:rsidRPr="48728C8C" w:rsidR="3995357E">
        <w:rPr>
          <w:color w:val="000000" w:themeColor="text1"/>
          <w:sz w:val="24"/>
          <w:szCs w:val="24"/>
        </w:rPr>
        <w:t>disability inquiry</w:t>
      </w:r>
      <w:r w:rsidR="006C19EC">
        <w:rPr>
          <w:color w:val="000000" w:themeColor="text1"/>
          <w:sz w:val="24"/>
          <w:szCs w:val="24"/>
        </w:rPr>
        <w:t xml:space="preserve"> requirement</w:t>
      </w:r>
      <w:r w:rsidRPr="48728C8C" w:rsidR="6B1586E2">
        <w:rPr>
          <w:color w:val="000000" w:themeColor="text1"/>
          <w:sz w:val="24"/>
          <w:szCs w:val="24"/>
        </w:rPr>
        <w:t>”</w:t>
      </w:r>
      <w:r w:rsidRPr="48728C8C" w:rsidR="3995357E">
        <w:rPr>
          <w:color w:val="000000" w:themeColor="text1"/>
          <w:sz w:val="24"/>
          <w:szCs w:val="24"/>
        </w:rPr>
        <w:t>)</w:t>
      </w:r>
      <w:r w:rsidRPr="48728C8C" w:rsidR="00425BFE">
        <w:rPr>
          <w:color w:val="000000" w:themeColor="text1"/>
          <w:sz w:val="24"/>
          <w:szCs w:val="24"/>
        </w:rPr>
        <w:t xml:space="preserve">. </w:t>
      </w:r>
      <w:r w:rsidRPr="48728C8C" w:rsidR="37D806E1">
        <w:rPr>
          <w:color w:val="000000" w:themeColor="text1"/>
          <w:sz w:val="24"/>
          <w:szCs w:val="24"/>
        </w:rPr>
        <w:t xml:space="preserve">In the NPRM, </w:t>
      </w:r>
      <w:r w:rsidRPr="48728C8C" w:rsidR="00CF3AEE">
        <w:rPr>
          <w:color w:val="000000" w:themeColor="text1"/>
          <w:sz w:val="24"/>
          <w:szCs w:val="24"/>
        </w:rPr>
        <w:t>OFCCP</w:t>
      </w:r>
      <w:r w:rsidRPr="48728C8C" w:rsidR="00066524">
        <w:rPr>
          <w:color w:val="000000" w:themeColor="text1"/>
          <w:sz w:val="24"/>
          <w:szCs w:val="24"/>
        </w:rPr>
        <w:t xml:space="preserve"> also proposed to remove the utilization goal requirement at 41 CFR 60-741.45</w:t>
      </w:r>
      <w:r w:rsidRPr="48728C8C">
        <w:rPr>
          <w:color w:val="000000" w:themeColor="text1"/>
          <w:sz w:val="24"/>
          <w:szCs w:val="24"/>
        </w:rPr>
        <w:t xml:space="preserve"> and </w:t>
      </w:r>
      <w:r w:rsidRPr="48728C8C" w:rsidR="3D4223C7">
        <w:rPr>
          <w:color w:val="000000" w:themeColor="text1"/>
          <w:sz w:val="24"/>
          <w:szCs w:val="24"/>
        </w:rPr>
        <w:t xml:space="preserve">the </w:t>
      </w:r>
      <w:r w:rsidRPr="48728C8C">
        <w:rPr>
          <w:color w:val="000000" w:themeColor="text1"/>
          <w:sz w:val="24"/>
          <w:szCs w:val="24"/>
        </w:rPr>
        <w:t xml:space="preserve">related </w:t>
      </w:r>
      <w:r w:rsidRPr="48728C8C" w:rsidR="00066524">
        <w:rPr>
          <w:color w:val="000000" w:themeColor="text1"/>
          <w:sz w:val="24"/>
          <w:szCs w:val="24"/>
        </w:rPr>
        <w:t xml:space="preserve">data collection analysis requirements at </w:t>
      </w:r>
      <w:r w:rsidRPr="48728C8C" w:rsidR="00066524">
        <w:rPr>
          <w:sz w:val="24"/>
          <w:szCs w:val="24"/>
        </w:rPr>
        <w:t>41 CFR 60-741.44(k)</w:t>
      </w:r>
      <w:r w:rsidRPr="48728C8C" w:rsidR="00066524">
        <w:rPr>
          <w:color w:val="000000" w:themeColor="text1"/>
          <w:sz w:val="24"/>
          <w:szCs w:val="24"/>
        </w:rPr>
        <w:t xml:space="preserve">. These regulations </w:t>
      </w:r>
      <w:r w:rsidRPr="48728C8C">
        <w:rPr>
          <w:color w:val="000000" w:themeColor="text1"/>
          <w:sz w:val="24"/>
          <w:szCs w:val="24"/>
        </w:rPr>
        <w:t xml:space="preserve">establish a </w:t>
      </w:r>
      <w:r w:rsidR="000444A5">
        <w:rPr>
          <w:color w:val="000000" w:themeColor="text1"/>
          <w:sz w:val="24"/>
          <w:szCs w:val="24"/>
        </w:rPr>
        <w:t>seven</w:t>
      </w:r>
      <w:r w:rsidRPr="48728C8C">
        <w:rPr>
          <w:color w:val="000000" w:themeColor="text1"/>
          <w:sz w:val="24"/>
          <w:szCs w:val="24"/>
        </w:rPr>
        <w:t xml:space="preserve"> percent utilization</w:t>
      </w:r>
      <w:r w:rsidRPr="48728C8C" w:rsidR="00CF3AEE">
        <w:rPr>
          <w:color w:val="000000" w:themeColor="text1"/>
          <w:sz w:val="24"/>
          <w:szCs w:val="24"/>
        </w:rPr>
        <w:t xml:space="preserve"> goal</w:t>
      </w:r>
      <w:r w:rsidRPr="48728C8C">
        <w:rPr>
          <w:color w:val="000000" w:themeColor="text1"/>
          <w:sz w:val="24"/>
          <w:szCs w:val="24"/>
        </w:rPr>
        <w:t xml:space="preserve"> for the employment of qualified individuals with disabilities </w:t>
      </w:r>
      <w:r w:rsidRPr="48728C8C" w:rsidR="008258CF">
        <w:rPr>
          <w:color w:val="000000" w:themeColor="text1"/>
          <w:sz w:val="24"/>
          <w:szCs w:val="24"/>
        </w:rPr>
        <w:t>and require contractors to conduct specific analyses to compare their job group utilization against th</w:t>
      </w:r>
      <w:r w:rsidRPr="48728C8C" w:rsidR="000F099F">
        <w:rPr>
          <w:color w:val="000000" w:themeColor="text1"/>
          <w:sz w:val="24"/>
          <w:szCs w:val="24"/>
        </w:rPr>
        <w:t xml:space="preserve">e </w:t>
      </w:r>
      <w:r w:rsidR="000444A5">
        <w:rPr>
          <w:color w:val="000000" w:themeColor="text1"/>
          <w:sz w:val="24"/>
          <w:szCs w:val="24"/>
        </w:rPr>
        <w:t>seven</w:t>
      </w:r>
      <w:r w:rsidRPr="48728C8C" w:rsidR="000F099F">
        <w:rPr>
          <w:color w:val="000000" w:themeColor="text1"/>
          <w:sz w:val="24"/>
          <w:szCs w:val="24"/>
        </w:rPr>
        <w:t xml:space="preserve"> percent utilization</w:t>
      </w:r>
      <w:r w:rsidRPr="48728C8C" w:rsidR="008258CF">
        <w:rPr>
          <w:color w:val="000000" w:themeColor="text1"/>
          <w:sz w:val="24"/>
          <w:szCs w:val="24"/>
        </w:rPr>
        <w:t xml:space="preserve"> goal.</w:t>
      </w:r>
    </w:p>
    <w:p w:rsidR="008258CF" w:rsidRPr="0083451F" w:rsidP="00425BFE" w14:paraId="2FC275D2" w14:textId="77777777">
      <w:pPr>
        <w:tabs>
          <w:tab w:val="left" w:pos="-720"/>
        </w:tabs>
        <w:rPr>
          <w:color w:val="000000"/>
          <w:sz w:val="24"/>
          <w:szCs w:val="24"/>
        </w:rPr>
      </w:pPr>
    </w:p>
    <w:p w:rsidR="00000A33" w:rsidP="657BF8E6" w14:paraId="2E63629C" w14:textId="263F75DE">
      <w:pPr>
        <w:rPr>
          <w:sz w:val="24"/>
          <w:szCs w:val="24"/>
        </w:rPr>
      </w:pPr>
      <w:r w:rsidRPr="48728C8C">
        <w:rPr>
          <w:color w:val="000000" w:themeColor="text1"/>
          <w:sz w:val="24"/>
          <w:szCs w:val="24"/>
        </w:rPr>
        <w:t>In the</w:t>
      </w:r>
      <w:r w:rsidRPr="48728C8C" w:rsidR="00066524">
        <w:rPr>
          <w:color w:val="000000" w:themeColor="text1"/>
          <w:sz w:val="24"/>
          <w:szCs w:val="24"/>
        </w:rPr>
        <w:t xml:space="preserve"> NPRM, </w:t>
      </w:r>
      <w:r w:rsidRPr="48728C8C" w:rsidR="001238E6">
        <w:rPr>
          <w:color w:val="000000" w:themeColor="text1"/>
          <w:sz w:val="24"/>
          <w:szCs w:val="24"/>
        </w:rPr>
        <w:t>OFCCP</w:t>
      </w:r>
      <w:r w:rsidRPr="48728C8C" w:rsidR="00066524">
        <w:rPr>
          <w:color w:val="000000" w:themeColor="text1"/>
          <w:sz w:val="24"/>
          <w:szCs w:val="24"/>
        </w:rPr>
        <w:t xml:space="preserve"> propos</w:t>
      </w:r>
      <w:r w:rsidRPr="48728C8C">
        <w:rPr>
          <w:color w:val="000000" w:themeColor="text1"/>
          <w:sz w:val="24"/>
          <w:szCs w:val="24"/>
        </w:rPr>
        <w:t>ed</w:t>
      </w:r>
      <w:r w:rsidRPr="48728C8C" w:rsidR="00066524">
        <w:rPr>
          <w:color w:val="000000" w:themeColor="text1"/>
          <w:sz w:val="24"/>
          <w:szCs w:val="24"/>
        </w:rPr>
        <w:t xml:space="preserve"> re</w:t>
      </w:r>
      <w:r w:rsidRPr="48728C8C" w:rsidR="004D4DD0">
        <w:rPr>
          <w:color w:val="000000" w:themeColor="text1"/>
          <w:sz w:val="24"/>
          <w:szCs w:val="24"/>
        </w:rPr>
        <w:t>scinding</w:t>
      </w:r>
      <w:r w:rsidRPr="48728C8C" w:rsidR="00066524">
        <w:rPr>
          <w:color w:val="000000" w:themeColor="text1"/>
          <w:sz w:val="24"/>
          <w:szCs w:val="24"/>
        </w:rPr>
        <w:t xml:space="preserve"> </w:t>
      </w:r>
      <w:r w:rsidRPr="48728C8C" w:rsidR="005609F6">
        <w:rPr>
          <w:color w:val="000000" w:themeColor="text1"/>
          <w:sz w:val="24"/>
          <w:szCs w:val="24"/>
        </w:rPr>
        <w:t xml:space="preserve">the </w:t>
      </w:r>
      <w:r w:rsidRPr="48728C8C" w:rsidR="00066524">
        <w:rPr>
          <w:color w:val="000000" w:themeColor="text1"/>
          <w:sz w:val="24"/>
          <w:szCs w:val="24"/>
        </w:rPr>
        <w:t>requirements</w:t>
      </w:r>
      <w:r w:rsidRPr="48728C8C" w:rsidR="005609F6">
        <w:rPr>
          <w:color w:val="000000" w:themeColor="text1"/>
          <w:sz w:val="24"/>
          <w:szCs w:val="24"/>
        </w:rPr>
        <w:t xml:space="preserve"> described above</w:t>
      </w:r>
      <w:r w:rsidRPr="48728C8C" w:rsidR="00B918DF">
        <w:rPr>
          <w:color w:val="000000" w:themeColor="text1"/>
          <w:sz w:val="24"/>
          <w:szCs w:val="24"/>
        </w:rPr>
        <w:t xml:space="preserve"> in part</w:t>
      </w:r>
      <w:r w:rsidRPr="48728C8C" w:rsidR="00066524">
        <w:rPr>
          <w:color w:val="000000" w:themeColor="text1"/>
          <w:sz w:val="24"/>
          <w:szCs w:val="24"/>
        </w:rPr>
        <w:t xml:space="preserve"> due to concerns that these requirements conflict with the Americans with Disabilities Act</w:t>
      </w:r>
      <w:r w:rsidRPr="48728C8C" w:rsidR="00BA18A3">
        <w:rPr>
          <w:color w:val="000000" w:themeColor="text1"/>
          <w:sz w:val="24"/>
          <w:szCs w:val="24"/>
        </w:rPr>
        <w:t>, and its implementing regulations at</w:t>
      </w:r>
      <w:r w:rsidRPr="48728C8C" w:rsidR="002A37C1">
        <w:rPr>
          <w:color w:val="000000" w:themeColor="text1"/>
          <w:sz w:val="24"/>
          <w:szCs w:val="24"/>
        </w:rPr>
        <w:t xml:space="preserve"> 29 CFR part 1630.</w:t>
      </w:r>
      <w:r w:rsidRPr="48728C8C" w:rsidR="00B918DF">
        <w:rPr>
          <w:color w:val="000000" w:themeColor="text1"/>
          <w:sz w:val="24"/>
          <w:szCs w:val="24"/>
        </w:rPr>
        <w:t xml:space="preserve"> </w:t>
      </w:r>
      <w:r w:rsidRPr="48728C8C" w:rsidR="00042DDE">
        <w:rPr>
          <w:color w:val="000000" w:themeColor="text1"/>
          <w:sz w:val="24"/>
          <w:szCs w:val="24"/>
        </w:rPr>
        <w:t xml:space="preserve">On August 25, 2025, </w:t>
      </w:r>
      <w:r w:rsidRPr="48728C8C" w:rsidR="001238E6">
        <w:rPr>
          <w:color w:val="000000" w:themeColor="text1"/>
          <w:sz w:val="24"/>
          <w:szCs w:val="24"/>
        </w:rPr>
        <w:t>OFCCP</w:t>
      </w:r>
      <w:r w:rsidRPr="48728C8C" w:rsidR="00042DDE">
        <w:rPr>
          <w:color w:val="000000" w:themeColor="text1"/>
          <w:sz w:val="24"/>
          <w:szCs w:val="24"/>
        </w:rPr>
        <w:t xml:space="preserve"> published a</w:t>
      </w:r>
      <w:r w:rsidR="004A2472">
        <w:rPr>
          <w:color w:val="000000" w:themeColor="text1"/>
          <w:sz w:val="24"/>
          <w:szCs w:val="24"/>
        </w:rPr>
        <w:t xml:space="preserve"> 60-day</w:t>
      </w:r>
      <w:r w:rsidRPr="48728C8C" w:rsidR="00042DDE">
        <w:rPr>
          <w:color w:val="000000" w:themeColor="text1"/>
          <w:sz w:val="24"/>
          <w:szCs w:val="24"/>
        </w:rPr>
        <w:t xml:space="preserve"> notice</w:t>
      </w:r>
      <w:r w:rsidRPr="48728C8C" w:rsidR="001238E6">
        <w:rPr>
          <w:color w:val="000000" w:themeColor="text1"/>
          <w:sz w:val="24"/>
          <w:szCs w:val="24"/>
        </w:rPr>
        <w:t xml:space="preserve"> </w:t>
      </w:r>
      <w:r w:rsidRPr="48728C8C" w:rsidR="00042DDE">
        <w:rPr>
          <w:color w:val="000000" w:themeColor="text1"/>
          <w:sz w:val="24"/>
          <w:szCs w:val="24"/>
        </w:rPr>
        <w:t xml:space="preserve">in the </w:t>
      </w:r>
      <w:r w:rsidRPr="48728C8C" w:rsidR="00042DDE">
        <w:rPr>
          <w:i/>
          <w:iCs/>
          <w:color w:val="000000" w:themeColor="text1"/>
          <w:sz w:val="24"/>
          <w:szCs w:val="24"/>
        </w:rPr>
        <w:t>Federal Register</w:t>
      </w:r>
      <w:r w:rsidR="009572F0">
        <w:rPr>
          <w:color w:val="000000" w:themeColor="text1"/>
          <w:sz w:val="24"/>
          <w:szCs w:val="24"/>
        </w:rPr>
        <w:t>,</w:t>
      </w:r>
      <w:r w:rsidRPr="48728C8C" w:rsidR="009A54C2">
        <w:rPr>
          <w:color w:val="000000" w:themeColor="text1"/>
          <w:sz w:val="24"/>
          <w:szCs w:val="24"/>
        </w:rPr>
        <w:t xml:space="preserve"> </w:t>
      </w:r>
      <w:r w:rsidRPr="48728C8C" w:rsidR="0009639B">
        <w:rPr>
          <w:sz w:val="24"/>
          <w:szCs w:val="24"/>
        </w:rPr>
        <w:t>90 FR 41415</w:t>
      </w:r>
      <w:r w:rsidR="009572F0">
        <w:rPr>
          <w:color w:val="000000" w:themeColor="text1"/>
          <w:sz w:val="24"/>
          <w:szCs w:val="24"/>
        </w:rPr>
        <w:t>, which</w:t>
      </w:r>
      <w:r w:rsidRPr="48728C8C" w:rsidR="00390A10">
        <w:rPr>
          <w:color w:val="000000" w:themeColor="text1"/>
          <w:sz w:val="24"/>
          <w:szCs w:val="24"/>
        </w:rPr>
        <w:t xml:space="preserve"> </w:t>
      </w:r>
      <w:r w:rsidRPr="48728C8C" w:rsidR="00213CE7">
        <w:rPr>
          <w:color w:val="000000" w:themeColor="text1"/>
          <w:sz w:val="24"/>
          <w:szCs w:val="24"/>
        </w:rPr>
        <w:t>describ</w:t>
      </w:r>
      <w:r w:rsidRPr="48728C8C" w:rsidR="009A54C2">
        <w:rPr>
          <w:color w:val="000000" w:themeColor="text1"/>
          <w:sz w:val="24"/>
          <w:szCs w:val="24"/>
        </w:rPr>
        <w:t>ed</w:t>
      </w:r>
      <w:r w:rsidRPr="48728C8C" w:rsidR="00213CE7">
        <w:rPr>
          <w:color w:val="000000" w:themeColor="text1"/>
          <w:sz w:val="24"/>
          <w:szCs w:val="24"/>
        </w:rPr>
        <w:t xml:space="preserve"> how the</w:t>
      </w:r>
      <w:r w:rsidRPr="48728C8C" w:rsidR="00EF453C">
        <w:rPr>
          <w:color w:val="000000" w:themeColor="text1"/>
          <w:sz w:val="24"/>
          <w:szCs w:val="24"/>
        </w:rPr>
        <w:t xml:space="preserve"> </w:t>
      </w:r>
      <w:r w:rsidRPr="48728C8C" w:rsidR="00954D97">
        <w:rPr>
          <w:color w:val="000000" w:themeColor="text1"/>
          <w:sz w:val="24"/>
          <w:szCs w:val="24"/>
        </w:rPr>
        <w:t xml:space="preserve">NPRM’s proposed </w:t>
      </w:r>
      <w:r w:rsidRPr="48728C8C" w:rsidR="00292177">
        <w:rPr>
          <w:color w:val="000000" w:themeColor="text1"/>
          <w:sz w:val="24"/>
          <w:szCs w:val="24"/>
        </w:rPr>
        <w:t>rescission</w:t>
      </w:r>
      <w:r w:rsidRPr="48728C8C" w:rsidR="00EF453C">
        <w:rPr>
          <w:color w:val="000000" w:themeColor="text1"/>
          <w:sz w:val="24"/>
          <w:szCs w:val="24"/>
        </w:rPr>
        <w:t xml:space="preserve">s </w:t>
      </w:r>
      <w:r w:rsidRPr="48728C8C" w:rsidR="00213CE7">
        <w:rPr>
          <w:color w:val="000000" w:themeColor="text1"/>
          <w:sz w:val="24"/>
          <w:szCs w:val="24"/>
        </w:rPr>
        <w:t>would impact this information collection</w:t>
      </w:r>
      <w:r w:rsidRPr="48728C8C" w:rsidR="00A400D0">
        <w:rPr>
          <w:color w:val="000000" w:themeColor="text1"/>
          <w:sz w:val="24"/>
          <w:szCs w:val="24"/>
        </w:rPr>
        <w:t xml:space="preserve">. </w:t>
      </w:r>
      <w:r w:rsidRPr="48728C8C" w:rsidR="00DB4187">
        <w:rPr>
          <w:sz w:val="24"/>
          <w:szCs w:val="24"/>
        </w:rPr>
        <w:t xml:space="preserve">In addition to updating the burden </w:t>
      </w:r>
      <w:r w:rsidRPr="48728C8C" w:rsidR="00DB4187">
        <w:rPr>
          <w:sz w:val="24"/>
          <w:szCs w:val="24"/>
        </w:rPr>
        <w:t>estimates to account for the proposed rescissions</w:t>
      </w:r>
      <w:r w:rsidRPr="48728C8C" w:rsidR="000071DE">
        <w:rPr>
          <w:sz w:val="24"/>
          <w:szCs w:val="24"/>
        </w:rPr>
        <w:t xml:space="preserve">, </w:t>
      </w:r>
      <w:r w:rsidRPr="48728C8C" w:rsidR="001238E6">
        <w:rPr>
          <w:sz w:val="24"/>
          <w:szCs w:val="24"/>
        </w:rPr>
        <w:t>OFCCP</w:t>
      </w:r>
      <w:r w:rsidRPr="48728C8C" w:rsidR="000071DE">
        <w:rPr>
          <w:sz w:val="24"/>
          <w:szCs w:val="24"/>
        </w:rPr>
        <w:t xml:space="preserve"> proposed removing the prescribed</w:t>
      </w:r>
      <w:r w:rsidRPr="48728C8C" w:rsidR="00581C49">
        <w:rPr>
          <w:sz w:val="24"/>
          <w:szCs w:val="24"/>
        </w:rPr>
        <w:t xml:space="preserve"> disability inquiry form (the</w:t>
      </w:r>
      <w:r w:rsidRPr="48728C8C" w:rsidR="000071DE">
        <w:rPr>
          <w:sz w:val="24"/>
          <w:szCs w:val="24"/>
        </w:rPr>
        <w:t xml:space="preserve"> CC-305 form</w:t>
      </w:r>
      <w:r w:rsidRPr="48728C8C" w:rsidR="00581C49">
        <w:rPr>
          <w:sz w:val="24"/>
          <w:szCs w:val="24"/>
        </w:rPr>
        <w:t>)</w:t>
      </w:r>
      <w:r w:rsidRPr="48728C8C" w:rsidR="000071DE">
        <w:rPr>
          <w:sz w:val="24"/>
          <w:szCs w:val="24"/>
        </w:rPr>
        <w:t xml:space="preserve"> that is part of the information collection.</w:t>
      </w:r>
      <w:r w:rsidRPr="48728C8C" w:rsidR="00292177">
        <w:rPr>
          <w:sz w:val="24"/>
          <w:szCs w:val="24"/>
        </w:rPr>
        <w:t xml:space="preserve"> </w:t>
      </w:r>
      <w:r w:rsidRPr="48728C8C" w:rsidR="00515606">
        <w:rPr>
          <w:sz w:val="24"/>
          <w:szCs w:val="24"/>
        </w:rPr>
        <w:t xml:space="preserve">With the proposed rescission of the disability inquiry requirement, contractors would no longer need to </w:t>
      </w:r>
      <w:r w:rsidRPr="48728C8C" w:rsidR="002A7B83">
        <w:rPr>
          <w:sz w:val="24"/>
          <w:szCs w:val="24"/>
        </w:rPr>
        <w:t>use this prescribed form.</w:t>
      </w:r>
    </w:p>
    <w:p w:rsidR="00000A33" w:rsidP="00042DDE" w14:paraId="3C902D94" w14:textId="77777777">
      <w:pPr>
        <w:rPr>
          <w:sz w:val="24"/>
          <w:szCs w:val="24"/>
        </w:rPr>
      </w:pPr>
    </w:p>
    <w:p w:rsidR="00581C49" w:rsidRPr="0083451F" w:rsidP="00042DDE" w14:paraId="237EC9A5" w14:textId="35F49AE0">
      <w:pPr>
        <w:rPr>
          <w:sz w:val="24"/>
          <w:szCs w:val="24"/>
        </w:rPr>
      </w:pPr>
      <w:r w:rsidRPr="48728C8C">
        <w:rPr>
          <w:sz w:val="24"/>
          <w:szCs w:val="24"/>
        </w:rPr>
        <w:t xml:space="preserve">OMB’s approval for this information collection expires on April 30, 2026. </w:t>
      </w:r>
      <w:r w:rsidRPr="48728C8C" w:rsidR="6CFAA549">
        <w:rPr>
          <w:sz w:val="24"/>
          <w:szCs w:val="24"/>
        </w:rPr>
        <w:t>Since</w:t>
      </w:r>
      <w:r w:rsidRPr="48728C8C" w:rsidR="005605E1">
        <w:rPr>
          <w:sz w:val="24"/>
          <w:szCs w:val="24"/>
        </w:rPr>
        <w:t xml:space="preserve"> the final rule is still pending, </w:t>
      </w:r>
      <w:r w:rsidRPr="48728C8C" w:rsidR="001238E6">
        <w:rPr>
          <w:sz w:val="24"/>
          <w:szCs w:val="24"/>
        </w:rPr>
        <w:t>OFCCP</w:t>
      </w:r>
      <w:r w:rsidRPr="48728C8C" w:rsidR="005605E1">
        <w:rPr>
          <w:sz w:val="24"/>
          <w:szCs w:val="24"/>
        </w:rPr>
        <w:t xml:space="preserve"> </w:t>
      </w:r>
      <w:r w:rsidRPr="48728C8C" w:rsidR="00FA16C5">
        <w:rPr>
          <w:sz w:val="24"/>
          <w:szCs w:val="24"/>
        </w:rPr>
        <w:t>now seek</w:t>
      </w:r>
      <w:r w:rsidRPr="48728C8C" w:rsidR="215EF19D">
        <w:rPr>
          <w:sz w:val="24"/>
          <w:szCs w:val="24"/>
        </w:rPr>
        <w:t>s</w:t>
      </w:r>
      <w:r w:rsidRPr="48728C8C" w:rsidR="00FA16C5">
        <w:rPr>
          <w:sz w:val="24"/>
          <w:szCs w:val="24"/>
        </w:rPr>
        <w:t xml:space="preserve"> an extension of the current</w:t>
      </w:r>
      <w:r w:rsidRPr="48728C8C" w:rsidR="00000A33">
        <w:rPr>
          <w:sz w:val="24"/>
          <w:szCs w:val="24"/>
        </w:rPr>
        <w:t>ly approved</w:t>
      </w:r>
      <w:r w:rsidRPr="48728C8C" w:rsidR="00FA16C5">
        <w:rPr>
          <w:sz w:val="24"/>
          <w:szCs w:val="24"/>
        </w:rPr>
        <w:t xml:space="preserve"> information collection</w:t>
      </w:r>
      <w:r w:rsidRPr="48728C8C" w:rsidR="002072CD">
        <w:rPr>
          <w:sz w:val="24"/>
          <w:szCs w:val="24"/>
        </w:rPr>
        <w:t xml:space="preserve">. </w:t>
      </w:r>
      <w:r w:rsidRPr="48728C8C" w:rsidR="001238E6">
        <w:rPr>
          <w:sz w:val="24"/>
          <w:szCs w:val="24"/>
        </w:rPr>
        <w:t>OFCCP</w:t>
      </w:r>
      <w:r w:rsidRPr="48728C8C" w:rsidR="00FA16C5">
        <w:rPr>
          <w:sz w:val="24"/>
          <w:szCs w:val="24"/>
        </w:rPr>
        <w:t xml:space="preserve"> </w:t>
      </w:r>
      <w:r w:rsidRPr="48728C8C" w:rsidR="005605E1">
        <w:rPr>
          <w:sz w:val="24"/>
          <w:szCs w:val="24"/>
        </w:rPr>
        <w:t>will</w:t>
      </w:r>
      <w:r w:rsidRPr="48728C8C" w:rsidR="0083451F">
        <w:rPr>
          <w:sz w:val="24"/>
          <w:szCs w:val="24"/>
        </w:rPr>
        <w:t xml:space="preserve"> respond to public comments on</w:t>
      </w:r>
      <w:r w:rsidRPr="48728C8C" w:rsidR="00B556E2">
        <w:rPr>
          <w:sz w:val="24"/>
          <w:szCs w:val="24"/>
        </w:rPr>
        <w:t xml:space="preserve"> </w:t>
      </w:r>
      <w:r w:rsidRPr="48728C8C" w:rsidR="00F07565">
        <w:rPr>
          <w:sz w:val="24"/>
          <w:szCs w:val="24"/>
        </w:rPr>
        <w:t>the 60-day information collection notice</w:t>
      </w:r>
      <w:r w:rsidRPr="48728C8C" w:rsidR="0083451F">
        <w:rPr>
          <w:sz w:val="24"/>
          <w:szCs w:val="24"/>
        </w:rPr>
        <w:t xml:space="preserve"> in the final rule and will</w:t>
      </w:r>
      <w:r w:rsidRPr="48728C8C" w:rsidR="005605E1">
        <w:rPr>
          <w:sz w:val="24"/>
          <w:szCs w:val="24"/>
        </w:rPr>
        <w:t xml:space="preserve"> request </w:t>
      </w:r>
      <w:r w:rsidRPr="48728C8C">
        <w:rPr>
          <w:sz w:val="24"/>
          <w:szCs w:val="24"/>
        </w:rPr>
        <w:t xml:space="preserve">OMB approval of </w:t>
      </w:r>
      <w:r w:rsidRPr="48728C8C" w:rsidR="00000A33">
        <w:rPr>
          <w:sz w:val="24"/>
          <w:szCs w:val="24"/>
        </w:rPr>
        <w:t xml:space="preserve">any </w:t>
      </w:r>
      <w:r w:rsidRPr="48728C8C">
        <w:rPr>
          <w:sz w:val="24"/>
          <w:szCs w:val="24"/>
        </w:rPr>
        <w:t xml:space="preserve">information collection changes </w:t>
      </w:r>
      <w:r w:rsidRPr="48728C8C" w:rsidR="00CF3AEE">
        <w:rPr>
          <w:sz w:val="24"/>
          <w:szCs w:val="24"/>
        </w:rPr>
        <w:t>at that time.</w:t>
      </w:r>
    </w:p>
    <w:p w:rsidR="00D8589C" w:rsidP="00D8589C" w14:paraId="326C1B46" w14:textId="77777777">
      <w:pPr>
        <w:tabs>
          <w:tab w:val="left" w:pos="-720"/>
        </w:tabs>
        <w:ind w:left="720"/>
        <w:rPr>
          <w:color w:val="000000"/>
          <w:sz w:val="24"/>
          <w:szCs w:val="24"/>
        </w:rPr>
      </w:pPr>
    </w:p>
    <w:p w:rsidR="00D8589C" w:rsidRPr="006C062E" w:rsidP="00D8589C" w14:paraId="785F206C" w14:textId="77777777">
      <w:pPr>
        <w:pStyle w:val="Heading3"/>
        <w:rPr>
          <w:szCs w:val="24"/>
        </w:rPr>
      </w:pPr>
      <w:r w:rsidRPr="006C062E">
        <w:rPr>
          <w:szCs w:val="24"/>
        </w:rPr>
        <w:t>Use of Collected Material</w:t>
      </w:r>
    </w:p>
    <w:p w:rsidR="00D8589C" w:rsidRPr="006C062E" w:rsidP="00D8589C" w14:paraId="746BC0D3" w14:textId="77777777">
      <w:pPr>
        <w:rPr>
          <w:sz w:val="24"/>
          <w:szCs w:val="24"/>
        </w:rPr>
      </w:pPr>
    </w:p>
    <w:p w:rsidR="00CA5856" w:rsidP="00D8589C" w14:paraId="7727137D" w14:textId="5ED0B238">
      <w:pPr>
        <w:pStyle w:val="Footer"/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Contractors use the information collected to </w:t>
      </w:r>
      <w:r w:rsidR="004D55F2">
        <w:rPr>
          <w:sz w:val="24"/>
          <w:szCs w:val="24"/>
        </w:rPr>
        <w:t>meet the Section 503 regulatory requirements</w:t>
      </w:r>
      <w:r>
        <w:rPr>
          <w:sz w:val="24"/>
          <w:szCs w:val="24"/>
        </w:rPr>
        <w:t xml:space="preserve"> described </w:t>
      </w:r>
      <w:r w:rsidR="00E870C8">
        <w:rPr>
          <w:sz w:val="24"/>
          <w:szCs w:val="24"/>
        </w:rPr>
        <w:t>in more detail in Section 12</w:t>
      </w:r>
      <w:r w:rsidR="00394B75">
        <w:rPr>
          <w:sz w:val="24"/>
          <w:szCs w:val="24"/>
        </w:rPr>
        <w:t xml:space="preserve"> of this supporting statement</w:t>
      </w:r>
      <w:r w:rsidR="00E870C8">
        <w:rPr>
          <w:sz w:val="24"/>
          <w:szCs w:val="24"/>
        </w:rPr>
        <w:t xml:space="preserve"> below</w:t>
      </w:r>
      <w:r w:rsidR="00D43696">
        <w:rPr>
          <w:sz w:val="24"/>
          <w:szCs w:val="24"/>
        </w:rPr>
        <w:t>.</w:t>
      </w:r>
      <w:r w:rsidR="00714F1F">
        <w:rPr>
          <w:sz w:val="24"/>
          <w:szCs w:val="24"/>
        </w:rPr>
        <w:t xml:space="preserve"> </w:t>
      </w:r>
      <w:r w:rsidR="001238E6">
        <w:rPr>
          <w:sz w:val="24"/>
          <w:szCs w:val="24"/>
        </w:rPr>
        <w:t>OFCCP</w:t>
      </w:r>
      <w:r w:rsidR="004D55F2">
        <w:rPr>
          <w:sz w:val="24"/>
          <w:szCs w:val="24"/>
        </w:rPr>
        <w:t xml:space="preserve"> </w:t>
      </w:r>
      <w:r w:rsidR="00714F1F">
        <w:rPr>
          <w:sz w:val="24"/>
          <w:szCs w:val="24"/>
        </w:rPr>
        <w:t xml:space="preserve">may also </w:t>
      </w:r>
      <w:r w:rsidR="004D55F2">
        <w:rPr>
          <w:sz w:val="24"/>
          <w:szCs w:val="24"/>
        </w:rPr>
        <w:t xml:space="preserve">review the </w:t>
      </w:r>
      <w:r w:rsidR="00584ACA">
        <w:rPr>
          <w:sz w:val="24"/>
          <w:szCs w:val="24"/>
        </w:rPr>
        <w:t xml:space="preserve">collected </w:t>
      </w:r>
      <w:r w:rsidR="004D55F2">
        <w:rPr>
          <w:sz w:val="24"/>
          <w:szCs w:val="24"/>
        </w:rPr>
        <w:t xml:space="preserve">information to determine </w:t>
      </w:r>
      <w:r>
        <w:rPr>
          <w:sz w:val="24"/>
          <w:szCs w:val="24"/>
        </w:rPr>
        <w:t>contractors’ compliance with the</w:t>
      </w:r>
      <w:r w:rsidR="003A532E">
        <w:rPr>
          <w:sz w:val="24"/>
          <w:szCs w:val="24"/>
        </w:rPr>
        <w:t xml:space="preserve"> Section 503</w:t>
      </w:r>
      <w:r>
        <w:rPr>
          <w:sz w:val="24"/>
          <w:szCs w:val="24"/>
        </w:rPr>
        <w:t xml:space="preserve"> regulations</w:t>
      </w:r>
      <w:r w:rsidR="001238E6">
        <w:rPr>
          <w:sz w:val="24"/>
          <w:szCs w:val="24"/>
        </w:rPr>
        <w:t xml:space="preserve"> (</w:t>
      </w:r>
      <w:r w:rsidRPr="006255B5" w:rsidR="001238E6">
        <w:rPr>
          <w:sz w:val="24"/>
          <w:szCs w:val="24"/>
        </w:rPr>
        <w:t>e.g.,</w:t>
      </w:r>
      <w:r w:rsidR="001238E6">
        <w:rPr>
          <w:sz w:val="24"/>
          <w:szCs w:val="24"/>
        </w:rPr>
        <w:t xml:space="preserve"> during a Section 503 complaint investigation)</w:t>
      </w:r>
      <w:r>
        <w:rPr>
          <w:sz w:val="24"/>
          <w:szCs w:val="24"/>
        </w:rPr>
        <w:t>.</w:t>
      </w:r>
    </w:p>
    <w:p w:rsidR="004F734A" w:rsidRPr="00663AB9" w:rsidP="00D8589C" w14:paraId="64018B7C" w14:textId="77777777">
      <w:pPr>
        <w:tabs>
          <w:tab w:val="left" w:pos="-720"/>
        </w:tabs>
        <w:rPr>
          <w:sz w:val="24"/>
          <w:szCs w:val="24"/>
        </w:rPr>
      </w:pPr>
    </w:p>
    <w:p w:rsidR="00D8589C" w:rsidRPr="006C062E" w:rsidP="00D8589C" w14:paraId="37206F97" w14:textId="77777777">
      <w:pPr>
        <w:pStyle w:val="Heading3"/>
        <w:rPr>
          <w:szCs w:val="24"/>
        </w:rPr>
      </w:pPr>
      <w:r w:rsidRPr="006C062E">
        <w:rPr>
          <w:szCs w:val="24"/>
        </w:rPr>
        <w:t>Use of Information Technology</w:t>
      </w:r>
    </w:p>
    <w:p w:rsidR="00D8589C" w:rsidRPr="006C062E" w:rsidP="00D8589C" w14:paraId="7265CA65" w14:textId="77777777">
      <w:pPr>
        <w:tabs>
          <w:tab w:val="left" w:pos="-720"/>
        </w:tabs>
        <w:rPr>
          <w:color w:val="000000"/>
          <w:sz w:val="24"/>
          <w:szCs w:val="24"/>
        </w:rPr>
      </w:pPr>
    </w:p>
    <w:p w:rsidR="005E527C" w:rsidRPr="008B3B4E" w:rsidP="005E527C" w14:paraId="5F0F0C92" w14:textId="77777777">
      <w:pPr>
        <w:tabs>
          <w:tab w:val="left" w:pos="-720"/>
          <w:tab w:val="left" w:pos="0"/>
        </w:tabs>
        <w:rPr>
          <w:color w:val="000000"/>
          <w:sz w:val="24"/>
          <w:szCs w:val="24"/>
        </w:rPr>
      </w:pPr>
      <w:r w:rsidRPr="008B3B4E">
        <w:rPr>
          <w:color w:val="000000"/>
          <w:sz w:val="24"/>
          <w:szCs w:val="24"/>
        </w:rPr>
        <w:t xml:space="preserve">In general, each contractor develops its own methods for collecting and maintaining </w:t>
      </w:r>
      <w:r>
        <w:rPr>
          <w:color w:val="000000"/>
          <w:sz w:val="24"/>
          <w:szCs w:val="24"/>
        </w:rPr>
        <w:t>the ICR</w:t>
      </w:r>
      <w:r w:rsidRPr="008B3B4E">
        <w:rPr>
          <w:color w:val="000000"/>
          <w:sz w:val="24"/>
          <w:szCs w:val="24"/>
        </w:rPr>
        <w:t xml:space="preserve"> information. Contractors have the option to use methods that best suit their needs </w:t>
      </w:r>
      <w:r>
        <w:rPr>
          <w:color w:val="000000"/>
          <w:sz w:val="24"/>
          <w:szCs w:val="24"/>
        </w:rPr>
        <w:t>provided</w:t>
      </w:r>
      <w:r w:rsidRPr="008B3B4E">
        <w:rPr>
          <w:color w:val="000000"/>
          <w:sz w:val="24"/>
          <w:szCs w:val="24"/>
        </w:rPr>
        <w:t xml:space="preserve"> they can retrieve and </w:t>
      </w:r>
      <w:r>
        <w:rPr>
          <w:color w:val="000000"/>
          <w:sz w:val="24"/>
          <w:szCs w:val="24"/>
        </w:rPr>
        <w:t>submit</w:t>
      </w:r>
      <w:r w:rsidRPr="008B3B4E">
        <w:rPr>
          <w:color w:val="000000"/>
          <w:sz w:val="24"/>
          <w:szCs w:val="24"/>
        </w:rPr>
        <w:t xml:space="preserve"> the </w:t>
      </w:r>
      <w:r>
        <w:rPr>
          <w:color w:val="000000"/>
          <w:sz w:val="24"/>
          <w:szCs w:val="24"/>
        </w:rPr>
        <w:t xml:space="preserve">requested </w:t>
      </w:r>
      <w:r w:rsidRPr="008B3B4E">
        <w:rPr>
          <w:color w:val="000000"/>
          <w:sz w:val="24"/>
          <w:szCs w:val="24"/>
        </w:rPr>
        <w:t>data</w:t>
      </w:r>
      <w:r>
        <w:rPr>
          <w:color w:val="000000"/>
          <w:sz w:val="24"/>
          <w:szCs w:val="24"/>
        </w:rPr>
        <w:t xml:space="preserve"> to OFCCP.</w:t>
      </w:r>
    </w:p>
    <w:p w:rsidR="005E527C" w:rsidRPr="008B3B4E" w:rsidP="005E527C" w14:paraId="5F6235BF" w14:textId="77777777">
      <w:pPr>
        <w:tabs>
          <w:tab w:val="left" w:pos="-720"/>
        </w:tabs>
        <w:rPr>
          <w:color w:val="000000"/>
          <w:sz w:val="24"/>
        </w:rPr>
      </w:pPr>
    </w:p>
    <w:p w:rsidR="005E527C" w:rsidRPr="007C2221" w:rsidP="005E527C" w14:paraId="55B4D220" w14:textId="77777777">
      <w:pPr>
        <w:tabs>
          <w:tab w:val="left" w:pos="-720"/>
          <w:tab w:val="left" w:pos="0"/>
        </w:tabs>
        <w:rPr>
          <w:color w:val="000000"/>
          <w:sz w:val="24"/>
        </w:rPr>
      </w:pPr>
      <w:r w:rsidRPr="008B3B4E">
        <w:rPr>
          <w:color w:val="000000"/>
          <w:sz w:val="24"/>
        </w:rPr>
        <w:t xml:space="preserve">According to the Government Paperwork Elimination Act (GPEA, P.L. 105-277, 1998), by October 2003, government agencies </w:t>
      </w:r>
      <w:r>
        <w:rPr>
          <w:color w:val="000000"/>
          <w:sz w:val="24"/>
        </w:rPr>
        <w:t xml:space="preserve">must </w:t>
      </w:r>
      <w:r w:rsidRPr="008B3B4E">
        <w:rPr>
          <w:color w:val="000000"/>
          <w:sz w:val="24"/>
        </w:rPr>
        <w:t>p</w:t>
      </w:r>
      <w:r w:rsidRPr="007C2221">
        <w:rPr>
          <w:color w:val="000000"/>
          <w:sz w:val="24"/>
        </w:rPr>
        <w:t>rovide the option of using and accepting electronic documents and signatures, and electronic recordkeeping, where practicable. OFCCP fulfills its GPEA requirements by permitting contractors to submit documentation via e-mail or another electronic format.</w:t>
      </w:r>
    </w:p>
    <w:p w:rsidR="00D8589C" w:rsidRPr="006C062E" w:rsidP="00D8589C" w14:paraId="31484497" w14:textId="77777777">
      <w:pPr>
        <w:tabs>
          <w:tab w:val="left" w:pos="-720"/>
          <w:tab w:val="left" w:pos="0"/>
        </w:tabs>
        <w:ind w:left="720"/>
        <w:rPr>
          <w:color w:val="000000"/>
          <w:sz w:val="24"/>
          <w:szCs w:val="24"/>
        </w:rPr>
      </w:pPr>
    </w:p>
    <w:p w:rsidR="00D8589C" w:rsidRPr="006C062E" w:rsidP="00D8589C" w14:paraId="6CEAAFD9" w14:textId="77777777">
      <w:pPr>
        <w:pStyle w:val="Heading3"/>
        <w:rPr>
          <w:szCs w:val="24"/>
        </w:rPr>
      </w:pPr>
      <w:r w:rsidRPr="006C062E">
        <w:rPr>
          <w:szCs w:val="24"/>
        </w:rPr>
        <w:t>Description of Efforts to Identify Duplication</w:t>
      </w:r>
    </w:p>
    <w:p w:rsidR="00D8589C" w:rsidRPr="006C062E" w:rsidP="00D8589C" w14:paraId="026918A3" w14:textId="77777777">
      <w:pPr>
        <w:tabs>
          <w:tab w:val="left" w:pos="-720"/>
        </w:tabs>
        <w:rPr>
          <w:color w:val="000000"/>
          <w:sz w:val="24"/>
          <w:szCs w:val="24"/>
        </w:rPr>
      </w:pPr>
    </w:p>
    <w:p w:rsidR="00D8589C" w:rsidRPr="006C062E" w:rsidP="00512F04" w14:paraId="4115BE4B" w14:textId="5A3B231C">
      <w:pPr>
        <w:tabs>
          <w:tab w:val="left" w:pos="-720"/>
        </w:tabs>
        <w:rPr>
          <w:b/>
          <w:color w:val="000000"/>
          <w:sz w:val="24"/>
          <w:szCs w:val="24"/>
        </w:rPr>
      </w:pPr>
      <w:r w:rsidRPr="006C062E">
        <w:rPr>
          <w:color w:val="000000"/>
          <w:sz w:val="24"/>
          <w:szCs w:val="24"/>
        </w:rPr>
        <w:t xml:space="preserve">No duplication of effort exists because no other </w:t>
      </w:r>
      <w:r>
        <w:rPr>
          <w:color w:val="000000"/>
          <w:sz w:val="24"/>
          <w:szCs w:val="24"/>
        </w:rPr>
        <w:t>g</w:t>
      </w:r>
      <w:r w:rsidRPr="006C062E">
        <w:rPr>
          <w:color w:val="000000"/>
          <w:sz w:val="24"/>
          <w:szCs w:val="24"/>
        </w:rPr>
        <w:t>overnment agency has these specific data collection requirements.</w:t>
      </w:r>
    </w:p>
    <w:p w:rsidR="00D8589C" w:rsidRPr="006C062E" w:rsidP="00D8589C" w14:paraId="7A32107E" w14:textId="77777777">
      <w:pPr>
        <w:pStyle w:val="EndnoteText"/>
        <w:widowControl/>
        <w:tabs>
          <w:tab w:val="left" w:pos="-720"/>
        </w:tabs>
        <w:rPr>
          <w:rFonts w:ascii="Times New Roman" w:hAnsi="Times New Roman"/>
          <w:color w:val="000000"/>
          <w:szCs w:val="24"/>
        </w:rPr>
      </w:pPr>
    </w:p>
    <w:p w:rsidR="00D8589C" w:rsidRPr="006C062E" w:rsidP="00D8589C" w14:paraId="6DAFBC63" w14:textId="77777777">
      <w:pPr>
        <w:pStyle w:val="Heading3"/>
        <w:rPr>
          <w:szCs w:val="24"/>
        </w:rPr>
      </w:pPr>
      <w:r w:rsidRPr="006C062E">
        <w:rPr>
          <w:szCs w:val="24"/>
        </w:rPr>
        <w:t>Impact on Small Businesses</w:t>
      </w:r>
    </w:p>
    <w:p w:rsidR="00D8589C" w:rsidRPr="006C062E" w:rsidP="00D8589C" w14:paraId="09DB23AB" w14:textId="77777777">
      <w:pPr>
        <w:tabs>
          <w:tab w:val="left" w:pos="-720"/>
          <w:tab w:val="left" w:pos="0"/>
        </w:tabs>
        <w:ind w:left="720"/>
        <w:rPr>
          <w:color w:val="000000"/>
          <w:sz w:val="24"/>
          <w:szCs w:val="24"/>
        </w:rPr>
      </w:pPr>
    </w:p>
    <w:p w:rsidR="00B11EE6" w:rsidP="00B11EE6" w14:paraId="3A7979E8" w14:textId="5FA5DFD5">
      <w:pPr>
        <w:tabs>
          <w:tab w:val="left" w:pos="-720"/>
        </w:tabs>
        <w:rPr>
          <w:sz w:val="24"/>
          <w:szCs w:val="24"/>
        </w:rPr>
      </w:pPr>
      <w:r>
        <w:rPr>
          <w:sz w:val="24"/>
          <w:szCs w:val="24"/>
        </w:rPr>
        <w:t>This I</w:t>
      </w:r>
      <w:r w:rsidRPr="00847077">
        <w:rPr>
          <w:sz w:val="24"/>
          <w:szCs w:val="24"/>
        </w:rPr>
        <w:t>C</w:t>
      </w:r>
      <w:r>
        <w:rPr>
          <w:sz w:val="24"/>
          <w:szCs w:val="24"/>
        </w:rPr>
        <w:t>R</w:t>
      </w:r>
      <w:r w:rsidRPr="00847077">
        <w:rPr>
          <w:sz w:val="24"/>
          <w:szCs w:val="24"/>
        </w:rPr>
        <w:t xml:space="preserve"> does not have a significant economic impact on a substantial number of small businesses. OFCCP minimizes the burden on small businesses by exempting</w:t>
      </w:r>
      <w:r>
        <w:rPr>
          <w:sz w:val="24"/>
          <w:szCs w:val="24"/>
        </w:rPr>
        <w:t xml:space="preserve"> entities who fail to meet the higher AAP contract size and employee thresholds</w:t>
      </w:r>
      <w:r>
        <w:rPr>
          <w:rStyle w:val="FootnoteReference"/>
          <w:sz w:val="24"/>
          <w:szCs w:val="24"/>
          <w:vertAlign w:val="superscript"/>
        </w:rPr>
        <w:footnoteReference w:id="3"/>
      </w:r>
      <w:r>
        <w:rPr>
          <w:sz w:val="24"/>
          <w:szCs w:val="24"/>
        </w:rPr>
        <w:t xml:space="preserve"> from the affirmative action regulatory requirements described in Section 12</w:t>
      </w:r>
      <w:r w:rsidR="009D449D">
        <w:rPr>
          <w:sz w:val="24"/>
          <w:szCs w:val="24"/>
        </w:rPr>
        <w:t xml:space="preserve"> of this supporting statement</w:t>
      </w:r>
      <w:r w:rsidR="00064ED5">
        <w:rPr>
          <w:sz w:val="24"/>
          <w:szCs w:val="24"/>
        </w:rPr>
        <w:t xml:space="preserve"> below</w:t>
      </w:r>
      <w:r>
        <w:rPr>
          <w:sz w:val="24"/>
          <w:szCs w:val="24"/>
        </w:rPr>
        <w:t>.</w:t>
      </w:r>
    </w:p>
    <w:p w:rsidR="00D8589C" w:rsidP="00D8589C" w14:paraId="41B7A463" w14:textId="77777777">
      <w:pPr>
        <w:tabs>
          <w:tab w:val="left" w:pos="-720"/>
        </w:tabs>
        <w:rPr>
          <w:color w:val="000000"/>
          <w:sz w:val="24"/>
          <w:szCs w:val="24"/>
        </w:rPr>
      </w:pPr>
    </w:p>
    <w:p w:rsidR="003B67C6" w:rsidP="00D8589C" w14:paraId="4C4691D6" w14:textId="77777777">
      <w:pPr>
        <w:tabs>
          <w:tab w:val="left" w:pos="-720"/>
        </w:tabs>
        <w:rPr>
          <w:color w:val="000000"/>
          <w:sz w:val="24"/>
          <w:szCs w:val="24"/>
        </w:rPr>
      </w:pPr>
    </w:p>
    <w:p w:rsidR="003B67C6" w:rsidRPr="006C062E" w:rsidP="00D8589C" w14:paraId="51F6505A" w14:textId="77777777">
      <w:pPr>
        <w:tabs>
          <w:tab w:val="left" w:pos="-720"/>
        </w:tabs>
        <w:rPr>
          <w:color w:val="000000"/>
          <w:sz w:val="24"/>
          <w:szCs w:val="24"/>
        </w:rPr>
      </w:pPr>
    </w:p>
    <w:p w:rsidR="00D8589C" w:rsidRPr="006C062E" w:rsidP="00D8589C" w14:paraId="3D2A3C50" w14:textId="77777777">
      <w:pPr>
        <w:pStyle w:val="Heading3"/>
        <w:rPr>
          <w:szCs w:val="24"/>
        </w:rPr>
      </w:pPr>
      <w:r w:rsidRPr="006C062E">
        <w:rPr>
          <w:szCs w:val="24"/>
        </w:rPr>
        <w:t xml:space="preserve">Consequences of a Less Frequent Collection </w:t>
      </w:r>
    </w:p>
    <w:p w:rsidR="00D8589C" w:rsidRPr="006C062E" w:rsidP="00D8589C" w14:paraId="18589471" w14:textId="77777777">
      <w:pPr>
        <w:tabs>
          <w:tab w:val="left" w:pos="-720"/>
          <w:tab w:val="left" w:pos="0"/>
        </w:tabs>
        <w:ind w:left="720"/>
        <w:rPr>
          <w:color w:val="000000"/>
          <w:sz w:val="24"/>
          <w:szCs w:val="24"/>
        </w:rPr>
      </w:pPr>
    </w:p>
    <w:p w:rsidR="00F6251B" w:rsidP="00D8589C" w14:paraId="1C824188" w14:textId="387A1BAD">
      <w:pPr>
        <w:tabs>
          <w:tab w:val="left" w:pos="-720"/>
        </w:tabs>
        <w:rPr>
          <w:sz w:val="24"/>
          <w:szCs w:val="24"/>
        </w:rPr>
      </w:pPr>
      <w:r w:rsidRPr="00F6251B">
        <w:rPr>
          <w:sz w:val="24"/>
          <w:szCs w:val="24"/>
        </w:rPr>
        <w:t>There is no</w:t>
      </w:r>
      <w:r w:rsidR="005A1DBB">
        <w:rPr>
          <w:sz w:val="24"/>
          <w:szCs w:val="24"/>
        </w:rPr>
        <w:t>t a specific</w:t>
      </w:r>
      <w:r w:rsidRPr="00F6251B">
        <w:rPr>
          <w:sz w:val="24"/>
          <w:szCs w:val="24"/>
        </w:rPr>
        <w:t xml:space="preserve"> schedule for the collection of this information.</w:t>
      </w:r>
      <w:r w:rsidR="007B0B1C">
        <w:rPr>
          <w:sz w:val="24"/>
          <w:szCs w:val="24"/>
        </w:rPr>
        <w:t xml:space="preserve"> </w:t>
      </w:r>
      <w:r w:rsidR="001238E6">
        <w:rPr>
          <w:sz w:val="24"/>
          <w:szCs w:val="24"/>
        </w:rPr>
        <w:t>OFCCP</w:t>
      </w:r>
      <w:r w:rsidR="002A3242">
        <w:rPr>
          <w:sz w:val="24"/>
          <w:szCs w:val="24"/>
        </w:rPr>
        <w:t xml:space="preserve"> </w:t>
      </w:r>
      <w:r w:rsidR="00020C1B">
        <w:rPr>
          <w:sz w:val="24"/>
          <w:szCs w:val="24"/>
        </w:rPr>
        <w:t>reviews the collected information when reviewing contractors’ compliance wi</w:t>
      </w:r>
      <w:r w:rsidR="00B66613">
        <w:rPr>
          <w:sz w:val="24"/>
          <w:szCs w:val="24"/>
        </w:rPr>
        <w:t xml:space="preserve">th Section 503 and its implementing regulations at </w:t>
      </w:r>
      <w:r w:rsidRPr="00724A5A" w:rsidR="00B66613">
        <w:rPr>
          <w:sz w:val="24"/>
          <w:szCs w:val="24"/>
        </w:rPr>
        <w:t>41 CFR part 60-</w:t>
      </w:r>
      <w:r w:rsidR="00B66613">
        <w:rPr>
          <w:sz w:val="24"/>
          <w:szCs w:val="24"/>
        </w:rPr>
        <w:t>741</w:t>
      </w:r>
      <w:r w:rsidR="00020C1B">
        <w:rPr>
          <w:sz w:val="24"/>
          <w:szCs w:val="24"/>
        </w:rPr>
        <w:t xml:space="preserve"> (</w:t>
      </w:r>
      <w:r w:rsidRPr="004D6245" w:rsidR="00020C1B">
        <w:rPr>
          <w:sz w:val="24"/>
          <w:szCs w:val="24"/>
        </w:rPr>
        <w:t>e.g.</w:t>
      </w:r>
      <w:r w:rsidRPr="005A1DBB" w:rsidR="00020C1B">
        <w:rPr>
          <w:sz w:val="24"/>
          <w:szCs w:val="24"/>
        </w:rPr>
        <w:t xml:space="preserve">, </w:t>
      </w:r>
      <w:r w:rsidR="00970041">
        <w:rPr>
          <w:sz w:val="24"/>
          <w:szCs w:val="24"/>
        </w:rPr>
        <w:t xml:space="preserve">during a </w:t>
      </w:r>
      <w:r w:rsidR="00020C1B">
        <w:rPr>
          <w:sz w:val="24"/>
          <w:szCs w:val="24"/>
        </w:rPr>
        <w:t>Section 503</w:t>
      </w:r>
      <w:r w:rsidR="005A1DBB">
        <w:rPr>
          <w:sz w:val="24"/>
          <w:szCs w:val="24"/>
        </w:rPr>
        <w:t xml:space="preserve"> </w:t>
      </w:r>
      <w:r w:rsidR="00B203D0">
        <w:rPr>
          <w:sz w:val="24"/>
          <w:szCs w:val="24"/>
        </w:rPr>
        <w:t>complaint</w:t>
      </w:r>
      <w:r w:rsidR="00970041">
        <w:rPr>
          <w:sz w:val="24"/>
          <w:szCs w:val="24"/>
        </w:rPr>
        <w:t xml:space="preserve"> investigation</w:t>
      </w:r>
      <w:r w:rsidR="005A1DBB">
        <w:rPr>
          <w:sz w:val="24"/>
          <w:szCs w:val="24"/>
        </w:rPr>
        <w:t>)</w:t>
      </w:r>
      <w:r w:rsidR="00B203D0">
        <w:rPr>
          <w:sz w:val="24"/>
          <w:szCs w:val="24"/>
        </w:rPr>
        <w:t>.</w:t>
      </w:r>
      <w:r w:rsidR="003C22B4">
        <w:rPr>
          <w:sz w:val="24"/>
          <w:szCs w:val="24"/>
        </w:rPr>
        <w:t xml:space="preserve"> </w:t>
      </w:r>
      <w:r w:rsidR="00FF1FE9">
        <w:rPr>
          <w:sz w:val="24"/>
          <w:szCs w:val="24"/>
        </w:rPr>
        <w:t xml:space="preserve">Without this information, </w:t>
      </w:r>
      <w:r w:rsidR="001238E6">
        <w:rPr>
          <w:sz w:val="24"/>
          <w:szCs w:val="24"/>
        </w:rPr>
        <w:t>OFCCP may not be able to review contractors’ compliance with the</w:t>
      </w:r>
      <w:r w:rsidR="007B0B1C">
        <w:rPr>
          <w:sz w:val="24"/>
          <w:szCs w:val="24"/>
        </w:rPr>
        <w:t>se requirements.</w:t>
      </w:r>
    </w:p>
    <w:p w:rsidR="00C868F4" w:rsidP="00D8589C" w14:paraId="5297F05C" w14:textId="77777777">
      <w:pPr>
        <w:tabs>
          <w:tab w:val="left" w:pos="-720"/>
        </w:tabs>
        <w:rPr>
          <w:sz w:val="24"/>
          <w:szCs w:val="24"/>
        </w:rPr>
      </w:pPr>
    </w:p>
    <w:p w:rsidR="00D8589C" w:rsidRPr="006C062E" w:rsidP="00D8589C" w14:paraId="49F5F7EB" w14:textId="646093EB">
      <w:pPr>
        <w:pStyle w:val="Heading3"/>
        <w:rPr>
          <w:szCs w:val="24"/>
        </w:rPr>
      </w:pPr>
      <w:r w:rsidRPr="006C062E">
        <w:rPr>
          <w:szCs w:val="24"/>
        </w:rPr>
        <w:t>Special Circumstances</w:t>
      </w:r>
    </w:p>
    <w:p w:rsidR="00D8589C" w:rsidRPr="006C062E" w:rsidP="00D8589C" w14:paraId="7C34C2FE" w14:textId="77777777">
      <w:pPr>
        <w:tabs>
          <w:tab w:val="left" w:pos="-720"/>
        </w:tabs>
        <w:rPr>
          <w:color w:val="000000"/>
          <w:sz w:val="24"/>
          <w:szCs w:val="24"/>
        </w:rPr>
      </w:pPr>
    </w:p>
    <w:p w:rsidR="00D8589C" w:rsidRPr="006C062E" w:rsidP="00D8589C" w14:paraId="0F297533" w14:textId="77777777">
      <w:pPr>
        <w:tabs>
          <w:tab w:val="left" w:pos="-720"/>
          <w:tab w:val="left" w:pos="0"/>
        </w:tabs>
        <w:rPr>
          <w:color w:val="000000"/>
          <w:sz w:val="24"/>
          <w:szCs w:val="24"/>
        </w:rPr>
      </w:pPr>
      <w:r w:rsidRPr="006C062E">
        <w:rPr>
          <w:color w:val="000000"/>
          <w:sz w:val="24"/>
          <w:szCs w:val="24"/>
        </w:rPr>
        <w:t>There are no special circumstances for the collection of this information.</w:t>
      </w:r>
    </w:p>
    <w:p w:rsidR="00D8589C" w:rsidRPr="006C062E" w:rsidP="00D8589C" w14:paraId="4481E0CC" w14:textId="77777777">
      <w:pPr>
        <w:pStyle w:val="EndnoteText"/>
        <w:widowControl/>
        <w:tabs>
          <w:tab w:val="left" w:pos="-720"/>
        </w:tabs>
        <w:rPr>
          <w:rFonts w:ascii="Times New Roman" w:hAnsi="Times New Roman"/>
          <w:color w:val="000000"/>
          <w:szCs w:val="24"/>
        </w:rPr>
      </w:pPr>
    </w:p>
    <w:p w:rsidR="00D8589C" w:rsidRPr="007B05A8" w:rsidP="00D8589C" w14:paraId="4599BF96" w14:textId="77777777">
      <w:pPr>
        <w:pStyle w:val="Heading3"/>
        <w:rPr>
          <w:szCs w:val="24"/>
        </w:rPr>
      </w:pPr>
      <w:r w:rsidRPr="007B05A8">
        <w:rPr>
          <w:szCs w:val="24"/>
        </w:rPr>
        <w:t>Consultation Outside the Agency</w:t>
      </w:r>
      <w:bookmarkStart w:id="1" w:name="consultation"/>
      <w:bookmarkEnd w:id="1"/>
    </w:p>
    <w:p w:rsidR="00D8589C" w:rsidP="00D8589C" w14:paraId="3657B04A" w14:textId="77777777">
      <w:pPr>
        <w:tabs>
          <w:tab w:val="left" w:pos="-720"/>
        </w:tabs>
        <w:rPr>
          <w:b/>
          <w:color w:val="000000"/>
          <w:sz w:val="24"/>
          <w:szCs w:val="24"/>
        </w:rPr>
      </w:pPr>
    </w:p>
    <w:p w:rsidR="00EB189E" w:rsidRPr="002A5B83" w:rsidP="002A5B83" w14:paraId="5E17C5C2" w14:textId="5A98508E">
      <w:pPr>
        <w:rPr>
          <w:sz w:val="24"/>
          <w:szCs w:val="24"/>
        </w:rPr>
      </w:pPr>
      <w:r w:rsidRPr="002A5B83">
        <w:rPr>
          <w:color w:val="000000" w:themeColor="text1"/>
          <w:sz w:val="24"/>
          <w:szCs w:val="24"/>
        </w:rPr>
        <w:t xml:space="preserve">As noted above, </w:t>
      </w:r>
      <w:r w:rsidR="001238E6">
        <w:rPr>
          <w:color w:val="000000" w:themeColor="text1"/>
          <w:sz w:val="24"/>
          <w:szCs w:val="24"/>
        </w:rPr>
        <w:t>OFCCP</w:t>
      </w:r>
      <w:r w:rsidRPr="002A5B83">
        <w:rPr>
          <w:color w:val="000000" w:themeColor="text1"/>
          <w:sz w:val="24"/>
          <w:szCs w:val="24"/>
        </w:rPr>
        <w:t xml:space="preserve"> published a 60-day notice in the </w:t>
      </w:r>
      <w:r w:rsidRPr="48728C8C">
        <w:rPr>
          <w:i/>
          <w:iCs/>
          <w:color w:val="000000" w:themeColor="text1"/>
          <w:sz w:val="24"/>
          <w:szCs w:val="24"/>
        </w:rPr>
        <w:t>Federal Register</w:t>
      </w:r>
      <w:r w:rsidRPr="002A5B83">
        <w:rPr>
          <w:color w:val="000000" w:themeColor="text1"/>
          <w:sz w:val="24"/>
          <w:szCs w:val="24"/>
        </w:rPr>
        <w:t xml:space="preserve"> describing how </w:t>
      </w:r>
      <w:r w:rsidRPr="002A5B83" w:rsidR="00411BAA">
        <w:rPr>
          <w:color w:val="000000" w:themeColor="text1"/>
          <w:sz w:val="24"/>
          <w:szCs w:val="24"/>
        </w:rPr>
        <w:t xml:space="preserve">its proposed rule </w:t>
      </w:r>
      <w:r w:rsidRPr="002A5B83">
        <w:rPr>
          <w:color w:val="000000" w:themeColor="text1"/>
          <w:sz w:val="24"/>
          <w:szCs w:val="24"/>
        </w:rPr>
        <w:t xml:space="preserve">would impact this information collection. </w:t>
      </w:r>
      <w:r w:rsidRPr="002A5B83">
        <w:rPr>
          <w:sz w:val="24"/>
          <w:szCs w:val="24"/>
        </w:rPr>
        <w:t>90 FR 41415</w:t>
      </w:r>
      <w:r w:rsidR="00E07EE7">
        <w:rPr>
          <w:sz w:val="24"/>
          <w:szCs w:val="24"/>
        </w:rPr>
        <w:t xml:space="preserve"> (Aug. 25, 2025)</w:t>
      </w:r>
      <w:r w:rsidRPr="002A5B83">
        <w:rPr>
          <w:sz w:val="24"/>
          <w:szCs w:val="24"/>
        </w:rPr>
        <w:t xml:space="preserve">. Because the final rule is still pending, </w:t>
      </w:r>
      <w:r w:rsidR="00D04427">
        <w:rPr>
          <w:sz w:val="24"/>
          <w:szCs w:val="24"/>
        </w:rPr>
        <w:t>OFCCP</w:t>
      </w:r>
      <w:r w:rsidRPr="002A5B83">
        <w:rPr>
          <w:sz w:val="24"/>
          <w:szCs w:val="24"/>
        </w:rPr>
        <w:t xml:space="preserve"> now seek</w:t>
      </w:r>
      <w:r w:rsidRPr="002A5B83" w:rsidR="33A76D9B">
        <w:rPr>
          <w:sz w:val="24"/>
          <w:szCs w:val="24"/>
        </w:rPr>
        <w:t>s</w:t>
      </w:r>
      <w:r w:rsidRPr="002A5B83">
        <w:rPr>
          <w:sz w:val="24"/>
          <w:szCs w:val="24"/>
        </w:rPr>
        <w:t xml:space="preserve"> an extension of the currently approved information collection</w:t>
      </w:r>
      <w:r w:rsidRPr="002A5B83" w:rsidR="009543FF">
        <w:rPr>
          <w:sz w:val="24"/>
          <w:szCs w:val="24"/>
        </w:rPr>
        <w:t xml:space="preserve"> and will </w:t>
      </w:r>
      <w:r w:rsidRPr="002A5B83">
        <w:rPr>
          <w:sz w:val="24"/>
          <w:szCs w:val="24"/>
        </w:rPr>
        <w:t xml:space="preserve">respond to public comments on the 60-day </w:t>
      </w:r>
      <w:r w:rsidRPr="002A5B83" w:rsidR="009543FF">
        <w:rPr>
          <w:sz w:val="24"/>
          <w:szCs w:val="24"/>
        </w:rPr>
        <w:t xml:space="preserve">proposal when </w:t>
      </w:r>
      <w:r w:rsidRPr="002A5B83">
        <w:rPr>
          <w:sz w:val="24"/>
          <w:szCs w:val="24"/>
        </w:rPr>
        <w:t xml:space="preserve">the final rule is issued. </w:t>
      </w:r>
      <w:r w:rsidRPr="002A5B83" w:rsidR="001A3838">
        <w:rPr>
          <w:sz w:val="24"/>
          <w:szCs w:val="24"/>
        </w:rPr>
        <w:t xml:space="preserve">In addition to reviewing public comments on this ICR, </w:t>
      </w:r>
      <w:r w:rsidR="001238E6">
        <w:rPr>
          <w:sz w:val="24"/>
          <w:szCs w:val="24"/>
        </w:rPr>
        <w:t>OFCCP</w:t>
      </w:r>
      <w:r w:rsidRPr="002A5B83" w:rsidR="001A3838">
        <w:rPr>
          <w:sz w:val="24"/>
          <w:szCs w:val="24"/>
        </w:rPr>
        <w:t xml:space="preserve"> </w:t>
      </w:r>
      <w:r w:rsidRPr="002A5B83" w:rsidR="00A50AD9">
        <w:rPr>
          <w:sz w:val="24"/>
          <w:szCs w:val="24"/>
        </w:rPr>
        <w:t xml:space="preserve">also </w:t>
      </w:r>
      <w:r w:rsidRPr="002A5B83" w:rsidR="16E98A85">
        <w:rPr>
          <w:sz w:val="24"/>
          <w:szCs w:val="24"/>
        </w:rPr>
        <w:t>maintains</w:t>
      </w:r>
      <w:r w:rsidRPr="002A5B83">
        <w:rPr>
          <w:sz w:val="24"/>
          <w:szCs w:val="24"/>
        </w:rPr>
        <w:t xml:space="preserve"> a Help Desk where </w:t>
      </w:r>
      <w:r w:rsidR="00B85265">
        <w:rPr>
          <w:sz w:val="24"/>
          <w:szCs w:val="24"/>
        </w:rPr>
        <w:t>staff</w:t>
      </w:r>
      <w:r w:rsidRPr="002A5B83">
        <w:rPr>
          <w:sz w:val="24"/>
          <w:szCs w:val="24"/>
        </w:rPr>
        <w:t xml:space="preserve"> provide compliance assistance to </w:t>
      </w:r>
      <w:r w:rsidR="00B85265">
        <w:rPr>
          <w:sz w:val="24"/>
          <w:szCs w:val="24"/>
        </w:rPr>
        <w:t>stakeholders</w:t>
      </w:r>
      <w:r w:rsidRPr="002A5B83">
        <w:rPr>
          <w:sz w:val="24"/>
          <w:szCs w:val="24"/>
        </w:rPr>
        <w:t>.</w:t>
      </w:r>
      <w:r>
        <w:rPr>
          <w:rStyle w:val="FootnoteReference"/>
          <w:sz w:val="24"/>
          <w:szCs w:val="24"/>
          <w:vertAlign w:val="superscript"/>
        </w:rPr>
        <w:footnoteReference w:id="4"/>
      </w:r>
      <w:r w:rsidRPr="002A5B83">
        <w:rPr>
          <w:sz w:val="24"/>
          <w:szCs w:val="24"/>
        </w:rPr>
        <w:t xml:space="preserve"> This information helps inform </w:t>
      </w:r>
      <w:r w:rsidR="001238E6">
        <w:rPr>
          <w:sz w:val="24"/>
          <w:szCs w:val="24"/>
        </w:rPr>
        <w:t>OFCCP</w:t>
      </w:r>
      <w:r w:rsidRPr="002A5B83">
        <w:rPr>
          <w:sz w:val="24"/>
          <w:szCs w:val="24"/>
        </w:rPr>
        <w:t>’s administration of the</w:t>
      </w:r>
      <w:r w:rsidRPr="002A5B83" w:rsidR="00A50AD9">
        <w:rPr>
          <w:sz w:val="24"/>
          <w:szCs w:val="24"/>
        </w:rPr>
        <w:t xml:space="preserve"> Section 503 program.</w:t>
      </w:r>
    </w:p>
    <w:p w:rsidR="004622A5" w:rsidRPr="004622A5" w:rsidP="004622A5" w14:paraId="35B459CA" w14:textId="77777777"/>
    <w:p w:rsidR="00D8589C" w:rsidRPr="006C062E" w:rsidP="00D8589C" w14:paraId="2C33D8DF" w14:textId="77777777">
      <w:pPr>
        <w:pStyle w:val="Heading3"/>
        <w:rPr>
          <w:szCs w:val="24"/>
        </w:rPr>
      </w:pPr>
      <w:r w:rsidRPr="006C062E">
        <w:rPr>
          <w:szCs w:val="24"/>
        </w:rPr>
        <w:t>Gift or Payments</w:t>
      </w:r>
    </w:p>
    <w:p w:rsidR="00D8589C" w:rsidRPr="006C062E" w:rsidP="00D8589C" w14:paraId="5C13B402" w14:textId="77777777">
      <w:pPr>
        <w:tabs>
          <w:tab w:val="left" w:pos="-720"/>
          <w:tab w:val="left" w:pos="0"/>
        </w:tabs>
        <w:ind w:left="720" w:hanging="720"/>
        <w:rPr>
          <w:color w:val="000000"/>
          <w:sz w:val="24"/>
          <w:szCs w:val="24"/>
        </w:rPr>
      </w:pPr>
    </w:p>
    <w:p w:rsidR="00D8589C" w:rsidRPr="006C062E" w:rsidP="00D8589C" w14:paraId="7AED9820" w14:textId="09C53295">
      <w:pPr>
        <w:tabs>
          <w:tab w:val="left" w:pos="-720"/>
          <w:tab w:val="left" w:pos="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OFCCP</w:t>
      </w:r>
      <w:r w:rsidRPr="006C062E" w:rsidR="00E60620">
        <w:rPr>
          <w:color w:val="000000"/>
          <w:sz w:val="24"/>
          <w:szCs w:val="24"/>
        </w:rPr>
        <w:t xml:space="preserve"> provides neither payments nor gifts to respondents.</w:t>
      </w:r>
    </w:p>
    <w:p w:rsidR="00D8589C" w:rsidRPr="006C062E" w:rsidP="00D8589C" w14:paraId="07F1F6F2" w14:textId="77777777">
      <w:pPr>
        <w:tabs>
          <w:tab w:val="left" w:pos="-720"/>
        </w:tabs>
        <w:rPr>
          <w:color w:val="000000"/>
          <w:sz w:val="24"/>
          <w:szCs w:val="24"/>
        </w:rPr>
      </w:pPr>
    </w:p>
    <w:p w:rsidR="00154D09" w:rsidRPr="00DA702A" w:rsidP="00154D09" w14:paraId="44044CDE" w14:textId="77777777">
      <w:pPr>
        <w:pStyle w:val="Heading3"/>
      </w:pPr>
      <w:r w:rsidRPr="00DA702A">
        <w:t>Confidentiality of Information</w:t>
      </w:r>
    </w:p>
    <w:p w:rsidR="00154D09" w:rsidRPr="00DA702A" w:rsidP="00154D09" w14:paraId="7405AEB9" w14:textId="77777777">
      <w:pPr>
        <w:tabs>
          <w:tab w:val="left" w:pos="-720"/>
        </w:tabs>
        <w:rPr>
          <w:color w:val="000000"/>
          <w:sz w:val="24"/>
          <w:szCs w:val="24"/>
        </w:rPr>
      </w:pPr>
    </w:p>
    <w:p w:rsidR="00154D09" w:rsidRPr="00F4481E" w:rsidP="00154D09" w14:paraId="190CD364" w14:textId="77777777">
      <w:pPr>
        <w:pStyle w:val="CommentText"/>
        <w:rPr>
          <w:sz w:val="24"/>
        </w:rPr>
      </w:pPr>
      <w:r w:rsidRPr="00F4481E">
        <w:rPr>
          <w:sz w:val="24"/>
        </w:rPr>
        <w:t xml:space="preserve">OFCCP </w:t>
      </w:r>
      <w:r w:rsidRPr="00F4481E">
        <w:rPr>
          <w:sz w:val="24"/>
          <w:szCs w:val="24"/>
        </w:rPr>
        <w:t xml:space="preserve">will treat records provided by </w:t>
      </w:r>
      <w:r>
        <w:rPr>
          <w:sz w:val="24"/>
          <w:szCs w:val="24"/>
        </w:rPr>
        <w:t>a</w:t>
      </w:r>
      <w:r w:rsidRPr="00F4481E">
        <w:rPr>
          <w:sz w:val="24"/>
          <w:szCs w:val="24"/>
        </w:rPr>
        <w:t xml:space="preserve"> contractor</w:t>
      </w:r>
      <w:r>
        <w:rPr>
          <w:sz w:val="24"/>
          <w:szCs w:val="24"/>
        </w:rPr>
        <w:t xml:space="preserve"> or complainant</w:t>
      </w:r>
      <w:r w:rsidRPr="00F4481E">
        <w:rPr>
          <w:sz w:val="24"/>
          <w:szCs w:val="24"/>
        </w:rPr>
        <w:t xml:space="preserve"> as confidential to the maximum extent the information is exempt from public disclosure under the Freedom of Information Act (FOIA), 5 U.S.C. 552. OFCCP</w:t>
      </w:r>
      <w:r w:rsidRPr="00F4481E">
        <w:rPr>
          <w:sz w:val="24"/>
        </w:rPr>
        <w:t xml:space="preserve"> will evaluate all information requests pursuant to the public inspection and disclosure provisions of FOIA and</w:t>
      </w:r>
      <w:r>
        <w:rPr>
          <w:sz w:val="24"/>
        </w:rPr>
        <w:t xml:space="preserve"> its</w:t>
      </w:r>
      <w:r w:rsidRPr="00F4481E">
        <w:rPr>
          <w:sz w:val="24"/>
        </w:rPr>
        <w:t xml:space="preserve"> implementing regulations at 29 CFR part 70.</w:t>
      </w:r>
    </w:p>
    <w:p w:rsidR="00154D09" w:rsidRPr="00F4481E" w:rsidP="00154D09" w14:paraId="1C165143" w14:textId="77777777">
      <w:pPr>
        <w:pStyle w:val="CommentText"/>
        <w:rPr>
          <w:sz w:val="24"/>
        </w:rPr>
      </w:pPr>
    </w:p>
    <w:p w:rsidR="00154D09" w:rsidRPr="001C498C" w:rsidP="00154D09" w14:paraId="1F383815" w14:textId="77777777">
      <w:pPr>
        <w:pStyle w:val="CommentText"/>
        <w:rPr>
          <w:sz w:val="24"/>
        </w:rPr>
      </w:pPr>
      <w:r w:rsidRPr="001C498C">
        <w:rPr>
          <w:sz w:val="24"/>
        </w:rPr>
        <w:t>OFCCP safeguards and protects personally identifiable information it receives from contractors</w:t>
      </w:r>
      <w:r>
        <w:rPr>
          <w:sz w:val="24"/>
        </w:rPr>
        <w:t xml:space="preserve"> or complainants</w:t>
      </w:r>
      <w:r w:rsidRPr="001C498C">
        <w:rPr>
          <w:sz w:val="24"/>
        </w:rPr>
        <w:t xml:space="preserve"> to the maximum extent allowable under the law in accordance with the Privacy Act of 1974, as amended (5 U.S.C. 552a).</w:t>
      </w:r>
    </w:p>
    <w:p w:rsidR="00D8589C" w:rsidRPr="006C062E" w:rsidP="00D8589C" w14:paraId="0DD35474" w14:textId="77777777">
      <w:pPr>
        <w:tabs>
          <w:tab w:val="left" w:pos="-720"/>
        </w:tabs>
        <w:rPr>
          <w:color w:val="000000"/>
          <w:sz w:val="24"/>
          <w:szCs w:val="24"/>
        </w:rPr>
      </w:pPr>
    </w:p>
    <w:p w:rsidR="00D8589C" w:rsidRPr="006C062E" w:rsidP="00D8589C" w14:paraId="7F5B9737" w14:textId="77777777">
      <w:pPr>
        <w:pStyle w:val="Heading3"/>
        <w:rPr>
          <w:szCs w:val="24"/>
        </w:rPr>
      </w:pPr>
      <w:r w:rsidRPr="006C062E">
        <w:rPr>
          <w:szCs w:val="24"/>
        </w:rPr>
        <w:t>Questions of Sensitive Nature</w:t>
      </w:r>
    </w:p>
    <w:p w:rsidR="00D8589C" w:rsidRPr="006C062E" w:rsidP="00D8589C" w14:paraId="77C51835" w14:textId="77777777">
      <w:pPr>
        <w:tabs>
          <w:tab w:val="left" w:pos="-720"/>
          <w:tab w:val="left" w:pos="0"/>
        </w:tabs>
        <w:ind w:left="720"/>
        <w:rPr>
          <w:color w:val="000000"/>
          <w:sz w:val="24"/>
          <w:szCs w:val="24"/>
        </w:rPr>
      </w:pPr>
    </w:p>
    <w:p w:rsidR="00C208F2" w:rsidP="657BF8E6" w14:paraId="2DD9353F" w14:textId="035DCE14">
      <w:pPr>
        <w:tabs>
          <w:tab w:val="left" w:pos="0"/>
        </w:tabs>
        <w:rPr>
          <w:sz w:val="24"/>
          <w:szCs w:val="24"/>
        </w:rPr>
      </w:pPr>
      <w:r w:rsidRPr="2D4B93FC">
        <w:rPr>
          <w:sz w:val="24"/>
          <w:szCs w:val="24"/>
        </w:rPr>
        <w:t xml:space="preserve">The </w:t>
      </w:r>
      <w:r w:rsidRPr="2D4B93FC" w:rsidR="47A96F82">
        <w:rPr>
          <w:sz w:val="24"/>
          <w:szCs w:val="24"/>
        </w:rPr>
        <w:t xml:space="preserve">Section 503 regulations </w:t>
      </w:r>
      <w:r w:rsidRPr="2D4B93FC" w:rsidR="28756F53">
        <w:rPr>
          <w:sz w:val="24"/>
          <w:szCs w:val="24"/>
        </w:rPr>
        <w:t xml:space="preserve">at 41 CFR 60-741.80 </w:t>
      </w:r>
      <w:r w:rsidRPr="2D4B93FC" w:rsidR="47A96F82">
        <w:rPr>
          <w:sz w:val="24"/>
          <w:szCs w:val="24"/>
        </w:rPr>
        <w:t xml:space="preserve">require contractors to maintain various </w:t>
      </w:r>
      <w:r w:rsidRPr="2D4B93FC" w:rsidR="47872640">
        <w:rPr>
          <w:sz w:val="24"/>
          <w:szCs w:val="24"/>
        </w:rPr>
        <w:t xml:space="preserve">employment </w:t>
      </w:r>
      <w:r w:rsidRPr="2D4B93FC" w:rsidR="47A96F82">
        <w:rPr>
          <w:sz w:val="24"/>
          <w:szCs w:val="24"/>
        </w:rPr>
        <w:t>records</w:t>
      </w:r>
      <w:r w:rsidRPr="2D4B93FC" w:rsidR="53D63E7C">
        <w:rPr>
          <w:sz w:val="24"/>
          <w:szCs w:val="24"/>
        </w:rPr>
        <w:t xml:space="preserve">. These records may include </w:t>
      </w:r>
      <w:r w:rsidRPr="2D4B93FC" w:rsidR="12DF0922">
        <w:rPr>
          <w:sz w:val="24"/>
          <w:szCs w:val="24"/>
        </w:rPr>
        <w:t>sensitive</w:t>
      </w:r>
      <w:r w:rsidRPr="2D4B93FC" w:rsidR="39757A0C">
        <w:rPr>
          <w:sz w:val="24"/>
          <w:szCs w:val="24"/>
        </w:rPr>
        <w:t xml:space="preserve"> </w:t>
      </w:r>
      <w:r w:rsidRPr="2D4B93FC" w:rsidR="53D63E7C">
        <w:rPr>
          <w:sz w:val="24"/>
          <w:szCs w:val="24"/>
        </w:rPr>
        <w:t>information</w:t>
      </w:r>
      <w:r w:rsidRPr="2D4B93FC" w:rsidR="12DF0922">
        <w:rPr>
          <w:sz w:val="24"/>
          <w:szCs w:val="24"/>
        </w:rPr>
        <w:t xml:space="preserve"> (e.g.,</w:t>
      </w:r>
      <w:r w:rsidRPr="2D4B93FC" w:rsidR="47A96F82">
        <w:rPr>
          <w:sz w:val="24"/>
          <w:szCs w:val="24"/>
        </w:rPr>
        <w:t xml:space="preserve"> records on workers’ reasonable accommodation requests</w:t>
      </w:r>
      <w:r w:rsidRPr="2D4B93FC" w:rsidR="12DF0922">
        <w:rPr>
          <w:sz w:val="24"/>
          <w:szCs w:val="24"/>
        </w:rPr>
        <w:t>)</w:t>
      </w:r>
      <w:r w:rsidRPr="2D4B93FC" w:rsidR="47A96F82">
        <w:rPr>
          <w:sz w:val="24"/>
          <w:szCs w:val="24"/>
        </w:rPr>
        <w:t>.</w:t>
      </w:r>
      <w:r w:rsidRPr="2D4B93FC" w:rsidR="47872640">
        <w:rPr>
          <w:sz w:val="24"/>
          <w:szCs w:val="24"/>
        </w:rPr>
        <w:t xml:space="preserve"> When </w:t>
      </w:r>
      <w:r w:rsidRPr="2D4B93FC" w:rsidR="3CA05F98">
        <w:rPr>
          <w:sz w:val="24"/>
          <w:szCs w:val="24"/>
        </w:rPr>
        <w:t>using</w:t>
      </w:r>
      <w:r w:rsidRPr="2D4B93FC" w:rsidR="47872640">
        <w:rPr>
          <w:sz w:val="24"/>
          <w:szCs w:val="24"/>
        </w:rPr>
        <w:t xml:space="preserve"> this</w:t>
      </w:r>
      <w:r w:rsidRPr="2D4B93FC" w:rsidR="5B312E28">
        <w:rPr>
          <w:sz w:val="24"/>
          <w:szCs w:val="24"/>
        </w:rPr>
        <w:t xml:space="preserve"> type of</w:t>
      </w:r>
      <w:r w:rsidRPr="2D4B93FC" w:rsidR="47872640">
        <w:rPr>
          <w:sz w:val="24"/>
          <w:szCs w:val="24"/>
        </w:rPr>
        <w:t xml:space="preserve"> information, contractors must </w:t>
      </w:r>
      <w:r w:rsidRPr="2D4B93FC" w:rsidR="47872640">
        <w:rPr>
          <w:sz w:val="24"/>
          <w:szCs w:val="24"/>
        </w:rPr>
        <w:t>adhere to the confidentiality</w:t>
      </w:r>
      <w:r w:rsidRPr="2D4B93FC" w:rsidR="58B15EA2">
        <w:rPr>
          <w:sz w:val="24"/>
          <w:szCs w:val="24"/>
        </w:rPr>
        <w:t xml:space="preserve"> provisions </w:t>
      </w:r>
      <w:r w:rsidRPr="2D4B93FC" w:rsidR="4887E532">
        <w:rPr>
          <w:sz w:val="24"/>
          <w:szCs w:val="24"/>
        </w:rPr>
        <w:t>set forth in the Section 503 regulations</w:t>
      </w:r>
      <w:r w:rsidRPr="2D4B93FC" w:rsidR="624A1763">
        <w:rPr>
          <w:sz w:val="24"/>
          <w:szCs w:val="24"/>
        </w:rPr>
        <w:t xml:space="preserve">. </w:t>
      </w:r>
      <w:r w:rsidRPr="2D4B93FC" w:rsidR="624A1763">
        <w:rPr>
          <w:i/>
          <w:iCs/>
          <w:sz w:val="24"/>
          <w:szCs w:val="24"/>
        </w:rPr>
        <w:t>See e.g</w:t>
      </w:r>
      <w:r w:rsidRPr="2D4B93FC" w:rsidR="624A1763">
        <w:rPr>
          <w:sz w:val="24"/>
          <w:szCs w:val="24"/>
        </w:rPr>
        <w:t>.</w:t>
      </w:r>
      <w:r w:rsidRPr="2D4B93FC" w:rsidR="1F254613">
        <w:rPr>
          <w:sz w:val="24"/>
          <w:szCs w:val="24"/>
        </w:rPr>
        <w:t>, 41 CFR 60-741.44(d)(1) and 41 CFR 60-741.23(d).</w:t>
      </w:r>
    </w:p>
    <w:p w:rsidR="657BF8E6" w:rsidP="657BF8E6" w14:paraId="69DEEEA3" w14:textId="0D4FE636">
      <w:pPr>
        <w:tabs>
          <w:tab w:val="left" w:pos="0"/>
        </w:tabs>
        <w:rPr>
          <w:sz w:val="24"/>
          <w:szCs w:val="24"/>
        </w:rPr>
      </w:pPr>
    </w:p>
    <w:p w:rsidR="00D8589C" w:rsidRPr="006C062E" w:rsidP="00D8589C" w14:paraId="50201289" w14:textId="0B3AB2F5">
      <w:pPr>
        <w:pStyle w:val="Heading3"/>
        <w:rPr>
          <w:szCs w:val="24"/>
        </w:rPr>
      </w:pPr>
      <w:bookmarkStart w:id="2" w:name="Recordkeeping_Burden"/>
      <w:bookmarkStart w:id="3" w:name="_msoanchor_1"/>
      <w:bookmarkStart w:id="4" w:name="Reporting_Burden"/>
      <w:bookmarkStart w:id="5" w:name="Change_in_Burden_Hours"/>
      <w:bookmarkEnd w:id="2"/>
      <w:bookmarkEnd w:id="3"/>
      <w:bookmarkEnd w:id="4"/>
      <w:bookmarkEnd w:id="5"/>
      <w:r w:rsidRPr="006C062E">
        <w:rPr>
          <w:szCs w:val="24"/>
        </w:rPr>
        <w:t>Information Collection Hour Burden</w:t>
      </w:r>
      <w:r>
        <w:rPr>
          <w:rStyle w:val="FootnoteReference"/>
          <w:b w:val="0"/>
          <w:bCs/>
          <w:szCs w:val="24"/>
          <w:vertAlign w:val="superscript"/>
        </w:rPr>
        <w:footnoteReference w:id="5"/>
      </w:r>
    </w:p>
    <w:p w:rsidR="00D8589C" w:rsidRPr="006C062E" w:rsidP="00D8589C" w14:paraId="7973E1B7" w14:textId="77777777">
      <w:pPr>
        <w:tabs>
          <w:tab w:val="left" w:pos="-720"/>
          <w:tab w:val="left" w:pos="0"/>
        </w:tabs>
        <w:ind w:left="720" w:hanging="720"/>
        <w:rPr>
          <w:color w:val="000000"/>
          <w:sz w:val="24"/>
          <w:szCs w:val="24"/>
        </w:rPr>
      </w:pPr>
    </w:p>
    <w:p w:rsidR="008B4E54" w:rsidRPr="008B4E54" w:rsidP="657BF8E6" w14:paraId="64CF4287" w14:textId="7A9661E7">
      <w:pPr>
        <w:tabs>
          <w:tab w:val="left" w:pos="0"/>
        </w:tabs>
        <w:rPr>
          <w:b/>
          <w:bCs/>
          <w:color w:val="000000"/>
          <w:sz w:val="24"/>
          <w:szCs w:val="24"/>
          <w:u w:val="single"/>
        </w:rPr>
      </w:pPr>
      <w:r w:rsidRPr="2D4B93FC">
        <w:rPr>
          <w:b/>
          <w:bCs/>
          <w:color w:val="000000" w:themeColor="text1"/>
          <w:sz w:val="24"/>
          <w:szCs w:val="24"/>
          <w:u w:val="single"/>
        </w:rPr>
        <w:t>Burden Hours</w:t>
      </w:r>
    </w:p>
    <w:p w:rsidR="008B4E54" w:rsidP="003F0DA7" w14:paraId="0E3DA390" w14:textId="77777777">
      <w:pPr>
        <w:tabs>
          <w:tab w:val="left" w:pos="-720"/>
          <w:tab w:val="left" w:pos="0"/>
        </w:tabs>
        <w:rPr>
          <w:color w:val="000000"/>
          <w:sz w:val="24"/>
          <w:szCs w:val="24"/>
        </w:rPr>
      </w:pPr>
    </w:p>
    <w:p w:rsidR="006B0EEC" w:rsidRPr="00717D39" w:rsidP="657BF8E6" w14:paraId="04451BE9" w14:textId="0BD9E545">
      <w:pPr>
        <w:tabs>
          <w:tab w:val="left" w:pos="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OFCCP bases estimates for the covered </w:t>
      </w:r>
      <w:r w:rsidR="67BA2EE8">
        <w:rPr>
          <w:color w:val="000000"/>
          <w:sz w:val="24"/>
          <w:szCs w:val="24"/>
        </w:rPr>
        <w:t xml:space="preserve">contractor </w:t>
      </w:r>
      <w:r>
        <w:rPr>
          <w:color w:val="000000"/>
          <w:sz w:val="24"/>
          <w:szCs w:val="24"/>
        </w:rPr>
        <w:t>universe on EEO-1 data.</w:t>
      </w:r>
      <w:r>
        <w:rPr>
          <w:rStyle w:val="FootnoteReference"/>
          <w:sz w:val="24"/>
          <w:szCs w:val="24"/>
          <w:vertAlign w:val="superscript"/>
        </w:rPr>
        <w:footnoteReference w:id="6"/>
      </w:r>
      <w:r w:rsidR="00717D39">
        <w:rPr>
          <w:color w:val="000000"/>
          <w:sz w:val="24"/>
          <w:szCs w:val="24"/>
        </w:rPr>
        <w:t xml:space="preserve"> </w:t>
      </w:r>
      <w:r w:rsidRPr="001238E6" w:rsidR="00B627EF">
        <w:rPr>
          <w:color w:val="000000"/>
          <w:sz w:val="24"/>
          <w:szCs w:val="24"/>
        </w:rPr>
        <w:t xml:space="preserve">OFCCP estimates </w:t>
      </w:r>
      <w:r w:rsidRPr="001238E6" w:rsidR="00630448">
        <w:rPr>
          <w:color w:val="000000"/>
          <w:sz w:val="24"/>
          <w:szCs w:val="24"/>
        </w:rPr>
        <w:t xml:space="preserve">a total of </w:t>
      </w:r>
      <w:r w:rsidRPr="00095411" w:rsidR="00095411">
        <w:rPr>
          <w:sz w:val="24"/>
          <w:szCs w:val="24"/>
        </w:rPr>
        <w:t>336,819</w:t>
      </w:r>
      <w:r w:rsidRPr="00095411" w:rsidR="003E62F9">
        <w:rPr>
          <w:sz w:val="24"/>
          <w:szCs w:val="24"/>
        </w:rPr>
        <w:t xml:space="preserve"> </w:t>
      </w:r>
      <w:r w:rsidRPr="001238E6" w:rsidR="00630448">
        <w:rPr>
          <w:sz w:val="24"/>
          <w:szCs w:val="24"/>
        </w:rPr>
        <w:t xml:space="preserve">burden hours related to recordkeeping requirements covered by this ICR. </w:t>
      </w:r>
      <w:r w:rsidRPr="001238E6" w:rsidR="0055556D">
        <w:rPr>
          <w:sz w:val="24"/>
          <w:szCs w:val="24"/>
        </w:rPr>
        <w:t>T</w:t>
      </w:r>
      <w:r w:rsidRPr="001238E6" w:rsidR="00B31B07">
        <w:rPr>
          <w:sz w:val="24"/>
          <w:szCs w:val="24"/>
        </w:rPr>
        <w:t xml:space="preserve">his </w:t>
      </w:r>
      <w:r w:rsidRPr="001238E6" w:rsidR="00985B7E">
        <w:rPr>
          <w:sz w:val="24"/>
          <w:szCs w:val="24"/>
        </w:rPr>
        <w:t xml:space="preserve">estimate is based on the average time </w:t>
      </w:r>
      <w:r w:rsidRPr="001238E6" w:rsidR="7AF167D9">
        <w:rPr>
          <w:sz w:val="24"/>
          <w:szCs w:val="24"/>
        </w:rPr>
        <w:t xml:space="preserve">it takes </w:t>
      </w:r>
      <w:r w:rsidRPr="001238E6" w:rsidR="00985B7E">
        <w:rPr>
          <w:sz w:val="24"/>
          <w:szCs w:val="24"/>
        </w:rPr>
        <w:t xml:space="preserve">for </w:t>
      </w:r>
      <w:r w:rsidRPr="001238E6" w:rsidR="00630448">
        <w:rPr>
          <w:sz w:val="24"/>
          <w:szCs w:val="24"/>
        </w:rPr>
        <w:t>the c</w:t>
      </w:r>
      <w:r w:rsidR="00C2598A">
        <w:rPr>
          <w:sz w:val="24"/>
          <w:szCs w:val="24"/>
        </w:rPr>
        <w:t>ontractor establishments</w:t>
      </w:r>
      <w:r w:rsidRPr="001238E6" w:rsidR="00985B7E">
        <w:rPr>
          <w:sz w:val="24"/>
          <w:szCs w:val="24"/>
          <w:vertAlign w:val="superscript"/>
        </w:rPr>
        <w:t xml:space="preserve"> </w:t>
      </w:r>
      <w:r w:rsidRPr="001238E6" w:rsidR="00985B7E">
        <w:rPr>
          <w:sz w:val="24"/>
          <w:szCs w:val="24"/>
        </w:rPr>
        <w:t>to</w:t>
      </w:r>
      <w:r w:rsidRPr="001238E6" w:rsidR="00B736CA">
        <w:rPr>
          <w:sz w:val="24"/>
          <w:szCs w:val="24"/>
        </w:rPr>
        <w:t xml:space="preserve"> document</w:t>
      </w:r>
      <w:r w:rsidRPr="001238E6" w:rsidR="00B60D61">
        <w:rPr>
          <w:sz w:val="24"/>
          <w:szCs w:val="24"/>
        </w:rPr>
        <w:t xml:space="preserve"> </w:t>
      </w:r>
      <w:r w:rsidRPr="001238E6" w:rsidR="00B736CA">
        <w:rPr>
          <w:sz w:val="24"/>
          <w:szCs w:val="24"/>
        </w:rPr>
        <w:t xml:space="preserve">their compliance with the </w:t>
      </w:r>
      <w:r w:rsidRPr="001238E6" w:rsidR="00E72F55">
        <w:rPr>
          <w:sz w:val="24"/>
          <w:szCs w:val="24"/>
        </w:rPr>
        <w:t>affirmative action requirements</w:t>
      </w:r>
      <w:r w:rsidRPr="001238E6" w:rsidR="003E3841">
        <w:rPr>
          <w:sz w:val="24"/>
          <w:szCs w:val="24"/>
        </w:rPr>
        <w:t xml:space="preserve"> </w:t>
      </w:r>
      <w:r w:rsidRPr="001238E6" w:rsidR="00985B7E">
        <w:rPr>
          <w:sz w:val="24"/>
          <w:szCs w:val="24"/>
        </w:rPr>
        <w:t xml:space="preserve">set forth </w:t>
      </w:r>
      <w:r w:rsidRPr="001238E6" w:rsidR="003E3841">
        <w:rPr>
          <w:sz w:val="24"/>
          <w:szCs w:val="24"/>
        </w:rPr>
        <w:t xml:space="preserve">in </w:t>
      </w:r>
      <w:r w:rsidRPr="001238E6" w:rsidR="00985B7E">
        <w:rPr>
          <w:sz w:val="24"/>
          <w:szCs w:val="24"/>
        </w:rPr>
        <w:t>41 CFR 60-</w:t>
      </w:r>
      <w:r w:rsidRPr="001238E6" w:rsidR="00CF4427">
        <w:rPr>
          <w:sz w:val="24"/>
          <w:szCs w:val="24"/>
        </w:rPr>
        <w:t>741</w:t>
      </w:r>
      <w:r w:rsidRPr="001238E6" w:rsidR="00643BBA">
        <w:rPr>
          <w:sz w:val="24"/>
          <w:szCs w:val="24"/>
        </w:rPr>
        <w:t>, Subpart C</w:t>
      </w:r>
      <w:r w:rsidRPr="001238E6" w:rsidR="00CF4427">
        <w:rPr>
          <w:sz w:val="24"/>
          <w:szCs w:val="24"/>
        </w:rPr>
        <w:t>.</w:t>
      </w:r>
      <w:r>
        <w:rPr>
          <w:rStyle w:val="FootnoteReference"/>
          <w:sz w:val="24"/>
          <w:szCs w:val="24"/>
          <w:vertAlign w:val="superscript"/>
        </w:rPr>
        <w:footnoteReference w:id="7"/>
      </w:r>
    </w:p>
    <w:p w:rsidR="006B0EEC" w:rsidRPr="001238E6" w:rsidP="003F0DA7" w14:paraId="1039D8FD" w14:textId="77777777">
      <w:pPr>
        <w:tabs>
          <w:tab w:val="left" w:pos="-720"/>
          <w:tab w:val="left" w:pos="0"/>
        </w:tabs>
        <w:rPr>
          <w:sz w:val="24"/>
          <w:szCs w:val="24"/>
        </w:rPr>
      </w:pPr>
    </w:p>
    <w:p w:rsidR="005C1010" w:rsidRPr="000C3778" w:rsidP="657BF8E6" w14:paraId="4E0B2413" w14:textId="0FE10136">
      <w:pPr>
        <w:tabs>
          <w:tab w:val="left" w:pos="0"/>
        </w:tabs>
        <w:rPr>
          <w:sz w:val="24"/>
          <w:szCs w:val="24"/>
        </w:rPr>
      </w:pPr>
      <w:r w:rsidRPr="000C3778">
        <w:rPr>
          <w:color w:val="000000"/>
          <w:sz w:val="24"/>
          <w:szCs w:val="24"/>
        </w:rPr>
        <w:t>OFCCP estimates a total of</w:t>
      </w:r>
      <w:r w:rsidRPr="000C3778" w:rsidR="00B97011">
        <w:rPr>
          <w:color w:val="000000"/>
          <w:sz w:val="24"/>
          <w:szCs w:val="24"/>
        </w:rPr>
        <w:t xml:space="preserve"> </w:t>
      </w:r>
      <w:r w:rsidRPr="000C3778" w:rsidR="00101519">
        <w:rPr>
          <w:sz w:val="24"/>
          <w:szCs w:val="24"/>
        </w:rPr>
        <w:t xml:space="preserve">1,501,933 </w:t>
      </w:r>
      <w:r w:rsidRPr="000C3778" w:rsidR="007C1E41">
        <w:rPr>
          <w:color w:val="000000"/>
          <w:sz w:val="24"/>
          <w:szCs w:val="24"/>
        </w:rPr>
        <w:t>burden hours related to the third</w:t>
      </w:r>
      <w:r w:rsidRPr="000C3778" w:rsidR="001238E6">
        <w:rPr>
          <w:color w:val="000000"/>
          <w:sz w:val="24"/>
          <w:szCs w:val="24"/>
        </w:rPr>
        <w:t>-</w:t>
      </w:r>
      <w:r w:rsidRPr="000C3778" w:rsidR="007C1E41">
        <w:rPr>
          <w:color w:val="000000"/>
          <w:sz w:val="24"/>
          <w:szCs w:val="24"/>
        </w:rPr>
        <w:t xml:space="preserve">party disclosure </w:t>
      </w:r>
      <w:r w:rsidRPr="000C3778" w:rsidR="00406101">
        <w:rPr>
          <w:color w:val="000000"/>
          <w:sz w:val="24"/>
          <w:szCs w:val="24"/>
        </w:rPr>
        <w:t xml:space="preserve">requirements covered by this ICR. </w:t>
      </w:r>
      <w:r w:rsidRPr="000C3778" w:rsidR="00B02783">
        <w:rPr>
          <w:sz w:val="24"/>
          <w:szCs w:val="24"/>
        </w:rPr>
        <w:t>T</w:t>
      </w:r>
      <w:r w:rsidRPr="000C3778" w:rsidR="00406101">
        <w:rPr>
          <w:sz w:val="24"/>
          <w:szCs w:val="24"/>
        </w:rPr>
        <w:t>his estimate is based on the average time</w:t>
      </w:r>
      <w:r w:rsidRPr="000C3778" w:rsidR="002D6355">
        <w:rPr>
          <w:sz w:val="24"/>
          <w:szCs w:val="24"/>
        </w:rPr>
        <w:t xml:space="preserve"> it takes</w:t>
      </w:r>
      <w:r w:rsidRPr="000C3778" w:rsidR="00406101">
        <w:rPr>
          <w:sz w:val="24"/>
          <w:szCs w:val="24"/>
        </w:rPr>
        <w:t xml:space="preserve"> </w:t>
      </w:r>
      <w:r w:rsidRPr="000C3778" w:rsidR="00B02783">
        <w:rPr>
          <w:sz w:val="24"/>
          <w:szCs w:val="24"/>
        </w:rPr>
        <w:t xml:space="preserve">for </w:t>
      </w:r>
      <w:r w:rsidRPr="000C3778" w:rsidR="00834203">
        <w:rPr>
          <w:sz w:val="24"/>
          <w:szCs w:val="24"/>
        </w:rPr>
        <w:t>applicants</w:t>
      </w:r>
      <w:r w:rsidRPr="000C3778" w:rsidR="00866440">
        <w:rPr>
          <w:sz w:val="24"/>
          <w:szCs w:val="24"/>
        </w:rPr>
        <w:t xml:space="preserve"> (</w:t>
      </w:r>
      <w:r w:rsidRPr="000C3778" w:rsidR="00105847">
        <w:rPr>
          <w:sz w:val="24"/>
          <w:szCs w:val="24"/>
        </w:rPr>
        <w:t xml:space="preserve">899,790 </w:t>
      </w:r>
      <w:r w:rsidRPr="000C3778" w:rsidR="00866440">
        <w:rPr>
          <w:sz w:val="24"/>
          <w:szCs w:val="24"/>
        </w:rPr>
        <w:t>hours)</w:t>
      </w:r>
      <w:r w:rsidRPr="000C3778" w:rsidR="00834203">
        <w:rPr>
          <w:sz w:val="24"/>
          <w:szCs w:val="24"/>
        </w:rPr>
        <w:t>,</w:t>
      </w:r>
      <w:r>
        <w:rPr>
          <w:rStyle w:val="FootnoteReference"/>
          <w:sz w:val="24"/>
          <w:szCs w:val="24"/>
          <w:vertAlign w:val="superscript"/>
        </w:rPr>
        <w:footnoteReference w:id="8"/>
      </w:r>
      <w:r w:rsidRPr="000C3778" w:rsidR="00834203">
        <w:rPr>
          <w:sz w:val="24"/>
          <w:szCs w:val="24"/>
          <w:vertAlign w:val="superscript"/>
        </w:rPr>
        <w:t xml:space="preserve"> </w:t>
      </w:r>
      <w:r w:rsidRPr="000C3778" w:rsidR="00513A3F">
        <w:rPr>
          <w:sz w:val="24"/>
          <w:szCs w:val="24"/>
        </w:rPr>
        <w:t>employees</w:t>
      </w:r>
      <w:r w:rsidRPr="000C3778" w:rsidR="00DB4D2E">
        <w:rPr>
          <w:sz w:val="24"/>
          <w:szCs w:val="24"/>
        </w:rPr>
        <w:t xml:space="preserve"> (</w:t>
      </w:r>
      <w:r w:rsidRPr="000C3778" w:rsidR="009A6FE3">
        <w:rPr>
          <w:sz w:val="24"/>
          <w:szCs w:val="24"/>
        </w:rPr>
        <w:t>512,165</w:t>
      </w:r>
      <w:r w:rsidRPr="000C3778" w:rsidR="009A6FE3">
        <w:rPr>
          <w:color w:val="FF0000"/>
          <w:sz w:val="24"/>
          <w:szCs w:val="24"/>
        </w:rPr>
        <w:t xml:space="preserve"> </w:t>
      </w:r>
      <w:r w:rsidRPr="000C3778" w:rsidR="00DB4D2E">
        <w:rPr>
          <w:sz w:val="24"/>
          <w:szCs w:val="24"/>
        </w:rPr>
        <w:t>hours</w:t>
      </w:r>
      <w:r w:rsidRPr="000C3778" w:rsidR="00A277BB">
        <w:rPr>
          <w:sz w:val="24"/>
          <w:szCs w:val="24"/>
        </w:rPr>
        <w:t>)</w:t>
      </w:r>
      <w:r w:rsidRPr="000C3778" w:rsidR="00513A3F">
        <w:rPr>
          <w:sz w:val="24"/>
          <w:szCs w:val="24"/>
        </w:rPr>
        <w:t>,</w:t>
      </w:r>
      <w:r>
        <w:rPr>
          <w:rStyle w:val="FootnoteReference"/>
          <w:sz w:val="24"/>
          <w:szCs w:val="24"/>
          <w:vertAlign w:val="superscript"/>
        </w:rPr>
        <w:footnoteReference w:id="9"/>
      </w:r>
      <w:r w:rsidRPr="000C3778" w:rsidR="00513A3F">
        <w:rPr>
          <w:sz w:val="24"/>
          <w:szCs w:val="24"/>
          <w:vertAlign w:val="superscript"/>
        </w:rPr>
        <w:t xml:space="preserve"> </w:t>
      </w:r>
      <w:r w:rsidRPr="000C3778" w:rsidR="00513A3F">
        <w:rPr>
          <w:sz w:val="24"/>
          <w:szCs w:val="24"/>
        </w:rPr>
        <w:t>and contractor</w:t>
      </w:r>
      <w:r w:rsidR="001D1834">
        <w:rPr>
          <w:sz w:val="24"/>
          <w:szCs w:val="24"/>
        </w:rPr>
        <w:t xml:space="preserve"> establishment</w:t>
      </w:r>
      <w:r w:rsidRPr="000C3778" w:rsidR="00513A3F">
        <w:rPr>
          <w:sz w:val="24"/>
          <w:szCs w:val="24"/>
        </w:rPr>
        <w:t>s</w:t>
      </w:r>
      <w:r w:rsidRPr="000C3778" w:rsidR="004B69BD">
        <w:rPr>
          <w:sz w:val="24"/>
          <w:szCs w:val="24"/>
        </w:rPr>
        <w:t xml:space="preserve"> (89,978 hours)</w:t>
      </w:r>
      <w:r>
        <w:rPr>
          <w:rStyle w:val="FootnoteReference"/>
          <w:sz w:val="24"/>
          <w:szCs w:val="24"/>
          <w:vertAlign w:val="superscript"/>
        </w:rPr>
        <w:footnoteReference w:id="10"/>
      </w:r>
      <w:r w:rsidRPr="000C3778" w:rsidR="00406101">
        <w:rPr>
          <w:sz w:val="24"/>
          <w:szCs w:val="24"/>
          <w:vertAlign w:val="superscript"/>
        </w:rPr>
        <w:t xml:space="preserve"> </w:t>
      </w:r>
      <w:r w:rsidRPr="000C3778" w:rsidR="00406101">
        <w:rPr>
          <w:sz w:val="24"/>
          <w:szCs w:val="24"/>
        </w:rPr>
        <w:t xml:space="preserve">to </w:t>
      </w:r>
      <w:r w:rsidRPr="000C3778" w:rsidR="006036F5">
        <w:rPr>
          <w:sz w:val="24"/>
          <w:szCs w:val="24"/>
        </w:rPr>
        <w:t>make the third</w:t>
      </w:r>
      <w:r w:rsidRPr="000C3778" w:rsidR="00385B4F">
        <w:rPr>
          <w:sz w:val="24"/>
          <w:szCs w:val="24"/>
        </w:rPr>
        <w:t>-</w:t>
      </w:r>
      <w:r w:rsidRPr="000C3778" w:rsidR="006036F5">
        <w:rPr>
          <w:sz w:val="24"/>
          <w:szCs w:val="24"/>
        </w:rPr>
        <w:t xml:space="preserve">party disclosures required in </w:t>
      </w:r>
      <w:r w:rsidRPr="000C3778" w:rsidR="00406101">
        <w:rPr>
          <w:sz w:val="24"/>
          <w:szCs w:val="24"/>
        </w:rPr>
        <w:t>41 CFR 60-741, Subpart C</w:t>
      </w:r>
      <w:r w:rsidRPr="000C3778" w:rsidR="00CA1255">
        <w:rPr>
          <w:sz w:val="24"/>
          <w:szCs w:val="24"/>
        </w:rPr>
        <w:t>.</w:t>
      </w:r>
      <w:r w:rsidRPr="000C3778" w:rsidR="00102EA5">
        <w:rPr>
          <w:sz w:val="24"/>
          <w:szCs w:val="24"/>
        </w:rPr>
        <w:t xml:space="preserve"> Accordingly, the total third-party disclosure burden is </w:t>
      </w:r>
      <w:r w:rsidRPr="000C3778" w:rsidR="00DF7E5F">
        <w:rPr>
          <w:sz w:val="24"/>
          <w:szCs w:val="24"/>
        </w:rPr>
        <w:t>899,790</w:t>
      </w:r>
      <w:r w:rsidRPr="000C3778" w:rsidR="00102EA5">
        <w:rPr>
          <w:sz w:val="24"/>
          <w:szCs w:val="24"/>
        </w:rPr>
        <w:t xml:space="preserve"> hours + </w:t>
      </w:r>
      <w:r w:rsidRPr="000C3778" w:rsidR="000F1746">
        <w:rPr>
          <w:sz w:val="24"/>
          <w:szCs w:val="24"/>
        </w:rPr>
        <w:t>512,165 hours</w:t>
      </w:r>
      <w:r w:rsidRPr="000C3778" w:rsidR="00102EA5">
        <w:rPr>
          <w:sz w:val="24"/>
          <w:szCs w:val="24"/>
        </w:rPr>
        <w:t xml:space="preserve"> + 89,978 hours = </w:t>
      </w:r>
      <w:r w:rsidRPr="000C3778" w:rsidR="00377229">
        <w:rPr>
          <w:sz w:val="24"/>
          <w:szCs w:val="24"/>
        </w:rPr>
        <w:t>1,501,933</w:t>
      </w:r>
      <w:r w:rsidRPr="000C3778" w:rsidR="00102EA5">
        <w:rPr>
          <w:sz w:val="24"/>
          <w:szCs w:val="24"/>
        </w:rPr>
        <w:t xml:space="preserve"> hours.</w:t>
      </w:r>
    </w:p>
    <w:p w:rsidR="005C1010" w:rsidP="00406101" w14:paraId="1E82B0E2" w14:textId="77777777">
      <w:pPr>
        <w:tabs>
          <w:tab w:val="left" w:pos="-720"/>
          <w:tab w:val="left" w:pos="0"/>
        </w:tabs>
        <w:rPr>
          <w:sz w:val="24"/>
          <w:szCs w:val="24"/>
        </w:rPr>
      </w:pPr>
    </w:p>
    <w:p w:rsidR="008B4E54" w:rsidRPr="001238E6" w:rsidP="008B4E54" w14:paraId="05EB14A7" w14:textId="6A8E5763">
      <w:pPr>
        <w:tabs>
          <w:tab w:val="left" w:pos="-720"/>
          <w:tab w:val="left" w:pos="0"/>
        </w:tabs>
        <w:rPr>
          <w:sz w:val="24"/>
          <w:szCs w:val="24"/>
          <w:vertAlign w:val="superscript"/>
        </w:rPr>
      </w:pPr>
      <w:r w:rsidRPr="657BF8E6">
        <w:rPr>
          <w:b/>
          <w:bCs/>
          <w:sz w:val="24"/>
          <w:szCs w:val="24"/>
        </w:rPr>
        <w:t>Total Burden Hours for the ICR:</w:t>
      </w:r>
      <w:r w:rsidRPr="657BF8E6">
        <w:rPr>
          <w:sz w:val="24"/>
          <w:szCs w:val="24"/>
        </w:rPr>
        <w:t xml:space="preserve"> </w:t>
      </w:r>
      <w:r w:rsidRPr="657BF8E6" w:rsidR="005C2156">
        <w:rPr>
          <w:sz w:val="24"/>
          <w:szCs w:val="24"/>
        </w:rPr>
        <w:t>1,</w:t>
      </w:r>
      <w:r w:rsidRPr="657BF8E6" w:rsidR="00BB1B2C">
        <w:rPr>
          <w:sz w:val="24"/>
          <w:szCs w:val="24"/>
        </w:rPr>
        <w:t>838,752</w:t>
      </w:r>
      <w:r w:rsidRPr="657BF8E6" w:rsidR="005C2156">
        <w:rPr>
          <w:sz w:val="24"/>
          <w:szCs w:val="24"/>
        </w:rPr>
        <w:t xml:space="preserve"> </w:t>
      </w:r>
      <w:r w:rsidRPr="657BF8E6">
        <w:rPr>
          <w:sz w:val="24"/>
          <w:szCs w:val="24"/>
        </w:rPr>
        <w:t>hours (</w:t>
      </w:r>
      <w:r w:rsidRPr="657BF8E6" w:rsidR="00877BEA">
        <w:rPr>
          <w:sz w:val="24"/>
          <w:szCs w:val="24"/>
        </w:rPr>
        <w:t>336,819</w:t>
      </w:r>
      <w:r w:rsidRPr="657BF8E6" w:rsidR="000C3778">
        <w:rPr>
          <w:b/>
          <w:bCs/>
          <w:sz w:val="24"/>
          <w:szCs w:val="24"/>
        </w:rPr>
        <w:t xml:space="preserve"> </w:t>
      </w:r>
      <w:r w:rsidRPr="657BF8E6">
        <w:rPr>
          <w:sz w:val="24"/>
          <w:szCs w:val="24"/>
        </w:rPr>
        <w:t xml:space="preserve">recordkeeping hours + </w:t>
      </w:r>
      <w:r w:rsidRPr="657BF8E6" w:rsidR="000C3778">
        <w:rPr>
          <w:sz w:val="24"/>
          <w:szCs w:val="24"/>
        </w:rPr>
        <w:t xml:space="preserve">1,501,933 </w:t>
      </w:r>
      <w:r w:rsidRPr="657BF8E6">
        <w:rPr>
          <w:sz w:val="24"/>
          <w:szCs w:val="24"/>
        </w:rPr>
        <w:t xml:space="preserve">third-party </w:t>
      </w:r>
      <w:r w:rsidRPr="657BF8E6" w:rsidR="00D04427">
        <w:rPr>
          <w:sz w:val="24"/>
          <w:szCs w:val="24"/>
        </w:rPr>
        <w:t xml:space="preserve">disclosure </w:t>
      </w:r>
      <w:r w:rsidRPr="657BF8E6">
        <w:rPr>
          <w:sz w:val="24"/>
          <w:szCs w:val="24"/>
        </w:rPr>
        <w:t>burden hours).</w:t>
      </w:r>
    </w:p>
    <w:p w:rsidR="002B4811" w:rsidP="657BF8E6" w14:paraId="3617D105" w14:textId="77777777">
      <w:pPr>
        <w:tabs>
          <w:tab w:val="left" w:pos="0"/>
        </w:tabs>
        <w:rPr>
          <w:b/>
          <w:bCs/>
          <w:sz w:val="24"/>
          <w:szCs w:val="24"/>
          <w:u w:val="single"/>
        </w:rPr>
      </w:pPr>
    </w:p>
    <w:p w:rsidR="008B4E54" w:rsidRPr="008B4E54" w:rsidP="48728C8C" w14:paraId="5C1843B5" w14:textId="6C6D5781">
      <w:pPr>
        <w:tabs>
          <w:tab w:val="left" w:pos="0"/>
        </w:tabs>
        <w:rPr>
          <w:b/>
          <w:bCs/>
          <w:sz w:val="24"/>
          <w:szCs w:val="24"/>
          <w:u w:val="single"/>
        </w:rPr>
      </w:pPr>
      <w:r w:rsidRPr="48728C8C">
        <w:rPr>
          <w:b/>
          <w:bCs/>
          <w:sz w:val="24"/>
          <w:szCs w:val="24"/>
          <w:u w:val="single"/>
        </w:rPr>
        <w:t>Monetized Burden Hours</w:t>
      </w:r>
    </w:p>
    <w:p w:rsidR="00EE4C93" w:rsidP="00D8589C" w14:paraId="2C71D2A0" w14:textId="77777777">
      <w:pPr>
        <w:rPr>
          <w:sz w:val="24"/>
          <w:szCs w:val="24"/>
        </w:rPr>
      </w:pPr>
    </w:p>
    <w:p w:rsidR="00D8589C" w:rsidRPr="001238E6" w:rsidP="00D8589C" w14:paraId="0D0C4E07" w14:textId="120CA447">
      <w:pPr>
        <w:rPr>
          <w:sz w:val="24"/>
          <w:szCs w:val="24"/>
        </w:rPr>
      </w:pPr>
      <w:r>
        <w:rPr>
          <w:sz w:val="24"/>
          <w:szCs w:val="24"/>
        </w:rPr>
        <w:t xml:space="preserve">Based on the estimated recordkeeping time burden described above, </w:t>
      </w:r>
      <w:r w:rsidRPr="001238E6">
        <w:rPr>
          <w:sz w:val="24"/>
          <w:szCs w:val="24"/>
        </w:rPr>
        <w:t xml:space="preserve">OFCCP estimates the total recordkeeping </w:t>
      </w:r>
      <w:r w:rsidR="008131DC">
        <w:rPr>
          <w:sz w:val="24"/>
          <w:szCs w:val="24"/>
        </w:rPr>
        <w:t>time burden</w:t>
      </w:r>
      <w:r w:rsidRPr="001238E6">
        <w:rPr>
          <w:sz w:val="24"/>
          <w:szCs w:val="24"/>
        </w:rPr>
        <w:t xml:space="preserve"> </w:t>
      </w:r>
      <w:r w:rsidRPr="001238E6" w:rsidR="001E7BE0">
        <w:rPr>
          <w:sz w:val="24"/>
          <w:szCs w:val="24"/>
        </w:rPr>
        <w:t>translate</w:t>
      </w:r>
      <w:r w:rsidR="00F33138">
        <w:rPr>
          <w:sz w:val="24"/>
          <w:szCs w:val="24"/>
        </w:rPr>
        <w:t>s</w:t>
      </w:r>
      <w:r w:rsidRPr="001238E6">
        <w:rPr>
          <w:sz w:val="24"/>
          <w:szCs w:val="24"/>
        </w:rPr>
        <w:t xml:space="preserve"> to approximately </w:t>
      </w:r>
      <w:r w:rsidRPr="009B67A2" w:rsidR="00C92667">
        <w:rPr>
          <w:sz w:val="24"/>
          <w:szCs w:val="24"/>
        </w:rPr>
        <w:t>$</w:t>
      </w:r>
      <w:r w:rsidRPr="00A75928" w:rsidR="00A75928">
        <w:rPr>
          <w:sz w:val="24"/>
          <w:szCs w:val="24"/>
        </w:rPr>
        <w:t>29</w:t>
      </w:r>
      <w:r w:rsidR="00A75928">
        <w:rPr>
          <w:sz w:val="24"/>
          <w:szCs w:val="24"/>
        </w:rPr>
        <w:t>,</w:t>
      </w:r>
      <w:r w:rsidRPr="00A75928" w:rsidR="00A75928">
        <w:rPr>
          <w:sz w:val="24"/>
          <w:szCs w:val="24"/>
        </w:rPr>
        <w:t>084</w:t>
      </w:r>
      <w:r w:rsidR="00A75928">
        <w:rPr>
          <w:sz w:val="24"/>
          <w:szCs w:val="24"/>
        </w:rPr>
        <w:t>,</w:t>
      </w:r>
      <w:r w:rsidRPr="00A75928" w:rsidR="00A75928">
        <w:rPr>
          <w:sz w:val="24"/>
          <w:szCs w:val="24"/>
        </w:rPr>
        <w:t>32</w:t>
      </w:r>
      <w:r w:rsidR="00A75928">
        <w:rPr>
          <w:sz w:val="24"/>
          <w:szCs w:val="24"/>
        </w:rPr>
        <w:t>1</w:t>
      </w:r>
      <w:r w:rsidR="00C92667">
        <w:rPr>
          <w:sz w:val="24"/>
          <w:szCs w:val="24"/>
        </w:rPr>
        <w:t xml:space="preserve"> </w:t>
      </w:r>
      <w:r w:rsidR="000C5B90">
        <w:rPr>
          <w:sz w:val="24"/>
          <w:szCs w:val="24"/>
        </w:rPr>
        <w:t xml:space="preserve">in burden costs to </w:t>
      </w:r>
      <w:r w:rsidR="009B67A2">
        <w:rPr>
          <w:sz w:val="24"/>
          <w:szCs w:val="24"/>
        </w:rPr>
        <w:t>contractors (</w:t>
      </w:r>
      <w:r w:rsidR="00C16EF8">
        <w:rPr>
          <w:sz w:val="24"/>
          <w:szCs w:val="24"/>
        </w:rPr>
        <w:t>336,819</w:t>
      </w:r>
      <w:r w:rsidRPr="009B67A2" w:rsidR="00EE0BFB">
        <w:rPr>
          <w:sz w:val="24"/>
          <w:szCs w:val="24"/>
        </w:rPr>
        <w:t xml:space="preserve"> </w:t>
      </w:r>
      <w:r w:rsidRPr="009B67A2" w:rsidR="009B67A2">
        <w:rPr>
          <w:sz w:val="24"/>
          <w:szCs w:val="24"/>
        </w:rPr>
        <w:t>burden hours x $86.35</w:t>
      </w:r>
      <w:r>
        <w:rPr>
          <w:rStyle w:val="FootnoteReference"/>
          <w:sz w:val="24"/>
          <w:szCs w:val="24"/>
          <w:vertAlign w:val="superscript"/>
        </w:rPr>
        <w:footnoteReference w:id="11"/>
      </w:r>
      <w:r w:rsidR="00C06A39">
        <w:rPr>
          <w:sz w:val="24"/>
          <w:szCs w:val="24"/>
        </w:rPr>
        <w:t xml:space="preserve"> = </w:t>
      </w:r>
      <w:r w:rsidRPr="009B67A2" w:rsidR="00C06A39">
        <w:rPr>
          <w:sz w:val="24"/>
          <w:szCs w:val="24"/>
        </w:rPr>
        <w:t>$</w:t>
      </w:r>
      <w:r w:rsidRPr="00A75928" w:rsidR="00C06A39">
        <w:rPr>
          <w:sz w:val="24"/>
          <w:szCs w:val="24"/>
        </w:rPr>
        <w:t>29</w:t>
      </w:r>
      <w:r w:rsidR="00C06A39">
        <w:rPr>
          <w:sz w:val="24"/>
          <w:szCs w:val="24"/>
        </w:rPr>
        <w:t>,</w:t>
      </w:r>
      <w:r w:rsidRPr="00A75928" w:rsidR="00C06A39">
        <w:rPr>
          <w:sz w:val="24"/>
          <w:szCs w:val="24"/>
        </w:rPr>
        <w:t>084</w:t>
      </w:r>
      <w:r w:rsidR="00C06A39">
        <w:rPr>
          <w:sz w:val="24"/>
          <w:szCs w:val="24"/>
        </w:rPr>
        <w:t>,</w:t>
      </w:r>
      <w:r w:rsidRPr="00A75928" w:rsidR="00C06A39">
        <w:rPr>
          <w:sz w:val="24"/>
          <w:szCs w:val="24"/>
        </w:rPr>
        <w:t>32</w:t>
      </w:r>
      <w:r w:rsidR="00C06A39">
        <w:rPr>
          <w:sz w:val="24"/>
          <w:szCs w:val="24"/>
        </w:rPr>
        <w:t>1)</w:t>
      </w:r>
      <w:r w:rsidRPr="001238E6">
        <w:rPr>
          <w:sz w:val="24"/>
          <w:szCs w:val="24"/>
        </w:rPr>
        <w:t xml:space="preserve"> </w:t>
      </w:r>
    </w:p>
    <w:p w:rsidR="00D8589C" w:rsidRPr="00AE4838" w:rsidP="00D8589C" w14:paraId="2C1A1126" w14:textId="77777777">
      <w:pPr>
        <w:ind w:left="720"/>
        <w:rPr>
          <w:sz w:val="24"/>
          <w:szCs w:val="24"/>
        </w:rPr>
      </w:pPr>
    </w:p>
    <w:p w:rsidR="00057EAD" w:rsidP="00D8589C" w14:paraId="6C61DA19" w14:textId="276696E3">
      <w:pPr>
        <w:rPr>
          <w:sz w:val="24"/>
          <w:szCs w:val="24"/>
        </w:rPr>
      </w:pPr>
      <w:r>
        <w:rPr>
          <w:sz w:val="24"/>
          <w:szCs w:val="24"/>
        </w:rPr>
        <w:t>Based on the estimated third-</w:t>
      </w:r>
      <w:r w:rsidR="007B60E9">
        <w:rPr>
          <w:sz w:val="24"/>
          <w:szCs w:val="24"/>
        </w:rPr>
        <w:t>party disclosure</w:t>
      </w:r>
      <w:r>
        <w:rPr>
          <w:sz w:val="24"/>
          <w:szCs w:val="24"/>
        </w:rPr>
        <w:t xml:space="preserve"> time burden described above</w:t>
      </w:r>
      <w:r w:rsidR="007B60E9">
        <w:rPr>
          <w:sz w:val="24"/>
          <w:szCs w:val="24"/>
        </w:rPr>
        <w:t>,</w:t>
      </w:r>
      <w:r w:rsidRPr="00AE4838">
        <w:rPr>
          <w:sz w:val="24"/>
          <w:szCs w:val="24"/>
        </w:rPr>
        <w:t xml:space="preserve"> OFCCP estimates that the total third-party disclosure</w:t>
      </w:r>
      <w:r w:rsidRPr="00AE4838" w:rsidR="001E2C37">
        <w:rPr>
          <w:sz w:val="24"/>
          <w:szCs w:val="24"/>
        </w:rPr>
        <w:t xml:space="preserve"> </w:t>
      </w:r>
      <w:r w:rsidR="008131DC">
        <w:rPr>
          <w:sz w:val="24"/>
          <w:szCs w:val="24"/>
        </w:rPr>
        <w:t xml:space="preserve">time </w:t>
      </w:r>
      <w:r w:rsidR="00DF2C3F">
        <w:rPr>
          <w:sz w:val="24"/>
          <w:szCs w:val="24"/>
        </w:rPr>
        <w:t>burden</w:t>
      </w:r>
      <w:r w:rsidR="00A81A2D">
        <w:rPr>
          <w:sz w:val="24"/>
          <w:szCs w:val="24"/>
        </w:rPr>
        <w:t xml:space="preserve"> </w:t>
      </w:r>
      <w:r w:rsidRPr="00AE4838">
        <w:rPr>
          <w:sz w:val="24"/>
          <w:szCs w:val="24"/>
        </w:rPr>
        <w:t>for</w:t>
      </w:r>
      <w:r w:rsidRPr="00AE4838" w:rsidR="00557573">
        <w:rPr>
          <w:sz w:val="24"/>
          <w:szCs w:val="24"/>
        </w:rPr>
        <w:t xml:space="preserve"> </w:t>
      </w:r>
      <w:r w:rsidR="002E4023">
        <w:rPr>
          <w:sz w:val="24"/>
          <w:szCs w:val="24"/>
        </w:rPr>
        <w:t>employees</w:t>
      </w:r>
      <w:r w:rsidR="00E1762B">
        <w:rPr>
          <w:sz w:val="24"/>
          <w:szCs w:val="24"/>
        </w:rPr>
        <w:t xml:space="preserve"> and </w:t>
      </w:r>
      <w:r w:rsidR="002E4023">
        <w:rPr>
          <w:sz w:val="24"/>
          <w:szCs w:val="24"/>
        </w:rPr>
        <w:t xml:space="preserve">applicants </w:t>
      </w:r>
      <w:r w:rsidR="00A81A2D">
        <w:rPr>
          <w:sz w:val="24"/>
          <w:szCs w:val="24"/>
        </w:rPr>
        <w:t>translate</w:t>
      </w:r>
      <w:r w:rsidR="0051523D">
        <w:rPr>
          <w:sz w:val="24"/>
          <w:szCs w:val="24"/>
        </w:rPr>
        <w:t>s</w:t>
      </w:r>
      <w:r w:rsidR="00A81A2D">
        <w:rPr>
          <w:sz w:val="24"/>
          <w:szCs w:val="24"/>
        </w:rPr>
        <w:t xml:space="preserve"> to </w:t>
      </w:r>
      <w:r w:rsidR="001C74A9">
        <w:rPr>
          <w:sz w:val="24"/>
          <w:szCs w:val="24"/>
        </w:rPr>
        <w:t>approximately</w:t>
      </w:r>
      <w:r w:rsidRPr="00AE4838" w:rsidR="00557573">
        <w:rPr>
          <w:sz w:val="24"/>
          <w:szCs w:val="24"/>
        </w:rPr>
        <w:t xml:space="preserve"> </w:t>
      </w:r>
      <w:r w:rsidR="00FD5D53">
        <w:rPr>
          <w:sz w:val="24"/>
          <w:szCs w:val="24"/>
        </w:rPr>
        <w:t>$</w:t>
      </w:r>
      <w:r w:rsidRPr="00C03945" w:rsidR="00C03945">
        <w:rPr>
          <w:sz w:val="24"/>
          <w:szCs w:val="24"/>
        </w:rPr>
        <w:t>67</w:t>
      </w:r>
      <w:r w:rsidR="00C03945">
        <w:rPr>
          <w:sz w:val="24"/>
          <w:szCs w:val="24"/>
        </w:rPr>
        <w:t>,</w:t>
      </w:r>
      <w:r w:rsidRPr="00C03945" w:rsidR="00C03945">
        <w:rPr>
          <w:sz w:val="24"/>
          <w:szCs w:val="24"/>
        </w:rPr>
        <w:t>844</w:t>
      </w:r>
      <w:r w:rsidR="00C03945">
        <w:rPr>
          <w:sz w:val="24"/>
          <w:szCs w:val="24"/>
        </w:rPr>
        <w:t>,</w:t>
      </w:r>
      <w:r w:rsidRPr="00C03945" w:rsidR="00C03945">
        <w:rPr>
          <w:sz w:val="24"/>
          <w:szCs w:val="24"/>
        </w:rPr>
        <w:t>43</w:t>
      </w:r>
      <w:r w:rsidR="00C03945">
        <w:rPr>
          <w:sz w:val="24"/>
          <w:szCs w:val="24"/>
        </w:rPr>
        <w:t>8</w:t>
      </w:r>
      <w:r w:rsidRPr="00C03945" w:rsidR="00C0394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E13B59">
        <w:rPr>
          <w:sz w:val="24"/>
          <w:szCs w:val="24"/>
        </w:rPr>
        <w:t>[</w:t>
      </w:r>
      <w:r w:rsidRPr="000C3778">
        <w:rPr>
          <w:sz w:val="24"/>
          <w:szCs w:val="24"/>
        </w:rPr>
        <w:t>899,790 hours</w:t>
      </w:r>
      <w:r w:rsidR="00163B1A">
        <w:rPr>
          <w:sz w:val="24"/>
          <w:szCs w:val="24"/>
        </w:rPr>
        <w:t xml:space="preserve"> </w:t>
      </w:r>
      <w:r>
        <w:rPr>
          <w:sz w:val="24"/>
          <w:szCs w:val="24"/>
        </w:rPr>
        <w:t>+ 5</w:t>
      </w:r>
      <w:r w:rsidRPr="000C3778">
        <w:rPr>
          <w:sz w:val="24"/>
          <w:szCs w:val="24"/>
        </w:rPr>
        <w:t>12,165</w:t>
      </w:r>
      <w:r w:rsidR="00163B1A">
        <w:rPr>
          <w:sz w:val="24"/>
          <w:szCs w:val="24"/>
        </w:rPr>
        <w:t xml:space="preserve"> hours</w:t>
      </w:r>
      <w:r w:rsidR="00E13B59">
        <w:rPr>
          <w:sz w:val="24"/>
          <w:szCs w:val="24"/>
        </w:rPr>
        <w:t>]</w:t>
      </w:r>
      <w:r w:rsidR="00163B1A">
        <w:rPr>
          <w:sz w:val="24"/>
          <w:szCs w:val="24"/>
        </w:rPr>
        <w:t xml:space="preserve"> x </w:t>
      </w:r>
      <w:r w:rsidRPr="0090083B" w:rsidR="00C12578">
        <w:rPr>
          <w:sz w:val="24"/>
          <w:szCs w:val="24"/>
        </w:rPr>
        <w:t>$</w:t>
      </w:r>
      <w:r w:rsidRPr="0090083B" w:rsidR="00C12578">
        <w:rPr>
          <w:sz w:val="24"/>
          <w:szCs w:val="28"/>
        </w:rPr>
        <w:t>48.05</w:t>
      </w:r>
      <w:r>
        <w:rPr>
          <w:szCs w:val="24"/>
          <w:vertAlign w:val="superscript"/>
        </w:rPr>
        <w:footnoteReference w:id="12"/>
      </w:r>
      <w:r w:rsidR="00862996">
        <w:rPr>
          <w:sz w:val="24"/>
          <w:szCs w:val="28"/>
        </w:rPr>
        <w:t xml:space="preserve"> = </w:t>
      </w:r>
      <w:r w:rsidR="00862996">
        <w:rPr>
          <w:sz w:val="24"/>
          <w:szCs w:val="24"/>
        </w:rPr>
        <w:t>$</w:t>
      </w:r>
      <w:r w:rsidRPr="00C03945" w:rsidR="00862996">
        <w:rPr>
          <w:sz w:val="24"/>
          <w:szCs w:val="24"/>
        </w:rPr>
        <w:t>67</w:t>
      </w:r>
      <w:r w:rsidR="00862996">
        <w:rPr>
          <w:sz w:val="24"/>
          <w:szCs w:val="24"/>
        </w:rPr>
        <w:t>,</w:t>
      </w:r>
      <w:r w:rsidRPr="00C03945" w:rsidR="00862996">
        <w:rPr>
          <w:sz w:val="24"/>
          <w:szCs w:val="24"/>
        </w:rPr>
        <w:t>844</w:t>
      </w:r>
      <w:r w:rsidR="00862996">
        <w:rPr>
          <w:sz w:val="24"/>
          <w:szCs w:val="24"/>
        </w:rPr>
        <w:t>,</w:t>
      </w:r>
      <w:r w:rsidRPr="00C03945" w:rsidR="00862996">
        <w:rPr>
          <w:sz w:val="24"/>
          <w:szCs w:val="24"/>
        </w:rPr>
        <w:t>43</w:t>
      </w:r>
      <w:r w:rsidR="00862996">
        <w:rPr>
          <w:sz w:val="24"/>
          <w:szCs w:val="24"/>
        </w:rPr>
        <w:t>8</w:t>
      </w:r>
      <w:r w:rsidR="004473AC">
        <w:rPr>
          <w:sz w:val="24"/>
          <w:szCs w:val="24"/>
        </w:rPr>
        <w:t>)</w:t>
      </w:r>
      <w:r w:rsidRPr="0090083B" w:rsidR="00C12578">
        <w:rPr>
          <w:sz w:val="24"/>
          <w:szCs w:val="24"/>
        </w:rPr>
        <w:t>.</w:t>
      </w:r>
      <w:r w:rsidRPr="00FD4B03" w:rsidR="00C12578">
        <w:rPr>
          <w:szCs w:val="24"/>
          <w:vertAlign w:val="superscript"/>
        </w:rPr>
        <w:t xml:space="preserve"> </w:t>
      </w:r>
    </w:p>
    <w:p w:rsidR="00057EAD" w:rsidP="00D8589C" w14:paraId="6459A85F" w14:textId="77777777">
      <w:pPr>
        <w:rPr>
          <w:sz w:val="24"/>
          <w:szCs w:val="24"/>
        </w:rPr>
      </w:pPr>
    </w:p>
    <w:p w:rsidR="00460E34" w:rsidP="00D8589C" w14:paraId="3E42108B" w14:textId="5AB3600F">
      <w:pPr>
        <w:rPr>
          <w:sz w:val="24"/>
          <w:szCs w:val="24"/>
        </w:rPr>
      </w:pPr>
      <w:r>
        <w:rPr>
          <w:sz w:val="24"/>
          <w:szCs w:val="24"/>
        </w:rPr>
        <w:t>OFCCP estimates that the total</w:t>
      </w:r>
      <w:r w:rsidRPr="00AE4838" w:rsidR="007D2085">
        <w:rPr>
          <w:sz w:val="24"/>
          <w:szCs w:val="24"/>
        </w:rPr>
        <w:t xml:space="preserve"> third-party disclosure </w:t>
      </w:r>
      <w:r w:rsidR="00165494">
        <w:rPr>
          <w:sz w:val="24"/>
          <w:szCs w:val="24"/>
        </w:rPr>
        <w:t xml:space="preserve">time </w:t>
      </w:r>
      <w:r w:rsidR="00C258D1">
        <w:rPr>
          <w:sz w:val="24"/>
          <w:szCs w:val="24"/>
        </w:rPr>
        <w:t xml:space="preserve">burden </w:t>
      </w:r>
      <w:r w:rsidRPr="00AE4838" w:rsidR="007D2085">
        <w:rPr>
          <w:sz w:val="24"/>
          <w:szCs w:val="24"/>
        </w:rPr>
        <w:t xml:space="preserve">for </w:t>
      </w:r>
      <w:r w:rsidRPr="00AE4838" w:rsidR="007B09F9">
        <w:rPr>
          <w:sz w:val="24"/>
          <w:szCs w:val="24"/>
        </w:rPr>
        <w:t xml:space="preserve">contractors </w:t>
      </w:r>
      <w:r w:rsidR="00C258D1">
        <w:rPr>
          <w:sz w:val="24"/>
          <w:szCs w:val="24"/>
        </w:rPr>
        <w:t>translate</w:t>
      </w:r>
      <w:r w:rsidR="001D152B">
        <w:rPr>
          <w:sz w:val="24"/>
          <w:szCs w:val="24"/>
        </w:rPr>
        <w:t>s</w:t>
      </w:r>
      <w:r w:rsidR="00C258D1">
        <w:rPr>
          <w:sz w:val="24"/>
          <w:szCs w:val="24"/>
        </w:rPr>
        <w:t xml:space="preserve"> to </w:t>
      </w:r>
      <w:r w:rsidRPr="00AE4838" w:rsidR="007B09F9">
        <w:rPr>
          <w:sz w:val="24"/>
          <w:szCs w:val="24"/>
        </w:rPr>
        <w:t>approximately $</w:t>
      </w:r>
      <w:r w:rsidRPr="00AE4838" w:rsidR="00AE6646">
        <w:rPr>
          <w:sz w:val="24"/>
          <w:szCs w:val="24"/>
        </w:rPr>
        <w:t>7,769,600</w:t>
      </w:r>
      <w:r w:rsidR="00070802">
        <w:rPr>
          <w:sz w:val="24"/>
          <w:szCs w:val="24"/>
        </w:rPr>
        <w:t xml:space="preserve"> in burden costs to contractors (</w:t>
      </w:r>
      <w:r w:rsidRPr="00070802" w:rsidR="00070802">
        <w:rPr>
          <w:sz w:val="24"/>
          <w:szCs w:val="24"/>
        </w:rPr>
        <w:t>89,978 hours x $86.35</w:t>
      </w:r>
      <w:r>
        <w:rPr>
          <w:rStyle w:val="FootnoteReference"/>
          <w:sz w:val="24"/>
          <w:szCs w:val="24"/>
          <w:vertAlign w:val="superscript"/>
        </w:rPr>
        <w:footnoteReference w:id="13"/>
      </w:r>
      <w:r w:rsidR="00C06A39">
        <w:rPr>
          <w:sz w:val="24"/>
          <w:szCs w:val="24"/>
        </w:rPr>
        <w:t xml:space="preserve"> </w:t>
      </w:r>
      <w:r w:rsidR="00862996">
        <w:rPr>
          <w:sz w:val="24"/>
          <w:szCs w:val="24"/>
        </w:rPr>
        <w:t>=</w:t>
      </w:r>
      <w:r w:rsidR="00C06A39">
        <w:rPr>
          <w:sz w:val="24"/>
          <w:szCs w:val="24"/>
        </w:rPr>
        <w:t xml:space="preserve"> </w:t>
      </w:r>
      <w:r w:rsidRPr="00AE4838" w:rsidR="00862996">
        <w:rPr>
          <w:sz w:val="24"/>
          <w:szCs w:val="24"/>
        </w:rPr>
        <w:t>$7,769,600</w:t>
      </w:r>
      <w:r w:rsidR="00070802">
        <w:rPr>
          <w:sz w:val="24"/>
          <w:szCs w:val="24"/>
        </w:rPr>
        <w:t>)</w:t>
      </w:r>
      <w:r w:rsidR="00B628B2">
        <w:rPr>
          <w:sz w:val="24"/>
          <w:szCs w:val="24"/>
        </w:rPr>
        <w:t>.</w:t>
      </w:r>
      <w:r w:rsidRPr="00AE4838" w:rsidR="00AE6646">
        <w:rPr>
          <w:sz w:val="24"/>
          <w:szCs w:val="24"/>
        </w:rPr>
        <w:t xml:space="preserve"> </w:t>
      </w:r>
    </w:p>
    <w:p w:rsidR="00460E34" w:rsidP="00D8589C" w14:paraId="0CBEC797" w14:textId="77777777">
      <w:pPr>
        <w:rPr>
          <w:sz w:val="24"/>
          <w:szCs w:val="24"/>
        </w:rPr>
      </w:pPr>
    </w:p>
    <w:p w:rsidR="00D8589C" w:rsidRPr="000166D1" w:rsidP="002B68E8" w14:paraId="2CC59CCC" w14:textId="43B82382">
      <w:pPr>
        <w:rPr>
          <w:sz w:val="24"/>
          <w:szCs w:val="24"/>
        </w:rPr>
      </w:pPr>
      <w:r w:rsidRPr="00B22887">
        <w:rPr>
          <w:b/>
          <w:bCs/>
          <w:sz w:val="24"/>
          <w:szCs w:val="24"/>
        </w:rPr>
        <w:t xml:space="preserve">Total Monetized </w:t>
      </w:r>
      <w:r w:rsidR="00C10547">
        <w:rPr>
          <w:b/>
          <w:bCs/>
          <w:sz w:val="24"/>
          <w:szCs w:val="24"/>
        </w:rPr>
        <w:t xml:space="preserve">Time </w:t>
      </w:r>
      <w:r w:rsidRPr="00B22887">
        <w:rPr>
          <w:b/>
          <w:bCs/>
          <w:sz w:val="24"/>
          <w:szCs w:val="24"/>
        </w:rPr>
        <w:t>Burden for the ICR</w:t>
      </w:r>
      <w:r>
        <w:rPr>
          <w:sz w:val="24"/>
          <w:szCs w:val="24"/>
        </w:rPr>
        <w:t xml:space="preserve">: </w:t>
      </w:r>
      <w:r w:rsidRPr="000166D1" w:rsidR="000166D1">
        <w:rPr>
          <w:sz w:val="24"/>
          <w:szCs w:val="24"/>
        </w:rPr>
        <w:t>$</w:t>
      </w:r>
      <w:r w:rsidRPr="009A1EB2" w:rsidR="009A1EB2">
        <w:rPr>
          <w:sz w:val="24"/>
          <w:szCs w:val="24"/>
        </w:rPr>
        <w:t>104</w:t>
      </w:r>
      <w:r w:rsidR="009A1EB2">
        <w:rPr>
          <w:sz w:val="24"/>
          <w:szCs w:val="24"/>
        </w:rPr>
        <w:t>,</w:t>
      </w:r>
      <w:r w:rsidRPr="009A1EB2" w:rsidR="009A1EB2">
        <w:rPr>
          <w:sz w:val="24"/>
          <w:szCs w:val="24"/>
        </w:rPr>
        <w:t>698</w:t>
      </w:r>
      <w:r w:rsidR="009A1EB2">
        <w:rPr>
          <w:sz w:val="24"/>
          <w:szCs w:val="24"/>
        </w:rPr>
        <w:t>,</w:t>
      </w:r>
      <w:r w:rsidRPr="009A1EB2" w:rsidR="009A1EB2">
        <w:rPr>
          <w:sz w:val="24"/>
          <w:szCs w:val="24"/>
        </w:rPr>
        <w:t xml:space="preserve">359 </w:t>
      </w:r>
      <w:r w:rsidRPr="000166D1" w:rsidR="000166D1">
        <w:rPr>
          <w:sz w:val="24"/>
          <w:szCs w:val="24"/>
        </w:rPr>
        <w:t>(</w:t>
      </w:r>
      <w:r w:rsidRPr="009B67A2" w:rsidR="00B22887">
        <w:rPr>
          <w:sz w:val="24"/>
          <w:szCs w:val="24"/>
        </w:rPr>
        <w:t>$</w:t>
      </w:r>
      <w:r w:rsidRPr="00A75928" w:rsidR="00C458AE">
        <w:rPr>
          <w:sz w:val="24"/>
          <w:szCs w:val="24"/>
        </w:rPr>
        <w:t>29</w:t>
      </w:r>
      <w:r w:rsidR="00C458AE">
        <w:rPr>
          <w:sz w:val="24"/>
          <w:szCs w:val="24"/>
        </w:rPr>
        <w:t>,</w:t>
      </w:r>
      <w:r w:rsidRPr="00A75928" w:rsidR="00C458AE">
        <w:rPr>
          <w:sz w:val="24"/>
          <w:szCs w:val="24"/>
        </w:rPr>
        <w:t>084</w:t>
      </w:r>
      <w:r w:rsidR="00C458AE">
        <w:rPr>
          <w:sz w:val="24"/>
          <w:szCs w:val="24"/>
        </w:rPr>
        <w:t>,</w:t>
      </w:r>
      <w:r w:rsidRPr="00A75928" w:rsidR="00C458AE">
        <w:rPr>
          <w:sz w:val="24"/>
          <w:szCs w:val="24"/>
        </w:rPr>
        <w:t>32</w:t>
      </w:r>
      <w:r w:rsidR="00C458AE">
        <w:rPr>
          <w:sz w:val="24"/>
          <w:szCs w:val="24"/>
        </w:rPr>
        <w:t>1</w:t>
      </w:r>
      <w:r w:rsidR="00D47D2B">
        <w:rPr>
          <w:sz w:val="24"/>
          <w:szCs w:val="24"/>
        </w:rPr>
        <w:t xml:space="preserve"> recordkeeping costs</w:t>
      </w:r>
      <w:r w:rsidR="00B22887">
        <w:rPr>
          <w:sz w:val="24"/>
          <w:szCs w:val="24"/>
        </w:rPr>
        <w:t xml:space="preserve"> + $</w:t>
      </w:r>
      <w:r w:rsidRPr="00C03945" w:rsidR="00B22887">
        <w:rPr>
          <w:sz w:val="24"/>
          <w:szCs w:val="24"/>
        </w:rPr>
        <w:t>67</w:t>
      </w:r>
      <w:r w:rsidR="00B22887">
        <w:rPr>
          <w:sz w:val="24"/>
          <w:szCs w:val="24"/>
        </w:rPr>
        <w:t>,</w:t>
      </w:r>
      <w:r w:rsidRPr="00C03945" w:rsidR="00B22887">
        <w:rPr>
          <w:sz w:val="24"/>
          <w:szCs w:val="24"/>
        </w:rPr>
        <w:t>844</w:t>
      </w:r>
      <w:r w:rsidR="00B22887">
        <w:rPr>
          <w:sz w:val="24"/>
          <w:szCs w:val="24"/>
        </w:rPr>
        <w:t>,</w:t>
      </w:r>
      <w:r w:rsidRPr="00C03945" w:rsidR="00B22887">
        <w:rPr>
          <w:sz w:val="24"/>
          <w:szCs w:val="24"/>
        </w:rPr>
        <w:t>43</w:t>
      </w:r>
      <w:r w:rsidR="00B22887">
        <w:rPr>
          <w:sz w:val="24"/>
          <w:szCs w:val="24"/>
        </w:rPr>
        <w:t>8</w:t>
      </w:r>
      <w:r w:rsidR="00D47D2B">
        <w:rPr>
          <w:sz w:val="24"/>
          <w:szCs w:val="24"/>
        </w:rPr>
        <w:t xml:space="preserve"> applicant/employee third</w:t>
      </w:r>
      <w:r w:rsidR="001B3D23">
        <w:rPr>
          <w:sz w:val="24"/>
          <w:szCs w:val="24"/>
        </w:rPr>
        <w:t>-</w:t>
      </w:r>
      <w:r w:rsidR="00D47D2B">
        <w:rPr>
          <w:sz w:val="24"/>
          <w:szCs w:val="24"/>
        </w:rPr>
        <w:t xml:space="preserve">party disclosure+ </w:t>
      </w:r>
      <w:r w:rsidRPr="00AE4838" w:rsidR="00D47D2B">
        <w:rPr>
          <w:sz w:val="24"/>
          <w:szCs w:val="24"/>
        </w:rPr>
        <w:t>$7,769,600</w:t>
      </w:r>
      <w:r w:rsidR="00D47D2B">
        <w:rPr>
          <w:sz w:val="24"/>
          <w:szCs w:val="24"/>
        </w:rPr>
        <w:t xml:space="preserve"> </w:t>
      </w:r>
      <w:r w:rsidR="007C51FA">
        <w:rPr>
          <w:sz w:val="24"/>
          <w:szCs w:val="24"/>
        </w:rPr>
        <w:t xml:space="preserve">contractor </w:t>
      </w:r>
      <w:r w:rsidR="00D47D2B">
        <w:rPr>
          <w:sz w:val="24"/>
          <w:szCs w:val="24"/>
        </w:rPr>
        <w:t>third</w:t>
      </w:r>
      <w:r w:rsidR="001B3D23">
        <w:rPr>
          <w:sz w:val="24"/>
          <w:szCs w:val="24"/>
        </w:rPr>
        <w:t>-</w:t>
      </w:r>
      <w:r w:rsidR="00D47D2B">
        <w:rPr>
          <w:sz w:val="24"/>
          <w:szCs w:val="24"/>
        </w:rPr>
        <w:t>party disclosure burden</w:t>
      </w:r>
      <w:r w:rsidR="00C06A39">
        <w:rPr>
          <w:sz w:val="24"/>
          <w:szCs w:val="24"/>
        </w:rPr>
        <w:t xml:space="preserve"> = </w:t>
      </w:r>
      <w:r w:rsidRPr="000166D1" w:rsidR="00C06A39">
        <w:rPr>
          <w:sz w:val="24"/>
          <w:szCs w:val="24"/>
        </w:rPr>
        <w:t>$</w:t>
      </w:r>
      <w:r w:rsidRPr="009A1EB2" w:rsidR="00C06A39">
        <w:rPr>
          <w:sz w:val="24"/>
          <w:szCs w:val="24"/>
        </w:rPr>
        <w:t>104</w:t>
      </w:r>
      <w:r w:rsidR="00C06A39">
        <w:rPr>
          <w:sz w:val="24"/>
          <w:szCs w:val="24"/>
        </w:rPr>
        <w:t>,</w:t>
      </w:r>
      <w:r w:rsidRPr="009A1EB2" w:rsidR="00C06A39">
        <w:rPr>
          <w:sz w:val="24"/>
          <w:szCs w:val="24"/>
        </w:rPr>
        <w:t>698</w:t>
      </w:r>
      <w:r w:rsidR="00C06A39">
        <w:rPr>
          <w:sz w:val="24"/>
          <w:szCs w:val="24"/>
        </w:rPr>
        <w:t>,</w:t>
      </w:r>
      <w:r w:rsidRPr="009A1EB2" w:rsidR="00C06A39">
        <w:rPr>
          <w:sz w:val="24"/>
          <w:szCs w:val="24"/>
        </w:rPr>
        <w:t>359</w:t>
      </w:r>
      <w:r w:rsidR="00D47D2B">
        <w:rPr>
          <w:sz w:val="24"/>
          <w:szCs w:val="24"/>
        </w:rPr>
        <w:t>)</w:t>
      </w:r>
    </w:p>
    <w:p w:rsidR="00FE4781" w:rsidRPr="006C062E" w:rsidP="00D8589C" w14:paraId="6F8D52DC" w14:textId="77777777">
      <w:pPr>
        <w:tabs>
          <w:tab w:val="left" w:pos="-720"/>
        </w:tabs>
        <w:suppressAutoHyphens/>
        <w:ind w:left="720" w:right="994" w:hanging="720"/>
        <w:rPr>
          <w:b/>
          <w:color w:val="000000"/>
          <w:sz w:val="24"/>
          <w:szCs w:val="24"/>
        </w:rPr>
      </w:pPr>
    </w:p>
    <w:p w:rsidR="00D8589C" w:rsidRPr="006C062E" w:rsidP="00D8589C" w14:paraId="341D06B7" w14:textId="77777777">
      <w:pPr>
        <w:pStyle w:val="Heading3"/>
        <w:rPr>
          <w:szCs w:val="24"/>
        </w:rPr>
      </w:pPr>
      <w:r w:rsidRPr="006C062E">
        <w:rPr>
          <w:szCs w:val="24"/>
        </w:rPr>
        <w:t>Information Collection Cost Burden</w:t>
      </w:r>
    </w:p>
    <w:p w:rsidR="00D8589C" w:rsidRPr="006C062E" w:rsidP="00D8589C" w14:paraId="589774B1" w14:textId="77777777">
      <w:pPr>
        <w:tabs>
          <w:tab w:val="left" w:pos="-720"/>
        </w:tabs>
        <w:suppressAutoHyphens/>
        <w:ind w:left="720"/>
        <w:rPr>
          <w:color w:val="000000"/>
          <w:sz w:val="24"/>
          <w:szCs w:val="24"/>
        </w:rPr>
      </w:pPr>
    </w:p>
    <w:p w:rsidR="00D8589C" w:rsidRPr="0092463D" w:rsidP="48728C8C" w14:paraId="45649ED0" w14:textId="1A35893B">
      <w:pPr>
        <w:rPr>
          <w:b/>
          <w:bCs/>
          <w:sz w:val="24"/>
          <w:szCs w:val="24"/>
        </w:rPr>
      </w:pPr>
      <w:r w:rsidRPr="0092463D">
        <w:rPr>
          <w:sz w:val="24"/>
          <w:szCs w:val="24"/>
        </w:rPr>
        <w:t>OFCCP estimates th</w:t>
      </w:r>
      <w:r w:rsidRPr="0092463D" w:rsidR="00DD35C5">
        <w:rPr>
          <w:sz w:val="24"/>
          <w:szCs w:val="24"/>
        </w:rPr>
        <w:t xml:space="preserve">at </w:t>
      </w:r>
      <w:r w:rsidRPr="0092463D">
        <w:rPr>
          <w:sz w:val="24"/>
          <w:szCs w:val="24"/>
        </w:rPr>
        <w:t xml:space="preserve">contractors </w:t>
      </w:r>
      <w:r w:rsidR="00BF0699">
        <w:rPr>
          <w:sz w:val="24"/>
          <w:szCs w:val="24"/>
        </w:rPr>
        <w:t>that</w:t>
      </w:r>
      <w:r w:rsidRPr="0092463D" w:rsidR="00DD35C5">
        <w:rPr>
          <w:sz w:val="24"/>
          <w:szCs w:val="24"/>
        </w:rPr>
        <w:t xml:space="preserve"> use paper-based application systems </w:t>
      </w:r>
      <w:r w:rsidRPr="0092463D">
        <w:rPr>
          <w:sz w:val="24"/>
          <w:szCs w:val="24"/>
        </w:rPr>
        <w:t xml:space="preserve">will have operations and maintenance costs </w:t>
      </w:r>
      <w:r w:rsidRPr="0092463D" w:rsidR="00191A74">
        <w:rPr>
          <w:sz w:val="24"/>
          <w:szCs w:val="24"/>
        </w:rPr>
        <w:t xml:space="preserve">for printing forms. OFCCP estimates </w:t>
      </w:r>
      <w:r w:rsidR="00D24577">
        <w:rPr>
          <w:sz w:val="24"/>
          <w:szCs w:val="24"/>
        </w:rPr>
        <w:t xml:space="preserve">that </w:t>
      </w:r>
      <w:r w:rsidRPr="0092463D" w:rsidR="00191A74">
        <w:rPr>
          <w:sz w:val="24"/>
          <w:szCs w:val="24"/>
        </w:rPr>
        <w:t xml:space="preserve">these costs </w:t>
      </w:r>
      <w:r w:rsidR="00D24577">
        <w:rPr>
          <w:sz w:val="24"/>
          <w:szCs w:val="24"/>
        </w:rPr>
        <w:t xml:space="preserve">will </w:t>
      </w:r>
      <w:r w:rsidRPr="0092463D" w:rsidR="00191A74">
        <w:rPr>
          <w:sz w:val="24"/>
          <w:szCs w:val="24"/>
        </w:rPr>
        <w:t>total</w:t>
      </w:r>
      <w:r w:rsidR="0092463D">
        <w:rPr>
          <w:sz w:val="24"/>
          <w:szCs w:val="24"/>
        </w:rPr>
        <w:t xml:space="preserve"> </w:t>
      </w:r>
      <w:r w:rsidRPr="004C77A7" w:rsidR="0092463D">
        <w:rPr>
          <w:sz w:val="24"/>
          <w:szCs w:val="24"/>
        </w:rPr>
        <w:t>approximately</w:t>
      </w:r>
      <w:r w:rsidRPr="004C77A7" w:rsidR="00191A74">
        <w:rPr>
          <w:sz w:val="24"/>
          <w:szCs w:val="24"/>
        </w:rPr>
        <w:t xml:space="preserve"> </w:t>
      </w:r>
      <w:r w:rsidRPr="004C77A7" w:rsidR="0092463D">
        <w:rPr>
          <w:sz w:val="24"/>
          <w:szCs w:val="24"/>
        </w:rPr>
        <w:t>$</w:t>
      </w:r>
      <w:r w:rsidRPr="008521F2" w:rsidR="008521F2">
        <w:rPr>
          <w:sz w:val="24"/>
          <w:szCs w:val="24"/>
        </w:rPr>
        <w:t>475,085</w:t>
      </w:r>
      <w:r w:rsidRPr="004C77A7" w:rsidR="002F6616">
        <w:rPr>
          <w:sz w:val="24"/>
          <w:szCs w:val="24"/>
        </w:rPr>
        <w:t>.</w:t>
      </w:r>
      <w:r>
        <w:rPr>
          <w:rStyle w:val="FootnoteReference"/>
          <w:sz w:val="24"/>
          <w:szCs w:val="24"/>
          <w:vertAlign w:val="superscript"/>
        </w:rPr>
        <w:footnoteReference w:id="14"/>
      </w:r>
    </w:p>
    <w:p w:rsidR="00D8589C" w:rsidRPr="006C062E" w:rsidP="00D8589C" w14:paraId="47C298FC" w14:textId="77777777">
      <w:pPr>
        <w:tabs>
          <w:tab w:val="left" w:pos="-720"/>
        </w:tabs>
        <w:suppressAutoHyphens/>
        <w:ind w:right="994"/>
        <w:rPr>
          <w:b/>
          <w:color w:val="000000"/>
          <w:sz w:val="24"/>
          <w:szCs w:val="24"/>
        </w:rPr>
      </w:pPr>
    </w:p>
    <w:p w:rsidR="00D8589C" w:rsidRPr="006C062E" w:rsidP="00D8589C" w14:paraId="0F73CF18" w14:textId="77777777">
      <w:pPr>
        <w:pStyle w:val="Heading3"/>
        <w:rPr>
          <w:szCs w:val="24"/>
        </w:rPr>
      </w:pPr>
      <w:r w:rsidRPr="006C062E">
        <w:rPr>
          <w:szCs w:val="24"/>
        </w:rPr>
        <w:t>Cost to Federal Government</w:t>
      </w:r>
    </w:p>
    <w:p w:rsidR="00D8589C" w:rsidRPr="006C062E" w:rsidP="00D8589C" w14:paraId="68DC937F" w14:textId="77777777">
      <w:pPr>
        <w:tabs>
          <w:tab w:val="left" w:pos="-720"/>
        </w:tabs>
        <w:suppressAutoHyphens/>
        <w:ind w:left="720"/>
        <w:rPr>
          <w:color w:val="000000"/>
          <w:sz w:val="24"/>
          <w:szCs w:val="24"/>
        </w:rPr>
      </w:pPr>
    </w:p>
    <w:p w:rsidR="00D8589C" w:rsidRPr="006C062E" w:rsidP="00D8589C" w14:paraId="71136FC9" w14:textId="1E716B1E">
      <w:pPr>
        <w:tabs>
          <w:tab w:val="left" w:pos="-720"/>
        </w:tabs>
        <w:suppressAutoHyphens/>
        <w:rPr>
          <w:color w:val="000000"/>
          <w:sz w:val="24"/>
          <w:szCs w:val="24"/>
        </w:rPr>
      </w:pPr>
      <w:r w:rsidRPr="006C062E">
        <w:rPr>
          <w:sz w:val="24"/>
          <w:szCs w:val="24"/>
        </w:rPr>
        <w:t>OFCCP associates no unique federal costs with this information collection.</w:t>
      </w:r>
      <w:r>
        <w:rPr>
          <w:rStyle w:val="FootnoteReference"/>
          <w:sz w:val="24"/>
          <w:szCs w:val="24"/>
          <w:vertAlign w:val="superscript"/>
        </w:rPr>
        <w:footnoteReference w:id="15"/>
      </w:r>
      <w:r w:rsidRPr="004411A0">
        <w:rPr>
          <w:sz w:val="24"/>
          <w:szCs w:val="24"/>
          <w:vertAlign w:val="superscript"/>
        </w:rPr>
        <w:t xml:space="preserve"> </w:t>
      </w:r>
    </w:p>
    <w:p w:rsidR="00D8589C" w:rsidRPr="006C062E" w:rsidP="00D8589C" w14:paraId="11B46D81" w14:textId="77777777">
      <w:pPr>
        <w:tabs>
          <w:tab w:val="left" w:pos="-720"/>
        </w:tabs>
        <w:suppressAutoHyphens/>
        <w:ind w:right="994"/>
        <w:rPr>
          <w:b/>
          <w:color w:val="000000"/>
          <w:sz w:val="24"/>
          <w:szCs w:val="24"/>
        </w:rPr>
      </w:pPr>
    </w:p>
    <w:p w:rsidR="00D8589C" w:rsidRPr="006C062E" w:rsidP="00D8589C" w14:paraId="51D9AE87" w14:textId="77777777">
      <w:pPr>
        <w:pStyle w:val="Heading3"/>
        <w:rPr>
          <w:szCs w:val="24"/>
        </w:rPr>
      </w:pPr>
      <w:r>
        <w:t>Program Changes or Burden Adjustments</w:t>
      </w:r>
    </w:p>
    <w:p w:rsidR="657BF8E6" w:rsidP="657BF8E6" w14:paraId="69B5988C" w14:textId="47AD2481">
      <w:pPr>
        <w:rPr>
          <w:sz w:val="24"/>
          <w:szCs w:val="24"/>
        </w:rPr>
      </w:pPr>
    </w:p>
    <w:p w:rsidR="00791A63" w:rsidRPr="00C6124B" w:rsidP="00791A63" w14:paraId="2D852BB9" w14:textId="7CE34468">
      <w:pPr>
        <w:rPr>
          <w:sz w:val="24"/>
          <w:szCs w:val="24"/>
        </w:rPr>
      </w:pPr>
      <w:r w:rsidRPr="0027635E">
        <w:rPr>
          <w:sz w:val="24"/>
          <w:szCs w:val="24"/>
        </w:rPr>
        <w:t>The</w:t>
      </w:r>
      <w:r w:rsidRPr="0027635E">
        <w:rPr>
          <w:spacing w:val="-3"/>
          <w:sz w:val="24"/>
          <w:szCs w:val="24"/>
        </w:rPr>
        <w:t xml:space="preserve"> </w:t>
      </w:r>
      <w:r w:rsidRPr="0027635E">
        <w:rPr>
          <w:sz w:val="24"/>
          <w:szCs w:val="24"/>
        </w:rPr>
        <w:t>change</w:t>
      </w:r>
      <w:r w:rsidRPr="0027635E">
        <w:rPr>
          <w:spacing w:val="-3"/>
          <w:sz w:val="24"/>
          <w:szCs w:val="24"/>
        </w:rPr>
        <w:t xml:space="preserve"> </w:t>
      </w:r>
      <w:r w:rsidRPr="0027635E">
        <w:rPr>
          <w:sz w:val="24"/>
          <w:szCs w:val="24"/>
        </w:rPr>
        <w:t>in</w:t>
      </w:r>
      <w:r w:rsidRPr="0027635E">
        <w:rPr>
          <w:spacing w:val="-3"/>
          <w:sz w:val="24"/>
          <w:szCs w:val="24"/>
        </w:rPr>
        <w:t xml:space="preserve"> </w:t>
      </w:r>
      <w:r w:rsidRPr="0027635E">
        <w:rPr>
          <w:sz w:val="24"/>
          <w:szCs w:val="24"/>
        </w:rPr>
        <w:t>burden hours compared to the previous collection is primarily due to changes in the covered universe</w:t>
      </w:r>
      <w:r w:rsidR="0031230C">
        <w:rPr>
          <w:sz w:val="24"/>
          <w:szCs w:val="24"/>
        </w:rPr>
        <w:t xml:space="preserve"> estimate.</w:t>
      </w:r>
    </w:p>
    <w:p w:rsidR="00D8589C" w:rsidRPr="006C062E" w:rsidP="00D8589C" w14:paraId="27094185" w14:textId="77777777">
      <w:pPr>
        <w:tabs>
          <w:tab w:val="left" w:pos="-720"/>
          <w:tab w:val="left" w:pos="0"/>
          <w:tab w:val="left" w:pos="1170"/>
          <w:tab w:val="left" w:pos="1260"/>
        </w:tabs>
        <w:ind w:left="720"/>
        <w:rPr>
          <w:color w:val="000000"/>
          <w:sz w:val="24"/>
          <w:szCs w:val="24"/>
        </w:rPr>
      </w:pPr>
    </w:p>
    <w:p w:rsidR="00D8589C" w:rsidRPr="006C062E" w:rsidP="00D8589C" w14:paraId="64D348F6" w14:textId="77777777">
      <w:pPr>
        <w:pStyle w:val="Heading3"/>
        <w:rPr>
          <w:szCs w:val="24"/>
        </w:rPr>
      </w:pPr>
      <w:r w:rsidRPr="006C062E">
        <w:rPr>
          <w:szCs w:val="24"/>
        </w:rPr>
        <w:t>Publication of Data for Statistical Use</w:t>
      </w:r>
    </w:p>
    <w:p w:rsidR="00D8589C" w:rsidRPr="006C062E" w:rsidP="00D8589C" w14:paraId="18A2FD41" w14:textId="77777777">
      <w:pPr>
        <w:tabs>
          <w:tab w:val="left" w:pos="-720"/>
        </w:tabs>
        <w:suppressAutoHyphens/>
        <w:ind w:right="994"/>
        <w:rPr>
          <w:color w:val="000000"/>
          <w:sz w:val="24"/>
          <w:szCs w:val="24"/>
        </w:rPr>
      </w:pPr>
    </w:p>
    <w:p w:rsidR="00D8589C" w:rsidRPr="006C062E" w:rsidP="00D8589C" w14:paraId="3FDA7211" w14:textId="77777777">
      <w:pPr>
        <w:tabs>
          <w:tab w:val="left" w:pos="-720"/>
        </w:tabs>
        <w:suppressAutoHyphens/>
        <w:rPr>
          <w:color w:val="000000"/>
          <w:sz w:val="24"/>
          <w:szCs w:val="24"/>
        </w:rPr>
      </w:pPr>
      <w:r w:rsidRPr="006C062E">
        <w:rPr>
          <w:color w:val="000000"/>
          <w:sz w:val="24"/>
          <w:szCs w:val="24"/>
        </w:rPr>
        <w:t>There will be no publication of statistical analysis related to this collection.</w:t>
      </w:r>
    </w:p>
    <w:p w:rsidR="00D8589C" w:rsidP="00D8589C" w14:paraId="3A56CCA5" w14:textId="36354471">
      <w:pPr>
        <w:tabs>
          <w:tab w:val="left" w:pos="-720"/>
        </w:tabs>
        <w:suppressAutoHyphens/>
        <w:ind w:right="994"/>
        <w:rPr>
          <w:color w:val="000000"/>
          <w:sz w:val="24"/>
          <w:szCs w:val="24"/>
        </w:rPr>
      </w:pPr>
    </w:p>
    <w:p w:rsidR="00D8589C" w:rsidRPr="006C062E" w:rsidP="00D8589C" w14:paraId="2EF5A0F2" w14:textId="77777777">
      <w:pPr>
        <w:pStyle w:val="Heading3"/>
        <w:rPr>
          <w:szCs w:val="24"/>
        </w:rPr>
      </w:pPr>
      <w:r w:rsidRPr="006C062E">
        <w:rPr>
          <w:szCs w:val="24"/>
        </w:rPr>
        <w:t>Approval Not to Display the Expiration Date</w:t>
      </w:r>
    </w:p>
    <w:p w:rsidR="00D8589C" w:rsidRPr="006C062E" w:rsidP="00D8589C" w14:paraId="202C36F0" w14:textId="77777777">
      <w:pPr>
        <w:tabs>
          <w:tab w:val="left" w:pos="-720"/>
        </w:tabs>
        <w:suppressAutoHyphens/>
        <w:ind w:right="994"/>
        <w:rPr>
          <w:color w:val="000000"/>
          <w:sz w:val="24"/>
          <w:szCs w:val="24"/>
        </w:rPr>
      </w:pPr>
    </w:p>
    <w:p w:rsidR="00D8589C" w:rsidRPr="006C062E" w:rsidP="00D8589C" w14:paraId="5B44528D" w14:textId="0FE7B1E6">
      <w:pPr>
        <w:tabs>
          <w:tab w:val="left" w:pos="-720"/>
        </w:tabs>
        <w:suppressAutoHyphens/>
        <w:rPr>
          <w:color w:val="000000"/>
          <w:sz w:val="24"/>
          <w:szCs w:val="24"/>
        </w:rPr>
      </w:pPr>
      <w:r w:rsidRPr="006C062E">
        <w:rPr>
          <w:color w:val="000000"/>
          <w:sz w:val="24"/>
          <w:szCs w:val="24"/>
        </w:rPr>
        <w:t xml:space="preserve">OFCCP is not seeking </w:t>
      </w:r>
      <w:r w:rsidRPr="006C062E">
        <w:rPr>
          <w:rFonts w:eastAsia="Calibri"/>
          <w:color w:val="000000"/>
          <w:sz w:val="24"/>
          <w:szCs w:val="24"/>
        </w:rPr>
        <w:t>approval to not display the expiration date of this collection</w:t>
      </w:r>
      <w:r w:rsidRPr="006C062E">
        <w:rPr>
          <w:color w:val="000000"/>
          <w:sz w:val="24"/>
          <w:szCs w:val="24"/>
        </w:rPr>
        <w:t>.</w:t>
      </w:r>
    </w:p>
    <w:p w:rsidR="00D8589C" w:rsidRPr="006C062E" w:rsidP="00D8589C" w14:paraId="671FE25B" w14:textId="77777777">
      <w:pPr>
        <w:tabs>
          <w:tab w:val="left" w:pos="-720"/>
        </w:tabs>
        <w:suppressAutoHyphens/>
        <w:ind w:right="994"/>
        <w:rPr>
          <w:color w:val="000000"/>
          <w:sz w:val="24"/>
          <w:szCs w:val="24"/>
        </w:rPr>
      </w:pPr>
    </w:p>
    <w:p w:rsidR="00D8589C" w:rsidRPr="006C062E" w:rsidP="00D8589C" w14:paraId="4D3BB5EB" w14:textId="77777777">
      <w:pPr>
        <w:pStyle w:val="Heading3"/>
        <w:rPr>
          <w:szCs w:val="24"/>
        </w:rPr>
      </w:pPr>
      <w:r w:rsidRPr="006C062E">
        <w:rPr>
          <w:szCs w:val="24"/>
        </w:rPr>
        <w:t>Exceptions to the Certification Statement</w:t>
      </w:r>
    </w:p>
    <w:p w:rsidR="00D8589C" w:rsidRPr="006C062E" w:rsidP="00D8589C" w14:paraId="06BED1B0" w14:textId="77777777">
      <w:pPr>
        <w:tabs>
          <w:tab w:val="left" w:pos="-720"/>
        </w:tabs>
        <w:suppressAutoHyphens/>
        <w:ind w:right="994"/>
        <w:rPr>
          <w:color w:val="000000"/>
          <w:sz w:val="24"/>
          <w:szCs w:val="24"/>
        </w:rPr>
      </w:pPr>
    </w:p>
    <w:p w:rsidR="00D8589C" w:rsidRPr="006C062E" w:rsidP="00D8589C" w14:paraId="617F1431" w14:textId="77777777">
      <w:pPr>
        <w:tabs>
          <w:tab w:val="left" w:pos="-720"/>
          <w:tab w:val="center" w:pos="5680"/>
        </w:tabs>
        <w:suppressAutoHyphens/>
        <w:ind w:right="994"/>
        <w:rPr>
          <w:color w:val="000000"/>
          <w:sz w:val="24"/>
          <w:szCs w:val="24"/>
        </w:rPr>
      </w:pPr>
      <w:r w:rsidRPr="006C062E">
        <w:rPr>
          <w:color w:val="000000"/>
          <w:sz w:val="24"/>
          <w:szCs w:val="24"/>
        </w:rPr>
        <w:t xml:space="preserve">OFCCP </w:t>
      </w:r>
      <w:r w:rsidRPr="006C062E">
        <w:rPr>
          <w:rFonts w:eastAsia="Calibri"/>
          <w:sz w:val="24"/>
          <w:szCs w:val="24"/>
        </w:rPr>
        <w:t>is not seeking exceptions to the certification statement of this collection</w:t>
      </w:r>
      <w:r w:rsidRPr="006C062E">
        <w:rPr>
          <w:color w:val="000000"/>
          <w:sz w:val="24"/>
          <w:szCs w:val="24"/>
        </w:rPr>
        <w:t>.</w:t>
      </w:r>
    </w:p>
    <w:p w:rsidR="00D8589C" w:rsidRPr="006C062E" w:rsidP="00D8589C" w14:paraId="06CE2E68" w14:textId="77777777">
      <w:pPr>
        <w:tabs>
          <w:tab w:val="left" w:pos="-720"/>
          <w:tab w:val="center" w:pos="5680"/>
        </w:tabs>
        <w:suppressAutoHyphens/>
        <w:ind w:left="720" w:right="994"/>
        <w:rPr>
          <w:color w:val="000000"/>
          <w:sz w:val="24"/>
          <w:szCs w:val="24"/>
        </w:rPr>
      </w:pPr>
    </w:p>
    <w:p w:rsidR="00D8589C" w:rsidRPr="006C062E" w:rsidP="00D8589C" w14:paraId="3F8D553C" w14:textId="77777777">
      <w:pPr>
        <w:pStyle w:val="Heading2"/>
        <w:rPr>
          <w:szCs w:val="24"/>
        </w:rPr>
      </w:pPr>
      <w:r w:rsidRPr="006C062E">
        <w:rPr>
          <w:szCs w:val="24"/>
        </w:rPr>
        <w:t>STATISTICAL METHODS</w:t>
      </w:r>
    </w:p>
    <w:p w:rsidR="00D8589C" w:rsidRPr="006C062E" w:rsidP="00D8589C" w14:paraId="2C0BC334" w14:textId="77777777">
      <w:pPr>
        <w:tabs>
          <w:tab w:val="left" w:pos="-720"/>
          <w:tab w:val="center" w:pos="5680"/>
        </w:tabs>
        <w:suppressAutoHyphens/>
        <w:rPr>
          <w:b/>
          <w:color w:val="000000"/>
          <w:sz w:val="24"/>
          <w:szCs w:val="24"/>
        </w:rPr>
      </w:pPr>
    </w:p>
    <w:p w:rsidR="00092823" w:rsidRPr="00104FF1" w:rsidP="00104FF1" w14:paraId="62D854D2" w14:textId="5AFC3190">
      <w:pPr>
        <w:tabs>
          <w:tab w:val="left" w:pos="-720"/>
          <w:tab w:val="center" w:pos="5680"/>
        </w:tabs>
        <w:suppressAutoHyphens/>
        <w:rPr>
          <w:color w:val="000000"/>
          <w:sz w:val="24"/>
          <w:szCs w:val="24"/>
        </w:rPr>
      </w:pPr>
      <w:r w:rsidRPr="006C062E">
        <w:rPr>
          <w:color w:val="000000"/>
          <w:sz w:val="24"/>
          <w:szCs w:val="24"/>
        </w:rPr>
        <w:t>This information collection does not use statistical methods.</w:t>
      </w:r>
    </w:p>
    <w:sectPr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ook w:val="06A0"/>
    </w:tblPr>
    <w:tblGrid>
      <w:gridCol w:w="3120"/>
      <w:gridCol w:w="3120"/>
      <w:gridCol w:w="3120"/>
    </w:tblGrid>
    <w:tr w14:paraId="37B89B70" w14:textId="77777777" w:rsidTr="657BF8E6">
      <w:tblPrEx>
        <w:tblW w:w="0" w:type="auto"/>
        <w:tblLook w:val="06A0"/>
      </w:tblPrEx>
      <w:trPr>
        <w:trHeight w:val="300"/>
      </w:trPr>
      <w:tc>
        <w:tcPr>
          <w:tcW w:w="3120" w:type="dxa"/>
        </w:tcPr>
        <w:p w:rsidR="657BF8E6" w:rsidP="657BF8E6" w14:paraId="392284F1" w14:textId="675D2AC9">
          <w:pPr>
            <w:pStyle w:val="Header"/>
            <w:ind w:left="-115"/>
          </w:pPr>
        </w:p>
      </w:tc>
      <w:tc>
        <w:tcPr>
          <w:tcW w:w="3120" w:type="dxa"/>
        </w:tcPr>
        <w:p w:rsidR="657BF8E6" w:rsidP="657BF8E6" w14:paraId="3BD8A52B" w14:textId="79EAFAC2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1001B0">
            <w:rPr>
              <w:noProof/>
            </w:rPr>
            <w:t>1</w:t>
          </w:r>
          <w:r>
            <w:fldChar w:fldCharType="end"/>
          </w:r>
        </w:p>
      </w:tc>
      <w:tc>
        <w:tcPr>
          <w:tcW w:w="3120" w:type="dxa"/>
        </w:tcPr>
        <w:p w:rsidR="657BF8E6" w:rsidP="657BF8E6" w14:paraId="0FD3A120" w14:textId="0F0710A4">
          <w:pPr>
            <w:pStyle w:val="Header"/>
            <w:ind w:right="-115"/>
            <w:jc w:val="right"/>
          </w:pPr>
        </w:p>
      </w:tc>
    </w:tr>
  </w:tbl>
  <w:p w:rsidR="657BF8E6" w:rsidP="657BF8E6" w14:paraId="77E3EB14" w14:textId="0439B0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B65C9" w:rsidP="00D8589C" w14:paraId="0CDC0A52" w14:textId="77777777">
      <w:r>
        <w:separator/>
      </w:r>
    </w:p>
  </w:footnote>
  <w:footnote w:type="continuationSeparator" w:id="1">
    <w:p w:rsidR="00FB65C9" w:rsidP="00D8589C" w14:paraId="2D3D4A17" w14:textId="77777777">
      <w:r>
        <w:continuationSeparator/>
      </w:r>
    </w:p>
  </w:footnote>
  <w:footnote w:id="2">
    <w:p w:rsidR="00E877A2" w:rsidRPr="00825D23" w:rsidP="00E877A2" w14:paraId="5C7E19D3" w14:textId="310BEFE5">
      <w:pPr>
        <w:pStyle w:val="FootnoteText"/>
      </w:pPr>
      <w:r w:rsidRPr="00825D23">
        <w:rPr>
          <w:rStyle w:val="FootnoteReference"/>
          <w:vertAlign w:val="superscript"/>
        </w:rPr>
        <w:footnoteRef/>
      </w:r>
      <w:r w:rsidRPr="00825D23">
        <w:rPr>
          <w:vertAlign w:val="superscript"/>
        </w:rPr>
        <w:t xml:space="preserve"> </w:t>
      </w:r>
      <w:r w:rsidRPr="00825D23">
        <w:t xml:space="preserve">Hereinafter, all references to “contractor” include </w:t>
      </w:r>
      <w:r w:rsidR="00107DB8">
        <w:t>f</w:t>
      </w:r>
      <w:r w:rsidRPr="00825D23">
        <w:t xml:space="preserve">ederal contractors and subcontractors </w:t>
      </w:r>
      <w:r>
        <w:t xml:space="preserve">covered by Section 503 and its implementing regulations, </w:t>
      </w:r>
      <w:r w:rsidRPr="00825D23">
        <w:t>unless otherwise stated.</w:t>
      </w:r>
      <w:r w:rsidR="00391E8F">
        <w:t xml:space="preserve"> </w:t>
      </w:r>
      <w:r w:rsidRPr="00C33F0C" w:rsidR="00951654">
        <w:rPr>
          <w:i/>
          <w:iCs/>
        </w:rPr>
        <w:t>See</w:t>
      </w:r>
      <w:r w:rsidR="00951654">
        <w:t xml:space="preserve"> </w:t>
      </w:r>
      <w:r w:rsidR="005A29DA">
        <w:t>Jurisdiction</w:t>
      </w:r>
      <w:r w:rsidR="005D4501">
        <w:t>al</w:t>
      </w:r>
      <w:r w:rsidR="00951654">
        <w:t xml:space="preserve"> </w:t>
      </w:r>
      <w:r w:rsidR="005D4501">
        <w:t>T</w:t>
      </w:r>
      <w:r w:rsidR="00951654">
        <w:t>hresholds</w:t>
      </w:r>
      <w:r w:rsidR="00B11846">
        <w:t xml:space="preserve"> at </w:t>
      </w:r>
      <w:r w:rsidRPr="00B11846" w:rsidR="00B11846">
        <w:t>https://www.dol.gov/sites/dolgov/files/OFCCP/PDFs/Jurisdictional-Thresholds-Oct2025-508c.pdf</w:t>
      </w:r>
      <w:r w:rsidR="00B11846">
        <w:t xml:space="preserve">. </w:t>
      </w:r>
      <w:r w:rsidRPr="00825D23" w:rsidR="00391E8F">
        <w:t xml:space="preserve">Effective October 1, 2025, the basic coverage threshold under Section 503 increased from $15,000 to $20,000, in accordance with the inflationary adjustment requirements in 41 U.S.C. 1908. </w:t>
      </w:r>
      <w:r w:rsidRPr="00825D23" w:rsidR="00391E8F">
        <w:rPr>
          <w:i/>
        </w:rPr>
        <w:t>See</w:t>
      </w:r>
      <w:r w:rsidRPr="00825D23" w:rsidR="00391E8F">
        <w:t xml:space="preserve"> Federal Acquisition Regulation: Inflation Adjustment of Acquisition-Related Thresholds, 90 FR 41872 (Aug. 27, 2025).</w:t>
      </w:r>
      <w:r w:rsidRPr="00825D23" w:rsidR="00391E8F">
        <w:rPr>
          <w:color w:val="000000"/>
        </w:rPr>
        <w:t xml:space="preserve"> </w:t>
      </w:r>
      <w:r w:rsidRPr="00825D23" w:rsidR="00391E8F">
        <w:t xml:space="preserve">Contractors with 50 or more employees and a single </w:t>
      </w:r>
      <w:r w:rsidR="008207CF">
        <w:t>f</w:t>
      </w:r>
      <w:r w:rsidRPr="00825D23" w:rsidR="00391E8F">
        <w:t>ederal contract or subcontract of $50,000 or more are also required to develop and maintain an affirmative action program (AAP), where they must implement and document their equal employment opportunity efforts on an annual basis.</w:t>
      </w:r>
    </w:p>
  </w:footnote>
  <w:footnote w:id="3">
    <w:p w:rsidR="00B11EE6" w:rsidP="00B11EE6" w14:paraId="68C0DDE0" w14:textId="3A579E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4459D">
        <w:rPr>
          <w:i/>
          <w:iCs/>
        </w:rPr>
        <w:t>See</w:t>
      </w:r>
      <w:r>
        <w:t xml:space="preserve"> OFCCP Jurisdictional Thresholds at </w:t>
      </w:r>
      <w:r w:rsidRPr="000B3FF7">
        <w:t>https://www.dol.gov/sites/dolgov/files/OFCCP/PDFs/Jurisdictional-Thresholds-Oct2025-508c.pdf</w:t>
      </w:r>
      <w:r>
        <w:t xml:space="preserve">.  </w:t>
      </w:r>
    </w:p>
  </w:footnote>
  <w:footnote w:id="4">
    <w:p w:rsidR="00A50AD9" w14:paraId="389FBC0C" w14:textId="50ED3168">
      <w:pPr>
        <w:pStyle w:val="FootnoteText"/>
      </w:pPr>
      <w:r w:rsidRPr="007B05A8">
        <w:rPr>
          <w:rStyle w:val="FootnoteReference"/>
          <w:vertAlign w:val="superscript"/>
        </w:rPr>
        <w:footnoteRef/>
      </w:r>
      <w:r>
        <w:t xml:space="preserve"> </w:t>
      </w:r>
      <w:r w:rsidR="007B05A8">
        <w:t>Contact information for</w:t>
      </w:r>
      <w:r w:rsidR="00171E1C">
        <w:t xml:space="preserve"> the</w:t>
      </w:r>
      <w:r w:rsidR="00D1475E">
        <w:t xml:space="preserve"> </w:t>
      </w:r>
      <w:r w:rsidR="00171E1C">
        <w:t>h</w:t>
      </w:r>
      <w:r w:rsidR="00D1475E">
        <w:t xml:space="preserve">elp </w:t>
      </w:r>
      <w:r w:rsidR="00171E1C">
        <w:t>d</w:t>
      </w:r>
      <w:r w:rsidR="00D1475E">
        <w:t xml:space="preserve">esk is </w:t>
      </w:r>
      <w:r w:rsidR="007B05A8">
        <w:t>available at</w:t>
      </w:r>
      <w:r w:rsidR="00D1475E">
        <w:t xml:space="preserve"> </w:t>
      </w:r>
      <w:r w:rsidRPr="007B05A8" w:rsidR="007B05A8">
        <w:t>https://www.dol.gov/agencies/ofccp/contact</w:t>
      </w:r>
      <w:r w:rsidR="007B05A8">
        <w:t xml:space="preserve">. </w:t>
      </w:r>
    </w:p>
  </w:footnote>
  <w:footnote w:id="5">
    <w:p w:rsidR="0064240F" w:rsidRPr="00412C8C" w:rsidP="00F7408F" w14:paraId="6E867E63" w14:textId="7406B2CE">
      <w:r w:rsidRPr="00FA682E">
        <w:rPr>
          <w:rStyle w:val="FootnoteReference"/>
          <w:vertAlign w:val="superscript"/>
        </w:rPr>
        <w:footnoteRef/>
      </w:r>
      <w:r w:rsidRPr="00FA682E">
        <w:t xml:space="preserve"> </w:t>
      </w:r>
      <w:r w:rsidRPr="00FA682E" w:rsidR="008872D3">
        <w:rPr>
          <w:color w:val="000000"/>
        </w:rPr>
        <w:t xml:space="preserve">There </w:t>
      </w:r>
      <w:r w:rsidRPr="00FA682E" w:rsidR="003A41EB">
        <w:rPr>
          <w:color w:val="000000"/>
        </w:rPr>
        <w:t>is</w:t>
      </w:r>
      <w:r w:rsidRPr="00FA682E" w:rsidR="008872D3">
        <w:rPr>
          <w:color w:val="000000"/>
        </w:rPr>
        <w:t xml:space="preserve"> no reporting burden associated with this ICR.</w:t>
      </w:r>
      <w:r w:rsidRPr="00FA682E" w:rsidR="00A5633C">
        <w:rPr>
          <w:color w:val="000000"/>
        </w:rPr>
        <w:t xml:space="preserve"> The reporting burden associated with complaint filing is covered in </w:t>
      </w:r>
      <w:r w:rsidRPr="00FA682E" w:rsidR="008872D3">
        <w:rPr>
          <w:color w:val="000000"/>
        </w:rPr>
        <w:t>a separate ICR (</w:t>
      </w:r>
      <w:r w:rsidR="002A2789">
        <w:rPr>
          <w:color w:val="000000"/>
        </w:rPr>
        <w:t xml:space="preserve">OMB # </w:t>
      </w:r>
      <w:r w:rsidRPr="00FA682E" w:rsidR="008872D3">
        <w:rPr>
          <w:color w:val="000000"/>
        </w:rPr>
        <w:t>1250-0002)</w:t>
      </w:r>
      <w:r w:rsidRPr="00FA682E" w:rsidR="00FA682E">
        <w:rPr>
          <w:color w:val="000000"/>
        </w:rPr>
        <w:t xml:space="preserve"> and the </w:t>
      </w:r>
      <w:r w:rsidRPr="000B41AE" w:rsidR="00FA682E">
        <w:rPr>
          <w:color w:val="000000"/>
        </w:rPr>
        <w:t>information collected pursuant to a complaint investigation is</w:t>
      </w:r>
      <w:r w:rsidRPr="000B41AE" w:rsidR="00FA682E">
        <w:t xml:space="preserve"> excluded from the P</w:t>
      </w:r>
      <w:r w:rsidRPr="000B41AE" w:rsidR="00FA2964">
        <w:t xml:space="preserve">aperwork </w:t>
      </w:r>
      <w:r w:rsidRPr="000B41AE" w:rsidR="00FA682E">
        <w:t>R</w:t>
      </w:r>
      <w:r w:rsidRPr="000B41AE" w:rsidR="00FA2964">
        <w:t xml:space="preserve">eduction </w:t>
      </w:r>
      <w:r w:rsidRPr="000B41AE" w:rsidR="00FA682E">
        <w:t>A</w:t>
      </w:r>
      <w:r w:rsidRPr="000B41AE" w:rsidR="00FA2964">
        <w:t>ct</w:t>
      </w:r>
      <w:r w:rsidRPr="000B41AE" w:rsidR="00FA682E">
        <w:t xml:space="preserve"> requirements</w:t>
      </w:r>
      <w:r w:rsidR="00D60239">
        <w:t xml:space="preserve"> </w:t>
      </w:r>
      <w:r w:rsidRPr="000B41AE" w:rsidR="00FA682E">
        <w:t>because</w:t>
      </w:r>
      <w:r w:rsidRPr="00FA682E" w:rsidR="00FA682E">
        <w:t xml:space="preserve"> it is related to an </w:t>
      </w:r>
      <w:r w:rsidR="00967DFE">
        <w:t>“</w:t>
      </w:r>
      <w:r w:rsidRPr="00967DFE" w:rsidR="00967DFE">
        <w:t>administrative action, investigation, or audit involving an agency against specific individuals or entities</w:t>
      </w:r>
      <w:r w:rsidR="00752C5F">
        <w:t xml:space="preserve">.” </w:t>
      </w:r>
      <w:r w:rsidRPr="00D60239" w:rsidR="00D60239">
        <w:t>5 CFR 1320.4(a)(2).</w:t>
      </w:r>
      <w:r w:rsidR="00A5633C">
        <w:rPr>
          <w:color w:val="000000"/>
        </w:rPr>
        <w:t xml:space="preserve"> </w:t>
      </w:r>
    </w:p>
  </w:footnote>
  <w:footnote w:id="6">
    <w:p w:rsidR="00FF7CDE" w:rsidRPr="00FB528B" w:rsidP="00FF7CDE" w14:paraId="08FB0434" w14:textId="71B9DFAE">
      <w:pPr>
        <w:pStyle w:val="FootnoteText"/>
      </w:pPr>
      <w:r w:rsidRPr="00412C8C">
        <w:rPr>
          <w:rStyle w:val="FootnoteReference"/>
          <w:vertAlign w:val="superscript"/>
        </w:rPr>
        <w:footnoteRef/>
      </w:r>
      <w:r w:rsidRPr="00412C8C" w:rsidR="657BF8E6">
        <w:rPr>
          <w:vertAlign w:val="superscript"/>
        </w:rPr>
        <w:t xml:space="preserve"> </w:t>
      </w:r>
      <w:r w:rsidRPr="00BC0920" w:rsidR="657BF8E6">
        <w:t xml:space="preserve">Based on EEO-1 data, </w:t>
      </w:r>
      <w:r w:rsidR="657BF8E6">
        <w:t xml:space="preserve">there are approximately </w:t>
      </w:r>
      <w:r w:rsidRPr="00BC0920" w:rsidR="657BF8E6">
        <w:t>119,971</w:t>
      </w:r>
      <w:r w:rsidR="657BF8E6">
        <w:t xml:space="preserve"> contractor establishments covered by the </w:t>
      </w:r>
      <w:r w:rsidRPr="00BC0920" w:rsidR="657BF8E6">
        <w:t xml:space="preserve">Section 503 regulations and </w:t>
      </w:r>
      <w:r w:rsidRPr="0090083B" w:rsidR="657BF8E6">
        <w:t>89,978</w:t>
      </w:r>
      <w:r w:rsidRPr="00BC0920" w:rsidR="657BF8E6">
        <w:t xml:space="preserve"> of these es</w:t>
      </w:r>
      <w:r w:rsidR="657BF8E6">
        <w:t>tablishments</w:t>
      </w:r>
      <w:r w:rsidRPr="00BC0920" w:rsidR="657BF8E6">
        <w:t xml:space="preserve"> are </w:t>
      </w:r>
      <w:r w:rsidR="657BF8E6">
        <w:t xml:space="preserve">also </w:t>
      </w:r>
      <w:r w:rsidRPr="00BC0920" w:rsidR="657BF8E6">
        <w:t xml:space="preserve">covered by the regulations implementing </w:t>
      </w:r>
      <w:r w:rsidR="657BF8E6">
        <w:t>Vietnam Era Veterans’ Readjustment Assistance Act (</w:t>
      </w:r>
      <w:r w:rsidRPr="00BC0920" w:rsidR="657BF8E6">
        <w:t>VEVRAA</w:t>
      </w:r>
      <w:r w:rsidR="657BF8E6">
        <w:t>), as amended</w:t>
      </w:r>
      <w:r w:rsidRPr="00BC0920" w:rsidR="657BF8E6">
        <w:t>.</w:t>
      </w:r>
      <w:r w:rsidR="657BF8E6">
        <w:t xml:space="preserve"> Where parallel Section 503 and VEVRAA requirements are already accounted for in the VEVRAA ICR (1250-0004), OFCCP bases its estimates on the </w:t>
      </w:r>
      <w:r w:rsidR="0077687B">
        <w:t>universe</w:t>
      </w:r>
      <w:r w:rsidR="657BF8E6">
        <w:t xml:space="preserve"> of Section 503 establishments that are not covered in the VEVRAA ICR estimates (119,971-89,978 = 29,993 covered entities). Where Section 503 includes </w:t>
      </w:r>
      <w:r w:rsidRPr="00616A96" w:rsidR="657BF8E6">
        <w:t xml:space="preserve">different requirements, OFCCP uses an estimate of 119,971 </w:t>
      </w:r>
      <w:r w:rsidRPr="00FB528B" w:rsidR="657BF8E6">
        <w:t>contractor establishments.</w:t>
      </w:r>
    </w:p>
  </w:footnote>
  <w:footnote w:id="7">
    <w:p w:rsidR="00601091" w:rsidRPr="00FB528B" w:rsidP="00601091" w14:paraId="43D804BD" w14:textId="40F0C515">
      <w:pPr>
        <w:pStyle w:val="FootnoteText"/>
      </w:pPr>
      <w:r w:rsidRPr="00FB528B">
        <w:rPr>
          <w:rStyle w:val="FootnoteReference"/>
          <w:vertAlign w:val="superscript"/>
        </w:rPr>
        <w:footnoteRef/>
      </w:r>
      <w:r w:rsidRPr="00FB528B">
        <w:rPr>
          <w:vertAlign w:val="superscript"/>
        </w:rPr>
        <w:t xml:space="preserve"> </w:t>
      </w:r>
      <w:r w:rsidRPr="00FB528B" w:rsidR="00D6476E">
        <w:t>OFCCP estimates</w:t>
      </w:r>
      <w:r w:rsidRPr="00FB528B" w:rsidR="00467398">
        <w:t xml:space="preserve"> it take</w:t>
      </w:r>
      <w:r w:rsidRPr="00FB528B" w:rsidR="001C6B26">
        <w:t>s</w:t>
      </w:r>
      <w:r w:rsidRPr="00FB528B" w:rsidR="00467398">
        <w:t xml:space="preserve"> contractors</w:t>
      </w:r>
      <w:r w:rsidRPr="00FB528B" w:rsidR="00D6476E">
        <w:t xml:space="preserve"> </w:t>
      </w:r>
      <w:r w:rsidRPr="00FB528B" w:rsidR="00467398">
        <w:t xml:space="preserve">1 hour </w:t>
      </w:r>
      <w:r w:rsidRPr="00FB528B" w:rsidR="009211F1">
        <w:t xml:space="preserve">(every 5 years, as provided in the regulations) </w:t>
      </w:r>
      <w:r w:rsidRPr="00FB528B" w:rsidR="00467398">
        <w:t xml:space="preserve">to </w:t>
      </w:r>
      <w:r w:rsidRPr="00FB528B" w:rsidR="004022C9">
        <w:t xml:space="preserve">meet the recordkeeping requirements </w:t>
      </w:r>
      <w:r w:rsidRPr="00FB528B" w:rsidR="002B40A2">
        <w:t>for</w:t>
      </w:r>
      <w:r w:rsidRPr="00FB528B" w:rsidR="004022C9">
        <w:t xml:space="preserve"> 41 CFR 60-74</w:t>
      </w:r>
      <w:r w:rsidRPr="00FB528B" w:rsidR="001C6B26">
        <w:t>1.42(c)</w:t>
      </w:r>
      <w:r w:rsidRPr="00FB528B" w:rsidR="00AE3FAD">
        <w:t xml:space="preserve"> and an additional 2.42 hours to meet the data collection and analyses </w:t>
      </w:r>
      <w:r w:rsidRPr="00FB528B" w:rsidR="00993C28">
        <w:t xml:space="preserve">requirements </w:t>
      </w:r>
      <w:r w:rsidRPr="00FB528B" w:rsidR="00B93DEE">
        <w:t>set forth in 41 CFR 60-741.44(k) and 41 CFR 60-</w:t>
      </w:r>
      <w:r w:rsidRPr="00FB528B" w:rsidR="003D604B">
        <w:t>741.45.</w:t>
      </w:r>
      <w:r w:rsidRPr="00FB528B" w:rsidR="009211F1">
        <w:t xml:space="preserve"> </w:t>
      </w:r>
      <w:r w:rsidRPr="00FB528B" w:rsidR="001C1F79">
        <w:t xml:space="preserve">OFCCP estimates </w:t>
      </w:r>
      <w:r w:rsidRPr="00FB528B" w:rsidR="006E4574">
        <w:t>the</w:t>
      </w:r>
      <w:r w:rsidRPr="00FB528B" w:rsidR="004C0082">
        <w:t xml:space="preserve"> </w:t>
      </w:r>
      <w:r w:rsidRPr="00FB528B" w:rsidR="008A35F8">
        <w:t>time burden for</w:t>
      </w:r>
      <w:r w:rsidRPr="00FB528B" w:rsidR="006E4574">
        <w:t xml:space="preserve"> the</w:t>
      </w:r>
      <w:r w:rsidRPr="00FB528B" w:rsidR="008A35F8">
        <w:t xml:space="preserve"> </w:t>
      </w:r>
      <w:r w:rsidRPr="00FB528B" w:rsidR="00527D59">
        <w:t>other</w:t>
      </w:r>
      <w:r w:rsidRPr="00FB528B" w:rsidR="004C0082">
        <w:t xml:space="preserve"> reco</w:t>
      </w:r>
      <w:r w:rsidRPr="00FB528B" w:rsidR="00197759">
        <w:t>r</w:t>
      </w:r>
      <w:r w:rsidRPr="00FB528B" w:rsidR="004C0082">
        <w:t>dkeeping</w:t>
      </w:r>
      <w:r w:rsidRPr="00FB528B" w:rsidR="00527D59">
        <w:t xml:space="preserve"> requirements </w:t>
      </w:r>
      <w:r w:rsidRPr="00FB528B" w:rsidR="009F12F9">
        <w:t xml:space="preserve">in 41 CFR 60-741, Subpart C </w:t>
      </w:r>
      <w:r w:rsidRPr="00FB528B" w:rsidR="00743F2E">
        <w:t>as</w:t>
      </w:r>
      <w:r w:rsidRPr="00FB528B" w:rsidR="003D140C">
        <w:t xml:space="preserve"> </w:t>
      </w:r>
      <w:r w:rsidRPr="00FB528B" w:rsidR="00AB416C">
        <w:t>.75</w:t>
      </w:r>
      <w:r w:rsidRPr="00FB528B" w:rsidR="00743F2E">
        <w:t xml:space="preserve"> hours </w:t>
      </w:r>
      <w:r w:rsidRPr="00FB528B" w:rsidR="009F12F9">
        <w:t xml:space="preserve">(e.g., </w:t>
      </w:r>
      <w:r w:rsidRPr="00FB528B" w:rsidR="0075505E">
        <w:t xml:space="preserve">maintaining records on </w:t>
      </w:r>
      <w:r w:rsidRPr="00FB528B" w:rsidR="009F12F9">
        <w:t>outreach)</w:t>
      </w:r>
      <w:r w:rsidRPr="00FB528B" w:rsidR="00743F2E">
        <w:t xml:space="preserve">. </w:t>
      </w:r>
      <w:r w:rsidRPr="00FB528B" w:rsidR="00906D43">
        <w:t>T</w:t>
      </w:r>
      <w:r w:rsidRPr="00FB528B" w:rsidR="00BD4E5D">
        <w:t>otal =</w:t>
      </w:r>
      <w:r w:rsidRPr="00FB528B" w:rsidR="009E3491">
        <w:t xml:space="preserve"> </w:t>
      </w:r>
      <w:r w:rsidRPr="00FB528B" w:rsidR="00A52453">
        <w:t xml:space="preserve">119,971 </w:t>
      </w:r>
      <w:r w:rsidRPr="00FB528B" w:rsidR="000E1311">
        <w:t>establishment</w:t>
      </w:r>
      <w:r w:rsidRPr="00FB528B" w:rsidR="00A52453">
        <w:t>s</w:t>
      </w:r>
      <w:r w:rsidRPr="00FB528B" w:rsidR="009E3491">
        <w:t xml:space="preserve"> × </w:t>
      </w:r>
      <w:r w:rsidRPr="00FB528B" w:rsidR="00E20B38">
        <w:t>(</w:t>
      </w:r>
      <w:r w:rsidRPr="00FB528B" w:rsidR="009E3491">
        <w:t>1 hour/5 years</w:t>
      </w:r>
      <w:r w:rsidRPr="00FB528B" w:rsidR="00AA037C">
        <w:t xml:space="preserve"> + 2.42 hours</w:t>
      </w:r>
      <w:r w:rsidRPr="00FB528B" w:rsidR="00E20B38">
        <w:t>)</w:t>
      </w:r>
      <w:r w:rsidRPr="00FB528B" w:rsidR="00661553">
        <w:t xml:space="preserve"> + (29,993 </w:t>
      </w:r>
      <w:r w:rsidRPr="00FB528B" w:rsidR="000E1311">
        <w:t>establishment</w:t>
      </w:r>
      <w:r w:rsidRPr="00FB528B" w:rsidR="00661553">
        <w:t>s x</w:t>
      </w:r>
      <w:r w:rsidRPr="00FB528B" w:rsidR="00E81E12">
        <w:t xml:space="preserve"> </w:t>
      </w:r>
      <w:r w:rsidRPr="00FB528B" w:rsidR="00AA037C">
        <w:t>.75</w:t>
      </w:r>
      <w:r w:rsidRPr="00FB528B" w:rsidR="00113D52">
        <w:t xml:space="preserve"> hours)</w:t>
      </w:r>
      <w:r w:rsidRPr="00FB528B" w:rsidR="009C4A58">
        <w:t xml:space="preserve"> </w:t>
      </w:r>
      <w:r w:rsidRPr="00FB528B" w:rsidR="009E3491">
        <w:t>=</w:t>
      </w:r>
      <w:r w:rsidRPr="00FB528B" w:rsidR="00DE2202">
        <w:t xml:space="preserve"> </w:t>
      </w:r>
      <w:r w:rsidRPr="00FB528B" w:rsidR="00FB270C">
        <w:t>336,81</w:t>
      </w:r>
      <w:r w:rsidRPr="00FB528B" w:rsidR="00C16EF8">
        <w:t>9</w:t>
      </w:r>
      <w:r w:rsidRPr="00FB528B">
        <w:t xml:space="preserve"> hours. </w:t>
      </w:r>
    </w:p>
  </w:footnote>
  <w:footnote w:id="8">
    <w:p w:rsidR="00513A3F" w:rsidRPr="00FB528B" w14:paraId="4E7098E1" w14:textId="01F4A021">
      <w:pPr>
        <w:pStyle w:val="FootnoteText"/>
      </w:pPr>
      <w:r w:rsidRPr="00FB528B">
        <w:rPr>
          <w:rStyle w:val="FootnoteReference"/>
          <w:vertAlign w:val="superscript"/>
        </w:rPr>
        <w:footnoteRef/>
      </w:r>
      <w:r w:rsidRPr="00FB528B">
        <w:t xml:space="preserve"> </w:t>
      </w:r>
      <w:r w:rsidRPr="00FB528B" w:rsidR="004D2731">
        <w:t>OFCCP estimates that there will be an average of 24 applicants per job vacancy for on average 15 vacancies per year.</w:t>
      </w:r>
      <w:r w:rsidRPr="00FB528B" w:rsidR="004D2731">
        <w:rPr>
          <w:sz w:val="24"/>
          <w:szCs w:val="24"/>
        </w:rPr>
        <w:t xml:space="preserve"> </w:t>
      </w:r>
      <w:r w:rsidRPr="00FB528B" w:rsidR="00866440">
        <w:t xml:space="preserve">The total burden </w:t>
      </w:r>
      <w:r w:rsidRPr="00FB528B" w:rsidR="001052DD">
        <w:t>= 29,993</w:t>
      </w:r>
      <w:r w:rsidRPr="00FB528B" w:rsidR="00866440">
        <w:t xml:space="preserve"> </w:t>
      </w:r>
      <w:r w:rsidRPr="00FB528B" w:rsidR="0027008E">
        <w:t>establishments</w:t>
      </w:r>
      <w:r w:rsidRPr="00FB528B" w:rsidR="00866440">
        <w:t xml:space="preserve"> × </w:t>
      </w:r>
      <w:r w:rsidRPr="00FB528B" w:rsidR="00A308DD">
        <w:t>estimated 15</w:t>
      </w:r>
      <w:r w:rsidRPr="00FB528B" w:rsidR="00866440">
        <w:t xml:space="preserve"> vacancies per year × estimated 24 applicants per vacancy</w:t>
      </w:r>
      <w:r w:rsidRPr="00FB528B" w:rsidR="0009708B">
        <w:t xml:space="preserve"> </w:t>
      </w:r>
      <w:r w:rsidRPr="00FB528B" w:rsidR="00866440">
        <w:t>× (5 minutes/60 minutes</w:t>
      </w:r>
      <w:r w:rsidRPr="00FB528B" w:rsidR="001A7BD0">
        <w:t xml:space="preserve"> to complete form</w:t>
      </w:r>
      <w:r w:rsidRPr="00FB528B" w:rsidR="00866440">
        <w:t xml:space="preserve">) = </w:t>
      </w:r>
      <w:r w:rsidRPr="00FB528B" w:rsidR="009426FD">
        <w:t xml:space="preserve">899,790 </w:t>
      </w:r>
      <w:r w:rsidRPr="00FB528B" w:rsidR="00866440">
        <w:t>hours.</w:t>
      </w:r>
    </w:p>
  </w:footnote>
  <w:footnote w:id="9">
    <w:p w:rsidR="00D11C7F" w:rsidRPr="00FB528B" w:rsidP="00D11C7F" w14:paraId="0C0B0269" w14:textId="77CAA75E">
      <w:r w:rsidRPr="00FB528B">
        <w:rPr>
          <w:rStyle w:val="FootnoteReference"/>
          <w:vertAlign w:val="superscript"/>
        </w:rPr>
        <w:footnoteRef/>
      </w:r>
      <w:r w:rsidRPr="00FB528B" w:rsidR="00B97011">
        <w:t xml:space="preserve"> </w:t>
      </w:r>
      <w:r w:rsidRPr="00FB528B" w:rsidR="00C062DA">
        <w:t>Based on EE</w:t>
      </w:r>
      <w:r w:rsidRPr="00FB528B">
        <w:t xml:space="preserve">O-1 data, </w:t>
      </w:r>
      <w:r w:rsidRPr="00FB528B" w:rsidR="00127EBE">
        <w:t>t</w:t>
      </w:r>
      <w:r w:rsidRPr="00FB528B">
        <w:t>here are</w:t>
      </w:r>
      <w:r w:rsidRPr="00FB528B" w:rsidR="00127EBE">
        <w:t xml:space="preserve"> approximately</w:t>
      </w:r>
      <w:r w:rsidRPr="00FB528B">
        <w:t xml:space="preserve"> 30,729,877 employees in the covered universe.</w:t>
      </w:r>
    </w:p>
    <w:p w:rsidR="00513A3F" w:rsidRPr="00FB528B" w:rsidP="009B297B" w14:paraId="7FEC2FBC" w14:textId="6C7F7BBC">
      <w:pPr>
        <w:rPr>
          <w:color w:val="000000"/>
        </w:rPr>
      </w:pPr>
      <w:r w:rsidRPr="00FB528B">
        <w:t xml:space="preserve">OFCCP </w:t>
      </w:r>
      <w:r w:rsidRPr="00FB528B" w:rsidR="00F55E8A">
        <w:t>estimates employees will take 5 minutes to complete the</w:t>
      </w:r>
      <w:r w:rsidRPr="00FB528B" w:rsidR="00F01548">
        <w:t xml:space="preserve"> provided</w:t>
      </w:r>
      <w:r w:rsidRPr="00FB528B" w:rsidR="0025319E">
        <w:t xml:space="preserve"> </w:t>
      </w:r>
      <w:r w:rsidRPr="00FB528B" w:rsidR="00F55E8A">
        <w:t>form</w:t>
      </w:r>
      <w:r w:rsidRPr="00FB528B" w:rsidR="0025319E">
        <w:t>s</w:t>
      </w:r>
      <w:r w:rsidRPr="00FB528B" w:rsidR="002D4E54">
        <w:t xml:space="preserve"> every 5 years as required by the regulations</w:t>
      </w:r>
      <w:r w:rsidRPr="00FB528B" w:rsidR="00F55E8A">
        <w:t xml:space="preserve">. The </w:t>
      </w:r>
      <w:r w:rsidRPr="00FB528B" w:rsidR="002D4E54">
        <w:t xml:space="preserve">total </w:t>
      </w:r>
      <w:r w:rsidRPr="00FB528B" w:rsidR="00F55E8A">
        <w:t xml:space="preserve">burden </w:t>
      </w:r>
      <w:r w:rsidRPr="00FB528B" w:rsidR="002D4E54">
        <w:t>is</w:t>
      </w:r>
      <w:r w:rsidRPr="00FB528B" w:rsidR="00B97011">
        <w:t xml:space="preserve"> </w:t>
      </w:r>
      <w:r w:rsidRPr="00FB528B" w:rsidR="00277B24">
        <w:t>(</w:t>
      </w:r>
      <w:r w:rsidRPr="00FB528B" w:rsidR="00127EBE">
        <w:t>30,729,</w:t>
      </w:r>
      <w:r w:rsidRPr="00FB528B" w:rsidR="00127EBE">
        <w:rPr>
          <w:color w:val="000000"/>
        </w:rPr>
        <w:t>877</w:t>
      </w:r>
      <w:r w:rsidRPr="00FB528B" w:rsidR="004E72FC">
        <w:t xml:space="preserve"> employees</w:t>
      </w:r>
      <w:r w:rsidRPr="00FB528B" w:rsidR="00F55E8A">
        <w:t xml:space="preserve"> × </w:t>
      </w:r>
      <w:r w:rsidRPr="00FB528B" w:rsidR="00277B24">
        <w:t>[</w:t>
      </w:r>
      <w:r w:rsidRPr="00FB528B" w:rsidR="00F55E8A">
        <w:t>5 minutes/60</w:t>
      </w:r>
      <w:r w:rsidRPr="00FB528B" w:rsidR="00B97011">
        <w:t xml:space="preserve"> minutes]</w:t>
      </w:r>
      <w:r w:rsidRPr="00FB528B" w:rsidR="00277B24">
        <w:t>)</w:t>
      </w:r>
      <w:r w:rsidRPr="00FB528B" w:rsidR="00F55E8A">
        <w:t xml:space="preserve"> / 5 years = </w:t>
      </w:r>
      <w:r w:rsidRPr="00FB528B" w:rsidR="00E1533F">
        <w:t>512,16</w:t>
      </w:r>
      <w:r w:rsidRPr="00FB528B" w:rsidR="00470361">
        <w:t>5</w:t>
      </w:r>
      <w:r w:rsidRPr="00FB528B" w:rsidR="00F55E8A">
        <w:rPr>
          <w:color w:val="FF0000"/>
        </w:rPr>
        <w:t xml:space="preserve"> </w:t>
      </w:r>
      <w:r w:rsidRPr="00FB528B" w:rsidR="00F55E8A">
        <w:t>hours.</w:t>
      </w:r>
    </w:p>
  </w:footnote>
  <w:footnote w:id="10">
    <w:p w:rsidR="00C77E7D" w:rsidRPr="00CD3ADE" w:rsidP="0039423C" w14:paraId="36AB09AE" w14:textId="3CA62292">
      <w:r w:rsidRPr="00FB528B">
        <w:rPr>
          <w:rStyle w:val="FootnoteReference"/>
          <w:vertAlign w:val="superscript"/>
        </w:rPr>
        <w:footnoteRef/>
      </w:r>
      <w:r w:rsidRPr="00FB528B" w:rsidR="00AB067C">
        <w:rPr>
          <w:vertAlign w:val="superscript"/>
        </w:rPr>
        <w:t xml:space="preserve"> </w:t>
      </w:r>
      <w:r w:rsidRPr="00FB528B" w:rsidR="00694B92">
        <w:t>Both Section 503 and VEVRAA require contractors to send written notification of the company’s policy related to its affirmative action efforts to all subcontractors, including subcontracting vendors and suppliers</w:t>
      </w:r>
      <w:r w:rsidRPr="00FB528B" w:rsidR="005B07B2">
        <w:t xml:space="preserve">. The </w:t>
      </w:r>
      <w:r w:rsidRPr="00FB528B" w:rsidR="00132B82">
        <w:t>total estimate is 1</w:t>
      </w:r>
      <w:r w:rsidRPr="00FB528B" w:rsidR="00AB067C">
        <w:t xml:space="preserve">19,971 </w:t>
      </w:r>
      <w:r w:rsidRPr="00FB528B" w:rsidR="00EB7051">
        <w:t>covered</w:t>
      </w:r>
      <w:r w:rsidRPr="00FB528B" w:rsidR="00AB067C">
        <w:t xml:space="preserve"> </w:t>
      </w:r>
      <w:r w:rsidRPr="00FB528B" w:rsidR="00BC2867">
        <w:t>entit</w:t>
      </w:r>
      <w:r w:rsidRPr="00FB528B" w:rsidR="00935E48">
        <w:t>ies</w:t>
      </w:r>
      <w:r w:rsidRPr="00FB528B" w:rsidR="00AB067C">
        <w:t xml:space="preserve"> </w:t>
      </w:r>
      <w:r w:rsidRPr="00FB528B" w:rsidR="00AB067C">
        <w:rPr>
          <w:snapToGrid w:val="0"/>
        </w:rPr>
        <w:t>×</w:t>
      </w:r>
      <w:r w:rsidRPr="00FB528B" w:rsidR="00AB067C">
        <w:t>.75 hours</w:t>
      </w:r>
      <w:r w:rsidRPr="00FB528B" w:rsidR="00B70F1B">
        <w:t xml:space="preserve"> </w:t>
      </w:r>
      <w:r w:rsidRPr="00FB528B" w:rsidR="00AB067C">
        <w:t>= 89,978 hours</w:t>
      </w:r>
      <w:r w:rsidRPr="00FB528B" w:rsidR="009515BA">
        <w:t>.</w:t>
      </w:r>
      <w:r w:rsidRPr="00FB528B" w:rsidR="00FC4A55">
        <w:t xml:space="preserve"> This </w:t>
      </w:r>
      <w:r w:rsidRPr="00FB528B" w:rsidR="00475CAC">
        <w:t>estimate</w:t>
      </w:r>
      <w:r w:rsidRPr="00FB528B" w:rsidR="00FC4A55">
        <w:t xml:space="preserve"> covers </w:t>
      </w:r>
      <w:r w:rsidRPr="00FB528B" w:rsidR="00E12D81">
        <w:t xml:space="preserve">the burden for </w:t>
      </w:r>
      <w:r w:rsidRPr="00FB528B" w:rsidR="00475CAC">
        <w:t xml:space="preserve">both </w:t>
      </w:r>
      <w:r w:rsidRPr="00FB528B" w:rsidR="00E12D81">
        <w:t>Section 503 and VEVRAA</w:t>
      </w:r>
      <w:r w:rsidRPr="00FB528B" w:rsidR="00475CAC">
        <w:t xml:space="preserve">, as </w:t>
      </w:r>
      <w:r w:rsidRPr="00FB528B" w:rsidR="00314B16">
        <w:t>contractors generally send one notification</w:t>
      </w:r>
      <w:r w:rsidRPr="00FB528B" w:rsidR="00AB067C">
        <w:t>.</w:t>
      </w:r>
      <w:r w:rsidRPr="00CD3ADE" w:rsidR="008969FA">
        <w:t xml:space="preserve"> </w:t>
      </w:r>
    </w:p>
  </w:footnote>
  <w:footnote w:id="11">
    <w:p w:rsidR="00D8589C" w:rsidRPr="00CD3ADE" w:rsidP="004B71D1" w14:paraId="231A71A4" w14:textId="48DD26FE">
      <w:r w:rsidRPr="00CD3ADE">
        <w:rPr>
          <w:rStyle w:val="FootnoteReference"/>
          <w:vertAlign w:val="superscript"/>
        </w:rPr>
        <w:footnoteRef/>
      </w:r>
      <w:r w:rsidRPr="00CD3ADE">
        <w:rPr>
          <w:vertAlign w:val="superscript"/>
        </w:rPr>
        <w:t xml:space="preserve"> </w:t>
      </w:r>
      <w:r w:rsidRPr="00CD3ADE" w:rsidR="008B4E54">
        <w:rPr>
          <w:i/>
          <w:iCs/>
        </w:rPr>
        <w:t>See</w:t>
      </w:r>
      <w:r w:rsidRPr="00CD3ADE" w:rsidR="008B4E54">
        <w:t xml:space="preserve"> </w:t>
      </w:r>
      <w:r w:rsidRPr="00CD3ADE" w:rsidR="00943B3B">
        <w:t xml:space="preserve">Bureau of Labor Statistics, Occupational Employment Statistics, Occupational Employment and Wages, May 2024, </w:t>
      </w:r>
      <w:r w:rsidRPr="00CD3ADE" w:rsidR="008B4E54">
        <w:t>https://data.bls.gov/oes/#/industry/000000 (</w:t>
      </w:r>
      <w:r w:rsidRPr="00CD3ADE" w:rsidR="00943B3B">
        <w:t>$55.15 per hour for Management Analysts and $77.15 per hour for Human Resource Managers. The calculation uses an 80/20 split between Management Analysts and Human Resource Managers, which equals $59.55 plus 45 percent of wages for fringe benefits. $59.55 x 1.45 = $86.35</w:t>
      </w:r>
      <w:r w:rsidRPr="00CD3ADE" w:rsidR="008B4E54">
        <w:t>)</w:t>
      </w:r>
      <w:r w:rsidRPr="00CD3ADE" w:rsidR="00943B3B">
        <w:t>.</w:t>
      </w:r>
    </w:p>
  </w:footnote>
  <w:footnote w:id="12">
    <w:p w:rsidR="00CD3D85" w:rsidP="00CD3D85" w14:paraId="493F855B" w14:textId="77777777">
      <w:pPr>
        <w:pStyle w:val="FootnoteText"/>
      </w:pPr>
      <w:r>
        <w:rPr>
          <w:rStyle w:val="FootnoteReference"/>
          <w:color w:val="000000" w:themeColor="text1"/>
          <w:vertAlign w:val="superscript"/>
        </w:rPr>
        <w:footnoteRef/>
      </w:r>
      <w:r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</w:rPr>
        <w:t xml:space="preserve">Bureau of Labor Statistics, Employer Costs for Employee Compensation, June 2025, </w:t>
      </w:r>
      <w:r w:rsidRPr="00B46D84">
        <w:rPr>
          <w:color w:val="000000" w:themeColor="text1"/>
        </w:rPr>
        <w:t>https://www.bls.gov/news.release/ecec.nr0.htm</w:t>
      </w:r>
      <w:r>
        <w:rPr>
          <w:rStyle w:val="Hyperlink"/>
          <w:color w:val="000000" w:themeColor="text1"/>
          <w:u w:val="none"/>
        </w:rPr>
        <w:t xml:space="preserve">. </w:t>
      </w:r>
      <w:r>
        <w:rPr>
          <w:color w:val="000000" w:themeColor="text1"/>
        </w:rPr>
        <w:t>$</w:t>
      </w:r>
      <w:r>
        <w:t xml:space="preserve">48.05 per hour for civilian workers (includes wages and salaries + total benefits). </w:t>
      </w:r>
    </w:p>
  </w:footnote>
  <w:footnote w:id="13">
    <w:p w:rsidR="00C06A39" w:rsidRPr="00B628B2" w:rsidP="00C06A39" w14:paraId="20BBA4CC" w14:textId="77777777">
      <w:r w:rsidRPr="00B628B2">
        <w:rPr>
          <w:rStyle w:val="FootnoteReference"/>
          <w:vertAlign w:val="superscript"/>
        </w:rPr>
        <w:footnoteRef/>
      </w:r>
      <w:r w:rsidRPr="00B628B2">
        <w:t xml:space="preserve"> </w:t>
      </w:r>
      <w:r w:rsidRPr="00B628B2">
        <w:rPr>
          <w:i/>
          <w:iCs/>
        </w:rPr>
        <w:t>See</w:t>
      </w:r>
      <w:r>
        <w:t xml:space="preserve"> </w:t>
      </w:r>
      <w:r w:rsidRPr="000915CB">
        <w:t xml:space="preserve">Bureau of Labor Statistics, Occupational Employment Statistics, Occupational Employment and Wages, May 2024, </w:t>
      </w:r>
      <w:r w:rsidRPr="001F7D1E">
        <w:t>https://data.bls.gov/oes/#/industry/000000</w:t>
      </w:r>
      <w:r w:rsidRPr="000915CB">
        <w:t>. $55.15 per hour for Management Analysts and $77.15 per hour for Human Resource Managers. The calculation uses an 80/20 split between Management Analysts and Human Resource Managers, which equals $59.55 plus 45 percent of wages for fringe benefits. $59.55 x 1.45 = $86.35.</w:t>
      </w:r>
    </w:p>
  </w:footnote>
  <w:footnote w:id="14">
    <w:p w:rsidR="002F6616" w14:paraId="174B5A70" w14:textId="57F41F2B">
      <w:pPr>
        <w:pStyle w:val="FootnoteText"/>
      </w:pPr>
      <w:r w:rsidRPr="00261AF3">
        <w:rPr>
          <w:rStyle w:val="FootnoteReference"/>
          <w:vertAlign w:val="superscript"/>
        </w:rPr>
        <w:footnoteRef/>
      </w:r>
      <w:r>
        <w:t xml:space="preserve"> </w:t>
      </w:r>
      <w:r w:rsidRPr="00F97F5D">
        <w:t xml:space="preserve">Assuming </w:t>
      </w:r>
      <w:r w:rsidRPr="00F97F5D" w:rsidR="00DC51B5">
        <w:t>5</w:t>
      </w:r>
      <w:r w:rsidRPr="00F97F5D">
        <w:t>% of co</w:t>
      </w:r>
      <w:r w:rsidR="002570C9">
        <w:t>n</w:t>
      </w:r>
      <w:r w:rsidR="007B581F">
        <w:t>tractor establishments</w:t>
      </w:r>
      <w:r w:rsidRPr="00F97F5D">
        <w:t xml:space="preserve"> will use </w:t>
      </w:r>
      <w:r w:rsidRPr="00F97F5D" w:rsidR="002D54B7">
        <w:t>paper-based applications, the estimate is (.</w:t>
      </w:r>
      <w:r w:rsidRPr="00F97F5D" w:rsidR="00DC51B5">
        <w:t>05</w:t>
      </w:r>
      <w:r w:rsidRPr="00F97F5D" w:rsidR="002D54B7">
        <w:t xml:space="preserve"> x </w:t>
      </w:r>
      <w:r w:rsidR="00E949C0">
        <w:t>119,971</w:t>
      </w:r>
      <w:r w:rsidRPr="00F97F5D" w:rsidR="002D54B7">
        <w:t xml:space="preserve">) x </w:t>
      </w:r>
      <w:r w:rsidRPr="00F97F5D" w:rsidR="00EB0996">
        <w:t>(</w:t>
      </w:r>
      <w:r w:rsidR="005F5E37">
        <w:t>estimated 15</w:t>
      </w:r>
      <w:r w:rsidRPr="00F97F5D" w:rsidR="00EB0996">
        <w:t xml:space="preserve"> vacancies per year × </w:t>
      </w:r>
      <w:r w:rsidR="005F5E37">
        <w:t xml:space="preserve">estimated </w:t>
      </w:r>
      <w:r w:rsidR="0092463D">
        <w:t>24</w:t>
      </w:r>
      <w:r w:rsidRPr="00F97F5D" w:rsidR="00EB0996">
        <w:t xml:space="preserve"> applicants per vacancy)</w:t>
      </w:r>
      <w:r w:rsidRPr="00F97F5D" w:rsidR="0030466A">
        <w:t xml:space="preserve"> x $0.22 (average copying costs </w:t>
      </w:r>
      <w:r w:rsidR="00245F3A">
        <w:t>at</w:t>
      </w:r>
      <w:r w:rsidRPr="00F97F5D" w:rsidR="0030466A">
        <w:t xml:space="preserve"> major </w:t>
      </w:r>
      <w:r w:rsidR="00245F3A">
        <w:t>stores</w:t>
      </w:r>
      <w:r w:rsidRPr="00F97F5D" w:rsidR="0030466A">
        <w:t>)</w:t>
      </w:r>
      <w:r w:rsidR="00F97F5D">
        <w:t xml:space="preserve"> </w:t>
      </w:r>
      <w:r w:rsidRPr="00F97F5D" w:rsidR="0030466A">
        <w:t xml:space="preserve">= </w:t>
      </w:r>
      <w:r w:rsidRPr="00F97F5D" w:rsidR="00A45875">
        <w:t>$</w:t>
      </w:r>
      <w:r w:rsidRPr="006630F9" w:rsidR="00A45875">
        <w:t>475</w:t>
      </w:r>
      <w:r w:rsidR="00A45875">
        <w:t>,</w:t>
      </w:r>
      <w:r w:rsidRPr="006630F9" w:rsidR="00A45875">
        <w:t>085</w:t>
      </w:r>
      <w:r w:rsidR="00B14E25">
        <w:t>.</w:t>
      </w:r>
    </w:p>
  </w:footnote>
  <w:footnote w:id="15">
    <w:p w:rsidR="00C576B0" w:rsidRPr="00FB3B65" w:rsidP="00C576B0" w14:paraId="0572AB3E" w14:textId="0EF91772">
      <w:pPr>
        <w:pStyle w:val="FootnoteText"/>
      </w:pPr>
      <w:r w:rsidRPr="004411A0">
        <w:rPr>
          <w:rStyle w:val="FootnoteReference"/>
          <w:vertAlign w:val="superscript"/>
        </w:rPr>
        <w:footnoteRef/>
      </w:r>
      <w:r w:rsidRPr="004411A0">
        <w:t xml:space="preserve"> </w:t>
      </w:r>
      <w:r w:rsidRPr="00F00AC2" w:rsidR="0031791E">
        <w:rPr>
          <w:color w:val="000000"/>
        </w:rPr>
        <w:t>OFCCP review</w:t>
      </w:r>
      <w:r w:rsidR="008C22CE">
        <w:rPr>
          <w:color w:val="000000"/>
        </w:rPr>
        <w:t>s</w:t>
      </w:r>
      <w:r w:rsidRPr="00F00AC2" w:rsidR="0031791E">
        <w:rPr>
          <w:color w:val="000000"/>
        </w:rPr>
        <w:t xml:space="preserve"> </w:t>
      </w:r>
      <w:r w:rsidR="0031791E">
        <w:rPr>
          <w:color w:val="000000"/>
        </w:rPr>
        <w:t>contractor</w:t>
      </w:r>
      <w:r w:rsidR="00577C1D">
        <w:rPr>
          <w:color w:val="000000"/>
        </w:rPr>
        <w:t>s’</w:t>
      </w:r>
      <w:r w:rsidR="0031791E">
        <w:rPr>
          <w:color w:val="000000"/>
        </w:rPr>
        <w:t xml:space="preserve"> compliance through </w:t>
      </w:r>
      <w:r w:rsidRPr="00F00AC2" w:rsidR="0031791E">
        <w:rPr>
          <w:color w:val="000000"/>
        </w:rPr>
        <w:t>complaint investigations</w:t>
      </w:r>
      <w:r w:rsidR="0031791E">
        <w:rPr>
          <w:color w:val="000000"/>
        </w:rPr>
        <w:t xml:space="preserve"> and</w:t>
      </w:r>
      <w:r w:rsidRPr="00F00AC2" w:rsidR="0031791E">
        <w:rPr>
          <w:color w:val="000000"/>
        </w:rPr>
        <w:t xml:space="preserve"> has a separate ICR (</w:t>
      </w:r>
      <w:r w:rsidR="002A2789">
        <w:rPr>
          <w:color w:val="000000"/>
        </w:rPr>
        <w:t xml:space="preserve">OMB # </w:t>
      </w:r>
      <w:r w:rsidRPr="00F00AC2" w:rsidR="0031791E">
        <w:rPr>
          <w:color w:val="000000"/>
        </w:rPr>
        <w:t>1250-0002) which covers the costs to the federal government.</w:t>
      </w:r>
    </w:p>
    <w:p w:rsidR="00443492" w:rsidRPr="004411A0" w14:paraId="7DA8FD4B" w14:textId="1B200D6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589C" w14:paraId="501F6E2F" w14:textId="3F7820CE">
    <w:pPr>
      <w:pStyle w:val="Header"/>
    </w:pPr>
    <w:r>
      <w:t>DOL OFCCP – Recordkeeping Requirements – Section 503</w:t>
    </w:r>
  </w:p>
  <w:p w:rsidR="00D8589C" w14:paraId="7E8F5F44" w14:textId="20CE7E74">
    <w:pPr>
      <w:pStyle w:val="Header"/>
    </w:pPr>
    <w:r>
      <w:t>OMB Number: 1250-0005</w:t>
    </w:r>
  </w:p>
  <w:p w:rsidR="00D8589C" w14:paraId="2CD5F817" w14:textId="72D6F860">
    <w:pPr>
      <w:pStyle w:val="Header"/>
    </w:pPr>
    <w:r>
      <w:t xml:space="preserve">Expiration Date: </w:t>
    </w:r>
    <w:r w:rsidR="00A46B27">
      <w:t>April 30, 2026</w:t>
    </w:r>
  </w:p>
  <w:p w:rsidR="0083451F" w14:paraId="177CC44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6D4CF5"/>
    <w:multiLevelType w:val="hybridMultilevel"/>
    <w:tmpl w:val="43E043D0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1">
    <w:nsid w:val="1490183F"/>
    <w:multiLevelType w:val="singleLevel"/>
    <w:tmpl w:val="78085D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F41E2E"/>
    <w:multiLevelType w:val="hybridMultilevel"/>
    <w:tmpl w:val="DEAE6474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3">
    <w:nsid w:val="2F272572"/>
    <w:multiLevelType w:val="hybridMultilevel"/>
    <w:tmpl w:val="8BB87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lvlText w:val="%5."/>
      <w:lvlJc w:val="left"/>
      <w:pPr>
        <w:ind w:left="720" w:hanging="360"/>
      </w:pPr>
    </w:lvl>
    <w:lvl w:ilvl="5">
      <w:start w:val="1"/>
      <w:numFmt w:val="decimal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decimal"/>
      <w:lvlText w:val="%8."/>
      <w:lvlJc w:val="left"/>
      <w:pPr>
        <w:ind w:left="720" w:hanging="360"/>
      </w:pPr>
    </w:lvl>
    <w:lvl w:ilvl="8">
      <w:start w:val="1"/>
      <w:numFmt w:val="decimal"/>
      <w:lvlText w:val="%9."/>
      <w:lvlJc w:val="left"/>
      <w:pPr>
        <w:ind w:left="720" w:hanging="360"/>
      </w:pPr>
    </w:lvl>
  </w:abstractNum>
  <w:abstractNum w:abstractNumId="4">
    <w:nsid w:val="308528BE"/>
    <w:multiLevelType w:val="hybridMultilevel"/>
    <w:tmpl w:val="74B4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E36C5C"/>
    <w:multiLevelType w:val="hybridMultilevel"/>
    <w:tmpl w:val="FF8684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C752D"/>
    <w:multiLevelType w:val="hybridMultilevel"/>
    <w:tmpl w:val="0FFA2560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7">
    <w:nsid w:val="4A2D7720"/>
    <w:multiLevelType w:val="hybridMultilevel"/>
    <w:tmpl w:val="B9964450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8">
    <w:nsid w:val="526F31F4"/>
    <w:multiLevelType w:val="hybridMultilevel"/>
    <w:tmpl w:val="31BC77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AE5222E"/>
    <w:multiLevelType w:val="hybridMultilevel"/>
    <w:tmpl w:val="2DD25B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2880" w:hanging="720"/>
      </w:pPr>
      <w:rPr>
        <w:rFonts w:ascii="Times New Roman" w:eastAsia="Times New Roman" w:hAnsi="Times New Roman" w:cs="Times New Roman" w:hint="default"/>
        <w:sz w:val="36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6C873F91"/>
    <w:multiLevelType w:val="hybridMultilevel"/>
    <w:tmpl w:val="726E6576"/>
    <w:lvl w:ilvl="0">
      <w:start w:val="1"/>
      <w:numFmt w:val="upperLetter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  <w:b/>
        <w:color w:val="000000"/>
        <w:sz w:val="24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A065F6"/>
    <w:multiLevelType w:val="hybridMultilevel"/>
    <w:tmpl w:val="366AF390"/>
    <w:lvl w:ilvl="0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C539E4"/>
    <w:multiLevelType w:val="hybridMultilevel"/>
    <w:tmpl w:val="6002A5C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868046">
    <w:abstractNumId w:val="1"/>
  </w:num>
  <w:num w:numId="2" w16cid:durableId="1858690747">
    <w:abstractNumId w:val="8"/>
  </w:num>
  <w:num w:numId="3" w16cid:durableId="1481119061">
    <w:abstractNumId w:val="9"/>
  </w:num>
  <w:num w:numId="4" w16cid:durableId="514268812">
    <w:abstractNumId w:val="4"/>
  </w:num>
  <w:num w:numId="5" w16cid:durableId="3555428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8385341">
    <w:abstractNumId w:val="10"/>
  </w:num>
  <w:num w:numId="7" w16cid:durableId="2081056078">
    <w:abstractNumId w:val="11"/>
  </w:num>
  <w:num w:numId="8" w16cid:durableId="224802277">
    <w:abstractNumId w:val="5"/>
  </w:num>
  <w:num w:numId="9" w16cid:durableId="1156721588">
    <w:abstractNumId w:val="7"/>
  </w:num>
  <w:num w:numId="10" w16cid:durableId="556626687">
    <w:abstractNumId w:val="0"/>
  </w:num>
  <w:num w:numId="11" w16cid:durableId="660963150">
    <w:abstractNumId w:val="2"/>
  </w:num>
  <w:num w:numId="12" w16cid:durableId="27338756">
    <w:abstractNumId w:val="3"/>
  </w:num>
  <w:num w:numId="13" w16cid:durableId="93385401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9C"/>
    <w:rsid w:val="00000825"/>
    <w:rsid w:val="00000A33"/>
    <w:rsid w:val="00001197"/>
    <w:rsid w:val="000019FB"/>
    <w:rsid w:val="00003B4C"/>
    <w:rsid w:val="00006505"/>
    <w:rsid w:val="00006921"/>
    <w:rsid w:val="000071DE"/>
    <w:rsid w:val="000166D1"/>
    <w:rsid w:val="00020C1B"/>
    <w:rsid w:val="00020C8F"/>
    <w:rsid w:val="00022176"/>
    <w:rsid w:val="00022AD3"/>
    <w:rsid w:val="00035B57"/>
    <w:rsid w:val="00037656"/>
    <w:rsid w:val="000400ED"/>
    <w:rsid w:val="00042DDE"/>
    <w:rsid w:val="000444A5"/>
    <w:rsid w:val="000448F7"/>
    <w:rsid w:val="00046FFC"/>
    <w:rsid w:val="00047282"/>
    <w:rsid w:val="00053B40"/>
    <w:rsid w:val="00055AA3"/>
    <w:rsid w:val="00057EAD"/>
    <w:rsid w:val="000620B0"/>
    <w:rsid w:val="00062DEC"/>
    <w:rsid w:val="00063A63"/>
    <w:rsid w:val="00064ED5"/>
    <w:rsid w:val="00066524"/>
    <w:rsid w:val="00066C4F"/>
    <w:rsid w:val="00070448"/>
    <w:rsid w:val="00070802"/>
    <w:rsid w:val="00072F25"/>
    <w:rsid w:val="00073F8D"/>
    <w:rsid w:val="00081489"/>
    <w:rsid w:val="000819C1"/>
    <w:rsid w:val="000836F1"/>
    <w:rsid w:val="000848DD"/>
    <w:rsid w:val="00084A83"/>
    <w:rsid w:val="00090E5D"/>
    <w:rsid w:val="000915CB"/>
    <w:rsid w:val="00092823"/>
    <w:rsid w:val="0009446A"/>
    <w:rsid w:val="0009527E"/>
    <w:rsid w:val="00095411"/>
    <w:rsid w:val="0009639B"/>
    <w:rsid w:val="0009708B"/>
    <w:rsid w:val="000A0144"/>
    <w:rsid w:val="000A0D3A"/>
    <w:rsid w:val="000A1CD9"/>
    <w:rsid w:val="000A1FD9"/>
    <w:rsid w:val="000A45E6"/>
    <w:rsid w:val="000B0E76"/>
    <w:rsid w:val="000B3FF7"/>
    <w:rsid w:val="000B41AE"/>
    <w:rsid w:val="000C3778"/>
    <w:rsid w:val="000C5B90"/>
    <w:rsid w:val="000C63A4"/>
    <w:rsid w:val="000D15EA"/>
    <w:rsid w:val="000D1D54"/>
    <w:rsid w:val="000D33C1"/>
    <w:rsid w:val="000D41B6"/>
    <w:rsid w:val="000D7139"/>
    <w:rsid w:val="000E1311"/>
    <w:rsid w:val="000E31B7"/>
    <w:rsid w:val="000E6D6B"/>
    <w:rsid w:val="000F099F"/>
    <w:rsid w:val="000F1746"/>
    <w:rsid w:val="000F61EC"/>
    <w:rsid w:val="000F6482"/>
    <w:rsid w:val="00100006"/>
    <w:rsid w:val="001001B0"/>
    <w:rsid w:val="00101519"/>
    <w:rsid w:val="00102EA5"/>
    <w:rsid w:val="00104363"/>
    <w:rsid w:val="00104B94"/>
    <w:rsid w:val="00104FF1"/>
    <w:rsid w:val="001052DD"/>
    <w:rsid w:val="00105847"/>
    <w:rsid w:val="00107B1A"/>
    <w:rsid w:val="00107DB8"/>
    <w:rsid w:val="00113171"/>
    <w:rsid w:val="00113D52"/>
    <w:rsid w:val="0011754C"/>
    <w:rsid w:val="001238E6"/>
    <w:rsid w:val="00127EBE"/>
    <w:rsid w:val="0013271E"/>
    <w:rsid w:val="00132B82"/>
    <w:rsid w:val="00133F77"/>
    <w:rsid w:val="00134A73"/>
    <w:rsid w:val="0013574B"/>
    <w:rsid w:val="0013778B"/>
    <w:rsid w:val="00145A0C"/>
    <w:rsid w:val="001466A5"/>
    <w:rsid w:val="00146E01"/>
    <w:rsid w:val="001472C3"/>
    <w:rsid w:val="0015312F"/>
    <w:rsid w:val="00153B6B"/>
    <w:rsid w:val="00154D09"/>
    <w:rsid w:val="00154EE2"/>
    <w:rsid w:val="00155BF0"/>
    <w:rsid w:val="00156592"/>
    <w:rsid w:val="00163B1A"/>
    <w:rsid w:val="001653DF"/>
    <w:rsid w:val="00165494"/>
    <w:rsid w:val="001675D5"/>
    <w:rsid w:val="00171256"/>
    <w:rsid w:val="00171E1C"/>
    <w:rsid w:val="00172880"/>
    <w:rsid w:val="00176C95"/>
    <w:rsid w:val="001778F5"/>
    <w:rsid w:val="0018565E"/>
    <w:rsid w:val="0018632B"/>
    <w:rsid w:val="00191224"/>
    <w:rsid w:val="00191A74"/>
    <w:rsid w:val="0019381C"/>
    <w:rsid w:val="00194FBC"/>
    <w:rsid w:val="00197759"/>
    <w:rsid w:val="00197A16"/>
    <w:rsid w:val="001A1DB7"/>
    <w:rsid w:val="001A3838"/>
    <w:rsid w:val="001A596E"/>
    <w:rsid w:val="001A6718"/>
    <w:rsid w:val="001A701A"/>
    <w:rsid w:val="001A7BD0"/>
    <w:rsid w:val="001B0731"/>
    <w:rsid w:val="001B266A"/>
    <w:rsid w:val="001B3D23"/>
    <w:rsid w:val="001B45BB"/>
    <w:rsid w:val="001B4631"/>
    <w:rsid w:val="001B46EF"/>
    <w:rsid w:val="001C1F79"/>
    <w:rsid w:val="001C394E"/>
    <w:rsid w:val="001C476F"/>
    <w:rsid w:val="001C498C"/>
    <w:rsid w:val="001C6B26"/>
    <w:rsid w:val="001C74A9"/>
    <w:rsid w:val="001D036F"/>
    <w:rsid w:val="001D152B"/>
    <w:rsid w:val="001D1834"/>
    <w:rsid w:val="001E2C37"/>
    <w:rsid w:val="001E3155"/>
    <w:rsid w:val="001E37E9"/>
    <w:rsid w:val="001E6BE3"/>
    <w:rsid w:val="001E7BE0"/>
    <w:rsid w:val="001F13EC"/>
    <w:rsid w:val="001F4DE6"/>
    <w:rsid w:val="001F7D1E"/>
    <w:rsid w:val="00200D56"/>
    <w:rsid w:val="00202C6C"/>
    <w:rsid w:val="00204A10"/>
    <w:rsid w:val="002072CD"/>
    <w:rsid w:val="0021141C"/>
    <w:rsid w:val="00213CE7"/>
    <w:rsid w:val="002159C3"/>
    <w:rsid w:val="0021763B"/>
    <w:rsid w:val="002204DF"/>
    <w:rsid w:val="0022176B"/>
    <w:rsid w:val="00231C38"/>
    <w:rsid w:val="00236F44"/>
    <w:rsid w:val="00240628"/>
    <w:rsid w:val="00240C90"/>
    <w:rsid w:val="002441D0"/>
    <w:rsid w:val="00244723"/>
    <w:rsid w:val="00245F3A"/>
    <w:rsid w:val="002478D9"/>
    <w:rsid w:val="0025319E"/>
    <w:rsid w:val="002539F4"/>
    <w:rsid w:val="00253B76"/>
    <w:rsid w:val="00254F45"/>
    <w:rsid w:val="00255A95"/>
    <w:rsid w:val="0025666B"/>
    <w:rsid w:val="002570C9"/>
    <w:rsid w:val="00261AF3"/>
    <w:rsid w:val="002634A2"/>
    <w:rsid w:val="00264073"/>
    <w:rsid w:val="00264319"/>
    <w:rsid w:val="00266212"/>
    <w:rsid w:val="00266BE2"/>
    <w:rsid w:val="0027008E"/>
    <w:rsid w:val="00271241"/>
    <w:rsid w:val="002720E3"/>
    <w:rsid w:val="00273824"/>
    <w:rsid w:val="0027635E"/>
    <w:rsid w:val="00277B24"/>
    <w:rsid w:val="002808B3"/>
    <w:rsid w:val="00285130"/>
    <w:rsid w:val="00285C2D"/>
    <w:rsid w:val="00286186"/>
    <w:rsid w:val="002867F2"/>
    <w:rsid w:val="0028799A"/>
    <w:rsid w:val="00291FC8"/>
    <w:rsid w:val="00292177"/>
    <w:rsid w:val="00296BDE"/>
    <w:rsid w:val="002A2789"/>
    <w:rsid w:val="002A3242"/>
    <w:rsid w:val="002A37C1"/>
    <w:rsid w:val="002A5B83"/>
    <w:rsid w:val="002A5C6B"/>
    <w:rsid w:val="002A6DF5"/>
    <w:rsid w:val="002A7B83"/>
    <w:rsid w:val="002B3A88"/>
    <w:rsid w:val="002B3B8D"/>
    <w:rsid w:val="002B40A2"/>
    <w:rsid w:val="002B4811"/>
    <w:rsid w:val="002B5FFC"/>
    <w:rsid w:val="002B68E8"/>
    <w:rsid w:val="002B752A"/>
    <w:rsid w:val="002C4EA0"/>
    <w:rsid w:val="002C5F4F"/>
    <w:rsid w:val="002C6FD1"/>
    <w:rsid w:val="002D0023"/>
    <w:rsid w:val="002D10A8"/>
    <w:rsid w:val="002D164C"/>
    <w:rsid w:val="002D3722"/>
    <w:rsid w:val="002D4E54"/>
    <w:rsid w:val="002D54B7"/>
    <w:rsid w:val="002D5D59"/>
    <w:rsid w:val="002D6355"/>
    <w:rsid w:val="002E1191"/>
    <w:rsid w:val="002E14CE"/>
    <w:rsid w:val="002E3330"/>
    <w:rsid w:val="002E4023"/>
    <w:rsid w:val="002E597A"/>
    <w:rsid w:val="002E6FEB"/>
    <w:rsid w:val="002E760E"/>
    <w:rsid w:val="002E7CE0"/>
    <w:rsid w:val="002F0E8D"/>
    <w:rsid w:val="002F18D3"/>
    <w:rsid w:val="002F3C21"/>
    <w:rsid w:val="002F40E6"/>
    <w:rsid w:val="002F45C9"/>
    <w:rsid w:val="002F4A70"/>
    <w:rsid w:val="002F5230"/>
    <w:rsid w:val="002F5DDE"/>
    <w:rsid w:val="002F6616"/>
    <w:rsid w:val="003043D7"/>
    <w:rsid w:val="0030466A"/>
    <w:rsid w:val="0031230C"/>
    <w:rsid w:val="00314B16"/>
    <w:rsid w:val="00316F7F"/>
    <w:rsid w:val="0031791E"/>
    <w:rsid w:val="0032045B"/>
    <w:rsid w:val="00321CDD"/>
    <w:rsid w:val="00321D39"/>
    <w:rsid w:val="00325C21"/>
    <w:rsid w:val="0032773E"/>
    <w:rsid w:val="00331977"/>
    <w:rsid w:val="00331D3E"/>
    <w:rsid w:val="0033478F"/>
    <w:rsid w:val="003348AC"/>
    <w:rsid w:val="0034205A"/>
    <w:rsid w:val="0034459D"/>
    <w:rsid w:val="003577E0"/>
    <w:rsid w:val="00360B63"/>
    <w:rsid w:val="00364019"/>
    <w:rsid w:val="0036755F"/>
    <w:rsid w:val="00370491"/>
    <w:rsid w:val="00371A74"/>
    <w:rsid w:val="003731B0"/>
    <w:rsid w:val="00377229"/>
    <w:rsid w:val="003778AB"/>
    <w:rsid w:val="00382D0D"/>
    <w:rsid w:val="00385B4F"/>
    <w:rsid w:val="00390A10"/>
    <w:rsid w:val="00391525"/>
    <w:rsid w:val="00391B7E"/>
    <w:rsid w:val="00391E8F"/>
    <w:rsid w:val="0039423C"/>
    <w:rsid w:val="00394B75"/>
    <w:rsid w:val="00395585"/>
    <w:rsid w:val="00397041"/>
    <w:rsid w:val="003A04E4"/>
    <w:rsid w:val="003A1F77"/>
    <w:rsid w:val="003A2464"/>
    <w:rsid w:val="003A357D"/>
    <w:rsid w:val="003A41EB"/>
    <w:rsid w:val="003A532E"/>
    <w:rsid w:val="003A7630"/>
    <w:rsid w:val="003A7A5E"/>
    <w:rsid w:val="003B0CEF"/>
    <w:rsid w:val="003B0D6A"/>
    <w:rsid w:val="003B1145"/>
    <w:rsid w:val="003B1236"/>
    <w:rsid w:val="003B2621"/>
    <w:rsid w:val="003B39BD"/>
    <w:rsid w:val="003B4E6F"/>
    <w:rsid w:val="003B5BA7"/>
    <w:rsid w:val="003B67C6"/>
    <w:rsid w:val="003B6E0A"/>
    <w:rsid w:val="003C18AE"/>
    <w:rsid w:val="003C22B4"/>
    <w:rsid w:val="003C299C"/>
    <w:rsid w:val="003C410F"/>
    <w:rsid w:val="003C7A0E"/>
    <w:rsid w:val="003D140C"/>
    <w:rsid w:val="003D604B"/>
    <w:rsid w:val="003E3601"/>
    <w:rsid w:val="003E3841"/>
    <w:rsid w:val="003E42CF"/>
    <w:rsid w:val="003E62F9"/>
    <w:rsid w:val="003F0DA7"/>
    <w:rsid w:val="003F3178"/>
    <w:rsid w:val="00400A3F"/>
    <w:rsid w:val="004022C9"/>
    <w:rsid w:val="00402610"/>
    <w:rsid w:val="00406101"/>
    <w:rsid w:val="00406DD2"/>
    <w:rsid w:val="00411BAA"/>
    <w:rsid w:val="00412C8C"/>
    <w:rsid w:val="004146A4"/>
    <w:rsid w:val="00416788"/>
    <w:rsid w:val="00420D0C"/>
    <w:rsid w:val="00421BB4"/>
    <w:rsid w:val="00422593"/>
    <w:rsid w:val="00423904"/>
    <w:rsid w:val="00425BFE"/>
    <w:rsid w:val="00433B99"/>
    <w:rsid w:val="00435163"/>
    <w:rsid w:val="004411A0"/>
    <w:rsid w:val="00443492"/>
    <w:rsid w:val="00445F0E"/>
    <w:rsid w:val="004473AC"/>
    <w:rsid w:val="00447455"/>
    <w:rsid w:val="004477CB"/>
    <w:rsid w:val="0044795D"/>
    <w:rsid w:val="00447B0E"/>
    <w:rsid w:val="004501C7"/>
    <w:rsid w:val="004514AD"/>
    <w:rsid w:val="0045277D"/>
    <w:rsid w:val="00452BF9"/>
    <w:rsid w:val="004550F9"/>
    <w:rsid w:val="00455FEB"/>
    <w:rsid w:val="0045683C"/>
    <w:rsid w:val="00457261"/>
    <w:rsid w:val="00460769"/>
    <w:rsid w:val="00460E34"/>
    <w:rsid w:val="004622A5"/>
    <w:rsid w:val="004622C6"/>
    <w:rsid w:val="004666FE"/>
    <w:rsid w:val="00466A03"/>
    <w:rsid w:val="00467009"/>
    <w:rsid w:val="00467398"/>
    <w:rsid w:val="00467EB3"/>
    <w:rsid w:val="00470361"/>
    <w:rsid w:val="00471019"/>
    <w:rsid w:val="004712C0"/>
    <w:rsid w:val="00471382"/>
    <w:rsid w:val="00472AB8"/>
    <w:rsid w:val="00475CAC"/>
    <w:rsid w:val="00480227"/>
    <w:rsid w:val="00481719"/>
    <w:rsid w:val="00485640"/>
    <w:rsid w:val="004865A5"/>
    <w:rsid w:val="0048696D"/>
    <w:rsid w:val="00492E0C"/>
    <w:rsid w:val="00495F31"/>
    <w:rsid w:val="0049748E"/>
    <w:rsid w:val="00497AA2"/>
    <w:rsid w:val="004A1C82"/>
    <w:rsid w:val="004A1F0E"/>
    <w:rsid w:val="004A2472"/>
    <w:rsid w:val="004A4ADA"/>
    <w:rsid w:val="004A4CA5"/>
    <w:rsid w:val="004A54B2"/>
    <w:rsid w:val="004B0535"/>
    <w:rsid w:val="004B4CE8"/>
    <w:rsid w:val="004B523A"/>
    <w:rsid w:val="004B5596"/>
    <w:rsid w:val="004B675B"/>
    <w:rsid w:val="004B69BD"/>
    <w:rsid w:val="004B71D1"/>
    <w:rsid w:val="004C0082"/>
    <w:rsid w:val="004C1E6E"/>
    <w:rsid w:val="004C615A"/>
    <w:rsid w:val="004C6719"/>
    <w:rsid w:val="004C77A7"/>
    <w:rsid w:val="004D2731"/>
    <w:rsid w:val="004D283A"/>
    <w:rsid w:val="004D2951"/>
    <w:rsid w:val="004D4DD0"/>
    <w:rsid w:val="004D55F2"/>
    <w:rsid w:val="004D6245"/>
    <w:rsid w:val="004D7761"/>
    <w:rsid w:val="004E0988"/>
    <w:rsid w:val="004E377E"/>
    <w:rsid w:val="004E62D0"/>
    <w:rsid w:val="004E6675"/>
    <w:rsid w:val="004E72FC"/>
    <w:rsid w:val="004F05A5"/>
    <w:rsid w:val="004F1F66"/>
    <w:rsid w:val="004F629D"/>
    <w:rsid w:val="004F734A"/>
    <w:rsid w:val="004F7B60"/>
    <w:rsid w:val="00502586"/>
    <w:rsid w:val="00502E7B"/>
    <w:rsid w:val="00505CF7"/>
    <w:rsid w:val="00512F04"/>
    <w:rsid w:val="00513A3F"/>
    <w:rsid w:val="0051523D"/>
    <w:rsid w:val="00515606"/>
    <w:rsid w:val="00515CCC"/>
    <w:rsid w:val="00526608"/>
    <w:rsid w:val="00527BE4"/>
    <w:rsid w:val="00527D59"/>
    <w:rsid w:val="0053676D"/>
    <w:rsid w:val="0053695F"/>
    <w:rsid w:val="00536E84"/>
    <w:rsid w:val="005416F1"/>
    <w:rsid w:val="00542B4D"/>
    <w:rsid w:val="005443B0"/>
    <w:rsid w:val="00551701"/>
    <w:rsid w:val="00553DDB"/>
    <w:rsid w:val="0055556D"/>
    <w:rsid w:val="00556196"/>
    <w:rsid w:val="00557573"/>
    <w:rsid w:val="005605E1"/>
    <w:rsid w:val="005609F6"/>
    <w:rsid w:val="00560E30"/>
    <w:rsid w:val="00561A93"/>
    <w:rsid w:val="005668C6"/>
    <w:rsid w:val="00567721"/>
    <w:rsid w:val="00570A78"/>
    <w:rsid w:val="00571008"/>
    <w:rsid w:val="00572966"/>
    <w:rsid w:val="00574752"/>
    <w:rsid w:val="005778C6"/>
    <w:rsid w:val="00577916"/>
    <w:rsid w:val="00577C1D"/>
    <w:rsid w:val="00581C49"/>
    <w:rsid w:val="005844D4"/>
    <w:rsid w:val="00584ACA"/>
    <w:rsid w:val="00585DB4"/>
    <w:rsid w:val="00597619"/>
    <w:rsid w:val="005A1B1D"/>
    <w:rsid w:val="005A1DBB"/>
    <w:rsid w:val="005A1FA4"/>
    <w:rsid w:val="005A29DA"/>
    <w:rsid w:val="005A36CF"/>
    <w:rsid w:val="005A4890"/>
    <w:rsid w:val="005A5CD2"/>
    <w:rsid w:val="005A5E0D"/>
    <w:rsid w:val="005A6603"/>
    <w:rsid w:val="005B07B2"/>
    <w:rsid w:val="005B1CD6"/>
    <w:rsid w:val="005B4120"/>
    <w:rsid w:val="005B4C7A"/>
    <w:rsid w:val="005B5E20"/>
    <w:rsid w:val="005B6BEF"/>
    <w:rsid w:val="005B6DB7"/>
    <w:rsid w:val="005B7905"/>
    <w:rsid w:val="005C1010"/>
    <w:rsid w:val="005C2156"/>
    <w:rsid w:val="005C2BC3"/>
    <w:rsid w:val="005C3F46"/>
    <w:rsid w:val="005D4501"/>
    <w:rsid w:val="005D5658"/>
    <w:rsid w:val="005E09E2"/>
    <w:rsid w:val="005E527C"/>
    <w:rsid w:val="005F14D9"/>
    <w:rsid w:val="005F1AB5"/>
    <w:rsid w:val="005F3C43"/>
    <w:rsid w:val="005F5909"/>
    <w:rsid w:val="005F59C2"/>
    <w:rsid w:val="005F5E37"/>
    <w:rsid w:val="005F6476"/>
    <w:rsid w:val="005F6498"/>
    <w:rsid w:val="005F71D9"/>
    <w:rsid w:val="00601091"/>
    <w:rsid w:val="00601AEF"/>
    <w:rsid w:val="006036F5"/>
    <w:rsid w:val="0060473B"/>
    <w:rsid w:val="00605845"/>
    <w:rsid w:val="00605A6D"/>
    <w:rsid w:val="00610BC5"/>
    <w:rsid w:val="00616A96"/>
    <w:rsid w:val="00617952"/>
    <w:rsid w:val="00622B13"/>
    <w:rsid w:val="00622DA8"/>
    <w:rsid w:val="006255B5"/>
    <w:rsid w:val="00630448"/>
    <w:rsid w:val="006352CD"/>
    <w:rsid w:val="00637301"/>
    <w:rsid w:val="0064240F"/>
    <w:rsid w:val="00643BBA"/>
    <w:rsid w:val="00645229"/>
    <w:rsid w:val="006466F1"/>
    <w:rsid w:val="0064747E"/>
    <w:rsid w:val="00650ECA"/>
    <w:rsid w:val="006568F2"/>
    <w:rsid w:val="00657E86"/>
    <w:rsid w:val="00661553"/>
    <w:rsid w:val="00662B68"/>
    <w:rsid w:val="006630F9"/>
    <w:rsid w:val="00663AB9"/>
    <w:rsid w:val="00665579"/>
    <w:rsid w:val="00672E1E"/>
    <w:rsid w:val="0067477A"/>
    <w:rsid w:val="00677FF9"/>
    <w:rsid w:val="006812E0"/>
    <w:rsid w:val="006820E6"/>
    <w:rsid w:val="006847C2"/>
    <w:rsid w:val="006925BD"/>
    <w:rsid w:val="006935D7"/>
    <w:rsid w:val="00694B92"/>
    <w:rsid w:val="006A4466"/>
    <w:rsid w:val="006A5389"/>
    <w:rsid w:val="006A60CF"/>
    <w:rsid w:val="006A657F"/>
    <w:rsid w:val="006A7C9F"/>
    <w:rsid w:val="006B0EEC"/>
    <w:rsid w:val="006B1032"/>
    <w:rsid w:val="006B5717"/>
    <w:rsid w:val="006C025B"/>
    <w:rsid w:val="006C062E"/>
    <w:rsid w:val="006C1249"/>
    <w:rsid w:val="006C19EC"/>
    <w:rsid w:val="006C65DA"/>
    <w:rsid w:val="006C7D83"/>
    <w:rsid w:val="006D0BF4"/>
    <w:rsid w:val="006D186F"/>
    <w:rsid w:val="006D1A88"/>
    <w:rsid w:val="006D35ED"/>
    <w:rsid w:val="006D405F"/>
    <w:rsid w:val="006E3B31"/>
    <w:rsid w:val="006E4574"/>
    <w:rsid w:val="006F0537"/>
    <w:rsid w:val="006F2667"/>
    <w:rsid w:val="006F274C"/>
    <w:rsid w:val="00701A18"/>
    <w:rsid w:val="00704E2A"/>
    <w:rsid w:val="00707C27"/>
    <w:rsid w:val="00714F1F"/>
    <w:rsid w:val="0071593B"/>
    <w:rsid w:val="007163CC"/>
    <w:rsid w:val="00717D39"/>
    <w:rsid w:val="00724A5A"/>
    <w:rsid w:val="00725A44"/>
    <w:rsid w:val="007316A3"/>
    <w:rsid w:val="00732036"/>
    <w:rsid w:val="00733F3D"/>
    <w:rsid w:val="00740D54"/>
    <w:rsid w:val="00743F2E"/>
    <w:rsid w:val="007455E2"/>
    <w:rsid w:val="00747921"/>
    <w:rsid w:val="0075096D"/>
    <w:rsid w:val="00752C5F"/>
    <w:rsid w:val="0075337E"/>
    <w:rsid w:val="007539A8"/>
    <w:rsid w:val="00753B57"/>
    <w:rsid w:val="0075505E"/>
    <w:rsid w:val="00756DCE"/>
    <w:rsid w:val="007615C3"/>
    <w:rsid w:val="00764BB5"/>
    <w:rsid w:val="00764F46"/>
    <w:rsid w:val="007650E9"/>
    <w:rsid w:val="0077196B"/>
    <w:rsid w:val="00775FED"/>
    <w:rsid w:val="0077687B"/>
    <w:rsid w:val="00791038"/>
    <w:rsid w:val="00791A63"/>
    <w:rsid w:val="00791E87"/>
    <w:rsid w:val="00794024"/>
    <w:rsid w:val="00795A53"/>
    <w:rsid w:val="007A1192"/>
    <w:rsid w:val="007A1575"/>
    <w:rsid w:val="007A1E3A"/>
    <w:rsid w:val="007A2D1D"/>
    <w:rsid w:val="007A336E"/>
    <w:rsid w:val="007A766F"/>
    <w:rsid w:val="007A7719"/>
    <w:rsid w:val="007B025E"/>
    <w:rsid w:val="007B05A8"/>
    <w:rsid w:val="007B07A8"/>
    <w:rsid w:val="007B0928"/>
    <w:rsid w:val="007B09F9"/>
    <w:rsid w:val="007B0B1C"/>
    <w:rsid w:val="007B0CFC"/>
    <w:rsid w:val="007B0FA6"/>
    <w:rsid w:val="007B2CC1"/>
    <w:rsid w:val="007B581F"/>
    <w:rsid w:val="007B5F87"/>
    <w:rsid w:val="007B60E9"/>
    <w:rsid w:val="007B7FF1"/>
    <w:rsid w:val="007C0B28"/>
    <w:rsid w:val="007C1E41"/>
    <w:rsid w:val="007C2221"/>
    <w:rsid w:val="007C39CC"/>
    <w:rsid w:val="007C4091"/>
    <w:rsid w:val="007C51FA"/>
    <w:rsid w:val="007C6797"/>
    <w:rsid w:val="007D0AD2"/>
    <w:rsid w:val="007D2085"/>
    <w:rsid w:val="007D3CB5"/>
    <w:rsid w:val="007D511C"/>
    <w:rsid w:val="007E627E"/>
    <w:rsid w:val="007E71A8"/>
    <w:rsid w:val="007E722B"/>
    <w:rsid w:val="007E78C7"/>
    <w:rsid w:val="007E7BDD"/>
    <w:rsid w:val="007F1A88"/>
    <w:rsid w:val="007F445D"/>
    <w:rsid w:val="007F5D8E"/>
    <w:rsid w:val="007F6C8F"/>
    <w:rsid w:val="007F7715"/>
    <w:rsid w:val="0080083C"/>
    <w:rsid w:val="0080485D"/>
    <w:rsid w:val="00806192"/>
    <w:rsid w:val="00807D5D"/>
    <w:rsid w:val="00810AA4"/>
    <w:rsid w:val="00811446"/>
    <w:rsid w:val="00812791"/>
    <w:rsid w:val="008127E8"/>
    <w:rsid w:val="008131DC"/>
    <w:rsid w:val="00816827"/>
    <w:rsid w:val="00817DB9"/>
    <w:rsid w:val="00820794"/>
    <w:rsid w:val="008207CF"/>
    <w:rsid w:val="00820A5E"/>
    <w:rsid w:val="00821B63"/>
    <w:rsid w:val="00821C1D"/>
    <w:rsid w:val="008220BC"/>
    <w:rsid w:val="008258CF"/>
    <w:rsid w:val="00825B73"/>
    <w:rsid w:val="00825D23"/>
    <w:rsid w:val="00830D19"/>
    <w:rsid w:val="00831E73"/>
    <w:rsid w:val="00832D25"/>
    <w:rsid w:val="00834203"/>
    <w:rsid w:val="00834429"/>
    <w:rsid w:val="0083451F"/>
    <w:rsid w:val="0083495A"/>
    <w:rsid w:val="0083726E"/>
    <w:rsid w:val="00840C7C"/>
    <w:rsid w:val="00845289"/>
    <w:rsid w:val="00847077"/>
    <w:rsid w:val="00847591"/>
    <w:rsid w:val="00850C7B"/>
    <w:rsid w:val="008521F2"/>
    <w:rsid w:val="00852C92"/>
    <w:rsid w:val="00855D61"/>
    <w:rsid w:val="00856435"/>
    <w:rsid w:val="008564A4"/>
    <w:rsid w:val="00857087"/>
    <w:rsid w:val="00857702"/>
    <w:rsid w:val="008605C0"/>
    <w:rsid w:val="00861F25"/>
    <w:rsid w:val="00862996"/>
    <w:rsid w:val="008643DF"/>
    <w:rsid w:val="008652C0"/>
    <w:rsid w:val="00866440"/>
    <w:rsid w:val="00866C5C"/>
    <w:rsid w:val="0087091C"/>
    <w:rsid w:val="008709EB"/>
    <w:rsid w:val="00870F05"/>
    <w:rsid w:val="0087216B"/>
    <w:rsid w:val="0087599B"/>
    <w:rsid w:val="008759BC"/>
    <w:rsid w:val="00877BEA"/>
    <w:rsid w:val="00882942"/>
    <w:rsid w:val="0088366D"/>
    <w:rsid w:val="00883752"/>
    <w:rsid w:val="00883945"/>
    <w:rsid w:val="00883F5F"/>
    <w:rsid w:val="00885124"/>
    <w:rsid w:val="00886C8B"/>
    <w:rsid w:val="008872D3"/>
    <w:rsid w:val="00887819"/>
    <w:rsid w:val="0089135D"/>
    <w:rsid w:val="008926FE"/>
    <w:rsid w:val="00893148"/>
    <w:rsid w:val="0089316A"/>
    <w:rsid w:val="008969FA"/>
    <w:rsid w:val="00897D65"/>
    <w:rsid w:val="008A263C"/>
    <w:rsid w:val="008A35F8"/>
    <w:rsid w:val="008A62F5"/>
    <w:rsid w:val="008A70D2"/>
    <w:rsid w:val="008A7CFD"/>
    <w:rsid w:val="008B1F07"/>
    <w:rsid w:val="008B2D86"/>
    <w:rsid w:val="008B3227"/>
    <w:rsid w:val="008B3B4E"/>
    <w:rsid w:val="008B4E54"/>
    <w:rsid w:val="008B6469"/>
    <w:rsid w:val="008C148C"/>
    <w:rsid w:val="008C22CE"/>
    <w:rsid w:val="008C3520"/>
    <w:rsid w:val="008C756D"/>
    <w:rsid w:val="008C7692"/>
    <w:rsid w:val="008C7E40"/>
    <w:rsid w:val="008D3B88"/>
    <w:rsid w:val="008D40FF"/>
    <w:rsid w:val="008D5C4E"/>
    <w:rsid w:val="008D6899"/>
    <w:rsid w:val="008D6CA2"/>
    <w:rsid w:val="008E1AD3"/>
    <w:rsid w:val="008E2DDF"/>
    <w:rsid w:val="008E346D"/>
    <w:rsid w:val="008E65C8"/>
    <w:rsid w:val="008E71BA"/>
    <w:rsid w:val="008F2795"/>
    <w:rsid w:val="008F627B"/>
    <w:rsid w:val="008F644C"/>
    <w:rsid w:val="008F70D1"/>
    <w:rsid w:val="0090083B"/>
    <w:rsid w:val="0090223D"/>
    <w:rsid w:val="009060E1"/>
    <w:rsid w:val="00906D43"/>
    <w:rsid w:val="00907A00"/>
    <w:rsid w:val="00912E7E"/>
    <w:rsid w:val="00912FD7"/>
    <w:rsid w:val="009152EA"/>
    <w:rsid w:val="00917980"/>
    <w:rsid w:val="00917990"/>
    <w:rsid w:val="009211F1"/>
    <w:rsid w:val="00923034"/>
    <w:rsid w:val="0092463D"/>
    <w:rsid w:val="00925FF0"/>
    <w:rsid w:val="00926FC0"/>
    <w:rsid w:val="00927427"/>
    <w:rsid w:val="009275E7"/>
    <w:rsid w:val="00933534"/>
    <w:rsid w:val="00933A79"/>
    <w:rsid w:val="00935E48"/>
    <w:rsid w:val="009364DE"/>
    <w:rsid w:val="009402C6"/>
    <w:rsid w:val="0094098A"/>
    <w:rsid w:val="009426FD"/>
    <w:rsid w:val="00943B3B"/>
    <w:rsid w:val="0094421F"/>
    <w:rsid w:val="009474EC"/>
    <w:rsid w:val="009475CD"/>
    <w:rsid w:val="00950BB7"/>
    <w:rsid w:val="009515BA"/>
    <w:rsid w:val="00951654"/>
    <w:rsid w:val="009543FF"/>
    <w:rsid w:val="00954D97"/>
    <w:rsid w:val="00955D71"/>
    <w:rsid w:val="009572F0"/>
    <w:rsid w:val="009604AF"/>
    <w:rsid w:val="00960C9F"/>
    <w:rsid w:val="00962FCE"/>
    <w:rsid w:val="009641DF"/>
    <w:rsid w:val="00967DFE"/>
    <w:rsid w:val="00970041"/>
    <w:rsid w:val="009754DE"/>
    <w:rsid w:val="00980676"/>
    <w:rsid w:val="00980CC7"/>
    <w:rsid w:val="00981B6A"/>
    <w:rsid w:val="00985B7E"/>
    <w:rsid w:val="00985BDB"/>
    <w:rsid w:val="00986502"/>
    <w:rsid w:val="00993C28"/>
    <w:rsid w:val="0099481A"/>
    <w:rsid w:val="00994E83"/>
    <w:rsid w:val="00995491"/>
    <w:rsid w:val="00996231"/>
    <w:rsid w:val="00997933"/>
    <w:rsid w:val="009A0553"/>
    <w:rsid w:val="009A1BBB"/>
    <w:rsid w:val="009A1EB2"/>
    <w:rsid w:val="009A54C2"/>
    <w:rsid w:val="009A6BA4"/>
    <w:rsid w:val="009A6FE3"/>
    <w:rsid w:val="009B0289"/>
    <w:rsid w:val="009B1D6D"/>
    <w:rsid w:val="009B297B"/>
    <w:rsid w:val="009B3CD4"/>
    <w:rsid w:val="009B40A5"/>
    <w:rsid w:val="009B4867"/>
    <w:rsid w:val="009B576C"/>
    <w:rsid w:val="009B67A2"/>
    <w:rsid w:val="009B749D"/>
    <w:rsid w:val="009B776F"/>
    <w:rsid w:val="009C22D1"/>
    <w:rsid w:val="009C4A58"/>
    <w:rsid w:val="009C546A"/>
    <w:rsid w:val="009C6310"/>
    <w:rsid w:val="009D1188"/>
    <w:rsid w:val="009D449D"/>
    <w:rsid w:val="009D455B"/>
    <w:rsid w:val="009E2FA4"/>
    <w:rsid w:val="009E32E6"/>
    <w:rsid w:val="009E3491"/>
    <w:rsid w:val="009F0104"/>
    <w:rsid w:val="009F12F9"/>
    <w:rsid w:val="009F343E"/>
    <w:rsid w:val="009F3AE8"/>
    <w:rsid w:val="009F594D"/>
    <w:rsid w:val="009F5C36"/>
    <w:rsid w:val="009F7365"/>
    <w:rsid w:val="009F7D23"/>
    <w:rsid w:val="00A03681"/>
    <w:rsid w:val="00A05AE9"/>
    <w:rsid w:val="00A067E3"/>
    <w:rsid w:val="00A10FA7"/>
    <w:rsid w:val="00A15A6C"/>
    <w:rsid w:val="00A277BB"/>
    <w:rsid w:val="00A308DD"/>
    <w:rsid w:val="00A363D3"/>
    <w:rsid w:val="00A36E7D"/>
    <w:rsid w:val="00A37DAF"/>
    <w:rsid w:val="00A400D0"/>
    <w:rsid w:val="00A407BB"/>
    <w:rsid w:val="00A4307A"/>
    <w:rsid w:val="00A4385C"/>
    <w:rsid w:val="00A4430B"/>
    <w:rsid w:val="00A44A71"/>
    <w:rsid w:val="00A45875"/>
    <w:rsid w:val="00A46B27"/>
    <w:rsid w:val="00A50AD9"/>
    <w:rsid w:val="00A52453"/>
    <w:rsid w:val="00A5335B"/>
    <w:rsid w:val="00A54BD1"/>
    <w:rsid w:val="00A5535D"/>
    <w:rsid w:val="00A5633C"/>
    <w:rsid w:val="00A56BC6"/>
    <w:rsid w:val="00A662EE"/>
    <w:rsid w:val="00A718F4"/>
    <w:rsid w:val="00A72EAF"/>
    <w:rsid w:val="00A75928"/>
    <w:rsid w:val="00A80337"/>
    <w:rsid w:val="00A81A2D"/>
    <w:rsid w:val="00A82EA8"/>
    <w:rsid w:val="00A83858"/>
    <w:rsid w:val="00A87BB3"/>
    <w:rsid w:val="00A91B5E"/>
    <w:rsid w:val="00A96453"/>
    <w:rsid w:val="00A97F1B"/>
    <w:rsid w:val="00AA037C"/>
    <w:rsid w:val="00AA5B59"/>
    <w:rsid w:val="00AB067C"/>
    <w:rsid w:val="00AB2D29"/>
    <w:rsid w:val="00AB3043"/>
    <w:rsid w:val="00AB416C"/>
    <w:rsid w:val="00AB47A0"/>
    <w:rsid w:val="00AB5E95"/>
    <w:rsid w:val="00AB6595"/>
    <w:rsid w:val="00AB7C34"/>
    <w:rsid w:val="00AC0759"/>
    <w:rsid w:val="00AC1C15"/>
    <w:rsid w:val="00AC26F5"/>
    <w:rsid w:val="00AC2DA8"/>
    <w:rsid w:val="00AC62E7"/>
    <w:rsid w:val="00AC65EB"/>
    <w:rsid w:val="00AC7631"/>
    <w:rsid w:val="00AC7F44"/>
    <w:rsid w:val="00AD5962"/>
    <w:rsid w:val="00AD5A84"/>
    <w:rsid w:val="00ADE161"/>
    <w:rsid w:val="00AE3E15"/>
    <w:rsid w:val="00AE3FAD"/>
    <w:rsid w:val="00AE4838"/>
    <w:rsid w:val="00AE6646"/>
    <w:rsid w:val="00AE6E41"/>
    <w:rsid w:val="00AF47BB"/>
    <w:rsid w:val="00B02783"/>
    <w:rsid w:val="00B045E0"/>
    <w:rsid w:val="00B06781"/>
    <w:rsid w:val="00B11846"/>
    <w:rsid w:val="00B11D80"/>
    <w:rsid w:val="00B11EE6"/>
    <w:rsid w:val="00B1223D"/>
    <w:rsid w:val="00B13DBF"/>
    <w:rsid w:val="00B14E25"/>
    <w:rsid w:val="00B14F48"/>
    <w:rsid w:val="00B16BB3"/>
    <w:rsid w:val="00B203D0"/>
    <w:rsid w:val="00B21572"/>
    <w:rsid w:val="00B22887"/>
    <w:rsid w:val="00B25354"/>
    <w:rsid w:val="00B31B07"/>
    <w:rsid w:val="00B41C8D"/>
    <w:rsid w:val="00B466B3"/>
    <w:rsid w:val="00B46D84"/>
    <w:rsid w:val="00B54D1B"/>
    <w:rsid w:val="00B55606"/>
    <w:rsid w:val="00B556E2"/>
    <w:rsid w:val="00B56573"/>
    <w:rsid w:val="00B60830"/>
    <w:rsid w:val="00B60D61"/>
    <w:rsid w:val="00B61DDF"/>
    <w:rsid w:val="00B6261B"/>
    <w:rsid w:val="00B627EF"/>
    <w:rsid w:val="00B628B2"/>
    <w:rsid w:val="00B66613"/>
    <w:rsid w:val="00B70945"/>
    <w:rsid w:val="00B70F1B"/>
    <w:rsid w:val="00B726B9"/>
    <w:rsid w:val="00B736CA"/>
    <w:rsid w:val="00B8220B"/>
    <w:rsid w:val="00B85265"/>
    <w:rsid w:val="00B86E60"/>
    <w:rsid w:val="00B87177"/>
    <w:rsid w:val="00B91031"/>
    <w:rsid w:val="00B91417"/>
    <w:rsid w:val="00B91849"/>
    <w:rsid w:val="00B918DF"/>
    <w:rsid w:val="00B93DEE"/>
    <w:rsid w:val="00B94669"/>
    <w:rsid w:val="00B97011"/>
    <w:rsid w:val="00BA18A3"/>
    <w:rsid w:val="00BA2C8F"/>
    <w:rsid w:val="00BA3658"/>
    <w:rsid w:val="00BB1B2C"/>
    <w:rsid w:val="00BB46E0"/>
    <w:rsid w:val="00BC0920"/>
    <w:rsid w:val="00BC0E44"/>
    <w:rsid w:val="00BC2867"/>
    <w:rsid w:val="00BC4279"/>
    <w:rsid w:val="00BC474D"/>
    <w:rsid w:val="00BC484B"/>
    <w:rsid w:val="00BC758D"/>
    <w:rsid w:val="00BD37BB"/>
    <w:rsid w:val="00BD4AD0"/>
    <w:rsid w:val="00BD4E5D"/>
    <w:rsid w:val="00BD5146"/>
    <w:rsid w:val="00BD5C08"/>
    <w:rsid w:val="00BD7FD8"/>
    <w:rsid w:val="00BE0AB8"/>
    <w:rsid w:val="00BF0699"/>
    <w:rsid w:val="00BF26A3"/>
    <w:rsid w:val="00BF499C"/>
    <w:rsid w:val="00C03945"/>
    <w:rsid w:val="00C062DA"/>
    <w:rsid w:val="00C06A39"/>
    <w:rsid w:val="00C10547"/>
    <w:rsid w:val="00C12552"/>
    <w:rsid w:val="00C12578"/>
    <w:rsid w:val="00C12D97"/>
    <w:rsid w:val="00C16EF8"/>
    <w:rsid w:val="00C208F2"/>
    <w:rsid w:val="00C20D24"/>
    <w:rsid w:val="00C2252D"/>
    <w:rsid w:val="00C22AF5"/>
    <w:rsid w:val="00C258D1"/>
    <w:rsid w:val="00C2598A"/>
    <w:rsid w:val="00C300FB"/>
    <w:rsid w:val="00C306AF"/>
    <w:rsid w:val="00C30B6A"/>
    <w:rsid w:val="00C33F0C"/>
    <w:rsid w:val="00C35BF8"/>
    <w:rsid w:val="00C3671F"/>
    <w:rsid w:val="00C37449"/>
    <w:rsid w:val="00C40F22"/>
    <w:rsid w:val="00C42256"/>
    <w:rsid w:val="00C4391A"/>
    <w:rsid w:val="00C458AE"/>
    <w:rsid w:val="00C45F20"/>
    <w:rsid w:val="00C47ABC"/>
    <w:rsid w:val="00C50893"/>
    <w:rsid w:val="00C5235D"/>
    <w:rsid w:val="00C53980"/>
    <w:rsid w:val="00C576B0"/>
    <w:rsid w:val="00C60AC4"/>
    <w:rsid w:val="00C60C48"/>
    <w:rsid w:val="00C6124B"/>
    <w:rsid w:val="00C616BD"/>
    <w:rsid w:val="00C619C8"/>
    <w:rsid w:val="00C627E7"/>
    <w:rsid w:val="00C6474F"/>
    <w:rsid w:val="00C65B2C"/>
    <w:rsid w:val="00C67832"/>
    <w:rsid w:val="00C67F72"/>
    <w:rsid w:val="00C715F8"/>
    <w:rsid w:val="00C720CB"/>
    <w:rsid w:val="00C74F9D"/>
    <w:rsid w:val="00C77E7D"/>
    <w:rsid w:val="00C81229"/>
    <w:rsid w:val="00C82B1A"/>
    <w:rsid w:val="00C83E35"/>
    <w:rsid w:val="00C868F4"/>
    <w:rsid w:val="00C91456"/>
    <w:rsid w:val="00C92667"/>
    <w:rsid w:val="00C93C22"/>
    <w:rsid w:val="00C93D9C"/>
    <w:rsid w:val="00C9510A"/>
    <w:rsid w:val="00C952A1"/>
    <w:rsid w:val="00C9555A"/>
    <w:rsid w:val="00C977B1"/>
    <w:rsid w:val="00C979CB"/>
    <w:rsid w:val="00C979E4"/>
    <w:rsid w:val="00CA087F"/>
    <w:rsid w:val="00CA1255"/>
    <w:rsid w:val="00CA55BA"/>
    <w:rsid w:val="00CA5735"/>
    <w:rsid w:val="00CA5856"/>
    <w:rsid w:val="00CB0AC0"/>
    <w:rsid w:val="00CB2D47"/>
    <w:rsid w:val="00CB2E6D"/>
    <w:rsid w:val="00CB468F"/>
    <w:rsid w:val="00CB54A0"/>
    <w:rsid w:val="00CB64AE"/>
    <w:rsid w:val="00CC068B"/>
    <w:rsid w:val="00CC0AEA"/>
    <w:rsid w:val="00CC7C6F"/>
    <w:rsid w:val="00CC7C9D"/>
    <w:rsid w:val="00CD16AF"/>
    <w:rsid w:val="00CD1976"/>
    <w:rsid w:val="00CD39BD"/>
    <w:rsid w:val="00CD3ADE"/>
    <w:rsid w:val="00CD3D85"/>
    <w:rsid w:val="00CD6333"/>
    <w:rsid w:val="00CD6AAF"/>
    <w:rsid w:val="00CD71CB"/>
    <w:rsid w:val="00CE2970"/>
    <w:rsid w:val="00CE72CB"/>
    <w:rsid w:val="00CF26E8"/>
    <w:rsid w:val="00CF3AEE"/>
    <w:rsid w:val="00CF4427"/>
    <w:rsid w:val="00CF55AC"/>
    <w:rsid w:val="00CF7682"/>
    <w:rsid w:val="00CF7BC3"/>
    <w:rsid w:val="00D00976"/>
    <w:rsid w:val="00D02BA7"/>
    <w:rsid w:val="00D03B27"/>
    <w:rsid w:val="00D04427"/>
    <w:rsid w:val="00D05344"/>
    <w:rsid w:val="00D100AD"/>
    <w:rsid w:val="00D11C7F"/>
    <w:rsid w:val="00D12279"/>
    <w:rsid w:val="00D146C6"/>
    <w:rsid w:val="00D1475E"/>
    <w:rsid w:val="00D15799"/>
    <w:rsid w:val="00D20715"/>
    <w:rsid w:val="00D2108F"/>
    <w:rsid w:val="00D22044"/>
    <w:rsid w:val="00D22693"/>
    <w:rsid w:val="00D24577"/>
    <w:rsid w:val="00D27250"/>
    <w:rsid w:val="00D27A4F"/>
    <w:rsid w:val="00D30C98"/>
    <w:rsid w:val="00D32230"/>
    <w:rsid w:val="00D35D12"/>
    <w:rsid w:val="00D43696"/>
    <w:rsid w:val="00D47737"/>
    <w:rsid w:val="00D47D2B"/>
    <w:rsid w:val="00D50D11"/>
    <w:rsid w:val="00D52A19"/>
    <w:rsid w:val="00D56D1C"/>
    <w:rsid w:val="00D57375"/>
    <w:rsid w:val="00D573EA"/>
    <w:rsid w:val="00D60239"/>
    <w:rsid w:val="00D6233A"/>
    <w:rsid w:val="00D62E27"/>
    <w:rsid w:val="00D64109"/>
    <w:rsid w:val="00D6476E"/>
    <w:rsid w:val="00D7299C"/>
    <w:rsid w:val="00D76DDC"/>
    <w:rsid w:val="00D8153C"/>
    <w:rsid w:val="00D8589C"/>
    <w:rsid w:val="00D86385"/>
    <w:rsid w:val="00D86F3E"/>
    <w:rsid w:val="00D9016E"/>
    <w:rsid w:val="00D943B6"/>
    <w:rsid w:val="00D96D3E"/>
    <w:rsid w:val="00DA5E49"/>
    <w:rsid w:val="00DA6388"/>
    <w:rsid w:val="00DA702A"/>
    <w:rsid w:val="00DB209B"/>
    <w:rsid w:val="00DB4187"/>
    <w:rsid w:val="00DB4D2E"/>
    <w:rsid w:val="00DB726D"/>
    <w:rsid w:val="00DC1FC1"/>
    <w:rsid w:val="00DC2E9F"/>
    <w:rsid w:val="00DC51B5"/>
    <w:rsid w:val="00DD35C5"/>
    <w:rsid w:val="00DD3A8B"/>
    <w:rsid w:val="00DE088C"/>
    <w:rsid w:val="00DE0A4A"/>
    <w:rsid w:val="00DE2202"/>
    <w:rsid w:val="00DE496B"/>
    <w:rsid w:val="00DE5FA1"/>
    <w:rsid w:val="00DE6443"/>
    <w:rsid w:val="00DE782D"/>
    <w:rsid w:val="00DF0973"/>
    <w:rsid w:val="00DF2C3F"/>
    <w:rsid w:val="00DF31EB"/>
    <w:rsid w:val="00DF7E5F"/>
    <w:rsid w:val="00E01147"/>
    <w:rsid w:val="00E0400E"/>
    <w:rsid w:val="00E07EE7"/>
    <w:rsid w:val="00E1049D"/>
    <w:rsid w:val="00E12D81"/>
    <w:rsid w:val="00E13B59"/>
    <w:rsid w:val="00E1533F"/>
    <w:rsid w:val="00E157ED"/>
    <w:rsid w:val="00E15971"/>
    <w:rsid w:val="00E167DC"/>
    <w:rsid w:val="00E1762B"/>
    <w:rsid w:val="00E20B38"/>
    <w:rsid w:val="00E21FAE"/>
    <w:rsid w:val="00E230AC"/>
    <w:rsid w:val="00E244E2"/>
    <w:rsid w:val="00E31048"/>
    <w:rsid w:val="00E3489C"/>
    <w:rsid w:val="00E34A69"/>
    <w:rsid w:val="00E3794A"/>
    <w:rsid w:val="00E44B73"/>
    <w:rsid w:val="00E4740A"/>
    <w:rsid w:val="00E528DC"/>
    <w:rsid w:val="00E5313F"/>
    <w:rsid w:val="00E60620"/>
    <w:rsid w:val="00E64C59"/>
    <w:rsid w:val="00E66802"/>
    <w:rsid w:val="00E6734E"/>
    <w:rsid w:val="00E72F55"/>
    <w:rsid w:val="00E735B6"/>
    <w:rsid w:val="00E75B17"/>
    <w:rsid w:val="00E763B5"/>
    <w:rsid w:val="00E8081E"/>
    <w:rsid w:val="00E81E12"/>
    <w:rsid w:val="00E83033"/>
    <w:rsid w:val="00E83EFD"/>
    <w:rsid w:val="00E86D87"/>
    <w:rsid w:val="00E870C8"/>
    <w:rsid w:val="00E877A2"/>
    <w:rsid w:val="00E90597"/>
    <w:rsid w:val="00E927ED"/>
    <w:rsid w:val="00E93A2D"/>
    <w:rsid w:val="00E94505"/>
    <w:rsid w:val="00E949C0"/>
    <w:rsid w:val="00EA3466"/>
    <w:rsid w:val="00EA45D1"/>
    <w:rsid w:val="00EA5A68"/>
    <w:rsid w:val="00EA63E9"/>
    <w:rsid w:val="00EA740D"/>
    <w:rsid w:val="00EA7B72"/>
    <w:rsid w:val="00EB0996"/>
    <w:rsid w:val="00EB0B59"/>
    <w:rsid w:val="00EB189E"/>
    <w:rsid w:val="00EB1D21"/>
    <w:rsid w:val="00EB6624"/>
    <w:rsid w:val="00EB7051"/>
    <w:rsid w:val="00EC2BAD"/>
    <w:rsid w:val="00EC68AC"/>
    <w:rsid w:val="00EC6962"/>
    <w:rsid w:val="00EC7B90"/>
    <w:rsid w:val="00ED0709"/>
    <w:rsid w:val="00ED26F3"/>
    <w:rsid w:val="00EE032E"/>
    <w:rsid w:val="00EE0512"/>
    <w:rsid w:val="00EE06A6"/>
    <w:rsid w:val="00EE09F3"/>
    <w:rsid w:val="00EE0BFB"/>
    <w:rsid w:val="00EE19D6"/>
    <w:rsid w:val="00EE40A7"/>
    <w:rsid w:val="00EE480A"/>
    <w:rsid w:val="00EE4C93"/>
    <w:rsid w:val="00EE59F3"/>
    <w:rsid w:val="00EF453C"/>
    <w:rsid w:val="00F00AC2"/>
    <w:rsid w:val="00F01548"/>
    <w:rsid w:val="00F02385"/>
    <w:rsid w:val="00F0322E"/>
    <w:rsid w:val="00F04BB8"/>
    <w:rsid w:val="00F0716A"/>
    <w:rsid w:val="00F07565"/>
    <w:rsid w:val="00F106F8"/>
    <w:rsid w:val="00F13E87"/>
    <w:rsid w:val="00F1406E"/>
    <w:rsid w:val="00F16195"/>
    <w:rsid w:val="00F173EF"/>
    <w:rsid w:val="00F20877"/>
    <w:rsid w:val="00F21EB0"/>
    <w:rsid w:val="00F231F5"/>
    <w:rsid w:val="00F24591"/>
    <w:rsid w:val="00F2597A"/>
    <w:rsid w:val="00F25AB9"/>
    <w:rsid w:val="00F31C93"/>
    <w:rsid w:val="00F3207F"/>
    <w:rsid w:val="00F33138"/>
    <w:rsid w:val="00F41373"/>
    <w:rsid w:val="00F4481E"/>
    <w:rsid w:val="00F52714"/>
    <w:rsid w:val="00F53959"/>
    <w:rsid w:val="00F55E8A"/>
    <w:rsid w:val="00F56FAE"/>
    <w:rsid w:val="00F60909"/>
    <w:rsid w:val="00F61522"/>
    <w:rsid w:val="00F6251B"/>
    <w:rsid w:val="00F638C0"/>
    <w:rsid w:val="00F65706"/>
    <w:rsid w:val="00F70B8F"/>
    <w:rsid w:val="00F71D18"/>
    <w:rsid w:val="00F721CF"/>
    <w:rsid w:val="00F73644"/>
    <w:rsid w:val="00F7408F"/>
    <w:rsid w:val="00F7563A"/>
    <w:rsid w:val="00F80EC4"/>
    <w:rsid w:val="00F830B5"/>
    <w:rsid w:val="00F83379"/>
    <w:rsid w:val="00F83397"/>
    <w:rsid w:val="00F84A66"/>
    <w:rsid w:val="00F858D5"/>
    <w:rsid w:val="00F91A50"/>
    <w:rsid w:val="00F94520"/>
    <w:rsid w:val="00F95655"/>
    <w:rsid w:val="00F96730"/>
    <w:rsid w:val="00F96E4B"/>
    <w:rsid w:val="00F97F5D"/>
    <w:rsid w:val="00FA16C5"/>
    <w:rsid w:val="00FA2964"/>
    <w:rsid w:val="00FA5A98"/>
    <w:rsid w:val="00FA682E"/>
    <w:rsid w:val="00FB1ABF"/>
    <w:rsid w:val="00FB270C"/>
    <w:rsid w:val="00FB38DE"/>
    <w:rsid w:val="00FB3B65"/>
    <w:rsid w:val="00FB47EB"/>
    <w:rsid w:val="00FB528B"/>
    <w:rsid w:val="00FB65C9"/>
    <w:rsid w:val="00FC08D6"/>
    <w:rsid w:val="00FC3C4C"/>
    <w:rsid w:val="00FC4A55"/>
    <w:rsid w:val="00FD4B03"/>
    <w:rsid w:val="00FD56BC"/>
    <w:rsid w:val="00FD5736"/>
    <w:rsid w:val="00FD5D53"/>
    <w:rsid w:val="00FD7FCB"/>
    <w:rsid w:val="00FE0CE9"/>
    <w:rsid w:val="00FE3854"/>
    <w:rsid w:val="00FE4781"/>
    <w:rsid w:val="00FE6BAD"/>
    <w:rsid w:val="00FF1FE9"/>
    <w:rsid w:val="00FF3F28"/>
    <w:rsid w:val="00FF581F"/>
    <w:rsid w:val="00FF5DBB"/>
    <w:rsid w:val="00FF7CDE"/>
    <w:rsid w:val="01386DFA"/>
    <w:rsid w:val="05407D80"/>
    <w:rsid w:val="12DF0922"/>
    <w:rsid w:val="16E98A85"/>
    <w:rsid w:val="18C40334"/>
    <w:rsid w:val="18D6BF7F"/>
    <w:rsid w:val="1B8C0FED"/>
    <w:rsid w:val="1D01CA3B"/>
    <w:rsid w:val="1F254613"/>
    <w:rsid w:val="215EF19D"/>
    <w:rsid w:val="21E416E1"/>
    <w:rsid w:val="22D39156"/>
    <w:rsid w:val="249C2BBC"/>
    <w:rsid w:val="278E651B"/>
    <w:rsid w:val="27F1CD4E"/>
    <w:rsid w:val="28756F53"/>
    <w:rsid w:val="2D4B93FC"/>
    <w:rsid w:val="2E2CDA7E"/>
    <w:rsid w:val="30A5562B"/>
    <w:rsid w:val="31574D82"/>
    <w:rsid w:val="33A76D9B"/>
    <w:rsid w:val="37D806E1"/>
    <w:rsid w:val="382351D7"/>
    <w:rsid w:val="39757A0C"/>
    <w:rsid w:val="3995357E"/>
    <w:rsid w:val="3CA05F98"/>
    <w:rsid w:val="3D4223C7"/>
    <w:rsid w:val="3DA03507"/>
    <w:rsid w:val="4151F31A"/>
    <w:rsid w:val="420EEFF0"/>
    <w:rsid w:val="45045477"/>
    <w:rsid w:val="4621A2C1"/>
    <w:rsid w:val="47872640"/>
    <w:rsid w:val="47A96F82"/>
    <w:rsid w:val="481F60C2"/>
    <w:rsid w:val="48728C8C"/>
    <w:rsid w:val="4887E532"/>
    <w:rsid w:val="48E9C4CC"/>
    <w:rsid w:val="4C92C892"/>
    <w:rsid w:val="53D63E7C"/>
    <w:rsid w:val="5858E7B2"/>
    <w:rsid w:val="58B15EA2"/>
    <w:rsid w:val="5B312E28"/>
    <w:rsid w:val="5BDA65EE"/>
    <w:rsid w:val="6017C0C5"/>
    <w:rsid w:val="624A1763"/>
    <w:rsid w:val="63675F9A"/>
    <w:rsid w:val="657BF8E6"/>
    <w:rsid w:val="67BA2EE8"/>
    <w:rsid w:val="69047960"/>
    <w:rsid w:val="6B1586E2"/>
    <w:rsid w:val="6C20BE17"/>
    <w:rsid w:val="6CF88800"/>
    <w:rsid w:val="6CFAA549"/>
    <w:rsid w:val="6E75E47B"/>
    <w:rsid w:val="6EE3DD32"/>
    <w:rsid w:val="6F82CEE8"/>
    <w:rsid w:val="705618B5"/>
    <w:rsid w:val="72573308"/>
    <w:rsid w:val="77E3B7B6"/>
    <w:rsid w:val="78FC0AB9"/>
    <w:rsid w:val="7AF167D9"/>
    <w:rsid w:val="7BCBF038"/>
    <w:rsid w:val="7E2D216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A23A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5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Heading3"/>
    <w:next w:val="Normal"/>
    <w:link w:val="Heading1Char"/>
    <w:qFormat/>
    <w:rsid w:val="00D8589C"/>
    <w:pPr>
      <w:numPr>
        <w:numId w:val="0"/>
      </w:numPr>
      <w:outlineLvl w:val="0"/>
    </w:pPr>
  </w:style>
  <w:style w:type="paragraph" w:styleId="Heading2">
    <w:name w:val="heading 2"/>
    <w:basedOn w:val="Heading1"/>
    <w:next w:val="Normal"/>
    <w:link w:val="Heading2Char"/>
    <w:qFormat/>
    <w:rsid w:val="00D8589C"/>
    <w:pPr>
      <w:numPr>
        <w:numId w:val="6"/>
      </w:numPr>
      <w:outlineLvl w:val="1"/>
    </w:pPr>
  </w:style>
  <w:style w:type="paragraph" w:styleId="Heading3">
    <w:name w:val="heading 3"/>
    <w:basedOn w:val="ListParagraph"/>
    <w:next w:val="Normal"/>
    <w:link w:val="Heading3Char"/>
    <w:qFormat/>
    <w:rsid w:val="00D8589C"/>
    <w:pPr>
      <w:numPr>
        <w:numId w:val="7"/>
      </w:numPr>
      <w:outlineLvl w:val="2"/>
    </w:pPr>
    <w:rPr>
      <w:b/>
      <w:color w:val="000000"/>
      <w:sz w:val="24"/>
    </w:rPr>
  </w:style>
  <w:style w:type="paragraph" w:styleId="Heading4">
    <w:name w:val="heading 4"/>
    <w:basedOn w:val="Normal"/>
    <w:next w:val="Normal"/>
    <w:link w:val="Heading4Char"/>
    <w:qFormat/>
    <w:rsid w:val="00D8589C"/>
    <w:pPr>
      <w:outlineLvl w:val="3"/>
    </w:pPr>
    <w:rPr>
      <w:b/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D8589C"/>
    <w:pPr>
      <w:keepNext/>
      <w:outlineLvl w:val="4"/>
    </w:pPr>
    <w:rPr>
      <w:rFonts w:ascii="Courier New" w:hAnsi="Courier New"/>
      <w:sz w:val="24"/>
      <w:u w:val="single"/>
    </w:rPr>
  </w:style>
  <w:style w:type="paragraph" w:styleId="Heading6">
    <w:name w:val="heading 6"/>
    <w:basedOn w:val="Normal"/>
    <w:next w:val="Normal"/>
    <w:link w:val="Heading6Char"/>
    <w:qFormat/>
    <w:rsid w:val="00D858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8589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8589C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858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589C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8589C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8589C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8589C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D8589C"/>
    <w:rPr>
      <w:rFonts w:ascii="Courier New" w:eastAsia="Times New Roman" w:hAnsi="Courier New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D8589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8589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8589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8589C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rsid w:val="00D858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89C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D8589C"/>
  </w:style>
  <w:style w:type="paragraph" w:styleId="Header">
    <w:name w:val="header"/>
    <w:basedOn w:val="Normal"/>
    <w:link w:val="HeaderChar"/>
    <w:uiPriority w:val="99"/>
    <w:rsid w:val="00D858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89C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D8589C"/>
    <w:rPr>
      <w:rFonts w:ascii="Courier New" w:hAnsi="Courier New"/>
      <w:sz w:val="24"/>
    </w:rPr>
  </w:style>
  <w:style w:type="character" w:customStyle="1" w:styleId="BodyTextChar">
    <w:name w:val="Body Text Char"/>
    <w:basedOn w:val="DefaultParagraphFont"/>
    <w:link w:val="BodyText"/>
    <w:rsid w:val="00D8589C"/>
    <w:rPr>
      <w:rFonts w:ascii="Courier New" w:eastAsia="Times New Roman" w:hAnsi="Courier New" w:cs="Times New Roman"/>
      <w:sz w:val="24"/>
      <w:szCs w:val="20"/>
    </w:rPr>
  </w:style>
  <w:style w:type="paragraph" w:styleId="List">
    <w:name w:val="List"/>
    <w:basedOn w:val="Normal"/>
    <w:rsid w:val="00D8589C"/>
    <w:pPr>
      <w:ind w:left="360" w:hanging="360"/>
    </w:pPr>
  </w:style>
  <w:style w:type="paragraph" w:styleId="ListContinue">
    <w:name w:val="List Continue"/>
    <w:basedOn w:val="Normal"/>
    <w:rsid w:val="00D8589C"/>
    <w:pPr>
      <w:spacing w:after="120"/>
      <w:ind w:left="360"/>
    </w:pPr>
  </w:style>
  <w:style w:type="paragraph" w:styleId="BodyTextIndent">
    <w:name w:val="Body Text Indent"/>
    <w:basedOn w:val="Normal"/>
    <w:link w:val="BodyTextIndentChar"/>
    <w:rsid w:val="00D8589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8589C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D8589C"/>
    <w:rPr>
      <w:rFonts w:ascii="Courier New" w:hAnsi="Courier New"/>
      <w:color w:val="000000"/>
      <w:sz w:val="24"/>
    </w:rPr>
  </w:style>
  <w:style w:type="character" w:customStyle="1" w:styleId="BodyText2Char">
    <w:name w:val="Body Text 2 Char"/>
    <w:basedOn w:val="DefaultParagraphFont"/>
    <w:link w:val="BodyText2"/>
    <w:rsid w:val="00D8589C"/>
    <w:rPr>
      <w:rFonts w:ascii="Courier New" w:eastAsia="Times New Roman" w:hAnsi="Courier New" w:cs="Times New Roman"/>
      <w:color w:val="000000"/>
      <w:sz w:val="24"/>
      <w:szCs w:val="20"/>
    </w:rPr>
  </w:style>
  <w:style w:type="character" w:styleId="Hyperlink">
    <w:name w:val="Hyperlink"/>
    <w:rsid w:val="00D8589C"/>
    <w:rPr>
      <w:color w:val="0000FF"/>
      <w:u w:val="single"/>
    </w:rPr>
  </w:style>
  <w:style w:type="paragraph" w:styleId="BodyText3">
    <w:name w:val="Body Text 3"/>
    <w:basedOn w:val="Normal"/>
    <w:link w:val="BodyText3Char"/>
    <w:rsid w:val="00D8589C"/>
    <w:rPr>
      <w:rFonts w:ascii="Courier New" w:hAnsi="Courier New"/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rsid w:val="00D8589C"/>
    <w:rPr>
      <w:rFonts w:ascii="Courier New" w:eastAsia="Times New Roman" w:hAnsi="Courier New" w:cs="Times New Roman"/>
      <w:color w:val="000000"/>
      <w:sz w:val="24"/>
      <w:szCs w:val="20"/>
    </w:rPr>
  </w:style>
  <w:style w:type="paragraph" w:customStyle="1" w:styleId="Level1">
    <w:name w:val="Level 1"/>
    <w:basedOn w:val="Normal"/>
    <w:rsid w:val="00D8589C"/>
    <w:pPr>
      <w:widowControl w:val="0"/>
      <w:tabs>
        <w:tab w:val="num" w:pos="1455"/>
      </w:tabs>
      <w:ind w:left="720" w:hanging="720"/>
      <w:outlineLvl w:val="0"/>
    </w:pPr>
    <w:rPr>
      <w:snapToGrid w:val="0"/>
      <w:sz w:val="24"/>
    </w:rPr>
  </w:style>
  <w:style w:type="paragraph" w:customStyle="1" w:styleId="Preformatted">
    <w:name w:val="Preformatted"/>
    <w:basedOn w:val="Normal"/>
    <w:rsid w:val="00D858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Strong">
    <w:name w:val="Strong"/>
    <w:qFormat/>
    <w:rsid w:val="00D8589C"/>
    <w:rPr>
      <w:b/>
    </w:rPr>
  </w:style>
  <w:style w:type="character" w:styleId="CommentReference">
    <w:name w:val="annotation reference"/>
    <w:uiPriority w:val="99"/>
    <w:semiHidden/>
    <w:rsid w:val="00D8589C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D8589C"/>
  </w:style>
  <w:style w:type="character" w:customStyle="1" w:styleId="CommentTextChar">
    <w:name w:val="Comment Text Char"/>
    <w:basedOn w:val="DefaultParagraphFont"/>
    <w:link w:val="CommentText"/>
    <w:uiPriority w:val="99"/>
    <w:rsid w:val="00D8589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85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89C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uiPriority w:val="99"/>
    <w:rsid w:val="00D8589C"/>
  </w:style>
  <w:style w:type="paragraph" w:styleId="FootnoteText">
    <w:name w:val="footnote text"/>
    <w:basedOn w:val="Normal"/>
    <w:link w:val="FootnoteTextChar"/>
    <w:uiPriority w:val="99"/>
    <w:rsid w:val="00D8589C"/>
    <w:pPr>
      <w:widowControl w:val="0"/>
    </w:pPr>
    <w:rPr>
      <w:snapToGrid w:val="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589C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Indent2">
    <w:name w:val="Body Text Indent 2"/>
    <w:basedOn w:val="Normal"/>
    <w:link w:val="BodyTextIndent2Char"/>
    <w:rsid w:val="00D8589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8589C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D8589C"/>
    <w:pPr>
      <w:widowControl w:val="0"/>
      <w:tabs>
        <w:tab w:val="left" w:pos="-720"/>
      </w:tabs>
      <w:ind w:left="2160" w:hanging="2160"/>
    </w:pPr>
    <w:rPr>
      <w:rFonts w:ascii="Courier New" w:hAnsi="Courier New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D8589C"/>
    <w:rPr>
      <w:rFonts w:ascii="Courier New" w:eastAsia="Times New Roman" w:hAnsi="Courier New" w:cs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D8589C"/>
    <w:pPr>
      <w:widowControl w:val="0"/>
    </w:pPr>
    <w:rPr>
      <w:rFonts w:ascii="Courier New" w:hAnsi="Courier New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D8589C"/>
    <w:rPr>
      <w:rFonts w:ascii="Courier New" w:eastAsia="Times New Roman" w:hAnsi="Courier New" w:cs="Times New Roman"/>
      <w:sz w:val="24"/>
      <w:szCs w:val="20"/>
    </w:rPr>
  </w:style>
  <w:style w:type="paragraph" w:styleId="BlockText">
    <w:name w:val="Block Text"/>
    <w:basedOn w:val="Normal"/>
    <w:rsid w:val="00D8589C"/>
    <w:pPr>
      <w:tabs>
        <w:tab w:val="left" w:pos="-720"/>
      </w:tabs>
      <w:suppressAutoHyphens/>
      <w:ind w:left="2100" w:right="994"/>
    </w:pPr>
    <w:rPr>
      <w:rFonts w:ascii="Courier New" w:hAnsi="Courier New"/>
      <w:sz w:val="24"/>
    </w:rPr>
  </w:style>
  <w:style w:type="character" w:styleId="Emphasis">
    <w:name w:val="Emphasis"/>
    <w:qFormat/>
    <w:rsid w:val="00D8589C"/>
    <w:rPr>
      <w:i/>
    </w:rPr>
  </w:style>
  <w:style w:type="paragraph" w:styleId="HTMLPreformatted">
    <w:name w:val="HTML Preformatted"/>
    <w:basedOn w:val="Normal"/>
    <w:link w:val="HTMLPreformattedChar"/>
    <w:rsid w:val="00D858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D8589C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rsid w:val="00D8589C"/>
    <w:rPr>
      <w:color w:val="800080"/>
      <w:u w:val="single"/>
    </w:rPr>
  </w:style>
  <w:style w:type="paragraph" w:styleId="NormalWeb">
    <w:name w:val="Normal (Web)"/>
    <w:basedOn w:val="Normal"/>
    <w:rsid w:val="00D8589C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85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8589C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85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D8589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D8589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MediumShading1-Accent11">
    <w:name w:val="Medium Shading 1 - Accent 11"/>
    <w:qFormat/>
    <w:rsid w:val="00D858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1-Accent21">
    <w:name w:val="Medium Grid 1 - Accent 21"/>
    <w:basedOn w:val="Normal"/>
    <w:uiPriority w:val="34"/>
    <w:qFormat/>
    <w:rsid w:val="00D8589C"/>
    <w:pPr>
      <w:ind w:left="720"/>
    </w:pPr>
  </w:style>
  <w:style w:type="paragraph" w:styleId="Revision">
    <w:name w:val="Revision"/>
    <w:hidden/>
    <w:uiPriority w:val="99"/>
    <w:semiHidden/>
    <w:rsid w:val="00D85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8589C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D8589C"/>
    <w:rPr>
      <w:rFonts w:ascii="Times New Roman" w:eastAsia="Times New Roman" w:hAnsi="Times New Roman" w:cs="Times New Roman"/>
      <w:sz w:val="20"/>
      <w:szCs w:val="20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D8589C"/>
    <w:rPr>
      <w:rFonts w:asciiTheme="minorHAnsi" w:eastAsiaTheme="minorHAnsi" w:hAnsiTheme="minorHAnsi" w:cstheme="minorBidi"/>
    </w:rPr>
  </w:style>
  <w:style w:type="character" w:customStyle="1" w:styleId="Hyperlink1">
    <w:name w:val="Hyperlink1"/>
    <w:basedOn w:val="DefaultParagraphFont"/>
    <w:uiPriority w:val="99"/>
    <w:unhideWhenUsed/>
    <w:rsid w:val="00D858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89C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D85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76BB5-B0AA-4BCE-B1DF-487093FBF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1419</Words>
  <Characters>8419</Characters>
  <Application>Microsoft Office Word</Application>
  <DocSecurity>0</DocSecurity>
  <Lines>195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2026-04-17T14:39:00Z</dcterms:created>
  <dcterms:modified xsi:type="dcterms:W3CDTF">2026-04-17T14:52:00Z</dcterms:modified>
</cp:coreProperties>
</file>