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584F" w:rsidP="0097798A" w14:paraId="3A0D03C4" w14:textId="77777777">
      <w:pPr>
        <w:pStyle w:val="ReportCover-Title"/>
        <w:ind w:left="360" w:right="360"/>
        <w:jc w:val="center"/>
        <w:rPr>
          <w:rFonts w:ascii="Arial" w:eastAsia="Arial Unicode MS" w:hAnsi="Arial" w:cs="Arial"/>
          <w:noProof/>
          <w:color w:val="auto"/>
        </w:rPr>
      </w:pPr>
      <w:r>
        <w:rPr>
          <w:rFonts w:ascii="Arial" w:eastAsia="Arial Unicode MS" w:hAnsi="Arial" w:cs="Arial"/>
          <w:noProof/>
          <w:color w:val="auto"/>
        </w:rPr>
        <w:t>2024</w:t>
      </w:r>
      <w:r>
        <w:rPr>
          <w:rFonts w:ascii="Arial" w:eastAsia="Arial Unicode MS" w:hAnsi="Arial" w:cs="Arial"/>
          <w:noProof/>
          <w:color w:val="auto"/>
        </w:rPr>
        <w:t>-2025</w:t>
      </w:r>
      <w:r>
        <w:rPr>
          <w:rFonts w:ascii="Arial" w:eastAsia="Arial Unicode MS" w:hAnsi="Arial" w:cs="Arial"/>
          <w:noProof/>
          <w:color w:val="auto"/>
        </w:rPr>
        <w:t xml:space="preserve"> </w:t>
      </w:r>
      <w:r w:rsidRPr="00716897" w:rsidR="00716897">
        <w:rPr>
          <w:rFonts w:ascii="Arial" w:eastAsia="Arial Unicode MS" w:hAnsi="Arial" w:cs="Arial"/>
          <w:noProof/>
          <w:color w:val="auto"/>
        </w:rPr>
        <w:t>L</w:t>
      </w:r>
      <w:r w:rsidR="005F7191">
        <w:rPr>
          <w:rFonts w:ascii="Arial" w:eastAsia="Arial Unicode MS" w:hAnsi="Arial" w:cs="Arial"/>
          <w:noProof/>
          <w:color w:val="auto"/>
        </w:rPr>
        <w:t xml:space="preserve">ow </w:t>
      </w:r>
      <w:r w:rsidRPr="00716897" w:rsidR="00716897">
        <w:rPr>
          <w:rFonts w:ascii="Arial" w:eastAsia="Arial Unicode MS" w:hAnsi="Arial" w:cs="Arial"/>
          <w:noProof/>
          <w:color w:val="auto"/>
        </w:rPr>
        <w:t>I</w:t>
      </w:r>
      <w:r w:rsidR="005F7191">
        <w:rPr>
          <w:rFonts w:ascii="Arial" w:eastAsia="Arial Unicode MS" w:hAnsi="Arial" w:cs="Arial"/>
          <w:noProof/>
          <w:color w:val="auto"/>
        </w:rPr>
        <w:t xml:space="preserve">ncome </w:t>
      </w:r>
      <w:r w:rsidRPr="00716897" w:rsidR="00716897">
        <w:rPr>
          <w:rFonts w:ascii="Arial" w:eastAsia="Arial Unicode MS" w:hAnsi="Arial" w:cs="Arial"/>
          <w:noProof/>
          <w:color w:val="auto"/>
        </w:rPr>
        <w:t>H</w:t>
      </w:r>
      <w:r w:rsidR="005F7191">
        <w:rPr>
          <w:rFonts w:ascii="Arial" w:eastAsia="Arial Unicode MS" w:hAnsi="Arial" w:cs="Arial"/>
          <w:noProof/>
          <w:color w:val="auto"/>
        </w:rPr>
        <w:t xml:space="preserve">ome </w:t>
      </w:r>
      <w:r w:rsidRPr="00716897" w:rsidR="00716897">
        <w:rPr>
          <w:rFonts w:ascii="Arial" w:eastAsia="Arial Unicode MS" w:hAnsi="Arial" w:cs="Arial"/>
          <w:noProof/>
          <w:color w:val="auto"/>
        </w:rPr>
        <w:t>E</w:t>
      </w:r>
      <w:r w:rsidR="005F7191">
        <w:rPr>
          <w:rFonts w:ascii="Arial" w:eastAsia="Arial Unicode MS" w:hAnsi="Arial" w:cs="Arial"/>
          <w:noProof/>
          <w:color w:val="auto"/>
        </w:rPr>
        <w:t xml:space="preserve">nergy </w:t>
      </w:r>
      <w:r w:rsidRPr="00716897" w:rsidR="00716897">
        <w:rPr>
          <w:rFonts w:ascii="Arial" w:eastAsia="Arial Unicode MS" w:hAnsi="Arial" w:cs="Arial"/>
          <w:noProof/>
          <w:color w:val="auto"/>
        </w:rPr>
        <w:t>A</w:t>
      </w:r>
      <w:r w:rsidR="005F7191">
        <w:rPr>
          <w:rFonts w:ascii="Arial" w:eastAsia="Arial Unicode MS" w:hAnsi="Arial" w:cs="Arial"/>
          <w:noProof/>
          <w:color w:val="auto"/>
        </w:rPr>
        <w:t xml:space="preserve">ssistance </w:t>
      </w:r>
      <w:r w:rsidRPr="00716897" w:rsidR="00716897">
        <w:rPr>
          <w:rFonts w:ascii="Arial" w:eastAsia="Arial Unicode MS" w:hAnsi="Arial" w:cs="Arial"/>
          <w:noProof/>
          <w:color w:val="auto"/>
        </w:rPr>
        <w:t>P</w:t>
      </w:r>
      <w:r w:rsidR="005F7191">
        <w:rPr>
          <w:rFonts w:ascii="Arial" w:eastAsia="Arial Unicode MS" w:hAnsi="Arial" w:cs="Arial"/>
          <w:noProof/>
          <w:color w:val="auto"/>
        </w:rPr>
        <w:t>rogram</w:t>
      </w:r>
      <w:r w:rsidRPr="00716897" w:rsidR="00716897">
        <w:rPr>
          <w:rFonts w:ascii="Arial" w:eastAsia="Arial Unicode MS" w:hAnsi="Arial" w:cs="Arial"/>
          <w:noProof/>
          <w:color w:val="auto"/>
        </w:rPr>
        <w:t xml:space="preserve"> </w:t>
      </w:r>
      <w:r w:rsidR="00162A20">
        <w:rPr>
          <w:rFonts w:ascii="Arial" w:eastAsia="Arial Unicode MS" w:hAnsi="Arial" w:cs="Arial"/>
          <w:noProof/>
          <w:color w:val="auto"/>
        </w:rPr>
        <w:t xml:space="preserve">(LIHEAP) </w:t>
      </w:r>
      <w:r w:rsidRPr="00716897" w:rsidR="00716897">
        <w:rPr>
          <w:rFonts w:ascii="Arial" w:eastAsia="Arial Unicode MS" w:hAnsi="Arial" w:cs="Arial"/>
          <w:noProof/>
          <w:color w:val="auto"/>
        </w:rPr>
        <w:t>R</w:t>
      </w:r>
      <w:r w:rsidR="005F7191">
        <w:rPr>
          <w:rFonts w:ascii="Arial" w:eastAsia="Arial Unicode MS" w:hAnsi="Arial" w:cs="Arial"/>
          <w:noProof/>
          <w:color w:val="auto"/>
        </w:rPr>
        <w:t xml:space="preserve">esidential </w:t>
      </w:r>
      <w:r w:rsidRPr="00716897" w:rsidR="00716897">
        <w:rPr>
          <w:rFonts w:ascii="Arial" w:eastAsia="Arial Unicode MS" w:hAnsi="Arial" w:cs="Arial"/>
          <w:noProof/>
          <w:color w:val="auto"/>
        </w:rPr>
        <w:t>E</w:t>
      </w:r>
      <w:r w:rsidR="005F7191">
        <w:rPr>
          <w:rFonts w:ascii="Arial" w:eastAsia="Arial Unicode MS" w:hAnsi="Arial" w:cs="Arial"/>
          <w:noProof/>
          <w:color w:val="auto"/>
        </w:rPr>
        <w:t xml:space="preserve">nergy </w:t>
      </w:r>
      <w:r w:rsidRPr="00716897" w:rsidR="00716897">
        <w:rPr>
          <w:rFonts w:ascii="Arial" w:eastAsia="Arial Unicode MS" w:hAnsi="Arial" w:cs="Arial"/>
          <w:noProof/>
          <w:color w:val="auto"/>
        </w:rPr>
        <w:t>C</w:t>
      </w:r>
      <w:r w:rsidR="005F7191">
        <w:rPr>
          <w:rFonts w:ascii="Arial" w:eastAsia="Arial Unicode MS" w:hAnsi="Arial" w:cs="Arial"/>
          <w:noProof/>
          <w:color w:val="auto"/>
        </w:rPr>
        <w:t xml:space="preserve">onsumption </w:t>
      </w:r>
      <w:r w:rsidRPr="00716897" w:rsidR="00716897">
        <w:rPr>
          <w:rFonts w:ascii="Arial" w:eastAsia="Arial Unicode MS" w:hAnsi="Arial" w:cs="Arial"/>
          <w:noProof/>
          <w:color w:val="auto"/>
        </w:rPr>
        <w:t>S</w:t>
      </w:r>
      <w:r w:rsidR="005F7191">
        <w:rPr>
          <w:rFonts w:ascii="Arial" w:eastAsia="Arial Unicode MS" w:hAnsi="Arial" w:cs="Arial"/>
          <w:noProof/>
          <w:color w:val="auto"/>
        </w:rPr>
        <w:t>urvey</w:t>
      </w:r>
      <w:r w:rsidRPr="00716897" w:rsidR="00716897">
        <w:rPr>
          <w:rFonts w:ascii="Arial" w:eastAsia="Arial Unicode MS" w:hAnsi="Arial" w:cs="Arial"/>
          <w:noProof/>
          <w:color w:val="auto"/>
        </w:rPr>
        <w:t xml:space="preserve"> </w:t>
      </w:r>
      <w:r w:rsidR="008728D7">
        <w:rPr>
          <w:rFonts w:ascii="Arial" w:eastAsia="Arial Unicode MS" w:hAnsi="Arial" w:cs="Arial"/>
          <w:noProof/>
          <w:color w:val="auto"/>
        </w:rPr>
        <w:t>(RECS)</w:t>
      </w:r>
    </w:p>
    <w:p w:rsidR="00160621" w:rsidRPr="00160621" w:rsidP="0097798A" w14:paraId="431EDC7B" w14:textId="60766BA8">
      <w:pPr>
        <w:pStyle w:val="ReportCover-Title"/>
        <w:ind w:left="360" w:right="360"/>
        <w:jc w:val="center"/>
        <w:rPr>
          <w:rFonts w:ascii="Arial" w:hAnsi="Arial" w:cs="Arial"/>
          <w:color w:val="auto"/>
        </w:rPr>
      </w:pPr>
      <w:r>
        <w:rPr>
          <w:rFonts w:ascii="Arial" w:eastAsia="Arial Unicode MS" w:hAnsi="Arial" w:cs="Arial"/>
          <w:noProof/>
          <w:color w:val="auto"/>
        </w:rPr>
        <w:t xml:space="preserve"> </w:t>
      </w:r>
      <w:r w:rsidRPr="00716897" w:rsidR="00716897">
        <w:rPr>
          <w:rFonts w:ascii="Arial" w:eastAsia="Arial Unicode MS" w:hAnsi="Arial" w:cs="Arial"/>
          <w:noProof/>
          <w:color w:val="auto"/>
        </w:rPr>
        <w:t>Data Match</w:t>
      </w:r>
    </w:p>
    <w:p w:rsidR="00160621" w:rsidRPr="00160621" w:rsidP="00160621" w14:paraId="11FD39B2" w14:textId="77777777">
      <w:pPr>
        <w:pStyle w:val="ReportCover-Title"/>
        <w:rPr>
          <w:rFonts w:ascii="Arial" w:hAnsi="Arial" w:cs="Arial"/>
          <w:color w:val="auto"/>
        </w:rPr>
      </w:pPr>
    </w:p>
    <w:p w:rsidR="00160621" w:rsidRPr="00160621" w:rsidP="00160621" w14:paraId="3A9B216E" w14:textId="77777777">
      <w:pPr>
        <w:pStyle w:val="ReportCover-Title"/>
        <w:rPr>
          <w:rFonts w:ascii="Arial" w:hAnsi="Arial" w:cs="Arial"/>
          <w:color w:val="auto"/>
        </w:rPr>
      </w:pPr>
    </w:p>
    <w:p w:rsidR="00160621" w:rsidRPr="00160621" w:rsidP="00160621" w14:paraId="6C5E428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772B9035" w14:textId="70DC6B0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9F052C" w:rsidR="009F052C">
        <w:rPr>
          <w:rFonts w:ascii="Arial" w:hAnsi="Arial" w:cs="Arial"/>
          <w:color w:val="auto"/>
          <w:sz w:val="32"/>
          <w:szCs w:val="32"/>
        </w:rPr>
        <w:t>0486</w:t>
      </w:r>
    </w:p>
    <w:p w:rsidR="00160621" w:rsidRPr="00160621" w:rsidP="00160621" w14:paraId="5D4826A1" w14:textId="77777777">
      <w:pPr>
        <w:rPr>
          <w:rFonts w:ascii="Arial" w:hAnsi="Arial" w:cs="Arial"/>
          <w:szCs w:val="22"/>
        </w:rPr>
      </w:pPr>
    </w:p>
    <w:p w:rsidR="00160621" w:rsidRPr="00160621" w:rsidP="00160621" w14:paraId="33FEE58D" w14:textId="77777777">
      <w:pPr>
        <w:pStyle w:val="ReportCover-Date"/>
        <w:jc w:val="center"/>
        <w:rPr>
          <w:rFonts w:ascii="Arial" w:hAnsi="Arial" w:cs="Arial"/>
          <w:color w:val="auto"/>
        </w:rPr>
      </w:pPr>
    </w:p>
    <w:p w:rsidR="00160621" w:rsidRPr="00160621" w:rsidP="00597E7F" w14:paraId="54B91DC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5CB72C2F" w14:textId="4DF08076">
      <w:pPr>
        <w:pStyle w:val="ReportCover-Date"/>
        <w:jc w:val="center"/>
        <w:rPr>
          <w:rFonts w:ascii="Arial" w:hAnsi="Arial" w:cs="Arial"/>
          <w:color w:val="auto"/>
        </w:rPr>
      </w:pPr>
      <w:r w:rsidRPr="00FD11E7">
        <w:rPr>
          <w:rFonts w:ascii="Arial" w:hAnsi="Arial" w:cs="Arial"/>
          <w:color w:val="auto"/>
        </w:rPr>
        <w:t>April</w:t>
      </w:r>
      <w:r w:rsidRPr="00FD11E7" w:rsidR="00637A69">
        <w:rPr>
          <w:rFonts w:ascii="Arial" w:hAnsi="Arial" w:cs="Arial"/>
          <w:color w:val="auto"/>
        </w:rPr>
        <w:t xml:space="preserve"> </w:t>
      </w:r>
      <w:r w:rsidRPr="00FD11E7" w:rsidR="00687110">
        <w:rPr>
          <w:rFonts w:ascii="Arial" w:hAnsi="Arial" w:cs="Arial"/>
          <w:color w:val="auto"/>
        </w:rPr>
        <w:t>202</w:t>
      </w:r>
      <w:r w:rsidRPr="00FD11E7" w:rsidR="00637A69">
        <w:rPr>
          <w:rFonts w:ascii="Arial" w:hAnsi="Arial" w:cs="Arial"/>
          <w:color w:val="auto"/>
        </w:rPr>
        <w:t>6</w:t>
      </w:r>
    </w:p>
    <w:p w:rsidR="00160621" w:rsidP="00160621" w14:paraId="7A26F451" w14:textId="77777777">
      <w:pPr>
        <w:jc w:val="center"/>
        <w:rPr>
          <w:rFonts w:ascii="Arial" w:hAnsi="Arial" w:cs="Arial"/>
        </w:rPr>
      </w:pPr>
    </w:p>
    <w:p w:rsidR="00597E7F" w:rsidP="00160621" w14:paraId="4377C12F" w14:textId="77777777">
      <w:pPr>
        <w:jc w:val="center"/>
        <w:rPr>
          <w:rFonts w:ascii="Arial" w:hAnsi="Arial" w:cs="Arial"/>
        </w:rPr>
      </w:pPr>
    </w:p>
    <w:p w:rsidR="00597E7F" w:rsidP="00160621" w14:paraId="643B085B" w14:textId="77777777">
      <w:pPr>
        <w:jc w:val="center"/>
        <w:rPr>
          <w:rFonts w:ascii="Arial" w:hAnsi="Arial" w:cs="Arial"/>
        </w:rPr>
      </w:pPr>
    </w:p>
    <w:p w:rsidR="00354B20" w:rsidP="00354B20" w14:paraId="1D28DDC1" w14:textId="13BE2E27">
      <w:pPr>
        <w:jc w:val="center"/>
        <w:rPr>
          <w:rFonts w:ascii="Arial" w:hAnsi="Arial" w:cs="Arial"/>
          <w:b/>
          <w:bCs/>
          <w:sz w:val="32"/>
          <w:szCs w:val="32"/>
        </w:rPr>
      </w:pPr>
      <w:r w:rsidRPr="7B0E0B3A">
        <w:rPr>
          <w:rFonts w:ascii="Arial" w:hAnsi="Arial" w:cs="Arial"/>
          <w:b/>
          <w:bCs/>
          <w:sz w:val="32"/>
          <w:szCs w:val="32"/>
        </w:rPr>
        <w:t xml:space="preserve">Type of Request: </w:t>
      </w:r>
      <w:r>
        <w:rPr>
          <w:rFonts w:ascii="Arial" w:hAnsi="Arial" w:cs="Arial"/>
          <w:sz w:val="32"/>
          <w:szCs w:val="32"/>
        </w:rPr>
        <w:t xml:space="preserve">Reinstatement </w:t>
      </w:r>
      <w:r w:rsidRPr="7B0E0B3A">
        <w:rPr>
          <w:rFonts w:ascii="Arial" w:hAnsi="Arial" w:cs="Arial"/>
          <w:sz w:val="32"/>
          <w:szCs w:val="32"/>
        </w:rPr>
        <w:t>with Change</w:t>
      </w:r>
      <w:r>
        <w:rPr>
          <w:rFonts w:ascii="Arial" w:hAnsi="Arial" w:cs="Arial"/>
          <w:sz w:val="32"/>
          <w:szCs w:val="32"/>
        </w:rPr>
        <w:t>s</w:t>
      </w:r>
    </w:p>
    <w:p w:rsidR="00597E7F" w:rsidP="00160621" w14:paraId="47BC748F" w14:textId="77777777">
      <w:pPr>
        <w:jc w:val="center"/>
        <w:rPr>
          <w:rFonts w:ascii="Arial" w:hAnsi="Arial" w:cs="Arial"/>
        </w:rPr>
      </w:pPr>
    </w:p>
    <w:p w:rsidR="00597E7F" w:rsidP="00160621" w14:paraId="23D06233" w14:textId="77777777">
      <w:pPr>
        <w:jc w:val="center"/>
        <w:rPr>
          <w:rFonts w:ascii="Arial" w:hAnsi="Arial" w:cs="Arial"/>
        </w:rPr>
      </w:pPr>
    </w:p>
    <w:p w:rsidR="00597E7F" w:rsidP="00160621" w14:paraId="0C54069D" w14:textId="77777777">
      <w:pPr>
        <w:jc w:val="center"/>
        <w:rPr>
          <w:rFonts w:ascii="Arial" w:hAnsi="Arial" w:cs="Arial"/>
        </w:rPr>
      </w:pPr>
    </w:p>
    <w:p w:rsidR="00597E7F" w:rsidP="00160621" w14:paraId="0E8E5E79" w14:textId="77777777">
      <w:pPr>
        <w:jc w:val="center"/>
        <w:rPr>
          <w:rFonts w:ascii="Arial" w:hAnsi="Arial" w:cs="Arial"/>
        </w:rPr>
      </w:pPr>
    </w:p>
    <w:p w:rsidR="00597E7F" w:rsidP="00160621" w14:paraId="06CB0C98" w14:textId="77777777">
      <w:pPr>
        <w:jc w:val="center"/>
        <w:rPr>
          <w:rFonts w:ascii="Arial" w:hAnsi="Arial" w:cs="Arial"/>
        </w:rPr>
      </w:pPr>
    </w:p>
    <w:p w:rsidR="00597E7F" w:rsidP="00160621" w14:paraId="36AEE562" w14:textId="77777777">
      <w:pPr>
        <w:jc w:val="center"/>
        <w:rPr>
          <w:rFonts w:ascii="Arial" w:hAnsi="Arial" w:cs="Arial"/>
        </w:rPr>
      </w:pPr>
    </w:p>
    <w:p w:rsidR="00597E7F" w:rsidP="00160621" w14:paraId="6EA2A2FC" w14:textId="77777777">
      <w:pPr>
        <w:jc w:val="center"/>
        <w:rPr>
          <w:rFonts w:ascii="Arial" w:hAnsi="Arial" w:cs="Arial"/>
        </w:rPr>
      </w:pPr>
    </w:p>
    <w:p w:rsidR="00597E7F" w:rsidP="00160621" w14:paraId="70539B33" w14:textId="77777777">
      <w:pPr>
        <w:jc w:val="center"/>
        <w:rPr>
          <w:rFonts w:ascii="Arial" w:hAnsi="Arial" w:cs="Arial"/>
        </w:rPr>
      </w:pPr>
    </w:p>
    <w:p w:rsidR="00597E7F" w:rsidP="00160621" w14:paraId="5275E4E5" w14:textId="77777777">
      <w:pPr>
        <w:jc w:val="center"/>
        <w:rPr>
          <w:rFonts w:ascii="Arial" w:hAnsi="Arial" w:cs="Arial"/>
        </w:rPr>
      </w:pPr>
    </w:p>
    <w:p w:rsidR="00597E7F" w:rsidP="00160621" w14:paraId="0FDAF84A" w14:textId="77777777">
      <w:pPr>
        <w:jc w:val="center"/>
        <w:rPr>
          <w:rFonts w:ascii="Arial" w:hAnsi="Arial" w:cs="Arial"/>
        </w:rPr>
      </w:pPr>
    </w:p>
    <w:p w:rsidR="00597E7F" w:rsidRPr="00160621" w:rsidP="00160621" w14:paraId="5E73F337" w14:textId="77777777">
      <w:pPr>
        <w:jc w:val="center"/>
        <w:rPr>
          <w:rFonts w:ascii="Arial" w:hAnsi="Arial" w:cs="Arial"/>
        </w:rPr>
      </w:pPr>
    </w:p>
    <w:p w:rsidR="00160621" w:rsidRPr="00160621" w:rsidP="00160621" w14:paraId="214677FF" w14:textId="77777777">
      <w:pPr>
        <w:jc w:val="center"/>
        <w:rPr>
          <w:rFonts w:ascii="Arial" w:hAnsi="Arial" w:cs="Arial"/>
        </w:rPr>
      </w:pPr>
      <w:r w:rsidRPr="00160621">
        <w:rPr>
          <w:rFonts w:ascii="Arial" w:hAnsi="Arial" w:cs="Arial"/>
        </w:rPr>
        <w:t>Submitted By:</w:t>
      </w:r>
    </w:p>
    <w:p w:rsidR="00160621" w:rsidRPr="00160621" w:rsidP="00160621" w14:paraId="27764482" w14:textId="5924AC5C">
      <w:pPr>
        <w:jc w:val="center"/>
        <w:rPr>
          <w:rFonts w:ascii="Arial" w:hAnsi="Arial" w:cs="Arial"/>
        </w:rPr>
      </w:pPr>
      <w:r w:rsidRPr="00372E1E">
        <w:rPr>
          <w:rFonts w:ascii="Arial" w:hAnsi="Arial" w:cs="Arial"/>
        </w:rPr>
        <w:t>Office of Community Services</w:t>
      </w:r>
    </w:p>
    <w:p w:rsidR="00160621" w:rsidRPr="00160621" w:rsidP="00160621" w14:paraId="7F2F0504"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9E069D5" w14:textId="77777777">
      <w:pPr>
        <w:jc w:val="center"/>
        <w:rPr>
          <w:rFonts w:ascii="Arial" w:hAnsi="Arial" w:cs="Arial"/>
        </w:rPr>
      </w:pPr>
      <w:r w:rsidRPr="00160621">
        <w:rPr>
          <w:rFonts w:ascii="Arial" w:hAnsi="Arial" w:cs="Arial"/>
        </w:rPr>
        <w:t>U.S. Department of Health and Human Services</w:t>
      </w:r>
    </w:p>
    <w:p w:rsidR="00160621" w:rsidRPr="00160621" w:rsidP="00160621" w14:paraId="4148E220" w14:textId="77777777">
      <w:pPr>
        <w:jc w:val="center"/>
        <w:rPr>
          <w:rFonts w:ascii="Arial" w:hAnsi="Arial" w:cs="Arial"/>
        </w:rPr>
      </w:pPr>
    </w:p>
    <w:p w:rsidR="00160621" w:rsidP="00160621" w14:paraId="2417C5FC" w14:textId="77777777">
      <w:pPr>
        <w:jc w:val="center"/>
        <w:rPr>
          <w:rFonts w:ascii="Arial" w:hAnsi="Arial" w:cs="Arial"/>
        </w:rPr>
      </w:pPr>
    </w:p>
    <w:p w:rsidR="00160621" w:rsidP="00160621" w14:paraId="3F131EA7" w14:textId="77777777">
      <w:pPr>
        <w:jc w:val="center"/>
        <w:rPr>
          <w:rFonts w:ascii="Arial" w:hAnsi="Arial" w:cs="Arial"/>
        </w:rPr>
      </w:pPr>
    </w:p>
    <w:p w:rsidR="00160621" w:rsidP="00160621" w14:paraId="5B8BB8CB" w14:textId="77777777">
      <w:pPr>
        <w:jc w:val="center"/>
        <w:rPr>
          <w:rFonts w:ascii="Arial" w:hAnsi="Arial" w:cs="Arial"/>
        </w:rPr>
      </w:pPr>
    </w:p>
    <w:p w:rsidR="00160621" w:rsidP="00160621" w14:paraId="1A3D3291" w14:textId="77777777">
      <w:pPr>
        <w:jc w:val="center"/>
        <w:rPr>
          <w:rFonts w:ascii="Arial" w:hAnsi="Arial" w:cs="Arial"/>
        </w:rPr>
      </w:pPr>
    </w:p>
    <w:p w:rsidR="002C3C4F" w:rsidRPr="004821C4" w:rsidP="004821C4" w14:paraId="473FC6FF" w14:textId="77777777">
      <w:pPr>
        <w:widowControl/>
        <w:numPr>
          <w:ilvl w:val="0"/>
          <w:numId w:val="3"/>
        </w:numPr>
        <w:tabs>
          <w:tab w:val="num" w:pos="360"/>
          <w:tab w:val="clear" w:pos="720"/>
        </w:tabs>
        <w:spacing w:after="100" w:afterAutospacing="1"/>
        <w:ind w:left="360"/>
        <w:rPr>
          <w:rFonts w:ascii="Times New Roman" w:hAnsi="Times New Roman"/>
          <w:b/>
          <w:snapToGrid/>
          <w:sz w:val="24"/>
          <w:szCs w:val="24"/>
        </w:rPr>
      </w:pPr>
      <w:r w:rsidRPr="004821C4">
        <w:rPr>
          <w:rFonts w:ascii="Times New Roman" w:hAnsi="Times New Roman"/>
          <w:b/>
          <w:snapToGrid/>
          <w:sz w:val="24"/>
          <w:szCs w:val="24"/>
        </w:rPr>
        <w:t xml:space="preserve">Circumstances Making the Collection of Information Necessary </w:t>
      </w:r>
    </w:p>
    <w:p w:rsidR="00961B1B" w:rsidRPr="00961B1B" w:rsidP="00EE4D5A" w14:paraId="5F807F28" w14:textId="42DB4B7F">
      <w:pPr>
        <w:widowControl/>
        <w:tabs>
          <w:tab w:val="num" w:pos="360"/>
        </w:tabs>
        <w:spacing w:after="60"/>
        <w:ind w:left="360"/>
        <w:rPr>
          <w:rFonts w:ascii="Times New Roman" w:hAnsi="Times New Roman"/>
          <w:snapToGrid/>
          <w:sz w:val="24"/>
          <w:szCs w:val="24"/>
        </w:rPr>
      </w:pPr>
      <w:bookmarkStart w:id="0" w:name="OLE_LINK1"/>
      <w:r w:rsidRPr="00961B1B">
        <w:rPr>
          <w:rFonts w:ascii="Times New Roman" w:hAnsi="Times New Roman"/>
          <w:snapToGrid/>
          <w:sz w:val="24"/>
          <w:szCs w:val="24"/>
        </w:rPr>
        <w:t xml:space="preserve">The </w:t>
      </w:r>
      <w:r w:rsidRPr="00961B1B">
        <w:rPr>
          <w:rFonts w:ascii="Times New Roman" w:hAnsi="Times New Roman"/>
          <w:snapToGrid/>
          <w:sz w:val="24"/>
          <w:szCs w:val="24"/>
        </w:rPr>
        <w:t>Low Income</w:t>
      </w:r>
      <w:r w:rsidRPr="00961B1B">
        <w:rPr>
          <w:rFonts w:ascii="Times New Roman" w:hAnsi="Times New Roman"/>
          <w:snapToGrid/>
          <w:sz w:val="24"/>
          <w:szCs w:val="24"/>
        </w:rPr>
        <w:t xml:space="preserv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w:t>
      </w:r>
      <w:r w:rsidRPr="00961B1B" w:rsidR="40E8FE1E">
        <w:rPr>
          <w:rFonts w:ascii="Times New Roman" w:hAnsi="Times New Roman"/>
          <w:snapToGrid/>
          <w:sz w:val="24"/>
          <w:szCs w:val="24"/>
        </w:rPr>
        <w:t>f</w:t>
      </w:r>
      <w:r w:rsidRPr="00961B1B">
        <w:rPr>
          <w:rFonts w:ascii="Times New Roman" w:hAnsi="Times New Roman"/>
          <w:snapToGrid/>
          <w:sz w:val="24"/>
          <w:szCs w:val="24"/>
        </w:rPr>
        <w:t>ederal level.</w:t>
      </w:r>
      <w:r>
        <w:rPr>
          <w:rFonts w:ascii="Times New Roman" w:hAnsi="Times New Roman"/>
          <w:snapToGrid/>
          <w:sz w:val="24"/>
          <w:szCs w:val="24"/>
        </w:rPr>
        <w:br/>
      </w:r>
      <w:r>
        <w:rPr>
          <w:rFonts w:ascii="Times New Roman" w:hAnsi="Times New Roman"/>
          <w:snapToGrid/>
          <w:sz w:val="24"/>
          <w:szCs w:val="24"/>
        </w:rPr>
        <w:br/>
      </w:r>
      <w:r w:rsidRPr="00961B1B">
        <w:rPr>
          <w:rFonts w:ascii="Times New Roman" w:hAnsi="Times New Roman"/>
          <w:snapToGrid/>
          <w:sz w:val="24"/>
          <w:szCs w:val="24"/>
        </w:rPr>
        <w:t xml:space="preserve">The LIHEAP statute requires the program to collect data on </w:t>
      </w:r>
      <w:r w:rsidR="00AD2BCB">
        <w:rPr>
          <w:rFonts w:ascii="Times New Roman" w:hAnsi="Times New Roman"/>
          <w:snapToGrid/>
          <w:sz w:val="24"/>
          <w:szCs w:val="24"/>
        </w:rPr>
        <w:t xml:space="preserve">beneficiary </w:t>
      </w:r>
      <w:r w:rsidRPr="00961B1B">
        <w:rPr>
          <w:rFonts w:ascii="Times New Roman" w:hAnsi="Times New Roman"/>
          <w:snapToGrid/>
          <w:sz w:val="24"/>
          <w:szCs w:val="24"/>
        </w:rPr>
        <w:t>and eligible households, to report to Congress on program impacts annually, to develop performance goals, to ensure that benefits are targeted to those households with the greatest home energy need, and to assure that timely resources are available to households experiencing home energy crises. These specific statutory requirements are as follows:</w:t>
      </w:r>
    </w:p>
    <w:p w:rsidR="00961B1B" w:rsidRPr="00961B1B" w:rsidP="00EE4D5A" w14:paraId="5A873C34" w14:textId="4DA2447C">
      <w:pPr>
        <w:pStyle w:val="ListParagraph"/>
        <w:widowControl/>
        <w:numPr>
          <w:ilvl w:val="0"/>
          <w:numId w:val="20"/>
        </w:numPr>
        <w:tabs>
          <w:tab w:val="num" w:pos="720"/>
        </w:tabs>
        <w:ind w:left="1080"/>
        <w:rPr>
          <w:rFonts w:ascii="Times New Roman" w:hAnsi="Times New Roman"/>
          <w:snapToGrid/>
          <w:sz w:val="24"/>
          <w:szCs w:val="24"/>
        </w:rPr>
      </w:pPr>
      <w:r w:rsidRPr="00D4227B">
        <w:rPr>
          <w:rFonts w:ascii="Times New Roman" w:hAnsi="Times New Roman"/>
          <w:snapToGrid/>
          <w:sz w:val="24"/>
          <w:szCs w:val="24"/>
          <w:u w:val="single"/>
        </w:rPr>
        <w:t xml:space="preserve">Section 2605(b)(5) of the </w:t>
      </w:r>
      <w:r w:rsidRPr="00D4227B">
        <w:rPr>
          <w:rFonts w:ascii="Times New Roman" w:hAnsi="Times New Roman"/>
          <w:snapToGrid/>
          <w:sz w:val="24"/>
          <w:szCs w:val="24"/>
          <w:u w:val="single"/>
        </w:rPr>
        <w:t>Low Income</w:t>
      </w:r>
      <w:r w:rsidRPr="00D4227B">
        <w:rPr>
          <w:rFonts w:ascii="Times New Roman" w:hAnsi="Times New Roman"/>
          <w:snapToGrid/>
          <w:sz w:val="24"/>
          <w:szCs w:val="24"/>
          <w:u w:val="single"/>
        </w:rPr>
        <w:t xml:space="preserve"> Home Energy Assistance Act of 1981 (42 U.S.C. §8624(b)(5))</w:t>
      </w:r>
      <w:r w:rsidRPr="00D4227B">
        <w:rPr>
          <w:rFonts w:ascii="Times New Roman" w:hAnsi="Times New Roman"/>
          <w:snapToGrid/>
          <w:sz w:val="24"/>
          <w:szCs w:val="24"/>
        </w:rPr>
        <w:t xml:space="preserve">, which </w:t>
      </w:r>
      <w:r w:rsidRPr="00961B1B">
        <w:rPr>
          <w:rFonts w:ascii="Times New Roman" w:hAnsi="Times New Roman"/>
          <w:snapToGrid/>
          <w:sz w:val="24"/>
          <w:szCs w:val="24"/>
        </w:rPr>
        <w:t>requires LIHEAP grant</w:t>
      </w:r>
      <w:r w:rsidR="005F7191">
        <w:rPr>
          <w:rFonts w:ascii="Times New Roman" w:hAnsi="Times New Roman"/>
          <w:snapToGrid/>
          <w:sz w:val="24"/>
          <w:szCs w:val="24"/>
        </w:rPr>
        <w:t xml:space="preserve"> recipients</w:t>
      </w:r>
      <w:r w:rsidRPr="00961B1B">
        <w:rPr>
          <w:rFonts w:ascii="Times New Roman" w:hAnsi="Times New Roman"/>
          <w:snapToGrid/>
          <w:sz w:val="24"/>
          <w:szCs w:val="24"/>
        </w:rPr>
        <w:t xml:space="preserve"> to furnish the highest level of energy assistance to households that have the lowest incomes and the highest energy costs or needs in relation to income;</w:t>
      </w:r>
    </w:p>
    <w:p w:rsidR="00961B1B" w:rsidRPr="00961B1B" w:rsidP="00EE4D5A" w14:paraId="111D8796" w14:textId="55577578">
      <w:pPr>
        <w:pStyle w:val="ListParagraph"/>
        <w:widowControl/>
        <w:numPr>
          <w:ilvl w:val="0"/>
          <w:numId w:val="20"/>
        </w:numPr>
        <w:tabs>
          <w:tab w:val="num" w:pos="720"/>
        </w:tabs>
        <w:ind w:left="1080"/>
        <w:rPr>
          <w:rFonts w:ascii="Times New Roman" w:hAnsi="Times New Roman"/>
          <w:snapToGrid/>
          <w:sz w:val="24"/>
          <w:szCs w:val="24"/>
        </w:rPr>
      </w:pPr>
      <w:r w:rsidRPr="00D4227B">
        <w:rPr>
          <w:rFonts w:ascii="Times New Roman" w:hAnsi="Times New Roman"/>
          <w:snapToGrid/>
          <w:sz w:val="24"/>
          <w:szCs w:val="24"/>
          <w:u w:val="single"/>
        </w:rPr>
        <w:t xml:space="preserve">Section 2604(c) of the </w:t>
      </w:r>
      <w:r w:rsidRPr="00D4227B">
        <w:rPr>
          <w:rFonts w:ascii="Times New Roman" w:hAnsi="Times New Roman"/>
          <w:snapToGrid/>
          <w:sz w:val="24"/>
          <w:szCs w:val="24"/>
          <w:u w:val="single"/>
        </w:rPr>
        <w:t>Low Income</w:t>
      </w:r>
      <w:r w:rsidRPr="00D4227B">
        <w:rPr>
          <w:rFonts w:ascii="Times New Roman" w:hAnsi="Times New Roman"/>
          <w:snapToGrid/>
          <w:sz w:val="24"/>
          <w:szCs w:val="24"/>
          <w:u w:val="single"/>
        </w:rPr>
        <w:t xml:space="preserve"> Home Energy Assistance Act of 1981 (42 U.S.C. §8623(c))</w:t>
      </w:r>
      <w:r w:rsidRPr="00D4227B">
        <w:rPr>
          <w:rFonts w:ascii="Times New Roman" w:hAnsi="Times New Roman"/>
          <w:snapToGrid/>
          <w:sz w:val="24"/>
          <w:szCs w:val="24"/>
        </w:rPr>
        <w:t xml:space="preserve">, which </w:t>
      </w:r>
      <w:r w:rsidRPr="00961B1B">
        <w:rPr>
          <w:rFonts w:ascii="Times New Roman" w:hAnsi="Times New Roman"/>
          <w:snapToGrid/>
          <w:sz w:val="24"/>
          <w:szCs w:val="24"/>
        </w:rPr>
        <w:t>requires LIHEAP grant</w:t>
      </w:r>
      <w:r w:rsidR="005F7191">
        <w:rPr>
          <w:rFonts w:ascii="Times New Roman" w:hAnsi="Times New Roman"/>
          <w:snapToGrid/>
          <w:sz w:val="24"/>
          <w:szCs w:val="24"/>
        </w:rPr>
        <w:t xml:space="preserve"> recipients</w:t>
      </w:r>
      <w:r w:rsidRPr="00961B1B">
        <w:rPr>
          <w:rFonts w:ascii="Times New Roman" w:hAnsi="Times New Roman"/>
          <w:snapToGrid/>
          <w:sz w:val="24"/>
          <w:szCs w:val="24"/>
        </w:rPr>
        <w:t xml:space="preserve"> to (1) reserve a reasonable amount of LIHEAP funds for energy crisis intervention; and (2) address such crises within 18 or 48 hours, depending upon the severity of the crisis;</w:t>
      </w:r>
    </w:p>
    <w:p w:rsidR="00961B1B" w:rsidRPr="00961B1B" w:rsidP="00EE4D5A" w14:paraId="34E74029" w14:textId="7BD868EB">
      <w:pPr>
        <w:pStyle w:val="ListParagraph"/>
        <w:widowControl/>
        <w:numPr>
          <w:ilvl w:val="0"/>
          <w:numId w:val="20"/>
        </w:numPr>
        <w:tabs>
          <w:tab w:val="num" w:pos="720"/>
        </w:tabs>
        <w:ind w:left="1080"/>
        <w:rPr>
          <w:rFonts w:ascii="Times New Roman" w:hAnsi="Times New Roman"/>
          <w:snapToGrid/>
          <w:sz w:val="24"/>
          <w:szCs w:val="24"/>
        </w:rPr>
      </w:pPr>
      <w:r w:rsidRPr="00D4227B">
        <w:rPr>
          <w:rFonts w:ascii="Times New Roman" w:hAnsi="Times New Roman"/>
          <w:snapToGrid/>
          <w:sz w:val="24"/>
          <w:szCs w:val="24"/>
          <w:u w:val="single"/>
        </w:rPr>
        <w:t xml:space="preserve">Section 2610(a) of the </w:t>
      </w:r>
      <w:r w:rsidRPr="00D4227B">
        <w:rPr>
          <w:rFonts w:ascii="Times New Roman" w:hAnsi="Times New Roman"/>
          <w:snapToGrid/>
          <w:sz w:val="24"/>
          <w:szCs w:val="24"/>
          <w:u w:val="single"/>
        </w:rPr>
        <w:t>Low Income</w:t>
      </w:r>
      <w:r w:rsidRPr="00D4227B">
        <w:rPr>
          <w:rFonts w:ascii="Times New Roman" w:hAnsi="Times New Roman"/>
          <w:snapToGrid/>
          <w:sz w:val="24"/>
          <w:szCs w:val="24"/>
          <w:u w:val="single"/>
        </w:rPr>
        <w:t xml:space="preserve"> Home Energy Assistance Act of 1981 (42 U.S.C. §8629(a))</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HHS to collect specific information on the characteristics of LIHEAP </w:t>
      </w:r>
      <w:r w:rsidR="00AD2BCB">
        <w:rPr>
          <w:rFonts w:ascii="Times New Roman" w:hAnsi="Times New Roman"/>
          <w:snapToGrid/>
          <w:sz w:val="24"/>
          <w:szCs w:val="24"/>
        </w:rPr>
        <w:t xml:space="preserve">beneficiary </w:t>
      </w:r>
      <w:r w:rsidRPr="00961B1B">
        <w:rPr>
          <w:rFonts w:ascii="Times New Roman" w:hAnsi="Times New Roman"/>
          <w:snapToGrid/>
          <w:sz w:val="24"/>
          <w:szCs w:val="24"/>
        </w:rPr>
        <w:t xml:space="preserve">and LIHEAP eligible households within each </w:t>
      </w:r>
      <w:r w:rsidR="00D672B6">
        <w:rPr>
          <w:rFonts w:ascii="Times New Roman" w:hAnsi="Times New Roman"/>
          <w:snapToGrid/>
          <w:sz w:val="24"/>
          <w:szCs w:val="24"/>
        </w:rPr>
        <w:t>s</w:t>
      </w:r>
      <w:r w:rsidRPr="00961B1B">
        <w:rPr>
          <w:rFonts w:ascii="Times New Roman" w:hAnsi="Times New Roman"/>
          <w:snapToGrid/>
          <w:sz w:val="24"/>
          <w:szCs w:val="24"/>
        </w:rPr>
        <w:t xml:space="preserve">tate. This includes collecting information that is reasonably necessary to carry out the provisions of the LIHEAP statute if that information is not collected by any other agency of the </w:t>
      </w:r>
      <w:r w:rsidR="00EA59DC">
        <w:rPr>
          <w:rFonts w:ascii="Times New Roman" w:hAnsi="Times New Roman"/>
          <w:snapToGrid/>
          <w:sz w:val="24"/>
          <w:szCs w:val="24"/>
        </w:rPr>
        <w:t>f</w:t>
      </w:r>
      <w:r w:rsidRPr="00961B1B">
        <w:rPr>
          <w:rFonts w:ascii="Times New Roman" w:hAnsi="Times New Roman"/>
          <w:snapToGrid/>
          <w:sz w:val="24"/>
          <w:szCs w:val="24"/>
        </w:rPr>
        <w:t xml:space="preserve">ederal </w:t>
      </w:r>
      <w:r w:rsidR="00EA59DC">
        <w:rPr>
          <w:rFonts w:ascii="Times New Roman" w:hAnsi="Times New Roman"/>
          <w:snapToGrid/>
          <w:sz w:val="24"/>
          <w:szCs w:val="24"/>
        </w:rPr>
        <w:t>g</w:t>
      </w:r>
      <w:r w:rsidRPr="00961B1B">
        <w:rPr>
          <w:rFonts w:ascii="Times New Roman" w:hAnsi="Times New Roman"/>
          <w:snapToGrid/>
          <w:sz w:val="24"/>
          <w:szCs w:val="24"/>
        </w:rPr>
        <w:t>overnment; and</w:t>
      </w:r>
    </w:p>
    <w:p w:rsidR="00961B1B" w:rsidP="00EE4D5A" w14:paraId="2695475A" w14:textId="71EC2252">
      <w:pPr>
        <w:pStyle w:val="ListParagraph"/>
        <w:widowControl/>
        <w:numPr>
          <w:ilvl w:val="0"/>
          <w:numId w:val="20"/>
        </w:numPr>
        <w:tabs>
          <w:tab w:val="num" w:pos="720"/>
        </w:tabs>
        <w:ind w:left="1080"/>
        <w:rPr>
          <w:rFonts w:ascii="Times New Roman" w:hAnsi="Times New Roman"/>
          <w:snapToGrid/>
          <w:sz w:val="24"/>
          <w:szCs w:val="24"/>
        </w:rPr>
      </w:pPr>
      <w:r w:rsidRPr="00D4227B">
        <w:rPr>
          <w:rFonts w:ascii="Times New Roman" w:hAnsi="Times New Roman"/>
          <w:snapToGrid/>
          <w:sz w:val="24"/>
          <w:szCs w:val="24"/>
          <w:u w:val="single"/>
        </w:rPr>
        <w:t xml:space="preserve">Section 2610(b)(2) of the </w:t>
      </w:r>
      <w:r w:rsidRPr="00D4227B">
        <w:rPr>
          <w:rFonts w:ascii="Times New Roman" w:hAnsi="Times New Roman"/>
          <w:snapToGrid/>
          <w:sz w:val="24"/>
          <w:szCs w:val="24"/>
          <w:u w:val="single"/>
        </w:rPr>
        <w:t>Low Income</w:t>
      </w:r>
      <w:r w:rsidRPr="00D4227B">
        <w:rPr>
          <w:rFonts w:ascii="Times New Roman" w:hAnsi="Times New Roman"/>
          <w:snapToGrid/>
          <w:sz w:val="24"/>
          <w:szCs w:val="24"/>
          <w:u w:val="single"/>
        </w:rPr>
        <w:t xml:space="preserve"> Home Energy Assistance Act of 1981 (42 U.S.C. §8629(b)(2))</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HHS to annually report to Congress on the impact LIHEAP is making on </w:t>
      </w:r>
      <w:r w:rsidR="00AD2BCB">
        <w:rPr>
          <w:rFonts w:ascii="Times New Roman" w:hAnsi="Times New Roman"/>
          <w:snapToGrid/>
          <w:sz w:val="24"/>
          <w:szCs w:val="24"/>
        </w:rPr>
        <w:t xml:space="preserve">beneficiary </w:t>
      </w:r>
      <w:r w:rsidRPr="00961B1B" w:rsidR="0033508C">
        <w:rPr>
          <w:rFonts w:ascii="Times New Roman" w:hAnsi="Times New Roman"/>
          <w:snapToGrid/>
          <w:sz w:val="24"/>
          <w:szCs w:val="24"/>
        </w:rPr>
        <w:t>and</w:t>
      </w:r>
      <w:r w:rsidRPr="00961B1B">
        <w:rPr>
          <w:rFonts w:ascii="Times New Roman" w:hAnsi="Times New Roman"/>
          <w:snapToGrid/>
          <w:sz w:val="24"/>
          <w:szCs w:val="24"/>
        </w:rPr>
        <w:t xml:space="preserve"> income</w:t>
      </w:r>
      <w:r w:rsidRPr="00961B1B" w:rsidR="10800895">
        <w:rPr>
          <w:rFonts w:ascii="Times New Roman" w:hAnsi="Times New Roman"/>
          <w:snapToGrid/>
          <w:sz w:val="24"/>
          <w:szCs w:val="24"/>
        </w:rPr>
        <w:t>-</w:t>
      </w:r>
      <w:r w:rsidRPr="00961B1B">
        <w:rPr>
          <w:rFonts w:ascii="Times New Roman" w:hAnsi="Times New Roman"/>
          <w:snapToGrid/>
          <w:sz w:val="24"/>
          <w:szCs w:val="24"/>
        </w:rPr>
        <w:t>eligible households.</w:t>
      </w:r>
    </w:p>
    <w:p w:rsidR="00637A69" w:rsidRPr="00961B1B" w:rsidP="00EE4D5A" w14:paraId="0C5E6066" w14:textId="28916243">
      <w:pPr>
        <w:pStyle w:val="ListParagraph"/>
        <w:widowControl/>
        <w:numPr>
          <w:ilvl w:val="0"/>
          <w:numId w:val="20"/>
        </w:numPr>
        <w:tabs>
          <w:tab w:val="num" w:pos="720"/>
        </w:tabs>
        <w:ind w:left="1080"/>
        <w:rPr>
          <w:rFonts w:ascii="Times New Roman" w:hAnsi="Times New Roman"/>
          <w:snapToGrid/>
          <w:sz w:val="24"/>
          <w:szCs w:val="24"/>
        </w:rPr>
      </w:pPr>
      <w:r>
        <w:rPr>
          <w:rFonts w:ascii="Times New Roman" w:hAnsi="Times New Roman"/>
          <w:snapToGrid/>
          <w:sz w:val="24"/>
          <w:szCs w:val="24"/>
          <w:u w:val="single"/>
        </w:rPr>
        <w:t xml:space="preserve">Section </w:t>
      </w:r>
      <w:r w:rsidR="00675BEE">
        <w:rPr>
          <w:rFonts w:ascii="Times New Roman" w:hAnsi="Times New Roman"/>
          <w:snapToGrid/>
          <w:sz w:val="24"/>
          <w:szCs w:val="24"/>
          <w:u w:val="single"/>
        </w:rPr>
        <w:t xml:space="preserve">2604(a)(4) of the </w:t>
      </w:r>
      <w:r w:rsidR="00675BEE">
        <w:rPr>
          <w:rFonts w:ascii="Times New Roman" w:hAnsi="Times New Roman"/>
          <w:snapToGrid/>
          <w:sz w:val="24"/>
          <w:szCs w:val="24"/>
          <w:u w:val="single"/>
        </w:rPr>
        <w:t>Low Income</w:t>
      </w:r>
      <w:r w:rsidR="00675BEE">
        <w:rPr>
          <w:rFonts w:ascii="Times New Roman" w:hAnsi="Times New Roman"/>
          <w:snapToGrid/>
          <w:sz w:val="24"/>
          <w:szCs w:val="24"/>
          <w:u w:val="single"/>
        </w:rPr>
        <w:t xml:space="preserve"> Home Energy Assistance Act of 1981 (</w:t>
      </w:r>
      <w:r w:rsidRPr="00D4227B" w:rsidR="00675BEE">
        <w:rPr>
          <w:rFonts w:ascii="Times New Roman" w:hAnsi="Times New Roman"/>
          <w:snapToGrid/>
          <w:sz w:val="24"/>
          <w:szCs w:val="24"/>
          <w:u w:val="single"/>
        </w:rPr>
        <w:t>42 U.S.C. §862</w:t>
      </w:r>
      <w:r w:rsidR="00675BEE">
        <w:rPr>
          <w:rFonts w:ascii="Times New Roman" w:hAnsi="Times New Roman"/>
          <w:snapToGrid/>
          <w:sz w:val="24"/>
          <w:szCs w:val="24"/>
          <w:u w:val="single"/>
        </w:rPr>
        <w:t>3</w:t>
      </w:r>
      <w:r w:rsidRPr="00D4227B" w:rsidR="00675BEE">
        <w:rPr>
          <w:rFonts w:ascii="Times New Roman" w:hAnsi="Times New Roman"/>
          <w:snapToGrid/>
          <w:sz w:val="24"/>
          <w:szCs w:val="24"/>
          <w:u w:val="single"/>
        </w:rPr>
        <w:t>(</w:t>
      </w:r>
      <w:r w:rsidR="00675BEE">
        <w:rPr>
          <w:rFonts w:ascii="Times New Roman" w:hAnsi="Times New Roman"/>
          <w:snapToGrid/>
          <w:sz w:val="24"/>
          <w:szCs w:val="24"/>
          <w:u w:val="single"/>
        </w:rPr>
        <w:t>a</w:t>
      </w:r>
      <w:r w:rsidRPr="00D4227B" w:rsidR="00675BEE">
        <w:rPr>
          <w:rFonts w:ascii="Times New Roman" w:hAnsi="Times New Roman"/>
          <w:snapToGrid/>
          <w:sz w:val="24"/>
          <w:szCs w:val="24"/>
          <w:u w:val="single"/>
        </w:rPr>
        <w:t>)(</w:t>
      </w:r>
      <w:r w:rsidR="00675BEE">
        <w:rPr>
          <w:rFonts w:ascii="Times New Roman" w:hAnsi="Times New Roman"/>
          <w:snapToGrid/>
          <w:sz w:val="24"/>
          <w:szCs w:val="24"/>
          <w:u w:val="single"/>
        </w:rPr>
        <w:t>4</w:t>
      </w:r>
      <w:r w:rsidRPr="00D4227B" w:rsidR="00675BEE">
        <w:rPr>
          <w:rFonts w:ascii="Times New Roman" w:hAnsi="Times New Roman"/>
          <w:snapToGrid/>
          <w:sz w:val="24"/>
          <w:szCs w:val="24"/>
          <w:u w:val="single"/>
        </w:rPr>
        <w:t>))</w:t>
      </w:r>
      <w:r w:rsidRPr="00D4227B" w:rsidR="00675BEE">
        <w:rPr>
          <w:rFonts w:ascii="Times New Roman" w:hAnsi="Times New Roman"/>
          <w:snapToGrid/>
          <w:sz w:val="24"/>
          <w:szCs w:val="24"/>
        </w:rPr>
        <w:t xml:space="preserve">, which </w:t>
      </w:r>
      <w:r w:rsidRPr="00961B1B" w:rsidR="00675BEE">
        <w:rPr>
          <w:rFonts w:ascii="Times New Roman" w:hAnsi="Times New Roman"/>
          <w:snapToGrid/>
          <w:sz w:val="24"/>
          <w:szCs w:val="24"/>
        </w:rPr>
        <w:t>requires HHS to</w:t>
      </w:r>
      <w:r w:rsidR="00675BEE">
        <w:rPr>
          <w:rFonts w:ascii="Times New Roman" w:hAnsi="Times New Roman"/>
          <w:snapToGrid/>
          <w:sz w:val="24"/>
          <w:szCs w:val="24"/>
        </w:rPr>
        <w:t xml:space="preserve"> update the LIHEAP funding formula </w:t>
      </w:r>
      <w:r w:rsidR="00683A19">
        <w:rPr>
          <w:rFonts w:ascii="Times New Roman" w:hAnsi="Times New Roman"/>
          <w:snapToGrid/>
          <w:sz w:val="24"/>
          <w:szCs w:val="24"/>
        </w:rPr>
        <w:t xml:space="preserve">regarding the expenditure for home energy by </w:t>
      </w:r>
      <w:r w:rsidR="00683A19">
        <w:rPr>
          <w:rFonts w:ascii="Times New Roman" w:hAnsi="Times New Roman"/>
          <w:snapToGrid/>
          <w:sz w:val="24"/>
          <w:szCs w:val="24"/>
        </w:rPr>
        <w:t>low income</w:t>
      </w:r>
      <w:r w:rsidR="00683A19">
        <w:rPr>
          <w:rFonts w:ascii="Times New Roman" w:hAnsi="Times New Roman"/>
          <w:snapToGrid/>
          <w:sz w:val="24"/>
          <w:szCs w:val="24"/>
        </w:rPr>
        <w:t xml:space="preserve"> households.</w:t>
      </w:r>
    </w:p>
    <w:p w:rsidR="00961B1B" w:rsidRPr="00961B1B" w:rsidP="00961B1B" w14:paraId="47DF1519" w14:textId="77777777">
      <w:pPr>
        <w:widowControl/>
        <w:tabs>
          <w:tab w:val="num" w:pos="360"/>
        </w:tabs>
        <w:ind w:left="360" w:hanging="360"/>
        <w:rPr>
          <w:rFonts w:ascii="Times New Roman" w:hAnsi="Times New Roman"/>
          <w:snapToGrid/>
          <w:sz w:val="24"/>
          <w:szCs w:val="24"/>
        </w:rPr>
      </w:pPr>
    </w:p>
    <w:p w:rsidR="00320BB9" w:rsidP="00320BB9" w14:paraId="2A4BF1CA" w14:textId="6B1A2228">
      <w:pPr>
        <w:widowControl/>
        <w:ind w:left="360"/>
        <w:rPr>
          <w:rFonts w:ascii="Times New Roman" w:hAnsi="Times New Roman"/>
          <w:snapToGrid/>
          <w:sz w:val="24"/>
          <w:szCs w:val="24"/>
        </w:rPr>
      </w:pPr>
      <w:r w:rsidRPr="00F64B55">
        <w:rPr>
          <w:rFonts w:ascii="Times New Roman" w:hAnsi="Times New Roman"/>
          <w:snapToGrid/>
          <w:sz w:val="24"/>
          <w:szCs w:val="24"/>
        </w:rPr>
        <w:t xml:space="preserve">The collection of this data is authorized </w:t>
      </w:r>
      <w:r w:rsidR="00F952B7">
        <w:rPr>
          <w:rFonts w:ascii="Times New Roman" w:hAnsi="Times New Roman"/>
          <w:snapToGrid/>
          <w:sz w:val="24"/>
          <w:szCs w:val="24"/>
        </w:rPr>
        <w:t xml:space="preserve">by </w:t>
      </w:r>
      <w:r w:rsidRPr="00F952B7" w:rsidR="00F952B7">
        <w:rPr>
          <w:rFonts w:ascii="Times New Roman" w:hAnsi="Times New Roman"/>
          <w:snapToGrid/>
          <w:sz w:val="24"/>
          <w:szCs w:val="24"/>
        </w:rPr>
        <w:t>42 U.S.C. §8629(a)</w:t>
      </w:r>
      <w:r w:rsidR="00F952B7">
        <w:rPr>
          <w:rFonts w:ascii="Times New Roman" w:hAnsi="Times New Roman"/>
          <w:snapToGrid/>
          <w:sz w:val="24"/>
          <w:szCs w:val="24"/>
        </w:rPr>
        <w:t xml:space="preserve"> </w:t>
      </w:r>
      <w:r w:rsidRPr="00F64B55">
        <w:rPr>
          <w:rFonts w:ascii="Times New Roman" w:hAnsi="Times New Roman"/>
          <w:snapToGrid/>
          <w:sz w:val="24"/>
          <w:szCs w:val="24"/>
        </w:rPr>
        <w:t>of the LIHEAP statute, which requires the Secretary</w:t>
      </w:r>
      <w:r w:rsidR="00F952B7">
        <w:rPr>
          <w:rFonts w:ascii="Times New Roman" w:hAnsi="Times New Roman"/>
          <w:snapToGrid/>
          <w:sz w:val="24"/>
          <w:szCs w:val="24"/>
        </w:rPr>
        <w:t xml:space="preserve"> of </w:t>
      </w:r>
      <w:r w:rsidR="00E946E9">
        <w:rPr>
          <w:rFonts w:ascii="Times New Roman" w:hAnsi="Times New Roman"/>
          <w:snapToGrid/>
          <w:sz w:val="24"/>
          <w:szCs w:val="24"/>
        </w:rPr>
        <w:t>HHS</w:t>
      </w:r>
      <w:r w:rsidRPr="00F64B55">
        <w:rPr>
          <w:rFonts w:ascii="Times New Roman" w:hAnsi="Times New Roman"/>
          <w:snapToGrid/>
          <w:sz w:val="24"/>
          <w:szCs w:val="24"/>
        </w:rPr>
        <w:t xml:space="preserve">, following consultation with the Secretary of Energy, to provide for the collection of specific information on the characteristics of LIHEAP </w:t>
      </w:r>
      <w:r w:rsidR="00AD2BCB">
        <w:rPr>
          <w:rFonts w:ascii="Times New Roman" w:hAnsi="Times New Roman"/>
          <w:snapToGrid/>
          <w:sz w:val="24"/>
          <w:szCs w:val="24"/>
        </w:rPr>
        <w:t xml:space="preserve">beneficiary </w:t>
      </w:r>
      <w:r w:rsidRPr="00F64B55">
        <w:rPr>
          <w:rFonts w:ascii="Times New Roman" w:hAnsi="Times New Roman"/>
          <w:snapToGrid/>
          <w:sz w:val="24"/>
          <w:szCs w:val="24"/>
        </w:rPr>
        <w:t xml:space="preserve">and LIHEAP eligible households within each </w:t>
      </w:r>
      <w:r w:rsidR="004C6FDF">
        <w:rPr>
          <w:rFonts w:ascii="Times New Roman" w:hAnsi="Times New Roman"/>
          <w:snapToGrid/>
          <w:sz w:val="24"/>
          <w:szCs w:val="24"/>
        </w:rPr>
        <w:t>s</w:t>
      </w:r>
      <w:r w:rsidRPr="00F64B55">
        <w:rPr>
          <w:rFonts w:ascii="Times New Roman" w:hAnsi="Times New Roman"/>
          <w:snapToGrid/>
          <w:sz w:val="24"/>
          <w:szCs w:val="24"/>
        </w:rPr>
        <w:t xml:space="preserve">tate. This includes collecting information that is reasonably necessary to carry out the provisions of the LIHEAP statute if that information is not collected by any other agency of the </w:t>
      </w:r>
      <w:r w:rsidR="00F00810">
        <w:rPr>
          <w:rFonts w:ascii="Times New Roman" w:hAnsi="Times New Roman"/>
          <w:snapToGrid/>
          <w:sz w:val="24"/>
          <w:szCs w:val="24"/>
        </w:rPr>
        <w:t>f</w:t>
      </w:r>
      <w:r w:rsidRPr="00F64B55">
        <w:rPr>
          <w:rFonts w:ascii="Times New Roman" w:hAnsi="Times New Roman"/>
          <w:snapToGrid/>
          <w:sz w:val="24"/>
          <w:szCs w:val="24"/>
        </w:rPr>
        <w:t xml:space="preserve">ederal </w:t>
      </w:r>
      <w:r w:rsidR="00F00810">
        <w:rPr>
          <w:rFonts w:ascii="Times New Roman" w:hAnsi="Times New Roman"/>
          <w:snapToGrid/>
          <w:sz w:val="24"/>
          <w:szCs w:val="24"/>
        </w:rPr>
        <w:t>g</w:t>
      </w:r>
      <w:r w:rsidRPr="00F64B55">
        <w:rPr>
          <w:rFonts w:ascii="Times New Roman" w:hAnsi="Times New Roman"/>
          <w:snapToGrid/>
          <w:sz w:val="24"/>
          <w:szCs w:val="24"/>
        </w:rPr>
        <w:t>overnment.</w:t>
      </w:r>
    </w:p>
    <w:p w:rsidR="00320BB9" w:rsidP="004821C4" w14:paraId="5E581DA5" w14:textId="77777777">
      <w:pPr>
        <w:widowControl/>
        <w:tabs>
          <w:tab w:val="num" w:pos="360"/>
        </w:tabs>
        <w:ind w:left="360"/>
        <w:rPr>
          <w:rFonts w:ascii="Times New Roman" w:hAnsi="Times New Roman"/>
          <w:snapToGrid/>
          <w:sz w:val="24"/>
          <w:szCs w:val="24"/>
        </w:rPr>
      </w:pPr>
    </w:p>
    <w:p w:rsidR="00961B1B" w:rsidRPr="00961B1B" w:rsidP="00EE4D5A" w14:paraId="54392BE9" w14:textId="391265BD">
      <w:pPr>
        <w:widowControl/>
        <w:tabs>
          <w:tab w:val="num" w:pos="360"/>
        </w:tabs>
        <w:spacing w:after="60"/>
        <w:ind w:left="360"/>
        <w:rPr>
          <w:rFonts w:ascii="Times New Roman" w:hAnsi="Times New Roman"/>
          <w:snapToGrid/>
          <w:sz w:val="24"/>
          <w:szCs w:val="24"/>
        </w:rPr>
      </w:pPr>
      <w:r w:rsidRPr="00961B1B">
        <w:rPr>
          <w:rFonts w:ascii="Times New Roman" w:hAnsi="Times New Roman"/>
          <w:snapToGrid/>
          <w:sz w:val="24"/>
          <w:szCs w:val="24"/>
        </w:rPr>
        <w:t>OCS uses a number of existing data sources to develop information on households that are income-eligible for LIHEAP.  These include the following:</w:t>
      </w:r>
    </w:p>
    <w:p w:rsidR="00961B1B" w:rsidRPr="00961B1B" w:rsidP="00EE4D5A" w14:paraId="7C2AE99D" w14:textId="5229BFF2">
      <w:pPr>
        <w:pStyle w:val="ListParagraph"/>
        <w:widowControl/>
        <w:numPr>
          <w:ilvl w:val="0"/>
          <w:numId w:val="20"/>
        </w:numPr>
        <w:tabs>
          <w:tab w:val="num" w:pos="1080"/>
        </w:tabs>
        <w:ind w:left="1080"/>
        <w:rPr>
          <w:rFonts w:ascii="Times New Roman" w:hAnsi="Times New Roman"/>
          <w:snapToGrid/>
          <w:sz w:val="24"/>
          <w:szCs w:val="24"/>
        </w:rPr>
      </w:pPr>
      <w:r w:rsidRPr="00961B1B">
        <w:rPr>
          <w:rFonts w:ascii="Times New Roman" w:hAnsi="Times New Roman"/>
          <w:snapToGrid/>
          <w:sz w:val="24"/>
          <w:szCs w:val="24"/>
        </w:rPr>
        <w:t xml:space="preserve">The Department of Energy’s Residential Energy Consumption Survey (RECS) (OMB Control Number 1905-0092), which provides the most accurate information available </w:t>
      </w:r>
      <w:r w:rsidRPr="00961B1B">
        <w:rPr>
          <w:rFonts w:ascii="Times New Roman" w:hAnsi="Times New Roman"/>
          <w:snapToGrid/>
          <w:sz w:val="24"/>
          <w:szCs w:val="24"/>
        </w:rPr>
        <w:t>about the demographic, economic, and energy-usage characteristics of U.S. households; and</w:t>
      </w:r>
    </w:p>
    <w:p w:rsidR="00961B1B" w:rsidRPr="00961B1B" w:rsidP="00EE4D5A" w14:paraId="1551274C" w14:textId="014A7BDB">
      <w:pPr>
        <w:pStyle w:val="ListParagraph"/>
        <w:widowControl/>
        <w:numPr>
          <w:ilvl w:val="0"/>
          <w:numId w:val="20"/>
        </w:numPr>
        <w:tabs>
          <w:tab w:val="num" w:pos="1080"/>
        </w:tabs>
        <w:ind w:left="1080"/>
        <w:rPr>
          <w:rFonts w:ascii="Times New Roman" w:hAnsi="Times New Roman"/>
          <w:snapToGrid/>
          <w:sz w:val="24"/>
          <w:szCs w:val="24"/>
        </w:rPr>
      </w:pPr>
      <w:r w:rsidRPr="00961B1B">
        <w:rPr>
          <w:rFonts w:ascii="Times New Roman" w:hAnsi="Times New Roman"/>
          <w:snapToGrid/>
          <w:sz w:val="24"/>
          <w:szCs w:val="24"/>
        </w:rPr>
        <w:t xml:space="preserve">State administrative data, which provide the most accurate information about LIHEAP </w:t>
      </w:r>
      <w:r w:rsidR="00AD2BCB">
        <w:rPr>
          <w:rFonts w:ascii="Times New Roman" w:hAnsi="Times New Roman"/>
          <w:snapToGrid/>
          <w:sz w:val="24"/>
          <w:szCs w:val="24"/>
        </w:rPr>
        <w:t xml:space="preserve">beneficiary </w:t>
      </w:r>
      <w:r w:rsidRPr="00961B1B">
        <w:rPr>
          <w:rFonts w:ascii="Times New Roman" w:hAnsi="Times New Roman"/>
          <w:snapToGrid/>
          <w:sz w:val="24"/>
          <w:szCs w:val="24"/>
        </w:rPr>
        <w:t xml:space="preserve">households and which </w:t>
      </w:r>
      <w:r w:rsidRPr="00961B1B">
        <w:rPr>
          <w:rFonts w:ascii="Times New Roman" w:hAnsi="Times New Roman"/>
          <w:snapToGrid/>
          <w:sz w:val="24"/>
          <w:szCs w:val="24"/>
        </w:rPr>
        <w:t>flow</w:t>
      </w:r>
      <w:r w:rsidRPr="00961B1B">
        <w:rPr>
          <w:rFonts w:ascii="Times New Roman" w:hAnsi="Times New Roman"/>
          <w:snapToGrid/>
          <w:sz w:val="24"/>
          <w:szCs w:val="24"/>
        </w:rPr>
        <w:t xml:space="preserve"> into the LIHEAP Household Report (OMB Control No. 0970-0060).</w:t>
      </w:r>
    </w:p>
    <w:p w:rsidR="00961B1B" w:rsidRPr="00961B1B" w:rsidP="00961B1B" w14:paraId="655D3A71" w14:textId="77777777">
      <w:pPr>
        <w:widowControl/>
        <w:tabs>
          <w:tab w:val="num" w:pos="360"/>
        </w:tabs>
        <w:ind w:left="360" w:hanging="360"/>
        <w:rPr>
          <w:rFonts w:ascii="Times New Roman" w:hAnsi="Times New Roman"/>
          <w:snapToGrid/>
          <w:sz w:val="24"/>
          <w:szCs w:val="24"/>
        </w:rPr>
      </w:pPr>
    </w:p>
    <w:p w:rsidR="00221DD9" w:rsidP="004821C4" w14:paraId="3FC2D90C" w14:textId="5A0C7532">
      <w:pPr>
        <w:widowControl/>
        <w:tabs>
          <w:tab w:val="num" w:pos="360"/>
        </w:tabs>
        <w:ind w:left="360"/>
      </w:pPr>
      <w:r w:rsidRPr="00961B1B">
        <w:rPr>
          <w:rFonts w:ascii="Times New Roman" w:hAnsi="Times New Roman"/>
          <w:snapToGrid/>
          <w:sz w:val="24"/>
          <w:szCs w:val="24"/>
        </w:rPr>
        <w:t xml:space="preserve">Neither the RECS nor the </w:t>
      </w:r>
      <w:r w:rsidR="002B522F">
        <w:rPr>
          <w:rFonts w:ascii="Times New Roman" w:hAnsi="Times New Roman"/>
          <w:snapToGrid/>
          <w:sz w:val="24"/>
          <w:szCs w:val="24"/>
        </w:rPr>
        <w:t>s</w:t>
      </w:r>
      <w:r w:rsidRPr="00961B1B">
        <w:rPr>
          <w:rFonts w:ascii="Times New Roman" w:hAnsi="Times New Roman"/>
          <w:snapToGrid/>
          <w:sz w:val="24"/>
          <w:szCs w:val="24"/>
        </w:rPr>
        <w:t xml:space="preserve">tate administrative data alone provides information about the demographic, economic, and energy-usage characteristics of LIHEAP </w:t>
      </w:r>
      <w:r w:rsidR="00AD2BCB">
        <w:rPr>
          <w:rFonts w:ascii="Times New Roman" w:hAnsi="Times New Roman"/>
          <w:snapToGrid/>
          <w:sz w:val="24"/>
          <w:szCs w:val="24"/>
        </w:rPr>
        <w:t xml:space="preserve">beneficiary </w:t>
      </w:r>
      <w:r w:rsidRPr="00961B1B">
        <w:rPr>
          <w:rFonts w:ascii="Times New Roman" w:hAnsi="Times New Roman"/>
          <w:snapToGrid/>
          <w:sz w:val="24"/>
          <w:szCs w:val="24"/>
        </w:rPr>
        <w:t>households. (RECS’</w:t>
      </w:r>
      <w:r w:rsidR="008024BF">
        <w:rPr>
          <w:rFonts w:ascii="Times New Roman" w:hAnsi="Times New Roman"/>
          <w:snapToGrid/>
          <w:sz w:val="24"/>
          <w:szCs w:val="24"/>
        </w:rPr>
        <w:t xml:space="preserve"> self-reported </w:t>
      </w:r>
      <w:r w:rsidRPr="00961B1B">
        <w:rPr>
          <w:rFonts w:ascii="Times New Roman" w:hAnsi="Times New Roman"/>
          <w:snapToGrid/>
          <w:sz w:val="24"/>
          <w:szCs w:val="24"/>
        </w:rPr>
        <w:t>information</w:t>
      </w:r>
      <w:r w:rsidR="008024BF">
        <w:rPr>
          <w:rFonts w:ascii="Times New Roman" w:hAnsi="Times New Roman"/>
          <w:snapToGrid/>
          <w:sz w:val="24"/>
          <w:szCs w:val="24"/>
        </w:rPr>
        <w:t xml:space="preserve"> on receipt of energy assistance </w:t>
      </w:r>
      <w:r w:rsidRPr="00961B1B">
        <w:rPr>
          <w:rFonts w:ascii="Times New Roman" w:hAnsi="Times New Roman"/>
          <w:snapToGrid/>
          <w:sz w:val="24"/>
          <w:szCs w:val="24"/>
        </w:rPr>
        <w:t xml:space="preserve">is too unreliable for this purpose.) The only data that provides such information is that from the RECS respondents which the </w:t>
      </w:r>
      <w:r w:rsidR="00FD5437">
        <w:rPr>
          <w:rFonts w:ascii="Times New Roman" w:hAnsi="Times New Roman"/>
          <w:snapToGrid/>
          <w:sz w:val="24"/>
          <w:szCs w:val="24"/>
        </w:rPr>
        <w:t>s</w:t>
      </w:r>
      <w:r w:rsidRPr="00961B1B">
        <w:rPr>
          <w:rFonts w:ascii="Times New Roman" w:hAnsi="Times New Roman"/>
          <w:snapToGrid/>
          <w:sz w:val="24"/>
          <w:szCs w:val="24"/>
        </w:rPr>
        <w:t>tate administrative data demonstrates received LIHEAP benefits.</w:t>
      </w:r>
    </w:p>
    <w:p w:rsidR="00221DD9" w:rsidP="004821C4" w14:paraId="6A62060C" w14:textId="77777777">
      <w:pPr>
        <w:widowControl/>
        <w:tabs>
          <w:tab w:val="num" w:pos="360"/>
        </w:tabs>
        <w:ind w:left="360"/>
      </w:pPr>
    </w:p>
    <w:p w:rsidR="00961B1B" w:rsidRPr="00961B1B" w:rsidP="004821C4" w14:paraId="4497E4DB" w14:textId="11D5CBE5">
      <w:pPr>
        <w:widowControl/>
        <w:tabs>
          <w:tab w:val="num" w:pos="360"/>
        </w:tabs>
        <w:ind w:left="360"/>
        <w:rPr>
          <w:rFonts w:ascii="Times New Roman" w:hAnsi="Times New Roman"/>
          <w:snapToGrid/>
          <w:sz w:val="24"/>
          <w:szCs w:val="24"/>
        </w:rPr>
      </w:pPr>
      <w:r w:rsidRPr="00221DD9">
        <w:rPr>
          <w:rFonts w:ascii="Times New Roman" w:hAnsi="Times New Roman"/>
          <w:snapToGrid/>
          <w:sz w:val="24"/>
          <w:szCs w:val="24"/>
        </w:rPr>
        <w:t xml:space="preserve">The purpose of this Supporting Statement is to request </w:t>
      </w:r>
      <w:r w:rsidR="0054587A">
        <w:rPr>
          <w:rFonts w:ascii="Times New Roman" w:hAnsi="Times New Roman"/>
          <w:snapToGrid/>
          <w:sz w:val="24"/>
          <w:szCs w:val="24"/>
        </w:rPr>
        <w:t xml:space="preserve">to </w:t>
      </w:r>
      <w:r>
        <w:rPr>
          <w:rFonts w:ascii="Times New Roman" w:hAnsi="Times New Roman"/>
          <w:snapToGrid/>
          <w:sz w:val="24"/>
          <w:szCs w:val="24"/>
        </w:rPr>
        <w:t>reinstate</w:t>
      </w:r>
      <w:r w:rsidR="0054587A">
        <w:rPr>
          <w:rFonts w:ascii="Times New Roman" w:hAnsi="Times New Roman"/>
          <w:snapToGrid/>
          <w:sz w:val="24"/>
          <w:szCs w:val="24"/>
        </w:rPr>
        <w:t>,</w:t>
      </w:r>
      <w:r>
        <w:rPr>
          <w:rFonts w:ascii="Times New Roman" w:hAnsi="Times New Roman"/>
          <w:snapToGrid/>
          <w:sz w:val="24"/>
          <w:szCs w:val="24"/>
        </w:rPr>
        <w:t xml:space="preserve"> </w:t>
      </w:r>
      <w:r w:rsidR="00687110">
        <w:rPr>
          <w:rFonts w:ascii="Times New Roman" w:hAnsi="Times New Roman"/>
          <w:snapToGrid/>
          <w:sz w:val="24"/>
          <w:szCs w:val="24"/>
        </w:rPr>
        <w:t xml:space="preserve">with </w:t>
      </w:r>
      <w:r>
        <w:rPr>
          <w:rFonts w:ascii="Times New Roman" w:hAnsi="Times New Roman"/>
          <w:snapToGrid/>
          <w:sz w:val="24"/>
          <w:szCs w:val="24"/>
        </w:rPr>
        <w:t>change</w:t>
      </w:r>
      <w:r w:rsidR="0054587A">
        <w:rPr>
          <w:rFonts w:ascii="Times New Roman" w:hAnsi="Times New Roman"/>
          <w:snapToGrid/>
          <w:sz w:val="24"/>
          <w:szCs w:val="24"/>
        </w:rPr>
        <w:t>s,</w:t>
      </w:r>
      <w:r w:rsidRPr="00221DD9">
        <w:rPr>
          <w:rFonts w:ascii="Times New Roman" w:hAnsi="Times New Roman"/>
          <w:snapToGrid/>
          <w:sz w:val="24"/>
          <w:szCs w:val="24"/>
        </w:rPr>
        <w:t xml:space="preserve"> the </w:t>
      </w:r>
      <w:r w:rsidRPr="00221DD9" w:rsidR="00837865">
        <w:rPr>
          <w:rFonts w:ascii="Times New Roman" w:hAnsi="Times New Roman"/>
          <w:snapToGrid/>
          <w:sz w:val="24"/>
          <w:szCs w:val="24"/>
        </w:rPr>
        <w:t>LIHEAP</w:t>
      </w:r>
      <w:r w:rsidRPr="00221DD9" w:rsidR="00837865">
        <w:rPr>
          <w:rFonts w:ascii="Times New Roman" w:hAnsi="Times New Roman"/>
          <w:snapToGrid/>
          <w:sz w:val="24"/>
          <w:szCs w:val="24"/>
        </w:rPr>
        <w:t xml:space="preserve"> </w:t>
      </w:r>
      <w:r w:rsidRPr="00221DD9">
        <w:rPr>
          <w:rFonts w:ascii="Times New Roman" w:hAnsi="Times New Roman"/>
          <w:snapToGrid/>
          <w:sz w:val="24"/>
          <w:szCs w:val="24"/>
        </w:rPr>
        <w:t xml:space="preserve">RECS Data Match to allow OCS to collect administrative household data for use in identifying LIHEAP </w:t>
      </w:r>
      <w:r w:rsidR="00AD2BCB">
        <w:rPr>
          <w:rFonts w:ascii="Times New Roman" w:hAnsi="Times New Roman"/>
          <w:snapToGrid/>
          <w:sz w:val="24"/>
          <w:szCs w:val="24"/>
        </w:rPr>
        <w:t>beneficiaries</w:t>
      </w:r>
      <w:r w:rsidRPr="00221DD9" w:rsidR="00AD2BCB">
        <w:rPr>
          <w:rFonts w:ascii="Times New Roman" w:hAnsi="Times New Roman"/>
          <w:snapToGrid/>
          <w:sz w:val="24"/>
          <w:szCs w:val="24"/>
        </w:rPr>
        <w:t xml:space="preserve"> </w:t>
      </w:r>
      <w:r w:rsidRPr="00221DD9">
        <w:rPr>
          <w:rFonts w:ascii="Times New Roman" w:hAnsi="Times New Roman"/>
          <w:snapToGrid/>
          <w:sz w:val="24"/>
          <w:szCs w:val="24"/>
        </w:rPr>
        <w:t>that respond to the</w:t>
      </w:r>
      <w:r w:rsidR="008024BF">
        <w:rPr>
          <w:rFonts w:ascii="Times New Roman" w:hAnsi="Times New Roman"/>
          <w:snapToGrid/>
          <w:sz w:val="24"/>
          <w:szCs w:val="24"/>
        </w:rPr>
        <w:t xml:space="preserve"> upcoming</w:t>
      </w:r>
      <w:r w:rsidRPr="00221DD9">
        <w:rPr>
          <w:rFonts w:ascii="Times New Roman" w:hAnsi="Times New Roman"/>
          <w:snapToGrid/>
          <w:sz w:val="24"/>
          <w:szCs w:val="24"/>
        </w:rPr>
        <w:t xml:space="preserve"> </w:t>
      </w:r>
      <w:r w:rsidR="008024BF">
        <w:rPr>
          <w:rFonts w:ascii="Times New Roman" w:hAnsi="Times New Roman"/>
          <w:snapToGrid/>
          <w:sz w:val="24"/>
          <w:szCs w:val="24"/>
        </w:rPr>
        <w:t>2024</w:t>
      </w:r>
      <w:r w:rsidR="006E47D0">
        <w:rPr>
          <w:rFonts w:ascii="Times New Roman" w:hAnsi="Times New Roman"/>
          <w:snapToGrid/>
          <w:sz w:val="24"/>
          <w:szCs w:val="24"/>
        </w:rPr>
        <w:t>-2025</w:t>
      </w:r>
      <w:r w:rsidR="008024BF">
        <w:rPr>
          <w:rFonts w:ascii="Times New Roman" w:hAnsi="Times New Roman"/>
          <w:snapToGrid/>
          <w:sz w:val="24"/>
          <w:szCs w:val="24"/>
        </w:rPr>
        <w:t xml:space="preserve"> </w:t>
      </w:r>
      <w:r w:rsidRPr="00221DD9">
        <w:rPr>
          <w:rFonts w:ascii="Times New Roman" w:hAnsi="Times New Roman"/>
          <w:snapToGrid/>
          <w:sz w:val="24"/>
          <w:szCs w:val="24"/>
        </w:rPr>
        <w:t>RECS</w:t>
      </w:r>
      <w:r w:rsidR="0054587A">
        <w:rPr>
          <w:rFonts w:ascii="Times New Roman" w:hAnsi="Times New Roman"/>
          <w:snapToGrid/>
          <w:sz w:val="24"/>
          <w:szCs w:val="24"/>
        </w:rPr>
        <w:t>. T</w:t>
      </w:r>
      <w:r w:rsidRPr="00221DD9">
        <w:rPr>
          <w:rFonts w:ascii="Times New Roman" w:hAnsi="Times New Roman"/>
          <w:snapToGrid/>
          <w:sz w:val="24"/>
          <w:szCs w:val="24"/>
        </w:rPr>
        <w:t xml:space="preserve">he Department of Energy is planning to conduct the next iteration in </w:t>
      </w:r>
      <w:r w:rsidRPr="00221DD9" w:rsidR="00687110">
        <w:rPr>
          <w:rFonts w:ascii="Times New Roman" w:hAnsi="Times New Roman"/>
          <w:snapToGrid/>
          <w:sz w:val="24"/>
          <w:szCs w:val="24"/>
        </w:rPr>
        <w:t>20</w:t>
      </w:r>
      <w:r w:rsidR="00687110">
        <w:rPr>
          <w:rFonts w:ascii="Times New Roman" w:hAnsi="Times New Roman"/>
          <w:snapToGrid/>
          <w:sz w:val="24"/>
          <w:szCs w:val="24"/>
        </w:rPr>
        <w:t>24</w:t>
      </w:r>
      <w:r w:rsidR="00FA1AA3">
        <w:rPr>
          <w:rFonts w:ascii="Times New Roman" w:hAnsi="Times New Roman"/>
          <w:snapToGrid/>
          <w:sz w:val="24"/>
          <w:szCs w:val="24"/>
        </w:rPr>
        <w:t xml:space="preserve"> and early 2025</w:t>
      </w:r>
      <w:r w:rsidRPr="00221DD9">
        <w:rPr>
          <w:rFonts w:ascii="Times New Roman" w:hAnsi="Times New Roman"/>
          <w:snapToGrid/>
          <w:sz w:val="24"/>
          <w:szCs w:val="24"/>
        </w:rPr>
        <w:t>.</w:t>
      </w:r>
      <w:r w:rsidR="00E946E9">
        <w:rPr>
          <w:rFonts w:ascii="Times New Roman" w:hAnsi="Times New Roman"/>
          <w:snapToGrid/>
          <w:sz w:val="24"/>
          <w:szCs w:val="24"/>
        </w:rPr>
        <w:t xml:space="preserve"> The proposed data collection mirrors the previously approved version with updates to</w:t>
      </w:r>
      <w:r w:rsidR="00D8031B">
        <w:rPr>
          <w:rFonts w:ascii="Times New Roman" w:hAnsi="Times New Roman"/>
          <w:snapToGrid/>
          <w:sz w:val="24"/>
          <w:szCs w:val="24"/>
        </w:rPr>
        <w:t xml:space="preserve"> remove eight data elements from the prior data collection in FY 2021 that are no longer </w:t>
      </w:r>
      <w:r w:rsidRPr="006A7584" w:rsidR="00D8031B">
        <w:rPr>
          <w:rFonts w:ascii="Times New Roman" w:hAnsi="Times New Roman"/>
          <w:snapToGrid/>
          <w:sz w:val="24"/>
          <w:szCs w:val="24"/>
        </w:rPr>
        <w:t xml:space="preserve">needed: </w:t>
      </w:r>
      <w:r w:rsidRPr="00EE4D5A" w:rsidR="006A7584">
        <w:rPr>
          <w:rFonts w:ascii="Times New Roman" w:hAnsi="Times New Roman"/>
          <w:iCs/>
          <w:sz w:val="24"/>
          <w:szCs w:val="24"/>
        </w:rPr>
        <w:t>household name, household telephone number, date of heating assistance, date of cooling assistance, date of crisis assistance, other assistance awarded, amount of other assistance, and date of other assistance.</w:t>
      </w:r>
      <w:r w:rsidRPr="006A7584" w:rsidR="00E946E9">
        <w:rPr>
          <w:rFonts w:ascii="Times New Roman" w:hAnsi="Times New Roman"/>
          <w:snapToGrid/>
          <w:sz w:val="24"/>
          <w:szCs w:val="24"/>
        </w:rPr>
        <w:t xml:space="preserve"> </w:t>
      </w:r>
    </w:p>
    <w:bookmarkEnd w:id="0"/>
    <w:p w:rsidR="00221DD9" w:rsidRPr="004F7B95" w:rsidP="0051278C" w14:paraId="3FDBC281" w14:textId="77777777">
      <w:pPr>
        <w:widowControl/>
        <w:tabs>
          <w:tab w:val="num" w:pos="360"/>
        </w:tabs>
        <w:ind w:left="360" w:hanging="360"/>
        <w:rPr>
          <w:rFonts w:ascii="Times New Roman" w:hAnsi="Times New Roman"/>
          <w:snapToGrid/>
          <w:sz w:val="24"/>
          <w:szCs w:val="24"/>
        </w:rPr>
      </w:pPr>
    </w:p>
    <w:p w:rsidR="002C3C4F" w:rsidRPr="0079001A" w:rsidP="0079001A" w14:paraId="047BA5BE" w14:textId="77777777">
      <w:pPr>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79001A">
        <w:rPr>
          <w:rFonts w:ascii="Times New Roman" w:hAnsi="Times New Roman"/>
          <w:b/>
          <w:snapToGrid/>
          <w:sz w:val="24"/>
          <w:szCs w:val="24"/>
        </w:rPr>
        <w:t>P</w:t>
      </w:r>
      <w:r w:rsidRPr="0079001A">
        <w:rPr>
          <w:rFonts w:ascii="Times New Roman" w:hAnsi="Times New Roman"/>
          <w:b/>
          <w:snapToGrid/>
          <w:sz w:val="24"/>
          <w:szCs w:val="24"/>
        </w:rPr>
        <w:t xml:space="preserve">urpose and Use of the Information Collection </w:t>
      </w:r>
    </w:p>
    <w:p w:rsidR="00233D71" w:rsidRPr="00AE4C91" w:rsidP="004821C4" w14:paraId="4C492F94" w14:textId="613BEE30">
      <w:pPr>
        <w:widowControl/>
        <w:tabs>
          <w:tab w:val="num" w:pos="360"/>
        </w:tabs>
        <w:ind w:left="360"/>
        <w:rPr>
          <w:rFonts w:ascii="Times New Roman" w:hAnsi="Times New Roman"/>
          <w:snapToGrid/>
          <w:sz w:val="24"/>
          <w:szCs w:val="24"/>
        </w:rPr>
      </w:pPr>
      <w:bookmarkStart w:id="1" w:name="OLE_LINK3"/>
      <w:r w:rsidRPr="00AE4C91">
        <w:rPr>
          <w:rFonts w:ascii="Times New Roman" w:hAnsi="Times New Roman"/>
          <w:snapToGrid/>
          <w:sz w:val="24"/>
          <w:szCs w:val="24"/>
        </w:rPr>
        <w:t xml:space="preserve">OCS seeks to collect </w:t>
      </w:r>
      <w:r w:rsidR="00FF4AD0">
        <w:rPr>
          <w:rFonts w:ascii="Times New Roman" w:hAnsi="Times New Roman"/>
          <w:snapToGrid/>
          <w:sz w:val="24"/>
          <w:szCs w:val="24"/>
        </w:rPr>
        <w:t>s</w:t>
      </w:r>
      <w:r w:rsidRPr="00AE4C91">
        <w:rPr>
          <w:rFonts w:ascii="Times New Roman" w:hAnsi="Times New Roman"/>
          <w:snapToGrid/>
          <w:sz w:val="24"/>
          <w:szCs w:val="24"/>
        </w:rPr>
        <w:t xml:space="preserve">tate administrative data to identify the households in the RECS that are known to have received LIHEAP benefits. It plans to use the data to generate a dataset that shows, of LIHEAP </w:t>
      </w:r>
      <w:r w:rsidR="00AD2BCB">
        <w:rPr>
          <w:rFonts w:ascii="Times New Roman" w:hAnsi="Times New Roman"/>
          <w:snapToGrid/>
          <w:sz w:val="24"/>
          <w:szCs w:val="24"/>
        </w:rPr>
        <w:t xml:space="preserve">beneficiary </w:t>
      </w:r>
      <w:r w:rsidRPr="00AE4C91">
        <w:rPr>
          <w:rFonts w:ascii="Times New Roman" w:hAnsi="Times New Roman"/>
          <w:snapToGrid/>
          <w:sz w:val="24"/>
          <w:szCs w:val="24"/>
        </w:rPr>
        <w:t xml:space="preserve">households: (1) the demographic, economic, and energy-usage characteristics presented by the RECS; and (2) information, from the </w:t>
      </w:r>
      <w:r w:rsidR="00D741DA">
        <w:rPr>
          <w:rFonts w:ascii="Times New Roman" w:hAnsi="Times New Roman"/>
          <w:snapToGrid/>
          <w:sz w:val="24"/>
          <w:szCs w:val="24"/>
        </w:rPr>
        <w:t>s</w:t>
      </w:r>
      <w:r w:rsidRPr="00AE4C91">
        <w:rPr>
          <w:rFonts w:ascii="Times New Roman" w:hAnsi="Times New Roman"/>
          <w:snapToGrid/>
          <w:sz w:val="24"/>
          <w:szCs w:val="24"/>
        </w:rPr>
        <w:t>tate administrative data, on program participation, program benefits, poverty status, vulnerability status,</w:t>
      </w:r>
      <w:r w:rsidR="008024BF">
        <w:rPr>
          <w:rFonts w:ascii="Times New Roman" w:hAnsi="Times New Roman"/>
          <w:snapToGrid/>
          <w:sz w:val="24"/>
          <w:szCs w:val="24"/>
        </w:rPr>
        <w:t xml:space="preserve"> demographic characteristics, </w:t>
      </w:r>
      <w:r w:rsidRPr="00AE4C91">
        <w:rPr>
          <w:rFonts w:ascii="Times New Roman" w:hAnsi="Times New Roman"/>
          <w:snapToGrid/>
          <w:sz w:val="24"/>
          <w:szCs w:val="24"/>
        </w:rPr>
        <w:t>ownership</w:t>
      </w:r>
      <w:r w:rsidR="002F71D3">
        <w:rPr>
          <w:rFonts w:ascii="Times New Roman" w:hAnsi="Times New Roman"/>
          <w:snapToGrid/>
          <w:sz w:val="24"/>
          <w:szCs w:val="24"/>
        </w:rPr>
        <w:t xml:space="preserve"> or </w:t>
      </w:r>
      <w:r w:rsidRPr="00AE4C91">
        <w:rPr>
          <w:rFonts w:ascii="Times New Roman" w:hAnsi="Times New Roman"/>
          <w:snapToGrid/>
          <w:sz w:val="24"/>
          <w:szCs w:val="24"/>
        </w:rPr>
        <w:t>rentership</w:t>
      </w:r>
      <w:r w:rsidRPr="00AE4C91">
        <w:rPr>
          <w:rFonts w:ascii="Times New Roman" w:hAnsi="Times New Roman"/>
          <w:snapToGrid/>
          <w:sz w:val="24"/>
          <w:szCs w:val="24"/>
        </w:rPr>
        <w:t>, type of fuel use</w:t>
      </w:r>
      <w:r w:rsidR="00A90A32">
        <w:rPr>
          <w:rFonts w:ascii="Times New Roman" w:hAnsi="Times New Roman"/>
          <w:snapToGrid/>
          <w:sz w:val="24"/>
          <w:szCs w:val="24"/>
        </w:rPr>
        <w:t>d</w:t>
      </w:r>
      <w:r w:rsidRPr="00AE4C91">
        <w:rPr>
          <w:rFonts w:ascii="Times New Roman" w:hAnsi="Times New Roman"/>
          <w:snapToGrid/>
          <w:sz w:val="24"/>
          <w:szCs w:val="24"/>
        </w:rPr>
        <w:t>, and heat-in-rent.</w:t>
      </w:r>
    </w:p>
    <w:p w:rsidR="00233D71" w:rsidRPr="00AE4C91" w:rsidP="004821C4" w14:paraId="2EB31BBB" w14:textId="77777777">
      <w:pPr>
        <w:widowControl/>
        <w:tabs>
          <w:tab w:val="num" w:pos="360"/>
        </w:tabs>
        <w:ind w:left="360"/>
        <w:rPr>
          <w:rFonts w:ascii="Times New Roman" w:hAnsi="Times New Roman"/>
          <w:snapToGrid/>
          <w:sz w:val="24"/>
          <w:szCs w:val="24"/>
        </w:rPr>
      </w:pPr>
    </w:p>
    <w:p w:rsidR="00233D71" w:rsidRPr="00AE4C91" w:rsidP="00EE4D5A" w14:paraId="283B9C0B" w14:textId="532D8E8A">
      <w:pPr>
        <w:widowControl/>
        <w:tabs>
          <w:tab w:val="num" w:pos="360"/>
        </w:tabs>
        <w:spacing w:after="60"/>
        <w:ind w:left="360"/>
        <w:rPr>
          <w:rFonts w:ascii="Times New Roman" w:hAnsi="Times New Roman"/>
          <w:snapToGrid/>
          <w:sz w:val="24"/>
          <w:szCs w:val="24"/>
        </w:rPr>
      </w:pPr>
      <w:r w:rsidRPr="00AE4C91">
        <w:rPr>
          <w:rFonts w:ascii="Times New Roman" w:hAnsi="Times New Roman"/>
          <w:snapToGrid/>
          <w:sz w:val="24"/>
          <w:szCs w:val="24"/>
        </w:rPr>
        <w:t xml:space="preserve">OCS plans to use the resultant dataset in various analyses that characterize LIHEAP </w:t>
      </w:r>
      <w:r w:rsidR="00AD2BCB">
        <w:rPr>
          <w:rFonts w:ascii="Times New Roman" w:hAnsi="Times New Roman"/>
          <w:snapToGrid/>
          <w:sz w:val="24"/>
          <w:szCs w:val="24"/>
        </w:rPr>
        <w:t xml:space="preserve">beneficiary </w:t>
      </w:r>
      <w:r w:rsidRPr="00AE4C91">
        <w:rPr>
          <w:rFonts w:ascii="Times New Roman" w:hAnsi="Times New Roman"/>
          <w:snapToGrid/>
          <w:sz w:val="24"/>
          <w:szCs w:val="24"/>
        </w:rPr>
        <w:t xml:space="preserve">households and that compare </w:t>
      </w:r>
      <w:r w:rsidR="00AD2BCB">
        <w:rPr>
          <w:rFonts w:ascii="Times New Roman" w:hAnsi="Times New Roman"/>
          <w:snapToGrid/>
          <w:sz w:val="24"/>
          <w:szCs w:val="24"/>
        </w:rPr>
        <w:t>beneficiaries</w:t>
      </w:r>
      <w:r w:rsidRPr="00AE4C91">
        <w:rPr>
          <w:rFonts w:ascii="Times New Roman" w:hAnsi="Times New Roman"/>
          <w:snapToGrid/>
          <w:sz w:val="24"/>
          <w:szCs w:val="24"/>
        </w:rPr>
        <w:t xml:space="preserve"> to income-eligible non-</w:t>
      </w:r>
      <w:r w:rsidR="00AD2BCB">
        <w:rPr>
          <w:rFonts w:ascii="Times New Roman" w:hAnsi="Times New Roman"/>
          <w:snapToGrid/>
          <w:sz w:val="24"/>
          <w:szCs w:val="24"/>
        </w:rPr>
        <w:t>beneficiaries</w:t>
      </w:r>
      <w:r w:rsidRPr="00AE4C91">
        <w:rPr>
          <w:rFonts w:ascii="Times New Roman" w:hAnsi="Times New Roman"/>
          <w:snapToGrid/>
          <w:sz w:val="24"/>
          <w:szCs w:val="24"/>
        </w:rPr>
        <w:t>. Such datasets will allow OCS to study the impact of LIHEAP on income</w:t>
      </w:r>
      <w:r w:rsidRPr="00AE4C91" w:rsidR="3C912A58">
        <w:rPr>
          <w:rFonts w:ascii="Times New Roman" w:hAnsi="Times New Roman"/>
          <w:snapToGrid/>
          <w:sz w:val="24"/>
          <w:szCs w:val="24"/>
        </w:rPr>
        <w:t>-</w:t>
      </w:r>
      <w:r w:rsidRPr="00AE4C91">
        <w:rPr>
          <w:rFonts w:ascii="Times New Roman" w:hAnsi="Times New Roman"/>
          <w:snapToGrid/>
          <w:sz w:val="24"/>
          <w:szCs w:val="24"/>
        </w:rPr>
        <w:t xml:space="preserve">eligible and </w:t>
      </w:r>
      <w:r w:rsidR="00AD2BCB">
        <w:rPr>
          <w:rFonts w:ascii="Times New Roman" w:hAnsi="Times New Roman"/>
          <w:snapToGrid/>
          <w:sz w:val="24"/>
          <w:szCs w:val="24"/>
        </w:rPr>
        <w:t xml:space="preserve">beneficiary </w:t>
      </w:r>
      <w:r w:rsidRPr="00AE4C91">
        <w:rPr>
          <w:rFonts w:ascii="Times New Roman" w:hAnsi="Times New Roman"/>
          <w:snapToGrid/>
          <w:sz w:val="24"/>
          <w:szCs w:val="24"/>
        </w:rPr>
        <w:t>households in accordance with section 2610(b)(2) of the LIHEAP</w:t>
      </w:r>
      <w:r w:rsidR="007B1281">
        <w:rPr>
          <w:rFonts w:ascii="Times New Roman" w:hAnsi="Times New Roman"/>
          <w:snapToGrid/>
          <w:sz w:val="24"/>
          <w:szCs w:val="24"/>
        </w:rPr>
        <w:t xml:space="preserve"> Act</w:t>
      </w:r>
      <w:r w:rsidRPr="00AE4C91">
        <w:rPr>
          <w:rFonts w:ascii="Times New Roman" w:hAnsi="Times New Roman"/>
          <w:snapToGrid/>
          <w:sz w:val="24"/>
          <w:szCs w:val="24"/>
        </w:rPr>
        <w:t>. Such studies will enter into the following publications and analyses</w:t>
      </w:r>
      <w:r w:rsidR="00CF2B00">
        <w:rPr>
          <w:rFonts w:ascii="Times New Roman" w:hAnsi="Times New Roman"/>
          <w:snapToGrid/>
          <w:sz w:val="24"/>
          <w:szCs w:val="24"/>
        </w:rPr>
        <w:t>, as they have in the past</w:t>
      </w:r>
      <w:r w:rsidRPr="00AE4C91">
        <w:rPr>
          <w:rFonts w:ascii="Times New Roman" w:hAnsi="Times New Roman"/>
          <w:snapToGrid/>
          <w:sz w:val="24"/>
          <w:szCs w:val="24"/>
        </w:rPr>
        <w:t>:</w:t>
      </w:r>
    </w:p>
    <w:p w:rsidR="00233D71" w:rsidRPr="00AE4C91" w:rsidP="00EE4D5A" w14:paraId="11DE13F0" w14:textId="77777777">
      <w:pPr>
        <w:pStyle w:val="ListParagraph"/>
        <w:widowControl/>
        <w:numPr>
          <w:ilvl w:val="0"/>
          <w:numId w:val="21"/>
        </w:numPr>
        <w:ind w:left="1080"/>
        <w:rPr>
          <w:rFonts w:ascii="Times New Roman" w:hAnsi="Times New Roman"/>
          <w:snapToGrid/>
          <w:sz w:val="24"/>
          <w:szCs w:val="24"/>
        </w:rPr>
      </w:pPr>
      <w:r w:rsidRPr="00AE4C91">
        <w:rPr>
          <w:rFonts w:ascii="Times New Roman" w:hAnsi="Times New Roman"/>
          <w:snapToGrid/>
          <w:sz w:val="24"/>
          <w:szCs w:val="24"/>
        </w:rPr>
        <w:t xml:space="preserve">The Department's annual </w:t>
      </w:r>
      <w:r w:rsidRPr="00DC216F">
        <w:rPr>
          <w:rFonts w:ascii="Times New Roman" w:hAnsi="Times New Roman"/>
          <w:i/>
          <w:snapToGrid/>
          <w:sz w:val="24"/>
          <w:szCs w:val="24"/>
        </w:rPr>
        <w:t>LIHEAP Report to Congress</w:t>
      </w:r>
      <w:r w:rsidRPr="00AE4C91">
        <w:rPr>
          <w:rFonts w:ascii="Times New Roman" w:hAnsi="Times New Roman"/>
          <w:snapToGrid/>
          <w:sz w:val="24"/>
          <w:szCs w:val="24"/>
        </w:rPr>
        <w:t xml:space="preserve"> and </w:t>
      </w:r>
      <w:r w:rsidRPr="00DC216F">
        <w:rPr>
          <w:rFonts w:ascii="Times New Roman" w:hAnsi="Times New Roman"/>
          <w:i/>
          <w:snapToGrid/>
          <w:sz w:val="24"/>
          <w:szCs w:val="24"/>
        </w:rPr>
        <w:t>LIHEAP Home Energy Notebook</w:t>
      </w:r>
      <w:r w:rsidRPr="00AE4C91">
        <w:rPr>
          <w:rFonts w:ascii="Times New Roman" w:hAnsi="Times New Roman"/>
          <w:snapToGrid/>
          <w:sz w:val="24"/>
          <w:szCs w:val="24"/>
        </w:rPr>
        <w:t>; and</w:t>
      </w:r>
    </w:p>
    <w:p w:rsidR="00233D71" w:rsidP="00EE4D5A" w14:paraId="0FAF8BAC" w14:textId="5078A7E2">
      <w:pPr>
        <w:pStyle w:val="ListParagraph"/>
        <w:widowControl/>
        <w:numPr>
          <w:ilvl w:val="0"/>
          <w:numId w:val="21"/>
        </w:numPr>
        <w:ind w:left="1080"/>
        <w:rPr>
          <w:rFonts w:ascii="Times New Roman" w:hAnsi="Times New Roman"/>
          <w:snapToGrid/>
          <w:sz w:val="24"/>
          <w:szCs w:val="24"/>
        </w:rPr>
      </w:pPr>
      <w:r w:rsidRPr="00AE4C91">
        <w:rPr>
          <w:rFonts w:ascii="Times New Roman" w:hAnsi="Times New Roman"/>
          <w:snapToGrid/>
          <w:sz w:val="24"/>
          <w:szCs w:val="24"/>
        </w:rPr>
        <w:t xml:space="preserve">Estimates about fuel usage, expenditures, energy burden, and LIHEAP targeting among LIHEAP </w:t>
      </w:r>
      <w:r w:rsidR="00AD2BCB">
        <w:rPr>
          <w:rFonts w:ascii="Times New Roman" w:hAnsi="Times New Roman"/>
          <w:snapToGrid/>
          <w:sz w:val="24"/>
          <w:szCs w:val="24"/>
        </w:rPr>
        <w:t xml:space="preserve">beneficiary </w:t>
      </w:r>
      <w:r w:rsidRPr="00AE4C91">
        <w:rPr>
          <w:rFonts w:ascii="Times New Roman" w:hAnsi="Times New Roman"/>
          <w:snapToGrid/>
          <w:sz w:val="24"/>
          <w:szCs w:val="24"/>
        </w:rPr>
        <w:t>households.</w:t>
      </w:r>
    </w:p>
    <w:p w:rsidR="00AE6077" w:rsidRPr="008935C6" w:rsidP="00EE4D5A" w14:paraId="0F2B49AB" w14:textId="465FD07C">
      <w:pPr>
        <w:pStyle w:val="ListParagraph"/>
        <w:widowControl/>
        <w:numPr>
          <w:ilvl w:val="0"/>
          <w:numId w:val="21"/>
        </w:numPr>
        <w:ind w:left="1080"/>
        <w:rPr>
          <w:rFonts w:ascii="Times New Roman" w:hAnsi="Times New Roman"/>
          <w:snapToGrid/>
          <w:sz w:val="24"/>
          <w:szCs w:val="24"/>
        </w:rPr>
      </w:pPr>
      <w:r w:rsidRPr="008935C6">
        <w:rPr>
          <w:rFonts w:ascii="Times New Roman" w:hAnsi="Times New Roman"/>
          <w:sz w:val="24"/>
          <w:szCs w:val="24"/>
          <w:lang w:val="en"/>
        </w:rPr>
        <w:t>Additional research and analysis of LIHEAP program impacts.</w:t>
      </w:r>
    </w:p>
    <w:p w:rsidR="002357D9" w:rsidP="002357D9" w14:paraId="4B2196C7" w14:textId="77777777">
      <w:pPr>
        <w:pStyle w:val="ListParagraph"/>
        <w:widowControl/>
        <w:ind w:left="1440"/>
        <w:rPr>
          <w:rFonts w:ascii="Times New Roman" w:hAnsi="Times New Roman"/>
          <w:snapToGrid/>
          <w:sz w:val="24"/>
          <w:szCs w:val="24"/>
        </w:rPr>
      </w:pPr>
    </w:p>
    <w:p w:rsidR="00334AC2" w:rsidP="002357D9" w14:paraId="28370BBD" w14:textId="77777777">
      <w:pPr>
        <w:pStyle w:val="ListParagraph"/>
        <w:widowControl/>
        <w:ind w:left="1440"/>
        <w:rPr>
          <w:rFonts w:ascii="Times New Roman" w:hAnsi="Times New Roman"/>
          <w:snapToGrid/>
          <w:sz w:val="24"/>
          <w:szCs w:val="24"/>
        </w:rPr>
      </w:pPr>
    </w:p>
    <w:p w:rsidR="00334AC2" w:rsidP="002357D9" w14:paraId="326D351F" w14:textId="77777777">
      <w:pPr>
        <w:pStyle w:val="ListParagraph"/>
        <w:widowControl/>
        <w:ind w:left="1440"/>
        <w:rPr>
          <w:rFonts w:ascii="Times New Roman" w:hAnsi="Times New Roman"/>
          <w:snapToGrid/>
          <w:sz w:val="24"/>
          <w:szCs w:val="24"/>
        </w:rPr>
      </w:pPr>
    </w:p>
    <w:bookmarkEnd w:id="1"/>
    <w:p w:rsidR="002C3C4F" w:rsidRPr="004821C4" w:rsidP="004821C4" w14:paraId="6491285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Use of Improved Information Technology and Burden Reduction </w:t>
      </w:r>
    </w:p>
    <w:p w:rsidR="00670F63" w:rsidRPr="00651AB8" w:rsidP="004821C4" w14:paraId="2833479F" w14:textId="68EA560B">
      <w:pPr>
        <w:widowControl/>
        <w:ind w:left="360"/>
        <w:rPr>
          <w:rFonts w:ascii="Times New Roman" w:hAnsi="Times New Roman"/>
          <w:snapToGrid/>
          <w:sz w:val="24"/>
          <w:szCs w:val="24"/>
        </w:rPr>
      </w:pPr>
      <w:bookmarkStart w:id="2" w:name="OLE_LINK5"/>
      <w:r w:rsidRPr="00651AB8">
        <w:rPr>
          <w:rFonts w:ascii="Times New Roman" w:hAnsi="Times New Roman"/>
          <w:snapToGrid/>
          <w:sz w:val="24"/>
          <w:szCs w:val="24"/>
        </w:rPr>
        <w:t xml:space="preserve">OCS </w:t>
      </w:r>
      <w:r w:rsidR="00027B72">
        <w:rPr>
          <w:rFonts w:ascii="Times New Roman" w:hAnsi="Times New Roman"/>
          <w:snapToGrid/>
          <w:sz w:val="24"/>
          <w:szCs w:val="24"/>
        </w:rPr>
        <w:t>has</w:t>
      </w:r>
      <w:r w:rsidRPr="00651AB8">
        <w:rPr>
          <w:rFonts w:ascii="Times New Roman" w:hAnsi="Times New Roman"/>
          <w:snapToGrid/>
          <w:sz w:val="24"/>
          <w:szCs w:val="24"/>
        </w:rPr>
        <w:t xml:space="preserve"> reduce</w:t>
      </w:r>
      <w:r w:rsidR="00027B72">
        <w:rPr>
          <w:rFonts w:ascii="Times New Roman" w:hAnsi="Times New Roman"/>
          <w:snapToGrid/>
          <w:sz w:val="24"/>
          <w:szCs w:val="24"/>
        </w:rPr>
        <w:t>d</w:t>
      </w:r>
      <w:r w:rsidRPr="00651AB8">
        <w:rPr>
          <w:rFonts w:ascii="Times New Roman" w:hAnsi="Times New Roman"/>
          <w:snapToGrid/>
          <w:sz w:val="24"/>
          <w:szCs w:val="24"/>
        </w:rPr>
        <w:t xml:space="preserve"> the burden of this data collection</w:t>
      </w:r>
      <w:r w:rsidR="00492339">
        <w:rPr>
          <w:rFonts w:ascii="Times New Roman" w:hAnsi="Times New Roman"/>
          <w:snapToGrid/>
          <w:sz w:val="24"/>
          <w:szCs w:val="24"/>
        </w:rPr>
        <w:t xml:space="preserve"> by 33 percent compared to 2021</w:t>
      </w:r>
      <w:r w:rsidR="00027B72">
        <w:rPr>
          <w:rFonts w:ascii="Times New Roman" w:hAnsi="Times New Roman"/>
          <w:snapToGrid/>
          <w:sz w:val="24"/>
          <w:szCs w:val="24"/>
        </w:rPr>
        <w:t xml:space="preserve"> by streamlining the instructions to respondents and </w:t>
      </w:r>
      <w:r w:rsidR="00492339">
        <w:rPr>
          <w:rFonts w:ascii="Times New Roman" w:hAnsi="Times New Roman"/>
          <w:snapToGrid/>
          <w:sz w:val="24"/>
          <w:szCs w:val="24"/>
        </w:rPr>
        <w:t>removing eight data elements.</w:t>
      </w:r>
      <w:r w:rsidRPr="00651AB8">
        <w:rPr>
          <w:rFonts w:ascii="Times New Roman" w:hAnsi="Times New Roman"/>
          <w:snapToGrid/>
          <w:sz w:val="24"/>
          <w:szCs w:val="24"/>
        </w:rPr>
        <w:t xml:space="preserve"> </w:t>
      </w:r>
      <w:r w:rsidR="00CD35ED">
        <w:rPr>
          <w:rFonts w:ascii="Times New Roman" w:hAnsi="Times New Roman"/>
          <w:snapToGrid/>
          <w:sz w:val="24"/>
          <w:szCs w:val="24"/>
        </w:rPr>
        <w:t xml:space="preserve">Additionally, </w:t>
      </w:r>
      <w:r w:rsidRPr="00651AB8">
        <w:rPr>
          <w:rFonts w:ascii="Times New Roman" w:hAnsi="Times New Roman"/>
          <w:snapToGrid/>
          <w:sz w:val="24"/>
          <w:szCs w:val="24"/>
        </w:rPr>
        <w:t>all LIHEAP grant</w:t>
      </w:r>
      <w:r w:rsidR="005F7191">
        <w:rPr>
          <w:rFonts w:ascii="Times New Roman" w:hAnsi="Times New Roman"/>
          <w:snapToGrid/>
          <w:sz w:val="24"/>
          <w:szCs w:val="24"/>
        </w:rPr>
        <w:t xml:space="preserve"> recipients</w:t>
      </w:r>
      <w:r w:rsidRPr="00651AB8">
        <w:rPr>
          <w:rFonts w:ascii="Times New Roman" w:hAnsi="Times New Roman"/>
          <w:snapToGrid/>
          <w:sz w:val="24"/>
          <w:szCs w:val="24"/>
        </w:rPr>
        <w:t xml:space="preserve"> already compile the required data to meet HHS’ </w:t>
      </w:r>
      <w:r w:rsidR="00CD35ED">
        <w:rPr>
          <w:rFonts w:ascii="Times New Roman" w:hAnsi="Times New Roman"/>
          <w:snapToGrid/>
          <w:sz w:val="24"/>
          <w:szCs w:val="24"/>
        </w:rPr>
        <w:t>annual</w:t>
      </w:r>
      <w:r w:rsidR="00BF75C2">
        <w:rPr>
          <w:rFonts w:ascii="Times New Roman" w:hAnsi="Times New Roman"/>
          <w:snapToGrid/>
          <w:sz w:val="24"/>
          <w:szCs w:val="24"/>
        </w:rPr>
        <w:t xml:space="preserve"> </w:t>
      </w:r>
      <w:r w:rsidR="007B1281">
        <w:rPr>
          <w:rFonts w:ascii="Times New Roman" w:hAnsi="Times New Roman"/>
          <w:snapToGrid/>
          <w:sz w:val="24"/>
          <w:szCs w:val="24"/>
        </w:rPr>
        <w:t>Household Report (</w:t>
      </w:r>
      <w:r w:rsidRPr="00651AB8">
        <w:rPr>
          <w:rFonts w:ascii="Times New Roman" w:hAnsi="Times New Roman"/>
          <w:snapToGrid/>
          <w:sz w:val="24"/>
          <w:szCs w:val="24"/>
        </w:rPr>
        <w:t>HHR</w:t>
      </w:r>
      <w:r w:rsidR="007B1281">
        <w:rPr>
          <w:rFonts w:ascii="Times New Roman" w:hAnsi="Times New Roman"/>
          <w:snapToGrid/>
          <w:sz w:val="24"/>
          <w:szCs w:val="24"/>
        </w:rPr>
        <w:t>)</w:t>
      </w:r>
      <w:r w:rsidR="00AE6077">
        <w:rPr>
          <w:rFonts w:ascii="Times New Roman" w:hAnsi="Times New Roman"/>
          <w:snapToGrid/>
          <w:sz w:val="24"/>
          <w:szCs w:val="24"/>
        </w:rPr>
        <w:t xml:space="preserve"> </w:t>
      </w:r>
      <w:r w:rsidRPr="00651AB8">
        <w:rPr>
          <w:rFonts w:ascii="Times New Roman" w:hAnsi="Times New Roman"/>
          <w:snapToGrid/>
          <w:sz w:val="24"/>
          <w:szCs w:val="24"/>
        </w:rPr>
        <w:t>reporting and non-duplication-of-benefit requirements.</w:t>
      </w:r>
      <w:r w:rsidR="009253DA">
        <w:rPr>
          <w:rFonts w:ascii="Times New Roman" w:hAnsi="Times New Roman"/>
          <w:snapToGrid/>
          <w:sz w:val="24"/>
          <w:szCs w:val="24"/>
        </w:rPr>
        <w:t xml:space="preserve"> </w:t>
      </w:r>
      <w:r w:rsidR="006557BD">
        <w:rPr>
          <w:rFonts w:ascii="Times New Roman" w:hAnsi="Times New Roman"/>
          <w:snapToGrid/>
          <w:sz w:val="24"/>
          <w:szCs w:val="24"/>
        </w:rPr>
        <w:t xml:space="preserve">Accordingly, OCS </w:t>
      </w:r>
      <w:r w:rsidR="009253DA">
        <w:rPr>
          <w:rFonts w:ascii="Times New Roman" w:hAnsi="Times New Roman"/>
          <w:snapToGrid/>
          <w:sz w:val="24"/>
          <w:szCs w:val="24"/>
        </w:rPr>
        <w:t xml:space="preserve">plans to </w:t>
      </w:r>
      <w:r w:rsidR="006557BD">
        <w:rPr>
          <w:rFonts w:ascii="Times New Roman" w:hAnsi="Times New Roman"/>
          <w:snapToGrid/>
          <w:sz w:val="24"/>
          <w:szCs w:val="24"/>
        </w:rPr>
        <w:t xml:space="preserve">maximize </w:t>
      </w:r>
      <w:r w:rsidR="00254C49">
        <w:rPr>
          <w:rFonts w:ascii="Times New Roman" w:hAnsi="Times New Roman"/>
          <w:snapToGrid/>
          <w:sz w:val="24"/>
          <w:szCs w:val="24"/>
        </w:rPr>
        <w:t>rapid file transfer technology by using a secure internet site that employs File Transfer Protocol.</w:t>
      </w:r>
    </w:p>
    <w:p w:rsidR="00670F63" w:rsidRPr="00651AB8" w:rsidP="004821C4" w14:paraId="524F5635" w14:textId="77777777">
      <w:pPr>
        <w:widowControl/>
        <w:ind w:left="360"/>
        <w:rPr>
          <w:rFonts w:ascii="Times New Roman" w:hAnsi="Times New Roman"/>
          <w:snapToGrid/>
          <w:sz w:val="24"/>
          <w:szCs w:val="24"/>
        </w:rPr>
      </w:pPr>
    </w:p>
    <w:p w:rsidR="00670F63" w:rsidRPr="00651AB8" w:rsidP="004821C4" w14:paraId="48AB18FA" w14:textId="266E8636">
      <w:pPr>
        <w:widowControl/>
        <w:ind w:left="360"/>
        <w:rPr>
          <w:rFonts w:ascii="Times New Roman" w:hAnsi="Times New Roman"/>
          <w:snapToGrid/>
          <w:sz w:val="24"/>
          <w:szCs w:val="24"/>
        </w:rPr>
      </w:pPr>
      <w:r w:rsidRPr="00651AB8">
        <w:rPr>
          <w:rFonts w:ascii="Times New Roman" w:hAnsi="Times New Roman"/>
          <w:snapToGrid/>
          <w:sz w:val="24"/>
          <w:szCs w:val="24"/>
        </w:rPr>
        <w:t>State LIHEAP grant</w:t>
      </w:r>
      <w:r w:rsidR="0033508C">
        <w:rPr>
          <w:rFonts w:ascii="Times New Roman" w:hAnsi="Times New Roman"/>
          <w:snapToGrid/>
          <w:sz w:val="24"/>
          <w:szCs w:val="24"/>
        </w:rPr>
        <w:t xml:space="preserve"> recipients</w:t>
      </w:r>
      <w:r w:rsidRPr="00651AB8">
        <w:rPr>
          <w:rFonts w:ascii="Times New Roman" w:hAnsi="Times New Roman"/>
          <w:snapToGrid/>
          <w:sz w:val="24"/>
          <w:szCs w:val="24"/>
        </w:rPr>
        <w:t xml:space="preserve"> are familiar with the requested data elements and maintain administrative records that contain such elements to (1) manage their programs; </w:t>
      </w:r>
      <w:r w:rsidR="00AE6077">
        <w:rPr>
          <w:rFonts w:ascii="Times New Roman" w:hAnsi="Times New Roman"/>
          <w:snapToGrid/>
          <w:sz w:val="24"/>
          <w:szCs w:val="24"/>
        </w:rPr>
        <w:t xml:space="preserve">(2) </w:t>
      </w:r>
      <w:r w:rsidRPr="00651AB8">
        <w:rPr>
          <w:rFonts w:ascii="Times New Roman" w:hAnsi="Times New Roman"/>
          <w:snapToGrid/>
          <w:sz w:val="24"/>
          <w:szCs w:val="24"/>
        </w:rPr>
        <w:t>complete their HHRs; and (3) complete their annual LIHEAP Performance Data Forms (OMB Control No. 0970-0449).</w:t>
      </w:r>
    </w:p>
    <w:p w:rsidR="00670F63" w:rsidRPr="00651AB8" w:rsidP="004821C4" w14:paraId="66EA13F9" w14:textId="77777777">
      <w:pPr>
        <w:widowControl/>
        <w:ind w:left="360"/>
        <w:rPr>
          <w:rFonts w:ascii="Times New Roman" w:hAnsi="Times New Roman"/>
          <w:snapToGrid/>
          <w:sz w:val="24"/>
          <w:szCs w:val="24"/>
        </w:rPr>
      </w:pPr>
    </w:p>
    <w:p w:rsidR="00670F63" w:rsidP="004821C4" w14:paraId="3D0D198A" w14:textId="51110A4D">
      <w:pPr>
        <w:widowControl/>
        <w:ind w:left="360"/>
        <w:rPr>
          <w:rFonts w:ascii="Times New Roman" w:hAnsi="Times New Roman"/>
          <w:snapToGrid/>
          <w:sz w:val="24"/>
          <w:szCs w:val="24"/>
        </w:rPr>
      </w:pPr>
      <w:r w:rsidRPr="00651AB8">
        <w:rPr>
          <w:rFonts w:ascii="Times New Roman" w:hAnsi="Times New Roman"/>
          <w:snapToGrid/>
          <w:sz w:val="24"/>
          <w:szCs w:val="24"/>
        </w:rPr>
        <w:t>OCS expects such grant</w:t>
      </w:r>
      <w:r w:rsidR="005F7191">
        <w:rPr>
          <w:rFonts w:ascii="Times New Roman" w:hAnsi="Times New Roman"/>
          <w:snapToGrid/>
          <w:sz w:val="24"/>
          <w:szCs w:val="24"/>
        </w:rPr>
        <w:t xml:space="preserve"> recipient</w:t>
      </w:r>
      <w:r w:rsidR="001C58E4">
        <w:rPr>
          <w:rFonts w:ascii="Times New Roman" w:hAnsi="Times New Roman"/>
          <w:snapToGrid/>
          <w:sz w:val="24"/>
          <w:szCs w:val="24"/>
        </w:rPr>
        <w:t>s</w:t>
      </w:r>
      <w:r w:rsidRPr="00651AB8">
        <w:rPr>
          <w:rFonts w:ascii="Times New Roman" w:hAnsi="Times New Roman"/>
          <w:snapToGrid/>
          <w:sz w:val="24"/>
          <w:szCs w:val="24"/>
        </w:rPr>
        <w:t xml:space="preserve"> to use their information technology systems to reduce the burden of providing such data.</w:t>
      </w:r>
    </w:p>
    <w:bookmarkEnd w:id="2"/>
    <w:p w:rsidR="0079001A" w:rsidP="0051278C" w14:paraId="623E8EBF" w14:textId="77777777">
      <w:pPr>
        <w:widowControl/>
        <w:tabs>
          <w:tab w:val="num" w:pos="360"/>
        </w:tabs>
        <w:ind w:left="720" w:hanging="360"/>
        <w:rPr>
          <w:rFonts w:ascii="Times New Roman" w:hAnsi="Times New Roman"/>
          <w:snapToGrid/>
          <w:sz w:val="24"/>
          <w:szCs w:val="24"/>
        </w:rPr>
      </w:pPr>
    </w:p>
    <w:p w:rsidR="002C3C4F" w:rsidRPr="004821C4" w:rsidP="004821C4" w14:paraId="481F21A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Efforts to Identify Duplication and Use of Similar Information </w:t>
      </w:r>
    </w:p>
    <w:p w:rsidR="00BB6B69" w:rsidRPr="00B472DA" w:rsidP="004821C4" w14:paraId="0ABA3677" w14:textId="79CB16A0">
      <w:pPr>
        <w:widowControl/>
        <w:ind w:left="360"/>
        <w:rPr>
          <w:rFonts w:ascii="Times New Roman" w:hAnsi="Times New Roman"/>
          <w:snapToGrid/>
          <w:sz w:val="24"/>
          <w:szCs w:val="24"/>
        </w:rPr>
      </w:pPr>
      <w:bookmarkStart w:id="3" w:name="OLE_LINK7"/>
      <w:r w:rsidRPr="00B472DA">
        <w:rPr>
          <w:rFonts w:ascii="Times New Roman" w:hAnsi="Times New Roman"/>
          <w:snapToGrid/>
          <w:sz w:val="24"/>
          <w:szCs w:val="24"/>
        </w:rPr>
        <w:t>The data that OCS is requesting is not available from any source other than LIHEAP grant</w:t>
      </w:r>
      <w:r w:rsidR="0033508C">
        <w:rPr>
          <w:rFonts w:ascii="Times New Roman" w:hAnsi="Times New Roman"/>
          <w:snapToGrid/>
          <w:sz w:val="24"/>
          <w:szCs w:val="24"/>
        </w:rPr>
        <w:t xml:space="preserve"> recipients</w:t>
      </w:r>
      <w:r w:rsidRPr="00B472DA">
        <w:rPr>
          <w:rFonts w:ascii="Times New Roman" w:hAnsi="Times New Roman"/>
          <w:snapToGrid/>
          <w:sz w:val="24"/>
          <w:szCs w:val="24"/>
        </w:rPr>
        <w:t xml:space="preserve"> (and their sub</w:t>
      </w:r>
      <w:r w:rsidR="0033508C">
        <w:rPr>
          <w:rFonts w:ascii="Times New Roman" w:hAnsi="Times New Roman"/>
          <w:snapToGrid/>
          <w:sz w:val="24"/>
          <w:szCs w:val="24"/>
        </w:rPr>
        <w:t>recipients</w:t>
      </w:r>
      <w:r w:rsidRPr="00B472DA">
        <w:rPr>
          <w:rFonts w:ascii="Times New Roman" w:hAnsi="Times New Roman"/>
          <w:snapToGrid/>
          <w:sz w:val="24"/>
          <w:szCs w:val="24"/>
        </w:rPr>
        <w:t>), who collect this information for normal program management, federal reporting requirements, and administrative purposes.</w:t>
      </w:r>
    </w:p>
    <w:p w:rsidR="00BB6B69" w:rsidRPr="00B472DA" w:rsidP="004821C4" w14:paraId="24C8219D" w14:textId="77777777">
      <w:pPr>
        <w:widowControl/>
        <w:ind w:left="360"/>
        <w:rPr>
          <w:rFonts w:ascii="Times New Roman" w:hAnsi="Times New Roman"/>
          <w:snapToGrid/>
          <w:sz w:val="24"/>
          <w:szCs w:val="24"/>
        </w:rPr>
      </w:pPr>
    </w:p>
    <w:p w:rsidR="00BB6B69" w:rsidRPr="00B472DA" w:rsidP="004821C4" w14:paraId="2CBE4839" w14:textId="0E71155F">
      <w:pPr>
        <w:widowControl/>
        <w:ind w:left="360"/>
        <w:rPr>
          <w:rFonts w:ascii="Times New Roman" w:hAnsi="Times New Roman"/>
          <w:snapToGrid/>
          <w:sz w:val="24"/>
          <w:szCs w:val="24"/>
        </w:rPr>
      </w:pPr>
      <w:r w:rsidRPr="00B472DA">
        <w:rPr>
          <w:rFonts w:ascii="Times New Roman" w:hAnsi="Times New Roman"/>
          <w:snapToGrid/>
          <w:sz w:val="24"/>
          <w:szCs w:val="24"/>
        </w:rPr>
        <w:t xml:space="preserve">RECS collects utility consumption and expenditure data for a nationally representative sample of households. OCS investigation has revealed no viable alternative to the RECS to furnish robust information on the home energy needs of LIHEAP </w:t>
      </w:r>
      <w:r w:rsidR="00AD2BCB">
        <w:rPr>
          <w:rFonts w:ascii="Times New Roman" w:hAnsi="Times New Roman"/>
          <w:snapToGrid/>
          <w:sz w:val="24"/>
          <w:szCs w:val="24"/>
        </w:rPr>
        <w:t xml:space="preserve">beneficiary </w:t>
      </w:r>
      <w:r w:rsidRPr="00B472DA">
        <w:rPr>
          <w:rFonts w:ascii="Times New Roman" w:hAnsi="Times New Roman"/>
          <w:snapToGrid/>
          <w:sz w:val="24"/>
          <w:szCs w:val="24"/>
        </w:rPr>
        <w:t xml:space="preserve">households, and to compare how the needs of LIHEAP </w:t>
      </w:r>
      <w:r w:rsidR="00AD2BCB">
        <w:rPr>
          <w:rFonts w:ascii="Times New Roman" w:hAnsi="Times New Roman"/>
          <w:snapToGrid/>
          <w:sz w:val="24"/>
          <w:szCs w:val="24"/>
        </w:rPr>
        <w:t>beneficiaries</w:t>
      </w:r>
      <w:r w:rsidRPr="00B472DA">
        <w:rPr>
          <w:rFonts w:ascii="Times New Roman" w:hAnsi="Times New Roman"/>
          <w:snapToGrid/>
          <w:sz w:val="24"/>
          <w:szCs w:val="24"/>
        </w:rPr>
        <w:t xml:space="preserve"> compare those of income-eligible non-</w:t>
      </w:r>
      <w:r w:rsidR="00AD2BCB">
        <w:rPr>
          <w:rFonts w:ascii="Times New Roman" w:hAnsi="Times New Roman"/>
          <w:snapToGrid/>
          <w:sz w:val="24"/>
          <w:szCs w:val="24"/>
        </w:rPr>
        <w:t xml:space="preserve">beneficiary </w:t>
      </w:r>
      <w:r w:rsidRPr="00B472DA">
        <w:rPr>
          <w:rFonts w:ascii="Times New Roman" w:hAnsi="Times New Roman"/>
          <w:snapToGrid/>
          <w:sz w:val="24"/>
          <w:szCs w:val="24"/>
        </w:rPr>
        <w:t xml:space="preserve">households. </w:t>
      </w:r>
    </w:p>
    <w:p w:rsidR="00BB6B69" w:rsidRPr="00B472DA" w:rsidP="004821C4" w14:paraId="1AE5716D" w14:textId="77777777">
      <w:pPr>
        <w:widowControl/>
        <w:ind w:left="360"/>
        <w:rPr>
          <w:rFonts w:ascii="Times New Roman" w:hAnsi="Times New Roman"/>
          <w:snapToGrid/>
          <w:sz w:val="24"/>
          <w:szCs w:val="24"/>
        </w:rPr>
      </w:pPr>
    </w:p>
    <w:p w:rsidR="00BB6B69" w:rsidRPr="004F7B95" w:rsidP="004821C4" w14:paraId="6F3D1758" w14:textId="00F3C602">
      <w:pPr>
        <w:widowControl/>
        <w:ind w:left="360"/>
        <w:rPr>
          <w:rFonts w:ascii="Times New Roman" w:hAnsi="Times New Roman"/>
          <w:snapToGrid/>
          <w:sz w:val="24"/>
          <w:szCs w:val="24"/>
        </w:rPr>
      </w:pPr>
      <w:r w:rsidRPr="00B472DA">
        <w:rPr>
          <w:rFonts w:ascii="Times New Roman" w:hAnsi="Times New Roman"/>
          <w:snapToGrid/>
          <w:sz w:val="24"/>
          <w:szCs w:val="24"/>
        </w:rPr>
        <w:t xml:space="preserve">OCS examined other potential options to identify LIHEAP </w:t>
      </w:r>
      <w:r w:rsidR="00AD2BCB">
        <w:rPr>
          <w:rFonts w:ascii="Times New Roman" w:hAnsi="Times New Roman"/>
          <w:snapToGrid/>
          <w:sz w:val="24"/>
          <w:szCs w:val="24"/>
        </w:rPr>
        <w:t>beneficiaries</w:t>
      </w:r>
      <w:r w:rsidRPr="00B472DA">
        <w:rPr>
          <w:rFonts w:ascii="Times New Roman" w:hAnsi="Times New Roman"/>
          <w:snapToGrid/>
          <w:sz w:val="24"/>
          <w:szCs w:val="24"/>
        </w:rPr>
        <w:t xml:space="preserve"> in the </w:t>
      </w:r>
      <w:r w:rsidR="00F64B55">
        <w:rPr>
          <w:rFonts w:ascii="Times New Roman" w:hAnsi="Times New Roman"/>
          <w:snapToGrid/>
          <w:sz w:val="24"/>
          <w:szCs w:val="24"/>
        </w:rPr>
        <w:t>RECS data</w:t>
      </w:r>
      <w:r w:rsidRPr="00B472DA">
        <w:rPr>
          <w:rFonts w:ascii="Times New Roman" w:hAnsi="Times New Roman"/>
          <w:snapToGrid/>
          <w:sz w:val="24"/>
          <w:szCs w:val="24"/>
        </w:rPr>
        <w:t xml:space="preserve">. RECS does collect information on household income and self-reports on whether respondents participated in energy assistance programs. But these self-reports can refer to either LIHEAP or unrelated ratepayer-funded programs. Since the number of households that participate in ratepayer-funded programs is substantial and the benefits granted under such programs are quite different from LIHEAP, relying on self-reported data would furnish poor quality data information to address important LIHEAP </w:t>
      </w:r>
      <w:r w:rsidR="00E0253F">
        <w:rPr>
          <w:rFonts w:ascii="Times New Roman" w:hAnsi="Times New Roman"/>
          <w:snapToGrid/>
          <w:sz w:val="24"/>
          <w:szCs w:val="24"/>
        </w:rPr>
        <w:t>p</w:t>
      </w:r>
      <w:r w:rsidRPr="00B472DA">
        <w:rPr>
          <w:rFonts w:ascii="Times New Roman" w:hAnsi="Times New Roman"/>
          <w:snapToGrid/>
          <w:sz w:val="24"/>
          <w:szCs w:val="24"/>
        </w:rPr>
        <w:t xml:space="preserve">erformance </w:t>
      </w:r>
      <w:r w:rsidR="00E0253F">
        <w:rPr>
          <w:rFonts w:ascii="Times New Roman" w:hAnsi="Times New Roman"/>
          <w:snapToGrid/>
          <w:sz w:val="24"/>
          <w:szCs w:val="24"/>
        </w:rPr>
        <w:t>m</w:t>
      </w:r>
      <w:r w:rsidRPr="00B472DA">
        <w:rPr>
          <w:rFonts w:ascii="Times New Roman" w:hAnsi="Times New Roman"/>
          <w:snapToGrid/>
          <w:sz w:val="24"/>
          <w:szCs w:val="24"/>
        </w:rPr>
        <w:t>easurement issues.</w:t>
      </w:r>
    </w:p>
    <w:bookmarkEnd w:id="3"/>
    <w:p w:rsidR="009C2DE1" w:rsidP="0051278C" w14:paraId="747EB111" w14:textId="5D3F7D19">
      <w:pPr>
        <w:widowControl/>
        <w:tabs>
          <w:tab w:val="num" w:pos="360"/>
        </w:tabs>
        <w:ind w:left="720" w:hanging="360"/>
        <w:rPr>
          <w:rFonts w:ascii="Times New Roman" w:hAnsi="Times New Roman"/>
          <w:snapToGrid/>
          <w:sz w:val="24"/>
          <w:szCs w:val="24"/>
        </w:rPr>
      </w:pPr>
    </w:p>
    <w:p w:rsidR="002C3C4F" w:rsidRPr="004821C4" w:rsidP="004821C4" w14:paraId="3B5BE00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Impact on Small Businesses or Other Small Entities </w:t>
      </w:r>
    </w:p>
    <w:p w:rsidR="007B1281" w:rsidRPr="007B1281" w:rsidP="004821C4" w14:paraId="110192CA" w14:textId="6494824B">
      <w:pPr>
        <w:widowControl/>
        <w:ind w:left="360"/>
        <w:rPr>
          <w:rFonts w:ascii="Times New Roman" w:hAnsi="Times New Roman"/>
          <w:snapToGrid/>
          <w:sz w:val="24"/>
          <w:szCs w:val="24"/>
        </w:rPr>
      </w:pPr>
      <w:r w:rsidRPr="007B1281">
        <w:rPr>
          <w:rFonts w:ascii="Times New Roman" w:hAnsi="Times New Roman"/>
          <w:snapToGrid/>
          <w:sz w:val="24"/>
          <w:szCs w:val="24"/>
        </w:rPr>
        <w:t xml:space="preserve">There are potentially two different sources of information for the proposed data collection – </w:t>
      </w:r>
      <w:r w:rsidR="006B7ADD">
        <w:rPr>
          <w:rFonts w:ascii="Times New Roman" w:hAnsi="Times New Roman"/>
          <w:snapToGrid/>
          <w:sz w:val="24"/>
          <w:szCs w:val="24"/>
        </w:rPr>
        <w:t>s</w:t>
      </w:r>
      <w:r w:rsidRPr="007B1281">
        <w:rPr>
          <w:rFonts w:ascii="Times New Roman" w:hAnsi="Times New Roman"/>
          <w:snapToGrid/>
          <w:sz w:val="24"/>
          <w:szCs w:val="24"/>
        </w:rPr>
        <w:t>tate LIHEAP grant</w:t>
      </w:r>
      <w:r w:rsidR="0033508C">
        <w:rPr>
          <w:rFonts w:ascii="Times New Roman" w:hAnsi="Times New Roman"/>
          <w:snapToGrid/>
          <w:sz w:val="24"/>
          <w:szCs w:val="24"/>
        </w:rPr>
        <w:t xml:space="preserve"> recipients</w:t>
      </w:r>
      <w:r w:rsidRPr="007B1281">
        <w:rPr>
          <w:rFonts w:ascii="Times New Roman" w:hAnsi="Times New Roman"/>
          <w:snapToGrid/>
          <w:sz w:val="24"/>
          <w:szCs w:val="24"/>
        </w:rPr>
        <w:t xml:space="preserve"> and LIHEAP sub</w:t>
      </w:r>
      <w:r w:rsidR="0033508C">
        <w:rPr>
          <w:rFonts w:ascii="Times New Roman" w:hAnsi="Times New Roman"/>
          <w:snapToGrid/>
          <w:sz w:val="24"/>
          <w:szCs w:val="24"/>
        </w:rPr>
        <w:t>recipients</w:t>
      </w:r>
      <w:r w:rsidRPr="007B1281">
        <w:rPr>
          <w:rFonts w:ascii="Times New Roman" w:hAnsi="Times New Roman"/>
          <w:snapToGrid/>
          <w:sz w:val="24"/>
          <w:szCs w:val="24"/>
        </w:rPr>
        <w:t xml:space="preserve"> (i.e., local agencies). In many states, small community-based organizations serve as LIHEAP sub</w:t>
      </w:r>
      <w:r w:rsidR="0033508C">
        <w:rPr>
          <w:rFonts w:ascii="Times New Roman" w:hAnsi="Times New Roman"/>
          <w:snapToGrid/>
          <w:sz w:val="24"/>
          <w:szCs w:val="24"/>
        </w:rPr>
        <w:t>recipients</w:t>
      </w:r>
      <w:r w:rsidRPr="007B1281">
        <w:rPr>
          <w:rFonts w:ascii="Times New Roman" w:hAnsi="Times New Roman"/>
          <w:snapToGrid/>
          <w:sz w:val="24"/>
          <w:szCs w:val="24"/>
        </w:rPr>
        <w:t>. In the normal course of service delivery, LIHEAP sub</w:t>
      </w:r>
      <w:r w:rsidR="0033508C">
        <w:rPr>
          <w:rFonts w:ascii="Times New Roman" w:hAnsi="Times New Roman"/>
          <w:snapToGrid/>
          <w:sz w:val="24"/>
          <w:szCs w:val="24"/>
        </w:rPr>
        <w:t>recipients</w:t>
      </w:r>
      <w:r w:rsidRPr="007B1281">
        <w:rPr>
          <w:rFonts w:ascii="Times New Roman" w:hAnsi="Times New Roman"/>
          <w:snapToGrid/>
          <w:sz w:val="24"/>
          <w:szCs w:val="24"/>
        </w:rPr>
        <w:t xml:space="preserve"> already are expected to collect information from applicant households and to report those data to the State LIHEAP grant</w:t>
      </w:r>
      <w:r w:rsidR="005F7191">
        <w:rPr>
          <w:rFonts w:ascii="Times New Roman" w:hAnsi="Times New Roman"/>
          <w:snapToGrid/>
          <w:sz w:val="24"/>
          <w:szCs w:val="24"/>
        </w:rPr>
        <w:t xml:space="preserve"> recipient</w:t>
      </w:r>
      <w:r w:rsidR="00AD2BCB">
        <w:rPr>
          <w:rFonts w:ascii="Times New Roman" w:hAnsi="Times New Roman"/>
          <w:snapToGrid/>
          <w:sz w:val="24"/>
          <w:szCs w:val="24"/>
        </w:rPr>
        <w:t>s</w:t>
      </w:r>
      <w:r w:rsidRPr="007B1281">
        <w:rPr>
          <w:rFonts w:ascii="Times New Roman" w:hAnsi="Times New Roman"/>
          <w:snapToGrid/>
          <w:sz w:val="24"/>
          <w:szCs w:val="24"/>
        </w:rPr>
        <w:t xml:space="preserve"> through automated information systems.</w:t>
      </w:r>
    </w:p>
    <w:p w:rsidR="007B1281" w:rsidRPr="007B1281" w:rsidP="004821C4" w14:paraId="046906E9" w14:textId="77777777">
      <w:pPr>
        <w:widowControl/>
        <w:ind w:left="360"/>
        <w:rPr>
          <w:rFonts w:ascii="Times New Roman" w:hAnsi="Times New Roman"/>
          <w:snapToGrid/>
          <w:sz w:val="24"/>
          <w:szCs w:val="24"/>
        </w:rPr>
      </w:pPr>
    </w:p>
    <w:p w:rsidR="00D60543" w:rsidP="004821C4" w14:paraId="2B48A74E" w14:textId="1D175B0A">
      <w:pPr>
        <w:widowControl/>
        <w:ind w:left="360"/>
        <w:rPr>
          <w:rFonts w:ascii="Times New Roman" w:hAnsi="Times New Roman"/>
          <w:snapToGrid/>
          <w:sz w:val="24"/>
          <w:szCs w:val="24"/>
        </w:rPr>
      </w:pPr>
      <w:r w:rsidRPr="007B1281">
        <w:rPr>
          <w:rFonts w:ascii="Times New Roman" w:hAnsi="Times New Roman"/>
          <w:snapToGrid/>
          <w:sz w:val="24"/>
          <w:szCs w:val="24"/>
        </w:rPr>
        <w:t xml:space="preserve">This data collection effort focuses on LIHEAP </w:t>
      </w:r>
      <w:r w:rsidR="00AD2BCB">
        <w:rPr>
          <w:rFonts w:ascii="Times New Roman" w:hAnsi="Times New Roman"/>
          <w:snapToGrid/>
          <w:sz w:val="24"/>
          <w:szCs w:val="24"/>
        </w:rPr>
        <w:t>s</w:t>
      </w:r>
      <w:r w:rsidRPr="007B1281">
        <w:rPr>
          <w:rFonts w:ascii="Times New Roman" w:hAnsi="Times New Roman"/>
          <w:snapToGrid/>
          <w:sz w:val="24"/>
          <w:szCs w:val="24"/>
        </w:rPr>
        <w:t>tate grant</w:t>
      </w:r>
      <w:r w:rsidR="005F7191">
        <w:rPr>
          <w:rFonts w:ascii="Times New Roman" w:hAnsi="Times New Roman"/>
          <w:snapToGrid/>
          <w:sz w:val="24"/>
          <w:szCs w:val="24"/>
        </w:rPr>
        <w:t xml:space="preserve"> recipient</w:t>
      </w:r>
      <w:r w:rsidR="00AD2BCB">
        <w:rPr>
          <w:rFonts w:ascii="Times New Roman" w:hAnsi="Times New Roman"/>
          <w:snapToGrid/>
          <w:sz w:val="24"/>
          <w:szCs w:val="24"/>
        </w:rPr>
        <w:t>s</w:t>
      </w:r>
      <w:r w:rsidRPr="007B1281">
        <w:rPr>
          <w:rFonts w:ascii="Times New Roman" w:hAnsi="Times New Roman"/>
          <w:snapToGrid/>
          <w:sz w:val="24"/>
          <w:szCs w:val="24"/>
        </w:rPr>
        <w:t>, rather than on smaller community-based sub</w:t>
      </w:r>
      <w:r w:rsidR="005F7191">
        <w:rPr>
          <w:rFonts w:ascii="Times New Roman" w:hAnsi="Times New Roman"/>
          <w:snapToGrid/>
          <w:sz w:val="24"/>
          <w:szCs w:val="24"/>
        </w:rPr>
        <w:t>recipient</w:t>
      </w:r>
      <w:r w:rsidR="00AD2BCB">
        <w:rPr>
          <w:rFonts w:ascii="Times New Roman" w:hAnsi="Times New Roman"/>
          <w:snapToGrid/>
          <w:sz w:val="24"/>
          <w:szCs w:val="24"/>
        </w:rPr>
        <w:t>s</w:t>
      </w:r>
      <w:r w:rsidRPr="007B1281">
        <w:rPr>
          <w:rFonts w:ascii="Times New Roman" w:hAnsi="Times New Roman"/>
          <w:snapToGrid/>
          <w:sz w:val="24"/>
          <w:szCs w:val="24"/>
        </w:rPr>
        <w:t>. This approach avoids placing a burden on small sub</w:t>
      </w:r>
      <w:r w:rsidR="0033508C">
        <w:rPr>
          <w:rFonts w:ascii="Times New Roman" w:hAnsi="Times New Roman"/>
          <w:snapToGrid/>
          <w:sz w:val="24"/>
          <w:szCs w:val="24"/>
        </w:rPr>
        <w:t>recipients</w:t>
      </w:r>
      <w:r w:rsidRPr="007B1281">
        <w:rPr>
          <w:rFonts w:ascii="Times New Roman" w:hAnsi="Times New Roman"/>
          <w:snapToGrid/>
          <w:sz w:val="24"/>
          <w:szCs w:val="24"/>
        </w:rPr>
        <w:t xml:space="preserve"> and allows for more efficient data collection that impacts a smaller number of respondents. State LIHEAP </w:t>
      </w:r>
      <w:r w:rsidR="0033508C">
        <w:rPr>
          <w:rFonts w:ascii="Times New Roman" w:hAnsi="Times New Roman"/>
          <w:snapToGrid/>
          <w:sz w:val="24"/>
          <w:szCs w:val="24"/>
        </w:rPr>
        <w:t>g</w:t>
      </w:r>
      <w:r w:rsidRPr="007B1281">
        <w:rPr>
          <w:rFonts w:ascii="Times New Roman" w:hAnsi="Times New Roman"/>
          <w:snapToGrid/>
          <w:sz w:val="24"/>
          <w:szCs w:val="24"/>
        </w:rPr>
        <w:t>rant</w:t>
      </w:r>
      <w:r w:rsidR="0033508C">
        <w:rPr>
          <w:rFonts w:ascii="Times New Roman" w:hAnsi="Times New Roman"/>
          <w:snapToGrid/>
          <w:sz w:val="24"/>
          <w:szCs w:val="24"/>
        </w:rPr>
        <w:t xml:space="preserve"> recipients</w:t>
      </w:r>
      <w:r w:rsidRPr="007B1281">
        <w:rPr>
          <w:rFonts w:ascii="Times New Roman" w:hAnsi="Times New Roman"/>
          <w:snapToGrid/>
          <w:sz w:val="24"/>
          <w:szCs w:val="24"/>
        </w:rPr>
        <w:t xml:space="preserve"> already collect and utilize this data to complete annual reporting requirements for their state LIHEAP program, and they work regularly with OCS and its contractors.</w:t>
      </w:r>
    </w:p>
    <w:p w:rsidR="004821C4" w:rsidRPr="004F7B95" w:rsidP="0051278C" w14:paraId="72954A68" w14:textId="77777777">
      <w:pPr>
        <w:widowControl/>
        <w:tabs>
          <w:tab w:val="num" w:pos="360"/>
        </w:tabs>
        <w:ind w:left="720" w:hanging="360"/>
        <w:rPr>
          <w:rFonts w:ascii="Times New Roman" w:hAnsi="Times New Roman"/>
          <w:snapToGrid/>
          <w:sz w:val="24"/>
          <w:szCs w:val="24"/>
        </w:rPr>
      </w:pPr>
    </w:p>
    <w:p w:rsidR="002C3C4F" w:rsidRPr="004821C4" w:rsidP="004821C4" w14:paraId="1E05E07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Consequences of Collecting </w:t>
      </w:r>
      <w:r w:rsidRPr="004821C4">
        <w:rPr>
          <w:rFonts w:ascii="Times New Roman" w:hAnsi="Times New Roman"/>
          <w:b/>
          <w:snapToGrid/>
          <w:sz w:val="24"/>
          <w:szCs w:val="24"/>
        </w:rPr>
        <w:t>the Information</w:t>
      </w:r>
      <w:r w:rsidRPr="004821C4">
        <w:rPr>
          <w:rFonts w:ascii="Times New Roman" w:hAnsi="Times New Roman"/>
          <w:b/>
          <w:snapToGrid/>
          <w:sz w:val="24"/>
          <w:szCs w:val="24"/>
        </w:rPr>
        <w:t xml:space="preserve"> Less Frequently </w:t>
      </w:r>
    </w:p>
    <w:p w:rsidR="001B1F6B" w:rsidRPr="001B1F6B" w:rsidP="004821C4" w14:paraId="6C0CAA20" w14:textId="2B1DDF75">
      <w:pPr>
        <w:widowControl/>
        <w:ind w:left="360"/>
        <w:rPr>
          <w:rFonts w:ascii="Times New Roman" w:hAnsi="Times New Roman"/>
          <w:snapToGrid/>
          <w:sz w:val="24"/>
          <w:szCs w:val="24"/>
        </w:rPr>
      </w:pPr>
      <w:r w:rsidRPr="001B1F6B">
        <w:rPr>
          <w:rFonts w:ascii="Times New Roman" w:hAnsi="Times New Roman"/>
          <w:snapToGrid/>
          <w:sz w:val="24"/>
          <w:szCs w:val="24"/>
        </w:rPr>
        <w:t>OCS</w:t>
      </w:r>
      <w:r w:rsidR="00F64B55">
        <w:rPr>
          <w:rFonts w:ascii="Times New Roman" w:hAnsi="Times New Roman"/>
          <w:snapToGrid/>
          <w:sz w:val="24"/>
          <w:szCs w:val="24"/>
        </w:rPr>
        <w:t xml:space="preserve"> seeks </w:t>
      </w:r>
      <w:r w:rsidRPr="001B1F6B">
        <w:rPr>
          <w:rFonts w:ascii="Times New Roman" w:hAnsi="Times New Roman"/>
          <w:snapToGrid/>
          <w:sz w:val="24"/>
          <w:szCs w:val="24"/>
        </w:rPr>
        <w:t>approval to collect this information only once</w:t>
      </w:r>
      <w:r>
        <w:rPr>
          <w:rFonts w:ascii="Times New Roman" w:hAnsi="Times New Roman"/>
          <w:snapToGrid/>
          <w:sz w:val="24"/>
          <w:szCs w:val="24"/>
        </w:rPr>
        <w:t xml:space="preserve"> under this </w:t>
      </w:r>
      <w:r w:rsidR="00F64B55">
        <w:rPr>
          <w:rFonts w:ascii="Times New Roman" w:hAnsi="Times New Roman"/>
          <w:snapToGrid/>
          <w:sz w:val="24"/>
          <w:szCs w:val="24"/>
        </w:rPr>
        <w:t>request</w:t>
      </w:r>
      <w:r w:rsidR="00785BC8">
        <w:rPr>
          <w:rFonts w:ascii="Times New Roman" w:hAnsi="Times New Roman"/>
          <w:snapToGrid/>
          <w:sz w:val="24"/>
          <w:szCs w:val="24"/>
        </w:rPr>
        <w:t xml:space="preserve">, i.e., </w:t>
      </w:r>
      <w:r w:rsidR="003D4435">
        <w:rPr>
          <w:rFonts w:ascii="Times New Roman" w:hAnsi="Times New Roman"/>
          <w:snapToGrid/>
          <w:sz w:val="24"/>
          <w:szCs w:val="24"/>
        </w:rPr>
        <w:t>to collect the data one time in summer in 2026</w:t>
      </w:r>
      <w:r w:rsidRPr="001B1F6B">
        <w:rPr>
          <w:rFonts w:ascii="Times New Roman" w:hAnsi="Times New Roman"/>
          <w:snapToGrid/>
          <w:sz w:val="24"/>
          <w:szCs w:val="24"/>
        </w:rPr>
        <w:t>.</w:t>
      </w:r>
    </w:p>
    <w:p w:rsidR="001B1F6B" w:rsidRPr="001B1F6B" w:rsidP="004821C4" w14:paraId="3CE789EE" w14:textId="77777777">
      <w:pPr>
        <w:widowControl/>
        <w:ind w:left="360"/>
        <w:rPr>
          <w:rFonts w:ascii="Times New Roman" w:hAnsi="Times New Roman"/>
          <w:snapToGrid/>
          <w:sz w:val="24"/>
          <w:szCs w:val="24"/>
        </w:rPr>
      </w:pPr>
    </w:p>
    <w:p w:rsidR="00D60543" w:rsidP="004821C4" w14:paraId="0C3D3670" w14:textId="6DCD1FEB">
      <w:pPr>
        <w:widowControl/>
        <w:ind w:left="360"/>
        <w:rPr>
          <w:rFonts w:ascii="Times New Roman" w:hAnsi="Times New Roman"/>
          <w:snapToGrid/>
          <w:sz w:val="24"/>
          <w:szCs w:val="24"/>
        </w:rPr>
      </w:pPr>
      <w:r w:rsidRPr="001B1F6B">
        <w:rPr>
          <w:rFonts w:ascii="Times New Roman" w:hAnsi="Times New Roman"/>
          <w:snapToGrid/>
          <w:sz w:val="24"/>
          <w:szCs w:val="24"/>
        </w:rPr>
        <w:t>If this information is</w:t>
      </w:r>
      <w:r w:rsidR="00AE6077">
        <w:rPr>
          <w:rFonts w:ascii="Times New Roman" w:hAnsi="Times New Roman"/>
          <w:snapToGrid/>
          <w:sz w:val="24"/>
          <w:szCs w:val="24"/>
        </w:rPr>
        <w:t xml:space="preserve"> not</w:t>
      </w:r>
      <w:r w:rsidRPr="001B1F6B">
        <w:rPr>
          <w:rFonts w:ascii="Times New Roman" w:hAnsi="Times New Roman"/>
          <w:snapToGrid/>
          <w:sz w:val="24"/>
          <w:szCs w:val="24"/>
        </w:rPr>
        <w:t xml:space="preserve"> collected</w:t>
      </w:r>
      <w:r w:rsidR="00AE6077">
        <w:rPr>
          <w:rFonts w:ascii="Times New Roman" w:hAnsi="Times New Roman"/>
          <w:snapToGrid/>
          <w:sz w:val="24"/>
          <w:szCs w:val="24"/>
        </w:rPr>
        <w:t>,</w:t>
      </w:r>
      <w:r w:rsidRPr="001B1F6B">
        <w:rPr>
          <w:rFonts w:ascii="Times New Roman" w:hAnsi="Times New Roman"/>
          <w:snapToGrid/>
          <w:sz w:val="24"/>
          <w:szCs w:val="24"/>
        </w:rPr>
        <w:t xml:space="preserve"> HHS will </w:t>
      </w:r>
      <w:r w:rsidR="003D4435">
        <w:rPr>
          <w:rFonts w:ascii="Times New Roman" w:hAnsi="Times New Roman"/>
          <w:snapToGrid/>
          <w:sz w:val="24"/>
          <w:szCs w:val="24"/>
        </w:rPr>
        <w:t xml:space="preserve">not be able to update the LIHEAP funding formula </w:t>
      </w:r>
      <w:r w:rsidR="00A8761C">
        <w:rPr>
          <w:rFonts w:ascii="Times New Roman" w:hAnsi="Times New Roman"/>
          <w:snapToGrid/>
          <w:sz w:val="24"/>
          <w:szCs w:val="24"/>
        </w:rPr>
        <w:t xml:space="preserve">and will </w:t>
      </w:r>
      <w:r w:rsidRPr="001B1F6B">
        <w:rPr>
          <w:rFonts w:ascii="Times New Roman" w:hAnsi="Times New Roman"/>
          <w:snapToGrid/>
          <w:sz w:val="24"/>
          <w:szCs w:val="24"/>
        </w:rPr>
        <w:t>be less able to study the impact of LIHEAP on income</w:t>
      </w:r>
      <w:r w:rsidRPr="001B1F6B" w:rsidR="75F38D7E">
        <w:rPr>
          <w:rFonts w:ascii="Times New Roman" w:hAnsi="Times New Roman"/>
          <w:snapToGrid/>
          <w:sz w:val="24"/>
          <w:szCs w:val="24"/>
        </w:rPr>
        <w:t>-</w:t>
      </w:r>
      <w:r w:rsidRPr="001B1F6B">
        <w:rPr>
          <w:rFonts w:ascii="Times New Roman" w:hAnsi="Times New Roman"/>
          <w:snapToGrid/>
          <w:sz w:val="24"/>
          <w:szCs w:val="24"/>
        </w:rPr>
        <w:t xml:space="preserve">eligible and </w:t>
      </w:r>
      <w:r w:rsidR="00AD2BCB">
        <w:rPr>
          <w:rFonts w:ascii="Times New Roman" w:hAnsi="Times New Roman"/>
          <w:snapToGrid/>
          <w:sz w:val="24"/>
          <w:szCs w:val="24"/>
        </w:rPr>
        <w:t xml:space="preserve">beneficiary </w:t>
      </w:r>
      <w:r w:rsidRPr="001B1F6B">
        <w:rPr>
          <w:rFonts w:ascii="Times New Roman" w:hAnsi="Times New Roman"/>
          <w:snapToGrid/>
          <w:sz w:val="24"/>
          <w:szCs w:val="24"/>
        </w:rPr>
        <w:t xml:space="preserve">households in accordance with section 2610(b)(2) of the LIHEAP </w:t>
      </w:r>
      <w:r>
        <w:rPr>
          <w:rFonts w:ascii="Times New Roman" w:hAnsi="Times New Roman"/>
          <w:snapToGrid/>
          <w:sz w:val="24"/>
          <w:szCs w:val="24"/>
        </w:rPr>
        <w:t>Act</w:t>
      </w:r>
      <w:r w:rsidRPr="001B1F6B">
        <w:rPr>
          <w:rFonts w:ascii="Times New Roman" w:hAnsi="Times New Roman"/>
          <w:snapToGrid/>
          <w:sz w:val="24"/>
          <w:szCs w:val="24"/>
        </w:rPr>
        <w:t xml:space="preserve">. It will also be wholly unable to estimate fuel usage, expenditures, energy burden, and LIHEAP </w:t>
      </w:r>
      <w:r w:rsidRPr="001B1F6B">
        <w:rPr>
          <w:rFonts w:ascii="Times New Roman" w:hAnsi="Times New Roman"/>
          <w:snapToGrid/>
          <w:sz w:val="24"/>
          <w:szCs w:val="24"/>
        </w:rPr>
        <w:t>targeting among</w:t>
      </w:r>
      <w:r w:rsidRPr="001B1F6B">
        <w:rPr>
          <w:rFonts w:ascii="Times New Roman" w:hAnsi="Times New Roman"/>
          <w:snapToGrid/>
          <w:sz w:val="24"/>
          <w:szCs w:val="24"/>
        </w:rPr>
        <w:t xml:space="preserve"> LIHEAP </w:t>
      </w:r>
      <w:r w:rsidR="00AD2BCB">
        <w:rPr>
          <w:rFonts w:ascii="Times New Roman" w:hAnsi="Times New Roman"/>
          <w:snapToGrid/>
          <w:sz w:val="24"/>
          <w:szCs w:val="24"/>
        </w:rPr>
        <w:t xml:space="preserve">beneficiary </w:t>
      </w:r>
      <w:r w:rsidRPr="001B1F6B">
        <w:rPr>
          <w:rFonts w:ascii="Times New Roman" w:hAnsi="Times New Roman"/>
          <w:snapToGrid/>
          <w:sz w:val="24"/>
          <w:szCs w:val="24"/>
        </w:rPr>
        <w:t>households.</w:t>
      </w:r>
      <w:r w:rsidR="00AE6077">
        <w:rPr>
          <w:rFonts w:ascii="Times New Roman" w:hAnsi="Times New Roman"/>
          <w:snapToGrid/>
          <w:sz w:val="24"/>
          <w:szCs w:val="24"/>
        </w:rPr>
        <w:t xml:space="preserve"> HHS has conducted the LIHEAP</w:t>
      </w:r>
      <w:r w:rsidR="00617A21">
        <w:rPr>
          <w:rFonts w:ascii="Times New Roman" w:hAnsi="Times New Roman"/>
          <w:snapToGrid/>
          <w:sz w:val="24"/>
          <w:szCs w:val="24"/>
        </w:rPr>
        <w:t xml:space="preserve"> </w:t>
      </w:r>
      <w:r w:rsidR="00AE6077">
        <w:rPr>
          <w:rFonts w:ascii="Times New Roman" w:hAnsi="Times New Roman"/>
          <w:snapToGrid/>
          <w:sz w:val="24"/>
          <w:szCs w:val="24"/>
        </w:rPr>
        <w:t xml:space="preserve">RECS </w:t>
      </w:r>
      <w:r w:rsidR="00617A21">
        <w:rPr>
          <w:rFonts w:ascii="Times New Roman" w:hAnsi="Times New Roman"/>
          <w:snapToGrid/>
          <w:sz w:val="24"/>
          <w:szCs w:val="24"/>
        </w:rPr>
        <w:t>Data M</w:t>
      </w:r>
      <w:r w:rsidR="00AE6077">
        <w:rPr>
          <w:rFonts w:ascii="Times New Roman" w:hAnsi="Times New Roman"/>
          <w:snapToGrid/>
          <w:sz w:val="24"/>
          <w:szCs w:val="24"/>
        </w:rPr>
        <w:t>atch for several RECS iterations in order to report this data in the annual LIHEAP Report to Congress and LIHEAP Home Energy Notebook.</w:t>
      </w:r>
    </w:p>
    <w:p w:rsidR="004821C4" w:rsidRPr="004F7B95" w:rsidP="0051278C" w14:paraId="2599FA05" w14:textId="77777777">
      <w:pPr>
        <w:widowControl/>
        <w:tabs>
          <w:tab w:val="num" w:pos="360"/>
        </w:tabs>
        <w:ind w:left="720" w:hanging="360"/>
        <w:rPr>
          <w:rFonts w:ascii="Times New Roman" w:hAnsi="Times New Roman"/>
          <w:snapToGrid/>
          <w:sz w:val="24"/>
          <w:szCs w:val="24"/>
        </w:rPr>
      </w:pPr>
    </w:p>
    <w:p w:rsidR="002C3C4F" w:rsidRPr="004821C4" w:rsidP="004821C4" w14:paraId="358581C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Special Circumstances Relating to the Guidelines of 5 CFR 1320.5 </w:t>
      </w:r>
    </w:p>
    <w:p w:rsidR="009E2AAD" w:rsidRPr="009E2AAD" w:rsidP="004821C4" w14:paraId="1BE19907" w14:textId="77777777">
      <w:pPr>
        <w:widowControl/>
        <w:ind w:left="360"/>
        <w:rPr>
          <w:rFonts w:ascii="Times New Roman" w:hAnsi="Times New Roman"/>
          <w:snapToGrid/>
          <w:sz w:val="24"/>
          <w:szCs w:val="24"/>
        </w:rPr>
      </w:pPr>
      <w:r w:rsidRPr="009E2AAD">
        <w:rPr>
          <w:rFonts w:ascii="Times New Roman" w:hAnsi="Times New Roman"/>
          <w:snapToGrid/>
          <w:sz w:val="24"/>
          <w:szCs w:val="24"/>
        </w:rPr>
        <w:t>No special circumstances apply to this data collection.</w:t>
      </w:r>
    </w:p>
    <w:p w:rsidR="009E2AAD" w:rsidRPr="000230B0" w:rsidP="000230B0" w14:paraId="29261CE2" w14:textId="076BCB38">
      <w:pPr>
        <w:widowControl/>
        <w:ind w:left="1080"/>
        <w:rPr>
          <w:rFonts w:ascii="Times New Roman" w:hAnsi="Times New Roman"/>
          <w:snapToGrid/>
          <w:sz w:val="24"/>
          <w:szCs w:val="24"/>
        </w:rPr>
      </w:pPr>
    </w:p>
    <w:p w:rsidR="002C3C4F" w:rsidRPr="004821C4" w:rsidP="004821C4" w14:paraId="46A821B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Comments in Response to the Federal Register Notice and Efforts to Consult Outside the Agency </w:t>
      </w:r>
    </w:p>
    <w:p w:rsidR="006E1C58" w:rsidRPr="00EE4D5A" w:rsidP="000A2669" w14:paraId="41F4BCEA" w14:textId="68C96C30">
      <w:pPr>
        <w:widowControl/>
        <w:ind w:left="360"/>
        <w:rPr>
          <w:rFonts w:ascii="Times New Roman" w:hAnsi="Times New Roman"/>
          <w:sz w:val="24"/>
          <w:szCs w:val="24"/>
        </w:rPr>
      </w:pPr>
      <w:r w:rsidRPr="00EE4D5A">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w:t>
      </w:r>
      <w:r w:rsidRPr="00FD11E7">
        <w:rPr>
          <w:rFonts w:ascii="Times New Roman" w:hAnsi="Times New Roman"/>
          <w:sz w:val="24"/>
          <w:szCs w:val="24"/>
        </w:rPr>
        <w:t xml:space="preserve">an OMB review of this information collection activity. </w:t>
      </w:r>
      <w:bookmarkStart w:id="4" w:name="_Hlk22128249"/>
      <w:r w:rsidRPr="00FD11E7">
        <w:rPr>
          <w:rFonts w:ascii="Times New Roman" w:hAnsi="Times New Roman"/>
          <w:sz w:val="24"/>
          <w:szCs w:val="24"/>
        </w:rPr>
        <w:t xml:space="preserve">This notice was published on </w:t>
      </w:r>
      <w:r w:rsidRPr="00FD11E7" w:rsidR="00A54DDC">
        <w:rPr>
          <w:rFonts w:ascii="Times New Roman" w:hAnsi="Times New Roman"/>
          <w:sz w:val="24"/>
          <w:szCs w:val="24"/>
        </w:rPr>
        <w:t>February 13, 2026</w:t>
      </w:r>
      <w:r w:rsidRPr="00FD11E7" w:rsidR="00221DD9">
        <w:rPr>
          <w:rFonts w:ascii="Times New Roman" w:hAnsi="Times New Roman"/>
          <w:sz w:val="24"/>
          <w:szCs w:val="24"/>
        </w:rPr>
        <w:t xml:space="preserve"> </w:t>
      </w:r>
      <w:r w:rsidRPr="00FD11E7" w:rsidR="00334AC2">
        <w:rPr>
          <w:rFonts w:ascii="Times New Roman" w:hAnsi="Times New Roman"/>
          <w:sz w:val="24"/>
          <w:szCs w:val="24"/>
        </w:rPr>
        <w:t>(</w:t>
      </w:r>
      <w:r w:rsidRPr="00FD11E7" w:rsidR="00407D6A">
        <w:rPr>
          <w:rFonts w:ascii="Times New Roman" w:hAnsi="Times New Roman"/>
          <w:sz w:val="24"/>
          <w:szCs w:val="24"/>
        </w:rPr>
        <w:t>91</w:t>
      </w:r>
      <w:r w:rsidRPr="00FD11E7" w:rsidR="00334AC2">
        <w:rPr>
          <w:rFonts w:ascii="Times New Roman" w:hAnsi="Times New Roman"/>
          <w:sz w:val="24"/>
          <w:szCs w:val="24"/>
        </w:rPr>
        <w:t xml:space="preserve"> FR</w:t>
      </w:r>
      <w:r w:rsidRPr="00FD11E7">
        <w:rPr>
          <w:rFonts w:ascii="Times New Roman" w:hAnsi="Times New Roman"/>
          <w:sz w:val="24"/>
          <w:szCs w:val="24"/>
        </w:rPr>
        <w:t xml:space="preserve"> </w:t>
      </w:r>
      <w:r w:rsidRPr="00FD11E7" w:rsidR="00E41C85">
        <w:rPr>
          <w:rFonts w:ascii="Times New Roman" w:hAnsi="Times New Roman"/>
          <w:sz w:val="24"/>
          <w:szCs w:val="24"/>
        </w:rPr>
        <w:t>6847</w:t>
      </w:r>
      <w:r w:rsidRPr="00FD11E7" w:rsidR="00334AC2">
        <w:rPr>
          <w:rFonts w:ascii="Times New Roman" w:hAnsi="Times New Roman"/>
          <w:sz w:val="24"/>
          <w:szCs w:val="24"/>
        </w:rPr>
        <w:t>)</w:t>
      </w:r>
      <w:r w:rsidRPr="00FD11E7">
        <w:rPr>
          <w:rFonts w:ascii="Times New Roman" w:hAnsi="Times New Roman"/>
          <w:sz w:val="24"/>
          <w:szCs w:val="24"/>
        </w:rPr>
        <w:t xml:space="preserve"> and provided a sixty-day period for public comment. </w:t>
      </w:r>
      <w:bookmarkEnd w:id="4"/>
      <w:r w:rsidRPr="00FD11E7">
        <w:rPr>
          <w:rFonts w:ascii="Times New Roman" w:hAnsi="Times New Roman"/>
          <w:sz w:val="24"/>
          <w:szCs w:val="24"/>
        </w:rPr>
        <w:t xml:space="preserve">During the notice and comment period, </w:t>
      </w:r>
      <w:r w:rsidRPr="00FD11E7" w:rsidR="0043277A">
        <w:rPr>
          <w:rFonts w:ascii="Times New Roman" w:hAnsi="Times New Roman"/>
          <w:sz w:val="24"/>
          <w:szCs w:val="24"/>
        </w:rPr>
        <w:t xml:space="preserve">ACF </w:t>
      </w:r>
      <w:r w:rsidRPr="00FD11E7" w:rsidR="00F64B55">
        <w:rPr>
          <w:rFonts w:ascii="Times New Roman" w:hAnsi="Times New Roman"/>
          <w:sz w:val="24"/>
          <w:szCs w:val="24"/>
        </w:rPr>
        <w:t xml:space="preserve">received </w:t>
      </w:r>
      <w:r w:rsidRPr="00FD11E7" w:rsidR="005D6904">
        <w:rPr>
          <w:rFonts w:ascii="Times New Roman" w:hAnsi="Times New Roman"/>
          <w:sz w:val="24"/>
          <w:szCs w:val="24"/>
        </w:rPr>
        <w:t>1</w:t>
      </w:r>
      <w:r w:rsidRPr="00FD11E7" w:rsidR="00167E6B">
        <w:rPr>
          <w:rFonts w:ascii="Times New Roman" w:hAnsi="Times New Roman"/>
          <w:sz w:val="24"/>
          <w:szCs w:val="24"/>
        </w:rPr>
        <w:t xml:space="preserve"> comment</w:t>
      </w:r>
      <w:r w:rsidRPr="00EE4D5A" w:rsidR="00F64B55">
        <w:rPr>
          <w:rFonts w:ascii="Times New Roman" w:hAnsi="Times New Roman"/>
          <w:sz w:val="24"/>
          <w:szCs w:val="24"/>
        </w:rPr>
        <w:t xml:space="preserve"> in response to this notice</w:t>
      </w:r>
      <w:r w:rsidRPr="00EE4D5A" w:rsidR="00167E6B">
        <w:rPr>
          <w:rFonts w:ascii="Times New Roman" w:hAnsi="Times New Roman"/>
          <w:sz w:val="24"/>
          <w:szCs w:val="24"/>
        </w:rPr>
        <w:t>.</w:t>
      </w:r>
      <w:r w:rsidRPr="00EE4D5A" w:rsidR="005C38BA">
        <w:rPr>
          <w:rFonts w:ascii="Times New Roman" w:hAnsi="Times New Roman"/>
          <w:sz w:val="24"/>
          <w:szCs w:val="24"/>
        </w:rPr>
        <w:t xml:space="preserve"> </w:t>
      </w:r>
    </w:p>
    <w:p w:rsidR="006E1C58" w:rsidP="004821C4" w14:paraId="2CF79B5A" w14:textId="77777777">
      <w:pPr>
        <w:widowControl/>
        <w:ind w:left="360"/>
        <w:rPr>
          <w:rFonts w:ascii="Times New Roman" w:hAnsi="Times New Roman"/>
          <w:sz w:val="24"/>
          <w:szCs w:val="24"/>
        </w:rPr>
      </w:pPr>
    </w:p>
    <w:tbl>
      <w:tblPr>
        <w:tblStyle w:val="TableGrid"/>
        <w:tblW w:w="8995" w:type="dxa"/>
        <w:tblInd w:w="360" w:type="dxa"/>
        <w:tblLook w:val="04A0"/>
      </w:tblPr>
      <w:tblGrid>
        <w:gridCol w:w="4497"/>
        <w:gridCol w:w="4498"/>
      </w:tblGrid>
      <w:tr w14:paraId="5E492DC5" w14:textId="77777777" w:rsidTr="00FC2E19">
        <w:tblPrEx>
          <w:tblW w:w="8995" w:type="dxa"/>
          <w:tblInd w:w="360" w:type="dxa"/>
          <w:tblLook w:val="04A0"/>
        </w:tblPrEx>
        <w:tc>
          <w:tcPr>
            <w:tcW w:w="4497" w:type="dxa"/>
          </w:tcPr>
          <w:p w:rsidR="00FC2E19" w:rsidRPr="00EE4D5A" w:rsidP="00FC2E19" w14:paraId="7D0B220E" w14:textId="7F3DB311">
            <w:pPr>
              <w:widowControl/>
              <w:spacing w:before="40" w:after="40"/>
              <w:rPr>
                <w:rFonts w:ascii="Times New Roman" w:hAnsi="Times New Roman"/>
                <w:b/>
                <w:bCs/>
                <w:sz w:val="24"/>
                <w:szCs w:val="24"/>
              </w:rPr>
            </w:pPr>
            <w:r w:rsidRPr="00EE4D5A">
              <w:rPr>
                <w:rFonts w:ascii="Times New Roman" w:hAnsi="Times New Roman"/>
                <w:b/>
                <w:bCs/>
                <w:sz w:val="24"/>
                <w:szCs w:val="24"/>
              </w:rPr>
              <w:t xml:space="preserve">Summary of Communication Received </w:t>
            </w:r>
          </w:p>
        </w:tc>
        <w:tc>
          <w:tcPr>
            <w:tcW w:w="4498" w:type="dxa"/>
          </w:tcPr>
          <w:p w:rsidR="00FC2E19" w:rsidRPr="00EE4D5A" w:rsidP="00FC2E19" w14:paraId="2F2668E0" w14:textId="0B9FF93A">
            <w:pPr>
              <w:widowControl/>
              <w:spacing w:before="40" w:after="40"/>
              <w:rPr>
                <w:rFonts w:ascii="Times New Roman" w:hAnsi="Times New Roman"/>
                <w:b/>
                <w:bCs/>
                <w:sz w:val="24"/>
                <w:szCs w:val="24"/>
              </w:rPr>
            </w:pPr>
            <w:r w:rsidRPr="00EE4D5A">
              <w:rPr>
                <w:rFonts w:ascii="Times New Roman" w:hAnsi="Times New Roman"/>
                <w:b/>
                <w:bCs/>
                <w:sz w:val="24"/>
                <w:szCs w:val="24"/>
              </w:rPr>
              <w:t>Summary of ACF Response</w:t>
            </w:r>
          </w:p>
        </w:tc>
      </w:tr>
      <w:tr w14:paraId="5E793927" w14:textId="77777777" w:rsidTr="00FC2E19">
        <w:tblPrEx>
          <w:tblW w:w="8995" w:type="dxa"/>
          <w:tblInd w:w="360" w:type="dxa"/>
          <w:tblLook w:val="04A0"/>
        </w:tblPrEx>
        <w:tc>
          <w:tcPr>
            <w:tcW w:w="4497" w:type="dxa"/>
          </w:tcPr>
          <w:p w:rsidR="00FC2E19" w:rsidP="004821C4" w14:paraId="054D4489" w14:textId="577E0074">
            <w:pPr>
              <w:widowControl/>
              <w:rPr>
                <w:rFonts w:ascii="Times New Roman" w:hAnsi="Times New Roman"/>
                <w:sz w:val="24"/>
                <w:szCs w:val="24"/>
              </w:rPr>
            </w:pPr>
            <w:r>
              <w:rPr>
                <w:rFonts w:ascii="Times New Roman" w:hAnsi="Times New Roman"/>
                <w:sz w:val="24"/>
                <w:szCs w:val="24"/>
              </w:rPr>
              <w:t xml:space="preserve">Received feedback, suggestions, and questions from the current Mississippi state LIHEAP grant recipient indicating concurrence with the proposed IC and emphasizing need for one-on-one assistance with fulfilling the IC request. </w:t>
            </w:r>
          </w:p>
          <w:p w:rsidR="00FC2E19" w:rsidP="004821C4" w14:paraId="5C77600B" w14:textId="5FE55968">
            <w:pPr>
              <w:widowControl/>
              <w:rPr>
                <w:rFonts w:ascii="Times New Roman" w:hAnsi="Times New Roman"/>
                <w:sz w:val="24"/>
                <w:szCs w:val="24"/>
              </w:rPr>
            </w:pPr>
            <w:r>
              <w:rPr>
                <w:rFonts w:ascii="Times New Roman" w:hAnsi="Times New Roman"/>
                <w:sz w:val="24"/>
                <w:szCs w:val="24"/>
              </w:rPr>
              <w:t>*</w:t>
            </w:r>
            <w:r w:rsidRPr="00FC2E19">
              <w:rPr>
                <w:rFonts w:ascii="Times New Roman" w:hAnsi="Times New Roman"/>
                <w:i/>
                <w:iCs/>
                <w:sz w:val="24"/>
                <w:szCs w:val="24"/>
              </w:rPr>
              <w:t>See full text in the uploaded public comment document</w:t>
            </w:r>
          </w:p>
        </w:tc>
        <w:tc>
          <w:tcPr>
            <w:tcW w:w="4498" w:type="dxa"/>
          </w:tcPr>
          <w:p w:rsidR="00FC2E19" w:rsidP="004821C4" w14:paraId="6AAC72DD" w14:textId="18E8AFC2">
            <w:pPr>
              <w:widowControl/>
              <w:rPr>
                <w:rFonts w:ascii="Times New Roman" w:hAnsi="Times New Roman"/>
                <w:sz w:val="24"/>
                <w:szCs w:val="24"/>
              </w:rPr>
            </w:pPr>
            <w:r>
              <w:rPr>
                <w:rFonts w:ascii="Times New Roman" w:hAnsi="Times New Roman"/>
                <w:sz w:val="24"/>
                <w:szCs w:val="24"/>
              </w:rPr>
              <w:t xml:space="preserve">ACF acknowledged the comment. OCS concurs. and confirms that one-on-one assistance will be provided proactively to each state LIHEAP grant recipient regarding how to transfer the requested data.  </w:t>
            </w:r>
          </w:p>
        </w:tc>
      </w:tr>
    </w:tbl>
    <w:p w:rsidR="0079001A" w:rsidRPr="004F7B95" w:rsidP="00EE4D5A" w14:paraId="3E9B40C2" w14:textId="77777777">
      <w:pPr>
        <w:widowControl/>
        <w:rPr>
          <w:rFonts w:ascii="Times New Roman" w:hAnsi="Times New Roman"/>
          <w:sz w:val="24"/>
          <w:szCs w:val="24"/>
        </w:rPr>
      </w:pPr>
    </w:p>
    <w:p w:rsidR="002C3C4F" w:rsidRPr="004821C4" w:rsidP="0079001A" w14:paraId="6EFF32D9"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Explanation of Any Payment or Gift to Respondents </w:t>
      </w:r>
    </w:p>
    <w:p w:rsidR="00D60543" w:rsidP="004821C4" w14:paraId="18F3FA24" w14:textId="6209E290">
      <w:pPr>
        <w:widowControl/>
        <w:ind w:firstLine="360"/>
        <w:rPr>
          <w:rFonts w:ascii="Times New Roman" w:hAnsi="Times New Roman"/>
          <w:snapToGrid/>
          <w:sz w:val="24"/>
          <w:szCs w:val="24"/>
        </w:rPr>
      </w:pPr>
      <w:r w:rsidRPr="000F4454">
        <w:rPr>
          <w:rFonts w:ascii="Times New Roman" w:hAnsi="Times New Roman"/>
          <w:snapToGrid/>
          <w:sz w:val="24"/>
          <w:szCs w:val="24"/>
        </w:rPr>
        <w:t>No payments or gifts of any kind will be provided to respondents.</w:t>
      </w:r>
    </w:p>
    <w:p w:rsidR="0079001A" w:rsidRPr="004F7B95" w:rsidP="0051278C" w14:paraId="696876BF" w14:textId="77777777">
      <w:pPr>
        <w:widowControl/>
        <w:tabs>
          <w:tab w:val="num" w:pos="360"/>
        </w:tabs>
        <w:ind w:left="720" w:hanging="360"/>
        <w:rPr>
          <w:rFonts w:ascii="Times New Roman" w:hAnsi="Times New Roman"/>
          <w:snapToGrid/>
          <w:sz w:val="24"/>
          <w:szCs w:val="24"/>
        </w:rPr>
      </w:pPr>
    </w:p>
    <w:p w:rsidR="002C3C4F" w:rsidRPr="004821C4" w:rsidP="0079001A" w14:paraId="293B37AB"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Assurance of Confidentiality Provided to Respondents </w:t>
      </w:r>
    </w:p>
    <w:p w:rsidR="00D60543" w:rsidP="004821C4" w14:paraId="494A0BF1" w14:textId="1B012421">
      <w:pPr>
        <w:widowControl/>
        <w:ind w:left="360"/>
        <w:rPr>
          <w:rFonts w:ascii="Times New Roman" w:hAnsi="Times New Roman"/>
          <w:snapToGrid/>
          <w:sz w:val="24"/>
          <w:szCs w:val="24"/>
        </w:rPr>
      </w:pPr>
      <w:r w:rsidRPr="000F4454">
        <w:rPr>
          <w:rFonts w:ascii="Times New Roman" w:hAnsi="Times New Roman"/>
          <w:snapToGrid/>
          <w:sz w:val="24"/>
          <w:szCs w:val="24"/>
        </w:rPr>
        <w:t xml:space="preserve">OCS assures the strict </w:t>
      </w:r>
      <w:r w:rsidR="00167E6B">
        <w:rPr>
          <w:rFonts w:ascii="Times New Roman" w:hAnsi="Times New Roman"/>
          <w:snapToGrid/>
          <w:sz w:val="24"/>
          <w:szCs w:val="24"/>
        </w:rPr>
        <w:t xml:space="preserve">privacy </w:t>
      </w:r>
      <w:r w:rsidRPr="000F4454">
        <w:rPr>
          <w:rFonts w:ascii="Times New Roman" w:hAnsi="Times New Roman"/>
          <w:snapToGrid/>
          <w:sz w:val="24"/>
          <w:szCs w:val="24"/>
        </w:rPr>
        <w:t xml:space="preserve">of all LIHEAP data and will protect the information to the extent allowed by </w:t>
      </w:r>
      <w:r w:rsidRPr="000F4454" w:rsidR="550364C8">
        <w:rPr>
          <w:rFonts w:ascii="Times New Roman" w:hAnsi="Times New Roman"/>
          <w:snapToGrid/>
          <w:sz w:val="24"/>
          <w:szCs w:val="24"/>
        </w:rPr>
        <w:t>f</w:t>
      </w:r>
      <w:r w:rsidRPr="000F4454">
        <w:rPr>
          <w:rFonts w:ascii="Times New Roman" w:hAnsi="Times New Roman"/>
          <w:snapToGrid/>
          <w:sz w:val="24"/>
          <w:szCs w:val="24"/>
        </w:rPr>
        <w:t>ederal law. The use of this data is governed by the assurances under which the data were collected from respondents and sub</w:t>
      </w:r>
      <w:r w:rsidR="005F7191">
        <w:rPr>
          <w:rFonts w:ascii="Times New Roman" w:hAnsi="Times New Roman"/>
          <w:snapToGrid/>
          <w:sz w:val="24"/>
          <w:szCs w:val="24"/>
        </w:rPr>
        <w:t>recipient</w:t>
      </w:r>
      <w:r w:rsidR="00AD2BCB">
        <w:rPr>
          <w:rFonts w:ascii="Times New Roman" w:hAnsi="Times New Roman"/>
          <w:snapToGrid/>
          <w:sz w:val="24"/>
          <w:szCs w:val="24"/>
        </w:rPr>
        <w:t>s</w:t>
      </w:r>
      <w:r w:rsidRPr="000F4454">
        <w:rPr>
          <w:rFonts w:ascii="Times New Roman" w:hAnsi="Times New Roman"/>
          <w:snapToGrid/>
          <w:sz w:val="24"/>
          <w:szCs w:val="24"/>
        </w:rPr>
        <w:t xml:space="preserve">. All LIHEAP clients sign authorizations in their LIHEAP applications that allow HHS and its contractors to use data for </w:t>
      </w:r>
      <w:r w:rsidR="00DA4FE8">
        <w:rPr>
          <w:rFonts w:ascii="Times New Roman" w:hAnsi="Times New Roman"/>
          <w:snapToGrid/>
          <w:sz w:val="24"/>
          <w:szCs w:val="24"/>
        </w:rPr>
        <w:t xml:space="preserve">aggregated </w:t>
      </w:r>
      <w:r w:rsidRPr="000F4454">
        <w:rPr>
          <w:rFonts w:ascii="Times New Roman" w:hAnsi="Times New Roman"/>
          <w:snapToGrid/>
          <w:sz w:val="24"/>
          <w:szCs w:val="24"/>
        </w:rPr>
        <w:t>statistical purposes.</w:t>
      </w:r>
    </w:p>
    <w:p w:rsidR="00AE6077" w:rsidP="004821C4" w14:paraId="2A84CB6C" w14:textId="77777777">
      <w:pPr>
        <w:widowControl/>
        <w:ind w:left="360"/>
        <w:rPr>
          <w:rFonts w:ascii="Times New Roman" w:hAnsi="Times New Roman"/>
          <w:snapToGrid/>
          <w:sz w:val="24"/>
          <w:szCs w:val="24"/>
        </w:rPr>
      </w:pPr>
    </w:p>
    <w:p w:rsidR="002C3C4F" w:rsidRPr="004821C4" w:rsidP="0079001A" w14:paraId="16A51050"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Justification for Sensitive Questions </w:t>
      </w:r>
    </w:p>
    <w:p w:rsidR="00CB1A12" w:rsidRPr="004F7B95" w:rsidP="004821C4" w14:paraId="3091EC18" w14:textId="60AF58D7">
      <w:pPr>
        <w:widowControl/>
        <w:ind w:left="360"/>
        <w:rPr>
          <w:rFonts w:ascii="Times New Roman" w:hAnsi="Times New Roman"/>
          <w:snapToGrid/>
          <w:sz w:val="24"/>
          <w:szCs w:val="24"/>
        </w:rPr>
      </w:pPr>
      <w:r w:rsidRPr="000F4454">
        <w:rPr>
          <w:rFonts w:ascii="Times New Roman" w:hAnsi="Times New Roman"/>
          <w:snapToGrid/>
          <w:sz w:val="24"/>
          <w:szCs w:val="24"/>
        </w:rPr>
        <w:t>No sensitive questions are asked in this data collection.</w:t>
      </w:r>
    </w:p>
    <w:p w:rsidR="0079001A" w:rsidP="0051278C" w14:paraId="424DDFEE" w14:textId="77777777">
      <w:pPr>
        <w:widowControl/>
        <w:tabs>
          <w:tab w:val="num" w:pos="360"/>
        </w:tabs>
        <w:ind w:left="720" w:hanging="360"/>
        <w:rPr>
          <w:rFonts w:ascii="Times New Roman" w:hAnsi="Times New Roman"/>
          <w:snapToGrid/>
          <w:sz w:val="24"/>
          <w:szCs w:val="24"/>
        </w:rPr>
      </w:pPr>
    </w:p>
    <w:p w:rsidR="002C3C4F" w:rsidRPr="004821C4" w:rsidP="0079001A" w14:paraId="661248B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Estimates of Annualized Burden Hours and Costs </w:t>
      </w:r>
    </w:p>
    <w:p w:rsidR="00DE2D9E" w:rsidRPr="00DE2D9E" w:rsidP="00DE2D9E" w14:paraId="2D645A8A" w14:textId="12AB833F">
      <w:pPr>
        <w:widowControl/>
        <w:spacing w:after="60"/>
        <w:ind w:left="360"/>
        <w:rPr>
          <w:rFonts w:ascii="Times New Roman" w:hAnsi="Times New Roman"/>
          <w:i/>
          <w:iCs/>
          <w:snapToGrid/>
          <w:sz w:val="24"/>
          <w:szCs w:val="24"/>
        </w:rPr>
      </w:pPr>
      <w:r>
        <w:rPr>
          <w:rFonts w:ascii="Times New Roman" w:hAnsi="Times New Roman"/>
          <w:i/>
          <w:iCs/>
          <w:snapToGrid/>
          <w:sz w:val="24"/>
          <w:szCs w:val="24"/>
        </w:rPr>
        <w:t>Estimated Burden Hours</w:t>
      </w:r>
    </w:p>
    <w:p w:rsidR="0079001A" w:rsidP="00DE2D9E" w14:paraId="67F9037D" w14:textId="3E145742">
      <w:pPr>
        <w:widowControl/>
        <w:ind w:left="360"/>
        <w:rPr>
          <w:rFonts w:ascii="Times New Roman" w:hAnsi="Times New Roman"/>
          <w:snapToGrid/>
          <w:sz w:val="24"/>
          <w:szCs w:val="24"/>
        </w:rPr>
      </w:pPr>
      <w:r>
        <w:rPr>
          <w:rFonts w:ascii="Times New Roman" w:hAnsi="Times New Roman"/>
          <w:snapToGrid/>
          <w:sz w:val="24"/>
          <w:szCs w:val="24"/>
        </w:rPr>
        <w:t xml:space="preserve">There are 51 expected respondents </w:t>
      </w:r>
      <w:r w:rsidRPr="00E946E9">
        <w:rPr>
          <w:rFonts w:ascii="Times New Roman" w:hAnsi="Times New Roman"/>
          <w:iCs/>
          <w:snapToGrid/>
          <w:sz w:val="24"/>
          <w:szCs w:val="24"/>
        </w:rPr>
        <w:t>(state governments and the District of Columbia)</w:t>
      </w:r>
      <w:r>
        <w:rPr>
          <w:rFonts w:ascii="Times New Roman" w:hAnsi="Times New Roman"/>
          <w:iCs/>
          <w:snapToGrid/>
          <w:sz w:val="24"/>
          <w:szCs w:val="24"/>
        </w:rPr>
        <w:t xml:space="preserve">. </w:t>
      </w:r>
      <w:r w:rsidRPr="00C827B7" w:rsidR="00C827B7">
        <w:rPr>
          <w:rFonts w:ascii="Times New Roman" w:hAnsi="Times New Roman"/>
          <w:snapToGrid/>
          <w:sz w:val="24"/>
          <w:szCs w:val="24"/>
        </w:rPr>
        <w:t xml:space="preserve">The table below summarizes the estimated burden hours and costs for this data collection. </w:t>
      </w:r>
      <w:r w:rsidRPr="00167E6B" w:rsidR="00167E6B">
        <w:rPr>
          <w:rFonts w:ascii="Times New Roman" w:hAnsi="Times New Roman"/>
          <w:snapToGrid/>
          <w:sz w:val="24"/>
          <w:szCs w:val="24"/>
        </w:rPr>
        <w:t xml:space="preserve">These </w:t>
      </w:r>
      <w:r w:rsidR="00AB0293">
        <w:rPr>
          <w:rFonts w:ascii="Times New Roman" w:hAnsi="Times New Roman"/>
          <w:snapToGrid/>
          <w:sz w:val="24"/>
          <w:szCs w:val="24"/>
        </w:rPr>
        <w:t>burden</w:t>
      </w:r>
      <w:r w:rsidRPr="00167E6B" w:rsidR="00167E6B">
        <w:rPr>
          <w:rFonts w:ascii="Times New Roman" w:hAnsi="Times New Roman"/>
          <w:snapToGrid/>
          <w:sz w:val="24"/>
          <w:szCs w:val="24"/>
        </w:rPr>
        <w:t xml:space="preserve"> estimates are based on </w:t>
      </w:r>
      <w:r w:rsidR="00B75B53">
        <w:rPr>
          <w:rFonts w:ascii="Times New Roman" w:hAnsi="Times New Roman"/>
          <w:snapToGrid/>
          <w:sz w:val="24"/>
          <w:szCs w:val="24"/>
        </w:rPr>
        <w:t xml:space="preserve">a small survey of </w:t>
      </w:r>
      <w:r w:rsidR="00DE2D9E">
        <w:rPr>
          <w:rFonts w:ascii="Times New Roman" w:hAnsi="Times New Roman"/>
          <w:snapToGrid/>
          <w:sz w:val="24"/>
          <w:szCs w:val="24"/>
        </w:rPr>
        <w:t xml:space="preserve">fewer than 10 </w:t>
      </w:r>
      <w:r w:rsidR="00B75B53">
        <w:rPr>
          <w:rFonts w:ascii="Times New Roman" w:hAnsi="Times New Roman"/>
          <w:snapToGrid/>
          <w:sz w:val="24"/>
          <w:szCs w:val="24"/>
        </w:rPr>
        <w:t xml:space="preserve">state grant recipients </w:t>
      </w:r>
      <w:r w:rsidR="00887011">
        <w:rPr>
          <w:rFonts w:ascii="Times New Roman" w:hAnsi="Times New Roman"/>
          <w:snapToGrid/>
          <w:sz w:val="24"/>
          <w:szCs w:val="24"/>
        </w:rPr>
        <w:t xml:space="preserve">that was conducted after </w:t>
      </w:r>
      <w:r w:rsidRPr="00167E6B" w:rsidR="00167E6B">
        <w:rPr>
          <w:rFonts w:ascii="Times New Roman" w:hAnsi="Times New Roman"/>
          <w:snapToGrid/>
          <w:sz w:val="24"/>
          <w:szCs w:val="24"/>
        </w:rPr>
        <w:t>the prior collection of data</w:t>
      </w:r>
      <w:r w:rsidR="00167E6B">
        <w:rPr>
          <w:rFonts w:ascii="Times New Roman" w:hAnsi="Times New Roman"/>
          <w:snapToGrid/>
          <w:sz w:val="24"/>
          <w:szCs w:val="24"/>
        </w:rPr>
        <w:t>.</w:t>
      </w:r>
    </w:p>
    <w:p w:rsidR="00DE2D9E" w:rsidP="00DE2D9E" w14:paraId="51D73E00" w14:textId="77777777">
      <w:pPr>
        <w:widowControl/>
        <w:ind w:left="360"/>
        <w:rPr>
          <w:rFonts w:ascii="Times New Roman" w:hAnsi="Times New Roman"/>
          <w:snapToGrid/>
          <w:sz w:val="24"/>
          <w:szCs w:val="24"/>
        </w:rPr>
      </w:pPr>
    </w:p>
    <w:p w:rsidR="00DE2D9E" w:rsidP="00DE2D9E" w14:paraId="4D0C2300" w14:textId="14253F88">
      <w:pPr>
        <w:widowControl/>
        <w:spacing w:after="60"/>
        <w:ind w:left="360"/>
        <w:rPr>
          <w:rFonts w:ascii="Times New Roman" w:hAnsi="Times New Roman"/>
          <w:i/>
          <w:iCs/>
          <w:snapToGrid/>
          <w:sz w:val="24"/>
          <w:szCs w:val="24"/>
        </w:rPr>
      </w:pPr>
      <w:r>
        <w:rPr>
          <w:rFonts w:ascii="Times New Roman" w:hAnsi="Times New Roman"/>
          <w:i/>
          <w:iCs/>
          <w:snapToGrid/>
          <w:sz w:val="24"/>
          <w:szCs w:val="24"/>
        </w:rPr>
        <w:t xml:space="preserve">Estimated Costs </w:t>
      </w:r>
      <w:r>
        <w:rPr>
          <w:rFonts w:ascii="Times New Roman" w:hAnsi="Times New Roman"/>
          <w:i/>
          <w:iCs/>
          <w:snapToGrid/>
          <w:sz w:val="24"/>
          <w:szCs w:val="24"/>
        </w:rPr>
        <w:t>to</w:t>
      </w:r>
      <w:r>
        <w:rPr>
          <w:rFonts w:ascii="Times New Roman" w:hAnsi="Times New Roman"/>
          <w:i/>
          <w:iCs/>
          <w:snapToGrid/>
          <w:sz w:val="24"/>
          <w:szCs w:val="24"/>
        </w:rPr>
        <w:t xml:space="preserve"> Responde</w:t>
      </w:r>
      <w:r w:rsidR="00084E7D">
        <w:rPr>
          <w:rFonts w:ascii="Times New Roman" w:hAnsi="Times New Roman"/>
          <w:i/>
          <w:iCs/>
          <w:snapToGrid/>
          <w:sz w:val="24"/>
          <w:szCs w:val="24"/>
        </w:rPr>
        <w:t>n</w:t>
      </w:r>
      <w:r>
        <w:rPr>
          <w:rFonts w:ascii="Times New Roman" w:hAnsi="Times New Roman"/>
          <w:i/>
          <w:iCs/>
          <w:snapToGrid/>
          <w:sz w:val="24"/>
          <w:szCs w:val="24"/>
        </w:rPr>
        <w:t>ts</w:t>
      </w:r>
    </w:p>
    <w:p w:rsidR="00DE2D9E" w:rsidP="00DE2D9E" w14:paraId="313B0725" w14:textId="16C1877F">
      <w:pPr>
        <w:widowControl/>
        <w:ind w:left="360"/>
        <w:rPr>
          <w:rFonts w:ascii="Times New Roman" w:hAnsi="Times New Roman"/>
          <w:i/>
          <w:iCs/>
          <w:snapToGrid/>
          <w:sz w:val="24"/>
          <w:szCs w:val="24"/>
        </w:rPr>
      </w:pPr>
      <w:r w:rsidRPr="00DE2D9E">
        <w:rPr>
          <w:rFonts w:ascii="Times New Roman" w:hAnsi="Times New Roman"/>
          <w:snapToGrid/>
          <w:sz w:val="24"/>
          <w:szCs w:val="24"/>
        </w:rPr>
        <w:t xml:space="preserve">The cost to respondents was calculated using the Bureau of Labor Statistics (BLS) job code for </w:t>
      </w:r>
      <w:r w:rsidRPr="00EE4D5A" w:rsidR="00576046">
        <w:rPr>
          <w:rFonts w:ascii="Times New Roman" w:hAnsi="Times New Roman"/>
          <w:snapToGrid/>
          <w:sz w:val="24"/>
          <w:szCs w:val="24"/>
        </w:rPr>
        <w:t>Management Analysts</w:t>
      </w:r>
      <w:r w:rsidRPr="00EE4D5A">
        <w:rPr>
          <w:rFonts w:ascii="Times New Roman" w:hAnsi="Times New Roman"/>
          <w:snapToGrid/>
          <w:sz w:val="24"/>
          <w:szCs w:val="24"/>
        </w:rPr>
        <w:t xml:space="preserve"> (</w:t>
      </w:r>
      <w:r w:rsidRPr="00EE4D5A" w:rsidR="00284226">
        <w:rPr>
          <w:rFonts w:ascii="Times New Roman" w:hAnsi="Times New Roman"/>
          <w:snapToGrid/>
          <w:sz w:val="24"/>
          <w:szCs w:val="24"/>
        </w:rPr>
        <w:t>1</w:t>
      </w:r>
      <w:r w:rsidRPr="00EE4D5A" w:rsidR="00576046">
        <w:rPr>
          <w:rFonts w:ascii="Times New Roman" w:hAnsi="Times New Roman"/>
          <w:snapToGrid/>
          <w:sz w:val="24"/>
          <w:szCs w:val="24"/>
        </w:rPr>
        <w:t>3</w:t>
      </w:r>
      <w:r w:rsidRPr="00EE4D5A">
        <w:rPr>
          <w:rFonts w:ascii="Times New Roman" w:hAnsi="Times New Roman"/>
          <w:snapToGrid/>
          <w:sz w:val="24"/>
          <w:szCs w:val="24"/>
        </w:rPr>
        <w:t>-</w:t>
      </w:r>
      <w:r w:rsidRPr="00EE4D5A" w:rsidR="00576046">
        <w:rPr>
          <w:rFonts w:ascii="Times New Roman" w:hAnsi="Times New Roman"/>
          <w:snapToGrid/>
          <w:sz w:val="24"/>
          <w:szCs w:val="24"/>
        </w:rPr>
        <w:t>1111</w:t>
      </w:r>
      <w:r w:rsidRPr="00EE4D5A" w:rsidR="00284226">
        <w:rPr>
          <w:rFonts w:ascii="Times New Roman" w:hAnsi="Times New Roman"/>
          <w:snapToGrid/>
          <w:sz w:val="24"/>
          <w:szCs w:val="24"/>
        </w:rPr>
        <w:t>.00</w:t>
      </w:r>
      <w:r w:rsidRPr="00C249BA">
        <w:rPr>
          <w:rFonts w:ascii="Times New Roman" w:hAnsi="Times New Roman"/>
          <w:snapToGrid/>
          <w:sz w:val="24"/>
          <w:szCs w:val="24"/>
        </w:rPr>
        <w:t>), and wage data from May 2024, which is $</w:t>
      </w:r>
      <w:r w:rsidRPr="00C249BA" w:rsidR="00A33167">
        <w:rPr>
          <w:rFonts w:ascii="Times New Roman" w:hAnsi="Times New Roman"/>
          <w:snapToGrid/>
          <w:sz w:val="24"/>
          <w:szCs w:val="24"/>
        </w:rPr>
        <w:t>48</w:t>
      </w:r>
      <w:r w:rsidRPr="00EE4D5A">
        <w:rPr>
          <w:rFonts w:ascii="Times New Roman" w:hAnsi="Times New Roman"/>
          <w:snapToGrid/>
          <w:sz w:val="24"/>
          <w:szCs w:val="24"/>
        </w:rPr>
        <w:t>.</w:t>
      </w:r>
      <w:r w:rsidRPr="00EE4D5A" w:rsidR="00A33167">
        <w:rPr>
          <w:rFonts w:ascii="Times New Roman" w:hAnsi="Times New Roman"/>
          <w:snapToGrid/>
          <w:sz w:val="24"/>
          <w:szCs w:val="24"/>
        </w:rPr>
        <w:t>65</w:t>
      </w:r>
      <w:r w:rsidRPr="00C249BA">
        <w:rPr>
          <w:rFonts w:ascii="Times New Roman" w:hAnsi="Times New Roman"/>
          <w:snapToGrid/>
          <w:sz w:val="24"/>
          <w:szCs w:val="24"/>
        </w:rPr>
        <w:t xml:space="preserve"> per hour. To account for fringe benefits and overhead the rate was multiplied by two which is $</w:t>
      </w:r>
      <w:r w:rsidRPr="00C249BA" w:rsidR="00A33167">
        <w:rPr>
          <w:rFonts w:ascii="Times New Roman" w:hAnsi="Times New Roman"/>
          <w:snapToGrid/>
          <w:sz w:val="24"/>
          <w:szCs w:val="24"/>
        </w:rPr>
        <w:t>97</w:t>
      </w:r>
      <w:r w:rsidRPr="00EE4D5A">
        <w:rPr>
          <w:rFonts w:ascii="Times New Roman" w:hAnsi="Times New Roman"/>
          <w:snapToGrid/>
          <w:sz w:val="24"/>
          <w:szCs w:val="24"/>
        </w:rPr>
        <w:t>.</w:t>
      </w:r>
      <w:r w:rsidRPr="00EE4D5A" w:rsidR="00C249BA">
        <w:rPr>
          <w:rFonts w:ascii="Times New Roman" w:hAnsi="Times New Roman"/>
          <w:snapToGrid/>
          <w:sz w:val="24"/>
          <w:szCs w:val="24"/>
        </w:rPr>
        <w:t>30</w:t>
      </w:r>
      <w:r w:rsidRPr="00EE4D5A">
        <w:rPr>
          <w:rFonts w:ascii="Times New Roman" w:hAnsi="Times New Roman"/>
          <w:snapToGrid/>
          <w:sz w:val="24"/>
          <w:szCs w:val="24"/>
        </w:rPr>
        <w:t>.</w:t>
      </w:r>
      <w:r w:rsidRPr="00C249BA">
        <w:rPr>
          <w:rFonts w:ascii="Times New Roman" w:hAnsi="Times New Roman"/>
          <w:snapToGrid/>
          <w:sz w:val="24"/>
          <w:szCs w:val="24"/>
        </w:rPr>
        <w:t xml:space="preserve">  https://www.bls.gov/oes/tables.htm</w:t>
      </w:r>
    </w:p>
    <w:p w:rsidR="00DE2D9E" w:rsidRPr="00DE2D9E" w:rsidP="00DE2D9E" w14:paraId="24A06A7E" w14:textId="77777777">
      <w:pPr>
        <w:widowControl/>
        <w:ind w:left="360"/>
        <w:rPr>
          <w:rFonts w:ascii="Times New Roman" w:hAnsi="Times New Roman"/>
          <w:i/>
          <w:iCs/>
          <w:snapToGrid/>
          <w:sz w:val="24"/>
          <w:szCs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5"/>
        <w:gridCol w:w="1304"/>
        <w:gridCol w:w="1304"/>
        <w:gridCol w:w="1304"/>
        <w:gridCol w:w="1304"/>
        <w:gridCol w:w="1304"/>
        <w:gridCol w:w="1305"/>
      </w:tblGrid>
      <w:tr w14:paraId="571C65D4" w14:textId="77777777" w:rsidTr="006D1035">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blHeader/>
          <w:jc w:val="center"/>
        </w:trPr>
        <w:tc>
          <w:tcPr>
            <w:tcW w:w="1525" w:type="dxa"/>
            <w:shd w:val="clear" w:color="auto" w:fill="BFBFBF"/>
            <w:vAlign w:val="center"/>
          </w:tcPr>
          <w:p w:rsidR="00DC3719" w:rsidRPr="00405C10" w:rsidP="00C827B7" w14:paraId="2F86B7B2" w14:textId="2C62AECB">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04" w:type="dxa"/>
            <w:shd w:val="clear" w:color="auto" w:fill="BFBFBF"/>
            <w:vAlign w:val="center"/>
          </w:tcPr>
          <w:p w:rsidR="00DC3719" w:rsidRPr="00405C10" w:rsidP="005B6732" w14:paraId="5E41F01E" w14:textId="61C06B6D">
            <w:pPr>
              <w:jc w:val="center"/>
              <w:rPr>
                <w:rFonts w:ascii="Times New Roman" w:hAnsi="Times New Roman"/>
                <w:szCs w:val="24"/>
              </w:rPr>
            </w:pPr>
            <w:r w:rsidRPr="00405C10">
              <w:rPr>
                <w:rFonts w:ascii="Times New Roman" w:hAnsi="Times New Roman"/>
                <w:szCs w:val="24"/>
              </w:rPr>
              <w:t>Number of Respondents</w:t>
            </w:r>
          </w:p>
        </w:tc>
        <w:tc>
          <w:tcPr>
            <w:tcW w:w="1304" w:type="dxa"/>
            <w:shd w:val="clear" w:color="auto" w:fill="BFBFBF"/>
            <w:vAlign w:val="center"/>
          </w:tcPr>
          <w:p w:rsidR="00DC3719" w:rsidRPr="00405C10" w:rsidP="00C827B7" w14:paraId="22A5A18A" w14:textId="61338FB1">
            <w:pPr>
              <w:jc w:val="center"/>
              <w:rPr>
                <w:rFonts w:ascii="Times New Roman" w:hAnsi="Times New Roman"/>
                <w:szCs w:val="24"/>
              </w:rPr>
            </w:pPr>
            <w:r w:rsidRPr="00405C10">
              <w:rPr>
                <w:rFonts w:ascii="Times New Roman" w:hAnsi="Times New Roman"/>
                <w:szCs w:val="24"/>
              </w:rPr>
              <w:t>Number of Responses Per Respondent</w:t>
            </w:r>
          </w:p>
        </w:tc>
        <w:tc>
          <w:tcPr>
            <w:tcW w:w="1304" w:type="dxa"/>
            <w:shd w:val="clear" w:color="auto" w:fill="BFBFBF"/>
            <w:vAlign w:val="center"/>
          </w:tcPr>
          <w:p w:rsidR="00DC3719" w:rsidRPr="00405C10" w:rsidP="00C827B7" w14:paraId="47330186" w14:textId="1977D78D">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w:t>
            </w:r>
            <w:r>
              <w:rPr>
                <w:rFonts w:ascii="Times New Roman" w:hAnsi="Times New Roman"/>
                <w:szCs w:val="24"/>
              </w:rPr>
              <w:t xml:space="preserve">Hours </w:t>
            </w:r>
            <w:r w:rsidRPr="00405C10">
              <w:rPr>
                <w:rFonts w:ascii="Times New Roman" w:hAnsi="Times New Roman"/>
                <w:szCs w:val="24"/>
              </w:rPr>
              <w:t>Per Response</w:t>
            </w:r>
          </w:p>
        </w:tc>
        <w:tc>
          <w:tcPr>
            <w:tcW w:w="1304" w:type="dxa"/>
            <w:shd w:val="clear" w:color="auto" w:fill="BFBFBF"/>
            <w:vAlign w:val="center"/>
          </w:tcPr>
          <w:p w:rsidR="00DC3719" w:rsidRPr="00405C10" w:rsidP="00C827B7" w14:paraId="0ACE5C15" w14:textId="2594E97B">
            <w:pPr>
              <w:jc w:val="center"/>
              <w:rPr>
                <w:rFonts w:ascii="Times New Roman" w:hAnsi="Times New Roman"/>
                <w:szCs w:val="24"/>
              </w:rPr>
            </w:pPr>
            <w:r>
              <w:rPr>
                <w:rFonts w:ascii="Times New Roman" w:hAnsi="Times New Roman"/>
                <w:szCs w:val="24"/>
              </w:rPr>
              <w:t>Total/</w:t>
            </w:r>
            <w:r>
              <w:rPr>
                <w:rFonts w:ascii="Times New Roman" w:hAnsi="Times New Roman"/>
                <w:szCs w:val="24"/>
              </w:rPr>
              <w:t xml:space="preserve">Annual </w:t>
            </w:r>
            <w:r w:rsidRPr="00405C10">
              <w:rPr>
                <w:rFonts w:ascii="Times New Roman" w:hAnsi="Times New Roman"/>
                <w:szCs w:val="24"/>
              </w:rPr>
              <w:t>Burden Hours</w:t>
            </w:r>
          </w:p>
        </w:tc>
        <w:tc>
          <w:tcPr>
            <w:tcW w:w="1304" w:type="dxa"/>
            <w:shd w:val="clear" w:color="auto" w:fill="BFBFBF"/>
            <w:vAlign w:val="center"/>
          </w:tcPr>
          <w:p w:rsidR="00DC3719" w:rsidRPr="00405C10" w:rsidP="005B6732" w14:paraId="43937323" w14:textId="5CCDE26F">
            <w:pPr>
              <w:jc w:val="center"/>
              <w:rPr>
                <w:rFonts w:ascii="Times New Roman" w:hAnsi="Times New Roman"/>
                <w:szCs w:val="24"/>
              </w:rPr>
            </w:pPr>
            <w:bookmarkStart w:id="5" w:name="_Hlk174626149"/>
            <w:r w:rsidRPr="00405C10">
              <w:rPr>
                <w:rFonts w:ascii="Times New Roman" w:hAnsi="Times New Roman"/>
                <w:bCs/>
                <w:szCs w:val="24"/>
              </w:rPr>
              <w:t>Average Hourly Wage</w:t>
            </w:r>
            <w:bookmarkEnd w:id="5"/>
          </w:p>
        </w:tc>
        <w:tc>
          <w:tcPr>
            <w:tcW w:w="1305" w:type="dxa"/>
            <w:shd w:val="clear" w:color="auto" w:fill="BFBFBF"/>
            <w:vAlign w:val="center"/>
          </w:tcPr>
          <w:p w:rsidR="00DC3719" w:rsidRPr="00405C10" w:rsidP="005B6732" w14:paraId="0AB4DA03" w14:textId="4273F695">
            <w:pPr>
              <w:jc w:val="center"/>
              <w:rPr>
                <w:rFonts w:ascii="Times New Roman" w:hAnsi="Times New Roman"/>
                <w:szCs w:val="24"/>
              </w:rPr>
            </w:pPr>
            <w:r w:rsidRPr="00405C10">
              <w:rPr>
                <w:rFonts w:ascii="Times New Roman" w:hAnsi="Times New Roman"/>
                <w:bCs/>
                <w:szCs w:val="24"/>
              </w:rPr>
              <w:t>Annual</w:t>
            </w:r>
            <w:r>
              <w:rPr>
                <w:rFonts w:ascii="Times New Roman" w:hAnsi="Times New Roman"/>
                <w:bCs/>
                <w:szCs w:val="24"/>
              </w:rPr>
              <w:t xml:space="preserve"> </w:t>
            </w:r>
            <w:r w:rsidRPr="00405C10">
              <w:rPr>
                <w:rFonts w:ascii="Times New Roman" w:hAnsi="Times New Roman"/>
                <w:bCs/>
                <w:szCs w:val="24"/>
              </w:rPr>
              <w:t>Cost</w:t>
            </w:r>
          </w:p>
        </w:tc>
      </w:tr>
      <w:tr w14:paraId="50A88BEF" w14:textId="45A1B427" w:rsidTr="006D1035">
        <w:tblPrEx>
          <w:tblW w:w="9350" w:type="dxa"/>
          <w:jc w:val="center"/>
          <w:tblLayout w:type="fixed"/>
          <w:tblLook w:val="00A0"/>
        </w:tblPrEx>
        <w:trPr>
          <w:trHeight w:val="432"/>
          <w:jc w:val="center"/>
        </w:trPr>
        <w:tc>
          <w:tcPr>
            <w:tcW w:w="1525" w:type="dxa"/>
            <w:vAlign w:val="center"/>
          </w:tcPr>
          <w:p w:rsidR="00DC3719" w:rsidRPr="00405C10" w:rsidP="009050C8" w14:paraId="777B4D74" w14:textId="4546B51B">
            <w:pPr>
              <w:tabs>
                <w:tab w:val="center" w:pos="4320"/>
                <w:tab w:val="right" w:pos="8640"/>
              </w:tabs>
              <w:rPr>
                <w:rFonts w:ascii="Times New Roman" w:hAnsi="Times New Roman"/>
                <w:szCs w:val="24"/>
              </w:rPr>
            </w:pPr>
            <w:r w:rsidRPr="00C827B7">
              <w:rPr>
                <w:rFonts w:ascii="Times New Roman" w:hAnsi="Times New Roman"/>
                <w:szCs w:val="24"/>
              </w:rPr>
              <w:t>20</w:t>
            </w:r>
            <w:r>
              <w:rPr>
                <w:rFonts w:ascii="Times New Roman" w:hAnsi="Times New Roman"/>
                <w:szCs w:val="24"/>
              </w:rPr>
              <w:t>2</w:t>
            </w:r>
            <w:r w:rsidR="006D1035">
              <w:rPr>
                <w:rFonts w:ascii="Times New Roman" w:hAnsi="Times New Roman"/>
                <w:szCs w:val="24"/>
              </w:rPr>
              <w:t>4</w:t>
            </w:r>
            <w:r w:rsidRPr="00C827B7">
              <w:rPr>
                <w:rFonts w:ascii="Times New Roman" w:hAnsi="Times New Roman"/>
                <w:szCs w:val="24"/>
              </w:rPr>
              <w:t xml:space="preserve"> </w:t>
            </w:r>
            <w:r w:rsidRPr="00C827B7" w:rsidR="00837865">
              <w:rPr>
                <w:rFonts w:ascii="Times New Roman" w:hAnsi="Times New Roman"/>
                <w:szCs w:val="24"/>
              </w:rPr>
              <w:t>LIHEAP</w:t>
            </w:r>
            <w:r w:rsidR="00837865">
              <w:rPr>
                <w:rFonts w:ascii="Times New Roman" w:hAnsi="Times New Roman"/>
                <w:szCs w:val="24"/>
              </w:rPr>
              <w:t xml:space="preserve"> </w:t>
            </w:r>
            <w:r w:rsidR="006D1035">
              <w:rPr>
                <w:rFonts w:ascii="Times New Roman" w:hAnsi="Times New Roman"/>
                <w:szCs w:val="24"/>
              </w:rPr>
              <w:t xml:space="preserve">RECS </w:t>
            </w:r>
            <w:r w:rsidRPr="00C827B7">
              <w:rPr>
                <w:rFonts w:ascii="Times New Roman" w:hAnsi="Times New Roman"/>
                <w:szCs w:val="24"/>
              </w:rPr>
              <w:t>Data Match</w:t>
            </w:r>
          </w:p>
        </w:tc>
        <w:tc>
          <w:tcPr>
            <w:tcW w:w="1304" w:type="dxa"/>
            <w:vAlign w:val="center"/>
          </w:tcPr>
          <w:p w:rsidR="00DC3719" w:rsidRPr="00405C10" w:rsidP="00C827B7" w14:paraId="50575A5E" w14:textId="01B94D22">
            <w:pPr>
              <w:tabs>
                <w:tab w:val="center" w:pos="4320"/>
                <w:tab w:val="right" w:pos="8640"/>
              </w:tabs>
              <w:jc w:val="center"/>
              <w:rPr>
                <w:rFonts w:ascii="Times New Roman" w:hAnsi="Times New Roman"/>
                <w:szCs w:val="24"/>
                <w:highlight w:val="yellow"/>
              </w:rPr>
            </w:pPr>
            <w:r w:rsidRPr="00221DD9">
              <w:rPr>
                <w:rFonts w:ascii="Times New Roman" w:hAnsi="Times New Roman"/>
                <w:szCs w:val="24"/>
              </w:rPr>
              <w:t>51</w:t>
            </w:r>
          </w:p>
        </w:tc>
        <w:tc>
          <w:tcPr>
            <w:tcW w:w="1304" w:type="dxa"/>
            <w:vAlign w:val="center"/>
          </w:tcPr>
          <w:p w:rsidR="00DC3719" w:rsidRPr="00405C10" w:rsidP="00C827B7" w14:paraId="4232B279" w14:textId="069ACD98">
            <w:pPr>
              <w:tabs>
                <w:tab w:val="center" w:pos="4320"/>
                <w:tab w:val="right" w:pos="8640"/>
              </w:tabs>
              <w:jc w:val="center"/>
              <w:rPr>
                <w:rFonts w:ascii="Times New Roman" w:hAnsi="Times New Roman"/>
                <w:szCs w:val="24"/>
              </w:rPr>
            </w:pPr>
            <w:r>
              <w:rPr>
                <w:rFonts w:ascii="Times New Roman" w:hAnsi="Times New Roman"/>
                <w:szCs w:val="24"/>
              </w:rPr>
              <w:t>1</w:t>
            </w:r>
          </w:p>
        </w:tc>
        <w:tc>
          <w:tcPr>
            <w:tcW w:w="1304" w:type="dxa"/>
            <w:vAlign w:val="center"/>
          </w:tcPr>
          <w:p w:rsidR="00DC3719" w:rsidRPr="00FA1AA3" w:rsidP="00C827B7" w14:paraId="2DF59C22" w14:textId="6174927D">
            <w:pPr>
              <w:tabs>
                <w:tab w:val="center" w:pos="4320"/>
                <w:tab w:val="right" w:pos="8640"/>
              </w:tabs>
              <w:jc w:val="center"/>
              <w:rPr>
                <w:rFonts w:ascii="Times New Roman" w:hAnsi="Times New Roman"/>
                <w:szCs w:val="24"/>
                <w:highlight w:val="yellow"/>
              </w:rPr>
            </w:pPr>
            <w:r>
              <w:rPr>
                <w:rFonts w:ascii="Times New Roman" w:hAnsi="Times New Roman"/>
                <w:szCs w:val="24"/>
              </w:rPr>
              <w:t>16</w:t>
            </w:r>
          </w:p>
        </w:tc>
        <w:tc>
          <w:tcPr>
            <w:tcW w:w="1304" w:type="dxa"/>
            <w:vAlign w:val="center"/>
          </w:tcPr>
          <w:p w:rsidR="00DC3719" w:rsidRPr="00FA1AA3" w:rsidP="00C827B7" w14:paraId="42738577" w14:textId="5024C144">
            <w:pPr>
              <w:tabs>
                <w:tab w:val="center" w:pos="4320"/>
                <w:tab w:val="right" w:pos="8640"/>
              </w:tabs>
              <w:jc w:val="center"/>
              <w:rPr>
                <w:rFonts w:ascii="Times New Roman" w:hAnsi="Times New Roman"/>
                <w:szCs w:val="24"/>
                <w:highlight w:val="yellow"/>
              </w:rPr>
            </w:pPr>
            <w:r>
              <w:rPr>
                <w:rFonts w:ascii="Times New Roman" w:hAnsi="Times New Roman"/>
                <w:szCs w:val="24"/>
              </w:rPr>
              <w:t>816</w:t>
            </w:r>
          </w:p>
        </w:tc>
        <w:tc>
          <w:tcPr>
            <w:tcW w:w="1304" w:type="dxa"/>
            <w:vAlign w:val="center"/>
          </w:tcPr>
          <w:p w:rsidR="00DC3719" w:rsidRPr="00FA1AA3" w:rsidP="00181298" w14:paraId="33306E6E" w14:textId="1E6493E9">
            <w:pPr>
              <w:tabs>
                <w:tab w:val="center" w:pos="4320"/>
                <w:tab w:val="right" w:pos="8640"/>
              </w:tabs>
              <w:jc w:val="center"/>
              <w:rPr>
                <w:rFonts w:ascii="Times New Roman" w:hAnsi="Times New Roman"/>
                <w:szCs w:val="24"/>
                <w:highlight w:val="yellow"/>
              </w:rPr>
            </w:pPr>
            <w:r w:rsidRPr="00E4555C">
              <w:rPr>
                <w:rFonts w:ascii="Times New Roman" w:hAnsi="Times New Roman"/>
                <w:szCs w:val="24"/>
              </w:rPr>
              <w:t>$</w:t>
            </w:r>
            <w:r w:rsidR="00A33167">
              <w:rPr>
                <w:rFonts w:ascii="Times New Roman" w:hAnsi="Times New Roman"/>
                <w:szCs w:val="24"/>
              </w:rPr>
              <w:t>97.</w:t>
            </w:r>
            <w:r w:rsidR="00C249BA">
              <w:rPr>
                <w:rFonts w:ascii="Times New Roman" w:hAnsi="Times New Roman"/>
                <w:szCs w:val="24"/>
              </w:rPr>
              <w:t>30</w:t>
            </w:r>
          </w:p>
        </w:tc>
        <w:tc>
          <w:tcPr>
            <w:tcW w:w="1305" w:type="dxa"/>
            <w:vAlign w:val="center"/>
          </w:tcPr>
          <w:p w:rsidR="00DC3719" w:rsidRPr="00FA1AA3" w:rsidP="00DC3719" w14:paraId="640937A4" w14:textId="5716CA85">
            <w:pPr>
              <w:tabs>
                <w:tab w:val="center" w:pos="4320"/>
                <w:tab w:val="right" w:pos="8640"/>
              </w:tabs>
              <w:jc w:val="center"/>
              <w:rPr>
                <w:rFonts w:ascii="Times New Roman" w:hAnsi="Times New Roman"/>
                <w:szCs w:val="24"/>
                <w:highlight w:val="yellow"/>
              </w:rPr>
            </w:pPr>
            <w:r w:rsidRPr="00316937">
              <w:rPr>
                <w:rFonts w:ascii="Times New Roman" w:hAnsi="Times New Roman"/>
                <w:szCs w:val="24"/>
              </w:rPr>
              <w:t>$</w:t>
            </w:r>
            <w:r w:rsidR="00A33167">
              <w:rPr>
                <w:rFonts w:ascii="Times New Roman" w:hAnsi="Times New Roman"/>
                <w:szCs w:val="24"/>
              </w:rPr>
              <w:t>79</w:t>
            </w:r>
            <w:r w:rsidR="0080227D">
              <w:rPr>
                <w:rFonts w:ascii="Times New Roman" w:hAnsi="Times New Roman"/>
                <w:szCs w:val="24"/>
              </w:rPr>
              <w:t>,</w:t>
            </w:r>
            <w:r w:rsidR="00A33167">
              <w:rPr>
                <w:rFonts w:ascii="Times New Roman" w:hAnsi="Times New Roman"/>
                <w:szCs w:val="24"/>
              </w:rPr>
              <w:t>3</w:t>
            </w:r>
            <w:r w:rsidR="00C249BA">
              <w:rPr>
                <w:rFonts w:ascii="Times New Roman" w:hAnsi="Times New Roman"/>
                <w:szCs w:val="24"/>
              </w:rPr>
              <w:t>97</w:t>
            </w:r>
          </w:p>
        </w:tc>
      </w:tr>
    </w:tbl>
    <w:p w:rsidR="00AC24C9" w:rsidP="004F7B95" w14:paraId="0E42E676" w14:textId="77777777">
      <w:pPr>
        <w:widowControl/>
        <w:ind w:left="720"/>
        <w:rPr>
          <w:rFonts w:ascii="Times New Roman" w:hAnsi="Times New Roman"/>
          <w:snapToGrid/>
          <w:sz w:val="24"/>
          <w:szCs w:val="24"/>
        </w:rPr>
        <w:sectPr w:rsidSect="0054587A">
          <w:footerReference w:type="default" r:id="rId11"/>
          <w:endnotePr>
            <w:numFmt w:val="decimal"/>
          </w:endnotePr>
          <w:pgSz w:w="12240" w:h="15840"/>
          <w:pgMar w:top="1440" w:right="1440" w:bottom="1440" w:left="1440" w:header="1440" w:footer="1440" w:gutter="0"/>
          <w:pgNumType w:start="1"/>
          <w:cols w:space="720"/>
          <w:noEndnote/>
          <w:titlePg/>
          <w:docGrid w:linePitch="272"/>
        </w:sectPr>
      </w:pPr>
    </w:p>
    <w:p w:rsidR="00D60543" w:rsidRPr="00311023" w:rsidP="00311023" w14:paraId="48DF1AA3"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Estimates of Other Total Annual Cost Burden to Respondents and Record Keepers </w:t>
      </w:r>
    </w:p>
    <w:p w:rsidR="00FD1719" w:rsidP="00311023" w14:paraId="011800F8" w14:textId="0EFD3A6F">
      <w:pPr>
        <w:widowControl/>
        <w:ind w:left="360"/>
        <w:rPr>
          <w:rFonts w:ascii="Times New Roman" w:hAnsi="Times New Roman"/>
          <w:snapToGrid/>
          <w:sz w:val="24"/>
          <w:szCs w:val="24"/>
        </w:rPr>
      </w:pPr>
      <w:r w:rsidRPr="00167E6B">
        <w:rPr>
          <w:rFonts w:ascii="Times New Roman" w:hAnsi="Times New Roman"/>
          <w:snapToGrid/>
          <w:sz w:val="24"/>
          <w:szCs w:val="24"/>
        </w:rPr>
        <w:t xml:space="preserve">There are no other costs </w:t>
      </w:r>
      <w:r w:rsidRPr="00167E6B">
        <w:rPr>
          <w:rFonts w:ascii="Times New Roman" w:hAnsi="Times New Roman"/>
          <w:snapToGrid/>
          <w:sz w:val="24"/>
          <w:szCs w:val="24"/>
        </w:rPr>
        <w:t>to</w:t>
      </w:r>
      <w:r w:rsidRPr="00167E6B">
        <w:rPr>
          <w:rFonts w:ascii="Times New Roman" w:hAnsi="Times New Roman"/>
          <w:snapToGrid/>
          <w:sz w:val="24"/>
          <w:szCs w:val="24"/>
        </w:rPr>
        <w:t xml:space="preserve"> respondents and record keepers. </w:t>
      </w:r>
      <w:r w:rsidRPr="00167E6B" w:rsidR="00167E6B">
        <w:rPr>
          <w:rFonts w:ascii="Times New Roman" w:hAnsi="Times New Roman"/>
          <w:snapToGrid/>
          <w:sz w:val="24"/>
          <w:szCs w:val="24"/>
        </w:rPr>
        <w:t xml:space="preserve">The </w:t>
      </w:r>
      <w:r w:rsidRPr="00167E6B">
        <w:rPr>
          <w:rFonts w:ascii="Times New Roman" w:hAnsi="Times New Roman"/>
          <w:snapToGrid/>
          <w:sz w:val="24"/>
          <w:szCs w:val="24"/>
        </w:rPr>
        <w:t>data collection procedures utilize existing systems and should not require any new capital expenditures by grant</w:t>
      </w:r>
      <w:r w:rsidR="005F7191">
        <w:rPr>
          <w:rFonts w:ascii="Times New Roman" w:hAnsi="Times New Roman"/>
          <w:snapToGrid/>
          <w:sz w:val="24"/>
          <w:szCs w:val="24"/>
        </w:rPr>
        <w:t xml:space="preserve"> recipient</w:t>
      </w:r>
      <w:r w:rsidR="00AD2BCB">
        <w:rPr>
          <w:rFonts w:ascii="Times New Roman" w:hAnsi="Times New Roman"/>
          <w:snapToGrid/>
          <w:sz w:val="24"/>
          <w:szCs w:val="24"/>
        </w:rPr>
        <w:t>s</w:t>
      </w:r>
      <w:r w:rsidRPr="00167E6B">
        <w:rPr>
          <w:rFonts w:ascii="Times New Roman" w:hAnsi="Times New Roman"/>
          <w:snapToGrid/>
          <w:sz w:val="24"/>
          <w:szCs w:val="24"/>
        </w:rPr>
        <w:t>.</w:t>
      </w:r>
    </w:p>
    <w:p w:rsidR="00311023" w:rsidRPr="002A2F20" w:rsidP="00D60543" w14:paraId="07C89138" w14:textId="77777777">
      <w:pPr>
        <w:widowControl/>
        <w:rPr>
          <w:rFonts w:ascii="Times New Roman" w:hAnsi="Times New Roman"/>
          <w:snapToGrid/>
          <w:sz w:val="24"/>
          <w:szCs w:val="24"/>
          <w:highlight w:val="yellow"/>
        </w:rPr>
      </w:pPr>
    </w:p>
    <w:p w:rsidR="007935D5" w:rsidRPr="00311023" w:rsidP="00311023" w14:paraId="580CC440" w14:textId="50D77393">
      <w:pPr>
        <w:widowControl/>
        <w:numPr>
          <w:ilvl w:val="0"/>
          <w:numId w:val="3"/>
        </w:numPr>
        <w:tabs>
          <w:tab w:val="num" w:pos="360"/>
          <w:tab w:val="clear" w:pos="720"/>
        </w:tabs>
        <w:spacing w:after="120"/>
        <w:ind w:left="360"/>
        <w:rPr>
          <w:rFonts w:ascii="Times New Roman" w:hAnsi="Times New Roman"/>
          <w:b/>
          <w:snapToGrid/>
          <w:sz w:val="24"/>
          <w:szCs w:val="24"/>
        </w:rPr>
      </w:pPr>
      <w:r w:rsidRPr="00311023">
        <w:rPr>
          <w:rFonts w:ascii="Times New Roman" w:hAnsi="Times New Roman"/>
          <w:b/>
          <w:snapToGrid/>
          <w:sz w:val="24"/>
          <w:szCs w:val="24"/>
        </w:rPr>
        <w:t>A</w:t>
      </w:r>
      <w:r w:rsidRPr="00311023" w:rsidR="002C3C4F">
        <w:rPr>
          <w:rFonts w:ascii="Times New Roman" w:hAnsi="Times New Roman"/>
          <w:b/>
          <w:snapToGrid/>
          <w:sz w:val="24"/>
          <w:szCs w:val="24"/>
        </w:rPr>
        <w:t xml:space="preserve">nnualized Cost to the Federal Government </w:t>
      </w:r>
    </w:p>
    <w:p w:rsidR="00D206CA" w:rsidRPr="00DD39E5" w:rsidP="00311023" w14:paraId="4E395BCE" w14:textId="23A6D3F2">
      <w:pPr>
        <w:widowControl/>
        <w:ind w:left="360"/>
        <w:rPr>
          <w:rFonts w:ascii="Times New Roman" w:hAnsi="Times New Roman"/>
          <w:snapToGrid/>
          <w:sz w:val="24"/>
          <w:szCs w:val="24"/>
        </w:rPr>
      </w:pPr>
      <w:r w:rsidRPr="00DD39E5">
        <w:rPr>
          <w:rFonts w:ascii="Times New Roman" w:hAnsi="Times New Roman"/>
          <w:snapToGrid/>
          <w:sz w:val="24"/>
          <w:szCs w:val="24"/>
        </w:rPr>
        <w:t xml:space="preserve">Federal </w:t>
      </w:r>
      <w:r w:rsidR="006B0E65">
        <w:rPr>
          <w:rFonts w:ascii="Times New Roman" w:hAnsi="Times New Roman"/>
          <w:snapToGrid/>
          <w:sz w:val="24"/>
          <w:szCs w:val="24"/>
        </w:rPr>
        <w:t>g</w:t>
      </w:r>
      <w:r w:rsidRPr="00DD39E5">
        <w:rPr>
          <w:rFonts w:ascii="Times New Roman" w:hAnsi="Times New Roman"/>
          <w:snapToGrid/>
          <w:sz w:val="24"/>
          <w:szCs w:val="24"/>
        </w:rPr>
        <w:t xml:space="preserve">overnment </w:t>
      </w:r>
      <w:r w:rsidR="006B0E65">
        <w:rPr>
          <w:rFonts w:ascii="Times New Roman" w:hAnsi="Times New Roman"/>
          <w:snapToGrid/>
          <w:sz w:val="24"/>
          <w:szCs w:val="24"/>
        </w:rPr>
        <w:t>s</w:t>
      </w:r>
      <w:r w:rsidRPr="00DD39E5">
        <w:rPr>
          <w:rFonts w:ascii="Times New Roman" w:hAnsi="Times New Roman"/>
          <w:snapToGrid/>
          <w:sz w:val="24"/>
          <w:szCs w:val="24"/>
        </w:rPr>
        <w:t xml:space="preserve">taff and </w:t>
      </w:r>
      <w:r w:rsidR="006B0E65">
        <w:rPr>
          <w:rFonts w:ascii="Times New Roman" w:hAnsi="Times New Roman"/>
          <w:snapToGrid/>
          <w:sz w:val="24"/>
          <w:szCs w:val="24"/>
        </w:rPr>
        <w:t>c</w:t>
      </w:r>
      <w:r w:rsidRPr="00DD39E5">
        <w:rPr>
          <w:rFonts w:ascii="Times New Roman" w:hAnsi="Times New Roman"/>
          <w:snapToGrid/>
          <w:sz w:val="24"/>
          <w:szCs w:val="24"/>
        </w:rPr>
        <w:t>ontractor tasks associated with the collection of these data include:</w:t>
      </w:r>
    </w:p>
    <w:p w:rsidR="00816B84" w:rsidRPr="00DD39E5" w:rsidP="00EE4D5A" w14:paraId="702DEC9F" w14:textId="584AB487">
      <w:pPr>
        <w:pStyle w:val="ListParagraph"/>
        <w:widowControl/>
        <w:numPr>
          <w:ilvl w:val="0"/>
          <w:numId w:val="20"/>
        </w:numPr>
        <w:tabs>
          <w:tab w:val="num" w:pos="360"/>
        </w:tabs>
        <w:ind w:left="1080"/>
        <w:rPr>
          <w:rFonts w:ascii="Times New Roman" w:hAnsi="Times New Roman"/>
          <w:snapToGrid/>
          <w:sz w:val="24"/>
          <w:szCs w:val="24"/>
        </w:rPr>
      </w:pPr>
      <w:r w:rsidRPr="00DD39E5">
        <w:rPr>
          <w:rFonts w:ascii="Times New Roman" w:hAnsi="Times New Roman"/>
          <w:snapToGrid/>
          <w:sz w:val="24"/>
          <w:szCs w:val="24"/>
        </w:rPr>
        <w:t>Grant</w:t>
      </w:r>
      <w:r w:rsidR="005F7191">
        <w:rPr>
          <w:rFonts w:ascii="Times New Roman" w:hAnsi="Times New Roman"/>
          <w:snapToGrid/>
          <w:sz w:val="24"/>
          <w:szCs w:val="24"/>
        </w:rPr>
        <w:t xml:space="preserve"> Recipient</w:t>
      </w:r>
      <w:r w:rsidRPr="00DD39E5">
        <w:rPr>
          <w:rFonts w:ascii="Times New Roman" w:hAnsi="Times New Roman"/>
          <w:snapToGrid/>
          <w:sz w:val="24"/>
          <w:szCs w:val="24"/>
        </w:rPr>
        <w:t xml:space="preserve"> Notification &amp; Monitoring – Notifying grant</w:t>
      </w:r>
      <w:r w:rsidR="005F7191">
        <w:rPr>
          <w:rFonts w:ascii="Times New Roman" w:hAnsi="Times New Roman"/>
          <w:snapToGrid/>
          <w:sz w:val="24"/>
          <w:szCs w:val="24"/>
        </w:rPr>
        <w:t xml:space="preserve"> recipient</w:t>
      </w:r>
      <w:r w:rsidR="00AD2BCB">
        <w:rPr>
          <w:rFonts w:ascii="Times New Roman" w:hAnsi="Times New Roman"/>
          <w:snapToGrid/>
          <w:sz w:val="24"/>
          <w:szCs w:val="24"/>
        </w:rPr>
        <w:t>s</w:t>
      </w:r>
      <w:r w:rsidRPr="00DD39E5">
        <w:rPr>
          <w:rFonts w:ascii="Times New Roman" w:hAnsi="Times New Roman"/>
          <w:snapToGrid/>
          <w:sz w:val="24"/>
          <w:szCs w:val="24"/>
        </w:rPr>
        <w:t xml:space="preserve"> of the data collection and monitor progress of the data collection effort</w:t>
      </w:r>
      <w:r w:rsidR="003556D8">
        <w:rPr>
          <w:rFonts w:ascii="Times New Roman" w:hAnsi="Times New Roman"/>
          <w:snapToGrid/>
          <w:sz w:val="24"/>
          <w:szCs w:val="24"/>
        </w:rPr>
        <w:t>. Wage rate</w:t>
      </w:r>
      <w:r w:rsidR="00710776">
        <w:rPr>
          <w:rFonts w:ascii="Times New Roman" w:hAnsi="Times New Roman"/>
          <w:snapToGrid/>
          <w:sz w:val="24"/>
          <w:szCs w:val="24"/>
        </w:rPr>
        <w:t xml:space="preserve"> based on the wage rate of a GS-12, Step 5, in Washington, D.C.</w:t>
      </w:r>
      <w:r w:rsidR="003556D8">
        <w:rPr>
          <w:rFonts w:ascii="Times New Roman" w:hAnsi="Times New Roman"/>
          <w:snapToGrid/>
          <w:sz w:val="24"/>
          <w:szCs w:val="24"/>
        </w:rPr>
        <w:t xml:space="preserve">, using the </w:t>
      </w:r>
      <w:hyperlink r:id="rId12" w:history="1">
        <w:r w:rsidRPr="00A53A72" w:rsidR="00A53A72">
          <w:rPr>
            <w:rStyle w:val="Hyperlink"/>
            <w:rFonts w:ascii="Times New Roman" w:hAnsi="Times New Roman"/>
            <w:snapToGrid/>
            <w:sz w:val="24"/>
            <w:szCs w:val="24"/>
          </w:rPr>
          <w:t>OPM Salary Table for 2025</w:t>
        </w:r>
      </w:hyperlink>
      <w:r w:rsidRPr="00DD39E5">
        <w:rPr>
          <w:rFonts w:ascii="Times New Roman" w:hAnsi="Times New Roman"/>
          <w:snapToGrid/>
          <w:sz w:val="24"/>
          <w:szCs w:val="24"/>
        </w:rPr>
        <w:t>;</w:t>
      </w:r>
    </w:p>
    <w:p w:rsidR="00816B84" w:rsidRPr="00DD39E5" w:rsidP="00EE4D5A" w14:paraId="0ECD8EE4" w14:textId="20642F67">
      <w:pPr>
        <w:pStyle w:val="ListParagraph"/>
        <w:widowControl/>
        <w:numPr>
          <w:ilvl w:val="0"/>
          <w:numId w:val="20"/>
        </w:numPr>
        <w:tabs>
          <w:tab w:val="num" w:pos="360"/>
        </w:tabs>
        <w:ind w:left="1080"/>
        <w:rPr>
          <w:rFonts w:ascii="Times New Roman" w:hAnsi="Times New Roman"/>
          <w:snapToGrid/>
          <w:sz w:val="24"/>
          <w:szCs w:val="24"/>
        </w:rPr>
      </w:pPr>
      <w:r w:rsidRPr="00DD39E5">
        <w:rPr>
          <w:rFonts w:ascii="Times New Roman" w:hAnsi="Times New Roman"/>
          <w:snapToGrid/>
          <w:sz w:val="24"/>
          <w:szCs w:val="24"/>
        </w:rPr>
        <w:t>Data Collection – Collecting the data from grant</w:t>
      </w:r>
      <w:r w:rsidR="005F7191">
        <w:rPr>
          <w:rFonts w:ascii="Times New Roman" w:hAnsi="Times New Roman"/>
          <w:snapToGrid/>
          <w:sz w:val="24"/>
          <w:szCs w:val="24"/>
        </w:rPr>
        <w:t xml:space="preserve"> recipients</w:t>
      </w:r>
      <w:r w:rsidR="003556D8">
        <w:rPr>
          <w:rFonts w:ascii="Times New Roman" w:hAnsi="Times New Roman"/>
          <w:snapToGrid/>
          <w:sz w:val="24"/>
          <w:szCs w:val="24"/>
        </w:rPr>
        <w:t>. Wage rate based on a GS-14, Step 5, in Washington, D.C.</w:t>
      </w:r>
      <w:r w:rsidRPr="00DD39E5" w:rsidR="003556D8">
        <w:rPr>
          <w:rFonts w:ascii="Times New Roman" w:hAnsi="Times New Roman"/>
          <w:snapToGrid/>
          <w:sz w:val="24"/>
          <w:szCs w:val="24"/>
        </w:rPr>
        <w:t>;</w:t>
      </w:r>
      <w:r w:rsidRPr="00DD39E5">
        <w:rPr>
          <w:rFonts w:ascii="Times New Roman" w:hAnsi="Times New Roman"/>
          <w:snapToGrid/>
          <w:sz w:val="24"/>
          <w:szCs w:val="24"/>
        </w:rPr>
        <w:t xml:space="preserve"> and</w:t>
      </w:r>
    </w:p>
    <w:p w:rsidR="00D206CA" w:rsidRPr="00DD39E5" w:rsidP="00EE4D5A" w14:paraId="091DCE46" w14:textId="2E7D3687">
      <w:pPr>
        <w:pStyle w:val="ListParagraph"/>
        <w:widowControl/>
        <w:numPr>
          <w:ilvl w:val="0"/>
          <w:numId w:val="20"/>
        </w:numPr>
        <w:tabs>
          <w:tab w:val="num" w:pos="360"/>
        </w:tabs>
        <w:ind w:left="1080"/>
        <w:rPr>
          <w:rFonts w:ascii="Times New Roman" w:hAnsi="Times New Roman"/>
          <w:snapToGrid/>
          <w:sz w:val="24"/>
          <w:szCs w:val="24"/>
        </w:rPr>
      </w:pPr>
      <w:r w:rsidRPr="00DD39E5">
        <w:rPr>
          <w:rFonts w:ascii="Times New Roman" w:hAnsi="Times New Roman"/>
          <w:snapToGrid/>
          <w:sz w:val="24"/>
          <w:szCs w:val="24"/>
        </w:rPr>
        <w:t>Data Review and Analysis – Reviewing submitted data, working with grant</w:t>
      </w:r>
      <w:r w:rsidR="005F7191">
        <w:rPr>
          <w:rFonts w:ascii="Times New Roman" w:hAnsi="Times New Roman"/>
          <w:snapToGrid/>
          <w:sz w:val="24"/>
          <w:szCs w:val="24"/>
        </w:rPr>
        <w:t xml:space="preserve"> recipients</w:t>
      </w:r>
      <w:r w:rsidRPr="00DD39E5">
        <w:rPr>
          <w:rFonts w:ascii="Times New Roman" w:hAnsi="Times New Roman"/>
          <w:snapToGrid/>
          <w:sz w:val="24"/>
          <w:szCs w:val="24"/>
        </w:rPr>
        <w:t xml:space="preserve"> to verify the submitted data, and conducting analysis of the data to prepare administrative data variables and append them to the RECS data file.</w:t>
      </w:r>
      <w:r w:rsidR="003556D8">
        <w:rPr>
          <w:rFonts w:ascii="Times New Roman" w:hAnsi="Times New Roman"/>
          <w:snapToGrid/>
          <w:sz w:val="24"/>
          <w:szCs w:val="24"/>
        </w:rPr>
        <w:t xml:space="preserve"> Wage rate based on a GS-13, Step 5, in Washington, D.C.</w:t>
      </w:r>
      <w:r w:rsidRPr="00DD39E5" w:rsidR="003556D8">
        <w:rPr>
          <w:rFonts w:ascii="Times New Roman" w:hAnsi="Times New Roman"/>
          <w:snapToGrid/>
          <w:sz w:val="24"/>
          <w:szCs w:val="24"/>
        </w:rPr>
        <w:t>;</w:t>
      </w:r>
    </w:p>
    <w:p w:rsidR="00311023" w:rsidP="00D206CA" w14:paraId="15CBBB0A" w14:textId="77777777">
      <w:pPr>
        <w:widowControl/>
        <w:ind w:left="720"/>
        <w:rPr>
          <w:rFonts w:ascii="Times New Roman" w:hAnsi="Times New Roman"/>
          <w:snapToGrid/>
          <w:sz w:val="24"/>
          <w:szCs w:val="24"/>
        </w:rPr>
      </w:pPr>
    </w:p>
    <w:p w:rsidR="00D206CA" w:rsidRPr="00DD39E5" w:rsidP="00311023" w14:paraId="3C51858C" w14:textId="33C1EA70">
      <w:pPr>
        <w:widowControl/>
        <w:spacing w:after="120"/>
        <w:ind w:left="720"/>
        <w:rPr>
          <w:rFonts w:ascii="Times New Roman" w:hAnsi="Times New Roman"/>
          <w:snapToGrid/>
          <w:sz w:val="24"/>
          <w:szCs w:val="24"/>
        </w:rPr>
      </w:pPr>
      <w:r w:rsidRPr="00DD39E5">
        <w:rPr>
          <w:rFonts w:ascii="Times New Roman" w:hAnsi="Times New Roman"/>
          <w:snapToGrid/>
          <w:sz w:val="24"/>
          <w:szCs w:val="24"/>
        </w:rPr>
        <w:t xml:space="preserve">The table below furnishes information on the estimated </w:t>
      </w:r>
      <w:r w:rsidRPr="00DD39E5" w:rsidR="255303C7">
        <w:rPr>
          <w:rFonts w:ascii="Times New Roman" w:hAnsi="Times New Roman"/>
          <w:snapToGrid/>
          <w:sz w:val="24"/>
          <w:szCs w:val="24"/>
        </w:rPr>
        <w:t>f</w:t>
      </w:r>
      <w:r w:rsidRPr="00DD39E5">
        <w:rPr>
          <w:rFonts w:ascii="Times New Roman" w:hAnsi="Times New Roman"/>
          <w:snapToGrid/>
          <w:sz w:val="24"/>
          <w:szCs w:val="24"/>
        </w:rPr>
        <w:t xml:space="preserve">ederal </w:t>
      </w:r>
      <w:r w:rsidRPr="00DD39E5" w:rsidR="6DF05ABC">
        <w:rPr>
          <w:rFonts w:ascii="Times New Roman" w:hAnsi="Times New Roman"/>
          <w:snapToGrid/>
          <w:sz w:val="24"/>
          <w:szCs w:val="24"/>
        </w:rPr>
        <w:t>s</w:t>
      </w:r>
      <w:r w:rsidRPr="00DD39E5">
        <w:rPr>
          <w:rFonts w:ascii="Times New Roman" w:hAnsi="Times New Roman"/>
          <w:snapToGrid/>
          <w:sz w:val="24"/>
          <w:szCs w:val="24"/>
        </w:rPr>
        <w:t>taff hours and costs associated with each task</w:t>
      </w:r>
      <w:r w:rsidR="00710776">
        <w:rPr>
          <w:rFonts w:ascii="Times New Roman" w:hAnsi="Times New Roman"/>
          <w:snapToGrid/>
          <w:sz w:val="24"/>
          <w:szCs w:val="24"/>
        </w:rPr>
        <w:t>, including 100% for benefits, fringe and management oversight</w:t>
      </w:r>
      <w:r w:rsidR="006D4F8C">
        <w:rPr>
          <w:rFonts w:ascii="Times New Roman" w:hAnsi="Times New Roman"/>
          <w:snapToGrid/>
          <w:sz w:val="24"/>
          <w:szCs w:val="24"/>
        </w:rPr>
        <w:t>, based on experience with the prior LIHEAP RECS data matches</w:t>
      </w:r>
      <w:r w:rsidR="0051046C">
        <w:rPr>
          <w:rFonts w:ascii="Times New Roman" w:hAnsi="Times New Roman"/>
          <w:snapToGrid/>
          <w:sz w:val="24"/>
          <w:szCs w:val="24"/>
        </w:rPr>
        <w:t xml:space="preserve">. </w:t>
      </w:r>
      <w:r w:rsidRPr="0051046C" w:rsidR="0051046C">
        <w:rPr>
          <w:rFonts w:ascii="Times New Roman" w:hAnsi="Times New Roman"/>
          <w:snapToGrid/>
          <w:sz w:val="24"/>
          <w:szCs w:val="24"/>
        </w:rPr>
        <w:t>The n</w:t>
      </w:r>
      <w:r w:rsidRPr="00EE4D5A" w:rsidR="0051046C">
        <w:rPr>
          <w:rFonts w:ascii="Times New Roman" w:hAnsi="Times New Roman"/>
          <w:sz w:val="24"/>
          <w:szCs w:val="24"/>
        </w:rPr>
        <w:t xml:space="preserve">on-labor costs from the </w:t>
      </w:r>
      <w:hyperlink r:id="rId13" w:history="1">
        <w:r w:rsidRPr="00EE4D5A" w:rsidR="0051046C">
          <w:rPr>
            <w:rStyle w:val="Hyperlink"/>
            <w:rFonts w:ascii="Times New Roman" w:hAnsi="Times New Roman"/>
            <w:sz w:val="24"/>
            <w:szCs w:val="24"/>
          </w:rPr>
          <w:t>supporting statement of ICR 202005-0970-008</w:t>
        </w:r>
      </w:hyperlink>
      <w:r w:rsidRPr="00EE4D5A" w:rsidR="0051046C">
        <w:rPr>
          <w:rFonts w:ascii="Times New Roman" w:hAnsi="Times New Roman"/>
          <w:sz w:val="24"/>
          <w:szCs w:val="24"/>
        </w:rPr>
        <w:t xml:space="preserve"> inflated by 3% per year for four years</w:t>
      </w:r>
      <w:r w:rsidRPr="0051046C">
        <w:rPr>
          <w:rFonts w:ascii="Times New Roman" w:hAnsi="Times New Roman"/>
          <w:snapToGrid/>
          <w:sz w:val="24"/>
          <w:szCs w:val="24"/>
        </w:rPr>
        <w:t>:</w:t>
      </w:r>
    </w:p>
    <w:p w:rsidR="00D206CA" w:rsidRPr="007B7D18" w:rsidP="00C249BA" w14:paraId="117B7F52" w14:textId="24E0A6B5">
      <w:pPr>
        <w:tabs>
          <w:tab w:val="left" w:pos="-734"/>
          <w:tab w:val="left" w:pos="544"/>
          <w:tab w:val="left" w:pos="814"/>
        </w:tabs>
        <w:spacing w:after="120"/>
        <w:jc w:val="center"/>
        <w:rPr>
          <w:rFonts w:ascii="Times New Roman" w:hAnsi="Times New Roman"/>
          <w:b/>
          <w:sz w:val="24"/>
          <w:szCs w:val="22"/>
        </w:rPr>
      </w:pPr>
      <w:bookmarkStart w:id="6" w:name="_Hlk174634527"/>
      <w:r w:rsidRPr="007B7D18">
        <w:rPr>
          <w:rFonts w:ascii="Times New Roman" w:hAnsi="Times New Roman"/>
          <w:b/>
          <w:sz w:val="24"/>
          <w:szCs w:val="22"/>
        </w:rPr>
        <w:t>Annual Federal Staff Hours and Costs</w:t>
      </w:r>
    </w:p>
    <w:tbl>
      <w:tblPr>
        <w:tblStyle w:val="TableGrid"/>
        <w:tblW w:w="0" w:type="auto"/>
        <w:tblInd w:w="648" w:type="dxa"/>
        <w:tblBorders>
          <w:top w:val="double" w:sz="6" w:space="0" w:color="000000"/>
          <w:left w:val="double" w:sz="6" w:space="0" w:color="000000"/>
          <w:bottom w:val="double" w:sz="6" w:space="0" w:color="000000"/>
          <w:right w:val="double" w:sz="6" w:space="0" w:color="000000"/>
        </w:tblBorders>
        <w:tblLayout w:type="fixed"/>
        <w:tblLook w:val="04A0"/>
      </w:tblPr>
      <w:tblGrid>
        <w:gridCol w:w="2929"/>
        <w:gridCol w:w="2070"/>
        <w:gridCol w:w="1519"/>
        <w:gridCol w:w="2148"/>
      </w:tblGrid>
      <w:tr w14:paraId="0108E709" w14:textId="77777777" w:rsidTr="00EE4D5A">
        <w:tblPrEx>
          <w:tblW w:w="0" w:type="auto"/>
          <w:tblInd w:w="648" w:type="dxa"/>
          <w:tblBorders>
            <w:top w:val="double" w:sz="6" w:space="0" w:color="000000"/>
            <w:left w:val="double" w:sz="6" w:space="0" w:color="000000"/>
            <w:bottom w:val="double" w:sz="6" w:space="0" w:color="000000"/>
            <w:right w:val="double" w:sz="6" w:space="0" w:color="000000"/>
          </w:tblBorders>
          <w:tblLayout w:type="fixed"/>
          <w:tblLook w:val="04A0"/>
        </w:tblPrEx>
        <w:trPr>
          <w:tblHeader/>
        </w:trPr>
        <w:tc>
          <w:tcPr>
            <w:tcW w:w="2929" w:type="dxa"/>
            <w:vAlign w:val="center"/>
          </w:tcPr>
          <w:p w:rsidR="00D206CA" w:rsidRPr="001C382D" w:rsidP="000129C2" w14:paraId="49D03864" w14:textId="77777777">
            <w:pPr>
              <w:tabs>
                <w:tab w:val="left" w:pos="-734"/>
                <w:tab w:val="left" w:pos="544"/>
                <w:tab w:val="left" w:pos="814"/>
              </w:tabs>
              <w:spacing w:before="20" w:after="20"/>
              <w:jc w:val="center"/>
              <w:rPr>
                <w:rFonts w:ascii="Times New Roman" w:hAnsi="Times New Roman"/>
                <w:b/>
                <w:sz w:val="24"/>
                <w:szCs w:val="22"/>
              </w:rPr>
            </w:pPr>
            <w:r w:rsidRPr="001C382D">
              <w:rPr>
                <w:rFonts w:ascii="Times New Roman" w:hAnsi="Times New Roman"/>
                <w:b/>
                <w:sz w:val="24"/>
                <w:szCs w:val="22"/>
              </w:rPr>
              <w:t>Task</w:t>
            </w:r>
          </w:p>
        </w:tc>
        <w:tc>
          <w:tcPr>
            <w:tcW w:w="2070" w:type="dxa"/>
            <w:vAlign w:val="center"/>
          </w:tcPr>
          <w:p w:rsidR="00D206CA" w:rsidRPr="001C382D" w:rsidP="000129C2" w14:paraId="541038BB" w14:textId="3E7B4927">
            <w:pPr>
              <w:tabs>
                <w:tab w:val="left" w:pos="-734"/>
                <w:tab w:val="left" w:pos="544"/>
                <w:tab w:val="left" w:pos="814"/>
              </w:tabs>
              <w:spacing w:before="20" w:after="20"/>
              <w:jc w:val="center"/>
              <w:rPr>
                <w:rFonts w:ascii="Times New Roman" w:hAnsi="Times New Roman"/>
                <w:b/>
                <w:sz w:val="24"/>
                <w:szCs w:val="22"/>
              </w:rPr>
            </w:pPr>
            <w:r w:rsidRPr="001C382D">
              <w:rPr>
                <w:rFonts w:ascii="Times New Roman" w:hAnsi="Times New Roman"/>
                <w:b/>
                <w:sz w:val="24"/>
                <w:szCs w:val="22"/>
              </w:rPr>
              <w:t>Number of Hours</w:t>
            </w:r>
          </w:p>
        </w:tc>
        <w:tc>
          <w:tcPr>
            <w:tcW w:w="1519" w:type="dxa"/>
            <w:vAlign w:val="center"/>
          </w:tcPr>
          <w:p w:rsidR="00D206CA" w:rsidRPr="001C382D" w:rsidP="000129C2" w14:paraId="0D5D4710" w14:textId="77777777">
            <w:pPr>
              <w:tabs>
                <w:tab w:val="left" w:pos="-734"/>
                <w:tab w:val="left" w:pos="544"/>
                <w:tab w:val="left" w:pos="814"/>
              </w:tabs>
              <w:spacing w:before="20" w:after="20"/>
              <w:jc w:val="center"/>
              <w:rPr>
                <w:rFonts w:ascii="Times New Roman" w:hAnsi="Times New Roman"/>
                <w:b/>
                <w:sz w:val="24"/>
                <w:szCs w:val="22"/>
              </w:rPr>
            </w:pPr>
            <w:r w:rsidRPr="001C382D">
              <w:rPr>
                <w:rFonts w:ascii="Times New Roman" w:hAnsi="Times New Roman"/>
                <w:b/>
                <w:sz w:val="24"/>
                <w:szCs w:val="22"/>
              </w:rPr>
              <w:t>Rate</w:t>
            </w:r>
          </w:p>
        </w:tc>
        <w:tc>
          <w:tcPr>
            <w:tcW w:w="2148" w:type="dxa"/>
            <w:vAlign w:val="center"/>
          </w:tcPr>
          <w:p w:rsidR="00D206CA" w:rsidRPr="001C382D" w:rsidP="000129C2" w14:paraId="4E7BDE38" w14:textId="62C2023C">
            <w:pPr>
              <w:tabs>
                <w:tab w:val="left" w:pos="-734"/>
                <w:tab w:val="left" w:pos="544"/>
                <w:tab w:val="left" w:pos="814"/>
              </w:tabs>
              <w:spacing w:before="20" w:after="20"/>
              <w:jc w:val="center"/>
              <w:rPr>
                <w:rFonts w:ascii="Times New Roman" w:hAnsi="Times New Roman"/>
                <w:b/>
                <w:sz w:val="24"/>
                <w:szCs w:val="22"/>
              </w:rPr>
            </w:pPr>
            <w:r w:rsidRPr="001C382D">
              <w:rPr>
                <w:rFonts w:ascii="Times New Roman" w:hAnsi="Times New Roman"/>
                <w:b/>
                <w:sz w:val="24"/>
                <w:szCs w:val="22"/>
              </w:rPr>
              <w:t xml:space="preserve">Total </w:t>
            </w:r>
            <w:r w:rsidRPr="001C382D" w:rsidR="000230B0">
              <w:rPr>
                <w:rFonts w:ascii="Times New Roman" w:hAnsi="Times New Roman"/>
                <w:b/>
                <w:sz w:val="24"/>
                <w:szCs w:val="22"/>
              </w:rPr>
              <w:t xml:space="preserve">Annual </w:t>
            </w:r>
            <w:r w:rsidRPr="001C382D">
              <w:rPr>
                <w:rFonts w:ascii="Times New Roman" w:hAnsi="Times New Roman"/>
                <w:b/>
                <w:sz w:val="24"/>
                <w:szCs w:val="22"/>
              </w:rPr>
              <w:t>Cost</w:t>
            </w:r>
          </w:p>
        </w:tc>
      </w:tr>
      <w:tr w14:paraId="085EF03C" w14:textId="77777777" w:rsidTr="00EE4D5A">
        <w:tblPrEx>
          <w:tblW w:w="0" w:type="auto"/>
          <w:tblInd w:w="648" w:type="dxa"/>
          <w:tblLayout w:type="fixed"/>
          <w:tblLook w:val="04A0"/>
        </w:tblPrEx>
        <w:tc>
          <w:tcPr>
            <w:tcW w:w="2929" w:type="dxa"/>
            <w:vAlign w:val="center"/>
          </w:tcPr>
          <w:p w:rsidR="00F10D0B" w:rsidRPr="001C382D" w:rsidP="00F10D0B" w14:paraId="4D93EBD5" w14:textId="27630062">
            <w:pPr>
              <w:tabs>
                <w:tab w:val="left" w:pos="-734"/>
                <w:tab w:val="left" w:pos="544"/>
                <w:tab w:val="left" w:pos="814"/>
              </w:tabs>
              <w:spacing w:before="20" w:after="20"/>
              <w:rPr>
                <w:rFonts w:ascii="Times New Roman" w:hAnsi="Times New Roman"/>
                <w:sz w:val="24"/>
                <w:szCs w:val="22"/>
              </w:rPr>
            </w:pPr>
            <w:r w:rsidRPr="001C382D">
              <w:rPr>
                <w:rFonts w:ascii="Times New Roman" w:hAnsi="Times New Roman"/>
                <w:sz w:val="24"/>
                <w:szCs w:val="22"/>
              </w:rPr>
              <w:t>Grant</w:t>
            </w:r>
            <w:r w:rsidRPr="001C382D" w:rsidR="005F7191">
              <w:rPr>
                <w:rFonts w:ascii="Times New Roman" w:hAnsi="Times New Roman"/>
                <w:sz w:val="24"/>
                <w:szCs w:val="22"/>
              </w:rPr>
              <w:t xml:space="preserve"> Recipient</w:t>
            </w:r>
            <w:r w:rsidRPr="001C382D">
              <w:rPr>
                <w:rFonts w:ascii="Times New Roman" w:hAnsi="Times New Roman"/>
                <w:sz w:val="24"/>
                <w:szCs w:val="22"/>
              </w:rPr>
              <w:t xml:space="preserve"> Notification &amp; Monitoring</w:t>
            </w:r>
          </w:p>
        </w:tc>
        <w:tc>
          <w:tcPr>
            <w:tcW w:w="2070" w:type="dxa"/>
            <w:vAlign w:val="center"/>
          </w:tcPr>
          <w:p w:rsidR="00F10D0B" w:rsidRPr="001C382D" w:rsidP="00F10D0B" w14:paraId="3ECB209F" w14:textId="6B0FABB4">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2</w:t>
            </w:r>
          </w:p>
        </w:tc>
        <w:tc>
          <w:tcPr>
            <w:tcW w:w="1519" w:type="dxa"/>
            <w:vAlign w:val="center"/>
          </w:tcPr>
          <w:p w:rsidR="00F10D0B" w:rsidRPr="001C382D" w:rsidP="00FA7859" w14:paraId="11AF5BB1" w14:textId="480BB52F">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w:t>
            </w:r>
            <w:r w:rsidRPr="001C382D" w:rsidR="00F44C12">
              <w:rPr>
                <w:rFonts w:ascii="Times New Roman" w:hAnsi="Times New Roman"/>
                <w:sz w:val="24"/>
                <w:szCs w:val="22"/>
              </w:rPr>
              <w:t>1</w:t>
            </w:r>
            <w:r w:rsidR="0002662D">
              <w:rPr>
                <w:rFonts w:ascii="Times New Roman" w:hAnsi="Times New Roman"/>
                <w:sz w:val="24"/>
                <w:szCs w:val="22"/>
              </w:rPr>
              <w:t>10</w:t>
            </w:r>
            <w:r w:rsidRPr="001C382D" w:rsidR="00F44C12">
              <w:rPr>
                <w:rFonts w:ascii="Times New Roman" w:hAnsi="Times New Roman"/>
                <w:sz w:val="24"/>
                <w:szCs w:val="22"/>
              </w:rPr>
              <w:t>.</w:t>
            </w:r>
            <w:r w:rsidR="0002662D">
              <w:rPr>
                <w:rFonts w:ascii="Times New Roman" w:hAnsi="Times New Roman"/>
                <w:sz w:val="24"/>
                <w:szCs w:val="22"/>
              </w:rPr>
              <w:t>1</w:t>
            </w:r>
            <w:r w:rsidRPr="001C382D" w:rsidR="00F44C12">
              <w:rPr>
                <w:rFonts w:ascii="Times New Roman" w:hAnsi="Times New Roman"/>
                <w:sz w:val="24"/>
                <w:szCs w:val="22"/>
              </w:rPr>
              <w:t>4</w:t>
            </w:r>
          </w:p>
        </w:tc>
        <w:tc>
          <w:tcPr>
            <w:tcW w:w="2148" w:type="dxa"/>
            <w:vAlign w:val="center"/>
          </w:tcPr>
          <w:p w:rsidR="00F10D0B" w:rsidRPr="001C382D" w:rsidP="00F10D0B" w14:paraId="0F5D464F" w14:textId="0432A77E">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w:t>
            </w:r>
            <w:r w:rsidRPr="001C382D" w:rsidR="00F44C12">
              <w:rPr>
                <w:rFonts w:ascii="Times New Roman" w:hAnsi="Times New Roman"/>
                <w:sz w:val="24"/>
                <w:szCs w:val="22"/>
              </w:rPr>
              <w:t>2</w:t>
            </w:r>
            <w:r w:rsidR="005D6904">
              <w:rPr>
                <w:rFonts w:ascii="Times New Roman" w:hAnsi="Times New Roman"/>
                <w:sz w:val="24"/>
                <w:szCs w:val="22"/>
              </w:rPr>
              <w:t>20</w:t>
            </w:r>
          </w:p>
        </w:tc>
      </w:tr>
      <w:tr w14:paraId="7CC70EA7" w14:textId="77777777" w:rsidTr="00EE4D5A">
        <w:tblPrEx>
          <w:tblW w:w="0" w:type="auto"/>
          <w:tblInd w:w="648" w:type="dxa"/>
          <w:tblLayout w:type="fixed"/>
          <w:tblLook w:val="04A0"/>
        </w:tblPrEx>
        <w:tc>
          <w:tcPr>
            <w:tcW w:w="2929" w:type="dxa"/>
            <w:vAlign w:val="center"/>
          </w:tcPr>
          <w:p w:rsidR="00F10D0B" w:rsidRPr="001C382D" w:rsidP="00F10D0B" w14:paraId="3D32F5BB" w14:textId="77777777">
            <w:pPr>
              <w:tabs>
                <w:tab w:val="left" w:pos="-734"/>
                <w:tab w:val="left" w:pos="544"/>
                <w:tab w:val="left" w:pos="814"/>
              </w:tabs>
              <w:spacing w:before="20" w:after="20"/>
              <w:rPr>
                <w:rFonts w:ascii="Times New Roman" w:hAnsi="Times New Roman"/>
                <w:sz w:val="24"/>
                <w:szCs w:val="22"/>
              </w:rPr>
            </w:pPr>
            <w:r w:rsidRPr="001C382D">
              <w:rPr>
                <w:rFonts w:ascii="Times New Roman" w:hAnsi="Times New Roman"/>
                <w:sz w:val="24"/>
                <w:szCs w:val="22"/>
              </w:rPr>
              <w:t>Data collection</w:t>
            </w:r>
          </w:p>
        </w:tc>
        <w:tc>
          <w:tcPr>
            <w:tcW w:w="2070" w:type="dxa"/>
            <w:vAlign w:val="center"/>
          </w:tcPr>
          <w:p w:rsidR="00F10D0B" w:rsidRPr="001C382D" w:rsidP="00F10D0B" w14:paraId="6709C8CB" w14:textId="7D0156B8">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13</w:t>
            </w:r>
          </w:p>
        </w:tc>
        <w:tc>
          <w:tcPr>
            <w:tcW w:w="1519" w:type="dxa"/>
            <w:vAlign w:val="center"/>
          </w:tcPr>
          <w:p w:rsidR="00F10D0B" w:rsidRPr="001C382D" w:rsidP="00533C08" w14:paraId="7D6906FB" w14:textId="79E9DD6D">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$1</w:t>
            </w:r>
            <w:r w:rsidRPr="001C382D" w:rsidR="00F44C12">
              <w:rPr>
                <w:rFonts w:ascii="Times New Roman" w:hAnsi="Times New Roman"/>
                <w:sz w:val="24"/>
                <w:szCs w:val="22"/>
              </w:rPr>
              <w:t>5</w:t>
            </w:r>
            <w:r w:rsidR="00AF6A83">
              <w:rPr>
                <w:rFonts w:ascii="Times New Roman" w:hAnsi="Times New Roman"/>
                <w:sz w:val="24"/>
                <w:szCs w:val="22"/>
              </w:rPr>
              <w:t>4</w:t>
            </w:r>
            <w:r w:rsidRPr="001C382D" w:rsidR="00F44C12">
              <w:rPr>
                <w:rFonts w:ascii="Times New Roman" w:hAnsi="Times New Roman"/>
                <w:sz w:val="24"/>
                <w:szCs w:val="22"/>
              </w:rPr>
              <w:t>.</w:t>
            </w:r>
            <w:r w:rsidR="00AF6A83">
              <w:rPr>
                <w:rFonts w:ascii="Times New Roman" w:hAnsi="Times New Roman"/>
                <w:sz w:val="24"/>
                <w:szCs w:val="22"/>
              </w:rPr>
              <w:t>76</w:t>
            </w:r>
          </w:p>
        </w:tc>
        <w:tc>
          <w:tcPr>
            <w:tcW w:w="2148" w:type="dxa"/>
            <w:vAlign w:val="center"/>
          </w:tcPr>
          <w:p w:rsidR="00F10D0B" w:rsidRPr="001C382D" w:rsidP="00F10D0B" w14:paraId="413DD953" w14:textId="1189C39F">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w:t>
            </w:r>
            <w:r w:rsidR="005D6904">
              <w:rPr>
                <w:rFonts w:ascii="Times New Roman" w:hAnsi="Times New Roman"/>
                <w:sz w:val="24"/>
                <w:szCs w:val="22"/>
              </w:rPr>
              <w:t>2</w:t>
            </w:r>
            <w:r w:rsidRPr="001C382D">
              <w:rPr>
                <w:rFonts w:ascii="Times New Roman" w:hAnsi="Times New Roman"/>
                <w:sz w:val="24"/>
                <w:szCs w:val="22"/>
              </w:rPr>
              <w:t>,</w:t>
            </w:r>
            <w:r w:rsidR="005D6904">
              <w:rPr>
                <w:rFonts w:ascii="Times New Roman" w:hAnsi="Times New Roman"/>
                <w:sz w:val="24"/>
                <w:szCs w:val="22"/>
              </w:rPr>
              <w:t>012</w:t>
            </w:r>
          </w:p>
        </w:tc>
      </w:tr>
      <w:tr w14:paraId="724E7E62" w14:textId="77777777" w:rsidTr="00EE4D5A">
        <w:tblPrEx>
          <w:tblW w:w="0" w:type="auto"/>
          <w:tblInd w:w="648" w:type="dxa"/>
          <w:tblLayout w:type="fixed"/>
          <w:tblLook w:val="04A0"/>
        </w:tblPrEx>
        <w:tc>
          <w:tcPr>
            <w:tcW w:w="2929" w:type="dxa"/>
            <w:vAlign w:val="center"/>
          </w:tcPr>
          <w:p w:rsidR="00F10D0B" w:rsidRPr="001C382D" w:rsidP="00F10D0B" w14:paraId="7B8A2423" w14:textId="77777777">
            <w:pPr>
              <w:tabs>
                <w:tab w:val="left" w:pos="-734"/>
                <w:tab w:val="left" w:pos="544"/>
                <w:tab w:val="left" w:pos="814"/>
              </w:tabs>
              <w:spacing w:before="20" w:after="20"/>
              <w:rPr>
                <w:rFonts w:ascii="Times New Roman" w:hAnsi="Times New Roman"/>
                <w:sz w:val="24"/>
                <w:szCs w:val="22"/>
              </w:rPr>
            </w:pPr>
            <w:r w:rsidRPr="001C382D">
              <w:rPr>
                <w:rFonts w:ascii="Times New Roman" w:hAnsi="Times New Roman"/>
                <w:sz w:val="24"/>
                <w:szCs w:val="22"/>
              </w:rPr>
              <w:t>Data Review and Analysis</w:t>
            </w:r>
          </w:p>
        </w:tc>
        <w:tc>
          <w:tcPr>
            <w:tcW w:w="2070" w:type="dxa"/>
            <w:vAlign w:val="center"/>
          </w:tcPr>
          <w:p w:rsidR="00F10D0B" w:rsidRPr="001C382D" w:rsidP="00F10D0B" w14:paraId="7D993C23" w14:textId="53F927B2">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33</w:t>
            </w:r>
          </w:p>
        </w:tc>
        <w:tc>
          <w:tcPr>
            <w:tcW w:w="1519" w:type="dxa"/>
            <w:vAlign w:val="center"/>
          </w:tcPr>
          <w:p w:rsidR="00F10D0B" w:rsidRPr="001C382D" w:rsidP="00533C08" w14:paraId="7AA4FA6E" w14:textId="5BC88DFD">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$1</w:t>
            </w:r>
            <w:r w:rsidR="009840C0">
              <w:rPr>
                <w:rFonts w:ascii="Times New Roman" w:hAnsi="Times New Roman"/>
                <w:sz w:val="24"/>
                <w:szCs w:val="22"/>
              </w:rPr>
              <w:t>30</w:t>
            </w:r>
            <w:r w:rsidRPr="001C382D" w:rsidR="00F44C12">
              <w:rPr>
                <w:rFonts w:ascii="Times New Roman" w:hAnsi="Times New Roman"/>
                <w:sz w:val="24"/>
                <w:szCs w:val="22"/>
              </w:rPr>
              <w:t>.</w:t>
            </w:r>
            <w:r w:rsidR="009840C0">
              <w:rPr>
                <w:rFonts w:ascii="Times New Roman" w:hAnsi="Times New Roman"/>
                <w:sz w:val="24"/>
                <w:szCs w:val="22"/>
              </w:rPr>
              <w:t>96</w:t>
            </w:r>
          </w:p>
        </w:tc>
        <w:tc>
          <w:tcPr>
            <w:tcW w:w="2148" w:type="dxa"/>
            <w:vAlign w:val="center"/>
          </w:tcPr>
          <w:p w:rsidR="00F10D0B" w:rsidRPr="001C382D" w:rsidP="00F10D0B" w14:paraId="26284792" w14:textId="5ACE2FE4">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w:t>
            </w:r>
            <w:r w:rsidRPr="001C382D" w:rsidR="00F44C12">
              <w:rPr>
                <w:rFonts w:ascii="Times New Roman" w:hAnsi="Times New Roman"/>
                <w:sz w:val="24"/>
                <w:szCs w:val="22"/>
              </w:rPr>
              <w:t>4,</w:t>
            </w:r>
            <w:r w:rsidR="005D6904">
              <w:rPr>
                <w:rFonts w:ascii="Times New Roman" w:hAnsi="Times New Roman"/>
                <w:sz w:val="24"/>
                <w:szCs w:val="22"/>
              </w:rPr>
              <w:t>322</w:t>
            </w:r>
          </w:p>
        </w:tc>
      </w:tr>
      <w:tr w14:paraId="04F70C77" w14:textId="77777777" w:rsidTr="00EE4D5A">
        <w:tblPrEx>
          <w:tblW w:w="0" w:type="auto"/>
          <w:tblInd w:w="648" w:type="dxa"/>
          <w:tblLayout w:type="fixed"/>
          <w:tblLook w:val="04A0"/>
        </w:tblPrEx>
        <w:tc>
          <w:tcPr>
            <w:tcW w:w="6518" w:type="dxa"/>
            <w:gridSpan w:val="3"/>
            <w:vAlign w:val="center"/>
          </w:tcPr>
          <w:p w:rsidR="00D206CA" w:rsidRPr="001C382D" w:rsidP="00D206CA" w14:paraId="48536758" w14:textId="77777777">
            <w:pPr>
              <w:tabs>
                <w:tab w:val="left" w:pos="-734"/>
                <w:tab w:val="left" w:pos="544"/>
                <w:tab w:val="left" w:pos="814"/>
              </w:tabs>
              <w:spacing w:before="20" w:after="20"/>
              <w:rPr>
                <w:rFonts w:ascii="Times New Roman" w:hAnsi="Times New Roman"/>
                <w:sz w:val="24"/>
                <w:szCs w:val="22"/>
              </w:rPr>
            </w:pPr>
            <w:r w:rsidRPr="001C382D">
              <w:rPr>
                <w:rFonts w:ascii="Times New Roman" w:hAnsi="Times New Roman"/>
                <w:sz w:val="24"/>
                <w:szCs w:val="22"/>
              </w:rPr>
              <w:t>Non-Labor Costs (Phone, Fax, And Copying)</w:t>
            </w:r>
          </w:p>
        </w:tc>
        <w:tc>
          <w:tcPr>
            <w:tcW w:w="2148" w:type="dxa"/>
            <w:vAlign w:val="center"/>
          </w:tcPr>
          <w:p w:rsidR="00D206CA" w:rsidRPr="001C382D" w:rsidP="00C83281" w14:paraId="42B06A9E" w14:textId="3310351D">
            <w:pPr>
              <w:tabs>
                <w:tab w:val="left" w:pos="-734"/>
                <w:tab w:val="left" w:pos="544"/>
                <w:tab w:val="left" w:pos="814"/>
              </w:tabs>
              <w:spacing w:before="20" w:after="20"/>
              <w:jc w:val="center"/>
              <w:rPr>
                <w:rFonts w:ascii="Times New Roman" w:hAnsi="Times New Roman"/>
                <w:sz w:val="24"/>
                <w:szCs w:val="22"/>
              </w:rPr>
            </w:pPr>
            <w:r w:rsidRPr="001C382D">
              <w:rPr>
                <w:rFonts w:ascii="Times New Roman" w:hAnsi="Times New Roman"/>
                <w:sz w:val="24"/>
                <w:szCs w:val="22"/>
              </w:rPr>
              <w:t>$</w:t>
            </w:r>
            <w:r w:rsidRPr="001C382D" w:rsidR="00C20B09">
              <w:rPr>
                <w:rFonts w:ascii="Times New Roman" w:hAnsi="Times New Roman"/>
                <w:sz w:val="24"/>
                <w:szCs w:val="22"/>
              </w:rPr>
              <w:t>43</w:t>
            </w:r>
          </w:p>
        </w:tc>
      </w:tr>
      <w:tr w14:paraId="75508A82" w14:textId="77777777" w:rsidTr="00EE4D5A">
        <w:tblPrEx>
          <w:tblW w:w="0" w:type="auto"/>
          <w:tblInd w:w="648" w:type="dxa"/>
          <w:tblLayout w:type="fixed"/>
          <w:tblLook w:val="04A0"/>
        </w:tblPrEx>
        <w:tc>
          <w:tcPr>
            <w:tcW w:w="6518" w:type="dxa"/>
            <w:gridSpan w:val="3"/>
            <w:vAlign w:val="center"/>
          </w:tcPr>
          <w:p w:rsidR="00D206CA" w:rsidRPr="001C382D" w:rsidP="00D206CA" w14:paraId="14A5D546" w14:textId="77777777">
            <w:pPr>
              <w:tabs>
                <w:tab w:val="left" w:pos="-734"/>
                <w:tab w:val="left" w:pos="544"/>
                <w:tab w:val="left" w:pos="814"/>
              </w:tabs>
              <w:spacing w:before="20" w:after="20"/>
              <w:jc w:val="right"/>
              <w:rPr>
                <w:rFonts w:ascii="Times New Roman" w:hAnsi="Times New Roman"/>
                <w:b/>
                <w:sz w:val="24"/>
                <w:szCs w:val="22"/>
              </w:rPr>
            </w:pPr>
            <w:r w:rsidRPr="001C382D">
              <w:rPr>
                <w:rFonts w:ascii="Times New Roman" w:hAnsi="Times New Roman"/>
                <w:b/>
                <w:sz w:val="24"/>
                <w:szCs w:val="22"/>
              </w:rPr>
              <w:t>Grand Total:</w:t>
            </w:r>
          </w:p>
        </w:tc>
        <w:tc>
          <w:tcPr>
            <w:tcW w:w="2148" w:type="dxa"/>
          </w:tcPr>
          <w:p w:rsidR="007B7D18" w:rsidRPr="007B7D18" w:rsidP="007B7D18" w14:paraId="38F3A011" w14:textId="189DF02B">
            <w:pPr>
              <w:tabs>
                <w:tab w:val="left" w:pos="-734"/>
                <w:tab w:val="left" w:pos="544"/>
                <w:tab w:val="left" w:pos="814"/>
              </w:tabs>
              <w:spacing w:before="20" w:after="20"/>
              <w:jc w:val="center"/>
              <w:rPr>
                <w:rFonts w:ascii="Times New Roman" w:hAnsi="Times New Roman"/>
                <w:b/>
                <w:sz w:val="24"/>
                <w:szCs w:val="22"/>
              </w:rPr>
            </w:pPr>
            <w:r w:rsidRPr="001C382D">
              <w:rPr>
                <w:rFonts w:ascii="Times New Roman" w:hAnsi="Times New Roman"/>
                <w:b/>
                <w:sz w:val="24"/>
                <w:szCs w:val="22"/>
              </w:rPr>
              <w:t>$</w:t>
            </w:r>
            <w:r w:rsidRPr="001C382D" w:rsidR="00F44C12">
              <w:rPr>
                <w:rFonts w:ascii="Times New Roman" w:hAnsi="Times New Roman"/>
                <w:b/>
                <w:sz w:val="24"/>
                <w:szCs w:val="22"/>
              </w:rPr>
              <w:t>6,</w:t>
            </w:r>
            <w:r w:rsidR="005D6904">
              <w:rPr>
                <w:rFonts w:ascii="Times New Roman" w:hAnsi="Times New Roman"/>
                <w:b/>
                <w:sz w:val="24"/>
                <w:szCs w:val="22"/>
              </w:rPr>
              <w:t>597</w:t>
            </w:r>
          </w:p>
        </w:tc>
      </w:tr>
    </w:tbl>
    <w:p w:rsidR="00311023" w:rsidP="00311023" w14:paraId="75ECD22C" w14:textId="77777777">
      <w:pPr>
        <w:widowControl/>
        <w:ind w:left="360"/>
        <w:rPr>
          <w:rFonts w:ascii="Times New Roman" w:hAnsi="Times New Roman"/>
          <w:sz w:val="24"/>
          <w:szCs w:val="22"/>
        </w:rPr>
      </w:pPr>
    </w:p>
    <w:p w:rsidR="00D206CA" w:rsidP="00311023" w14:paraId="2DDE915E" w14:textId="33C13DED">
      <w:pPr>
        <w:widowControl/>
        <w:ind w:left="360"/>
        <w:rPr>
          <w:rFonts w:ascii="Times New Roman" w:hAnsi="Times New Roman"/>
          <w:sz w:val="24"/>
          <w:szCs w:val="24"/>
        </w:rPr>
      </w:pPr>
      <w:r w:rsidRPr="6186B107">
        <w:rPr>
          <w:rFonts w:ascii="Times New Roman" w:hAnsi="Times New Roman"/>
          <w:sz w:val="24"/>
          <w:szCs w:val="24"/>
        </w:rPr>
        <w:t xml:space="preserve">The table below furnishes information on the estimated </w:t>
      </w:r>
      <w:r w:rsidRPr="6186B107" w:rsidR="4C7B2DD5">
        <w:rPr>
          <w:rFonts w:ascii="Times New Roman" w:hAnsi="Times New Roman"/>
          <w:sz w:val="24"/>
          <w:szCs w:val="24"/>
        </w:rPr>
        <w:t>f</w:t>
      </w:r>
      <w:r w:rsidRPr="6186B107">
        <w:rPr>
          <w:rFonts w:ascii="Times New Roman" w:hAnsi="Times New Roman"/>
          <w:sz w:val="24"/>
          <w:szCs w:val="24"/>
        </w:rPr>
        <w:t xml:space="preserve">ederal </w:t>
      </w:r>
      <w:r w:rsidRPr="6186B107" w:rsidR="2838CE4E">
        <w:rPr>
          <w:rFonts w:ascii="Times New Roman" w:hAnsi="Times New Roman"/>
          <w:sz w:val="24"/>
          <w:szCs w:val="24"/>
        </w:rPr>
        <w:t>c</w:t>
      </w:r>
      <w:r w:rsidRPr="6186B107">
        <w:rPr>
          <w:rFonts w:ascii="Times New Roman" w:hAnsi="Times New Roman"/>
          <w:sz w:val="24"/>
          <w:szCs w:val="24"/>
        </w:rPr>
        <w:t xml:space="preserve">ontractor </w:t>
      </w:r>
      <w:r w:rsidRPr="6186B107" w:rsidR="0EE05C0B">
        <w:rPr>
          <w:rFonts w:ascii="Times New Roman" w:hAnsi="Times New Roman"/>
          <w:sz w:val="24"/>
          <w:szCs w:val="24"/>
        </w:rPr>
        <w:t>s</w:t>
      </w:r>
      <w:r w:rsidRPr="6186B107">
        <w:rPr>
          <w:rFonts w:ascii="Times New Roman" w:hAnsi="Times New Roman"/>
          <w:sz w:val="24"/>
          <w:szCs w:val="24"/>
        </w:rPr>
        <w:t>taff hours and costs associated with each task:</w:t>
      </w:r>
    </w:p>
    <w:p w:rsidR="00576878" w:rsidRPr="00DD39E5" w:rsidP="00311023" w14:paraId="540BE650" w14:textId="74C6A839">
      <w:pPr>
        <w:widowControl/>
        <w:ind w:left="360"/>
        <w:rPr>
          <w:rFonts w:ascii="Times New Roman" w:hAnsi="Times New Roman"/>
          <w:sz w:val="24"/>
          <w:szCs w:val="22"/>
        </w:rPr>
      </w:pPr>
    </w:p>
    <w:p w:rsidR="00D206CA" w:rsidRPr="00221DD9" w:rsidP="00C249BA" w14:paraId="4E7B8B9B" w14:textId="77777777">
      <w:pPr>
        <w:tabs>
          <w:tab w:val="left" w:pos="-734"/>
          <w:tab w:val="left" w:pos="544"/>
          <w:tab w:val="left" w:pos="814"/>
        </w:tabs>
        <w:spacing w:after="120"/>
        <w:jc w:val="center"/>
        <w:rPr>
          <w:rFonts w:ascii="Times New Roman" w:hAnsi="Times New Roman"/>
          <w:b/>
          <w:sz w:val="24"/>
          <w:szCs w:val="22"/>
        </w:rPr>
      </w:pPr>
      <w:bookmarkStart w:id="7" w:name="_Hlk175217480"/>
      <w:r w:rsidRPr="00221DD9">
        <w:rPr>
          <w:rFonts w:ascii="Times New Roman" w:hAnsi="Times New Roman"/>
          <w:b/>
          <w:sz w:val="24"/>
          <w:szCs w:val="22"/>
        </w:rPr>
        <w:t>Annual Federal Contractor Staff Hours and Costs</w:t>
      </w:r>
    </w:p>
    <w:tbl>
      <w:tblPr>
        <w:tblStyle w:val="TableGrid"/>
        <w:tblW w:w="0" w:type="auto"/>
        <w:tblInd w:w="648" w:type="dxa"/>
        <w:tblBorders>
          <w:top w:val="double" w:sz="6" w:space="0" w:color="000000"/>
          <w:left w:val="double" w:sz="6" w:space="0" w:color="000000"/>
          <w:bottom w:val="double" w:sz="6" w:space="0" w:color="000000"/>
          <w:right w:val="double" w:sz="6" w:space="0" w:color="000000"/>
        </w:tblBorders>
        <w:tblLayout w:type="fixed"/>
        <w:tblLook w:val="04A0"/>
      </w:tblPr>
      <w:tblGrid>
        <w:gridCol w:w="2166"/>
        <w:gridCol w:w="2167"/>
        <w:gridCol w:w="2196"/>
        <w:gridCol w:w="2137"/>
      </w:tblGrid>
      <w:tr w14:paraId="0FA5DED4" w14:textId="77777777" w:rsidTr="00EA2A75">
        <w:tblPrEx>
          <w:tblW w:w="0" w:type="auto"/>
          <w:tblInd w:w="648" w:type="dxa"/>
          <w:tblBorders>
            <w:top w:val="double" w:sz="6" w:space="0" w:color="000000"/>
            <w:left w:val="double" w:sz="6" w:space="0" w:color="000000"/>
            <w:bottom w:val="double" w:sz="6" w:space="0" w:color="000000"/>
            <w:right w:val="double" w:sz="6" w:space="0" w:color="000000"/>
          </w:tblBorders>
          <w:tblLayout w:type="fixed"/>
          <w:tblLook w:val="04A0"/>
        </w:tblPrEx>
        <w:trPr>
          <w:tblHeader/>
        </w:trPr>
        <w:tc>
          <w:tcPr>
            <w:tcW w:w="2166" w:type="dxa"/>
            <w:vAlign w:val="center"/>
          </w:tcPr>
          <w:p w:rsidR="00D206CA" w:rsidRPr="00221DD9" w:rsidP="000129C2" w14:paraId="74A78595" w14:textId="7777777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Task</w:t>
            </w:r>
          </w:p>
        </w:tc>
        <w:tc>
          <w:tcPr>
            <w:tcW w:w="2167" w:type="dxa"/>
            <w:vAlign w:val="center"/>
          </w:tcPr>
          <w:p w:rsidR="00D206CA" w:rsidRPr="00221DD9" w:rsidP="000129C2" w14:paraId="59BCA1E2" w14:textId="7777777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Number of Hours</w:t>
            </w:r>
          </w:p>
        </w:tc>
        <w:tc>
          <w:tcPr>
            <w:tcW w:w="2196" w:type="dxa"/>
            <w:vAlign w:val="center"/>
          </w:tcPr>
          <w:p w:rsidR="00D206CA" w:rsidRPr="00221DD9" w:rsidP="000129C2" w14:paraId="349B4593" w14:textId="4170B4D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Average Rate</w:t>
            </w:r>
          </w:p>
        </w:tc>
        <w:tc>
          <w:tcPr>
            <w:tcW w:w="2137" w:type="dxa"/>
            <w:vAlign w:val="center"/>
          </w:tcPr>
          <w:p w:rsidR="00D206CA" w:rsidRPr="00221DD9" w:rsidP="000129C2" w14:paraId="43C8F683" w14:textId="15EEA5CA">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 xml:space="preserve">Total </w:t>
            </w:r>
            <w:r w:rsidR="000230B0">
              <w:rPr>
                <w:rFonts w:ascii="Times New Roman" w:hAnsi="Times New Roman"/>
                <w:b/>
                <w:sz w:val="24"/>
                <w:szCs w:val="22"/>
              </w:rPr>
              <w:t>Annual</w:t>
            </w:r>
            <w:r w:rsidRPr="00221DD9" w:rsidR="000230B0">
              <w:rPr>
                <w:rFonts w:ascii="Times New Roman" w:hAnsi="Times New Roman"/>
                <w:b/>
                <w:sz w:val="24"/>
                <w:szCs w:val="22"/>
              </w:rPr>
              <w:t xml:space="preserve"> </w:t>
            </w:r>
            <w:r w:rsidRPr="00221DD9">
              <w:rPr>
                <w:rFonts w:ascii="Times New Roman" w:hAnsi="Times New Roman"/>
                <w:b/>
                <w:sz w:val="24"/>
                <w:szCs w:val="22"/>
              </w:rPr>
              <w:t>Cost</w:t>
            </w:r>
          </w:p>
        </w:tc>
      </w:tr>
      <w:tr w14:paraId="3919D91B" w14:textId="77777777" w:rsidTr="00EA2A75">
        <w:tblPrEx>
          <w:tblW w:w="0" w:type="auto"/>
          <w:tblInd w:w="648" w:type="dxa"/>
          <w:tblLayout w:type="fixed"/>
          <w:tblLook w:val="04A0"/>
        </w:tblPrEx>
        <w:tc>
          <w:tcPr>
            <w:tcW w:w="2166" w:type="dxa"/>
            <w:vAlign w:val="center"/>
          </w:tcPr>
          <w:p w:rsidR="00D206CA" w:rsidRPr="00221DD9" w:rsidP="00D206CA" w14:paraId="69621952" w14:textId="77777777">
            <w:pPr>
              <w:tabs>
                <w:tab w:val="left" w:pos="-734"/>
                <w:tab w:val="left" w:pos="544"/>
                <w:tab w:val="left" w:pos="814"/>
              </w:tabs>
              <w:spacing w:before="20" w:after="20"/>
              <w:rPr>
                <w:rFonts w:ascii="Times New Roman" w:hAnsi="Times New Roman"/>
                <w:bCs/>
                <w:sz w:val="24"/>
                <w:szCs w:val="22"/>
              </w:rPr>
            </w:pPr>
            <w:r w:rsidRPr="00221DD9">
              <w:rPr>
                <w:rFonts w:ascii="Times New Roman" w:hAnsi="Times New Roman"/>
                <w:bCs/>
                <w:sz w:val="24"/>
                <w:szCs w:val="22"/>
              </w:rPr>
              <w:t>Data Collection</w:t>
            </w:r>
          </w:p>
        </w:tc>
        <w:tc>
          <w:tcPr>
            <w:tcW w:w="2167" w:type="dxa"/>
            <w:vAlign w:val="center"/>
          </w:tcPr>
          <w:p w:rsidR="00D206CA" w:rsidRPr="00EA2A75" w:rsidP="00D206CA" w14:paraId="7372425E" w14:textId="374605AA">
            <w:pPr>
              <w:tabs>
                <w:tab w:val="left" w:pos="-734"/>
                <w:tab w:val="left" w:pos="544"/>
                <w:tab w:val="left" w:pos="814"/>
              </w:tabs>
              <w:spacing w:before="20" w:after="20"/>
              <w:jc w:val="center"/>
              <w:rPr>
                <w:rFonts w:ascii="Times New Roman" w:hAnsi="Times New Roman"/>
                <w:sz w:val="24"/>
                <w:szCs w:val="22"/>
              </w:rPr>
            </w:pPr>
            <w:r w:rsidRPr="00EA2A75">
              <w:rPr>
                <w:rFonts w:ascii="Times New Roman" w:hAnsi="Times New Roman"/>
                <w:sz w:val="24"/>
                <w:szCs w:val="22"/>
              </w:rPr>
              <w:t>233</w:t>
            </w:r>
          </w:p>
        </w:tc>
        <w:tc>
          <w:tcPr>
            <w:tcW w:w="2196" w:type="dxa"/>
          </w:tcPr>
          <w:p w:rsidR="00D206CA" w:rsidRPr="00FA1AA3" w:rsidP="00D206CA" w14:paraId="0168F95A" w14:textId="133B8EB9">
            <w:pPr>
              <w:tabs>
                <w:tab w:val="left" w:pos="-734"/>
                <w:tab w:val="left" w:pos="544"/>
                <w:tab w:val="left" w:pos="814"/>
              </w:tabs>
              <w:spacing w:before="20" w:after="20"/>
              <w:jc w:val="center"/>
              <w:rPr>
                <w:rFonts w:ascii="Times New Roman" w:hAnsi="Times New Roman"/>
                <w:sz w:val="24"/>
                <w:szCs w:val="22"/>
                <w:highlight w:val="yellow"/>
              </w:rPr>
            </w:pPr>
            <w:r w:rsidRPr="002B32C4">
              <w:rPr>
                <w:rFonts w:ascii="Times New Roman" w:hAnsi="Times New Roman"/>
                <w:sz w:val="24"/>
                <w:szCs w:val="22"/>
              </w:rPr>
              <w:t>$96.85</w:t>
            </w:r>
          </w:p>
        </w:tc>
        <w:tc>
          <w:tcPr>
            <w:tcW w:w="2137" w:type="dxa"/>
          </w:tcPr>
          <w:p w:rsidR="00D206CA" w:rsidRPr="00FA1AA3" w:rsidP="00D206CA" w14:paraId="3332A612" w14:textId="489D54BF">
            <w:pPr>
              <w:tabs>
                <w:tab w:val="left" w:pos="-734"/>
                <w:tab w:val="left" w:pos="544"/>
                <w:tab w:val="left" w:pos="814"/>
              </w:tabs>
              <w:spacing w:before="20" w:after="20"/>
              <w:jc w:val="center"/>
              <w:rPr>
                <w:rFonts w:ascii="Times New Roman" w:hAnsi="Times New Roman"/>
                <w:sz w:val="24"/>
                <w:szCs w:val="22"/>
                <w:highlight w:val="yellow"/>
              </w:rPr>
            </w:pPr>
            <w:r w:rsidRPr="00027155">
              <w:rPr>
                <w:rFonts w:ascii="Times New Roman" w:hAnsi="Times New Roman"/>
                <w:sz w:val="24"/>
                <w:szCs w:val="22"/>
              </w:rPr>
              <w:t>$22,566</w:t>
            </w:r>
          </w:p>
        </w:tc>
      </w:tr>
      <w:tr w14:paraId="31E536A4" w14:textId="77777777" w:rsidTr="00EA2A75">
        <w:tblPrEx>
          <w:tblW w:w="0" w:type="auto"/>
          <w:tblInd w:w="648" w:type="dxa"/>
          <w:tblLayout w:type="fixed"/>
          <w:tblLook w:val="04A0"/>
        </w:tblPrEx>
        <w:tc>
          <w:tcPr>
            <w:tcW w:w="2166" w:type="dxa"/>
            <w:vAlign w:val="center"/>
          </w:tcPr>
          <w:p w:rsidR="00D206CA" w:rsidRPr="00221DD9" w:rsidP="00D206CA" w14:paraId="2FAABA9D" w14:textId="77777777">
            <w:pPr>
              <w:tabs>
                <w:tab w:val="left" w:pos="-734"/>
                <w:tab w:val="left" w:pos="544"/>
                <w:tab w:val="left" w:pos="814"/>
              </w:tabs>
              <w:spacing w:before="20" w:after="20"/>
              <w:rPr>
                <w:rFonts w:ascii="Times New Roman" w:hAnsi="Times New Roman"/>
                <w:sz w:val="24"/>
                <w:szCs w:val="22"/>
              </w:rPr>
            </w:pPr>
            <w:r w:rsidRPr="00221DD9">
              <w:rPr>
                <w:rFonts w:ascii="Times New Roman" w:hAnsi="Times New Roman"/>
                <w:bCs/>
                <w:sz w:val="24"/>
                <w:szCs w:val="22"/>
              </w:rPr>
              <w:t>Data Review and Analysis</w:t>
            </w:r>
          </w:p>
        </w:tc>
        <w:tc>
          <w:tcPr>
            <w:tcW w:w="2167" w:type="dxa"/>
            <w:vAlign w:val="center"/>
          </w:tcPr>
          <w:p w:rsidR="00D206CA" w:rsidRPr="00EA2A75" w:rsidP="00D206CA" w14:paraId="43C5D414" w14:textId="3A1D4058">
            <w:pPr>
              <w:tabs>
                <w:tab w:val="left" w:pos="-734"/>
                <w:tab w:val="left" w:pos="544"/>
                <w:tab w:val="left" w:pos="814"/>
              </w:tabs>
              <w:spacing w:before="20" w:after="20"/>
              <w:jc w:val="center"/>
              <w:rPr>
                <w:rFonts w:ascii="Times New Roman" w:hAnsi="Times New Roman"/>
                <w:sz w:val="24"/>
                <w:szCs w:val="22"/>
              </w:rPr>
            </w:pPr>
            <w:r w:rsidRPr="00EA2A75">
              <w:rPr>
                <w:rFonts w:ascii="Times New Roman" w:hAnsi="Times New Roman"/>
                <w:sz w:val="24"/>
                <w:szCs w:val="22"/>
              </w:rPr>
              <w:t>321</w:t>
            </w:r>
          </w:p>
        </w:tc>
        <w:tc>
          <w:tcPr>
            <w:tcW w:w="2196" w:type="dxa"/>
            <w:vAlign w:val="center"/>
          </w:tcPr>
          <w:p w:rsidR="00D206CA" w:rsidRPr="00FA1AA3" w:rsidP="00D206CA" w14:paraId="1765E234" w14:textId="4511D1EC">
            <w:pPr>
              <w:tabs>
                <w:tab w:val="left" w:pos="-734"/>
                <w:tab w:val="left" w:pos="544"/>
                <w:tab w:val="left" w:pos="814"/>
              </w:tabs>
              <w:spacing w:before="20" w:after="20"/>
              <w:jc w:val="center"/>
              <w:rPr>
                <w:rFonts w:ascii="Times New Roman" w:hAnsi="Times New Roman"/>
                <w:sz w:val="24"/>
                <w:szCs w:val="22"/>
                <w:highlight w:val="yellow"/>
              </w:rPr>
            </w:pPr>
            <w:r w:rsidRPr="002B32C4">
              <w:rPr>
                <w:rFonts w:ascii="Times New Roman" w:hAnsi="Times New Roman"/>
                <w:sz w:val="24"/>
                <w:szCs w:val="22"/>
              </w:rPr>
              <w:t>$96.85</w:t>
            </w:r>
          </w:p>
        </w:tc>
        <w:tc>
          <w:tcPr>
            <w:tcW w:w="2137" w:type="dxa"/>
            <w:vAlign w:val="center"/>
          </w:tcPr>
          <w:p w:rsidR="00D206CA" w:rsidRPr="00FA1AA3" w:rsidP="00D206CA" w14:paraId="3AA39DB0" w14:textId="542CCB68">
            <w:pPr>
              <w:tabs>
                <w:tab w:val="left" w:pos="-734"/>
                <w:tab w:val="left" w:pos="544"/>
                <w:tab w:val="left" w:pos="814"/>
              </w:tabs>
              <w:spacing w:before="20" w:after="20"/>
              <w:jc w:val="center"/>
              <w:rPr>
                <w:rFonts w:ascii="Times New Roman" w:hAnsi="Times New Roman"/>
                <w:sz w:val="24"/>
                <w:szCs w:val="22"/>
                <w:highlight w:val="yellow"/>
              </w:rPr>
            </w:pPr>
            <w:r w:rsidRPr="00027155">
              <w:rPr>
                <w:rFonts w:ascii="Times New Roman" w:hAnsi="Times New Roman"/>
                <w:sz w:val="24"/>
                <w:szCs w:val="22"/>
              </w:rPr>
              <w:t>$31,089</w:t>
            </w:r>
          </w:p>
        </w:tc>
      </w:tr>
      <w:tr w14:paraId="338D40A4" w14:textId="77777777" w:rsidTr="00EA2A75">
        <w:tblPrEx>
          <w:tblW w:w="0" w:type="auto"/>
          <w:tblInd w:w="648" w:type="dxa"/>
          <w:tblLayout w:type="fixed"/>
          <w:tblLook w:val="04A0"/>
        </w:tblPrEx>
        <w:tc>
          <w:tcPr>
            <w:tcW w:w="6529" w:type="dxa"/>
            <w:gridSpan w:val="3"/>
            <w:vAlign w:val="center"/>
          </w:tcPr>
          <w:p w:rsidR="00D206CA" w:rsidRPr="00221DD9" w:rsidP="000129C2" w14:paraId="416DF2EA" w14:textId="77777777">
            <w:pPr>
              <w:tabs>
                <w:tab w:val="left" w:pos="-734"/>
                <w:tab w:val="left" w:pos="544"/>
                <w:tab w:val="left" w:pos="814"/>
                <w:tab w:val="left" w:pos="4185"/>
                <w:tab w:val="right" w:pos="6966"/>
              </w:tabs>
              <w:spacing w:before="20" w:after="20"/>
              <w:jc w:val="right"/>
              <w:rPr>
                <w:rFonts w:ascii="Times New Roman" w:hAnsi="Times New Roman"/>
                <w:b/>
                <w:sz w:val="24"/>
                <w:szCs w:val="22"/>
              </w:rPr>
            </w:pPr>
            <w:r w:rsidRPr="00221DD9">
              <w:rPr>
                <w:rFonts w:ascii="Times New Roman" w:hAnsi="Times New Roman"/>
                <w:b/>
                <w:sz w:val="24"/>
                <w:szCs w:val="22"/>
              </w:rPr>
              <w:t>Grand Total:</w:t>
            </w:r>
          </w:p>
        </w:tc>
        <w:tc>
          <w:tcPr>
            <w:tcW w:w="2137" w:type="dxa"/>
            <w:vAlign w:val="center"/>
          </w:tcPr>
          <w:p w:rsidR="00D206CA" w:rsidRPr="00221DD9" w:rsidP="000129C2" w14:paraId="320CE3D5" w14:textId="44C1CE6C">
            <w:pPr>
              <w:tabs>
                <w:tab w:val="left" w:pos="-734"/>
                <w:tab w:val="left" w:pos="544"/>
                <w:tab w:val="left" w:pos="814"/>
              </w:tabs>
              <w:spacing w:before="20" w:after="20"/>
              <w:jc w:val="center"/>
              <w:rPr>
                <w:rFonts w:ascii="Times New Roman" w:hAnsi="Times New Roman"/>
                <w:b/>
                <w:sz w:val="24"/>
                <w:szCs w:val="22"/>
              </w:rPr>
            </w:pPr>
            <w:r w:rsidRPr="00027155">
              <w:rPr>
                <w:rFonts w:ascii="Times New Roman" w:hAnsi="Times New Roman"/>
                <w:b/>
                <w:sz w:val="24"/>
                <w:szCs w:val="22"/>
              </w:rPr>
              <w:t>$53,655</w:t>
            </w:r>
          </w:p>
        </w:tc>
      </w:tr>
      <w:bookmarkEnd w:id="7"/>
    </w:tbl>
    <w:p w:rsidR="00311023" w:rsidP="00311023" w14:paraId="635057B9" w14:textId="5BF4C09C">
      <w:pPr>
        <w:widowControl/>
        <w:ind w:left="720"/>
        <w:rPr>
          <w:rFonts w:ascii="Times New Roman" w:hAnsi="Times New Roman"/>
          <w:sz w:val="24"/>
          <w:szCs w:val="22"/>
        </w:rPr>
      </w:pPr>
    </w:p>
    <w:p w:rsidR="00D206CA" w:rsidRPr="00B432E7" w:rsidP="00311023" w14:paraId="4CF59A63" w14:textId="43F5DC5E">
      <w:pPr>
        <w:widowControl/>
        <w:ind w:left="360"/>
        <w:rPr>
          <w:rFonts w:ascii="Times New Roman" w:hAnsi="Times New Roman"/>
          <w:sz w:val="24"/>
          <w:szCs w:val="24"/>
        </w:rPr>
      </w:pPr>
      <w:r w:rsidRPr="6186B107">
        <w:rPr>
          <w:rFonts w:ascii="Times New Roman" w:hAnsi="Times New Roman"/>
          <w:sz w:val="24"/>
          <w:szCs w:val="24"/>
        </w:rPr>
        <w:t xml:space="preserve">Total estimated costs to the </w:t>
      </w:r>
      <w:r w:rsidRPr="6186B107" w:rsidR="47CF0D1A">
        <w:rPr>
          <w:rFonts w:ascii="Times New Roman" w:hAnsi="Times New Roman"/>
          <w:sz w:val="24"/>
          <w:szCs w:val="24"/>
        </w:rPr>
        <w:t>f</w:t>
      </w:r>
      <w:r w:rsidRPr="6186B107">
        <w:rPr>
          <w:rFonts w:ascii="Times New Roman" w:hAnsi="Times New Roman"/>
          <w:sz w:val="24"/>
          <w:szCs w:val="24"/>
        </w:rPr>
        <w:t xml:space="preserve">ederal government are </w:t>
      </w:r>
      <w:r w:rsidRPr="6186B107" w:rsidR="00027155">
        <w:rPr>
          <w:rFonts w:ascii="Times New Roman" w:hAnsi="Times New Roman"/>
          <w:b/>
          <w:bCs/>
          <w:sz w:val="24"/>
          <w:szCs w:val="24"/>
        </w:rPr>
        <w:t>$</w:t>
      </w:r>
      <w:r w:rsidR="005D6904">
        <w:rPr>
          <w:rFonts w:ascii="Times New Roman" w:hAnsi="Times New Roman"/>
          <w:b/>
          <w:bCs/>
          <w:sz w:val="24"/>
          <w:szCs w:val="24"/>
        </w:rPr>
        <w:t>60,252</w:t>
      </w:r>
      <w:r w:rsidRPr="6186B107" w:rsidR="00221DD9">
        <w:rPr>
          <w:rFonts w:ascii="Times New Roman" w:hAnsi="Times New Roman"/>
          <w:sz w:val="24"/>
          <w:szCs w:val="24"/>
          <w:u w:val="single"/>
        </w:rPr>
        <w:t>.</w:t>
      </w:r>
      <w:r w:rsidRPr="6186B107" w:rsidR="00B432E7">
        <w:rPr>
          <w:rFonts w:ascii="Times New Roman" w:hAnsi="Times New Roman"/>
          <w:b/>
          <w:bCs/>
          <w:sz w:val="24"/>
          <w:szCs w:val="24"/>
        </w:rPr>
        <w:t xml:space="preserve"> </w:t>
      </w:r>
    </w:p>
    <w:bookmarkEnd w:id="6"/>
    <w:p w:rsidR="00311023" w:rsidRPr="00931592" w:rsidP="004F7B95" w14:paraId="49E441B1" w14:textId="77777777">
      <w:pPr>
        <w:widowControl/>
        <w:rPr>
          <w:rFonts w:ascii="Times New Roman" w:hAnsi="Times New Roman"/>
          <w:snapToGrid/>
          <w:sz w:val="24"/>
          <w:szCs w:val="24"/>
          <w:highlight w:val="yellow"/>
        </w:rPr>
      </w:pPr>
    </w:p>
    <w:p w:rsidR="002C3C4F" w:rsidRPr="00AE6077" w:rsidP="00311023" w14:paraId="07AB21FE"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AE6077">
        <w:rPr>
          <w:rFonts w:ascii="Times New Roman" w:hAnsi="Times New Roman"/>
          <w:b/>
          <w:snapToGrid/>
          <w:sz w:val="24"/>
          <w:szCs w:val="24"/>
        </w:rPr>
        <w:t xml:space="preserve">Explanation for Program Changes or Adjustments </w:t>
      </w:r>
    </w:p>
    <w:p w:rsidR="00D85A8F" w:rsidRPr="00AE6077" w:rsidP="004F7B95" w14:paraId="3531E758" w14:textId="60FBCC58">
      <w:pPr>
        <w:widowControl/>
        <w:ind w:left="360"/>
        <w:rPr>
          <w:rFonts w:ascii="Times New Roman" w:hAnsi="Times New Roman"/>
          <w:snapToGrid/>
          <w:sz w:val="24"/>
          <w:szCs w:val="24"/>
        </w:rPr>
      </w:pPr>
      <w:r w:rsidRPr="00AE6077">
        <w:rPr>
          <w:rFonts w:ascii="Times New Roman" w:hAnsi="Times New Roman"/>
          <w:snapToGrid/>
          <w:sz w:val="24"/>
          <w:szCs w:val="24"/>
        </w:rPr>
        <w:t>T</w:t>
      </w:r>
      <w:r w:rsidRPr="00AE6077" w:rsidR="00CD15DC">
        <w:rPr>
          <w:rFonts w:ascii="Times New Roman" w:hAnsi="Times New Roman"/>
          <w:snapToGrid/>
          <w:sz w:val="24"/>
          <w:szCs w:val="24"/>
        </w:rPr>
        <w:t xml:space="preserve">he previous ICR approval </w:t>
      </w:r>
      <w:r w:rsidR="00EE45D6">
        <w:rPr>
          <w:rFonts w:ascii="Times New Roman" w:hAnsi="Times New Roman"/>
          <w:snapToGrid/>
          <w:sz w:val="24"/>
          <w:szCs w:val="24"/>
        </w:rPr>
        <w:t>was discontinued</w:t>
      </w:r>
      <w:r w:rsidRPr="00AE6077" w:rsidR="00EE45D6">
        <w:rPr>
          <w:rFonts w:ascii="Times New Roman" w:hAnsi="Times New Roman"/>
          <w:snapToGrid/>
          <w:sz w:val="24"/>
          <w:szCs w:val="24"/>
        </w:rPr>
        <w:t xml:space="preserve"> </w:t>
      </w:r>
      <w:r w:rsidRPr="00AE6077" w:rsidR="00AE6077">
        <w:rPr>
          <w:rFonts w:ascii="Times New Roman" w:hAnsi="Times New Roman"/>
          <w:snapToGrid/>
          <w:sz w:val="24"/>
          <w:szCs w:val="24"/>
        </w:rPr>
        <w:t>in 2023. This request seeks</w:t>
      </w:r>
      <w:r w:rsidR="00381BAE">
        <w:rPr>
          <w:rFonts w:ascii="Times New Roman" w:hAnsi="Times New Roman"/>
          <w:snapToGrid/>
          <w:sz w:val="24"/>
          <w:szCs w:val="24"/>
        </w:rPr>
        <w:t xml:space="preserve"> to reinstate the OMB number, </w:t>
      </w:r>
      <w:r w:rsidRPr="00AE6077" w:rsidR="00AE6077">
        <w:rPr>
          <w:rFonts w:ascii="Times New Roman" w:hAnsi="Times New Roman"/>
          <w:snapToGrid/>
          <w:sz w:val="24"/>
          <w:szCs w:val="24"/>
        </w:rPr>
        <w:t>with changes</w:t>
      </w:r>
      <w:r w:rsidR="00381BAE">
        <w:rPr>
          <w:rFonts w:ascii="Times New Roman" w:hAnsi="Times New Roman"/>
          <w:snapToGrid/>
          <w:sz w:val="24"/>
          <w:szCs w:val="24"/>
        </w:rPr>
        <w:t xml:space="preserve"> compared to the most recent approval</w:t>
      </w:r>
      <w:r w:rsidRPr="00AE6077" w:rsidR="00AE6077">
        <w:rPr>
          <w:rFonts w:ascii="Times New Roman" w:hAnsi="Times New Roman"/>
          <w:snapToGrid/>
          <w:sz w:val="24"/>
          <w:szCs w:val="24"/>
        </w:rPr>
        <w:t>.</w:t>
      </w:r>
      <w:r w:rsidRPr="00AE6077" w:rsidR="00AE6077">
        <w:t xml:space="preserve"> </w:t>
      </w:r>
      <w:r w:rsidRPr="00AE6077" w:rsidR="00AE6077">
        <w:rPr>
          <w:rFonts w:ascii="Times New Roman" w:hAnsi="Times New Roman"/>
          <w:snapToGrid/>
          <w:sz w:val="24"/>
          <w:szCs w:val="24"/>
        </w:rPr>
        <w:t xml:space="preserve">OCS is proposing changes to collect timely data for </w:t>
      </w:r>
      <w:r w:rsidR="00696B6F">
        <w:rPr>
          <w:rFonts w:ascii="Times New Roman" w:hAnsi="Times New Roman"/>
          <w:snapToGrid/>
          <w:sz w:val="24"/>
          <w:szCs w:val="24"/>
        </w:rPr>
        <w:t>FY</w:t>
      </w:r>
      <w:r w:rsidRPr="00AE6077" w:rsidR="00AE6077">
        <w:rPr>
          <w:rFonts w:ascii="Times New Roman" w:hAnsi="Times New Roman"/>
          <w:snapToGrid/>
          <w:sz w:val="24"/>
          <w:szCs w:val="24"/>
        </w:rPr>
        <w:t xml:space="preserve">24 and </w:t>
      </w:r>
      <w:r w:rsidR="00696B6F">
        <w:rPr>
          <w:rFonts w:ascii="Times New Roman" w:hAnsi="Times New Roman"/>
          <w:snapToGrid/>
          <w:sz w:val="24"/>
          <w:szCs w:val="24"/>
        </w:rPr>
        <w:t>FY</w:t>
      </w:r>
      <w:r w:rsidRPr="00AE6077" w:rsidR="00696B6F">
        <w:rPr>
          <w:rFonts w:ascii="Times New Roman" w:hAnsi="Times New Roman"/>
          <w:snapToGrid/>
          <w:sz w:val="24"/>
          <w:szCs w:val="24"/>
        </w:rPr>
        <w:t xml:space="preserve">25 </w:t>
      </w:r>
      <w:r w:rsidRPr="00AE6077" w:rsidR="00AE6077">
        <w:rPr>
          <w:rFonts w:ascii="Times New Roman" w:hAnsi="Times New Roman"/>
          <w:snapToGrid/>
          <w:sz w:val="24"/>
          <w:szCs w:val="24"/>
        </w:rPr>
        <w:t xml:space="preserve">(corresponding to the RECS 2024 fielding period) and to </w:t>
      </w:r>
      <w:r w:rsidR="007456EA">
        <w:rPr>
          <w:rFonts w:ascii="Times New Roman" w:hAnsi="Times New Roman"/>
          <w:snapToGrid/>
          <w:sz w:val="24"/>
          <w:szCs w:val="24"/>
        </w:rPr>
        <w:t>remove eight data elements that are no longer needed</w:t>
      </w:r>
      <w:r w:rsidRPr="00AE6077" w:rsidR="00AE6077">
        <w:rPr>
          <w:rFonts w:ascii="Times New Roman" w:hAnsi="Times New Roman"/>
          <w:snapToGrid/>
          <w:sz w:val="24"/>
          <w:szCs w:val="24"/>
        </w:rPr>
        <w:t>.</w:t>
      </w:r>
      <w:r w:rsidRPr="00AE6077" w:rsidR="00AE6077">
        <w:t xml:space="preserve"> </w:t>
      </w:r>
      <w:r w:rsidR="00EE45D6">
        <w:rPr>
          <w:rFonts w:ascii="Times New Roman" w:hAnsi="Times New Roman"/>
          <w:snapToGrid/>
          <w:sz w:val="24"/>
          <w:szCs w:val="24"/>
        </w:rPr>
        <w:t xml:space="preserve">The estimated time per response </w:t>
      </w:r>
      <w:r w:rsidR="007456EA">
        <w:rPr>
          <w:rFonts w:ascii="Times New Roman" w:hAnsi="Times New Roman"/>
          <w:snapToGrid/>
          <w:sz w:val="24"/>
          <w:szCs w:val="24"/>
        </w:rPr>
        <w:t>de</w:t>
      </w:r>
      <w:r w:rsidR="00EE45D6">
        <w:rPr>
          <w:rFonts w:ascii="Times New Roman" w:hAnsi="Times New Roman"/>
          <w:snapToGrid/>
          <w:sz w:val="24"/>
          <w:szCs w:val="24"/>
        </w:rPr>
        <w:t xml:space="preserve">creased from 24 hours to </w:t>
      </w:r>
      <w:r w:rsidR="007456EA">
        <w:rPr>
          <w:rFonts w:ascii="Times New Roman" w:hAnsi="Times New Roman"/>
          <w:snapToGrid/>
          <w:sz w:val="24"/>
          <w:szCs w:val="24"/>
        </w:rPr>
        <w:t>16</w:t>
      </w:r>
      <w:r w:rsidR="00EE45D6">
        <w:rPr>
          <w:rFonts w:ascii="Times New Roman" w:hAnsi="Times New Roman"/>
          <w:snapToGrid/>
          <w:sz w:val="24"/>
          <w:szCs w:val="24"/>
        </w:rPr>
        <w:t xml:space="preserve"> hours per response</w:t>
      </w:r>
      <w:r w:rsidR="006F6777">
        <w:rPr>
          <w:rFonts w:ascii="Times New Roman" w:hAnsi="Times New Roman"/>
          <w:snapToGrid/>
          <w:sz w:val="24"/>
          <w:szCs w:val="24"/>
        </w:rPr>
        <w:t>/respondent</w:t>
      </w:r>
      <w:r w:rsidR="00EE45D6">
        <w:rPr>
          <w:rFonts w:ascii="Times New Roman" w:hAnsi="Times New Roman"/>
          <w:snapToGrid/>
          <w:sz w:val="24"/>
          <w:szCs w:val="24"/>
        </w:rPr>
        <w:t xml:space="preserve">. </w:t>
      </w:r>
    </w:p>
    <w:p w:rsidR="00311023" w:rsidRPr="00931592" w:rsidP="004F7B95" w14:paraId="2E52FAA2" w14:textId="77777777">
      <w:pPr>
        <w:widowControl/>
        <w:ind w:left="360"/>
        <w:rPr>
          <w:rFonts w:ascii="Times New Roman" w:hAnsi="Times New Roman"/>
          <w:snapToGrid/>
          <w:sz w:val="24"/>
          <w:szCs w:val="24"/>
          <w:highlight w:val="yellow"/>
        </w:rPr>
      </w:pPr>
    </w:p>
    <w:p w:rsidR="002C3C4F" w:rsidRPr="00311023" w:rsidP="00311023" w14:paraId="15CF1C1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Plans for Tabulation and Publication and Project Time Schedule </w:t>
      </w:r>
    </w:p>
    <w:p w:rsidR="00221DD9" w:rsidRPr="00221DD9" w:rsidP="00221DD9" w14:paraId="2DA5E7D0" w14:textId="42BEECA0">
      <w:pPr>
        <w:widowControl/>
        <w:ind w:left="360"/>
        <w:rPr>
          <w:rFonts w:ascii="Times New Roman" w:hAnsi="Times New Roman"/>
          <w:snapToGrid/>
          <w:sz w:val="24"/>
          <w:szCs w:val="24"/>
        </w:rPr>
      </w:pPr>
      <w:r w:rsidRPr="00B43D40">
        <w:rPr>
          <w:rFonts w:ascii="Times New Roman" w:hAnsi="Times New Roman"/>
          <w:snapToGrid/>
          <w:sz w:val="24"/>
          <w:szCs w:val="24"/>
        </w:rPr>
        <w:t xml:space="preserve">The household-level data collected for this effort will </w:t>
      </w:r>
      <w:r w:rsidR="0010719C">
        <w:rPr>
          <w:rFonts w:ascii="Times New Roman" w:hAnsi="Times New Roman"/>
          <w:snapToGrid/>
          <w:sz w:val="24"/>
          <w:szCs w:val="24"/>
        </w:rPr>
        <w:t xml:space="preserve">only </w:t>
      </w:r>
      <w:r w:rsidRPr="00B43D40">
        <w:rPr>
          <w:rFonts w:ascii="Times New Roman" w:hAnsi="Times New Roman"/>
          <w:snapToGrid/>
          <w:sz w:val="24"/>
          <w:szCs w:val="24"/>
        </w:rPr>
        <w:t>be</w:t>
      </w:r>
      <w:r w:rsidRPr="0010719C" w:rsidR="0010719C">
        <w:t xml:space="preserve"> </w:t>
      </w:r>
      <w:r w:rsidRPr="0010719C" w:rsidR="0010719C">
        <w:rPr>
          <w:rFonts w:ascii="Times New Roman" w:hAnsi="Times New Roman"/>
          <w:snapToGrid/>
          <w:sz w:val="24"/>
          <w:szCs w:val="24"/>
        </w:rPr>
        <w:t>used to</w:t>
      </w:r>
      <w:r w:rsidR="00EF746E">
        <w:rPr>
          <w:rFonts w:ascii="Times New Roman" w:hAnsi="Times New Roman"/>
          <w:snapToGrid/>
          <w:sz w:val="24"/>
          <w:szCs w:val="24"/>
        </w:rPr>
        <w:t xml:space="preserve"> 1)</w:t>
      </w:r>
      <w:r w:rsidRPr="0010719C" w:rsidR="0010719C">
        <w:rPr>
          <w:rFonts w:ascii="Times New Roman" w:hAnsi="Times New Roman"/>
          <w:snapToGrid/>
          <w:sz w:val="24"/>
          <w:szCs w:val="24"/>
        </w:rPr>
        <w:t xml:space="preserve"> identify which respondents in the RECS are LIHEAP </w:t>
      </w:r>
      <w:r w:rsidR="00AD2BCB">
        <w:rPr>
          <w:rFonts w:ascii="Times New Roman" w:hAnsi="Times New Roman"/>
          <w:snapToGrid/>
          <w:sz w:val="24"/>
          <w:szCs w:val="24"/>
        </w:rPr>
        <w:t>beneficiaries</w:t>
      </w:r>
      <w:r w:rsidR="00EF746E">
        <w:rPr>
          <w:rFonts w:ascii="Times New Roman" w:hAnsi="Times New Roman"/>
          <w:snapToGrid/>
          <w:sz w:val="24"/>
          <w:szCs w:val="24"/>
        </w:rPr>
        <w:t xml:space="preserve">, and 2) conduct </w:t>
      </w:r>
      <w:r w:rsidR="00A65006">
        <w:rPr>
          <w:rFonts w:ascii="Times New Roman" w:hAnsi="Times New Roman"/>
          <w:snapToGrid/>
          <w:sz w:val="24"/>
          <w:szCs w:val="24"/>
        </w:rPr>
        <w:t xml:space="preserve">an </w:t>
      </w:r>
      <w:r w:rsidR="00EF746E">
        <w:rPr>
          <w:rFonts w:ascii="Times New Roman" w:hAnsi="Times New Roman"/>
          <w:snapToGrid/>
          <w:sz w:val="24"/>
          <w:szCs w:val="24"/>
        </w:rPr>
        <w:t>internal assessment of program impacts.</w:t>
      </w:r>
      <w:r w:rsidRPr="00B43D40">
        <w:rPr>
          <w:rFonts w:ascii="Times New Roman" w:hAnsi="Times New Roman"/>
          <w:snapToGrid/>
          <w:sz w:val="24"/>
          <w:szCs w:val="24"/>
        </w:rPr>
        <w:t xml:space="preserve">  </w:t>
      </w:r>
      <w:r w:rsidRPr="00B43D40">
        <w:rPr>
          <w:rFonts w:ascii="Times New Roman" w:hAnsi="Times New Roman"/>
          <w:snapToGrid/>
          <w:sz w:val="24"/>
          <w:szCs w:val="24"/>
        </w:rPr>
        <w:br/>
      </w:r>
      <w:r w:rsidRPr="00B43D40">
        <w:rPr>
          <w:rFonts w:ascii="Times New Roman" w:hAnsi="Times New Roman"/>
          <w:snapToGrid/>
          <w:sz w:val="24"/>
          <w:szCs w:val="24"/>
        </w:rPr>
        <w:br/>
      </w:r>
      <w:r w:rsidRPr="00221DD9">
        <w:rPr>
          <w:rFonts w:ascii="Times New Roman" w:hAnsi="Times New Roman"/>
          <w:snapToGrid/>
          <w:sz w:val="24"/>
          <w:szCs w:val="24"/>
        </w:rPr>
        <w:t xml:space="preserve">The LIHEAP </w:t>
      </w:r>
      <w:r w:rsidR="00AD2BCB">
        <w:rPr>
          <w:rFonts w:ascii="Times New Roman" w:hAnsi="Times New Roman"/>
          <w:snapToGrid/>
          <w:sz w:val="24"/>
          <w:szCs w:val="24"/>
        </w:rPr>
        <w:t>beneficiary</w:t>
      </w:r>
      <w:r w:rsidRPr="00221DD9">
        <w:rPr>
          <w:rFonts w:ascii="Times New Roman" w:hAnsi="Times New Roman"/>
          <w:snapToGrid/>
          <w:sz w:val="24"/>
          <w:szCs w:val="24"/>
        </w:rPr>
        <w:t xml:space="preserve"> data will be collected from grant</w:t>
      </w:r>
      <w:r w:rsidR="005F7191">
        <w:rPr>
          <w:rFonts w:ascii="Times New Roman" w:hAnsi="Times New Roman"/>
          <w:snapToGrid/>
          <w:sz w:val="24"/>
          <w:szCs w:val="24"/>
        </w:rPr>
        <w:t xml:space="preserve"> recipients</w:t>
      </w:r>
      <w:r w:rsidRPr="00221DD9">
        <w:rPr>
          <w:rFonts w:ascii="Times New Roman" w:hAnsi="Times New Roman"/>
          <w:snapToGrid/>
          <w:sz w:val="24"/>
          <w:szCs w:val="24"/>
        </w:rPr>
        <w:t xml:space="preserve"> </w:t>
      </w:r>
      <w:r w:rsidR="00EF746E">
        <w:rPr>
          <w:rFonts w:ascii="Times New Roman" w:hAnsi="Times New Roman"/>
          <w:snapToGrid/>
          <w:sz w:val="24"/>
          <w:szCs w:val="24"/>
        </w:rPr>
        <w:t>in 202</w:t>
      </w:r>
      <w:r w:rsidR="00822FBF">
        <w:rPr>
          <w:rFonts w:ascii="Times New Roman" w:hAnsi="Times New Roman"/>
          <w:snapToGrid/>
          <w:sz w:val="24"/>
          <w:szCs w:val="24"/>
        </w:rPr>
        <w:t>6</w:t>
      </w:r>
      <w:r w:rsidR="00EF746E">
        <w:rPr>
          <w:rFonts w:ascii="Times New Roman" w:hAnsi="Times New Roman"/>
          <w:snapToGrid/>
          <w:sz w:val="24"/>
          <w:szCs w:val="24"/>
        </w:rPr>
        <w:t xml:space="preserve">, </w:t>
      </w:r>
      <w:r w:rsidRPr="00221DD9">
        <w:rPr>
          <w:rFonts w:ascii="Times New Roman" w:hAnsi="Times New Roman"/>
          <w:snapToGrid/>
          <w:sz w:val="24"/>
          <w:szCs w:val="24"/>
        </w:rPr>
        <w:t xml:space="preserve">following the end of </w:t>
      </w:r>
      <w:r w:rsidR="00696B6F">
        <w:rPr>
          <w:rFonts w:ascii="Times New Roman" w:hAnsi="Times New Roman"/>
          <w:snapToGrid/>
          <w:sz w:val="24"/>
          <w:szCs w:val="24"/>
        </w:rPr>
        <w:t>FY</w:t>
      </w:r>
      <w:r w:rsidR="00EF746E">
        <w:rPr>
          <w:rFonts w:ascii="Times New Roman" w:hAnsi="Times New Roman"/>
          <w:snapToGrid/>
          <w:sz w:val="24"/>
          <w:szCs w:val="24"/>
        </w:rPr>
        <w:t>24</w:t>
      </w:r>
      <w:r w:rsidRPr="00221DD9">
        <w:rPr>
          <w:rFonts w:ascii="Times New Roman" w:hAnsi="Times New Roman"/>
          <w:snapToGrid/>
          <w:sz w:val="24"/>
          <w:szCs w:val="24"/>
        </w:rPr>
        <w:t xml:space="preserve"> as grant</w:t>
      </w:r>
      <w:r w:rsidR="005F7191">
        <w:rPr>
          <w:rFonts w:ascii="Times New Roman" w:hAnsi="Times New Roman"/>
          <w:snapToGrid/>
          <w:sz w:val="24"/>
          <w:szCs w:val="24"/>
        </w:rPr>
        <w:t xml:space="preserve"> recipients</w:t>
      </w:r>
      <w:r w:rsidRPr="00221DD9">
        <w:rPr>
          <w:rFonts w:ascii="Times New Roman" w:hAnsi="Times New Roman"/>
          <w:snapToGrid/>
          <w:sz w:val="24"/>
          <w:szCs w:val="24"/>
        </w:rPr>
        <w:t xml:space="preserve"> are already preparing or have prepared the same data for use in completing their annual required reports. </w:t>
      </w:r>
      <w:r w:rsidR="00720EC4">
        <w:rPr>
          <w:rFonts w:ascii="Times New Roman" w:hAnsi="Times New Roman"/>
          <w:snapToGrid/>
          <w:sz w:val="24"/>
          <w:szCs w:val="24"/>
        </w:rPr>
        <w:t xml:space="preserve">EIA will share with ACF RECS respondent administrative data in spring 2026. It is critical that ACF collect the matching administrative data from state LIHEAP grant recipients </w:t>
      </w:r>
      <w:r w:rsidR="0001469D">
        <w:rPr>
          <w:rFonts w:ascii="Times New Roman" w:hAnsi="Times New Roman"/>
          <w:snapToGrid/>
          <w:sz w:val="24"/>
          <w:szCs w:val="24"/>
        </w:rPr>
        <w:t>in FY 2026 to avoid a gap in data should some states not maintain 2024 data into the next fiscal year. T</w:t>
      </w:r>
      <w:r w:rsidRPr="00221DD9">
        <w:rPr>
          <w:rFonts w:ascii="Times New Roman" w:hAnsi="Times New Roman"/>
          <w:snapToGrid/>
          <w:sz w:val="24"/>
          <w:szCs w:val="24"/>
        </w:rPr>
        <w:t xml:space="preserve">he </w:t>
      </w:r>
      <w:r w:rsidR="00FC2F19">
        <w:rPr>
          <w:rFonts w:ascii="Times New Roman" w:hAnsi="Times New Roman"/>
          <w:snapToGrid/>
          <w:sz w:val="24"/>
          <w:szCs w:val="24"/>
        </w:rPr>
        <w:t>full survey results</w:t>
      </w:r>
      <w:r w:rsidRPr="00221DD9">
        <w:rPr>
          <w:rFonts w:ascii="Times New Roman" w:hAnsi="Times New Roman"/>
          <w:snapToGrid/>
          <w:sz w:val="24"/>
          <w:szCs w:val="24"/>
        </w:rPr>
        <w:t xml:space="preserve"> will not be published until the </w:t>
      </w:r>
      <w:r w:rsidRPr="00221DD9" w:rsidR="001762C1">
        <w:rPr>
          <w:rFonts w:ascii="Times New Roman" w:hAnsi="Times New Roman"/>
          <w:snapToGrid/>
          <w:sz w:val="24"/>
          <w:szCs w:val="24"/>
        </w:rPr>
        <w:t>20</w:t>
      </w:r>
      <w:r w:rsidR="001762C1">
        <w:rPr>
          <w:rFonts w:ascii="Times New Roman" w:hAnsi="Times New Roman"/>
          <w:snapToGrid/>
          <w:sz w:val="24"/>
          <w:szCs w:val="24"/>
        </w:rPr>
        <w:t>24</w:t>
      </w:r>
      <w:r w:rsidRPr="00221DD9" w:rsidR="001762C1">
        <w:rPr>
          <w:rFonts w:ascii="Times New Roman" w:hAnsi="Times New Roman"/>
          <w:snapToGrid/>
          <w:sz w:val="24"/>
          <w:szCs w:val="24"/>
        </w:rPr>
        <w:t xml:space="preserve"> </w:t>
      </w:r>
      <w:r w:rsidRPr="00221DD9">
        <w:rPr>
          <w:rFonts w:ascii="Times New Roman" w:hAnsi="Times New Roman"/>
          <w:snapToGrid/>
          <w:sz w:val="24"/>
          <w:szCs w:val="24"/>
        </w:rPr>
        <w:t>RECS data file is complete</w:t>
      </w:r>
      <w:r w:rsidR="00EF746E">
        <w:rPr>
          <w:rFonts w:ascii="Times New Roman" w:hAnsi="Times New Roman"/>
          <w:snapToGrid/>
          <w:sz w:val="24"/>
          <w:szCs w:val="24"/>
        </w:rPr>
        <w:t xml:space="preserve"> by EIA</w:t>
      </w:r>
      <w:r w:rsidRPr="00221DD9">
        <w:rPr>
          <w:rFonts w:ascii="Times New Roman" w:hAnsi="Times New Roman"/>
          <w:snapToGrid/>
          <w:sz w:val="24"/>
          <w:szCs w:val="24"/>
        </w:rPr>
        <w:t>. The final RECS public use microdata file is not expected to be released until at least 202</w:t>
      </w:r>
      <w:r w:rsidR="00EF746E">
        <w:rPr>
          <w:rFonts w:ascii="Times New Roman" w:hAnsi="Times New Roman"/>
          <w:snapToGrid/>
          <w:sz w:val="24"/>
          <w:szCs w:val="24"/>
        </w:rPr>
        <w:t>7</w:t>
      </w:r>
      <w:r w:rsidRPr="00221DD9">
        <w:rPr>
          <w:rFonts w:ascii="Times New Roman" w:hAnsi="Times New Roman"/>
          <w:snapToGrid/>
          <w:sz w:val="24"/>
          <w:szCs w:val="24"/>
        </w:rPr>
        <w:t>. Based on that publication schedule, the RECS data file with the appended LIHEAP administrative data will first be available for use in 202</w:t>
      </w:r>
      <w:r w:rsidR="00EF746E">
        <w:rPr>
          <w:rFonts w:ascii="Times New Roman" w:hAnsi="Times New Roman"/>
          <w:snapToGrid/>
          <w:sz w:val="24"/>
          <w:szCs w:val="24"/>
        </w:rPr>
        <w:t>7</w:t>
      </w:r>
      <w:r w:rsidRPr="00221DD9">
        <w:rPr>
          <w:rFonts w:ascii="Times New Roman" w:hAnsi="Times New Roman"/>
          <w:snapToGrid/>
          <w:sz w:val="24"/>
          <w:szCs w:val="24"/>
        </w:rPr>
        <w:t xml:space="preserve">. </w:t>
      </w:r>
    </w:p>
    <w:p w:rsidR="00221DD9" w:rsidRPr="00221DD9" w:rsidP="00221DD9" w14:paraId="50BAD281" w14:textId="77777777">
      <w:pPr>
        <w:widowControl/>
        <w:ind w:left="360"/>
        <w:rPr>
          <w:rFonts w:ascii="Times New Roman" w:hAnsi="Times New Roman"/>
          <w:snapToGrid/>
          <w:sz w:val="24"/>
          <w:szCs w:val="24"/>
        </w:rPr>
      </w:pPr>
    </w:p>
    <w:p w:rsidR="00D60543" w:rsidRPr="00222D81" w:rsidP="00221DD9" w14:paraId="1D0DB7CF" w14:textId="5B66A709">
      <w:pPr>
        <w:widowControl/>
        <w:ind w:left="360"/>
        <w:rPr>
          <w:rFonts w:ascii="Times New Roman" w:hAnsi="Times New Roman"/>
          <w:snapToGrid/>
          <w:sz w:val="24"/>
          <w:szCs w:val="24"/>
        </w:rPr>
      </w:pPr>
      <w:r w:rsidRPr="00221DD9">
        <w:rPr>
          <w:rFonts w:ascii="Times New Roman" w:hAnsi="Times New Roman"/>
          <w:snapToGrid/>
          <w:sz w:val="24"/>
          <w:szCs w:val="24"/>
        </w:rPr>
        <w:t xml:space="preserve">The aggregate data generated from RECS for the confirmed LIHEAP </w:t>
      </w:r>
      <w:r w:rsidR="00AD2BCB">
        <w:rPr>
          <w:rFonts w:ascii="Times New Roman" w:hAnsi="Times New Roman"/>
          <w:snapToGrid/>
          <w:sz w:val="24"/>
          <w:szCs w:val="24"/>
        </w:rPr>
        <w:t xml:space="preserve">beneficiary </w:t>
      </w:r>
      <w:r w:rsidRPr="00221DD9">
        <w:rPr>
          <w:rFonts w:ascii="Times New Roman" w:hAnsi="Times New Roman"/>
          <w:snapToGrid/>
          <w:sz w:val="24"/>
          <w:szCs w:val="24"/>
        </w:rPr>
        <w:t xml:space="preserve">population will be included in the LIHEAP Home Energy Notebook and the LIHEAP Report to Congress to furnish information to Congress on the LIHEAP </w:t>
      </w:r>
      <w:r w:rsidR="00AD2BCB">
        <w:rPr>
          <w:rFonts w:ascii="Times New Roman" w:hAnsi="Times New Roman"/>
          <w:snapToGrid/>
          <w:sz w:val="24"/>
          <w:szCs w:val="24"/>
        </w:rPr>
        <w:t xml:space="preserve">beneficiary </w:t>
      </w:r>
      <w:r w:rsidRPr="00221DD9">
        <w:rPr>
          <w:rFonts w:ascii="Times New Roman" w:hAnsi="Times New Roman"/>
          <w:snapToGrid/>
          <w:sz w:val="24"/>
          <w:szCs w:val="24"/>
        </w:rPr>
        <w:t>population. The data will also be used to support special studies and analyses of the LIHEAP program.</w:t>
      </w:r>
      <w:r w:rsidRPr="00222D81" w:rsidR="005D57C7">
        <w:rPr>
          <w:rFonts w:ascii="Times New Roman" w:hAnsi="Times New Roman"/>
          <w:snapToGrid/>
          <w:sz w:val="24"/>
          <w:szCs w:val="24"/>
        </w:rPr>
        <w:br/>
      </w:r>
    </w:p>
    <w:tbl>
      <w:tblPr>
        <w:tblW w:w="9143" w:type="dxa"/>
        <w:tblInd w:w="427" w:type="dxa"/>
        <w:tblLayout w:type="fixed"/>
        <w:tblCellMar>
          <w:left w:w="120" w:type="dxa"/>
          <w:right w:w="120" w:type="dxa"/>
        </w:tblCellMar>
        <w:tblLook w:val="04A0"/>
      </w:tblPr>
      <w:tblGrid>
        <w:gridCol w:w="6750"/>
        <w:gridCol w:w="2393"/>
      </w:tblGrid>
      <w:tr w14:paraId="27AC5498" w14:textId="77777777" w:rsidTr="00C249BA">
        <w:tblPrEx>
          <w:tblW w:w="9143" w:type="dxa"/>
          <w:tblInd w:w="427" w:type="dxa"/>
          <w:tblLayout w:type="fixed"/>
          <w:tblCellMar>
            <w:left w:w="120" w:type="dxa"/>
            <w:right w:w="120" w:type="dxa"/>
          </w:tblCellMar>
          <w:tblLook w:val="04A0"/>
        </w:tblPrEx>
        <w:trPr>
          <w:cantSplit/>
          <w:trHeight w:val="21"/>
          <w:tblHeader/>
        </w:trPr>
        <w:tc>
          <w:tcPr>
            <w:tcW w:w="675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rsidR="005D57C7" w:rsidRPr="00222D81" w:rsidP="000129C2" w14:paraId="5212A2EA" w14:textId="77777777">
            <w:pPr>
              <w:tabs>
                <w:tab w:val="left" w:pos="-734"/>
                <w:tab w:val="left" w:pos="544"/>
                <w:tab w:val="left" w:pos="814"/>
              </w:tabs>
              <w:jc w:val="center"/>
              <w:rPr>
                <w:rFonts w:ascii="Times New Roman" w:hAnsi="Times New Roman"/>
                <w:sz w:val="22"/>
                <w:szCs w:val="22"/>
              </w:rPr>
            </w:pPr>
            <w:r w:rsidRPr="00222D81">
              <w:rPr>
                <w:rFonts w:ascii="Times New Roman" w:hAnsi="Times New Roman"/>
                <w:b/>
                <w:sz w:val="22"/>
                <w:szCs w:val="22"/>
              </w:rPr>
              <w:t>Activity*</w:t>
            </w:r>
          </w:p>
        </w:tc>
        <w:tc>
          <w:tcPr>
            <w:tcW w:w="2393"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rsidR="005D57C7" w:rsidRPr="00222D81" w:rsidP="000129C2" w14:paraId="3000BF01" w14:textId="77777777">
            <w:pPr>
              <w:tabs>
                <w:tab w:val="left" w:pos="-734"/>
                <w:tab w:val="left" w:pos="544"/>
                <w:tab w:val="left" w:pos="814"/>
              </w:tabs>
              <w:jc w:val="center"/>
              <w:rPr>
                <w:rFonts w:ascii="Times New Roman" w:hAnsi="Times New Roman"/>
                <w:sz w:val="22"/>
                <w:szCs w:val="22"/>
                <w:vertAlign w:val="superscript"/>
              </w:rPr>
            </w:pPr>
            <w:r w:rsidRPr="00222D81">
              <w:rPr>
                <w:rFonts w:ascii="Times New Roman" w:hAnsi="Times New Roman"/>
                <w:b/>
                <w:sz w:val="22"/>
                <w:szCs w:val="22"/>
              </w:rPr>
              <w:t>Estimated Date**</w:t>
            </w:r>
          </w:p>
        </w:tc>
      </w:tr>
      <w:tr w14:paraId="6FED8297" w14:textId="77777777" w:rsidTr="00C249BA">
        <w:tblPrEx>
          <w:tblW w:w="9143" w:type="dxa"/>
          <w:tblInd w:w="427" w:type="dxa"/>
          <w:tblLayout w:type="fixed"/>
          <w:tblCellMar>
            <w:left w:w="120" w:type="dxa"/>
            <w:right w:w="120" w:type="dxa"/>
          </w:tblCellMar>
          <w:tblLook w:val="04A0"/>
        </w:tblPrEx>
        <w:trPr>
          <w:cantSplit/>
          <w:trHeight w:val="187"/>
        </w:trPr>
        <w:tc>
          <w:tcPr>
            <w:tcW w:w="6750" w:type="dxa"/>
            <w:tcBorders>
              <w:top w:val="single" w:sz="8" w:space="0" w:color="000000"/>
              <w:left w:val="double" w:sz="6" w:space="0" w:color="000000"/>
              <w:bottom w:val="single" w:sz="8" w:space="0" w:color="000000"/>
              <w:right w:val="single" w:sz="8" w:space="0" w:color="000000"/>
            </w:tcBorders>
            <w:vAlign w:val="center"/>
          </w:tcPr>
          <w:p w:rsidR="006F6777" w:rsidRPr="00222D81" w:rsidP="000129C2" w14:paraId="24100E59" w14:textId="1611B5E8">
            <w:pPr>
              <w:tabs>
                <w:tab w:val="left" w:pos="-734"/>
                <w:tab w:val="left" w:pos="544"/>
                <w:tab w:val="left" w:pos="814"/>
              </w:tabs>
              <w:rPr>
                <w:rFonts w:ascii="Times New Roman" w:hAnsi="Times New Roman"/>
                <w:sz w:val="22"/>
                <w:szCs w:val="22"/>
              </w:rPr>
            </w:pPr>
            <w:r>
              <w:rPr>
                <w:rFonts w:ascii="Times New Roman" w:hAnsi="Times New Roman"/>
                <w:sz w:val="22"/>
                <w:szCs w:val="22"/>
              </w:rPr>
              <w:t xml:space="preserve">ACF collects </w:t>
            </w:r>
            <w:r w:rsidR="00FA10FF">
              <w:rPr>
                <w:rFonts w:ascii="Times New Roman" w:hAnsi="Times New Roman"/>
                <w:sz w:val="22"/>
                <w:szCs w:val="22"/>
              </w:rPr>
              <w:t>administrative data from DOE and state LIHEAP grant recipients</w:t>
            </w:r>
          </w:p>
        </w:tc>
        <w:tc>
          <w:tcPr>
            <w:tcW w:w="2393" w:type="dxa"/>
            <w:tcBorders>
              <w:top w:val="single" w:sz="8" w:space="0" w:color="000000"/>
              <w:left w:val="single" w:sz="8" w:space="0" w:color="000000"/>
              <w:bottom w:val="single" w:sz="8" w:space="0" w:color="000000"/>
              <w:right w:val="double" w:sz="6" w:space="0" w:color="000000"/>
            </w:tcBorders>
            <w:vAlign w:val="center"/>
          </w:tcPr>
          <w:p w:rsidR="006F6777" w:rsidRPr="00FA1AA3" w:rsidP="000129C2" w14:paraId="17032D4C" w14:textId="0C6BB295">
            <w:pPr>
              <w:tabs>
                <w:tab w:val="left" w:pos="-734"/>
                <w:tab w:val="left" w:pos="544"/>
                <w:tab w:val="left" w:pos="814"/>
              </w:tabs>
              <w:jc w:val="center"/>
              <w:rPr>
                <w:rFonts w:ascii="Times New Roman" w:hAnsi="Times New Roman"/>
                <w:sz w:val="22"/>
                <w:szCs w:val="22"/>
              </w:rPr>
            </w:pPr>
            <w:r>
              <w:rPr>
                <w:rFonts w:ascii="Times New Roman" w:hAnsi="Times New Roman"/>
                <w:sz w:val="22"/>
                <w:szCs w:val="22"/>
              </w:rPr>
              <w:t>June 2026</w:t>
            </w:r>
          </w:p>
        </w:tc>
      </w:tr>
      <w:tr w14:paraId="7B071568" w14:textId="77777777" w:rsidTr="00C249BA">
        <w:tblPrEx>
          <w:tblW w:w="9143" w:type="dxa"/>
          <w:tblInd w:w="427" w:type="dxa"/>
          <w:tblLayout w:type="fixed"/>
          <w:tblCellMar>
            <w:left w:w="120" w:type="dxa"/>
            <w:right w:w="120" w:type="dxa"/>
          </w:tblCellMar>
          <w:tblLook w:val="04A0"/>
        </w:tblPrEx>
        <w:trPr>
          <w:cantSplit/>
          <w:trHeight w:val="187"/>
        </w:trPr>
        <w:tc>
          <w:tcPr>
            <w:tcW w:w="6750" w:type="dxa"/>
            <w:tcBorders>
              <w:top w:val="single" w:sz="8" w:space="0" w:color="000000"/>
              <w:left w:val="double" w:sz="6" w:space="0" w:color="000000"/>
              <w:bottom w:val="single" w:sz="8" w:space="0" w:color="000000"/>
              <w:right w:val="single" w:sz="8" w:space="0" w:color="000000"/>
            </w:tcBorders>
            <w:vAlign w:val="center"/>
          </w:tcPr>
          <w:p w:rsidR="006F6777" w:rsidRPr="00222D81" w:rsidP="000129C2" w14:paraId="259CCECF" w14:textId="12E8DAFC">
            <w:pPr>
              <w:tabs>
                <w:tab w:val="left" w:pos="-734"/>
                <w:tab w:val="left" w:pos="544"/>
                <w:tab w:val="left" w:pos="814"/>
              </w:tabs>
              <w:rPr>
                <w:rFonts w:ascii="Times New Roman" w:hAnsi="Times New Roman"/>
                <w:sz w:val="22"/>
                <w:szCs w:val="22"/>
              </w:rPr>
            </w:pPr>
            <w:r>
              <w:rPr>
                <w:rFonts w:ascii="Times New Roman" w:hAnsi="Times New Roman"/>
                <w:sz w:val="22"/>
                <w:szCs w:val="22"/>
              </w:rPr>
              <w:t>ACF conducts the administrative data match to identify the RECS respondent cohort that received LIHEAP assistance in the same year as the survey</w:t>
            </w:r>
          </w:p>
        </w:tc>
        <w:tc>
          <w:tcPr>
            <w:tcW w:w="2393" w:type="dxa"/>
            <w:tcBorders>
              <w:top w:val="single" w:sz="8" w:space="0" w:color="000000"/>
              <w:left w:val="single" w:sz="8" w:space="0" w:color="000000"/>
              <w:bottom w:val="single" w:sz="8" w:space="0" w:color="000000"/>
              <w:right w:val="double" w:sz="6" w:space="0" w:color="000000"/>
            </w:tcBorders>
            <w:vAlign w:val="center"/>
          </w:tcPr>
          <w:p w:rsidR="006F6777" w:rsidRPr="00FA1AA3" w:rsidP="000129C2" w14:paraId="0BB6B33E" w14:textId="634A50BE">
            <w:pPr>
              <w:tabs>
                <w:tab w:val="left" w:pos="-734"/>
                <w:tab w:val="left" w:pos="544"/>
                <w:tab w:val="left" w:pos="814"/>
              </w:tabs>
              <w:jc w:val="center"/>
              <w:rPr>
                <w:rFonts w:ascii="Times New Roman" w:hAnsi="Times New Roman"/>
                <w:sz w:val="22"/>
                <w:szCs w:val="22"/>
              </w:rPr>
            </w:pPr>
            <w:r>
              <w:rPr>
                <w:rFonts w:ascii="Times New Roman" w:hAnsi="Times New Roman"/>
                <w:sz w:val="22"/>
                <w:szCs w:val="22"/>
              </w:rPr>
              <w:t>August 2026</w:t>
            </w:r>
          </w:p>
        </w:tc>
      </w:tr>
      <w:tr w14:paraId="7AC6B413" w14:textId="77777777" w:rsidTr="00C249BA">
        <w:tblPrEx>
          <w:tblW w:w="9143" w:type="dxa"/>
          <w:tblInd w:w="427" w:type="dxa"/>
          <w:tblLayout w:type="fixed"/>
          <w:tblCellMar>
            <w:left w:w="120" w:type="dxa"/>
            <w:right w:w="120" w:type="dxa"/>
          </w:tblCellMar>
          <w:tblLook w:val="04A0"/>
        </w:tblPrEx>
        <w:trPr>
          <w:cantSplit/>
          <w:trHeight w:val="187"/>
        </w:trPr>
        <w:tc>
          <w:tcPr>
            <w:tcW w:w="6750" w:type="dxa"/>
            <w:tcBorders>
              <w:top w:val="single" w:sz="8" w:space="0" w:color="000000"/>
              <w:left w:val="double" w:sz="6" w:space="0" w:color="000000"/>
              <w:bottom w:val="single" w:sz="8" w:space="0" w:color="000000"/>
              <w:right w:val="single" w:sz="8" w:space="0" w:color="000000"/>
            </w:tcBorders>
            <w:vAlign w:val="center"/>
          </w:tcPr>
          <w:p w:rsidR="005D57C7" w:rsidRPr="00222D81" w:rsidP="000129C2" w14:paraId="19360CC9" w14:textId="77777777">
            <w:pPr>
              <w:tabs>
                <w:tab w:val="left" w:pos="-734"/>
                <w:tab w:val="left" w:pos="544"/>
                <w:tab w:val="left" w:pos="814"/>
              </w:tabs>
              <w:rPr>
                <w:rFonts w:ascii="Times New Roman" w:hAnsi="Times New Roman"/>
                <w:sz w:val="22"/>
                <w:szCs w:val="22"/>
              </w:rPr>
            </w:pPr>
            <w:r w:rsidRPr="00222D81">
              <w:rPr>
                <w:rFonts w:ascii="Times New Roman" w:hAnsi="Times New Roman"/>
                <w:sz w:val="22"/>
                <w:szCs w:val="22"/>
              </w:rPr>
              <w:t>LIHEAP Home Energy Notebook - Section II: Home Energy Data</w:t>
            </w:r>
          </w:p>
        </w:tc>
        <w:tc>
          <w:tcPr>
            <w:tcW w:w="2393" w:type="dxa"/>
            <w:tcBorders>
              <w:top w:val="single" w:sz="8" w:space="0" w:color="000000"/>
              <w:left w:val="single" w:sz="8" w:space="0" w:color="000000"/>
              <w:bottom w:val="single" w:sz="8" w:space="0" w:color="000000"/>
              <w:right w:val="double" w:sz="6" w:space="0" w:color="000000"/>
            </w:tcBorders>
            <w:vAlign w:val="center"/>
          </w:tcPr>
          <w:p w:rsidR="005D57C7" w:rsidRPr="00FA1AA3" w:rsidP="000129C2" w14:paraId="49952C06" w14:textId="6726F1A1">
            <w:pPr>
              <w:tabs>
                <w:tab w:val="left" w:pos="-734"/>
                <w:tab w:val="left" w:pos="544"/>
                <w:tab w:val="left" w:pos="814"/>
              </w:tabs>
              <w:jc w:val="center"/>
              <w:rPr>
                <w:rFonts w:ascii="Times New Roman" w:hAnsi="Times New Roman"/>
                <w:sz w:val="22"/>
                <w:szCs w:val="22"/>
              </w:rPr>
            </w:pPr>
            <w:r w:rsidRPr="00FA1AA3">
              <w:rPr>
                <w:rFonts w:ascii="Times New Roman" w:hAnsi="Times New Roman"/>
                <w:sz w:val="22"/>
                <w:szCs w:val="22"/>
              </w:rPr>
              <w:t>June 20</w:t>
            </w:r>
            <w:r w:rsidRPr="00FA1AA3" w:rsidR="00222D81">
              <w:rPr>
                <w:rFonts w:ascii="Times New Roman" w:hAnsi="Times New Roman"/>
                <w:sz w:val="22"/>
                <w:szCs w:val="22"/>
              </w:rPr>
              <w:t>2</w:t>
            </w:r>
            <w:r w:rsidRPr="00FA1AA3" w:rsidR="00FA1AA3">
              <w:rPr>
                <w:rFonts w:ascii="Times New Roman" w:hAnsi="Times New Roman"/>
                <w:sz w:val="22"/>
                <w:szCs w:val="22"/>
              </w:rPr>
              <w:t>7</w:t>
            </w:r>
          </w:p>
        </w:tc>
      </w:tr>
      <w:tr w14:paraId="55789A34" w14:textId="77777777" w:rsidTr="00C249BA">
        <w:tblPrEx>
          <w:tblW w:w="9143" w:type="dxa"/>
          <w:tblInd w:w="427" w:type="dxa"/>
          <w:tblLayout w:type="fixed"/>
          <w:tblCellMar>
            <w:left w:w="120" w:type="dxa"/>
            <w:right w:w="120" w:type="dxa"/>
          </w:tblCellMar>
          <w:tblLook w:val="04A0"/>
        </w:tblPrEx>
        <w:trPr>
          <w:cantSplit/>
          <w:trHeight w:val="46"/>
        </w:trPr>
        <w:tc>
          <w:tcPr>
            <w:tcW w:w="6750" w:type="dxa"/>
            <w:tcBorders>
              <w:top w:val="single" w:sz="8" w:space="0" w:color="000000"/>
              <w:left w:val="double" w:sz="6" w:space="0" w:color="000000"/>
              <w:bottom w:val="single" w:sz="8" w:space="0" w:color="000000"/>
              <w:right w:val="single" w:sz="8" w:space="0" w:color="000000"/>
            </w:tcBorders>
            <w:vAlign w:val="center"/>
          </w:tcPr>
          <w:p w:rsidR="005D57C7" w:rsidRPr="00222D81" w:rsidP="000129C2" w14:paraId="33F72B33" w14:textId="77777777">
            <w:pPr>
              <w:tabs>
                <w:tab w:val="left" w:pos="-734"/>
                <w:tab w:val="left" w:pos="544"/>
                <w:tab w:val="left" w:pos="814"/>
              </w:tabs>
              <w:rPr>
                <w:rFonts w:ascii="Times New Roman" w:hAnsi="Times New Roman"/>
                <w:sz w:val="22"/>
                <w:szCs w:val="22"/>
              </w:rPr>
            </w:pPr>
            <w:r w:rsidRPr="00222D81">
              <w:rPr>
                <w:rFonts w:ascii="Times New Roman" w:hAnsi="Times New Roman"/>
                <w:sz w:val="22"/>
                <w:szCs w:val="22"/>
              </w:rPr>
              <w:t>LIHEAP Home Energy Notebook - Section IV: Federal LIHEAP Targeting Performance</w:t>
            </w:r>
          </w:p>
        </w:tc>
        <w:tc>
          <w:tcPr>
            <w:tcW w:w="2393" w:type="dxa"/>
            <w:tcBorders>
              <w:top w:val="single" w:sz="8" w:space="0" w:color="000000"/>
              <w:left w:val="single" w:sz="8" w:space="0" w:color="000000"/>
              <w:bottom w:val="single" w:sz="8" w:space="0" w:color="000000"/>
              <w:right w:val="double" w:sz="6" w:space="0" w:color="000000"/>
            </w:tcBorders>
            <w:vAlign w:val="center"/>
          </w:tcPr>
          <w:p w:rsidR="005D57C7" w:rsidRPr="00FA1AA3" w:rsidP="000129C2" w14:paraId="2C410564" w14:textId="01BCE357">
            <w:pPr>
              <w:tabs>
                <w:tab w:val="left" w:pos="-734"/>
                <w:tab w:val="left" w:pos="544"/>
                <w:tab w:val="left" w:pos="814"/>
              </w:tabs>
              <w:jc w:val="center"/>
              <w:rPr>
                <w:rFonts w:ascii="Times New Roman" w:hAnsi="Times New Roman"/>
                <w:sz w:val="22"/>
                <w:szCs w:val="22"/>
              </w:rPr>
            </w:pPr>
            <w:r w:rsidRPr="00FA1AA3">
              <w:rPr>
                <w:rFonts w:ascii="Times New Roman" w:hAnsi="Times New Roman"/>
                <w:sz w:val="22"/>
                <w:szCs w:val="22"/>
              </w:rPr>
              <w:t>June 20</w:t>
            </w:r>
            <w:r w:rsidRPr="00FA1AA3" w:rsidR="00222D81">
              <w:rPr>
                <w:rFonts w:ascii="Times New Roman" w:hAnsi="Times New Roman"/>
                <w:sz w:val="22"/>
                <w:szCs w:val="22"/>
              </w:rPr>
              <w:t>2</w:t>
            </w:r>
            <w:r w:rsidRPr="00FA1AA3" w:rsidR="00FA1AA3">
              <w:rPr>
                <w:rFonts w:ascii="Times New Roman" w:hAnsi="Times New Roman"/>
                <w:sz w:val="22"/>
                <w:szCs w:val="22"/>
              </w:rPr>
              <w:t>7</w:t>
            </w:r>
          </w:p>
        </w:tc>
      </w:tr>
      <w:tr w14:paraId="5600E45C" w14:textId="77777777" w:rsidTr="00C249BA">
        <w:tblPrEx>
          <w:tblW w:w="9143" w:type="dxa"/>
          <w:tblInd w:w="427" w:type="dxa"/>
          <w:tblLayout w:type="fixed"/>
          <w:tblCellMar>
            <w:left w:w="120" w:type="dxa"/>
            <w:right w:w="120" w:type="dxa"/>
          </w:tblCellMar>
          <w:tblLook w:val="04A0"/>
        </w:tblPrEx>
        <w:trPr>
          <w:cantSplit/>
          <w:trHeight w:val="46"/>
        </w:trPr>
        <w:tc>
          <w:tcPr>
            <w:tcW w:w="6750" w:type="dxa"/>
            <w:tcBorders>
              <w:top w:val="single" w:sz="8" w:space="0" w:color="000000"/>
              <w:left w:val="double" w:sz="6" w:space="0" w:color="000000"/>
              <w:bottom w:val="single" w:sz="8" w:space="0" w:color="000000"/>
              <w:right w:val="single" w:sz="8" w:space="0" w:color="000000"/>
            </w:tcBorders>
            <w:vAlign w:val="center"/>
          </w:tcPr>
          <w:p w:rsidR="005D57C7" w:rsidRPr="00222D81" w:rsidP="000129C2" w14:paraId="0EC0A4AB" w14:textId="0C22EB99">
            <w:pPr>
              <w:tabs>
                <w:tab w:val="left" w:pos="-734"/>
                <w:tab w:val="left" w:pos="544"/>
                <w:tab w:val="left" w:pos="814"/>
              </w:tabs>
              <w:rPr>
                <w:rFonts w:ascii="Times New Roman" w:hAnsi="Times New Roman"/>
                <w:sz w:val="22"/>
                <w:szCs w:val="22"/>
              </w:rPr>
            </w:pPr>
            <w:r w:rsidRPr="00222D81">
              <w:rPr>
                <w:rFonts w:ascii="Times New Roman" w:hAnsi="Times New Roman"/>
                <w:sz w:val="22"/>
                <w:szCs w:val="22"/>
              </w:rPr>
              <w:t xml:space="preserve">LIHEAP Home Energy Notebook - Section V: Special Study of Energy Insecurity of Low-Income and LIHEAP </w:t>
            </w:r>
            <w:r w:rsidR="00AD2BCB">
              <w:rPr>
                <w:rFonts w:ascii="Times New Roman" w:hAnsi="Times New Roman"/>
                <w:sz w:val="22"/>
                <w:szCs w:val="22"/>
              </w:rPr>
              <w:t>Beneficiary</w:t>
            </w:r>
            <w:r w:rsidRPr="00222D81" w:rsidR="00AD2BCB">
              <w:rPr>
                <w:rFonts w:ascii="Times New Roman" w:hAnsi="Times New Roman"/>
                <w:sz w:val="22"/>
                <w:szCs w:val="22"/>
              </w:rPr>
              <w:t xml:space="preserve"> </w:t>
            </w:r>
            <w:r w:rsidRPr="00222D81">
              <w:rPr>
                <w:rFonts w:ascii="Times New Roman" w:hAnsi="Times New Roman"/>
                <w:sz w:val="22"/>
                <w:szCs w:val="22"/>
              </w:rPr>
              <w:t>Households***</w:t>
            </w:r>
          </w:p>
        </w:tc>
        <w:tc>
          <w:tcPr>
            <w:tcW w:w="2393" w:type="dxa"/>
            <w:tcBorders>
              <w:top w:val="single" w:sz="8" w:space="0" w:color="000000"/>
              <w:left w:val="single" w:sz="8" w:space="0" w:color="000000"/>
              <w:bottom w:val="single" w:sz="8" w:space="0" w:color="000000"/>
              <w:right w:val="double" w:sz="6" w:space="0" w:color="000000"/>
            </w:tcBorders>
            <w:vAlign w:val="center"/>
          </w:tcPr>
          <w:p w:rsidR="005D57C7" w:rsidRPr="00FA1AA3" w:rsidP="000129C2" w14:paraId="0F79FD8E" w14:textId="73B3176C">
            <w:pPr>
              <w:tabs>
                <w:tab w:val="left" w:pos="-734"/>
                <w:tab w:val="left" w:pos="544"/>
                <w:tab w:val="left" w:pos="814"/>
              </w:tabs>
              <w:jc w:val="center"/>
              <w:rPr>
                <w:rFonts w:ascii="Times New Roman" w:hAnsi="Times New Roman"/>
                <w:sz w:val="22"/>
                <w:szCs w:val="22"/>
              </w:rPr>
            </w:pPr>
            <w:r w:rsidRPr="00FA1AA3">
              <w:rPr>
                <w:rFonts w:ascii="Times New Roman" w:hAnsi="Times New Roman"/>
                <w:sz w:val="22"/>
                <w:szCs w:val="22"/>
              </w:rPr>
              <w:t>June 20</w:t>
            </w:r>
            <w:r w:rsidRPr="00FA1AA3" w:rsidR="00222D81">
              <w:rPr>
                <w:rFonts w:ascii="Times New Roman" w:hAnsi="Times New Roman"/>
                <w:sz w:val="22"/>
                <w:szCs w:val="22"/>
              </w:rPr>
              <w:t>2</w:t>
            </w:r>
            <w:r w:rsidRPr="00FA1AA3" w:rsidR="00FA1AA3">
              <w:rPr>
                <w:rFonts w:ascii="Times New Roman" w:hAnsi="Times New Roman"/>
                <w:sz w:val="22"/>
                <w:szCs w:val="22"/>
              </w:rPr>
              <w:t>7</w:t>
            </w:r>
          </w:p>
        </w:tc>
      </w:tr>
      <w:tr w14:paraId="7CBF70CC" w14:textId="77777777" w:rsidTr="00C249BA">
        <w:tblPrEx>
          <w:tblW w:w="9143" w:type="dxa"/>
          <w:tblInd w:w="427" w:type="dxa"/>
          <w:tblLayout w:type="fixed"/>
          <w:tblCellMar>
            <w:left w:w="120" w:type="dxa"/>
            <w:right w:w="120" w:type="dxa"/>
          </w:tblCellMar>
          <w:tblLook w:val="04A0"/>
        </w:tblPrEx>
        <w:trPr>
          <w:cantSplit/>
          <w:trHeight w:val="46"/>
        </w:trPr>
        <w:tc>
          <w:tcPr>
            <w:tcW w:w="6750" w:type="dxa"/>
            <w:tcBorders>
              <w:top w:val="single" w:sz="8" w:space="0" w:color="000000"/>
              <w:left w:val="double" w:sz="6" w:space="0" w:color="000000"/>
              <w:bottom w:val="single" w:sz="8" w:space="0" w:color="000000"/>
              <w:right w:val="single" w:sz="8" w:space="0" w:color="000000"/>
            </w:tcBorders>
            <w:vAlign w:val="center"/>
          </w:tcPr>
          <w:p w:rsidR="005D57C7" w:rsidRPr="00222D81" w:rsidP="000129C2" w14:paraId="7B458AF7" w14:textId="77777777">
            <w:pPr>
              <w:tabs>
                <w:tab w:val="left" w:pos="-734"/>
                <w:tab w:val="left" w:pos="544"/>
                <w:tab w:val="left" w:pos="814"/>
              </w:tabs>
              <w:rPr>
                <w:rFonts w:ascii="Times New Roman" w:hAnsi="Times New Roman"/>
                <w:sz w:val="22"/>
                <w:szCs w:val="22"/>
              </w:rPr>
            </w:pPr>
            <w:r w:rsidRPr="00222D81">
              <w:rPr>
                <w:rFonts w:ascii="Times New Roman" w:hAnsi="Times New Roman"/>
                <w:sz w:val="22"/>
                <w:szCs w:val="22"/>
              </w:rPr>
              <w:t>LIHEAP Home Energy Notebook - Appendix A: Home Energy Estimates</w:t>
            </w:r>
          </w:p>
        </w:tc>
        <w:tc>
          <w:tcPr>
            <w:tcW w:w="2393" w:type="dxa"/>
            <w:tcBorders>
              <w:top w:val="single" w:sz="8" w:space="0" w:color="000000"/>
              <w:left w:val="single" w:sz="8" w:space="0" w:color="000000"/>
              <w:bottom w:val="single" w:sz="8" w:space="0" w:color="000000"/>
              <w:right w:val="double" w:sz="6" w:space="0" w:color="000000"/>
            </w:tcBorders>
            <w:vAlign w:val="center"/>
          </w:tcPr>
          <w:p w:rsidR="005D57C7" w:rsidRPr="00FA1AA3" w:rsidP="000129C2" w14:paraId="35F11500" w14:textId="053EC135">
            <w:pPr>
              <w:tabs>
                <w:tab w:val="left" w:pos="-734"/>
                <w:tab w:val="left" w:pos="544"/>
                <w:tab w:val="left" w:pos="814"/>
              </w:tabs>
              <w:jc w:val="center"/>
              <w:rPr>
                <w:rFonts w:ascii="Times New Roman" w:hAnsi="Times New Roman"/>
                <w:sz w:val="22"/>
                <w:szCs w:val="22"/>
              </w:rPr>
            </w:pPr>
            <w:r w:rsidRPr="00FA1AA3">
              <w:rPr>
                <w:rFonts w:ascii="Times New Roman" w:hAnsi="Times New Roman"/>
                <w:sz w:val="22"/>
                <w:szCs w:val="22"/>
              </w:rPr>
              <w:t>June 20</w:t>
            </w:r>
            <w:r w:rsidRPr="00FA1AA3" w:rsidR="00222D81">
              <w:rPr>
                <w:rFonts w:ascii="Times New Roman" w:hAnsi="Times New Roman"/>
                <w:sz w:val="22"/>
                <w:szCs w:val="22"/>
              </w:rPr>
              <w:t>2</w:t>
            </w:r>
            <w:r w:rsidRPr="00FA1AA3" w:rsidR="00FA1AA3">
              <w:rPr>
                <w:rFonts w:ascii="Times New Roman" w:hAnsi="Times New Roman"/>
                <w:sz w:val="22"/>
                <w:szCs w:val="22"/>
              </w:rPr>
              <w:t>7</w:t>
            </w:r>
          </w:p>
        </w:tc>
      </w:tr>
      <w:tr w14:paraId="77259EA0" w14:textId="77777777" w:rsidTr="00C249BA">
        <w:tblPrEx>
          <w:tblW w:w="9143" w:type="dxa"/>
          <w:tblInd w:w="427" w:type="dxa"/>
          <w:tblLayout w:type="fixed"/>
          <w:tblCellMar>
            <w:left w:w="120" w:type="dxa"/>
            <w:right w:w="120" w:type="dxa"/>
          </w:tblCellMar>
          <w:tblLook w:val="04A0"/>
        </w:tblPrEx>
        <w:trPr>
          <w:cantSplit/>
          <w:trHeight w:val="46"/>
        </w:trPr>
        <w:tc>
          <w:tcPr>
            <w:tcW w:w="6750" w:type="dxa"/>
            <w:tcBorders>
              <w:top w:val="single" w:sz="8" w:space="0" w:color="000000"/>
              <w:left w:val="double" w:sz="6" w:space="0" w:color="000000"/>
              <w:bottom w:val="single" w:sz="8" w:space="0" w:color="000000"/>
              <w:right w:val="single" w:sz="8" w:space="0" w:color="000000"/>
            </w:tcBorders>
            <w:vAlign w:val="center"/>
          </w:tcPr>
          <w:p w:rsidR="005D57C7" w:rsidRPr="00222D81" w:rsidP="000129C2" w14:paraId="57572D1B" w14:textId="77777777">
            <w:pPr>
              <w:tabs>
                <w:tab w:val="left" w:pos="-734"/>
                <w:tab w:val="left" w:pos="544"/>
                <w:tab w:val="left" w:pos="814"/>
              </w:tabs>
              <w:rPr>
                <w:rFonts w:ascii="Times New Roman" w:hAnsi="Times New Roman"/>
                <w:sz w:val="22"/>
                <w:szCs w:val="22"/>
              </w:rPr>
            </w:pPr>
            <w:r w:rsidRPr="00222D81">
              <w:rPr>
                <w:rFonts w:ascii="Times New Roman" w:hAnsi="Times New Roman"/>
                <w:sz w:val="22"/>
                <w:szCs w:val="22"/>
              </w:rPr>
              <w:t>LIHEAP Report to Congress - Part II: Home Energy Data</w:t>
            </w:r>
          </w:p>
        </w:tc>
        <w:tc>
          <w:tcPr>
            <w:tcW w:w="2393" w:type="dxa"/>
            <w:tcBorders>
              <w:top w:val="single" w:sz="8" w:space="0" w:color="000000"/>
              <w:left w:val="single" w:sz="8" w:space="0" w:color="000000"/>
              <w:bottom w:val="single" w:sz="8" w:space="0" w:color="000000"/>
              <w:right w:val="double" w:sz="6" w:space="0" w:color="000000"/>
            </w:tcBorders>
            <w:vAlign w:val="center"/>
          </w:tcPr>
          <w:p w:rsidR="005D57C7" w:rsidRPr="00FA1AA3" w:rsidP="000129C2" w14:paraId="466A4D55" w14:textId="5414D165">
            <w:pPr>
              <w:tabs>
                <w:tab w:val="left" w:pos="-734"/>
                <w:tab w:val="left" w:pos="544"/>
                <w:tab w:val="left" w:pos="814"/>
              </w:tabs>
              <w:jc w:val="center"/>
              <w:rPr>
                <w:rFonts w:ascii="Times New Roman" w:hAnsi="Times New Roman"/>
                <w:sz w:val="22"/>
                <w:szCs w:val="22"/>
              </w:rPr>
            </w:pPr>
            <w:r w:rsidRPr="00FA1AA3">
              <w:rPr>
                <w:rFonts w:ascii="Times New Roman" w:hAnsi="Times New Roman"/>
                <w:sz w:val="22"/>
                <w:szCs w:val="22"/>
              </w:rPr>
              <w:t>September 20</w:t>
            </w:r>
            <w:r w:rsidRPr="00FA1AA3" w:rsidR="00222D81">
              <w:rPr>
                <w:rFonts w:ascii="Times New Roman" w:hAnsi="Times New Roman"/>
                <w:sz w:val="22"/>
                <w:szCs w:val="22"/>
              </w:rPr>
              <w:t>2</w:t>
            </w:r>
            <w:r w:rsidRPr="00FA1AA3" w:rsidR="00FA1AA3">
              <w:rPr>
                <w:rFonts w:ascii="Times New Roman" w:hAnsi="Times New Roman"/>
                <w:sz w:val="22"/>
                <w:szCs w:val="22"/>
              </w:rPr>
              <w:t>7</w:t>
            </w:r>
          </w:p>
        </w:tc>
      </w:tr>
      <w:tr w14:paraId="6984E52F" w14:textId="77777777" w:rsidTr="00C249BA">
        <w:tblPrEx>
          <w:tblW w:w="9143" w:type="dxa"/>
          <w:tblInd w:w="427" w:type="dxa"/>
          <w:tblLayout w:type="fixed"/>
          <w:tblCellMar>
            <w:left w:w="120" w:type="dxa"/>
            <w:right w:w="120" w:type="dxa"/>
          </w:tblCellMar>
          <w:tblLook w:val="04A0"/>
        </w:tblPrEx>
        <w:trPr>
          <w:cantSplit/>
          <w:trHeight w:val="46"/>
        </w:trPr>
        <w:tc>
          <w:tcPr>
            <w:tcW w:w="6750" w:type="dxa"/>
            <w:tcBorders>
              <w:top w:val="single" w:sz="8" w:space="0" w:color="000000"/>
              <w:left w:val="double" w:sz="6" w:space="0" w:color="000000"/>
              <w:bottom w:val="single" w:sz="8" w:space="0" w:color="000000"/>
              <w:right w:val="single" w:sz="8" w:space="0" w:color="000000"/>
            </w:tcBorders>
            <w:vAlign w:val="center"/>
          </w:tcPr>
          <w:p w:rsidR="00FC2F19" w:rsidRPr="00222D81" w:rsidP="000129C2" w14:paraId="3C39C4F1" w14:textId="3D9C2897">
            <w:pPr>
              <w:tabs>
                <w:tab w:val="left" w:pos="-734"/>
                <w:tab w:val="left" w:pos="544"/>
                <w:tab w:val="left" w:pos="814"/>
              </w:tabs>
              <w:rPr>
                <w:rFonts w:ascii="Times New Roman" w:hAnsi="Times New Roman"/>
                <w:sz w:val="22"/>
                <w:szCs w:val="22"/>
              </w:rPr>
            </w:pPr>
            <w:r>
              <w:rPr>
                <w:rFonts w:ascii="Times New Roman" w:hAnsi="Times New Roman"/>
                <w:sz w:val="22"/>
                <w:szCs w:val="22"/>
              </w:rPr>
              <w:t>Update the LIHEAP funding formula</w:t>
            </w:r>
          </w:p>
        </w:tc>
        <w:tc>
          <w:tcPr>
            <w:tcW w:w="2393" w:type="dxa"/>
            <w:tcBorders>
              <w:top w:val="single" w:sz="8" w:space="0" w:color="000000"/>
              <w:left w:val="single" w:sz="8" w:space="0" w:color="000000"/>
              <w:bottom w:val="single" w:sz="8" w:space="0" w:color="000000"/>
              <w:right w:val="double" w:sz="6" w:space="0" w:color="000000"/>
            </w:tcBorders>
            <w:vAlign w:val="center"/>
          </w:tcPr>
          <w:p w:rsidR="00FC2F19" w:rsidRPr="00FA1AA3" w:rsidP="000129C2" w14:paraId="0F451D62" w14:textId="274CE05F">
            <w:pPr>
              <w:tabs>
                <w:tab w:val="left" w:pos="-734"/>
                <w:tab w:val="left" w:pos="544"/>
                <w:tab w:val="left" w:pos="814"/>
              </w:tabs>
              <w:jc w:val="center"/>
              <w:rPr>
                <w:rFonts w:ascii="Times New Roman" w:hAnsi="Times New Roman"/>
                <w:sz w:val="22"/>
                <w:szCs w:val="22"/>
              </w:rPr>
            </w:pPr>
            <w:r>
              <w:rPr>
                <w:rFonts w:ascii="Times New Roman" w:hAnsi="Times New Roman"/>
                <w:sz w:val="22"/>
                <w:szCs w:val="22"/>
              </w:rPr>
              <w:t>Summer 2027</w:t>
            </w:r>
          </w:p>
        </w:tc>
      </w:tr>
    </w:tbl>
    <w:p w:rsidR="005D57C7" w:rsidRPr="00222D81" w:rsidP="005D57C7" w14:paraId="79435DC7" w14:textId="416B0996">
      <w:pPr>
        <w:ind w:left="720"/>
        <w:rPr>
          <w:rFonts w:ascii="Times New Roman" w:hAnsi="Times New Roman"/>
          <w:i/>
          <w:sz w:val="22"/>
        </w:rPr>
      </w:pPr>
      <w:r w:rsidRPr="00222D81">
        <w:rPr>
          <w:rFonts w:ascii="Times New Roman" w:hAnsi="Times New Roman"/>
          <w:i/>
          <w:sz w:val="22"/>
        </w:rPr>
        <w:t>* The activity depends upon the execution of the government’s plan to revise the LIHEAP Report to Congress and the LIHEAP Home Energy Notebook.</w:t>
      </w:r>
    </w:p>
    <w:p w:rsidR="005D57C7" w:rsidRPr="00222D81" w:rsidP="005D57C7" w14:paraId="28718CA9" w14:textId="6FCF1828">
      <w:pPr>
        <w:ind w:left="720"/>
        <w:rPr>
          <w:rFonts w:ascii="Times New Roman" w:hAnsi="Times New Roman"/>
          <w:i/>
          <w:sz w:val="22"/>
        </w:rPr>
      </w:pPr>
      <w:r w:rsidRPr="00222D81">
        <w:rPr>
          <w:rFonts w:ascii="Times New Roman" w:hAnsi="Times New Roman"/>
          <w:i/>
          <w:sz w:val="22"/>
        </w:rPr>
        <w:t xml:space="preserve">** Publication is dependent upon the </w:t>
      </w:r>
      <w:r w:rsidR="00EE32A4">
        <w:rPr>
          <w:rFonts w:ascii="Times New Roman" w:hAnsi="Times New Roman"/>
          <w:i/>
          <w:sz w:val="22"/>
        </w:rPr>
        <w:t>d</w:t>
      </w:r>
      <w:r w:rsidRPr="00222D81">
        <w:rPr>
          <w:rFonts w:ascii="Times New Roman" w:hAnsi="Times New Roman"/>
          <w:i/>
          <w:sz w:val="22"/>
        </w:rPr>
        <w:t>epartment’s clearance process.</w:t>
      </w:r>
    </w:p>
    <w:p w:rsidR="005D57C7" w:rsidRPr="005D57C7" w:rsidP="005D57C7" w14:paraId="272E027E" w14:textId="77777777">
      <w:pPr>
        <w:ind w:left="720"/>
        <w:rPr>
          <w:rFonts w:ascii="Times New Roman" w:hAnsi="Times New Roman"/>
          <w:i/>
          <w:sz w:val="22"/>
        </w:rPr>
      </w:pPr>
      <w:r w:rsidRPr="00222D81">
        <w:rPr>
          <w:rFonts w:ascii="Times New Roman" w:hAnsi="Times New Roman"/>
          <w:i/>
          <w:sz w:val="22"/>
        </w:rPr>
        <w:t>*** This is the preliminary planned Special Study topic.</w:t>
      </w:r>
    </w:p>
    <w:p w:rsidR="007935D5" w:rsidRPr="002A2F20" w:rsidP="004F7B95" w14:paraId="72630C8F" w14:textId="77777777">
      <w:pPr>
        <w:widowControl/>
        <w:ind w:left="720"/>
        <w:rPr>
          <w:rFonts w:ascii="Times New Roman" w:hAnsi="Times New Roman"/>
          <w:snapToGrid/>
          <w:sz w:val="24"/>
          <w:szCs w:val="24"/>
          <w:highlight w:val="yellow"/>
        </w:rPr>
      </w:pPr>
    </w:p>
    <w:p w:rsidR="002C3C4F" w:rsidRPr="00311023" w:rsidP="00311023" w14:paraId="5CE5AD9A" w14:textId="77777777">
      <w:pPr>
        <w:widowControl/>
        <w:numPr>
          <w:ilvl w:val="0"/>
          <w:numId w:val="3"/>
        </w:numPr>
        <w:tabs>
          <w:tab w:val="left" w:pos="360"/>
          <w:tab w:val="clear" w:pos="72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Reason(s) Display of OMB Expiration Date is Inappropriate </w:t>
      </w:r>
    </w:p>
    <w:p w:rsidR="00E814F8" w:rsidRPr="00222D81" w:rsidP="00E814F8" w14:paraId="5D19C54C" w14:textId="3CB2522A">
      <w:pPr>
        <w:widowControl/>
        <w:ind w:left="360"/>
        <w:rPr>
          <w:rFonts w:ascii="Times New Roman" w:hAnsi="Times New Roman"/>
          <w:snapToGrid/>
          <w:sz w:val="24"/>
          <w:szCs w:val="24"/>
        </w:rPr>
      </w:pPr>
      <w:r w:rsidRPr="00222D81">
        <w:rPr>
          <w:rFonts w:ascii="Times New Roman" w:hAnsi="Times New Roman"/>
          <w:snapToGrid/>
          <w:sz w:val="24"/>
          <w:szCs w:val="24"/>
        </w:rPr>
        <w:t>No</w:t>
      </w:r>
      <w:r w:rsidR="004821C4">
        <w:rPr>
          <w:rFonts w:ascii="Times New Roman" w:hAnsi="Times New Roman"/>
          <w:snapToGrid/>
          <w:sz w:val="24"/>
          <w:szCs w:val="24"/>
        </w:rPr>
        <w:t xml:space="preserve">t </w:t>
      </w:r>
      <w:r w:rsidRPr="00222D81">
        <w:rPr>
          <w:rFonts w:ascii="Times New Roman" w:hAnsi="Times New Roman"/>
          <w:snapToGrid/>
          <w:sz w:val="24"/>
          <w:szCs w:val="24"/>
        </w:rPr>
        <w:t>applicable.</w:t>
      </w:r>
    </w:p>
    <w:p w:rsidR="00D60543" w:rsidRPr="00222D81" w:rsidP="00D60543" w14:paraId="7649A16C" w14:textId="77777777">
      <w:pPr>
        <w:widowControl/>
        <w:rPr>
          <w:rFonts w:ascii="Times New Roman" w:hAnsi="Times New Roman"/>
          <w:snapToGrid/>
          <w:sz w:val="24"/>
          <w:szCs w:val="24"/>
        </w:rPr>
      </w:pPr>
    </w:p>
    <w:p w:rsidR="002C3C4F" w:rsidRPr="00311023" w:rsidP="00311023" w14:paraId="01C29EF4"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311023">
        <w:rPr>
          <w:rFonts w:ascii="Times New Roman" w:hAnsi="Times New Roman"/>
          <w:b/>
          <w:snapToGrid/>
          <w:sz w:val="24"/>
          <w:szCs w:val="24"/>
        </w:rPr>
        <w:t>Exceptions to Certification for Paperwork Reduction Act Submissions</w:t>
      </w:r>
    </w:p>
    <w:p w:rsidR="00EC698B" w:rsidRPr="00092A03" w:rsidP="00092A03" w14:paraId="517B25F4" w14:textId="1DFE7093">
      <w:pPr>
        <w:widowControl/>
        <w:ind w:left="360"/>
        <w:rPr>
          <w:rFonts w:ascii="Times New Roman" w:hAnsi="Times New Roman"/>
          <w:snapToGrid/>
          <w:sz w:val="24"/>
          <w:szCs w:val="24"/>
        </w:rPr>
      </w:pPr>
      <w:r w:rsidRPr="00092A03">
        <w:rPr>
          <w:rFonts w:ascii="Times New Roman" w:hAnsi="Times New Roman"/>
          <w:snapToGrid/>
          <w:sz w:val="24"/>
          <w:szCs w:val="24"/>
        </w:rPr>
        <w:t>No exceptions are necessary for this information collection.</w:t>
      </w:r>
    </w:p>
    <w:sectPr w:rsidSect="00AC24C9">
      <w:endnotePr>
        <w:numFmt w:val="decimal"/>
      </w:endnotePr>
      <w:type w:val="continuous"/>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28DC" w14:paraId="6C791620" w14:textId="77777777">
      <w:pPr>
        <w:spacing w:line="20" w:lineRule="exact"/>
        <w:rPr>
          <w:sz w:val="24"/>
        </w:rPr>
      </w:pPr>
    </w:p>
  </w:endnote>
  <w:endnote w:type="continuationSeparator" w:id="1">
    <w:p w:rsidR="00DA28DC" w14:paraId="0F9F958F" w14:textId="77777777">
      <w:r>
        <w:rPr>
          <w:sz w:val="24"/>
        </w:rPr>
        <w:t xml:space="preserve"> </w:t>
      </w:r>
    </w:p>
  </w:endnote>
  <w:endnote w:type="continuationNotice" w:id="2">
    <w:p w:rsidR="00DA28DC" w14:paraId="47CD203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D18" w14:paraId="38E96EE9" w14:textId="77777777">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28DC" w14:paraId="4AE3AFC5" w14:textId="77777777">
      <w:r>
        <w:rPr>
          <w:sz w:val="24"/>
        </w:rPr>
        <w:separator/>
      </w:r>
    </w:p>
  </w:footnote>
  <w:footnote w:type="continuationSeparator" w:id="1">
    <w:p w:rsidR="00DA28DC" w14:paraId="3B63FC81" w14:textId="77777777">
      <w:r>
        <w:continuationSeparator/>
      </w:r>
    </w:p>
  </w:footnote>
  <w:footnote w:type="continuationNotice" w:id="2">
    <w:p w:rsidR="00DA28DC" w14:paraId="30D7F87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26475"/>
    <w:multiLevelType w:val="hybridMultilevel"/>
    <w:tmpl w:val="583A08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EA84F7A"/>
    <w:multiLevelType w:val="multilevel"/>
    <w:tmpl w:val="0682220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B2DED"/>
    <w:multiLevelType w:val="hybridMultilevel"/>
    <w:tmpl w:val="4EE05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50C0F0C"/>
    <w:multiLevelType w:val="hybridMultilevel"/>
    <w:tmpl w:val="DF845D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A5F5E66"/>
    <w:multiLevelType w:val="hybridMultilevel"/>
    <w:tmpl w:val="8A7E87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86655958">
    <w:abstractNumId w:val="12"/>
  </w:num>
  <w:num w:numId="2" w16cid:durableId="1382680099">
    <w:abstractNumId w:val="14"/>
  </w:num>
  <w:num w:numId="3" w16cid:durableId="243956149">
    <w:abstractNumId w:val="17"/>
  </w:num>
  <w:num w:numId="4" w16cid:durableId="1634404851">
    <w:abstractNumId w:val="5"/>
  </w:num>
  <w:num w:numId="5" w16cid:durableId="1371149137">
    <w:abstractNumId w:val="8"/>
  </w:num>
  <w:num w:numId="6" w16cid:durableId="1802648984">
    <w:abstractNumId w:val="11"/>
  </w:num>
  <w:num w:numId="7" w16cid:durableId="1380864303">
    <w:abstractNumId w:val="2"/>
  </w:num>
  <w:num w:numId="8" w16cid:durableId="761754643">
    <w:abstractNumId w:val="10"/>
  </w:num>
  <w:num w:numId="9" w16cid:durableId="771049088">
    <w:abstractNumId w:val="18"/>
  </w:num>
  <w:num w:numId="10" w16cid:durableId="532965231">
    <w:abstractNumId w:val="9"/>
  </w:num>
  <w:num w:numId="11" w16cid:durableId="1317568384">
    <w:abstractNumId w:val="7"/>
  </w:num>
  <w:num w:numId="12" w16cid:durableId="1267884914">
    <w:abstractNumId w:val="0"/>
  </w:num>
  <w:num w:numId="13" w16cid:durableId="435826737">
    <w:abstractNumId w:val="19"/>
  </w:num>
  <w:num w:numId="14" w16cid:durableId="1991326900">
    <w:abstractNumId w:val="1"/>
  </w:num>
  <w:num w:numId="15" w16cid:durableId="704790274">
    <w:abstractNumId w:val="3"/>
  </w:num>
  <w:num w:numId="16" w16cid:durableId="572660658">
    <w:abstractNumId w:val="16"/>
  </w:num>
  <w:num w:numId="17" w16cid:durableId="1592810080">
    <w:abstractNumId w:val="20"/>
  </w:num>
  <w:num w:numId="18" w16cid:durableId="742486190">
    <w:abstractNumId w:val="4"/>
  </w:num>
  <w:num w:numId="19" w16cid:durableId="943414897">
    <w:abstractNumId w:val="15"/>
  </w:num>
  <w:num w:numId="20" w16cid:durableId="186023516">
    <w:abstractNumId w:val="13"/>
  </w:num>
  <w:num w:numId="21" w16cid:durableId="1496915339">
    <w:abstractNumId w:val="21"/>
  </w:num>
  <w:num w:numId="22" w16cid:durableId="1750810779">
    <w:abstractNumId w:val="6"/>
  </w:num>
  <w:num w:numId="23" w16cid:durableId="8858013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4E1"/>
    <w:rsid w:val="00001CEA"/>
    <w:rsid w:val="000021FC"/>
    <w:rsid w:val="000129C2"/>
    <w:rsid w:val="0001469D"/>
    <w:rsid w:val="0001642B"/>
    <w:rsid w:val="000230B0"/>
    <w:rsid w:val="0002662D"/>
    <w:rsid w:val="00027155"/>
    <w:rsid w:val="00027B72"/>
    <w:rsid w:val="00041B72"/>
    <w:rsid w:val="000443A5"/>
    <w:rsid w:val="00055C6A"/>
    <w:rsid w:val="0008352A"/>
    <w:rsid w:val="00084E7D"/>
    <w:rsid w:val="0009007E"/>
    <w:rsid w:val="00092A03"/>
    <w:rsid w:val="000A2669"/>
    <w:rsid w:val="000A285D"/>
    <w:rsid w:val="000A77AC"/>
    <w:rsid w:val="000D2739"/>
    <w:rsid w:val="000E21DA"/>
    <w:rsid w:val="000E51D5"/>
    <w:rsid w:val="000F069F"/>
    <w:rsid w:val="000F2636"/>
    <w:rsid w:val="000F4454"/>
    <w:rsid w:val="000F58E6"/>
    <w:rsid w:val="00102200"/>
    <w:rsid w:val="00105351"/>
    <w:rsid w:val="0010719C"/>
    <w:rsid w:val="001140F9"/>
    <w:rsid w:val="001149E3"/>
    <w:rsid w:val="001212F5"/>
    <w:rsid w:val="00121919"/>
    <w:rsid w:val="001273A7"/>
    <w:rsid w:val="001337B5"/>
    <w:rsid w:val="0014145B"/>
    <w:rsid w:val="001505EC"/>
    <w:rsid w:val="00150E27"/>
    <w:rsid w:val="00157881"/>
    <w:rsid w:val="00160621"/>
    <w:rsid w:val="001617E8"/>
    <w:rsid w:val="00162A20"/>
    <w:rsid w:val="00163EF5"/>
    <w:rsid w:val="001663C5"/>
    <w:rsid w:val="0016731A"/>
    <w:rsid w:val="001678A9"/>
    <w:rsid w:val="00167E6B"/>
    <w:rsid w:val="001762C1"/>
    <w:rsid w:val="00181298"/>
    <w:rsid w:val="00186385"/>
    <w:rsid w:val="00186FAD"/>
    <w:rsid w:val="001A227A"/>
    <w:rsid w:val="001B1F6B"/>
    <w:rsid w:val="001B5A67"/>
    <w:rsid w:val="001C1A0F"/>
    <w:rsid w:val="001C382D"/>
    <w:rsid w:val="001C42AC"/>
    <w:rsid w:val="001C483C"/>
    <w:rsid w:val="001C58E4"/>
    <w:rsid w:val="001C7FFE"/>
    <w:rsid w:val="001D1651"/>
    <w:rsid w:val="001D55A3"/>
    <w:rsid w:val="001E660A"/>
    <w:rsid w:val="001F4B90"/>
    <w:rsid w:val="00221DD9"/>
    <w:rsid w:val="00222C7F"/>
    <w:rsid w:val="00222D81"/>
    <w:rsid w:val="00226C42"/>
    <w:rsid w:val="00233D71"/>
    <w:rsid w:val="00234235"/>
    <w:rsid w:val="002351C1"/>
    <w:rsid w:val="002357D9"/>
    <w:rsid w:val="00236C27"/>
    <w:rsid w:val="002464EB"/>
    <w:rsid w:val="002509BD"/>
    <w:rsid w:val="00253CAA"/>
    <w:rsid w:val="00254C49"/>
    <w:rsid w:val="00256413"/>
    <w:rsid w:val="002627DC"/>
    <w:rsid w:val="002635A1"/>
    <w:rsid w:val="00284226"/>
    <w:rsid w:val="00285599"/>
    <w:rsid w:val="00290A1C"/>
    <w:rsid w:val="0029589B"/>
    <w:rsid w:val="00296738"/>
    <w:rsid w:val="002A2F20"/>
    <w:rsid w:val="002A2FCB"/>
    <w:rsid w:val="002A4281"/>
    <w:rsid w:val="002B32C4"/>
    <w:rsid w:val="002B522F"/>
    <w:rsid w:val="002C3C4F"/>
    <w:rsid w:val="002C4F0A"/>
    <w:rsid w:val="002D3C0F"/>
    <w:rsid w:val="002D3DE2"/>
    <w:rsid w:val="002E10D1"/>
    <w:rsid w:val="002F293A"/>
    <w:rsid w:val="002F71D3"/>
    <w:rsid w:val="0030161C"/>
    <w:rsid w:val="00310594"/>
    <w:rsid w:val="00311023"/>
    <w:rsid w:val="00316937"/>
    <w:rsid w:val="00320BB9"/>
    <w:rsid w:val="00331C45"/>
    <w:rsid w:val="00334AC2"/>
    <w:rsid w:val="0033508C"/>
    <w:rsid w:val="003405A4"/>
    <w:rsid w:val="00354319"/>
    <w:rsid w:val="003548C1"/>
    <w:rsid w:val="00354B20"/>
    <w:rsid w:val="003556D8"/>
    <w:rsid w:val="00372E1E"/>
    <w:rsid w:val="00376827"/>
    <w:rsid w:val="00381B36"/>
    <w:rsid w:val="00381BAE"/>
    <w:rsid w:val="0038209B"/>
    <w:rsid w:val="0039514B"/>
    <w:rsid w:val="003B3329"/>
    <w:rsid w:val="003B3813"/>
    <w:rsid w:val="003B7A50"/>
    <w:rsid w:val="003B7EFB"/>
    <w:rsid w:val="003C1D6E"/>
    <w:rsid w:val="003C4285"/>
    <w:rsid w:val="003D4435"/>
    <w:rsid w:val="003D7D42"/>
    <w:rsid w:val="003E6EA3"/>
    <w:rsid w:val="003E7EC1"/>
    <w:rsid w:val="003F798F"/>
    <w:rsid w:val="0040017A"/>
    <w:rsid w:val="004003A6"/>
    <w:rsid w:val="00400C9F"/>
    <w:rsid w:val="00404EA7"/>
    <w:rsid w:val="00405C10"/>
    <w:rsid w:val="00407D6A"/>
    <w:rsid w:val="004110F5"/>
    <w:rsid w:val="00416970"/>
    <w:rsid w:val="0043277A"/>
    <w:rsid w:val="0043755A"/>
    <w:rsid w:val="00445069"/>
    <w:rsid w:val="004524BD"/>
    <w:rsid w:val="004602FE"/>
    <w:rsid w:val="004637CF"/>
    <w:rsid w:val="00467954"/>
    <w:rsid w:val="0047610D"/>
    <w:rsid w:val="00476C1F"/>
    <w:rsid w:val="00480072"/>
    <w:rsid w:val="004821C4"/>
    <w:rsid w:val="0048510D"/>
    <w:rsid w:val="00490457"/>
    <w:rsid w:val="0049119A"/>
    <w:rsid w:val="00492339"/>
    <w:rsid w:val="004943E0"/>
    <w:rsid w:val="00495E1C"/>
    <w:rsid w:val="00497E92"/>
    <w:rsid w:val="004B2AA7"/>
    <w:rsid w:val="004C4019"/>
    <w:rsid w:val="004C44AE"/>
    <w:rsid w:val="004C5851"/>
    <w:rsid w:val="004C6FDF"/>
    <w:rsid w:val="004F45CE"/>
    <w:rsid w:val="004F7B95"/>
    <w:rsid w:val="00502676"/>
    <w:rsid w:val="0051046C"/>
    <w:rsid w:val="0051278C"/>
    <w:rsid w:val="005168B1"/>
    <w:rsid w:val="00516A1B"/>
    <w:rsid w:val="005201CF"/>
    <w:rsid w:val="00522234"/>
    <w:rsid w:val="00522C18"/>
    <w:rsid w:val="00525539"/>
    <w:rsid w:val="005337AB"/>
    <w:rsid w:val="00533C08"/>
    <w:rsid w:val="00534AED"/>
    <w:rsid w:val="00541E51"/>
    <w:rsid w:val="00543DF2"/>
    <w:rsid w:val="0054587A"/>
    <w:rsid w:val="005520C3"/>
    <w:rsid w:val="00556056"/>
    <w:rsid w:val="00561D92"/>
    <w:rsid w:val="00562D57"/>
    <w:rsid w:val="00567070"/>
    <w:rsid w:val="0057134B"/>
    <w:rsid w:val="0057388A"/>
    <w:rsid w:val="00574E55"/>
    <w:rsid w:val="00576046"/>
    <w:rsid w:val="00576878"/>
    <w:rsid w:val="005824BD"/>
    <w:rsid w:val="00587FA9"/>
    <w:rsid w:val="00597E7F"/>
    <w:rsid w:val="005A0C06"/>
    <w:rsid w:val="005A7483"/>
    <w:rsid w:val="005B22D4"/>
    <w:rsid w:val="005B51FE"/>
    <w:rsid w:val="005B6732"/>
    <w:rsid w:val="005C38BA"/>
    <w:rsid w:val="005C60F1"/>
    <w:rsid w:val="005C6C4D"/>
    <w:rsid w:val="005D1B7E"/>
    <w:rsid w:val="005D274E"/>
    <w:rsid w:val="005D57C7"/>
    <w:rsid w:val="005D61DB"/>
    <w:rsid w:val="005D6904"/>
    <w:rsid w:val="005E0B35"/>
    <w:rsid w:val="005F0ED4"/>
    <w:rsid w:val="005F0F6A"/>
    <w:rsid w:val="005F27A0"/>
    <w:rsid w:val="005F7191"/>
    <w:rsid w:val="005F7418"/>
    <w:rsid w:val="0060183F"/>
    <w:rsid w:val="006025AB"/>
    <w:rsid w:val="00603498"/>
    <w:rsid w:val="00607FA1"/>
    <w:rsid w:val="006104B8"/>
    <w:rsid w:val="00617A21"/>
    <w:rsid w:val="00621057"/>
    <w:rsid w:val="00634E1D"/>
    <w:rsid w:val="00637A69"/>
    <w:rsid w:val="00640565"/>
    <w:rsid w:val="00651AB8"/>
    <w:rsid w:val="00651F0F"/>
    <w:rsid w:val="00654513"/>
    <w:rsid w:val="00655015"/>
    <w:rsid w:val="006557BD"/>
    <w:rsid w:val="00655B90"/>
    <w:rsid w:val="00656C03"/>
    <w:rsid w:val="00665DCC"/>
    <w:rsid w:val="00670F63"/>
    <w:rsid w:val="00675BEE"/>
    <w:rsid w:val="00680238"/>
    <w:rsid w:val="00681E38"/>
    <w:rsid w:val="00683A19"/>
    <w:rsid w:val="00685B57"/>
    <w:rsid w:val="00687110"/>
    <w:rsid w:val="00692086"/>
    <w:rsid w:val="006945B6"/>
    <w:rsid w:val="00695298"/>
    <w:rsid w:val="00696B6F"/>
    <w:rsid w:val="006A02FB"/>
    <w:rsid w:val="006A7584"/>
    <w:rsid w:val="006B0E65"/>
    <w:rsid w:val="006B1006"/>
    <w:rsid w:val="006B2726"/>
    <w:rsid w:val="006B7ADD"/>
    <w:rsid w:val="006C161E"/>
    <w:rsid w:val="006D1035"/>
    <w:rsid w:val="006D1643"/>
    <w:rsid w:val="006D2993"/>
    <w:rsid w:val="006D3DBB"/>
    <w:rsid w:val="006D4F8C"/>
    <w:rsid w:val="006D5888"/>
    <w:rsid w:val="006E1C58"/>
    <w:rsid w:val="006E47D0"/>
    <w:rsid w:val="006E52B9"/>
    <w:rsid w:val="006E5816"/>
    <w:rsid w:val="006E6629"/>
    <w:rsid w:val="006F0DF7"/>
    <w:rsid w:val="006F589F"/>
    <w:rsid w:val="006F6777"/>
    <w:rsid w:val="006F68BE"/>
    <w:rsid w:val="006F6D47"/>
    <w:rsid w:val="00701AD4"/>
    <w:rsid w:val="00707AFB"/>
    <w:rsid w:val="00710776"/>
    <w:rsid w:val="00716897"/>
    <w:rsid w:val="00720EC4"/>
    <w:rsid w:val="00731792"/>
    <w:rsid w:val="00731E6F"/>
    <w:rsid w:val="00740641"/>
    <w:rsid w:val="00740EA9"/>
    <w:rsid w:val="007416B9"/>
    <w:rsid w:val="007419D9"/>
    <w:rsid w:val="007456EA"/>
    <w:rsid w:val="00757D7C"/>
    <w:rsid w:val="00762C40"/>
    <w:rsid w:val="00764DBE"/>
    <w:rsid w:val="007676F5"/>
    <w:rsid w:val="00785BC8"/>
    <w:rsid w:val="00785EB3"/>
    <w:rsid w:val="00786793"/>
    <w:rsid w:val="0079001A"/>
    <w:rsid w:val="00790D2C"/>
    <w:rsid w:val="00791F15"/>
    <w:rsid w:val="007935D5"/>
    <w:rsid w:val="007A0FBE"/>
    <w:rsid w:val="007A5994"/>
    <w:rsid w:val="007B1281"/>
    <w:rsid w:val="007B7D18"/>
    <w:rsid w:val="007C53F4"/>
    <w:rsid w:val="007C5E16"/>
    <w:rsid w:val="007C689E"/>
    <w:rsid w:val="007D3451"/>
    <w:rsid w:val="007E48CC"/>
    <w:rsid w:val="007F1D3F"/>
    <w:rsid w:val="007F730C"/>
    <w:rsid w:val="0080227D"/>
    <w:rsid w:val="008024BF"/>
    <w:rsid w:val="0080325F"/>
    <w:rsid w:val="008123B4"/>
    <w:rsid w:val="0081262C"/>
    <w:rsid w:val="00814177"/>
    <w:rsid w:val="00816B84"/>
    <w:rsid w:val="00822FBF"/>
    <w:rsid w:val="00837865"/>
    <w:rsid w:val="008418FF"/>
    <w:rsid w:val="00841BDF"/>
    <w:rsid w:val="008457B5"/>
    <w:rsid w:val="0084609A"/>
    <w:rsid w:val="00846E18"/>
    <w:rsid w:val="008630C2"/>
    <w:rsid w:val="00871109"/>
    <w:rsid w:val="008728D7"/>
    <w:rsid w:val="00887011"/>
    <w:rsid w:val="008900A8"/>
    <w:rsid w:val="008935C6"/>
    <w:rsid w:val="008955AC"/>
    <w:rsid w:val="008A12DE"/>
    <w:rsid w:val="008A3F60"/>
    <w:rsid w:val="008A667E"/>
    <w:rsid w:val="008B232B"/>
    <w:rsid w:val="008B29DA"/>
    <w:rsid w:val="008C22E7"/>
    <w:rsid w:val="008C6BBC"/>
    <w:rsid w:val="008D6317"/>
    <w:rsid w:val="008E04FB"/>
    <w:rsid w:val="008E1ED1"/>
    <w:rsid w:val="008F35B5"/>
    <w:rsid w:val="008F3B6B"/>
    <w:rsid w:val="009050C8"/>
    <w:rsid w:val="009113FF"/>
    <w:rsid w:val="00914CEB"/>
    <w:rsid w:val="00917700"/>
    <w:rsid w:val="00921A82"/>
    <w:rsid w:val="0092311D"/>
    <w:rsid w:val="009253DA"/>
    <w:rsid w:val="009265C4"/>
    <w:rsid w:val="00931592"/>
    <w:rsid w:val="009338D5"/>
    <w:rsid w:val="00936A53"/>
    <w:rsid w:val="0094407D"/>
    <w:rsid w:val="009451B1"/>
    <w:rsid w:val="00945B72"/>
    <w:rsid w:val="0095271C"/>
    <w:rsid w:val="00957799"/>
    <w:rsid w:val="00961B1B"/>
    <w:rsid w:val="00962045"/>
    <w:rsid w:val="0096482D"/>
    <w:rsid w:val="00966622"/>
    <w:rsid w:val="00972003"/>
    <w:rsid w:val="0097798A"/>
    <w:rsid w:val="00982B13"/>
    <w:rsid w:val="009840C0"/>
    <w:rsid w:val="0099009A"/>
    <w:rsid w:val="00994BAF"/>
    <w:rsid w:val="009A548F"/>
    <w:rsid w:val="009C2DE1"/>
    <w:rsid w:val="009E15D6"/>
    <w:rsid w:val="009E1A69"/>
    <w:rsid w:val="009E2AAD"/>
    <w:rsid w:val="009E2B89"/>
    <w:rsid w:val="009E4EA7"/>
    <w:rsid w:val="009E6157"/>
    <w:rsid w:val="009F052C"/>
    <w:rsid w:val="009F5543"/>
    <w:rsid w:val="009F58E1"/>
    <w:rsid w:val="00A04EF3"/>
    <w:rsid w:val="00A069D5"/>
    <w:rsid w:val="00A13737"/>
    <w:rsid w:val="00A160B5"/>
    <w:rsid w:val="00A22005"/>
    <w:rsid w:val="00A24796"/>
    <w:rsid w:val="00A313F6"/>
    <w:rsid w:val="00A33167"/>
    <w:rsid w:val="00A37EDC"/>
    <w:rsid w:val="00A46DAB"/>
    <w:rsid w:val="00A53A72"/>
    <w:rsid w:val="00A54DDC"/>
    <w:rsid w:val="00A61AC0"/>
    <w:rsid w:val="00A65006"/>
    <w:rsid w:val="00A72C7E"/>
    <w:rsid w:val="00A76D5F"/>
    <w:rsid w:val="00A77AC0"/>
    <w:rsid w:val="00A804FC"/>
    <w:rsid w:val="00A82E58"/>
    <w:rsid w:val="00A8727E"/>
    <w:rsid w:val="00A8761C"/>
    <w:rsid w:val="00A90A32"/>
    <w:rsid w:val="00A918E4"/>
    <w:rsid w:val="00A95AA5"/>
    <w:rsid w:val="00A95B8D"/>
    <w:rsid w:val="00AA7B9B"/>
    <w:rsid w:val="00AB0293"/>
    <w:rsid w:val="00AC24C9"/>
    <w:rsid w:val="00AC5D3A"/>
    <w:rsid w:val="00AC6052"/>
    <w:rsid w:val="00AD16F8"/>
    <w:rsid w:val="00AD2BCB"/>
    <w:rsid w:val="00AD5ED7"/>
    <w:rsid w:val="00AD71A7"/>
    <w:rsid w:val="00AE218E"/>
    <w:rsid w:val="00AE4C91"/>
    <w:rsid w:val="00AE6077"/>
    <w:rsid w:val="00AF399C"/>
    <w:rsid w:val="00AF4347"/>
    <w:rsid w:val="00AF5FE7"/>
    <w:rsid w:val="00AF6A83"/>
    <w:rsid w:val="00AF6B25"/>
    <w:rsid w:val="00B01032"/>
    <w:rsid w:val="00B01401"/>
    <w:rsid w:val="00B0399B"/>
    <w:rsid w:val="00B17B53"/>
    <w:rsid w:val="00B27347"/>
    <w:rsid w:val="00B2758C"/>
    <w:rsid w:val="00B406C8"/>
    <w:rsid w:val="00B42F2A"/>
    <w:rsid w:val="00B432E7"/>
    <w:rsid w:val="00B43D40"/>
    <w:rsid w:val="00B4455E"/>
    <w:rsid w:val="00B472DA"/>
    <w:rsid w:val="00B57531"/>
    <w:rsid w:val="00B67600"/>
    <w:rsid w:val="00B74E6F"/>
    <w:rsid w:val="00B75B53"/>
    <w:rsid w:val="00B84243"/>
    <w:rsid w:val="00B84C3D"/>
    <w:rsid w:val="00B928EF"/>
    <w:rsid w:val="00B95B66"/>
    <w:rsid w:val="00BA6EBB"/>
    <w:rsid w:val="00BB1FA5"/>
    <w:rsid w:val="00BB6B69"/>
    <w:rsid w:val="00BB720F"/>
    <w:rsid w:val="00BC4AE8"/>
    <w:rsid w:val="00BC780F"/>
    <w:rsid w:val="00BD0BD3"/>
    <w:rsid w:val="00BD246D"/>
    <w:rsid w:val="00BD378C"/>
    <w:rsid w:val="00BE21D9"/>
    <w:rsid w:val="00BE6535"/>
    <w:rsid w:val="00BF75C2"/>
    <w:rsid w:val="00C02282"/>
    <w:rsid w:val="00C04353"/>
    <w:rsid w:val="00C116DA"/>
    <w:rsid w:val="00C13BA6"/>
    <w:rsid w:val="00C20B09"/>
    <w:rsid w:val="00C2214D"/>
    <w:rsid w:val="00C22D3C"/>
    <w:rsid w:val="00C249BA"/>
    <w:rsid w:val="00C24B3C"/>
    <w:rsid w:val="00C355D5"/>
    <w:rsid w:val="00C36407"/>
    <w:rsid w:val="00C455A4"/>
    <w:rsid w:val="00C50186"/>
    <w:rsid w:val="00C5073B"/>
    <w:rsid w:val="00C50A69"/>
    <w:rsid w:val="00C549A4"/>
    <w:rsid w:val="00C827B7"/>
    <w:rsid w:val="00C83281"/>
    <w:rsid w:val="00C84B5D"/>
    <w:rsid w:val="00C858A0"/>
    <w:rsid w:val="00C97023"/>
    <w:rsid w:val="00CA1DF7"/>
    <w:rsid w:val="00CA6881"/>
    <w:rsid w:val="00CB1A12"/>
    <w:rsid w:val="00CB2E3B"/>
    <w:rsid w:val="00CB4668"/>
    <w:rsid w:val="00CD15DC"/>
    <w:rsid w:val="00CD35ED"/>
    <w:rsid w:val="00CD6504"/>
    <w:rsid w:val="00CE4FEA"/>
    <w:rsid w:val="00CE500F"/>
    <w:rsid w:val="00CE53AB"/>
    <w:rsid w:val="00CF2B00"/>
    <w:rsid w:val="00CF584F"/>
    <w:rsid w:val="00D02EF1"/>
    <w:rsid w:val="00D126C7"/>
    <w:rsid w:val="00D12C01"/>
    <w:rsid w:val="00D176EB"/>
    <w:rsid w:val="00D206CA"/>
    <w:rsid w:val="00D22A9E"/>
    <w:rsid w:val="00D248F3"/>
    <w:rsid w:val="00D4227B"/>
    <w:rsid w:val="00D46A74"/>
    <w:rsid w:val="00D547F5"/>
    <w:rsid w:val="00D60543"/>
    <w:rsid w:val="00D6112D"/>
    <w:rsid w:val="00D672B6"/>
    <w:rsid w:val="00D67D80"/>
    <w:rsid w:val="00D70C91"/>
    <w:rsid w:val="00D7347F"/>
    <w:rsid w:val="00D741DA"/>
    <w:rsid w:val="00D8031B"/>
    <w:rsid w:val="00D806D3"/>
    <w:rsid w:val="00D82838"/>
    <w:rsid w:val="00D85A8F"/>
    <w:rsid w:val="00D87BE8"/>
    <w:rsid w:val="00D93C27"/>
    <w:rsid w:val="00D9648C"/>
    <w:rsid w:val="00DA28DC"/>
    <w:rsid w:val="00DA4FE8"/>
    <w:rsid w:val="00DA5D8E"/>
    <w:rsid w:val="00DB2443"/>
    <w:rsid w:val="00DB3EEE"/>
    <w:rsid w:val="00DC1C23"/>
    <w:rsid w:val="00DC216F"/>
    <w:rsid w:val="00DC3719"/>
    <w:rsid w:val="00DD04CE"/>
    <w:rsid w:val="00DD39E5"/>
    <w:rsid w:val="00DE25A3"/>
    <w:rsid w:val="00DE2D9E"/>
    <w:rsid w:val="00DE495E"/>
    <w:rsid w:val="00DF7914"/>
    <w:rsid w:val="00E01B4E"/>
    <w:rsid w:val="00E0253F"/>
    <w:rsid w:val="00E146BA"/>
    <w:rsid w:val="00E33FCA"/>
    <w:rsid w:val="00E349AC"/>
    <w:rsid w:val="00E368FB"/>
    <w:rsid w:val="00E3705E"/>
    <w:rsid w:val="00E40C2B"/>
    <w:rsid w:val="00E41C85"/>
    <w:rsid w:val="00E41F60"/>
    <w:rsid w:val="00E43814"/>
    <w:rsid w:val="00E4383A"/>
    <w:rsid w:val="00E4555C"/>
    <w:rsid w:val="00E4585E"/>
    <w:rsid w:val="00E5198F"/>
    <w:rsid w:val="00E6148B"/>
    <w:rsid w:val="00E64969"/>
    <w:rsid w:val="00E726F7"/>
    <w:rsid w:val="00E814F8"/>
    <w:rsid w:val="00E946E9"/>
    <w:rsid w:val="00E947AF"/>
    <w:rsid w:val="00EA0A6D"/>
    <w:rsid w:val="00EA2A75"/>
    <w:rsid w:val="00EA59DC"/>
    <w:rsid w:val="00EB61D7"/>
    <w:rsid w:val="00EC489C"/>
    <w:rsid w:val="00EC52FA"/>
    <w:rsid w:val="00EC698B"/>
    <w:rsid w:val="00EC6A9A"/>
    <w:rsid w:val="00EC6F46"/>
    <w:rsid w:val="00ED45F2"/>
    <w:rsid w:val="00ED7508"/>
    <w:rsid w:val="00ED782E"/>
    <w:rsid w:val="00ED7AD0"/>
    <w:rsid w:val="00EE1C9A"/>
    <w:rsid w:val="00EE32A4"/>
    <w:rsid w:val="00EE45D6"/>
    <w:rsid w:val="00EE4D5A"/>
    <w:rsid w:val="00EF4B75"/>
    <w:rsid w:val="00EF746E"/>
    <w:rsid w:val="00EF7E21"/>
    <w:rsid w:val="00F0076F"/>
    <w:rsid w:val="00F00810"/>
    <w:rsid w:val="00F02021"/>
    <w:rsid w:val="00F10B17"/>
    <w:rsid w:val="00F10D0B"/>
    <w:rsid w:val="00F10F3F"/>
    <w:rsid w:val="00F125AC"/>
    <w:rsid w:val="00F210CA"/>
    <w:rsid w:val="00F22822"/>
    <w:rsid w:val="00F238C4"/>
    <w:rsid w:val="00F25C20"/>
    <w:rsid w:val="00F317C6"/>
    <w:rsid w:val="00F43DCA"/>
    <w:rsid w:val="00F44C12"/>
    <w:rsid w:val="00F46CA5"/>
    <w:rsid w:val="00F47BEA"/>
    <w:rsid w:val="00F527BD"/>
    <w:rsid w:val="00F5623C"/>
    <w:rsid w:val="00F56E7E"/>
    <w:rsid w:val="00F61894"/>
    <w:rsid w:val="00F64B55"/>
    <w:rsid w:val="00F676CB"/>
    <w:rsid w:val="00F82E5D"/>
    <w:rsid w:val="00F83116"/>
    <w:rsid w:val="00F94130"/>
    <w:rsid w:val="00F952B7"/>
    <w:rsid w:val="00F96FA7"/>
    <w:rsid w:val="00FA10FF"/>
    <w:rsid w:val="00FA1AA3"/>
    <w:rsid w:val="00FA5092"/>
    <w:rsid w:val="00FA6B71"/>
    <w:rsid w:val="00FA7859"/>
    <w:rsid w:val="00FB4221"/>
    <w:rsid w:val="00FB7547"/>
    <w:rsid w:val="00FC2E19"/>
    <w:rsid w:val="00FC2F19"/>
    <w:rsid w:val="00FD11E7"/>
    <w:rsid w:val="00FD1719"/>
    <w:rsid w:val="00FD4615"/>
    <w:rsid w:val="00FD5437"/>
    <w:rsid w:val="00FE0FDC"/>
    <w:rsid w:val="00FF2F77"/>
    <w:rsid w:val="00FF4AD0"/>
    <w:rsid w:val="00FF542F"/>
    <w:rsid w:val="016A8337"/>
    <w:rsid w:val="0EE05C0B"/>
    <w:rsid w:val="10800895"/>
    <w:rsid w:val="113F59FA"/>
    <w:rsid w:val="180B8EDB"/>
    <w:rsid w:val="255303C7"/>
    <w:rsid w:val="2838CE4E"/>
    <w:rsid w:val="3C912A58"/>
    <w:rsid w:val="40E8FE1E"/>
    <w:rsid w:val="47CF0D1A"/>
    <w:rsid w:val="47E86762"/>
    <w:rsid w:val="4C7B2DD5"/>
    <w:rsid w:val="51D45B43"/>
    <w:rsid w:val="550364C8"/>
    <w:rsid w:val="6186B107"/>
    <w:rsid w:val="6DF05ABC"/>
    <w:rsid w:val="75F38D7E"/>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A5581"/>
  <w15:chartTrackingRefBased/>
  <w15:docId w15:val="{9C658AFC-4539-4A56-AF6B-3BFF0AB8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C24C9"/>
    <w:rPr>
      <w:rFonts w:ascii="Times New Roman" w:hAnsi="Times New Roman"/>
    </w:rPr>
  </w:style>
  <w:style w:type="character" w:styleId="FootnoteReference">
    <w:name w:val="footnote reference"/>
    <w:rsid w:val="00AC24C9"/>
    <w:rPr>
      <w:rFonts w:ascii="Times New Roman" w:hAnsi="Times New Roman"/>
      <w:sz w:val="20"/>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2C4F0A"/>
    <w:rPr>
      <w:rFonts w:ascii="Times New Roman" w:hAnsi="Times New Roman"/>
    </w:rPr>
  </w:style>
  <w:style w:type="character" w:customStyle="1" w:styleId="CommentTextChar">
    <w:name w:val="Comment Text Char"/>
    <w:link w:val="CommentText"/>
    <w:rsid w:val="002C4F0A"/>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AC24C9"/>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StyleFootnoteReferenceTimesNewRoman12ptBold">
    <w:name w:val="Style Footnote Reference + Times New Roman 12 pt Bold"/>
    <w:basedOn w:val="FootnoteReference"/>
    <w:rsid w:val="00AC24C9"/>
    <w:rPr>
      <w:rFonts w:ascii="Times New Roman" w:hAnsi="Times New Roman"/>
      <w:b/>
      <w:bCs/>
      <w:sz w:val="20"/>
      <w:vertAlign w:val="superscript"/>
    </w:rPr>
  </w:style>
  <w:style w:type="character" w:styleId="FollowedHyperlink">
    <w:name w:val="FollowedHyperlink"/>
    <w:basedOn w:val="DefaultParagraphFont"/>
    <w:rsid w:val="005A0C06"/>
    <w:rPr>
      <w:color w:val="954F72" w:themeColor="followedHyperlink"/>
      <w:u w:val="single"/>
    </w:rPr>
  </w:style>
  <w:style w:type="character" w:styleId="UnresolvedMention">
    <w:name w:val="Unresolved Mention"/>
    <w:basedOn w:val="DefaultParagraphFont"/>
    <w:uiPriority w:val="99"/>
    <w:semiHidden/>
    <w:unhideWhenUsed/>
    <w:rsid w:val="00F4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yperlink" Target="https://www.opm.gov/policy-data-oversight/pay-leave/salaries-wages/salary-tables/25Tables/html/DCB_h.aspx" TargetMode="External" /><Relationship Id="rId13" Type="http://schemas.openxmlformats.org/officeDocument/2006/relationships/hyperlink" Target="https://www.reginfo.gov/public/do/DownloadDocument?objectID=10113880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EE5FA0D5C409B4CB19AE063449F1C3D" ma:contentTypeVersion="17" ma:contentTypeDescription="Create a new document." ma:contentTypeScope="" ma:versionID="1e8594dc139d2740d564f7a6753db974">
  <xsd:schema xmlns:xsd="http://www.w3.org/2001/XMLSchema" xmlns:xs="http://www.w3.org/2001/XMLSchema" xmlns:p="http://schemas.microsoft.com/office/2006/metadata/properties" xmlns:ns2="44cb4069-6e6f-497d-a4da-ecff6af4d9e3" xmlns:ns3="f5734688-1a09-4fc0-b12b-6446ce190612" targetNamespace="http://schemas.microsoft.com/office/2006/metadata/properties" ma:root="true" ma:fieldsID="b14467a7d37b6d3091c6c9d15dceb886" ns2:_="" ns3:_="">
    <xsd:import namespace="44cb4069-6e6f-497d-a4da-ecff6af4d9e3"/>
    <xsd:import namespace="f5734688-1a09-4fc0-b12b-6446ce1906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734688-1a09-4fc0-b12b-6446ce190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4cb4069-6e6f-497d-a4da-ecff6af4d9e3">ND4KV3KJYZ4J-569044012-3911</_dlc_DocId>
    <_dlc_DocIdUrl xmlns="44cb4069-6e6f-497d-a4da-ecff6af4d9e3">
      <Url>https://hhsgov.sharepoint.com/sites/OCS/div/dea/_layouts/15/DocIdRedir.aspx?ID=ND4KV3KJYZ4J-569044012-3911</Url>
      <Description>ND4KV3KJYZ4J-569044012-3911</Description>
    </_dlc_DocIdUrl>
    <_dlc_DocIdPersistId xmlns="44cb4069-6e6f-497d-a4da-ecff6af4d9e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70D5-FC01-4F1D-A1C9-5875EC3DEBA5}">
  <ds:schemaRefs>
    <ds:schemaRef ds:uri="http://schemas.microsoft.com/sharepoint/events"/>
  </ds:schemaRefs>
</ds:datastoreItem>
</file>

<file path=customXml/itemProps2.xml><?xml version="1.0" encoding="utf-8"?>
<ds:datastoreItem xmlns:ds="http://schemas.openxmlformats.org/officeDocument/2006/customXml" ds:itemID="{7E58BF3F-BEBC-4BC4-BEA2-7181293B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4069-6e6f-497d-a4da-ecff6af4d9e3"/>
    <ds:schemaRef ds:uri="f5734688-1a09-4fc0-b12b-6446ce19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A31BC79A-7720-404B-91CA-61150202EC27}">
  <ds:schemaRefs>
    <ds:schemaRef ds:uri="http://schemas.microsoft.com/office/2006/metadata/properties"/>
    <ds:schemaRef ds:uri="http://schemas.microsoft.com/office/infopath/2007/PartnerControls"/>
    <ds:schemaRef ds:uri="44cb4069-6e6f-497d-a4da-ecff6af4d9e3"/>
  </ds:schemaRefs>
</ds:datastoreItem>
</file>

<file path=customXml/itemProps5.xml><?xml version="1.0" encoding="utf-8"?>
<ds:datastoreItem xmlns:ds="http://schemas.openxmlformats.org/officeDocument/2006/customXml" ds:itemID="{68870294-7153-47C2-A23E-3BA11503546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2779</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Bausch</dc:creator>
  <cp:lastModifiedBy>ACF PRA</cp:lastModifiedBy>
  <cp:revision>3</cp:revision>
  <dcterms:created xsi:type="dcterms:W3CDTF">2026-04-30T18:57:00Z</dcterms:created>
  <dcterms:modified xsi:type="dcterms:W3CDTF">2026-05-01T09:43:00Z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0x0101000EE5FA0D5C409B4CB19AE063449F1C3D</vt:lpwstr>
  </property>
  <property fmtid="{D5CDD505-2E9C-101B-9397-08002B2CF9AE}" pid="3" name="DocumentSetDescription">
    <vt:lpwstr/>
  </property>
  <property fmtid="{D5CDD505-2E9C-101B-9397-08002B2CF9AE}" pid="4" name="MediaServiceImageTags">
    <vt:lpwstr/>
  </property>
  <property fmtid="{D5CDD505-2E9C-101B-9397-08002B2CF9AE}" pid="5" name="SPPCopyMoveEvent">
    <vt:lpwstr>1</vt:lpwstr>
  </property>
  <property fmtid="{D5CDD505-2E9C-101B-9397-08002B2CF9AE}" pid="6" name="URL">
    <vt:lpwstr/>
  </property>
  <property fmtid="{D5CDD505-2E9C-101B-9397-08002B2CF9AE}" pid="7" name="WorkflowChangePath">
    <vt:lpwstr>dcd4658e-bb5d-4d4a-b6e3-2b36798d318c,9;dcd4658e-bb5d-4d4a-b6e3-2b36798d318c,2;</vt:lpwstr>
  </property>
  <property fmtid="{D5CDD505-2E9C-101B-9397-08002B2CF9AE}" pid="8" name="_dlc_DocIdItemGuid">
    <vt:lpwstr>a9e7c99e-d5d8-40e4-9119-57854e1fe0bd</vt:lpwstr>
  </property>
  <property fmtid="{D5CDD505-2E9C-101B-9397-08002B2CF9AE}" pid="9" name="_docset_NoMedatataSyncRequired">
    <vt:lpwstr>False</vt:lpwstr>
  </property>
  <property fmtid="{D5CDD505-2E9C-101B-9397-08002B2CF9AE}" pid="10" name="_ExtendedDescription">
    <vt:lpwstr/>
  </property>
</Properties>
</file>