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1C73" w:rsidP="00110D5F" w14:paraId="21F55826" w14:textId="578FBB70">
      <w:pPr>
        <w:pStyle w:val="ReportCover-Title"/>
        <w:spacing w:line="240" w:lineRule="auto"/>
        <w:rPr>
          <w:rFonts w:ascii="Arial" w:eastAsia="Arial Unicode MS" w:hAnsi="Arial" w:cs="Arial"/>
          <w:noProof/>
          <w:color w:val="auto"/>
        </w:rPr>
      </w:pPr>
    </w:p>
    <w:p w:rsidR="00DE1E3C" w:rsidP="00110D5F" w14:paraId="40169B1E" w14:textId="327A5DBB">
      <w:pPr>
        <w:pStyle w:val="ReportCover-Title"/>
        <w:spacing w:line="240" w:lineRule="auto"/>
        <w:rPr>
          <w:rFonts w:ascii="Arial" w:eastAsia="Arial Unicode MS" w:hAnsi="Arial" w:cs="Arial"/>
          <w:noProof/>
          <w:color w:val="auto"/>
        </w:rPr>
      </w:pPr>
    </w:p>
    <w:p w:rsidR="00DE1E3C" w:rsidP="00110D5F" w14:paraId="1B6A9AEA" w14:textId="31B4CD59">
      <w:pPr>
        <w:pStyle w:val="ReportCover-Title"/>
        <w:spacing w:line="240" w:lineRule="auto"/>
        <w:rPr>
          <w:rFonts w:ascii="Arial" w:eastAsia="Arial Unicode MS" w:hAnsi="Arial" w:cs="Arial"/>
          <w:noProof/>
          <w:color w:val="auto"/>
        </w:rPr>
      </w:pPr>
    </w:p>
    <w:p w:rsidR="00DE1E3C" w:rsidRPr="009139B3" w:rsidP="00110D5F" w14:paraId="0036AC9F" w14:textId="77777777">
      <w:pPr>
        <w:pStyle w:val="ReportCover-Title"/>
        <w:spacing w:line="240" w:lineRule="auto"/>
        <w:rPr>
          <w:rFonts w:ascii="Arial" w:eastAsia="Arial Unicode MS" w:hAnsi="Arial" w:cs="Arial"/>
          <w:noProof/>
          <w:color w:val="auto"/>
        </w:rPr>
      </w:pPr>
    </w:p>
    <w:p w:rsidR="001D1C73" w:rsidRPr="00BD0BA8" w:rsidP="00110D5F" w14:paraId="23B3F2E9" w14:textId="1EB6DB31">
      <w:pPr>
        <w:pStyle w:val="ReportCover-Title"/>
        <w:spacing w:line="240" w:lineRule="auto"/>
        <w:jc w:val="center"/>
        <w:rPr>
          <w:rFonts w:asciiTheme="minorHAnsi" w:hAnsiTheme="minorHAnsi" w:cstheme="minorHAnsi"/>
          <w:color w:val="auto"/>
        </w:rPr>
      </w:pPr>
      <w:r w:rsidRPr="00BD0BA8">
        <w:rPr>
          <w:rFonts w:eastAsia="Arial Unicode MS" w:asciiTheme="minorHAnsi" w:hAnsiTheme="minorHAnsi" w:cstheme="minorHAnsi"/>
          <w:noProof/>
          <w:color w:val="auto"/>
        </w:rPr>
        <w:t>Healthy Marriage and Responsible Fatherhood Performance Measures and Additional Data Collection</w:t>
      </w:r>
      <w:r w:rsidR="00876E39">
        <w:rPr>
          <w:rFonts w:eastAsia="Arial Unicode MS" w:asciiTheme="minorHAnsi" w:hAnsiTheme="minorHAnsi" w:cstheme="minorHAnsi"/>
          <w:noProof/>
          <w:color w:val="auto"/>
        </w:rPr>
        <w:t xml:space="preserve"> – Extension of Approved Collection</w:t>
      </w:r>
    </w:p>
    <w:p w:rsidR="001D1C73" w:rsidRPr="009139B3" w:rsidP="00110D5F" w14:paraId="497A9C33" w14:textId="77777777">
      <w:pPr>
        <w:pStyle w:val="ReportCover-Title"/>
        <w:spacing w:line="240" w:lineRule="auto"/>
        <w:rPr>
          <w:rFonts w:ascii="Arial" w:hAnsi="Arial" w:cs="Arial"/>
          <w:color w:val="auto"/>
        </w:rPr>
      </w:pPr>
    </w:p>
    <w:p w:rsidR="001D1C73" w:rsidRPr="009139B3" w:rsidP="00110D5F" w14:paraId="7FC73C45" w14:textId="77777777">
      <w:pPr>
        <w:pStyle w:val="ReportCover-Title"/>
        <w:spacing w:line="240" w:lineRule="auto"/>
        <w:rPr>
          <w:rFonts w:ascii="Arial" w:hAnsi="Arial" w:cs="Arial"/>
          <w:color w:val="auto"/>
        </w:rPr>
      </w:pPr>
    </w:p>
    <w:p w:rsidR="001D1C73" w:rsidRPr="00BD0BA8" w:rsidP="00110D5F" w14:paraId="19602AEA" w14:textId="77777777">
      <w:pPr>
        <w:pStyle w:val="ReportCover-Title"/>
        <w:spacing w:line="240" w:lineRule="auto"/>
        <w:jc w:val="center"/>
        <w:rPr>
          <w:rFonts w:asciiTheme="minorHAnsi" w:hAnsiTheme="minorHAnsi" w:cstheme="minorHAnsi"/>
          <w:color w:val="auto"/>
          <w:sz w:val="32"/>
          <w:szCs w:val="32"/>
        </w:rPr>
      </w:pPr>
      <w:r w:rsidRPr="00BD0BA8">
        <w:rPr>
          <w:rFonts w:asciiTheme="minorHAnsi" w:hAnsiTheme="minorHAnsi" w:cstheme="minorHAnsi"/>
          <w:color w:val="auto"/>
          <w:sz w:val="32"/>
          <w:szCs w:val="32"/>
        </w:rPr>
        <w:t>OMB Information Collection Request</w:t>
      </w:r>
    </w:p>
    <w:p w:rsidR="001D1C73" w:rsidRPr="00BD0BA8" w:rsidP="00110D5F" w14:paraId="55E63FC4" w14:textId="57B608AF">
      <w:pPr>
        <w:pStyle w:val="ReportCover-Title"/>
        <w:spacing w:line="240" w:lineRule="auto"/>
        <w:jc w:val="center"/>
        <w:rPr>
          <w:rFonts w:asciiTheme="minorHAnsi" w:hAnsiTheme="minorHAnsi" w:cstheme="minorHAnsi"/>
          <w:color w:val="auto"/>
          <w:sz w:val="32"/>
          <w:szCs w:val="32"/>
        </w:rPr>
      </w:pPr>
      <w:r w:rsidRPr="00BD0BA8">
        <w:rPr>
          <w:rFonts w:asciiTheme="minorHAnsi" w:hAnsiTheme="minorHAnsi" w:cstheme="minorHAnsi"/>
          <w:color w:val="auto"/>
          <w:sz w:val="32"/>
          <w:szCs w:val="32"/>
        </w:rPr>
        <w:t>0970-0566</w:t>
      </w:r>
    </w:p>
    <w:p w:rsidR="001D1C73" w:rsidRPr="009139B3" w:rsidP="00110D5F" w14:paraId="7D293284" w14:textId="77777777">
      <w:pPr>
        <w:spacing w:after="0" w:line="240" w:lineRule="auto"/>
        <w:rPr>
          <w:rFonts w:ascii="Arial" w:hAnsi="Arial" w:cs="Arial"/>
        </w:rPr>
      </w:pPr>
    </w:p>
    <w:p w:rsidR="001D1C73" w:rsidRPr="009139B3" w:rsidP="00110D5F" w14:paraId="3083FCDF" w14:textId="77777777">
      <w:pPr>
        <w:spacing w:after="0" w:line="240" w:lineRule="auto"/>
        <w:rPr>
          <w:rFonts w:ascii="Arial" w:hAnsi="Arial" w:cs="Arial"/>
        </w:rPr>
      </w:pPr>
    </w:p>
    <w:p w:rsidR="001D1C73" w:rsidRPr="00BD0BA8" w:rsidP="00110D5F" w14:paraId="64681C62" w14:textId="77777777">
      <w:pPr>
        <w:pStyle w:val="ReportCover-Date"/>
        <w:spacing w:after="0" w:line="240" w:lineRule="auto"/>
        <w:jc w:val="center"/>
        <w:rPr>
          <w:rFonts w:asciiTheme="minorHAnsi" w:hAnsiTheme="minorHAnsi" w:cstheme="minorHAnsi"/>
          <w:color w:val="auto"/>
          <w:sz w:val="48"/>
          <w:szCs w:val="48"/>
        </w:rPr>
      </w:pPr>
      <w:r w:rsidRPr="00BD0BA8">
        <w:rPr>
          <w:rFonts w:asciiTheme="minorHAnsi" w:hAnsiTheme="minorHAnsi" w:cstheme="minorHAnsi"/>
          <w:color w:val="auto"/>
          <w:sz w:val="48"/>
          <w:szCs w:val="48"/>
        </w:rPr>
        <w:t>Supporting Statement</w:t>
      </w:r>
    </w:p>
    <w:p w:rsidR="001D1C73" w:rsidP="00110D5F" w14:paraId="0915D729" w14:textId="6EA3E5BE">
      <w:pPr>
        <w:pStyle w:val="ReportCover-Date"/>
        <w:spacing w:after="0" w:line="240" w:lineRule="auto"/>
        <w:jc w:val="center"/>
        <w:rPr>
          <w:rFonts w:asciiTheme="minorHAnsi" w:hAnsiTheme="minorHAnsi" w:cstheme="minorHAnsi"/>
          <w:color w:val="auto"/>
          <w:sz w:val="48"/>
          <w:szCs w:val="48"/>
        </w:rPr>
      </w:pPr>
      <w:r w:rsidRPr="00BD0BA8">
        <w:rPr>
          <w:rFonts w:asciiTheme="minorHAnsi" w:hAnsiTheme="minorHAnsi" w:cstheme="minorHAnsi"/>
          <w:color w:val="auto"/>
          <w:sz w:val="48"/>
          <w:szCs w:val="48"/>
        </w:rPr>
        <w:t>Part A</w:t>
      </w:r>
    </w:p>
    <w:p w:rsidR="00DE1E3C" w:rsidP="00110D5F" w14:paraId="20B19147" w14:textId="5B7295EA">
      <w:pPr>
        <w:pStyle w:val="ReportCover-Date"/>
        <w:spacing w:after="0" w:line="240" w:lineRule="auto"/>
        <w:jc w:val="center"/>
        <w:rPr>
          <w:rFonts w:asciiTheme="minorHAnsi" w:hAnsiTheme="minorHAnsi" w:cstheme="minorHAnsi"/>
          <w:color w:val="auto"/>
          <w:sz w:val="48"/>
          <w:szCs w:val="48"/>
        </w:rPr>
      </w:pPr>
    </w:p>
    <w:p w:rsidR="001D1C73" w:rsidRPr="00A5588E" w:rsidP="00110D5F" w14:paraId="25EC0787" w14:textId="420D4480">
      <w:pPr>
        <w:pStyle w:val="ReportCover-Date"/>
        <w:spacing w:after="0" w:line="240" w:lineRule="auto"/>
        <w:jc w:val="center"/>
        <w:rPr>
          <w:rFonts w:ascii="Arial" w:hAnsi="Arial" w:cs="Arial"/>
          <w:color w:val="auto"/>
        </w:rPr>
      </w:pPr>
      <w:r>
        <w:rPr>
          <w:rFonts w:ascii="Arial" w:hAnsi="Arial" w:cs="Arial"/>
          <w:color w:val="auto"/>
        </w:rPr>
        <w:t>April 2026</w:t>
      </w:r>
    </w:p>
    <w:p w:rsidR="001D1C73" w:rsidP="00110D5F" w14:paraId="6AE99265" w14:textId="4B66BC06">
      <w:pPr>
        <w:spacing w:after="0" w:line="240" w:lineRule="auto"/>
        <w:jc w:val="center"/>
        <w:rPr>
          <w:rFonts w:ascii="Arial" w:hAnsi="Arial" w:cs="Arial"/>
        </w:rPr>
      </w:pPr>
    </w:p>
    <w:p w:rsidR="00630DBA" w:rsidP="00110D5F" w14:paraId="74E092AF" w14:textId="01F5EA79">
      <w:pPr>
        <w:spacing w:line="240" w:lineRule="auto"/>
        <w:jc w:val="center"/>
        <w:rPr>
          <w:rFonts w:ascii="Arial" w:eastAsia="Arial" w:hAnsi="Arial" w:cs="Arial"/>
          <w:sz w:val="32"/>
          <w:szCs w:val="32"/>
        </w:rPr>
      </w:pPr>
      <w:r>
        <w:rPr>
          <w:rFonts w:ascii="Arial" w:eastAsia="Arial" w:hAnsi="Arial" w:cs="Arial"/>
          <w:b/>
          <w:bCs/>
          <w:sz w:val="32"/>
          <w:szCs w:val="32"/>
        </w:rPr>
        <w:t xml:space="preserve">Type of Request: </w:t>
      </w:r>
      <w:r>
        <w:rPr>
          <w:rFonts w:ascii="Arial" w:eastAsia="Arial" w:hAnsi="Arial" w:cs="Arial"/>
          <w:sz w:val="32"/>
          <w:szCs w:val="32"/>
        </w:rPr>
        <w:t>Revision</w:t>
      </w:r>
    </w:p>
    <w:p w:rsidR="00DE1E3C" w:rsidP="00110D5F" w14:paraId="41D968B4" w14:textId="2589FC91">
      <w:pPr>
        <w:spacing w:after="0" w:line="240" w:lineRule="auto"/>
        <w:jc w:val="center"/>
        <w:rPr>
          <w:rFonts w:ascii="Arial" w:hAnsi="Arial" w:cs="Arial"/>
        </w:rPr>
      </w:pPr>
    </w:p>
    <w:p w:rsidR="00DE1E3C" w:rsidP="00110D5F" w14:paraId="39AB1461" w14:textId="7A3F6FF7">
      <w:pPr>
        <w:spacing w:after="0" w:line="240" w:lineRule="auto"/>
        <w:jc w:val="center"/>
        <w:rPr>
          <w:rFonts w:ascii="Arial" w:hAnsi="Arial" w:cs="Arial"/>
        </w:rPr>
      </w:pPr>
    </w:p>
    <w:p w:rsidR="0010654E" w:rsidRPr="001A59B6" w:rsidP="00110D5F" w14:paraId="602C28F0" w14:textId="77777777">
      <w:pPr>
        <w:spacing w:after="0" w:line="240" w:lineRule="auto"/>
        <w:jc w:val="center"/>
        <w:rPr>
          <w:rFonts w:cstheme="minorHAnsi"/>
        </w:rPr>
      </w:pPr>
      <w:bookmarkStart w:id="0" w:name="_Hlk53580718"/>
      <w:r w:rsidRPr="001A59B6">
        <w:rPr>
          <w:rFonts w:cstheme="minorHAnsi"/>
        </w:rPr>
        <w:t>Submitted By:</w:t>
      </w:r>
    </w:p>
    <w:p w:rsidR="0010654E" w:rsidRPr="001A59B6" w:rsidP="00110D5F" w14:paraId="32618C6B" w14:textId="77777777">
      <w:pPr>
        <w:spacing w:after="0" w:line="240" w:lineRule="auto"/>
        <w:jc w:val="center"/>
        <w:rPr>
          <w:rFonts w:cstheme="minorHAnsi"/>
        </w:rPr>
      </w:pPr>
      <w:r w:rsidRPr="001A59B6">
        <w:rPr>
          <w:rFonts w:cstheme="minorHAnsi"/>
        </w:rPr>
        <w:t xml:space="preserve">Administration for Children and Families </w:t>
      </w:r>
    </w:p>
    <w:p w:rsidR="0010654E" w:rsidRPr="001A59B6" w:rsidP="00110D5F" w14:paraId="6354B591" w14:textId="77777777">
      <w:pPr>
        <w:spacing w:after="0" w:line="240" w:lineRule="auto"/>
        <w:jc w:val="center"/>
        <w:rPr>
          <w:rFonts w:cstheme="minorHAnsi"/>
        </w:rPr>
      </w:pPr>
      <w:r w:rsidRPr="001A59B6">
        <w:rPr>
          <w:rFonts w:cstheme="minorHAnsi"/>
        </w:rPr>
        <w:t>U.S. Department of Health and Human Services</w:t>
      </w:r>
    </w:p>
    <w:p w:rsidR="0010654E" w:rsidRPr="001A59B6" w:rsidP="00110D5F" w14:paraId="43C66D91" w14:textId="77777777">
      <w:pPr>
        <w:spacing w:after="0" w:line="240" w:lineRule="auto"/>
        <w:jc w:val="center"/>
        <w:rPr>
          <w:rFonts w:cstheme="minorHAnsi"/>
        </w:rPr>
      </w:pPr>
    </w:p>
    <w:p w:rsidR="0010654E" w:rsidRPr="001A59B6" w:rsidP="00110D5F" w14:paraId="2E66311D"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10654E" w:rsidRPr="001A59B6" w:rsidP="00110D5F" w14:paraId="2176EC6B" w14:textId="77777777">
      <w:pPr>
        <w:spacing w:after="0" w:line="240" w:lineRule="auto"/>
        <w:jc w:val="center"/>
        <w:rPr>
          <w:rFonts w:cstheme="minorHAnsi"/>
        </w:rPr>
      </w:pPr>
      <w:r w:rsidRPr="001A59B6">
        <w:rPr>
          <w:rFonts w:cstheme="minorHAnsi"/>
        </w:rPr>
        <w:t>330 C Street, SW</w:t>
      </w:r>
    </w:p>
    <w:p w:rsidR="0010654E" w:rsidRPr="001A59B6" w:rsidP="00110D5F" w14:paraId="6A589844" w14:textId="77777777">
      <w:pPr>
        <w:spacing w:after="0" w:line="240" w:lineRule="auto"/>
        <w:jc w:val="center"/>
        <w:rPr>
          <w:rFonts w:cstheme="minorHAnsi"/>
        </w:rPr>
      </w:pPr>
      <w:r w:rsidRPr="001A59B6">
        <w:rPr>
          <w:rFonts w:cstheme="minorHAnsi"/>
        </w:rPr>
        <w:t>Washington, D.C. 20201</w:t>
      </w:r>
    </w:p>
    <w:p w:rsidR="0010654E" w:rsidRPr="001A59B6" w:rsidP="00110D5F" w14:paraId="63D648E9" w14:textId="77777777">
      <w:pPr>
        <w:spacing w:after="0" w:line="240" w:lineRule="auto"/>
        <w:jc w:val="center"/>
        <w:rPr>
          <w:rFonts w:cstheme="minorHAnsi"/>
        </w:rPr>
      </w:pPr>
    </w:p>
    <w:p w:rsidR="0010654E" w:rsidRPr="001A59B6" w:rsidP="00110D5F" w14:paraId="2EB7F52D" w14:textId="77777777">
      <w:pPr>
        <w:spacing w:after="0" w:line="240" w:lineRule="auto"/>
        <w:jc w:val="center"/>
        <w:rPr>
          <w:rFonts w:cstheme="minorHAnsi"/>
        </w:rPr>
      </w:pPr>
      <w:bookmarkStart w:id="1" w:name="_Hlk149039461"/>
      <w:r w:rsidRPr="001A59B6">
        <w:rPr>
          <w:rFonts w:cstheme="minorHAnsi"/>
        </w:rPr>
        <w:t>Project Officers:</w:t>
      </w:r>
    </w:p>
    <w:p w:rsidR="003C7B28" w:rsidRPr="00BD0BA8" w:rsidP="00110D5F" w14:paraId="72F827E8" w14:textId="58395478">
      <w:pPr>
        <w:pStyle w:val="NormalSS"/>
        <w:spacing w:after="0"/>
        <w:contextualSpacing/>
        <w:jc w:val="center"/>
        <w:rPr>
          <w:rFonts w:eastAsia="Times New Roman" w:cstheme="minorHAnsi"/>
        </w:rPr>
      </w:pPr>
      <w:r w:rsidRPr="00BD0BA8">
        <w:rPr>
          <w:rFonts w:cstheme="minorHAnsi"/>
        </w:rPr>
        <w:t>Rebecca Hjelm</w:t>
      </w:r>
      <w:r w:rsidRPr="00BD0BA8">
        <w:rPr>
          <w:rFonts w:cstheme="minorHAnsi"/>
        </w:rPr>
        <w:t xml:space="preserve">, </w:t>
      </w:r>
      <w:r w:rsidRPr="00BD0BA8">
        <w:rPr>
          <w:rFonts w:eastAsia="Times New Roman" w:cstheme="minorHAnsi"/>
        </w:rPr>
        <w:t xml:space="preserve">Social Science Research Analyst, </w:t>
      </w:r>
      <w:r w:rsidR="00FE508F">
        <w:rPr>
          <w:rFonts w:eastAsia="Times New Roman" w:cstheme="minorHAnsi"/>
        </w:rPr>
        <w:t>ACF</w:t>
      </w:r>
    </w:p>
    <w:p w:rsidR="003C7B28" w:rsidRPr="00BD0BA8" w:rsidP="00110D5F" w14:paraId="4AA72D63" w14:textId="0E82DA86">
      <w:pPr>
        <w:spacing w:after="240" w:line="240" w:lineRule="auto"/>
        <w:contextualSpacing/>
        <w:jc w:val="center"/>
        <w:rPr>
          <w:rFonts w:eastAsia="Times New Roman" w:cstheme="minorHAnsi"/>
        </w:rPr>
      </w:pPr>
      <w:r w:rsidRPr="00BD0BA8">
        <w:rPr>
          <w:rFonts w:eastAsia="Times New Roman" w:cstheme="minorHAnsi"/>
        </w:rPr>
        <w:t>Harmanpreet Bhatti</w:t>
      </w:r>
      <w:r w:rsidRPr="00BD0BA8">
        <w:rPr>
          <w:rFonts w:eastAsia="Times New Roman" w:cstheme="minorHAnsi"/>
        </w:rPr>
        <w:t xml:space="preserve">, Social Science Research Analyst, </w:t>
      </w:r>
      <w:r w:rsidR="00FE508F">
        <w:rPr>
          <w:rFonts w:eastAsia="Times New Roman" w:cstheme="minorHAnsi"/>
        </w:rPr>
        <w:t>ACF</w:t>
      </w:r>
    </w:p>
    <w:p w:rsidR="001D1C73" w:rsidRPr="00BD0BA8" w:rsidP="00110D5F" w14:paraId="32BC72CD" w14:textId="55E560BA">
      <w:pPr>
        <w:spacing w:after="0" w:line="240" w:lineRule="auto"/>
        <w:jc w:val="center"/>
        <w:rPr>
          <w:rFonts w:cstheme="minorHAnsi"/>
        </w:rPr>
      </w:pPr>
    </w:p>
    <w:bookmarkEnd w:id="0"/>
    <w:bookmarkEnd w:id="1"/>
    <w:p w:rsidR="00504605" w:rsidRPr="001A59B6" w:rsidP="00110D5F" w14:paraId="4A12118D" w14:textId="77777777">
      <w:pPr>
        <w:spacing w:after="0" w:line="240" w:lineRule="auto"/>
        <w:jc w:val="center"/>
        <w:rPr>
          <w:rFonts w:cstheme="minorHAnsi"/>
          <w:b/>
        </w:rPr>
      </w:pPr>
    </w:p>
    <w:p w:rsidR="000F3305" w:rsidP="00110D5F" w14:paraId="6AD9248C" w14:textId="77777777">
      <w:pPr>
        <w:spacing w:line="240" w:lineRule="auto"/>
        <w:rPr>
          <w:rFonts w:cstheme="minorHAnsi"/>
          <w:b/>
          <w:sz w:val="32"/>
          <w:szCs w:val="32"/>
        </w:rPr>
      </w:pPr>
      <w:r>
        <w:rPr>
          <w:rFonts w:cstheme="minorHAnsi"/>
          <w:b/>
          <w:sz w:val="32"/>
          <w:szCs w:val="32"/>
        </w:rPr>
        <w:br w:type="page"/>
      </w:r>
    </w:p>
    <w:p w:rsidR="00504605" w:rsidRPr="001A59B6" w:rsidP="00110D5F" w14:paraId="32382AFC" w14:textId="535B264C">
      <w:pPr>
        <w:spacing w:after="0" w:line="240" w:lineRule="auto"/>
        <w:jc w:val="center"/>
        <w:rPr>
          <w:rFonts w:cstheme="minorHAnsi"/>
          <w:b/>
          <w:sz w:val="32"/>
          <w:szCs w:val="32"/>
        </w:rPr>
      </w:pPr>
      <w:r w:rsidRPr="001A59B6">
        <w:rPr>
          <w:rFonts w:cstheme="minorHAnsi"/>
          <w:b/>
          <w:sz w:val="32"/>
          <w:szCs w:val="32"/>
        </w:rPr>
        <w:t xml:space="preserve">Part </w:t>
      </w:r>
      <w:r>
        <w:rPr>
          <w:rFonts w:cstheme="minorHAnsi"/>
          <w:b/>
          <w:sz w:val="32"/>
          <w:szCs w:val="32"/>
        </w:rPr>
        <w:t>A</w:t>
      </w:r>
    </w:p>
    <w:p w:rsidR="001D1C73" w:rsidRPr="009139B3" w:rsidP="00110D5F" w14:paraId="246E14EE" w14:textId="77777777">
      <w:pPr>
        <w:spacing w:after="0" w:line="240" w:lineRule="auto"/>
        <w:jc w:val="center"/>
        <w:rPr>
          <w:b/>
        </w:rPr>
      </w:pPr>
    </w:p>
    <w:p w:rsidR="001D1C73" w:rsidRPr="009139B3" w:rsidP="00110D5F" w14:paraId="67A674E8" w14:textId="77777777">
      <w:pPr>
        <w:spacing w:after="0" w:line="240" w:lineRule="auto"/>
        <w:rPr>
          <w:b/>
          <w:sz w:val="28"/>
        </w:rPr>
      </w:pPr>
      <w:r w:rsidRPr="009139B3">
        <w:rPr>
          <w:b/>
          <w:sz w:val="28"/>
          <w:u w:val="single"/>
        </w:rPr>
        <w:t>Executive Summary</w:t>
      </w:r>
    </w:p>
    <w:p w:rsidR="001D1C73" w:rsidRPr="009139B3" w:rsidP="00110D5F" w14:paraId="77DFD6CC" w14:textId="77777777">
      <w:pPr>
        <w:spacing w:after="0" w:line="240" w:lineRule="auto"/>
        <w:rPr>
          <w:b/>
        </w:rPr>
      </w:pPr>
    </w:p>
    <w:p w:rsidR="001D1C73" w:rsidP="00110D5F" w14:paraId="61404D3D" w14:textId="579FB8C2">
      <w:pPr>
        <w:pStyle w:val="ListParagraph"/>
        <w:numPr>
          <w:ilvl w:val="0"/>
          <w:numId w:val="1"/>
        </w:numPr>
        <w:spacing w:after="0" w:line="240" w:lineRule="auto"/>
      </w:pPr>
      <w:r w:rsidRPr="009139B3">
        <w:rPr>
          <w:b/>
        </w:rPr>
        <w:t xml:space="preserve">Type of Request: </w:t>
      </w:r>
      <w:r w:rsidRPr="009139B3">
        <w:t xml:space="preserve">This Information Collection Request </w:t>
      </w:r>
      <w:r w:rsidR="00E426EB">
        <w:t xml:space="preserve">(ICR) </w:t>
      </w:r>
      <w:r w:rsidRPr="009139B3">
        <w:t xml:space="preserve">is for </w:t>
      </w:r>
      <w:r w:rsidR="00630DBA">
        <w:t>a revision</w:t>
      </w:r>
      <w:r w:rsidR="00DB169D">
        <w:t xml:space="preserve"> </w:t>
      </w:r>
      <w:r w:rsidR="00DB169D">
        <w:t>to</w:t>
      </w:r>
      <w:r w:rsidR="00DB169D">
        <w:t xml:space="preserve"> </w:t>
      </w:r>
      <w:r w:rsidR="00876E39">
        <w:t xml:space="preserve">an </w:t>
      </w:r>
      <w:r w:rsidR="00DB169D">
        <w:t xml:space="preserve">approved collection </w:t>
      </w:r>
      <w:r w:rsidR="00A5549F">
        <w:t>that includes</w:t>
      </w:r>
      <w:r w:rsidR="00DB169D">
        <w:t xml:space="preserve"> reporting of performance measures and other data collection activities</w:t>
      </w:r>
      <w:r w:rsidRPr="009139B3">
        <w:t xml:space="preserve">. We are requesting </w:t>
      </w:r>
      <w:r w:rsidR="00F90592">
        <w:t>3</w:t>
      </w:r>
      <w:r w:rsidRPr="009139B3">
        <w:t xml:space="preserve"> year</w:t>
      </w:r>
      <w:r w:rsidR="006A60BC">
        <w:t>s</w:t>
      </w:r>
      <w:r w:rsidRPr="009139B3">
        <w:t xml:space="preserve"> of approval. </w:t>
      </w:r>
    </w:p>
    <w:p w:rsidR="00AC5CA5" w:rsidP="00110D5F" w14:paraId="7A022763" w14:textId="70BA2F31">
      <w:pPr>
        <w:spacing w:after="0" w:line="240" w:lineRule="auto"/>
      </w:pPr>
    </w:p>
    <w:p w:rsidR="007216C8" w:rsidRPr="009139B3" w:rsidP="00110D5F" w14:paraId="6867DC62" w14:textId="7CA1C802">
      <w:pPr>
        <w:pStyle w:val="ListParagraph"/>
        <w:numPr>
          <w:ilvl w:val="0"/>
          <w:numId w:val="1"/>
        </w:numPr>
        <w:spacing w:after="0" w:line="240" w:lineRule="auto"/>
      </w:pPr>
      <w:r w:rsidRPr="009139B3">
        <w:rPr>
          <w:b/>
        </w:rPr>
        <w:t xml:space="preserve">Progress to Date: </w:t>
      </w:r>
      <w:r w:rsidR="00D53495">
        <w:t>The Administration for Children and Families (ACF) requires that each cohort of Healthy Marriage and Responsible Fatherhood (HMRF)</w:t>
      </w:r>
      <w:r w:rsidR="00C76EF8">
        <w:t xml:space="preserve"> grant</w:t>
      </w:r>
      <w:r w:rsidR="00D53495">
        <w:t xml:space="preserve"> recipients collect data and report on a comprehensive set of performance measures as part of their</w:t>
      </w:r>
      <w:r w:rsidR="00C76EF8">
        <w:t xml:space="preserve"> grants.</w:t>
      </w:r>
      <w:r w:rsidR="00D53495">
        <w:t xml:space="preserve"> </w:t>
      </w:r>
      <w:bookmarkStart w:id="2" w:name="_Hlk150510271"/>
      <w:r w:rsidR="00A3090D">
        <w:rPr>
          <w:bCs/>
        </w:rPr>
        <w:t xml:space="preserve"> </w:t>
      </w:r>
      <w:bookmarkStart w:id="3" w:name="_Hlk212799606"/>
      <w:r w:rsidR="00A3090D">
        <w:rPr>
          <w:rFonts w:eastAsia="Times New Roman" w:cstheme="minorHAnsi"/>
          <w:color w:val="000000"/>
        </w:rPr>
        <w:t xml:space="preserve">Through September 29, </w:t>
      </w:r>
      <w:r w:rsidR="007C4D4D">
        <w:rPr>
          <w:rFonts w:eastAsia="Times New Roman" w:cstheme="minorHAnsi"/>
          <w:color w:val="000000"/>
        </w:rPr>
        <w:t xml:space="preserve">2025 </w:t>
      </w:r>
      <w:r w:rsidR="00A3090D">
        <w:rPr>
          <w:rFonts w:eastAsia="Times New Roman" w:cstheme="minorHAnsi"/>
          <w:color w:val="000000"/>
        </w:rPr>
        <w:t xml:space="preserve">(the end of </w:t>
      </w:r>
      <w:r w:rsidR="007976D3">
        <w:rPr>
          <w:rFonts w:eastAsia="Times New Roman" w:cstheme="minorHAnsi"/>
          <w:color w:val="000000"/>
        </w:rPr>
        <w:t>the 2020 cohort</w:t>
      </w:r>
      <w:r w:rsidR="00A3090D">
        <w:rPr>
          <w:rFonts w:eastAsia="Times New Roman" w:cstheme="minorHAnsi"/>
          <w:color w:val="000000"/>
        </w:rPr>
        <w:t xml:space="preserve">), grant recipients completed enrollment for </w:t>
      </w:r>
      <w:r w:rsidR="007C4D4D">
        <w:rPr>
          <w:rFonts w:eastAsia="Times New Roman" w:cstheme="minorHAnsi"/>
          <w:color w:val="000000"/>
        </w:rPr>
        <w:t xml:space="preserve">193,993 </w:t>
      </w:r>
      <w:r w:rsidR="00A3090D">
        <w:rPr>
          <w:rFonts w:eastAsia="Times New Roman" w:cstheme="minorHAnsi"/>
          <w:color w:val="000000"/>
        </w:rPr>
        <w:t xml:space="preserve">clients. </w:t>
      </w:r>
      <w:r w:rsidR="007976D3">
        <w:rPr>
          <w:rFonts w:eastAsia="Times New Roman" w:cstheme="minorHAnsi"/>
          <w:color w:val="000000"/>
        </w:rPr>
        <w:t xml:space="preserve">Ninety-two percent of </w:t>
      </w:r>
      <w:r w:rsidR="00A3090D">
        <w:rPr>
          <w:rFonts w:eastAsia="Times New Roman" w:cstheme="minorHAnsi"/>
          <w:color w:val="000000"/>
        </w:rPr>
        <w:t>these</w:t>
      </w:r>
      <w:r w:rsidR="007976D3">
        <w:rPr>
          <w:rFonts w:eastAsia="Times New Roman" w:cstheme="minorHAnsi"/>
          <w:color w:val="000000"/>
        </w:rPr>
        <w:t xml:space="preserve"> clients </w:t>
      </w:r>
      <w:r w:rsidR="00A3090D">
        <w:rPr>
          <w:rFonts w:eastAsia="Times New Roman" w:cstheme="minorHAnsi"/>
          <w:color w:val="000000"/>
        </w:rPr>
        <w:t xml:space="preserve">completed an entrance survey and </w:t>
      </w:r>
      <w:r w:rsidR="002D2157">
        <w:rPr>
          <w:rFonts w:eastAsia="Times New Roman" w:cstheme="minorHAnsi"/>
          <w:color w:val="000000"/>
        </w:rPr>
        <w:t>70</w:t>
      </w:r>
      <w:r w:rsidR="00A3090D">
        <w:rPr>
          <w:rFonts w:eastAsia="Times New Roman" w:cstheme="minorHAnsi"/>
          <w:color w:val="000000"/>
        </w:rPr>
        <w:t xml:space="preserve"> percent completed an exit survey using the OMB-approved instruments. Grant recipients </w:t>
      </w:r>
      <w:r w:rsidR="007976D3">
        <w:rPr>
          <w:rFonts w:eastAsia="Times New Roman" w:cstheme="minorHAnsi"/>
          <w:color w:val="000000"/>
        </w:rPr>
        <w:t xml:space="preserve">also </w:t>
      </w:r>
      <w:r w:rsidR="00A3090D">
        <w:rPr>
          <w:rFonts w:eastAsia="Times New Roman" w:cstheme="minorHAnsi"/>
          <w:color w:val="000000"/>
        </w:rPr>
        <w:t>submitted performance reports to ACF using the approved templates. In addition,</w:t>
      </w:r>
      <w:r w:rsidRPr="00AE24AE" w:rsidR="00A3090D">
        <w:rPr>
          <w:bCs/>
        </w:rPr>
        <w:t xml:space="preserve"> </w:t>
      </w:r>
      <w:r w:rsidR="00A3090D">
        <w:rPr>
          <w:bCs/>
        </w:rPr>
        <w:t>the data have been used to support federal and grant recipient-led evaluations of the HMRF programs.</w:t>
      </w:r>
      <w:bookmarkEnd w:id="2"/>
      <w:bookmarkEnd w:id="3"/>
    </w:p>
    <w:p w:rsidR="008E3756" w:rsidRPr="009139B3" w:rsidP="00110D5F" w14:paraId="728D8D6D" w14:textId="4E5AB731">
      <w:pPr>
        <w:spacing w:after="0" w:line="240" w:lineRule="auto"/>
      </w:pPr>
    </w:p>
    <w:p w:rsidR="008E3756" w:rsidRPr="009139B3" w:rsidP="00110D5F" w14:paraId="26537C0A" w14:textId="21160BF3">
      <w:pPr>
        <w:pStyle w:val="ListParagraph"/>
        <w:numPr>
          <w:ilvl w:val="0"/>
          <w:numId w:val="1"/>
        </w:numPr>
        <w:spacing w:after="0" w:line="240" w:lineRule="auto"/>
        <w:rPr>
          <w:rStyle w:val="CommentReference"/>
          <w:b/>
          <w:sz w:val="22"/>
          <w:szCs w:val="22"/>
        </w:rPr>
      </w:pPr>
      <w:r w:rsidRPr="009139B3">
        <w:rPr>
          <w:b/>
        </w:rPr>
        <w:t>Previous Terms of Clearance:</w:t>
      </w:r>
      <w:r w:rsidR="00D40215">
        <w:rPr>
          <w:b/>
        </w:rPr>
        <w:t xml:space="preserve"> </w:t>
      </w:r>
      <w:r w:rsidR="00A86C64">
        <w:rPr>
          <w:bCs/>
        </w:rPr>
        <w:t>No t</w:t>
      </w:r>
      <w:r w:rsidR="00D40215">
        <w:rPr>
          <w:bCs/>
        </w:rPr>
        <w:t xml:space="preserve">erms of clearance </w:t>
      </w:r>
      <w:r w:rsidR="00A86C64">
        <w:rPr>
          <w:bCs/>
        </w:rPr>
        <w:t xml:space="preserve">were provided </w:t>
      </w:r>
      <w:r w:rsidR="00B67359">
        <w:rPr>
          <w:bCs/>
        </w:rPr>
        <w:t>previously</w:t>
      </w:r>
      <w:r w:rsidR="00A86C64">
        <w:rPr>
          <w:bCs/>
        </w:rPr>
        <w:t>.</w:t>
      </w:r>
      <w:r w:rsidR="00D40215">
        <w:rPr>
          <w:bCs/>
        </w:rPr>
        <w:t xml:space="preserve"> </w:t>
      </w:r>
    </w:p>
    <w:p w:rsidR="008E3756" w:rsidRPr="009139B3" w:rsidP="00110D5F" w14:paraId="6BCA44CD" w14:textId="77777777">
      <w:pPr>
        <w:spacing w:after="0" w:line="240" w:lineRule="auto"/>
        <w:rPr>
          <w:rStyle w:val="CommentReference"/>
          <w:b/>
          <w:sz w:val="22"/>
          <w:szCs w:val="22"/>
        </w:rPr>
      </w:pPr>
    </w:p>
    <w:p w:rsidR="0060157E" w:rsidRPr="00756AE7" w:rsidP="00110D5F" w14:paraId="2211C53E" w14:textId="51108409">
      <w:pPr>
        <w:pStyle w:val="ListParagraph"/>
        <w:numPr>
          <w:ilvl w:val="0"/>
          <w:numId w:val="1"/>
        </w:numPr>
        <w:spacing w:after="0" w:line="240" w:lineRule="auto"/>
      </w:pPr>
      <w:r w:rsidRPr="009139B3">
        <w:rPr>
          <w:b/>
        </w:rPr>
        <w:t xml:space="preserve">Summary of changes requested: </w:t>
      </w:r>
      <w:r w:rsidR="002D2157">
        <w:rPr>
          <w:rFonts w:cs="Calibri"/>
        </w:rPr>
        <w:t>ACF proposes to continue performance measure data collection and reporting for the 2025 cohort of HMRF grant recipients that received five-year awards in September 2025.</w:t>
      </w:r>
      <w:r w:rsidRPr="00C459E0" w:rsidR="00C459E0">
        <w:rPr>
          <w:rFonts w:eastAsia="Times New Roman" w:cstheme="minorHAnsi"/>
          <w:color w:val="000000"/>
        </w:rPr>
        <w:t xml:space="preserve"> </w:t>
      </w:r>
      <w:r w:rsidR="00C459E0">
        <w:rPr>
          <w:rFonts w:eastAsia="Times New Roman" w:cstheme="minorHAnsi"/>
          <w:color w:val="000000"/>
        </w:rPr>
        <w:t xml:space="preserve">For the 2025 cohort, </w:t>
      </w:r>
      <w:r w:rsidR="00925D64">
        <w:rPr>
          <w:rFonts w:eastAsia="Times New Roman" w:cstheme="minorHAnsi"/>
          <w:color w:val="000000"/>
        </w:rPr>
        <w:t xml:space="preserve">ACF revised </w:t>
      </w:r>
      <w:r w:rsidR="00C459E0">
        <w:rPr>
          <w:rFonts w:eastAsia="Times New Roman" w:cstheme="minorHAnsi"/>
          <w:color w:val="000000"/>
        </w:rPr>
        <w:t xml:space="preserve">the instruments used by the 2020 </w:t>
      </w:r>
      <w:r w:rsidRPr="00941A59" w:rsidR="00C459E0">
        <w:rPr>
          <w:bCs/>
        </w:rPr>
        <w:t xml:space="preserve">cohort to reflect its current priorities, </w:t>
      </w:r>
      <w:r w:rsidRPr="00941A59" w:rsidR="00C459E0">
        <w:rPr>
          <w:rFonts w:cstheme="minorHAnsi"/>
          <w:bCs/>
        </w:rPr>
        <w:t xml:space="preserve">better align the data with the characteristics of HMRF programs and clients, and </w:t>
      </w:r>
      <w:r w:rsidR="00925D64">
        <w:rPr>
          <w:rFonts w:cstheme="minorHAnsi"/>
          <w:bCs/>
        </w:rPr>
        <w:t>reduce</w:t>
      </w:r>
      <w:r w:rsidR="00D41F30">
        <w:rPr>
          <w:rFonts w:cstheme="minorHAnsi"/>
          <w:bCs/>
        </w:rPr>
        <w:t xml:space="preserve"> respondent burden</w:t>
      </w:r>
      <w:r w:rsidR="00C459E0">
        <w:rPr>
          <w:rFonts w:cstheme="minorHAnsi"/>
          <w:bCs/>
        </w:rPr>
        <w:t>.</w:t>
      </w:r>
      <w:r w:rsidR="002D2157">
        <w:rPr>
          <w:rFonts w:cs="Calibri"/>
        </w:rPr>
        <w:t xml:space="preserve"> </w:t>
      </w:r>
      <w:r w:rsidRPr="004201B0" w:rsidR="004201B0">
        <w:rPr>
          <w:rFonts w:cs="Calibri"/>
        </w:rPr>
        <w:t xml:space="preserve">We do not </w:t>
      </w:r>
      <w:r w:rsidRPr="004201B0" w:rsidR="004201B0">
        <w:rPr>
          <w:rFonts w:cs="Calibri"/>
        </w:rPr>
        <w:t>intend for</w:t>
      </w:r>
      <w:r w:rsidRPr="004201B0" w:rsidR="004201B0">
        <w:rPr>
          <w:rFonts w:cs="Calibri"/>
        </w:rPr>
        <w:t xml:space="preserve"> this information to be used as the principal basis for public policy decisions</w:t>
      </w:r>
      <w:r w:rsidR="004201B0">
        <w:rPr>
          <w:rFonts w:cs="Calibri"/>
        </w:rPr>
        <w:t>.</w:t>
      </w:r>
    </w:p>
    <w:p w:rsidR="001D1C73" w:rsidRPr="009139B3" w:rsidP="00110D5F" w14:paraId="7AE0042F" w14:textId="77777777">
      <w:pPr>
        <w:spacing w:after="0" w:line="240" w:lineRule="auto"/>
      </w:pPr>
    </w:p>
    <w:p w:rsidR="001D1C73" w:rsidRPr="001C3441" w:rsidP="00110D5F" w14:paraId="432D851C" w14:textId="1A291601">
      <w:pPr>
        <w:pStyle w:val="ListParagraph"/>
        <w:numPr>
          <w:ilvl w:val="0"/>
          <w:numId w:val="1"/>
        </w:numPr>
        <w:spacing w:after="0" w:line="240" w:lineRule="auto"/>
        <w:rPr>
          <w:b/>
        </w:rPr>
      </w:pPr>
      <w:r w:rsidRPr="009139B3">
        <w:rPr>
          <w:b/>
        </w:rPr>
        <w:t>Time Sensitivity</w:t>
      </w:r>
      <w:r w:rsidR="00A178F9">
        <w:rPr>
          <w:b/>
        </w:rPr>
        <w:t>/Timeline</w:t>
      </w:r>
      <w:r w:rsidRPr="009139B3">
        <w:rPr>
          <w:b/>
        </w:rPr>
        <w:t xml:space="preserve">: </w:t>
      </w:r>
      <w:r w:rsidR="007D3592">
        <w:rPr>
          <w:bCs/>
        </w:rPr>
        <w:t xml:space="preserve">The 2025 cohort is expected to begin </w:t>
      </w:r>
      <w:r w:rsidR="00D41F30">
        <w:rPr>
          <w:bCs/>
        </w:rPr>
        <w:t>using these instruments</w:t>
      </w:r>
      <w:r w:rsidR="007D3592">
        <w:rPr>
          <w:bCs/>
        </w:rPr>
        <w:t xml:space="preserve"> on </w:t>
      </w:r>
      <w:r w:rsidR="00A76CEE">
        <w:rPr>
          <w:bCs/>
        </w:rPr>
        <w:t xml:space="preserve">July </w:t>
      </w:r>
      <w:r w:rsidR="007D3592">
        <w:rPr>
          <w:bCs/>
        </w:rPr>
        <w:t xml:space="preserve">1, </w:t>
      </w:r>
      <w:r w:rsidR="007D3592">
        <w:rPr>
          <w:bCs/>
        </w:rPr>
        <w:t>2026</w:t>
      </w:r>
      <w:r w:rsidR="007D3592">
        <w:rPr>
          <w:bCs/>
        </w:rPr>
        <w:t xml:space="preserve"> </w:t>
      </w:r>
      <w:r w:rsidR="00D41F30">
        <w:rPr>
          <w:bCs/>
        </w:rPr>
        <w:t xml:space="preserve">for </w:t>
      </w:r>
      <w:r w:rsidR="007D3592">
        <w:rPr>
          <w:bCs/>
        </w:rPr>
        <w:t xml:space="preserve">performance </w:t>
      </w:r>
      <w:r w:rsidR="00D41F30">
        <w:rPr>
          <w:bCs/>
        </w:rPr>
        <w:t>monitoring and program improvement</w:t>
      </w:r>
      <w:r w:rsidR="007D3592">
        <w:rPr>
          <w:bCs/>
        </w:rPr>
        <w:t xml:space="preserve">. </w:t>
      </w:r>
      <w:r w:rsidRPr="001C3441" w:rsidR="000B41FE">
        <w:rPr>
          <w:bCs/>
        </w:rPr>
        <w:t>Approval is requested before then so that grant</w:t>
      </w:r>
      <w:r w:rsidR="00A178F9">
        <w:rPr>
          <w:bCs/>
        </w:rPr>
        <w:t xml:space="preserve"> recipients</w:t>
      </w:r>
      <w:r w:rsidRPr="001C3441" w:rsidR="000B41FE">
        <w:rPr>
          <w:bCs/>
        </w:rPr>
        <w:t xml:space="preserve"> can </w:t>
      </w:r>
      <w:r w:rsidR="00D41F30">
        <w:rPr>
          <w:bCs/>
        </w:rPr>
        <w:t>be trained on the new instruments and begin programming as scheduled</w:t>
      </w:r>
      <w:r w:rsidRPr="001C3441" w:rsidR="000B41FE">
        <w:rPr>
          <w:bCs/>
        </w:rPr>
        <w:t xml:space="preserve">. </w:t>
      </w:r>
    </w:p>
    <w:p w:rsidR="00F374F2" w:rsidP="00110D5F" w14:paraId="44585B10" w14:textId="1B723DBA">
      <w:pPr>
        <w:spacing w:line="240" w:lineRule="auto"/>
        <w:rPr>
          <w:b/>
        </w:rPr>
      </w:pPr>
      <w:r>
        <w:rPr>
          <w:b/>
        </w:rPr>
        <w:br w:type="page"/>
      </w:r>
    </w:p>
    <w:p w:rsidR="005C6D1A" w:rsidP="00110D5F" w14:paraId="5C915208" w14:textId="77777777">
      <w:pPr>
        <w:autoSpaceDE w:val="0"/>
        <w:autoSpaceDN w:val="0"/>
        <w:adjustRightInd w:val="0"/>
        <w:spacing w:after="120" w:line="240" w:lineRule="auto"/>
      </w:pPr>
      <w:r w:rsidRPr="009139B3">
        <w:rPr>
          <w:b/>
        </w:rPr>
        <w:t>A1</w:t>
      </w:r>
      <w:r w:rsidRPr="009139B3">
        <w:t>.</w:t>
      </w:r>
      <w:r w:rsidRPr="009139B3">
        <w:tab/>
      </w:r>
      <w:r w:rsidRPr="009139B3">
        <w:rPr>
          <w:b/>
        </w:rPr>
        <w:t>Necessity for Collection</w:t>
      </w:r>
      <w:r w:rsidRPr="009139B3">
        <w:t xml:space="preserve"> </w:t>
      </w:r>
    </w:p>
    <w:p w:rsidR="006F6FD2" w:rsidRPr="0046143E" w:rsidP="00110D5F" w14:paraId="62FDB444" w14:textId="22F52428">
      <w:pPr>
        <w:autoSpaceDE w:val="0"/>
        <w:autoSpaceDN w:val="0"/>
        <w:adjustRightInd w:val="0"/>
        <w:spacing w:after="0" w:line="240" w:lineRule="auto"/>
        <w:rPr>
          <w:rFonts w:cstheme="minorHAnsi"/>
        </w:rPr>
      </w:pPr>
      <w:r w:rsidRPr="0046143E">
        <w:rPr>
          <w:rFonts w:cstheme="minorHAnsi"/>
        </w:rPr>
        <w:t xml:space="preserve">For decades, various organizations and agencies (including community- and faith-based organizations, local governments, and universities) have been developing and operating programs to strengthen families through healthy marriage and relationship education and responsible fatherhood programming. The Administration for Children and Families (ACF) has had administrative responsibility for federal funding of such programs since 2006 through the Healthy Marriage (HM) and Responsible Fatherhood (RF) Grant Programs. The authorizing legislation for the programs may be found in Section 403(a)(2) of the Social Security Act. </w:t>
      </w:r>
    </w:p>
    <w:p w:rsidR="006F6FD2" w:rsidRPr="0046143E" w:rsidP="00110D5F" w14:paraId="39F971FD" w14:textId="77777777">
      <w:pPr>
        <w:autoSpaceDE w:val="0"/>
        <w:autoSpaceDN w:val="0"/>
        <w:adjustRightInd w:val="0"/>
        <w:spacing w:after="0" w:line="240" w:lineRule="auto"/>
        <w:rPr>
          <w:rFonts w:cstheme="minorHAnsi"/>
        </w:rPr>
      </w:pPr>
    </w:p>
    <w:p w:rsidR="006F6FD2" w:rsidP="00110D5F" w14:paraId="3196D638" w14:textId="6C307EEF">
      <w:pPr>
        <w:autoSpaceDE w:val="0"/>
        <w:autoSpaceDN w:val="0"/>
        <w:adjustRightInd w:val="0"/>
        <w:spacing w:after="0" w:line="240" w:lineRule="auto"/>
        <w:rPr>
          <w:rFonts w:cstheme="minorHAnsi"/>
        </w:rPr>
      </w:pPr>
      <w:r w:rsidRPr="0046143E">
        <w:rPr>
          <w:rFonts w:cstheme="minorHAnsi"/>
        </w:rPr>
        <w:t>ACF require</w:t>
      </w:r>
      <w:r w:rsidR="00591B57">
        <w:rPr>
          <w:rFonts w:cstheme="minorHAnsi"/>
        </w:rPr>
        <w:t>s</w:t>
      </w:r>
      <w:r w:rsidRPr="0046143E">
        <w:rPr>
          <w:rFonts w:cstheme="minorHAnsi"/>
        </w:rPr>
        <w:t xml:space="preserve"> HMRF grant</w:t>
      </w:r>
      <w:r w:rsidR="00591B57">
        <w:rPr>
          <w:rFonts w:cstheme="minorHAnsi"/>
        </w:rPr>
        <w:t xml:space="preserve"> recipients </w:t>
      </w:r>
      <w:r w:rsidRPr="0046143E">
        <w:rPr>
          <w:rFonts w:cstheme="minorHAnsi"/>
        </w:rPr>
        <w:t xml:space="preserve">to collect and report performance measures about program operations, services, and </w:t>
      </w:r>
      <w:r w:rsidR="00DA37E0">
        <w:rPr>
          <w:bCs/>
        </w:rPr>
        <w:t>clients</w:t>
      </w:r>
      <w:r w:rsidRPr="0046143E" w:rsidR="00DA37E0">
        <w:rPr>
          <w:rFonts w:cstheme="minorHAnsi"/>
        </w:rPr>
        <w:t xml:space="preserve"> </w:t>
      </w:r>
      <w:r w:rsidRPr="0046143E">
        <w:rPr>
          <w:rFonts w:cstheme="minorHAnsi"/>
        </w:rPr>
        <w:t>served</w:t>
      </w:r>
      <w:r w:rsidR="00DC2A3E">
        <w:rPr>
          <w:rFonts w:cstheme="minorHAnsi"/>
        </w:rPr>
        <w:t xml:space="preserve">, using </w:t>
      </w:r>
      <w:r w:rsidR="00591B57">
        <w:rPr>
          <w:rFonts w:cstheme="minorHAnsi"/>
        </w:rPr>
        <w:t>a</w:t>
      </w:r>
      <w:r w:rsidRPr="0046143E" w:rsidR="00591B57">
        <w:rPr>
          <w:rFonts w:cstheme="minorHAnsi"/>
        </w:rPr>
        <w:t xml:space="preserve"> </w:t>
      </w:r>
      <w:r w:rsidRPr="0046143E">
        <w:rPr>
          <w:rFonts w:cstheme="minorHAnsi"/>
        </w:rPr>
        <w:t xml:space="preserve">performance measures data collection system called </w:t>
      </w:r>
      <w:bookmarkStart w:id="4" w:name="_Hlk64882074"/>
      <w:r w:rsidRPr="0046143E">
        <w:rPr>
          <w:rFonts w:cstheme="minorHAnsi"/>
        </w:rPr>
        <w:t>nFORM</w:t>
      </w:r>
      <w:r w:rsidRPr="0046143E">
        <w:rPr>
          <w:rFonts w:cstheme="minorHAnsi"/>
        </w:rPr>
        <w:t xml:space="preserve"> (Information, Family Outcomes, Reporting, and Management)</w:t>
      </w:r>
      <w:bookmarkEnd w:id="4"/>
      <w:r w:rsidR="00DC2A3E">
        <w:rPr>
          <w:rFonts w:cstheme="minorHAnsi"/>
        </w:rPr>
        <w:t>. ACF provides this system</w:t>
      </w:r>
      <w:r w:rsidRPr="0046143E">
        <w:rPr>
          <w:rFonts w:cstheme="minorHAnsi"/>
        </w:rPr>
        <w:t xml:space="preserve"> </w:t>
      </w:r>
      <w:r w:rsidR="00591B57">
        <w:rPr>
          <w:rFonts w:cstheme="minorHAnsi"/>
        </w:rPr>
        <w:t>to grant recipients</w:t>
      </w:r>
      <w:r w:rsidR="00AE24AE">
        <w:rPr>
          <w:rFonts w:cstheme="minorHAnsi"/>
        </w:rPr>
        <w:t xml:space="preserve"> </w:t>
      </w:r>
      <w:r w:rsidRPr="0046143E">
        <w:rPr>
          <w:rFonts w:cstheme="minorHAnsi"/>
        </w:rPr>
        <w:t>to improve</w:t>
      </w:r>
      <w:r w:rsidRPr="0046143E">
        <w:rPr>
          <w:rFonts w:cstheme="minorHAnsi"/>
        </w:rPr>
        <w:t xml:space="preserve"> the efficiency of data collection and reporting and the quality of data. This system allows for streamlined and standardized submission of grant</w:t>
      </w:r>
      <w:r w:rsidR="00591B57">
        <w:rPr>
          <w:rFonts w:cstheme="minorHAnsi"/>
        </w:rPr>
        <w:t xml:space="preserve"> recipient </w:t>
      </w:r>
      <w:r w:rsidRPr="0046143E">
        <w:rPr>
          <w:rFonts w:cstheme="minorHAnsi"/>
        </w:rPr>
        <w:t>performance data through regular progress reports, and it also supports grant</w:t>
      </w:r>
      <w:r w:rsidR="00591B57">
        <w:rPr>
          <w:rFonts w:cstheme="minorHAnsi"/>
        </w:rPr>
        <w:t xml:space="preserve"> recipient</w:t>
      </w:r>
      <w:r w:rsidRPr="0046143E">
        <w:rPr>
          <w:rFonts w:cstheme="minorHAnsi"/>
        </w:rPr>
        <w:t>-led and federal research projects.</w:t>
      </w:r>
    </w:p>
    <w:p w:rsidR="00F119AC" w:rsidP="00110D5F" w14:paraId="3D5C2E43" w14:textId="14678D5E">
      <w:pPr>
        <w:autoSpaceDE w:val="0"/>
        <w:autoSpaceDN w:val="0"/>
        <w:adjustRightInd w:val="0"/>
        <w:spacing w:after="0" w:line="240" w:lineRule="auto"/>
        <w:rPr>
          <w:rFonts w:cstheme="minorHAnsi"/>
        </w:rPr>
      </w:pPr>
    </w:p>
    <w:p w:rsidR="00F119AC" w:rsidP="00110D5F" w14:paraId="63A71E7F" w14:textId="4B551298">
      <w:pPr>
        <w:autoSpaceDE w:val="0"/>
        <w:autoSpaceDN w:val="0"/>
        <w:adjustRightInd w:val="0"/>
        <w:spacing w:after="0" w:line="240" w:lineRule="auto"/>
        <w:rPr>
          <w:rFonts w:cstheme="minorHAnsi"/>
        </w:rPr>
      </w:pPr>
      <w:r w:rsidRPr="00D21E06">
        <w:rPr>
          <w:rFonts w:cstheme="minorHAnsi"/>
        </w:rPr>
        <w:t>Grant</w:t>
      </w:r>
      <w:r w:rsidR="00591B57">
        <w:rPr>
          <w:rFonts w:cstheme="minorHAnsi"/>
        </w:rPr>
        <w:t xml:space="preserve"> recipients </w:t>
      </w:r>
      <w:r w:rsidRPr="00D21E06">
        <w:rPr>
          <w:rFonts w:cstheme="minorHAnsi"/>
        </w:rPr>
        <w:t xml:space="preserve">are required by ACF’s Office of Grants Management (OGM) to submit a </w:t>
      </w:r>
      <w:r>
        <w:rPr>
          <w:rFonts w:cstheme="minorHAnsi"/>
        </w:rPr>
        <w:t>Performance Progress Report (</w:t>
      </w:r>
      <w:r w:rsidRPr="00D21E06">
        <w:rPr>
          <w:rFonts w:cstheme="minorHAnsi"/>
        </w:rPr>
        <w:t>PPR</w:t>
      </w:r>
      <w:r>
        <w:rPr>
          <w:rFonts w:cstheme="minorHAnsi"/>
        </w:rPr>
        <w:t>)</w:t>
      </w:r>
      <w:r w:rsidRPr="00D21E06">
        <w:rPr>
          <w:rFonts w:cstheme="minorHAnsi"/>
        </w:rPr>
        <w:t xml:space="preserve"> </w:t>
      </w:r>
      <w:r w:rsidR="008E544A">
        <w:rPr>
          <w:rFonts w:cstheme="minorHAnsi"/>
        </w:rPr>
        <w:t>once</w:t>
      </w:r>
      <w:r w:rsidRPr="00D21E06" w:rsidR="008E544A">
        <w:rPr>
          <w:rFonts w:cstheme="minorHAnsi"/>
        </w:rPr>
        <w:t xml:space="preserve"> </w:t>
      </w:r>
      <w:r w:rsidRPr="00D21E06">
        <w:rPr>
          <w:rFonts w:cstheme="minorHAnsi"/>
        </w:rPr>
        <w:t>during each grant year (in October), reporting on the programmatic activities conducted by the grant</w:t>
      </w:r>
      <w:r w:rsidR="00591B57">
        <w:rPr>
          <w:rFonts w:cstheme="minorHAnsi"/>
        </w:rPr>
        <w:t xml:space="preserve"> recipient</w:t>
      </w:r>
      <w:r w:rsidRPr="00D21E06">
        <w:rPr>
          <w:rFonts w:cstheme="minorHAnsi"/>
        </w:rPr>
        <w:t xml:space="preserve"> in the prior </w:t>
      </w:r>
      <w:r w:rsidR="008E544A">
        <w:rPr>
          <w:rFonts w:cstheme="minorHAnsi"/>
        </w:rPr>
        <w:t>year</w:t>
      </w:r>
      <w:r w:rsidRPr="00D21E06">
        <w:rPr>
          <w:rFonts w:cstheme="minorHAnsi"/>
        </w:rPr>
        <w:t xml:space="preserve"> and activities planned for the next </w:t>
      </w:r>
      <w:r w:rsidR="008E544A">
        <w:rPr>
          <w:rFonts w:cstheme="minorHAnsi"/>
        </w:rPr>
        <w:t>year</w:t>
      </w:r>
      <w:r>
        <w:rPr>
          <w:rFonts w:cstheme="minorHAnsi"/>
        </w:rPr>
        <w:t xml:space="preserve">. The </w:t>
      </w:r>
      <w:r>
        <w:t>annual PPR (</w:t>
      </w:r>
      <w:r w:rsidR="00715B86">
        <w:t>Instrument 5</w:t>
      </w:r>
      <w:r>
        <w:t xml:space="preserve">) </w:t>
      </w:r>
      <w:r>
        <w:rPr>
          <w:rFonts w:cstheme="minorHAnsi"/>
        </w:rPr>
        <w:t>fulfill</w:t>
      </w:r>
      <w:r w:rsidR="00B96B7D">
        <w:rPr>
          <w:rFonts w:cstheme="minorHAnsi"/>
        </w:rPr>
        <w:t>s</w:t>
      </w:r>
      <w:r>
        <w:rPr>
          <w:rFonts w:cstheme="minorHAnsi"/>
        </w:rPr>
        <w:t xml:space="preserve"> these requirements for the HMRF grant</w:t>
      </w:r>
      <w:r w:rsidR="00591B57">
        <w:rPr>
          <w:rFonts w:cstheme="minorHAnsi"/>
        </w:rPr>
        <w:t xml:space="preserve"> recipients</w:t>
      </w:r>
      <w:r>
        <w:rPr>
          <w:rFonts w:cstheme="minorHAnsi"/>
        </w:rPr>
        <w:t>.</w:t>
      </w:r>
    </w:p>
    <w:p w:rsidR="008A0C27" w:rsidP="00110D5F" w14:paraId="0EAC69E4" w14:textId="07670F72">
      <w:pPr>
        <w:autoSpaceDE w:val="0"/>
        <w:autoSpaceDN w:val="0"/>
        <w:adjustRightInd w:val="0"/>
        <w:spacing w:after="0" w:line="240" w:lineRule="auto"/>
        <w:rPr>
          <w:rFonts w:cstheme="minorHAnsi"/>
        </w:rPr>
      </w:pPr>
    </w:p>
    <w:p w:rsidR="00C55A9C" w:rsidP="00110D5F" w14:paraId="0672041F" w14:textId="2355B13B">
      <w:pPr>
        <w:pStyle w:val="ListParagraph"/>
        <w:spacing w:after="0" w:line="240" w:lineRule="auto"/>
        <w:ind w:left="0"/>
        <w:rPr>
          <w:bCs/>
        </w:rPr>
      </w:pPr>
      <w:r>
        <w:rPr>
          <w:bCs/>
        </w:rPr>
        <w:t>T</w:t>
      </w:r>
      <w:r w:rsidR="008A0C27">
        <w:rPr>
          <w:bCs/>
        </w:rPr>
        <w:t xml:space="preserve">he </w:t>
      </w:r>
      <w:r>
        <w:rPr>
          <w:bCs/>
        </w:rPr>
        <w:t xml:space="preserve">performance measures data collection and reporting instruments for the </w:t>
      </w:r>
      <w:r w:rsidR="00D304E5">
        <w:rPr>
          <w:bCs/>
        </w:rPr>
        <w:t xml:space="preserve">2020 </w:t>
      </w:r>
      <w:r>
        <w:rPr>
          <w:bCs/>
        </w:rPr>
        <w:t xml:space="preserve">cohort were approved by the </w:t>
      </w:r>
      <w:r w:rsidR="008A0C27">
        <w:rPr>
          <w:bCs/>
        </w:rPr>
        <w:t xml:space="preserve">Office of Management and Budget </w:t>
      </w:r>
      <w:r>
        <w:rPr>
          <w:bCs/>
        </w:rPr>
        <w:t>(OMB</w:t>
      </w:r>
      <w:r w:rsidR="00861268">
        <w:rPr>
          <w:bCs/>
        </w:rPr>
        <w:t xml:space="preserve"> </w:t>
      </w:r>
      <w:r>
        <w:rPr>
          <w:bCs/>
        </w:rPr>
        <w:t>#0970-</w:t>
      </w:r>
      <w:r w:rsidR="00D304E5">
        <w:rPr>
          <w:bCs/>
        </w:rPr>
        <w:t>0566</w:t>
      </w:r>
      <w:r>
        <w:rPr>
          <w:bCs/>
        </w:rPr>
        <w:t xml:space="preserve">) </w:t>
      </w:r>
      <w:r w:rsidRPr="00D612B2" w:rsidR="008A0C27">
        <w:rPr>
          <w:bCs/>
        </w:rPr>
        <w:t xml:space="preserve">in </w:t>
      </w:r>
      <w:r w:rsidR="00D304E5">
        <w:rPr>
          <w:bCs/>
        </w:rPr>
        <w:t>2021</w:t>
      </w:r>
      <w:r w:rsidR="00B96B7D">
        <w:rPr>
          <w:bCs/>
        </w:rPr>
        <w:t xml:space="preserve"> and renewed in 2024</w:t>
      </w:r>
      <w:r>
        <w:rPr>
          <w:bCs/>
        </w:rPr>
        <w:t>. The instruments</w:t>
      </w:r>
      <w:r w:rsidR="00CC0FE8">
        <w:rPr>
          <w:bCs/>
        </w:rPr>
        <w:t xml:space="preserve"> </w:t>
      </w:r>
      <w:r w:rsidRPr="00D612B2" w:rsidR="008A0C27">
        <w:rPr>
          <w:bCs/>
        </w:rPr>
        <w:t>have been used as planned</w:t>
      </w:r>
      <w:r w:rsidR="003B617C">
        <w:rPr>
          <w:bCs/>
        </w:rPr>
        <w:t>. T</w:t>
      </w:r>
      <w:r w:rsidR="008A0C27">
        <w:rPr>
          <w:bCs/>
        </w:rPr>
        <w:t xml:space="preserve">hrough </w:t>
      </w:r>
      <w:r w:rsidR="00824944">
        <w:rPr>
          <w:bCs/>
        </w:rPr>
        <w:t>September 29</w:t>
      </w:r>
      <w:r w:rsidR="008A0C27">
        <w:rPr>
          <w:bCs/>
        </w:rPr>
        <w:t xml:space="preserve">, </w:t>
      </w:r>
      <w:r w:rsidR="00B96B7D">
        <w:rPr>
          <w:bCs/>
        </w:rPr>
        <w:t xml:space="preserve">2025 </w:t>
      </w:r>
      <w:r w:rsidR="00824944">
        <w:rPr>
          <w:bCs/>
        </w:rPr>
        <w:t xml:space="preserve">(the end of </w:t>
      </w:r>
      <w:r w:rsidR="00B96B7D">
        <w:rPr>
          <w:bCs/>
        </w:rPr>
        <w:t>the 2020 cohort</w:t>
      </w:r>
      <w:r w:rsidR="00824944">
        <w:rPr>
          <w:bCs/>
        </w:rPr>
        <w:t>)</w:t>
      </w:r>
      <w:r w:rsidR="008A0C27">
        <w:rPr>
          <w:bCs/>
        </w:rPr>
        <w:t>, grant</w:t>
      </w:r>
      <w:r w:rsidR="00824944">
        <w:rPr>
          <w:bCs/>
        </w:rPr>
        <w:t xml:space="preserve"> recipients</w:t>
      </w:r>
      <w:r w:rsidR="008A0C27">
        <w:rPr>
          <w:bCs/>
        </w:rPr>
        <w:t xml:space="preserve"> </w:t>
      </w:r>
      <w:r w:rsidR="00824944">
        <w:rPr>
          <w:bCs/>
        </w:rPr>
        <w:t xml:space="preserve">had </w:t>
      </w:r>
      <w:r w:rsidR="008A0C27">
        <w:rPr>
          <w:bCs/>
        </w:rPr>
        <w:t xml:space="preserve">enrolled </w:t>
      </w:r>
      <w:r w:rsidR="00B96B7D">
        <w:rPr>
          <w:rFonts w:eastAsia="Times New Roman" w:cstheme="minorHAnsi"/>
          <w:color w:val="000000"/>
        </w:rPr>
        <w:t xml:space="preserve">193,993 </w:t>
      </w:r>
      <w:r w:rsidR="008A0C27">
        <w:rPr>
          <w:bCs/>
        </w:rPr>
        <w:t>clients, administered the OMB-approved survey instruments, and submitted the OMB-approved reports to ACF</w:t>
      </w:r>
      <w:r w:rsidR="003B617C">
        <w:rPr>
          <w:bCs/>
        </w:rPr>
        <w:t xml:space="preserve"> to meet reporting requirements</w:t>
      </w:r>
      <w:r w:rsidR="008A0C27">
        <w:rPr>
          <w:bCs/>
        </w:rPr>
        <w:t>. In addition, the data have been used to support numerous federal and grant</w:t>
      </w:r>
      <w:r w:rsidR="00824944">
        <w:rPr>
          <w:bCs/>
        </w:rPr>
        <w:t xml:space="preserve"> recipient</w:t>
      </w:r>
      <w:r w:rsidR="008A0C27">
        <w:rPr>
          <w:bCs/>
        </w:rPr>
        <w:t>-led evaluations of the HMRF programs.</w:t>
      </w:r>
      <w:r w:rsidRPr="00C55A9C">
        <w:rPr>
          <w:bCs/>
        </w:rPr>
        <w:t xml:space="preserve"> </w:t>
      </w:r>
    </w:p>
    <w:p w:rsidR="00C55A9C" w:rsidP="00110D5F" w14:paraId="3A0836F7" w14:textId="77777777">
      <w:pPr>
        <w:pStyle w:val="ListParagraph"/>
        <w:spacing w:after="0" w:line="240" w:lineRule="auto"/>
        <w:ind w:left="0"/>
        <w:rPr>
          <w:bCs/>
        </w:rPr>
      </w:pPr>
    </w:p>
    <w:p w:rsidR="000D710E" w:rsidP="00110D5F" w14:paraId="5CBDC034" w14:textId="3C2116CA">
      <w:pPr>
        <w:pStyle w:val="ListParagraph"/>
        <w:spacing w:after="0" w:line="240" w:lineRule="auto"/>
        <w:ind w:left="0"/>
        <w:rPr>
          <w:rFonts w:cstheme="minorHAnsi"/>
        </w:rPr>
      </w:pPr>
      <w:r>
        <w:rPr>
          <w:rFonts w:cstheme="minorHAnsi"/>
        </w:rPr>
        <w:t xml:space="preserve">This request from </w:t>
      </w:r>
      <w:r w:rsidR="00663A20">
        <w:rPr>
          <w:rFonts w:cstheme="minorHAnsi"/>
        </w:rPr>
        <w:t>ACF</w:t>
      </w:r>
      <w:r w:rsidRPr="0046143E" w:rsidR="006F6FD2">
        <w:rPr>
          <w:rFonts w:cstheme="minorHAnsi"/>
        </w:rPr>
        <w:t xml:space="preserve"> </w:t>
      </w:r>
      <w:r>
        <w:rPr>
          <w:rFonts w:cstheme="minorHAnsi"/>
        </w:rPr>
        <w:t xml:space="preserve">is for </w:t>
      </w:r>
      <w:r w:rsidR="00936976">
        <w:rPr>
          <w:rFonts w:cstheme="minorHAnsi"/>
        </w:rPr>
        <w:t>a revision</w:t>
      </w:r>
      <w:r w:rsidR="00824944">
        <w:rPr>
          <w:rFonts w:cstheme="minorHAnsi"/>
        </w:rPr>
        <w:t xml:space="preserve"> to its approved collection and reporting of performance measures about program operations, services, and client services through the HMRF Grant Programs. </w:t>
      </w:r>
      <w:r w:rsidR="00936976">
        <w:rPr>
          <w:rFonts w:cs="Calibri"/>
        </w:rPr>
        <w:t>ACF proposes to continue performance measure data collection and reporting for the 2025 cohort of HMRF grant recipients that received five-year awards in September 2025.</w:t>
      </w:r>
      <w:r w:rsidRPr="00C459E0" w:rsidR="00936976">
        <w:rPr>
          <w:rFonts w:eastAsia="Times New Roman" w:cstheme="minorHAnsi"/>
          <w:color w:val="000000"/>
        </w:rPr>
        <w:t xml:space="preserve"> </w:t>
      </w:r>
      <w:r w:rsidR="00936976">
        <w:rPr>
          <w:rFonts w:eastAsia="Times New Roman" w:cstheme="minorHAnsi"/>
          <w:color w:val="000000"/>
        </w:rPr>
        <w:t xml:space="preserve">For the 2025 cohort, </w:t>
      </w:r>
      <w:r w:rsidR="00313D07">
        <w:rPr>
          <w:rFonts w:eastAsia="Times New Roman" w:cstheme="minorHAnsi"/>
          <w:color w:val="000000"/>
        </w:rPr>
        <w:t xml:space="preserve">ACF revised </w:t>
      </w:r>
      <w:r w:rsidR="00936976">
        <w:rPr>
          <w:rFonts w:eastAsia="Times New Roman" w:cstheme="minorHAnsi"/>
          <w:color w:val="000000"/>
        </w:rPr>
        <w:t xml:space="preserve">the instruments used by the 2020 </w:t>
      </w:r>
      <w:r w:rsidRPr="00941A59" w:rsidR="00936976">
        <w:rPr>
          <w:bCs/>
        </w:rPr>
        <w:t xml:space="preserve">cohort to reflect its current priorities, </w:t>
      </w:r>
      <w:r w:rsidRPr="00941A59" w:rsidR="00936976">
        <w:rPr>
          <w:rFonts w:cstheme="minorHAnsi"/>
          <w:bCs/>
        </w:rPr>
        <w:t xml:space="preserve">better align the data with the characteristics of HMRF programs and clients, and </w:t>
      </w:r>
      <w:r w:rsidR="00313D07">
        <w:rPr>
          <w:rFonts w:cstheme="minorHAnsi"/>
          <w:bCs/>
        </w:rPr>
        <w:t>reduce</w:t>
      </w:r>
      <w:r w:rsidR="00936976">
        <w:rPr>
          <w:rFonts w:cstheme="minorHAnsi"/>
          <w:bCs/>
        </w:rPr>
        <w:t xml:space="preserve"> respondent burden.</w:t>
      </w:r>
      <w:r w:rsidR="00824944">
        <w:rPr>
          <w:rFonts w:cstheme="minorHAnsi"/>
        </w:rPr>
        <w:t xml:space="preserve"> </w:t>
      </w:r>
    </w:p>
    <w:p w:rsidR="00587523" w:rsidP="00110D5F" w14:paraId="1FD2CD30" w14:textId="25F33FFC">
      <w:pPr>
        <w:pStyle w:val="ListParagraph"/>
        <w:spacing w:after="0" w:line="240" w:lineRule="auto"/>
        <w:ind w:left="0"/>
        <w:rPr>
          <w:rFonts w:cstheme="minorHAnsi"/>
        </w:rPr>
      </w:pPr>
    </w:p>
    <w:p w:rsidR="001578C0" w:rsidP="00110D5F" w14:paraId="0FC6FA2D" w14:textId="77777777">
      <w:pPr>
        <w:spacing w:line="240" w:lineRule="auto"/>
        <w:rPr>
          <w:b/>
        </w:rPr>
      </w:pPr>
      <w:r>
        <w:rPr>
          <w:b/>
        </w:rPr>
        <w:br w:type="page"/>
      </w:r>
    </w:p>
    <w:p w:rsidR="001D1C73" w:rsidRPr="009139B3" w:rsidP="00110D5F" w14:paraId="1D64CC0F" w14:textId="4F5F22CD">
      <w:pPr>
        <w:spacing w:after="120" w:line="240" w:lineRule="auto"/>
        <w:rPr>
          <w:b/>
        </w:rPr>
      </w:pPr>
      <w:r w:rsidRPr="009139B3">
        <w:rPr>
          <w:b/>
        </w:rPr>
        <w:t>A2</w:t>
      </w:r>
      <w:r w:rsidRPr="009139B3">
        <w:t>.</w:t>
      </w:r>
      <w:r w:rsidRPr="009139B3">
        <w:tab/>
      </w:r>
      <w:r w:rsidRPr="009139B3">
        <w:rPr>
          <w:b/>
        </w:rPr>
        <w:t>Purpose</w:t>
      </w:r>
    </w:p>
    <w:p w:rsidR="002C4742" w:rsidRPr="009139B3" w:rsidP="00110D5F" w14:paraId="525F0358" w14:textId="77777777">
      <w:pPr>
        <w:spacing w:after="60" w:line="240" w:lineRule="auto"/>
        <w:rPr>
          <w:i/>
        </w:rPr>
      </w:pPr>
      <w:r w:rsidRPr="009139B3">
        <w:rPr>
          <w:i/>
        </w:rPr>
        <w:t xml:space="preserve">Purpose and Use </w:t>
      </w:r>
    </w:p>
    <w:p w:rsidR="00992874" w:rsidP="00110D5F" w14:paraId="5920D961" w14:textId="367059B5">
      <w:pPr>
        <w:pStyle w:val="NormalSS"/>
        <w:jc w:val="both"/>
        <w:rPr>
          <w:rFonts w:cstheme="minorHAnsi"/>
        </w:rPr>
      </w:pPr>
      <w:r w:rsidRPr="006F0E9C">
        <w:rPr>
          <w:rFonts w:cstheme="minorHAnsi"/>
        </w:rPr>
        <w:t xml:space="preserve">The </w:t>
      </w:r>
      <w:r w:rsidR="00895980">
        <w:rPr>
          <w:rFonts w:cstheme="minorHAnsi"/>
        </w:rPr>
        <w:t xml:space="preserve">primary </w:t>
      </w:r>
      <w:r w:rsidRPr="006F0E9C">
        <w:rPr>
          <w:rFonts w:cstheme="minorHAnsi"/>
        </w:rPr>
        <w:t xml:space="preserve">purpose </w:t>
      </w:r>
      <w:r w:rsidRPr="006F0E9C" w:rsidR="006446B5">
        <w:rPr>
          <w:rFonts w:cstheme="minorHAnsi"/>
        </w:rPr>
        <w:t>of this information</w:t>
      </w:r>
      <w:r w:rsidRPr="006F0E9C">
        <w:rPr>
          <w:rFonts w:cstheme="minorHAnsi"/>
        </w:rPr>
        <w:t xml:space="preserve"> collection </w:t>
      </w:r>
      <w:r w:rsidRPr="006F0E9C" w:rsidR="006446B5">
        <w:rPr>
          <w:rFonts w:cstheme="minorHAnsi"/>
        </w:rPr>
        <w:t xml:space="preserve">is </w:t>
      </w:r>
      <w:bookmarkStart w:id="5" w:name="_Hlk150336280"/>
      <w:r w:rsidRPr="006F0E9C">
        <w:rPr>
          <w:rFonts w:cstheme="minorHAnsi"/>
        </w:rPr>
        <w:t>to enable program performance monitoring</w:t>
      </w:r>
      <w:r w:rsidR="00895980">
        <w:rPr>
          <w:rFonts w:cstheme="minorHAnsi"/>
        </w:rPr>
        <w:t xml:space="preserve"> and </w:t>
      </w:r>
      <w:r w:rsidRPr="006F0E9C">
        <w:rPr>
          <w:rFonts w:cstheme="minorHAnsi"/>
        </w:rPr>
        <w:t xml:space="preserve">program improvement activities </w:t>
      </w:r>
      <w:bookmarkEnd w:id="5"/>
      <w:r w:rsidR="00895980">
        <w:rPr>
          <w:rFonts w:cstheme="minorHAnsi"/>
        </w:rPr>
        <w:t xml:space="preserve">for the </w:t>
      </w:r>
      <w:r w:rsidR="00936976">
        <w:rPr>
          <w:rFonts w:cstheme="minorHAnsi"/>
        </w:rPr>
        <w:t xml:space="preserve">2025 </w:t>
      </w:r>
      <w:r w:rsidR="00895980">
        <w:rPr>
          <w:rFonts w:cstheme="minorHAnsi"/>
        </w:rPr>
        <w:t xml:space="preserve">cohort of HMRF </w:t>
      </w:r>
      <w:r w:rsidR="003C5C24">
        <w:rPr>
          <w:rFonts w:cstheme="minorHAnsi"/>
        </w:rPr>
        <w:t>grant recipients</w:t>
      </w:r>
      <w:r w:rsidR="00895980">
        <w:rPr>
          <w:rFonts w:cstheme="minorHAnsi"/>
        </w:rPr>
        <w:t xml:space="preserve">. </w:t>
      </w:r>
      <w:r w:rsidR="00A90028">
        <w:rPr>
          <w:rFonts w:cstheme="minorHAnsi"/>
        </w:rPr>
        <w:t>The performance measures data</w:t>
      </w:r>
      <w:r w:rsidR="00936976">
        <w:rPr>
          <w:rFonts w:cstheme="minorHAnsi"/>
        </w:rPr>
        <w:t xml:space="preserve"> and annual</w:t>
      </w:r>
      <w:r w:rsidR="00A90028">
        <w:rPr>
          <w:rFonts w:cstheme="minorHAnsi"/>
        </w:rPr>
        <w:t xml:space="preserve"> reports in this request </w:t>
      </w:r>
      <w:r w:rsidR="00936976">
        <w:rPr>
          <w:rFonts w:cstheme="minorHAnsi"/>
        </w:rPr>
        <w:t xml:space="preserve">will be </w:t>
      </w:r>
      <w:r w:rsidR="00A90028">
        <w:rPr>
          <w:rFonts w:cstheme="minorHAnsi"/>
        </w:rPr>
        <w:t>used by grant</w:t>
      </w:r>
      <w:r w:rsidR="00D4293D">
        <w:rPr>
          <w:rFonts w:cstheme="minorHAnsi"/>
        </w:rPr>
        <w:t xml:space="preserve"> recipients</w:t>
      </w:r>
      <w:r w:rsidR="007D2ADA">
        <w:rPr>
          <w:rFonts w:cstheme="minorHAnsi"/>
        </w:rPr>
        <w:t xml:space="preserve">, </w:t>
      </w:r>
      <w:r w:rsidR="00A90028">
        <w:rPr>
          <w:rFonts w:cstheme="minorHAnsi"/>
        </w:rPr>
        <w:t>ACF</w:t>
      </w:r>
      <w:r w:rsidR="007D2ADA">
        <w:rPr>
          <w:rFonts w:cstheme="minorHAnsi"/>
        </w:rPr>
        <w:t>, and ACF contractors</w:t>
      </w:r>
      <w:r w:rsidR="00A90028">
        <w:rPr>
          <w:rFonts w:cstheme="minorHAnsi"/>
        </w:rPr>
        <w:t xml:space="preserve"> </w:t>
      </w:r>
      <w:bookmarkStart w:id="6" w:name="_Hlk150336297"/>
      <w:r w:rsidR="00A90028">
        <w:rPr>
          <w:rFonts w:cstheme="minorHAnsi"/>
        </w:rPr>
        <w:t xml:space="preserve">for monitoring and program improvement. </w:t>
      </w:r>
      <w:bookmarkEnd w:id="6"/>
      <w:r>
        <w:rPr>
          <w:rFonts w:cstheme="minorHAnsi"/>
        </w:rPr>
        <w:t>Program monitoring and improvement</w:t>
      </w:r>
      <w:r w:rsidR="000A0DBF">
        <w:rPr>
          <w:rFonts w:cstheme="minorHAnsi"/>
        </w:rPr>
        <w:t xml:space="preserve"> could include, for example, </w:t>
      </w:r>
      <w:bookmarkStart w:id="7" w:name="_Hlk150336394"/>
      <w:r w:rsidR="000A0DBF">
        <w:rPr>
          <w:rFonts w:cstheme="minorHAnsi"/>
        </w:rPr>
        <w:t xml:space="preserve">monitoring client enrollment in HMRF programs to determine whether recruitment strategies require adjustment to </w:t>
      </w:r>
      <w:r>
        <w:rPr>
          <w:rFonts w:cstheme="minorHAnsi"/>
        </w:rPr>
        <w:t xml:space="preserve">better </w:t>
      </w:r>
      <w:r w:rsidR="000A0DBF">
        <w:rPr>
          <w:rFonts w:cstheme="minorHAnsi"/>
        </w:rPr>
        <w:t xml:space="preserve">reach the intended audiences. </w:t>
      </w:r>
    </w:p>
    <w:bookmarkEnd w:id="7"/>
    <w:p w:rsidR="00992874" w:rsidRPr="006F0E9C" w:rsidP="00110D5F" w14:paraId="15D817F0" w14:textId="6A56E49D">
      <w:pPr>
        <w:pStyle w:val="NormalSS"/>
        <w:jc w:val="both"/>
        <w:rPr>
          <w:rFonts w:cstheme="minorHAnsi"/>
        </w:rPr>
      </w:pPr>
      <w:r>
        <w:rPr>
          <w:rFonts w:cstheme="minorHAnsi"/>
        </w:rPr>
        <w:t xml:space="preserve">The information collected </w:t>
      </w:r>
      <w:r w:rsidR="00D4293D">
        <w:rPr>
          <w:rFonts w:cstheme="minorHAnsi"/>
        </w:rPr>
        <w:t>is</w:t>
      </w:r>
      <w:r w:rsidR="005F7A4C">
        <w:rPr>
          <w:rFonts w:cstheme="minorHAnsi"/>
        </w:rPr>
        <w:t xml:space="preserve"> </w:t>
      </w:r>
      <w:r>
        <w:rPr>
          <w:rFonts w:cstheme="minorHAnsi"/>
        </w:rPr>
        <w:t xml:space="preserve">also used </w:t>
      </w:r>
      <w:bookmarkStart w:id="8" w:name="_Hlk150336413"/>
      <w:r>
        <w:rPr>
          <w:rFonts w:cstheme="minorHAnsi"/>
        </w:rPr>
        <w:t xml:space="preserve">to support </w:t>
      </w:r>
      <w:r w:rsidR="007D2ADA">
        <w:rPr>
          <w:rFonts w:cstheme="minorHAnsi"/>
        </w:rPr>
        <w:t xml:space="preserve">ACF-funded </w:t>
      </w:r>
      <w:r w:rsidR="00A90028">
        <w:rPr>
          <w:rFonts w:cstheme="minorHAnsi"/>
        </w:rPr>
        <w:t xml:space="preserve">activities including </w:t>
      </w:r>
      <w:r>
        <w:rPr>
          <w:rFonts w:cstheme="minorHAnsi"/>
        </w:rPr>
        <w:t>grant</w:t>
      </w:r>
      <w:r w:rsidR="00D4293D">
        <w:rPr>
          <w:rFonts w:cstheme="minorHAnsi"/>
        </w:rPr>
        <w:t xml:space="preserve"> recipient-led</w:t>
      </w:r>
      <w:r>
        <w:rPr>
          <w:rFonts w:cstheme="minorHAnsi"/>
        </w:rPr>
        <w:t xml:space="preserve"> descriptive and impact evaluations</w:t>
      </w:r>
      <w:r w:rsidR="00A90028">
        <w:rPr>
          <w:rFonts w:cstheme="minorHAnsi"/>
        </w:rPr>
        <w:t xml:space="preserve">, </w:t>
      </w:r>
      <w:r>
        <w:rPr>
          <w:rFonts w:cstheme="minorHAnsi"/>
        </w:rPr>
        <w:t>cross-site anal</w:t>
      </w:r>
      <w:r w:rsidR="00A90028">
        <w:rPr>
          <w:rFonts w:cstheme="minorHAnsi"/>
        </w:rPr>
        <w:t>yses</w:t>
      </w:r>
      <w:r w:rsidR="007D2ADA">
        <w:rPr>
          <w:rFonts w:cstheme="minorHAnsi"/>
        </w:rPr>
        <w:t>, and technical assistance to grant</w:t>
      </w:r>
      <w:r w:rsidR="00167BFF">
        <w:rPr>
          <w:rFonts w:cstheme="minorHAnsi"/>
        </w:rPr>
        <w:t xml:space="preserve"> </w:t>
      </w:r>
      <w:r w:rsidR="00D4293D">
        <w:rPr>
          <w:rFonts w:cstheme="minorHAnsi"/>
        </w:rPr>
        <w:t xml:space="preserve">recipients </w:t>
      </w:r>
      <w:r w:rsidR="007D2ADA">
        <w:rPr>
          <w:rFonts w:cstheme="minorHAnsi"/>
        </w:rPr>
        <w:t>for program implementation, evaluation, and data collection</w:t>
      </w:r>
      <w:r>
        <w:rPr>
          <w:rFonts w:cstheme="minorHAnsi"/>
        </w:rPr>
        <w:t>.</w:t>
      </w:r>
      <w:r>
        <w:rPr>
          <w:rFonts w:cstheme="minorHAnsi"/>
        </w:rPr>
        <w:t xml:space="preserve"> </w:t>
      </w:r>
      <w:bookmarkEnd w:id="8"/>
      <w:r w:rsidRPr="006F0E9C">
        <w:rPr>
          <w:rFonts w:cstheme="minorHAnsi"/>
          <w:iCs/>
        </w:rPr>
        <w:t>ACF will disseminate reports and other products to the public that highlight grant</w:t>
      </w:r>
      <w:r w:rsidR="00D4293D">
        <w:rPr>
          <w:rFonts w:cstheme="minorHAnsi"/>
          <w:iCs/>
        </w:rPr>
        <w:t xml:space="preserve"> recipients’</w:t>
      </w:r>
      <w:r w:rsidRPr="006F0E9C">
        <w:rPr>
          <w:rFonts w:cstheme="minorHAnsi"/>
          <w:iCs/>
        </w:rPr>
        <w:t xml:space="preserve"> achievement</w:t>
      </w:r>
      <w:r>
        <w:rPr>
          <w:rFonts w:cstheme="minorHAnsi"/>
          <w:iCs/>
        </w:rPr>
        <w:t>s</w:t>
      </w:r>
      <w:r w:rsidRPr="006F0E9C">
        <w:rPr>
          <w:rFonts w:cstheme="minorHAnsi"/>
          <w:iCs/>
        </w:rPr>
        <w:t xml:space="preserve">, such as number of </w:t>
      </w:r>
      <w:r>
        <w:rPr>
          <w:bCs/>
        </w:rPr>
        <w:t>clients</w:t>
      </w:r>
      <w:r w:rsidRPr="006F0E9C">
        <w:rPr>
          <w:rFonts w:cstheme="minorHAnsi"/>
          <w:iCs/>
        </w:rPr>
        <w:t xml:space="preserve"> enrolled, characteristics of services, descriptions of who the grant</w:t>
      </w:r>
      <w:r w:rsidR="00D4293D">
        <w:rPr>
          <w:rFonts w:cstheme="minorHAnsi"/>
          <w:iCs/>
        </w:rPr>
        <w:t xml:space="preserve"> recipients</w:t>
      </w:r>
      <w:r w:rsidRPr="006F0E9C">
        <w:rPr>
          <w:rFonts w:cstheme="minorHAnsi"/>
          <w:iCs/>
        </w:rPr>
        <w:t xml:space="preserve"> served, and </w:t>
      </w:r>
      <w:r>
        <w:rPr>
          <w:bCs/>
        </w:rPr>
        <w:t>client</w:t>
      </w:r>
      <w:r w:rsidRPr="006F0E9C">
        <w:rPr>
          <w:rFonts w:cstheme="minorHAnsi"/>
          <w:iCs/>
        </w:rPr>
        <w:t xml:space="preserve"> outcomes. Additional analyses may be conducted </w:t>
      </w:r>
      <w:bookmarkStart w:id="9" w:name="_Hlk150336444"/>
      <w:r w:rsidRPr="006F0E9C">
        <w:rPr>
          <w:rFonts w:cstheme="minorHAnsi"/>
          <w:iCs/>
        </w:rPr>
        <w:t>to better understand grant</w:t>
      </w:r>
      <w:r w:rsidR="00D4293D">
        <w:rPr>
          <w:rFonts w:cstheme="minorHAnsi"/>
          <w:iCs/>
        </w:rPr>
        <w:t xml:space="preserve"> recipients’</w:t>
      </w:r>
      <w:r w:rsidRPr="006F0E9C">
        <w:rPr>
          <w:rFonts w:cstheme="minorHAnsi"/>
          <w:iCs/>
        </w:rPr>
        <w:t xml:space="preserve"> progress across their period of performance</w:t>
      </w:r>
      <w:r>
        <w:rPr>
          <w:rFonts w:cstheme="minorHAnsi"/>
          <w:iCs/>
        </w:rPr>
        <w:t xml:space="preserve"> and </w:t>
      </w:r>
      <w:r w:rsidRPr="006F0E9C">
        <w:rPr>
          <w:rFonts w:cstheme="minorHAnsi"/>
          <w:iCs/>
        </w:rPr>
        <w:t>reflect ACF priorities for each grant year.</w:t>
      </w:r>
    </w:p>
    <w:bookmarkEnd w:id="9"/>
    <w:p w:rsidR="003609AA" w:rsidP="00110D5F" w14:paraId="584590B8" w14:textId="6747AF05">
      <w:pPr>
        <w:pStyle w:val="NormalSS"/>
        <w:jc w:val="both"/>
        <w:rPr>
          <w:rFonts w:cstheme="minorHAnsi"/>
        </w:rPr>
      </w:pPr>
      <w:r w:rsidRPr="006F0E9C">
        <w:rPr>
          <w:rFonts w:cstheme="minorHAnsi"/>
        </w:rPr>
        <w:t xml:space="preserve">The information obtained through </w:t>
      </w:r>
      <w:r w:rsidRPr="006F0E9C" w:rsidR="000D710E">
        <w:rPr>
          <w:rFonts w:cstheme="minorHAnsi"/>
        </w:rPr>
        <w:t>this data collection</w:t>
      </w:r>
      <w:r w:rsidRPr="006F0E9C">
        <w:rPr>
          <w:rFonts w:cstheme="minorHAnsi"/>
        </w:rPr>
        <w:t xml:space="preserve"> is critical to understanding the broad array of </w:t>
      </w:r>
      <w:r w:rsidR="004B30CA">
        <w:rPr>
          <w:rFonts w:cstheme="minorHAnsi"/>
        </w:rPr>
        <w:t>HM and RF</w:t>
      </w:r>
      <w:r w:rsidRPr="006F0E9C">
        <w:rPr>
          <w:rFonts w:cstheme="minorHAnsi"/>
        </w:rPr>
        <w:t xml:space="preserve"> </w:t>
      </w:r>
      <w:r w:rsidRPr="006F0E9C">
        <w:rPr>
          <w:rFonts w:cstheme="minorHAnsi"/>
        </w:rPr>
        <w:t>programs</w:t>
      </w:r>
      <w:r w:rsidRPr="006F0E9C">
        <w:rPr>
          <w:rFonts w:cstheme="minorHAnsi"/>
        </w:rPr>
        <w:t xml:space="preserve"> </w:t>
      </w:r>
      <w:r w:rsidRPr="006F0E9C">
        <w:rPr>
          <w:rFonts w:cstheme="minorHAnsi"/>
        </w:rPr>
        <w:t>funded—</w:t>
      </w:r>
      <w:r w:rsidRPr="006F0E9C">
        <w:rPr>
          <w:rFonts w:cstheme="minorHAnsi"/>
        </w:rPr>
        <w:t xml:space="preserve">the services provided, the context in which they operate, the nature and extent of participation, and the outcomes </w:t>
      </w:r>
      <w:r w:rsidR="004F5AF8">
        <w:rPr>
          <w:rFonts w:cstheme="minorHAnsi"/>
        </w:rPr>
        <w:t>of</w:t>
      </w:r>
      <w:r w:rsidRPr="006F0E9C">
        <w:rPr>
          <w:rFonts w:cstheme="minorHAnsi"/>
        </w:rPr>
        <w:t xml:space="preserve"> program </w:t>
      </w:r>
      <w:r w:rsidR="00DA37E0">
        <w:rPr>
          <w:bCs/>
        </w:rPr>
        <w:t>clients</w:t>
      </w:r>
      <w:r w:rsidRPr="006F0E9C">
        <w:rPr>
          <w:rFonts w:cstheme="minorHAnsi"/>
        </w:rPr>
        <w:t xml:space="preserve">. The goal is to better understand the design, operations, and benefits of HMRF programs, thereby informing decisions about future government investments in HMRF programming. </w:t>
      </w:r>
    </w:p>
    <w:p w:rsidR="003B759B" w:rsidP="00110D5F" w14:paraId="5C87ACA6" w14:textId="77777777">
      <w:pPr>
        <w:pStyle w:val="CommentText"/>
        <w:rPr>
          <w:rFonts w:cstheme="minorHAnsi"/>
          <w:sz w:val="22"/>
          <w:szCs w:val="22"/>
        </w:rPr>
      </w:pPr>
      <w:r w:rsidRPr="00A35F60">
        <w:rPr>
          <w:rFonts w:cstheme="minorHAnsi"/>
          <w:sz w:val="22"/>
          <w:szCs w:val="22"/>
        </w:rPr>
        <w:t>The performance measures covered by this</w:t>
      </w:r>
      <w:r>
        <w:rPr>
          <w:rFonts w:cstheme="minorHAnsi"/>
          <w:sz w:val="22"/>
          <w:szCs w:val="22"/>
        </w:rPr>
        <w:t xml:space="preserve"> information collection request</w:t>
      </w:r>
      <w:r w:rsidRPr="00A35F60">
        <w:rPr>
          <w:rFonts w:cstheme="minorHAnsi"/>
          <w:sz w:val="22"/>
          <w:szCs w:val="22"/>
        </w:rPr>
        <w:t xml:space="preserve"> </w:t>
      </w:r>
      <w:r>
        <w:rPr>
          <w:rFonts w:cstheme="minorHAnsi"/>
          <w:sz w:val="22"/>
          <w:szCs w:val="22"/>
        </w:rPr>
        <w:t>(</w:t>
      </w:r>
      <w:r w:rsidRPr="00A35F60">
        <w:rPr>
          <w:rFonts w:cstheme="minorHAnsi"/>
          <w:sz w:val="22"/>
          <w:szCs w:val="22"/>
        </w:rPr>
        <w:t>ICR</w:t>
      </w:r>
      <w:r>
        <w:rPr>
          <w:rFonts w:cstheme="minorHAnsi"/>
          <w:sz w:val="22"/>
          <w:szCs w:val="22"/>
        </w:rPr>
        <w:t>)</w:t>
      </w:r>
      <w:r w:rsidRPr="00A35F60">
        <w:rPr>
          <w:rFonts w:cstheme="minorHAnsi"/>
          <w:sz w:val="22"/>
          <w:szCs w:val="22"/>
        </w:rPr>
        <w:t xml:space="preserve"> are directly aligned with the legislatively authorized activities for the HM and RF programs. Authorized activities for </w:t>
      </w:r>
      <w:r>
        <w:rPr>
          <w:rFonts w:cstheme="minorHAnsi"/>
          <w:sz w:val="22"/>
          <w:szCs w:val="22"/>
        </w:rPr>
        <w:t xml:space="preserve">the </w:t>
      </w:r>
      <w:r w:rsidRPr="00A35F60">
        <w:rPr>
          <w:rFonts w:cstheme="minorHAnsi"/>
          <w:sz w:val="22"/>
          <w:szCs w:val="22"/>
        </w:rPr>
        <w:t>HM adult programs include marriage and relationship education/skills, pre-marital education, marriage enhancement, divorce reduction, marriage mentoring, reduction of disincentives to marriage</w:t>
      </w:r>
      <w:r>
        <w:rPr>
          <w:rFonts w:cstheme="minorHAnsi"/>
          <w:sz w:val="22"/>
          <w:szCs w:val="22"/>
        </w:rPr>
        <w:t>, and</w:t>
      </w:r>
      <w:r w:rsidRPr="0005509F">
        <w:rPr>
          <w:rFonts w:cstheme="minorHAnsi"/>
          <w:sz w:val="22"/>
          <w:szCs w:val="22"/>
        </w:rPr>
        <w:t xml:space="preserve"> </w:t>
      </w:r>
      <w:r w:rsidRPr="00A35F60">
        <w:rPr>
          <w:rFonts w:cstheme="minorHAnsi"/>
          <w:sz w:val="22"/>
          <w:szCs w:val="22"/>
        </w:rPr>
        <w:t>public advertising campaigns. Legislatively authorized activities for youth include education in high schools, marriage and relationship education/skills, and public advertising campaigns. RF grant</w:t>
      </w:r>
      <w:r>
        <w:rPr>
          <w:rFonts w:cstheme="minorHAnsi"/>
          <w:sz w:val="22"/>
          <w:szCs w:val="22"/>
        </w:rPr>
        <w:t xml:space="preserve"> recipients</w:t>
      </w:r>
      <w:r w:rsidRPr="00A35F60">
        <w:rPr>
          <w:rFonts w:cstheme="minorHAnsi"/>
          <w:sz w:val="22"/>
          <w:szCs w:val="22"/>
        </w:rPr>
        <w:t xml:space="preserve"> must provide legislatively authorized activities in three areas: economic stability, responsible parenting, and healthy marriage.</w:t>
      </w:r>
    </w:p>
    <w:p w:rsidR="008623DF" w:rsidP="00110D5F" w14:paraId="1A549097" w14:textId="0D0EF9A9">
      <w:pPr>
        <w:pStyle w:val="NormalSS"/>
        <w:jc w:val="both"/>
        <w:rPr>
          <w:rFonts w:cstheme="minorHAnsi"/>
        </w:rPr>
      </w:pPr>
      <w:r>
        <w:rPr>
          <w:rFonts w:cstheme="minorHAnsi"/>
        </w:rPr>
        <w:t>Each g</w:t>
      </w:r>
      <w:r w:rsidR="003609AA">
        <w:rPr>
          <w:rFonts w:cstheme="minorHAnsi"/>
        </w:rPr>
        <w:t>rant</w:t>
      </w:r>
      <w:r w:rsidR="00D4293D">
        <w:rPr>
          <w:rFonts w:cstheme="minorHAnsi"/>
        </w:rPr>
        <w:t xml:space="preserve"> recipient</w:t>
      </w:r>
      <w:r w:rsidR="003609AA">
        <w:rPr>
          <w:rFonts w:cstheme="minorHAnsi"/>
        </w:rPr>
        <w:t xml:space="preserve"> collect</w:t>
      </w:r>
      <w:r>
        <w:rPr>
          <w:rFonts w:cstheme="minorHAnsi"/>
        </w:rPr>
        <w:t>s</w:t>
      </w:r>
      <w:r w:rsidR="003609AA">
        <w:rPr>
          <w:rFonts w:cstheme="minorHAnsi"/>
        </w:rPr>
        <w:t xml:space="preserve"> performance information from clients in real time using the </w:t>
      </w:r>
      <w:r w:rsidR="003609AA">
        <w:rPr>
          <w:rFonts w:cstheme="minorHAnsi"/>
        </w:rPr>
        <w:t>nFORM</w:t>
      </w:r>
      <w:r w:rsidR="003609AA">
        <w:rPr>
          <w:rFonts w:cstheme="minorHAnsi"/>
        </w:rPr>
        <w:t xml:space="preserve"> system, </w:t>
      </w:r>
      <w:r>
        <w:rPr>
          <w:rFonts w:cstheme="minorHAnsi"/>
        </w:rPr>
        <w:t>from</w:t>
      </w:r>
      <w:r w:rsidR="003609AA">
        <w:rPr>
          <w:rFonts w:cstheme="minorHAnsi"/>
        </w:rPr>
        <w:t xml:space="preserve"> enrollment through program completion, for both individual and group-based activities. Through the </w:t>
      </w:r>
      <w:r w:rsidR="003609AA">
        <w:rPr>
          <w:rFonts w:cstheme="minorHAnsi"/>
        </w:rPr>
        <w:t>nFORM</w:t>
      </w:r>
      <w:r w:rsidR="003609AA">
        <w:rPr>
          <w:rFonts w:cstheme="minorHAnsi"/>
        </w:rPr>
        <w:t xml:space="preserve"> system, grant</w:t>
      </w:r>
      <w:r w:rsidR="00D4293D">
        <w:rPr>
          <w:rFonts w:cstheme="minorHAnsi"/>
        </w:rPr>
        <w:t xml:space="preserve"> recipients</w:t>
      </w:r>
      <w:r w:rsidR="003609AA">
        <w:rPr>
          <w:rFonts w:cstheme="minorHAnsi"/>
        </w:rPr>
        <w:t xml:space="preserve"> have continuous, secure access to this performance data </w:t>
      </w:r>
      <w:r w:rsidR="00E65BE4">
        <w:rPr>
          <w:rFonts w:cstheme="minorHAnsi"/>
        </w:rPr>
        <w:t xml:space="preserve">so they can </w:t>
      </w:r>
      <w:r w:rsidR="003609AA">
        <w:rPr>
          <w:rFonts w:cstheme="minorHAnsi"/>
        </w:rPr>
        <w:t>target services for individual clients and to support the</w:t>
      </w:r>
      <w:r w:rsidR="00301BE4">
        <w:rPr>
          <w:rFonts w:cstheme="minorHAnsi"/>
        </w:rPr>
        <w:t xml:space="preserve"> grant</w:t>
      </w:r>
      <w:r w:rsidR="00D4293D">
        <w:rPr>
          <w:rFonts w:cstheme="minorHAnsi"/>
        </w:rPr>
        <w:t xml:space="preserve"> recipient’s</w:t>
      </w:r>
      <w:r w:rsidR="003609AA">
        <w:rPr>
          <w:rFonts w:cstheme="minorHAnsi"/>
        </w:rPr>
        <w:t xml:space="preserve"> monitoring and reporting efforts across clients. Grant</w:t>
      </w:r>
      <w:r w:rsidR="00D4293D">
        <w:rPr>
          <w:rFonts w:cstheme="minorHAnsi"/>
        </w:rPr>
        <w:t xml:space="preserve"> recipients</w:t>
      </w:r>
      <w:r w:rsidR="003609AA">
        <w:rPr>
          <w:rFonts w:cstheme="minorHAnsi"/>
        </w:rPr>
        <w:t xml:space="preserve"> are able to view each client’s profile to help identify specific activities and make referrals based on client needs.</w:t>
      </w:r>
      <w:r>
        <w:rPr>
          <w:rFonts w:cstheme="minorHAnsi"/>
        </w:rPr>
        <w:t xml:space="preserve"> </w:t>
      </w:r>
      <w:bookmarkStart w:id="10" w:name="_Hlk150336491"/>
      <w:r w:rsidR="00D4293D">
        <w:rPr>
          <w:rFonts w:cstheme="minorHAnsi"/>
        </w:rPr>
        <w:t xml:space="preserve">Grant recipients </w:t>
      </w:r>
      <w:r>
        <w:rPr>
          <w:rFonts w:cstheme="minorHAnsi"/>
        </w:rPr>
        <w:t xml:space="preserve">are also able to extract performance information </w:t>
      </w:r>
      <w:r w:rsidR="00034DA1">
        <w:rPr>
          <w:rFonts w:cstheme="minorHAnsi"/>
        </w:rPr>
        <w:t>in real time to analyze the progress of individual clients and target follow-up, and to track progress across clients.</w:t>
      </w:r>
      <w:r w:rsidR="003609AA">
        <w:rPr>
          <w:rFonts w:cstheme="minorHAnsi"/>
        </w:rPr>
        <w:t xml:space="preserve"> </w:t>
      </w:r>
      <w:bookmarkEnd w:id="10"/>
    </w:p>
    <w:p w:rsidR="00034DA1" w:rsidRPr="006F0E9C" w:rsidP="00110D5F" w14:paraId="3CCDA437" w14:textId="075EC637">
      <w:pPr>
        <w:pStyle w:val="NormalSS"/>
        <w:jc w:val="both"/>
        <w:rPr>
          <w:rFonts w:cstheme="minorHAnsi"/>
        </w:rPr>
      </w:pPr>
      <w:r>
        <w:rPr>
          <w:rFonts w:cstheme="minorHAnsi"/>
        </w:rPr>
        <w:t xml:space="preserve">ACF </w:t>
      </w:r>
      <w:r w:rsidR="000379E9">
        <w:rPr>
          <w:rFonts w:cstheme="minorHAnsi"/>
        </w:rPr>
        <w:t>only has access to summary data at the grant</w:t>
      </w:r>
      <w:r w:rsidR="005E3F66">
        <w:rPr>
          <w:rFonts w:cstheme="minorHAnsi"/>
        </w:rPr>
        <w:t xml:space="preserve"> </w:t>
      </w:r>
      <w:r w:rsidR="005E3F66">
        <w:rPr>
          <w:rFonts w:cstheme="minorHAnsi"/>
        </w:rPr>
        <w:t>recipient</w:t>
      </w:r>
      <w:r w:rsidR="000379E9">
        <w:rPr>
          <w:rFonts w:cstheme="minorHAnsi"/>
        </w:rPr>
        <w:t>-level</w:t>
      </w:r>
      <w:r w:rsidR="000379E9">
        <w:rPr>
          <w:rFonts w:cstheme="minorHAnsi"/>
        </w:rPr>
        <w:t xml:space="preserve"> and does not have access to </w:t>
      </w:r>
      <w:r w:rsidR="000379E9">
        <w:rPr>
          <w:rFonts w:cstheme="minorHAnsi"/>
        </w:rPr>
        <w:t>individual-level</w:t>
      </w:r>
      <w:r w:rsidR="000379E9">
        <w:rPr>
          <w:rFonts w:cstheme="minorHAnsi"/>
        </w:rPr>
        <w:t xml:space="preserve"> data. </w:t>
      </w:r>
      <w:bookmarkStart w:id="11" w:name="_Hlk150336597"/>
      <w:r w:rsidR="000379E9">
        <w:rPr>
          <w:rFonts w:cstheme="minorHAnsi"/>
        </w:rPr>
        <w:t xml:space="preserve">ACF </w:t>
      </w:r>
      <w:r w:rsidR="00E65BE4">
        <w:rPr>
          <w:rFonts w:cstheme="minorHAnsi"/>
        </w:rPr>
        <w:t>review</w:t>
      </w:r>
      <w:r w:rsidR="0009771D">
        <w:rPr>
          <w:rFonts w:cstheme="minorHAnsi"/>
        </w:rPr>
        <w:t>s</w:t>
      </w:r>
      <w:r>
        <w:rPr>
          <w:rFonts w:cstheme="minorHAnsi"/>
        </w:rPr>
        <w:t xml:space="preserve"> </w:t>
      </w:r>
      <w:r w:rsidR="00E65BE4">
        <w:rPr>
          <w:rFonts w:cstheme="minorHAnsi"/>
        </w:rPr>
        <w:t xml:space="preserve">summary </w:t>
      </w:r>
      <w:r>
        <w:rPr>
          <w:rFonts w:cstheme="minorHAnsi"/>
        </w:rPr>
        <w:t>performance data</w:t>
      </w:r>
      <w:r w:rsidR="00E65BE4">
        <w:rPr>
          <w:rFonts w:cstheme="minorHAnsi"/>
        </w:rPr>
        <w:t xml:space="preserve"> by grant</w:t>
      </w:r>
      <w:r w:rsidR="005E3F66">
        <w:rPr>
          <w:rFonts w:cstheme="minorHAnsi"/>
        </w:rPr>
        <w:t xml:space="preserve"> recipient</w:t>
      </w:r>
      <w:r w:rsidR="00E65BE4">
        <w:rPr>
          <w:rFonts w:cstheme="minorHAnsi"/>
        </w:rPr>
        <w:t xml:space="preserve"> </w:t>
      </w:r>
      <w:r w:rsidR="00301BE4">
        <w:rPr>
          <w:rFonts w:cstheme="minorHAnsi"/>
        </w:rPr>
        <w:t>and across grant</w:t>
      </w:r>
      <w:r w:rsidR="005E3F66">
        <w:rPr>
          <w:rFonts w:cstheme="minorHAnsi"/>
        </w:rPr>
        <w:t xml:space="preserve"> recipients</w:t>
      </w:r>
      <w:r w:rsidR="00301BE4">
        <w:rPr>
          <w:rFonts w:cstheme="minorHAnsi"/>
        </w:rPr>
        <w:t xml:space="preserve"> </w:t>
      </w:r>
      <w:r w:rsidR="00E65BE4">
        <w:rPr>
          <w:rFonts w:cstheme="minorHAnsi"/>
        </w:rPr>
        <w:t xml:space="preserve">to </w:t>
      </w:r>
      <w:r w:rsidR="0009771D">
        <w:rPr>
          <w:rFonts w:cstheme="minorHAnsi"/>
        </w:rPr>
        <w:t xml:space="preserve">track </w:t>
      </w:r>
      <w:r w:rsidR="00301BE4">
        <w:rPr>
          <w:rFonts w:cstheme="minorHAnsi"/>
        </w:rPr>
        <w:t>their</w:t>
      </w:r>
      <w:r w:rsidR="0009771D">
        <w:rPr>
          <w:rFonts w:cstheme="minorHAnsi"/>
        </w:rPr>
        <w:t xml:space="preserve"> progress in providing the legislatively mandated activities and to identify areas where grant</w:t>
      </w:r>
      <w:r w:rsidR="005E3F66">
        <w:rPr>
          <w:rFonts w:cstheme="minorHAnsi"/>
        </w:rPr>
        <w:t xml:space="preserve"> recipients</w:t>
      </w:r>
      <w:r w:rsidR="0009771D">
        <w:rPr>
          <w:rFonts w:cstheme="minorHAnsi"/>
        </w:rPr>
        <w:t xml:space="preserve"> would benefit from technical assistance to </w:t>
      </w:r>
      <w:r w:rsidR="00BC351C">
        <w:rPr>
          <w:rFonts w:cstheme="minorHAnsi"/>
        </w:rPr>
        <w:t xml:space="preserve">help </w:t>
      </w:r>
      <w:r w:rsidR="0009771D">
        <w:rPr>
          <w:rFonts w:cstheme="minorHAnsi"/>
        </w:rPr>
        <w:t xml:space="preserve">improve service delivery to clients and </w:t>
      </w:r>
      <w:r w:rsidR="00BC351C">
        <w:rPr>
          <w:rFonts w:cstheme="minorHAnsi"/>
        </w:rPr>
        <w:t xml:space="preserve">program outcomes. </w:t>
      </w:r>
      <w:bookmarkStart w:id="12" w:name="_Hlk150336610"/>
      <w:bookmarkEnd w:id="11"/>
      <w:r w:rsidR="00BC351C">
        <w:rPr>
          <w:rFonts w:cstheme="minorHAnsi"/>
        </w:rPr>
        <w:t>ACF can review grant</w:t>
      </w:r>
      <w:r w:rsidR="005E3F66">
        <w:rPr>
          <w:rFonts w:cstheme="minorHAnsi"/>
        </w:rPr>
        <w:t xml:space="preserve"> recipient</w:t>
      </w:r>
      <w:r w:rsidR="00BC351C">
        <w:rPr>
          <w:rFonts w:cstheme="minorHAnsi"/>
        </w:rPr>
        <w:t xml:space="preserve"> performance using the required </w:t>
      </w:r>
      <w:r w:rsidR="001777FA">
        <w:rPr>
          <w:rFonts w:cstheme="minorHAnsi"/>
        </w:rPr>
        <w:t xml:space="preserve">annual </w:t>
      </w:r>
      <w:r w:rsidR="00BC351C">
        <w:rPr>
          <w:rFonts w:cstheme="minorHAnsi"/>
        </w:rPr>
        <w:t xml:space="preserve">reports as well as by generating summary measures in real time using </w:t>
      </w:r>
      <w:r w:rsidR="00BC351C">
        <w:rPr>
          <w:rFonts w:cstheme="minorHAnsi"/>
        </w:rPr>
        <w:t>nFORM’s</w:t>
      </w:r>
      <w:r w:rsidR="00BC351C">
        <w:rPr>
          <w:rFonts w:cstheme="minorHAnsi"/>
        </w:rPr>
        <w:t xml:space="preserve"> grant</w:t>
      </w:r>
      <w:r w:rsidR="005E3F66">
        <w:rPr>
          <w:rFonts w:cstheme="minorHAnsi"/>
        </w:rPr>
        <w:t xml:space="preserve"> recipient</w:t>
      </w:r>
      <w:r w:rsidR="00BC351C">
        <w:rPr>
          <w:rFonts w:cstheme="minorHAnsi"/>
        </w:rPr>
        <w:t xml:space="preserve">-level dashboard and other </w:t>
      </w:r>
      <w:r w:rsidR="00686A8C">
        <w:rPr>
          <w:rFonts w:cstheme="minorHAnsi"/>
        </w:rPr>
        <w:t xml:space="preserve">data </w:t>
      </w:r>
      <w:r w:rsidR="00BC351C">
        <w:rPr>
          <w:rFonts w:cstheme="minorHAnsi"/>
        </w:rPr>
        <w:t>tools.</w:t>
      </w:r>
      <w:r w:rsidR="00686A8C">
        <w:rPr>
          <w:rFonts w:cstheme="minorHAnsi"/>
        </w:rPr>
        <w:t xml:space="preserve"> </w:t>
      </w:r>
      <w:bookmarkStart w:id="13" w:name="_Hlk150336631"/>
      <w:bookmarkEnd w:id="12"/>
      <w:r w:rsidR="00686A8C">
        <w:rPr>
          <w:rFonts w:cstheme="minorHAnsi"/>
        </w:rPr>
        <w:t>Using the reports and data tools, ACF can track when a grant</w:t>
      </w:r>
      <w:r w:rsidR="005E3F66">
        <w:rPr>
          <w:rFonts w:cstheme="minorHAnsi"/>
        </w:rPr>
        <w:t xml:space="preserve"> recipient</w:t>
      </w:r>
      <w:r w:rsidR="00686A8C">
        <w:rPr>
          <w:rFonts w:cstheme="minorHAnsi"/>
        </w:rPr>
        <w:t xml:space="preserve"> </w:t>
      </w:r>
      <w:r w:rsidR="00EB4CA2">
        <w:rPr>
          <w:rFonts w:cstheme="minorHAnsi"/>
        </w:rPr>
        <w:t xml:space="preserve">faces challenges and connect </w:t>
      </w:r>
      <w:r w:rsidR="00EB4CA2">
        <w:rPr>
          <w:rFonts w:cstheme="minorHAnsi"/>
        </w:rPr>
        <w:t xml:space="preserve">that </w:t>
      </w:r>
      <w:r w:rsidR="003C5C24">
        <w:rPr>
          <w:rFonts w:cstheme="minorHAnsi"/>
        </w:rPr>
        <w:t xml:space="preserve">grant recipient </w:t>
      </w:r>
      <w:r w:rsidR="00EB4CA2">
        <w:rPr>
          <w:rFonts w:cstheme="minorHAnsi"/>
        </w:rPr>
        <w:t xml:space="preserve">to </w:t>
      </w:r>
      <w:r w:rsidR="00A16918">
        <w:rPr>
          <w:rFonts w:cstheme="minorHAnsi"/>
        </w:rPr>
        <w:t>individualized</w:t>
      </w:r>
      <w:r w:rsidR="00774675">
        <w:rPr>
          <w:rFonts w:cstheme="minorHAnsi"/>
        </w:rPr>
        <w:t xml:space="preserve"> </w:t>
      </w:r>
      <w:r w:rsidR="00EB4CA2">
        <w:rPr>
          <w:rFonts w:cstheme="minorHAnsi"/>
        </w:rPr>
        <w:t>programmatic</w:t>
      </w:r>
      <w:r w:rsidR="00EB4CA2">
        <w:rPr>
          <w:rFonts w:cstheme="minorHAnsi"/>
        </w:rPr>
        <w:t xml:space="preserve">, data capacity, </w:t>
      </w:r>
      <w:r w:rsidR="007C1876">
        <w:rPr>
          <w:rFonts w:cstheme="minorHAnsi"/>
        </w:rPr>
        <w:t>continuous quality improvement (</w:t>
      </w:r>
      <w:r w:rsidR="00EB4CA2">
        <w:rPr>
          <w:rFonts w:cstheme="minorHAnsi"/>
        </w:rPr>
        <w:t>CQI</w:t>
      </w:r>
      <w:r w:rsidR="007C1876">
        <w:rPr>
          <w:rFonts w:cstheme="minorHAnsi"/>
        </w:rPr>
        <w:t>)</w:t>
      </w:r>
      <w:r w:rsidR="00EB4CA2">
        <w:rPr>
          <w:rFonts w:cstheme="minorHAnsi"/>
        </w:rPr>
        <w:t xml:space="preserve">, </w:t>
      </w:r>
      <w:r w:rsidR="00A16918">
        <w:rPr>
          <w:rFonts w:cstheme="minorHAnsi"/>
        </w:rPr>
        <w:t>or</w:t>
      </w:r>
      <w:r w:rsidR="00EB4CA2">
        <w:rPr>
          <w:rFonts w:cstheme="minorHAnsi"/>
        </w:rPr>
        <w:t xml:space="preserve"> local evaluation</w:t>
      </w:r>
      <w:r w:rsidRPr="00A16918" w:rsidR="00A16918">
        <w:rPr>
          <w:rFonts w:cstheme="minorHAnsi"/>
        </w:rPr>
        <w:t xml:space="preserve"> </w:t>
      </w:r>
      <w:r w:rsidR="00A16918">
        <w:rPr>
          <w:rFonts w:cstheme="minorHAnsi"/>
        </w:rPr>
        <w:t>technical assistance support</w:t>
      </w:r>
      <w:r w:rsidR="00EB4CA2">
        <w:rPr>
          <w:rFonts w:cstheme="minorHAnsi"/>
        </w:rPr>
        <w:t>. The reports and data tools also help ACF identify common trends and issues across grant</w:t>
      </w:r>
      <w:r w:rsidR="005E3F66">
        <w:rPr>
          <w:rFonts w:cstheme="minorHAnsi"/>
        </w:rPr>
        <w:t xml:space="preserve"> recipients</w:t>
      </w:r>
      <w:r w:rsidR="00EB4CA2">
        <w:rPr>
          <w:rFonts w:cstheme="minorHAnsi"/>
        </w:rPr>
        <w:t xml:space="preserve"> that can be addressed through universal technical assistance activities including webinars or written guidance. </w:t>
      </w:r>
      <w:r w:rsidR="00686A8C">
        <w:rPr>
          <w:rFonts w:cstheme="minorHAnsi"/>
        </w:rPr>
        <w:t xml:space="preserve">  </w:t>
      </w:r>
      <w:r w:rsidR="00BC351C">
        <w:rPr>
          <w:rFonts w:cstheme="minorHAnsi"/>
        </w:rPr>
        <w:t xml:space="preserve">   </w:t>
      </w:r>
      <w:r w:rsidR="0009771D">
        <w:rPr>
          <w:rFonts w:cstheme="minorHAnsi"/>
        </w:rPr>
        <w:t xml:space="preserve"> </w:t>
      </w:r>
      <w:r w:rsidR="00E65BE4">
        <w:rPr>
          <w:rFonts w:cstheme="minorHAnsi"/>
        </w:rPr>
        <w:t xml:space="preserve"> </w:t>
      </w:r>
      <w:r>
        <w:rPr>
          <w:rFonts w:cstheme="minorHAnsi"/>
        </w:rPr>
        <w:t xml:space="preserve"> </w:t>
      </w:r>
    </w:p>
    <w:bookmarkEnd w:id="13"/>
    <w:p w:rsidR="001D1C73" w:rsidP="00110D5F" w14:paraId="5D584897" w14:textId="5DB58EBD">
      <w:pPr>
        <w:spacing w:after="0" w:line="240" w:lineRule="auto"/>
        <w:rPr>
          <w:rFonts w:cstheme="minorHAnsi"/>
        </w:rPr>
      </w:pPr>
      <w:r w:rsidRPr="006F0E9C">
        <w:rPr>
          <w:rFonts w:cstheme="minorHAnsi"/>
        </w:rPr>
        <w:t xml:space="preserve">The information collected is meant to contribute to the body of knowledge on ACF programs. It is not intended to be used as the </w:t>
      </w:r>
      <w:r w:rsidR="004201B0">
        <w:rPr>
          <w:rFonts w:cstheme="minorHAnsi"/>
        </w:rPr>
        <w:t>principal</w:t>
      </w:r>
      <w:r w:rsidRPr="006F0E9C" w:rsidR="004201B0">
        <w:rPr>
          <w:rFonts w:cstheme="minorHAnsi"/>
        </w:rPr>
        <w:t xml:space="preserve"> </w:t>
      </w:r>
      <w:r w:rsidRPr="006F0E9C">
        <w:rPr>
          <w:rFonts w:cstheme="minorHAnsi"/>
        </w:rPr>
        <w:t>basis for a decision by a federal decision-</w:t>
      </w:r>
      <w:r w:rsidRPr="006F0E9C">
        <w:rPr>
          <w:rFonts w:cstheme="minorHAnsi"/>
        </w:rPr>
        <w:t>maker, and</w:t>
      </w:r>
      <w:r w:rsidRPr="006F0E9C">
        <w:rPr>
          <w:rFonts w:cstheme="minorHAnsi"/>
        </w:rPr>
        <w:t xml:space="preserve"> is not expected to meet the threshold of influential or highly influential scientific information.  </w:t>
      </w:r>
    </w:p>
    <w:p w:rsidR="007031BD" w:rsidP="00110D5F" w14:paraId="66EA266F" w14:textId="3FD16DD4">
      <w:pPr>
        <w:spacing w:after="0" w:line="240" w:lineRule="auto"/>
        <w:rPr>
          <w:rFonts w:cstheme="minorHAnsi"/>
        </w:rPr>
      </w:pPr>
    </w:p>
    <w:p w:rsidR="002C4742" w:rsidRPr="009139B3" w:rsidP="00110D5F" w14:paraId="1BEDE1EE" w14:textId="77777777">
      <w:pPr>
        <w:spacing w:after="60" w:line="240" w:lineRule="auto"/>
        <w:rPr>
          <w:i/>
        </w:rPr>
      </w:pPr>
      <w:r w:rsidRPr="009139B3">
        <w:rPr>
          <w:i/>
        </w:rPr>
        <w:t>Research Questions or Tests</w:t>
      </w:r>
    </w:p>
    <w:p w:rsidR="00FF0072" w:rsidRPr="006F0E9C" w:rsidP="00110D5F" w14:paraId="6114FF53" w14:textId="0CBD4F8C">
      <w:pPr>
        <w:spacing w:after="0" w:line="240" w:lineRule="auto"/>
        <w:rPr>
          <w:rFonts w:cstheme="minorHAnsi"/>
          <w:iCs/>
        </w:rPr>
      </w:pPr>
      <w:r>
        <w:rPr>
          <w:rFonts w:cstheme="minorHAnsi"/>
          <w:iCs/>
        </w:rPr>
        <w:t xml:space="preserve">Because this is a performance measures ICR, no research questions are listed. </w:t>
      </w:r>
    </w:p>
    <w:p w:rsidR="001D1C73" w:rsidRPr="006F0E9C" w:rsidP="00110D5F" w14:paraId="5BEDE90A" w14:textId="77777777">
      <w:pPr>
        <w:spacing w:after="0" w:line="240" w:lineRule="auto"/>
        <w:rPr>
          <w:rFonts w:cstheme="minorHAnsi"/>
          <w:i/>
        </w:rPr>
      </w:pPr>
    </w:p>
    <w:p w:rsidR="005806AD" w:rsidRPr="009139B3" w:rsidP="00110D5F" w14:paraId="2A396EBB" w14:textId="77777777">
      <w:pPr>
        <w:spacing w:after="60" w:line="240" w:lineRule="auto"/>
        <w:rPr>
          <w:i/>
        </w:rPr>
      </w:pPr>
      <w:r w:rsidRPr="009139B3">
        <w:rPr>
          <w:i/>
        </w:rPr>
        <w:t>Study Design</w:t>
      </w:r>
    </w:p>
    <w:p w:rsidR="00392FB0" w:rsidP="00110D5F" w14:paraId="3E72170C" w14:textId="45AC7C22">
      <w:pPr>
        <w:spacing w:after="0" w:line="240" w:lineRule="auto"/>
      </w:pPr>
      <w:r>
        <w:t>This request is to extend approval to collect and report data with revised materials</w:t>
      </w:r>
      <w:r w:rsidRPr="00392FB0">
        <w:rPr>
          <w:rFonts w:cstheme="minorHAnsi"/>
        </w:rPr>
        <w:t xml:space="preserve"> </w:t>
      </w:r>
      <w:r>
        <w:rPr>
          <w:rFonts w:cstheme="minorHAnsi"/>
        </w:rPr>
        <w:t>t</w:t>
      </w:r>
      <w:r w:rsidRPr="006F0E9C">
        <w:rPr>
          <w:rFonts w:cstheme="minorHAnsi"/>
        </w:rPr>
        <w:t>o facilitate the collection and reporting of high-quality and consistent performance measures data</w:t>
      </w:r>
      <w:r>
        <w:rPr>
          <w:rFonts w:cstheme="minorHAnsi"/>
        </w:rPr>
        <w:t xml:space="preserve"> by the 2025 cohort of HMRF grant recipients</w:t>
      </w:r>
      <w:r>
        <w:t xml:space="preserve">. </w:t>
      </w:r>
    </w:p>
    <w:p w:rsidR="002E7E5E" w:rsidP="00110D5F" w14:paraId="14855F36" w14:textId="77777777">
      <w:pPr>
        <w:spacing w:after="0" w:line="240" w:lineRule="auto"/>
        <w:rPr>
          <w:rFonts w:cstheme="minorHAnsi"/>
          <w:bCs/>
        </w:rPr>
      </w:pPr>
    </w:p>
    <w:p w:rsidR="00D56E4F" w:rsidP="00110D5F" w14:paraId="6152EC69" w14:textId="41EEDEE5">
      <w:pPr>
        <w:spacing w:after="0" w:line="240" w:lineRule="auto"/>
        <w:rPr>
          <w:rFonts w:cstheme="minorHAnsi"/>
          <w:bCs/>
        </w:rPr>
      </w:pPr>
      <w:r>
        <w:rPr>
          <w:rFonts w:cstheme="minorHAnsi"/>
          <w:bCs/>
        </w:rPr>
        <w:t xml:space="preserve">Specifically, </w:t>
      </w:r>
      <w:r w:rsidRPr="006F0E9C" w:rsidR="00DB72D2">
        <w:rPr>
          <w:rFonts w:cstheme="minorHAnsi"/>
        </w:rPr>
        <w:t xml:space="preserve">ACF </w:t>
      </w:r>
      <w:r w:rsidR="00986E2D">
        <w:rPr>
          <w:rFonts w:cstheme="minorHAnsi"/>
        </w:rPr>
        <w:t>revised existing</w:t>
      </w:r>
      <w:r w:rsidRPr="006F0E9C" w:rsidR="00986E2D">
        <w:rPr>
          <w:rFonts w:cstheme="minorHAnsi"/>
        </w:rPr>
        <w:t xml:space="preserve"> </w:t>
      </w:r>
      <w:r w:rsidRPr="006F0E9C" w:rsidR="00DB72D2">
        <w:rPr>
          <w:rFonts w:cstheme="minorHAnsi"/>
        </w:rPr>
        <w:t xml:space="preserve">instruments </w:t>
      </w:r>
      <w:r w:rsidR="00ED36BD">
        <w:rPr>
          <w:rFonts w:cstheme="minorHAnsi"/>
        </w:rPr>
        <w:t xml:space="preserve">used for the 2020 cohort, </w:t>
      </w:r>
      <w:r w:rsidR="004F4EF8">
        <w:rPr>
          <w:rFonts w:cstheme="minorHAnsi"/>
        </w:rPr>
        <w:t>for</w:t>
      </w:r>
      <w:r w:rsidRPr="006F0E9C" w:rsidR="00DB72D2">
        <w:rPr>
          <w:rFonts w:cstheme="minorHAnsi"/>
        </w:rPr>
        <w:t xml:space="preserve"> </w:t>
      </w:r>
      <w:r w:rsidRPr="00DA37E0" w:rsidR="00DB72D2">
        <w:rPr>
          <w:rFonts w:cstheme="minorHAnsi"/>
        </w:rPr>
        <w:t xml:space="preserve">program </w:t>
      </w:r>
      <w:r w:rsidR="00584900">
        <w:rPr>
          <w:rFonts w:cstheme="minorHAnsi"/>
          <w:bCs/>
        </w:rPr>
        <w:t>client</w:t>
      </w:r>
      <w:r w:rsidR="00DA37E0">
        <w:rPr>
          <w:rFonts w:cstheme="minorHAnsi"/>
          <w:bCs/>
        </w:rPr>
        <w:t>s</w:t>
      </w:r>
      <w:r w:rsidRPr="00DA37E0" w:rsidR="00DA37E0">
        <w:rPr>
          <w:rFonts w:cstheme="minorHAnsi"/>
          <w:iCs/>
        </w:rPr>
        <w:t xml:space="preserve"> </w:t>
      </w:r>
      <w:r w:rsidRPr="00DA37E0" w:rsidR="00DB72D2">
        <w:rPr>
          <w:rFonts w:cstheme="minorHAnsi"/>
        </w:rPr>
        <w:t xml:space="preserve">and </w:t>
      </w:r>
      <w:r w:rsidR="004F4EF8">
        <w:rPr>
          <w:rFonts w:cstheme="minorHAnsi"/>
        </w:rPr>
        <w:t>grant</w:t>
      </w:r>
      <w:r w:rsidR="005E3F66">
        <w:rPr>
          <w:rFonts w:cstheme="minorHAnsi"/>
        </w:rPr>
        <w:t xml:space="preserve"> recipient</w:t>
      </w:r>
      <w:r w:rsidR="004F4EF8">
        <w:rPr>
          <w:rFonts w:cstheme="minorHAnsi"/>
        </w:rPr>
        <w:t xml:space="preserve"> </w:t>
      </w:r>
      <w:r w:rsidRPr="00DA37E0" w:rsidR="00DB72D2">
        <w:rPr>
          <w:rFonts w:cstheme="minorHAnsi"/>
        </w:rPr>
        <w:t>staff</w:t>
      </w:r>
      <w:r w:rsidR="004F4EF8">
        <w:rPr>
          <w:rFonts w:cstheme="minorHAnsi"/>
        </w:rPr>
        <w:t xml:space="preserve"> to complete</w:t>
      </w:r>
      <w:r w:rsidR="00B571F6">
        <w:rPr>
          <w:rFonts w:cstheme="minorHAnsi"/>
        </w:rPr>
        <w:t xml:space="preserve"> (</w:t>
      </w:r>
      <w:r w:rsidR="006F0344">
        <w:rPr>
          <w:rFonts w:cstheme="minorHAnsi"/>
        </w:rPr>
        <w:t>Instruments 1</w:t>
      </w:r>
      <w:r w:rsidR="005C06C2">
        <w:rPr>
          <w:rFonts w:cstheme="minorHAnsi"/>
        </w:rPr>
        <w:t xml:space="preserve"> </w:t>
      </w:r>
      <w:r w:rsidR="00B571F6">
        <w:rPr>
          <w:rFonts w:cstheme="minorHAnsi"/>
        </w:rPr>
        <w:t xml:space="preserve">through </w:t>
      </w:r>
      <w:r w:rsidR="006F0344">
        <w:rPr>
          <w:rFonts w:cstheme="minorHAnsi"/>
        </w:rPr>
        <w:t>4</w:t>
      </w:r>
      <w:r w:rsidR="00B571F6">
        <w:rPr>
          <w:rFonts w:cstheme="minorHAnsi"/>
        </w:rPr>
        <w:t>)</w:t>
      </w:r>
      <w:r w:rsidR="00367C64">
        <w:rPr>
          <w:rFonts w:cstheme="minorHAnsi"/>
        </w:rPr>
        <w:t>.</w:t>
      </w:r>
      <w:r w:rsidRPr="006F0E9C" w:rsidR="00DB72D2">
        <w:rPr>
          <w:rFonts w:cstheme="minorHAnsi"/>
        </w:rPr>
        <w:t xml:space="preserve"> </w:t>
      </w:r>
      <w:r w:rsidR="007165DE">
        <w:rPr>
          <w:rFonts w:cstheme="minorHAnsi"/>
          <w:bCs/>
        </w:rPr>
        <w:t xml:space="preserve">In addition to revising Instruments 1 through </w:t>
      </w:r>
      <w:r w:rsidR="00905FC7">
        <w:rPr>
          <w:rFonts w:cstheme="minorHAnsi"/>
          <w:bCs/>
        </w:rPr>
        <w:t>4</w:t>
      </w:r>
      <w:r w:rsidR="007165DE">
        <w:rPr>
          <w:rFonts w:cstheme="minorHAnsi"/>
          <w:bCs/>
        </w:rPr>
        <w:t xml:space="preserve">, ACF has eliminated the applicant characteristics survey that clients </w:t>
      </w:r>
      <w:r>
        <w:rPr>
          <w:rFonts w:cstheme="minorHAnsi"/>
          <w:bCs/>
        </w:rPr>
        <w:t xml:space="preserve">in the 2020 cohort </w:t>
      </w:r>
      <w:r w:rsidR="007165DE">
        <w:rPr>
          <w:rFonts w:cstheme="minorHAnsi"/>
          <w:bCs/>
        </w:rPr>
        <w:t xml:space="preserve">completed at enrollment and </w:t>
      </w:r>
      <w:r w:rsidR="00B64BEF">
        <w:rPr>
          <w:rFonts w:cstheme="minorHAnsi"/>
          <w:bCs/>
        </w:rPr>
        <w:t>reduced the cadence of Instrument</w:t>
      </w:r>
      <w:r w:rsidR="006D3C5C">
        <w:rPr>
          <w:rFonts w:cstheme="minorHAnsi"/>
          <w:bCs/>
        </w:rPr>
        <w:t>s</w:t>
      </w:r>
      <w:r w:rsidR="00B64BEF">
        <w:rPr>
          <w:rFonts w:cstheme="minorHAnsi"/>
          <w:bCs/>
        </w:rPr>
        <w:t xml:space="preserve"> 2</w:t>
      </w:r>
      <w:r w:rsidR="006D3C5C">
        <w:rPr>
          <w:rFonts w:cstheme="minorHAnsi"/>
          <w:bCs/>
        </w:rPr>
        <w:t xml:space="preserve"> and 5</w:t>
      </w:r>
      <w:r>
        <w:rPr>
          <w:rFonts w:cstheme="minorHAnsi"/>
          <w:bCs/>
        </w:rPr>
        <w:t>, completed by grant recipient staff,</w:t>
      </w:r>
      <w:r w:rsidR="00B64BEF">
        <w:rPr>
          <w:rFonts w:cstheme="minorHAnsi"/>
          <w:bCs/>
        </w:rPr>
        <w:t xml:space="preserve"> from quarterly </w:t>
      </w:r>
      <w:r w:rsidR="006D3C5C">
        <w:rPr>
          <w:rFonts w:cstheme="minorHAnsi"/>
          <w:bCs/>
        </w:rPr>
        <w:t xml:space="preserve">and semi-annually, respectively, </w:t>
      </w:r>
      <w:r w:rsidR="00B64BEF">
        <w:rPr>
          <w:rFonts w:cstheme="minorHAnsi"/>
          <w:bCs/>
        </w:rPr>
        <w:t>to annually</w:t>
      </w:r>
      <w:r w:rsidR="007165DE">
        <w:rPr>
          <w:rFonts w:cstheme="minorHAnsi"/>
          <w:bCs/>
        </w:rPr>
        <w:t xml:space="preserve">. </w:t>
      </w:r>
    </w:p>
    <w:p w:rsidR="00114599" w:rsidP="00110D5F" w14:paraId="6BDCA869" w14:textId="77777777">
      <w:pPr>
        <w:spacing w:after="0" w:line="240" w:lineRule="auto"/>
        <w:rPr>
          <w:rFonts w:cstheme="minorHAnsi"/>
          <w:bCs/>
        </w:rPr>
      </w:pPr>
    </w:p>
    <w:p w:rsidR="00114599" w:rsidP="00110D5F" w14:paraId="0B559491" w14:textId="5FB6E595">
      <w:pPr>
        <w:spacing w:after="0" w:line="240" w:lineRule="auto"/>
      </w:pPr>
      <w:r>
        <w:rPr>
          <w:rFonts w:cstheme="minorHAnsi"/>
        </w:rPr>
        <w:t xml:space="preserve">Race and ethnicity are requested </w:t>
      </w:r>
      <w:r>
        <w:rPr>
          <w:rStyle w:val="cf01"/>
          <w:rFonts w:asciiTheme="minorHAnsi" w:hAnsiTheme="minorHAnsi" w:cstheme="minorHAnsi"/>
          <w:i w:val="0"/>
          <w:iCs w:val="0"/>
          <w:sz w:val="22"/>
          <w:szCs w:val="22"/>
        </w:rPr>
        <w:t>in the client entrance surveys (Instrument 1b).</w:t>
      </w:r>
      <w:r w:rsidRPr="00E711F8">
        <w:rPr>
          <w:rFonts w:cstheme="minorHAnsi"/>
        </w:rPr>
        <w:t xml:space="preserve"> </w:t>
      </w:r>
      <w:r>
        <w:rPr>
          <w:rFonts w:cstheme="minorHAnsi"/>
        </w:rPr>
        <w:t xml:space="preserve">(For the 2020 cohort, race, ethnicity, and other demographic questions were asked on the applicant characteristics survey, which has been eliminated.) ACF proposes </w:t>
      </w:r>
      <w:r>
        <w:rPr>
          <w:rFonts w:cstheme="minorHAnsi"/>
        </w:rPr>
        <w:t>to use</w:t>
      </w:r>
      <w:r>
        <w:rPr>
          <w:rFonts w:cstheme="minorHAnsi"/>
        </w:rPr>
        <w:t xml:space="preserve"> the minimum categories specified within the r</w:t>
      </w:r>
      <w:r w:rsidRPr="00924FE0">
        <w:rPr>
          <w:rStyle w:val="cf01"/>
          <w:rFonts w:asciiTheme="minorHAnsi" w:hAnsiTheme="minorHAnsi" w:cstheme="minorHAnsi"/>
          <w:i w:val="0"/>
          <w:iCs w:val="0"/>
          <w:sz w:val="22"/>
          <w:szCs w:val="22"/>
        </w:rPr>
        <w:t xml:space="preserve">ecent revisions to OMB’s Statistical Policy Directive </w:t>
      </w:r>
      <w:r w:rsidR="002A6270">
        <w:rPr>
          <w:rStyle w:val="cf01"/>
          <w:rFonts w:asciiTheme="minorHAnsi" w:hAnsiTheme="minorHAnsi" w:cstheme="minorHAnsi"/>
          <w:i w:val="0"/>
          <w:iCs w:val="0"/>
          <w:sz w:val="22"/>
          <w:szCs w:val="22"/>
        </w:rPr>
        <w:t xml:space="preserve">(SPD) </w:t>
      </w:r>
      <w:r w:rsidRPr="00924FE0">
        <w:rPr>
          <w:rStyle w:val="cf01"/>
          <w:rFonts w:asciiTheme="minorHAnsi" w:hAnsiTheme="minorHAnsi" w:cstheme="minorHAnsi"/>
          <w:i w:val="0"/>
          <w:iCs w:val="0"/>
          <w:sz w:val="22"/>
          <w:szCs w:val="22"/>
        </w:rPr>
        <w:t xml:space="preserve">No. 15 </w:t>
      </w:r>
      <w:r w:rsidRPr="00924FE0">
        <w:rPr>
          <w:rStyle w:val="cf01"/>
          <w:rFonts w:asciiTheme="minorHAnsi" w:hAnsiTheme="minorHAnsi" w:cstheme="minorHAnsi"/>
          <w:i w:val="0"/>
          <w:iCs w:val="0"/>
          <w:sz w:val="22"/>
          <w:szCs w:val="22"/>
        </w:rPr>
        <w:t>(89 FR 22182, Pages 22182-22196)</w:t>
      </w:r>
      <w:r>
        <w:rPr>
          <w:rStyle w:val="cf01"/>
          <w:rFonts w:asciiTheme="minorHAnsi" w:hAnsiTheme="minorHAnsi" w:cstheme="minorHAnsi"/>
          <w:i w:val="0"/>
          <w:iCs w:val="0"/>
          <w:sz w:val="22"/>
          <w:szCs w:val="22"/>
        </w:rPr>
        <w:t xml:space="preserve">. </w:t>
      </w:r>
      <w:r w:rsidRPr="00924FE0">
        <w:rPr>
          <w:rStyle w:val="cf01"/>
          <w:rFonts w:asciiTheme="minorHAnsi" w:hAnsiTheme="minorHAnsi" w:cstheme="minorHAnsi"/>
          <w:i w:val="0"/>
          <w:iCs w:val="0"/>
          <w:sz w:val="22"/>
          <w:szCs w:val="22"/>
        </w:rPr>
        <w:t>.</w:t>
      </w:r>
      <w:r w:rsidRPr="00924FE0">
        <w:rPr>
          <w:rStyle w:val="cf01"/>
          <w:rFonts w:asciiTheme="minorHAnsi" w:hAnsiTheme="minorHAnsi" w:cstheme="minorHAnsi"/>
          <w:i w:val="0"/>
          <w:iCs w:val="0"/>
          <w:sz w:val="22"/>
          <w:szCs w:val="22"/>
        </w:rPr>
        <w:t xml:space="preserve"> </w:t>
      </w:r>
      <w:r>
        <w:rPr>
          <w:rStyle w:val="cf01"/>
          <w:rFonts w:asciiTheme="minorHAnsi" w:hAnsiTheme="minorHAnsi" w:cstheme="minorHAnsi"/>
          <w:i w:val="0"/>
          <w:iCs w:val="0"/>
          <w:sz w:val="22"/>
          <w:szCs w:val="22"/>
        </w:rPr>
        <w:t>Minimum categories are proposed t</w:t>
      </w:r>
      <w:r>
        <w:rPr>
          <w:rStyle w:val="cf01"/>
          <w:rFonts w:asciiTheme="minorHAnsi" w:hAnsiTheme="minorHAnsi" w:cstheme="minorHAnsi"/>
          <w:i w:val="0"/>
          <w:iCs w:val="0"/>
          <w:sz w:val="22"/>
          <w:szCs w:val="22"/>
        </w:rPr>
        <w:t>o minimize burden on respondents</w:t>
      </w:r>
      <w:r>
        <w:rPr>
          <w:rStyle w:val="cf01"/>
          <w:rFonts w:asciiTheme="minorHAnsi" w:hAnsiTheme="minorHAnsi" w:cstheme="minorHAnsi"/>
          <w:i w:val="0"/>
          <w:iCs w:val="0"/>
          <w:sz w:val="22"/>
          <w:szCs w:val="22"/>
        </w:rPr>
        <w:t xml:space="preserve"> </w:t>
      </w:r>
      <w:r>
        <w:rPr>
          <w:rStyle w:val="cf01"/>
          <w:rFonts w:asciiTheme="minorHAnsi" w:hAnsiTheme="minorHAnsi" w:cstheme="minorHAnsi"/>
          <w:i w:val="0"/>
          <w:iCs w:val="0"/>
          <w:sz w:val="22"/>
          <w:szCs w:val="22"/>
        </w:rPr>
        <w:t>for the performance measures in this ICR</w:t>
      </w:r>
      <w:r w:rsidRPr="00924FE0">
        <w:rPr>
          <w:rStyle w:val="cf01"/>
          <w:rFonts w:asciiTheme="minorHAnsi" w:hAnsiTheme="minorHAnsi" w:cstheme="minorHAnsi"/>
          <w:i w:val="0"/>
          <w:iCs w:val="0"/>
          <w:sz w:val="22"/>
          <w:szCs w:val="22"/>
        </w:rPr>
        <w:t xml:space="preserve">. </w:t>
      </w:r>
      <w:r w:rsidRPr="002A6270" w:rsidR="002A6270">
        <w:rPr>
          <w:rStyle w:val="cf01"/>
          <w:rFonts w:asciiTheme="minorHAnsi" w:hAnsiTheme="minorHAnsi" w:cstheme="minorHAnsi"/>
          <w:i w:val="0"/>
          <w:iCs w:val="0"/>
          <w:sz w:val="22"/>
          <w:szCs w:val="22"/>
        </w:rPr>
        <w:t xml:space="preserve">In designing the 2025 cohort client surveys, a key goal was to capture performance data while minimizing </w:t>
      </w:r>
      <w:r w:rsidR="002A6270">
        <w:rPr>
          <w:rStyle w:val="cf01"/>
          <w:rFonts w:asciiTheme="minorHAnsi" w:hAnsiTheme="minorHAnsi" w:cstheme="minorHAnsi"/>
          <w:i w:val="0"/>
          <w:iCs w:val="0"/>
          <w:sz w:val="22"/>
          <w:szCs w:val="22"/>
        </w:rPr>
        <w:t xml:space="preserve">respondent </w:t>
      </w:r>
      <w:r w:rsidRPr="002A6270" w:rsidR="002A6270">
        <w:rPr>
          <w:rStyle w:val="cf01"/>
          <w:rFonts w:asciiTheme="minorHAnsi" w:hAnsiTheme="minorHAnsi" w:cstheme="minorHAnsi"/>
          <w:i w:val="0"/>
          <w:iCs w:val="0"/>
          <w:sz w:val="22"/>
          <w:szCs w:val="22"/>
        </w:rPr>
        <w:t xml:space="preserve">burden. </w:t>
      </w:r>
      <w:r>
        <w:rPr>
          <w:rStyle w:val="cf01"/>
          <w:rFonts w:asciiTheme="minorHAnsi" w:hAnsiTheme="minorHAnsi" w:cstheme="minorHAnsi"/>
          <w:i w:val="0"/>
          <w:iCs w:val="0"/>
          <w:sz w:val="22"/>
          <w:szCs w:val="22"/>
        </w:rPr>
        <w:t>T</w:t>
      </w:r>
      <w:r w:rsidRPr="00924FE0">
        <w:rPr>
          <w:rStyle w:val="cf01"/>
          <w:rFonts w:asciiTheme="minorHAnsi" w:hAnsiTheme="minorHAnsi" w:cstheme="minorHAnsi"/>
          <w:i w:val="0"/>
          <w:iCs w:val="0"/>
          <w:sz w:val="22"/>
          <w:szCs w:val="22"/>
        </w:rPr>
        <w:t xml:space="preserve">he minimum </w:t>
      </w:r>
      <w:r>
        <w:rPr>
          <w:rStyle w:val="cf01"/>
          <w:rFonts w:asciiTheme="minorHAnsi" w:hAnsiTheme="minorHAnsi" w:cstheme="minorHAnsi"/>
          <w:i w:val="0"/>
          <w:iCs w:val="0"/>
          <w:sz w:val="22"/>
          <w:szCs w:val="22"/>
        </w:rPr>
        <w:t xml:space="preserve">number of </w:t>
      </w:r>
      <w:r w:rsidRPr="00924FE0">
        <w:rPr>
          <w:rStyle w:val="cf01"/>
          <w:rFonts w:asciiTheme="minorHAnsi" w:hAnsiTheme="minorHAnsi" w:cstheme="minorHAnsi"/>
          <w:i w:val="0"/>
          <w:iCs w:val="0"/>
          <w:sz w:val="22"/>
          <w:szCs w:val="22"/>
        </w:rPr>
        <w:t>racial/ethnic categories adequately capture</w:t>
      </w:r>
      <w:r>
        <w:rPr>
          <w:rStyle w:val="cf01"/>
          <w:rFonts w:asciiTheme="minorHAnsi" w:hAnsiTheme="minorHAnsi" w:cstheme="minorHAnsi"/>
          <w:i w:val="0"/>
          <w:iCs w:val="0"/>
          <w:sz w:val="22"/>
          <w:szCs w:val="22"/>
        </w:rPr>
        <w:t>s</w:t>
      </w:r>
      <w:r w:rsidRPr="00924FE0">
        <w:rPr>
          <w:rStyle w:val="cf01"/>
          <w:rFonts w:asciiTheme="minorHAnsi" w:hAnsiTheme="minorHAnsi" w:cstheme="minorHAnsi"/>
          <w:i w:val="0"/>
          <w:iCs w:val="0"/>
          <w:sz w:val="22"/>
          <w:szCs w:val="22"/>
        </w:rPr>
        <w:t xml:space="preserve"> the </w:t>
      </w:r>
      <w:r>
        <w:rPr>
          <w:rStyle w:val="cf01"/>
          <w:rFonts w:asciiTheme="minorHAnsi" w:hAnsiTheme="minorHAnsi" w:cstheme="minorHAnsi"/>
          <w:i w:val="0"/>
          <w:iCs w:val="0"/>
          <w:sz w:val="22"/>
          <w:szCs w:val="22"/>
        </w:rPr>
        <w:t xml:space="preserve">characteristics </w:t>
      </w:r>
      <w:r w:rsidRPr="00924FE0">
        <w:rPr>
          <w:rStyle w:val="cf01"/>
          <w:rFonts w:asciiTheme="minorHAnsi" w:hAnsiTheme="minorHAnsi" w:cstheme="minorHAnsi"/>
          <w:i w:val="0"/>
          <w:iCs w:val="0"/>
          <w:sz w:val="22"/>
          <w:szCs w:val="22"/>
        </w:rPr>
        <w:t>of respondents</w:t>
      </w:r>
      <w:r>
        <w:rPr>
          <w:rStyle w:val="cf01"/>
          <w:rFonts w:asciiTheme="minorHAnsi" w:hAnsiTheme="minorHAnsi" w:cstheme="minorHAnsi"/>
          <w:i w:val="0"/>
          <w:iCs w:val="0"/>
          <w:sz w:val="22"/>
          <w:szCs w:val="22"/>
        </w:rPr>
        <w:t xml:space="preserve"> for ACF’s needs</w:t>
      </w:r>
      <w:r w:rsidRPr="00924FE0">
        <w:rPr>
          <w:rStyle w:val="cf01"/>
          <w:rFonts w:asciiTheme="minorHAnsi" w:hAnsiTheme="minorHAnsi" w:cstheme="minorHAnsi"/>
          <w:i w:val="0"/>
          <w:iCs w:val="0"/>
          <w:sz w:val="22"/>
          <w:szCs w:val="22"/>
        </w:rPr>
        <w:t>.</w:t>
      </w:r>
      <w:r>
        <w:rPr>
          <w:rStyle w:val="cf01"/>
          <w:rFonts w:asciiTheme="minorHAnsi" w:hAnsiTheme="minorHAnsi" w:cstheme="minorHAnsi"/>
          <w:i w:val="0"/>
          <w:iCs w:val="0"/>
          <w:sz w:val="22"/>
          <w:szCs w:val="22"/>
        </w:rPr>
        <w:t xml:space="preserve"> </w:t>
      </w:r>
      <w:r w:rsidRPr="002A6270" w:rsidR="002A6270">
        <w:rPr>
          <w:rStyle w:val="cf01"/>
          <w:rFonts w:asciiTheme="minorHAnsi" w:hAnsiTheme="minorHAnsi" w:cstheme="minorHAnsi"/>
          <w:i w:val="0"/>
          <w:iCs w:val="0"/>
          <w:sz w:val="22"/>
          <w:szCs w:val="22"/>
        </w:rPr>
        <w:t>Using the detailed race/ethnicity categories in SPD-15 would have unnecessarily increased the burden of this particular question relative to the race and ethnicity questions in the 2020 cohort applicant characteristics survey. In addition, the more detailed SPD-15 categories feature open-ended questions that are unlikely to be used for monitoring and analysis.  </w:t>
      </w:r>
      <w:r>
        <w:rPr>
          <w:rStyle w:val="cf01"/>
          <w:rFonts w:asciiTheme="minorHAnsi" w:hAnsiTheme="minorHAnsi" w:cstheme="minorHAnsi"/>
          <w:i w:val="0"/>
          <w:iCs w:val="0"/>
          <w:sz w:val="22"/>
          <w:szCs w:val="22"/>
        </w:rPr>
        <w:t>See Appendix C for additional context and justification.</w:t>
      </w:r>
      <w:r>
        <w:rPr>
          <w:rStyle w:val="cf01"/>
          <w:rFonts w:asciiTheme="minorHAnsi" w:hAnsiTheme="minorHAnsi" w:cstheme="minorHAnsi"/>
          <w:i w:val="0"/>
          <w:iCs w:val="0"/>
          <w:sz w:val="22"/>
          <w:szCs w:val="22"/>
        </w:rPr>
        <w:t xml:space="preserve"> </w:t>
      </w:r>
    </w:p>
    <w:p w:rsidR="00D56E4F" w:rsidP="00110D5F" w14:paraId="6B5D0772" w14:textId="77777777">
      <w:pPr>
        <w:spacing w:after="0" w:line="240" w:lineRule="auto"/>
        <w:rPr>
          <w:rFonts w:cstheme="minorHAnsi"/>
        </w:rPr>
      </w:pPr>
    </w:p>
    <w:p w:rsidR="009808E8" w:rsidP="00110D5F" w14:paraId="4274AF5C" w14:textId="79A210D6">
      <w:pPr>
        <w:pStyle w:val="NoSpacing"/>
      </w:pPr>
      <w:r w:rsidRPr="009039E3">
        <w:t xml:space="preserve">ACF also </w:t>
      </w:r>
      <w:r w:rsidR="00986E2D">
        <w:t xml:space="preserve">revised the </w:t>
      </w:r>
      <w:r w:rsidR="007C1876">
        <w:t>annual</w:t>
      </w:r>
      <w:r w:rsidRPr="009039E3" w:rsidR="007C1876">
        <w:t xml:space="preserve"> </w:t>
      </w:r>
      <w:r w:rsidRPr="009039E3" w:rsidR="00DB72D2">
        <w:t xml:space="preserve">reports that </w:t>
      </w:r>
      <w:r w:rsidRPr="000A0DBF" w:rsidR="004F4EF8">
        <w:t>grant</w:t>
      </w:r>
      <w:r w:rsidR="005C06C2">
        <w:t xml:space="preserve"> recipient</w:t>
      </w:r>
      <w:r w:rsidRPr="000A0DBF" w:rsidR="004F4EF8">
        <w:t xml:space="preserve"> s</w:t>
      </w:r>
      <w:r w:rsidRPr="00992874" w:rsidR="004F4EF8">
        <w:t xml:space="preserve">taff </w:t>
      </w:r>
      <w:r w:rsidRPr="00992874" w:rsidR="00DB72D2">
        <w:t>submit to ACF</w:t>
      </w:r>
      <w:r w:rsidRPr="00992874" w:rsidR="00B571F6">
        <w:t xml:space="preserve"> (</w:t>
      </w:r>
      <w:r w:rsidR="006F0344">
        <w:t>Instrument 5</w:t>
      </w:r>
      <w:r w:rsidRPr="00992874" w:rsidR="00B571F6">
        <w:t>)</w:t>
      </w:r>
      <w:r w:rsidR="00B64BEF">
        <w:t xml:space="preserve"> after the fourth quarters of each grant year</w:t>
      </w:r>
      <w:r w:rsidRPr="00117DA3">
        <w:t xml:space="preserve">. </w:t>
      </w:r>
      <w:r w:rsidR="00B40913">
        <w:t>ACF has eliminated the requirement to complete a quarterly report after the first</w:t>
      </w:r>
      <w:r w:rsidR="006D3C5C">
        <w:t>, second,</w:t>
      </w:r>
      <w:r w:rsidR="00B40913">
        <w:t xml:space="preserve"> and third quarters of </w:t>
      </w:r>
      <w:r w:rsidR="00B40913">
        <w:t>each grant</w:t>
      </w:r>
      <w:r w:rsidR="00B40913">
        <w:t xml:space="preserve"> year.</w:t>
      </w:r>
      <w:r w:rsidRPr="00117DA3" w:rsidR="00B40913">
        <w:t xml:space="preserve"> </w:t>
      </w:r>
      <w:r w:rsidRPr="00117DA3" w:rsidR="009054F5">
        <w:t xml:space="preserve">The data collected </w:t>
      </w:r>
      <w:r w:rsidR="00392FB0">
        <w:t>with</w:t>
      </w:r>
      <w:r w:rsidRPr="00117DA3" w:rsidR="00392FB0">
        <w:t xml:space="preserve"> </w:t>
      </w:r>
      <w:r w:rsidR="006F0344">
        <w:t>Instruments</w:t>
      </w:r>
      <w:r w:rsidRPr="00117DA3" w:rsidR="006F0344">
        <w:t xml:space="preserve"> </w:t>
      </w:r>
      <w:r w:rsidR="006F0344">
        <w:t>1</w:t>
      </w:r>
      <w:r w:rsidRPr="00117DA3" w:rsidR="006F0344">
        <w:t xml:space="preserve"> </w:t>
      </w:r>
      <w:r w:rsidRPr="00117DA3" w:rsidR="009054F5">
        <w:t xml:space="preserve">through </w:t>
      </w:r>
      <w:r w:rsidR="006F0344">
        <w:t>4</w:t>
      </w:r>
      <w:r w:rsidRPr="00117DA3" w:rsidR="006F0344">
        <w:t xml:space="preserve"> </w:t>
      </w:r>
      <w:r w:rsidRPr="00117DA3" w:rsidR="009054F5">
        <w:t>are used</w:t>
      </w:r>
      <w:r w:rsidR="00A700AD">
        <w:t xml:space="preserve"> by grant recipients</w:t>
      </w:r>
      <w:r w:rsidRPr="00117DA3" w:rsidR="009054F5">
        <w:t xml:space="preserve"> to inform and prepare </w:t>
      </w:r>
      <w:r>
        <w:t xml:space="preserve">Instrument </w:t>
      </w:r>
      <w:r w:rsidR="00905FC7">
        <w:t>5</w:t>
      </w:r>
      <w:r w:rsidRPr="00117DA3" w:rsidR="00B36444">
        <w:t>.</w:t>
      </w:r>
      <w:r w:rsidR="007165DE">
        <w:t xml:space="preserve"> </w:t>
      </w:r>
    </w:p>
    <w:p w:rsidR="009808E8" w:rsidP="00110D5F" w14:paraId="5EBE2CE6" w14:textId="77777777">
      <w:pPr>
        <w:pStyle w:val="NoSpacing"/>
      </w:pPr>
    </w:p>
    <w:p w:rsidR="00774675" w:rsidP="00110D5F" w14:paraId="3ADCE49D" w14:textId="0129CE65">
      <w:pPr>
        <w:pStyle w:val="NoSpacing"/>
      </w:pPr>
      <w:r>
        <w:t xml:space="preserve">ACF proposes to continue the OMB-approved requirement for grant recipients to document their CQI planning and implementation using a CQI plan template. This template </w:t>
      </w:r>
      <w:r w:rsidR="009808E8">
        <w:t>was</w:t>
      </w:r>
      <w:r>
        <w:t xml:space="preserve"> included in this information collection in the past, but for the 2025 cohort this </w:t>
      </w:r>
      <w:r w:rsidR="00731FFC">
        <w:t xml:space="preserve">template is now approved under </w:t>
      </w:r>
      <w:r w:rsidR="006A4A1D">
        <w:t>OMB #0970-0531</w:t>
      </w:r>
      <w:r w:rsidR="00731FFC">
        <w:t xml:space="preserve"> (</w:t>
      </w:r>
      <w:r w:rsidRPr="00FA6201" w:rsidR="00731FFC">
        <w:rPr>
          <w:i/>
          <w:iCs/>
        </w:rPr>
        <w:t>Healthy Marriage and Responsible Fatherhood Data Capacity and Continuous Quality Improvement Plan Template</w:t>
      </w:r>
      <w:r w:rsidR="006A4A1D">
        <w:t>)</w:t>
      </w:r>
      <w:r>
        <w:t>.</w:t>
      </w:r>
    </w:p>
    <w:p w:rsidR="00F03218" w:rsidP="00110D5F" w14:paraId="2378C930" w14:textId="77777777">
      <w:pPr>
        <w:pStyle w:val="NoSpacing"/>
      </w:pPr>
    </w:p>
    <w:p w:rsidR="00774675" w:rsidP="00110D5F" w14:paraId="2E467681" w14:textId="7F94AC9B">
      <w:pPr>
        <w:pStyle w:val="NoSpacing"/>
      </w:pPr>
      <w:r w:rsidRPr="00117DA3">
        <w:t>To promote consistent, high quality, and secure data collection and reporting and to minimize burden on grant</w:t>
      </w:r>
      <w:r w:rsidR="000D1AAE">
        <w:t xml:space="preserve"> recipients</w:t>
      </w:r>
      <w:r w:rsidRPr="00117DA3">
        <w:t xml:space="preserve"> and their clients, a</w:t>
      </w:r>
      <w:r w:rsidRPr="00117DA3" w:rsidR="0048593B">
        <w:t xml:space="preserve">ll the survey instruments </w:t>
      </w:r>
      <w:r w:rsidRPr="00117DA3">
        <w:t xml:space="preserve">and reports in </w:t>
      </w:r>
      <w:r w:rsidR="006F0344">
        <w:t>Instruments</w:t>
      </w:r>
      <w:r w:rsidRPr="00117DA3" w:rsidR="006F0344">
        <w:t xml:space="preserve"> </w:t>
      </w:r>
      <w:r w:rsidR="006F0344">
        <w:t>1</w:t>
      </w:r>
      <w:r w:rsidRPr="00117DA3" w:rsidR="006F0344">
        <w:t xml:space="preserve"> </w:t>
      </w:r>
      <w:r w:rsidRPr="00117DA3">
        <w:t xml:space="preserve">through </w:t>
      </w:r>
      <w:r w:rsidR="00905FC7">
        <w:t>5</w:t>
      </w:r>
      <w:r w:rsidRPr="00117DA3" w:rsidR="00986E2D">
        <w:t xml:space="preserve"> </w:t>
      </w:r>
      <w:r w:rsidRPr="00117DA3">
        <w:t>of this ICR are programmed in</w:t>
      </w:r>
      <w:r w:rsidRPr="00117DA3" w:rsidR="00697FB5">
        <w:t>to</w:t>
      </w:r>
      <w:r w:rsidRPr="00117DA3">
        <w:t xml:space="preserve"> the </w:t>
      </w:r>
      <w:r w:rsidRPr="00117DA3" w:rsidR="00697FB5">
        <w:t xml:space="preserve">web-based </w:t>
      </w:r>
      <w:r w:rsidRPr="00117DA3">
        <w:t>nFORM</w:t>
      </w:r>
      <w:r w:rsidRPr="00117DA3">
        <w:t xml:space="preserve"> </w:t>
      </w:r>
      <w:r w:rsidRPr="00117DA3" w:rsidR="00697FB5">
        <w:t xml:space="preserve">performance measures </w:t>
      </w:r>
      <w:r w:rsidRPr="00117DA3">
        <w:t xml:space="preserve">system described in A1. </w:t>
      </w:r>
      <w:r w:rsidRPr="00117DA3" w:rsidR="00D93D2E">
        <w:t>nFORM</w:t>
      </w:r>
      <w:r w:rsidRPr="00117DA3" w:rsidR="00D93D2E">
        <w:t xml:space="preserve"> automatically generates </w:t>
      </w:r>
      <w:r w:rsidR="00491499">
        <w:t xml:space="preserve">quantitative sections of </w:t>
      </w:r>
      <w:r w:rsidRPr="00117DA3" w:rsidR="00D93D2E">
        <w:t xml:space="preserve">the required PPRs </w:t>
      </w:r>
      <w:r w:rsidR="00F7020F">
        <w:t xml:space="preserve">(Instrument 5) </w:t>
      </w:r>
      <w:r w:rsidRPr="00117DA3" w:rsidR="00D93D2E">
        <w:t xml:space="preserve">using the data collected in </w:t>
      </w:r>
      <w:r w:rsidR="00F7020F">
        <w:t>I</w:t>
      </w:r>
      <w:r w:rsidRPr="00117DA3" w:rsidR="00F7020F">
        <w:t>nstrument</w:t>
      </w:r>
      <w:r w:rsidR="00F7020F">
        <w:t>s 1 through 4</w:t>
      </w:r>
      <w:r w:rsidRPr="00117DA3" w:rsidR="00D93D2E">
        <w:t>.</w:t>
      </w:r>
      <w:r w:rsidRPr="00117DA3" w:rsidR="00077326">
        <w:t xml:space="preserve"> </w:t>
      </w:r>
      <w:r w:rsidR="00F7020F">
        <w:t xml:space="preserve">Grant recipients </w:t>
      </w:r>
      <w:r w:rsidR="00491499">
        <w:t xml:space="preserve">then complete qualitative PPR sections in </w:t>
      </w:r>
      <w:r w:rsidR="00491499">
        <w:t>nFORM</w:t>
      </w:r>
      <w:r w:rsidR="00491499">
        <w:t xml:space="preserve">. </w:t>
      </w:r>
      <w:r w:rsidRPr="00117DA3" w:rsidR="00077326">
        <w:t xml:space="preserve">ACF provides </w:t>
      </w:r>
      <w:r w:rsidRPr="00117DA3" w:rsidR="00077326">
        <w:t>nFORM</w:t>
      </w:r>
      <w:r w:rsidRPr="00117DA3" w:rsidR="00077326">
        <w:t xml:space="preserve"> free of charge to all HMRF grant</w:t>
      </w:r>
      <w:r w:rsidR="00C20432">
        <w:t xml:space="preserve"> recipients</w:t>
      </w:r>
      <w:r w:rsidRPr="00117DA3" w:rsidR="00077326">
        <w:t xml:space="preserve">. When internet access is not available, as in some rural areas or correctional facilities, the entry and exit surveys may be administered to </w:t>
      </w:r>
      <w:r w:rsidRPr="00117DA3" w:rsidR="00077326">
        <w:rPr>
          <w:bCs/>
        </w:rPr>
        <w:t>client</w:t>
      </w:r>
      <w:r w:rsidRPr="00117DA3" w:rsidR="00077326">
        <w:t>s on paper</w:t>
      </w:r>
      <w:r w:rsidR="00392FB0">
        <w:t xml:space="preserve"> and data entered into </w:t>
      </w:r>
      <w:r w:rsidR="00392FB0">
        <w:t>nFORM</w:t>
      </w:r>
      <w:r w:rsidR="00392FB0">
        <w:t xml:space="preserve"> by grant recipient staff</w:t>
      </w:r>
      <w:r w:rsidRPr="00117DA3" w:rsidR="00077326">
        <w:t>.</w:t>
      </w:r>
      <w:r>
        <w:t xml:space="preserve"> The </w:t>
      </w:r>
      <w:r w:rsidR="002F33D9">
        <w:t>web-based and paper</w:t>
      </w:r>
      <w:r>
        <w:t xml:space="preserve"> entrance and exit surveys will be translated into Spanish. ACF acknowledges that English is the official language and authoritative version of all federal information and will note this on the translated instruments.</w:t>
      </w:r>
      <w:r w:rsidRPr="00117DA3" w:rsidR="00077326">
        <w:t xml:space="preserve"> </w:t>
      </w:r>
    </w:p>
    <w:p w:rsidR="00774675" w:rsidP="00110D5F" w14:paraId="14E1FDD9" w14:textId="77777777">
      <w:pPr>
        <w:pStyle w:val="NoSpacing"/>
      </w:pPr>
    </w:p>
    <w:p w:rsidR="00367C64" w:rsidRPr="00117DA3" w:rsidP="00110D5F" w14:paraId="24DB9163" w14:textId="67D9EC2D">
      <w:pPr>
        <w:pStyle w:val="NoSpacing"/>
      </w:pPr>
      <w:r w:rsidRPr="00117DA3">
        <w:t>The designated respondent for each instrument and report, its content, mode of administration, and duration are summarized in Table A.1.</w:t>
      </w:r>
    </w:p>
    <w:p w:rsidR="00D56E4F" w:rsidRPr="00D56E4F" w:rsidP="00110D5F" w14:paraId="1DF88F7F" w14:textId="77777777">
      <w:pPr>
        <w:spacing w:after="0" w:line="240" w:lineRule="auto"/>
      </w:pPr>
    </w:p>
    <w:p w:rsidR="001226CA" w:rsidRPr="00895980" w:rsidP="00110D5F" w14:paraId="7E6D821F" w14:textId="5EE06C77">
      <w:pPr>
        <w:keepNext/>
        <w:spacing w:after="60" w:line="240" w:lineRule="auto"/>
        <w:rPr>
          <w:rFonts w:cstheme="minorHAnsi"/>
          <w:b/>
        </w:rPr>
      </w:pPr>
      <w:r w:rsidRPr="00F87300">
        <w:rPr>
          <w:rFonts w:cstheme="minorHAnsi"/>
          <w:b/>
        </w:rPr>
        <w:t>Table A.</w:t>
      </w:r>
      <w:r w:rsidRPr="00F87300" w:rsidR="00F87300">
        <w:rPr>
          <w:rFonts w:cstheme="minorHAnsi"/>
          <w:b/>
        </w:rPr>
        <w:t>1</w:t>
      </w:r>
      <w:r w:rsidRPr="00F87300">
        <w:rPr>
          <w:rFonts w:cstheme="minorHAnsi"/>
          <w:b/>
        </w:rPr>
        <w:t>. Overview</w:t>
      </w:r>
      <w:r w:rsidRPr="00895980">
        <w:rPr>
          <w:rFonts w:cstheme="minorHAnsi"/>
          <w:b/>
        </w:rPr>
        <w:t xml:space="preserve"> of </w:t>
      </w:r>
      <w:r w:rsidR="003C088F">
        <w:rPr>
          <w:rFonts w:cstheme="minorHAnsi"/>
          <w:b/>
        </w:rPr>
        <w:t>information collection activities</w:t>
      </w:r>
      <w:r w:rsidRPr="00895980">
        <w:rPr>
          <w:rFonts w:cstheme="minorHAnsi"/>
          <w:b/>
        </w:rPr>
        <w:t xml:space="preserve"> </w:t>
      </w:r>
    </w:p>
    <w:tbl>
      <w:tblPr>
        <w:tblStyle w:val="SMPRTableBlack"/>
        <w:tblW w:w="4990" w:type="pct"/>
        <w:tblInd w:w="-72" w:type="dxa"/>
        <w:tblLayout w:type="fixed"/>
        <w:tblLook w:val="04A0"/>
      </w:tblPr>
      <w:tblGrid>
        <w:gridCol w:w="1243"/>
        <w:gridCol w:w="1349"/>
        <w:gridCol w:w="4954"/>
        <w:gridCol w:w="1795"/>
      </w:tblGrid>
      <w:tr w14:paraId="49D15327" w14:textId="77777777" w:rsidTr="00421821">
        <w:tblPrEx>
          <w:tblW w:w="4990" w:type="pct"/>
          <w:tblInd w:w="-72" w:type="dxa"/>
          <w:tblLayout w:type="fixed"/>
          <w:tblLook w:val="04A0"/>
        </w:tblPrEx>
        <w:trPr>
          <w:cantSplit/>
          <w:tblHeader/>
        </w:trPr>
        <w:tc>
          <w:tcPr>
            <w:tcW w:w="665" w:type="pct"/>
            <w:vAlign w:val="bottom"/>
          </w:tcPr>
          <w:p w:rsidR="00F06E20" w:rsidRPr="00FB1D85" w:rsidP="00110D5F" w14:paraId="4A25E3CF" w14:textId="45C38F78">
            <w:pPr>
              <w:spacing w:before="48" w:beforeLines="20" w:after="48" w:afterLines="20"/>
              <w:jc w:val="center"/>
              <w:rPr>
                <w:rFonts w:ascii="Arial" w:hAnsi="Arial" w:cs="Arial"/>
                <w:sz w:val="16"/>
                <w:szCs w:val="16"/>
              </w:rPr>
            </w:pPr>
            <w:r>
              <w:rPr>
                <w:rFonts w:ascii="Arial" w:hAnsi="Arial" w:cs="Arial"/>
                <w:sz w:val="16"/>
                <w:szCs w:val="16"/>
              </w:rPr>
              <w:t>Data Collection Activity</w:t>
            </w:r>
          </w:p>
        </w:tc>
        <w:tc>
          <w:tcPr>
            <w:tcW w:w="722" w:type="pct"/>
            <w:vAlign w:val="bottom"/>
          </w:tcPr>
          <w:p w:rsidR="00F06E20" w:rsidRPr="00FB1D85" w:rsidP="00110D5F" w14:paraId="2AA1627A" w14:textId="023EA5FB">
            <w:pPr>
              <w:spacing w:before="48" w:beforeLines="20" w:after="48" w:afterLines="20"/>
              <w:jc w:val="center"/>
              <w:rPr>
                <w:rFonts w:ascii="Arial" w:hAnsi="Arial" w:cs="Arial"/>
                <w:sz w:val="16"/>
                <w:szCs w:val="16"/>
              </w:rPr>
            </w:pPr>
            <w:r w:rsidRPr="00FB1D85">
              <w:rPr>
                <w:rFonts w:ascii="Arial" w:hAnsi="Arial" w:cs="Arial"/>
                <w:sz w:val="16"/>
                <w:szCs w:val="16"/>
              </w:rPr>
              <w:t>Instrument</w:t>
            </w:r>
            <w:r w:rsidR="00A90DFA">
              <w:rPr>
                <w:rFonts w:ascii="Arial" w:hAnsi="Arial" w:cs="Arial"/>
                <w:sz w:val="16"/>
                <w:szCs w:val="16"/>
              </w:rPr>
              <w:t>s</w:t>
            </w:r>
          </w:p>
        </w:tc>
        <w:tc>
          <w:tcPr>
            <w:tcW w:w="2652" w:type="pct"/>
            <w:vAlign w:val="bottom"/>
          </w:tcPr>
          <w:p w:rsidR="00F06E20" w:rsidRPr="00FB1D85" w:rsidP="00110D5F" w14:paraId="0C4BB9D7" w14:textId="18B8C987">
            <w:pPr>
              <w:spacing w:before="48" w:beforeLines="20" w:after="48" w:afterLines="20"/>
              <w:jc w:val="center"/>
              <w:rPr>
                <w:rFonts w:ascii="Arial" w:hAnsi="Arial" w:cs="Arial"/>
                <w:sz w:val="16"/>
                <w:szCs w:val="16"/>
              </w:rPr>
            </w:pPr>
            <w:r>
              <w:rPr>
                <w:rFonts w:ascii="Arial" w:hAnsi="Arial" w:cs="Arial"/>
                <w:sz w:val="16"/>
                <w:szCs w:val="16"/>
              </w:rPr>
              <w:t xml:space="preserve">Respondent, </w:t>
            </w:r>
            <w:r w:rsidRPr="00FB1D85">
              <w:rPr>
                <w:rFonts w:ascii="Arial" w:hAnsi="Arial" w:cs="Arial"/>
                <w:sz w:val="16"/>
                <w:szCs w:val="16"/>
              </w:rPr>
              <w:t>Content</w:t>
            </w:r>
            <w:r>
              <w:rPr>
                <w:rFonts w:ascii="Arial" w:hAnsi="Arial" w:cs="Arial"/>
                <w:sz w:val="16"/>
                <w:szCs w:val="16"/>
              </w:rPr>
              <w:t>, Purpose of Collection</w:t>
            </w:r>
          </w:p>
        </w:tc>
        <w:tc>
          <w:tcPr>
            <w:tcW w:w="961" w:type="pct"/>
            <w:vAlign w:val="bottom"/>
          </w:tcPr>
          <w:p w:rsidR="00F06E20" w:rsidRPr="00011175" w:rsidP="00110D5F" w14:paraId="5A353A1D" w14:textId="25F5D723">
            <w:pPr>
              <w:spacing w:before="48" w:beforeLines="20" w:after="48" w:afterLines="20"/>
              <w:jc w:val="center"/>
              <w:rPr>
                <w:rFonts w:ascii="Arial" w:hAnsi="Arial"/>
                <w:sz w:val="16"/>
                <w:szCs w:val="16"/>
              </w:rPr>
            </w:pPr>
            <w:r>
              <w:rPr>
                <w:rFonts w:ascii="Arial" w:hAnsi="Arial"/>
                <w:sz w:val="16"/>
                <w:szCs w:val="16"/>
              </w:rPr>
              <w:t xml:space="preserve">Mode and Duration </w:t>
            </w:r>
          </w:p>
        </w:tc>
      </w:tr>
      <w:tr w14:paraId="0722AFE7" w14:textId="77777777" w:rsidTr="00BB7C36">
        <w:tblPrEx>
          <w:tblW w:w="4990" w:type="pct"/>
          <w:tblInd w:w="-72" w:type="dxa"/>
          <w:tblLayout w:type="fixed"/>
          <w:tblLook w:val="04A0"/>
        </w:tblPrEx>
        <w:trPr>
          <w:cantSplit/>
          <w:trHeight w:val="981"/>
        </w:trPr>
        <w:tc>
          <w:tcPr>
            <w:tcW w:w="665" w:type="pct"/>
            <w:tcBorders>
              <w:top w:val="single" w:sz="2" w:space="0" w:color="auto"/>
              <w:bottom w:val="nil"/>
            </w:tcBorders>
            <w:vAlign w:val="center"/>
          </w:tcPr>
          <w:p w:rsidR="00197BA7" w:rsidRPr="006941EC" w:rsidP="00110D5F" w14:paraId="7E6FDE8C" w14:textId="770B13CE">
            <w:pPr>
              <w:spacing w:before="48" w:beforeLines="20" w:after="48" w:afterLines="20"/>
              <w:rPr>
                <w:rFonts w:ascii="Arial" w:hAnsi="Arial" w:cs="Arial"/>
                <w:sz w:val="16"/>
                <w:szCs w:val="16"/>
              </w:rPr>
            </w:pPr>
            <w:r>
              <w:rPr>
                <w:rFonts w:ascii="Arial" w:hAnsi="Arial" w:cs="Arial"/>
                <w:sz w:val="16"/>
                <w:szCs w:val="16"/>
              </w:rPr>
              <w:t>Performance Measurement</w:t>
            </w:r>
          </w:p>
        </w:tc>
        <w:tc>
          <w:tcPr>
            <w:tcW w:w="722" w:type="pct"/>
            <w:tcBorders>
              <w:top w:val="single" w:sz="2" w:space="0" w:color="auto"/>
            </w:tcBorders>
            <w:vAlign w:val="center"/>
          </w:tcPr>
          <w:p w:rsidR="00197BA7" w:rsidRPr="006941EC" w:rsidP="00110D5F" w14:paraId="24B9A9D5" w14:textId="69345A47">
            <w:pPr>
              <w:spacing w:before="48" w:beforeLines="20" w:after="48" w:afterLines="20"/>
              <w:jc w:val="center"/>
              <w:rPr>
                <w:rFonts w:ascii="Arial" w:hAnsi="Arial" w:cs="Arial"/>
                <w:sz w:val="16"/>
                <w:szCs w:val="16"/>
              </w:rPr>
            </w:pPr>
            <w:r w:rsidRPr="006941EC">
              <w:rPr>
                <w:rFonts w:ascii="Arial" w:hAnsi="Arial" w:cs="Arial"/>
                <w:sz w:val="16"/>
                <w:szCs w:val="16"/>
              </w:rPr>
              <w:t>1</w:t>
            </w:r>
            <w:r>
              <w:rPr>
                <w:rFonts w:ascii="Arial" w:hAnsi="Arial" w:cs="Arial"/>
                <w:sz w:val="16"/>
                <w:szCs w:val="16"/>
              </w:rPr>
              <w:t>a</w:t>
            </w:r>
            <w:r w:rsidRPr="006941EC">
              <w:rPr>
                <w:rFonts w:ascii="Arial" w:hAnsi="Arial" w:cs="Arial"/>
                <w:sz w:val="16"/>
                <w:szCs w:val="16"/>
              </w:rPr>
              <w:t>: Applica</w:t>
            </w:r>
            <w:r>
              <w:rPr>
                <w:rFonts w:ascii="Arial" w:hAnsi="Arial" w:cs="Arial"/>
                <w:sz w:val="16"/>
                <w:szCs w:val="16"/>
              </w:rPr>
              <w:t>tion</w:t>
            </w:r>
            <w:r w:rsidRPr="006941EC">
              <w:rPr>
                <w:rFonts w:ascii="Arial" w:hAnsi="Arial" w:cs="Arial"/>
                <w:sz w:val="16"/>
                <w:szCs w:val="16"/>
              </w:rPr>
              <w:t xml:space="preserve"> </w:t>
            </w:r>
            <w:r>
              <w:rPr>
                <w:rFonts w:ascii="Arial" w:hAnsi="Arial" w:cs="Arial"/>
                <w:sz w:val="16"/>
                <w:szCs w:val="16"/>
              </w:rPr>
              <w:t>Form</w:t>
            </w:r>
          </w:p>
        </w:tc>
        <w:tc>
          <w:tcPr>
            <w:tcW w:w="2652" w:type="pct"/>
            <w:tcBorders>
              <w:top w:val="single" w:sz="2" w:space="0" w:color="auto"/>
            </w:tcBorders>
            <w:vAlign w:val="center"/>
          </w:tcPr>
          <w:p w:rsidR="00197BA7" w:rsidRPr="006941EC" w:rsidP="00110D5F" w14:paraId="2042E9CB" w14:textId="77777777">
            <w:pPr>
              <w:spacing w:before="48" w:beforeLines="20" w:after="48" w:afterLines="20"/>
              <w:rPr>
                <w:rFonts w:ascii="Arial" w:hAnsi="Arial" w:cs="Arial"/>
                <w:sz w:val="16"/>
                <w:szCs w:val="16"/>
              </w:rPr>
            </w:pPr>
            <w:r w:rsidRPr="00A5588E">
              <w:rPr>
                <w:rFonts w:ascii="Arial" w:hAnsi="Arial" w:cs="Arial"/>
                <w:b/>
                <w:bCs/>
                <w:sz w:val="16"/>
                <w:szCs w:val="16"/>
              </w:rPr>
              <w:t>Respondent:</w:t>
            </w:r>
            <w:r w:rsidRPr="006941EC">
              <w:rPr>
                <w:rFonts w:ascii="Arial" w:hAnsi="Arial" w:cs="Arial"/>
                <w:sz w:val="16"/>
                <w:szCs w:val="16"/>
              </w:rPr>
              <w:t xml:space="preserve"> Program staff</w:t>
            </w:r>
          </w:p>
          <w:p w:rsidR="00197BA7" w:rsidRPr="006941EC" w:rsidP="00110D5F" w14:paraId="01B5055B" w14:textId="0F5B7255">
            <w:pPr>
              <w:spacing w:before="48" w:beforeLines="20" w:after="48" w:afterLines="20"/>
              <w:rPr>
                <w:rFonts w:ascii="Arial" w:hAnsi="Arial" w:cs="Arial"/>
                <w:sz w:val="16"/>
                <w:szCs w:val="16"/>
              </w:rPr>
            </w:pPr>
            <w:r w:rsidRPr="00A5588E">
              <w:rPr>
                <w:rFonts w:ascii="Arial" w:hAnsi="Arial" w:cs="Arial"/>
                <w:b/>
                <w:bCs/>
                <w:sz w:val="16"/>
                <w:szCs w:val="16"/>
              </w:rPr>
              <w:t>Content/Purpose:</w:t>
            </w:r>
            <w:r w:rsidRPr="006941EC">
              <w:rPr>
                <w:rFonts w:ascii="Arial" w:hAnsi="Arial" w:cs="Arial"/>
                <w:sz w:val="16"/>
                <w:szCs w:val="16"/>
              </w:rPr>
              <w:t xml:space="preserve"> Program staff conduct intake before clients complete the </w:t>
            </w:r>
            <w:r>
              <w:rPr>
                <w:rFonts w:ascii="Arial" w:hAnsi="Arial" w:cs="Arial"/>
                <w:sz w:val="16"/>
                <w:szCs w:val="16"/>
              </w:rPr>
              <w:t>entrance</w:t>
            </w:r>
            <w:r w:rsidRPr="006941EC">
              <w:rPr>
                <w:rFonts w:ascii="Arial" w:hAnsi="Arial" w:cs="Arial"/>
                <w:sz w:val="16"/>
                <w:szCs w:val="16"/>
              </w:rPr>
              <w:t xml:space="preserve"> survey.</w:t>
            </w:r>
            <w:r w:rsidRPr="006941EC">
              <w:rPr>
                <w:rStyle w:val="CommentReference"/>
                <w:rFonts w:asciiTheme="minorHAnsi" w:eastAsiaTheme="minorHAnsi" w:hAnsiTheme="minorHAnsi" w:cstheme="minorBidi"/>
              </w:rPr>
              <w:t xml:space="preserve"> </w:t>
            </w:r>
          </w:p>
        </w:tc>
        <w:tc>
          <w:tcPr>
            <w:tcW w:w="961" w:type="pct"/>
            <w:tcBorders>
              <w:top w:val="single" w:sz="2" w:space="0" w:color="auto"/>
            </w:tcBorders>
            <w:vAlign w:val="center"/>
          </w:tcPr>
          <w:p w:rsidR="00197BA7" w:rsidRPr="006941EC" w:rsidP="00110D5F" w14:paraId="3BC78A44" w14:textId="77777777">
            <w:pPr>
              <w:spacing w:before="48" w:beforeLines="20" w:after="48" w:afterLines="20"/>
              <w:jc w:val="center"/>
              <w:rPr>
                <w:rFonts w:ascii="Arial" w:hAnsi="Arial"/>
                <w:sz w:val="16"/>
                <w:szCs w:val="16"/>
              </w:rPr>
            </w:pPr>
            <w:r w:rsidRPr="00A5588E">
              <w:rPr>
                <w:rFonts w:ascii="Arial" w:hAnsi="Arial"/>
                <w:b/>
                <w:bCs/>
                <w:sz w:val="16"/>
                <w:szCs w:val="16"/>
              </w:rPr>
              <w:t>Mode</w:t>
            </w:r>
            <w:r w:rsidRPr="006941EC">
              <w:rPr>
                <w:rFonts w:ascii="Arial" w:hAnsi="Arial"/>
                <w:sz w:val="16"/>
                <w:szCs w:val="16"/>
              </w:rPr>
              <w:t xml:space="preserve">: </w:t>
            </w:r>
            <w:r w:rsidRPr="006941EC">
              <w:rPr>
                <w:rFonts w:ascii="Arial" w:hAnsi="Arial"/>
                <w:sz w:val="16"/>
                <w:szCs w:val="16"/>
              </w:rPr>
              <w:t>nFORM</w:t>
            </w:r>
          </w:p>
          <w:p w:rsidR="00197BA7" w:rsidRPr="006941EC" w:rsidP="00110D5F" w14:paraId="7D30C1EF" w14:textId="71102C3D">
            <w:pPr>
              <w:spacing w:before="48" w:beforeLines="20" w:after="48" w:afterLines="20"/>
              <w:jc w:val="center"/>
              <w:rPr>
                <w:rFonts w:ascii="Arial" w:hAnsi="Arial"/>
                <w:sz w:val="16"/>
                <w:szCs w:val="16"/>
              </w:rPr>
            </w:pPr>
            <w:r w:rsidRPr="00A5588E">
              <w:rPr>
                <w:rFonts w:ascii="Arial" w:hAnsi="Arial"/>
                <w:b/>
                <w:bCs/>
                <w:sz w:val="16"/>
                <w:szCs w:val="16"/>
              </w:rPr>
              <w:t>Duration:</w:t>
            </w:r>
            <w:r w:rsidRPr="006941EC">
              <w:rPr>
                <w:rFonts w:ascii="Arial" w:hAnsi="Arial"/>
                <w:sz w:val="16"/>
                <w:szCs w:val="16"/>
              </w:rPr>
              <w:t xml:space="preserve"> 0.10</w:t>
            </w:r>
            <w:r>
              <w:rPr>
                <w:rFonts w:ascii="Arial" w:hAnsi="Arial"/>
                <w:sz w:val="16"/>
                <w:szCs w:val="16"/>
              </w:rPr>
              <w:t xml:space="preserve"> hours</w:t>
            </w:r>
          </w:p>
        </w:tc>
      </w:tr>
      <w:tr w14:paraId="00D81AA7" w14:textId="77777777" w:rsidTr="00DA148F">
        <w:tblPrEx>
          <w:tblW w:w="4990" w:type="pct"/>
          <w:tblInd w:w="-72" w:type="dxa"/>
          <w:tblLayout w:type="fixed"/>
          <w:tblLook w:val="04A0"/>
        </w:tblPrEx>
        <w:trPr>
          <w:cantSplit/>
        </w:trPr>
        <w:tc>
          <w:tcPr>
            <w:tcW w:w="665" w:type="pct"/>
            <w:vMerge w:val="restart"/>
            <w:tcBorders>
              <w:top w:val="single" w:sz="4" w:space="0" w:color="auto"/>
              <w:left w:val="nil"/>
              <w:bottom w:val="nil"/>
              <w:right w:val="nil"/>
            </w:tcBorders>
            <w:vAlign w:val="center"/>
          </w:tcPr>
          <w:p w:rsidR="00FF7E58" w:rsidRPr="006941EC" w:rsidP="00110D5F" w14:paraId="47E97E27" w14:textId="1AD1B43F">
            <w:pPr>
              <w:spacing w:before="48" w:beforeLines="20" w:after="48" w:afterLines="20"/>
              <w:rPr>
                <w:rFonts w:ascii="Arial" w:hAnsi="Arial" w:cs="Arial"/>
                <w:sz w:val="16"/>
                <w:szCs w:val="16"/>
              </w:rPr>
            </w:pPr>
            <w:r>
              <w:rPr>
                <w:rFonts w:ascii="Arial" w:hAnsi="Arial" w:cs="Arial"/>
                <w:sz w:val="16"/>
                <w:szCs w:val="16"/>
              </w:rPr>
              <w:t>Performance Measur</w:t>
            </w:r>
            <w:r w:rsidR="00F71324">
              <w:rPr>
                <w:rFonts w:ascii="Arial" w:hAnsi="Arial" w:cs="Arial"/>
                <w:sz w:val="16"/>
                <w:szCs w:val="16"/>
              </w:rPr>
              <w:t>e</w:t>
            </w:r>
            <w:r>
              <w:rPr>
                <w:rFonts w:ascii="Arial" w:hAnsi="Arial" w:cs="Arial"/>
                <w:sz w:val="16"/>
                <w:szCs w:val="16"/>
              </w:rPr>
              <w:t>ment</w:t>
            </w:r>
          </w:p>
        </w:tc>
        <w:tc>
          <w:tcPr>
            <w:tcW w:w="722" w:type="pct"/>
            <w:vMerge w:val="restart"/>
            <w:tcBorders>
              <w:top w:val="single" w:sz="4" w:space="0" w:color="auto"/>
              <w:left w:val="nil"/>
            </w:tcBorders>
            <w:vAlign w:val="center"/>
          </w:tcPr>
          <w:p w:rsidR="00197BA7" w:rsidP="00110D5F" w14:paraId="25F3A7F5" w14:textId="77777777">
            <w:pPr>
              <w:spacing w:before="48" w:beforeLines="20" w:after="48" w:afterLines="20"/>
              <w:jc w:val="center"/>
              <w:rPr>
                <w:rFonts w:ascii="Arial" w:hAnsi="Arial" w:cs="Arial"/>
                <w:sz w:val="16"/>
                <w:szCs w:val="16"/>
              </w:rPr>
            </w:pPr>
            <w:r>
              <w:rPr>
                <w:rFonts w:ascii="Arial" w:hAnsi="Arial" w:cs="Arial"/>
                <w:sz w:val="16"/>
                <w:szCs w:val="16"/>
              </w:rPr>
              <w:t>1</w:t>
            </w:r>
            <w:r>
              <w:rPr>
                <w:rFonts w:ascii="Arial" w:hAnsi="Arial" w:cs="Arial"/>
                <w:sz w:val="16"/>
                <w:szCs w:val="16"/>
              </w:rPr>
              <w:t>b</w:t>
            </w:r>
            <w:r w:rsidRPr="006941EC" w:rsidR="00FF7E58">
              <w:rPr>
                <w:rFonts w:ascii="Arial" w:hAnsi="Arial" w:cs="Arial"/>
                <w:sz w:val="16"/>
                <w:szCs w:val="16"/>
              </w:rPr>
              <w:t>: Entrance</w:t>
            </w:r>
            <w:r>
              <w:rPr>
                <w:rFonts w:ascii="Arial" w:hAnsi="Arial" w:cs="Arial"/>
                <w:sz w:val="16"/>
                <w:szCs w:val="16"/>
              </w:rPr>
              <w:t xml:space="preserve"> Surveys</w:t>
            </w:r>
            <w:r w:rsidRPr="006941EC" w:rsidR="00FF7E58">
              <w:rPr>
                <w:rFonts w:ascii="Arial" w:hAnsi="Arial" w:cs="Arial"/>
                <w:sz w:val="16"/>
                <w:szCs w:val="16"/>
              </w:rPr>
              <w:t xml:space="preserve"> </w:t>
            </w:r>
          </w:p>
          <w:p w:rsidR="00FF7E58" w:rsidRPr="006941EC" w:rsidP="00110D5F" w14:paraId="63997216" w14:textId="687E2DCB">
            <w:pPr>
              <w:spacing w:before="48" w:beforeLines="20" w:after="48" w:afterLines="20"/>
              <w:jc w:val="center"/>
              <w:rPr>
                <w:rFonts w:ascii="Arial" w:hAnsi="Arial" w:cs="Arial"/>
                <w:sz w:val="16"/>
                <w:szCs w:val="16"/>
              </w:rPr>
            </w:pPr>
            <w:r>
              <w:rPr>
                <w:rFonts w:ascii="Arial" w:hAnsi="Arial" w:cs="Arial"/>
                <w:sz w:val="16"/>
                <w:szCs w:val="16"/>
              </w:rPr>
              <w:t xml:space="preserve">4: </w:t>
            </w:r>
            <w:r w:rsidRPr="006941EC">
              <w:rPr>
                <w:rFonts w:ascii="Arial" w:hAnsi="Arial" w:cs="Arial"/>
                <w:sz w:val="16"/>
                <w:szCs w:val="16"/>
              </w:rPr>
              <w:t>Exit Surveys</w:t>
            </w:r>
          </w:p>
        </w:tc>
        <w:tc>
          <w:tcPr>
            <w:tcW w:w="2652" w:type="pct"/>
            <w:tcBorders>
              <w:top w:val="single" w:sz="4" w:space="0" w:color="auto"/>
              <w:bottom w:val="nil"/>
            </w:tcBorders>
            <w:vAlign w:val="center"/>
          </w:tcPr>
          <w:p w:rsidR="00FF7E58" w:rsidRPr="006941EC" w:rsidP="00110D5F" w14:paraId="21464F8D" w14:textId="4F6DA9A0">
            <w:pPr>
              <w:spacing w:before="48" w:beforeLines="20" w:after="48" w:afterLines="20"/>
              <w:rPr>
                <w:rFonts w:ascii="Arial" w:hAnsi="Arial" w:cs="Arial"/>
                <w:sz w:val="16"/>
                <w:szCs w:val="16"/>
              </w:rPr>
            </w:pPr>
            <w:r w:rsidRPr="00A5588E">
              <w:rPr>
                <w:rFonts w:ascii="Arial" w:hAnsi="Arial" w:cs="Arial"/>
                <w:b/>
                <w:bCs/>
                <w:sz w:val="16"/>
                <w:szCs w:val="16"/>
              </w:rPr>
              <w:t>Respondent:</w:t>
            </w:r>
            <w:r w:rsidRPr="006941EC">
              <w:rPr>
                <w:rFonts w:ascii="Arial" w:hAnsi="Arial" w:cs="Arial"/>
                <w:sz w:val="16"/>
                <w:szCs w:val="16"/>
              </w:rPr>
              <w:t xml:space="preserve"> Program clients (entrance)</w:t>
            </w:r>
          </w:p>
          <w:p w:rsidR="00190E33" w:rsidRPr="006941EC" w:rsidP="00110D5F" w14:paraId="10BAA09E" w14:textId="62063F78">
            <w:pPr>
              <w:spacing w:before="48" w:beforeLines="20" w:after="48" w:afterLines="20"/>
              <w:rPr>
                <w:rFonts w:ascii="Arial" w:hAnsi="Arial" w:cs="Arial"/>
                <w:sz w:val="16"/>
                <w:szCs w:val="16"/>
              </w:rPr>
            </w:pPr>
            <w:r w:rsidRPr="00A5588E">
              <w:rPr>
                <w:rFonts w:ascii="Arial" w:hAnsi="Arial" w:cs="Arial"/>
                <w:b/>
                <w:bCs/>
                <w:sz w:val="16"/>
                <w:szCs w:val="16"/>
              </w:rPr>
              <w:t>Content</w:t>
            </w:r>
            <w:r w:rsidRPr="00A5588E" w:rsidR="00C20432">
              <w:rPr>
                <w:rFonts w:ascii="Arial" w:hAnsi="Arial" w:cs="Arial"/>
                <w:b/>
                <w:bCs/>
                <w:sz w:val="16"/>
                <w:szCs w:val="16"/>
              </w:rPr>
              <w:t>/Purpose</w:t>
            </w:r>
            <w:r w:rsidRPr="00A5588E">
              <w:rPr>
                <w:rFonts w:ascii="Arial" w:hAnsi="Arial" w:cs="Arial"/>
                <w:b/>
                <w:bCs/>
                <w:sz w:val="16"/>
                <w:szCs w:val="16"/>
              </w:rPr>
              <w:t>:</w:t>
            </w:r>
            <w:r w:rsidRPr="006941EC">
              <w:rPr>
                <w:rFonts w:ascii="Arial" w:hAnsi="Arial" w:cs="Arial"/>
                <w:sz w:val="16"/>
                <w:szCs w:val="16"/>
              </w:rPr>
              <w:t xml:space="preserve"> When they </w:t>
            </w:r>
            <w:r w:rsidR="008669FA">
              <w:rPr>
                <w:rFonts w:ascii="Arial" w:hAnsi="Arial" w:cs="Arial"/>
                <w:sz w:val="16"/>
                <w:szCs w:val="16"/>
              </w:rPr>
              <w:t>enroll</w:t>
            </w:r>
            <w:r w:rsidRPr="006941EC">
              <w:rPr>
                <w:rFonts w:ascii="Arial" w:hAnsi="Arial" w:cs="Arial"/>
                <w:sz w:val="16"/>
                <w:szCs w:val="16"/>
              </w:rPr>
              <w:t xml:space="preserve"> in </w:t>
            </w:r>
            <w:r w:rsidR="008669FA">
              <w:rPr>
                <w:rFonts w:ascii="Arial" w:hAnsi="Arial" w:cs="Arial"/>
                <w:sz w:val="16"/>
                <w:szCs w:val="16"/>
              </w:rPr>
              <w:t xml:space="preserve">the </w:t>
            </w:r>
            <w:r w:rsidRPr="006941EC">
              <w:rPr>
                <w:rFonts w:ascii="Arial" w:hAnsi="Arial" w:cs="Arial"/>
                <w:sz w:val="16"/>
                <w:szCs w:val="16"/>
              </w:rPr>
              <w:t xml:space="preserve">program, clients </w:t>
            </w:r>
            <w:r w:rsidRPr="006941EC" w:rsidR="008669FA">
              <w:rPr>
                <w:rFonts w:ascii="Arial" w:hAnsi="Arial" w:cs="Arial"/>
                <w:sz w:val="16"/>
                <w:szCs w:val="16"/>
              </w:rPr>
              <w:t>provide information on their demographic characteristics, financial well-being, family status, how they heard about the program, and reasons for enrolling</w:t>
            </w:r>
            <w:r w:rsidR="008669FA">
              <w:rPr>
                <w:rFonts w:ascii="Arial" w:hAnsi="Arial" w:cs="Arial"/>
                <w:sz w:val="16"/>
                <w:szCs w:val="16"/>
              </w:rPr>
              <w:t>. They also</w:t>
            </w:r>
            <w:r w:rsidR="00DB4AC2">
              <w:rPr>
                <w:rFonts w:ascii="Arial" w:hAnsi="Arial" w:cs="Arial"/>
                <w:sz w:val="16"/>
                <w:szCs w:val="16"/>
              </w:rPr>
              <w:t xml:space="preserve"> </w:t>
            </w:r>
            <w:r w:rsidRPr="006941EC">
              <w:rPr>
                <w:rFonts w:ascii="Arial" w:hAnsi="Arial" w:cs="Arial"/>
                <w:sz w:val="16"/>
                <w:szCs w:val="16"/>
              </w:rPr>
              <w:t>record their experiences related to (1) parenting, co-parenting, and fatherhood; (2) economic stability; (3) healthy marriage and relationships; and (</w:t>
            </w:r>
            <w:r w:rsidR="008669FA">
              <w:rPr>
                <w:rFonts w:ascii="Arial" w:hAnsi="Arial" w:cs="Arial"/>
                <w:sz w:val="16"/>
                <w:szCs w:val="16"/>
              </w:rPr>
              <w:t>4</w:t>
            </w:r>
            <w:r w:rsidRPr="006941EC">
              <w:rPr>
                <w:rFonts w:ascii="Arial" w:hAnsi="Arial" w:cs="Arial"/>
                <w:sz w:val="16"/>
                <w:szCs w:val="16"/>
              </w:rPr>
              <w:t>) program perceptions. Separate instruments tailor content to the client population served by the program (HM adults, HM youth, RF fathers residing in the community, or RF reentering fathers).</w:t>
            </w:r>
          </w:p>
        </w:tc>
        <w:tc>
          <w:tcPr>
            <w:tcW w:w="961" w:type="pct"/>
            <w:tcBorders>
              <w:top w:val="single" w:sz="4" w:space="0" w:color="auto"/>
              <w:bottom w:val="nil"/>
            </w:tcBorders>
            <w:vAlign w:val="center"/>
          </w:tcPr>
          <w:p w:rsidR="00FF7E58" w:rsidRPr="006941EC" w:rsidP="00110D5F" w14:paraId="37BE8EE9" w14:textId="77777777">
            <w:pPr>
              <w:spacing w:before="48" w:beforeLines="20" w:after="48" w:afterLines="20"/>
              <w:jc w:val="center"/>
              <w:rPr>
                <w:rFonts w:ascii="Arial" w:hAnsi="Arial"/>
                <w:sz w:val="16"/>
                <w:szCs w:val="16"/>
              </w:rPr>
            </w:pPr>
            <w:r w:rsidRPr="00A5588E">
              <w:rPr>
                <w:rFonts w:ascii="Arial" w:hAnsi="Arial"/>
                <w:b/>
                <w:bCs/>
                <w:sz w:val="16"/>
                <w:szCs w:val="16"/>
              </w:rPr>
              <w:t>Mode:</w:t>
            </w:r>
            <w:r w:rsidRPr="006941EC">
              <w:rPr>
                <w:rFonts w:ascii="Arial" w:hAnsi="Arial"/>
                <w:sz w:val="16"/>
                <w:szCs w:val="16"/>
              </w:rPr>
              <w:t xml:space="preserve"> </w:t>
            </w:r>
            <w:r w:rsidRPr="006941EC">
              <w:rPr>
                <w:rFonts w:ascii="Arial" w:hAnsi="Arial"/>
                <w:sz w:val="16"/>
                <w:szCs w:val="16"/>
              </w:rPr>
              <w:t>nFORM</w:t>
            </w:r>
          </w:p>
          <w:p w:rsidR="00FF7E58" w:rsidRPr="006941EC" w:rsidP="00110D5F" w14:paraId="5585A02E" w14:textId="4D26CA4E">
            <w:pPr>
              <w:spacing w:before="48" w:beforeLines="20" w:after="48" w:afterLines="20"/>
              <w:jc w:val="center"/>
              <w:rPr>
                <w:rFonts w:ascii="Arial" w:hAnsi="Arial"/>
                <w:sz w:val="16"/>
                <w:szCs w:val="16"/>
              </w:rPr>
            </w:pPr>
            <w:r w:rsidRPr="00A5588E">
              <w:rPr>
                <w:rFonts w:ascii="Arial" w:hAnsi="Arial"/>
                <w:b/>
                <w:bCs/>
                <w:sz w:val="16"/>
                <w:szCs w:val="16"/>
              </w:rPr>
              <w:t>Duration:</w:t>
            </w:r>
            <w:r w:rsidRPr="006941EC">
              <w:rPr>
                <w:rFonts w:ascii="Arial" w:hAnsi="Arial"/>
                <w:sz w:val="16"/>
                <w:szCs w:val="16"/>
              </w:rPr>
              <w:t xml:space="preserve"> 0.</w:t>
            </w:r>
            <w:r w:rsidR="00FD1F5A">
              <w:rPr>
                <w:rFonts w:ascii="Arial" w:hAnsi="Arial"/>
                <w:sz w:val="16"/>
                <w:szCs w:val="16"/>
              </w:rPr>
              <w:t xml:space="preserve">34 </w:t>
            </w:r>
            <w:r w:rsidR="00F25CC6">
              <w:rPr>
                <w:rFonts w:ascii="Arial" w:hAnsi="Arial"/>
                <w:sz w:val="16"/>
                <w:szCs w:val="16"/>
              </w:rPr>
              <w:t>hours</w:t>
            </w:r>
          </w:p>
        </w:tc>
      </w:tr>
      <w:tr w14:paraId="32A60618" w14:textId="77777777" w:rsidTr="00421821">
        <w:tblPrEx>
          <w:tblW w:w="4990" w:type="pct"/>
          <w:tblInd w:w="-72" w:type="dxa"/>
          <w:tblLayout w:type="fixed"/>
          <w:tblLook w:val="04A0"/>
        </w:tblPrEx>
        <w:trPr>
          <w:cantSplit/>
        </w:trPr>
        <w:tc>
          <w:tcPr>
            <w:tcW w:w="665" w:type="pct"/>
            <w:vMerge/>
            <w:tcBorders>
              <w:top w:val="nil"/>
              <w:left w:val="nil"/>
              <w:bottom w:val="nil"/>
              <w:right w:val="nil"/>
            </w:tcBorders>
            <w:vAlign w:val="center"/>
          </w:tcPr>
          <w:p w:rsidR="00FF7E58" w:rsidRPr="006941EC" w:rsidP="00110D5F" w14:paraId="7D832068" w14:textId="77777777">
            <w:pPr>
              <w:spacing w:before="48" w:beforeLines="20" w:after="48" w:afterLines="20"/>
              <w:ind w:left="162"/>
              <w:rPr>
                <w:rFonts w:ascii="Arial" w:hAnsi="Arial" w:cs="Arial"/>
                <w:sz w:val="16"/>
                <w:szCs w:val="16"/>
              </w:rPr>
            </w:pPr>
          </w:p>
        </w:tc>
        <w:tc>
          <w:tcPr>
            <w:tcW w:w="722" w:type="pct"/>
            <w:vMerge/>
            <w:tcBorders>
              <w:left w:val="nil"/>
            </w:tcBorders>
            <w:vAlign w:val="center"/>
          </w:tcPr>
          <w:p w:rsidR="00FF7E58" w:rsidRPr="006941EC" w:rsidP="00110D5F" w14:paraId="2A7F215F" w14:textId="7C6775C1">
            <w:pPr>
              <w:spacing w:before="48" w:beforeLines="20" w:after="48" w:afterLines="20"/>
              <w:jc w:val="center"/>
              <w:rPr>
                <w:rFonts w:ascii="Arial" w:hAnsi="Arial" w:cs="Arial"/>
                <w:sz w:val="16"/>
                <w:szCs w:val="16"/>
              </w:rPr>
            </w:pPr>
          </w:p>
        </w:tc>
        <w:tc>
          <w:tcPr>
            <w:tcW w:w="2652" w:type="pct"/>
            <w:tcBorders>
              <w:top w:val="nil"/>
              <w:bottom w:val="nil"/>
            </w:tcBorders>
            <w:vAlign w:val="center"/>
          </w:tcPr>
          <w:p w:rsidR="00FF7E58" w:rsidRPr="006941EC" w:rsidP="00110D5F" w14:paraId="777BD829" w14:textId="524CD491">
            <w:pPr>
              <w:spacing w:before="48" w:beforeLines="20" w:after="48" w:afterLines="20"/>
              <w:rPr>
                <w:rFonts w:ascii="Arial" w:hAnsi="Arial" w:cs="Arial"/>
                <w:sz w:val="16"/>
                <w:szCs w:val="16"/>
              </w:rPr>
            </w:pPr>
            <w:r w:rsidRPr="00A5588E">
              <w:rPr>
                <w:rFonts w:ascii="Arial" w:hAnsi="Arial" w:cs="Arial"/>
                <w:b/>
                <w:bCs/>
                <w:sz w:val="16"/>
                <w:szCs w:val="16"/>
              </w:rPr>
              <w:t>Respondent:</w:t>
            </w:r>
            <w:r w:rsidRPr="006941EC">
              <w:rPr>
                <w:rFonts w:ascii="Arial" w:hAnsi="Arial" w:cs="Arial"/>
                <w:sz w:val="16"/>
                <w:szCs w:val="16"/>
              </w:rPr>
              <w:t xml:space="preserve"> Program clients (exit)</w:t>
            </w:r>
          </w:p>
          <w:p w:rsidR="00190E33" w:rsidRPr="006941EC" w:rsidP="00110D5F" w14:paraId="6A30094F" w14:textId="661569D8">
            <w:pPr>
              <w:spacing w:before="48" w:beforeLines="20" w:after="48" w:afterLines="20"/>
              <w:rPr>
                <w:rFonts w:ascii="Arial" w:hAnsi="Arial" w:cs="Arial"/>
                <w:sz w:val="16"/>
                <w:szCs w:val="16"/>
              </w:rPr>
            </w:pPr>
            <w:r w:rsidRPr="00A5588E">
              <w:rPr>
                <w:rFonts w:ascii="Arial" w:hAnsi="Arial" w:cs="Arial"/>
                <w:b/>
                <w:bCs/>
                <w:sz w:val="16"/>
                <w:szCs w:val="16"/>
              </w:rPr>
              <w:t>Content</w:t>
            </w:r>
            <w:r w:rsidRPr="00A5588E" w:rsidR="00C20432">
              <w:rPr>
                <w:rFonts w:ascii="Arial" w:hAnsi="Arial" w:cs="Arial"/>
                <w:b/>
                <w:bCs/>
                <w:sz w:val="16"/>
                <w:szCs w:val="16"/>
              </w:rPr>
              <w:t>/Purpose</w:t>
            </w:r>
            <w:r w:rsidRPr="00A5588E">
              <w:rPr>
                <w:rFonts w:ascii="Arial" w:hAnsi="Arial" w:cs="Arial"/>
                <w:b/>
                <w:bCs/>
                <w:sz w:val="16"/>
                <w:szCs w:val="16"/>
              </w:rPr>
              <w:t>:</w:t>
            </w:r>
            <w:r w:rsidRPr="006941EC">
              <w:rPr>
                <w:rFonts w:ascii="Arial" w:hAnsi="Arial" w:cs="Arial"/>
                <w:sz w:val="16"/>
                <w:szCs w:val="16"/>
              </w:rPr>
              <w:t xml:space="preserve"> Same as above, with content tailored to measure client experiences upon program completion.</w:t>
            </w:r>
          </w:p>
        </w:tc>
        <w:tc>
          <w:tcPr>
            <w:tcW w:w="961" w:type="pct"/>
            <w:tcBorders>
              <w:top w:val="nil"/>
              <w:bottom w:val="nil"/>
            </w:tcBorders>
            <w:vAlign w:val="center"/>
          </w:tcPr>
          <w:p w:rsidR="00FF7E58" w:rsidRPr="006941EC" w:rsidP="00110D5F" w14:paraId="1C498BD7" w14:textId="77777777">
            <w:pPr>
              <w:spacing w:before="48" w:beforeLines="20" w:after="48" w:afterLines="20"/>
              <w:jc w:val="center"/>
              <w:rPr>
                <w:rFonts w:ascii="Arial" w:hAnsi="Arial"/>
                <w:sz w:val="16"/>
                <w:szCs w:val="16"/>
              </w:rPr>
            </w:pPr>
            <w:r w:rsidRPr="00A5588E">
              <w:rPr>
                <w:rFonts w:ascii="Arial" w:hAnsi="Arial"/>
                <w:b/>
                <w:bCs/>
                <w:sz w:val="16"/>
                <w:szCs w:val="16"/>
              </w:rPr>
              <w:t>Mode:</w:t>
            </w:r>
            <w:r w:rsidRPr="006941EC">
              <w:rPr>
                <w:rFonts w:ascii="Arial" w:hAnsi="Arial"/>
                <w:sz w:val="16"/>
                <w:szCs w:val="16"/>
              </w:rPr>
              <w:t xml:space="preserve"> </w:t>
            </w:r>
            <w:r w:rsidRPr="006941EC">
              <w:rPr>
                <w:rFonts w:ascii="Arial" w:hAnsi="Arial"/>
                <w:sz w:val="16"/>
                <w:szCs w:val="16"/>
              </w:rPr>
              <w:t>nFORM</w:t>
            </w:r>
          </w:p>
          <w:p w:rsidR="00FF7E58" w:rsidRPr="006941EC" w:rsidP="00110D5F" w14:paraId="6977F12F" w14:textId="4E657CCB">
            <w:pPr>
              <w:spacing w:before="48" w:beforeLines="20" w:after="48" w:afterLines="20"/>
              <w:jc w:val="center"/>
              <w:rPr>
                <w:rFonts w:ascii="Arial" w:hAnsi="Arial"/>
                <w:sz w:val="16"/>
                <w:szCs w:val="16"/>
              </w:rPr>
            </w:pPr>
            <w:r w:rsidRPr="00A5588E">
              <w:rPr>
                <w:rFonts w:ascii="Arial" w:hAnsi="Arial"/>
                <w:b/>
                <w:bCs/>
                <w:sz w:val="16"/>
                <w:szCs w:val="16"/>
              </w:rPr>
              <w:t>Duration:</w:t>
            </w:r>
            <w:r w:rsidRPr="006941EC">
              <w:rPr>
                <w:rFonts w:ascii="Arial" w:hAnsi="Arial"/>
                <w:sz w:val="16"/>
                <w:szCs w:val="16"/>
              </w:rPr>
              <w:t xml:space="preserve"> 0.</w:t>
            </w:r>
            <w:r w:rsidR="00FD1F5A">
              <w:rPr>
                <w:rFonts w:ascii="Arial" w:hAnsi="Arial"/>
                <w:sz w:val="16"/>
                <w:szCs w:val="16"/>
              </w:rPr>
              <w:t xml:space="preserve">28 </w:t>
            </w:r>
            <w:r w:rsidR="00F25CC6">
              <w:rPr>
                <w:rFonts w:ascii="Arial" w:hAnsi="Arial"/>
                <w:sz w:val="16"/>
                <w:szCs w:val="16"/>
              </w:rPr>
              <w:t>hours</w:t>
            </w:r>
          </w:p>
        </w:tc>
      </w:tr>
      <w:tr w14:paraId="66E3979F" w14:textId="77777777" w:rsidTr="00421821">
        <w:tblPrEx>
          <w:tblW w:w="4990" w:type="pct"/>
          <w:tblInd w:w="-72" w:type="dxa"/>
          <w:tblLayout w:type="fixed"/>
          <w:tblLook w:val="04A0"/>
        </w:tblPrEx>
        <w:trPr>
          <w:cantSplit/>
        </w:trPr>
        <w:tc>
          <w:tcPr>
            <w:tcW w:w="665" w:type="pct"/>
            <w:vMerge/>
            <w:tcBorders>
              <w:top w:val="nil"/>
              <w:left w:val="nil"/>
              <w:bottom w:val="single" w:sz="4" w:space="0" w:color="auto"/>
              <w:right w:val="nil"/>
            </w:tcBorders>
            <w:vAlign w:val="center"/>
          </w:tcPr>
          <w:p w:rsidR="00FF7E58" w:rsidRPr="006941EC" w:rsidP="00110D5F" w14:paraId="26449745" w14:textId="77777777">
            <w:pPr>
              <w:spacing w:before="48" w:beforeLines="20" w:after="48" w:afterLines="20"/>
              <w:ind w:left="162"/>
              <w:rPr>
                <w:rFonts w:ascii="Arial" w:hAnsi="Arial" w:cs="Arial"/>
                <w:sz w:val="16"/>
                <w:szCs w:val="16"/>
              </w:rPr>
            </w:pPr>
          </w:p>
        </w:tc>
        <w:tc>
          <w:tcPr>
            <w:tcW w:w="722" w:type="pct"/>
            <w:vMerge/>
            <w:tcBorders>
              <w:left w:val="nil"/>
              <w:bottom w:val="single" w:sz="4" w:space="0" w:color="auto"/>
            </w:tcBorders>
            <w:vAlign w:val="center"/>
          </w:tcPr>
          <w:p w:rsidR="00FF7E58" w:rsidRPr="006941EC" w:rsidP="00110D5F" w14:paraId="306BEFA9" w14:textId="281D57E3">
            <w:pPr>
              <w:spacing w:before="48" w:beforeLines="20" w:after="48" w:afterLines="20"/>
              <w:jc w:val="center"/>
              <w:rPr>
                <w:rFonts w:ascii="Arial" w:hAnsi="Arial" w:cs="Arial"/>
                <w:sz w:val="16"/>
                <w:szCs w:val="16"/>
              </w:rPr>
            </w:pPr>
          </w:p>
        </w:tc>
        <w:tc>
          <w:tcPr>
            <w:tcW w:w="2652" w:type="pct"/>
            <w:tcBorders>
              <w:top w:val="nil"/>
              <w:bottom w:val="single" w:sz="4" w:space="0" w:color="auto"/>
            </w:tcBorders>
            <w:vAlign w:val="center"/>
          </w:tcPr>
          <w:p w:rsidR="00FF7E58" w:rsidRPr="006941EC" w:rsidP="00110D5F" w14:paraId="2BFBBF14" w14:textId="68776E9F">
            <w:pPr>
              <w:spacing w:before="48" w:beforeLines="20" w:after="48" w:afterLines="20"/>
              <w:rPr>
                <w:rFonts w:ascii="Arial" w:hAnsi="Arial" w:cs="Arial"/>
                <w:sz w:val="16"/>
                <w:szCs w:val="16"/>
              </w:rPr>
            </w:pPr>
            <w:r w:rsidRPr="00A5588E">
              <w:rPr>
                <w:rFonts w:ascii="Arial" w:hAnsi="Arial" w:cs="Arial"/>
                <w:b/>
                <w:bCs/>
                <w:sz w:val="16"/>
                <w:szCs w:val="16"/>
              </w:rPr>
              <w:t>Respondent:</w:t>
            </w:r>
            <w:r w:rsidRPr="006941EC">
              <w:rPr>
                <w:rFonts w:ascii="Arial" w:hAnsi="Arial" w:cs="Arial"/>
                <w:sz w:val="16"/>
                <w:szCs w:val="16"/>
              </w:rPr>
              <w:t xml:space="preserve"> </w:t>
            </w:r>
            <w:r w:rsidR="00231A63">
              <w:rPr>
                <w:rFonts w:ascii="Arial" w:hAnsi="Arial" w:cs="Arial"/>
                <w:sz w:val="16"/>
                <w:szCs w:val="16"/>
              </w:rPr>
              <w:t xml:space="preserve">Program staff </w:t>
            </w:r>
            <w:r w:rsidRPr="006941EC">
              <w:rPr>
                <w:rFonts w:ascii="Arial" w:hAnsi="Arial" w:cs="Arial"/>
                <w:sz w:val="16"/>
                <w:szCs w:val="16"/>
              </w:rPr>
              <w:t>(entrance and exit on paper)</w:t>
            </w:r>
          </w:p>
          <w:p w:rsidR="00190E33" w:rsidRPr="006941EC" w:rsidP="00110D5F" w14:paraId="37D5E5B6" w14:textId="387F6985">
            <w:pPr>
              <w:spacing w:before="48" w:beforeLines="20" w:after="48" w:afterLines="20"/>
              <w:rPr>
                <w:rFonts w:ascii="Arial" w:hAnsi="Arial" w:cs="Arial"/>
                <w:sz w:val="16"/>
                <w:szCs w:val="16"/>
              </w:rPr>
            </w:pPr>
            <w:r w:rsidRPr="00A5588E">
              <w:rPr>
                <w:rFonts w:ascii="Arial" w:hAnsi="Arial" w:cs="Arial"/>
                <w:b/>
                <w:bCs/>
                <w:sz w:val="16"/>
                <w:szCs w:val="16"/>
              </w:rPr>
              <w:t>Content</w:t>
            </w:r>
            <w:r w:rsidRPr="00A5588E" w:rsidR="00C20432">
              <w:rPr>
                <w:rFonts w:ascii="Arial" w:hAnsi="Arial" w:cs="Arial"/>
                <w:b/>
                <w:bCs/>
                <w:sz w:val="16"/>
                <w:szCs w:val="16"/>
              </w:rPr>
              <w:t>/Purpose</w:t>
            </w:r>
            <w:r w:rsidRPr="00A5588E">
              <w:rPr>
                <w:rFonts w:ascii="Arial" w:hAnsi="Arial" w:cs="Arial"/>
                <w:b/>
                <w:bCs/>
                <w:sz w:val="16"/>
                <w:szCs w:val="16"/>
              </w:rPr>
              <w:t>:</w:t>
            </w:r>
            <w:r w:rsidRPr="006941EC">
              <w:rPr>
                <w:rFonts w:ascii="Arial" w:hAnsi="Arial" w:cs="Arial"/>
                <w:sz w:val="16"/>
                <w:szCs w:val="16"/>
              </w:rPr>
              <w:t xml:space="preserve"> The same entrance and exit survey instruments described above are administered on paper when clients are not able to access </w:t>
            </w:r>
            <w:r w:rsidRPr="006941EC">
              <w:rPr>
                <w:rFonts w:ascii="Arial" w:hAnsi="Arial" w:cs="Arial"/>
                <w:sz w:val="16"/>
                <w:szCs w:val="16"/>
              </w:rPr>
              <w:t>nFORM</w:t>
            </w:r>
            <w:r w:rsidRPr="006941EC">
              <w:rPr>
                <w:rFonts w:ascii="Arial" w:hAnsi="Arial" w:cs="Arial"/>
                <w:sz w:val="16"/>
                <w:szCs w:val="16"/>
              </w:rPr>
              <w:t xml:space="preserve">. </w:t>
            </w:r>
            <w:r w:rsidR="00231A63">
              <w:rPr>
                <w:rFonts w:ascii="Arial" w:hAnsi="Arial" w:cs="Arial"/>
                <w:sz w:val="16"/>
                <w:szCs w:val="16"/>
              </w:rPr>
              <w:t xml:space="preserve">In addition to the burden for program clients, program staff incur burden for time required to data enter the completed paper surveys in </w:t>
            </w:r>
            <w:r w:rsidR="00231A63">
              <w:rPr>
                <w:rFonts w:ascii="Arial" w:hAnsi="Arial" w:cs="Arial"/>
                <w:sz w:val="16"/>
                <w:szCs w:val="16"/>
              </w:rPr>
              <w:t>nFORM</w:t>
            </w:r>
            <w:r w:rsidR="00231A63">
              <w:rPr>
                <w:rFonts w:ascii="Arial" w:hAnsi="Arial" w:cs="Arial"/>
                <w:sz w:val="16"/>
                <w:szCs w:val="16"/>
              </w:rPr>
              <w:t>.</w:t>
            </w:r>
            <w:r w:rsidRPr="006941EC">
              <w:rPr>
                <w:rFonts w:ascii="Arial" w:hAnsi="Arial" w:cs="Arial"/>
                <w:sz w:val="16"/>
                <w:szCs w:val="16"/>
              </w:rPr>
              <w:t xml:space="preserve"> </w:t>
            </w:r>
          </w:p>
        </w:tc>
        <w:tc>
          <w:tcPr>
            <w:tcW w:w="961" w:type="pct"/>
            <w:tcBorders>
              <w:top w:val="nil"/>
              <w:bottom w:val="single" w:sz="4" w:space="0" w:color="auto"/>
            </w:tcBorders>
            <w:vAlign w:val="center"/>
          </w:tcPr>
          <w:p w:rsidR="00FF7E58" w:rsidRPr="006941EC" w:rsidP="00110D5F" w14:paraId="1A1AB14A" w14:textId="587CDFA5">
            <w:pPr>
              <w:spacing w:before="48" w:beforeLines="20" w:after="48" w:afterLines="20"/>
              <w:jc w:val="center"/>
              <w:rPr>
                <w:rFonts w:ascii="Arial" w:hAnsi="Arial"/>
                <w:sz w:val="16"/>
                <w:szCs w:val="16"/>
              </w:rPr>
            </w:pPr>
            <w:r w:rsidRPr="00A5588E">
              <w:rPr>
                <w:rFonts w:ascii="Arial" w:hAnsi="Arial"/>
                <w:b/>
                <w:bCs/>
                <w:sz w:val="16"/>
                <w:szCs w:val="16"/>
              </w:rPr>
              <w:t>Mode:</w:t>
            </w:r>
            <w:r w:rsidRPr="006941EC">
              <w:rPr>
                <w:rFonts w:ascii="Arial" w:hAnsi="Arial"/>
                <w:sz w:val="16"/>
                <w:szCs w:val="16"/>
              </w:rPr>
              <w:t xml:space="preserve"> Paper</w:t>
            </w:r>
          </w:p>
          <w:p w:rsidR="00FF7E58" w:rsidRPr="006941EC" w:rsidP="00110D5F" w14:paraId="0F7734FF" w14:textId="4EC7BABD">
            <w:pPr>
              <w:spacing w:before="48" w:beforeLines="20" w:after="48" w:afterLines="20"/>
              <w:jc w:val="center"/>
              <w:rPr>
                <w:rFonts w:ascii="Arial" w:hAnsi="Arial"/>
                <w:sz w:val="16"/>
                <w:szCs w:val="16"/>
              </w:rPr>
            </w:pPr>
            <w:r w:rsidRPr="00A5588E">
              <w:rPr>
                <w:rFonts w:ascii="Arial" w:hAnsi="Arial"/>
                <w:b/>
                <w:bCs/>
                <w:sz w:val="16"/>
                <w:szCs w:val="16"/>
              </w:rPr>
              <w:t>Duration:</w:t>
            </w:r>
            <w:r w:rsidRPr="006941EC">
              <w:rPr>
                <w:rFonts w:ascii="Arial" w:hAnsi="Arial"/>
                <w:sz w:val="16"/>
                <w:szCs w:val="16"/>
              </w:rPr>
              <w:t xml:space="preserve"> 0.10</w:t>
            </w:r>
            <w:r w:rsidR="00F25CC6">
              <w:rPr>
                <w:rFonts w:ascii="Arial" w:hAnsi="Arial"/>
                <w:sz w:val="16"/>
                <w:szCs w:val="16"/>
              </w:rPr>
              <w:t xml:space="preserve"> hour</w:t>
            </w:r>
          </w:p>
        </w:tc>
      </w:tr>
      <w:tr w14:paraId="6E27642E" w14:textId="77777777" w:rsidTr="00421821">
        <w:tblPrEx>
          <w:tblW w:w="4990" w:type="pct"/>
          <w:tblInd w:w="-72" w:type="dxa"/>
          <w:tblLayout w:type="fixed"/>
          <w:tblLook w:val="04A0"/>
        </w:tblPrEx>
        <w:trPr>
          <w:cantSplit/>
        </w:trPr>
        <w:tc>
          <w:tcPr>
            <w:tcW w:w="665" w:type="pct"/>
            <w:tcBorders>
              <w:top w:val="single" w:sz="4" w:space="0" w:color="auto"/>
              <w:left w:val="nil"/>
              <w:bottom w:val="single" w:sz="4" w:space="0" w:color="auto"/>
              <w:right w:val="nil"/>
            </w:tcBorders>
            <w:vAlign w:val="center"/>
          </w:tcPr>
          <w:p w:rsidR="00365A1C" w:rsidP="00110D5F" w14:paraId="5BCAA936" w14:textId="78B9A6C7">
            <w:pPr>
              <w:spacing w:before="48" w:beforeLines="20" w:after="48" w:afterLines="20"/>
              <w:rPr>
                <w:rFonts w:ascii="Arial" w:hAnsi="Arial" w:cs="Arial"/>
                <w:sz w:val="16"/>
                <w:szCs w:val="16"/>
              </w:rPr>
            </w:pPr>
            <w:r>
              <w:rPr>
                <w:rFonts w:ascii="Arial" w:hAnsi="Arial" w:cs="Arial"/>
                <w:sz w:val="16"/>
                <w:szCs w:val="16"/>
              </w:rPr>
              <w:t>Performance Measurement</w:t>
            </w:r>
          </w:p>
        </w:tc>
        <w:tc>
          <w:tcPr>
            <w:tcW w:w="722" w:type="pct"/>
            <w:tcBorders>
              <w:top w:val="single" w:sz="4" w:space="0" w:color="auto"/>
              <w:left w:val="nil"/>
              <w:bottom w:val="single" w:sz="4" w:space="0" w:color="auto"/>
            </w:tcBorders>
            <w:vAlign w:val="center"/>
          </w:tcPr>
          <w:p w:rsidR="00365A1C" w:rsidRPr="006941EC" w:rsidP="00110D5F" w14:paraId="08CA7422" w14:textId="24BDBD9B">
            <w:pPr>
              <w:spacing w:before="48" w:beforeLines="20" w:after="48" w:afterLines="20"/>
              <w:jc w:val="center"/>
              <w:rPr>
                <w:rFonts w:ascii="Arial" w:hAnsi="Arial" w:cs="Arial"/>
                <w:sz w:val="16"/>
                <w:szCs w:val="16"/>
              </w:rPr>
            </w:pPr>
            <w:r w:rsidRPr="006941EC">
              <w:rPr>
                <w:rFonts w:ascii="Arial" w:hAnsi="Arial" w:cs="Arial"/>
                <w:sz w:val="16"/>
                <w:szCs w:val="16"/>
              </w:rPr>
              <w:t>2: Program Operations Survey</w:t>
            </w:r>
          </w:p>
        </w:tc>
        <w:tc>
          <w:tcPr>
            <w:tcW w:w="2652" w:type="pct"/>
            <w:tcBorders>
              <w:top w:val="single" w:sz="4" w:space="0" w:color="auto"/>
              <w:bottom w:val="single" w:sz="4" w:space="0" w:color="auto"/>
            </w:tcBorders>
            <w:vAlign w:val="center"/>
          </w:tcPr>
          <w:p w:rsidR="00365A1C" w:rsidRPr="006941EC" w:rsidP="00110D5F" w14:paraId="34C208D8" w14:textId="77777777">
            <w:pPr>
              <w:spacing w:before="48" w:beforeLines="20" w:after="48" w:afterLines="20"/>
              <w:rPr>
                <w:rFonts w:ascii="Arial" w:hAnsi="Arial" w:cs="Arial"/>
                <w:sz w:val="16"/>
                <w:szCs w:val="16"/>
              </w:rPr>
            </w:pPr>
            <w:r w:rsidRPr="00A5588E">
              <w:rPr>
                <w:rFonts w:ascii="Arial" w:hAnsi="Arial" w:cs="Arial"/>
                <w:b/>
                <w:bCs/>
                <w:sz w:val="16"/>
                <w:szCs w:val="16"/>
              </w:rPr>
              <w:t>Respondent:</w:t>
            </w:r>
            <w:r w:rsidRPr="006941EC">
              <w:rPr>
                <w:rFonts w:ascii="Arial" w:hAnsi="Arial" w:cs="Arial"/>
                <w:sz w:val="16"/>
                <w:szCs w:val="16"/>
              </w:rPr>
              <w:t xml:space="preserve"> Program staff</w:t>
            </w:r>
          </w:p>
          <w:p w:rsidR="00365A1C" w:rsidRPr="00A5588E" w:rsidP="00110D5F" w14:paraId="59D5E4F6" w14:textId="4CF287CD">
            <w:pPr>
              <w:spacing w:before="48" w:beforeLines="20" w:after="48" w:afterLines="20"/>
              <w:rPr>
                <w:rFonts w:ascii="Arial" w:hAnsi="Arial" w:cs="Arial"/>
                <w:b/>
                <w:bCs/>
                <w:sz w:val="16"/>
                <w:szCs w:val="16"/>
              </w:rPr>
            </w:pPr>
            <w:r w:rsidRPr="00A5588E">
              <w:rPr>
                <w:rFonts w:ascii="Arial" w:hAnsi="Arial" w:cs="Arial"/>
                <w:b/>
                <w:bCs/>
                <w:sz w:val="16"/>
                <w:szCs w:val="16"/>
              </w:rPr>
              <w:t>Content/Purpose:</w:t>
            </w:r>
            <w:r w:rsidRPr="006941EC">
              <w:rPr>
                <w:rFonts w:ascii="Arial" w:hAnsi="Arial" w:cs="Arial"/>
                <w:sz w:val="16"/>
                <w:szCs w:val="16"/>
              </w:rPr>
              <w:t xml:space="preserve"> </w:t>
            </w:r>
            <w:r w:rsidR="00BE20BF">
              <w:rPr>
                <w:rFonts w:ascii="Arial" w:hAnsi="Arial" w:cs="Arial"/>
                <w:sz w:val="16"/>
                <w:szCs w:val="16"/>
              </w:rPr>
              <w:t>Annually</w:t>
            </w:r>
            <w:r w:rsidRPr="006941EC">
              <w:rPr>
                <w:rFonts w:ascii="Arial" w:hAnsi="Arial" w:cs="Arial"/>
                <w:sz w:val="16"/>
                <w:szCs w:val="16"/>
              </w:rPr>
              <w:t>, program staff document strategies used to market to and recruit individuals and couples into their programs (such as the amount and types of mass marketing strategies; recruitment methods; and the number of full-time equivalent staff dedicated to marketing, outreach, and recruitment); practices to support and monitor quality (such as staff training, staff supervision, and program observations); and implementation challenges (such as staff turnover and recruitment challenges).</w:t>
            </w:r>
          </w:p>
        </w:tc>
        <w:tc>
          <w:tcPr>
            <w:tcW w:w="961" w:type="pct"/>
            <w:tcBorders>
              <w:top w:val="single" w:sz="4" w:space="0" w:color="auto"/>
              <w:bottom w:val="single" w:sz="4" w:space="0" w:color="auto"/>
            </w:tcBorders>
            <w:vAlign w:val="center"/>
          </w:tcPr>
          <w:p w:rsidR="00365A1C" w:rsidRPr="006941EC" w:rsidP="00110D5F" w14:paraId="630C5E35" w14:textId="77777777">
            <w:pPr>
              <w:spacing w:before="48" w:beforeLines="20" w:after="48" w:afterLines="20"/>
              <w:jc w:val="center"/>
              <w:rPr>
                <w:rFonts w:ascii="Arial" w:hAnsi="Arial"/>
                <w:sz w:val="16"/>
                <w:szCs w:val="16"/>
              </w:rPr>
            </w:pPr>
            <w:r w:rsidRPr="00A5588E">
              <w:rPr>
                <w:rFonts w:ascii="Arial" w:hAnsi="Arial"/>
                <w:b/>
                <w:bCs/>
                <w:sz w:val="16"/>
                <w:szCs w:val="16"/>
              </w:rPr>
              <w:t>Mode:</w:t>
            </w:r>
            <w:r w:rsidRPr="006941EC">
              <w:rPr>
                <w:rFonts w:ascii="Arial" w:hAnsi="Arial"/>
                <w:sz w:val="16"/>
                <w:szCs w:val="16"/>
              </w:rPr>
              <w:t xml:space="preserve"> </w:t>
            </w:r>
            <w:r w:rsidRPr="006941EC">
              <w:rPr>
                <w:rFonts w:ascii="Arial" w:hAnsi="Arial"/>
                <w:sz w:val="16"/>
                <w:szCs w:val="16"/>
              </w:rPr>
              <w:t>nFORM</w:t>
            </w:r>
          </w:p>
          <w:p w:rsidR="00365A1C" w:rsidRPr="00A5588E" w:rsidP="00110D5F" w14:paraId="7DBD9C70" w14:textId="6C870E76">
            <w:pPr>
              <w:spacing w:before="48" w:beforeLines="20" w:after="48" w:afterLines="20"/>
              <w:jc w:val="center"/>
              <w:rPr>
                <w:rFonts w:ascii="Arial" w:hAnsi="Arial"/>
                <w:b/>
                <w:bCs/>
                <w:sz w:val="16"/>
                <w:szCs w:val="16"/>
              </w:rPr>
            </w:pPr>
            <w:r w:rsidRPr="00A5588E">
              <w:rPr>
                <w:rFonts w:ascii="Arial" w:hAnsi="Arial"/>
                <w:b/>
                <w:bCs/>
                <w:sz w:val="16"/>
                <w:szCs w:val="16"/>
              </w:rPr>
              <w:t>Duration:</w:t>
            </w:r>
            <w:r w:rsidRPr="006941EC">
              <w:rPr>
                <w:rFonts w:ascii="Arial" w:hAnsi="Arial"/>
                <w:sz w:val="16"/>
                <w:szCs w:val="16"/>
              </w:rPr>
              <w:t xml:space="preserve"> 0.32</w:t>
            </w:r>
            <w:r>
              <w:rPr>
                <w:rFonts w:ascii="Arial" w:hAnsi="Arial"/>
                <w:sz w:val="16"/>
                <w:szCs w:val="16"/>
              </w:rPr>
              <w:t xml:space="preserve"> hours</w:t>
            </w:r>
          </w:p>
        </w:tc>
      </w:tr>
      <w:tr w14:paraId="15D7C32B" w14:textId="77777777" w:rsidTr="00421821">
        <w:tblPrEx>
          <w:tblW w:w="4990" w:type="pct"/>
          <w:tblInd w:w="-72" w:type="dxa"/>
          <w:tblLayout w:type="fixed"/>
          <w:tblLook w:val="04A0"/>
        </w:tblPrEx>
        <w:trPr>
          <w:cantSplit/>
        </w:trPr>
        <w:tc>
          <w:tcPr>
            <w:tcW w:w="665" w:type="pct"/>
            <w:tcBorders>
              <w:top w:val="single" w:sz="4" w:space="0" w:color="auto"/>
              <w:left w:val="nil"/>
              <w:bottom w:val="single" w:sz="4" w:space="0" w:color="auto"/>
              <w:right w:val="nil"/>
            </w:tcBorders>
            <w:vAlign w:val="center"/>
          </w:tcPr>
          <w:p w:rsidR="00365A1C" w:rsidP="00110D5F" w14:paraId="7FE9CBD3" w14:textId="05402751">
            <w:pPr>
              <w:spacing w:before="48" w:beforeLines="20" w:after="48" w:afterLines="20"/>
              <w:rPr>
                <w:rFonts w:ascii="Arial" w:hAnsi="Arial" w:cs="Arial"/>
                <w:sz w:val="16"/>
                <w:szCs w:val="16"/>
              </w:rPr>
            </w:pPr>
            <w:r>
              <w:rPr>
                <w:rFonts w:ascii="Arial" w:hAnsi="Arial" w:cs="Arial"/>
                <w:sz w:val="16"/>
                <w:szCs w:val="16"/>
              </w:rPr>
              <w:t>Performance Measurement</w:t>
            </w:r>
          </w:p>
        </w:tc>
        <w:tc>
          <w:tcPr>
            <w:tcW w:w="722" w:type="pct"/>
            <w:tcBorders>
              <w:top w:val="single" w:sz="4" w:space="0" w:color="auto"/>
              <w:left w:val="nil"/>
              <w:bottom w:val="single" w:sz="4" w:space="0" w:color="auto"/>
            </w:tcBorders>
            <w:vAlign w:val="center"/>
          </w:tcPr>
          <w:p w:rsidR="00365A1C" w:rsidRPr="006941EC" w:rsidP="00110D5F" w14:paraId="473D662C" w14:textId="1E1FA313">
            <w:pPr>
              <w:spacing w:before="48" w:beforeLines="20" w:after="48" w:afterLines="20"/>
              <w:jc w:val="center"/>
              <w:rPr>
                <w:rFonts w:ascii="Arial" w:hAnsi="Arial" w:cs="Arial"/>
                <w:sz w:val="16"/>
                <w:szCs w:val="16"/>
              </w:rPr>
            </w:pPr>
            <w:r w:rsidRPr="006941EC">
              <w:rPr>
                <w:rFonts w:ascii="Arial" w:hAnsi="Arial" w:cs="Arial"/>
                <w:sz w:val="16"/>
                <w:szCs w:val="16"/>
              </w:rPr>
              <w:t>3: Service Delivery Data</w:t>
            </w:r>
          </w:p>
        </w:tc>
        <w:tc>
          <w:tcPr>
            <w:tcW w:w="2652" w:type="pct"/>
            <w:tcBorders>
              <w:top w:val="single" w:sz="4" w:space="0" w:color="auto"/>
              <w:bottom w:val="single" w:sz="4" w:space="0" w:color="auto"/>
            </w:tcBorders>
            <w:vAlign w:val="center"/>
          </w:tcPr>
          <w:p w:rsidR="00365A1C" w:rsidRPr="006941EC" w:rsidP="00110D5F" w14:paraId="20DCE8E1" w14:textId="77777777">
            <w:pPr>
              <w:spacing w:before="48" w:beforeLines="20" w:after="48" w:afterLines="20"/>
              <w:rPr>
                <w:rFonts w:ascii="Arial" w:hAnsi="Arial" w:cs="Arial"/>
                <w:sz w:val="16"/>
                <w:szCs w:val="16"/>
              </w:rPr>
            </w:pPr>
            <w:r w:rsidRPr="00A5588E">
              <w:rPr>
                <w:rFonts w:ascii="Arial" w:hAnsi="Arial" w:cs="Arial"/>
                <w:b/>
                <w:bCs/>
                <w:sz w:val="16"/>
                <w:szCs w:val="16"/>
              </w:rPr>
              <w:t>Respondent:</w:t>
            </w:r>
            <w:r w:rsidRPr="006941EC">
              <w:rPr>
                <w:rFonts w:ascii="Arial" w:hAnsi="Arial" w:cs="Arial"/>
                <w:sz w:val="16"/>
                <w:szCs w:val="16"/>
              </w:rPr>
              <w:t xml:space="preserve"> Program staff</w:t>
            </w:r>
          </w:p>
          <w:p w:rsidR="00365A1C" w:rsidRPr="00A5588E" w:rsidP="00110D5F" w14:paraId="19857E07" w14:textId="55DEB456">
            <w:pPr>
              <w:spacing w:before="48" w:beforeLines="20" w:after="48" w:afterLines="20"/>
              <w:rPr>
                <w:rFonts w:ascii="Arial" w:hAnsi="Arial" w:cs="Arial"/>
                <w:b/>
                <w:bCs/>
                <w:sz w:val="16"/>
                <w:szCs w:val="16"/>
              </w:rPr>
            </w:pPr>
            <w:r w:rsidRPr="00A5588E">
              <w:rPr>
                <w:rFonts w:ascii="Arial" w:hAnsi="Arial" w:cs="Arial"/>
                <w:b/>
                <w:bCs/>
                <w:sz w:val="16"/>
                <w:szCs w:val="16"/>
              </w:rPr>
              <w:t>Content/Purpose:</w:t>
            </w:r>
            <w:r w:rsidRPr="006941EC">
              <w:rPr>
                <w:rFonts w:ascii="Arial" w:hAnsi="Arial" w:cs="Arial"/>
                <w:sz w:val="16"/>
                <w:szCs w:val="16"/>
              </w:rPr>
              <w:t xml:space="preserve"> On an ongoing basis, grant</w:t>
            </w:r>
            <w:r>
              <w:rPr>
                <w:rFonts w:ascii="Arial" w:hAnsi="Arial" w:cs="Arial"/>
                <w:sz w:val="16"/>
                <w:szCs w:val="16"/>
              </w:rPr>
              <w:t xml:space="preserve"> recipient</w:t>
            </w:r>
            <w:r w:rsidRPr="006941EC">
              <w:rPr>
                <w:rFonts w:ascii="Arial" w:hAnsi="Arial" w:cs="Arial"/>
                <w:sz w:val="16"/>
                <w:szCs w:val="16"/>
              </w:rPr>
              <w:t xml:space="preserve"> staff record program services offered and individuals’ and couples’ participation in these services.</w:t>
            </w:r>
          </w:p>
        </w:tc>
        <w:tc>
          <w:tcPr>
            <w:tcW w:w="961" w:type="pct"/>
            <w:tcBorders>
              <w:top w:val="single" w:sz="4" w:space="0" w:color="auto"/>
              <w:bottom w:val="single" w:sz="4" w:space="0" w:color="auto"/>
            </w:tcBorders>
            <w:vAlign w:val="center"/>
          </w:tcPr>
          <w:p w:rsidR="00365A1C" w:rsidRPr="006941EC" w:rsidP="00110D5F" w14:paraId="775667B7" w14:textId="77777777">
            <w:pPr>
              <w:spacing w:before="48" w:beforeLines="20" w:after="48" w:afterLines="20"/>
              <w:jc w:val="center"/>
              <w:rPr>
                <w:rFonts w:ascii="Arial" w:hAnsi="Arial"/>
                <w:sz w:val="16"/>
                <w:szCs w:val="16"/>
              </w:rPr>
            </w:pPr>
            <w:r w:rsidRPr="00A5588E">
              <w:rPr>
                <w:rFonts w:ascii="Arial" w:hAnsi="Arial"/>
                <w:b/>
                <w:bCs/>
                <w:sz w:val="16"/>
                <w:szCs w:val="16"/>
              </w:rPr>
              <w:t>Mode:</w:t>
            </w:r>
            <w:r w:rsidRPr="006941EC">
              <w:rPr>
                <w:rFonts w:ascii="Arial" w:hAnsi="Arial"/>
                <w:sz w:val="16"/>
                <w:szCs w:val="16"/>
              </w:rPr>
              <w:t xml:space="preserve"> </w:t>
            </w:r>
            <w:r w:rsidRPr="006941EC">
              <w:rPr>
                <w:rFonts w:ascii="Arial" w:hAnsi="Arial"/>
                <w:sz w:val="16"/>
                <w:szCs w:val="16"/>
              </w:rPr>
              <w:t>nFORM</w:t>
            </w:r>
          </w:p>
          <w:p w:rsidR="00365A1C" w:rsidRPr="00A5588E" w:rsidP="00110D5F" w14:paraId="3140966E" w14:textId="1AECB4C4">
            <w:pPr>
              <w:spacing w:before="48" w:beforeLines="20" w:after="48" w:afterLines="20"/>
              <w:jc w:val="center"/>
              <w:rPr>
                <w:rFonts w:ascii="Arial" w:hAnsi="Arial"/>
                <w:b/>
                <w:bCs/>
                <w:sz w:val="16"/>
                <w:szCs w:val="16"/>
              </w:rPr>
            </w:pPr>
            <w:r w:rsidRPr="00A5588E">
              <w:rPr>
                <w:rFonts w:ascii="Arial" w:hAnsi="Arial"/>
                <w:b/>
                <w:bCs/>
                <w:sz w:val="16"/>
                <w:szCs w:val="16"/>
              </w:rPr>
              <w:t>Duration:</w:t>
            </w:r>
            <w:r w:rsidRPr="006941EC">
              <w:rPr>
                <w:rFonts w:ascii="Arial" w:hAnsi="Arial"/>
                <w:sz w:val="16"/>
                <w:szCs w:val="16"/>
              </w:rPr>
              <w:t xml:space="preserve"> 0.</w:t>
            </w:r>
            <w:r w:rsidR="00FD1F5A">
              <w:rPr>
                <w:rFonts w:ascii="Arial" w:hAnsi="Arial"/>
                <w:sz w:val="16"/>
                <w:szCs w:val="16"/>
              </w:rPr>
              <w:t xml:space="preserve">36 </w:t>
            </w:r>
            <w:r>
              <w:rPr>
                <w:rFonts w:ascii="Arial" w:hAnsi="Arial"/>
                <w:sz w:val="16"/>
                <w:szCs w:val="16"/>
              </w:rPr>
              <w:t>hours</w:t>
            </w:r>
          </w:p>
        </w:tc>
      </w:tr>
      <w:tr w14:paraId="422C93DB" w14:textId="77777777" w:rsidTr="00421821">
        <w:tblPrEx>
          <w:tblW w:w="4990" w:type="pct"/>
          <w:tblInd w:w="-72" w:type="dxa"/>
          <w:tblLayout w:type="fixed"/>
          <w:tblLook w:val="04A0"/>
        </w:tblPrEx>
        <w:trPr>
          <w:cantSplit/>
        </w:trPr>
        <w:tc>
          <w:tcPr>
            <w:tcW w:w="665" w:type="pct"/>
            <w:tcBorders>
              <w:top w:val="single" w:sz="4" w:space="0" w:color="auto"/>
              <w:left w:val="nil"/>
              <w:bottom w:val="single" w:sz="4" w:space="0" w:color="auto"/>
              <w:right w:val="nil"/>
            </w:tcBorders>
            <w:vAlign w:val="center"/>
          </w:tcPr>
          <w:p w:rsidR="00F06E20" w:rsidRPr="006941EC" w:rsidP="00110D5F" w14:paraId="443CA599" w14:textId="19B8CBD2">
            <w:pPr>
              <w:spacing w:before="48" w:beforeLines="20" w:after="48" w:afterLines="20"/>
              <w:rPr>
                <w:rFonts w:ascii="Arial" w:hAnsi="Arial" w:cs="Arial"/>
                <w:sz w:val="16"/>
                <w:szCs w:val="16"/>
              </w:rPr>
            </w:pPr>
            <w:r>
              <w:rPr>
                <w:rFonts w:ascii="Arial" w:hAnsi="Arial" w:cs="Arial"/>
                <w:sz w:val="16"/>
                <w:szCs w:val="16"/>
              </w:rPr>
              <w:t xml:space="preserve">Required </w:t>
            </w:r>
            <w:r w:rsidRPr="006941EC" w:rsidR="00E90A0A">
              <w:rPr>
                <w:rFonts w:ascii="Arial" w:hAnsi="Arial" w:cs="Arial"/>
                <w:sz w:val="16"/>
                <w:szCs w:val="16"/>
              </w:rPr>
              <w:t>Report</w:t>
            </w:r>
            <w:r w:rsidR="00421821">
              <w:rPr>
                <w:rFonts w:ascii="Arial" w:hAnsi="Arial" w:cs="Arial"/>
                <w:sz w:val="16"/>
                <w:szCs w:val="16"/>
              </w:rPr>
              <w:t>s</w:t>
            </w:r>
          </w:p>
        </w:tc>
        <w:tc>
          <w:tcPr>
            <w:tcW w:w="722" w:type="pct"/>
            <w:tcBorders>
              <w:top w:val="single" w:sz="4" w:space="0" w:color="auto"/>
              <w:left w:val="nil"/>
              <w:bottom w:val="single" w:sz="4" w:space="0" w:color="auto"/>
            </w:tcBorders>
            <w:vAlign w:val="center"/>
          </w:tcPr>
          <w:p w:rsidR="00F06E20" w:rsidRPr="006941EC" w:rsidP="00110D5F" w14:paraId="65A9BB91" w14:textId="23CD7B4A">
            <w:pPr>
              <w:spacing w:before="48" w:beforeLines="20" w:after="48" w:afterLines="20"/>
              <w:jc w:val="center"/>
              <w:rPr>
                <w:rFonts w:ascii="Arial" w:hAnsi="Arial" w:cs="Arial"/>
                <w:sz w:val="16"/>
                <w:szCs w:val="16"/>
              </w:rPr>
            </w:pPr>
            <w:r>
              <w:rPr>
                <w:rFonts w:ascii="Arial" w:hAnsi="Arial" w:cs="Arial"/>
                <w:sz w:val="16"/>
                <w:szCs w:val="16"/>
              </w:rPr>
              <w:t>5</w:t>
            </w:r>
            <w:r w:rsidRPr="006941EC" w:rsidR="00FF7E58">
              <w:rPr>
                <w:rFonts w:ascii="Arial" w:hAnsi="Arial" w:cs="Arial"/>
                <w:sz w:val="16"/>
                <w:szCs w:val="16"/>
              </w:rPr>
              <w:t xml:space="preserve">: </w:t>
            </w:r>
            <w:r w:rsidR="006D3C5C">
              <w:rPr>
                <w:rFonts w:ascii="Arial" w:hAnsi="Arial" w:cs="Arial"/>
                <w:sz w:val="16"/>
                <w:szCs w:val="16"/>
              </w:rPr>
              <w:t>A</w:t>
            </w:r>
            <w:r w:rsidRPr="006941EC" w:rsidR="00FF7E58">
              <w:rPr>
                <w:rFonts w:ascii="Arial" w:hAnsi="Arial" w:cs="Arial"/>
                <w:sz w:val="16"/>
                <w:szCs w:val="16"/>
              </w:rPr>
              <w:t>nnual Performance Progress Report (PPR)</w:t>
            </w:r>
          </w:p>
        </w:tc>
        <w:tc>
          <w:tcPr>
            <w:tcW w:w="2652" w:type="pct"/>
            <w:tcBorders>
              <w:top w:val="single" w:sz="4" w:space="0" w:color="auto"/>
              <w:bottom w:val="single" w:sz="4" w:space="0" w:color="auto"/>
            </w:tcBorders>
            <w:vAlign w:val="center"/>
          </w:tcPr>
          <w:p w:rsidR="00F06E20" w:rsidRPr="006941EC" w:rsidP="00110D5F" w14:paraId="2A930496" w14:textId="4433EE94">
            <w:pPr>
              <w:spacing w:before="48" w:beforeLines="20" w:after="48" w:afterLines="20"/>
              <w:rPr>
                <w:rFonts w:ascii="Arial" w:hAnsi="Arial" w:cs="Arial"/>
                <w:sz w:val="16"/>
                <w:szCs w:val="16"/>
              </w:rPr>
            </w:pPr>
            <w:r w:rsidRPr="00A5588E">
              <w:rPr>
                <w:rFonts w:ascii="Arial" w:hAnsi="Arial" w:cs="Arial"/>
                <w:b/>
                <w:bCs/>
                <w:sz w:val="16"/>
                <w:szCs w:val="16"/>
              </w:rPr>
              <w:t>Respondent:</w:t>
            </w:r>
            <w:r w:rsidRPr="006941EC">
              <w:rPr>
                <w:rFonts w:ascii="Arial" w:hAnsi="Arial" w:cs="Arial"/>
                <w:sz w:val="16"/>
                <w:szCs w:val="16"/>
              </w:rPr>
              <w:t xml:space="preserve"> Program staff</w:t>
            </w:r>
          </w:p>
          <w:p w:rsidR="00190E33" w:rsidRPr="006941EC" w:rsidP="00110D5F" w14:paraId="3B8D937A" w14:textId="4931FC8A">
            <w:pPr>
              <w:spacing w:before="48" w:beforeLines="20" w:after="48" w:afterLines="20"/>
              <w:rPr>
                <w:rFonts w:ascii="Arial" w:hAnsi="Arial" w:cs="Arial"/>
                <w:sz w:val="16"/>
                <w:szCs w:val="16"/>
              </w:rPr>
            </w:pPr>
            <w:r w:rsidRPr="00A5588E">
              <w:rPr>
                <w:rFonts w:ascii="Arial" w:hAnsi="Arial" w:cs="Arial"/>
                <w:b/>
                <w:bCs/>
                <w:sz w:val="16"/>
                <w:szCs w:val="16"/>
              </w:rPr>
              <w:t>Content</w:t>
            </w:r>
            <w:r w:rsidRPr="00A5588E" w:rsidR="00C20432">
              <w:rPr>
                <w:rFonts w:ascii="Arial" w:hAnsi="Arial" w:cs="Arial"/>
                <w:b/>
                <w:bCs/>
                <w:sz w:val="16"/>
                <w:szCs w:val="16"/>
              </w:rPr>
              <w:t>/Purpose</w:t>
            </w:r>
            <w:r w:rsidRPr="00A5588E">
              <w:rPr>
                <w:rFonts w:ascii="Arial" w:hAnsi="Arial" w:cs="Arial"/>
                <w:b/>
                <w:bCs/>
                <w:sz w:val="16"/>
                <w:szCs w:val="16"/>
              </w:rPr>
              <w:t>:</w:t>
            </w:r>
            <w:r w:rsidRPr="006941EC">
              <w:rPr>
                <w:rFonts w:ascii="Arial" w:hAnsi="Arial" w:cs="Arial"/>
                <w:sz w:val="16"/>
                <w:szCs w:val="16"/>
              </w:rPr>
              <w:t xml:space="preserve"> Includes quantitative and qualitative information. Quantitative data </w:t>
            </w:r>
            <w:r w:rsidR="00C60240">
              <w:rPr>
                <w:rFonts w:ascii="Arial" w:hAnsi="Arial" w:cs="Arial"/>
                <w:sz w:val="16"/>
                <w:szCs w:val="16"/>
              </w:rPr>
              <w:t>include</w:t>
            </w:r>
            <w:r w:rsidRPr="006941EC">
              <w:rPr>
                <w:rFonts w:ascii="Arial" w:hAnsi="Arial" w:cs="Arial"/>
                <w:sz w:val="16"/>
                <w:szCs w:val="16"/>
              </w:rPr>
              <w:t xml:space="preserve"> a subset of performance measures such as program applicants’ characteristics; </w:t>
            </w:r>
            <w:r w:rsidR="00C60240">
              <w:rPr>
                <w:rFonts w:ascii="Arial" w:hAnsi="Arial" w:cs="Arial"/>
                <w:sz w:val="16"/>
                <w:szCs w:val="16"/>
              </w:rPr>
              <w:t xml:space="preserve">program enrollment and participation; and </w:t>
            </w:r>
            <w:r w:rsidRPr="006941EC">
              <w:rPr>
                <w:rFonts w:ascii="Arial" w:hAnsi="Arial" w:cs="Arial"/>
                <w:sz w:val="16"/>
                <w:szCs w:val="16"/>
              </w:rPr>
              <w:t xml:space="preserve">program operations (staff training and supervision; marketing, outreach, and recruitment; and implementation challenges). Qualitative information </w:t>
            </w:r>
            <w:r w:rsidR="00C60240">
              <w:rPr>
                <w:rFonts w:ascii="Arial" w:hAnsi="Arial" w:cs="Arial"/>
                <w:sz w:val="16"/>
                <w:szCs w:val="16"/>
              </w:rPr>
              <w:t>include</w:t>
            </w:r>
            <w:r w:rsidR="002E7E5E">
              <w:rPr>
                <w:rFonts w:ascii="Arial" w:hAnsi="Arial" w:cs="Arial"/>
                <w:sz w:val="16"/>
                <w:szCs w:val="16"/>
              </w:rPr>
              <w:t>s</w:t>
            </w:r>
            <w:r w:rsidRPr="006941EC">
              <w:rPr>
                <w:rFonts w:ascii="Arial" w:hAnsi="Arial" w:cs="Arial"/>
                <w:sz w:val="16"/>
                <w:szCs w:val="16"/>
              </w:rPr>
              <w:t xml:space="preserve"> narrative descriptions of </w:t>
            </w:r>
            <w:r w:rsidRPr="006941EC" w:rsidR="003C5C24">
              <w:rPr>
                <w:rFonts w:ascii="Arial" w:hAnsi="Arial" w:cs="Arial"/>
                <w:sz w:val="16"/>
                <w:szCs w:val="16"/>
              </w:rPr>
              <w:t>grant</w:t>
            </w:r>
            <w:r w:rsidR="003C5C24">
              <w:rPr>
                <w:rFonts w:ascii="Arial" w:hAnsi="Arial" w:cs="Arial"/>
                <w:sz w:val="16"/>
                <w:szCs w:val="16"/>
              </w:rPr>
              <w:t xml:space="preserve"> recipient</w:t>
            </w:r>
            <w:r w:rsidRPr="006941EC" w:rsidR="003C5C24">
              <w:rPr>
                <w:rFonts w:ascii="Arial" w:hAnsi="Arial" w:cs="Arial"/>
                <w:sz w:val="16"/>
                <w:szCs w:val="16"/>
              </w:rPr>
              <w:t xml:space="preserve">’s </w:t>
            </w:r>
            <w:r w:rsidRPr="006941EC">
              <w:rPr>
                <w:rFonts w:ascii="Arial" w:hAnsi="Arial" w:cs="Arial"/>
                <w:sz w:val="16"/>
                <w:szCs w:val="16"/>
              </w:rPr>
              <w:t xml:space="preserve">major activities and accomplishments; implementation challenges and steps taken; </w:t>
            </w:r>
            <w:r w:rsidR="00C60240">
              <w:rPr>
                <w:rFonts w:ascii="Arial" w:hAnsi="Arial" w:cs="Arial"/>
                <w:sz w:val="16"/>
                <w:szCs w:val="16"/>
              </w:rPr>
              <w:t xml:space="preserve">and </w:t>
            </w:r>
            <w:r w:rsidRPr="006941EC">
              <w:rPr>
                <w:rFonts w:ascii="Arial" w:hAnsi="Arial" w:cs="Arial"/>
                <w:sz w:val="16"/>
                <w:szCs w:val="16"/>
              </w:rPr>
              <w:t>program successes.</w:t>
            </w:r>
          </w:p>
        </w:tc>
        <w:tc>
          <w:tcPr>
            <w:tcW w:w="961" w:type="pct"/>
            <w:tcBorders>
              <w:top w:val="single" w:sz="4" w:space="0" w:color="auto"/>
              <w:bottom w:val="single" w:sz="4" w:space="0" w:color="auto"/>
            </w:tcBorders>
            <w:vAlign w:val="center"/>
          </w:tcPr>
          <w:p w:rsidR="00F06E20" w:rsidRPr="006941EC" w:rsidP="00110D5F" w14:paraId="27D3B5DE" w14:textId="77777777">
            <w:pPr>
              <w:spacing w:before="48" w:beforeLines="20" w:after="48" w:afterLines="20"/>
              <w:jc w:val="center"/>
              <w:rPr>
                <w:rFonts w:ascii="Arial" w:hAnsi="Arial"/>
                <w:sz w:val="16"/>
                <w:szCs w:val="16"/>
              </w:rPr>
            </w:pPr>
            <w:r w:rsidRPr="00A5588E">
              <w:rPr>
                <w:rFonts w:ascii="Arial" w:hAnsi="Arial"/>
                <w:b/>
                <w:bCs/>
                <w:sz w:val="16"/>
                <w:szCs w:val="16"/>
              </w:rPr>
              <w:t>Mode:</w:t>
            </w:r>
            <w:r w:rsidRPr="006941EC">
              <w:rPr>
                <w:rFonts w:ascii="Arial" w:hAnsi="Arial"/>
                <w:sz w:val="16"/>
                <w:szCs w:val="16"/>
              </w:rPr>
              <w:t xml:space="preserve"> </w:t>
            </w:r>
            <w:r w:rsidRPr="006941EC">
              <w:rPr>
                <w:rFonts w:ascii="Arial" w:hAnsi="Arial"/>
                <w:sz w:val="16"/>
                <w:szCs w:val="16"/>
              </w:rPr>
              <w:t>nFORM</w:t>
            </w:r>
          </w:p>
          <w:p w:rsidR="00F06E20" w:rsidRPr="006941EC" w:rsidP="00110D5F" w14:paraId="62FAA85E" w14:textId="13373567">
            <w:pPr>
              <w:spacing w:before="48" w:beforeLines="20" w:after="48" w:afterLines="20"/>
              <w:jc w:val="center"/>
              <w:rPr>
                <w:rFonts w:ascii="Arial" w:hAnsi="Arial"/>
                <w:sz w:val="16"/>
                <w:szCs w:val="16"/>
              </w:rPr>
            </w:pPr>
            <w:r w:rsidRPr="00A5588E">
              <w:rPr>
                <w:rFonts w:ascii="Arial" w:hAnsi="Arial"/>
                <w:b/>
                <w:bCs/>
                <w:sz w:val="16"/>
                <w:szCs w:val="16"/>
              </w:rPr>
              <w:t>Duration:</w:t>
            </w:r>
            <w:r w:rsidRPr="006941EC">
              <w:rPr>
                <w:rFonts w:ascii="Arial" w:hAnsi="Arial"/>
                <w:sz w:val="16"/>
                <w:szCs w:val="16"/>
              </w:rPr>
              <w:t xml:space="preserve"> 3</w:t>
            </w:r>
            <w:r w:rsidR="00F25CC6">
              <w:rPr>
                <w:rFonts w:ascii="Arial" w:hAnsi="Arial"/>
                <w:sz w:val="16"/>
                <w:szCs w:val="16"/>
              </w:rPr>
              <w:t xml:space="preserve"> hours</w:t>
            </w:r>
          </w:p>
        </w:tc>
      </w:tr>
    </w:tbl>
    <w:p w:rsidR="001226CA" w:rsidP="00110D5F" w14:paraId="066289FB" w14:textId="77777777">
      <w:pPr>
        <w:spacing w:after="0" w:line="240" w:lineRule="auto"/>
        <w:rPr>
          <w:i/>
        </w:rPr>
      </w:pPr>
    </w:p>
    <w:p w:rsidR="00110D5F" w:rsidP="00110D5F" w14:paraId="3B856470" w14:textId="77777777">
      <w:pPr>
        <w:spacing w:after="0" w:line="240" w:lineRule="auto"/>
        <w:rPr>
          <w:i/>
        </w:rPr>
      </w:pPr>
    </w:p>
    <w:p w:rsidR="009E686E" w:rsidRPr="009139B3" w:rsidP="00110D5F" w14:paraId="20021C1F" w14:textId="61F2EC6B">
      <w:pPr>
        <w:spacing w:after="60" w:line="240" w:lineRule="auto"/>
        <w:rPr>
          <w:i/>
        </w:rPr>
      </w:pPr>
      <w:r w:rsidRPr="009139B3">
        <w:rPr>
          <w:i/>
        </w:rPr>
        <w:t>Other Data Sources and Uses of Information</w:t>
      </w:r>
    </w:p>
    <w:p w:rsidR="003C088F" w:rsidRPr="006F0E9C" w:rsidP="00110D5F" w14:paraId="78CD8543" w14:textId="0B057D15">
      <w:pPr>
        <w:spacing w:after="0" w:line="240" w:lineRule="auto"/>
        <w:rPr>
          <w:rFonts w:cstheme="minorHAnsi"/>
          <w:iCs/>
        </w:rPr>
      </w:pPr>
      <w:r w:rsidRPr="006F0E9C">
        <w:rPr>
          <w:rFonts w:cstheme="minorHAnsi"/>
          <w:iCs/>
        </w:rPr>
        <w:t xml:space="preserve">The </w:t>
      </w:r>
      <w:r w:rsidR="008B3A79">
        <w:rPr>
          <w:rFonts w:cstheme="minorHAnsi"/>
          <w:iCs/>
        </w:rPr>
        <w:t xml:space="preserve">information collection described above is the only source of </w:t>
      </w:r>
      <w:r w:rsidRPr="006F0E9C">
        <w:rPr>
          <w:rFonts w:cstheme="minorHAnsi"/>
          <w:iCs/>
        </w:rPr>
        <w:t>performance measures</w:t>
      </w:r>
      <w:r w:rsidRPr="006F0E9C">
        <w:rPr>
          <w:rFonts w:cstheme="minorHAnsi"/>
          <w:iCs/>
        </w:rPr>
        <w:t xml:space="preserve"> data </w:t>
      </w:r>
      <w:r w:rsidR="008B3A79">
        <w:rPr>
          <w:rFonts w:cstheme="minorHAnsi"/>
          <w:iCs/>
        </w:rPr>
        <w:t xml:space="preserve">for the </w:t>
      </w:r>
      <w:r w:rsidR="00871E19">
        <w:rPr>
          <w:rFonts w:cstheme="minorHAnsi"/>
          <w:iCs/>
        </w:rPr>
        <w:t xml:space="preserve">2025 </w:t>
      </w:r>
      <w:r w:rsidR="008B3A79">
        <w:rPr>
          <w:rFonts w:cstheme="minorHAnsi"/>
          <w:iCs/>
        </w:rPr>
        <w:t>cohort of HMRF grants. This data</w:t>
      </w:r>
      <w:r w:rsidRPr="006F0E9C">
        <w:rPr>
          <w:rFonts w:cstheme="minorHAnsi"/>
          <w:iCs/>
        </w:rPr>
        <w:t xml:space="preserve"> may also be used to support</w:t>
      </w:r>
      <w:r w:rsidR="009E20BB">
        <w:rPr>
          <w:rFonts w:cstheme="minorHAnsi"/>
          <w:iCs/>
        </w:rPr>
        <w:t xml:space="preserve"> separate</w:t>
      </w:r>
      <w:r w:rsidRPr="006F0E9C">
        <w:rPr>
          <w:rFonts w:cstheme="minorHAnsi"/>
          <w:iCs/>
        </w:rPr>
        <w:t xml:space="preserve"> descriptive or impact evaluations funded by ACF; </w:t>
      </w:r>
      <w:r w:rsidR="008B3A79">
        <w:rPr>
          <w:rFonts w:cstheme="minorHAnsi"/>
          <w:iCs/>
        </w:rPr>
        <w:t xml:space="preserve">however, </w:t>
      </w:r>
      <w:r w:rsidRPr="006F0E9C">
        <w:rPr>
          <w:rFonts w:cstheme="minorHAnsi"/>
          <w:iCs/>
        </w:rPr>
        <w:t>th</w:t>
      </w:r>
      <w:r>
        <w:rPr>
          <w:rFonts w:cstheme="minorHAnsi"/>
          <w:iCs/>
        </w:rPr>
        <w:t>o</w:t>
      </w:r>
      <w:r w:rsidRPr="006F0E9C">
        <w:rPr>
          <w:rFonts w:cstheme="minorHAnsi"/>
          <w:iCs/>
        </w:rPr>
        <w:t xml:space="preserve">se evaluations submit separate </w:t>
      </w:r>
      <w:r>
        <w:rPr>
          <w:rFonts w:cstheme="minorHAnsi"/>
          <w:iCs/>
        </w:rPr>
        <w:t>ICR</w:t>
      </w:r>
      <w:r w:rsidRPr="006F0E9C">
        <w:rPr>
          <w:rFonts w:cstheme="minorHAnsi"/>
          <w:iCs/>
        </w:rPr>
        <w:t xml:space="preserve">s for approval. </w:t>
      </w:r>
      <w:r w:rsidR="00E711F8">
        <w:rPr>
          <w:rFonts w:cstheme="minorHAnsi"/>
          <w:iCs/>
        </w:rPr>
        <w:t xml:space="preserve">Grant recipients will complete the HMRF Data Capacity and CQI Plan Template (OMB #0970-0531) and the information may be used in conjunction with these performance measures. </w:t>
      </w:r>
      <w:r w:rsidRPr="006F0E9C">
        <w:rPr>
          <w:rFonts w:cstheme="minorHAnsi"/>
          <w:iCs/>
        </w:rPr>
        <w:t xml:space="preserve">   </w:t>
      </w:r>
    </w:p>
    <w:p w:rsidR="001D1C73" w:rsidRPr="009139B3" w:rsidP="00110D5F" w14:paraId="213059F9" w14:textId="7F7E613C">
      <w:pPr>
        <w:spacing w:after="0" w:line="240" w:lineRule="auto"/>
        <w:rPr>
          <w:i/>
        </w:rPr>
      </w:pPr>
    </w:p>
    <w:p w:rsidR="009E686E" w:rsidRPr="009139B3" w:rsidP="00110D5F" w14:paraId="5C752720" w14:textId="4FAB35EB">
      <w:pPr>
        <w:spacing w:after="120" w:line="240" w:lineRule="auto"/>
        <w:rPr>
          <w:b/>
        </w:rPr>
      </w:pPr>
      <w:r w:rsidRPr="009139B3">
        <w:rPr>
          <w:b/>
        </w:rPr>
        <w:t>A3</w:t>
      </w:r>
      <w:r w:rsidRPr="009139B3">
        <w:t>.</w:t>
      </w:r>
      <w:r w:rsidRPr="009139B3">
        <w:tab/>
      </w:r>
      <w:r w:rsidRPr="009139B3">
        <w:rPr>
          <w:b/>
        </w:rPr>
        <w:t>Use of Information Technology to Reduce Burden</w:t>
      </w:r>
    </w:p>
    <w:p w:rsidR="00DA10EB" w:rsidRPr="0042641E" w:rsidP="00110D5F" w14:paraId="65BFA94D" w14:textId="264969DE">
      <w:pPr>
        <w:pStyle w:val="NormalSS"/>
        <w:rPr>
          <w:rFonts w:cstheme="minorHAnsi"/>
        </w:rPr>
      </w:pPr>
      <w:r w:rsidRPr="0042641E">
        <w:rPr>
          <w:rFonts w:cstheme="minorHAnsi"/>
        </w:rPr>
        <w:t xml:space="preserve">As </w:t>
      </w:r>
      <w:r w:rsidRPr="0042641E">
        <w:rPr>
          <w:rFonts w:cstheme="minorHAnsi"/>
        </w:rPr>
        <w:t xml:space="preserve">described in A2, ACF provides the web-based </w:t>
      </w:r>
      <w:r w:rsidRPr="0042641E">
        <w:rPr>
          <w:rFonts w:cstheme="minorHAnsi"/>
        </w:rPr>
        <w:t>nFORM</w:t>
      </w:r>
      <w:r w:rsidRPr="0042641E">
        <w:rPr>
          <w:rFonts w:cstheme="minorHAnsi"/>
        </w:rPr>
        <w:t xml:space="preserve"> system to grant</w:t>
      </w:r>
      <w:r w:rsidR="00C20432">
        <w:rPr>
          <w:rFonts w:cstheme="minorHAnsi"/>
        </w:rPr>
        <w:t xml:space="preserve"> recipients</w:t>
      </w:r>
      <w:r w:rsidRPr="0042641E">
        <w:rPr>
          <w:rFonts w:cstheme="minorHAnsi"/>
        </w:rPr>
        <w:t xml:space="preserve"> free of charge for all performance measure</w:t>
      </w:r>
      <w:r w:rsidR="009E20BB">
        <w:rPr>
          <w:rFonts w:cstheme="minorHAnsi"/>
        </w:rPr>
        <w:t>s</w:t>
      </w:r>
      <w:r w:rsidRPr="0042641E">
        <w:rPr>
          <w:rFonts w:cstheme="minorHAnsi"/>
        </w:rPr>
        <w:t xml:space="preserve"> data collection and reporting described in this ICR. </w:t>
      </w:r>
      <w:r w:rsidRPr="0042641E">
        <w:rPr>
          <w:rFonts w:cstheme="minorHAnsi"/>
        </w:rPr>
        <w:t>nFORM</w:t>
      </w:r>
      <w:r w:rsidRPr="0042641E">
        <w:rPr>
          <w:rFonts w:cstheme="minorHAnsi"/>
        </w:rPr>
        <w:t xml:space="preserve"> </w:t>
      </w:r>
      <w:r w:rsidRPr="0042641E">
        <w:rPr>
          <w:rFonts w:cstheme="minorHAnsi"/>
        </w:rPr>
        <w:t xml:space="preserve">has a user-friendly interface accessible to authorized users, allowing for ease of data entry without purchasing or installing additional software or changing the configuration of their computers. All data are housed on secure servers </w:t>
      </w:r>
      <w:r w:rsidRPr="0042641E">
        <w:rPr>
          <w:rFonts w:cstheme="minorHAnsi"/>
        </w:rPr>
        <w:t>in a cloud-based environment</w:t>
      </w:r>
      <w:r w:rsidRPr="0042641E">
        <w:rPr>
          <w:rFonts w:cstheme="minorHAnsi"/>
        </w:rPr>
        <w:t>, thereby maintaining data security</w:t>
      </w:r>
      <w:r w:rsidRPr="0042641E">
        <w:rPr>
          <w:rFonts w:cstheme="minorHAnsi"/>
        </w:rPr>
        <w:t xml:space="preserve"> in accordance with ACF requirements and </w:t>
      </w:r>
      <w:r w:rsidRPr="0042641E">
        <w:rPr>
          <w:rFonts w:cstheme="minorHAnsi"/>
        </w:rPr>
        <w:t>nFORM’s</w:t>
      </w:r>
      <w:r w:rsidRPr="0042641E">
        <w:rPr>
          <w:rFonts w:cstheme="minorHAnsi"/>
        </w:rPr>
        <w:t xml:space="preserve"> Authority to Operate (ATO)</w:t>
      </w:r>
      <w:r w:rsidRPr="0042641E">
        <w:rPr>
          <w:rFonts w:cstheme="minorHAnsi"/>
        </w:rPr>
        <w:t>. Each grant</w:t>
      </w:r>
      <w:r w:rsidR="00C20432">
        <w:rPr>
          <w:rFonts w:cstheme="minorHAnsi"/>
        </w:rPr>
        <w:t xml:space="preserve"> recipient</w:t>
      </w:r>
      <w:r w:rsidRPr="0042641E">
        <w:rPr>
          <w:rFonts w:cstheme="minorHAnsi"/>
        </w:rPr>
        <w:t xml:space="preserve"> can </w:t>
      </w:r>
      <w:r w:rsidRPr="0042641E">
        <w:rPr>
          <w:rFonts w:cstheme="minorHAnsi"/>
        </w:rPr>
        <w:t xml:space="preserve">collect, </w:t>
      </w:r>
      <w:r w:rsidRPr="0042641E">
        <w:rPr>
          <w:rFonts w:cstheme="minorHAnsi"/>
        </w:rPr>
        <w:t>view</w:t>
      </w:r>
      <w:r w:rsidRPr="0042641E">
        <w:rPr>
          <w:rFonts w:cstheme="minorHAnsi"/>
        </w:rPr>
        <w:t>,</w:t>
      </w:r>
      <w:r w:rsidRPr="0042641E">
        <w:rPr>
          <w:rFonts w:cstheme="minorHAnsi"/>
        </w:rPr>
        <w:t xml:space="preserve"> and report only data for </w:t>
      </w:r>
      <w:r w:rsidRPr="0042641E">
        <w:rPr>
          <w:rFonts w:cstheme="minorHAnsi"/>
        </w:rPr>
        <w:t>its</w:t>
      </w:r>
      <w:r w:rsidRPr="0042641E">
        <w:rPr>
          <w:rFonts w:cstheme="minorHAnsi"/>
        </w:rPr>
        <w:t xml:space="preserve"> own program. </w:t>
      </w:r>
    </w:p>
    <w:p w:rsidR="001D1C73" w:rsidRPr="0042641E" w:rsidP="00110D5F" w14:paraId="0ECDE634" w14:textId="66FD3738">
      <w:pPr>
        <w:pStyle w:val="ListParagraph"/>
        <w:spacing w:after="0" w:line="240" w:lineRule="auto"/>
        <w:ind w:left="0"/>
        <w:rPr>
          <w:rFonts w:cstheme="minorHAnsi"/>
        </w:rPr>
      </w:pPr>
      <w:r w:rsidRPr="0042641E">
        <w:rPr>
          <w:rFonts w:cstheme="minorHAnsi"/>
        </w:rPr>
        <w:t xml:space="preserve">Program </w:t>
      </w:r>
      <w:r w:rsidRPr="0042641E" w:rsidR="00DA10EB">
        <w:rPr>
          <w:rFonts w:cstheme="minorHAnsi"/>
        </w:rPr>
        <w:t>clients</w:t>
      </w:r>
      <w:r w:rsidRPr="0042641E">
        <w:rPr>
          <w:rFonts w:cstheme="minorHAnsi"/>
        </w:rPr>
        <w:t xml:space="preserve"> use computers or tablets to self-administer the </w:t>
      </w:r>
      <w:r w:rsidRPr="0042641E" w:rsidR="00DA10EB">
        <w:rPr>
          <w:rFonts w:cstheme="minorHAnsi"/>
        </w:rPr>
        <w:t>entrance and exit surveys</w:t>
      </w:r>
      <w:r w:rsidRPr="0042641E">
        <w:rPr>
          <w:rFonts w:cstheme="minorHAnsi"/>
        </w:rPr>
        <w:t xml:space="preserve"> in </w:t>
      </w:r>
      <w:r w:rsidRPr="0042641E">
        <w:rPr>
          <w:rFonts w:cstheme="minorHAnsi"/>
        </w:rPr>
        <w:t>nFORM</w:t>
      </w:r>
      <w:r w:rsidRPr="0042641E">
        <w:rPr>
          <w:rFonts w:cstheme="minorHAnsi"/>
        </w:rPr>
        <w:t xml:space="preserve">. This method presents several advantages over interviewer-administered surveys. It ensures greater privacy, and respondents will be </w:t>
      </w:r>
      <w:r w:rsidR="002E1B46">
        <w:rPr>
          <w:rFonts w:cstheme="minorHAnsi"/>
        </w:rPr>
        <w:t>less likely to give</w:t>
      </w:r>
      <w:r w:rsidRPr="0042641E">
        <w:rPr>
          <w:rFonts w:cstheme="minorHAnsi"/>
        </w:rPr>
        <w:t xml:space="preserve"> socially desirable responses, particularly with sensitive questions (Turner et al. 1998; Tourangeau and Smith 1996). It also reduces burden for grant</w:t>
      </w:r>
      <w:r w:rsidR="00A8474D">
        <w:rPr>
          <w:rFonts w:cstheme="minorHAnsi"/>
        </w:rPr>
        <w:t xml:space="preserve"> recipient</w:t>
      </w:r>
      <w:r w:rsidRPr="0042641E">
        <w:rPr>
          <w:rFonts w:cstheme="minorHAnsi"/>
        </w:rPr>
        <w:t xml:space="preserve"> staff who would otherwise need to administer the surveys. To address possible literacy limitations, respondents have the option to wear headphones and listen to a recording of the questions, known as Audio Computer-Assisted Self-Interview (ACASI).</w:t>
      </w:r>
      <w:r w:rsidRPr="0042641E" w:rsidR="00D203C5">
        <w:rPr>
          <w:rFonts w:cstheme="minorHAnsi"/>
        </w:rPr>
        <w:t xml:space="preserve"> </w:t>
      </w:r>
    </w:p>
    <w:p w:rsidR="00D203C5" w:rsidRPr="0042641E" w:rsidP="00110D5F" w14:paraId="67907CBC" w14:textId="1435E836">
      <w:pPr>
        <w:pStyle w:val="ListParagraph"/>
        <w:spacing w:after="0" w:line="240" w:lineRule="auto"/>
        <w:ind w:left="0"/>
        <w:rPr>
          <w:rFonts w:cstheme="minorHAnsi"/>
        </w:rPr>
      </w:pPr>
    </w:p>
    <w:p w:rsidR="009E686E" w:rsidRPr="009139B3" w:rsidP="00110D5F" w14:paraId="748CEAEF"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A127D1" w:rsidP="00110D5F" w14:paraId="76937304" w14:textId="587BDA71">
      <w:pPr>
        <w:spacing w:after="0" w:line="240" w:lineRule="auto"/>
      </w:pPr>
      <w:r>
        <w:t>The performance</w:t>
      </w:r>
      <w:r w:rsidRPr="008B3A79">
        <w:t xml:space="preserve"> measures </w:t>
      </w:r>
      <w:r>
        <w:t xml:space="preserve">in this ICR </w:t>
      </w:r>
      <w:r w:rsidR="00E77011">
        <w:t xml:space="preserve">are revised versions of the measures that </w:t>
      </w:r>
      <w:r w:rsidR="009E686E">
        <w:t xml:space="preserve">were </w:t>
      </w:r>
      <w:r w:rsidRPr="008B3A79">
        <w:t xml:space="preserve">successfully used </w:t>
      </w:r>
      <w:r>
        <w:t xml:space="preserve">for the 2015 cohort of HMRF </w:t>
      </w:r>
      <w:r w:rsidR="003C5C24">
        <w:t xml:space="preserve">grant recipients </w:t>
      </w:r>
      <w:r w:rsidRPr="00FC3FED" w:rsidR="00BE78E6">
        <w:rPr>
          <w:rFonts w:cstheme="minorHAnsi"/>
          <w:bCs/>
        </w:rPr>
        <w:t>(OMB #0970-0460)</w:t>
      </w:r>
      <w:r w:rsidR="00E77011">
        <w:rPr>
          <w:rFonts w:cstheme="minorHAnsi"/>
          <w:bCs/>
        </w:rPr>
        <w:t>,</w:t>
      </w:r>
      <w:r w:rsidR="00BE78E6">
        <w:rPr>
          <w:rFonts w:cstheme="minorHAnsi"/>
          <w:bCs/>
        </w:rPr>
        <w:t xml:space="preserve"> </w:t>
      </w:r>
      <w:r w:rsidR="00DA3497">
        <w:rPr>
          <w:rFonts w:cstheme="minorHAnsi"/>
          <w:bCs/>
        </w:rPr>
        <w:t xml:space="preserve">the 2020 cohort (OMB #0970-0566), </w:t>
      </w:r>
      <w:r>
        <w:t xml:space="preserve">and </w:t>
      </w:r>
      <w:r w:rsidRPr="008B3A79">
        <w:t xml:space="preserve">in studies involving similar populations and programs. </w:t>
      </w:r>
      <w:r w:rsidRPr="008B3A79" w:rsidR="008B639C">
        <w:t xml:space="preserve">There are no other sources of information that would allow </w:t>
      </w:r>
      <w:r w:rsidR="002F3849">
        <w:t>ACF</w:t>
      </w:r>
      <w:r w:rsidRPr="008B3A79" w:rsidR="008B639C">
        <w:t xml:space="preserve"> to assess the </w:t>
      </w:r>
      <w:r w:rsidR="002F3849">
        <w:t>performance</w:t>
      </w:r>
      <w:r w:rsidRPr="008B3A79" w:rsidR="008B639C">
        <w:t xml:space="preserve"> of the </w:t>
      </w:r>
      <w:r w:rsidR="00AD233F">
        <w:t xml:space="preserve">2025 </w:t>
      </w:r>
      <w:r>
        <w:t>cohort</w:t>
      </w:r>
      <w:r w:rsidRPr="008B3A79" w:rsidR="008B639C">
        <w:t xml:space="preserve"> of </w:t>
      </w:r>
      <w:r>
        <w:t xml:space="preserve">HMRF </w:t>
      </w:r>
      <w:r w:rsidRPr="008B3A79" w:rsidR="008B639C">
        <w:t>grant</w:t>
      </w:r>
      <w:r w:rsidR="00A8474D">
        <w:t xml:space="preserve"> recipients</w:t>
      </w:r>
      <w:r w:rsidRPr="008B3A79" w:rsidR="008B639C">
        <w:t xml:space="preserve">. No superfluous or unnecessary information is requested of </w:t>
      </w:r>
      <w:r>
        <w:t>grant</w:t>
      </w:r>
      <w:r w:rsidR="00A8474D">
        <w:t xml:space="preserve"> recipient</w:t>
      </w:r>
      <w:r w:rsidRPr="008B3A79" w:rsidR="008B639C">
        <w:t xml:space="preserve"> staff or </w:t>
      </w:r>
      <w:r>
        <w:t>clients, and n</w:t>
      </w:r>
      <w:r w:rsidRPr="008B3A79" w:rsidR="008B639C">
        <w:t>one of the instruments ask for information that can be reliably obtained through other sources.</w:t>
      </w:r>
    </w:p>
    <w:p w:rsidR="00110D5F" w:rsidP="00110D5F" w14:paraId="23E79D8E" w14:textId="77777777">
      <w:pPr>
        <w:spacing w:after="0" w:line="240" w:lineRule="auto"/>
        <w:rPr>
          <w:rFonts w:cstheme="minorHAnsi"/>
          <w:i/>
          <w:iCs/>
        </w:rPr>
      </w:pPr>
    </w:p>
    <w:p w:rsidR="00110D5F" w:rsidP="00110D5F" w14:paraId="2CBA13A4" w14:textId="77777777">
      <w:pPr>
        <w:spacing w:after="0" w:line="240" w:lineRule="auto"/>
        <w:rPr>
          <w:rFonts w:cstheme="minorHAnsi"/>
          <w:i/>
          <w:iCs/>
        </w:rPr>
      </w:pPr>
    </w:p>
    <w:p w:rsidR="00110D5F" w:rsidRPr="00924FE0" w:rsidP="00110D5F" w14:paraId="2D90E63F" w14:textId="77777777">
      <w:pPr>
        <w:spacing w:after="0" w:line="240" w:lineRule="auto"/>
        <w:rPr>
          <w:rFonts w:cstheme="minorHAnsi"/>
          <w:i/>
          <w:iCs/>
        </w:rPr>
      </w:pPr>
    </w:p>
    <w:p w:rsidR="00FA0EBA" w:rsidRPr="009139B3" w:rsidP="00110D5F" w14:paraId="60159355" w14:textId="70CFB742">
      <w:pPr>
        <w:spacing w:after="120" w:line="240" w:lineRule="auto"/>
      </w:pPr>
      <w:r w:rsidRPr="009139B3">
        <w:rPr>
          <w:b/>
        </w:rPr>
        <w:t>A5</w:t>
      </w:r>
      <w:r w:rsidRPr="009139B3">
        <w:t>.</w:t>
      </w:r>
      <w:r w:rsidRPr="009139B3">
        <w:tab/>
      </w:r>
      <w:r w:rsidRPr="009139B3">
        <w:rPr>
          <w:b/>
        </w:rPr>
        <w:t>Impact on Small Businesses</w:t>
      </w:r>
      <w:r w:rsidRPr="009139B3">
        <w:t xml:space="preserve"> </w:t>
      </w:r>
    </w:p>
    <w:p w:rsidR="008B639C" w:rsidP="00110D5F" w14:paraId="35A95829" w14:textId="08E20BC3">
      <w:pPr>
        <w:spacing w:after="0" w:line="240" w:lineRule="auto"/>
        <w:rPr>
          <w:rFonts w:cstheme="minorHAnsi"/>
        </w:rPr>
      </w:pPr>
      <w:r w:rsidRPr="00A9697F">
        <w:rPr>
          <w:rFonts w:cstheme="minorHAnsi"/>
        </w:rPr>
        <w:t xml:space="preserve">The potential exists for data collection activities to affect </w:t>
      </w:r>
      <w:r w:rsidR="002E1B46">
        <w:rPr>
          <w:rFonts w:cstheme="minorHAnsi"/>
        </w:rPr>
        <w:t>grant</w:t>
      </w:r>
      <w:r w:rsidR="00A8474D">
        <w:rPr>
          <w:rFonts w:cstheme="minorHAnsi"/>
        </w:rPr>
        <w:t xml:space="preserve"> recipients</w:t>
      </w:r>
      <w:r w:rsidR="002E1B46">
        <w:rPr>
          <w:rFonts w:cstheme="minorHAnsi"/>
        </w:rPr>
        <w:t xml:space="preserve"> that are </w:t>
      </w:r>
      <w:r w:rsidRPr="00A9697F">
        <w:rPr>
          <w:rFonts w:cstheme="minorHAnsi"/>
        </w:rPr>
        <w:t>small entities. Current data collection efforts are designed to minimize the burden on all organizations involved, including small businesses and entities, by collecting only critical information.</w:t>
      </w:r>
    </w:p>
    <w:p w:rsidR="0063448E" w:rsidRPr="00A9697F" w:rsidP="00110D5F" w14:paraId="62E9F7AD" w14:textId="77777777">
      <w:pPr>
        <w:spacing w:after="0" w:line="240" w:lineRule="auto"/>
        <w:rPr>
          <w:rFonts w:cstheme="minorHAnsi"/>
        </w:rPr>
      </w:pPr>
    </w:p>
    <w:p w:rsidR="00FA0EBA" w:rsidRPr="009139B3" w:rsidP="00110D5F" w14:paraId="5615974C" w14:textId="77777777">
      <w:pPr>
        <w:spacing w:after="120" w:line="240" w:lineRule="auto"/>
      </w:pPr>
      <w:r w:rsidRPr="009139B3">
        <w:rPr>
          <w:b/>
        </w:rPr>
        <w:t>A6</w:t>
      </w:r>
      <w:r w:rsidRPr="009139B3">
        <w:t>.</w:t>
      </w:r>
      <w:r w:rsidRPr="009139B3">
        <w:tab/>
      </w:r>
      <w:r w:rsidRPr="009139B3">
        <w:rPr>
          <w:b/>
        </w:rPr>
        <w:t>Consequences of Less Frequent Collection</w:t>
      </w:r>
      <w:r w:rsidRPr="009139B3">
        <w:t xml:space="preserve">  </w:t>
      </w:r>
    </w:p>
    <w:p w:rsidR="008B639C" w:rsidP="00110D5F" w14:paraId="04CE6951" w14:textId="317870A0">
      <w:pPr>
        <w:spacing w:after="0" w:line="240" w:lineRule="auto"/>
        <w:rPr>
          <w:rFonts w:cstheme="minorHAnsi"/>
        </w:rPr>
      </w:pPr>
      <w:r w:rsidRPr="00A9697F">
        <w:rPr>
          <w:rFonts w:cstheme="minorHAnsi"/>
        </w:rPr>
        <w:t xml:space="preserve">The purpose of each instrument in this </w:t>
      </w:r>
      <w:r w:rsidR="00751230">
        <w:rPr>
          <w:rFonts w:cstheme="minorHAnsi"/>
        </w:rPr>
        <w:t>ICR</w:t>
      </w:r>
      <w:r w:rsidRPr="00A9697F">
        <w:rPr>
          <w:rFonts w:cstheme="minorHAnsi"/>
        </w:rPr>
        <w:t xml:space="preserve"> is described in Item A2, above. Not collecting information using these instruments would limit the government’s ability to document the performance of its grant</w:t>
      </w:r>
      <w:r w:rsidR="00A8474D">
        <w:rPr>
          <w:rFonts w:cstheme="minorHAnsi"/>
        </w:rPr>
        <w:t xml:space="preserve"> recipients</w:t>
      </w:r>
      <w:r w:rsidRPr="00A9697F">
        <w:rPr>
          <w:rFonts w:cstheme="minorHAnsi"/>
        </w:rPr>
        <w:t xml:space="preserve"> and to assess the extent to which these federal grants are successful in achieving their purpose. In addition, without collecting information on characteristics</w:t>
      </w:r>
      <w:r w:rsidR="000D0E6A">
        <w:rPr>
          <w:rFonts w:cstheme="minorHAnsi"/>
        </w:rPr>
        <w:t xml:space="preserve"> of clients at program entry and their outcomes at program exit</w:t>
      </w:r>
      <w:r w:rsidRPr="00A9697F">
        <w:rPr>
          <w:rFonts w:cstheme="minorHAnsi"/>
        </w:rPr>
        <w:t xml:space="preserve"> (Instrument</w:t>
      </w:r>
      <w:r w:rsidR="00115A96">
        <w:rPr>
          <w:rFonts w:cstheme="minorHAnsi"/>
        </w:rPr>
        <w:t>s</w:t>
      </w:r>
      <w:r w:rsidRPr="00A9697F">
        <w:rPr>
          <w:rFonts w:cstheme="minorHAnsi"/>
        </w:rPr>
        <w:t xml:space="preserve"> 1</w:t>
      </w:r>
      <w:r w:rsidR="00115A96">
        <w:rPr>
          <w:rFonts w:cstheme="minorHAnsi"/>
        </w:rPr>
        <w:t xml:space="preserve"> and 4</w:t>
      </w:r>
      <w:r w:rsidRPr="00A9697F">
        <w:rPr>
          <w:rFonts w:cstheme="minorHAnsi"/>
        </w:rPr>
        <w:t xml:space="preserve">), program operations (Instrument 2), </w:t>
      </w:r>
      <w:r w:rsidR="000D0E6A">
        <w:rPr>
          <w:rFonts w:cstheme="minorHAnsi"/>
        </w:rPr>
        <w:t xml:space="preserve">and </w:t>
      </w:r>
      <w:r w:rsidRPr="00A9697F">
        <w:rPr>
          <w:rFonts w:cstheme="minorHAnsi"/>
        </w:rPr>
        <w:t>service receipt (Instrument 3), HMRF grant</w:t>
      </w:r>
      <w:r w:rsidR="00A8474D">
        <w:rPr>
          <w:rFonts w:cstheme="minorHAnsi"/>
        </w:rPr>
        <w:t xml:space="preserve"> recipients</w:t>
      </w:r>
      <w:r w:rsidRPr="00A9697F">
        <w:rPr>
          <w:rFonts w:cstheme="minorHAnsi"/>
        </w:rPr>
        <w:t xml:space="preserve"> would not be able to report on the required performance measures</w:t>
      </w:r>
      <w:r w:rsidR="00FB059D">
        <w:rPr>
          <w:rFonts w:cstheme="minorHAnsi"/>
        </w:rPr>
        <w:t xml:space="preserve"> (Instrument 5)</w:t>
      </w:r>
      <w:r w:rsidRPr="00A9697F">
        <w:rPr>
          <w:rFonts w:cstheme="minorHAnsi"/>
        </w:rPr>
        <w:t xml:space="preserve">. </w:t>
      </w:r>
    </w:p>
    <w:p w:rsidR="0063448E" w:rsidRPr="00A9697F" w:rsidP="00110D5F" w14:paraId="094D9207" w14:textId="77777777">
      <w:pPr>
        <w:spacing w:after="0" w:line="240" w:lineRule="auto"/>
        <w:rPr>
          <w:rFonts w:cstheme="minorHAnsi"/>
        </w:rPr>
      </w:pPr>
    </w:p>
    <w:p w:rsidR="008B639C" w:rsidP="00110D5F" w14:paraId="7DAB09AF" w14:textId="1E5B7DF7">
      <w:pPr>
        <w:spacing w:after="0" w:line="240" w:lineRule="auto"/>
        <w:rPr>
          <w:rFonts w:cstheme="minorHAnsi"/>
        </w:rPr>
      </w:pPr>
      <w:r w:rsidRPr="00A9697F">
        <w:rPr>
          <w:rFonts w:cstheme="minorHAnsi"/>
        </w:rPr>
        <w:t xml:space="preserve">If service receipt data were collected less frequently, providers would have to store service data or try to recall it weeks or months after delivery. Less frequent data collection would also reduce </w:t>
      </w:r>
      <w:r w:rsidR="00751230">
        <w:rPr>
          <w:rFonts w:cstheme="minorHAnsi"/>
        </w:rPr>
        <w:t>ACF’s</w:t>
      </w:r>
      <w:r w:rsidRPr="00A9697F">
        <w:rPr>
          <w:rFonts w:cstheme="minorHAnsi"/>
        </w:rPr>
        <w:t xml:space="preserve"> ability to identify and address data quality issues, such as missing data and data entry errors, in a timely way. Finally, if </w:t>
      </w:r>
      <w:r w:rsidR="00AE4227">
        <w:rPr>
          <w:rFonts w:cstheme="minorHAnsi"/>
        </w:rPr>
        <w:t>client</w:t>
      </w:r>
      <w:r w:rsidRPr="00A9697F">
        <w:rPr>
          <w:rFonts w:cstheme="minorHAnsi"/>
        </w:rPr>
        <w:t xml:space="preserve"> outcomes were not collected at both program entry and program exit, </w:t>
      </w:r>
      <w:r w:rsidR="00751230">
        <w:rPr>
          <w:rFonts w:cstheme="minorHAnsi"/>
        </w:rPr>
        <w:t>ACF</w:t>
      </w:r>
      <w:r w:rsidRPr="00A9697F">
        <w:rPr>
          <w:rFonts w:cstheme="minorHAnsi"/>
        </w:rPr>
        <w:t xml:space="preserve"> would not be able to assess changes in outcomes pre- and post-program participation.</w:t>
      </w:r>
    </w:p>
    <w:p w:rsidR="0063448E" w:rsidRPr="00A9697F" w:rsidP="00110D5F" w14:paraId="2D0392BF" w14:textId="77777777">
      <w:pPr>
        <w:spacing w:after="0" w:line="240" w:lineRule="auto"/>
        <w:rPr>
          <w:rFonts w:cstheme="minorHAnsi"/>
        </w:rPr>
      </w:pPr>
    </w:p>
    <w:p w:rsidR="001D1C73" w:rsidP="00110D5F" w14:paraId="7ECFA3F2" w14:textId="793B875E">
      <w:pPr>
        <w:spacing w:after="0" w:line="240" w:lineRule="auto"/>
        <w:rPr>
          <w:rFonts w:cstheme="minorHAnsi"/>
        </w:rPr>
      </w:pPr>
      <w:r w:rsidRPr="00A9697F">
        <w:rPr>
          <w:rFonts w:cstheme="minorHAnsi"/>
        </w:rPr>
        <w:t xml:space="preserve">Furthermore, </w:t>
      </w:r>
      <w:r>
        <w:rPr>
          <w:rFonts w:cstheme="minorHAnsi"/>
        </w:rPr>
        <w:t>this information</w:t>
      </w:r>
      <w:r w:rsidRPr="00A9697F">
        <w:rPr>
          <w:rFonts w:cstheme="minorHAnsi"/>
        </w:rPr>
        <w:t xml:space="preserve"> provides a valuable </w:t>
      </w:r>
      <w:r>
        <w:rPr>
          <w:rFonts w:cstheme="minorHAnsi"/>
        </w:rPr>
        <w:t>resource</w:t>
      </w:r>
      <w:r w:rsidRPr="00A9697F">
        <w:rPr>
          <w:rFonts w:cstheme="minorHAnsi"/>
        </w:rPr>
        <w:t xml:space="preserve"> for </w:t>
      </w:r>
      <w:r w:rsidR="00FB059D">
        <w:rPr>
          <w:rFonts w:cstheme="minorHAnsi"/>
        </w:rPr>
        <w:t>ACF</w:t>
      </w:r>
      <w:r w:rsidRPr="00A9697F">
        <w:rPr>
          <w:rFonts w:cstheme="minorHAnsi"/>
        </w:rPr>
        <w:t xml:space="preserve">, practitioners, and researchers to gain empirical knowledge about the design and implementation of a broad range of HMRF programs and the characteristics of and outcomes for program </w:t>
      </w:r>
      <w:r w:rsidR="00AE4227">
        <w:rPr>
          <w:rFonts w:cstheme="minorHAnsi"/>
        </w:rPr>
        <w:t>client</w:t>
      </w:r>
      <w:r w:rsidRPr="00A9697F">
        <w:rPr>
          <w:rFonts w:cstheme="minorHAnsi"/>
        </w:rPr>
        <w:t>s.</w:t>
      </w:r>
    </w:p>
    <w:p w:rsidR="0063448E" w:rsidRPr="00A9697F" w:rsidP="00110D5F" w14:paraId="7BC50B05" w14:textId="77777777">
      <w:pPr>
        <w:spacing w:after="0" w:line="240" w:lineRule="auto"/>
        <w:rPr>
          <w:rFonts w:cstheme="minorHAnsi"/>
        </w:rPr>
      </w:pPr>
    </w:p>
    <w:p w:rsidR="00FA0EBA" w:rsidRPr="009139B3" w:rsidP="00110D5F" w14:paraId="0D60C872"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P="00110D5F" w14:paraId="0235E4A4" w14:textId="77777777">
      <w:pPr>
        <w:spacing w:after="0" w:line="240" w:lineRule="auto"/>
        <w:rPr>
          <w:b/>
        </w:rPr>
      </w:pPr>
    </w:p>
    <w:p w:rsidR="00110D5F" w:rsidRPr="009139B3" w:rsidP="00110D5F" w14:paraId="1BA22B50" w14:textId="77777777">
      <w:pPr>
        <w:spacing w:after="0" w:line="240" w:lineRule="auto"/>
        <w:rPr>
          <w:b/>
        </w:rPr>
      </w:pPr>
    </w:p>
    <w:p w:rsidR="00FA0EBA" w:rsidRPr="009139B3" w:rsidP="00110D5F" w14:paraId="3B414161" w14:textId="77777777">
      <w:pPr>
        <w:spacing w:after="120" w:line="240" w:lineRule="auto"/>
        <w:rPr>
          <w:b/>
        </w:rPr>
      </w:pPr>
      <w:r w:rsidRPr="009139B3">
        <w:rPr>
          <w:b/>
        </w:rPr>
        <w:t>A8</w:t>
      </w:r>
      <w:r w:rsidRPr="009139B3">
        <w:t>.</w:t>
      </w:r>
      <w:r w:rsidRPr="009139B3">
        <w:tab/>
      </w:r>
      <w:r w:rsidRPr="009139B3">
        <w:rPr>
          <w:b/>
        </w:rPr>
        <w:t>Consultation</w:t>
      </w:r>
    </w:p>
    <w:p w:rsidR="001D1C73" w:rsidRPr="009139B3" w:rsidP="00110D5F" w14:paraId="22D30DBC" w14:textId="77777777">
      <w:pPr>
        <w:spacing w:after="60" w:line="240" w:lineRule="auto"/>
        <w:rPr>
          <w:i/>
        </w:rPr>
      </w:pPr>
      <w:r w:rsidRPr="009139B3">
        <w:rPr>
          <w:i/>
        </w:rPr>
        <w:t>Federal Register Notice and Comments</w:t>
      </w:r>
    </w:p>
    <w:p w:rsidR="001D1C73" w:rsidRPr="00CB09BB" w:rsidP="00110D5F" w14:paraId="15C2AFB4" w14:textId="5F5D84C8">
      <w:pPr>
        <w:spacing w:after="0" w:line="240" w:lineRule="auto"/>
      </w:pPr>
      <w:r w:rsidRPr="009139B3">
        <w:t xml:space="preserve">In accordance with the Paperwork Reduction Act of 1995 (Pub. L. 104-13) and OMB regulations at 5 CFR Part 1320 (60 FR 44978, August 29, 1995), ACF published a notice in the Federal Register announcing the agency’s intention to request an OMB review of this information collection activity.  This notice was published on </w:t>
      </w:r>
      <w:r w:rsidR="00A127D1">
        <w:t>January 29</w:t>
      </w:r>
      <w:r w:rsidR="003C5C24">
        <w:t xml:space="preserve">, </w:t>
      </w:r>
      <w:r w:rsidR="00A127D1">
        <w:t>2026</w:t>
      </w:r>
      <w:r w:rsidR="00123518">
        <w:t xml:space="preserve"> (</w:t>
      </w:r>
      <w:r w:rsidR="00A127D1">
        <w:t>91</w:t>
      </w:r>
      <w:r w:rsidR="00123518">
        <w:t xml:space="preserve"> FR</w:t>
      </w:r>
      <w:r w:rsidRPr="00A5588E">
        <w:t xml:space="preserve"> </w:t>
      </w:r>
      <w:r w:rsidR="00A127D1">
        <w:t>3892</w:t>
      </w:r>
      <w:r w:rsidR="00123518">
        <w:t>)</w:t>
      </w:r>
      <w:r w:rsidRPr="009139B3" w:rsidR="00E6444C">
        <w:t xml:space="preserve"> </w:t>
      </w:r>
      <w:r w:rsidRPr="009139B3">
        <w:t xml:space="preserve">and provided a sixty-day period for public comment.  </w:t>
      </w:r>
      <w:r w:rsidR="00B21279">
        <w:t>ACF</w:t>
      </w:r>
      <w:r w:rsidR="00000980">
        <w:t xml:space="preserve"> received </w:t>
      </w:r>
      <w:r w:rsidR="00B21279">
        <w:t>five emails from grant</w:t>
      </w:r>
      <w:r w:rsidR="000B751E">
        <w:t xml:space="preserve"> recipient</w:t>
      </w:r>
      <w:r w:rsidR="00B21279">
        <w:t>s</w:t>
      </w:r>
      <w:r w:rsidR="00D141D5">
        <w:t>, interested organizations, and individuals</w:t>
      </w:r>
      <w:r w:rsidR="00B21279">
        <w:t xml:space="preserve"> </w:t>
      </w:r>
      <w:r w:rsidR="00000980">
        <w:t xml:space="preserve">during the </w:t>
      </w:r>
      <w:r w:rsidR="00B21279">
        <w:t xml:space="preserve">60-day </w:t>
      </w:r>
      <w:r w:rsidRPr="009139B3">
        <w:t>comment period</w:t>
      </w:r>
      <w:r w:rsidR="00D141D5">
        <w:t>;</w:t>
      </w:r>
      <w:r w:rsidR="00B21279">
        <w:t xml:space="preserve"> most </w:t>
      </w:r>
      <w:r w:rsidR="00D141D5">
        <w:t xml:space="preserve">emails </w:t>
      </w:r>
      <w:r w:rsidR="00B21279">
        <w:t>contain</w:t>
      </w:r>
      <w:r w:rsidR="00D141D5">
        <w:t>ed</w:t>
      </w:r>
      <w:r w:rsidR="00B21279">
        <w:t xml:space="preserve"> multiple comments</w:t>
      </w:r>
      <w:r w:rsidRPr="00CB09BB">
        <w:t>.</w:t>
      </w:r>
      <w:r w:rsidR="00B21279">
        <w:t xml:space="preserve"> </w:t>
      </w:r>
      <w:r w:rsidRPr="00CB09BB">
        <w:t xml:space="preserve"> </w:t>
      </w:r>
      <w:r w:rsidR="00D141D5">
        <w:t>There was some support expressed for the proposed measures and ACF’s intent to increase understanding of HMRF programs while reducing administrative burden. Comments were related to proposed survey measures</w:t>
      </w:r>
      <w:r w:rsidR="006A6AD1">
        <w:t xml:space="preserve">, </w:t>
      </w:r>
      <w:r w:rsidR="003A4D64">
        <w:t xml:space="preserve">data collection and </w:t>
      </w:r>
      <w:r w:rsidR="008748CA">
        <w:t xml:space="preserve">survey administration, </w:t>
      </w:r>
      <w:r w:rsidR="006A6AD1">
        <w:t xml:space="preserve">and data quality. Appendix D provides a summary of the comments received during the 60-day period and ACF’s responses. </w:t>
      </w:r>
      <w:r w:rsidR="00D141D5">
        <w:t xml:space="preserve">  </w:t>
      </w:r>
    </w:p>
    <w:p w:rsidR="001D1C73" w:rsidRPr="00CB09BB" w:rsidP="00110D5F" w14:paraId="68DB4E07" w14:textId="77777777">
      <w:pPr>
        <w:spacing w:after="0" w:line="240" w:lineRule="auto"/>
      </w:pPr>
    </w:p>
    <w:p w:rsidR="00FA0EBA" w:rsidRPr="00FA0EBA" w:rsidP="00110D5F" w14:paraId="2C30359B" w14:textId="77777777">
      <w:pPr>
        <w:pStyle w:val="Heading4"/>
        <w:spacing w:before="0"/>
        <w:rPr>
          <w:rFonts w:asciiTheme="minorHAnsi" w:hAnsiTheme="minorHAnsi" w:cstheme="minorHAnsi"/>
          <w:b w:val="0"/>
          <w:i/>
          <w:sz w:val="22"/>
          <w:szCs w:val="22"/>
        </w:rPr>
      </w:pPr>
      <w:r w:rsidRPr="00FA0EBA">
        <w:rPr>
          <w:rFonts w:asciiTheme="minorHAnsi" w:hAnsiTheme="minorHAnsi" w:cstheme="minorHAnsi"/>
          <w:b w:val="0"/>
          <w:i/>
          <w:sz w:val="22"/>
          <w:szCs w:val="22"/>
        </w:rPr>
        <w:t>Consultation with Experts Outside of the Study</w:t>
      </w:r>
    </w:p>
    <w:p w:rsidR="00057CD6" w:rsidP="00110D5F" w14:paraId="4FBB8634" w14:textId="479ABA4F">
      <w:pPr>
        <w:spacing w:after="0" w:line="240" w:lineRule="auto"/>
      </w:pPr>
      <w:r w:rsidRPr="00E03E6B">
        <w:t>The performance measures</w:t>
      </w:r>
      <w:r w:rsidRPr="00E03E6B">
        <w:rPr>
          <w:rFonts w:cstheme="minorHAnsi"/>
        </w:rPr>
        <w:t xml:space="preserve">, data collection instruments, and data collection system were revised in </w:t>
      </w:r>
      <w:r w:rsidRPr="00E03E6B" w:rsidR="00C312B8">
        <w:rPr>
          <w:rFonts w:cstheme="minorHAnsi"/>
        </w:rPr>
        <w:t>202</w:t>
      </w:r>
      <w:r w:rsidR="00C312B8">
        <w:rPr>
          <w:rFonts w:cstheme="minorHAnsi"/>
        </w:rPr>
        <w:t>5</w:t>
      </w:r>
      <w:r w:rsidRPr="00E03E6B" w:rsidR="00C312B8">
        <w:rPr>
          <w:rFonts w:cstheme="minorHAnsi"/>
        </w:rPr>
        <w:t xml:space="preserve"> </w:t>
      </w:r>
      <w:r w:rsidRPr="00E03E6B">
        <w:rPr>
          <w:rFonts w:cstheme="minorHAnsi"/>
        </w:rPr>
        <w:t xml:space="preserve">based on a targeted analysis of existing measures, feedback from key </w:t>
      </w:r>
      <w:r w:rsidR="00007F44">
        <w:rPr>
          <w:rFonts w:cstheme="minorHAnsi"/>
        </w:rPr>
        <w:t>audiences</w:t>
      </w:r>
      <w:r w:rsidRPr="00E03E6B">
        <w:rPr>
          <w:rFonts w:cstheme="minorHAnsi"/>
        </w:rPr>
        <w:t xml:space="preserve">, and discussions with ACF staff and the </w:t>
      </w:r>
      <w:r w:rsidRPr="00E03E6B" w:rsidR="00C312B8">
        <w:rPr>
          <w:rFonts w:cstheme="minorHAnsi"/>
        </w:rPr>
        <w:t>20</w:t>
      </w:r>
      <w:r w:rsidR="00C312B8">
        <w:rPr>
          <w:rFonts w:cstheme="minorHAnsi"/>
        </w:rPr>
        <w:t>20</w:t>
      </w:r>
      <w:r w:rsidRPr="00E03E6B" w:rsidR="00C312B8">
        <w:rPr>
          <w:rFonts w:cstheme="minorHAnsi"/>
        </w:rPr>
        <w:t xml:space="preserve"> </w:t>
      </w:r>
      <w:r w:rsidRPr="00E03E6B">
        <w:rPr>
          <w:rFonts w:cstheme="minorHAnsi"/>
        </w:rPr>
        <w:t>cohort of grant</w:t>
      </w:r>
      <w:r w:rsidR="00A8474D">
        <w:rPr>
          <w:rFonts w:cstheme="minorHAnsi"/>
        </w:rPr>
        <w:t xml:space="preserve"> recipients</w:t>
      </w:r>
      <w:r w:rsidRPr="00E03E6B">
        <w:rPr>
          <w:rFonts w:cstheme="minorHAnsi"/>
        </w:rPr>
        <w:t>.</w:t>
      </w:r>
      <w:r>
        <w:t xml:space="preserve"> </w:t>
      </w:r>
    </w:p>
    <w:p w:rsidR="001D1C73" w:rsidP="00110D5F" w14:paraId="1184C5C2" w14:textId="77777777">
      <w:pPr>
        <w:spacing w:after="0" w:line="240" w:lineRule="auto"/>
      </w:pPr>
    </w:p>
    <w:p w:rsidR="00110D5F" w:rsidRPr="009139B3" w:rsidP="00110D5F" w14:paraId="225CC3FE" w14:textId="77777777">
      <w:pPr>
        <w:spacing w:after="0" w:line="240" w:lineRule="auto"/>
      </w:pPr>
    </w:p>
    <w:p w:rsidR="001D1C73" w:rsidRPr="009139B3" w:rsidP="00110D5F" w14:paraId="2DA362B8" w14:textId="77777777">
      <w:pPr>
        <w:spacing w:after="120" w:line="240" w:lineRule="auto"/>
      </w:pPr>
      <w:r w:rsidRPr="009139B3">
        <w:rPr>
          <w:b/>
        </w:rPr>
        <w:t>A9</w:t>
      </w:r>
      <w:r w:rsidRPr="009139B3">
        <w:t>.</w:t>
      </w:r>
      <w:r w:rsidRPr="009139B3">
        <w:tab/>
      </w:r>
      <w:r w:rsidRPr="009139B3">
        <w:rPr>
          <w:b/>
        </w:rPr>
        <w:t>Tokens of Appreciation</w:t>
      </w:r>
    </w:p>
    <w:p w:rsidR="001D1C73" w:rsidRPr="009139B3" w:rsidP="00110D5F" w14:paraId="7735BE59" w14:textId="71060343">
      <w:pPr>
        <w:spacing w:after="0" w:line="240" w:lineRule="auto"/>
      </w:pPr>
      <w:r>
        <w:t xml:space="preserve">No tokens of appreciation are proposed for this information collection. </w:t>
      </w:r>
    </w:p>
    <w:p w:rsidR="00D349B5" w:rsidP="00110D5F" w14:paraId="0AEE8ED9" w14:textId="77777777">
      <w:pPr>
        <w:spacing w:after="0" w:line="240" w:lineRule="auto"/>
        <w:rPr>
          <w:b/>
        </w:rPr>
      </w:pPr>
    </w:p>
    <w:p w:rsidR="001D1C73" w:rsidRPr="009139B3" w:rsidP="00110D5F" w14:paraId="63D44C93" w14:textId="6423E39F">
      <w:pPr>
        <w:spacing w:after="120" w:line="240" w:lineRule="auto"/>
      </w:pPr>
      <w:r w:rsidRPr="009139B3">
        <w:rPr>
          <w:b/>
        </w:rPr>
        <w:t>A10</w:t>
      </w:r>
      <w:r w:rsidRPr="009139B3">
        <w:t>.</w:t>
      </w:r>
      <w:r w:rsidRPr="009139B3">
        <w:tab/>
      </w:r>
      <w:r w:rsidRPr="009139B3" w:rsidR="003D7728">
        <w:rPr>
          <w:b/>
        </w:rPr>
        <w:t>Privacy</w:t>
      </w:r>
      <w:r w:rsidRPr="009139B3" w:rsidR="003D7728">
        <w:rPr>
          <w:b/>
        </w:rPr>
        <w:t xml:space="preserve">:  </w:t>
      </w:r>
      <w:r w:rsidRPr="009139B3">
        <w:rPr>
          <w:b/>
        </w:rPr>
        <w:t>Procedures</w:t>
      </w:r>
      <w:r w:rsidRPr="009139B3">
        <w:rPr>
          <w:b/>
        </w:rPr>
        <w:t xml:space="preserve"> to protect privacy of information, while maximizing data sharing</w:t>
      </w:r>
    </w:p>
    <w:p w:rsidR="009C0792" w:rsidRPr="009139B3" w:rsidP="00110D5F" w14:paraId="2A074992" w14:textId="27F57446">
      <w:pPr>
        <w:spacing w:after="60" w:line="240" w:lineRule="auto"/>
        <w:rPr>
          <w:i/>
        </w:rPr>
      </w:pPr>
      <w:r w:rsidRPr="009139B3">
        <w:rPr>
          <w:i/>
        </w:rPr>
        <w:t>Personally Identifiable Information</w:t>
      </w:r>
      <w:r w:rsidR="003D7728">
        <w:rPr>
          <w:i/>
        </w:rPr>
        <w:t xml:space="preserve"> (PII)</w:t>
      </w:r>
    </w:p>
    <w:p w:rsidR="000C7B48" w:rsidP="00110D5F" w14:paraId="63F1DECD" w14:textId="054E2140">
      <w:pPr>
        <w:spacing w:after="0" w:line="240" w:lineRule="auto"/>
        <w:rPr>
          <w:rFonts w:cstheme="minorHAnsi"/>
        </w:rPr>
      </w:pPr>
      <w:r>
        <w:rPr>
          <w:rFonts w:cstheme="minorHAnsi"/>
        </w:rPr>
        <w:t>Grant</w:t>
      </w:r>
      <w:r w:rsidR="00A8474D">
        <w:rPr>
          <w:rFonts w:cstheme="minorHAnsi"/>
        </w:rPr>
        <w:t xml:space="preserve"> recipients</w:t>
      </w:r>
      <w:r>
        <w:rPr>
          <w:rFonts w:cstheme="minorHAnsi"/>
        </w:rPr>
        <w:t xml:space="preserve"> will collect</w:t>
      </w:r>
      <w:r>
        <w:rPr>
          <w:rFonts w:cstheme="minorHAnsi"/>
        </w:rPr>
        <w:t xml:space="preserve"> PII</w:t>
      </w:r>
      <w:r w:rsidR="00E00590">
        <w:rPr>
          <w:rFonts w:cstheme="minorHAnsi"/>
        </w:rPr>
        <w:t xml:space="preserve"> </w:t>
      </w:r>
      <w:r w:rsidR="0021365F">
        <w:rPr>
          <w:rFonts w:cstheme="minorHAnsi"/>
        </w:rPr>
        <w:t xml:space="preserve">from clients </w:t>
      </w:r>
      <w:r w:rsidR="00E00590">
        <w:rPr>
          <w:rFonts w:cstheme="minorHAnsi"/>
        </w:rPr>
        <w:t xml:space="preserve">including </w:t>
      </w:r>
      <w:r>
        <w:rPr>
          <w:rFonts w:cstheme="minorHAnsi"/>
        </w:rPr>
        <w:t>client</w:t>
      </w:r>
      <w:r w:rsidR="00E00590">
        <w:rPr>
          <w:rFonts w:cstheme="minorHAnsi"/>
        </w:rPr>
        <w:t xml:space="preserve">s’ first and last names, </w:t>
      </w:r>
      <w:r>
        <w:rPr>
          <w:rFonts w:cstheme="minorHAnsi"/>
        </w:rPr>
        <w:t>contact information</w:t>
      </w:r>
      <w:r w:rsidR="00BD501C">
        <w:rPr>
          <w:rFonts w:cstheme="minorHAnsi"/>
        </w:rPr>
        <w:t xml:space="preserve"> (telephone number, home and email addresses, and social media information)</w:t>
      </w:r>
      <w:r>
        <w:rPr>
          <w:rFonts w:cstheme="minorHAnsi"/>
        </w:rPr>
        <w:t>, and personal characteristics</w:t>
      </w:r>
      <w:r w:rsidR="00BC40C4">
        <w:rPr>
          <w:rFonts w:cstheme="minorHAnsi"/>
        </w:rPr>
        <w:t>. T</w:t>
      </w:r>
      <w:r>
        <w:rPr>
          <w:rFonts w:cstheme="minorHAnsi"/>
        </w:rPr>
        <w:t xml:space="preserve">his information will be stored in </w:t>
      </w:r>
      <w:r>
        <w:rPr>
          <w:rFonts w:cstheme="minorHAnsi"/>
        </w:rPr>
        <w:t>nFORM</w:t>
      </w:r>
      <w:r>
        <w:rPr>
          <w:rFonts w:cstheme="minorHAnsi"/>
        </w:rPr>
        <w:t xml:space="preserve"> so that grant</w:t>
      </w:r>
      <w:r w:rsidR="00A8474D">
        <w:rPr>
          <w:rFonts w:cstheme="minorHAnsi"/>
        </w:rPr>
        <w:t xml:space="preserve"> recipients</w:t>
      </w:r>
      <w:r>
        <w:rPr>
          <w:rFonts w:cstheme="minorHAnsi"/>
        </w:rPr>
        <w:t xml:space="preserve"> can conduct client case management and track services and outcomes for individual clients. Social security numbers will not be collected. </w:t>
      </w:r>
      <w:r w:rsidR="00503474">
        <w:rPr>
          <w:rFonts w:cstheme="minorHAnsi"/>
        </w:rPr>
        <w:t>ACF provides guidelines for grant</w:t>
      </w:r>
      <w:r w:rsidR="00A8474D">
        <w:rPr>
          <w:rFonts w:cstheme="minorHAnsi"/>
        </w:rPr>
        <w:t xml:space="preserve"> recipients</w:t>
      </w:r>
      <w:r w:rsidR="00503474">
        <w:rPr>
          <w:rFonts w:cstheme="minorHAnsi"/>
        </w:rPr>
        <w:t xml:space="preserve"> for protecting PII. </w:t>
      </w:r>
      <w:r w:rsidR="007222BB">
        <w:rPr>
          <w:rFonts w:cstheme="minorHAnsi"/>
        </w:rPr>
        <w:t xml:space="preserve">Only </w:t>
      </w:r>
      <w:r w:rsidR="007222BB">
        <w:rPr>
          <w:rFonts w:cstheme="minorHAnsi"/>
        </w:rPr>
        <w:t>nFORM</w:t>
      </w:r>
      <w:r w:rsidR="007222BB">
        <w:rPr>
          <w:rFonts w:cstheme="minorHAnsi"/>
        </w:rPr>
        <w:t xml:space="preserve"> contractor staff responsible for ensuring data quality have access to PII; limiting the number of contractor staff with access to PII reduces the risk of disclosure. </w:t>
      </w:r>
    </w:p>
    <w:p w:rsidR="000C7B48" w:rsidP="00110D5F" w14:paraId="36BC5015" w14:textId="77777777">
      <w:pPr>
        <w:spacing w:after="0" w:line="240" w:lineRule="auto"/>
        <w:rPr>
          <w:rFonts w:cstheme="minorHAnsi"/>
        </w:rPr>
      </w:pPr>
    </w:p>
    <w:p w:rsidR="009C0792" w:rsidRPr="009139B3" w:rsidP="00110D5F" w14:paraId="337148FB" w14:textId="77777777">
      <w:pPr>
        <w:spacing w:after="60" w:line="240" w:lineRule="auto"/>
        <w:rPr>
          <w:i/>
        </w:rPr>
      </w:pPr>
      <w:r w:rsidRPr="009139B3">
        <w:rPr>
          <w:i/>
        </w:rPr>
        <w:t>Assurances of Privacy</w:t>
      </w:r>
    </w:p>
    <w:p w:rsidR="001D1C73" w:rsidRPr="009139B3" w:rsidP="00110D5F" w14:paraId="3B371F60" w14:textId="702E6270">
      <w:pPr>
        <w:spacing w:after="0" w:line="240" w:lineRule="auto"/>
        <w:rPr>
          <w:rFonts w:cstheme="minorHAnsi"/>
        </w:rPr>
      </w:pPr>
      <w:r w:rsidRPr="009139B3">
        <w:rPr>
          <w:rFonts w:cstheme="minorHAnsi"/>
        </w:rPr>
        <w:t xml:space="preserve">Information collected will be kept private to the extent permitted by law. Respondents </w:t>
      </w:r>
      <w:r w:rsidR="00780975">
        <w:rPr>
          <w:rFonts w:cstheme="minorHAnsi"/>
        </w:rPr>
        <w:t>are</w:t>
      </w:r>
      <w:r w:rsidR="00DA3497">
        <w:rPr>
          <w:rFonts w:cstheme="minorHAnsi"/>
        </w:rPr>
        <w:t xml:space="preserve"> </w:t>
      </w:r>
      <w:r w:rsidRPr="009139B3">
        <w:rPr>
          <w:rFonts w:cstheme="minorHAnsi"/>
        </w:rPr>
        <w:t xml:space="preserve">informed of all planned uses of data, that their participation is voluntary, and that their information will be kept private to the extent permitted by law. As specified in </w:t>
      </w:r>
      <w:r w:rsidR="00CB09BB">
        <w:rPr>
          <w:rFonts w:cstheme="minorHAnsi"/>
        </w:rPr>
        <w:t xml:space="preserve">its contract as well as in </w:t>
      </w:r>
      <w:r w:rsidRPr="009139B3">
        <w:rPr>
          <w:rFonts w:cstheme="minorHAnsi"/>
        </w:rPr>
        <w:t xml:space="preserve">the </w:t>
      </w:r>
      <w:r w:rsidR="007331F5">
        <w:rPr>
          <w:rFonts w:cstheme="minorHAnsi"/>
        </w:rPr>
        <w:t xml:space="preserve">ATO for the </w:t>
      </w:r>
      <w:r w:rsidR="007331F5">
        <w:rPr>
          <w:rFonts w:cstheme="minorHAnsi"/>
        </w:rPr>
        <w:t>nFORM</w:t>
      </w:r>
      <w:r w:rsidR="007331F5">
        <w:rPr>
          <w:rFonts w:cstheme="minorHAnsi"/>
        </w:rPr>
        <w:t xml:space="preserve"> system</w:t>
      </w:r>
      <w:r w:rsidRPr="009139B3">
        <w:rPr>
          <w:rFonts w:cstheme="minorHAnsi"/>
        </w:rPr>
        <w:t xml:space="preserve">, the </w:t>
      </w:r>
      <w:r w:rsidR="000C23AE">
        <w:rPr>
          <w:rFonts w:cstheme="minorHAnsi"/>
        </w:rPr>
        <w:t>c</w:t>
      </w:r>
      <w:r w:rsidRPr="009139B3">
        <w:rPr>
          <w:rFonts w:cstheme="minorHAnsi"/>
        </w:rPr>
        <w:t xml:space="preserve">ontractor </w:t>
      </w:r>
      <w:r w:rsidR="0001064A">
        <w:rPr>
          <w:rFonts w:cstheme="minorHAnsi"/>
        </w:rPr>
        <w:t xml:space="preserve">managing the </w:t>
      </w:r>
      <w:r w:rsidR="0001064A">
        <w:rPr>
          <w:rFonts w:cstheme="minorHAnsi"/>
        </w:rPr>
        <w:t>nFORM</w:t>
      </w:r>
      <w:r w:rsidR="0001064A">
        <w:rPr>
          <w:rFonts w:cstheme="minorHAnsi"/>
        </w:rPr>
        <w:t xml:space="preserve"> system </w:t>
      </w:r>
      <w:r w:rsidRPr="009139B3">
        <w:rPr>
          <w:rFonts w:cstheme="minorHAnsi"/>
        </w:rPr>
        <w:t>will comply with all Federal and Departmental regulations for private information.</w:t>
      </w:r>
    </w:p>
    <w:p w:rsidR="001D1C73" w:rsidP="00110D5F" w14:paraId="4CBB7BE4" w14:textId="1B282B0F">
      <w:pPr>
        <w:spacing w:after="0" w:line="240" w:lineRule="auto"/>
        <w:rPr>
          <w:rFonts w:cstheme="minorHAnsi"/>
        </w:rPr>
      </w:pPr>
    </w:p>
    <w:p w:rsidR="00F759E7" w:rsidP="00110D5F" w14:paraId="15973D94" w14:textId="13F2CCE6">
      <w:pPr>
        <w:spacing w:after="0" w:line="240" w:lineRule="auto"/>
      </w:pPr>
      <w:r>
        <w:t xml:space="preserve">At least some of the information collected under this ICR will likely be retrieved by an individual’s personal identifier in a way that triggers the Privacy Act of 1974, as amended (5 U.S.C. 552a). The system of records notice (SORN) for this collection is </w:t>
      </w:r>
      <w:r w:rsidR="00FC1427">
        <w:t xml:space="preserve">ACF </w:t>
      </w:r>
      <w:r>
        <w:t xml:space="preserve">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  </w:t>
      </w:r>
    </w:p>
    <w:p w:rsidR="00F759E7" w:rsidRPr="009139B3" w:rsidP="00110D5F" w14:paraId="6F08A34E" w14:textId="77777777">
      <w:pPr>
        <w:spacing w:after="0" w:line="240" w:lineRule="auto"/>
        <w:rPr>
          <w:rFonts w:cstheme="minorHAnsi"/>
        </w:rPr>
      </w:pPr>
    </w:p>
    <w:p w:rsidR="001D1C73" w:rsidRPr="009139B3" w:rsidP="00110D5F" w14:paraId="4F8CC7BF" w14:textId="535BB06A">
      <w:pPr>
        <w:spacing w:after="0" w:line="240" w:lineRule="auto"/>
        <w:rPr>
          <w:rFonts w:eastAsia="Times New Roman" w:cstheme="minorHAnsi"/>
        </w:rPr>
      </w:pPr>
      <w:r>
        <w:rPr>
          <w:rFonts w:cstheme="minorHAnsi"/>
        </w:rPr>
        <w:t>G</w:t>
      </w:r>
      <w:r w:rsidRPr="00C25413" w:rsidR="00BD501C">
        <w:rPr>
          <w:rFonts w:cstheme="minorHAnsi"/>
        </w:rPr>
        <w:t>rant</w:t>
      </w:r>
      <w:r>
        <w:rPr>
          <w:rFonts w:cstheme="minorHAnsi"/>
        </w:rPr>
        <w:t xml:space="preserve"> recipients</w:t>
      </w:r>
      <w:r w:rsidRPr="00C25413" w:rsidR="004160BF">
        <w:rPr>
          <w:rFonts w:cstheme="minorHAnsi"/>
        </w:rPr>
        <w:t xml:space="preserve"> </w:t>
      </w:r>
      <w:r w:rsidRPr="00C25413" w:rsidR="00BD501C">
        <w:rPr>
          <w:rFonts w:cstheme="minorHAnsi"/>
        </w:rPr>
        <w:t xml:space="preserve">are responsible for obtaining any necessary </w:t>
      </w:r>
      <w:r w:rsidR="00BD501C">
        <w:rPr>
          <w:rFonts w:cstheme="minorHAnsi"/>
        </w:rPr>
        <w:t>independent review board</w:t>
      </w:r>
      <w:r w:rsidRPr="00C25413" w:rsidR="00BD501C">
        <w:rPr>
          <w:rFonts w:cstheme="minorHAnsi"/>
        </w:rPr>
        <w:t xml:space="preserve"> </w:t>
      </w:r>
      <w:r w:rsidR="00BD501C">
        <w:rPr>
          <w:rFonts w:cstheme="minorHAnsi"/>
        </w:rPr>
        <w:t xml:space="preserve">(IRB) </w:t>
      </w:r>
      <w:r w:rsidRPr="00C25413" w:rsidR="00BD501C">
        <w:rPr>
          <w:rFonts w:cstheme="minorHAnsi"/>
        </w:rPr>
        <w:t xml:space="preserve">approvals for their </w:t>
      </w:r>
      <w:r w:rsidR="0021365F">
        <w:rPr>
          <w:rFonts w:cstheme="minorHAnsi"/>
        </w:rPr>
        <w:t xml:space="preserve">performance measures </w:t>
      </w:r>
      <w:r w:rsidRPr="00C25413" w:rsidR="00BD501C">
        <w:rPr>
          <w:rFonts w:cstheme="minorHAnsi"/>
        </w:rPr>
        <w:t xml:space="preserve">data collection, including the necessary consent procedures. </w:t>
      </w:r>
      <w:r w:rsidR="0021365F">
        <w:rPr>
          <w:rFonts w:cstheme="minorHAnsi"/>
        </w:rPr>
        <w:t>If applicable, the IRBs are responsible for reviewing and approving the procedures that grant</w:t>
      </w:r>
      <w:r>
        <w:rPr>
          <w:rFonts w:cstheme="minorHAnsi"/>
        </w:rPr>
        <w:t xml:space="preserve"> recipients</w:t>
      </w:r>
      <w:r w:rsidR="0021365F">
        <w:rPr>
          <w:rFonts w:cstheme="minorHAnsi"/>
        </w:rPr>
        <w:t xml:space="preserve"> have in place for protecting PII. </w:t>
      </w:r>
      <w:r w:rsidR="00503474">
        <w:rPr>
          <w:rFonts w:eastAsia="Times New Roman" w:cstheme="minorHAnsi"/>
        </w:rPr>
        <w:t>Each grant</w:t>
      </w:r>
      <w:r>
        <w:rPr>
          <w:rFonts w:eastAsia="Times New Roman" w:cstheme="minorHAnsi"/>
        </w:rPr>
        <w:t xml:space="preserve"> recipient</w:t>
      </w:r>
      <w:r w:rsidR="00503474">
        <w:rPr>
          <w:rFonts w:eastAsia="Times New Roman" w:cstheme="minorHAnsi"/>
        </w:rPr>
        <w:t xml:space="preserve"> execute</w:t>
      </w:r>
      <w:r w:rsidR="00DA3497">
        <w:rPr>
          <w:rFonts w:eastAsia="Times New Roman" w:cstheme="minorHAnsi"/>
        </w:rPr>
        <w:t>d</w:t>
      </w:r>
      <w:r w:rsidR="00503474">
        <w:rPr>
          <w:rFonts w:eastAsia="Times New Roman" w:cstheme="minorHAnsi"/>
        </w:rPr>
        <w:t xml:space="preserve"> a data sharing and user agreement with the </w:t>
      </w:r>
      <w:r w:rsidR="00503474">
        <w:rPr>
          <w:rFonts w:eastAsia="Times New Roman" w:cstheme="minorHAnsi"/>
        </w:rPr>
        <w:t>nFORM</w:t>
      </w:r>
      <w:r w:rsidR="00503474">
        <w:rPr>
          <w:rFonts w:eastAsia="Times New Roman" w:cstheme="minorHAnsi"/>
        </w:rPr>
        <w:t xml:space="preserve"> </w:t>
      </w:r>
      <w:r w:rsidR="000C23AE">
        <w:rPr>
          <w:rFonts w:eastAsia="Times New Roman" w:cstheme="minorHAnsi"/>
        </w:rPr>
        <w:t>c</w:t>
      </w:r>
      <w:r w:rsidR="00503474">
        <w:rPr>
          <w:rFonts w:eastAsia="Times New Roman" w:cstheme="minorHAnsi"/>
        </w:rPr>
        <w:t>ontractor to document data security and data sharing requirements in connection with the grant</w:t>
      </w:r>
      <w:r>
        <w:rPr>
          <w:rFonts w:eastAsia="Times New Roman" w:cstheme="minorHAnsi"/>
        </w:rPr>
        <w:t xml:space="preserve"> recipient’s</w:t>
      </w:r>
      <w:r w:rsidR="00503474">
        <w:rPr>
          <w:rFonts w:eastAsia="Times New Roman" w:cstheme="minorHAnsi"/>
        </w:rPr>
        <w:t xml:space="preserve"> use of </w:t>
      </w:r>
      <w:r w:rsidR="00503474">
        <w:rPr>
          <w:rFonts w:eastAsia="Times New Roman" w:cstheme="minorHAnsi"/>
        </w:rPr>
        <w:t>nFORM</w:t>
      </w:r>
      <w:r w:rsidR="00503474">
        <w:rPr>
          <w:rFonts w:eastAsia="Times New Roman" w:cstheme="minorHAnsi"/>
        </w:rPr>
        <w:t xml:space="preserve">. </w:t>
      </w:r>
      <w:r w:rsidR="00BD501C">
        <w:rPr>
          <w:rFonts w:cstheme="minorHAnsi"/>
        </w:rPr>
        <w:t xml:space="preserve">The </w:t>
      </w:r>
      <w:r w:rsidR="00BD501C">
        <w:rPr>
          <w:rFonts w:cstheme="minorHAnsi"/>
        </w:rPr>
        <w:t>nFORM</w:t>
      </w:r>
      <w:r w:rsidR="00BD501C">
        <w:rPr>
          <w:rFonts w:cstheme="minorHAnsi"/>
        </w:rPr>
        <w:t xml:space="preserve"> </w:t>
      </w:r>
      <w:r w:rsidR="000C23AE">
        <w:rPr>
          <w:rFonts w:cstheme="minorHAnsi"/>
        </w:rPr>
        <w:t>c</w:t>
      </w:r>
      <w:r w:rsidR="00BD501C">
        <w:rPr>
          <w:rFonts w:cstheme="minorHAnsi"/>
        </w:rPr>
        <w:t xml:space="preserve">ontractor </w:t>
      </w:r>
      <w:r w:rsidR="0057789A">
        <w:rPr>
          <w:rFonts w:cstheme="minorHAnsi"/>
        </w:rPr>
        <w:t>received</w:t>
      </w:r>
      <w:r w:rsidR="00B82CD2">
        <w:rPr>
          <w:rFonts w:cstheme="minorHAnsi"/>
        </w:rPr>
        <w:t xml:space="preserve"> an exemption</w:t>
      </w:r>
      <w:r w:rsidR="00BD501C">
        <w:rPr>
          <w:rFonts w:cstheme="minorHAnsi"/>
        </w:rPr>
        <w:t xml:space="preserve"> from an IRB to use the performance measures data to generate descriptive analyses for ACF</w:t>
      </w:r>
      <w:r w:rsidR="00844A48">
        <w:rPr>
          <w:rFonts w:cstheme="minorHAnsi"/>
        </w:rPr>
        <w:t>.</w:t>
      </w:r>
      <w:r w:rsidR="003E4426">
        <w:rPr>
          <w:rFonts w:cstheme="minorHAnsi"/>
        </w:rPr>
        <w:t xml:space="preserve"> </w:t>
      </w:r>
      <w:r w:rsidR="00897ED2">
        <w:rPr>
          <w:rFonts w:eastAsia="Times New Roman" w:cstheme="minorHAnsi"/>
        </w:rPr>
        <w:t>T</w:t>
      </w:r>
      <w:r w:rsidRPr="009139B3">
        <w:rPr>
          <w:rFonts w:eastAsia="Times New Roman" w:cstheme="minorHAnsi"/>
        </w:rPr>
        <w:t xml:space="preserve">he </w:t>
      </w:r>
      <w:r w:rsidR="00741990">
        <w:rPr>
          <w:rFonts w:eastAsia="Times New Roman" w:cstheme="minorHAnsi"/>
        </w:rPr>
        <w:t>nFORM</w:t>
      </w:r>
      <w:r w:rsidR="00741990">
        <w:rPr>
          <w:rFonts w:eastAsia="Times New Roman" w:cstheme="minorHAnsi"/>
        </w:rPr>
        <w:t xml:space="preserve"> </w:t>
      </w:r>
      <w:r w:rsidR="000C23AE">
        <w:rPr>
          <w:rFonts w:eastAsia="Times New Roman" w:cstheme="minorHAnsi"/>
        </w:rPr>
        <w:t>c</w:t>
      </w:r>
      <w:r w:rsidR="0001064A">
        <w:rPr>
          <w:rFonts w:eastAsia="Times New Roman" w:cstheme="minorHAnsi"/>
        </w:rPr>
        <w:t>ontractor</w:t>
      </w:r>
      <w:r w:rsidRPr="009139B3">
        <w:rPr>
          <w:rFonts w:eastAsia="Times New Roman" w:cstheme="minorHAnsi"/>
        </w:rPr>
        <w:t xml:space="preserve"> </w:t>
      </w:r>
      <w:r w:rsidR="00C312B8">
        <w:rPr>
          <w:rFonts w:eastAsia="Times New Roman" w:cstheme="minorHAnsi"/>
        </w:rPr>
        <w:t xml:space="preserve">has previously </w:t>
      </w:r>
      <w:r w:rsidR="00776543">
        <w:rPr>
          <w:rFonts w:eastAsia="Times New Roman" w:cstheme="minorHAnsi"/>
        </w:rPr>
        <w:t xml:space="preserve">applied for </w:t>
      </w:r>
      <w:r w:rsidR="00897ED2">
        <w:rPr>
          <w:rFonts w:eastAsia="Times New Roman" w:cstheme="minorHAnsi"/>
        </w:rPr>
        <w:t xml:space="preserve">a Certificate of Confidentiality </w:t>
      </w:r>
      <w:r w:rsidR="00C312B8">
        <w:rPr>
          <w:rFonts w:eastAsia="Times New Roman" w:cstheme="minorHAnsi"/>
        </w:rPr>
        <w:t xml:space="preserve">for analysis of HMRF performance data </w:t>
      </w:r>
      <w:r w:rsidR="00897ED2">
        <w:rPr>
          <w:rFonts w:eastAsia="Times New Roman" w:cstheme="minorHAnsi"/>
        </w:rPr>
        <w:t xml:space="preserve">and was advised by NIH that it was not applicable to </w:t>
      </w:r>
      <w:r>
        <w:rPr>
          <w:rFonts w:eastAsia="Times New Roman" w:cstheme="minorHAnsi"/>
        </w:rPr>
        <w:t>the planned analyses for ACF.</w:t>
      </w:r>
    </w:p>
    <w:p w:rsidR="001D1C73" w:rsidRPr="009139B3" w:rsidP="00110D5F" w14:paraId="66D7D622" w14:textId="77777777">
      <w:pPr>
        <w:spacing w:after="0" w:line="240" w:lineRule="auto"/>
        <w:rPr>
          <w:rFonts w:cstheme="minorHAnsi"/>
        </w:rPr>
      </w:pPr>
    </w:p>
    <w:p w:rsidR="001D1C73" w:rsidRPr="009139B3" w:rsidP="00110D5F" w14:paraId="013EB7D6" w14:textId="77777777">
      <w:pPr>
        <w:spacing w:after="60" w:line="240" w:lineRule="auto"/>
        <w:rPr>
          <w:rFonts w:cstheme="minorHAnsi"/>
          <w:i/>
        </w:rPr>
      </w:pPr>
      <w:r w:rsidRPr="009139B3">
        <w:rPr>
          <w:rFonts w:cstheme="minorHAnsi"/>
          <w:i/>
        </w:rPr>
        <w:t>Data Security and Monitoring</w:t>
      </w:r>
    </w:p>
    <w:p w:rsidR="007222BB" w:rsidRPr="007222BB" w:rsidP="00110D5F" w14:paraId="393B52BC" w14:textId="77777777">
      <w:pPr>
        <w:pStyle w:val="NormalSS"/>
        <w:spacing w:after="120"/>
        <w:jc w:val="both"/>
        <w:rPr>
          <w:rFonts w:cstheme="minorHAnsi"/>
        </w:rPr>
      </w:pPr>
      <w:r w:rsidRPr="007222BB">
        <w:rPr>
          <w:rFonts w:cstheme="minorHAnsi"/>
        </w:rPr>
        <w:t xml:space="preserve">In all data collection and performance reporting efforts, ACF has taken the following specific measures to protect respondents’ privacy: </w:t>
      </w:r>
    </w:p>
    <w:p w:rsidR="007222BB" w:rsidRPr="007222BB" w:rsidP="00110D5F" w14:paraId="33E1C5DF" w14:textId="31D52234">
      <w:pPr>
        <w:pStyle w:val="BulletBlack"/>
        <w:ind w:left="720" w:hanging="288"/>
        <w:jc w:val="both"/>
        <w:rPr>
          <w:rFonts w:cstheme="minorHAnsi"/>
          <w:b/>
        </w:rPr>
      </w:pPr>
      <w:r w:rsidRPr="007222BB">
        <w:rPr>
          <w:rFonts w:cstheme="minorHAnsi"/>
          <w:b/>
        </w:rPr>
        <w:t>Adopt strict security measures and web security best practices to protect data collected through</w:t>
      </w:r>
      <w:r w:rsidR="006F0F13">
        <w:rPr>
          <w:rFonts w:cstheme="minorHAnsi"/>
          <w:b/>
        </w:rPr>
        <w:t xml:space="preserve"> </w:t>
      </w:r>
      <w:r w:rsidR="006F0F13">
        <w:rPr>
          <w:rFonts w:cstheme="minorHAnsi"/>
          <w:b/>
        </w:rPr>
        <w:t>nFORM</w:t>
      </w:r>
      <w:r w:rsidRPr="007222BB">
        <w:rPr>
          <w:rFonts w:cstheme="minorHAnsi"/>
          <w:b/>
        </w:rPr>
        <w:t xml:space="preserve">. </w:t>
      </w:r>
      <w:r w:rsidRPr="007222BB">
        <w:rPr>
          <w:rFonts w:cstheme="minorHAnsi"/>
        </w:rPr>
        <w:t xml:space="preserve">Data entered into </w:t>
      </w:r>
      <w:r w:rsidRPr="007222BB">
        <w:rPr>
          <w:rFonts w:cstheme="minorHAnsi"/>
        </w:rPr>
        <w:t>nFORM</w:t>
      </w:r>
      <w:r w:rsidRPr="007222BB">
        <w:rPr>
          <w:rFonts w:cstheme="minorHAnsi"/>
        </w:rPr>
        <w:t xml:space="preserve"> are housed </w:t>
      </w:r>
      <w:r>
        <w:rPr>
          <w:rFonts w:cstheme="minorHAnsi"/>
        </w:rPr>
        <w:t>in a</w:t>
      </w:r>
      <w:r w:rsidRPr="007222BB">
        <w:rPr>
          <w:rFonts w:cstheme="minorHAnsi"/>
        </w:rPr>
        <w:t xml:space="preserve"> secure</w:t>
      </w:r>
      <w:r>
        <w:rPr>
          <w:rFonts w:cstheme="minorHAnsi"/>
        </w:rPr>
        <w:t xml:space="preserve"> A</w:t>
      </w:r>
      <w:r w:rsidR="0006315F">
        <w:rPr>
          <w:rFonts w:cstheme="minorHAnsi"/>
        </w:rPr>
        <w:t xml:space="preserve">mazon </w:t>
      </w:r>
      <w:r>
        <w:rPr>
          <w:rFonts w:cstheme="minorHAnsi"/>
        </w:rPr>
        <w:t>W</w:t>
      </w:r>
      <w:r w:rsidR="0006315F">
        <w:rPr>
          <w:rFonts w:cstheme="minorHAnsi"/>
        </w:rPr>
        <w:t xml:space="preserve">eb </w:t>
      </w:r>
      <w:r>
        <w:rPr>
          <w:rFonts w:cstheme="minorHAnsi"/>
        </w:rPr>
        <w:t>S</w:t>
      </w:r>
      <w:r w:rsidR="0006315F">
        <w:rPr>
          <w:rFonts w:cstheme="minorHAnsi"/>
        </w:rPr>
        <w:t>ervices (AWS)</w:t>
      </w:r>
      <w:r>
        <w:rPr>
          <w:rFonts w:cstheme="minorHAnsi"/>
        </w:rPr>
        <w:t xml:space="preserve"> cloud-based environment</w:t>
      </w:r>
      <w:r w:rsidRPr="007222BB">
        <w:rPr>
          <w:rFonts w:cstheme="minorHAnsi"/>
        </w:rPr>
        <w:t xml:space="preserve"> that conform</w:t>
      </w:r>
      <w:r>
        <w:rPr>
          <w:rFonts w:cstheme="minorHAnsi"/>
        </w:rPr>
        <w:t>s</w:t>
      </w:r>
      <w:r w:rsidRPr="007222BB">
        <w:rPr>
          <w:rFonts w:cstheme="minorHAnsi"/>
        </w:rPr>
        <w:t xml:space="preserve"> to the requirements of the HHS Information Security Program Policy. </w:t>
      </w:r>
      <w:r>
        <w:rPr>
          <w:rFonts w:cstheme="minorHAnsi"/>
        </w:rPr>
        <w:t>nFORM</w:t>
      </w:r>
      <w:r w:rsidRPr="007222BB">
        <w:rPr>
          <w:rFonts w:cstheme="minorHAnsi"/>
        </w:rPr>
        <w:t xml:space="preserve"> employs strict security measures and web security best practices to </w:t>
      </w:r>
      <w:r w:rsidR="00544F3C">
        <w:rPr>
          <w:rFonts w:cstheme="minorHAnsi"/>
        </w:rPr>
        <w:t>securely and safely</w:t>
      </w:r>
      <w:r w:rsidRPr="007222BB">
        <w:rPr>
          <w:rFonts w:cstheme="minorHAnsi"/>
        </w:rPr>
        <w:t xml:space="preserve"> submit, store, maintain, and disseminate</w:t>
      </w:r>
      <w:r w:rsidR="00544F3C">
        <w:rPr>
          <w:rFonts w:cstheme="minorHAnsi"/>
        </w:rPr>
        <w:t xml:space="preserve"> data</w:t>
      </w:r>
      <w:r w:rsidRPr="007222BB">
        <w:rPr>
          <w:rFonts w:cstheme="minorHAnsi"/>
        </w:rPr>
        <w:t xml:space="preserve">. Strict security </w:t>
      </w:r>
      <w:r w:rsidRPr="007222BB">
        <w:rPr>
          <w:rFonts w:cstheme="minorHAnsi"/>
        </w:rPr>
        <w:t xml:space="preserve">measures are employed to protect the privacy of </w:t>
      </w:r>
      <w:r>
        <w:rPr>
          <w:rFonts w:cstheme="minorHAnsi"/>
        </w:rPr>
        <w:t>client</w:t>
      </w:r>
      <w:r w:rsidRPr="007222BB">
        <w:rPr>
          <w:rFonts w:cstheme="minorHAnsi"/>
        </w:rPr>
        <w:t xml:space="preserve"> information stored in the system including data authentication, monitoring, auditing, and encryption. Specific security procedures include, but are not limited to:</w:t>
      </w:r>
    </w:p>
    <w:p w:rsidR="007222BB" w:rsidRPr="007222BB" w:rsidP="00110D5F" w14:paraId="7770D21A" w14:textId="32C7EEC1">
      <w:pPr>
        <w:pStyle w:val="NormalSS"/>
        <w:numPr>
          <w:ilvl w:val="0"/>
          <w:numId w:val="5"/>
        </w:numPr>
        <w:spacing w:after="120"/>
        <w:jc w:val="both"/>
        <w:rPr>
          <w:rFonts w:cstheme="minorHAnsi"/>
        </w:rPr>
      </w:pPr>
      <w:r w:rsidRPr="007222BB">
        <w:rPr>
          <w:rFonts w:cstheme="minorHAnsi"/>
        </w:rPr>
        <w:t>nFORM</w:t>
      </w:r>
      <w:r w:rsidRPr="007222BB">
        <w:rPr>
          <w:rFonts w:cstheme="minorHAnsi"/>
        </w:rPr>
        <w:t xml:space="preserve"> </w:t>
      </w:r>
      <w:r w:rsidR="003C5C24">
        <w:rPr>
          <w:rFonts w:cstheme="minorHAnsi"/>
        </w:rPr>
        <w:t>received</w:t>
      </w:r>
      <w:r w:rsidR="00B76D41">
        <w:rPr>
          <w:rFonts w:cstheme="minorHAnsi"/>
        </w:rPr>
        <w:t xml:space="preserve"> </w:t>
      </w:r>
      <w:r w:rsidRPr="007222BB">
        <w:rPr>
          <w:rFonts w:cstheme="minorHAnsi"/>
        </w:rPr>
        <w:t>an ATO</w:t>
      </w:r>
      <w:r w:rsidR="0046460A">
        <w:rPr>
          <w:rFonts w:cstheme="minorHAnsi"/>
        </w:rPr>
        <w:t xml:space="preserve"> </w:t>
      </w:r>
      <w:r w:rsidRPr="007222BB">
        <w:rPr>
          <w:rFonts w:cstheme="minorHAnsi"/>
        </w:rPr>
        <w:t>from HHS</w:t>
      </w:r>
      <w:r w:rsidR="003C5C24">
        <w:rPr>
          <w:rFonts w:cstheme="minorHAnsi"/>
        </w:rPr>
        <w:t xml:space="preserve"> in 2021</w:t>
      </w:r>
      <w:r w:rsidRPr="007222BB">
        <w:rPr>
          <w:rFonts w:cstheme="minorHAnsi"/>
        </w:rPr>
        <w:t xml:space="preserve">. The ATO </w:t>
      </w:r>
      <w:r w:rsidR="00C312B8">
        <w:rPr>
          <w:rFonts w:cstheme="minorHAnsi"/>
        </w:rPr>
        <w:t>was</w:t>
      </w:r>
      <w:r w:rsidRPr="007222BB">
        <w:rPr>
          <w:rFonts w:cstheme="minorHAnsi"/>
        </w:rPr>
        <w:t xml:space="preserve"> renewed during </w:t>
      </w:r>
      <w:r>
        <w:rPr>
          <w:rFonts w:cstheme="minorHAnsi"/>
        </w:rPr>
        <w:t>2024</w:t>
      </w:r>
      <w:r w:rsidRPr="007222BB">
        <w:rPr>
          <w:rFonts w:cstheme="minorHAnsi"/>
        </w:rPr>
        <w:t xml:space="preserve"> per the HHS security policy.</w:t>
      </w:r>
    </w:p>
    <w:p w:rsidR="007222BB" w:rsidRPr="007222BB" w:rsidP="00110D5F" w14:paraId="3E392455" w14:textId="77777777">
      <w:pPr>
        <w:pStyle w:val="NormalSS"/>
        <w:numPr>
          <w:ilvl w:val="0"/>
          <w:numId w:val="5"/>
        </w:numPr>
        <w:spacing w:after="120"/>
        <w:jc w:val="both"/>
        <w:rPr>
          <w:rFonts w:cstheme="minorHAnsi"/>
          <w:b/>
        </w:rPr>
      </w:pPr>
      <w:r w:rsidRPr="007222BB">
        <w:rPr>
          <w:rFonts w:cstheme="minorHAnsi"/>
        </w:rPr>
        <w:t>All data are encrypted in transit (using TLS protocol backward compatible to SSL).</w:t>
      </w:r>
    </w:p>
    <w:p w:rsidR="007222BB" w:rsidRPr="007222BB" w:rsidP="00110D5F" w14:paraId="3133B882" w14:textId="77777777">
      <w:pPr>
        <w:pStyle w:val="NormalSS"/>
        <w:numPr>
          <w:ilvl w:val="0"/>
          <w:numId w:val="5"/>
        </w:numPr>
        <w:spacing w:after="120"/>
        <w:jc w:val="both"/>
        <w:rPr>
          <w:rFonts w:cstheme="minorHAnsi"/>
          <w:b/>
        </w:rPr>
      </w:pPr>
      <w:r w:rsidRPr="007222BB">
        <w:rPr>
          <w:rFonts w:cstheme="minorHAnsi"/>
        </w:rPr>
        <w:t>Data are encrypted at rest and reside behind firewalls.</w:t>
      </w:r>
    </w:p>
    <w:p w:rsidR="007222BB" w:rsidRPr="007222BB" w:rsidP="00110D5F" w14:paraId="283A0EB9" w14:textId="77777777">
      <w:pPr>
        <w:pStyle w:val="NormalSS"/>
        <w:numPr>
          <w:ilvl w:val="0"/>
          <w:numId w:val="5"/>
        </w:numPr>
        <w:spacing w:after="60"/>
        <w:jc w:val="both"/>
        <w:rPr>
          <w:rFonts w:cstheme="minorHAnsi"/>
          <w:b/>
        </w:rPr>
      </w:pPr>
      <w:r w:rsidRPr="007222BB">
        <w:rPr>
          <w:rFonts w:cstheme="minorHAnsi"/>
        </w:rPr>
        <w:t>nFORM</w:t>
      </w:r>
      <w:r w:rsidRPr="007222BB">
        <w:rPr>
          <w:rFonts w:cstheme="minorHAnsi"/>
        </w:rPr>
        <w:t xml:space="preserve"> users can access the system only within the scope of their assigned roles and responsibilities:</w:t>
      </w:r>
    </w:p>
    <w:p w:rsidR="00A55F3F" w:rsidRPr="007222BB" w:rsidP="00110D5F" w14:paraId="42D2CD91" w14:textId="3C5509F7">
      <w:pPr>
        <w:pStyle w:val="Dash"/>
        <w:numPr>
          <w:ilvl w:val="0"/>
          <w:numId w:val="6"/>
        </w:numPr>
        <w:spacing w:after="60"/>
        <w:rPr>
          <w:b/>
        </w:rPr>
      </w:pPr>
      <w:r>
        <w:t>Among contractor staff, o</w:t>
      </w:r>
      <w:r w:rsidRPr="007222BB" w:rsidR="007222BB">
        <w:t xml:space="preserve">nly authorized </w:t>
      </w:r>
      <w:r>
        <w:t>users</w:t>
      </w:r>
      <w:r w:rsidRPr="007222BB" w:rsidR="007222BB">
        <w:t xml:space="preserve"> have access to the </w:t>
      </w:r>
      <w:r w:rsidRPr="007222BB" w:rsidR="007222BB">
        <w:t>securely-held</w:t>
      </w:r>
      <w:r w:rsidRPr="007222BB" w:rsidR="007222BB">
        <w:t xml:space="preserve"> individual-level data. </w:t>
      </w:r>
      <w:r w:rsidRPr="007222BB">
        <w:t xml:space="preserve">Other </w:t>
      </w:r>
      <w:r>
        <w:t>contractor</w:t>
      </w:r>
      <w:r w:rsidRPr="007222BB">
        <w:t xml:space="preserve"> staff have access only to auto-generated reports that provide aggregated information only. </w:t>
      </w:r>
    </w:p>
    <w:p w:rsidR="007222BB" w:rsidRPr="007222BB" w:rsidP="00110D5F" w14:paraId="4BCD82D0" w14:textId="7885B127">
      <w:pPr>
        <w:pStyle w:val="Dash"/>
        <w:numPr>
          <w:ilvl w:val="0"/>
          <w:numId w:val="6"/>
        </w:numPr>
        <w:tabs>
          <w:tab w:val="clear" w:pos="288"/>
          <w:tab w:val="left" w:pos="1080"/>
        </w:tabs>
        <w:ind w:right="720"/>
        <w:jc w:val="both"/>
        <w:rPr>
          <w:rFonts w:cstheme="minorHAnsi"/>
        </w:rPr>
      </w:pPr>
      <w:r w:rsidRPr="007222BB">
        <w:rPr>
          <w:rFonts w:cstheme="minorHAnsi"/>
        </w:rPr>
        <w:t>Only authorized staff at each grant</w:t>
      </w:r>
      <w:r w:rsidR="00780975">
        <w:rPr>
          <w:rFonts w:cstheme="minorHAnsi"/>
        </w:rPr>
        <w:t xml:space="preserve"> recipient</w:t>
      </w:r>
      <w:r w:rsidRPr="007222BB">
        <w:rPr>
          <w:rFonts w:cstheme="minorHAnsi"/>
        </w:rPr>
        <w:t xml:space="preserve"> are able to view all individual-level data for their </w:t>
      </w:r>
      <w:r w:rsidR="00B76D41">
        <w:rPr>
          <w:rFonts w:cstheme="minorHAnsi"/>
        </w:rPr>
        <w:t>client</w:t>
      </w:r>
      <w:r w:rsidRPr="007222BB">
        <w:rPr>
          <w:rFonts w:cstheme="minorHAnsi"/>
        </w:rPr>
        <w:t>s. Other staff have access to auto-generated reports that provide aggregated information</w:t>
      </w:r>
      <w:r w:rsidRPr="007222BB">
        <w:rPr>
          <w:rFonts w:cstheme="minorHAnsi"/>
          <w:b/>
        </w:rPr>
        <w:t xml:space="preserve"> </w:t>
      </w:r>
      <w:r w:rsidRPr="007222BB">
        <w:rPr>
          <w:rFonts w:cstheme="minorHAnsi"/>
        </w:rPr>
        <w:t xml:space="preserve">only. </w:t>
      </w:r>
    </w:p>
    <w:p w:rsidR="007222BB" w:rsidRPr="007222BB" w:rsidP="00110D5F" w14:paraId="3D1650A3" w14:textId="7D218093">
      <w:pPr>
        <w:pStyle w:val="NormalSS"/>
        <w:numPr>
          <w:ilvl w:val="0"/>
          <w:numId w:val="5"/>
        </w:numPr>
        <w:spacing w:after="120"/>
        <w:jc w:val="both"/>
        <w:rPr>
          <w:rFonts w:cstheme="minorHAnsi"/>
          <w:b/>
        </w:rPr>
      </w:pPr>
      <w:r w:rsidRPr="007222BB">
        <w:rPr>
          <w:rFonts w:cstheme="minorHAnsi"/>
        </w:rPr>
        <w:t xml:space="preserve">Security procedures are integrated into the design, implementation, and day-to-day operations of </w:t>
      </w:r>
      <w:r w:rsidR="00B76D41">
        <w:rPr>
          <w:rFonts w:cstheme="minorHAnsi"/>
        </w:rPr>
        <w:t>nFORM</w:t>
      </w:r>
      <w:r w:rsidR="0006315F">
        <w:rPr>
          <w:rFonts w:cstheme="minorHAnsi"/>
        </w:rPr>
        <w:t>, such as the use of multi-factor authentication</w:t>
      </w:r>
      <w:r w:rsidR="006C1245">
        <w:rPr>
          <w:rFonts w:cstheme="minorHAnsi"/>
        </w:rPr>
        <w:t xml:space="preserve"> (MFA).</w:t>
      </w:r>
    </w:p>
    <w:p w:rsidR="007222BB" w:rsidRPr="007222BB" w:rsidP="00110D5F" w14:paraId="1C20405A" w14:textId="61072BC2">
      <w:pPr>
        <w:pStyle w:val="NormalSS"/>
        <w:numPr>
          <w:ilvl w:val="0"/>
          <w:numId w:val="5"/>
        </w:numPr>
        <w:spacing w:after="120"/>
        <w:jc w:val="both"/>
        <w:rPr>
          <w:rFonts w:cstheme="minorHAnsi"/>
          <w:b/>
        </w:rPr>
      </w:pPr>
      <w:r w:rsidRPr="007222BB">
        <w:rPr>
          <w:rFonts w:cstheme="minorHAnsi"/>
        </w:rPr>
        <w:t xml:space="preserve">To further ensure data security, </w:t>
      </w:r>
      <w:r w:rsidR="00B76D41">
        <w:rPr>
          <w:rFonts w:cstheme="minorHAnsi"/>
        </w:rPr>
        <w:t>contractor</w:t>
      </w:r>
      <w:r w:rsidRPr="007222BB">
        <w:rPr>
          <w:rFonts w:cstheme="minorHAnsi"/>
        </w:rPr>
        <w:t xml:space="preserve"> personnel </w:t>
      </w:r>
      <w:r w:rsidR="00C61D32">
        <w:rPr>
          <w:rFonts w:cstheme="minorHAnsi"/>
        </w:rPr>
        <w:t>must</w:t>
      </w:r>
      <w:r w:rsidRPr="007222BB">
        <w:rPr>
          <w:rFonts w:cstheme="minorHAnsi"/>
        </w:rPr>
        <w:t xml:space="preserve"> adhere to strict standards, receive periodic security training, and sign security agreements as a condition of employment.</w:t>
      </w:r>
      <w:r w:rsidR="00B76D41">
        <w:rPr>
          <w:rFonts w:cstheme="minorHAnsi"/>
        </w:rPr>
        <w:t xml:space="preserve"> These agreements are pledges to protect the privacy of data and client identity and breaking that pledge is grounds for immediate dismissal and possible legal action.</w:t>
      </w:r>
    </w:p>
    <w:p w:rsidR="001D1C73" w:rsidP="00110D5F" w14:paraId="2AD7F4B4" w14:textId="6CFB5255">
      <w:pPr>
        <w:pStyle w:val="ListParagraph"/>
        <w:numPr>
          <w:ilvl w:val="0"/>
          <w:numId w:val="5"/>
        </w:numPr>
        <w:spacing w:after="0" w:line="240" w:lineRule="auto"/>
        <w:rPr>
          <w:rFonts w:eastAsia="Times New Roman" w:cstheme="minorHAnsi"/>
        </w:rPr>
      </w:pPr>
      <w:r w:rsidRPr="00B76D41">
        <w:rPr>
          <w:rFonts w:cstheme="minorHAnsi"/>
        </w:rPr>
        <w:t xml:space="preserve">The </w:t>
      </w:r>
      <w:r w:rsidRPr="00B76D41">
        <w:rPr>
          <w:rFonts w:cstheme="minorHAnsi"/>
        </w:rPr>
        <w:t>nFORM</w:t>
      </w:r>
      <w:r w:rsidRPr="00B76D41">
        <w:rPr>
          <w:rFonts w:cstheme="minorHAnsi"/>
        </w:rPr>
        <w:t xml:space="preserve"> system has developed and implemented standard procedures for assigning identification numbers to all </w:t>
      </w:r>
      <w:r w:rsidRPr="00B76D41" w:rsidR="00B76D41">
        <w:rPr>
          <w:rFonts w:cstheme="minorHAnsi"/>
        </w:rPr>
        <w:t>client</w:t>
      </w:r>
      <w:r w:rsidRPr="00B76D41">
        <w:rPr>
          <w:rFonts w:cstheme="minorHAnsi"/>
        </w:rPr>
        <w:t xml:space="preserve">-level data. Case- and individual-level numbers are content-free. For example, they do not include special codes to indicate enrollment dates, participant location, gender, age, or other characteristics. Data extracts from </w:t>
      </w:r>
      <w:r w:rsidRPr="00B76D41">
        <w:rPr>
          <w:rFonts w:cstheme="minorHAnsi"/>
        </w:rPr>
        <w:t>nFORM</w:t>
      </w:r>
      <w:r w:rsidRPr="00B76D41">
        <w:rPr>
          <w:rFonts w:cstheme="minorHAnsi"/>
        </w:rPr>
        <w:t xml:space="preserve">, which may not be secured, include IDs </w:t>
      </w:r>
      <w:r w:rsidRPr="00B76D41">
        <w:rPr>
          <w:rFonts w:cstheme="minorHAnsi"/>
        </w:rPr>
        <w:t>and not</w:t>
      </w:r>
      <w:r w:rsidRPr="00B76D41">
        <w:rPr>
          <w:rFonts w:cstheme="minorHAnsi"/>
        </w:rPr>
        <w:t xml:space="preserve"> PII.</w:t>
      </w:r>
      <w:r w:rsidRPr="00B76D41">
        <w:rPr>
          <w:rFonts w:eastAsia="Times New Roman" w:cstheme="minorHAnsi"/>
        </w:rPr>
        <w:t xml:space="preserve">   </w:t>
      </w:r>
    </w:p>
    <w:p w:rsidR="001D1C73" w:rsidRPr="009139B3" w:rsidP="00110D5F" w14:paraId="39D379A1" w14:textId="77777777">
      <w:pPr>
        <w:spacing w:after="0" w:line="240" w:lineRule="auto"/>
        <w:rPr>
          <w:rFonts w:cstheme="minorHAnsi"/>
        </w:rPr>
      </w:pPr>
    </w:p>
    <w:p w:rsidR="0076633B" w:rsidRPr="009139B3" w:rsidP="00110D5F" w14:paraId="57B6AB64"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Pr>
          <w:rStyle w:val="FootnoteReference"/>
        </w:rPr>
        <w:footnoteReference w:id="2"/>
      </w:r>
    </w:p>
    <w:p w:rsidR="00C25413" w:rsidP="00110D5F" w14:paraId="6581984F" w14:textId="03FCF690">
      <w:pPr>
        <w:spacing w:after="0" w:line="240" w:lineRule="auto"/>
        <w:rPr>
          <w:rFonts w:cstheme="minorHAnsi"/>
        </w:rPr>
      </w:pPr>
      <w:r>
        <w:rPr>
          <w:rFonts w:cstheme="minorHAnsi"/>
        </w:rPr>
        <w:t>S</w:t>
      </w:r>
      <w:r w:rsidRPr="00C25413">
        <w:rPr>
          <w:rFonts w:cstheme="minorHAnsi"/>
        </w:rPr>
        <w:t>ome of the items that grant</w:t>
      </w:r>
      <w:r w:rsidR="00780975">
        <w:rPr>
          <w:rFonts w:cstheme="minorHAnsi"/>
        </w:rPr>
        <w:t xml:space="preserve"> recipients</w:t>
      </w:r>
      <w:r w:rsidRPr="00C25413">
        <w:rPr>
          <w:rFonts w:cstheme="minorHAnsi"/>
        </w:rPr>
        <w:t xml:space="preserve"> are required to collect may be considered sensitive questions. </w:t>
      </w:r>
      <w:r w:rsidR="00404C96">
        <w:rPr>
          <w:rFonts w:cstheme="minorHAnsi"/>
        </w:rPr>
        <w:t xml:space="preserve">Based on feedback from ACF and grant recipients, sensitive questions </w:t>
      </w:r>
      <w:r w:rsidR="00844A48">
        <w:rPr>
          <w:rFonts w:cstheme="minorHAnsi"/>
        </w:rPr>
        <w:t xml:space="preserve">on attitudes about sex, infidelity, psychological distress, harsh discipline, </w:t>
      </w:r>
      <w:r w:rsidR="00D1696B">
        <w:rPr>
          <w:rFonts w:cstheme="minorHAnsi"/>
        </w:rPr>
        <w:t xml:space="preserve">and income that were </w:t>
      </w:r>
      <w:r w:rsidR="00404C96">
        <w:rPr>
          <w:rFonts w:cstheme="minorHAnsi"/>
        </w:rPr>
        <w:t xml:space="preserve">listed in the original and renewal </w:t>
      </w:r>
      <w:r w:rsidR="00815617">
        <w:rPr>
          <w:rFonts w:cstheme="minorHAnsi"/>
        </w:rPr>
        <w:t>ICRs</w:t>
      </w:r>
      <w:r w:rsidR="00404C96">
        <w:rPr>
          <w:rFonts w:cstheme="minorHAnsi"/>
        </w:rPr>
        <w:t xml:space="preserve"> have been removed for the 2025 cohort. However, s</w:t>
      </w:r>
      <w:r w:rsidRPr="00C25413" w:rsidR="00404C96">
        <w:rPr>
          <w:rFonts w:cstheme="minorHAnsi"/>
        </w:rPr>
        <w:t xml:space="preserve">ome </w:t>
      </w:r>
      <w:r w:rsidRPr="00C25413">
        <w:rPr>
          <w:rFonts w:cstheme="minorHAnsi"/>
        </w:rPr>
        <w:t xml:space="preserve">sensitive questions are necessary </w:t>
      </w:r>
      <w:r w:rsidR="003C7017">
        <w:rPr>
          <w:rFonts w:cstheme="minorHAnsi"/>
        </w:rPr>
        <w:t>to assess performance of</w:t>
      </w:r>
      <w:r w:rsidRPr="00C25413">
        <w:rPr>
          <w:rFonts w:cstheme="minorHAnsi"/>
        </w:rPr>
        <w:t xml:space="preserve"> </w:t>
      </w:r>
      <w:r w:rsidR="001120AF">
        <w:rPr>
          <w:rFonts w:cstheme="minorHAnsi"/>
        </w:rPr>
        <w:t xml:space="preserve">HMRF </w:t>
      </w:r>
      <w:r w:rsidRPr="00C25413">
        <w:rPr>
          <w:rFonts w:cstheme="minorHAnsi"/>
        </w:rPr>
        <w:t xml:space="preserve">programs </w:t>
      </w:r>
      <w:r w:rsidR="001120AF">
        <w:rPr>
          <w:rFonts w:cstheme="minorHAnsi"/>
        </w:rPr>
        <w:t xml:space="preserve">that are </w:t>
      </w:r>
      <w:r w:rsidRPr="00C25413">
        <w:rPr>
          <w:rFonts w:cstheme="minorHAnsi"/>
        </w:rPr>
        <w:t>designed to affect personal relationships and employment.</w:t>
      </w:r>
      <w:r w:rsidRPr="00C20570" w:rsidR="00C20570">
        <w:rPr>
          <w:rFonts w:cstheme="minorHAnsi"/>
        </w:rPr>
        <w:t xml:space="preserve"> </w:t>
      </w:r>
      <w:r w:rsidRPr="00C25413" w:rsidR="00C20570">
        <w:rPr>
          <w:rFonts w:cstheme="minorHAnsi"/>
        </w:rPr>
        <w:t>T</w:t>
      </w:r>
      <w:r w:rsidR="00C20570">
        <w:rPr>
          <w:rFonts w:cstheme="minorHAnsi"/>
        </w:rPr>
        <w:t>able A.2 below</w:t>
      </w:r>
      <w:r w:rsidRPr="00C25413" w:rsidR="00C20570">
        <w:rPr>
          <w:rFonts w:cstheme="minorHAnsi"/>
        </w:rPr>
        <w:t xml:space="preserve"> lists these topics and the justifications for including them.</w:t>
      </w:r>
      <w:r w:rsidRPr="00C25413">
        <w:rPr>
          <w:rFonts w:cstheme="minorHAnsi"/>
        </w:rPr>
        <w:t xml:space="preserve"> </w:t>
      </w:r>
      <w:r w:rsidR="00D1696B">
        <w:rPr>
          <w:rFonts w:cstheme="minorHAnsi"/>
        </w:rPr>
        <w:t xml:space="preserve">Questions on the client’s religious engagement and their religious engagement with their child have been added for the 2025 </w:t>
      </w:r>
      <w:r w:rsidR="00D1696B">
        <w:rPr>
          <w:rFonts w:cstheme="minorHAnsi"/>
        </w:rPr>
        <w:t xml:space="preserve">cohort. </w:t>
      </w:r>
      <w:r w:rsidR="00AE1F94">
        <w:rPr>
          <w:rFonts w:cstheme="minorHAnsi"/>
        </w:rPr>
        <w:t>As noted above, r</w:t>
      </w:r>
      <w:r w:rsidRPr="009139B3" w:rsidR="00AE1F94">
        <w:rPr>
          <w:rFonts w:cstheme="minorHAnsi"/>
        </w:rPr>
        <w:t>espondents will be informed of all planned uses of data, that their participation is voluntary, and that their information will be kept private to the extent permitted by law.</w:t>
      </w:r>
      <w:r w:rsidR="00AE1F94">
        <w:rPr>
          <w:rFonts w:cstheme="minorHAnsi"/>
        </w:rPr>
        <w:t xml:space="preserve"> </w:t>
      </w:r>
      <w:r w:rsidR="00C20570">
        <w:rPr>
          <w:rFonts w:cstheme="minorHAnsi"/>
        </w:rPr>
        <w:t xml:space="preserve">Respondents can skip any </w:t>
      </w:r>
      <w:r w:rsidR="00BE5106">
        <w:rPr>
          <w:rFonts w:cstheme="minorHAnsi"/>
        </w:rPr>
        <w:t xml:space="preserve">surveys or </w:t>
      </w:r>
      <w:r w:rsidR="00C20570">
        <w:rPr>
          <w:rFonts w:cstheme="minorHAnsi"/>
        </w:rPr>
        <w:t>survey items</w:t>
      </w:r>
      <w:r w:rsidR="00C20570">
        <w:rPr>
          <w:rFonts w:cstheme="minorHAnsi"/>
        </w:rPr>
        <w:t xml:space="preserve"> they do not want to answer. </w:t>
      </w:r>
    </w:p>
    <w:p w:rsidR="001578C0" w:rsidP="00110D5F" w14:paraId="45E219B6" w14:textId="59BD38DD">
      <w:pPr>
        <w:spacing w:after="0" w:line="240" w:lineRule="auto"/>
        <w:rPr>
          <w:rFonts w:cstheme="minorHAnsi"/>
          <w:b/>
        </w:rPr>
      </w:pPr>
    </w:p>
    <w:p w:rsidR="00C25413" w:rsidRPr="00C25413" w:rsidP="00110D5F" w14:paraId="37BCFE58" w14:textId="563838A6">
      <w:pPr>
        <w:spacing w:after="0" w:line="240" w:lineRule="auto"/>
        <w:rPr>
          <w:rFonts w:cstheme="minorHAnsi"/>
          <w:b/>
        </w:rPr>
      </w:pPr>
      <w:r>
        <w:rPr>
          <w:rFonts w:cstheme="minorHAnsi"/>
          <w:b/>
        </w:rPr>
        <w:t xml:space="preserve">Table A.2. </w:t>
      </w:r>
      <w:r w:rsidRPr="00C25413">
        <w:rPr>
          <w:rFonts w:cstheme="minorHAnsi"/>
          <w:b/>
        </w:rPr>
        <w:t>Sensitive Topics and Justification for Inclusion</w:t>
      </w:r>
    </w:p>
    <w:tbl>
      <w:tblPr>
        <w:tblStyle w:val="TableGrid"/>
        <w:tblW w:w="0" w:type="auto"/>
        <w:tblInd w:w="0" w:type="dxa"/>
        <w:tblLayout w:type="fixed"/>
        <w:tblLook w:val="04A0"/>
      </w:tblPr>
      <w:tblGrid>
        <w:gridCol w:w="1345"/>
        <w:gridCol w:w="1980"/>
        <w:gridCol w:w="6025"/>
      </w:tblGrid>
      <w:tr w14:paraId="72327DBD" w14:textId="77777777" w:rsidTr="00BB2A80">
        <w:tblPrEx>
          <w:tblW w:w="0" w:type="auto"/>
          <w:tblInd w:w="0" w:type="dxa"/>
          <w:tblLayout w:type="fixed"/>
          <w:tblLook w:val="04A0"/>
        </w:tblPrEx>
        <w:trPr>
          <w:cantSplit/>
          <w:tblHeader/>
        </w:trPr>
        <w:tc>
          <w:tcPr>
            <w:tcW w:w="1345" w:type="dxa"/>
            <w:shd w:val="clear" w:color="auto" w:fill="D9D9D9" w:themeFill="background1" w:themeFillShade="D9"/>
          </w:tcPr>
          <w:p w:rsidR="00C25413" w:rsidRPr="00741990" w:rsidP="00110D5F" w14:paraId="6876422B" w14:textId="77777777">
            <w:pPr>
              <w:rPr>
                <w:rFonts w:asciiTheme="minorHAnsi" w:hAnsiTheme="minorHAnsi" w:cstheme="minorHAnsi"/>
                <w:sz w:val="22"/>
                <w:szCs w:val="22"/>
              </w:rPr>
            </w:pPr>
            <w:r w:rsidRPr="00741990">
              <w:rPr>
                <w:rFonts w:asciiTheme="minorHAnsi" w:hAnsiTheme="minorHAnsi" w:cstheme="minorHAnsi"/>
                <w:sz w:val="22"/>
                <w:szCs w:val="22"/>
              </w:rPr>
              <w:t>Sensitive topic</w:t>
            </w:r>
          </w:p>
        </w:tc>
        <w:tc>
          <w:tcPr>
            <w:tcW w:w="1980" w:type="dxa"/>
            <w:shd w:val="clear" w:color="auto" w:fill="D9D9D9" w:themeFill="background1" w:themeFillShade="D9"/>
          </w:tcPr>
          <w:p w:rsidR="00C25413" w:rsidRPr="00741990" w:rsidP="00110D5F" w14:paraId="1BD56169" w14:textId="4C130EE1">
            <w:pPr>
              <w:rPr>
                <w:rFonts w:asciiTheme="minorHAnsi" w:hAnsiTheme="minorHAnsi" w:cstheme="minorHAnsi"/>
                <w:sz w:val="22"/>
                <w:szCs w:val="22"/>
              </w:rPr>
            </w:pPr>
            <w:r w:rsidRPr="00741990">
              <w:rPr>
                <w:rFonts w:asciiTheme="minorHAnsi" w:hAnsiTheme="minorHAnsi" w:cstheme="minorHAnsi"/>
                <w:sz w:val="22"/>
                <w:szCs w:val="22"/>
              </w:rPr>
              <w:t>Relevant instruments</w:t>
            </w:r>
          </w:p>
        </w:tc>
        <w:tc>
          <w:tcPr>
            <w:tcW w:w="6025" w:type="dxa"/>
            <w:shd w:val="clear" w:color="auto" w:fill="D9D9D9" w:themeFill="background1" w:themeFillShade="D9"/>
          </w:tcPr>
          <w:p w:rsidR="00C25413" w:rsidRPr="00741990" w:rsidP="00110D5F" w14:paraId="6406C14C" w14:textId="77777777">
            <w:pPr>
              <w:rPr>
                <w:rFonts w:asciiTheme="minorHAnsi" w:hAnsiTheme="minorHAnsi" w:cstheme="minorHAnsi"/>
                <w:sz w:val="22"/>
                <w:szCs w:val="22"/>
              </w:rPr>
            </w:pPr>
            <w:r w:rsidRPr="00741990">
              <w:rPr>
                <w:rFonts w:asciiTheme="minorHAnsi" w:hAnsiTheme="minorHAnsi" w:cstheme="minorHAnsi"/>
                <w:sz w:val="22"/>
                <w:szCs w:val="22"/>
              </w:rPr>
              <w:t>Justification</w:t>
            </w:r>
          </w:p>
        </w:tc>
      </w:tr>
      <w:tr w14:paraId="4E80ED30" w14:textId="77777777" w:rsidTr="00BB2A80">
        <w:tblPrEx>
          <w:tblW w:w="0" w:type="auto"/>
          <w:tblInd w:w="0" w:type="dxa"/>
          <w:tblLayout w:type="fixed"/>
          <w:tblLook w:val="04A0"/>
        </w:tblPrEx>
        <w:trPr>
          <w:cantSplit/>
        </w:trPr>
        <w:tc>
          <w:tcPr>
            <w:tcW w:w="1345" w:type="dxa"/>
          </w:tcPr>
          <w:p w:rsidR="000C267E" w:rsidRPr="000C267E" w:rsidP="00110D5F" w14:paraId="0F9DB03E" w14:textId="74945858">
            <w:pPr>
              <w:rPr>
                <w:rFonts w:asciiTheme="minorHAnsi" w:hAnsiTheme="minorHAnsi" w:cstheme="minorHAnsi"/>
              </w:rPr>
            </w:pPr>
            <w:r>
              <w:rPr>
                <w:rFonts w:asciiTheme="minorHAnsi" w:hAnsiTheme="minorHAnsi" w:cstheme="minorHAnsi"/>
              </w:rPr>
              <w:t>Receipt of economic assistance from the government</w:t>
            </w:r>
          </w:p>
        </w:tc>
        <w:tc>
          <w:tcPr>
            <w:tcW w:w="1980" w:type="dxa"/>
          </w:tcPr>
          <w:p w:rsidR="000C267E" w:rsidRPr="00546DED" w:rsidP="00110D5F" w14:paraId="2F7EF1E6" w14:textId="45FBE856">
            <w:pPr>
              <w:rPr>
                <w:rFonts w:asciiTheme="minorHAnsi" w:hAnsiTheme="minorHAnsi" w:cstheme="minorHAnsi"/>
              </w:rPr>
            </w:pPr>
            <w:r w:rsidRPr="00546DED">
              <w:rPr>
                <w:rFonts w:asciiTheme="minorHAnsi" w:hAnsiTheme="minorHAnsi" w:cstheme="minorHAnsi"/>
              </w:rPr>
              <w:t>Instruments 1</w:t>
            </w:r>
            <w:r w:rsidR="00115A96">
              <w:rPr>
                <w:rFonts w:asciiTheme="minorHAnsi" w:hAnsiTheme="minorHAnsi" w:cstheme="minorHAnsi"/>
              </w:rPr>
              <w:t>b</w:t>
            </w:r>
            <w:r w:rsidRPr="00546DED">
              <w:rPr>
                <w:rFonts w:asciiTheme="minorHAnsi" w:hAnsiTheme="minorHAnsi" w:cstheme="minorHAnsi"/>
              </w:rPr>
              <w:t>HM-</w:t>
            </w:r>
            <w:r w:rsidR="00284BD9">
              <w:rPr>
                <w:rFonts w:asciiTheme="minorHAnsi" w:hAnsiTheme="minorHAnsi" w:cstheme="minorHAnsi"/>
              </w:rPr>
              <w:t>Adult</w:t>
            </w:r>
            <w:r w:rsidRPr="00546DED">
              <w:rPr>
                <w:rFonts w:asciiTheme="minorHAnsi" w:hAnsiTheme="minorHAnsi" w:cstheme="minorHAnsi"/>
              </w:rPr>
              <w:t>, 1</w:t>
            </w:r>
            <w:r w:rsidR="00115A96">
              <w:rPr>
                <w:rFonts w:asciiTheme="minorHAnsi" w:hAnsiTheme="minorHAnsi" w:cstheme="minorHAnsi"/>
              </w:rPr>
              <w:t>b</w:t>
            </w:r>
            <w:r w:rsidRPr="00546DED">
              <w:rPr>
                <w:rFonts w:asciiTheme="minorHAnsi" w:hAnsiTheme="minorHAnsi" w:cstheme="minorHAnsi"/>
              </w:rPr>
              <w:t>HM-</w:t>
            </w:r>
            <w:r w:rsidR="00284BD9">
              <w:rPr>
                <w:rFonts w:asciiTheme="minorHAnsi" w:hAnsiTheme="minorHAnsi" w:cstheme="minorHAnsi"/>
              </w:rPr>
              <w:t>Youth</w:t>
            </w:r>
            <w:r w:rsidRPr="00546DED">
              <w:rPr>
                <w:rFonts w:asciiTheme="minorHAnsi" w:hAnsiTheme="minorHAnsi" w:cstheme="minorHAnsi"/>
              </w:rPr>
              <w:t>, 1</w:t>
            </w:r>
            <w:r w:rsidR="00115A96">
              <w:rPr>
                <w:rFonts w:asciiTheme="minorHAnsi" w:hAnsiTheme="minorHAnsi" w:cstheme="minorHAnsi"/>
              </w:rPr>
              <w:t>b</w:t>
            </w:r>
            <w:r w:rsidRPr="00546DED">
              <w:rPr>
                <w:rFonts w:asciiTheme="minorHAnsi" w:hAnsiTheme="minorHAnsi" w:cstheme="minorHAnsi"/>
              </w:rPr>
              <w:t>RF-</w:t>
            </w:r>
            <w:r w:rsidR="00284BD9">
              <w:rPr>
                <w:rFonts w:asciiTheme="minorHAnsi" w:hAnsiTheme="minorHAnsi" w:cstheme="minorHAnsi"/>
              </w:rPr>
              <w:t>Community Fathers</w:t>
            </w:r>
            <w:r w:rsidRPr="00546DED">
              <w:rPr>
                <w:rFonts w:asciiTheme="minorHAnsi" w:hAnsiTheme="minorHAnsi" w:cstheme="minorHAnsi"/>
              </w:rPr>
              <w:t>, 1</w:t>
            </w:r>
            <w:r w:rsidR="00115A96">
              <w:rPr>
                <w:rFonts w:asciiTheme="minorHAnsi" w:hAnsiTheme="minorHAnsi" w:cstheme="minorHAnsi"/>
              </w:rPr>
              <w:t>b</w:t>
            </w:r>
            <w:r w:rsidRPr="00546DED">
              <w:rPr>
                <w:rFonts w:asciiTheme="minorHAnsi" w:hAnsiTheme="minorHAnsi" w:cstheme="minorHAnsi"/>
              </w:rPr>
              <w:t>RF-</w:t>
            </w:r>
            <w:r w:rsidR="00284BD9">
              <w:rPr>
                <w:rFonts w:asciiTheme="minorHAnsi" w:hAnsiTheme="minorHAnsi" w:cstheme="minorHAnsi"/>
              </w:rPr>
              <w:t xml:space="preserve">Reentering Fathers </w:t>
            </w:r>
            <w:r>
              <w:rPr>
                <w:rFonts w:asciiTheme="minorHAnsi" w:hAnsiTheme="minorHAnsi" w:cstheme="minorHAnsi"/>
              </w:rPr>
              <w:t>(entrance surveys for all four populations)</w:t>
            </w:r>
          </w:p>
        </w:tc>
        <w:tc>
          <w:tcPr>
            <w:tcW w:w="6025" w:type="dxa"/>
          </w:tcPr>
          <w:p w:rsidR="000C267E" w:rsidRPr="00D77F61" w:rsidP="00110D5F" w14:paraId="3412C0F3" w14:textId="07A4AB2E">
            <w:pPr>
              <w:rPr>
                <w:rFonts w:cstheme="minorHAnsi"/>
              </w:rPr>
            </w:pPr>
            <w:r w:rsidRPr="00D77F61">
              <w:rPr>
                <w:rFonts w:asciiTheme="minorHAnsi" w:hAnsiTheme="minorHAnsi" w:cstheme="minorHAnsi"/>
              </w:rPr>
              <w:t xml:space="preserve">A key goal of RF and some HM programs is to improve participants’ economic stability. The outcomes of an individual </w:t>
            </w:r>
            <w:r w:rsidR="006F5C61">
              <w:rPr>
                <w:rFonts w:asciiTheme="minorHAnsi" w:hAnsiTheme="minorHAnsi" w:cstheme="minorHAnsi"/>
              </w:rPr>
              <w:t>who receives government assistance</w:t>
            </w:r>
            <w:r w:rsidRPr="00D77F61">
              <w:rPr>
                <w:rFonts w:asciiTheme="minorHAnsi" w:hAnsiTheme="minorHAnsi" w:cstheme="minorHAnsi"/>
              </w:rPr>
              <w:t xml:space="preserve"> when he/she enters the program may be very different than those of an individual who enters without </w:t>
            </w:r>
            <w:r w:rsidR="006F5C61">
              <w:rPr>
                <w:rFonts w:asciiTheme="minorHAnsi" w:hAnsiTheme="minorHAnsi" w:cstheme="minorHAnsi"/>
              </w:rPr>
              <w:t>this assistance</w:t>
            </w:r>
            <w:r w:rsidRPr="00D77F61">
              <w:rPr>
                <w:rFonts w:asciiTheme="minorHAnsi" w:hAnsiTheme="minorHAnsi" w:cstheme="minorHAnsi"/>
              </w:rPr>
              <w:t xml:space="preserve">. The </w:t>
            </w:r>
            <w:r w:rsidR="006F5C61">
              <w:rPr>
                <w:rFonts w:asciiTheme="minorHAnsi" w:hAnsiTheme="minorHAnsi" w:cstheme="minorHAnsi"/>
              </w:rPr>
              <w:t>entrance</w:t>
            </w:r>
            <w:r w:rsidRPr="00D77F61">
              <w:rPr>
                <w:rFonts w:asciiTheme="minorHAnsi" w:hAnsiTheme="minorHAnsi" w:cstheme="minorHAnsi"/>
              </w:rPr>
              <w:t xml:space="preserve"> survey</w:t>
            </w:r>
            <w:r w:rsidR="006F5C61">
              <w:rPr>
                <w:rFonts w:asciiTheme="minorHAnsi" w:hAnsiTheme="minorHAnsi" w:cstheme="minorHAnsi"/>
              </w:rPr>
              <w:t>s</w:t>
            </w:r>
            <w:r w:rsidRPr="00D77F61">
              <w:rPr>
                <w:rFonts w:asciiTheme="minorHAnsi" w:hAnsiTheme="minorHAnsi" w:cstheme="minorHAnsi"/>
              </w:rPr>
              <w:t xml:space="preserve"> ask whether the respondent </w:t>
            </w:r>
            <w:r w:rsidR="006F5C61">
              <w:rPr>
                <w:rFonts w:asciiTheme="minorHAnsi" w:hAnsiTheme="minorHAnsi" w:cstheme="minorHAnsi"/>
              </w:rPr>
              <w:t xml:space="preserve">or anyone in their household has received any of several types of assistance in the past month, including Temporary Assistance for Needy Families, Supplemental Security Income, or Social Security Disability Insurance. This question was adapted from </w:t>
            </w:r>
            <w:r w:rsidR="00404C96">
              <w:rPr>
                <w:rFonts w:asciiTheme="minorHAnsi" w:hAnsiTheme="minorHAnsi" w:cstheme="minorHAnsi"/>
              </w:rPr>
              <w:t xml:space="preserve">the </w:t>
            </w:r>
            <w:r w:rsidR="006F5C61">
              <w:rPr>
                <w:rFonts w:asciiTheme="minorHAnsi" w:hAnsiTheme="minorHAnsi" w:cstheme="minorHAnsi"/>
              </w:rPr>
              <w:t>Supporting Health</w:t>
            </w:r>
            <w:r w:rsidR="00404C96">
              <w:rPr>
                <w:rFonts w:asciiTheme="minorHAnsi" w:hAnsiTheme="minorHAnsi" w:cstheme="minorHAnsi"/>
              </w:rPr>
              <w:t>y Marriages, 30-Month Adult Survey (Lowenstein et al. 2014).</w:t>
            </w:r>
            <w:r w:rsidR="006F5C61">
              <w:rPr>
                <w:rFonts w:asciiTheme="minorHAnsi" w:hAnsiTheme="minorHAnsi" w:cstheme="minorHAnsi"/>
              </w:rPr>
              <w:t xml:space="preserve"> </w:t>
            </w:r>
          </w:p>
        </w:tc>
      </w:tr>
      <w:tr w14:paraId="461AE1A7" w14:textId="77777777" w:rsidTr="00BB2A80">
        <w:tblPrEx>
          <w:tblW w:w="0" w:type="auto"/>
          <w:tblInd w:w="0" w:type="dxa"/>
          <w:tblLayout w:type="fixed"/>
          <w:tblLook w:val="04A0"/>
        </w:tblPrEx>
        <w:trPr>
          <w:cantSplit/>
        </w:trPr>
        <w:tc>
          <w:tcPr>
            <w:tcW w:w="1345" w:type="dxa"/>
          </w:tcPr>
          <w:p w:rsidR="00B01075" w:rsidRPr="00B01075" w:rsidP="00110D5F" w14:paraId="2C127837" w14:textId="545422D4">
            <w:pPr>
              <w:rPr>
                <w:rFonts w:asciiTheme="minorHAnsi" w:hAnsiTheme="minorHAnsi" w:cstheme="minorHAnsi"/>
              </w:rPr>
            </w:pPr>
            <w:r w:rsidRPr="00B01075">
              <w:rPr>
                <w:rFonts w:asciiTheme="minorHAnsi" w:hAnsiTheme="minorHAnsi" w:cstheme="minorHAnsi"/>
              </w:rPr>
              <w:t>Engagement in religious activities</w:t>
            </w:r>
          </w:p>
        </w:tc>
        <w:tc>
          <w:tcPr>
            <w:tcW w:w="1980" w:type="dxa"/>
          </w:tcPr>
          <w:p w:rsidR="00B01075" w:rsidRPr="00B01075" w:rsidP="00110D5F" w14:paraId="5B9A9D63" w14:textId="0CF2488F">
            <w:pPr>
              <w:rPr>
                <w:rFonts w:asciiTheme="minorHAnsi" w:hAnsiTheme="minorHAnsi" w:cstheme="minorHAnsi"/>
              </w:rPr>
            </w:pPr>
            <w:r>
              <w:rPr>
                <w:rFonts w:asciiTheme="minorHAnsi" w:hAnsiTheme="minorHAnsi" w:cstheme="minorHAnsi"/>
              </w:rPr>
              <w:t>Instruments 1b and 4 (entrance and exit surveys for all HM and RF populations)</w:t>
            </w:r>
          </w:p>
        </w:tc>
        <w:tc>
          <w:tcPr>
            <w:tcW w:w="6025" w:type="dxa"/>
          </w:tcPr>
          <w:p w:rsidR="00B01075" w:rsidRPr="00B01075" w:rsidP="00110D5F" w14:paraId="5594BCC6" w14:textId="252CE09F">
            <w:pPr>
              <w:rPr>
                <w:rFonts w:asciiTheme="minorHAnsi" w:hAnsiTheme="minorHAnsi" w:cstheme="minorHAnsi"/>
              </w:rPr>
            </w:pPr>
            <w:r>
              <w:rPr>
                <w:rFonts w:asciiTheme="minorHAnsi" w:hAnsiTheme="minorHAnsi" w:cstheme="minorHAnsi"/>
              </w:rPr>
              <w:t>To better understand clients’ backgrounds and activities, clients in HM and RF programs will be asked how often they attend religious services. This question is adapted from a measure used in the Parents and Children Together evaluation of fathers who participated in the 2010 cohort of RF programs</w:t>
            </w:r>
            <w:r w:rsidR="00EA534D">
              <w:rPr>
                <w:rFonts w:asciiTheme="minorHAnsi" w:hAnsiTheme="minorHAnsi" w:cstheme="minorHAnsi"/>
              </w:rPr>
              <w:t xml:space="preserve"> (for more information, see </w:t>
            </w:r>
            <w:r w:rsidRPr="00BF7658" w:rsidR="00EA534D">
              <w:rPr>
                <w:rFonts w:asciiTheme="minorHAnsi" w:hAnsiTheme="minorHAnsi" w:cstheme="minorHAnsi"/>
              </w:rPr>
              <w:t>https://acf.gov/sites/default/files/documents/opre/pact_impacts_tech_rh_april_2020.pdf</w:t>
            </w:r>
            <w:r w:rsidR="00EA534D">
              <w:rPr>
                <w:rFonts w:asciiTheme="minorHAnsi" w:hAnsiTheme="minorHAnsi" w:cstheme="minorHAnsi"/>
              </w:rPr>
              <w:t>)</w:t>
            </w:r>
            <w:r>
              <w:rPr>
                <w:rFonts w:asciiTheme="minorHAnsi" w:hAnsiTheme="minorHAnsi" w:cstheme="minorHAnsi"/>
              </w:rPr>
              <w:t>.</w:t>
            </w:r>
          </w:p>
        </w:tc>
      </w:tr>
      <w:tr w14:paraId="666D5CC0" w14:textId="77777777" w:rsidTr="00BB2A80">
        <w:tblPrEx>
          <w:tblW w:w="0" w:type="auto"/>
          <w:tblInd w:w="0" w:type="dxa"/>
          <w:tblLayout w:type="fixed"/>
          <w:tblLook w:val="04A0"/>
        </w:tblPrEx>
        <w:trPr>
          <w:cantSplit/>
        </w:trPr>
        <w:tc>
          <w:tcPr>
            <w:tcW w:w="1345" w:type="dxa"/>
          </w:tcPr>
          <w:p w:rsidR="00E6444C" w:rsidRPr="00E6444C" w:rsidP="00110D5F" w14:paraId="2DD71DB1" w14:textId="3AC8FEED">
            <w:pPr>
              <w:rPr>
                <w:rFonts w:asciiTheme="minorHAnsi" w:hAnsiTheme="minorHAnsi" w:cstheme="minorHAnsi"/>
              </w:rPr>
            </w:pPr>
            <w:r w:rsidRPr="00E6444C">
              <w:rPr>
                <w:rFonts w:asciiTheme="minorHAnsi" w:hAnsiTheme="minorHAnsi" w:cstheme="minorHAnsi"/>
              </w:rPr>
              <w:t>En</w:t>
            </w:r>
            <w:r>
              <w:rPr>
                <w:rFonts w:asciiTheme="minorHAnsi" w:hAnsiTheme="minorHAnsi" w:cstheme="minorHAnsi"/>
              </w:rPr>
              <w:t>gagement in religious activities with child</w:t>
            </w:r>
          </w:p>
        </w:tc>
        <w:tc>
          <w:tcPr>
            <w:tcW w:w="1980" w:type="dxa"/>
          </w:tcPr>
          <w:p w:rsidR="00E6444C" w:rsidRPr="00E6444C" w:rsidP="00110D5F" w14:paraId="309AD429" w14:textId="7F1FCF27">
            <w:pPr>
              <w:rPr>
                <w:rFonts w:asciiTheme="minorHAnsi" w:hAnsiTheme="minorHAnsi" w:cstheme="minorHAnsi"/>
              </w:rPr>
            </w:pPr>
            <w:r>
              <w:rPr>
                <w:rFonts w:asciiTheme="minorHAnsi" w:hAnsiTheme="minorHAnsi" w:cstheme="minorHAnsi"/>
              </w:rPr>
              <w:t>Instruments 1bHM-Adult and 4HM-Adult (entrance and exit surveys for adult populations</w:t>
            </w:r>
            <w:r w:rsidR="008E50F3">
              <w:rPr>
                <w:rFonts w:asciiTheme="minorHAnsi" w:hAnsiTheme="minorHAnsi" w:cstheme="minorHAnsi"/>
              </w:rPr>
              <w:t>)</w:t>
            </w:r>
            <w:r>
              <w:rPr>
                <w:rFonts w:asciiTheme="minorHAnsi" w:hAnsiTheme="minorHAnsi" w:cstheme="minorHAnsi"/>
              </w:rPr>
              <w:t xml:space="preserve">; </w:t>
            </w:r>
            <w:r w:rsidR="00284BD9">
              <w:rPr>
                <w:rFonts w:asciiTheme="minorHAnsi" w:hAnsiTheme="minorHAnsi" w:cstheme="minorHAnsi"/>
              </w:rPr>
              <w:t>Instruments 1b</w:t>
            </w:r>
            <w:r w:rsidR="00707039">
              <w:rPr>
                <w:rFonts w:asciiTheme="minorHAnsi" w:hAnsiTheme="minorHAnsi" w:cstheme="minorHAnsi"/>
              </w:rPr>
              <w:t>RF-Community Fathers</w:t>
            </w:r>
            <w:r w:rsidR="002731AE">
              <w:rPr>
                <w:rFonts w:asciiTheme="minorHAnsi" w:hAnsiTheme="minorHAnsi" w:cstheme="minorHAnsi"/>
              </w:rPr>
              <w:t xml:space="preserve"> and 4</w:t>
            </w:r>
            <w:r w:rsidR="00707039">
              <w:rPr>
                <w:rFonts w:asciiTheme="minorHAnsi" w:hAnsiTheme="minorHAnsi" w:cstheme="minorHAnsi"/>
              </w:rPr>
              <w:t>RF-Community Fathers</w:t>
            </w:r>
            <w:r w:rsidR="002731AE">
              <w:rPr>
                <w:rFonts w:asciiTheme="minorHAnsi" w:hAnsiTheme="minorHAnsi" w:cstheme="minorHAnsi"/>
              </w:rPr>
              <w:t xml:space="preserve"> (entrance and exit surveys for </w:t>
            </w:r>
            <w:r w:rsidR="00707039">
              <w:rPr>
                <w:rFonts w:asciiTheme="minorHAnsi" w:hAnsiTheme="minorHAnsi" w:cstheme="minorHAnsi"/>
              </w:rPr>
              <w:t xml:space="preserve">community </w:t>
            </w:r>
            <w:r w:rsidR="00707039">
              <w:rPr>
                <w:rFonts w:asciiTheme="minorHAnsi" w:hAnsiTheme="minorHAnsi" w:cstheme="minorHAnsi"/>
              </w:rPr>
              <w:t>fathers</w:t>
            </w:r>
            <w:r w:rsidR="002731AE">
              <w:rPr>
                <w:rFonts w:asciiTheme="minorHAnsi" w:hAnsiTheme="minorHAnsi" w:cstheme="minorHAnsi"/>
              </w:rPr>
              <w:t xml:space="preserve"> population</w:t>
            </w:r>
            <w:r w:rsidR="00742AF2">
              <w:rPr>
                <w:rFonts w:asciiTheme="minorHAnsi" w:hAnsiTheme="minorHAnsi" w:cstheme="minorHAnsi"/>
              </w:rPr>
              <w:t>s</w:t>
            </w:r>
            <w:r w:rsidR="002731AE">
              <w:rPr>
                <w:rFonts w:asciiTheme="minorHAnsi" w:hAnsiTheme="minorHAnsi" w:cstheme="minorHAnsi"/>
              </w:rPr>
              <w:t>)</w:t>
            </w:r>
          </w:p>
        </w:tc>
        <w:tc>
          <w:tcPr>
            <w:tcW w:w="6025" w:type="dxa"/>
          </w:tcPr>
          <w:p w:rsidR="00E6444C" w:rsidRPr="00E6444C" w:rsidP="00110D5F" w14:paraId="3EC9FFF6" w14:textId="122EB4C5">
            <w:pPr>
              <w:rPr>
                <w:rFonts w:asciiTheme="minorHAnsi" w:hAnsiTheme="minorHAnsi" w:cstheme="minorHAnsi"/>
              </w:rPr>
            </w:pPr>
            <w:r>
              <w:rPr>
                <w:rFonts w:asciiTheme="minorHAnsi" w:hAnsiTheme="minorHAnsi" w:cstheme="minorHAnsi"/>
              </w:rPr>
              <w:t xml:space="preserve">To capture a comprehensive picture of parental engagement with a child over 12 years old, </w:t>
            </w:r>
            <w:r w:rsidR="008E50F3">
              <w:rPr>
                <w:rFonts w:asciiTheme="minorHAnsi" w:hAnsiTheme="minorHAnsi" w:cstheme="minorHAnsi"/>
              </w:rPr>
              <w:t xml:space="preserve">parents </w:t>
            </w:r>
            <w:r w:rsidR="00707039">
              <w:rPr>
                <w:rFonts w:asciiTheme="minorHAnsi" w:hAnsiTheme="minorHAnsi" w:cstheme="minorHAnsi"/>
              </w:rPr>
              <w:t>in</w:t>
            </w:r>
            <w:r w:rsidR="00742AF2">
              <w:rPr>
                <w:rFonts w:asciiTheme="minorHAnsi" w:hAnsiTheme="minorHAnsi" w:cstheme="minorHAnsi"/>
              </w:rPr>
              <w:t xml:space="preserve"> </w:t>
            </w:r>
            <w:r w:rsidR="008E50F3">
              <w:rPr>
                <w:rFonts w:asciiTheme="minorHAnsi" w:hAnsiTheme="minorHAnsi" w:cstheme="minorHAnsi"/>
              </w:rPr>
              <w:t xml:space="preserve">HM and </w:t>
            </w:r>
            <w:r w:rsidR="00742AF2">
              <w:rPr>
                <w:rFonts w:asciiTheme="minorHAnsi" w:hAnsiTheme="minorHAnsi" w:cstheme="minorHAnsi"/>
              </w:rPr>
              <w:t>RF programs</w:t>
            </w:r>
            <w:r w:rsidR="001705DC">
              <w:rPr>
                <w:rFonts w:asciiTheme="minorHAnsi" w:hAnsiTheme="minorHAnsi" w:cstheme="minorHAnsi"/>
              </w:rPr>
              <w:t xml:space="preserve"> </w:t>
            </w:r>
            <w:r w:rsidR="008D4BB6">
              <w:rPr>
                <w:rFonts w:asciiTheme="minorHAnsi" w:hAnsiTheme="minorHAnsi" w:cstheme="minorHAnsi"/>
              </w:rPr>
              <w:t xml:space="preserve">will be asked how often in the past month they attended religious services </w:t>
            </w:r>
            <w:r w:rsidR="00742AF2">
              <w:rPr>
                <w:rFonts w:asciiTheme="minorHAnsi" w:hAnsiTheme="minorHAnsi" w:cstheme="minorHAnsi"/>
              </w:rPr>
              <w:t xml:space="preserve">with their child, and how often they </w:t>
            </w:r>
            <w:r w:rsidR="002F2D22">
              <w:rPr>
                <w:rFonts w:asciiTheme="minorHAnsi" w:hAnsiTheme="minorHAnsi" w:cstheme="minorHAnsi"/>
              </w:rPr>
              <w:t>participated</w:t>
            </w:r>
            <w:r w:rsidR="008D4BB6">
              <w:rPr>
                <w:rFonts w:asciiTheme="minorHAnsi" w:hAnsiTheme="minorHAnsi" w:cstheme="minorHAnsi"/>
              </w:rPr>
              <w:t xml:space="preserve"> in other religious activities with their child</w:t>
            </w:r>
            <w:r w:rsidR="00742AF2">
              <w:rPr>
                <w:rFonts w:asciiTheme="minorHAnsi" w:hAnsiTheme="minorHAnsi" w:cstheme="minorHAnsi"/>
              </w:rPr>
              <w:t>, such as praying together or reading religious stories</w:t>
            </w:r>
            <w:r w:rsidR="008D4BB6">
              <w:rPr>
                <w:rFonts w:asciiTheme="minorHAnsi" w:hAnsiTheme="minorHAnsi" w:cstheme="minorHAnsi"/>
              </w:rPr>
              <w:t xml:space="preserve">. </w:t>
            </w:r>
            <w:r w:rsidR="00742AF2">
              <w:rPr>
                <w:rFonts w:asciiTheme="minorHAnsi" w:hAnsiTheme="minorHAnsi" w:cstheme="minorHAnsi"/>
              </w:rPr>
              <w:t xml:space="preserve">These </w:t>
            </w:r>
            <w:r w:rsidR="008D4BB6">
              <w:rPr>
                <w:rFonts w:asciiTheme="minorHAnsi" w:hAnsiTheme="minorHAnsi" w:cstheme="minorHAnsi"/>
              </w:rPr>
              <w:t>question</w:t>
            </w:r>
            <w:r w:rsidR="00742AF2">
              <w:rPr>
                <w:rFonts w:asciiTheme="minorHAnsi" w:hAnsiTheme="minorHAnsi" w:cstheme="minorHAnsi"/>
              </w:rPr>
              <w:t>s</w:t>
            </w:r>
            <w:r w:rsidR="008D4BB6">
              <w:rPr>
                <w:rFonts w:asciiTheme="minorHAnsi" w:hAnsiTheme="minorHAnsi" w:cstheme="minorHAnsi"/>
              </w:rPr>
              <w:t xml:space="preserve"> </w:t>
            </w:r>
            <w:r w:rsidR="00000D51">
              <w:rPr>
                <w:rFonts w:asciiTheme="minorHAnsi" w:hAnsiTheme="minorHAnsi" w:cstheme="minorHAnsi"/>
              </w:rPr>
              <w:t>will be</w:t>
            </w:r>
            <w:r w:rsidR="00524873">
              <w:rPr>
                <w:rFonts w:asciiTheme="minorHAnsi" w:hAnsiTheme="minorHAnsi" w:cstheme="minorHAnsi"/>
              </w:rPr>
              <w:t xml:space="preserve"> asked at program entrance and exit to help measure change over time.</w:t>
            </w:r>
            <w:r w:rsidR="00000D51">
              <w:rPr>
                <w:rFonts w:asciiTheme="minorHAnsi" w:hAnsiTheme="minorHAnsi" w:cstheme="minorHAnsi"/>
              </w:rPr>
              <w:t xml:space="preserve"> ACF developed </w:t>
            </w:r>
            <w:r w:rsidR="00742AF2">
              <w:rPr>
                <w:rFonts w:asciiTheme="minorHAnsi" w:hAnsiTheme="minorHAnsi" w:cstheme="minorHAnsi"/>
              </w:rPr>
              <w:t xml:space="preserve">these </w:t>
            </w:r>
            <w:r w:rsidR="00000D51">
              <w:rPr>
                <w:rFonts w:asciiTheme="minorHAnsi" w:hAnsiTheme="minorHAnsi" w:cstheme="minorHAnsi"/>
              </w:rPr>
              <w:t>question</w:t>
            </w:r>
            <w:r w:rsidR="00742AF2">
              <w:rPr>
                <w:rFonts w:asciiTheme="minorHAnsi" w:hAnsiTheme="minorHAnsi" w:cstheme="minorHAnsi"/>
              </w:rPr>
              <w:t>s</w:t>
            </w:r>
            <w:r w:rsidR="001705DC">
              <w:rPr>
                <w:rFonts w:asciiTheme="minorHAnsi" w:hAnsiTheme="minorHAnsi" w:cstheme="minorHAnsi"/>
              </w:rPr>
              <w:t xml:space="preserve"> for the 2025 HMRF cohort</w:t>
            </w:r>
            <w:r w:rsidR="002F2D22">
              <w:rPr>
                <w:rFonts w:asciiTheme="minorHAnsi" w:hAnsiTheme="minorHAnsi" w:cstheme="minorHAnsi"/>
              </w:rPr>
              <w:t>, after a review of existing measures of participation in religious activities,</w:t>
            </w:r>
            <w:r w:rsidR="001705DC">
              <w:rPr>
                <w:rFonts w:asciiTheme="minorHAnsi" w:hAnsiTheme="minorHAnsi" w:cstheme="minorHAnsi"/>
              </w:rPr>
              <w:t xml:space="preserve"> to complement existing questions about parental engagement.</w:t>
            </w:r>
            <w:r w:rsidR="00852394">
              <w:rPr>
                <w:rFonts w:asciiTheme="minorHAnsi" w:hAnsiTheme="minorHAnsi" w:cstheme="minorHAnsi"/>
              </w:rPr>
              <w:t xml:space="preserve"> Similar questions about parenting have been asked in other surveys, such as the National Longitudinal Survey of Youth 1997 cohort and a Pew Survey on the religious landscape.</w:t>
            </w:r>
            <w:r w:rsidRPr="00CE0F2E" w:rsidR="00CE0F2E">
              <w:rPr>
                <w:rFonts w:asciiTheme="minorHAnsi" w:hAnsiTheme="minorHAnsi" w:cstheme="minorHAnsi"/>
              </w:rPr>
              <w:t xml:space="preserve">   </w:t>
            </w:r>
          </w:p>
        </w:tc>
      </w:tr>
    </w:tbl>
    <w:p w:rsidR="001D1C73" w:rsidRPr="009139B3" w:rsidP="00110D5F" w14:paraId="4BEC5A23" w14:textId="77777777">
      <w:pPr>
        <w:spacing w:after="0" w:line="240" w:lineRule="auto"/>
        <w:rPr>
          <w:rFonts w:cstheme="minorHAnsi"/>
        </w:rPr>
      </w:pPr>
    </w:p>
    <w:p w:rsidR="00320670" w:rsidRPr="009139B3" w:rsidP="00110D5F" w14:paraId="1FF760D3" w14:textId="77777777">
      <w:pPr>
        <w:spacing w:after="120" w:line="240" w:lineRule="auto"/>
        <w:rPr>
          <w:b/>
        </w:rPr>
      </w:pPr>
      <w:r w:rsidRPr="009139B3">
        <w:rPr>
          <w:b/>
        </w:rPr>
        <w:t>A12</w:t>
      </w:r>
      <w:r w:rsidRPr="009139B3">
        <w:t>.</w:t>
      </w:r>
      <w:r w:rsidRPr="009139B3">
        <w:tab/>
      </w:r>
      <w:r w:rsidRPr="009139B3">
        <w:rPr>
          <w:b/>
        </w:rPr>
        <w:t>Burden</w:t>
      </w:r>
    </w:p>
    <w:p w:rsidR="00320670" w:rsidRPr="009139B3" w:rsidP="00110D5F" w14:paraId="25A819C4" w14:textId="77777777">
      <w:pPr>
        <w:spacing w:after="60" w:line="240" w:lineRule="auto"/>
        <w:rPr>
          <w:i/>
        </w:rPr>
      </w:pPr>
      <w:r w:rsidRPr="009139B3">
        <w:rPr>
          <w:i/>
        </w:rPr>
        <w:t>Explanation of Burden Estimates</w:t>
      </w:r>
    </w:p>
    <w:p w:rsidR="001D1C73" w:rsidP="00110D5F" w14:paraId="52E2F984" w14:textId="4487E4E7">
      <w:pPr>
        <w:spacing w:after="0" w:line="240" w:lineRule="auto"/>
      </w:pPr>
      <w:r w:rsidRPr="00EE1285">
        <w:t xml:space="preserve">The </w:t>
      </w:r>
      <w:r w:rsidR="00737EFF">
        <w:t>specifications</w:t>
      </w:r>
      <w:r w:rsidRPr="00EE1285">
        <w:t xml:space="preserve"> for </w:t>
      </w:r>
      <w:r w:rsidR="00737EFF">
        <w:t>developing</w:t>
      </w:r>
      <w:r w:rsidRPr="00EE1285">
        <w:t xml:space="preserve"> the burden </w:t>
      </w:r>
      <w:r w:rsidR="009449D7">
        <w:t xml:space="preserve">hour </w:t>
      </w:r>
      <w:r w:rsidRPr="00EE1285">
        <w:t xml:space="preserve">estimates for this ICR for </w:t>
      </w:r>
      <w:r w:rsidRPr="00EE1285" w:rsidR="00114005">
        <w:t>re</w:t>
      </w:r>
      <w:r w:rsidR="00114005">
        <w:t>vision</w:t>
      </w:r>
      <w:r w:rsidRPr="00EE1285" w:rsidR="00114005">
        <w:t xml:space="preserve"> </w:t>
      </w:r>
      <w:r w:rsidRPr="00EE1285">
        <w:t xml:space="preserve">of clearance, including assumptions regarding the number of respondents and periodicity of data collection, </w:t>
      </w:r>
      <w:r w:rsidR="00F56400">
        <w:t>are</w:t>
      </w:r>
      <w:r w:rsidRPr="00EE1285">
        <w:t xml:space="preserve"> described in</w:t>
      </w:r>
      <w:r>
        <w:t xml:space="preserve"> </w:t>
      </w:r>
      <w:r w:rsidR="00421821">
        <w:t xml:space="preserve">Appendix </w:t>
      </w:r>
      <w:r w:rsidR="00844A48">
        <w:t>B</w:t>
      </w:r>
      <w:r w:rsidRPr="00EE1285">
        <w:t>.</w:t>
      </w:r>
      <w:r w:rsidR="00737EFF">
        <w:t xml:space="preserve"> </w:t>
      </w:r>
      <w:r w:rsidRPr="00F87300" w:rsidR="00737EFF">
        <w:t>Table A.</w:t>
      </w:r>
      <w:r w:rsidRPr="00F87300" w:rsidR="00F87300">
        <w:t>3</w:t>
      </w:r>
      <w:r w:rsidRPr="00F87300" w:rsidR="00737EFF">
        <w:t xml:space="preserve"> summarizes</w:t>
      </w:r>
      <w:r w:rsidR="00737EFF">
        <w:t xml:space="preserve"> the annual burden hour estimates for each data collection and reporting instrument.</w:t>
      </w:r>
    </w:p>
    <w:p w:rsidR="00050D32" w:rsidP="00110D5F" w14:paraId="21C3A0D2" w14:textId="77777777">
      <w:pPr>
        <w:spacing w:after="0" w:line="240" w:lineRule="auto"/>
      </w:pPr>
    </w:p>
    <w:p w:rsidR="000C2738" w:rsidRPr="009139B3" w:rsidP="00110D5F" w14:paraId="1C09D7CF" w14:textId="77777777">
      <w:pPr>
        <w:spacing w:after="60" w:line="240" w:lineRule="auto"/>
        <w:rPr>
          <w:i/>
        </w:rPr>
      </w:pPr>
      <w:r w:rsidRPr="009139B3">
        <w:rPr>
          <w:i/>
        </w:rPr>
        <w:t>Estimated Annualized Cost to Respondents</w:t>
      </w:r>
    </w:p>
    <w:p w:rsidR="00050D32" w:rsidP="00110D5F" w14:paraId="5717A155" w14:textId="23820735">
      <w:pPr>
        <w:spacing w:after="0" w:line="240" w:lineRule="auto"/>
      </w:pPr>
      <w:r>
        <w:t xml:space="preserve">Appendix </w:t>
      </w:r>
      <w:r w:rsidR="00844A48">
        <w:t xml:space="preserve">B </w:t>
      </w:r>
      <w:r>
        <w:t xml:space="preserve">also provides specifications for the annual cost estimates associated with each of these instruments. </w:t>
      </w:r>
      <w:r w:rsidRPr="009A1639">
        <w:t xml:space="preserve">For all cost calculations, </w:t>
      </w:r>
      <w:r>
        <w:t xml:space="preserve">average hourly wage estimates have been based on either the federal minimum wage or applicable wage rates </w:t>
      </w:r>
      <w:r w:rsidRPr="009A1639">
        <w:t xml:space="preserve">from the U.S. Bureau of Labor Statistics, Occupational Employment Statistics (OES), </w:t>
      </w:r>
      <w:r w:rsidRPr="009A1639" w:rsidR="00844A48">
        <w:t>20</w:t>
      </w:r>
      <w:r w:rsidR="00844A48">
        <w:t>24</w:t>
      </w:r>
      <w:r w:rsidRPr="009A1639">
        <w:t xml:space="preserve">. </w:t>
      </w:r>
    </w:p>
    <w:p w:rsidR="00D77F61" w:rsidP="00110D5F" w14:paraId="621D4505" w14:textId="17EDC542">
      <w:pPr>
        <w:spacing w:after="0" w:line="240" w:lineRule="auto"/>
      </w:pPr>
    </w:p>
    <w:p w:rsidR="00D77F61" w:rsidP="00110D5F" w14:paraId="17B532CC" w14:textId="2D91FEBC">
      <w:pPr>
        <w:spacing w:after="0" w:line="240" w:lineRule="auto"/>
        <w:rPr>
          <w:rFonts w:cstheme="minorHAnsi"/>
          <w:b/>
        </w:rPr>
      </w:pPr>
      <w:r w:rsidRPr="00F87300">
        <w:rPr>
          <w:rFonts w:cstheme="minorHAnsi"/>
          <w:b/>
        </w:rPr>
        <w:t xml:space="preserve">Table A.3. Estimates of </w:t>
      </w:r>
      <w:r>
        <w:rPr>
          <w:rFonts w:cstheme="minorHAnsi"/>
          <w:b/>
        </w:rPr>
        <w:t>h</w:t>
      </w:r>
      <w:r w:rsidRPr="00F87300">
        <w:rPr>
          <w:rFonts w:cstheme="minorHAnsi"/>
          <w:b/>
        </w:rPr>
        <w:t xml:space="preserve">ourly </w:t>
      </w:r>
      <w:r>
        <w:rPr>
          <w:rFonts w:cstheme="minorHAnsi"/>
          <w:b/>
        </w:rPr>
        <w:t>b</w:t>
      </w:r>
      <w:r w:rsidRPr="00F87300">
        <w:rPr>
          <w:rFonts w:cstheme="minorHAnsi"/>
          <w:b/>
        </w:rPr>
        <w:t xml:space="preserve">urden and </w:t>
      </w:r>
      <w:r>
        <w:rPr>
          <w:rFonts w:cstheme="minorHAnsi"/>
          <w:b/>
        </w:rPr>
        <w:t>c</w:t>
      </w:r>
      <w:r w:rsidRPr="00F87300">
        <w:rPr>
          <w:rFonts w:cstheme="minorHAnsi"/>
          <w:b/>
        </w:rPr>
        <w:t>osts</w:t>
      </w:r>
    </w:p>
    <w:p w:rsidR="00CA46B1" w:rsidRPr="00DA148F" w:rsidP="00110D5F" w14:paraId="22B6BDC6" w14:textId="77777777">
      <w:pPr>
        <w:spacing w:after="0" w:line="240" w:lineRule="auto"/>
        <w:rPr>
          <w:rFonts w:cstheme="minorHAnsi"/>
          <w:b/>
        </w:rPr>
      </w:pPr>
    </w:p>
    <w:tbl>
      <w:tblPr>
        <w:tblStyle w:val="SMPRTableBlack"/>
        <w:tblW w:w="5773" w:type="pct"/>
        <w:tblInd w:w="-630" w:type="dxa"/>
        <w:tblLook w:val="04A0"/>
      </w:tblPr>
      <w:tblGrid>
        <w:gridCol w:w="1255"/>
        <w:gridCol w:w="1889"/>
        <w:gridCol w:w="1188"/>
        <w:gridCol w:w="1116"/>
        <w:gridCol w:w="1008"/>
        <w:gridCol w:w="1029"/>
        <w:gridCol w:w="1029"/>
        <w:gridCol w:w="1029"/>
        <w:gridCol w:w="1264"/>
      </w:tblGrid>
      <w:tr w14:paraId="2553E542" w14:textId="5470211A" w:rsidTr="00AA72C3">
        <w:tblPrEx>
          <w:tblW w:w="5773" w:type="pct"/>
          <w:tblInd w:w="-630" w:type="dxa"/>
          <w:tblLook w:val="04A0"/>
        </w:tblPrEx>
        <w:trPr>
          <w:cantSplit/>
          <w:trHeight w:val="1245"/>
          <w:tblHeader/>
        </w:trPr>
        <w:tc>
          <w:tcPr>
            <w:tcW w:w="590" w:type="pct"/>
            <w:vAlign w:val="bottom"/>
            <w:hideMark/>
          </w:tcPr>
          <w:p w:rsidR="00DA148F" w:rsidRPr="00DA148F" w:rsidP="00110D5F" w14:paraId="106344A2" w14:textId="77777777">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Instrument</w:t>
            </w:r>
          </w:p>
        </w:tc>
        <w:tc>
          <w:tcPr>
            <w:tcW w:w="883" w:type="pct"/>
            <w:vAlign w:val="bottom"/>
            <w:hideMark/>
          </w:tcPr>
          <w:p w:rsidR="00DA148F" w:rsidRPr="00DA148F" w:rsidP="00110D5F" w14:paraId="4B4CC135" w14:textId="77777777">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Respondent</w:t>
            </w:r>
          </w:p>
        </w:tc>
        <w:tc>
          <w:tcPr>
            <w:tcW w:w="550" w:type="pct"/>
            <w:vAlign w:val="bottom"/>
            <w:hideMark/>
          </w:tcPr>
          <w:p w:rsidR="00DA148F" w:rsidRPr="00DA148F" w:rsidP="00110D5F" w14:paraId="5A9CFD99" w14:textId="77777777">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No. of Respondents (total over request period)</w:t>
            </w:r>
          </w:p>
        </w:tc>
        <w:tc>
          <w:tcPr>
            <w:tcW w:w="516" w:type="pct"/>
            <w:vAlign w:val="bottom"/>
            <w:hideMark/>
          </w:tcPr>
          <w:p w:rsidR="00DA148F" w:rsidRPr="00DA148F" w:rsidP="00110D5F" w14:paraId="53B9AD46" w14:textId="77777777">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No. of Responses per Respondent (total over request period)</w:t>
            </w:r>
          </w:p>
        </w:tc>
        <w:tc>
          <w:tcPr>
            <w:tcW w:w="484" w:type="pct"/>
            <w:vAlign w:val="bottom"/>
            <w:hideMark/>
          </w:tcPr>
          <w:p w:rsidR="00DA148F" w:rsidRPr="00DA148F" w:rsidP="00110D5F" w14:paraId="15393657" w14:textId="77777777">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Avg. Burden per Response (in hours)</w:t>
            </w:r>
          </w:p>
        </w:tc>
        <w:tc>
          <w:tcPr>
            <w:tcW w:w="485" w:type="pct"/>
          </w:tcPr>
          <w:p w:rsidR="00DA148F" w:rsidRPr="00DA148F" w:rsidP="00110D5F" w14:paraId="4EE66E43" w14:textId="77777777">
            <w:pPr>
              <w:spacing w:before="48" w:beforeLines="20" w:after="48" w:afterLines="20"/>
              <w:jc w:val="center"/>
              <w:rPr>
                <w:rFonts w:asciiTheme="minorHAnsi" w:hAnsiTheme="minorHAnsi" w:cstheme="minorHAnsi"/>
                <w:b/>
                <w:bCs/>
                <w:sz w:val="18"/>
                <w:szCs w:val="18"/>
              </w:rPr>
            </w:pPr>
          </w:p>
          <w:p w:rsidR="00DA148F" w:rsidRPr="00DA148F" w:rsidP="00110D5F" w14:paraId="7920E531" w14:textId="77777777">
            <w:pPr>
              <w:spacing w:before="48" w:beforeLines="20" w:after="48" w:afterLines="20"/>
              <w:jc w:val="center"/>
              <w:rPr>
                <w:rFonts w:asciiTheme="minorHAnsi" w:hAnsiTheme="minorHAnsi" w:cstheme="minorHAnsi"/>
                <w:b/>
                <w:bCs/>
                <w:sz w:val="18"/>
                <w:szCs w:val="18"/>
              </w:rPr>
            </w:pPr>
          </w:p>
          <w:p w:rsidR="00DA148F" w:rsidRPr="00DA148F" w:rsidP="00110D5F" w14:paraId="7E05755E" w14:textId="77777777">
            <w:pPr>
              <w:spacing w:before="48" w:beforeLines="20" w:after="48" w:afterLines="20"/>
              <w:jc w:val="center"/>
              <w:rPr>
                <w:rFonts w:asciiTheme="minorHAnsi" w:hAnsiTheme="minorHAnsi" w:cstheme="minorHAnsi"/>
                <w:b/>
                <w:bCs/>
                <w:sz w:val="18"/>
                <w:szCs w:val="18"/>
              </w:rPr>
            </w:pPr>
          </w:p>
          <w:p w:rsidR="00DA148F" w:rsidRPr="00DA148F" w:rsidP="00110D5F" w14:paraId="32749EFF" w14:textId="77777777">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Total burden (in hours)</w:t>
            </w:r>
          </w:p>
        </w:tc>
        <w:tc>
          <w:tcPr>
            <w:tcW w:w="485" w:type="pct"/>
            <w:vAlign w:val="bottom"/>
            <w:hideMark/>
          </w:tcPr>
          <w:p w:rsidR="00DA148F" w:rsidRPr="00DA148F" w:rsidP="00110D5F" w14:paraId="3F045C40" w14:textId="77777777">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Annual Burden (in hours)</w:t>
            </w:r>
          </w:p>
        </w:tc>
        <w:tc>
          <w:tcPr>
            <w:tcW w:w="485" w:type="pct"/>
            <w:vAlign w:val="bottom"/>
          </w:tcPr>
          <w:p w:rsidR="00DA148F" w:rsidRPr="00DA148F" w:rsidP="00110D5F" w14:paraId="75509BB2" w14:textId="3D49C47F">
            <w:pPr>
              <w:spacing w:before="48" w:beforeLines="20" w:after="48" w:afterLines="20"/>
              <w:jc w:val="center"/>
              <w:rPr>
                <w:rFonts w:asciiTheme="minorHAnsi" w:hAnsiTheme="minorHAnsi" w:cstheme="minorHAnsi"/>
                <w:b/>
                <w:bCs/>
                <w:sz w:val="18"/>
                <w:szCs w:val="18"/>
              </w:rPr>
            </w:pPr>
            <w:r w:rsidRPr="00DA148F">
              <w:rPr>
                <w:rFonts w:asciiTheme="minorHAnsi" w:hAnsiTheme="minorHAnsi" w:cstheme="minorHAnsi"/>
                <w:b/>
                <w:bCs/>
                <w:sz w:val="18"/>
                <w:szCs w:val="18"/>
              </w:rPr>
              <w:t>Average</w:t>
            </w:r>
            <w:r>
              <w:rPr>
                <w:rFonts w:asciiTheme="minorHAnsi" w:hAnsiTheme="minorHAnsi" w:cstheme="minorHAnsi"/>
                <w:b/>
                <w:bCs/>
                <w:sz w:val="18"/>
                <w:szCs w:val="18"/>
              </w:rPr>
              <w:t xml:space="preserve"> Hourly Wage Rate</w:t>
            </w:r>
          </w:p>
        </w:tc>
        <w:tc>
          <w:tcPr>
            <w:tcW w:w="522" w:type="pct"/>
            <w:vAlign w:val="bottom"/>
          </w:tcPr>
          <w:p w:rsidR="00DA148F" w:rsidRPr="00DA148F" w:rsidP="00110D5F" w14:paraId="6CB2D169" w14:textId="1F524EEE">
            <w:pPr>
              <w:spacing w:before="48" w:beforeLines="20" w:after="48" w:afterLines="20"/>
              <w:jc w:val="center"/>
              <w:rPr>
                <w:rFonts w:asciiTheme="minorHAnsi" w:hAnsiTheme="minorHAnsi" w:cstheme="minorHAnsi"/>
                <w:b/>
                <w:bCs/>
                <w:sz w:val="18"/>
                <w:szCs w:val="18"/>
              </w:rPr>
            </w:pPr>
            <w:r>
              <w:rPr>
                <w:rFonts w:asciiTheme="minorHAnsi" w:hAnsiTheme="minorHAnsi" w:cstheme="minorHAnsi"/>
                <w:b/>
                <w:bCs/>
                <w:sz w:val="18"/>
                <w:szCs w:val="18"/>
              </w:rPr>
              <w:t>Total Annual Respondent Cost</w:t>
            </w:r>
          </w:p>
        </w:tc>
      </w:tr>
      <w:tr w14:paraId="3E85B40A" w14:textId="2318A9B9" w:rsidTr="00AA72C3">
        <w:tblPrEx>
          <w:tblW w:w="5773" w:type="pct"/>
          <w:tblInd w:w="-630" w:type="dxa"/>
          <w:tblLook w:val="04A0"/>
        </w:tblPrEx>
        <w:trPr>
          <w:cantSplit/>
          <w:trHeight w:val="422"/>
        </w:trPr>
        <w:tc>
          <w:tcPr>
            <w:tcW w:w="590" w:type="pct"/>
            <w:vMerge w:val="restart"/>
            <w:tcBorders>
              <w:top w:val="single" w:sz="2" w:space="0" w:color="auto"/>
              <w:left w:val="nil"/>
              <w:right w:val="nil"/>
            </w:tcBorders>
            <w:vAlign w:val="center"/>
          </w:tcPr>
          <w:p w:rsidR="00AA72C3" w:rsidRPr="00DA148F" w:rsidP="00110D5F" w14:paraId="1E8EDEEF" w14:textId="77777777">
            <w:pPr>
              <w:spacing w:before="48" w:beforeLines="20" w:after="48" w:afterLines="20"/>
              <w:rPr>
                <w:rFonts w:asciiTheme="minorHAnsi" w:hAnsiTheme="minorHAnsi" w:cstheme="minorHAnsi"/>
                <w:b/>
                <w:sz w:val="18"/>
                <w:szCs w:val="18"/>
              </w:rPr>
            </w:pPr>
            <w:r w:rsidRPr="00DA148F">
              <w:rPr>
                <w:rFonts w:asciiTheme="minorHAnsi" w:hAnsiTheme="minorHAnsi" w:cstheme="minorHAnsi"/>
                <w:b/>
                <w:sz w:val="18"/>
                <w:szCs w:val="18"/>
              </w:rPr>
              <w:t>1: Program Application and Enrollment</w:t>
            </w:r>
          </w:p>
        </w:tc>
        <w:tc>
          <w:tcPr>
            <w:tcW w:w="883" w:type="pct"/>
            <w:tcBorders>
              <w:top w:val="single" w:sz="2" w:space="0" w:color="auto"/>
              <w:left w:val="nil"/>
              <w:bottom w:val="nil"/>
              <w:right w:val="nil"/>
            </w:tcBorders>
            <w:vAlign w:val="center"/>
          </w:tcPr>
          <w:p w:rsidR="00AA72C3" w:rsidRPr="00DA148F" w:rsidP="00110D5F" w14:paraId="6A0B3503"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Program staff</w:t>
            </w:r>
          </w:p>
          <w:p w:rsidR="00AA72C3" w:rsidRPr="00DA148F" w:rsidP="00110D5F" w14:paraId="4AFDAB27" w14:textId="1CCE6D8C">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w:t>
            </w:r>
            <w:r>
              <w:rPr>
                <w:rFonts w:asciiTheme="minorHAnsi" w:hAnsiTheme="minorHAnsi" w:cstheme="minorHAnsi"/>
                <w:sz w:val="18"/>
                <w:szCs w:val="18"/>
              </w:rPr>
              <w:t xml:space="preserve">1a: </w:t>
            </w:r>
            <w:r w:rsidRPr="00DA148F">
              <w:rPr>
                <w:rFonts w:asciiTheme="minorHAnsi" w:hAnsiTheme="minorHAnsi" w:cstheme="minorHAnsi"/>
                <w:sz w:val="18"/>
                <w:szCs w:val="18"/>
              </w:rPr>
              <w:t>application form)</w:t>
            </w:r>
          </w:p>
        </w:tc>
        <w:tc>
          <w:tcPr>
            <w:tcW w:w="550" w:type="pct"/>
            <w:tcBorders>
              <w:top w:val="single" w:sz="2" w:space="0" w:color="auto"/>
              <w:left w:val="nil"/>
              <w:bottom w:val="nil"/>
              <w:right w:val="nil"/>
            </w:tcBorders>
            <w:vAlign w:val="center"/>
          </w:tcPr>
          <w:p w:rsidR="00AA72C3" w:rsidRPr="00DA148F" w:rsidP="00110D5F" w14:paraId="009BC2B3" w14:textId="104EF5F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327</w:t>
            </w:r>
          </w:p>
        </w:tc>
        <w:tc>
          <w:tcPr>
            <w:tcW w:w="516" w:type="pct"/>
            <w:tcBorders>
              <w:top w:val="single" w:sz="2" w:space="0" w:color="auto"/>
              <w:left w:val="nil"/>
              <w:bottom w:val="nil"/>
              <w:right w:val="nil"/>
            </w:tcBorders>
            <w:vAlign w:val="center"/>
          </w:tcPr>
          <w:p w:rsidR="00AA72C3" w:rsidRPr="00DA148F" w:rsidP="00110D5F" w14:paraId="72890419" w14:textId="3C7521E0">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413</w:t>
            </w:r>
          </w:p>
        </w:tc>
        <w:tc>
          <w:tcPr>
            <w:tcW w:w="484" w:type="pct"/>
            <w:tcBorders>
              <w:top w:val="single" w:sz="2" w:space="0" w:color="auto"/>
              <w:left w:val="nil"/>
              <w:bottom w:val="nil"/>
              <w:right w:val="nil"/>
            </w:tcBorders>
            <w:vAlign w:val="center"/>
          </w:tcPr>
          <w:p w:rsidR="00AA72C3" w:rsidRPr="00DA148F" w:rsidP="00110D5F" w14:paraId="0D6F2055" w14:textId="488A8270">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0.10</w:t>
            </w:r>
          </w:p>
        </w:tc>
        <w:tc>
          <w:tcPr>
            <w:tcW w:w="485" w:type="pct"/>
            <w:tcBorders>
              <w:top w:val="single" w:sz="2" w:space="0" w:color="auto"/>
              <w:left w:val="nil"/>
              <w:bottom w:val="nil"/>
              <w:right w:val="nil"/>
            </w:tcBorders>
            <w:vAlign w:val="center"/>
          </w:tcPr>
          <w:p w:rsidR="00AA72C3" w:rsidRPr="00DA148F" w:rsidP="00110D5F" w14:paraId="7B381572" w14:textId="0E0BCA07">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13,505</w:t>
            </w:r>
          </w:p>
        </w:tc>
        <w:tc>
          <w:tcPr>
            <w:tcW w:w="485" w:type="pct"/>
            <w:tcBorders>
              <w:top w:val="single" w:sz="2" w:space="0" w:color="auto"/>
              <w:left w:val="nil"/>
              <w:bottom w:val="nil"/>
              <w:right w:val="nil"/>
            </w:tcBorders>
            <w:vAlign w:val="center"/>
          </w:tcPr>
          <w:p w:rsidR="00AA72C3" w:rsidRPr="00DA148F" w:rsidP="00110D5F" w14:paraId="319BBBF0" w14:textId="0C9345D7">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4,502</w:t>
            </w:r>
          </w:p>
        </w:tc>
        <w:tc>
          <w:tcPr>
            <w:tcW w:w="485" w:type="pct"/>
            <w:tcBorders>
              <w:top w:val="single" w:sz="2" w:space="0" w:color="auto"/>
              <w:left w:val="nil"/>
              <w:bottom w:val="nil"/>
              <w:right w:val="nil"/>
            </w:tcBorders>
            <w:vAlign w:val="center"/>
          </w:tcPr>
          <w:p w:rsidR="00AA72C3" w:rsidRPr="00870500" w:rsidP="00110D5F" w14:paraId="208A7D61" w14:textId="64D70F75">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B43B2A">
              <w:rPr>
                <w:rFonts w:asciiTheme="minorHAnsi" w:hAnsiTheme="minorHAnsi" w:cstheme="minorHAnsi"/>
                <w:sz w:val="18"/>
                <w:szCs w:val="18"/>
              </w:rPr>
              <w:t>71.82</w:t>
            </w:r>
          </w:p>
        </w:tc>
        <w:tc>
          <w:tcPr>
            <w:tcW w:w="522" w:type="pct"/>
            <w:tcBorders>
              <w:top w:val="single" w:sz="2" w:space="0" w:color="auto"/>
              <w:left w:val="nil"/>
              <w:bottom w:val="nil"/>
              <w:right w:val="nil"/>
            </w:tcBorders>
            <w:vAlign w:val="center"/>
          </w:tcPr>
          <w:p w:rsidR="00AA72C3" w:rsidRPr="00870500" w:rsidP="00110D5F" w14:paraId="0433EC5C" w14:textId="3F2BDEC4">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B43B2A">
              <w:rPr>
                <w:rFonts w:asciiTheme="minorHAnsi" w:hAnsiTheme="minorHAnsi" w:cstheme="minorHAnsi"/>
                <w:sz w:val="18"/>
                <w:szCs w:val="18"/>
              </w:rPr>
              <w:t>323,333.64</w:t>
            </w:r>
          </w:p>
        </w:tc>
      </w:tr>
      <w:tr w14:paraId="0A9E741B" w14:textId="56FF4A34" w:rsidTr="00AA72C3">
        <w:tblPrEx>
          <w:tblW w:w="5773" w:type="pct"/>
          <w:tblInd w:w="-630" w:type="dxa"/>
          <w:tblLook w:val="04A0"/>
        </w:tblPrEx>
        <w:trPr>
          <w:cantSplit/>
          <w:trHeight w:val="422"/>
        </w:trPr>
        <w:tc>
          <w:tcPr>
            <w:tcW w:w="590" w:type="pct"/>
            <w:vMerge/>
            <w:tcBorders>
              <w:left w:val="nil"/>
              <w:right w:val="nil"/>
            </w:tcBorders>
            <w:vAlign w:val="center"/>
          </w:tcPr>
          <w:p w:rsidR="00AA72C3" w:rsidRPr="00DA148F" w:rsidP="00110D5F" w14:paraId="2A58B2E9" w14:textId="77777777">
            <w:pPr>
              <w:spacing w:before="48" w:beforeLines="20" w:after="48" w:afterLines="20"/>
              <w:rPr>
                <w:rFonts w:asciiTheme="minorHAnsi" w:hAnsiTheme="minorHAnsi" w:cstheme="minorHAnsi"/>
                <w:b/>
                <w:sz w:val="18"/>
                <w:szCs w:val="18"/>
              </w:rPr>
            </w:pPr>
          </w:p>
        </w:tc>
        <w:tc>
          <w:tcPr>
            <w:tcW w:w="883" w:type="pct"/>
            <w:tcBorders>
              <w:top w:val="single" w:sz="2" w:space="0" w:color="auto"/>
              <w:left w:val="nil"/>
              <w:bottom w:val="nil"/>
              <w:right w:val="nil"/>
            </w:tcBorders>
            <w:vAlign w:val="center"/>
          </w:tcPr>
          <w:p w:rsidR="00AA72C3" w:rsidRPr="00DA148F" w:rsidP="00110D5F" w14:paraId="27D44EDE"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Program staff</w:t>
            </w:r>
          </w:p>
          <w:p w:rsidR="00AA72C3" w:rsidRPr="00DA148F" w:rsidP="00110D5F" w14:paraId="16E2534C" w14:textId="65B7082B">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w:t>
            </w:r>
            <w:r>
              <w:rPr>
                <w:rFonts w:asciiTheme="minorHAnsi" w:hAnsiTheme="minorHAnsi" w:cstheme="minorHAnsi"/>
                <w:sz w:val="18"/>
                <w:szCs w:val="18"/>
              </w:rPr>
              <w:t xml:space="preserve">1b: </w:t>
            </w:r>
            <w:r w:rsidRPr="00DA148F">
              <w:rPr>
                <w:rFonts w:asciiTheme="minorHAnsi" w:hAnsiTheme="minorHAnsi" w:cstheme="minorHAnsi"/>
                <w:sz w:val="18"/>
                <w:szCs w:val="18"/>
              </w:rPr>
              <w:t>entrance survey data entry)</w:t>
            </w:r>
          </w:p>
        </w:tc>
        <w:tc>
          <w:tcPr>
            <w:tcW w:w="550" w:type="pct"/>
            <w:tcBorders>
              <w:top w:val="single" w:sz="2" w:space="0" w:color="auto"/>
              <w:left w:val="nil"/>
              <w:bottom w:val="nil"/>
              <w:right w:val="nil"/>
            </w:tcBorders>
            <w:vAlign w:val="center"/>
          </w:tcPr>
          <w:p w:rsidR="00AA72C3" w:rsidRPr="00DA148F" w:rsidP="00110D5F" w14:paraId="03A24A61" w14:textId="518C24F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218</w:t>
            </w:r>
          </w:p>
        </w:tc>
        <w:tc>
          <w:tcPr>
            <w:tcW w:w="516" w:type="pct"/>
            <w:tcBorders>
              <w:top w:val="single" w:sz="2" w:space="0" w:color="auto"/>
              <w:left w:val="nil"/>
              <w:bottom w:val="nil"/>
              <w:right w:val="nil"/>
            </w:tcBorders>
            <w:vAlign w:val="center"/>
          </w:tcPr>
          <w:p w:rsidR="00AA72C3" w:rsidRPr="00DA148F" w:rsidP="00110D5F" w14:paraId="040C0E75" w14:textId="7EE75529">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124</w:t>
            </w:r>
          </w:p>
        </w:tc>
        <w:tc>
          <w:tcPr>
            <w:tcW w:w="484" w:type="pct"/>
            <w:tcBorders>
              <w:top w:val="single" w:sz="2" w:space="0" w:color="auto"/>
              <w:left w:val="nil"/>
              <w:bottom w:val="nil"/>
              <w:right w:val="nil"/>
            </w:tcBorders>
            <w:vAlign w:val="center"/>
          </w:tcPr>
          <w:p w:rsidR="00AA72C3" w:rsidRPr="00DA148F" w:rsidP="00110D5F" w14:paraId="5D936037" w14:textId="39BA45C4">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0.10</w:t>
            </w:r>
          </w:p>
        </w:tc>
        <w:tc>
          <w:tcPr>
            <w:tcW w:w="485" w:type="pct"/>
            <w:tcBorders>
              <w:top w:val="single" w:sz="2" w:space="0" w:color="auto"/>
              <w:left w:val="nil"/>
              <w:bottom w:val="nil"/>
              <w:right w:val="nil"/>
            </w:tcBorders>
            <w:vAlign w:val="center"/>
          </w:tcPr>
          <w:p w:rsidR="00AA72C3" w:rsidRPr="00DA148F" w:rsidP="00110D5F" w14:paraId="79DF0348" w14:textId="4E35FBA2">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2,703</w:t>
            </w:r>
          </w:p>
        </w:tc>
        <w:tc>
          <w:tcPr>
            <w:tcW w:w="485" w:type="pct"/>
            <w:tcBorders>
              <w:top w:val="single" w:sz="2" w:space="0" w:color="auto"/>
              <w:left w:val="nil"/>
              <w:bottom w:val="nil"/>
              <w:right w:val="nil"/>
            </w:tcBorders>
            <w:vAlign w:val="center"/>
          </w:tcPr>
          <w:p w:rsidR="00AA72C3" w:rsidRPr="00DA148F" w:rsidP="00110D5F" w14:paraId="7B8DD12C" w14:textId="22A8C45E">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901</w:t>
            </w:r>
          </w:p>
        </w:tc>
        <w:tc>
          <w:tcPr>
            <w:tcW w:w="485" w:type="pct"/>
            <w:tcBorders>
              <w:top w:val="single" w:sz="2" w:space="0" w:color="auto"/>
              <w:left w:val="nil"/>
              <w:bottom w:val="nil"/>
              <w:right w:val="nil"/>
            </w:tcBorders>
            <w:vAlign w:val="center"/>
          </w:tcPr>
          <w:p w:rsidR="00AA72C3" w:rsidRPr="00870500" w:rsidP="00110D5F" w14:paraId="0FE86D67" w14:textId="319308E4">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B43B2A">
              <w:rPr>
                <w:rFonts w:asciiTheme="minorHAnsi" w:hAnsiTheme="minorHAnsi" w:cstheme="minorHAnsi"/>
                <w:sz w:val="18"/>
                <w:szCs w:val="18"/>
              </w:rPr>
              <w:t>40.44</w:t>
            </w:r>
          </w:p>
        </w:tc>
        <w:tc>
          <w:tcPr>
            <w:tcW w:w="522" w:type="pct"/>
            <w:tcBorders>
              <w:top w:val="single" w:sz="2" w:space="0" w:color="auto"/>
              <w:left w:val="nil"/>
              <w:bottom w:val="nil"/>
              <w:right w:val="nil"/>
            </w:tcBorders>
            <w:vAlign w:val="center"/>
          </w:tcPr>
          <w:p w:rsidR="00AA72C3" w:rsidRPr="00870500" w:rsidP="00110D5F" w14:paraId="1ACEA35B" w14:textId="29DB9C68">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B43B2A">
              <w:rPr>
                <w:rFonts w:asciiTheme="minorHAnsi" w:hAnsiTheme="minorHAnsi" w:cstheme="minorHAnsi"/>
                <w:sz w:val="18"/>
                <w:szCs w:val="18"/>
              </w:rPr>
              <w:t>36,436.44</w:t>
            </w:r>
          </w:p>
        </w:tc>
      </w:tr>
      <w:tr w14:paraId="6BBA7707" w14:textId="045D9435" w:rsidTr="00AA72C3">
        <w:tblPrEx>
          <w:tblW w:w="5773" w:type="pct"/>
          <w:tblInd w:w="-630" w:type="dxa"/>
          <w:tblLook w:val="04A0"/>
        </w:tblPrEx>
        <w:trPr>
          <w:cantSplit/>
          <w:trHeight w:val="422"/>
        </w:trPr>
        <w:tc>
          <w:tcPr>
            <w:tcW w:w="590" w:type="pct"/>
            <w:vMerge/>
            <w:tcBorders>
              <w:left w:val="nil"/>
              <w:right w:val="nil"/>
            </w:tcBorders>
            <w:vAlign w:val="center"/>
            <w:hideMark/>
          </w:tcPr>
          <w:p w:rsidR="00AA72C3" w:rsidRPr="00DA148F" w:rsidP="00110D5F" w14:paraId="7BD8F1AB" w14:textId="77777777">
            <w:pPr>
              <w:spacing w:before="48" w:beforeLines="20" w:after="48" w:afterLines="20"/>
              <w:rPr>
                <w:rFonts w:asciiTheme="minorHAnsi" w:hAnsiTheme="minorHAnsi" w:cstheme="minorHAnsi"/>
                <w:sz w:val="18"/>
                <w:szCs w:val="18"/>
              </w:rPr>
            </w:pPr>
          </w:p>
        </w:tc>
        <w:tc>
          <w:tcPr>
            <w:tcW w:w="883" w:type="pct"/>
            <w:tcBorders>
              <w:top w:val="single" w:sz="2" w:space="0" w:color="auto"/>
              <w:left w:val="nil"/>
              <w:bottom w:val="nil"/>
              <w:right w:val="nil"/>
            </w:tcBorders>
            <w:vAlign w:val="center"/>
            <w:hideMark/>
          </w:tcPr>
          <w:p w:rsidR="00AA72C3" w:rsidRPr="00DA148F" w:rsidP="00110D5F" w14:paraId="4CBC205C"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Program applicants</w:t>
            </w:r>
          </w:p>
          <w:p w:rsidR="00AA72C3" w:rsidRPr="00DA148F" w:rsidP="00110D5F" w14:paraId="68325158" w14:textId="5452E6C9">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w:t>
            </w:r>
            <w:r>
              <w:rPr>
                <w:rFonts w:asciiTheme="minorHAnsi" w:hAnsiTheme="minorHAnsi" w:cstheme="minorHAnsi"/>
                <w:sz w:val="18"/>
                <w:szCs w:val="18"/>
              </w:rPr>
              <w:t xml:space="preserve">1b: </w:t>
            </w:r>
            <w:r w:rsidRPr="00DA148F">
              <w:rPr>
                <w:rFonts w:asciiTheme="minorHAnsi" w:hAnsiTheme="minorHAnsi" w:cstheme="minorHAnsi"/>
                <w:sz w:val="18"/>
                <w:szCs w:val="18"/>
              </w:rPr>
              <w:t>entrance survey)</w:t>
            </w:r>
          </w:p>
        </w:tc>
        <w:tc>
          <w:tcPr>
            <w:tcW w:w="550" w:type="pct"/>
            <w:tcBorders>
              <w:top w:val="single" w:sz="2" w:space="0" w:color="auto"/>
              <w:left w:val="nil"/>
              <w:bottom w:val="nil"/>
              <w:right w:val="nil"/>
            </w:tcBorders>
            <w:vAlign w:val="center"/>
            <w:hideMark/>
          </w:tcPr>
          <w:p w:rsidR="00AA72C3" w:rsidRPr="00DA148F" w:rsidP="00110D5F" w14:paraId="6D679AB2" w14:textId="30A05670">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135,000</w:t>
            </w:r>
          </w:p>
        </w:tc>
        <w:tc>
          <w:tcPr>
            <w:tcW w:w="516" w:type="pct"/>
            <w:tcBorders>
              <w:top w:val="single" w:sz="2" w:space="0" w:color="auto"/>
              <w:left w:val="nil"/>
              <w:bottom w:val="nil"/>
              <w:right w:val="nil"/>
            </w:tcBorders>
            <w:vAlign w:val="center"/>
            <w:hideMark/>
          </w:tcPr>
          <w:p w:rsidR="00AA72C3" w:rsidRPr="00DA148F" w:rsidP="00110D5F" w14:paraId="3AA696ED" w14:textId="28E56C42">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1</w:t>
            </w:r>
          </w:p>
        </w:tc>
        <w:tc>
          <w:tcPr>
            <w:tcW w:w="484" w:type="pct"/>
            <w:tcBorders>
              <w:top w:val="single" w:sz="2" w:space="0" w:color="auto"/>
              <w:left w:val="nil"/>
              <w:bottom w:val="nil"/>
              <w:right w:val="nil"/>
            </w:tcBorders>
            <w:vAlign w:val="center"/>
            <w:hideMark/>
          </w:tcPr>
          <w:p w:rsidR="00AA72C3" w:rsidRPr="00DA148F" w:rsidP="00110D5F" w14:paraId="23F8CA1B" w14:textId="30A02F02">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0.</w:t>
            </w:r>
            <w:r w:rsidR="00E16472">
              <w:rPr>
                <w:rFonts w:asciiTheme="minorHAnsi" w:hAnsiTheme="minorHAnsi" w:cstheme="minorHAnsi"/>
                <w:sz w:val="18"/>
                <w:szCs w:val="18"/>
              </w:rPr>
              <w:t>34</w:t>
            </w:r>
          </w:p>
        </w:tc>
        <w:tc>
          <w:tcPr>
            <w:tcW w:w="485" w:type="pct"/>
            <w:tcBorders>
              <w:top w:val="single" w:sz="2" w:space="0" w:color="auto"/>
              <w:left w:val="nil"/>
              <w:bottom w:val="nil"/>
              <w:right w:val="nil"/>
            </w:tcBorders>
            <w:vAlign w:val="center"/>
            <w:hideMark/>
          </w:tcPr>
          <w:p w:rsidR="00AA72C3" w:rsidRPr="00DA148F" w:rsidP="00110D5F" w14:paraId="1A6E36A4" w14:textId="5CB2884B">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45,900</w:t>
            </w:r>
          </w:p>
        </w:tc>
        <w:tc>
          <w:tcPr>
            <w:tcW w:w="485" w:type="pct"/>
            <w:tcBorders>
              <w:top w:val="single" w:sz="2" w:space="0" w:color="auto"/>
              <w:left w:val="nil"/>
              <w:bottom w:val="nil"/>
              <w:right w:val="nil"/>
            </w:tcBorders>
            <w:vAlign w:val="center"/>
            <w:hideMark/>
          </w:tcPr>
          <w:p w:rsidR="00AA72C3" w:rsidRPr="00DA148F" w:rsidP="00110D5F" w14:paraId="1132FA56" w14:textId="3C5194BD">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15,300</w:t>
            </w:r>
          </w:p>
        </w:tc>
        <w:tc>
          <w:tcPr>
            <w:tcW w:w="485" w:type="pct"/>
            <w:tcBorders>
              <w:top w:val="single" w:sz="2" w:space="0" w:color="auto"/>
              <w:left w:val="nil"/>
              <w:bottom w:val="nil"/>
              <w:right w:val="nil"/>
            </w:tcBorders>
            <w:vAlign w:val="center"/>
          </w:tcPr>
          <w:p w:rsidR="00AA72C3" w:rsidRPr="00870500" w:rsidP="00110D5F" w14:paraId="0A2514F8" w14:textId="25F9FA25">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$7.25</w:t>
            </w:r>
          </w:p>
        </w:tc>
        <w:tc>
          <w:tcPr>
            <w:tcW w:w="522" w:type="pct"/>
            <w:tcBorders>
              <w:top w:val="single" w:sz="2" w:space="0" w:color="auto"/>
              <w:left w:val="nil"/>
              <w:bottom w:val="nil"/>
              <w:right w:val="nil"/>
            </w:tcBorders>
            <w:vAlign w:val="center"/>
          </w:tcPr>
          <w:p w:rsidR="00AA72C3" w:rsidRPr="00870500" w:rsidP="00110D5F" w14:paraId="150B66EF" w14:textId="234497E8">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E16472">
              <w:rPr>
                <w:rFonts w:asciiTheme="minorHAnsi" w:hAnsiTheme="minorHAnsi" w:cstheme="minorHAnsi"/>
                <w:sz w:val="18"/>
                <w:szCs w:val="18"/>
              </w:rPr>
              <w:t>110,925</w:t>
            </w:r>
          </w:p>
        </w:tc>
      </w:tr>
      <w:tr w14:paraId="17645698" w14:textId="7178A2B5" w:rsidTr="00AA72C3">
        <w:tblPrEx>
          <w:tblW w:w="5773" w:type="pct"/>
          <w:tblInd w:w="-630" w:type="dxa"/>
          <w:tblLook w:val="04A0"/>
        </w:tblPrEx>
        <w:trPr>
          <w:cantSplit/>
          <w:trHeight w:val="411"/>
        </w:trPr>
        <w:tc>
          <w:tcPr>
            <w:tcW w:w="590" w:type="pct"/>
            <w:tcBorders>
              <w:top w:val="single" w:sz="4" w:space="0" w:color="auto"/>
              <w:left w:val="nil"/>
              <w:bottom w:val="single" w:sz="4" w:space="0" w:color="auto"/>
              <w:right w:val="nil"/>
            </w:tcBorders>
            <w:hideMark/>
          </w:tcPr>
          <w:p w:rsidR="00AA72C3" w:rsidRPr="00DA148F" w:rsidP="00110D5F" w14:paraId="6B7533D0" w14:textId="77777777">
            <w:pPr>
              <w:spacing w:before="48" w:beforeLines="20" w:after="48" w:afterLines="20"/>
              <w:rPr>
                <w:rFonts w:asciiTheme="minorHAnsi" w:hAnsiTheme="minorHAnsi" w:cstheme="minorHAnsi"/>
                <w:b/>
                <w:sz w:val="18"/>
                <w:szCs w:val="18"/>
              </w:rPr>
            </w:pPr>
            <w:r w:rsidRPr="00DA148F">
              <w:rPr>
                <w:rFonts w:asciiTheme="minorHAnsi" w:hAnsiTheme="minorHAnsi" w:cstheme="minorHAnsi"/>
                <w:b/>
                <w:sz w:val="18"/>
                <w:szCs w:val="18"/>
              </w:rPr>
              <w:t>2:  Program Operations</w:t>
            </w:r>
          </w:p>
        </w:tc>
        <w:tc>
          <w:tcPr>
            <w:tcW w:w="883" w:type="pct"/>
            <w:tcBorders>
              <w:top w:val="single" w:sz="4" w:space="0" w:color="auto"/>
              <w:left w:val="nil"/>
              <w:bottom w:val="single" w:sz="4" w:space="0" w:color="auto"/>
              <w:right w:val="nil"/>
            </w:tcBorders>
            <w:vAlign w:val="center"/>
            <w:hideMark/>
          </w:tcPr>
          <w:p w:rsidR="00AA72C3" w:rsidRPr="00DA148F" w:rsidP="00110D5F" w14:paraId="0A519E8A"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Program staff</w:t>
            </w:r>
          </w:p>
        </w:tc>
        <w:tc>
          <w:tcPr>
            <w:tcW w:w="550" w:type="pct"/>
            <w:tcBorders>
              <w:top w:val="single" w:sz="4" w:space="0" w:color="auto"/>
              <w:left w:val="nil"/>
              <w:bottom w:val="single" w:sz="4" w:space="0" w:color="auto"/>
              <w:right w:val="nil"/>
            </w:tcBorders>
            <w:vAlign w:val="center"/>
            <w:hideMark/>
          </w:tcPr>
          <w:p w:rsidR="00AA72C3" w:rsidRPr="00DA148F" w:rsidP="00110D5F" w14:paraId="783BBDDD" w14:textId="303E2B3E">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109</w:t>
            </w:r>
          </w:p>
        </w:tc>
        <w:tc>
          <w:tcPr>
            <w:tcW w:w="516" w:type="pct"/>
            <w:tcBorders>
              <w:top w:val="single" w:sz="4" w:space="0" w:color="auto"/>
              <w:left w:val="nil"/>
              <w:bottom w:val="single" w:sz="4" w:space="0" w:color="auto"/>
              <w:right w:val="nil"/>
            </w:tcBorders>
            <w:vAlign w:val="center"/>
            <w:hideMark/>
          </w:tcPr>
          <w:p w:rsidR="00AA72C3" w:rsidRPr="00DA148F" w:rsidP="00110D5F" w14:paraId="26EFCE28" w14:textId="26433E1F">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3</w:t>
            </w:r>
          </w:p>
        </w:tc>
        <w:tc>
          <w:tcPr>
            <w:tcW w:w="484" w:type="pct"/>
            <w:tcBorders>
              <w:top w:val="single" w:sz="4" w:space="0" w:color="auto"/>
              <w:left w:val="nil"/>
              <w:bottom w:val="single" w:sz="4" w:space="0" w:color="auto"/>
              <w:right w:val="nil"/>
            </w:tcBorders>
            <w:vAlign w:val="center"/>
            <w:hideMark/>
          </w:tcPr>
          <w:p w:rsidR="00AA72C3" w:rsidRPr="00DA148F" w:rsidP="00110D5F" w14:paraId="58C4AC92" w14:textId="128BD044">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0.32</w:t>
            </w:r>
          </w:p>
        </w:tc>
        <w:tc>
          <w:tcPr>
            <w:tcW w:w="485" w:type="pct"/>
            <w:tcBorders>
              <w:top w:val="single" w:sz="4" w:space="0" w:color="auto"/>
              <w:left w:val="nil"/>
              <w:bottom w:val="single" w:sz="4" w:space="0" w:color="auto"/>
              <w:right w:val="nil"/>
            </w:tcBorders>
            <w:vAlign w:val="center"/>
            <w:hideMark/>
          </w:tcPr>
          <w:p w:rsidR="00AA72C3" w:rsidRPr="00DA148F" w:rsidP="00110D5F" w14:paraId="0C1D474A" w14:textId="7DD7C8C4">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105</w:t>
            </w:r>
          </w:p>
        </w:tc>
        <w:tc>
          <w:tcPr>
            <w:tcW w:w="485" w:type="pct"/>
            <w:tcBorders>
              <w:top w:val="single" w:sz="4" w:space="0" w:color="auto"/>
              <w:left w:val="nil"/>
              <w:bottom w:val="single" w:sz="4" w:space="0" w:color="auto"/>
              <w:right w:val="nil"/>
            </w:tcBorders>
            <w:vAlign w:val="center"/>
            <w:hideMark/>
          </w:tcPr>
          <w:p w:rsidR="00AA72C3" w:rsidRPr="00DA148F" w:rsidP="00110D5F" w14:paraId="5A44AB16" w14:textId="6F1E6D6B">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35</w:t>
            </w:r>
          </w:p>
        </w:tc>
        <w:tc>
          <w:tcPr>
            <w:tcW w:w="485" w:type="pct"/>
            <w:tcBorders>
              <w:top w:val="single" w:sz="4" w:space="0" w:color="auto"/>
              <w:left w:val="nil"/>
              <w:bottom w:val="single" w:sz="4" w:space="0" w:color="auto"/>
              <w:right w:val="nil"/>
            </w:tcBorders>
            <w:vAlign w:val="center"/>
          </w:tcPr>
          <w:p w:rsidR="00AA72C3" w:rsidRPr="00870500" w:rsidP="00110D5F" w14:paraId="29304A35" w14:textId="3D87AB23">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B43B2A">
              <w:rPr>
                <w:rFonts w:asciiTheme="minorHAnsi" w:hAnsiTheme="minorHAnsi" w:cstheme="minorHAnsi"/>
                <w:sz w:val="18"/>
                <w:szCs w:val="18"/>
              </w:rPr>
              <w:t>82.78</w:t>
            </w:r>
          </w:p>
        </w:tc>
        <w:tc>
          <w:tcPr>
            <w:tcW w:w="522" w:type="pct"/>
            <w:tcBorders>
              <w:top w:val="single" w:sz="4" w:space="0" w:color="auto"/>
              <w:left w:val="nil"/>
              <w:bottom w:val="single" w:sz="4" w:space="0" w:color="auto"/>
              <w:right w:val="nil"/>
            </w:tcBorders>
            <w:vAlign w:val="center"/>
          </w:tcPr>
          <w:p w:rsidR="00AA72C3" w:rsidRPr="00870500" w:rsidP="00110D5F" w14:paraId="3C06E953" w14:textId="56ECA4EC">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B43B2A">
              <w:rPr>
                <w:rFonts w:asciiTheme="minorHAnsi" w:hAnsiTheme="minorHAnsi" w:cstheme="minorHAnsi"/>
                <w:sz w:val="18"/>
                <w:szCs w:val="18"/>
              </w:rPr>
              <w:t>2,897.30</w:t>
            </w:r>
          </w:p>
        </w:tc>
      </w:tr>
      <w:tr w14:paraId="16080A48" w14:textId="7031DA75" w:rsidTr="00AA72C3">
        <w:tblPrEx>
          <w:tblW w:w="5773" w:type="pct"/>
          <w:tblInd w:w="-630" w:type="dxa"/>
          <w:tblLook w:val="04A0"/>
        </w:tblPrEx>
        <w:trPr>
          <w:cantSplit/>
          <w:trHeight w:val="584"/>
        </w:trPr>
        <w:tc>
          <w:tcPr>
            <w:tcW w:w="590" w:type="pct"/>
            <w:tcBorders>
              <w:top w:val="single" w:sz="4" w:space="0" w:color="auto"/>
              <w:left w:val="nil"/>
              <w:bottom w:val="single" w:sz="4" w:space="0" w:color="auto"/>
              <w:right w:val="nil"/>
            </w:tcBorders>
            <w:hideMark/>
          </w:tcPr>
          <w:p w:rsidR="00AA72C3" w:rsidRPr="00DA148F" w:rsidP="00110D5F" w14:paraId="7F5AB266" w14:textId="77777777">
            <w:pPr>
              <w:spacing w:before="48" w:beforeLines="20" w:after="48" w:afterLines="20"/>
              <w:rPr>
                <w:rFonts w:asciiTheme="minorHAnsi" w:hAnsiTheme="minorHAnsi" w:cstheme="minorHAnsi"/>
                <w:b/>
                <w:sz w:val="18"/>
                <w:szCs w:val="18"/>
              </w:rPr>
            </w:pPr>
            <w:r w:rsidRPr="00DA148F">
              <w:rPr>
                <w:rFonts w:asciiTheme="minorHAnsi" w:hAnsiTheme="minorHAnsi" w:cstheme="minorHAnsi"/>
                <w:b/>
                <w:sz w:val="18"/>
                <w:szCs w:val="18"/>
              </w:rPr>
              <w:t>3</w:t>
            </w:r>
            <w:r w:rsidRPr="00DA148F">
              <w:rPr>
                <w:rFonts w:asciiTheme="minorHAnsi" w:hAnsiTheme="minorHAnsi" w:cstheme="minorHAnsi"/>
                <w:b/>
                <w:sz w:val="18"/>
                <w:szCs w:val="18"/>
              </w:rPr>
              <w:t>:  Service</w:t>
            </w:r>
            <w:r w:rsidRPr="00DA148F">
              <w:rPr>
                <w:rFonts w:asciiTheme="minorHAnsi" w:hAnsiTheme="minorHAnsi" w:cstheme="minorHAnsi"/>
                <w:b/>
                <w:sz w:val="18"/>
                <w:szCs w:val="18"/>
              </w:rPr>
              <w:t xml:space="preserve"> Delivery Data</w:t>
            </w:r>
          </w:p>
        </w:tc>
        <w:tc>
          <w:tcPr>
            <w:tcW w:w="883" w:type="pct"/>
            <w:tcBorders>
              <w:top w:val="single" w:sz="4" w:space="0" w:color="auto"/>
              <w:left w:val="nil"/>
              <w:bottom w:val="single" w:sz="4" w:space="0" w:color="auto"/>
              <w:right w:val="nil"/>
            </w:tcBorders>
            <w:vAlign w:val="center"/>
            <w:hideMark/>
          </w:tcPr>
          <w:p w:rsidR="00AA72C3" w:rsidRPr="00DA148F" w:rsidP="00110D5F" w14:paraId="557AE133" w14:textId="07E0974C">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Program staff</w:t>
            </w:r>
            <w:r>
              <w:rPr>
                <w:rFonts w:asciiTheme="minorHAnsi" w:hAnsiTheme="minorHAnsi" w:cstheme="minorHAnsi"/>
                <w:sz w:val="18"/>
                <w:szCs w:val="18"/>
              </w:rPr>
              <w:t xml:space="preserve"> (data entry)</w:t>
            </w:r>
          </w:p>
        </w:tc>
        <w:tc>
          <w:tcPr>
            <w:tcW w:w="550" w:type="pct"/>
            <w:tcBorders>
              <w:top w:val="single" w:sz="4" w:space="0" w:color="auto"/>
              <w:left w:val="nil"/>
              <w:bottom w:val="single" w:sz="4" w:space="0" w:color="auto"/>
              <w:right w:val="nil"/>
            </w:tcBorders>
            <w:vAlign w:val="center"/>
            <w:hideMark/>
          </w:tcPr>
          <w:p w:rsidR="00AA72C3" w:rsidRPr="00DA148F" w:rsidP="00110D5F" w14:paraId="661E3BF7" w14:textId="36A146F0">
            <w:pPr>
              <w:spacing w:before="48" w:beforeLines="20" w:after="48" w:afterLines="20"/>
              <w:jc w:val="center"/>
              <w:rPr>
                <w:rFonts w:asciiTheme="minorHAnsi" w:hAnsiTheme="minorHAnsi" w:cstheme="minorHAnsi"/>
                <w:sz w:val="18"/>
                <w:szCs w:val="18"/>
                <w:highlight w:val="yellow"/>
              </w:rPr>
            </w:pPr>
            <w:r w:rsidRPr="00DA148F">
              <w:rPr>
                <w:rFonts w:asciiTheme="minorHAnsi" w:hAnsiTheme="minorHAnsi" w:cstheme="minorHAnsi"/>
                <w:sz w:val="18"/>
                <w:szCs w:val="18"/>
              </w:rPr>
              <w:t>1,</w:t>
            </w:r>
            <w:r w:rsidR="00B31DB8">
              <w:rPr>
                <w:rFonts w:asciiTheme="minorHAnsi" w:hAnsiTheme="minorHAnsi" w:cstheme="minorHAnsi"/>
                <w:sz w:val="18"/>
                <w:szCs w:val="18"/>
              </w:rPr>
              <w:t>635</w:t>
            </w:r>
          </w:p>
        </w:tc>
        <w:tc>
          <w:tcPr>
            <w:tcW w:w="516" w:type="pct"/>
            <w:tcBorders>
              <w:top w:val="single" w:sz="4" w:space="0" w:color="auto"/>
              <w:left w:val="nil"/>
              <w:bottom w:val="single" w:sz="4" w:space="0" w:color="auto"/>
              <w:right w:val="nil"/>
            </w:tcBorders>
            <w:vAlign w:val="center"/>
            <w:hideMark/>
          </w:tcPr>
          <w:p w:rsidR="00AA72C3" w:rsidRPr="00DA148F" w:rsidP="00110D5F" w14:paraId="30EF55C9" w14:textId="3DD2D244">
            <w:pPr>
              <w:spacing w:before="48" w:beforeLines="20" w:after="48" w:afterLines="20"/>
              <w:jc w:val="center"/>
              <w:rPr>
                <w:rFonts w:asciiTheme="minorHAnsi" w:hAnsiTheme="minorHAnsi" w:cstheme="minorHAnsi"/>
                <w:sz w:val="18"/>
                <w:szCs w:val="18"/>
                <w:highlight w:val="yellow"/>
              </w:rPr>
            </w:pPr>
            <w:r>
              <w:rPr>
                <w:rFonts w:asciiTheme="minorHAnsi" w:hAnsiTheme="minorHAnsi" w:cstheme="minorHAnsi"/>
                <w:sz w:val="18"/>
                <w:szCs w:val="18"/>
              </w:rPr>
              <w:t>78</w:t>
            </w:r>
          </w:p>
        </w:tc>
        <w:tc>
          <w:tcPr>
            <w:tcW w:w="484" w:type="pct"/>
            <w:tcBorders>
              <w:top w:val="single" w:sz="4" w:space="0" w:color="auto"/>
              <w:left w:val="nil"/>
              <w:bottom w:val="single" w:sz="4" w:space="0" w:color="auto"/>
              <w:right w:val="nil"/>
            </w:tcBorders>
            <w:vAlign w:val="center"/>
            <w:hideMark/>
          </w:tcPr>
          <w:p w:rsidR="00AA72C3" w:rsidRPr="00DA148F" w:rsidP="00110D5F" w14:paraId="68BADECD" w14:textId="1982800E">
            <w:pPr>
              <w:spacing w:before="48" w:beforeLines="20" w:after="48" w:afterLines="20"/>
              <w:jc w:val="center"/>
              <w:rPr>
                <w:rFonts w:asciiTheme="minorHAnsi" w:hAnsiTheme="minorHAnsi" w:cstheme="minorHAnsi"/>
                <w:sz w:val="18"/>
                <w:szCs w:val="18"/>
                <w:highlight w:val="yellow"/>
              </w:rPr>
            </w:pPr>
            <w:r w:rsidRPr="00DA148F">
              <w:rPr>
                <w:rFonts w:asciiTheme="minorHAnsi" w:hAnsiTheme="minorHAnsi" w:cstheme="minorHAnsi"/>
                <w:sz w:val="18"/>
                <w:szCs w:val="18"/>
              </w:rPr>
              <w:t>0.</w:t>
            </w:r>
            <w:r w:rsidR="00E16472">
              <w:rPr>
                <w:rFonts w:asciiTheme="minorHAnsi" w:hAnsiTheme="minorHAnsi" w:cstheme="minorHAnsi"/>
                <w:sz w:val="18"/>
                <w:szCs w:val="18"/>
              </w:rPr>
              <w:t>36</w:t>
            </w:r>
          </w:p>
        </w:tc>
        <w:tc>
          <w:tcPr>
            <w:tcW w:w="485" w:type="pct"/>
            <w:tcBorders>
              <w:top w:val="single" w:sz="4" w:space="0" w:color="auto"/>
              <w:left w:val="nil"/>
              <w:bottom w:val="single" w:sz="4" w:space="0" w:color="auto"/>
              <w:right w:val="nil"/>
            </w:tcBorders>
            <w:vAlign w:val="center"/>
            <w:hideMark/>
          </w:tcPr>
          <w:p w:rsidR="00AA72C3" w:rsidRPr="00DA148F" w:rsidP="00110D5F" w14:paraId="6402560E" w14:textId="653EEA8B">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45,911</w:t>
            </w:r>
          </w:p>
        </w:tc>
        <w:tc>
          <w:tcPr>
            <w:tcW w:w="485" w:type="pct"/>
            <w:tcBorders>
              <w:top w:val="single" w:sz="4" w:space="0" w:color="auto"/>
              <w:left w:val="nil"/>
              <w:bottom w:val="single" w:sz="4" w:space="0" w:color="auto"/>
              <w:right w:val="nil"/>
            </w:tcBorders>
            <w:vAlign w:val="center"/>
            <w:hideMark/>
          </w:tcPr>
          <w:p w:rsidR="00AA72C3" w:rsidRPr="00DA148F" w:rsidP="00110D5F" w14:paraId="48AC5364" w14:textId="3A7A51BF">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15,304</w:t>
            </w:r>
          </w:p>
        </w:tc>
        <w:tc>
          <w:tcPr>
            <w:tcW w:w="485" w:type="pct"/>
            <w:tcBorders>
              <w:top w:val="single" w:sz="4" w:space="0" w:color="auto"/>
              <w:left w:val="nil"/>
              <w:bottom w:val="single" w:sz="4" w:space="0" w:color="auto"/>
              <w:right w:val="nil"/>
            </w:tcBorders>
            <w:vAlign w:val="center"/>
          </w:tcPr>
          <w:p w:rsidR="00AA72C3" w:rsidRPr="00870500" w:rsidP="00110D5F" w14:paraId="3A5ACE41" w14:textId="1059BF1B">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9D04BC">
              <w:rPr>
                <w:rFonts w:asciiTheme="minorHAnsi" w:hAnsiTheme="minorHAnsi" w:cstheme="minorHAnsi"/>
                <w:sz w:val="18"/>
                <w:szCs w:val="18"/>
              </w:rPr>
              <w:t>40.44</w:t>
            </w:r>
          </w:p>
        </w:tc>
        <w:tc>
          <w:tcPr>
            <w:tcW w:w="522" w:type="pct"/>
            <w:tcBorders>
              <w:top w:val="single" w:sz="4" w:space="0" w:color="auto"/>
              <w:left w:val="nil"/>
              <w:bottom w:val="single" w:sz="4" w:space="0" w:color="auto"/>
              <w:right w:val="nil"/>
            </w:tcBorders>
            <w:vAlign w:val="center"/>
          </w:tcPr>
          <w:p w:rsidR="00AA72C3" w:rsidRPr="00870500" w:rsidP="00110D5F" w14:paraId="4396BB61" w14:textId="4827DB63">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9D04BC">
              <w:rPr>
                <w:rFonts w:asciiTheme="minorHAnsi" w:hAnsiTheme="minorHAnsi" w:cstheme="minorHAnsi"/>
                <w:sz w:val="18"/>
                <w:szCs w:val="18"/>
              </w:rPr>
              <w:t>618,893.76</w:t>
            </w:r>
          </w:p>
        </w:tc>
      </w:tr>
      <w:tr w14:paraId="6DB9FB7E" w14:textId="089F6244" w:rsidTr="00AA72C3">
        <w:tblPrEx>
          <w:tblW w:w="5773" w:type="pct"/>
          <w:tblInd w:w="-630" w:type="dxa"/>
          <w:tblLook w:val="04A0"/>
        </w:tblPrEx>
        <w:trPr>
          <w:cantSplit/>
          <w:trHeight w:val="584"/>
        </w:trPr>
        <w:tc>
          <w:tcPr>
            <w:tcW w:w="590" w:type="pct"/>
            <w:vMerge w:val="restart"/>
            <w:tcBorders>
              <w:top w:val="single" w:sz="4" w:space="0" w:color="auto"/>
              <w:left w:val="nil"/>
              <w:bottom w:val="single" w:sz="4" w:space="0" w:color="auto"/>
              <w:right w:val="nil"/>
            </w:tcBorders>
            <w:vAlign w:val="center"/>
            <w:hideMark/>
          </w:tcPr>
          <w:p w:rsidR="00AA72C3" w:rsidRPr="00DA148F" w:rsidP="00110D5F" w14:paraId="4D7F35A9" w14:textId="77777777">
            <w:pPr>
              <w:rPr>
                <w:rFonts w:asciiTheme="minorHAnsi" w:hAnsiTheme="minorHAnsi" w:cstheme="minorHAnsi"/>
                <w:b/>
                <w:sz w:val="18"/>
                <w:szCs w:val="18"/>
              </w:rPr>
            </w:pPr>
            <w:r w:rsidRPr="00DA148F">
              <w:rPr>
                <w:rFonts w:asciiTheme="minorHAnsi" w:hAnsiTheme="minorHAnsi" w:cstheme="minorHAnsi"/>
                <w:b/>
                <w:sz w:val="18"/>
                <w:szCs w:val="18"/>
              </w:rPr>
              <w:t>4: Exit Surveys</w:t>
            </w:r>
          </w:p>
        </w:tc>
        <w:tc>
          <w:tcPr>
            <w:tcW w:w="883" w:type="pct"/>
            <w:tcBorders>
              <w:top w:val="nil"/>
              <w:left w:val="nil"/>
              <w:bottom w:val="nil"/>
              <w:right w:val="nil"/>
            </w:tcBorders>
            <w:vAlign w:val="center"/>
            <w:hideMark/>
          </w:tcPr>
          <w:p w:rsidR="00AA72C3" w:rsidRPr="00DA148F" w:rsidP="00110D5F" w14:paraId="243A7581"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 xml:space="preserve">Participants </w:t>
            </w:r>
          </w:p>
        </w:tc>
        <w:tc>
          <w:tcPr>
            <w:tcW w:w="550" w:type="pct"/>
            <w:tcBorders>
              <w:top w:val="nil"/>
              <w:left w:val="nil"/>
              <w:bottom w:val="nil"/>
              <w:right w:val="nil"/>
            </w:tcBorders>
            <w:vAlign w:val="center"/>
            <w:hideMark/>
          </w:tcPr>
          <w:p w:rsidR="00AA72C3" w:rsidRPr="00DA148F" w:rsidP="00110D5F" w14:paraId="71BA98EC" w14:textId="0D21AF89">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87,561</w:t>
            </w:r>
          </w:p>
        </w:tc>
        <w:tc>
          <w:tcPr>
            <w:tcW w:w="516" w:type="pct"/>
            <w:tcBorders>
              <w:top w:val="nil"/>
              <w:left w:val="nil"/>
              <w:bottom w:val="nil"/>
              <w:right w:val="nil"/>
            </w:tcBorders>
            <w:vAlign w:val="center"/>
            <w:hideMark/>
          </w:tcPr>
          <w:p w:rsidR="00AA72C3" w:rsidRPr="00DA148F" w:rsidP="00110D5F" w14:paraId="1E898561" w14:textId="324C3DBC">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1</w:t>
            </w:r>
          </w:p>
        </w:tc>
        <w:tc>
          <w:tcPr>
            <w:tcW w:w="484" w:type="pct"/>
            <w:tcBorders>
              <w:top w:val="nil"/>
              <w:left w:val="nil"/>
              <w:bottom w:val="nil"/>
              <w:right w:val="nil"/>
            </w:tcBorders>
            <w:vAlign w:val="center"/>
            <w:hideMark/>
          </w:tcPr>
          <w:p w:rsidR="00AA72C3" w:rsidRPr="00DA148F" w:rsidP="00110D5F" w14:paraId="1CCEA698" w14:textId="501CCC06">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0.</w:t>
            </w:r>
            <w:r w:rsidR="00B41345">
              <w:rPr>
                <w:rFonts w:asciiTheme="minorHAnsi" w:hAnsiTheme="minorHAnsi" w:cstheme="minorHAnsi"/>
                <w:sz w:val="18"/>
                <w:szCs w:val="18"/>
              </w:rPr>
              <w:t>28</w:t>
            </w:r>
          </w:p>
        </w:tc>
        <w:tc>
          <w:tcPr>
            <w:tcW w:w="485" w:type="pct"/>
            <w:tcBorders>
              <w:top w:val="nil"/>
              <w:left w:val="nil"/>
              <w:bottom w:val="nil"/>
              <w:right w:val="nil"/>
            </w:tcBorders>
            <w:vAlign w:val="center"/>
            <w:hideMark/>
          </w:tcPr>
          <w:p w:rsidR="00AA72C3" w:rsidRPr="00DA148F" w:rsidP="00110D5F" w14:paraId="3ED9CC37" w14:textId="290DB4AC">
            <w:pPr>
              <w:spacing w:before="48" w:beforeLines="20" w:after="48" w:afterLines="20"/>
              <w:jc w:val="center"/>
              <w:rPr>
                <w:rFonts w:asciiTheme="minorHAnsi" w:hAnsiTheme="minorHAnsi" w:cstheme="minorHAnsi"/>
                <w:sz w:val="18"/>
                <w:szCs w:val="18"/>
                <w:highlight w:val="yellow"/>
              </w:rPr>
            </w:pPr>
            <w:r>
              <w:rPr>
                <w:rFonts w:asciiTheme="minorHAnsi" w:hAnsiTheme="minorHAnsi" w:cstheme="minorHAnsi"/>
                <w:sz w:val="18"/>
                <w:szCs w:val="18"/>
              </w:rPr>
              <w:t>24,516</w:t>
            </w:r>
          </w:p>
        </w:tc>
        <w:tc>
          <w:tcPr>
            <w:tcW w:w="485" w:type="pct"/>
            <w:tcBorders>
              <w:top w:val="nil"/>
              <w:left w:val="nil"/>
              <w:bottom w:val="nil"/>
              <w:right w:val="nil"/>
            </w:tcBorders>
            <w:vAlign w:val="center"/>
            <w:hideMark/>
          </w:tcPr>
          <w:p w:rsidR="00AA72C3" w:rsidRPr="00DA148F" w:rsidP="00110D5F" w14:paraId="447C4042" w14:textId="42E07560">
            <w:pPr>
              <w:spacing w:before="48" w:beforeLines="20" w:after="48" w:afterLines="20"/>
              <w:jc w:val="center"/>
              <w:rPr>
                <w:rFonts w:asciiTheme="minorHAnsi" w:hAnsiTheme="minorHAnsi" w:cstheme="minorHAnsi"/>
                <w:sz w:val="18"/>
                <w:szCs w:val="18"/>
                <w:highlight w:val="yellow"/>
              </w:rPr>
            </w:pPr>
            <w:r>
              <w:rPr>
                <w:rFonts w:asciiTheme="minorHAnsi" w:hAnsiTheme="minorHAnsi" w:cstheme="minorHAnsi"/>
                <w:sz w:val="18"/>
                <w:szCs w:val="18"/>
              </w:rPr>
              <w:t>8,172</w:t>
            </w:r>
          </w:p>
        </w:tc>
        <w:tc>
          <w:tcPr>
            <w:tcW w:w="485" w:type="pct"/>
            <w:tcBorders>
              <w:top w:val="nil"/>
              <w:left w:val="nil"/>
              <w:bottom w:val="nil"/>
              <w:right w:val="nil"/>
            </w:tcBorders>
            <w:vAlign w:val="center"/>
          </w:tcPr>
          <w:p w:rsidR="00AA72C3" w:rsidRPr="00870500" w:rsidP="00110D5F" w14:paraId="5A300C09" w14:textId="4779DFE5">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$7.25</w:t>
            </w:r>
          </w:p>
        </w:tc>
        <w:tc>
          <w:tcPr>
            <w:tcW w:w="522" w:type="pct"/>
            <w:tcBorders>
              <w:top w:val="nil"/>
              <w:left w:val="nil"/>
              <w:bottom w:val="nil"/>
              <w:right w:val="nil"/>
            </w:tcBorders>
            <w:vAlign w:val="center"/>
          </w:tcPr>
          <w:p w:rsidR="00AA72C3" w:rsidRPr="00870500" w:rsidP="00110D5F" w14:paraId="65897F00" w14:textId="206509CB">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B41345">
              <w:rPr>
                <w:rFonts w:asciiTheme="minorHAnsi" w:hAnsiTheme="minorHAnsi" w:cstheme="minorHAnsi"/>
                <w:sz w:val="18"/>
                <w:szCs w:val="18"/>
              </w:rPr>
              <w:t>59,247</w:t>
            </w:r>
          </w:p>
        </w:tc>
      </w:tr>
      <w:tr w14:paraId="71D045E9" w14:textId="66DA1AF5" w:rsidTr="00AA72C3">
        <w:tblPrEx>
          <w:tblW w:w="5773" w:type="pct"/>
          <w:tblInd w:w="-630" w:type="dxa"/>
          <w:tblLook w:val="04A0"/>
        </w:tblPrEx>
        <w:trPr>
          <w:cantSplit/>
          <w:trHeight w:val="919"/>
        </w:trPr>
        <w:tc>
          <w:tcPr>
            <w:tcW w:w="590" w:type="pct"/>
            <w:vMerge/>
            <w:tcBorders>
              <w:top w:val="single" w:sz="4" w:space="0" w:color="auto"/>
              <w:left w:val="nil"/>
              <w:bottom w:val="single" w:sz="4" w:space="0" w:color="auto"/>
              <w:right w:val="nil"/>
            </w:tcBorders>
            <w:vAlign w:val="center"/>
            <w:hideMark/>
          </w:tcPr>
          <w:p w:rsidR="00AA72C3" w:rsidRPr="00DA148F" w:rsidP="00110D5F" w14:paraId="12F1F09C" w14:textId="77777777">
            <w:pPr>
              <w:rPr>
                <w:rFonts w:asciiTheme="minorHAnsi" w:hAnsiTheme="minorHAnsi" w:cstheme="minorHAnsi"/>
                <w:b/>
                <w:sz w:val="18"/>
                <w:szCs w:val="18"/>
                <w:highlight w:val="yellow"/>
              </w:rPr>
            </w:pPr>
          </w:p>
        </w:tc>
        <w:tc>
          <w:tcPr>
            <w:tcW w:w="883" w:type="pct"/>
            <w:tcBorders>
              <w:top w:val="nil"/>
              <w:left w:val="nil"/>
              <w:bottom w:val="single" w:sz="4" w:space="0" w:color="auto"/>
              <w:right w:val="nil"/>
            </w:tcBorders>
            <w:vAlign w:val="center"/>
            <w:hideMark/>
          </w:tcPr>
          <w:p w:rsidR="00AA72C3" w:rsidRPr="00DA148F" w:rsidP="00110D5F" w14:paraId="66A8506F"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Program staff</w:t>
            </w:r>
          </w:p>
          <w:p w:rsidR="00AA72C3" w:rsidRPr="00DA148F" w:rsidP="00110D5F" w14:paraId="6222A244"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(exit survey data entry)</w:t>
            </w:r>
          </w:p>
        </w:tc>
        <w:tc>
          <w:tcPr>
            <w:tcW w:w="550" w:type="pct"/>
            <w:tcBorders>
              <w:top w:val="nil"/>
              <w:left w:val="nil"/>
              <w:bottom w:val="single" w:sz="4" w:space="0" w:color="auto"/>
              <w:right w:val="nil"/>
            </w:tcBorders>
            <w:vAlign w:val="center"/>
            <w:hideMark/>
          </w:tcPr>
          <w:p w:rsidR="00AA72C3" w:rsidRPr="00DA148F" w:rsidP="00110D5F" w14:paraId="65B7F2C7" w14:textId="3F4C2DEA">
            <w:pPr>
              <w:spacing w:before="48" w:beforeLines="20" w:after="48" w:afterLines="20"/>
              <w:jc w:val="center"/>
              <w:rPr>
                <w:rFonts w:asciiTheme="minorHAnsi" w:hAnsiTheme="minorHAnsi" w:cstheme="minorHAnsi"/>
                <w:sz w:val="18"/>
                <w:szCs w:val="18"/>
                <w:highlight w:val="yellow"/>
              </w:rPr>
            </w:pPr>
            <w:r>
              <w:rPr>
                <w:rFonts w:asciiTheme="minorHAnsi" w:hAnsiTheme="minorHAnsi" w:cstheme="minorHAnsi"/>
                <w:sz w:val="18"/>
                <w:szCs w:val="18"/>
              </w:rPr>
              <w:t>218</w:t>
            </w:r>
          </w:p>
        </w:tc>
        <w:tc>
          <w:tcPr>
            <w:tcW w:w="516" w:type="pct"/>
            <w:tcBorders>
              <w:top w:val="nil"/>
              <w:left w:val="nil"/>
              <w:bottom w:val="single" w:sz="4" w:space="0" w:color="auto"/>
              <w:right w:val="nil"/>
            </w:tcBorders>
            <w:vAlign w:val="center"/>
            <w:hideMark/>
          </w:tcPr>
          <w:p w:rsidR="00AA72C3" w:rsidRPr="00DA148F" w:rsidP="00110D5F" w14:paraId="5CE9A198" w14:textId="7FB950C3">
            <w:pPr>
              <w:spacing w:before="48" w:beforeLines="20" w:after="48" w:afterLines="20"/>
              <w:jc w:val="center"/>
              <w:rPr>
                <w:rFonts w:asciiTheme="minorHAnsi" w:hAnsiTheme="minorHAnsi" w:cstheme="minorHAnsi"/>
                <w:sz w:val="18"/>
                <w:szCs w:val="18"/>
                <w:highlight w:val="yellow"/>
              </w:rPr>
            </w:pPr>
            <w:r>
              <w:rPr>
                <w:rFonts w:asciiTheme="minorHAnsi" w:hAnsiTheme="minorHAnsi" w:cstheme="minorHAnsi"/>
                <w:sz w:val="18"/>
                <w:szCs w:val="18"/>
              </w:rPr>
              <w:t>80</w:t>
            </w:r>
          </w:p>
        </w:tc>
        <w:tc>
          <w:tcPr>
            <w:tcW w:w="484" w:type="pct"/>
            <w:tcBorders>
              <w:top w:val="nil"/>
              <w:left w:val="nil"/>
              <w:bottom w:val="single" w:sz="4" w:space="0" w:color="auto"/>
              <w:right w:val="nil"/>
            </w:tcBorders>
            <w:vAlign w:val="center"/>
            <w:hideMark/>
          </w:tcPr>
          <w:p w:rsidR="00AA72C3" w:rsidRPr="00DA148F" w:rsidP="00110D5F" w14:paraId="09E9343D" w14:textId="78F74B8D">
            <w:pPr>
              <w:spacing w:before="48" w:beforeLines="20" w:after="48" w:afterLines="20"/>
              <w:jc w:val="center"/>
              <w:rPr>
                <w:rFonts w:asciiTheme="minorHAnsi" w:hAnsiTheme="minorHAnsi" w:cstheme="minorHAnsi"/>
                <w:sz w:val="18"/>
                <w:szCs w:val="18"/>
                <w:highlight w:val="yellow"/>
              </w:rPr>
            </w:pPr>
            <w:r w:rsidRPr="00DA148F">
              <w:rPr>
                <w:rFonts w:asciiTheme="minorHAnsi" w:hAnsiTheme="minorHAnsi" w:cstheme="minorHAnsi"/>
                <w:sz w:val="18"/>
                <w:szCs w:val="18"/>
              </w:rPr>
              <w:t>0.10</w:t>
            </w:r>
          </w:p>
        </w:tc>
        <w:tc>
          <w:tcPr>
            <w:tcW w:w="485" w:type="pct"/>
            <w:tcBorders>
              <w:top w:val="nil"/>
              <w:left w:val="nil"/>
              <w:bottom w:val="single" w:sz="4" w:space="0" w:color="auto"/>
              <w:right w:val="nil"/>
            </w:tcBorders>
            <w:vAlign w:val="center"/>
            <w:hideMark/>
          </w:tcPr>
          <w:p w:rsidR="00AA72C3" w:rsidRPr="00DA148F" w:rsidP="00110D5F" w14:paraId="5285D0D7" w14:textId="70E5B876">
            <w:pPr>
              <w:spacing w:before="48" w:beforeLines="20" w:after="48" w:afterLines="20"/>
              <w:jc w:val="center"/>
              <w:rPr>
                <w:rFonts w:asciiTheme="minorHAnsi" w:hAnsiTheme="minorHAnsi" w:cstheme="minorHAnsi"/>
                <w:sz w:val="18"/>
                <w:szCs w:val="18"/>
                <w:highlight w:val="yellow"/>
              </w:rPr>
            </w:pPr>
            <w:r w:rsidRPr="00DA148F">
              <w:rPr>
                <w:rFonts w:asciiTheme="minorHAnsi" w:hAnsiTheme="minorHAnsi" w:cstheme="minorHAnsi"/>
                <w:sz w:val="18"/>
                <w:szCs w:val="18"/>
              </w:rPr>
              <w:t>1,</w:t>
            </w:r>
            <w:r w:rsidR="00B41345">
              <w:rPr>
                <w:rFonts w:asciiTheme="minorHAnsi" w:hAnsiTheme="minorHAnsi" w:cstheme="minorHAnsi"/>
                <w:sz w:val="18"/>
                <w:szCs w:val="18"/>
              </w:rPr>
              <w:t>744</w:t>
            </w:r>
          </w:p>
        </w:tc>
        <w:tc>
          <w:tcPr>
            <w:tcW w:w="485" w:type="pct"/>
            <w:tcBorders>
              <w:top w:val="nil"/>
              <w:left w:val="nil"/>
              <w:bottom w:val="single" w:sz="4" w:space="0" w:color="auto"/>
              <w:right w:val="nil"/>
            </w:tcBorders>
            <w:vAlign w:val="center"/>
            <w:hideMark/>
          </w:tcPr>
          <w:p w:rsidR="00AA72C3" w:rsidRPr="00DA148F" w:rsidP="00110D5F" w14:paraId="72A9A949" w14:textId="6E6C83B8">
            <w:pPr>
              <w:spacing w:before="48" w:beforeLines="20" w:after="48" w:afterLines="20"/>
              <w:jc w:val="center"/>
              <w:rPr>
                <w:rFonts w:asciiTheme="minorHAnsi" w:hAnsiTheme="minorHAnsi" w:cstheme="minorHAnsi"/>
                <w:sz w:val="18"/>
                <w:szCs w:val="18"/>
                <w:highlight w:val="yellow"/>
              </w:rPr>
            </w:pPr>
            <w:r>
              <w:rPr>
                <w:rFonts w:asciiTheme="minorHAnsi" w:hAnsiTheme="minorHAnsi" w:cstheme="minorHAnsi"/>
                <w:sz w:val="18"/>
                <w:szCs w:val="18"/>
              </w:rPr>
              <w:t>581</w:t>
            </w:r>
          </w:p>
        </w:tc>
        <w:tc>
          <w:tcPr>
            <w:tcW w:w="485" w:type="pct"/>
            <w:tcBorders>
              <w:top w:val="nil"/>
              <w:left w:val="nil"/>
              <w:bottom w:val="single" w:sz="4" w:space="0" w:color="auto"/>
              <w:right w:val="nil"/>
            </w:tcBorders>
            <w:vAlign w:val="center"/>
          </w:tcPr>
          <w:p w:rsidR="00AA72C3" w:rsidRPr="00870500" w:rsidP="00110D5F" w14:paraId="495AE015" w14:textId="550E175F">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9D04BC">
              <w:rPr>
                <w:rFonts w:asciiTheme="minorHAnsi" w:hAnsiTheme="minorHAnsi" w:cstheme="minorHAnsi"/>
                <w:sz w:val="18"/>
                <w:szCs w:val="18"/>
              </w:rPr>
              <w:t>40.44</w:t>
            </w:r>
          </w:p>
        </w:tc>
        <w:tc>
          <w:tcPr>
            <w:tcW w:w="522" w:type="pct"/>
            <w:tcBorders>
              <w:top w:val="nil"/>
              <w:left w:val="nil"/>
              <w:bottom w:val="single" w:sz="4" w:space="0" w:color="auto"/>
              <w:right w:val="nil"/>
            </w:tcBorders>
            <w:vAlign w:val="center"/>
          </w:tcPr>
          <w:p w:rsidR="00AA72C3" w:rsidRPr="00870500" w:rsidP="00110D5F" w14:paraId="584921CA" w14:textId="5E3C3EFA">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9D04BC">
              <w:rPr>
                <w:rFonts w:asciiTheme="minorHAnsi" w:hAnsiTheme="minorHAnsi" w:cstheme="minorHAnsi"/>
                <w:sz w:val="18"/>
                <w:szCs w:val="18"/>
              </w:rPr>
              <w:t>23,495.64</w:t>
            </w:r>
          </w:p>
        </w:tc>
      </w:tr>
      <w:tr w14:paraId="68856EC9" w14:textId="08A214BC" w:rsidTr="00AA72C3">
        <w:tblPrEx>
          <w:tblW w:w="5773" w:type="pct"/>
          <w:tblInd w:w="-630" w:type="dxa"/>
          <w:tblLook w:val="04A0"/>
        </w:tblPrEx>
        <w:trPr>
          <w:cantSplit/>
          <w:trHeight w:val="1083"/>
        </w:trPr>
        <w:tc>
          <w:tcPr>
            <w:tcW w:w="590" w:type="pct"/>
            <w:tcBorders>
              <w:top w:val="single" w:sz="4" w:space="0" w:color="auto"/>
              <w:left w:val="nil"/>
              <w:bottom w:val="single" w:sz="4" w:space="0" w:color="auto"/>
              <w:right w:val="nil"/>
            </w:tcBorders>
            <w:hideMark/>
          </w:tcPr>
          <w:p w:rsidR="00AA72C3" w:rsidRPr="00DA148F" w:rsidP="00110D5F" w14:paraId="5E16E72A" w14:textId="2D716EF7">
            <w:pPr>
              <w:spacing w:before="48" w:beforeLines="20" w:after="48" w:afterLines="20"/>
              <w:rPr>
                <w:rFonts w:asciiTheme="minorHAnsi" w:hAnsiTheme="minorHAnsi" w:cstheme="minorHAnsi"/>
                <w:b/>
                <w:sz w:val="18"/>
                <w:szCs w:val="18"/>
              </w:rPr>
            </w:pPr>
            <w:r w:rsidRPr="00DA148F">
              <w:rPr>
                <w:rFonts w:asciiTheme="minorHAnsi" w:hAnsiTheme="minorHAnsi" w:cstheme="minorHAnsi"/>
                <w:b/>
                <w:sz w:val="18"/>
                <w:szCs w:val="18"/>
              </w:rPr>
              <w:t>5</w:t>
            </w:r>
            <w:r w:rsidRPr="00DA148F">
              <w:rPr>
                <w:rFonts w:asciiTheme="minorHAnsi" w:hAnsiTheme="minorHAnsi" w:cstheme="minorHAnsi"/>
                <w:b/>
                <w:sz w:val="18"/>
                <w:szCs w:val="18"/>
              </w:rPr>
              <w:t xml:space="preserve">:  </w:t>
            </w:r>
            <w:r w:rsidR="006D3C5C">
              <w:rPr>
                <w:rFonts w:asciiTheme="minorHAnsi" w:hAnsiTheme="minorHAnsi" w:cstheme="minorHAnsi"/>
                <w:b/>
                <w:sz w:val="18"/>
                <w:szCs w:val="18"/>
              </w:rPr>
              <w:t>A</w:t>
            </w:r>
            <w:r w:rsidRPr="00DA148F">
              <w:rPr>
                <w:rFonts w:asciiTheme="minorHAnsi" w:hAnsiTheme="minorHAnsi" w:cstheme="minorHAnsi"/>
                <w:b/>
                <w:sz w:val="18"/>
                <w:szCs w:val="18"/>
              </w:rPr>
              <w:t>nnual</w:t>
            </w:r>
            <w:r w:rsidRPr="00DA148F">
              <w:rPr>
                <w:rFonts w:asciiTheme="minorHAnsi" w:hAnsiTheme="minorHAnsi" w:cstheme="minorHAnsi"/>
                <w:b/>
                <w:sz w:val="18"/>
                <w:szCs w:val="18"/>
              </w:rPr>
              <w:t xml:space="preserve"> Performance Progress Report (PPR)</w:t>
            </w:r>
          </w:p>
        </w:tc>
        <w:tc>
          <w:tcPr>
            <w:tcW w:w="883" w:type="pct"/>
            <w:tcBorders>
              <w:top w:val="single" w:sz="4" w:space="0" w:color="auto"/>
              <w:left w:val="nil"/>
              <w:bottom w:val="single" w:sz="4" w:space="0" w:color="auto"/>
              <w:right w:val="nil"/>
            </w:tcBorders>
            <w:vAlign w:val="center"/>
            <w:hideMark/>
          </w:tcPr>
          <w:p w:rsidR="00AA72C3" w:rsidRPr="00DA148F" w:rsidP="00110D5F" w14:paraId="2FAF2946" w14:textId="7777777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Program staff</w:t>
            </w:r>
          </w:p>
        </w:tc>
        <w:tc>
          <w:tcPr>
            <w:tcW w:w="550" w:type="pct"/>
            <w:tcBorders>
              <w:top w:val="single" w:sz="4" w:space="0" w:color="auto"/>
              <w:left w:val="nil"/>
              <w:bottom w:val="single" w:sz="4" w:space="0" w:color="auto"/>
              <w:right w:val="nil"/>
            </w:tcBorders>
            <w:vAlign w:val="center"/>
            <w:hideMark/>
          </w:tcPr>
          <w:p w:rsidR="00AA72C3" w:rsidRPr="00DA148F" w:rsidP="00110D5F" w14:paraId="6DCF354C" w14:textId="156BC367">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1</w:t>
            </w:r>
            <w:r>
              <w:rPr>
                <w:rFonts w:asciiTheme="minorHAnsi" w:hAnsiTheme="minorHAnsi" w:cstheme="minorHAnsi"/>
                <w:sz w:val="18"/>
                <w:szCs w:val="18"/>
              </w:rPr>
              <w:t>09</w:t>
            </w:r>
          </w:p>
        </w:tc>
        <w:tc>
          <w:tcPr>
            <w:tcW w:w="516" w:type="pct"/>
            <w:tcBorders>
              <w:top w:val="single" w:sz="4" w:space="0" w:color="auto"/>
              <w:left w:val="nil"/>
              <w:bottom w:val="single" w:sz="4" w:space="0" w:color="auto"/>
              <w:right w:val="nil"/>
            </w:tcBorders>
            <w:vAlign w:val="center"/>
            <w:hideMark/>
          </w:tcPr>
          <w:p w:rsidR="00AA72C3" w:rsidRPr="00DA148F" w:rsidP="00110D5F" w14:paraId="413CA0C4" w14:textId="0F0F7A98">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3</w:t>
            </w:r>
          </w:p>
        </w:tc>
        <w:tc>
          <w:tcPr>
            <w:tcW w:w="484" w:type="pct"/>
            <w:tcBorders>
              <w:top w:val="single" w:sz="4" w:space="0" w:color="auto"/>
              <w:left w:val="nil"/>
              <w:bottom w:val="single" w:sz="4" w:space="0" w:color="auto"/>
              <w:right w:val="nil"/>
            </w:tcBorders>
            <w:vAlign w:val="center"/>
            <w:hideMark/>
          </w:tcPr>
          <w:p w:rsidR="00AA72C3" w:rsidRPr="00DA148F" w:rsidP="00110D5F" w14:paraId="4DF0584B" w14:textId="2D785220">
            <w:pPr>
              <w:spacing w:before="48" w:beforeLines="20" w:after="48" w:afterLines="20"/>
              <w:jc w:val="center"/>
              <w:rPr>
                <w:rFonts w:asciiTheme="minorHAnsi" w:hAnsiTheme="minorHAnsi" w:cstheme="minorHAnsi"/>
                <w:sz w:val="18"/>
                <w:szCs w:val="18"/>
              </w:rPr>
            </w:pPr>
            <w:r w:rsidRPr="00DA148F">
              <w:rPr>
                <w:rFonts w:asciiTheme="minorHAnsi" w:hAnsiTheme="minorHAnsi" w:cstheme="minorHAnsi"/>
                <w:sz w:val="18"/>
                <w:szCs w:val="18"/>
              </w:rPr>
              <w:t>3</w:t>
            </w:r>
          </w:p>
        </w:tc>
        <w:tc>
          <w:tcPr>
            <w:tcW w:w="485" w:type="pct"/>
            <w:tcBorders>
              <w:top w:val="single" w:sz="4" w:space="0" w:color="auto"/>
              <w:left w:val="nil"/>
              <w:bottom w:val="single" w:sz="4" w:space="0" w:color="auto"/>
              <w:right w:val="nil"/>
            </w:tcBorders>
            <w:vAlign w:val="center"/>
            <w:hideMark/>
          </w:tcPr>
          <w:p w:rsidR="00AA72C3" w:rsidRPr="00DA148F" w:rsidP="00110D5F" w14:paraId="18780DF7" w14:textId="4A59F1CD">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981</w:t>
            </w:r>
          </w:p>
        </w:tc>
        <w:tc>
          <w:tcPr>
            <w:tcW w:w="485" w:type="pct"/>
            <w:tcBorders>
              <w:top w:val="single" w:sz="4" w:space="0" w:color="auto"/>
              <w:left w:val="nil"/>
              <w:bottom w:val="single" w:sz="4" w:space="0" w:color="auto"/>
              <w:right w:val="nil"/>
            </w:tcBorders>
            <w:vAlign w:val="center"/>
            <w:hideMark/>
          </w:tcPr>
          <w:p w:rsidR="00AA72C3" w:rsidRPr="00DA148F" w:rsidP="00110D5F" w14:paraId="50BC729A" w14:textId="516E9638">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327</w:t>
            </w:r>
          </w:p>
        </w:tc>
        <w:tc>
          <w:tcPr>
            <w:tcW w:w="485" w:type="pct"/>
            <w:tcBorders>
              <w:top w:val="single" w:sz="4" w:space="0" w:color="auto"/>
              <w:left w:val="nil"/>
              <w:bottom w:val="single" w:sz="4" w:space="0" w:color="auto"/>
              <w:right w:val="nil"/>
            </w:tcBorders>
            <w:vAlign w:val="center"/>
          </w:tcPr>
          <w:p w:rsidR="00AA72C3" w:rsidRPr="00870500" w:rsidP="00110D5F" w14:paraId="1FFB1939" w14:textId="655D1C7F">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9D04BC">
              <w:rPr>
                <w:rFonts w:asciiTheme="minorHAnsi" w:hAnsiTheme="minorHAnsi" w:cstheme="minorHAnsi"/>
                <w:sz w:val="18"/>
                <w:szCs w:val="18"/>
              </w:rPr>
              <w:t>82.78</w:t>
            </w:r>
          </w:p>
        </w:tc>
        <w:tc>
          <w:tcPr>
            <w:tcW w:w="522" w:type="pct"/>
            <w:tcBorders>
              <w:top w:val="single" w:sz="4" w:space="0" w:color="auto"/>
              <w:left w:val="nil"/>
              <w:bottom w:val="single" w:sz="4" w:space="0" w:color="auto"/>
              <w:right w:val="nil"/>
            </w:tcBorders>
            <w:vAlign w:val="center"/>
          </w:tcPr>
          <w:p w:rsidR="00AA72C3" w:rsidRPr="00870500" w:rsidP="00110D5F" w14:paraId="4D021550" w14:textId="47310696">
            <w:pPr>
              <w:spacing w:before="48" w:beforeLines="20" w:after="48" w:afterLines="20"/>
              <w:jc w:val="center"/>
              <w:rPr>
                <w:rFonts w:asciiTheme="minorHAnsi" w:hAnsiTheme="minorHAnsi" w:cstheme="minorHAnsi"/>
                <w:sz w:val="18"/>
                <w:szCs w:val="18"/>
              </w:rPr>
            </w:pPr>
            <w:r w:rsidRPr="00870500">
              <w:rPr>
                <w:rFonts w:asciiTheme="minorHAnsi" w:hAnsiTheme="minorHAnsi" w:cstheme="minorHAnsi"/>
                <w:sz w:val="18"/>
                <w:szCs w:val="18"/>
              </w:rPr>
              <w:t>$</w:t>
            </w:r>
            <w:r w:rsidR="009D04BC">
              <w:rPr>
                <w:rFonts w:asciiTheme="minorHAnsi" w:hAnsiTheme="minorHAnsi" w:cstheme="minorHAnsi"/>
                <w:sz w:val="18"/>
                <w:szCs w:val="18"/>
              </w:rPr>
              <w:t>27,069.06</w:t>
            </w:r>
          </w:p>
        </w:tc>
      </w:tr>
      <w:tr w14:paraId="07D3CF46" w14:textId="77777777" w:rsidTr="00AA72C3">
        <w:tblPrEx>
          <w:tblW w:w="5773" w:type="pct"/>
          <w:tblInd w:w="-630" w:type="dxa"/>
          <w:tblLook w:val="04A0"/>
        </w:tblPrEx>
        <w:trPr>
          <w:cantSplit/>
          <w:trHeight w:val="1083"/>
        </w:trPr>
        <w:tc>
          <w:tcPr>
            <w:tcW w:w="590" w:type="pct"/>
            <w:tcBorders>
              <w:top w:val="single" w:sz="4" w:space="0" w:color="auto"/>
              <w:left w:val="nil"/>
              <w:bottom w:val="single" w:sz="4" w:space="0" w:color="auto"/>
              <w:right w:val="nil"/>
            </w:tcBorders>
            <w:vAlign w:val="center"/>
          </w:tcPr>
          <w:p w:rsidR="00AA72C3" w:rsidRPr="00DA148F" w:rsidP="00110D5F" w14:paraId="4E166C5D" w14:textId="46170E3A">
            <w:pPr>
              <w:spacing w:before="48" w:beforeLines="20" w:after="48" w:afterLines="20"/>
              <w:rPr>
                <w:rFonts w:asciiTheme="minorHAnsi" w:hAnsiTheme="minorHAnsi" w:cstheme="minorHAnsi"/>
                <w:b/>
                <w:sz w:val="18"/>
                <w:szCs w:val="18"/>
              </w:rPr>
            </w:pPr>
            <w:r w:rsidRPr="00DA148F">
              <w:rPr>
                <w:rFonts w:asciiTheme="minorHAnsi" w:hAnsiTheme="minorHAnsi" w:cstheme="minorHAnsi"/>
                <w:b/>
                <w:sz w:val="18"/>
                <w:szCs w:val="18"/>
              </w:rPr>
              <w:t>Total</w:t>
            </w:r>
          </w:p>
        </w:tc>
        <w:tc>
          <w:tcPr>
            <w:tcW w:w="883" w:type="pct"/>
            <w:tcBorders>
              <w:top w:val="single" w:sz="4" w:space="0" w:color="auto"/>
              <w:left w:val="nil"/>
              <w:bottom w:val="single" w:sz="4" w:space="0" w:color="auto"/>
              <w:right w:val="nil"/>
            </w:tcBorders>
            <w:shd w:val="clear" w:color="auto" w:fill="D9D9D9" w:themeFill="background1" w:themeFillShade="D9"/>
            <w:vAlign w:val="center"/>
          </w:tcPr>
          <w:p w:rsidR="00AA72C3" w:rsidRPr="00DA148F" w:rsidP="00110D5F" w14:paraId="4D480BD8" w14:textId="77777777">
            <w:pPr>
              <w:spacing w:before="48" w:beforeLines="20" w:after="48" w:afterLines="20"/>
              <w:jc w:val="center"/>
              <w:rPr>
                <w:rFonts w:asciiTheme="minorHAnsi" w:hAnsiTheme="minorHAnsi" w:cstheme="minorHAnsi"/>
                <w:sz w:val="18"/>
                <w:szCs w:val="18"/>
              </w:rPr>
            </w:pPr>
          </w:p>
        </w:tc>
        <w:tc>
          <w:tcPr>
            <w:tcW w:w="550" w:type="pct"/>
            <w:tcBorders>
              <w:top w:val="single" w:sz="4" w:space="0" w:color="auto"/>
              <w:left w:val="nil"/>
              <w:bottom w:val="single" w:sz="4" w:space="0" w:color="auto"/>
              <w:right w:val="nil"/>
            </w:tcBorders>
            <w:shd w:val="clear" w:color="auto" w:fill="D9D9D9" w:themeFill="background1" w:themeFillShade="D9"/>
            <w:vAlign w:val="center"/>
          </w:tcPr>
          <w:p w:rsidR="00AA72C3" w:rsidRPr="00DA148F" w:rsidP="00110D5F" w14:paraId="5FFB3210" w14:textId="77777777">
            <w:pPr>
              <w:spacing w:before="48" w:beforeLines="20" w:after="48" w:afterLines="20"/>
              <w:jc w:val="center"/>
              <w:rPr>
                <w:rFonts w:asciiTheme="minorHAnsi" w:hAnsiTheme="minorHAnsi" w:cstheme="minorHAnsi"/>
                <w:sz w:val="18"/>
                <w:szCs w:val="18"/>
              </w:rPr>
            </w:pPr>
          </w:p>
        </w:tc>
        <w:tc>
          <w:tcPr>
            <w:tcW w:w="516" w:type="pct"/>
            <w:tcBorders>
              <w:top w:val="single" w:sz="4" w:space="0" w:color="auto"/>
              <w:left w:val="nil"/>
              <w:bottom w:val="single" w:sz="4" w:space="0" w:color="auto"/>
              <w:right w:val="nil"/>
            </w:tcBorders>
            <w:shd w:val="clear" w:color="auto" w:fill="D9D9D9" w:themeFill="background1" w:themeFillShade="D9"/>
            <w:vAlign w:val="center"/>
          </w:tcPr>
          <w:p w:rsidR="00AA72C3" w:rsidRPr="00DA148F" w:rsidP="00110D5F" w14:paraId="42BC6C6D" w14:textId="77777777">
            <w:pPr>
              <w:spacing w:before="48" w:beforeLines="20" w:after="48" w:afterLines="20"/>
              <w:jc w:val="center"/>
              <w:rPr>
                <w:rFonts w:asciiTheme="minorHAnsi" w:hAnsiTheme="minorHAnsi" w:cstheme="minorHAnsi"/>
                <w:sz w:val="18"/>
                <w:szCs w:val="18"/>
              </w:rPr>
            </w:pPr>
          </w:p>
        </w:tc>
        <w:tc>
          <w:tcPr>
            <w:tcW w:w="484" w:type="pct"/>
            <w:tcBorders>
              <w:top w:val="single" w:sz="4" w:space="0" w:color="auto"/>
              <w:left w:val="nil"/>
              <w:bottom w:val="single" w:sz="4" w:space="0" w:color="auto"/>
              <w:right w:val="nil"/>
            </w:tcBorders>
            <w:shd w:val="clear" w:color="auto" w:fill="D9D9D9" w:themeFill="background1" w:themeFillShade="D9"/>
            <w:vAlign w:val="center"/>
          </w:tcPr>
          <w:p w:rsidR="00AA72C3" w:rsidRPr="00DA148F" w:rsidP="00110D5F" w14:paraId="5198588E" w14:textId="77777777">
            <w:pPr>
              <w:spacing w:before="48" w:beforeLines="20" w:after="48" w:afterLines="20"/>
              <w:jc w:val="center"/>
              <w:rPr>
                <w:rFonts w:asciiTheme="minorHAnsi" w:hAnsiTheme="minorHAnsi" w:cstheme="minorHAnsi"/>
                <w:sz w:val="18"/>
                <w:szCs w:val="18"/>
              </w:rPr>
            </w:pPr>
          </w:p>
        </w:tc>
        <w:tc>
          <w:tcPr>
            <w:tcW w:w="485" w:type="pct"/>
            <w:tcBorders>
              <w:top w:val="single" w:sz="4" w:space="0" w:color="auto"/>
              <w:left w:val="nil"/>
              <w:bottom w:val="single" w:sz="4" w:space="0" w:color="auto"/>
              <w:right w:val="nil"/>
            </w:tcBorders>
            <w:shd w:val="clear" w:color="auto" w:fill="D9D9D9" w:themeFill="background1" w:themeFillShade="D9"/>
            <w:vAlign w:val="center"/>
          </w:tcPr>
          <w:p w:rsidR="00AA72C3" w:rsidRPr="00DA148F" w:rsidP="00110D5F" w14:paraId="5C8A19F3" w14:textId="77777777">
            <w:pPr>
              <w:spacing w:before="48" w:beforeLines="20" w:after="48" w:afterLines="20"/>
              <w:jc w:val="center"/>
              <w:rPr>
                <w:rFonts w:asciiTheme="minorHAnsi" w:hAnsiTheme="minorHAnsi" w:cstheme="minorHAnsi"/>
                <w:sz w:val="18"/>
                <w:szCs w:val="18"/>
              </w:rPr>
            </w:pPr>
          </w:p>
        </w:tc>
        <w:tc>
          <w:tcPr>
            <w:tcW w:w="485" w:type="pct"/>
            <w:tcBorders>
              <w:top w:val="single" w:sz="4" w:space="0" w:color="auto"/>
              <w:left w:val="nil"/>
              <w:bottom w:val="single" w:sz="4" w:space="0" w:color="auto"/>
              <w:right w:val="nil"/>
            </w:tcBorders>
            <w:vAlign w:val="center"/>
          </w:tcPr>
          <w:p w:rsidR="00AA72C3" w:rsidRPr="00DA148F" w:rsidP="00110D5F" w14:paraId="39125B5D" w14:textId="19EB4DE7">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45,122</w:t>
            </w:r>
          </w:p>
        </w:tc>
        <w:tc>
          <w:tcPr>
            <w:tcW w:w="485" w:type="pct"/>
            <w:tcBorders>
              <w:top w:val="single" w:sz="4" w:space="0" w:color="auto"/>
              <w:left w:val="nil"/>
              <w:bottom w:val="single" w:sz="4" w:space="0" w:color="auto"/>
              <w:right w:val="nil"/>
            </w:tcBorders>
            <w:shd w:val="clear" w:color="auto" w:fill="D9D9D9" w:themeFill="background1" w:themeFillShade="D9"/>
            <w:vAlign w:val="center"/>
          </w:tcPr>
          <w:p w:rsidR="00AA72C3" w:rsidRPr="00DA148F" w:rsidP="00110D5F" w14:paraId="1047E1B2" w14:textId="77777777">
            <w:pPr>
              <w:spacing w:before="48" w:beforeLines="20" w:after="48" w:afterLines="20"/>
              <w:jc w:val="center"/>
              <w:rPr>
                <w:rFonts w:asciiTheme="minorHAnsi" w:hAnsiTheme="minorHAnsi" w:cstheme="minorHAnsi"/>
                <w:sz w:val="18"/>
                <w:szCs w:val="18"/>
              </w:rPr>
            </w:pPr>
          </w:p>
        </w:tc>
        <w:tc>
          <w:tcPr>
            <w:tcW w:w="522" w:type="pct"/>
            <w:tcBorders>
              <w:top w:val="single" w:sz="4" w:space="0" w:color="auto"/>
              <w:left w:val="nil"/>
              <w:bottom w:val="single" w:sz="4" w:space="0" w:color="auto"/>
              <w:right w:val="nil"/>
            </w:tcBorders>
            <w:vAlign w:val="center"/>
          </w:tcPr>
          <w:p w:rsidR="00AA72C3" w:rsidRPr="00DA148F" w:rsidP="00110D5F" w14:paraId="30AA1426" w14:textId="7C491B0A">
            <w:pPr>
              <w:spacing w:before="48" w:beforeLines="20" w:after="48" w:afterLines="20"/>
              <w:jc w:val="center"/>
              <w:rPr>
                <w:rFonts w:asciiTheme="minorHAnsi" w:hAnsiTheme="minorHAnsi" w:cstheme="minorHAnsi"/>
                <w:sz w:val="18"/>
                <w:szCs w:val="18"/>
              </w:rPr>
            </w:pPr>
            <w:r>
              <w:rPr>
                <w:rFonts w:asciiTheme="minorHAnsi" w:hAnsiTheme="minorHAnsi" w:cstheme="minorHAnsi"/>
                <w:sz w:val="18"/>
                <w:szCs w:val="18"/>
              </w:rPr>
              <w:t>$</w:t>
            </w:r>
            <w:r w:rsidR="009D04BC">
              <w:rPr>
                <w:rFonts w:asciiTheme="minorHAnsi" w:hAnsiTheme="minorHAnsi" w:cstheme="minorHAnsi"/>
                <w:sz w:val="18"/>
                <w:szCs w:val="18"/>
              </w:rPr>
              <w:t>1,202,297.84</w:t>
            </w:r>
          </w:p>
        </w:tc>
      </w:tr>
    </w:tbl>
    <w:p w:rsidR="00AF44A1" w:rsidP="00110D5F" w14:paraId="4A957D3C" w14:textId="77777777">
      <w:pPr>
        <w:spacing w:after="120" w:line="240" w:lineRule="auto"/>
        <w:rPr>
          <w:rFonts w:cstheme="minorHAnsi"/>
          <w:b/>
        </w:rPr>
      </w:pPr>
    </w:p>
    <w:p w:rsidR="001D1C73" w:rsidRPr="009139B3" w:rsidP="00110D5F" w14:paraId="730F9427" w14:textId="1517BC0A">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D1C73" w:rsidRPr="009139B3" w:rsidP="00110D5F" w14:paraId="37B3A42A" w14:textId="4BE185EC">
      <w:pPr>
        <w:autoSpaceDE w:val="0"/>
        <w:autoSpaceDN w:val="0"/>
        <w:adjustRightInd w:val="0"/>
        <w:spacing w:after="0" w:line="240" w:lineRule="auto"/>
        <w:rPr>
          <w:rFonts w:cstheme="minorHAnsi"/>
        </w:rPr>
      </w:pPr>
      <w:r>
        <w:rPr>
          <w:rFonts w:cstheme="minorHAnsi"/>
        </w:rPr>
        <w:t>There are no additional costs to respondents.</w:t>
      </w:r>
    </w:p>
    <w:p w:rsidR="001D1C73" w:rsidRPr="009139B3" w:rsidP="00110D5F" w14:paraId="01ADACD0" w14:textId="77777777">
      <w:pPr>
        <w:autoSpaceDE w:val="0"/>
        <w:autoSpaceDN w:val="0"/>
        <w:adjustRightInd w:val="0"/>
        <w:spacing w:after="0" w:line="240" w:lineRule="auto"/>
        <w:rPr>
          <w:rFonts w:cstheme="minorHAnsi"/>
        </w:rPr>
      </w:pPr>
    </w:p>
    <w:p w:rsidR="00306202" w:rsidRPr="009139B3" w:rsidP="00110D5F" w14:paraId="4A3241D9"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1D1C73" w:rsidP="00110D5F" w14:paraId="30A9FAE4" w14:textId="15B9EB32">
      <w:pPr>
        <w:spacing w:after="0" w:line="240" w:lineRule="auto"/>
      </w:pPr>
      <w:bookmarkStart w:id="14" w:name="_Hlk58417701"/>
      <w:r>
        <w:t xml:space="preserve">Annualized costs to the federal government are estimated based on the contracted costs for tasks associated with this work. Contracted costs are based on approved hours and labor rates by task, as well as other direct costs including system licenses and hosting fees for </w:t>
      </w:r>
      <w:r w:rsidR="00942FBF">
        <w:t>nFORM</w:t>
      </w:r>
      <w:r w:rsidR="00942FBF">
        <w:t xml:space="preserve">, </w:t>
      </w:r>
      <w:r>
        <w:t>the management information system used by grant</w:t>
      </w:r>
      <w:r w:rsidR="0058134D">
        <w:t xml:space="preserve"> recipients</w:t>
      </w:r>
      <w:r>
        <w:t xml:space="preserve"> for data collection and reporting.   </w:t>
      </w:r>
    </w:p>
    <w:bookmarkEnd w:id="14"/>
    <w:p w:rsidR="00FD44B2" w:rsidP="00110D5F" w14:paraId="0FFE2E9B" w14:textId="443EA5FB">
      <w:pPr>
        <w:spacing w:after="0" w:line="240" w:lineRule="auto"/>
      </w:pPr>
    </w:p>
    <w:p w:rsidR="00F87300" w:rsidRPr="00F87300" w:rsidP="00110D5F" w14:paraId="68333530" w14:textId="72A78DFA">
      <w:pPr>
        <w:keepNext/>
        <w:spacing w:after="60" w:line="240" w:lineRule="auto"/>
        <w:rPr>
          <w:rFonts w:cstheme="minorHAnsi"/>
          <w:b/>
        </w:rPr>
      </w:pPr>
      <w:r w:rsidRPr="00F87300">
        <w:rPr>
          <w:rFonts w:cstheme="minorHAnsi"/>
          <w:b/>
        </w:rPr>
        <w:t>Table A.</w:t>
      </w:r>
      <w:r>
        <w:rPr>
          <w:rFonts w:cstheme="minorHAnsi"/>
          <w:b/>
        </w:rPr>
        <w:t>4</w:t>
      </w:r>
      <w:r w:rsidRPr="00F87300">
        <w:rPr>
          <w:rFonts w:cstheme="minorHAnsi"/>
          <w:b/>
        </w:rPr>
        <w:t>. Estimate</w:t>
      </w:r>
      <w:r>
        <w:rPr>
          <w:rFonts w:cstheme="minorHAnsi"/>
          <w:b/>
        </w:rPr>
        <w:t xml:space="preserve">d annualized costs </w:t>
      </w:r>
    </w:p>
    <w:tbl>
      <w:tblPr>
        <w:tblW w:w="0" w:type="auto"/>
        <w:tblCellMar>
          <w:left w:w="0" w:type="dxa"/>
          <w:right w:w="0" w:type="dxa"/>
        </w:tblCellMar>
        <w:tblLook w:val="04A0"/>
      </w:tblPr>
      <w:tblGrid>
        <w:gridCol w:w="4878"/>
        <w:gridCol w:w="2250"/>
      </w:tblGrid>
      <w:tr w14:paraId="03A6925A" w14:textId="77777777" w:rsidTr="00407DA1">
        <w:tblPrEx>
          <w:tblW w:w="0" w:type="auto"/>
          <w:tblCellMar>
            <w:left w:w="0" w:type="dxa"/>
            <w:right w:w="0" w:type="dxa"/>
          </w:tblCellMar>
          <w:tblLook w:val="04A0"/>
        </w:tblPrEx>
        <w:trPr>
          <w:cantSplit/>
          <w:tblHeader/>
        </w:trPr>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110D5F" w14:paraId="040ACCEE" w14:textId="77777777">
            <w:pPr>
              <w:spacing w:after="0" w:line="240" w:lineRule="auto"/>
              <w:rPr>
                <w:b/>
                <w:bCs/>
                <w:sz w:val="20"/>
              </w:rPr>
            </w:pPr>
            <w:r w:rsidRPr="009139B3">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rsidP="00110D5F" w14:paraId="2D64809B" w14:textId="3C00C532">
            <w:pPr>
              <w:spacing w:after="0" w:line="240" w:lineRule="auto"/>
              <w:jc w:val="center"/>
              <w:rPr>
                <w:b/>
                <w:bCs/>
                <w:sz w:val="20"/>
              </w:rPr>
            </w:pPr>
            <w:r w:rsidRPr="009139B3">
              <w:rPr>
                <w:b/>
                <w:bCs/>
                <w:sz w:val="20"/>
              </w:rPr>
              <w:t>Estimated Costs</w:t>
            </w:r>
          </w:p>
        </w:tc>
      </w:tr>
      <w:tr w14:paraId="20564B7A" w14:textId="77777777" w:rsidTr="008B639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110D5F" w14:paraId="28494A95" w14:textId="51361BC8">
            <w:pPr>
              <w:spacing w:after="0" w:line="240" w:lineRule="auto"/>
              <w:rPr>
                <w:sz w:val="20"/>
              </w:rPr>
            </w:pPr>
            <w:r>
              <w:rPr>
                <w:sz w:val="20"/>
              </w:rPr>
              <w:t>nFORM</w:t>
            </w:r>
            <w:r>
              <w:rPr>
                <w:sz w:val="20"/>
              </w:rPr>
              <w:t xml:space="preserve"> </w:t>
            </w:r>
            <w:r w:rsidR="009014E0">
              <w:rPr>
                <w:sz w:val="20"/>
              </w:rPr>
              <w:t>system</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110D5F" w14:paraId="1EBEFF56" w14:textId="25A8EBDE">
            <w:pPr>
              <w:spacing w:after="0" w:line="240" w:lineRule="auto"/>
              <w:jc w:val="center"/>
              <w:rPr>
                <w:sz w:val="20"/>
              </w:rPr>
            </w:pPr>
            <w:r w:rsidRPr="009139B3">
              <w:rPr>
                <w:sz w:val="20"/>
              </w:rPr>
              <w:t>$</w:t>
            </w:r>
            <w:r w:rsidR="00392FAB">
              <w:rPr>
                <w:sz w:val="20"/>
              </w:rPr>
              <w:t>1,583,687</w:t>
            </w:r>
          </w:p>
        </w:tc>
      </w:tr>
      <w:tr w14:paraId="15425C41" w14:textId="77777777" w:rsidTr="008B639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1C73" w:rsidRPr="009139B3" w:rsidP="00110D5F" w14:paraId="299A5ADE" w14:textId="25C91744">
            <w:pPr>
              <w:spacing w:after="0" w:line="240" w:lineRule="auto"/>
              <w:rPr>
                <w:rFonts w:ascii="Calibri" w:eastAsia="Calibri" w:hAnsi="Calibri" w:cs="Calibri"/>
                <w:sz w:val="20"/>
              </w:rPr>
            </w:pPr>
            <w:r>
              <w:rPr>
                <w:sz w:val="20"/>
              </w:rPr>
              <w:t xml:space="preserve">Grant recipient </w:t>
            </w:r>
            <w:r w:rsidR="00B0438B">
              <w:rPr>
                <w:sz w:val="20"/>
              </w:rPr>
              <w:t>training and technical assistance</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1C73" w:rsidRPr="009139B3" w:rsidP="00110D5F" w14:paraId="219CBE6F" w14:textId="02C5E308">
            <w:pPr>
              <w:spacing w:after="0" w:line="240" w:lineRule="auto"/>
              <w:jc w:val="center"/>
              <w:rPr>
                <w:sz w:val="20"/>
              </w:rPr>
            </w:pPr>
            <w:r w:rsidRPr="009139B3">
              <w:rPr>
                <w:sz w:val="20"/>
              </w:rPr>
              <w:t>$</w:t>
            </w:r>
            <w:r w:rsidR="00392FAB">
              <w:rPr>
                <w:sz w:val="20"/>
              </w:rPr>
              <w:t>776,844</w:t>
            </w:r>
          </w:p>
        </w:tc>
      </w:tr>
      <w:tr w14:paraId="71F20FD1" w14:textId="77777777" w:rsidTr="008B639C">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rsidP="00110D5F" w14:paraId="2DD9D85F" w14:textId="77777777">
            <w:pPr>
              <w:spacing w:after="0" w:line="240" w:lineRule="auto"/>
              <w:rPr>
                <w:sz w:val="20"/>
              </w:rPr>
            </w:pPr>
            <w:r w:rsidRPr="009139B3">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110D5F" w14:paraId="194E752D" w14:textId="29D48094">
            <w:pPr>
              <w:spacing w:after="0" w:line="240" w:lineRule="auto"/>
              <w:jc w:val="center"/>
              <w:rPr>
                <w:sz w:val="20"/>
              </w:rPr>
            </w:pPr>
            <w:r w:rsidRPr="009139B3">
              <w:rPr>
                <w:sz w:val="20"/>
              </w:rPr>
              <w:t>$</w:t>
            </w:r>
            <w:r w:rsidR="00392FAB">
              <w:rPr>
                <w:sz w:val="20"/>
              </w:rPr>
              <w:t>335,256</w:t>
            </w:r>
          </w:p>
        </w:tc>
      </w:tr>
      <w:tr w14:paraId="19E4F024" w14:textId="77777777" w:rsidTr="008B639C">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rsidP="00110D5F" w14:paraId="6E55C846" w14:textId="77777777">
            <w:pPr>
              <w:spacing w:after="0" w:line="240" w:lineRule="auto"/>
              <w:rPr>
                <w:rFonts w:ascii="Calibri" w:eastAsia="Calibri" w:hAnsi="Calibri" w:cs="Calibri"/>
                <w:sz w:val="20"/>
              </w:rPr>
            </w:pPr>
            <w:r w:rsidRPr="009139B3">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110D5F" w14:paraId="6BF10F4D" w14:textId="46966E32">
            <w:pPr>
              <w:spacing w:after="0" w:line="240" w:lineRule="auto"/>
              <w:jc w:val="center"/>
              <w:rPr>
                <w:sz w:val="20"/>
              </w:rPr>
            </w:pPr>
            <w:r w:rsidRPr="009139B3">
              <w:rPr>
                <w:sz w:val="20"/>
              </w:rPr>
              <w:t>$</w:t>
            </w:r>
            <w:r w:rsidR="00392FAB">
              <w:rPr>
                <w:sz w:val="20"/>
              </w:rPr>
              <w:t>147,837</w:t>
            </w:r>
          </w:p>
        </w:tc>
      </w:tr>
      <w:tr w14:paraId="35F03C17" w14:textId="77777777" w:rsidTr="008B639C">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110D5F" w14:paraId="7EDD4F98" w14:textId="20829615">
            <w:pPr>
              <w:spacing w:after="0" w:line="240" w:lineRule="auto"/>
              <w:jc w:val="right"/>
              <w:rPr>
                <w:rFonts w:ascii="Calibri" w:eastAsia="Calibri" w:hAnsi="Calibri" w:cs="Calibri"/>
                <w:b/>
                <w:bCs/>
                <w:sz w:val="20"/>
              </w:rPr>
            </w:pPr>
            <w:r>
              <w:rPr>
                <w:b/>
                <w:color w:val="000000"/>
                <w:sz w:val="20"/>
              </w:rPr>
              <w:t>Annual</w:t>
            </w:r>
            <w:r w:rsidRPr="009139B3">
              <w:rPr>
                <w:b/>
                <w:color w:val="000000"/>
                <w:sz w:val="20"/>
              </w:rPr>
              <w:t xml:space="preserve"> </w:t>
            </w:r>
            <w:r w:rsidRPr="009139B3">
              <w:rPr>
                <w:b/>
                <w:color w:val="000000"/>
                <w:sz w:val="20"/>
              </w:rPr>
              <w:t xml:space="preserve">costs </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110D5F" w14:paraId="0B43751B" w14:textId="111D6B55">
            <w:pPr>
              <w:spacing w:after="0" w:line="240" w:lineRule="auto"/>
              <w:jc w:val="center"/>
              <w:rPr>
                <w:b/>
                <w:bCs/>
                <w:sz w:val="20"/>
              </w:rPr>
            </w:pPr>
            <w:r w:rsidRPr="009139B3">
              <w:rPr>
                <w:sz w:val="20"/>
              </w:rPr>
              <w:t>$</w:t>
            </w:r>
            <w:r w:rsidR="00392FAB">
              <w:rPr>
                <w:sz w:val="20"/>
              </w:rPr>
              <w:t>2,</w:t>
            </w:r>
            <w:r w:rsidR="00D1696B">
              <w:rPr>
                <w:sz w:val="20"/>
              </w:rPr>
              <w:t>843</w:t>
            </w:r>
            <w:r w:rsidR="00392FAB">
              <w:rPr>
                <w:sz w:val="20"/>
              </w:rPr>
              <w:t>,</w:t>
            </w:r>
            <w:r w:rsidR="00D1696B">
              <w:rPr>
                <w:sz w:val="20"/>
              </w:rPr>
              <w:t>624</w:t>
            </w:r>
          </w:p>
        </w:tc>
      </w:tr>
    </w:tbl>
    <w:p w:rsidR="00DE3784" w:rsidRPr="009139B3" w:rsidP="00110D5F" w14:paraId="7011DBBD" w14:textId="77777777">
      <w:pPr>
        <w:spacing w:after="0" w:line="240" w:lineRule="auto"/>
        <w:rPr>
          <w:rFonts w:ascii="Calibri" w:eastAsia="Calibri" w:hAnsi="Calibri" w:cs="Calibri"/>
        </w:rPr>
      </w:pPr>
    </w:p>
    <w:p w:rsidR="00DE3784" w:rsidRPr="009139B3" w:rsidP="00110D5F" w14:paraId="78455A46"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9139B3" w:rsidP="00110D5F" w14:paraId="766F8004" w14:textId="7ED198A2">
      <w:pPr>
        <w:spacing w:after="0" w:line="240" w:lineRule="auto"/>
        <w:rPr>
          <w:rFonts w:cstheme="minorHAnsi"/>
        </w:rPr>
      </w:pPr>
      <w:r>
        <w:rPr>
          <w:rFonts w:cstheme="minorHAnsi"/>
        </w:rPr>
        <w:t xml:space="preserve">The overall reduction in burden from the </w:t>
      </w:r>
      <w:r w:rsidR="009076B6">
        <w:rPr>
          <w:rFonts w:cstheme="minorHAnsi"/>
        </w:rPr>
        <w:t xml:space="preserve">2024 renewal of the </w:t>
      </w:r>
      <w:r>
        <w:rPr>
          <w:rFonts w:cstheme="minorHAnsi"/>
        </w:rPr>
        <w:t xml:space="preserve">original OMB approval </w:t>
      </w:r>
      <w:r w:rsidR="005B48E3">
        <w:rPr>
          <w:rFonts w:cstheme="minorHAnsi"/>
        </w:rPr>
        <w:t>reflects</w:t>
      </w:r>
      <w:r>
        <w:rPr>
          <w:rFonts w:cstheme="minorHAnsi"/>
        </w:rPr>
        <w:t xml:space="preserve"> the </w:t>
      </w:r>
      <w:r w:rsidR="004C4B1F">
        <w:rPr>
          <w:rFonts w:cstheme="minorHAnsi"/>
        </w:rPr>
        <w:t xml:space="preserve">removal of the </w:t>
      </w:r>
      <w:r w:rsidRPr="00CA46B1" w:rsidR="004C4B1F">
        <w:rPr>
          <w:rFonts w:cstheme="minorHAnsi"/>
        </w:rPr>
        <w:t>applicant characteristics survey, quarterly performance reports, and CQI planning instruments</w:t>
      </w:r>
      <w:r w:rsidR="00735A62">
        <w:rPr>
          <w:rFonts w:cstheme="minorHAnsi"/>
        </w:rPr>
        <w:t>,</w:t>
      </w:r>
      <w:r w:rsidR="00BE20BF">
        <w:rPr>
          <w:rFonts w:cstheme="minorHAnsi"/>
        </w:rPr>
        <w:t xml:space="preserve"> and reduced frequency of Instruments 2 and 5</w:t>
      </w:r>
      <w:r w:rsidR="005B48E3">
        <w:rPr>
          <w:rFonts w:cstheme="minorHAnsi"/>
        </w:rPr>
        <w:t xml:space="preserve"> in Table A.3</w:t>
      </w:r>
      <w:r w:rsidR="00CA46B1">
        <w:rPr>
          <w:rFonts w:cstheme="minorHAnsi"/>
        </w:rPr>
        <w:t xml:space="preserve">. </w:t>
      </w:r>
      <w:r w:rsidR="005B48E3">
        <w:rPr>
          <w:rFonts w:cstheme="minorHAnsi"/>
        </w:rPr>
        <w:t>T</w:t>
      </w:r>
      <w:r w:rsidR="00735A62">
        <w:rPr>
          <w:rFonts w:cstheme="minorHAnsi"/>
        </w:rPr>
        <w:t xml:space="preserve">he reduction in burden per response for </w:t>
      </w:r>
      <w:r w:rsidR="005B48E3">
        <w:rPr>
          <w:rFonts w:cstheme="minorHAnsi"/>
        </w:rPr>
        <w:t>Instruments 1b, 3, and 4</w:t>
      </w:r>
      <w:r w:rsidR="00735A62">
        <w:rPr>
          <w:rFonts w:cstheme="minorHAnsi"/>
        </w:rPr>
        <w:t xml:space="preserve"> reflects a systematic assessment of the </w:t>
      </w:r>
      <w:r w:rsidR="005B48E3">
        <w:rPr>
          <w:rFonts w:cstheme="minorHAnsi"/>
        </w:rPr>
        <w:t xml:space="preserve">survey and services measures and removal of questions that were not </w:t>
      </w:r>
      <w:r w:rsidR="00852394">
        <w:rPr>
          <w:rFonts w:cstheme="minorHAnsi"/>
        </w:rPr>
        <w:t xml:space="preserve">frequently analyzed </w:t>
      </w:r>
      <w:r w:rsidR="005B48E3">
        <w:rPr>
          <w:rFonts w:cstheme="minorHAnsi"/>
        </w:rPr>
        <w:t>or aligned with ACF’s goals for the 2025 cohort.</w:t>
      </w:r>
      <w:r w:rsidR="00735A62">
        <w:rPr>
          <w:rFonts w:cstheme="minorHAnsi"/>
        </w:rPr>
        <w:t xml:space="preserve"> </w:t>
      </w:r>
      <w:r w:rsidR="00CA46B1">
        <w:rPr>
          <w:rFonts w:cstheme="minorHAnsi"/>
        </w:rPr>
        <w:t>The change in burden</w:t>
      </w:r>
      <w:r w:rsidRPr="00CA46B1" w:rsidR="004C4B1F">
        <w:rPr>
          <w:rFonts w:cstheme="minorHAnsi"/>
        </w:rPr>
        <w:t xml:space="preserve"> </w:t>
      </w:r>
      <w:r w:rsidR="00CA46B1">
        <w:rPr>
          <w:rFonts w:cstheme="minorHAnsi"/>
        </w:rPr>
        <w:t>also</w:t>
      </w:r>
      <w:r w:rsidRPr="00CA46B1" w:rsidR="004C4B1F">
        <w:rPr>
          <w:rFonts w:cstheme="minorHAnsi"/>
        </w:rPr>
        <w:t xml:space="preserve"> reflect</w:t>
      </w:r>
      <w:r w:rsidR="00CA46B1">
        <w:rPr>
          <w:rFonts w:cstheme="minorHAnsi"/>
        </w:rPr>
        <w:t>s</w:t>
      </w:r>
      <w:r w:rsidRPr="00CA46B1" w:rsidR="004C4B1F">
        <w:rPr>
          <w:rFonts w:cstheme="minorHAnsi"/>
        </w:rPr>
        <w:t xml:space="preserve"> the number of grant recipients and participants that ACF expects for the 2025 cohort</w:t>
      </w:r>
      <w:r>
        <w:rPr>
          <w:rFonts w:cstheme="minorHAnsi"/>
        </w:rPr>
        <w:t xml:space="preserve">. </w:t>
      </w:r>
    </w:p>
    <w:p w:rsidR="001D1C73" w:rsidRPr="009139B3" w:rsidP="00110D5F" w14:paraId="2E8F0BA5" w14:textId="77777777">
      <w:pPr>
        <w:spacing w:after="0" w:line="240" w:lineRule="auto"/>
        <w:rPr>
          <w:rFonts w:cstheme="minorHAnsi"/>
        </w:rPr>
      </w:pPr>
    </w:p>
    <w:p w:rsidR="008E4617" w:rsidRPr="009139B3" w:rsidP="00110D5F" w14:paraId="737797EE"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1D1C73" w:rsidRPr="00E94C74" w:rsidP="00110D5F" w14:paraId="27BD65F7" w14:textId="2DD07D09">
      <w:pPr>
        <w:spacing w:after="0" w:line="240" w:lineRule="auto"/>
        <w:rPr>
          <w:rFonts w:cstheme="minorHAnsi"/>
        </w:rPr>
      </w:pPr>
      <w:r w:rsidRPr="00E94C74">
        <w:rPr>
          <w:rFonts w:cstheme="minorHAnsi"/>
        </w:rPr>
        <w:t>Grant</w:t>
      </w:r>
      <w:r w:rsidR="004C4F7A">
        <w:rPr>
          <w:rFonts w:cstheme="minorHAnsi"/>
        </w:rPr>
        <w:t xml:space="preserve"> recipients</w:t>
      </w:r>
      <w:r w:rsidRPr="00E94C74">
        <w:rPr>
          <w:rFonts w:cstheme="minorHAnsi"/>
        </w:rPr>
        <w:t xml:space="preserve"> </w:t>
      </w:r>
      <w:r w:rsidR="00005F28">
        <w:rPr>
          <w:rFonts w:cstheme="minorHAnsi"/>
        </w:rPr>
        <w:t>will</w:t>
      </w:r>
      <w:r w:rsidRPr="00E94C74" w:rsidR="00005F28">
        <w:rPr>
          <w:rFonts w:cstheme="minorHAnsi"/>
        </w:rPr>
        <w:t xml:space="preserve"> </w:t>
      </w:r>
      <w:r w:rsidRPr="00E94C74">
        <w:rPr>
          <w:rFonts w:cstheme="minorHAnsi"/>
        </w:rPr>
        <w:t xml:space="preserve">collect </w:t>
      </w:r>
      <w:r w:rsidRPr="00E94C74" w:rsidR="00E94C74">
        <w:rPr>
          <w:rFonts w:cstheme="minorHAnsi"/>
        </w:rPr>
        <w:t xml:space="preserve">performance measure </w:t>
      </w:r>
      <w:r w:rsidRPr="00E94C74">
        <w:rPr>
          <w:rFonts w:cstheme="minorHAnsi"/>
        </w:rPr>
        <w:t xml:space="preserve">data from clients on an ongoing basis </w:t>
      </w:r>
      <w:r w:rsidR="00005F28">
        <w:rPr>
          <w:rFonts w:cstheme="minorHAnsi"/>
        </w:rPr>
        <w:t xml:space="preserve">and submit annual </w:t>
      </w:r>
      <w:r w:rsidRPr="00E94C74">
        <w:rPr>
          <w:rFonts w:cstheme="minorHAnsi"/>
        </w:rPr>
        <w:t xml:space="preserve">performance reports </w:t>
      </w:r>
      <w:r w:rsidR="00005F28">
        <w:rPr>
          <w:rFonts w:cstheme="minorHAnsi"/>
        </w:rPr>
        <w:t xml:space="preserve">beginning in </w:t>
      </w:r>
      <w:r w:rsidR="002B44D4">
        <w:rPr>
          <w:rFonts w:cstheme="minorHAnsi"/>
        </w:rPr>
        <w:t>S</w:t>
      </w:r>
      <w:r w:rsidR="00005F28">
        <w:rPr>
          <w:rFonts w:cstheme="minorHAnsi"/>
        </w:rPr>
        <w:t>pring 2026, after OMB approval is received</w:t>
      </w:r>
      <w:r w:rsidRPr="00E94C74">
        <w:rPr>
          <w:rFonts w:cstheme="minorHAnsi"/>
        </w:rPr>
        <w:t>. Cross-grant</w:t>
      </w:r>
      <w:r w:rsidR="004C4F7A">
        <w:rPr>
          <w:rFonts w:cstheme="minorHAnsi"/>
        </w:rPr>
        <w:t xml:space="preserve"> recipient</w:t>
      </w:r>
      <w:r w:rsidRPr="00E94C74">
        <w:rPr>
          <w:rFonts w:cstheme="minorHAnsi"/>
        </w:rPr>
        <w:t xml:space="preserve"> data </w:t>
      </w:r>
      <w:r w:rsidR="00005F28">
        <w:rPr>
          <w:rFonts w:cstheme="minorHAnsi"/>
        </w:rPr>
        <w:t xml:space="preserve">will </w:t>
      </w:r>
      <w:r w:rsidR="008E4617">
        <w:rPr>
          <w:rFonts w:cstheme="minorHAnsi"/>
        </w:rPr>
        <w:t xml:space="preserve">be </w:t>
      </w:r>
      <w:r w:rsidRPr="00E94C74">
        <w:rPr>
          <w:rFonts w:cstheme="minorHAnsi"/>
        </w:rPr>
        <w:t xml:space="preserve">analyzed and disseminated in a variety of formats, as requested by ACF, </w:t>
      </w:r>
      <w:r w:rsidR="00005F28">
        <w:rPr>
          <w:rFonts w:cstheme="minorHAnsi"/>
        </w:rPr>
        <w:t xml:space="preserve">beginning in </w:t>
      </w:r>
      <w:r w:rsidR="002B44D4">
        <w:rPr>
          <w:rFonts w:cstheme="minorHAnsi"/>
        </w:rPr>
        <w:t>S</w:t>
      </w:r>
      <w:r w:rsidR="00005F28">
        <w:rPr>
          <w:rFonts w:cstheme="minorHAnsi"/>
        </w:rPr>
        <w:t>pring/</w:t>
      </w:r>
      <w:r w:rsidR="002B44D4">
        <w:rPr>
          <w:rFonts w:cstheme="minorHAnsi"/>
        </w:rPr>
        <w:t>S</w:t>
      </w:r>
      <w:r w:rsidR="00005F28">
        <w:rPr>
          <w:rFonts w:cstheme="minorHAnsi"/>
        </w:rPr>
        <w:t>ummer</w:t>
      </w:r>
      <w:r w:rsidRPr="00E94C74">
        <w:rPr>
          <w:rFonts w:cstheme="minorHAnsi"/>
        </w:rPr>
        <w:t xml:space="preserve"> </w:t>
      </w:r>
      <w:r w:rsidRPr="00E94C74" w:rsidR="002B44D4">
        <w:rPr>
          <w:rFonts w:cstheme="minorHAnsi"/>
        </w:rPr>
        <w:t>202</w:t>
      </w:r>
      <w:r w:rsidR="002B44D4">
        <w:rPr>
          <w:rFonts w:cstheme="minorHAnsi"/>
        </w:rPr>
        <w:t>6</w:t>
      </w:r>
      <w:r w:rsidRPr="00E94C74" w:rsidR="0092518D">
        <w:rPr>
          <w:rFonts w:cstheme="minorHAnsi"/>
        </w:rPr>
        <w:t xml:space="preserve">. </w:t>
      </w:r>
      <w:r w:rsidR="008E4617">
        <w:rPr>
          <w:rFonts w:cstheme="minorHAnsi"/>
        </w:rPr>
        <w:t xml:space="preserve">These activities will continue until the end of the award period. </w:t>
      </w:r>
      <w:r w:rsidRPr="00E94C74" w:rsidR="0092518D">
        <w:rPr>
          <w:rFonts w:cstheme="minorHAnsi"/>
        </w:rPr>
        <w:t xml:space="preserve">A restricted use file with de-identified data will be prepared in </w:t>
      </w:r>
      <w:r w:rsidRPr="00E94C74" w:rsidR="00005F28">
        <w:rPr>
          <w:rFonts w:cstheme="minorHAnsi"/>
        </w:rPr>
        <w:t>20</w:t>
      </w:r>
      <w:r w:rsidR="00005F28">
        <w:rPr>
          <w:rFonts w:cstheme="minorHAnsi"/>
        </w:rPr>
        <w:t>30</w:t>
      </w:r>
      <w:r w:rsidRPr="00E94C74" w:rsidR="0092518D">
        <w:rPr>
          <w:rFonts w:cstheme="minorHAnsi"/>
        </w:rPr>
        <w:t xml:space="preserve">. </w:t>
      </w:r>
      <w:r w:rsidRPr="00E94C74" w:rsidR="0074345F">
        <w:rPr>
          <w:rFonts w:cstheme="minorHAnsi"/>
        </w:rPr>
        <w:t xml:space="preserve"> </w:t>
      </w:r>
    </w:p>
    <w:p w:rsidR="0074345F" w:rsidRPr="00E94C74" w:rsidP="00110D5F" w14:paraId="7788B566" w14:textId="52A40755">
      <w:pPr>
        <w:spacing w:after="0" w:line="240" w:lineRule="auto"/>
        <w:rPr>
          <w:rFonts w:cstheme="minorHAnsi"/>
        </w:rPr>
      </w:pPr>
    </w:p>
    <w:p w:rsidR="0074345F" w:rsidRPr="00E94C74" w:rsidP="00110D5F" w14:paraId="78B732F5" w14:textId="7FF0F2B1">
      <w:pPr>
        <w:keepNext/>
        <w:spacing w:after="60" w:line="240" w:lineRule="auto"/>
        <w:rPr>
          <w:rFonts w:cstheme="minorHAnsi"/>
          <w:b/>
        </w:rPr>
      </w:pPr>
      <w:bookmarkStart w:id="15" w:name="_Hlk48140076"/>
      <w:r w:rsidRPr="00A9697F">
        <w:rPr>
          <w:rFonts w:cstheme="minorHAnsi"/>
          <w:b/>
        </w:rPr>
        <w:t xml:space="preserve">Table </w:t>
      </w:r>
      <w:r w:rsidRPr="00A9697F" w:rsidR="008D2011">
        <w:rPr>
          <w:rFonts w:cstheme="minorHAnsi"/>
          <w:b/>
        </w:rPr>
        <w:t>A</w:t>
      </w:r>
      <w:r w:rsidRPr="00A9697F">
        <w:rPr>
          <w:rFonts w:cstheme="minorHAnsi"/>
          <w:b/>
        </w:rPr>
        <w:t>.</w:t>
      </w:r>
      <w:r w:rsidRPr="00A9697F" w:rsidR="00A9697F">
        <w:rPr>
          <w:rFonts w:cstheme="minorHAnsi"/>
          <w:b/>
        </w:rPr>
        <w:t>5</w:t>
      </w:r>
      <w:r w:rsidRPr="00A9697F">
        <w:rPr>
          <w:rFonts w:cstheme="minorHAnsi"/>
          <w:b/>
        </w:rPr>
        <w:t xml:space="preserve">. </w:t>
      </w:r>
      <w:r w:rsidRPr="00A9697F" w:rsidR="00011175">
        <w:rPr>
          <w:rFonts w:cstheme="minorHAnsi"/>
          <w:b/>
        </w:rPr>
        <w:t>Data</w:t>
      </w:r>
      <w:r w:rsidRPr="00E94C74" w:rsidR="00011175">
        <w:rPr>
          <w:rFonts w:cstheme="minorHAnsi"/>
          <w:b/>
        </w:rPr>
        <w:t xml:space="preserve"> collection and reporting schedule</w:t>
      </w:r>
      <w:r w:rsidRPr="00E94C74">
        <w:rPr>
          <w:rFonts w:cstheme="minorHAnsi"/>
          <w:b/>
        </w:rPr>
        <w:t xml:space="preserve"> </w:t>
      </w:r>
    </w:p>
    <w:tbl>
      <w:tblPr>
        <w:tblStyle w:val="SMPRTableBlack"/>
        <w:tblW w:w="4999" w:type="pct"/>
        <w:tblInd w:w="-72" w:type="dxa"/>
        <w:tblLayout w:type="fixed"/>
        <w:tblLook w:val="04A0"/>
      </w:tblPr>
      <w:tblGrid>
        <w:gridCol w:w="5201"/>
        <w:gridCol w:w="4157"/>
      </w:tblGrid>
      <w:tr w14:paraId="5539B0AB" w14:textId="77777777" w:rsidTr="00182FDB">
        <w:tblPrEx>
          <w:tblW w:w="4999" w:type="pct"/>
          <w:tblInd w:w="-72" w:type="dxa"/>
          <w:tblLayout w:type="fixed"/>
          <w:tblLook w:val="04A0"/>
        </w:tblPrEx>
        <w:trPr>
          <w:tblHeader/>
        </w:trPr>
        <w:tc>
          <w:tcPr>
            <w:tcW w:w="2779" w:type="pct"/>
            <w:vAlign w:val="bottom"/>
          </w:tcPr>
          <w:p w:rsidR="00011175" w:rsidRPr="00367B86" w:rsidP="00110D5F" w14:paraId="272AC722" w14:textId="335BF769">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Instrument/report</w:t>
            </w:r>
          </w:p>
        </w:tc>
        <w:tc>
          <w:tcPr>
            <w:tcW w:w="2221" w:type="pct"/>
            <w:vAlign w:val="bottom"/>
          </w:tcPr>
          <w:p w:rsidR="00011175" w:rsidRPr="00367B86" w:rsidP="00110D5F" w14:paraId="2F262D02" w14:textId="0BF99744">
            <w:pPr>
              <w:spacing w:before="48" w:beforeLines="20" w:after="48" w:afterLines="20"/>
              <w:jc w:val="center"/>
              <w:rPr>
                <w:rFonts w:asciiTheme="minorHAnsi" w:hAnsiTheme="minorHAnsi" w:cstheme="minorHAnsi"/>
                <w:b/>
                <w:bCs/>
                <w:sz w:val="22"/>
                <w:szCs w:val="22"/>
              </w:rPr>
            </w:pPr>
            <w:r w:rsidRPr="00367B86">
              <w:rPr>
                <w:rFonts w:asciiTheme="minorHAnsi" w:hAnsiTheme="minorHAnsi" w:cstheme="minorHAnsi"/>
                <w:b/>
                <w:bCs/>
                <w:sz w:val="22"/>
                <w:szCs w:val="22"/>
              </w:rPr>
              <w:t>Timeline</w:t>
            </w:r>
          </w:p>
        </w:tc>
      </w:tr>
      <w:tr w14:paraId="22D7041F" w14:textId="77777777" w:rsidTr="00182FDB">
        <w:tblPrEx>
          <w:tblW w:w="4999" w:type="pct"/>
          <w:tblInd w:w="-72" w:type="dxa"/>
          <w:tblLayout w:type="fixed"/>
          <w:tblLook w:val="04A0"/>
        </w:tblPrEx>
        <w:tc>
          <w:tcPr>
            <w:tcW w:w="2779" w:type="pct"/>
            <w:vAlign w:val="center"/>
          </w:tcPr>
          <w:p w:rsidR="00AC2B23" w:rsidP="00110D5F" w14:paraId="7206E47E"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1</w:t>
            </w:r>
            <w:r>
              <w:rPr>
                <w:rFonts w:asciiTheme="minorHAnsi" w:hAnsiTheme="minorHAnsi" w:cstheme="minorHAnsi"/>
                <w:sz w:val="22"/>
                <w:szCs w:val="22"/>
              </w:rPr>
              <w:t>a</w:t>
            </w:r>
            <w:r w:rsidRPr="00367B86">
              <w:rPr>
                <w:rFonts w:asciiTheme="minorHAnsi" w:hAnsiTheme="minorHAnsi" w:cstheme="minorHAnsi"/>
                <w:sz w:val="22"/>
                <w:szCs w:val="22"/>
              </w:rPr>
              <w:t xml:space="preserve">:  </w:t>
            </w:r>
            <w:r>
              <w:rPr>
                <w:rFonts w:asciiTheme="minorHAnsi" w:hAnsiTheme="minorHAnsi" w:cstheme="minorHAnsi"/>
                <w:sz w:val="22"/>
                <w:szCs w:val="22"/>
              </w:rPr>
              <w:t>Application</w:t>
            </w:r>
            <w:r>
              <w:rPr>
                <w:rFonts w:asciiTheme="minorHAnsi" w:hAnsiTheme="minorHAnsi" w:cstheme="minorHAnsi"/>
                <w:sz w:val="22"/>
                <w:szCs w:val="22"/>
              </w:rPr>
              <w:t xml:space="preserve"> Form</w:t>
            </w:r>
          </w:p>
          <w:p w:rsidR="00011175" w:rsidRPr="00367B86" w:rsidP="00110D5F" w14:paraId="213B6A0A" w14:textId="0722E0AF">
            <w:pPr>
              <w:spacing w:before="48" w:beforeLines="20" w:after="48" w:afterLines="20"/>
              <w:rPr>
                <w:rFonts w:asciiTheme="minorHAnsi" w:hAnsiTheme="minorHAnsi" w:cstheme="minorHAnsi"/>
                <w:sz w:val="22"/>
                <w:szCs w:val="22"/>
              </w:rPr>
            </w:pPr>
            <w:r>
              <w:rPr>
                <w:rFonts w:asciiTheme="minorHAnsi" w:hAnsiTheme="minorHAnsi" w:cstheme="minorHAnsi"/>
                <w:sz w:val="22"/>
                <w:szCs w:val="22"/>
              </w:rPr>
              <w:t xml:space="preserve">1b: </w:t>
            </w:r>
            <w:r w:rsidRPr="00367B86" w:rsidR="00DB5966">
              <w:rPr>
                <w:rFonts w:asciiTheme="minorHAnsi" w:hAnsiTheme="minorHAnsi" w:cstheme="minorHAnsi"/>
                <w:sz w:val="22"/>
                <w:szCs w:val="22"/>
              </w:rPr>
              <w:t>Entrance Surveys</w:t>
            </w:r>
            <w:r w:rsidR="00DB5966">
              <w:rPr>
                <w:rFonts w:asciiTheme="minorHAnsi" w:hAnsiTheme="minorHAnsi" w:cstheme="minorHAnsi"/>
                <w:sz w:val="22"/>
                <w:szCs w:val="22"/>
              </w:rPr>
              <w:t xml:space="preserve"> </w:t>
            </w:r>
          </w:p>
        </w:tc>
        <w:tc>
          <w:tcPr>
            <w:tcW w:w="2221" w:type="pct"/>
            <w:vAlign w:val="center"/>
          </w:tcPr>
          <w:p w:rsidR="00011175" w:rsidRPr="00367B86" w:rsidP="00110D5F" w14:paraId="7F5FB3E8" w14:textId="33A49E68">
            <w:pPr>
              <w:spacing w:before="48" w:beforeLines="20" w:after="48" w:afterLines="20"/>
              <w:jc w:val="center"/>
              <w:rPr>
                <w:rFonts w:asciiTheme="minorHAnsi" w:hAnsiTheme="minorHAnsi" w:cstheme="minorHAnsi"/>
                <w:sz w:val="22"/>
                <w:szCs w:val="22"/>
              </w:rPr>
            </w:pPr>
            <w:r>
              <w:rPr>
                <w:rFonts w:asciiTheme="minorHAnsi" w:hAnsiTheme="minorHAnsi" w:cstheme="minorHAnsi"/>
                <w:sz w:val="22"/>
                <w:szCs w:val="22"/>
              </w:rPr>
              <w:t>Summer</w:t>
            </w:r>
            <w:r w:rsidRPr="00367B86">
              <w:rPr>
                <w:rFonts w:asciiTheme="minorHAnsi" w:hAnsiTheme="minorHAnsi" w:cstheme="minorHAnsi"/>
                <w:sz w:val="22"/>
                <w:szCs w:val="22"/>
              </w:rPr>
              <w:t xml:space="preserve"> </w:t>
            </w:r>
            <w:r w:rsidRPr="00367B86" w:rsidR="00DB5966">
              <w:rPr>
                <w:rFonts w:asciiTheme="minorHAnsi" w:hAnsiTheme="minorHAnsi" w:cstheme="minorHAnsi"/>
                <w:sz w:val="22"/>
                <w:szCs w:val="22"/>
              </w:rPr>
              <w:t>202</w:t>
            </w:r>
            <w:r w:rsidR="00DB5966">
              <w:rPr>
                <w:rFonts w:asciiTheme="minorHAnsi" w:hAnsiTheme="minorHAnsi" w:cstheme="minorHAnsi"/>
                <w:sz w:val="22"/>
                <w:szCs w:val="22"/>
              </w:rPr>
              <w:t>6</w:t>
            </w:r>
            <w:r w:rsidRPr="00367B86" w:rsidR="00DB5966">
              <w:rPr>
                <w:rFonts w:asciiTheme="minorHAnsi" w:hAnsiTheme="minorHAnsi" w:cstheme="minorHAnsi"/>
                <w:sz w:val="22"/>
                <w:szCs w:val="22"/>
              </w:rPr>
              <w:t xml:space="preserve"> </w:t>
            </w:r>
            <w:r w:rsidRPr="00367B86">
              <w:rPr>
                <w:rFonts w:asciiTheme="minorHAnsi" w:hAnsiTheme="minorHAnsi" w:cstheme="minorHAnsi"/>
                <w:sz w:val="22"/>
                <w:szCs w:val="22"/>
              </w:rPr>
              <w:t xml:space="preserve">– Fall </w:t>
            </w:r>
            <w:r w:rsidRPr="00367B86" w:rsidR="00DB5966">
              <w:rPr>
                <w:rFonts w:asciiTheme="minorHAnsi" w:hAnsiTheme="minorHAnsi" w:cstheme="minorHAnsi"/>
                <w:sz w:val="22"/>
                <w:szCs w:val="22"/>
              </w:rPr>
              <w:t>20</w:t>
            </w:r>
            <w:r w:rsidR="00DB5966">
              <w:rPr>
                <w:rFonts w:asciiTheme="minorHAnsi" w:hAnsiTheme="minorHAnsi" w:cstheme="minorHAnsi"/>
                <w:sz w:val="22"/>
                <w:szCs w:val="22"/>
              </w:rPr>
              <w:t>30</w:t>
            </w:r>
          </w:p>
        </w:tc>
      </w:tr>
      <w:tr w14:paraId="55A4DD46" w14:textId="77777777" w:rsidTr="00182FDB">
        <w:tblPrEx>
          <w:tblW w:w="4999" w:type="pct"/>
          <w:tblInd w:w="-72" w:type="dxa"/>
          <w:tblLayout w:type="fixed"/>
          <w:tblLook w:val="04A0"/>
        </w:tblPrEx>
        <w:tc>
          <w:tcPr>
            <w:tcW w:w="2779" w:type="pct"/>
            <w:tcBorders>
              <w:top w:val="nil"/>
              <w:left w:val="nil"/>
              <w:bottom w:val="nil"/>
              <w:right w:val="nil"/>
            </w:tcBorders>
          </w:tcPr>
          <w:p w:rsidR="00011175" w:rsidRPr="00367B86" w:rsidP="00110D5F" w14:paraId="513FC4DC" w14:textId="07F49632">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2</w:t>
            </w:r>
            <w:r w:rsidRPr="00367B86">
              <w:rPr>
                <w:rFonts w:asciiTheme="minorHAnsi" w:hAnsiTheme="minorHAnsi" w:cstheme="minorHAnsi"/>
                <w:sz w:val="22"/>
                <w:szCs w:val="22"/>
              </w:rPr>
              <w:t>:  Program</w:t>
            </w:r>
            <w:r w:rsidRPr="00367B86">
              <w:rPr>
                <w:rFonts w:asciiTheme="minorHAnsi" w:hAnsiTheme="minorHAnsi" w:cstheme="minorHAnsi"/>
                <w:sz w:val="22"/>
                <w:szCs w:val="22"/>
              </w:rPr>
              <w:t xml:space="preserve"> Operations</w:t>
            </w:r>
            <w:r w:rsidR="00F759E7">
              <w:rPr>
                <w:rFonts w:asciiTheme="minorHAnsi" w:hAnsiTheme="minorHAnsi" w:cstheme="minorHAnsi"/>
                <w:sz w:val="22"/>
                <w:szCs w:val="22"/>
              </w:rPr>
              <w:t xml:space="preserve"> Survey</w:t>
            </w:r>
          </w:p>
        </w:tc>
        <w:tc>
          <w:tcPr>
            <w:tcW w:w="2221" w:type="pct"/>
            <w:tcBorders>
              <w:left w:val="nil"/>
            </w:tcBorders>
            <w:vAlign w:val="center"/>
          </w:tcPr>
          <w:p w:rsidR="00011175" w:rsidRPr="00367B86" w:rsidP="00110D5F" w14:paraId="16701AAB" w14:textId="17D6B8AC">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 xml:space="preserve">Summer </w:t>
            </w:r>
            <w:r w:rsidRPr="00367B86" w:rsidR="00DB5966">
              <w:rPr>
                <w:rFonts w:asciiTheme="minorHAnsi" w:hAnsiTheme="minorHAnsi" w:cstheme="minorHAnsi"/>
                <w:sz w:val="22"/>
                <w:szCs w:val="22"/>
              </w:rPr>
              <w:t>202</w:t>
            </w:r>
            <w:r w:rsidR="00DB5966">
              <w:rPr>
                <w:rFonts w:asciiTheme="minorHAnsi" w:hAnsiTheme="minorHAnsi" w:cstheme="minorHAnsi"/>
                <w:sz w:val="22"/>
                <w:szCs w:val="22"/>
              </w:rPr>
              <w:t>6</w:t>
            </w:r>
            <w:r w:rsidRPr="00367B86" w:rsidR="00DB5966">
              <w:rPr>
                <w:rFonts w:asciiTheme="minorHAnsi" w:hAnsiTheme="minorHAnsi" w:cstheme="minorHAnsi"/>
                <w:sz w:val="22"/>
                <w:szCs w:val="22"/>
              </w:rPr>
              <w:t xml:space="preserve"> </w:t>
            </w:r>
            <w:r w:rsidRPr="00367B86">
              <w:rPr>
                <w:rFonts w:asciiTheme="minorHAnsi" w:hAnsiTheme="minorHAnsi" w:cstheme="minorHAnsi"/>
                <w:sz w:val="22"/>
                <w:szCs w:val="22"/>
              </w:rPr>
              <w:t xml:space="preserve">– Fall </w:t>
            </w:r>
            <w:r w:rsidRPr="00367B86" w:rsidR="00DB5966">
              <w:rPr>
                <w:rFonts w:asciiTheme="minorHAnsi" w:hAnsiTheme="minorHAnsi" w:cstheme="minorHAnsi"/>
                <w:sz w:val="22"/>
                <w:szCs w:val="22"/>
              </w:rPr>
              <w:t>20</w:t>
            </w:r>
            <w:r w:rsidR="00DB5966">
              <w:rPr>
                <w:rFonts w:asciiTheme="minorHAnsi" w:hAnsiTheme="minorHAnsi" w:cstheme="minorHAnsi"/>
                <w:sz w:val="22"/>
                <w:szCs w:val="22"/>
              </w:rPr>
              <w:t>30</w:t>
            </w:r>
          </w:p>
        </w:tc>
      </w:tr>
      <w:tr w14:paraId="59312C77" w14:textId="77777777" w:rsidTr="00182FDB">
        <w:tblPrEx>
          <w:tblW w:w="4999" w:type="pct"/>
          <w:tblInd w:w="-72" w:type="dxa"/>
          <w:tblLayout w:type="fixed"/>
          <w:tblLook w:val="04A0"/>
        </w:tblPrEx>
        <w:tc>
          <w:tcPr>
            <w:tcW w:w="2779" w:type="pct"/>
            <w:tcBorders>
              <w:top w:val="nil"/>
              <w:left w:val="nil"/>
              <w:bottom w:val="nil"/>
              <w:right w:val="nil"/>
            </w:tcBorders>
          </w:tcPr>
          <w:p w:rsidR="00011175" w:rsidRPr="00367B86" w:rsidP="00110D5F" w14:paraId="30C99927" w14:textId="7777777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3</w:t>
            </w:r>
            <w:r w:rsidRPr="00367B86">
              <w:rPr>
                <w:rFonts w:asciiTheme="minorHAnsi" w:hAnsiTheme="minorHAnsi" w:cstheme="minorHAnsi"/>
                <w:sz w:val="22"/>
                <w:szCs w:val="22"/>
              </w:rPr>
              <w:t>:  Service</w:t>
            </w:r>
            <w:r w:rsidRPr="00367B86">
              <w:rPr>
                <w:rFonts w:asciiTheme="minorHAnsi" w:hAnsiTheme="minorHAnsi" w:cstheme="minorHAnsi"/>
                <w:sz w:val="22"/>
                <w:szCs w:val="22"/>
              </w:rPr>
              <w:t xml:space="preserve"> Delivery Data</w:t>
            </w:r>
          </w:p>
        </w:tc>
        <w:tc>
          <w:tcPr>
            <w:tcW w:w="2221" w:type="pct"/>
            <w:tcBorders>
              <w:left w:val="nil"/>
            </w:tcBorders>
            <w:vAlign w:val="center"/>
          </w:tcPr>
          <w:p w:rsidR="00011175" w:rsidRPr="00367B86" w:rsidP="00110D5F" w14:paraId="41053506" w14:textId="049ED1EB">
            <w:pPr>
              <w:spacing w:before="48" w:beforeLines="20" w:after="48" w:afterLines="20"/>
              <w:jc w:val="center"/>
              <w:rPr>
                <w:rFonts w:asciiTheme="minorHAnsi" w:hAnsiTheme="minorHAnsi" w:cstheme="minorHAnsi"/>
                <w:sz w:val="22"/>
                <w:szCs w:val="22"/>
              </w:rPr>
            </w:pPr>
            <w:r>
              <w:rPr>
                <w:rFonts w:asciiTheme="minorHAnsi" w:hAnsiTheme="minorHAnsi" w:cstheme="minorHAnsi"/>
                <w:sz w:val="22"/>
                <w:szCs w:val="22"/>
              </w:rPr>
              <w:t>Summer</w:t>
            </w:r>
            <w:r w:rsidRPr="00367B86">
              <w:rPr>
                <w:rFonts w:asciiTheme="minorHAnsi" w:hAnsiTheme="minorHAnsi" w:cstheme="minorHAnsi"/>
                <w:sz w:val="22"/>
                <w:szCs w:val="22"/>
              </w:rPr>
              <w:t xml:space="preserve"> </w:t>
            </w:r>
            <w:r w:rsidRPr="00367B86" w:rsidR="00DB5966">
              <w:rPr>
                <w:rFonts w:asciiTheme="minorHAnsi" w:hAnsiTheme="minorHAnsi" w:cstheme="minorHAnsi"/>
                <w:sz w:val="22"/>
                <w:szCs w:val="22"/>
              </w:rPr>
              <w:t>202</w:t>
            </w:r>
            <w:r w:rsidR="00DB5966">
              <w:rPr>
                <w:rFonts w:asciiTheme="minorHAnsi" w:hAnsiTheme="minorHAnsi" w:cstheme="minorHAnsi"/>
                <w:sz w:val="22"/>
                <w:szCs w:val="22"/>
              </w:rPr>
              <w:t>6</w:t>
            </w:r>
            <w:r w:rsidRPr="00367B86" w:rsidR="00DB5966">
              <w:rPr>
                <w:rFonts w:asciiTheme="minorHAnsi" w:hAnsiTheme="minorHAnsi" w:cstheme="minorHAnsi"/>
                <w:sz w:val="22"/>
                <w:szCs w:val="22"/>
              </w:rPr>
              <w:t xml:space="preserve"> </w:t>
            </w:r>
            <w:r w:rsidRPr="00367B86" w:rsidR="00716E59">
              <w:rPr>
                <w:rFonts w:asciiTheme="minorHAnsi" w:hAnsiTheme="minorHAnsi" w:cstheme="minorHAnsi"/>
                <w:sz w:val="22"/>
                <w:szCs w:val="22"/>
              </w:rPr>
              <w:t xml:space="preserve">– Fall </w:t>
            </w:r>
            <w:r w:rsidRPr="00367B86" w:rsidR="00DB5966">
              <w:rPr>
                <w:rFonts w:asciiTheme="minorHAnsi" w:hAnsiTheme="minorHAnsi" w:cstheme="minorHAnsi"/>
                <w:sz w:val="22"/>
                <w:szCs w:val="22"/>
              </w:rPr>
              <w:t>20</w:t>
            </w:r>
            <w:r w:rsidR="00DB5966">
              <w:rPr>
                <w:rFonts w:asciiTheme="minorHAnsi" w:hAnsiTheme="minorHAnsi" w:cstheme="minorHAnsi"/>
                <w:sz w:val="22"/>
                <w:szCs w:val="22"/>
              </w:rPr>
              <w:t>30</w:t>
            </w:r>
          </w:p>
        </w:tc>
      </w:tr>
      <w:tr w14:paraId="4864586B" w14:textId="66144476" w:rsidTr="00182FDB">
        <w:tblPrEx>
          <w:tblW w:w="4999" w:type="pct"/>
          <w:tblInd w:w="-72" w:type="dxa"/>
          <w:tblLayout w:type="fixed"/>
          <w:tblLook w:val="04A0"/>
        </w:tblPrEx>
        <w:tc>
          <w:tcPr>
            <w:tcW w:w="2779" w:type="pct"/>
            <w:tcBorders>
              <w:top w:val="nil"/>
              <w:left w:val="nil"/>
              <w:bottom w:val="nil"/>
              <w:right w:val="nil"/>
            </w:tcBorders>
          </w:tcPr>
          <w:p w:rsidR="00716E59" w:rsidRPr="00367B86" w:rsidP="00110D5F" w14:paraId="010EA979" w14:textId="66ED2F7D">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4:  Exit Surveys</w:t>
            </w:r>
          </w:p>
        </w:tc>
        <w:tc>
          <w:tcPr>
            <w:tcW w:w="2221" w:type="pct"/>
            <w:tcBorders>
              <w:left w:val="nil"/>
            </w:tcBorders>
            <w:vAlign w:val="center"/>
          </w:tcPr>
          <w:p w:rsidR="00716E59" w:rsidRPr="00367B86" w:rsidP="00110D5F" w14:paraId="2A88424D" w14:textId="67C599BF">
            <w:pPr>
              <w:spacing w:before="48" w:beforeLines="20" w:after="48" w:afterLines="20"/>
              <w:jc w:val="center"/>
              <w:rPr>
                <w:rFonts w:asciiTheme="minorHAnsi" w:hAnsiTheme="minorHAnsi" w:cstheme="minorHAnsi"/>
                <w:sz w:val="22"/>
                <w:szCs w:val="22"/>
              </w:rPr>
            </w:pPr>
            <w:r>
              <w:rPr>
                <w:rFonts w:asciiTheme="minorHAnsi" w:hAnsiTheme="minorHAnsi" w:cstheme="minorHAnsi"/>
                <w:sz w:val="22"/>
                <w:szCs w:val="22"/>
              </w:rPr>
              <w:t>Summer</w:t>
            </w:r>
            <w:r w:rsidRPr="00367B86">
              <w:rPr>
                <w:rFonts w:asciiTheme="minorHAnsi" w:hAnsiTheme="minorHAnsi" w:cstheme="minorHAnsi"/>
                <w:sz w:val="22"/>
                <w:szCs w:val="22"/>
              </w:rPr>
              <w:t xml:space="preserve"> </w:t>
            </w:r>
            <w:r w:rsidRPr="00367B86" w:rsidR="00AC2B23">
              <w:rPr>
                <w:rFonts w:asciiTheme="minorHAnsi" w:hAnsiTheme="minorHAnsi" w:cstheme="minorHAnsi"/>
                <w:sz w:val="22"/>
                <w:szCs w:val="22"/>
              </w:rPr>
              <w:t>202</w:t>
            </w:r>
            <w:r w:rsidR="00AC2B23">
              <w:rPr>
                <w:rFonts w:asciiTheme="minorHAnsi" w:hAnsiTheme="minorHAnsi" w:cstheme="minorHAnsi"/>
                <w:sz w:val="22"/>
                <w:szCs w:val="22"/>
              </w:rPr>
              <w:t>6</w:t>
            </w:r>
            <w:r w:rsidRPr="00367B86" w:rsidR="00AC2B23">
              <w:rPr>
                <w:rFonts w:asciiTheme="minorHAnsi" w:hAnsiTheme="minorHAnsi" w:cstheme="minorHAnsi"/>
                <w:sz w:val="22"/>
                <w:szCs w:val="22"/>
              </w:rPr>
              <w:t xml:space="preserve"> </w:t>
            </w:r>
            <w:r w:rsidRPr="00367B86">
              <w:rPr>
                <w:rFonts w:asciiTheme="minorHAnsi" w:hAnsiTheme="minorHAnsi" w:cstheme="minorHAnsi"/>
                <w:sz w:val="22"/>
                <w:szCs w:val="22"/>
              </w:rPr>
              <w:t xml:space="preserve">– Fall </w:t>
            </w:r>
            <w:r w:rsidRPr="00367B86" w:rsidR="00AC2B23">
              <w:rPr>
                <w:rFonts w:asciiTheme="minorHAnsi" w:hAnsiTheme="minorHAnsi" w:cstheme="minorHAnsi"/>
                <w:sz w:val="22"/>
                <w:szCs w:val="22"/>
              </w:rPr>
              <w:t>20</w:t>
            </w:r>
            <w:r w:rsidR="00AC2B23">
              <w:rPr>
                <w:rFonts w:asciiTheme="minorHAnsi" w:hAnsiTheme="minorHAnsi" w:cstheme="minorHAnsi"/>
                <w:sz w:val="22"/>
                <w:szCs w:val="22"/>
              </w:rPr>
              <w:t>30</w:t>
            </w:r>
          </w:p>
        </w:tc>
      </w:tr>
      <w:tr w14:paraId="6BE196E4" w14:textId="77777777" w:rsidTr="00182FDB">
        <w:tblPrEx>
          <w:tblW w:w="4999" w:type="pct"/>
          <w:tblInd w:w="-72" w:type="dxa"/>
          <w:tblLayout w:type="fixed"/>
          <w:tblLook w:val="04A0"/>
        </w:tblPrEx>
        <w:tc>
          <w:tcPr>
            <w:tcW w:w="2779" w:type="pct"/>
            <w:tcBorders>
              <w:top w:val="nil"/>
              <w:left w:val="nil"/>
              <w:bottom w:val="nil"/>
              <w:right w:val="nil"/>
            </w:tcBorders>
          </w:tcPr>
          <w:p w:rsidR="00011175" w:rsidRPr="00367B86" w:rsidP="00110D5F" w14:paraId="539DEE5F" w14:textId="28794037">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5</w:t>
            </w:r>
            <w:r w:rsidRPr="00367B86">
              <w:rPr>
                <w:rFonts w:asciiTheme="minorHAnsi" w:hAnsiTheme="minorHAnsi" w:cstheme="minorHAnsi"/>
                <w:sz w:val="22"/>
                <w:szCs w:val="22"/>
              </w:rPr>
              <w:t xml:space="preserve">:  </w:t>
            </w:r>
            <w:r w:rsidR="006D3C5C">
              <w:rPr>
                <w:rFonts w:asciiTheme="minorHAnsi" w:hAnsiTheme="minorHAnsi" w:cstheme="minorHAnsi"/>
                <w:sz w:val="22"/>
                <w:szCs w:val="22"/>
              </w:rPr>
              <w:t>A</w:t>
            </w:r>
            <w:r w:rsidRPr="00367B86">
              <w:rPr>
                <w:rFonts w:asciiTheme="minorHAnsi" w:hAnsiTheme="minorHAnsi" w:cstheme="minorHAnsi"/>
                <w:sz w:val="22"/>
                <w:szCs w:val="22"/>
              </w:rPr>
              <w:t>nnual</w:t>
            </w:r>
            <w:r w:rsidRPr="00367B86">
              <w:rPr>
                <w:rFonts w:asciiTheme="minorHAnsi" w:hAnsiTheme="minorHAnsi" w:cstheme="minorHAnsi"/>
                <w:sz w:val="22"/>
                <w:szCs w:val="22"/>
              </w:rPr>
              <w:t xml:space="preserve"> Performance Progress Report (PPR)</w:t>
            </w:r>
          </w:p>
        </w:tc>
        <w:tc>
          <w:tcPr>
            <w:tcW w:w="2221" w:type="pct"/>
            <w:tcBorders>
              <w:left w:val="nil"/>
            </w:tcBorders>
            <w:vAlign w:val="center"/>
          </w:tcPr>
          <w:p w:rsidR="00011175" w:rsidRPr="00367B86" w:rsidP="00110D5F" w14:paraId="6CCE91BE" w14:textId="4A76AB6B">
            <w:pPr>
              <w:spacing w:before="48" w:beforeLines="20" w:after="48" w:afterLines="20"/>
              <w:jc w:val="center"/>
              <w:rPr>
                <w:rFonts w:asciiTheme="minorHAnsi" w:hAnsiTheme="minorHAnsi" w:cstheme="minorHAnsi"/>
                <w:sz w:val="22"/>
                <w:szCs w:val="22"/>
              </w:rPr>
            </w:pPr>
            <w:r>
              <w:rPr>
                <w:rFonts w:asciiTheme="minorHAnsi" w:hAnsiTheme="minorHAnsi" w:cstheme="minorHAnsi"/>
                <w:sz w:val="22"/>
                <w:szCs w:val="22"/>
              </w:rPr>
              <w:t>Fall</w:t>
            </w:r>
            <w:r w:rsidRPr="00367B86">
              <w:rPr>
                <w:rFonts w:asciiTheme="minorHAnsi" w:hAnsiTheme="minorHAnsi" w:cstheme="minorHAnsi"/>
                <w:sz w:val="22"/>
                <w:szCs w:val="22"/>
              </w:rPr>
              <w:t xml:space="preserve"> </w:t>
            </w:r>
            <w:r w:rsidRPr="00367B86" w:rsidR="00DB5966">
              <w:rPr>
                <w:rFonts w:asciiTheme="minorHAnsi" w:hAnsiTheme="minorHAnsi" w:cstheme="minorHAnsi"/>
                <w:sz w:val="22"/>
                <w:szCs w:val="22"/>
              </w:rPr>
              <w:t>202</w:t>
            </w:r>
            <w:r w:rsidR="00DB5966">
              <w:rPr>
                <w:rFonts w:asciiTheme="minorHAnsi" w:hAnsiTheme="minorHAnsi" w:cstheme="minorHAnsi"/>
                <w:sz w:val="22"/>
                <w:szCs w:val="22"/>
              </w:rPr>
              <w:t>6</w:t>
            </w:r>
            <w:r w:rsidRPr="00367B86" w:rsidR="00DB5966">
              <w:rPr>
                <w:rFonts w:asciiTheme="minorHAnsi" w:hAnsiTheme="minorHAnsi" w:cstheme="minorHAnsi"/>
                <w:sz w:val="22"/>
                <w:szCs w:val="22"/>
              </w:rPr>
              <w:t xml:space="preserve"> </w:t>
            </w:r>
            <w:r w:rsidRPr="00367B86" w:rsidR="00716E59">
              <w:rPr>
                <w:rFonts w:asciiTheme="minorHAnsi" w:hAnsiTheme="minorHAnsi" w:cstheme="minorHAnsi"/>
                <w:sz w:val="22"/>
                <w:szCs w:val="22"/>
              </w:rPr>
              <w:t xml:space="preserve">– Fall </w:t>
            </w:r>
            <w:r w:rsidRPr="00367B86" w:rsidR="00DB5966">
              <w:rPr>
                <w:rFonts w:asciiTheme="minorHAnsi" w:hAnsiTheme="minorHAnsi" w:cstheme="minorHAnsi"/>
                <w:sz w:val="22"/>
                <w:szCs w:val="22"/>
              </w:rPr>
              <w:t>20</w:t>
            </w:r>
            <w:r w:rsidR="00DB5966">
              <w:rPr>
                <w:rFonts w:asciiTheme="minorHAnsi" w:hAnsiTheme="minorHAnsi" w:cstheme="minorHAnsi"/>
                <w:sz w:val="22"/>
                <w:szCs w:val="22"/>
              </w:rPr>
              <w:t>30</w:t>
            </w:r>
          </w:p>
        </w:tc>
      </w:tr>
      <w:tr w14:paraId="55C5C223" w14:textId="77777777" w:rsidTr="00182FDB">
        <w:tblPrEx>
          <w:tblW w:w="4999" w:type="pct"/>
          <w:tblInd w:w="-72" w:type="dxa"/>
          <w:tblLayout w:type="fixed"/>
          <w:tblLook w:val="04A0"/>
        </w:tblPrEx>
        <w:tc>
          <w:tcPr>
            <w:tcW w:w="2779" w:type="pct"/>
            <w:tcBorders>
              <w:bottom w:val="nil"/>
            </w:tcBorders>
          </w:tcPr>
          <w:p w:rsidR="00716E59" w:rsidRPr="00367B86" w:rsidP="00110D5F" w14:paraId="77DAEC34" w14:textId="2B256FAD">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Annual reports</w:t>
            </w:r>
          </w:p>
        </w:tc>
        <w:tc>
          <w:tcPr>
            <w:tcW w:w="2221" w:type="pct"/>
            <w:tcBorders>
              <w:bottom w:val="nil"/>
            </w:tcBorders>
            <w:vAlign w:val="center"/>
          </w:tcPr>
          <w:p w:rsidR="00716E59" w:rsidRPr="00367B86" w:rsidP="00110D5F" w14:paraId="24A47FC1" w14:textId="6205D362">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202</w:t>
            </w:r>
            <w:r>
              <w:rPr>
                <w:rFonts w:asciiTheme="minorHAnsi" w:hAnsiTheme="minorHAnsi" w:cstheme="minorHAnsi"/>
                <w:sz w:val="22"/>
                <w:szCs w:val="22"/>
              </w:rPr>
              <w:t>6</w:t>
            </w:r>
            <w:r w:rsidRPr="00367B86">
              <w:rPr>
                <w:rFonts w:asciiTheme="minorHAnsi" w:hAnsiTheme="minorHAnsi" w:cstheme="minorHAnsi"/>
                <w:sz w:val="22"/>
                <w:szCs w:val="22"/>
              </w:rPr>
              <w:t xml:space="preserve"> </w:t>
            </w:r>
            <w:r w:rsidRPr="00367B86" w:rsidR="008D2011">
              <w:rPr>
                <w:rFonts w:asciiTheme="minorHAnsi" w:hAnsiTheme="minorHAnsi" w:cstheme="minorHAnsi"/>
                <w:sz w:val="22"/>
                <w:szCs w:val="22"/>
              </w:rPr>
              <w:t xml:space="preserve">-- </w:t>
            </w:r>
            <w:r w:rsidRPr="00367B86">
              <w:rPr>
                <w:rFonts w:asciiTheme="minorHAnsi" w:hAnsiTheme="minorHAnsi" w:cstheme="minorHAnsi"/>
                <w:sz w:val="22"/>
                <w:szCs w:val="22"/>
              </w:rPr>
              <w:t>20</w:t>
            </w:r>
            <w:r>
              <w:rPr>
                <w:rFonts w:asciiTheme="minorHAnsi" w:hAnsiTheme="minorHAnsi" w:cstheme="minorHAnsi"/>
                <w:sz w:val="22"/>
                <w:szCs w:val="22"/>
              </w:rPr>
              <w:t>30</w:t>
            </w:r>
          </w:p>
        </w:tc>
      </w:tr>
      <w:tr w14:paraId="67946D5B" w14:textId="77777777" w:rsidTr="00182FDB">
        <w:tblPrEx>
          <w:tblW w:w="4999" w:type="pct"/>
          <w:tblInd w:w="-72" w:type="dxa"/>
          <w:tblLayout w:type="fixed"/>
          <w:tblLook w:val="04A0"/>
        </w:tblPrEx>
        <w:tc>
          <w:tcPr>
            <w:tcW w:w="2779" w:type="pct"/>
            <w:tcBorders>
              <w:bottom w:val="nil"/>
            </w:tcBorders>
          </w:tcPr>
          <w:p w:rsidR="00716E59" w:rsidRPr="00367B86" w:rsidP="00110D5F" w14:paraId="65BB1F55" w14:textId="7901A5A0">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Briefs, presentations, and other public reports as specified by ACF</w:t>
            </w:r>
          </w:p>
        </w:tc>
        <w:tc>
          <w:tcPr>
            <w:tcW w:w="2221" w:type="pct"/>
            <w:tcBorders>
              <w:bottom w:val="nil"/>
            </w:tcBorders>
            <w:vAlign w:val="center"/>
          </w:tcPr>
          <w:p w:rsidR="00716E59" w:rsidRPr="00367B86" w:rsidP="00110D5F" w14:paraId="56ADE0C3" w14:textId="066C5B3E">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 xml:space="preserve">Ongoing, </w:t>
            </w:r>
            <w:r w:rsidRPr="00367B86" w:rsidR="00DB5966">
              <w:rPr>
                <w:rFonts w:asciiTheme="minorHAnsi" w:hAnsiTheme="minorHAnsi" w:cstheme="minorHAnsi"/>
                <w:sz w:val="22"/>
                <w:szCs w:val="22"/>
              </w:rPr>
              <w:t>202</w:t>
            </w:r>
            <w:r w:rsidR="00DB5966">
              <w:rPr>
                <w:rFonts w:asciiTheme="minorHAnsi" w:hAnsiTheme="minorHAnsi" w:cstheme="minorHAnsi"/>
                <w:sz w:val="22"/>
                <w:szCs w:val="22"/>
              </w:rPr>
              <w:t>6</w:t>
            </w:r>
            <w:r w:rsidRPr="00367B86" w:rsidR="00DB5966">
              <w:rPr>
                <w:rFonts w:asciiTheme="minorHAnsi" w:hAnsiTheme="minorHAnsi" w:cstheme="minorHAnsi"/>
                <w:sz w:val="22"/>
                <w:szCs w:val="22"/>
              </w:rPr>
              <w:t xml:space="preserve"> </w:t>
            </w:r>
            <w:r w:rsidRPr="00367B86">
              <w:rPr>
                <w:rFonts w:asciiTheme="minorHAnsi" w:hAnsiTheme="minorHAnsi" w:cstheme="minorHAnsi"/>
                <w:sz w:val="22"/>
                <w:szCs w:val="22"/>
              </w:rPr>
              <w:t xml:space="preserve">– </w:t>
            </w:r>
            <w:r w:rsidRPr="00367B86" w:rsidR="00DB5966">
              <w:rPr>
                <w:rFonts w:asciiTheme="minorHAnsi" w:hAnsiTheme="minorHAnsi" w:cstheme="minorHAnsi"/>
                <w:sz w:val="22"/>
                <w:szCs w:val="22"/>
              </w:rPr>
              <w:t>20</w:t>
            </w:r>
            <w:r w:rsidR="00DB5966">
              <w:rPr>
                <w:rFonts w:asciiTheme="minorHAnsi" w:hAnsiTheme="minorHAnsi" w:cstheme="minorHAnsi"/>
                <w:sz w:val="22"/>
                <w:szCs w:val="22"/>
              </w:rPr>
              <w:t>30</w:t>
            </w:r>
          </w:p>
        </w:tc>
      </w:tr>
      <w:tr w14:paraId="5AA021D5" w14:textId="77777777" w:rsidTr="00182FDB">
        <w:tblPrEx>
          <w:tblW w:w="4999" w:type="pct"/>
          <w:tblInd w:w="-72" w:type="dxa"/>
          <w:tblLayout w:type="fixed"/>
          <w:tblLook w:val="04A0"/>
        </w:tblPrEx>
        <w:tc>
          <w:tcPr>
            <w:tcW w:w="2779" w:type="pct"/>
            <w:tcBorders>
              <w:bottom w:val="single" w:sz="4" w:space="0" w:color="auto"/>
            </w:tcBorders>
          </w:tcPr>
          <w:p w:rsidR="008D2011" w:rsidRPr="00367B86" w:rsidP="00110D5F" w14:paraId="3FC14C18" w14:textId="011AA202">
            <w:pPr>
              <w:spacing w:before="48" w:beforeLines="20" w:after="48" w:afterLines="20"/>
              <w:rPr>
                <w:rFonts w:asciiTheme="minorHAnsi" w:hAnsiTheme="minorHAnsi" w:cstheme="minorHAnsi"/>
                <w:sz w:val="22"/>
                <w:szCs w:val="22"/>
              </w:rPr>
            </w:pPr>
            <w:r w:rsidRPr="00367B86">
              <w:rPr>
                <w:rFonts w:asciiTheme="minorHAnsi" w:hAnsiTheme="minorHAnsi" w:cstheme="minorHAnsi"/>
                <w:sz w:val="22"/>
                <w:szCs w:val="22"/>
              </w:rPr>
              <w:t>Restricted use file</w:t>
            </w:r>
          </w:p>
        </w:tc>
        <w:tc>
          <w:tcPr>
            <w:tcW w:w="2221" w:type="pct"/>
            <w:tcBorders>
              <w:bottom w:val="nil"/>
            </w:tcBorders>
            <w:vAlign w:val="center"/>
          </w:tcPr>
          <w:p w:rsidR="008D2011" w:rsidRPr="00367B86" w:rsidP="00110D5F" w14:paraId="75911A05" w14:textId="6F146A7D">
            <w:pPr>
              <w:spacing w:before="48" w:beforeLines="20" w:after="48" w:afterLines="20"/>
              <w:jc w:val="center"/>
              <w:rPr>
                <w:rFonts w:asciiTheme="minorHAnsi" w:hAnsiTheme="minorHAnsi" w:cstheme="minorHAnsi"/>
                <w:sz w:val="22"/>
                <w:szCs w:val="22"/>
              </w:rPr>
            </w:pPr>
            <w:r w:rsidRPr="00367B86">
              <w:rPr>
                <w:rFonts w:asciiTheme="minorHAnsi" w:hAnsiTheme="minorHAnsi" w:cstheme="minorHAnsi"/>
                <w:sz w:val="22"/>
                <w:szCs w:val="22"/>
              </w:rPr>
              <w:t>20</w:t>
            </w:r>
            <w:r>
              <w:rPr>
                <w:rFonts w:asciiTheme="minorHAnsi" w:hAnsiTheme="minorHAnsi" w:cstheme="minorHAnsi"/>
                <w:sz w:val="22"/>
                <w:szCs w:val="22"/>
              </w:rPr>
              <w:t>30</w:t>
            </w:r>
          </w:p>
        </w:tc>
      </w:tr>
      <w:bookmarkEnd w:id="15"/>
    </w:tbl>
    <w:p w:rsidR="0074345F" w:rsidRPr="00FB059D" w:rsidP="00110D5F" w14:paraId="79BA3CB0" w14:textId="77777777">
      <w:pPr>
        <w:spacing w:after="0" w:line="240" w:lineRule="auto"/>
        <w:rPr>
          <w:rFonts w:cstheme="minorHAnsi"/>
          <w:sz w:val="20"/>
          <w:szCs w:val="20"/>
        </w:rPr>
      </w:pPr>
    </w:p>
    <w:p w:rsidR="0091696E" w:rsidP="00110D5F" w14:paraId="15716BE5" w14:textId="77777777">
      <w:pPr>
        <w:spacing w:after="120" w:line="240" w:lineRule="auto"/>
        <w:rPr>
          <w:rFonts w:cstheme="minorHAnsi"/>
          <w:b/>
        </w:rPr>
      </w:pPr>
    </w:p>
    <w:p w:rsidR="001D1C73" w:rsidRPr="009139B3" w:rsidP="00110D5F" w14:paraId="48C4ACC5" w14:textId="6B040CF1">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10D5F" w14:paraId="3C24CF91" w14:textId="77777777">
      <w:pPr>
        <w:spacing w:after="0" w:line="240" w:lineRule="auto"/>
      </w:pPr>
      <w:r w:rsidRPr="009139B3">
        <w:t>No exceptions are necessary for this information collection.</w:t>
      </w:r>
    </w:p>
    <w:p w:rsidR="00AE4227" w:rsidRPr="004C4F7A" w:rsidP="00110D5F" w14:paraId="44329F7D" w14:textId="729F795F">
      <w:pPr>
        <w:spacing w:after="0" w:line="240" w:lineRule="auto"/>
      </w:pPr>
      <w:r w:rsidRPr="009139B3">
        <w:tab/>
      </w:r>
    </w:p>
    <w:p w:rsidR="00182FDB" w:rsidP="00110D5F" w14:paraId="2D671299" w14:textId="77777777">
      <w:pPr>
        <w:spacing w:after="120" w:line="240" w:lineRule="auto"/>
        <w:rPr>
          <w:b/>
        </w:rPr>
      </w:pPr>
    </w:p>
    <w:p w:rsidR="001D1C73" w:rsidP="00110D5F" w14:paraId="7BED44AA" w14:textId="093ABCBB">
      <w:pPr>
        <w:spacing w:after="120" w:line="240" w:lineRule="auto"/>
        <w:rPr>
          <w:b/>
        </w:rPr>
      </w:pPr>
      <w:r w:rsidRPr="009139B3">
        <w:rPr>
          <w:b/>
        </w:rPr>
        <w:t>Attachments</w:t>
      </w:r>
    </w:p>
    <w:p w:rsidR="00AB2ECB" w:rsidP="00110D5F" w14:paraId="571807E1" w14:textId="30C8B082">
      <w:pPr>
        <w:spacing w:line="240" w:lineRule="auto"/>
      </w:pPr>
      <w:bookmarkStart w:id="16" w:name="_Hlk53061492"/>
      <w:bookmarkStart w:id="17" w:name="_Hlk53583061"/>
      <w:r>
        <w:t xml:space="preserve">APPENDIX </w:t>
      </w:r>
      <w:r>
        <w:t xml:space="preserve">A: </w:t>
      </w:r>
      <w:r>
        <w:tab/>
      </w:r>
      <w:r w:rsidR="000E526A">
        <w:tab/>
      </w:r>
      <w:r>
        <w:t>L</w:t>
      </w:r>
      <w:r w:rsidR="0001064A">
        <w:t xml:space="preserve">egislative Authority </w:t>
      </w:r>
    </w:p>
    <w:p w:rsidR="00AB2ECB" w:rsidP="00110D5F" w14:paraId="65DB130B" w14:textId="21CA4EF1">
      <w:pPr>
        <w:spacing w:line="240" w:lineRule="auto"/>
      </w:pPr>
      <w:r>
        <w:t>APPENDIX</w:t>
      </w:r>
      <w:r>
        <w:t xml:space="preserve"> </w:t>
      </w:r>
      <w:r w:rsidR="00844A48">
        <w:t>B</w:t>
      </w:r>
      <w:r>
        <w:t>:</w:t>
      </w:r>
      <w:r>
        <w:tab/>
      </w:r>
      <w:r w:rsidR="000E526A">
        <w:tab/>
      </w:r>
      <w:r>
        <w:t>A</w:t>
      </w:r>
      <w:r w:rsidR="0001064A">
        <w:t>ssumptions</w:t>
      </w:r>
      <w:r w:rsidR="0001064A">
        <w:t xml:space="preserve"> for Calculations of Burden Estimates </w:t>
      </w:r>
    </w:p>
    <w:bookmarkEnd w:id="16"/>
    <w:p w:rsidR="00A767EF" w:rsidP="00110D5F" w14:paraId="573DABAF" w14:textId="2203A89E">
      <w:pPr>
        <w:spacing w:line="240" w:lineRule="auto"/>
      </w:pPr>
      <w:r>
        <w:t>APPENDIX C</w:t>
      </w:r>
      <w:r>
        <w:t>:</w:t>
      </w:r>
      <w:r>
        <w:tab/>
      </w:r>
      <w:r>
        <w:tab/>
        <w:t>Justification</w:t>
      </w:r>
      <w:r>
        <w:t xml:space="preserve"> for Collection of Race/Ethnicity Data</w:t>
      </w:r>
    </w:p>
    <w:p w:rsidR="004C36C5" w:rsidP="00110D5F" w14:paraId="41261C23" w14:textId="184CE5B2">
      <w:pPr>
        <w:spacing w:line="240" w:lineRule="auto"/>
      </w:pPr>
      <w:r>
        <w:t>APPENDIX D</w:t>
      </w:r>
      <w:r>
        <w:t>:</w:t>
      </w:r>
      <w:r>
        <w:tab/>
      </w:r>
      <w:r>
        <w:tab/>
        <w:t>Response</w:t>
      </w:r>
      <w:r>
        <w:t xml:space="preserve"> to Public Comments on Federal Register Notice</w:t>
      </w:r>
    </w:p>
    <w:p w:rsidR="00AB2ECB" w:rsidP="00110D5F" w14:paraId="20767154" w14:textId="5DC48560">
      <w:pPr>
        <w:spacing w:line="240" w:lineRule="auto"/>
      </w:pPr>
      <w:r>
        <w:t>Instrument 1</w:t>
      </w:r>
      <w:r w:rsidR="001E6E90">
        <w:t>a</w:t>
      </w:r>
      <w:r>
        <w:t xml:space="preserve">: </w:t>
      </w:r>
      <w:r w:rsidR="000E526A">
        <w:tab/>
      </w:r>
      <w:r w:rsidR="000E526A">
        <w:tab/>
      </w:r>
      <w:r w:rsidR="001E6E90">
        <w:t>Application Form</w:t>
      </w:r>
    </w:p>
    <w:p w:rsidR="001E6E90" w:rsidP="00110D5F" w14:paraId="51C8FEFE" w14:textId="0F045D38">
      <w:pPr>
        <w:spacing w:line="240" w:lineRule="auto"/>
      </w:pPr>
      <w:r>
        <w:t>Instrument 1b</w:t>
      </w:r>
      <w:r>
        <w:t>:</w:t>
      </w:r>
      <w:r>
        <w:tab/>
      </w:r>
      <w:r>
        <w:tab/>
        <w:t>Entrance</w:t>
      </w:r>
      <w:r>
        <w:t xml:space="preserve"> Surveys</w:t>
      </w:r>
    </w:p>
    <w:p w:rsidR="00AB2ECB" w:rsidP="00110D5F" w14:paraId="7AE65F4E" w14:textId="3A5108BD">
      <w:pPr>
        <w:spacing w:line="240" w:lineRule="auto"/>
      </w:pPr>
      <w:r>
        <w:t xml:space="preserve">Instrument 2: </w:t>
      </w:r>
      <w:r w:rsidR="000E526A">
        <w:tab/>
      </w:r>
      <w:r w:rsidR="000E526A">
        <w:tab/>
      </w:r>
      <w:r>
        <w:t>Program Operations</w:t>
      </w:r>
      <w:r w:rsidR="007216C8">
        <w:t xml:space="preserve"> Survey</w:t>
      </w:r>
    </w:p>
    <w:p w:rsidR="00AB2ECB" w:rsidP="00110D5F" w14:paraId="72E33196" w14:textId="2305192D">
      <w:pPr>
        <w:spacing w:line="240" w:lineRule="auto"/>
      </w:pPr>
      <w:r>
        <w:t xml:space="preserve">Instrument 3: </w:t>
      </w:r>
      <w:r w:rsidR="000E526A">
        <w:tab/>
      </w:r>
      <w:r w:rsidR="000E526A">
        <w:tab/>
      </w:r>
      <w:r>
        <w:t xml:space="preserve">Service Delivery Data - </w:t>
      </w:r>
      <w:r>
        <w:t>nFORM</w:t>
      </w:r>
      <w:r>
        <w:t xml:space="preserve"> Service Receipt</w:t>
      </w:r>
    </w:p>
    <w:p w:rsidR="00AB2ECB" w:rsidP="00110D5F" w14:paraId="10F24A3F" w14:textId="289D535D">
      <w:pPr>
        <w:spacing w:line="240" w:lineRule="auto"/>
      </w:pPr>
      <w:r>
        <w:t xml:space="preserve">Instrument 4: </w:t>
      </w:r>
      <w:r w:rsidR="000E526A">
        <w:tab/>
      </w:r>
      <w:r w:rsidR="000E526A">
        <w:tab/>
      </w:r>
      <w:bookmarkStart w:id="18" w:name="_Hlk211842811"/>
      <w:r>
        <w:t xml:space="preserve">Exit Surveys </w:t>
      </w:r>
      <w:bookmarkEnd w:id="18"/>
    </w:p>
    <w:p w:rsidR="00AB2ECB" w:rsidP="00110D5F" w14:paraId="3A170504" w14:textId="75182330">
      <w:pPr>
        <w:spacing w:line="240" w:lineRule="auto"/>
      </w:pPr>
      <w:r>
        <w:t xml:space="preserve">Instrument 5: </w:t>
      </w:r>
      <w:r w:rsidR="000E526A">
        <w:tab/>
      </w:r>
      <w:r w:rsidR="000E526A">
        <w:tab/>
      </w:r>
      <w:r w:rsidR="001C383A">
        <w:t>A</w:t>
      </w:r>
      <w:r>
        <w:t>nnual Performance Progress Report (PPR)</w:t>
      </w:r>
    </w:p>
    <w:bookmarkEnd w:id="17"/>
    <w:p w:rsidR="000B4998" w:rsidRPr="006B53F1" w:rsidP="00110D5F" w14:paraId="728744E6" w14:textId="64DEDCC2">
      <w:pPr>
        <w:spacing w:line="240" w:lineRule="auto"/>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86A8C" w14:paraId="03A5A331" w14:textId="495D1CB7">
        <w:pPr>
          <w:pStyle w:val="Footer"/>
          <w:jc w:val="right"/>
        </w:pPr>
        <w:r>
          <w:fldChar w:fldCharType="begin"/>
        </w:r>
        <w:r>
          <w:instrText xml:space="preserve"> PAGE   \* MERGEFORMAT </w:instrText>
        </w:r>
        <w:r>
          <w:fldChar w:fldCharType="separate"/>
        </w:r>
        <w:r w:rsidR="009D7D89">
          <w:rPr>
            <w:noProof/>
          </w:rPr>
          <w:t>5</w:t>
        </w:r>
        <w:r>
          <w:rPr>
            <w:noProof/>
          </w:rPr>
          <w:fldChar w:fldCharType="end"/>
        </w:r>
      </w:p>
    </w:sdtContent>
  </w:sdt>
  <w:p w:rsidR="00686A8C"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46C7" w:rsidP="0004063C" w14:paraId="07A5B917" w14:textId="77777777">
      <w:pPr>
        <w:spacing w:after="0" w:line="240" w:lineRule="auto"/>
      </w:pPr>
      <w:r>
        <w:separator/>
      </w:r>
    </w:p>
  </w:footnote>
  <w:footnote w:type="continuationSeparator" w:id="1">
    <w:p w:rsidR="00E146C7" w:rsidP="0004063C" w14:paraId="37219037" w14:textId="77777777">
      <w:pPr>
        <w:spacing w:after="0" w:line="240" w:lineRule="auto"/>
      </w:pPr>
      <w:r>
        <w:continuationSeparator/>
      </w:r>
    </w:p>
  </w:footnote>
  <w:footnote w:id="2">
    <w:p w:rsidR="0076633B" w:rsidRPr="00D82755" w:rsidP="0076633B" w14:paraId="347D7D8B"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A8C"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686A8C"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F41632"/>
    <w:multiLevelType w:val="hybridMultilevel"/>
    <w:tmpl w:val="5A7A7A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A7559BD"/>
    <w:multiLevelType w:val="hybridMultilevel"/>
    <w:tmpl w:val="00D07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17047188"/>
    <w:lvl w:ilvl="0">
      <w:start w:val="1"/>
      <w:numFmt w:val="bullet"/>
      <w:pStyle w:val="Dash"/>
      <w:lvlText w:val="-"/>
      <w:lvlJc w:val="left"/>
      <w:pPr>
        <w:ind w:left="1440" w:hanging="360"/>
      </w:pPr>
      <w:rPr>
        <w:rFonts w:ascii="Times New Roman" w:hAnsi="Times New Roman" w:cs="Times New Roman" w:hint="default"/>
      </w:rPr>
    </w:lvl>
    <w:lvl w:ilvl="1">
      <w:start w:val="1"/>
      <w:numFmt w:val="bullet"/>
      <w:lvlText w:val=""/>
      <w:lvlJc w:val="left"/>
      <w:pPr>
        <w:ind w:left="2808" w:hanging="360"/>
      </w:pPr>
      <w:rPr>
        <w:rFonts w:ascii="Wingdings" w:hAnsi="Wingdings" w:hint="default"/>
      </w:rPr>
    </w:lvl>
    <w:lvl w:ilvl="2">
      <w:start w:val="1"/>
      <w:numFmt w:val="bullet"/>
      <w:lvlText w:val=""/>
      <w:lvlJc w:val="left"/>
      <w:pPr>
        <w:ind w:left="3528" w:hanging="360"/>
      </w:pPr>
      <w:rPr>
        <w:rFonts w:ascii="Wingdings" w:hAnsi="Wingdings" w:hint="default"/>
      </w:rPr>
    </w:lvl>
    <w:lvl w:ilvl="3" w:tentative="1">
      <w:start w:val="1"/>
      <w:numFmt w:val="bullet"/>
      <w:lvlText w:val=""/>
      <w:lvlJc w:val="left"/>
      <w:pPr>
        <w:ind w:left="4248" w:hanging="360"/>
      </w:pPr>
      <w:rPr>
        <w:rFonts w:ascii="Symbol" w:hAnsi="Symbol" w:hint="default"/>
      </w:rPr>
    </w:lvl>
    <w:lvl w:ilvl="4" w:tentative="1">
      <w:start w:val="1"/>
      <w:numFmt w:val="bullet"/>
      <w:lvlText w:val="o"/>
      <w:lvlJc w:val="left"/>
      <w:pPr>
        <w:ind w:left="4968" w:hanging="360"/>
      </w:pPr>
      <w:rPr>
        <w:rFonts w:ascii="Courier New" w:hAnsi="Courier New" w:cs="Courier New" w:hint="default"/>
      </w:rPr>
    </w:lvl>
    <w:lvl w:ilvl="5" w:tentative="1">
      <w:start w:val="1"/>
      <w:numFmt w:val="bullet"/>
      <w:lvlText w:val=""/>
      <w:lvlJc w:val="left"/>
      <w:pPr>
        <w:ind w:left="5688" w:hanging="360"/>
      </w:pPr>
      <w:rPr>
        <w:rFonts w:ascii="Wingdings" w:hAnsi="Wingdings" w:hint="default"/>
      </w:rPr>
    </w:lvl>
    <w:lvl w:ilvl="6" w:tentative="1">
      <w:start w:val="1"/>
      <w:numFmt w:val="bullet"/>
      <w:lvlText w:val=""/>
      <w:lvlJc w:val="left"/>
      <w:pPr>
        <w:ind w:left="6408" w:hanging="360"/>
      </w:pPr>
      <w:rPr>
        <w:rFonts w:ascii="Symbol" w:hAnsi="Symbol" w:hint="default"/>
      </w:rPr>
    </w:lvl>
    <w:lvl w:ilvl="7" w:tentative="1">
      <w:start w:val="1"/>
      <w:numFmt w:val="bullet"/>
      <w:lvlText w:val="o"/>
      <w:lvlJc w:val="left"/>
      <w:pPr>
        <w:ind w:left="7128" w:hanging="360"/>
      </w:pPr>
      <w:rPr>
        <w:rFonts w:ascii="Courier New" w:hAnsi="Courier New" w:cs="Courier New" w:hint="default"/>
      </w:rPr>
    </w:lvl>
    <w:lvl w:ilvl="8" w:tentative="1">
      <w:start w:val="1"/>
      <w:numFmt w:val="bullet"/>
      <w:lvlText w:val=""/>
      <w:lvlJc w:val="left"/>
      <w:pPr>
        <w:ind w:left="7848" w:hanging="360"/>
      </w:pPr>
      <w:rPr>
        <w:rFonts w:ascii="Wingdings" w:hAnsi="Wingdings" w:hint="default"/>
      </w:rPr>
    </w:lvl>
  </w:abstractNum>
  <w:abstractNum w:abstractNumId="5">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A5541408"/>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0A799E"/>
    <w:multiLevelType w:val="hybridMultilevel"/>
    <w:tmpl w:val="FA229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625C0E"/>
    <w:multiLevelType w:val="hybridMultilevel"/>
    <w:tmpl w:val="87B0E64E"/>
    <w:lvl w:ilvl="0">
      <w:start w:val="1"/>
      <w:numFmt w:val="bullet"/>
      <w:lvlText w:val=""/>
      <w:lvlJc w:val="left"/>
      <w:pPr>
        <w:ind w:left="1512" w:hanging="360"/>
      </w:pPr>
      <w:rPr>
        <w:rFonts w:ascii="Wingdings" w:hAnsi="Wingdings" w:hint="default"/>
      </w:rPr>
    </w:lvl>
    <w:lvl w:ilvl="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F70FDE"/>
    <w:multiLevelType w:val="hybridMultilevel"/>
    <w:tmpl w:val="CC0A507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1580D"/>
    <w:multiLevelType w:val="hybridMultilevel"/>
    <w:tmpl w:val="5A4A4B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571877F5"/>
    <w:multiLevelType w:val="hybridMultilevel"/>
    <w:tmpl w:val="6C6C0918"/>
    <w:lvl w:ilvl="0">
      <w:start w:val="1"/>
      <w:numFmt w:val="bullet"/>
      <w:lvlText w:val="o"/>
      <w:lvlJc w:val="left"/>
      <w:pPr>
        <w:ind w:left="1152" w:hanging="360"/>
      </w:pPr>
      <w:rPr>
        <w:rFonts w:ascii="Courier New" w:hAnsi="Courier New" w:cs="Courier New"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7930140">
    <w:abstractNumId w:val="8"/>
  </w:num>
  <w:num w:numId="2" w16cid:durableId="161244455">
    <w:abstractNumId w:val="17"/>
  </w:num>
  <w:num w:numId="3" w16cid:durableId="1604071200">
    <w:abstractNumId w:val="6"/>
  </w:num>
  <w:num w:numId="4" w16cid:durableId="1751803837">
    <w:abstractNumId w:val="4"/>
  </w:num>
  <w:num w:numId="5" w16cid:durableId="1269773878">
    <w:abstractNumId w:val="15"/>
  </w:num>
  <w:num w:numId="6" w16cid:durableId="1986278111">
    <w:abstractNumId w:val="9"/>
  </w:num>
  <w:num w:numId="7" w16cid:durableId="1453860967">
    <w:abstractNumId w:val="2"/>
  </w:num>
  <w:num w:numId="8" w16cid:durableId="1921794889">
    <w:abstractNumId w:val="1"/>
  </w:num>
  <w:num w:numId="9" w16cid:durableId="1485271026">
    <w:abstractNumId w:val="7"/>
  </w:num>
  <w:num w:numId="10" w16cid:durableId="1218080664">
    <w:abstractNumId w:val="3"/>
  </w:num>
  <w:num w:numId="11" w16cid:durableId="1221331487">
    <w:abstractNumId w:val="13"/>
  </w:num>
  <w:num w:numId="12" w16cid:durableId="2011785346">
    <w:abstractNumId w:val="12"/>
  </w:num>
  <w:num w:numId="13" w16cid:durableId="1294559951">
    <w:abstractNumId w:val="10"/>
  </w:num>
  <w:num w:numId="14" w16cid:durableId="515578138">
    <w:abstractNumId w:val="16"/>
  </w:num>
  <w:num w:numId="15" w16cid:durableId="1687290196">
    <w:abstractNumId w:val="0"/>
  </w:num>
  <w:num w:numId="16" w16cid:durableId="1139566056">
    <w:abstractNumId w:val="5"/>
  </w:num>
  <w:num w:numId="17" w16cid:durableId="494339474">
    <w:abstractNumId w:val="18"/>
  </w:num>
  <w:num w:numId="18" w16cid:durableId="286275962">
    <w:abstractNumId w:val="8"/>
  </w:num>
  <w:num w:numId="19" w16cid:durableId="1223374152">
    <w:abstractNumId w:val="14"/>
  </w:num>
  <w:num w:numId="20" w16cid:durableId="146468794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80"/>
    <w:rsid w:val="00000D51"/>
    <w:rsid w:val="00005F28"/>
    <w:rsid w:val="00006F02"/>
    <w:rsid w:val="00007F44"/>
    <w:rsid w:val="0001064A"/>
    <w:rsid w:val="00011175"/>
    <w:rsid w:val="0001255D"/>
    <w:rsid w:val="00012BE7"/>
    <w:rsid w:val="000144E5"/>
    <w:rsid w:val="00016694"/>
    <w:rsid w:val="00017761"/>
    <w:rsid w:val="00021A16"/>
    <w:rsid w:val="00027E79"/>
    <w:rsid w:val="0003374D"/>
    <w:rsid w:val="00034CD1"/>
    <w:rsid w:val="00034DA1"/>
    <w:rsid w:val="00035C3C"/>
    <w:rsid w:val="000366B1"/>
    <w:rsid w:val="000379E9"/>
    <w:rsid w:val="0004063C"/>
    <w:rsid w:val="0004247F"/>
    <w:rsid w:val="00043E1E"/>
    <w:rsid w:val="000476BD"/>
    <w:rsid w:val="00050D32"/>
    <w:rsid w:val="00051FC6"/>
    <w:rsid w:val="000524FD"/>
    <w:rsid w:val="0005509F"/>
    <w:rsid w:val="00057CD6"/>
    <w:rsid w:val="00062AFB"/>
    <w:rsid w:val="0006315F"/>
    <w:rsid w:val="000655DD"/>
    <w:rsid w:val="00066DCA"/>
    <w:rsid w:val="00070050"/>
    <w:rsid w:val="000708D4"/>
    <w:rsid w:val="00071F79"/>
    <w:rsid w:val="0007251B"/>
    <w:rsid w:val="000733A5"/>
    <w:rsid w:val="0007371A"/>
    <w:rsid w:val="0007507E"/>
    <w:rsid w:val="00076D0E"/>
    <w:rsid w:val="00077326"/>
    <w:rsid w:val="00082C5B"/>
    <w:rsid w:val="00083227"/>
    <w:rsid w:val="00086CBE"/>
    <w:rsid w:val="00090812"/>
    <w:rsid w:val="00091767"/>
    <w:rsid w:val="000921F0"/>
    <w:rsid w:val="0009771D"/>
    <w:rsid w:val="000A012A"/>
    <w:rsid w:val="000A0DBF"/>
    <w:rsid w:val="000A15FE"/>
    <w:rsid w:val="000A6A6F"/>
    <w:rsid w:val="000A7200"/>
    <w:rsid w:val="000B41FE"/>
    <w:rsid w:val="000B4998"/>
    <w:rsid w:val="000B70B3"/>
    <w:rsid w:val="000B751E"/>
    <w:rsid w:val="000C23AE"/>
    <w:rsid w:val="000C267E"/>
    <w:rsid w:val="000C2738"/>
    <w:rsid w:val="000C3878"/>
    <w:rsid w:val="000C7B48"/>
    <w:rsid w:val="000D0B0E"/>
    <w:rsid w:val="000D0E6A"/>
    <w:rsid w:val="000D1AAE"/>
    <w:rsid w:val="000D2B01"/>
    <w:rsid w:val="000D3CC4"/>
    <w:rsid w:val="000D4E9A"/>
    <w:rsid w:val="000D6AC9"/>
    <w:rsid w:val="000D710E"/>
    <w:rsid w:val="000D77D6"/>
    <w:rsid w:val="000D7D44"/>
    <w:rsid w:val="000E0CCC"/>
    <w:rsid w:val="000E1C1D"/>
    <w:rsid w:val="000E2C04"/>
    <w:rsid w:val="000E36D6"/>
    <w:rsid w:val="000E526A"/>
    <w:rsid w:val="000E5384"/>
    <w:rsid w:val="000E70DB"/>
    <w:rsid w:val="000F1E4A"/>
    <w:rsid w:val="000F3305"/>
    <w:rsid w:val="000F50B3"/>
    <w:rsid w:val="00100D34"/>
    <w:rsid w:val="00101F6C"/>
    <w:rsid w:val="00103EFD"/>
    <w:rsid w:val="0010628A"/>
    <w:rsid w:val="0010654E"/>
    <w:rsid w:val="00107D87"/>
    <w:rsid w:val="00110BD7"/>
    <w:rsid w:val="00110D5F"/>
    <w:rsid w:val="001120AF"/>
    <w:rsid w:val="00114005"/>
    <w:rsid w:val="00114599"/>
    <w:rsid w:val="00115A96"/>
    <w:rsid w:val="00117DA3"/>
    <w:rsid w:val="0012003B"/>
    <w:rsid w:val="00121814"/>
    <w:rsid w:val="001226CA"/>
    <w:rsid w:val="00123518"/>
    <w:rsid w:val="001253F4"/>
    <w:rsid w:val="001256F1"/>
    <w:rsid w:val="00135BF9"/>
    <w:rsid w:val="00135C7A"/>
    <w:rsid w:val="00136A92"/>
    <w:rsid w:val="00137ECA"/>
    <w:rsid w:val="00141CCF"/>
    <w:rsid w:val="00144AED"/>
    <w:rsid w:val="00145740"/>
    <w:rsid w:val="00151D45"/>
    <w:rsid w:val="0015334E"/>
    <w:rsid w:val="00157482"/>
    <w:rsid w:val="001578C0"/>
    <w:rsid w:val="00165B48"/>
    <w:rsid w:val="00167BFF"/>
    <w:rsid w:val="001705DC"/>
    <w:rsid w:val="001707D8"/>
    <w:rsid w:val="00171377"/>
    <w:rsid w:val="001713AF"/>
    <w:rsid w:val="0017189E"/>
    <w:rsid w:val="00175D91"/>
    <w:rsid w:val="00177490"/>
    <w:rsid w:val="001777FA"/>
    <w:rsid w:val="00182167"/>
    <w:rsid w:val="00182FDB"/>
    <w:rsid w:val="0018447E"/>
    <w:rsid w:val="0018717A"/>
    <w:rsid w:val="00190E33"/>
    <w:rsid w:val="00193DBC"/>
    <w:rsid w:val="00197BA7"/>
    <w:rsid w:val="001A1898"/>
    <w:rsid w:val="001A35DA"/>
    <w:rsid w:val="001A59B6"/>
    <w:rsid w:val="001A5F11"/>
    <w:rsid w:val="001A7847"/>
    <w:rsid w:val="001B0A76"/>
    <w:rsid w:val="001B3EF8"/>
    <w:rsid w:val="001C1075"/>
    <w:rsid w:val="001C3441"/>
    <w:rsid w:val="001C383A"/>
    <w:rsid w:val="001C3F78"/>
    <w:rsid w:val="001D1C73"/>
    <w:rsid w:val="001D1ECD"/>
    <w:rsid w:val="001D2B04"/>
    <w:rsid w:val="001D6C66"/>
    <w:rsid w:val="001D7139"/>
    <w:rsid w:val="001E1CA7"/>
    <w:rsid w:val="001E3B5C"/>
    <w:rsid w:val="001E4451"/>
    <w:rsid w:val="001E6E90"/>
    <w:rsid w:val="001F1CD9"/>
    <w:rsid w:val="001F1D0E"/>
    <w:rsid w:val="001F3D51"/>
    <w:rsid w:val="001F57F5"/>
    <w:rsid w:val="001F5BC6"/>
    <w:rsid w:val="001F60B0"/>
    <w:rsid w:val="001F79C7"/>
    <w:rsid w:val="0020139F"/>
    <w:rsid w:val="0020230B"/>
    <w:rsid w:val="0020401C"/>
    <w:rsid w:val="0020629A"/>
    <w:rsid w:val="00206E11"/>
    <w:rsid w:val="00206FE3"/>
    <w:rsid w:val="00207554"/>
    <w:rsid w:val="00211261"/>
    <w:rsid w:val="002124FF"/>
    <w:rsid w:val="00212940"/>
    <w:rsid w:val="0021365F"/>
    <w:rsid w:val="002205C0"/>
    <w:rsid w:val="00222CE9"/>
    <w:rsid w:val="00227B8F"/>
    <w:rsid w:val="00230A82"/>
    <w:rsid w:val="00231A63"/>
    <w:rsid w:val="00232E07"/>
    <w:rsid w:val="00232F17"/>
    <w:rsid w:val="0023586F"/>
    <w:rsid w:val="00237BDD"/>
    <w:rsid w:val="00244DA6"/>
    <w:rsid w:val="002475CC"/>
    <w:rsid w:val="0025048E"/>
    <w:rsid w:val="002517BB"/>
    <w:rsid w:val="00256E24"/>
    <w:rsid w:val="00265491"/>
    <w:rsid w:val="00267AE6"/>
    <w:rsid w:val="0027051B"/>
    <w:rsid w:val="00273185"/>
    <w:rsid w:val="002731AE"/>
    <w:rsid w:val="00276CE2"/>
    <w:rsid w:val="00276D32"/>
    <w:rsid w:val="002845D3"/>
    <w:rsid w:val="00284BD9"/>
    <w:rsid w:val="00287AF1"/>
    <w:rsid w:val="00294DB0"/>
    <w:rsid w:val="002A16C6"/>
    <w:rsid w:val="002A1849"/>
    <w:rsid w:val="002A2E23"/>
    <w:rsid w:val="002A41C6"/>
    <w:rsid w:val="002A6270"/>
    <w:rsid w:val="002A74DC"/>
    <w:rsid w:val="002B44D4"/>
    <w:rsid w:val="002B502B"/>
    <w:rsid w:val="002B785B"/>
    <w:rsid w:val="002C4742"/>
    <w:rsid w:val="002C712E"/>
    <w:rsid w:val="002D0748"/>
    <w:rsid w:val="002D2157"/>
    <w:rsid w:val="002D3BA8"/>
    <w:rsid w:val="002D7B4A"/>
    <w:rsid w:val="002E144E"/>
    <w:rsid w:val="002E1B46"/>
    <w:rsid w:val="002E4401"/>
    <w:rsid w:val="002E6CCF"/>
    <w:rsid w:val="002E6F8F"/>
    <w:rsid w:val="002E7E02"/>
    <w:rsid w:val="002E7E5E"/>
    <w:rsid w:val="002F1770"/>
    <w:rsid w:val="002F2D22"/>
    <w:rsid w:val="002F33D0"/>
    <w:rsid w:val="002F33D9"/>
    <w:rsid w:val="002F3849"/>
    <w:rsid w:val="002F4A84"/>
    <w:rsid w:val="002F6E02"/>
    <w:rsid w:val="002F7DF2"/>
    <w:rsid w:val="00300722"/>
    <w:rsid w:val="00301BE4"/>
    <w:rsid w:val="0030316D"/>
    <w:rsid w:val="00303E20"/>
    <w:rsid w:val="003041F5"/>
    <w:rsid w:val="0030584C"/>
    <w:rsid w:val="00306202"/>
    <w:rsid w:val="003068ED"/>
    <w:rsid w:val="003071A0"/>
    <w:rsid w:val="00313980"/>
    <w:rsid w:val="00313D07"/>
    <w:rsid w:val="00314E54"/>
    <w:rsid w:val="00314F5D"/>
    <w:rsid w:val="0031673E"/>
    <w:rsid w:val="00320670"/>
    <w:rsid w:val="00321EDD"/>
    <w:rsid w:val="00322914"/>
    <w:rsid w:val="00332951"/>
    <w:rsid w:val="00336AC3"/>
    <w:rsid w:val="00342059"/>
    <w:rsid w:val="00343252"/>
    <w:rsid w:val="003526CB"/>
    <w:rsid w:val="00354B5C"/>
    <w:rsid w:val="003609AA"/>
    <w:rsid w:val="00360FEB"/>
    <w:rsid w:val="00364870"/>
    <w:rsid w:val="00365A1C"/>
    <w:rsid w:val="00367B86"/>
    <w:rsid w:val="00367C64"/>
    <w:rsid w:val="003708F9"/>
    <w:rsid w:val="0037318F"/>
    <w:rsid w:val="00373D2F"/>
    <w:rsid w:val="0037546C"/>
    <w:rsid w:val="00375971"/>
    <w:rsid w:val="0038311D"/>
    <w:rsid w:val="00384D11"/>
    <w:rsid w:val="00392FAB"/>
    <w:rsid w:val="00392FB0"/>
    <w:rsid w:val="003941AE"/>
    <w:rsid w:val="00394E7D"/>
    <w:rsid w:val="00396454"/>
    <w:rsid w:val="0039658B"/>
    <w:rsid w:val="00396A04"/>
    <w:rsid w:val="00397E8C"/>
    <w:rsid w:val="003A13D7"/>
    <w:rsid w:val="003A4D64"/>
    <w:rsid w:val="003A7774"/>
    <w:rsid w:val="003B3AED"/>
    <w:rsid w:val="003B43CC"/>
    <w:rsid w:val="003B47B0"/>
    <w:rsid w:val="003B56C9"/>
    <w:rsid w:val="003B617C"/>
    <w:rsid w:val="003B759B"/>
    <w:rsid w:val="003C088F"/>
    <w:rsid w:val="003C20A7"/>
    <w:rsid w:val="003C5C24"/>
    <w:rsid w:val="003C7017"/>
    <w:rsid w:val="003C7358"/>
    <w:rsid w:val="003C7A9E"/>
    <w:rsid w:val="003C7B28"/>
    <w:rsid w:val="003D05AD"/>
    <w:rsid w:val="003D1398"/>
    <w:rsid w:val="003D154B"/>
    <w:rsid w:val="003D2918"/>
    <w:rsid w:val="003D4881"/>
    <w:rsid w:val="003D56AE"/>
    <w:rsid w:val="003D6D0C"/>
    <w:rsid w:val="003D7091"/>
    <w:rsid w:val="003D7728"/>
    <w:rsid w:val="003E1888"/>
    <w:rsid w:val="003E3367"/>
    <w:rsid w:val="003E4288"/>
    <w:rsid w:val="003E4426"/>
    <w:rsid w:val="003E5950"/>
    <w:rsid w:val="003E61F6"/>
    <w:rsid w:val="003F0850"/>
    <w:rsid w:val="003F736A"/>
    <w:rsid w:val="00404C96"/>
    <w:rsid w:val="00405BA0"/>
    <w:rsid w:val="00407537"/>
    <w:rsid w:val="00407DA1"/>
    <w:rsid w:val="004145B2"/>
    <w:rsid w:val="004160BF"/>
    <w:rsid w:val="00416380"/>
    <w:rsid w:val="004165BD"/>
    <w:rsid w:val="004201B0"/>
    <w:rsid w:val="004202F0"/>
    <w:rsid w:val="00421821"/>
    <w:rsid w:val="0042220D"/>
    <w:rsid w:val="0042408E"/>
    <w:rsid w:val="0042444F"/>
    <w:rsid w:val="0042641E"/>
    <w:rsid w:val="00426799"/>
    <w:rsid w:val="00427E56"/>
    <w:rsid w:val="0043377A"/>
    <w:rsid w:val="0043728F"/>
    <w:rsid w:val="004379B6"/>
    <w:rsid w:val="0044428E"/>
    <w:rsid w:val="00446465"/>
    <w:rsid w:val="004512C2"/>
    <w:rsid w:val="00452207"/>
    <w:rsid w:val="00455D7B"/>
    <w:rsid w:val="00456CD7"/>
    <w:rsid w:val="00460D54"/>
    <w:rsid w:val="0046143E"/>
    <w:rsid w:val="00461476"/>
    <w:rsid w:val="00461D3E"/>
    <w:rsid w:val="0046460A"/>
    <w:rsid w:val="004706CC"/>
    <w:rsid w:val="004709C3"/>
    <w:rsid w:val="0047719C"/>
    <w:rsid w:val="00480913"/>
    <w:rsid w:val="0048593B"/>
    <w:rsid w:val="00491499"/>
    <w:rsid w:val="004B30CA"/>
    <w:rsid w:val="004B5516"/>
    <w:rsid w:val="004B60F7"/>
    <w:rsid w:val="004B75AC"/>
    <w:rsid w:val="004C3644"/>
    <w:rsid w:val="004C36C5"/>
    <w:rsid w:val="004C3BB0"/>
    <w:rsid w:val="004C4B1F"/>
    <w:rsid w:val="004C4F7A"/>
    <w:rsid w:val="004D0E99"/>
    <w:rsid w:val="004D12DD"/>
    <w:rsid w:val="004D5EF7"/>
    <w:rsid w:val="004E5778"/>
    <w:rsid w:val="004E6A45"/>
    <w:rsid w:val="004E7ED8"/>
    <w:rsid w:val="004F05C6"/>
    <w:rsid w:val="004F4EF8"/>
    <w:rsid w:val="004F5AF8"/>
    <w:rsid w:val="004F7464"/>
    <w:rsid w:val="00503474"/>
    <w:rsid w:val="0050375F"/>
    <w:rsid w:val="0050376D"/>
    <w:rsid w:val="00504605"/>
    <w:rsid w:val="00505504"/>
    <w:rsid w:val="0050711A"/>
    <w:rsid w:val="00511F25"/>
    <w:rsid w:val="00512A67"/>
    <w:rsid w:val="00512C25"/>
    <w:rsid w:val="005238BE"/>
    <w:rsid w:val="00523B27"/>
    <w:rsid w:val="00524873"/>
    <w:rsid w:val="00524DB5"/>
    <w:rsid w:val="00525029"/>
    <w:rsid w:val="005302CB"/>
    <w:rsid w:val="00537F85"/>
    <w:rsid w:val="005405D0"/>
    <w:rsid w:val="00544F3C"/>
    <w:rsid w:val="00546DED"/>
    <w:rsid w:val="00550826"/>
    <w:rsid w:val="00552839"/>
    <w:rsid w:val="0055434C"/>
    <w:rsid w:val="00554A45"/>
    <w:rsid w:val="00554E33"/>
    <w:rsid w:val="00560F05"/>
    <w:rsid w:val="005611DC"/>
    <w:rsid w:val="005674FB"/>
    <w:rsid w:val="00567621"/>
    <w:rsid w:val="005748E7"/>
    <w:rsid w:val="0057789A"/>
    <w:rsid w:val="005806AD"/>
    <w:rsid w:val="0058134D"/>
    <w:rsid w:val="00584900"/>
    <w:rsid w:val="00587523"/>
    <w:rsid w:val="00591283"/>
    <w:rsid w:val="00591B57"/>
    <w:rsid w:val="005927EB"/>
    <w:rsid w:val="005932E5"/>
    <w:rsid w:val="0059384A"/>
    <w:rsid w:val="00594029"/>
    <w:rsid w:val="00595F1A"/>
    <w:rsid w:val="005A60DB"/>
    <w:rsid w:val="005A61CE"/>
    <w:rsid w:val="005A7E5A"/>
    <w:rsid w:val="005A7E8A"/>
    <w:rsid w:val="005B1285"/>
    <w:rsid w:val="005B1410"/>
    <w:rsid w:val="005B48E3"/>
    <w:rsid w:val="005B6EA0"/>
    <w:rsid w:val="005C06C2"/>
    <w:rsid w:val="005C23EC"/>
    <w:rsid w:val="005C34FA"/>
    <w:rsid w:val="005C5660"/>
    <w:rsid w:val="005C6D1A"/>
    <w:rsid w:val="005C6EB6"/>
    <w:rsid w:val="005D40B8"/>
    <w:rsid w:val="005D4A40"/>
    <w:rsid w:val="005E2A96"/>
    <w:rsid w:val="005E3F66"/>
    <w:rsid w:val="005E493B"/>
    <w:rsid w:val="005E4F6E"/>
    <w:rsid w:val="005F0DF8"/>
    <w:rsid w:val="005F2951"/>
    <w:rsid w:val="005F5850"/>
    <w:rsid w:val="005F7A4C"/>
    <w:rsid w:val="0060157E"/>
    <w:rsid w:val="0060341A"/>
    <w:rsid w:val="0061278C"/>
    <w:rsid w:val="006134F0"/>
    <w:rsid w:val="006164F6"/>
    <w:rsid w:val="0062004B"/>
    <w:rsid w:val="006222F9"/>
    <w:rsid w:val="0062306A"/>
    <w:rsid w:val="00624DDC"/>
    <w:rsid w:val="006253B6"/>
    <w:rsid w:val="006257ED"/>
    <w:rsid w:val="0062686E"/>
    <w:rsid w:val="00630B30"/>
    <w:rsid w:val="00630DBA"/>
    <w:rsid w:val="006316A8"/>
    <w:rsid w:val="00631A0C"/>
    <w:rsid w:val="0063448E"/>
    <w:rsid w:val="006351B4"/>
    <w:rsid w:val="006351BA"/>
    <w:rsid w:val="00637981"/>
    <w:rsid w:val="00637EAF"/>
    <w:rsid w:val="006446B5"/>
    <w:rsid w:val="00646062"/>
    <w:rsid w:val="00646355"/>
    <w:rsid w:val="00647F04"/>
    <w:rsid w:val="00651859"/>
    <w:rsid w:val="00651FF6"/>
    <w:rsid w:val="0066063A"/>
    <w:rsid w:val="006619FB"/>
    <w:rsid w:val="00663A20"/>
    <w:rsid w:val="00664575"/>
    <w:rsid w:val="0067252E"/>
    <w:rsid w:val="00676265"/>
    <w:rsid w:val="00676FCA"/>
    <w:rsid w:val="00680612"/>
    <w:rsid w:val="0068127C"/>
    <w:rsid w:val="0068303E"/>
    <w:rsid w:val="0068383E"/>
    <w:rsid w:val="00686A8C"/>
    <w:rsid w:val="00693553"/>
    <w:rsid w:val="006941EC"/>
    <w:rsid w:val="006941F2"/>
    <w:rsid w:val="00697501"/>
    <w:rsid w:val="00697FB5"/>
    <w:rsid w:val="006A300F"/>
    <w:rsid w:val="006A34DC"/>
    <w:rsid w:val="006A4A1D"/>
    <w:rsid w:val="006A4AC9"/>
    <w:rsid w:val="006A4D02"/>
    <w:rsid w:val="006A60BC"/>
    <w:rsid w:val="006A61A6"/>
    <w:rsid w:val="006A6AD1"/>
    <w:rsid w:val="006A73D9"/>
    <w:rsid w:val="006B1BF9"/>
    <w:rsid w:val="006B31DA"/>
    <w:rsid w:val="006B53F1"/>
    <w:rsid w:val="006B6037"/>
    <w:rsid w:val="006B6D61"/>
    <w:rsid w:val="006C0E56"/>
    <w:rsid w:val="006C1245"/>
    <w:rsid w:val="006C48E4"/>
    <w:rsid w:val="006C5AA0"/>
    <w:rsid w:val="006D3C5C"/>
    <w:rsid w:val="006D408E"/>
    <w:rsid w:val="006D5D0A"/>
    <w:rsid w:val="006D722B"/>
    <w:rsid w:val="006E2902"/>
    <w:rsid w:val="006E3501"/>
    <w:rsid w:val="006E4F82"/>
    <w:rsid w:val="006E6509"/>
    <w:rsid w:val="006F00C7"/>
    <w:rsid w:val="006F0344"/>
    <w:rsid w:val="006F0E9C"/>
    <w:rsid w:val="006F0F13"/>
    <w:rsid w:val="006F271D"/>
    <w:rsid w:val="006F515D"/>
    <w:rsid w:val="006F5C61"/>
    <w:rsid w:val="006F6FD2"/>
    <w:rsid w:val="0070045A"/>
    <w:rsid w:val="007031BD"/>
    <w:rsid w:val="00707039"/>
    <w:rsid w:val="00714A58"/>
    <w:rsid w:val="00715B86"/>
    <w:rsid w:val="007165DE"/>
    <w:rsid w:val="007168C6"/>
    <w:rsid w:val="00716E59"/>
    <w:rsid w:val="00717BDC"/>
    <w:rsid w:val="007216C8"/>
    <w:rsid w:val="0072214D"/>
    <w:rsid w:val="007222BB"/>
    <w:rsid w:val="00723143"/>
    <w:rsid w:val="00723A28"/>
    <w:rsid w:val="00723D3A"/>
    <w:rsid w:val="00724621"/>
    <w:rsid w:val="007266C8"/>
    <w:rsid w:val="00730ED3"/>
    <w:rsid w:val="00731140"/>
    <w:rsid w:val="00731FFC"/>
    <w:rsid w:val="007331F5"/>
    <w:rsid w:val="00735A62"/>
    <w:rsid w:val="00736B62"/>
    <w:rsid w:val="00737EFF"/>
    <w:rsid w:val="00741856"/>
    <w:rsid w:val="00741990"/>
    <w:rsid w:val="007419D9"/>
    <w:rsid w:val="00742096"/>
    <w:rsid w:val="00742AF2"/>
    <w:rsid w:val="0074345F"/>
    <w:rsid w:val="00745D6B"/>
    <w:rsid w:val="007502E0"/>
    <w:rsid w:val="00751230"/>
    <w:rsid w:val="00756AE7"/>
    <w:rsid w:val="00756F74"/>
    <w:rsid w:val="00762A2A"/>
    <w:rsid w:val="0076354E"/>
    <w:rsid w:val="00764C85"/>
    <w:rsid w:val="00765113"/>
    <w:rsid w:val="0076633B"/>
    <w:rsid w:val="007668B0"/>
    <w:rsid w:val="00771798"/>
    <w:rsid w:val="00772FED"/>
    <w:rsid w:val="00774675"/>
    <w:rsid w:val="00774BC6"/>
    <w:rsid w:val="00776543"/>
    <w:rsid w:val="00780062"/>
    <w:rsid w:val="00780975"/>
    <w:rsid w:val="007816B3"/>
    <w:rsid w:val="00787DF8"/>
    <w:rsid w:val="007914D2"/>
    <w:rsid w:val="00793E3E"/>
    <w:rsid w:val="007976D3"/>
    <w:rsid w:val="007A22FD"/>
    <w:rsid w:val="007A29C5"/>
    <w:rsid w:val="007A34CD"/>
    <w:rsid w:val="007B2A9C"/>
    <w:rsid w:val="007B2FB7"/>
    <w:rsid w:val="007C1876"/>
    <w:rsid w:val="007C4D4D"/>
    <w:rsid w:val="007C5F93"/>
    <w:rsid w:val="007C7B4B"/>
    <w:rsid w:val="007D1BFE"/>
    <w:rsid w:val="007D2ADA"/>
    <w:rsid w:val="007D3592"/>
    <w:rsid w:val="007D39F0"/>
    <w:rsid w:val="007D5CAA"/>
    <w:rsid w:val="007D6FF4"/>
    <w:rsid w:val="007D7BC8"/>
    <w:rsid w:val="007E3671"/>
    <w:rsid w:val="007F2FDC"/>
    <w:rsid w:val="007F4C26"/>
    <w:rsid w:val="007F54F2"/>
    <w:rsid w:val="007F7067"/>
    <w:rsid w:val="008020A1"/>
    <w:rsid w:val="00803908"/>
    <w:rsid w:val="0080644A"/>
    <w:rsid w:val="00806F09"/>
    <w:rsid w:val="0081523B"/>
    <w:rsid w:val="00815617"/>
    <w:rsid w:val="00823428"/>
    <w:rsid w:val="00824944"/>
    <w:rsid w:val="00832183"/>
    <w:rsid w:val="008369BA"/>
    <w:rsid w:val="00837530"/>
    <w:rsid w:val="00840D32"/>
    <w:rsid w:val="00841333"/>
    <w:rsid w:val="00843933"/>
    <w:rsid w:val="00844A48"/>
    <w:rsid w:val="00846E8E"/>
    <w:rsid w:val="00851D81"/>
    <w:rsid w:val="00852394"/>
    <w:rsid w:val="00853492"/>
    <w:rsid w:val="00861268"/>
    <w:rsid w:val="008623DF"/>
    <w:rsid w:val="00864C1F"/>
    <w:rsid w:val="008669FA"/>
    <w:rsid w:val="00867605"/>
    <w:rsid w:val="00867AA6"/>
    <w:rsid w:val="00870500"/>
    <w:rsid w:val="00870FA1"/>
    <w:rsid w:val="00871E19"/>
    <w:rsid w:val="008721C9"/>
    <w:rsid w:val="008746CF"/>
    <w:rsid w:val="008748CA"/>
    <w:rsid w:val="00875220"/>
    <w:rsid w:val="00876D1E"/>
    <w:rsid w:val="00876E39"/>
    <w:rsid w:val="00882C87"/>
    <w:rsid w:val="00884624"/>
    <w:rsid w:val="00891CD9"/>
    <w:rsid w:val="00895980"/>
    <w:rsid w:val="008966FA"/>
    <w:rsid w:val="00897ED2"/>
    <w:rsid w:val="008A0C27"/>
    <w:rsid w:val="008A25E9"/>
    <w:rsid w:val="008A2C16"/>
    <w:rsid w:val="008A3744"/>
    <w:rsid w:val="008A3873"/>
    <w:rsid w:val="008A5ABB"/>
    <w:rsid w:val="008B0D38"/>
    <w:rsid w:val="008B3A79"/>
    <w:rsid w:val="008B3A7D"/>
    <w:rsid w:val="008B639C"/>
    <w:rsid w:val="008C1652"/>
    <w:rsid w:val="008C420E"/>
    <w:rsid w:val="008C657D"/>
    <w:rsid w:val="008C7839"/>
    <w:rsid w:val="008D2011"/>
    <w:rsid w:val="008D4A1F"/>
    <w:rsid w:val="008D4BB6"/>
    <w:rsid w:val="008D7E6A"/>
    <w:rsid w:val="008E0239"/>
    <w:rsid w:val="008E3756"/>
    <w:rsid w:val="008E4386"/>
    <w:rsid w:val="008E4617"/>
    <w:rsid w:val="008E4718"/>
    <w:rsid w:val="008E50F3"/>
    <w:rsid w:val="008E544A"/>
    <w:rsid w:val="008F1E1B"/>
    <w:rsid w:val="008F2446"/>
    <w:rsid w:val="008F3576"/>
    <w:rsid w:val="00901040"/>
    <w:rsid w:val="009014E0"/>
    <w:rsid w:val="0090168C"/>
    <w:rsid w:val="009039E3"/>
    <w:rsid w:val="009054F5"/>
    <w:rsid w:val="00905FC7"/>
    <w:rsid w:val="00906018"/>
    <w:rsid w:val="009076B6"/>
    <w:rsid w:val="00907C3A"/>
    <w:rsid w:val="00907D97"/>
    <w:rsid w:val="0091142E"/>
    <w:rsid w:val="009139B3"/>
    <w:rsid w:val="0091424A"/>
    <w:rsid w:val="0091696E"/>
    <w:rsid w:val="009176B7"/>
    <w:rsid w:val="00921BEE"/>
    <w:rsid w:val="00923785"/>
    <w:rsid w:val="00923F25"/>
    <w:rsid w:val="009245DA"/>
    <w:rsid w:val="00924FE0"/>
    <w:rsid w:val="0092518D"/>
    <w:rsid w:val="00925D64"/>
    <w:rsid w:val="00926F4B"/>
    <w:rsid w:val="00932C93"/>
    <w:rsid w:val="00932E8C"/>
    <w:rsid w:val="00936976"/>
    <w:rsid w:val="009379F9"/>
    <w:rsid w:val="00941A59"/>
    <w:rsid w:val="00942FBF"/>
    <w:rsid w:val="009449D7"/>
    <w:rsid w:val="009472A9"/>
    <w:rsid w:val="009505C6"/>
    <w:rsid w:val="00953466"/>
    <w:rsid w:val="0095491F"/>
    <w:rsid w:val="00955796"/>
    <w:rsid w:val="00963503"/>
    <w:rsid w:val="00963B67"/>
    <w:rsid w:val="00963BE8"/>
    <w:rsid w:val="00963C80"/>
    <w:rsid w:val="00965DBD"/>
    <w:rsid w:val="00971944"/>
    <w:rsid w:val="00971E55"/>
    <w:rsid w:val="009724CF"/>
    <w:rsid w:val="00973358"/>
    <w:rsid w:val="00973ECF"/>
    <w:rsid w:val="009808E8"/>
    <w:rsid w:val="009815C6"/>
    <w:rsid w:val="00981F28"/>
    <w:rsid w:val="009836D1"/>
    <w:rsid w:val="00985832"/>
    <w:rsid w:val="00986041"/>
    <w:rsid w:val="00986E2D"/>
    <w:rsid w:val="00992874"/>
    <w:rsid w:val="00992F7D"/>
    <w:rsid w:val="00996201"/>
    <w:rsid w:val="009A10EE"/>
    <w:rsid w:val="009A1639"/>
    <w:rsid w:val="009A18FC"/>
    <w:rsid w:val="009A2DA5"/>
    <w:rsid w:val="009A39E1"/>
    <w:rsid w:val="009A3AD8"/>
    <w:rsid w:val="009A6EE8"/>
    <w:rsid w:val="009B0DBE"/>
    <w:rsid w:val="009B0F58"/>
    <w:rsid w:val="009B35DF"/>
    <w:rsid w:val="009B5AB9"/>
    <w:rsid w:val="009C0792"/>
    <w:rsid w:val="009C3380"/>
    <w:rsid w:val="009C36DB"/>
    <w:rsid w:val="009C7594"/>
    <w:rsid w:val="009D04BC"/>
    <w:rsid w:val="009D2E59"/>
    <w:rsid w:val="009D31E5"/>
    <w:rsid w:val="009D3572"/>
    <w:rsid w:val="009D57C6"/>
    <w:rsid w:val="009D75EF"/>
    <w:rsid w:val="009D7D89"/>
    <w:rsid w:val="009E20BB"/>
    <w:rsid w:val="009E417A"/>
    <w:rsid w:val="009E59BC"/>
    <w:rsid w:val="009E686E"/>
    <w:rsid w:val="009E7046"/>
    <w:rsid w:val="009E7E38"/>
    <w:rsid w:val="009F265B"/>
    <w:rsid w:val="009F3EDD"/>
    <w:rsid w:val="009F482C"/>
    <w:rsid w:val="009F68DB"/>
    <w:rsid w:val="009F6CCC"/>
    <w:rsid w:val="00A023DC"/>
    <w:rsid w:val="00A03E3F"/>
    <w:rsid w:val="00A1108E"/>
    <w:rsid w:val="00A116FB"/>
    <w:rsid w:val="00A127D1"/>
    <w:rsid w:val="00A13698"/>
    <w:rsid w:val="00A16918"/>
    <w:rsid w:val="00A17305"/>
    <w:rsid w:val="00A178F9"/>
    <w:rsid w:val="00A21AF4"/>
    <w:rsid w:val="00A21D08"/>
    <w:rsid w:val="00A27CD0"/>
    <w:rsid w:val="00A3090D"/>
    <w:rsid w:val="00A321C6"/>
    <w:rsid w:val="00A3434B"/>
    <w:rsid w:val="00A35F60"/>
    <w:rsid w:val="00A362B6"/>
    <w:rsid w:val="00A50831"/>
    <w:rsid w:val="00A51509"/>
    <w:rsid w:val="00A52EFA"/>
    <w:rsid w:val="00A5549F"/>
    <w:rsid w:val="00A5588E"/>
    <w:rsid w:val="00A55F3F"/>
    <w:rsid w:val="00A57660"/>
    <w:rsid w:val="00A6475F"/>
    <w:rsid w:val="00A67DFF"/>
    <w:rsid w:val="00A700AD"/>
    <w:rsid w:val="00A71475"/>
    <w:rsid w:val="00A714DC"/>
    <w:rsid w:val="00A7179C"/>
    <w:rsid w:val="00A76034"/>
    <w:rsid w:val="00A761CB"/>
    <w:rsid w:val="00A767EF"/>
    <w:rsid w:val="00A76CEE"/>
    <w:rsid w:val="00A8474D"/>
    <w:rsid w:val="00A85701"/>
    <w:rsid w:val="00A86C62"/>
    <w:rsid w:val="00A86C64"/>
    <w:rsid w:val="00A90028"/>
    <w:rsid w:val="00A90318"/>
    <w:rsid w:val="00A90DFA"/>
    <w:rsid w:val="00A90F45"/>
    <w:rsid w:val="00A928CE"/>
    <w:rsid w:val="00A93035"/>
    <w:rsid w:val="00A951F7"/>
    <w:rsid w:val="00A9536C"/>
    <w:rsid w:val="00A9697F"/>
    <w:rsid w:val="00A96D59"/>
    <w:rsid w:val="00AA384E"/>
    <w:rsid w:val="00AA3F89"/>
    <w:rsid w:val="00AA4CB3"/>
    <w:rsid w:val="00AA63E9"/>
    <w:rsid w:val="00AA652A"/>
    <w:rsid w:val="00AA72C3"/>
    <w:rsid w:val="00AB19EE"/>
    <w:rsid w:val="00AB2ECB"/>
    <w:rsid w:val="00AB3BBB"/>
    <w:rsid w:val="00AB7B65"/>
    <w:rsid w:val="00AC2486"/>
    <w:rsid w:val="00AC2B23"/>
    <w:rsid w:val="00AC3A19"/>
    <w:rsid w:val="00AC5CA5"/>
    <w:rsid w:val="00AC7F54"/>
    <w:rsid w:val="00AD0BF5"/>
    <w:rsid w:val="00AD233F"/>
    <w:rsid w:val="00AD3188"/>
    <w:rsid w:val="00AD3261"/>
    <w:rsid w:val="00AD4355"/>
    <w:rsid w:val="00AD5664"/>
    <w:rsid w:val="00AD59EF"/>
    <w:rsid w:val="00AD5E02"/>
    <w:rsid w:val="00AE1F94"/>
    <w:rsid w:val="00AE24AE"/>
    <w:rsid w:val="00AE27F3"/>
    <w:rsid w:val="00AE3F5F"/>
    <w:rsid w:val="00AE4227"/>
    <w:rsid w:val="00AE430E"/>
    <w:rsid w:val="00AE7F19"/>
    <w:rsid w:val="00AF3607"/>
    <w:rsid w:val="00AF44A1"/>
    <w:rsid w:val="00AF4E83"/>
    <w:rsid w:val="00AF7419"/>
    <w:rsid w:val="00B01075"/>
    <w:rsid w:val="00B0438B"/>
    <w:rsid w:val="00B06963"/>
    <w:rsid w:val="00B110E0"/>
    <w:rsid w:val="00B11AA7"/>
    <w:rsid w:val="00B121A2"/>
    <w:rsid w:val="00B13DC4"/>
    <w:rsid w:val="00B156AF"/>
    <w:rsid w:val="00B17B7C"/>
    <w:rsid w:val="00B17C92"/>
    <w:rsid w:val="00B210F8"/>
    <w:rsid w:val="00B21279"/>
    <w:rsid w:val="00B21326"/>
    <w:rsid w:val="00B23277"/>
    <w:rsid w:val="00B245AD"/>
    <w:rsid w:val="00B254BC"/>
    <w:rsid w:val="00B26768"/>
    <w:rsid w:val="00B26EF4"/>
    <w:rsid w:val="00B30B0B"/>
    <w:rsid w:val="00B30B6F"/>
    <w:rsid w:val="00B31DB8"/>
    <w:rsid w:val="00B32EE7"/>
    <w:rsid w:val="00B36444"/>
    <w:rsid w:val="00B40913"/>
    <w:rsid w:val="00B41345"/>
    <w:rsid w:val="00B4182B"/>
    <w:rsid w:val="00B43013"/>
    <w:rsid w:val="00B43B2A"/>
    <w:rsid w:val="00B50DF0"/>
    <w:rsid w:val="00B53225"/>
    <w:rsid w:val="00B55E54"/>
    <w:rsid w:val="00B55F29"/>
    <w:rsid w:val="00B56589"/>
    <w:rsid w:val="00B56AD8"/>
    <w:rsid w:val="00B571F6"/>
    <w:rsid w:val="00B64BEF"/>
    <w:rsid w:val="00B64D05"/>
    <w:rsid w:val="00B66A25"/>
    <w:rsid w:val="00B66AAC"/>
    <w:rsid w:val="00B67359"/>
    <w:rsid w:val="00B67412"/>
    <w:rsid w:val="00B70460"/>
    <w:rsid w:val="00B72413"/>
    <w:rsid w:val="00B75B05"/>
    <w:rsid w:val="00B769D4"/>
    <w:rsid w:val="00B76D41"/>
    <w:rsid w:val="00B804F9"/>
    <w:rsid w:val="00B823C9"/>
    <w:rsid w:val="00B82CD2"/>
    <w:rsid w:val="00B84370"/>
    <w:rsid w:val="00B93BFA"/>
    <w:rsid w:val="00B9441B"/>
    <w:rsid w:val="00B945A6"/>
    <w:rsid w:val="00B96B7D"/>
    <w:rsid w:val="00BA111C"/>
    <w:rsid w:val="00BA5034"/>
    <w:rsid w:val="00BA7B97"/>
    <w:rsid w:val="00BB0E74"/>
    <w:rsid w:val="00BB2A80"/>
    <w:rsid w:val="00BB2A8A"/>
    <w:rsid w:val="00BB4BF8"/>
    <w:rsid w:val="00BB5CA4"/>
    <w:rsid w:val="00BC351C"/>
    <w:rsid w:val="00BC40C4"/>
    <w:rsid w:val="00BC68E8"/>
    <w:rsid w:val="00BD0BA8"/>
    <w:rsid w:val="00BD501C"/>
    <w:rsid w:val="00BD702B"/>
    <w:rsid w:val="00BD7B78"/>
    <w:rsid w:val="00BE1B89"/>
    <w:rsid w:val="00BE20BF"/>
    <w:rsid w:val="00BE37EB"/>
    <w:rsid w:val="00BE5106"/>
    <w:rsid w:val="00BE6BF1"/>
    <w:rsid w:val="00BE773B"/>
    <w:rsid w:val="00BE78E6"/>
    <w:rsid w:val="00BF0398"/>
    <w:rsid w:val="00BF1C59"/>
    <w:rsid w:val="00BF3068"/>
    <w:rsid w:val="00BF53E8"/>
    <w:rsid w:val="00BF7658"/>
    <w:rsid w:val="00C05352"/>
    <w:rsid w:val="00C06FB3"/>
    <w:rsid w:val="00C105DD"/>
    <w:rsid w:val="00C2001A"/>
    <w:rsid w:val="00C20432"/>
    <w:rsid w:val="00C20570"/>
    <w:rsid w:val="00C209F4"/>
    <w:rsid w:val="00C25413"/>
    <w:rsid w:val="00C312B8"/>
    <w:rsid w:val="00C32404"/>
    <w:rsid w:val="00C36424"/>
    <w:rsid w:val="00C36D6D"/>
    <w:rsid w:val="00C459E0"/>
    <w:rsid w:val="00C513A5"/>
    <w:rsid w:val="00C54F6C"/>
    <w:rsid w:val="00C55A9C"/>
    <w:rsid w:val="00C60240"/>
    <w:rsid w:val="00C61D32"/>
    <w:rsid w:val="00C62A96"/>
    <w:rsid w:val="00C709A1"/>
    <w:rsid w:val="00C711CC"/>
    <w:rsid w:val="00C71E5D"/>
    <w:rsid w:val="00C728FC"/>
    <w:rsid w:val="00C73360"/>
    <w:rsid w:val="00C738F3"/>
    <w:rsid w:val="00C74E64"/>
    <w:rsid w:val="00C76A47"/>
    <w:rsid w:val="00C76EF8"/>
    <w:rsid w:val="00C86CB2"/>
    <w:rsid w:val="00C872B9"/>
    <w:rsid w:val="00C91C71"/>
    <w:rsid w:val="00C95126"/>
    <w:rsid w:val="00C96071"/>
    <w:rsid w:val="00C96940"/>
    <w:rsid w:val="00CA0D88"/>
    <w:rsid w:val="00CA46B1"/>
    <w:rsid w:val="00CA72A5"/>
    <w:rsid w:val="00CB09BB"/>
    <w:rsid w:val="00CB7848"/>
    <w:rsid w:val="00CC07BF"/>
    <w:rsid w:val="00CC0FE8"/>
    <w:rsid w:val="00CC289F"/>
    <w:rsid w:val="00CC4651"/>
    <w:rsid w:val="00CC7AD8"/>
    <w:rsid w:val="00CD2CFC"/>
    <w:rsid w:val="00CD69A8"/>
    <w:rsid w:val="00CE018E"/>
    <w:rsid w:val="00CE0F2E"/>
    <w:rsid w:val="00CE27C0"/>
    <w:rsid w:val="00CE3D0E"/>
    <w:rsid w:val="00CE4AE0"/>
    <w:rsid w:val="00CE7A4A"/>
    <w:rsid w:val="00CF04D2"/>
    <w:rsid w:val="00CF3ACD"/>
    <w:rsid w:val="00CF3EB7"/>
    <w:rsid w:val="00D0059E"/>
    <w:rsid w:val="00D10807"/>
    <w:rsid w:val="00D1343F"/>
    <w:rsid w:val="00D13AA8"/>
    <w:rsid w:val="00D141D5"/>
    <w:rsid w:val="00D14680"/>
    <w:rsid w:val="00D1696B"/>
    <w:rsid w:val="00D203C5"/>
    <w:rsid w:val="00D21E06"/>
    <w:rsid w:val="00D22450"/>
    <w:rsid w:val="00D2301B"/>
    <w:rsid w:val="00D239B5"/>
    <w:rsid w:val="00D302DC"/>
    <w:rsid w:val="00D304E5"/>
    <w:rsid w:val="00D30B6F"/>
    <w:rsid w:val="00D32B72"/>
    <w:rsid w:val="00D349B5"/>
    <w:rsid w:val="00D40215"/>
    <w:rsid w:val="00D4033C"/>
    <w:rsid w:val="00D40BFD"/>
    <w:rsid w:val="00D41F30"/>
    <w:rsid w:val="00D4293D"/>
    <w:rsid w:val="00D45504"/>
    <w:rsid w:val="00D47F80"/>
    <w:rsid w:val="00D5346A"/>
    <w:rsid w:val="00D53495"/>
    <w:rsid w:val="00D55767"/>
    <w:rsid w:val="00D56E4F"/>
    <w:rsid w:val="00D612B2"/>
    <w:rsid w:val="00D63B65"/>
    <w:rsid w:val="00D64587"/>
    <w:rsid w:val="00D66963"/>
    <w:rsid w:val="00D7002A"/>
    <w:rsid w:val="00D71BA0"/>
    <w:rsid w:val="00D7214F"/>
    <w:rsid w:val="00D723C0"/>
    <w:rsid w:val="00D749DF"/>
    <w:rsid w:val="00D7759C"/>
    <w:rsid w:val="00D778C7"/>
    <w:rsid w:val="00D77F61"/>
    <w:rsid w:val="00D801BA"/>
    <w:rsid w:val="00D81A89"/>
    <w:rsid w:val="00D82755"/>
    <w:rsid w:val="00D82E67"/>
    <w:rsid w:val="00D831AC"/>
    <w:rsid w:val="00D90DD6"/>
    <w:rsid w:val="00D914BA"/>
    <w:rsid w:val="00D93D2E"/>
    <w:rsid w:val="00D956E9"/>
    <w:rsid w:val="00D96E40"/>
    <w:rsid w:val="00D97926"/>
    <w:rsid w:val="00DA10EB"/>
    <w:rsid w:val="00DA148F"/>
    <w:rsid w:val="00DA3497"/>
    <w:rsid w:val="00DA3557"/>
    <w:rsid w:val="00DA37E0"/>
    <w:rsid w:val="00DA4701"/>
    <w:rsid w:val="00DA6CBB"/>
    <w:rsid w:val="00DA70D4"/>
    <w:rsid w:val="00DB03E7"/>
    <w:rsid w:val="00DB1300"/>
    <w:rsid w:val="00DB169D"/>
    <w:rsid w:val="00DB4AC2"/>
    <w:rsid w:val="00DB5966"/>
    <w:rsid w:val="00DB5F71"/>
    <w:rsid w:val="00DB6EDB"/>
    <w:rsid w:val="00DB72D2"/>
    <w:rsid w:val="00DC05CB"/>
    <w:rsid w:val="00DC2A3E"/>
    <w:rsid w:val="00DC65F2"/>
    <w:rsid w:val="00DC6D34"/>
    <w:rsid w:val="00DC7876"/>
    <w:rsid w:val="00DC7DD5"/>
    <w:rsid w:val="00DD39D2"/>
    <w:rsid w:val="00DE18D6"/>
    <w:rsid w:val="00DE1E3C"/>
    <w:rsid w:val="00DE2508"/>
    <w:rsid w:val="00DE3784"/>
    <w:rsid w:val="00DE3ED7"/>
    <w:rsid w:val="00DE6643"/>
    <w:rsid w:val="00DF1291"/>
    <w:rsid w:val="00DF1D02"/>
    <w:rsid w:val="00DF6D8C"/>
    <w:rsid w:val="00DF7737"/>
    <w:rsid w:val="00DF78DF"/>
    <w:rsid w:val="00E00590"/>
    <w:rsid w:val="00E03E6B"/>
    <w:rsid w:val="00E04BFE"/>
    <w:rsid w:val="00E1392C"/>
    <w:rsid w:val="00E14660"/>
    <w:rsid w:val="00E146C7"/>
    <w:rsid w:val="00E16472"/>
    <w:rsid w:val="00E16A94"/>
    <w:rsid w:val="00E16D91"/>
    <w:rsid w:val="00E21850"/>
    <w:rsid w:val="00E22AC6"/>
    <w:rsid w:val="00E24830"/>
    <w:rsid w:val="00E30281"/>
    <w:rsid w:val="00E318A6"/>
    <w:rsid w:val="00E35D27"/>
    <w:rsid w:val="00E3637C"/>
    <w:rsid w:val="00E41C62"/>
    <w:rsid w:val="00E41EE9"/>
    <w:rsid w:val="00E426EB"/>
    <w:rsid w:val="00E453F4"/>
    <w:rsid w:val="00E45925"/>
    <w:rsid w:val="00E461D4"/>
    <w:rsid w:val="00E50EFA"/>
    <w:rsid w:val="00E51B1D"/>
    <w:rsid w:val="00E520DA"/>
    <w:rsid w:val="00E53EE4"/>
    <w:rsid w:val="00E555B5"/>
    <w:rsid w:val="00E62285"/>
    <w:rsid w:val="00E62819"/>
    <w:rsid w:val="00E6444C"/>
    <w:rsid w:val="00E65BE4"/>
    <w:rsid w:val="00E66FBD"/>
    <w:rsid w:val="00E7056B"/>
    <w:rsid w:val="00E711F8"/>
    <w:rsid w:val="00E715E0"/>
    <w:rsid w:val="00E719BF"/>
    <w:rsid w:val="00E71E25"/>
    <w:rsid w:val="00E77011"/>
    <w:rsid w:val="00E77ED3"/>
    <w:rsid w:val="00E85592"/>
    <w:rsid w:val="00E87466"/>
    <w:rsid w:val="00E9045F"/>
    <w:rsid w:val="00E90A0A"/>
    <w:rsid w:val="00E93BC8"/>
    <w:rsid w:val="00E94154"/>
    <w:rsid w:val="00E94C74"/>
    <w:rsid w:val="00E95F09"/>
    <w:rsid w:val="00EA0D4F"/>
    <w:rsid w:val="00EA366E"/>
    <w:rsid w:val="00EA39A2"/>
    <w:rsid w:val="00EA405B"/>
    <w:rsid w:val="00EA42DB"/>
    <w:rsid w:val="00EA489F"/>
    <w:rsid w:val="00EA4EE6"/>
    <w:rsid w:val="00EA50B4"/>
    <w:rsid w:val="00EA534D"/>
    <w:rsid w:val="00EA5494"/>
    <w:rsid w:val="00EB4B5C"/>
    <w:rsid w:val="00EB4C26"/>
    <w:rsid w:val="00EB4CA2"/>
    <w:rsid w:val="00EB52BE"/>
    <w:rsid w:val="00EB6134"/>
    <w:rsid w:val="00EC1A6C"/>
    <w:rsid w:val="00EC4877"/>
    <w:rsid w:val="00EC58D5"/>
    <w:rsid w:val="00EC60DE"/>
    <w:rsid w:val="00EC611D"/>
    <w:rsid w:val="00ED36BD"/>
    <w:rsid w:val="00ED55C7"/>
    <w:rsid w:val="00ED6D4A"/>
    <w:rsid w:val="00ED70CB"/>
    <w:rsid w:val="00ED7509"/>
    <w:rsid w:val="00EE1285"/>
    <w:rsid w:val="00EE1323"/>
    <w:rsid w:val="00EE1545"/>
    <w:rsid w:val="00EE28D2"/>
    <w:rsid w:val="00EE3026"/>
    <w:rsid w:val="00EE38AF"/>
    <w:rsid w:val="00EE53DC"/>
    <w:rsid w:val="00EF09A9"/>
    <w:rsid w:val="00EF2142"/>
    <w:rsid w:val="00EF254B"/>
    <w:rsid w:val="00EF38BB"/>
    <w:rsid w:val="00EF4FF2"/>
    <w:rsid w:val="00EF6707"/>
    <w:rsid w:val="00EF6851"/>
    <w:rsid w:val="00F013EC"/>
    <w:rsid w:val="00F03218"/>
    <w:rsid w:val="00F06E20"/>
    <w:rsid w:val="00F071DE"/>
    <w:rsid w:val="00F10057"/>
    <w:rsid w:val="00F119AC"/>
    <w:rsid w:val="00F16059"/>
    <w:rsid w:val="00F24A2C"/>
    <w:rsid w:val="00F25CC6"/>
    <w:rsid w:val="00F308DD"/>
    <w:rsid w:val="00F32E02"/>
    <w:rsid w:val="00F339A3"/>
    <w:rsid w:val="00F370ED"/>
    <w:rsid w:val="00F374F2"/>
    <w:rsid w:val="00F377FC"/>
    <w:rsid w:val="00F40F42"/>
    <w:rsid w:val="00F41A9E"/>
    <w:rsid w:val="00F42246"/>
    <w:rsid w:val="00F46D21"/>
    <w:rsid w:val="00F54535"/>
    <w:rsid w:val="00F56400"/>
    <w:rsid w:val="00F573C8"/>
    <w:rsid w:val="00F60CB7"/>
    <w:rsid w:val="00F64850"/>
    <w:rsid w:val="00F66D0E"/>
    <w:rsid w:val="00F7013B"/>
    <w:rsid w:val="00F7020F"/>
    <w:rsid w:val="00F71324"/>
    <w:rsid w:val="00F7189D"/>
    <w:rsid w:val="00F7407A"/>
    <w:rsid w:val="00F74630"/>
    <w:rsid w:val="00F753B3"/>
    <w:rsid w:val="00F759E7"/>
    <w:rsid w:val="00F763F4"/>
    <w:rsid w:val="00F86D3A"/>
    <w:rsid w:val="00F86DD9"/>
    <w:rsid w:val="00F87300"/>
    <w:rsid w:val="00F90592"/>
    <w:rsid w:val="00F9122A"/>
    <w:rsid w:val="00FA0AC7"/>
    <w:rsid w:val="00FA0EBA"/>
    <w:rsid w:val="00FA6201"/>
    <w:rsid w:val="00FA6D2C"/>
    <w:rsid w:val="00FB059D"/>
    <w:rsid w:val="00FB0AD2"/>
    <w:rsid w:val="00FB1D85"/>
    <w:rsid w:val="00FB2C02"/>
    <w:rsid w:val="00FB30D4"/>
    <w:rsid w:val="00FB5BF6"/>
    <w:rsid w:val="00FB7AA0"/>
    <w:rsid w:val="00FC1427"/>
    <w:rsid w:val="00FC3FED"/>
    <w:rsid w:val="00FC4D4D"/>
    <w:rsid w:val="00FC549E"/>
    <w:rsid w:val="00FC779A"/>
    <w:rsid w:val="00FD1F5A"/>
    <w:rsid w:val="00FD44B2"/>
    <w:rsid w:val="00FD6057"/>
    <w:rsid w:val="00FD6588"/>
    <w:rsid w:val="00FE30AE"/>
    <w:rsid w:val="00FE4B9F"/>
    <w:rsid w:val="00FE508F"/>
    <w:rsid w:val="00FE60C3"/>
    <w:rsid w:val="00FF0072"/>
    <w:rsid w:val="00FF19BF"/>
    <w:rsid w:val="00FF2335"/>
    <w:rsid w:val="00FF42F7"/>
    <w:rsid w:val="00FF4482"/>
    <w:rsid w:val="00FF5C51"/>
    <w:rsid w:val="00FF7E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unhideWhenUsed/>
    <w:qFormat/>
    <w:rsid w:val="008623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8623DF"/>
    <w:pPr>
      <w:spacing w:after="240" w:line="240" w:lineRule="auto"/>
    </w:pPr>
  </w:style>
  <w:style w:type="character" w:customStyle="1" w:styleId="NormalSSChar">
    <w:name w:val="NormalSS Char"/>
    <w:basedOn w:val="DefaultParagraphFont"/>
    <w:link w:val="NormalSS"/>
    <w:rsid w:val="008623DF"/>
  </w:style>
  <w:style w:type="character" w:customStyle="1" w:styleId="Heading3Char">
    <w:name w:val="Heading 3 Char"/>
    <w:basedOn w:val="DefaultParagraphFont"/>
    <w:link w:val="Heading3"/>
    <w:uiPriority w:val="9"/>
    <w:rsid w:val="008623DF"/>
    <w:rPr>
      <w:rFonts w:asciiTheme="majorHAnsi" w:eastAsiaTheme="majorEastAsia" w:hAnsiTheme="majorHAnsi" w:cstheme="majorBidi"/>
      <w:color w:val="243F60" w:themeColor="accent1" w:themeShade="7F"/>
      <w:sz w:val="24"/>
      <w:szCs w:val="24"/>
    </w:rPr>
  </w:style>
  <w:style w:type="paragraph" w:customStyle="1" w:styleId="BulletBlack">
    <w:name w:val="Bullet_Black"/>
    <w:basedOn w:val="Normal"/>
    <w:qFormat/>
    <w:rsid w:val="008623DF"/>
    <w:pPr>
      <w:numPr>
        <w:numId w:val="3"/>
      </w:numPr>
      <w:tabs>
        <w:tab w:val="left" w:pos="360"/>
      </w:tabs>
      <w:spacing w:after="120" w:line="240" w:lineRule="auto"/>
      <w:ind w:right="360"/>
    </w:pPr>
  </w:style>
  <w:style w:type="character" w:customStyle="1" w:styleId="UnresolvedMention1">
    <w:name w:val="Unresolved Mention1"/>
    <w:basedOn w:val="DefaultParagraphFont"/>
    <w:uiPriority w:val="99"/>
    <w:semiHidden/>
    <w:unhideWhenUsed/>
    <w:rsid w:val="003C7B28"/>
    <w:rPr>
      <w:color w:val="605E5C"/>
      <w:shd w:val="clear" w:color="auto" w:fill="E1DFDD"/>
    </w:rPr>
  </w:style>
  <w:style w:type="table" w:customStyle="1" w:styleId="SMPRTableBlack">
    <w:name w:val="SMPR_Table_Black"/>
    <w:basedOn w:val="TableNormal"/>
    <w:uiPriority w:val="99"/>
    <w:rsid w:val="0074345F"/>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ash">
    <w:name w:val="Dash"/>
    <w:basedOn w:val="Normal"/>
    <w:qFormat/>
    <w:rsid w:val="007222BB"/>
    <w:pPr>
      <w:numPr>
        <w:numId w:val="4"/>
      </w:numPr>
      <w:tabs>
        <w:tab w:val="left" w:pos="288"/>
      </w:tabs>
      <w:spacing w:after="120" w:line="240" w:lineRule="auto"/>
    </w:pPr>
  </w:style>
  <w:style w:type="character" w:customStyle="1" w:styleId="UnresolvedMention2">
    <w:name w:val="Unresolved Mention2"/>
    <w:basedOn w:val="DefaultParagraphFont"/>
    <w:uiPriority w:val="99"/>
    <w:semiHidden/>
    <w:unhideWhenUsed/>
    <w:rsid w:val="00CF04D2"/>
    <w:rPr>
      <w:color w:val="605E5C"/>
      <w:shd w:val="clear" w:color="auto" w:fill="E1DFDD"/>
    </w:rPr>
  </w:style>
  <w:style w:type="character" w:styleId="FollowedHyperlink">
    <w:name w:val="FollowedHyperlink"/>
    <w:basedOn w:val="DefaultParagraphFont"/>
    <w:uiPriority w:val="99"/>
    <w:semiHidden/>
    <w:unhideWhenUsed/>
    <w:rsid w:val="00DA6CBB"/>
    <w:rPr>
      <w:color w:val="800080" w:themeColor="followedHyperlink"/>
      <w:u w:val="single"/>
    </w:rPr>
  </w:style>
  <w:style w:type="character" w:customStyle="1" w:styleId="UnresolvedMention3">
    <w:name w:val="Unresolved Mention3"/>
    <w:basedOn w:val="DefaultParagraphFont"/>
    <w:uiPriority w:val="99"/>
    <w:semiHidden/>
    <w:unhideWhenUsed/>
    <w:rsid w:val="008746CF"/>
    <w:rPr>
      <w:color w:val="605E5C"/>
      <w:shd w:val="clear" w:color="auto" w:fill="E1DFDD"/>
    </w:rPr>
  </w:style>
  <w:style w:type="character" w:styleId="UnresolvedMention">
    <w:name w:val="Unresolved Mention"/>
    <w:basedOn w:val="DefaultParagraphFont"/>
    <w:uiPriority w:val="99"/>
    <w:semiHidden/>
    <w:unhideWhenUsed/>
    <w:rsid w:val="00DB169D"/>
    <w:rPr>
      <w:color w:val="605E5C"/>
      <w:shd w:val="clear" w:color="auto" w:fill="E1DFDD"/>
    </w:rPr>
  </w:style>
  <w:style w:type="paragraph" w:customStyle="1" w:styleId="pf0">
    <w:name w:val="pf0"/>
    <w:basedOn w:val="Normal"/>
    <w:rsid w:val="00924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24FE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5CF54C5E-ABE4-443A-B903-4F686220CF4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5425</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Pahigiannis, Katie (ACF)</dc:creator>
  <cp:lastModifiedBy>ACF PRA</cp:lastModifiedBy>
  <cp:revision>10</cp:revision>
  <dcterms:created xsi:type="dcterms:W3CDTF">2026-04-28T11:50:00Z</dcterms:created>
  <dcterms:modified xsi:type="dcterms:W3CDTF">2026-04-29T18:44:00Z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