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3C60631" w14:textId="5247E7AD">
      <w:pPr>
        <w:pStyle w:val="Heading2"/>
        <w:tabs>
          <w:tab w:val="left" w:pos="900"/>
        </w:tabs>
        <w:ind w:right="-180"/>
      </w:pPr>
      <w:r w:rsidRPr="7E5B6C7D">
        <w:rPr>
          <w:sz w:val="28"/>
          <w:szCs w:val="28"/>
        </w:rPr>
        <w:t xml:space="preserve">Request for </w:t>
      </w:r>
      <w:r w:rsidRPr="7E5B6C7D" w:rsidR="003A183F">
        <w:rPr>
          <w:sz w:val="28"/>
          <w:szCs w:val="28"/>
        </w:rPr>
        <w:t>a</w:t>
      </w:r>
      <w:r w:rsidRPr="7E5B6C7D">
        <w:rPr>
          <w:sz w:val="28"/>
          <w:szCs w:val="28"/>
        </w:rPr>
        <w:t xml:space="preserve">pproval under the </w:t>
      </w:r>
      <w:r w:rsidRPr="7E5B6C7D" w:rsidR="00BD3E02">
        <w:rPr>
          <w:sz w:val="28"/>
          <w:szCs w:val="28"/>
        </w:rPr>
        <w:t>c</w:t>
      </w:r>
      <w:r w:rsidRPr="7E5B6C7D">
        <w:rPr>
          <w:sz w:val="28"/>
          <w:szCs w:val="28"/>
        </w:rPr>
        <w:t xml:space="preserve">learance </w:t>
      </w:r>
      <w:r w:rsidRPr="7E5B6C7D" w:rsidR="00BD3E02">
        <w:rPr>
          <w:sz w:val="28"/>
          <w:szCs w:val="28"/>
        </w:rPr>
        <w:t>of the</w:t>
      </w:r>
      <w:r w:rsidRPr="7E5B6C7D">
        <w:rPr>
          <w:sz w:val="28"/>
          <w:szCs w:val="28"/>
        </w:rPr>
        <w:t xml:space="preserve"> </w:t>
      </w:r>
      <w:r w:rsidRPr="7E5B6C7D" w:rsidR="00BD3E02">
        <w:rPr>
          <w:sz w:val="28"/>
          <w:szCs w:val="28"/>
        </w:rPr>
        <w:t xml:space="preserve">“Generic </w:t>
      </w:r>
      <w:r w:rsidRPr="7E5B6C7D" w:rsidR="00BC789E">
        <w:rPr>
          <w:sz w:val="28"/>
          <w:szCs w:val="28"/>
        </w:rPr>
        <w:t xml:space="preserve">Performance Progress </w:t>
      </w:r>
      <w:r w:rsidRPr="7E5B6C7D" w:rsidR="00BD3E02">
        <w:rPr>
          <w:sz w:val="28"/>
          <w:szCs w:val="28"/>
        </w:rPr>
        <w:t>Report</w:t>
      </w:r>
      <w:r w:rsidRPr="7E5B6C7D" w:rsidR="00BC789E">
        <w:rPr>
          <w:sz w:val="28"/>
          <w:szCs w:val="28"/>
        </w:rPr>
        <w:t>” OMB contr</w:t>
      </w:r>
      <w:r w:rsidRPr="7E5B6C7D">
        <w:rPr>
          <w:sz w:val="28"/>
          <w:szCs w:val="28"/>
        </w:rPr>
        <w:t xml:space="preserve">ol Number: </w:t>
      </w:r>
      <w:r w:rsidRPr="7E5B6C7D" w:rsidR="00390591">
        <w:rPr>
          <w:sz w:val="28"/>
          <w:szCs w:val="28"/>
        </w:rPr>
        <w:t xml:space="preserve"> </w:t>
      </w:r>
      <w:r w:rsidRPr="7E5B6C7D" w:rsidR="00C25899">
        <w:rPr>
          <w:sz w:val="28"/>
          <w:szCs w:val="28"/>
        </w:rPr>
        <w:t>0970-04</w:t>
      </w:r>
      <w:r w:rsidRPr="7E5B6C7D" w:rsidR="00BC789E">
        <w:rPr>
          <w:sz w:val="28"/>
          <w:szCs w:val="28"/>
        </w:rPr>
        <w:t>90</w:t>
      </w:r>
    </w:p>
    <w:p w:rsidR="7E5B6C7D" w:rsidP="7E5B6C7D" w14:paraId="40842E51" w14:textId="64E122CB">
      <w:pPr>
        <w:rPr>
          <w:b/>
          <w:bCs/>
        </w:rPr>
      </w:pPr>
    </w:p>
    <w:p w:rsidR="7E5B6C7D" w:rsidP="7E5B6C7D" w14:paraId="74ED6F2D" w14:textId="7DC83B20">
      <w:pPr>
        <w:rPr>
          <w:b/>
          <w:bCs/>
        </w:rPr>
      </w:pPr>
    </w:p>
    <w:p w:rsidR="00E50293" w:rsidRPr="009239AA" w:rsidP="00434E33" w14:paraId="4EE851ED" w14:textId="1177369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25047D5" w:rsidR="005E714A">
        <w:rPr>
          <w:b/>
          <w:bCs/>
        </w:rPr>
        <w:t>TITLE OF INFORMATION COLLECTION:</w:t>
      </w:r>
      <w:r w:rsidR="005E714A">
        <w:t xml:space="preserve"> </w:t>
      </w:r>
      <w:r w:rsidR="71364578">
        <w:t>Diaper Distribution Demonstration and Research Pilot Quarterly Reporting Requirements</w:t>
      </w:r>
    </w:p>
    <w:p w:rsidR="00BC789E" w:rsidP="7E5B6C7D" w14:paraId="419BDFEB" w14:textId="77777777">
      <w:pPr>
        <w:rPr>
          <w:b/>
          <w:bCs/>
        </w:rPr>
      </w:pPr>
    </w:p>
    <w:p w:rsidR="00134EEC" w:rsidP="00134EEC" w14:paraId="0A7E3335" w14:textId="613826F6">
      <w:pPr>
        <w:contextualSpacing/>
      </w:pPr>
      <w:r w:rsidRPr="1391B741">
        <w:rPr>
          <w:b/>
          <w:bCs/>
        </w:rPr>
        <w:t>PURPOSE:</w:t>
      </w:r>
      <w:r w:rsidRPr="1391B741" w:rsidR="00C14CC4">
        <w:rPr>
          <w:b/>
          <w:bCs/>
        </w:rPr>
        <w:t xml:space="preserve">  </w:t>
      </w:r>
      <w:r>
        <w:t xml:space="preserve">The Administration for Children and Families (ACF) Office of Community Services (OCS) awarded grants for the new Diaper Distribution Demonstration and Research Pilot (DDDRP) in September 2022. This is the first-ever federal diaper pilot program and </w:t>
      </w:r>
      <w:r w:rsidR="71D1E581">
        <w:t xml:space="preserve">is </w:t>
      </w:r>
      <w:r>
        <w:t xml:space="preserve">being carried out by Community Services Block Grant (CSBG) state associations and tribal organizations. </w:t>
      </w:r>
    </w:p>
    <w:p w:rsidR="00134EEC" w:rsidP="00134EEC" w14:paraId="56563954" w14:textId="38F6C50E">
      <w:pPr>
        <w:contextualSpacing/>
      </w:pPr>
    </w:p>
    <w:p w:rsidR="005E2229" w:rsidP="1391B741" w14:paraId="05F51C79" w14:textId="4AEBAE4B">
      <w:pPr>
        <w:contextualSpacing/>
        <w:rPr>
          <w:color w:val="000000" w:themeColor="text1"/>
        </w:rPr>
      </w:pPr>
      <w:r>
        <w:t>Grant recipients have been submitting performance progress report (PPR) information through the standard ACF PPR</w:t>
      </w:r>
      <w:r>
        <w:t xml:space="preserve"> (OMB #0970-0406)</w:t>
      </w:r>
      <w:r w:rsidR="36D3944A">
        <w:t xml:space="preserve">, with additional </w:t>
      </w:r>
      <w:r w:rsidR="51F24289">
        <w:t xml:space="preserve">program-specific </w:t>
      </w:r>
      <w:r w:rsidR="36D3944A">
        <w:t>items reported</w:t>
      </w:r>
      <w:r w:rsidR="23E310B2">
        <w:t xml:space="preserve"> on the form</w:t>
      </w:r>
      <w:r w:rsidR="36D3944A">
        <w:t xml:space="preserve"> through an information collection approved under </w:t>
      </w:r>
      <w:r w:rsidR="34DACF53">
        <w:t>this umbrella generic (</w:t>
      </w:r>
      <w:r w:rsidRPr="00FB20EC" w:rsidR="37C29BEE">
        <w:rPr>
          <w:i/>
          <w:iCs/>
        </w:rPr>
        <w:t>Diaper Distribution Demonstration and Research Pilot Quarterly Reporting Requirements</w:t>
      </w:r>
      <w:r w:rsidRPr="1391B741" w:rsidR="37C29BEE">
        <w:rPr>
          <w:i/>
          <w:iCs/>
        </w:rPr>
        <w:t xml:space="preserve">, </w:t>
      </w:r>
      <w:r w:rsidRPr="00FB20EC" w:rsidR="76FA0554">
        <w:t>most recently</w:t>
      </w:r>
      <w:r w:rsidRPr="1391B741" w:rsidR="76FA0554">
        <w:rPr>
          <w:i/>
          <w:iCs/>
        </w:rPr>
        <w:t xml:space="preserve"> </w:t>
      </w:r>
      <w:r w:rsidRPr="00FB20EC" w:rsidR="37C29BEE">
        <w:t>approved</w:t>
      </w:r>
      <w:r w:rsidR="1BB758FC">
        <w:t xml:space="preserve"> </w:t>
      </w:r>
      <w:r w:rsidR="2B69A22B">
        <w:t>April 17, 2024</w:t>
      </w:r>
      <w:r w:rsidR="1BB758FC">
        <w:t>).</w:t>
      </w:r>
      <w:r>
        <w:t xml:space="preserve">  </w:t>
      </w:r>
      <w:r w:rsidR="3345636C">
        <w:t xml:space="preserve">This request builds upon the items in the ACF PPR </w:t>
      </w:r>
      <w:r w:rsidR="33E673D5">
        <w:t>and the currently approved</w:t>
      </w:r>
      <w:r w:rsidR="527DC5BD">
        <w:t xml:space="preserve"> program-specific items</w:t>
      </w:r>
      <w:r w:rsidR="33E673D5">
        <w:t xml:space="preserve"> </w:t>
      </w:r>
      <w:r w:rsidR="3345636C">
        <w:t xml:space="preserve">to request additional </w:t>
      </w:r>
      <w:r w:rsidR="39341320">
        <w:t>information about the administration of diaper distribution programs</w:t>
      </w:r>
      <w:r w:rsidR="55592A40">
        <w:t xml:space="preserve"> and transition to a</w:t>
      </w:r>
      <w:r w:rsidR="7AAD229C">
        <w:t xml:space="preserve"> program-specific entry form rather than the PDF form used for the standard ACF PPR</w:t>
      </w:r>
      <w:r w:rsidR="39341320">
        <w:t xml:space="preserve">. </w:t>
      </w:r>
      <w:r w:rsidR="4597BEC4">
        <w:t xml:space="preserve">Once approved, this submission will replace the currently approved version. </w:t>
      </w:r>
    </w:p>
    <w:p w:rsidR="005E2229" w:rsidP="1391B741" w14:paraId="34F5BA85" w14:textId="7E235A8D">
      <w:pPr>
        <w:contextualSpacing/>
      </w:pPr>
    </w:p>
    <w:p w:rsidR="005E2229" w:rsidP="1391B741" w14:paraId="3F8A674E" w14:textId="4B85CFCA">
      <w:pPr>
        <w:contextualSpacing/>
      </w:pPr>
      <w:r>
        <w:t>Once approved, this PPR will request information about grant recipients</w:t>
      </w:r>
      <w:r w:rsidR="4B6098A6">
        <w:t>’</w:t>
      </w:r>
      <w:r>
        <w:t xml:space="preserve"> activities in the previous quarter, as formerly requested in the standard ACF </w:t>
      </w:r>
      <w:r w:rsidR="4C43E9ED">
        <w:t xml:space="preserve">PPR. </w:t>
      </w:r>
      <w:r w:rsidR="6C2AA92F">
        <w:t xml:space="preserve">In alignment with the </w:t>
      </w:r>
      <w:r w:rsidR="55F73175">
        <w:t>currently approved PPR, it requests information on service delivery, including enrollment numbers, diaper distribution totals, and connections to wraparound services. It expand</w:t>
      </w:r>
      <w:r w:rsidR="68EAAA91">
        <w:t xml:space="preserve">s upon the previous request by asking for more detail </w:t>
      </w:r>
      <w:r w:rsidR="5C9B96D2">
        <w:t xml:space="preserve">on the types of diapering supplies distributed, the number of referrals to wraparound services by service type, </w:t>
      </w:r>
      <w:r w:rsidR="3334198B">
        <w:t xml:space="preserve">partner diaper distribution activities and service area, and allocations and spending for key program inputs for grant recipients and partners. </w:t>
      </w:r>
    </w:p>
    <w:p w:rsidR="005E2229" w:rsidP="1391B741" w14:paraId="7A370C60" w14:textId="63DA3C39">
      <w:pPr>
        <w:contextualSpacing/>
      </w:pPr>
    </w:p>
    <w:p w:rsidR="005E2229" w:rsidP="1391B741" w14:paraId="4515879C" w14:textId="749F30F9">
      <w:pPr>
        <w:contextualSpacing/>
        <w:rPr>
          <w:color w:val="000000" w:themeColor="text1"/>
        </w:rPr>
      </w:pPr>
      <w:r>
        <w:t xml:space="preserve">The quarterly reporting requirements in this request will </w:t>
      </w:r>
      <w:r>
        <w:t xml:space="preserve">allow OCS </w:t>
      </w:r>
      <w:r w:rsidRPr="1391B741">
        <w:rPr>
          <w:color w:val="000000" w:themeColor="text1"/>
        </w:rPr>
        <w:t xml:space="preserve">to </w:t>
      </w:r>
      <w:r w:rsidRPr="1391B741" w:rsidR="163A9CA6">
        <w:rPr>
          <w:color w:val="000000" w:themeColor="text1"/>
        </w:rPr>
        <w:t>better understand and interpret successes</w:t>
      </w:r>
      <w:r w:rsidRPr="1391B741" w:rsidR="7975DE37">
        <w:rPr>
          <w:color w:val="000000" w:themeColor="text1"/>
        </w:rPr>
        <w:t xml:space="preserve"> and challenges</w:t>
      </w:r>
      <w:r w:rsidRPr="1391B741" w:rsidR="163A9CA6">
        <w:rPr>
          <w:color w:val="000000" w:themeColor="text1"/>
        </w:rPr>
        <w:t xml:space="preserve"> </w:t>
      </w:r>
      <w:r w:rsidRPr="1391B741" w:rsidR="0F653D98">
        <w:rPr>
          <w:color w:val="000000" w:themeColor="text1"/>
        </w:rPr>
        <w:t>of this brand-new demonstration program.</w:t>
      </w:r>
      <w:r w:rsidRPr="1391B741" w:rsidR="22ADA7CE">
        <w:rPr>
          <w:color w:val="000000" w:themeColor="text1"/>
        </w:rPr>
        <w:t xml:space="preserve"> Moreover, it will be utilized for program management</w:t>
      </w:r>
      <w:r w:rsidRPr="1391B741">
        <w:rPr>
          <w:color w:val="000000" w:themeColor="text1"/>
        </w:rPr>
        <w:t>, support,</w:t>
      </w:r>
      <w:r w:rsidRPr="1391B741" w:rsidR="22ADA7CE">
        <w:rPr>
          <w:color w:val="000000" w:themeColor="text1"/>
        </w:rPr>
        <w:t xml:space="preserve"> and oversight</w:t>
      </w:r>
      <w:r w:rsidRPr="1391B741">
        <w:rPr>
          <w:color w:val="000000" w:themeColor="text1"/>
        </w:rPr>
        <w:t>;</w:t>
      </w:r>
      <w:r w:rsidRPr="1391B741" w:rsidR="22ADA7CE">
        <w:rPr>
          <w:color w:val="000000" w:themeColor="text1"/>
        </w:rPr>
        <w:t xml:space="preserve"> such as identifying recipients’ technical assistance needs and ensuring compliance with federal and programmatic regulations and policies. This includes, but is not limited to, identifying additional needs for program guidance, development or updates to support for recipients, and making informed refinements to programs in general and the related activities and supports. </w:t>
      </w:r>
    </w:p>
    <w:p w:rsidR="005E2229" w:rsidP="7E5B6C7D" w14:paraId="2A32C396" w14:textId="77777777">
      <w:pPr>
        <w:contextualSpacing/>
        <w:rPr>
          <w:color w:val="000000" w:themeColor="text1"/>
        </w:rPr>
      </w:pPr>
    </w:p>
    <w:p w:rsidR="00C8488C" w:rsidP="7E5B6C7D" w14:paraId="4917A62A" w14:textId="7326A21C">
      <w:pPr>
        <w:contextualSpacing/>
      </w:pPr>
      <w:r w:rsidRPr="1391B741">
        <w:rPr>
          <w:color w:val="000000" w:themeColor="text1"/>
        </w:rPr>
        <w:t>The information from</w:t>
      </w:r>
      <w:r w:rsidR="00FB20EC">
        <w:rPr>
          <w:color w:val="000000" w:themeColor="text1"/>
        </w:rPr>
        <w:t xml:space="preserve"> </w:t>
      </w:r>
      <w:r w:rsidRPr="1391B741" w:rsidR="52C74E2C">
        <w:rPr>
          <w:color w:val="000000" w:themeColor="text1"/>
        </w:rPr>
        <w:t>this</w:t>
      </w:r>
      <w:r w:rsidRPr="1391B741" w:rsidR="4AC3A4DA">
        <w:rPr>
          <w:color w:val="000000" w:themeColor="text1"/>
        </w:rPr>
        <w:t xml:space="preserve"> </w:t>
      </w:r>
      <w:r w:rsidRPr="1391B741" w:rsidR="29143E32">
        <w:rPr>
          <w:color w:val="000000" w:themeColor="text1"/>
        </w:rPr>
        <w:t xml:space="preserve">PPR </w:t>
      </w:r>
      <w:r w:rsidRPr="1391B741">
        <w:rPr>
          <w:color w:val="000000" w:themeColor="text1"/>
        </w:rPr>
        <w:t xml:space="preserve">will also help ACF to ensure recipients comply with program planning and design requirements that </w:t>
      </w:r>
      <w:r w:rsidRPr="1391B741" w:rsidR="427ED4B1">
        <w:rPr>
          <w:color w:val="000000" w:themeColor="text1"/>
        </w:rPr>
        <w:t>were</w:t>
      </w:r>
      <w:r w:rsidRPr="1391B741">
        <w:rPr>
          <w:color w:val="000000" w:themeColor="text1"/>
        </w:rPr>
        <w:t xml:space="preserve"> a new requirement for all FY23 funding opportunities (2 CFR 200.202 and 2 CFR 200.329). This includes requirements for the agency to develop a clear program plan, design, monitoring, and reporting requirements prior to issuing a NOFO.  These consistent elements will allow ACF to then measure recipients’ performance and financial data under a risk management lens. </w:t>
      </w:r>
      <w:r>
        <w:t xml:space="preserve"> </w:t>
      </w:r>
    </w:p>
    <w:p w:rsidR="00C8488C" w:rsidP="00434E33" w14:paraId="41689F0D" w14:textId="77777777">
      <w:pPr>
        <w:pStyle w:val="Header"/>
        <w:tabs>
          <w:tab w:val="clear" w:pos="4320"/>
          <w:tab w:val="clear" w:pos="8640"/>
        </w:tabs>
        <w:rPr>
          <w:b/>
        </w:rPr>
      </w:pPr>
    </w:p>
    <w:p w:rsidR="00C8488C" w:rsidP="77A644D0" w14:paraId="01D63043" w14:textId="39C7E872">
      <w:pPr>
        <w:pStyle w:val="Header"/>
        <w:tabs>
          <w:tab w:val="clear" w:pos="4320"/>
          <w:tab w:val="clear" w:pos="8640"/>
        </w:tabs>
      </w:pPr>
      <w:r w:rsidRPr="1391B741">
        <w:rPr>
          <w:b/>
          <w:bCs/>
        </w:rPr>
        <w:t>DESCRIPTION OF RESPONDENTS</w:t>
      </w:r>
      <w:r>
        <w:t xml:space="preserve">: </w:t>
      </w:r>
      <w:r w:rsidR="43EBA939">
        <w:t>DDDRP program gran</w:t>
      </w:r>
      <w:r w:rsidR="07D927CA">
        <w:t>t recipient</w:t>
      </w:r>
      <w:r w:rsidR="7E33A8E1">
        <w:t>s</w:t>
      </w:r>
      <w:r w:rsidR="43EBA939">
        <w:t xml:space="preserve"> include </w:t>
      </w:r>
      <w:r w:rsidR="33CEC6F5">
        <w:t xml:space="preserve">CSBG state associations and tribal organizations. </w:t>
      </w:r>
    </w:p>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8502D7" w14:paraId="0F86CC0D" w14:textId="7314080B">
      <w:pPr>
        <w:pStyle w:val="ListParagraph"/>
        <w:numPr>
          <w:ilvl w:val="0"/>
          <w:numId w:val="4"/>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502D7" w14:paraId="414ED874" w14:textId="77777777">
      <w:pPr>
        <w:pStyle w:val="ListParagraph"/>
        <w:numPr>
          <w:ilvl w:val="0"/>
          <w:numId w:val="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9C13B9" w:rsidP="00B25057" w14:paraId="14C88772" w14:textId="1CE2AB46">
      <w:pPr>
        <w:pStyle w:val="ListParagraph"/>
        <w:numPr>
          <w:ilvl w:val="0"/>
          <w:numId w:val="4"/>
        </w:numPr>
      </w:pPr>
      <w:r>
        <w:t>Information gathered is meant primarily for program improvement and accountability.</w:t>
      </w:r>
      <w:r w:rsidR="008101A5">
        <w:tab/>
      </w:r>
      <w:r w:rsidR="008101A5">
        <w:tab/>
      </w:r>
      <w:r w:rsidR="008101A5">
        <w:tab/>
      </w:r>
      <w:r w:rsidR="008101A5">
        <w:tab/>
      </w:r>
      <w:r w:rsidR="008101A5">
        <w:tab/>
      </w:r>
      <w:r w:rsidR="008101A5">
        <w:tab/>
      </w:r>
      <w:r w:rsidR="008101A5">
        <w:tab/>
      </w:r>
      <w:r w:rsidR="008101A5">
        <w:tab/>
      </w:r>
      <w:r w:rsidR="008101A5">
        <w:tab/>
      </w:r>
      <w:r w:rsidR="008101A5">
        <w:tab/>
      </w:r>
    </w:p>
    <w:p w:rsidR="009C13B9" w:rsidRPr="00FB20EC" w:rsidP="1391B741" w14:paraId="6C00EAD1" w14:textId="09C9E8D3">
      <w:pPr>
        <w:rPr>
          <w:u w:val="single"/>
        </w:rPr>
      </w:pPr>
      <w:r>
        <w:t>Name</w:t>
      </w:r>
      <w:r w:rsidR="004677A8">
        <w:t xml:space="preserve"> and Title</w:t>
      </w:r>
      <w:r>
        <w:t>:</w:t>
      </w:r>
      <w:r w:rsidR="004F1736">
        <w:t xml:space="preserve">  </w:t>
      </w:r>
      <w:r w:rsidRPr="00FB20EC" w:rsidR="00A06BD9">
        <w:rPr>
          <w:u w:val="single"/>
        </w:rPr>
        <w:t>Jessica Hale</w:t>
      </w:r>
      <w:r w:rsidRPr="00FB20EC" w:rsidR="008D36AD">
        <w:rPr>
          <w:u w:val="single"/>
        </w:rPr>
        <w:t xml:space="preserve">, </w:t>
      </w:r>
      <w:r w:rsidRPr="00FB20EC" w:rsidR="00A06BD9">
        <w:rPr>
          <w:u w:val="single"/>
        </w:rPr>
        <w:t>Program Evaluator</w:t>
      </w:r>
      <w:r w:rsidRPr="00FB20EC" w:rsidR="009B135C">
        <w:rPr>
          <w:u w:val="single"/>
        </w:rPr>
        <w:t>, OCS</w:t>
      </w:r>
    </w:p>
    <w:p w:rsidR="009C13B9" w:rsidP="016E535E" w14:paraId="7A3D3BEC" w14:textId="77777777"/>
    <w:p w:rsidR="009C13B9" w:rsidP="009C13B9" w14:paraId="1A30D16F" w14:textId="4506234D">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8502D7" w14:paraId="4B9EF8FA" w14:textId="17810FA2">
      <w:pPr>
        <w:pStyle w:val="ListParagraph"/>
        <w:numPr>
          <w:ilvl w:val="0"/>
          <w:numId w:val="3"/>
        </w:numPr>
      </w:pPr>
      <w:r>
        <w:t>Is</w:t>
      </w:r>
      <w:r w:rsidR="00237B48">
        <w:t xml:space="preserve"> personally identifiable information (PII) collected</w:t>
      </w:r>
      <w:r>
        <w:t xml:space="preserve">?  </w:t>
      </w:r>
      <w:r w:rsidR="009239AA">
        <w:t>[  ]</w:t>
      </w:r>
      <w:r w:rsidR="009239AA">
        <w:t xml:space="preserve"> Yes  [ </w:t>
      </w:r>
      <w:r w:rsidR="60327F1C">
        <w:t>X</w:t>
      </w:r>
      <w:r w:rsidR="009239AA">
        <w:t xml:space="preserve">]  No </w:t>
      </w:r>
    </w:p>
    <w:p w:rsidR="00C86E91" w:rsidP="008502D7" w14:paraId="2CC274F3" w14:textId="32303E96">
      <w:pPr>
        <w:pStyle w:val="ListParagraph"/>
        <w:numPr>
          <w:ilvl w:val="0"/>
          <w:numId w:val="3"/>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6B2DE4A5">
        <w:t>X</w:t>
      </w:r>
      <w:r w:rsidR="009239AA">
        <w:t xml:space="preserve"> ] No</w:t>
      </w:r>
      <w:r>
        <w:t xml:space="preserve">   </w:t>
      </w:r>
    </w:p>
    <w:p w:rsidR="00CF6542" w:rsidRPr="00380670" w:rsidP="00380670" w14:paraId="09F054A3" w14:textId="17B1BAC3">
      <w:pPr>
        <w:pStyle w:val="ListParagraph"/>
        <w:numPr>
          <w:ilvl w:val="0"/>
          <w:numId w:val="3"/>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4D6E14" w14:paraId="63EBB027" w14:textId="77777777">
      <w:pPr>
        <w:rPr>
          <w:b/>
        </w:rPr>
      </w:pPr>
    </w:p>
    <w:p w:rsidR="005E714A" w:rsidP="1391B741" w14:paraId="63D1B82F" w14:textId="77777777">
      <w:pPr>
        <w:rPr>
          <w:i/>
          <w:iCs/>
        </w:rPr>
      </w:pPr>
      <w:r w:rsidRPr="1391B741">
        <w:rPr>
          <w:b/>
          <w:bCs/>
        </w:rPr>
        <w:t>BURDEN HOUR</w:t>
      </w:r>
      <w:r w:rsidRPr="1391B741" w:rsidR="00441434">
        <w:rPr>
          <w:b/>
          <w:bCs/>
        </w:rPr>
        <w:t>S</w:t>
      </w:r>
      <w:r>
        <w:t xml:space="preserve"> </w:t>
      </w:r>
    </w:p>
    <w:p w:rsidR="009B135C" w:rsidRPr="00B25057" w:rsidP="00F3170F" w14:paraId="30127BC6" w14:textId="682400EC">
      <w:pPr>
        <w:keepNext/>
        <w:keepLines/>
      </w:pPr>
      <w:r>
        <w:t xml:space="preserve">The number of respondents is estimated based on the number of grant recipients and their partners who we expect they will need to engage with to complete the PPR. We expect the time to complete each report will average about </w:t>
      </w:r>
      <w:r w:rsidR="00A43A37">
        <w:t>4</w:t>
      </w:r>
      <w:r>
        <w:t xml:space="preserve"> hours</w:t>
      </w:r>
      <w:r w:rsidR="00A43A37">
        <w:t xml:space="preserve"> for grant recipients, who aggregate responses from partners and provide </w:t>
      </w:r>
      <w:r w:rsidR="0052440B">
        <w:t xml:space="preserve">a narrative discussion of project activities. We expect partners to spend 3 hours </w:t>
      </w:r>
      <w:r w:rsidR="00D11C94">
        <w:t>per response in preparing summary data for the quarterly reports</w:t>
      </w:r>
      <w:r>
        <w:t xml:space="preserve">. </w:t>
      </w:r>
      <w:r w:rsidR="29E76F08">
        <w:t>The following table provides annual burden estimates. If the number of grant recipients changes in future years, we will submit a change request to adjust those numbers.</w:t>
      </w:r>
    </w:p>
    <w:p w:rsidR="009B135C" w:rsidRPr="006832D9" w:rsidP="00F3170F" w14:paraId="4A24B4FC" w14:textId="77777777">
      <w:pPr>
        <w:keepNext/>
        <w:keepLines/>
        <w:rPr>
          <w:b/>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1440"/>
        <w:gridCol w:w="1530"/>
        <w:gridCol w:w="1980"/>
        <w:gridCol w:w="1260"/>
        <w:gridCol w:w="1005"/>
      </w:tblGrid>
      <w:tr w14:paraId="5EE1DE53" w14:textId="77777777" w:rsidTr="00380670">
        <w:tblPrEx>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515" w:type="dxa"/>
          </w:tcPr>
          <w:p w:rsidR="005958E0" w:rsidRPr="00380670" w:rsidP="005958E0" w14:paraId="49C0ADA6" w14:textId="044A0F2E">
            <w:pPr>
              <w:jc w:val="center"/>
              <w:rPr>
                <w:b/>
                <w:sz w:val="22"/>
                <w:szCs w:val="22"/>
              </w:rPr>
            </w:pPr>
            <w:r w:rsidRPr="00380670">
              <w:rPr>
                <w:b/>
                <w:sz w:val="22"/>
                <w:szCs w:val="22"/>
              </w:rPr>
              <w:t>Information Collection Title</w:t>
            </w:r>
          </w:p>
        </w:tc>
        <w:tc>
          <w:tcPr>
            <w:tcW w:w="1440" w:type="dxa"/>
          </w:tcPr>
          <w:p w:rsidR="005958E0" w:rsidRPr="00380670" w:rsidP="005958E0" w14:paraId="64F0AA14" w14:textId="4609D9AD">
            <w:pPr>
              <w:jc w:val="center"/>
              <w:rPr>
                <w:b/>
                <w:sz w:val="22"/>
                <w:szCs w:val="22"/>
              </w:rPr>
            </w:pPr>
            <w:r w:rsidRPr="00380670">
              <w:rPr>
                <w:b/>
                <w:sz w:val="22"/>
                <w:szCs w:val="22"/>
              </w:rPr>
              <w:t>Category of Respondent</w:t>
            </w:r>
          </w:p>
        </w:tc>
        <w:tc>
          <w:tcPr>
            <w:tcW w:w="1530" w:type="dxa"/>
          </w:tcPr>
          <w:p w:rsidR="005958E0" w:rsidRPr="00380670" w:rsidP="005958E0" w14:paraId="7FB9B1BB" w14:textId="77777777">
            <w:pPr>
              <w:jc w:val="center"/>
              <w:rPr>
                <w:b/>
                <w:sz w:val="22"/>
                <w:szCs w:val="22"/>
              </w:rPr>
            </w:pPr>
            <w:r w:rsidRPr="00380670">
              <w:rPr>
                <w:b/>
                <w:sz w:val="22"/>
                <w:szCs w:val="22"/>
              </w:rPr>
              <w:t>No. of Respondents</w:t>
            </w:r>
          </w:p>
        </w:tc>
        <w:tc>
          <w:tcPr>
            <w:tcW w:w="1980" w:type="dxa"/>
          </w:tcPr>
          <w:p w:rsidR="005958E0" w:rsidRPr="00380670" w:rsidP="005958E0" w14:paraId="11E4456D" w14:textId="7D7D417A">
            <w:pPr>
              <w:jc w:val="center"/>
              <w:rPr>
                <w:b/>
                <w:sz w:val="22"/>
                <w:szCs w:val="22"/>
              </w:rPr>
            </w:pPr>
            <w:r w:rsidRPr="00380670">
              <w:rPr>
                <w:b/>
                <w:sz w:val="22"/>
                <w:szCs w:val="22"/>
              </w:rPr>
              <w:t>No. of Responses per Respondent (Annual)</w:t>
            </w:r>
          </w:p>
        </w:tc>
        <w:tc>
          <w:tcPr>
            <w:tcW w:w="1260" w:type="dxa"/>
          </w:tcPr>
          <w:p w:rsidR="005958E0" w:rsidRPr="00380670" w:rsidP="005958E0" w14:paraId="7D482F0D" w14:textId="77777777">
            <w:pPr>
              <w:jc w:val="center"/>
              <w:rPr>
                <w:b/>
                <w:sz w:val="22"/>
                <w:szCs w:val="22"/>
              </w:rPr>
            </w:pPr>
            <w:r w:rsidRPr="00380670">
              <w:rPr>
                <w:b/>
                <w:sz w:val="22"/>
                <w:szCs w:val="22"/>
              </w:rPr>
              <w:t>Burden per Response</w:t>
            </w:r>
          </w:p>
        </w:tc>
        <w:tc>
          <w:tcPr>
            <w:tcW w:w="1005" w:type="dxa"/>
          </w:tcPr>
          <w:p w:rsidR="005958E0" w:rsidRPr="00380670" w:rsidP="005958E0" w14:paraId="5541F85D" w14:textId="3A7917FE">
            <w:pPr>
              <w:jc w:val="center"/>
              <w:rPr>
                <w:b/>
                <w:sz w:val="22"/>
                <w:szCs w:val="22"/>
              </w:rPr>
            </w:pPr>
            <w:r w:rsidRPr="00380670">
              <w:rPr>
                <w:b/>
                <w:sz w:val="22"/>
                <w:szCs w:val="22"/>
              </w:rPr>
              <w:t>Annual Burden</w:t>
            </w:r>
          </w:p>
        </w:tc>
      </w:tr>
      <w:tr w14:paraId="07C30A14" w14:textId="77777777" w:rsidTr="00380670">
        <w:tblPrEx>
          <w:tblW w:w="9730" w:type="dxa"/>
          <w:jc w:val="center"/>
          <w:tblLayout w:type="fixed"/>
          <w:tblLook w:val="01E0"/>
        </w:tblPrEx>
        <w:trPr>
          <w:trHeight w:val="274"/>
          <w:jc w:val="center"/>
        </w:trPr>
        <w:tc>
          <w:tcPr>
            <w:tcW w:w="2515" w:type="dxa"/>
          </w:tcPr>
          <w:p w:rsidR="005958E0" w:rsidRPr="00380670" w:rsidP="00843796" w14:paraId="4EF8E65E" w14:textId="730336F3">
            <w:pPr>
              <w:rPr>
                <w:sz w:val="22"/>
                <w:szCs w:val="22"/>
              </w:rPr>
            </w:pPr>
            <w:r w:rsidRPr="00380670">
              <w:rPr>
                <w:sz w:val="22"/>
                <w:szCs w:val="22"/>
              </w:rPr>
              <w:t>DDDRP PPR</w:t>
            </w:r>
            <w:r w:rsidRPr="00380670" w:rsidR="00B62DA9">
              <w:rPr>
                <w:sz w:val="22"/>
                <w:szCs w:val="22"/>
              </w:rPr>
              <w:t>—Grant Recipients</w:t>
            </w:r>
          </w:p>
        </w:tc>
        <w:tc>
          <w:tcPr>
            <w:tcW w:w="1440" w:type="dxa"/>
          </w:tcPr>
          <w:p w:rsidR="005958E0" w:rsidRPr="00380670" w:rsidP="7E5B6C7D" w14:paraId="1A1B0E7D" w14:textId="1780EFB2">
            <w:pPr>
              <w:rPr>
                <w:sz w:val="22"/>
                <w:szCs w:val="22"/>
              </w:rPr>
            </w:pPr>
            <w:r w:rsidRPr="00380670">
              <w:rPr>
                <w:sz w:val="22"/>
                <w:szCs w:val="22"/>
              </w:rPr>
              <w:t>Private Sector</w:t>
            </w:r>
          </w:p>
        </w:tc>
        <w:tc>
          <w:tcPr>
            <w:tcW w:w="1530" w:type="dxa"/>
            <w:vAlign w:val="center"/>
          </w:tcPr>
          <w:p w:rsidR="005958E0" w:rsidRPr="00380670" w:rsidP="00380670" w14:paraId="1B07A050" w14:textId="261026B7">
            <w:pPr>
              <w:jc w:val="center"/>
              <w:rPr>
                <w:rFonts w:eastAsia="Aptos"/>
                <w:color w:val="000000" w:themeColor="text1"/>
                <w:sz w:val="22"/>
                <w:szCs w:val="22"/>
              </w:rPr>
            </w:pPr>
            <w:r w:rsidRPr="00380670">
              <w:rPr>
                <w:rFonts w:eastAsia="Aptos"/>
                <w:color w:val="000000" w:themeColor="text1"/>
                <w:sz w:val="22"/>
                <w:szCs w:val="22"/>
              </w:rPr>
              <w:t>28</w:t>
            </w:r>
          </w:p>
        </w:tc>
        <w:tc>
          <w:tcPr>
            <w:tcW w:w="1980" w:type="dxa"/>
            <w:vAlign w:val="center"/>
          </w:tcPr>
          <w:p w:rsidR="005958E0" w:rsidRPr="00380670" w:rsidP="00380670" w14:paraId="0E9DDACF" w14:textId="7BE79E42">
            <w:pPr>
              <w:jc w:val="center"/>
              <w:rPr>
                <w:sz w:val="22"/>
                <w:szCs w:val="22"/>
              </w:rPr>
            </w:pPr>
            <w:r w:rsidRPr="00380670">
              <w:rPr>
                <w:sz w:val="22"/>
                <w:szCs w:val="22"/>
              </w:rPr>
              <w:t>4</w:t>
            </w:r>
          </w:p>
        </w:tc>
        <w:tc>
          <w:tcPr>
            <w:tcW w:w="1260" w:type="dxa"/>
            <w:vAlign w:val="center"/>
          </w:tcPr>
          <w:p w:rsidR="005958E0" w:rsidRPr="00380670" w:rsidP="00380670" w14:paraId="58DFDE16" w14:textId="10AB5D9F">
            <w:pPr>
              <w:jc w:val="center"/>
              <w:rPr>
                <w:sz w:val="22"/>
                <w:szCs w:val="22"/>
              </w:rPr>
            </w:pPr>
            <w:r w:rsidRPr="00380670">
              <w:rPr>
                <w:sz w:val="22"/>
                <w:szCs w:val="22"/>
              </w:rPr>
              <w:t>4</w:t>
            </w:r>
          </w:p>
        </w:tc>
        <w:tc>
          <w:tcPr>
            <w:tcW w:w="1005" w:type="dxa"/>
            <w:vAlign w:val="center"/>
          </w:tcPr>
          <w:p w:rsidR="005958E0" w:rsidRPr="00380670" w:rsidP="00380670" w14:paraId="1F57D640" w14:textId="478FCFE0">
            <w:pPr>
              <w:jc w:val="center"/>
              <w:rPr>
                <w:sz w:val="22"/>
                <w:szCs w:val="22"/>
              </w:rPr>
            </w:pPr>
            <w:r w:rsidRPr="00380670">
              <w:rPr>
                <w:sz w:val="22"/>
                <w:szCs w:val="22"/>
              </w:rPr>
              <w:t>448</w:t>
            </w:r>
          </w:p>
        </w:tc>
      </w:tr>
      <w:tr w14:paraId="1CFA1131" w14:textId="77777777" w:rsidTr="00380670">
        <w:tblPrEx>
          <w:tblW w:w="9730" w:type="dxa"/>
          <w:jc w:val="center"/>
          <w:tblLayout w:type="fixed"/>
          <w:tblLook w:val="01E0"/>
        </w:tblPrEx>
        <w:trPr>
          <w:trHeight w:val="274"/>
          <w:jc w:val="center"/>
        </w:trPr>
        <w:tc>
          <w:tcPr>
            <w:tcW w:w="2515" w:type="dxa"/>
          </w:tcPr>
          <w:p w:rsidR="00B62DA9" w:rsidRPr="00380670" w:rsidP="00843796" w14:paraId="73BF92DD" w14:textId="3BC1BD72">
            <w:pPr>
              <w:rPr>
                <w:sz w:val="22"/>
                <w:szCs w:val="22"/>
              </w:rPr>
            </w:pPr>
            <w:r w:rsidRPr="00380670">
              <w:rPr>
                <w:sz w:val="22"/>
                <w:szCs w:val="22"/>
              </w:rPr>
              <w:t>DDDRP PPR -- Partners</w:t>
            </w:r>
          </w:p>
        </w:tc>
        <w:tc>
          <w:tcPr>
            <w:tcW w:w="1440" w:type="dxa"/>
          </w:tcPr>
          <w:p w:rsidR="00B62DA9" w:rsidRPr="00380670" w:rsidP="7E5B6C7D" w14:paraId="17722B1D" w14:textId="43D6369A">
            <w:pPr>
              <w:rPr>
                <w:sz w:val="22"/>
                <w:szCs w:val="22"/>
              </w:rPr>
            </w:pPr>
            <w:r w:rsidRPr="00380670">
              <w:rPr>
                <w:sz w:val="22"/>
                <w:szCs w:val="22"/>
              </w:rPr>
              <w:t>Private Sector</w:t>
            </w:r>
          </w:p>
        </w:tc>
        <w:tc>
          <w:tcPr>
            <w:tcW w:w="1530" w:type="dxa"/>
            <w:vAlign w:val="center"/>
          </w:tcPr>
          <w:p w:rsidR="00B62DA9" w:rsidRPr="00380670" w:rsidP="00380670" w14:paraId="11ECB0B5" w14:textId="25AFDB63">
            <w:pPr>
              <w:jc w:val="center"/>
              <w:rPr>
                <w:rFonts w:eastAsia="Aptos"/>
                <w:color w:val="000000" w:themeColor="text1"/>
                <w:sz w:val="22"/>
                <w:szCs w:val="22"/>
              </w:rPr>
            </w:pPr>
            <w:r w:rsidRPr="00380670">
              <w:rPr>
                <w:rFonts w:eastAsia="Aptos"/>
                <w:color w:val="000000" w:themeColor="text1"/>
                <w:sz w:val="22"/>
                <w:szCs w:val="22"/>
              </w:rPr>
              <w:t>224</w:t>
            </w:r>
          </w:p>
        </w:tc>
        <w:tc>
          <w:tcPr>
            <w:tcW w:w="1980" w:type="dxa"/>
            <w:vAlign w:val="center"/>
          </w:tcPr>
          <w:p w:rsidR="00B62DA9" w:rsidRPr="00380670" w:rsidP="00380670" w14:paraId="4043D9EF" w14:textId="31483C00">
            <w:pPr>
              <w:jc w:val="center"/>
              <w:rPr>
                <w:sz w:val="22"/>
                <w:szCs w:val="22"/>
              </w:rPr>
            </w:pPr>
            <w:r w:rsidRPr="00380670">
              <w:rPr>
                <w:sz w:val="22"/>
                <w:szCs w:val="22"/>
              </w:rPr>
              <w:t>4</w:t>
            </w:r>
          </w:p>
        </w:tc>
        <w:tc>
          <w:tcPr>
            <w:tcW w:w="1260" w:type="dxa"/>
            <w:vAlign w:val="center"/>
          </w:tcPr>
          <w:p w:rsidR="00B62DA9" w:rsidRPr="00380670" w:rsidP="00380670" w14:paraId="060C78EC" w14:textId="7E99A082">
            <w:pPr>
              <w:jc w:val="center"/>
              <w:rPr>
                <w:sz w:val="22"/>
                <w:szCs w:val="22"/>
              </w:rPr>
            </w:pPr>
            <w:r w:rsidRPr="00380670">
              <w:rPr>
                <w:sz w:val="22"/>
                <w:szCs w:val="22"/>
              </w:rPr>
              <w:t>3</w:t>
            </w:r>
          </w:p>
        </w:tc>
        <w:tc>
          <w:tcPr>
            <w:tcW w:w="1005" w:type="dxa"/>
            <w:vAlign w:val="center"/>
          </w:tcPr>
          <w:p w:rsidR="00B62DA9" w:rsidRPr="00380670" w:rsidP="00380670" w14:paraId="2787BA12" w14:textId="45464BF1">
            <w:pPr>
              <w:jc w:val="center"/>
              <w:rPr>
                <w:sz w:val="22"/>
                <w:szCs w:val="22"/>
              </w:rPr>
            </w:pPr>
            <w:r w:rsidRPr="00380670">
              <w:rPr>
                <w:sz w:val="22"/>
                <w:szCs w:val="22"/>
              </w:rPr>
              <w:t>2,688</w:t>
            </w:r>
          </w:p>
        </w:tc>
      </w:tr>
      <w:tr w14:paraId="1EEF1AA0" w14:textId="77777777" w:rsidTr="00380670">
        <w:tblPrEx>
          <w:tblW w:w="9730" w:type="dxa"/>
          <w:jc w:val="center"/>
          <w:tblLayout w:type="fixed"/>
          <w:tblLook w:val="01E0"/>
        </w:tblPrEx>
        <w:trPr>
          <w:trHeight w:val="274"/>
          <w:jc w:val="center"/>
        </w:trPr>
        <w:tc>
          <w:tcPr>
            <w:tcW w:w="3955" w:type="dxa"/>
            <w:gridSpan w:val="2"/>
            <w:vAlign w:val="center"/>
          </w:tcPr>
          <w:p w:rsidR="2361307D" w:rsidRPr="00380670" w:rsidP="00FB20EC" w14:paraId="5A015FAE" w14:textId="6732D62E">
            <w:pPr>
              <w:jc w:val="right"/>
              <w:rPr>
                <w:sz w:val="22"/>
                <w:szCs w:val="22"/>
              </w:rPr>
            </w:pPr>
            <w:r w:rsidRPr="00380670">
              <w:rPr>
                <w:sz w:val="22"/>
                <w:szCs w:val="22"/>
              </w:rPr>
              <w:t xml:space="preserve">Totals: </w:t>
            </w:r>
          </w:p>
        </w:tc>
        <w:tc>
          <w:tcPr>
            <w:tcW w:w="1530" w:type="dxa"/>
          </w:tcPr>
          <w:p w:rsidR="2361307D" w:rsidRPr="00380670" w:rsidP="1391B741" w14:paraId="655A29FD" w14:textId="43E300FD">
            <w:pPr>
              <w:jc w:val="center"/>
              <w:rPr>
                <w:rFonts w:eastAsia="Aptos"/>
                <w:color w:val="000000" w:themeColor="text1"/>
                <w:sz w:val="22"/>
                <w:szCs w:val="22"/>
              </w:rPr>
            </w:pPr>
            <w:r w:rsidRPr="00380670">
              <w:rPr>
                <w:rFonts w:eastAsia="Aptos"/>
                <w:color w:val="000000" w:themeColor="text1"/>
                <w:sz w:val="22"/>
                <w:szCs w:val="22"/>
              </w:rPr>
              <w:t>252</w:t>
            </w:r>
          </w:p>
        </w:tc>
        <w:tc>
          <w:tcPr>
            <w:tcW w:w="1980" w:type="dxa"/>
          </w:tcPr>
          <w:p w:rsidR="2361307D" w:rsidRPr="00380670" w:rsidP="1391B741" w14:paraId="3A6E1BF2" w14:textId="556D8E09">
            <w:pPr>
              <w:jc w:val="center"/>
              <w:rPr>
                <w:sz w:val="22"/>
                <w:szCs w:val="22"/>
              </w:rPr>
            </w:pPr>
            <w:r w:rsidRPr="00380670">
              <w:rPr>
                <w:sz w:val="22"/>
                <w:szCs w:val="22"/>
              </w:rPr>
              <w:t>4</w:t>
            </w:r>
          </w:p>
        </w:tc>
        <w:tc>
          <w:tcPr>
            <w:tcW w:w="1260" w:type="dxa"/>
          </w:tcPr>
          <w:p w:rsidR="2361307D" w:rsidRPr="00380670" w:rsidP="1391B741" w14:paraId="4D7627FD" w14:textId="1A2E2FA2">
            <w:pPr>
              <w:jc w:val="center"/>
              <w:rPr>
                <w:sz w:val="22"/>
                <w:szCs w:val="22"/>
              </w:rPr>
            </w:pPr>
            <w:r w:rsidRPr="00380670">
              <w:rPr>
                <w:sz w:val="22"/>
                <w:szCs w:val="22"/>
              </w:rPr>
              <w:t>Avg: 3.11</w:t>
            </w:r>
          </w:p>
        </w:tc>
        <w:tc>
          <w:tcPr>
            <w:tcW w:w="1005" w:type="dxa"/>
          </w:tcPr>
          <w:p w:rsidR="2361307D" w:rsidRPr="00380670" w:rsidP="1391B741" w14:paraId="797B38C1" w14:textId="2FBA3D83">
            <w:pPr>
              <w:jc w:val="center"/>
              <w:rPr>
                <w:sz w:val="22"/>
                <w:szCs w:val="22"/>
              </w:rPr>
            </w:pPr>
            <w:r w:rsidRPr="00380670">
              <w:rPr>
                <w:sz w:val="22"/>
                <w:szCs w:val="22"/>
              </w:rPr>
              <w:t>3,136</w:t>
            </w:r>
          </w:p>
        </w:tc>
      </w:tr>
    </w:tbl>
    <w:p w:rsidR="00F3170F" w:rsidP="00F3170F" w14:paraId="7E3C83D4" w14:textId="77777777"/>
    <w:p w:rsidR="00C2702E" w:rsidP="00A403BB" w14:paraId="60EA3CF9" w14:textId="7A5EB99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is </w:t>
      </w:r>
      <w:r w:rsidR="00451ED4">
        <w:t>$8,600.</w:t>
      </w:r>
      <w:r w:rsidR="00C86E91">
        <w:t xml:space="preserve"> </w:t>
      </w:r>
      <w:r w:rsidR="00451ED4">
        <w:rPr>
          <w:rStyle w:val="normaltextrun"/>
          <w:color w:val="000000"/>
          <w:shd w:val="clear" w:color="auto" w:fill="FFFFFF"/>
        </w:rPr>
        <w:t>The average salary of the staff working on this program is a GS12, which is compensated at an average wage rate of $89,834 annually, $43 hourly. It is anticipated that federal staff will spend about 200 hours on this project.</w:t>
      </w:r>
      <w:r w:rsidR="00451ED4">
        <w:rPr>
          <w:rStyle w:val="eop"/>
          <w:color w:val="000000"/>
          <w:shd w:val="clear" w:color="auto" w:fill="FFFFFF"/>
        </w:rPr>
        <w:t> </w:t>
      </w:r>
    </w:p>
    <w:p w:rsidR="00451ED4" w:rsidP="00A403BB" w14:paraId="0EA85BFB" w14:textId="77777777">
      <w:pPr>
        <w:rPr>
          <w:b/>
        </w:rPr>
      </w:pPr>
    </w:p>
    <w:p w:rsidR="00A403BB" w:rsidP="00380670" w14:paraId="272F7DC0" w14:textId="181E63E0">
      <w:pPr>
        <w:spacing w:after="60"/>
        <w:rPr>
          <w:b/>
        </w:rPr>
      </w:pPr>
      <w:r>
        <w:rPr>
          <w:b/>
        </w:rPr>
        <w:t>TYPE OF COLLECTION:</w:t>
      </w:r>
    </w:p>
    <w:p w:rsidR="00A403BB" w:rsidP="00630A62" w14:paraId="3A3DFF42" w14:textId="77777777">
      <w:pPr>
        <w:pStyle w:val="ListParagraph"/>
        <w:ind w:left="360"/>
      </w:pPr>
      <w:r>
        <w:t>H</w:t>
      </w:r>
      <w:r>
        <w:t>ow will you collect the information? (Check all that apply)</w:t>
      </w:r>
    </w:p>
    <w:p w:rsidR="001B0AAA" w:rsidP="001B0AAA" w14:paraId="77764D7B" w14:textId="2ADF5102">
      <w:pPr>
        <w:ind w:left="720"/>
      </w:pPr>
      <w:r>
        <w:t>[</w:t>
      </w:r>
      <w:r w:rsidR="72492DE2">
        <w:t>X</w:t>
      </w:r>
      <w:r>
        <w:t>] Web-based</w:t>
      </w:r>
      <w:r>
        <w:t xml:space="preserve">  </w:t>
      </w:r>
    </w:p>
    <w:p w:rsidR="001B0AAA" w:rsidP="001B0AAA" w14:paraId="108764F8" w14:textId="3A5592F4">
      <w:pPr>
        <w:ind w:left="720"/>
      </w:pPr>
      <w:r>
        <w:t>[  ]</w:t>
      </w:r>
      <w:r>
        <w:t xml:space="preserve">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5E714A" w:rsidRPr="008228C3" w:rsidP="00380670" w14:paraId="3C79FE5A" w14:textId="708B71E4">
      <w:pPr>
        <w:ind w:left="720"/>
      </w:pPr>
      <w:r>
        <w:t xml:space="preserve">[ </w:t>
      </w:r>
      <w:r w:rsidR="001B0AAA">
        <w:t xml:space="preserve"> </w:t>
      </w:r>
      <w:r>
        <w:t>]</w:t>
      </w:r>
      <w:r>
        <w:t xml:space="preserve"> Other, Explai</w:t>
      </w:r>
      <w:r w:rsidR="00380670">
        <w:t>n</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E9F912"/>
    <w:multiLevelType w:val="hybridMultilevel"/>
    <w:tmpl w:val="3DBA5F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26CC8F5"/>
    <w:multiLevelType w:val="hybridMultilevel"/>
    <w:tmpl w:val="8B84B00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8301506">
    <w:abstractNumId w:val="2"/>
  </w:num>
  <w:num w:numId="2" w16cid:durableId="2000421430">
    <w:abstractNumId w:val="3"/>
  </w:num>
  <w:num w:numId="3" w16cid:durableId="640043832">
    <w:abstractNumId w:val="1"/>
  </w:num>
  <w:num w:numId="4" w16cid:durableId="1047296339">
    <w:abstractNumId w:val="0"/>
  </w:num>
  <w:num w:numId="5" w16cid:durableId="20176160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12D1"/>
    <w:rsid w:val="000F68BE"/>
    <w:rsid w:val="001274DD"/>
    <w:rsid w:val="00133BEB"/>
    <w:rsid w:val="00134EEC"/>
    <w:rsid w:val="00152CE4"/>
    <w:rsid w:val="001927A4"/>
    <w:rsid w:val="00194AC6"/>
    <w:rsid w:val="00196E2D"/>
    <w:rsid w:val="001A23B0"/>
    <w:rsid w:val="001A25CC"/>
    <w:rsid w:val="001B0AAA"/>
    <w:rsid w:val="001C39F7"/>
    <w:rsid w:val="001D4A37"/>
    <w:rsid w:val="002020CB"/>
    <w:rsid w:val="00237B48"/>
    <w:rsid w:val="0024521E"/>
    <w:rsid w:val="00263C3D"/>
    <w:rsid w:val="00274D0B"/>
    <w:rsid w:val="002969EF"/>
    <w:rsid w:val="002B052D"/>
    <w:rsid w:val="002B34CD"/>
    <w:rsid w:val="002B3C95"/>
    <w:rsid w:val="002D0B92"/>
    <w:rsid w:val="00351A0F"/>
    <w:rsid w:val="00380670"/>
    <w:rsid w:val="00390591"/>
    <w:rsid w:val="003A183F"/>
    <w:rsid w:val="003D5BBE"/>
    <w:rsid w:val="003E3C61"/>
    <w:rsid w:val="003F1C5B"/>
    <w:rsid w:val="003F5F22"/>
    <w:rsid w:val="0041242E"/>
    <w:rsid w:val="00430748"/>
    <w:rsid w:val="00434E33"/>
    <w:rsid w:val="004410DB"/>
    <w:rsid w:val="00441434"/>
    <w:rsid w:val="00451ED4"/>
    <w:rsid w:val="0045264C"/>
    <w:rsid w:val="00453619"/>
    <w:rsid w:val="004651E5"/>
    <w:rsid w:val="004677A8"/>
    <w:rsid w:val="004876EC"/>
    <w:rsid w:val="004879BF"/>
    <w:rsid w:val="004D6E14"/>
    <w:rsid w:val="004F1736"/>
    <w:rsid w:val="005009B0"/>
    <w:rsid w:val="0052440B"/>
    <w:rsid w:val="00534D18"/>
    <w:rsid w:val="00584618"/>
    <w:rsid w:val="0058602A"/>
    <w:rsid w:val="005936D8"/>
    <w:rsid w:val="005958E0"/>
    <w:rsid w:val="005A1006"/>
    <w:rsid w:val="005E2229"/>
    <w:rsid w:val="005E714A"/>
    <w:rsid w:val="005F693D"/>
    <w:rsid w:val="006140A0"/>
    <w:rsid w:val="00630A62"/>
    <w:rsid w:val="00636621"/>
    <w:rsid w:val="00642B49"/>
    <w:rsid w:val="006832D9"/>
    <w:rsid w:val="00683B51"/>
    <w:rsid w:val="0069403B"/>
    <w:rsid w:val="006B57D0"/>
    <w:rsid w:val="006C7BB3"/>
    <w:rsid w:val="006E496E"/>
    <w:rsid w:val="006F3DDE"/>
    <w:rsid w:val="00704678"/>
    <w:rsid w:val="00707318"/>
    <w:rsid w:val="00727FA4"/>
    <w:rsid w:val="007425E7"/>
    <w:rsid w:val="00751779"/>
    <w:rsid w:val="00787F49"/>
    <w:rsid w:val="007D15CF"/>
    <w:rsid w:val="007E3387"/>
    <w:rsid w:val="007F7080"/>
    <w:rsid w:val="00802607"/>
    <w:rsid w:val="008101A5"/>
    <w:rsid w:val="00822664"/>
    <w:rsid w:val="008228C3"/>
    <w:rsid w:val="00843796"/>
    <w:rsid w:val="008502D7"/>
    <w:rsid w:val="00895229"/>
    <w:rsid w:val="008B2EB3"/>
    <w:rsid w:val="008C2270"/>
    <w:rsid w:val="008C7D85"/>
    <w:rsid w:val="008D36AD"/>
    <w:rsid w:val="008D49D0"/>
    <w:rsid w:val="008F0203"/>
    <w:rsid w:val="008F50D4"/>
    <w:rsid w:val="008F63B5"/>
    <w:rsid w:val="009239AA"/>
    <w:rsid w:val="00925AB5"/>
    <w:rsid w:val="0093272F"/>
    <w:rsid w:val="00935ADA"/>
    <w:rsid w:val="00946B6C"/>
    <w:rsid w:val="00955A71"/>
    <w:rsid w:val="0096108F"/>
    <w:rsid w:val="0098404E"/>
    <w:rsid w:val="009B135C"/>
    <w:rsid w:val="009B52DC"/>
    <w:rsid w:val="009C13B9"/>
    <w:rsid w:val="009D01A2"/>
    <w:rsid w:val="009F5923"/>
    <w:rsid w:val="00A064F6"/>
    <w:rsid w:val="00A06BD9"/>
    <w:rsid w:val="00A403BB"/>
    <w:rsid w:val="00A43A37"/>
    <w:rsid w:val="00A674DF"/>
    <w:rsid w:val="00A83AA6"/>
    <w:rsid w:val="00A85C54"/>
    <w:rsid w:val="00A85DFC"/>
    <w:rsid w:val="00A913C5"/>
    <w:rsid w:val="00A934D6"/>
    <w:rsid w:val="00A94B00"/>
    <w:rsid w:val="00A9524E"/>
    <w:rsid w:val="00AD190F"/>
    <w:rsid w:val="00AE1809"/>
    <w:rsid w:val="00AF47AD"/>
    <w:rsid w:val="00B0189D"/>
    <w:rsid w:val="00B25057"/>
    <w:rsid w:val="00B62DA9"/>
    <w:rsid w:val="00B65832"/>
    <w:rsid w:val="00B80D76"/>
    <w:rsid w:val="00B824F4"/>
    <w:rsid w:val="00B954CA"/>
    <w:rsid w:val="00BA2105"/>
    <w:rsid w:val="00BA7E06"/>
    <w:rsid w:val="00BB43B5"/>
    <w:rsid w:val="00BB6219"/>
    <w:rsid w:val="00BC789E"/>
    <w:rsid w:val="00BD290F"/>
    <w:rsid w:val="00BD3E02"/>
    <w:rsid w:val="00BD78CA"/>
    <w:rsid w:val="00BE5EE4"/>
    <w:rsid w:val="00C14CC4"/>
    <w:rsid w:val="00C25899"/>
    <w:rsid w:val="00C2702E"/>
    <w:rsid w:val="00C27F29"/>
    <w:rsid w:val="00C33C52"/>
    <w:rsid w:val="00C40D8B"/>
    <w:rsid w:val="00C53C1E"/>
    <w:rsid w:val="00C8407A"/>
    <w:rsid w:val="00C8488C"/>
    <w:rsid w:val="00C86E91"/>
    <w:rsid w:val="00C93D56"/>
    <w:rsid w:val="00CA2650"/>
    <w:rsid w:val="00CA565E"/>
    <w:rsid w:val="00CB1078"/>
    <w:rsid w:val="00CC3B29"/>
    <w:rsid w:val="00CC6FAF"/>
    <w:rsid w:val="00CF6542"/>
    <w:rsid w:val="00D11C94"/>
    <w:rsid w:val="00D245D5"/>
    <w:rsid w:val="00D24698"/>
    <w:rsid w:val="00D6383F"/>
    <w:rsid w:val="00D82880"/>
    <w:rsid w:val="00DB59D0"/>
    <w:rsid w:val="00DC33D3"/>
    <w:rsid w:val="00DE7149"/>
    <w:rsid w:val="00E02310"/>
    <w:rsid w:val="00E23C53"/>
    <w:rsid w:val="00E26329"/>
    <w:rsid w:val="00E40B50"/>
    <w:rsid w:val="00E50293"/>
    <w:rsid w:val="00E61997"/>
    <w:rsid w:val="00E65FFC"/>
    <w:rsid w:val="00E744EA"/>
    <w:rsid w:val="00E80951"/>
    <w:rsid w:val="00E86CC6"/>
    <w:rsid w:val="00EB56B3"/>
    <w:rsid w:val="00ED6492"/>
    <w:rsid w:val="00EF2095"/>
    <w:rsid w:val="00F06866"/>
    <w:rsid w:val="00F15956"/>
    <w:rsid w:val="00F24CFC"/>
    <w:rsid w:val="00F3170F"/>
    <w:rsid w:val="00F37531"/>
    <w:rsid w:val="00F51AC7"/>
    <w:rsid w:val="00F85161"/>
    <w:rsid w:val="00F87126"/>
    <w:rsid w:val="00F976B0"/>
    <w:rsid w:val="00FA6DE7"/>
    <w:rsid w:val="00FA7F72"/>
    <w:rsid w:val="00FB20EC"/>
    <w:rsid w:val="00FC0A8E"/>
    <w:rsid w:val="00FE2FA6"/>
    <w:rsid w:val="00FE3DF2"/>
    <w:rsid w:val="01284714"/>
    <w:rsid w:val="016E535E"/>
    <w:rsid w:val="03D39F24"/>
    <w:rsid w:val="03DBFC97"/>
    <w:rsid w:val="048C3F82"/>
    <w:rsid w:val="05C35AA7"/>
    <w:rsid w:val="063E7118"/>
    <w:rsid w:val="06D4D1ED"/>
    <w:rsid w:val="07D927CA"/>
    <w:rsid w:val="09D36E06"/>
    <w:rsid w:val="0CAEB95E"/>
    <w:rsid w:val="0D1E5941"/>
    <w:rsid w:val="0D4B09EC"/>
    <w:rsid w:val="0DA103CD"/>
    <w:rsid w:val="0E085286"/>
    <w:rsid w:val="0F040611"/>
    <w:rsid w:val="0F17F6F8"/>
    <w:rsid w:val="0F653D98"/>
    <w:rsid w:val="12154AAD"/>
    <w:rsid w:val="1391B741"/>
    <w:rsid w:val="163A9CA6"/>
    <w:rsid w:val="17347858"/>
    <w:rsid w:val="178C98CF"/>
    <w:rsid w:val="192DDDB0"/>
    <w:rsid w:val="1BB758FC"/>
    <w:rsid w:val="1BE2B9EB"/>
    <w:rsid w:val="1C005C81"/>
    <w:rsid w:val="1C65FDB8"/>
    <w:rsid w:val="1C73BAC8"/>
    <w:rsid w:val="1CD8F4E2"/>
    <w:rsid w:val="1D904A49"/>
    <w:rsid w:val="1DFAEEC1"/>
    <w:rsid w:val="1E315051"/>
    <w:rsid w:val="1E4DFA2E"/>
    <w:rsid w:val="1F1CE10F"/>
    <w:rsid w:val="1F598FCF"/>
    <w:rsid w:val="208BC063"/>
    <w:rsid w:val="21CB2F98"/>
    <w:rsid w:val="2214F1C3"/>
    <w:rsid w:val="22ADA7CE"/>
    <w:rsid w:val="23216B51"/>
    <w:rsid w:val="2361307D"/>
    <w:rsid w:val="23E310B2"/>
    <w:rsid w:val="25433C60"/>
    <w:rsid w:val="258FD349"/>
    <w:rsid w:val="2633F813"/>
    <w:rsid w:val="26FD97D5"/>
    <w:rsid w:val="2725991D"/>
    <w:rsid w:val="28B1521A"/>
    <w:rsid w:val="28DBF496"/>
    <w:rsid w:val="2911B672"/>
    <w:rsid w:val="29143E32"/>
    <w:rsid w:val="292205CB"/>
    <w:rsid w:val="29E76F08"/>
    <w:rsid w:val="2B69A22B"/>
    <w:rsid w:val="2B826F70"/>
    <w:rsid w:val="2C37B62D"/>
    <w:rsid w:val="2C5E5C47"/>
    <w:rsid w:val="2E07D6CD"/>
    <w:rsid w:val="2E44DB98"/>
    <w:rsid w:val="2E4B675D"/>
    <w:rsid w:val="2EA04374"/>
    <w:rsid w:val="30E7400F"/>
    <w:rsid w:val="314B60B6"/>
    <w:rsid w:val="31C3BEC5"/>
    <w:rsid w:val="31F0FFB8"/>
    <w:rsid w:val="325047D5"/>
    <w:rsid w:val="32F2DFEA"/>
    <w:rsid w:val="3334198B"/>
    <w:rsid w:val="3345636C"/>
    <w:rsid w:val="33A0F3A2"/>
    <w:rsid w:val="33CEC6F5"/>
    <w:rsid w:val="33E673D5"/>
    <w:rsid w:val="341229B1"/>
    <w:rsid w:val="34DACF53"/>
    <w:rsid w:val="34DDE657"/>
    <w:rsid w:val="356ED8BE"/>
    <w:rsid w:val="35ADFA12"/>
    <w:rsid w:val="36D3944A"/>
    <w:rsid w:val="36E4EFCE"/>
    <w:rsid w:val="3728F388"/>
    <w:rsid w:val="37C29BEE"/>
    <w:rsid w:val="37D2C57B"/>
    <w:rsid w:val="37E753CB"/>
    <w:rsid w:val="38223225"/>
    <w:rsid w:val="39341320"/>
    <w:rsid w:val="3B27970F"/>
    <w:rsid w:val="3C8099D3"/>
    <w:rsid w:val="3DC78E8B"/>
    <w:rsid w:val="3FE85F45"/>
    <w:rsid w:val="401151FE"/>
    <w:rsid w:val="407AEF16"/>
    <w:rsid w:val="40D83FCD"/>
    <w:rsid w:val="418204DF"/>
    <w:rsid w:val="4200AF74"/>
    <w:rsid w:val="427ED4B1"/>
    <w:rsid w:val="433124B3"/>
    <w:rsid w:val="439C95CB"/>
    <w:rsid w:val="43EBA939"/>
    <w:rsid w:val="4597BEC4"/>
    <w:rsid w:val="45CC0B62"/>
    <w:rsid w:val="466C4037"/>
    <w:rsid w:val="46809382"/>
    <w:rsid w:val="47CBFB7C"/>
    <w:rsid w:val="487E56C1"/>
    <w:rsid w:val="4954802B"/>
    <w:rsid w:val="497C59CB"/>
    <w:rsid w:val="4A50C0CE"/>
    <w:rsid w:val="4AC3A4DA"/>
    <w:rsid w:val="4B306EC1"/>
    <w:rsid w:val="4B6098A6"/>
    <w:rsid w:val="4B722995"/>
    <w:rsid w:val="4C43E9ED"/>
    <w:rsid w:val="4C83E7C1"/>
    <w:rsid w:val="4CEA6ABC"/>
    <w:rsid w:val="4CFDB094"/>
    <w:rsid w:val="4D4C0ACE"/>
    <w:rsid w:val="4E254E03"/>
    <w:rsid w:val="4EAF84F9"/>
    <w:rsid w:val="4F72EDA8"/>
    <w:rsid w:val="51F24289"/>
    <w:rsid w:val="527DC5BD"/>
    <w:rsid w:val="52C74E2C"/>
    <w:rsid w:val="53670410"/>
    <w:rsid w:val="55592A40"/>
    <w:rsid w:val="55F73175"/>
    <w:rsid w:val="59E2D460"/>
    <w:rsid w:val="5A2D48CB"/>
    <w:rsid w:val="5A43F569"/>
    <w:rsid w:val="5B162968"/>
    <w:rsid w:val="5C81E0A2"/>
    <w:rsid w:val="5C9B96D2"/>
    <w:rsid w:val="5D019BCC"/>
    <w:rsid w:val="5D02170E"/>
    <w:rsid w:val="5E06D6AF"/>
    <w:rsid w:val="60327F1C"/>
    <w:rsid w:val="606873EA"/>
    <w:rsid w:val="60ACD460"/>
    <w:rsid w:val="62A6915B"/>
    <w:rsid w:val="6372824A"/>
    <w:rsid w:val="678F6332"/>
    <w:rsid w:val="684BE062"/>
    <w:rsid w:val="68545AEF"/>
    <w:rsid w:val="68559590"/>
    <w:rsid w:val="68EAAA91"/>
    <w:rsid w:val="6AC703F4"/>
    <w:rsid w:val="6B2DE4A5"/>
    <w:rsid w:val="6C2AA92F"/>
    <w:rsid w:val="6F18A73E"/>
    <w:rsid w:val="6FB8A512"/>
    <w:rsid w:val="70A8F4CE"/>
    <w:rsid w:val="71364578"/>
    <w:rsid w:val="71D1E581"/>
    <w:rsid w:val="7241791A"/>
    <w:rsid w:val="72492DE2"/>
    <w:rsid w:val="72BDC28E"/>
    <w:rsid w:val="72D215D9"/>
    <w:rsid w:val="7386803D"/>
    <w:rsid w:val="744ED6B3"/>
    <w:rsid w:val="75F56350"/>
    <w:rsid w:val="7632310E"/>
    <w:rsid w:val="76FA0554"/>
    <w:rsid w:val="77A644D0"/>
    <w:rsid w:val="793542DD"/>
    <w:rsid w:val="7975DE37"/>
    <w:rsid w:val="7AAD229C"/>
    <w:rsid w:val="7B3B0613"/>
    <w:rsid w:val="7C3BA594"/>
    <w:rsid w:val="7CF08CFD"/>
    <w:rsid w:val="7CF37D43"/>
    <w:rsid w:val="7E33A8E1"/>
    <w:rsid w:val="7E43C13A"/>
    <w:rsid w:val="7E5B6C7D"/>
    <w:rsid w:val="7F67D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CoverPage-Part">
    <w:name w:val="CoverPage-Part"/>
    <w:basedOn w:val="Normal"/>
    <w:uiPriority w:val="1"/>
    <w:rsid w:val="7E5B6C7D"/>
    <w:pPr>
      <w:spacing w:before="1200" w:after="1200" w:line="240" w:lineRule="atLeast"/>
      <w:ind w:left="1812" w:hanging="1092"/>
      <w:contextualSpacing/>
    </w:pPr>
    <w:rPr>
      <w:rFonts w:ascii="Franklin Gothic Medium" w:hAnsi="Franklin Gothic Medium"/>
      <w:color w:val="003C79"/>
      <w:sz w:val="32"/>
      <w:szCs w:val="32"/>
    </w:rPr>
  </w:style>
  <w:style w:type="paragraph" w:styleId="Revision">
    <w:name w:val="Revision"/>
    <w:hidden/>
    <w:uiPriority w:val="99"/>
    <w:semiHidden/>
    <w:rsid w:val="008502D7"/>
    <w:rPr>
      <w:sz w:val="24"/>
      <w:szCs w:val="24"/>
    </w:rPr>
  </w:style>
  <w:style w:type="character" w:customStyle="1" w:styleId="normaltextrun">
    <w:name w:val="normaltextrun"/>
    <w:basedOn w:val="DefaultParagraphFont"/>
    <w:rsid w:val="00451ED4"/>
  </w:style>
  <w:style w:type="character" w:customStyle="1" w:styleId="eop">
    <w:name w:val="eop"/>
    <w:basedOn w:val="DefaultParagraphFont"/>
    <w:rsid w:val="0045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SharedWithUsers xmlns="7b72a0d3-efc9-4903-a64c-0c2bc5fcdc5e">
      <UserInfo>
        <DisplayName>Jones, Molly (ACF)</DisplayName>
        <AccountId>107</AccountId>
        <AccountType/>
      </UserInfo>
    </SharedWithUsers>
    <ReportType xmlns="8b356d89-5b8b-4510-8b76-5337e716044f" xsi:nil="true"/>
    <Grantee xmlns="8b356d89-5b8b-4510-8b76-5337e716044f" xsi:nil="true"/>
    <ReportPeriodEndDate xmlns="8b356d89-5b8b-4510-8b76-5337e71604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A40AF65F-897F-4A80-B016-CEFDCFEDE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45027-7972-460F-BAE4-4FC4A813F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824</Words>
  <Characters>4692</Characters>
  <Application>Microsoft Office Word</Application>
  <DocSecurity>0</DocSecurity>
  <Lines>39</Lines>
  <Paragraphs>11</Paragraphs>
  <ScaleCrop>false</ScaleCrop>
  <Company>ssa</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2024-10-10T09:53:00Z</dcterms:created>
  <dcterms:modified xsi:type="dcterms:W3CDTF">2024-10-10T09:53:00Z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y fmtid="{D5CDD505-2E9C-101B-9397-08002B2CF9AE}" pid="4" name="_NewReviewCycle">
    <vt:lpwstr/>
  </property>
</Properties>
</file>