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506D6" w:rsidRPr="0011122A" w:rsidP="005506D6" w14:paraId="66919195" w14:textId="2B2C174E">
      <w:pPr>
        <w:tabs>
          <w:tab w:val="left" w:pos="0"/>
        </w:tabs>
        <w:suppressAutoHyphens/>
        <w:jc w:val="center"/>
        <w:rPr>
          <w:b/>
          <w:sz w:val="24"/>
          <w:szCs w:val="24"/>
        </w:rPr>
      </w:pPr>
      <w:r w:rsidRPr="0011122A">
        <w:rPr>
          <w:b/>
          <w:sz w:val="24"/>
          <w:szCs w:val="24"/>
        </w:rPr>
        <w:t xml:space="preserve">Supporting Statement </w:t>
      </w:r>
      <w:r w:rsidR="006E5FD0">
        <w:rPr>
          <w:b/>
          <w:sz w:val="24"/>
          <w:szCs w:val="24"/>
        </w:rPr>
        <w:t>for</w:t>
      </w:r>
    </w:p>
    <w:p w:rsidR="005506D6" w:rsidRPr="0011122A" w:rsidP="005506D6" w14:paraId="798AECCC" w14:textId="77777777">
      <w:pPr>
        <w:pStyle w:val="Heading3"/>
        <w:rPr>
          <w:rFonts w:ascii="Times New Roman" w:hAnsi="Times New Roman" w:cs="Times New Roman"/>
          <w:b/>
        </w:rPr>
      </w:pPr>
      <w:r w:rsidRPr="0011122A">
        <w:rPr>
          <w:rFonts w:ascii="Times New Roman" w:hAnsi="Times New Roman" w:cs="Times New Roman"/>
          <w:b/>
        </w:rPr>
        <w:t>Protection and Advocacy for Beneficiaries of Social Security (PABSS)</w:t>
      </w:r>
    </w:p>
    <w:p w:rsidR="005506D6" w:rsidRPr="0011122A" w:rsidP="005506D6" w14:paraId="61AB4EFC" w14:textId="77777777">
      <w:pPr>
        <w:jc w:val="center"/>
        <w:rPr>
          <w:b/>
          <w:sz w:val="24"/>
          <w:szCs w:val="24"/>
        </w:rPr>
      </w:pPr>
      <w:r w:rsidRPr="0011122A">
        <w:rPr>
          <w:b/>
          <w:sz w:val="24"/>
          <w:szCs w:val="24"/>
        </w:rPr>
        <w:t>20 CFR 435.51-435.52</w:t>
      </w:r>
    </w:p>
    <w:p w:rsidR="004768F8" w:rsidP="005506D6" w14:paraId="04020393" w14:textId="77777777">
      <w:pPr>
        <w:jc w:val="center"/>
        <w:rPr>
          <w:b/>
          <w:sz w:val="24"/>
          <w:szCs w:val="24"/>
          <w:lang w:eastAsia="en-US"/>
        </w:rPr>
      </w:pPr>
      <w:r w:rsidRPr="0011122A">
        <w:rPr>
          <w:b/>
          <w:bCs/>
          <w:sz w:val="24"/>
          <w:szCs w:val="24"/>
        </w:rPr>
        <w:t>OMB No.</w:t>
      </w:r>
      <w:r w:rsidRPr="0011122A">
        <w:rPr>
          <w:b/>
          <w:sz w:val="24"/>
          <w:szCs w:val="24"/>
          <w:lang w:eastAsia="en-US"/>
        </w:rPr>
        <w:t xml:space="preserve"> 0960-0768</w:t>
      </w:r>
      <w:r w:rsidR="00A426F2">
        <w:rPr>
          <w:b/>
          <w:sz w:val="24"/>
          <w:szCs w:val="24"/>
          <w:lang w:eastAsia="en-US"/>
        </w:rPr>
        <w:t xml:space="preserve"> </w:t>
      </w:r>
    </w:p>
    <w:p w:rsidR="00D00D5B" w:rsidRPr="0011122A" w:rsidP="0072370B" w14:paraId="4416A3B2" w14:textId="77777777">
      <w:pPr>
        <w:rPr>
          <w:b/>
          <w:sz w:val="24"/>
          <w:szCs w:val="24"/>
          <w:lang w:eastAsia="en-US"/>
        </w:rPr>
      </w:pPr>
    </w:p>
    <w:p w:rsidR="005506D6" w:rsidP="00CA12E3" w14:paraId="7D5314FC" w14:textId="77777777">
      <w:pPr>
        <w:pStyle w:val="ListParagraph"/>
        <w:numPr>
          <w:ilvl w:val="0"/>
          <w:numId w:val="1"/>
        </w:numPr>
        <w:ind w:hanging="540"/>
        <w:rPr>
          <w:b/>
          <w:sz w:val="24"/>
          <w:szCs w:val="24"/>
          <w:u w:val="single"/>
        </w:rPr>
      </w:pPr>
      <w:r w:rsidRPr="0011122A">
        <w:rPr>
          <w:b/>
          <w:sz w:val="24"/>
          <w:szCs w:val="24"/>
          <w:u w:val="single"/>
        </w:rPr>
        <w:t>Justification</w:t>
      </w:r>
    </w:p>
    <w:p w:rsidR="00310517" w:rsidP="00310517" w14:paraId="55C9CC25" w14:textId="77777777">
      <w:pPr>
        <w:pStyle w:val="ListParagraph"/>
        <w:rPr>
          <w:b/>
          <w:sz w:val="24"/>
          <w:szCs w:val="24"/>
          <w:u w:val="single"/>
        </w:rPr>
      </w:pPr>
    </w:p>
    <w:p w:rsidR="00310517" w:rsidP="00310517" w14:paraId="1F1E25C0" w14:textId="6928F6F4">
      <w:pPr>
        <w:pStyle w:val="ListParagraph"/>
        <w:numPr>
          <w:ilvl w:val="0"/>
          <w:numId w:val="3"/>
        </w:numPr>
        <w:rPr>
          <w:b/>
          <w:sz w:val="24"/>
          <w:szCs w:val="24"/>
        </w:rPr>
      </w:pPr>
      <w:r w:rsidRPr="0011122A">
        <w:rPr>
          <w:b/>
          <w:sz w:val="24"/>
          <w:szCs w:val="24"/>
        </w:rPr>
        <w:t>Introduction/Authoring Laws and Regulations</w:t>
      </w:r>
    </w:p>
    <w:p w:rsidR="00310517" w:rsidP="00310517" w14:paraId="2E651477" w14:textId="5E033DC0">
      <w:pPr>
        <w:pStyle w:val="ListParagraph"/>
        <w:ind w:left="1080"/>
        <w:rPr>
          <w:sz w:val="24"/>
          <w:szCs w:val="24"/>
        </w:rPr>
      </w:pPr>
      <w:r w:rsidRPr="003617EB">
        <w:rPr>
          <w:sz w:val="24"/>
          <w:szCs w:val="24"/>
        </w:rPr>
        <w:t>Legislative authority for this grant is in Section</w:t>
      </w:r>
      <w:r w:rsidRPr="003617EB">
        <w:rPr>
          <w:i/>
          <w:sz w:val="24"/>
          <w:szCs w:val="24"/>
        </w:rPr>
        <w:t xml:space="preserve"> 1150 </w:t>
      </w:r>
      <w:r w:rsidRPr="003617EB">
        <w:rPr>
          <w:sz w:val="24"/>
          <w:szCs w:val="24"/>
        </w:rPr>
        <w:t>of the</w:t>
      </w:r>
      <w:r w:rsidRPr="003617EB">
        <w:rPr>
          <w:i/>
          <w:sz w:val="24"/>
          <w:szCs w:val="24"/>
        </w:rPr>
        <w:t xml:space="preserve"> Social Security Act (Act) </w:t>
      </w:r>
      <w:r w:rsidRPr="003617EB">
        <w:rPr>
          <w:sz w:val="24"/>
          <w:szCs w:val="24"/>
        </w:rPr>
        <w:t xml:space="preserve">as added by Section </w:t>
      </w:r>
      <w:r w:rsidRPr="003617EB">
        <w:rPr>
          <w:i/>
          <w:sz w:val="24"/>
          <w:szCs w:val="24"/>
        </w:rPr>
        <w:t>122</w:t>
      </w:r>
      <w:r w:rsidRPr="003617EB">
        <w:rPr>
          <w:sz w:val="24"/>
          <w:szCs w:val="24"/>
        </w:rPr>
        <w:t xml:space="preserve"> of </w:t>
      </w:r>
      <w:r w:rsidRPr="003617EB">
        <w:rPr>
          <w:i/>
          <w:sz w:val="24"/>
          <w:szCs w:val="24"/>
        </w:rPr>
        <w:t>Public Law (</w:t>
      </w:r>
      <w:r w:rsidRPr="003617EB">
        <w:rPr>
          <w:i/>
          <w:sz w:val="24"/>
          <w:szCs w:val="24"/>
        </w:rPr>
        <w:t>Pub.L</w:t>
      </w:r>
      <w:r w:rsidRPr="003617EB">
        <w:rPr>
          <w:i/>
          <w:sz w:val="24"/>
          <w:szCs w:val="24"/>
        </w:rPr>
        <w:t>.) 106-170 (The Ticket to Work and Work Incentives Improvement Act of 1999)</w:t>
      </w:r>
      <w:r w:rsidRPr="003617EB">
        <w:rPr>
          <w:sz w:val="24"/>
          <w:szCs w:val="24"/>
        </w:rPr>
        <w:t xml:space="preserve"> and amended by Sections</w:t>
      </w:r>
      <w:r w:rsidRPr="003617EB">
        <w:rPr>
          <w:i/>
          <w:sz w:val="24"/>
          <w:szCs w:val="24"/>
        </w:rPr>
        <w:t xml:space="preserve"> 404 </w:t>
      </w:r>
      <w:r w:rsidRPr="003617EB">
        <w:rPr>
          <w:sz w:val="24"/>
          <w:szCs w:val="24"/>
        </w:rPr>
        <w:t>and</w:t>
      </w:r>
      <w:r w:rsidRPr="003617EB">
        <w:rPr>
          <w:i/>
          <w:sz w:val="24"/>
          <w:szCs w:val="24"/>
        </w:rPr>
        <w:t xml:space="preserve"> 407</w:t>
      </w:r>
      <w:r w:rsidRPr="003617EB">
        <w:rPr>
          <w:sz w:val="24"/>
          <w:szCs w:val="24"/>
        </w:rPr>
        <w:t xml:space="preserve"> of </w:t>
      </w:r>
      <w:r w:rsidRPr="003617EB">
        <w:rPr>
          <w:i/>
          <w:sz w:val="24"/>
          <w:szCs w:val="24"/>
        </w:rPr>
        <w:t>Pub.L</w:t>
      </w:r>
      <w:r w:rsidRPr="003617EB">
        <w:rPr>
          <w:i/>
          <w:sz w:val="24"/>
          <w:szCs w:val="24"/>
        </w:rPr>
        <w:t>. 108-203</w:t>
      </w:r>
      <w:r>
        <w:rPr>
          <w:sz w:val="24"/>
          <w:szCs w:val="24"/>
        </w:rPr>
        <w:t>.</w:t>
      </w:r>
      <w:r w:rsidRPr="003617EB">
        <w:rPr>
          <w:sz w:val="24"/>
          <w:szCs w:val="24"/>
        </w:rPr>
        <w:t xml:space="preserve"> </w:t>
      </w:r>
      <w:r>
        <w:rPr>
          <w:sz w:val="24"/>
          <w:szCs w:val="24"/>
        </w:rPr>
        <w:t xml:space="preserve"> T</w:t>
      </w:r>
      <w:r w:rsidRPr="003617EB">
        <w:rPr>
          <w:sz w:val="24"/>
          <w:szCs w:val="24"/>
        </w:rPr>
        <w:t xml:space="preserve">he </w:t>
      </w:r>
      <w:r w:rsidRPr="003617EB">
        <w:rPr>
          <w:i/>
          <w:sz w:val="24"/>
          <w:szCs w:val="24"/>
        </w:rPr>
        <w:t xml:space="preserve">Bipartisan Budget Act of 2015 </w:t>
      </w:r>
      <w:r w:rsidRPr="003617EB">
        <w:rPr>
          <w:sz w:val="24"/>
          <w:szCs w:val="24"/>
        </w:rPr>
        <w:t xml:space="preserve">authorizes </w:t>
      </w:r>
      <w:r>
        <w:rPr>
          <w:sz w:val="24"/>
          <w:szCs w:val="24"/>
        </w:rPr>
        <w:t xml:space="preserve">the continuation of the PABSS.  </w:t>
      </w:r>
      <w:r w:rsidRPr="003617EB">
        <w:rPr>
          <w:sz w:val="24"/>
          <w:szCs w:val="24"/>
        </w:rPr>
        <w:t>There are 57 Protection and Advocacy (P&amp;A) agencies,</w:t>
      </w:r>
      <w:r>
        <w:rPr>
          <w:sz w:val="24"/>
          <w:szCs w:val="24"/>
        </w:rPr>
        <w:t xml:space="preserve"> </w:t>
      </w:r>
      <w:r w:rsidRPr="009B5D70">
        <w:rPr>
          <w:sz w:val="24"/>
          <w:szCs w:val="24"/>
        </w:rPr>
        <w:t>that serve all 50 states, the District of Columbia, U.S. territories, and the tribal nations.  Most entities designated as P&amp;A</w:t>
      </w:r>
      <w:r>
        <w:rPr>
          <w:sz w:val="24"/>
          <w:szCs w:val="24"/>
        </w:rPr>
        <w:t xml:space="preserve"> </w:t>
      </w:r>
      <w:r w:rsidRPr="009B5D70">
        <w:rPr>
          <w:sz w:val="24"/>
          <w:szCs w:val="24"/>
        </w:rPr>
        <w:t xml:space="preserve">organizations are private non-profit organizations established specifically to carry out P&amp;A programs.  However, some P&amp;A organizations operate as part of state government agencies.  Additionally, a few P&amp;A organizations are semi-governmental or mixed public-private entities, and a few are housed within civil legal services programs.  This nationwide network is dedicated to safeguarding the rights of people with disabilities and ensuring they have access to the resources and </w:t>
      </w:r>
      <w:r w:rsidRPr="009B5D70">
        <w:rPr>
          <w:sz w:val="24"/>
          <w:szCs w:val="24"/>
        </w:rPr>
        <w:t>supports</w:t>
      </w:r>
      <w:r w:rsidRPr="009B5D70">
        <w:rPr>
          <w:sz w:val="24"/>
          <w:szCs w:val="24"/>
        </w:rPr>
        <w:t xml:space="preserve"> necessary for full participation in their communities</w:t>
      </w:r>
      <w:r>
        <w:rPr>
          <w:sz w:val="24"/>
          <w:szCs w:val="24"/>
        </w:rPr>
        <w:t>.</w:t>
      </w:r>
    </w:p>
    <w:p w:rsidR="00310517" w:rsidP="00310517" w14:paraId="082B54C4" w14:textId="77777777">
      <w:pPr>
        <w:pStyle w:val="ListParagraph"/>
        <w:ind w:left="1080"/>
        <w:rPr>
          <w:b/>
          <w:sz w:val="24"/>
          <w:szCs w:val="24"/>
        </w:rPr>
      </w:pPr>
    </w:p>
    <w:p w:rsidR="00310517" w:rsidP="00310517" w14:paraId="31F9BB7B" w14:textId="545A69AF">
      <w:pPr>
        <w:pStyle w:val="ListParagraph"/>
        <w:numPr>
          <w:ilvl w:val="0"/>
          <w:numId w:val="3"/>
        </w:numPr>
        <w:rPr>
          <w:b/>
          <w:sz w:val="24"/>
          <w:szCs w:val="24"/>
        </w:rPr>
      </w:pPr>
      <w:r w:rsidRPr="0011122A">
        <w:rPr>
          <w:b/>
          <w:sz w:val="24"/>
          <w:szCs w:val="24"/>
        </w:rPr>
        <w:t>Description of Collection</w:t>
      </w:r>
    </w:p>
    <w:p w:rsidR="00310517" w:rsidP="00310517" w14:paraId="15DBB51B" w14:textId="563DE18F">
      <w:pPr>
        <w:pStyle w:val="ListParagraph"/>
        <w:ind w:left="1080"/>
        <w:rPr>
          <w:rFonts w:eastAsia="Aptos"/>
          <w:sz w:val="24"/>
          <w:szCs w:val="24"/>
          <w:lang w:eastAsia="en-US"/>
        </w:rPr>
      </w:pPr>
      <w:r w:rsidRPr="002E7634">
        <w:rPr>
          <w:rFonts w:eastAsia="Aptos"/>
          <w:sz w:val="24"/>
          <w:szCs w:val="24"/>
          <w:lang w:eastAsia="en-US"/>
        </w:rPr>
        <w:t>The PABSS program safeguards beneficiaries’ rights concerning employment and employment conditions and educates them about their employment rights, responsibilities, and entitlement to reasonable accommodations under the Americans with Disabilities Act and other applicable laws.  With a focus on promoting greater independence and successful workforce integration, PABSS protects beneficiaries’ rights to services such as transportation and access to housing assistance</w:t>
      </w:r>
      <w:r>
        <w:rPr>
          <w:rFonts w:eastAsia="Aptos"/>
          <w:sz w:val="24"/>
          <w:szCs w:val="24"/>
          <w:lang w:eastAsia="en-US"/>
        </w:rPr>
        <w:t>.</w:t>
      </w:r>
    </w:p>
    <w:p w:rsidR="00310517" w:rsidP="00310517" w14:paraId="551A45AE" w14:textId="77777777">
      <w:pPr>
        <w:pStyle w:val="ListParagraph"/>
        <w:ind w:left="1080"/>
        <w:rPr>
          <w:rFonts w:eastAsia="Aptos"/>
          <w:sz w:val="24"/>
          <w:szCs w:val="24"/>
          <w:lang w:eastAsia="en-US"/>
        </w:rPr>
      </w:pPr>
    </w:p>
    <w:p w:rsidR="00310517" w:rsidP="00310517" w14:paraId="709EAE24" w14:textId="0AD38634">
      <w:pPr>
        <w:pStyle w:val="ListParagraph"/>
        <w:ind w:left="1080"/>
        <w:rPr>
          <w:rFonts w:eastAsia="Aptos"/>
          <w:sz w:val="24"/>
          <w:szCs w:val="24"/>
          <w:lang w:eastAsia="en-US"/>
        </w:rPr>
      </w:pPr>
      <w:r w:rsidRPr="002E7634">
        <w:rPr>
          <w:rFonts w:eastAsia="Aptos"/>
          <w:sz w:val="24"/>
          <w:szCs w:val="24"/>
          <w:lang w:eastAsia="en-US"/>
        </w:rPr>
        <w:t>The PABSS Training &amp; Technical Assistance (T&amp;TA) contractor provides training and technical support to the P&amp;A organizations and their staff to effectively carry out their advocacy responsibilities under the PABSS program.  The contractor provides specialized training on work incentives and employment law, along with technical assistance related to administrative systems, management practices, and other operational areas, all aimed at enhancing the quality and effectiveness of PABSS services.  In 2023, SSA awarded the PABSS T&amp;TA contract to the National Disability Rights Network (NDRN); the contract consists of a base year and four option years.</w:t>
      </w:r>
    </w:p>
    <w:p w:rsidR="00310517" w:rsidP="00310517" w14:paraId="2314E76B" w14:textId="77777777">
      <w:pPr>
        <w:pStyle w:val="ListParagraph"/>
        <w:ind w:left="1080"/>
        <w:rPr>
          <w:rFonts w:eastAsia="Aptos"/>
          <w:sz w:val="24"/>
          <w:szCs w:val="24"/>
          <w:lang w:eastAsia="en-US"/>
        </w:rPr>
      </w:pPr>
    </w:p>
    <w:p w:rsidR="00310517" w:rsidP="00310517" w14:paraId="5B88DDBA" w14:textId="77777777">
      <w:pPr>
        <w:pStyle w:val="ListParagraph"/>
        <w:ind w:left="1080"/>
        <w:rPr>
          <w:rFonts w:eastAsia="Aptos"/>
          <w:sz w:val="24"/>
          <w:szCs w:val="24"/>
          <w:lang w:eastAsia="en-US"/>
        </w:rPr>
      </w:pPr>
      <w:r w:rsidRPr="002E7634">
        <w:rPr>
          <w:rFonts w:eastAsia="Aptos"/>
          <w:sz w:val="24"/>
          <w:szCs w:val="24"/>
          <w:lang w:eastAsia="en-US"/>
        </w:rPr>
        <w:t xml:space="preserve">The PABSS program is integral to SSA’s strategy to increase the number of </w:t>
      </w:r>
      <w:r w:rsidRPr="00310517">
        <w:rPr>
          <w:rFonts w:eastAsia="Aptos"/>
          <w:sz w:val="24"/>
          <w:szCs w:val="24"/>
          <w:lang w:eastAsia="en-US"/>
        </w:rPr>
        <w:t>Social Security Disability Insurance</w:t>
      </w:r>
      <w:r>
        <w:rPr>
          <w:rFonts w:eastAsia="Aptos"/>
          <w:sz w:val="24"/>
          <w:szCs w:val="24"/>
          <w:lang w:eastAsia="en-US"/>
        </w:rPr>
        <w:t xml:space="preserve"> (</w:t>
      </w:r>
      <w:r w:rsidRPr="002E7634">
        <w:rPr>
          <w:rFonts w:eastAsia="Aptos"/>
          <w:sz w:val="24"/>
          <w:szCs w:val="24"/>
          <w:lang w:eastAsia="en-US"/>
        </w:rPr>
        <w:t>SSDI</w:t>
      </w:r>
      <w:r>
        <w:rPr>
          <w:rFonts w:eastAsia="Aptos"/>
          <w:sz w:val="24"/>
          <w:szCs w:val="24"/>
          <w:lang w:eastAsia="en-US"/>
        </w:rPr>
        <w:t>)</w:t>
      </w:r>
      <w:r w:rsidRPr="002E7634">
        <w:rPr>
          <w:rFonts w:eastAsia="Aptos"/>
          <w:sz w:val="24"/>
          <w:szCs w:val="24"/>
          <w:lang w:eastAsia="en-US"/>
        </w:rPr>
        <w:t xml:space="preserve"> beneficiaries and</w:t>
      </w:r>
      <w:r>
        <w:rPr>
          <w:rFonts w:eastAsia="Aptos"/>
          <w:sz w:val="24"/>
          <w:szCs w:val="24"/>
          <w:lang w:eastAsia="en-US"/>
        </w:rPr>
        <w:t xml:space="preserve"> </w:t>
      </w:r>
      <w:r w:rsidRPr="00310517">
        <w:rPr>
          <w:rFonts w:eastAsia="Aptos"/>
          <w:sz w:val="24"/>
          <w:szCs w:val="24"/>
          <w:lang w:eastAsia="en-US"/>
        </w:rPr>
        <w:t>Supplemental Security Income</w:t>
      </w:r>
      <w:r w:rsidRPr="002E7634">
        <w:rPr>
          <w:rFonts w:eastAsia="Aptos"/>
          <w:sz w:val="24"/>
          <w:szCs w:val="24"/>
          <w:lang w:eastAsia="en-US"/>
        </w:rPr>
        <w:t xml:space="preserve"> </w:t>
      </w:r>
      <w:r>
        <w:rPr>
          <w:rFonts w:eastAsia="Aptos"/>
          <w:sz w:val="24"/>
          <w:szCs w:val="24"/>
          <w:lang w:eastAsia="en-US"/>
        </w:rPr>
        <w:t>(</w:t>
      </w:r>
      <w:r w:rsidRPr="002E7634">
        <w:rPr>
          <w:rFonts w:eastAsia="Aptos"/>
          <w:sz w:val="24"/>
          <w:szCs w:val="24"/>
          <w:lang w:eastAsia="en-US"/>
        </w:rPr>
        <w:t>SSI</w:t>
      </w:r>
      <w:r>
        <w:rPr>
          <w:rFonts w:eastAsia="Aptos"/>
          <w:sz w:val="24"/>
          <w:szCs w:val="24"/>
          <w:lang w:eastAsia="en-US"/>
        </w:rPr>
        <w:t>)</w:t>
      </w:r>
      <w:r w:rsidRPr="002E7634">
        <w:rPr>
          <w:rFonts w:eastAsia="Aptos"/>
          <w:sz w:val="24"/>
          <w:szCs w:val="24"/>
          <w:lang w:eastAsia="en-US"/>
        </w:rPr>
        <w:t xml:space="preserve"> recipients who successfully return to work and attain financial independence and self-sufficiency.  This is achieved through the provision of support, representation, advocacy, and other services that beneficiaries with disabilities may require to secure, maintain, or regain employment</w:t>
      </w:r>
      <w:r>
        <w:rPr>
          <w:rFonts w:eastAsia="Aptos"/>
          <w:sz w:val="24"/>
          <w:szCs w:val="24"/>
          <w:lang w:eastAsia="en-US"/>
        </w:rPr>
        <w:t>.</w:t>
      </w:r>
    </w:p>
    <w:p w:rsidR="00310517" w:rsidP="00310517" w14:paraId="14E88257" w14:textId="334FD632">
      <w:pPr>
        <w:pStyle w:val="ListParagraph"/>
        <w:ind w:left="1080"/>
        <w:rPr>
          <w:rFonts w:eastAsia="Aptos"/>
          <w:sz w:val="24"/>
          <w:szCs w:val="24"/>
          <w:lang w:eastAsia="en-US"/>
        </w:rPr>
      </w:pPr>
      <w:r>
        <w:rPr>
          <w:rFonts w:eastAsia="Aptos"/>
          <w:sz w:val="24"/>
          <w:szCs w:val="24"/>
          <w:lang w:eastAsia="en-US"/>
        </w:rPr>
        <w:t>We use F</w:t>
      </w:r>
      <w:r w:rsidRPr="002E7634">
        <w:rPr>
          <w:rFonts w:eastAsia="Aptos"/>
          <w:sz w:val="24"/>
          <w:szCs w:val="24"/>
          <w:lang w:eastAsia="en-US"/>
        </w:rPr>
        <w:t>orm SSA-4570, Protection and Advocacy for Beneficiaries of Social Security (PABSS) Annual Program Performance Report (PPR), as the performance report for the PABSS program</w:t>
      </w:r>
      <w:r>
        <w:rPr>
          <w:rFonts w:eastAsia="Aptos"/>
          <w:sz w:val="24"/>
          <w:szCs w:val="24"/>
          <w:lang w:eastAsia="en-US"/>
        </w:rPr>
        <w:t xml:space="preserve">, specifically </w:t>
      </w:r>
      <w:r w:rsidRPr="002E7634">
        <w:rPr>
          <w:rFonts w:eastAsia="Aptos"/>
          <w:sz w:val="24"/>
          <w:szCs w:val="24"/>
          <w:lang w:eastAsia="en-US"/>
        </w:rPr>
        <w:t xml:space="preserve">to collect detailed information about the activities and outcomes of PABSS programs.  This comprehensive data collection tool gathers data on program activities, client demographics, case management, service delivery, outreach efforts, and systemic advocacy activities. </w:t>
      </w:r>
      <w:r>
        <w:rPr>
          <w:rFonts w:eastAsia="Aptos"/>
          <w:sz w:val="24"/>
          <w:szCs w:val="24"/>
          <w:lang w:eastAsia="en-US"/>
        </w:rPr>
        <w:t xml:space="preserve"> </w:t>
      </w:r>
      <w:r>
        <w:rPr>
          <w:rFonts w:eastAsia="Aptos"/>
          <w:sz w:val="24"/>
          <w:szCs w:val="24"/>
          <w:lang w:eastAsia="en-US"/>
        </w:rPr>
        <w:t>F</w:t>
      </w:r>
      <w:r w:rsidRPr="00310517">
        <w:rPr>
          <w:rFonts w:eastAsia="Aptos"/>
          <w:sz w:val="24"/>
          <w:szCs w:val="24"/>
          <w:lang w:eastAsia="en-US"/>
        </w:rPr>
        <w:t>orm</w:t>
      </w:r>
      <w:r w:rsidRPr="00310517">
        <w:rPr>
          <w:rFonts w:eastAsia="Aptos"/>
          <w:sz w:val="24"/>
          <w:szCs w:val="24"/>
          <w:lang w:eastAsia="en-US"/>
        </w:rPr>
        <w:t xml:space="preserve"> SSA-4570 documents the strategies used to resolve cases, such as legal remedies, negotiation, and counseling, as well as the status of clients at case closure.  Additionally, the form captures information on advocacy efforts and outreach activities</w:t>
      </w:r>
      <w:r>
        <w:rPr>
          <w:rFonts w:eastAsia="Aptos"/>
          <w:sz w:val="24"/>
          <w:szCs w:val="24"/>
          <w:lang w:eastAsia="en-US"/>
        </w:rPr>
        <w:t>.</w:t>
      </w:r>
    </w:p>
    <w:p w:rsidR="00310517" w:rsidP="00310517" w14:paraId="00B4BC3A" w14:textId="77777777">
      <w:pPr>
        <w:pStyle w:val="ListParagraph"/>
        <w:ind w:left="1080"/>
        <w:rPr>
          <w:rFonts w:eastAsia="Aptos"/>
          <w:sz w:val="24"/>
          <w:szCs w:val="24"/>
          <w:lang w:eastAsia="en-US"/>
        </w:rPr>
      </w:pPr>
    </w:p>
    <w:p w:rsidR="00310517" w:rsidP="00310517" w14:paraId="6127A8E0" w14:textId="075FB8E0">
      <w:pPr>
        <w:pStyle w:val="ListParagraph"/>
        <w:ind w:left="1080"/>
        <w:rPr>
          <w:rFonts w:eastAsia="Aptos"/>
          <w:sz w:val="24"/>
          <w:szCs w:val="24"/>
          <w:lang w:eastAsia="en-US"/>
        </w:rPr>
      </w:pPr>
      <w:r w:rsidRPr="002E7634">
        <w:rPr>
          <w:rFonts w:eastAsia="Aptos"/>
          <w:sz w:val="24"/>
          <w:szCs w:val="24"/>
          <w:lang w:eastAsia="en-US"/>
        </w:rPr>
        <w:t xml:space="preserve">SSA uses the information </w:t>
      </w:r>
      <w:r>
        <w:rPr>
          <w:rFonts w:eastAsia="Aptos"/>
          <w:sz w:val="24"/>
          <w:szCs w:val="24"/>
          <w:lang w:eastAsia="en-US"/>
        </w:rPr>
        <w:t>we capture on Form SSA-4570</w:t>
      </w:r>
      <w:r w:rsidRPr="002E7634">
        <w:rPr>
          <w:rFonts w:eastAsia="Aptos"/>
          <w:sz w:val="24"/>
          <w:szCs w:val="24"/>
          <w:lang w:eastAsia="en-US"/>
        </w:rPr>
        <w:t xml:space="preserve"> to ensure that PABSS grantees comply with program requirements and contractual obligations.  The SSA</w:t>
      </w:r>
      <w:r>
        <w:rPr>
          <w:rFonts w:eastAsia="Aptos"/>
          <w:sz w:val="24"/>
          <w:szCs w:val="24"/>
          <w:lang w:eastAsia="en-US"/>
        </w:rPr>
        <w:noBreakHyphen/>
      </w:r>
      <w:r w:rsidRPr="002E7634">
        <w:rPr>
          <w:rFonts w:eastAsia="Aptos"/>
          <w:sz w:val="24"/>
          <w:szCs w:val="24"/>
          <w:lang w:eastAsia="en-US"/>
        </w:rPr>
        <w:t>4570 is an essential tool for capturing the scope and effectiveness of PABSS programs, supporting SSA’s objective to improve employment opportunities for beneficiaries with disabilities.  This information enables SSA to monitor program performance, assess effectiveness, and make informed decisions for program planning and management to better support beneficiaries with disabilities in overcoming barriers to employment</w:t>
      </w:r>
      <w:r>
        <w:rPr>
          <w:rFonts w:eastAsia="Aptos"/>
          <w:sz w:val="24"/>
          <w:szCs w:val="24"/>
          <w:lang w:eastAsia="en-US"/>
        </w:rPr>
        <w:t>.</w:t>
      </w:r>
    </w:p>
    <w:p w:rsidR="00310517" w:rsidP="00310517" w14:paraId="6941C8B4" w14:textId="77777777">
      <w:pPr>
        <w:pStyle w:val="ListParagraph"/>
        <w:ind w:left="1080"/>
        <w:rPr>
          <w:rFonts w:eastAsia="Aptos"/>
          <w:sz w:val="24"/>
          <w:szCs w:val="24"/>
          <w:lang w:eastAsia="en-US"/>
        </w:rPr>
      </w:pPr>
    </w:p>
    <w:p w:rsidR="00310517" w:rsidP="00310517" w14:paraId="136103BB" w14:textId="777A0B27">
      <w:pPr>
        <w:pStyle w:val="ListParagraph"/>
        <w:ind w:left="1080"/>
        <w:rPr>
          <w:rFonts w:eastAsia="Aptos"/>
          <w:sz w:val="24"/>
          <w:szCs w:val="24"/>
          <w:lang w:eastAsia="en-US"/>
        </w:rPr>
      </w:pPr>
      <w:r w:rsidRPr="002E7634">
        <w:rPr>
          <w:rFonts w:eastAsia="Aptos"/>
          <w:sz w:val="24"/>
          <w:szCs w:val="24"/>
          <w:lang w:eastAsia="en-US"/>
        </w:rPr>
        <w:t xml:space="preserve">The </w:t>
      </w:r>
      <w:r>
        <w:rPr>
          <w:rFonts w:eastAsia="Aptos"/>
          <w:sz w:val="24"/>
          <w:szCs w:val="24"/>
          <w:lang w:eastAsia="en-US"/>
        </w:rPr>
        <w:t>P&amp;A organizations that receive PABSS grants are responsible for completing F</w:t>
      </w:r>
      <w:r w:rsidRPr="002E7634">
        <w:rPr>
          <w:rFonts w:eastAsia="Aptos"/>
          <w:sz w:val="24"/>
          <w:szCs w:val="24"/>
          <w:lang w:eastAsia="en-US"/>
        </w:rPr>
        <w:t>orm SSA-4570 and submitting the report based on their program activities during the specified reporting period.  To complete the SSA-4570, respondents gather information from their internal records, case management systems, and service documentation.  The form includes sections for quantitative data such as the number of clients served, types of benefits received, barriers addressed, and case outcomes, as well as sections for qualitative data such as descriptions of advocacy efforts and outreach initiatives</w:t>
      </w:r>
      <w:r>
        <w:rPr>
          <w:rFonts w:eastAsia="Aptos"/>
          <w:sz w:val="24"/>
          <w:szCs w:val="24"/>
          <w:lang w:eastAsia="en-US"/>
        </w:rPr>
        <w:t xml:space="preserve">.  </w:t>
      </w:r>
      <w:r w:rsidRPr="00310517">
        <w:rPr>
          <w:rFonts w:eastAsia="Aptos"/>
          <w:sz w:val="24"/>
          <w:szCs w:val="24"/>
          <w:lang w:eastAsia="en-US"/>
        </w:rPr>
        <w:t xml:space="preserve">SSA requires respondents to complete and submit </w:t>
      </w:r>
      <w:r>
        <w:rPr>
          <w:rFonts w:eastAsia="Aptos"/>
          <w:sz w:val="24"/>
          <w:szCs w:val="24"/>
          <w:lang w:eastAsia="en-US"/>
        </w:rPr>
        <w:t>F</w:t>
      </w:r>
      <w:r w:rsidRPr="00310517">
        <w:rPr>
          <w:rFonts w:eastAsia="Aptos"/>
          <w:sz w:val="24"/>
          <w:szCs w:val="24"/>
          <w:lang w:eastAsia="en-US"/>
        </w:rPr>
        <w:t>orm SSA</w:t>
      </w:r>
      <w:r>
        <w:rPr>
          <w:rFonts w:eastAsia="Aptos"/>
          <w:sz w:val="24"/>
          <w:szCs w:val="24"/>
          <w:lang w:eastAsia="en-US"/>
        </w:rPr>
        <w:noBreakHyphen/>
      </w:r>
      <w:r w:rsidRPr="00310517">
        <w:rPr>
          <w:rFonts w:eastAsia="Aptos"/>
          <w:sz w:val="24"/>
          <w:szCs w:val="24"/>
          <w:lang w:eastAsia="en-US"/>
        </w:rPr>
        <w:t>4570 annually, covering a specified fiscal year reporting period</w:t>
      </w:r>
      <w:r>
        <w:rPr>
          <w:rFonts w:eastAsia="Aptos"/>
          <w:sz w:val="24"/>
          <w:szCs w:val="24"/>
          <w:lang w:eastAsia="en-US"/>
        </w:rPr>
        <w:t>.</w:t>
      </w:r>
    </w:p>
    <w:p w:rsidR="00310517" w:rsidP="00310517" w14:paraId="58B08362" w14:textId="77777777">
      <w:pPr>
        <w:pStyle w:val="ListParagraph"/>
        <w:ind w:left="1080"/>
        <w:rPr>
          <w:rFonts w:eastAsia="Aptos"/>
          <w:sz w:val="24"/>
          <w:szCs w:val="24"/>
          <w:lang w:eastAsia="en-US"/>
        </w:rPr>
      </w:pPr>
    </w:p>
    <w:p w:rsidR="00400771" w:rsidP="00400771" w14:paraId="67155DD5" w14:textId="77777777">
      <w:pPr>
        <w:pStyle w:val="ListParagraph"/>
        <w:ind w:left="1080"/>
        <w:rPr>
          <w:rFonts w:eastAsia="Aptos"/>
          <w:sz w:val="24"/>
          <w:szCs w:val="24"/>
          <w:lang w:eastAsia="en-US"/>
        </w:rPr>
      </w:pPr>
      <w:r>
        <w:rPr>
          <w:rFonts w:eastAsia="Aptos"/>
          <w:sz w:val="24"/>
          <w:szCs w:val="24"/>
          <w:lang w:eastAsia="en-US"/>
        </w:rPr>
        <w:t>SSA informs the respondents a</w:t>
      </w:r>
      <w:r w:rsidRPr="002E7634">
        <w:rPr>
          <w:rFonts w:eastAsia="Aptos"/>
          <w:sz w:val="24"/>
          <w:szCs w:val="24"/>
          <w:lang w:eastAsia="en-US"/>
        </w:rPr>
        <w:t>bout the form SSA-4570 and related reporting requirements through official SSA channels, including grant award notifications, training sessions, and direct outreach to P&amp;A organizations</w:t>
      </w:r>
      <w:r>
        <w:rPr>
          <w:rFonts w:eastAsia="Aptos"/>
          <w:sz w:val="24"/>
          <w:szCs w:val="24"/>
          <w:lang w:eastAsia="en-US"/>
        </w:rPr>
        <w:t>.</w:t>
      </w:r>
    </w:p>
    <w:p w:rsidR="00400771" w:rsidP="00400771" w14:paraId="394D7D46" w14:textId="77777777">
      <w:pPr>
        <w:pStyle w:val="ListParagraph"/>
        <w:ind w:left="1080"/>
        <w:rPr>
          <w:rFonts w:eastAsia="Aptos"/>
          <w:sz w:val="24"/>
          <w:szCs w:val="24"/>
          <w:lang w:eastAsia="en-US"/>
        </w:rPr>
      </w:pPr>
    </w:p>
    <w:p w:rsidR="00310517" w:rsidP="00400771" w14:paraId="3C1109EC" w14:textId="12AB4389">
      <w:pPr>
        <w:pStyle w:val="ListParagraph"/>
        <w:ind w:left="1080"/>
        <w:rPr>
          <w:rFonts w:eastAsia="Aptos"/>
          <w:sz w:val="24"/>
          <w:szCs w:val="24"/>
          <w:lang w:eastAsia="en-US"/>
        </w:rPr>
      </w:pPr>
      <w:r>
        <w:rPr>
          <w:rFonts w:eastAsia="Aptos"/>
          <w:sz w:val="24"/>
          <w:szCs w:val="24"/>
          <w:lang w:eastAsia="en-US"/>
        </w:rPr>
        <w:t xml:space="preserve">Respondents use SSA’s </w:t>
      </w:r>
      <w:r w:rsidRPr="002E7634">
        <w:rPr>
          <w:rFonts w:eastAsia="Aptos"/>
          <w:sz w:val="24"/>
          <w:szCs w:val="24"/>
          <w:lang w:eastAsia="en-US"/>
        </w:rPr>
        <w:t xml:space="preserve">Web-based Reporting System which will be the primary platform for respondents to complete and submit </w:t>
      </w:r>
      <w:r>
        <w:rPr>
          <w:rFonts w:eastAsia="Aptos"/>
          <w:sz w:val="24"/>
          <w:szCs w:val="24"/>
          <w:lang w:eastAsia="en-US"/>
        </w:rPr>
        <w:t>Form</w:t>
      </w:r>
      <w:r w:rsidRPr="002E7634">
        <w:rPr>
          <w:rFonts w:eastAsia="Aptos"/>
          <w:sz w:val="24"/>
          <w:szCs w:val="24"/>
          <w:lang w:eastAsia="en-US"/>
        </w:rPr>
        <w:t xml:space="preserve"> SSA-4570, enabling them to do so directly within a secure digital environment.  The </w:t>
      </w:r>
      <w:r w:rsidRPr="00400771">
        <w:rPr>
          <w:rFonts w:eastAsia="Aptos"/>
          <w:sz w:val="24"/>
          <w:szCs w:val="24"/>
          <w:lang w:eastAsia="en-US"/>
        </w:rPr>
        <w:t>SSA-4570 Web-based Reporting System offer</w:t>
      </w:r>
      <w:r>
        <w:rPr>
          <w:rFonts w:eastAsia="Aptos"/>
          <w:sz w:val="24"/>
          <w:szCs w:val="24"/>
          <w:lang w:eastAsia="en-US"/>
        </w:rPr>
        <w:t>s</w:t>
      </w:r>
      <w:r w:rsidRPr="00400771">
        <w:rPr>
          <w:rFonts w:eastAsia="Aptos"/>
          <w:sz w:val="24"/>
          <w:szCs w:val="24"/>
          <w:lang w:eastAsia="en-US"/>
        </w:rPr>
        <w:t xml:space="preserve"> an intuitive, user-friendly interface designed to streamline data entry.  It provide</w:t>
      </w:r>
      <w:r>
        <w:rPr>
          <w:rFonts w:eastAsia="Aptos"/>
          <w:sz w:val="24"/>
          <w:szCs w:val="24"/>
          <w:lang w:eastAsia="en-US"/>
        </w:rPr>
        <w:t>s</w:t>
      </w:r>
      <w:r w:rsidRPr="00400771">
        <w:rPr>
          <w:rFonts w:eastAsia="Aptos"/>
          <w:sz w:val="24"/>
          <w:szCs w:val="24"/>
          <w:lang w:eastAsia="en-US"/>
        </w:rPr>
        <w:t xml:space="preserve"> real-time feedback, promptly alerting users to any missing or inconsistent information as they input data</w:t>
      </w:r>
      <w:r>
        <w:rPr>
          <w:rFonts w:eastAsia="Aptos"/>
          <w:sz w:val="24"/>
          <w:szCs w:val="24"/>
          <w:lang w:eastAsia="en-US"/>
        </w:rPr>
        <w:t>.  T</w:t>
      </w:r>
      <w:r w:rsidRPr="00400771">
        <w:rPr>
          <w:rFonts w:eastAsia="Aptos"/>
          <w:sz w:val="24"/>
          <w:szCs w:val="24"/>
          <w:lang w:eastAsia="en-US"/>
        </w:rPr>
        <w:t xml:space="preserve">his proactive approach ensures completeness and accuracy prior to submission.  In addition, </w:t>
      </w:r>
      <w:r>
        <w:rPr>
          <w:rFonts w:eastAsia="Aptos"/>
          <w:sz w:val="24"/>
          <w:szCs w:val="24"/>
          <w:lang w:eastAsia="en-US"/>
        </w:rPr>
        <w:t xml:space="preserve">we integrated </w:t>
      </w:r>
      <w:r w:rsidRPr="00400771">
        <w:rPr>
          <w:rFonts w:eastAsia="Aptos"/>
          <w:sz w:val="24"/>
          <w:szCs w:val="24"/>
          <w:lang w:eastAsia="en-US"/>
        </w:rPr>
        <w:t xml:space="preserve">automated validation checks to </w:t>
      </w:r>
      <w:r w:rsidRPr="00400771">
        <w:rPr>
          <w:rFonts w:eastAsia="Aptos"/>
          <w:sz w:val="24"/>
          <w:szCs w:val="24"/>
          <w:lang w:eastAsia="en-US"/>
        </w:rPr>
        <w:t>detect and</w:t>
      </w:r>
      <w:r w:rsidRPr="00400771">
        <w:rPr>
          <w:rFonts w:eastAsia="Aptos"/>
          <w:sz w:val="24"/>
          <w:szCs w:val="24"/>
          <w:lang w:eastAsia="en-US"/>
        </w:rPr>
        <w:t xml:space="preserve"> flag discrepancies or errors, thereby maintaining high standards of data quality and consistency</w:t>
      </w:r>
      <w:r>
        <w:rPr>
          <w:rFonts w:eastAsia="Aptos"/>
          <w:sz w:val="24"/>
          <w:szCs w:val="24"/>
          <w:lang w:eastAsia="en-US"/>
        </w:rPr>
        <w:t>.</w:t>
      </w:r>
    </w:p>
    <w:p w:rsidR="00400771" w:rsidP="00400771" w14:paraId="7B9CC3C3" w14:textId="77777777">
      <w:pPr>
        <w:pStyle w:val="ListParagraph"/>
        <w:ind w:left="1080"/>
        <w:rPr>
          <w:rFonts w:eastAsia="Aptos"/>
          <w:sz w:val="24"/>
          <w:szCs w:val="24"/>
          <w:lang w:eastAsia="en-US"/>
        </w:rPr>
      </w:pPr>
    </w:p>
    <w:p w:rsidR="00400771" w:rsidP="00400771" w14:paraId="03159CB3" w14:textId="11787B01">
      <w:pPr>
        <w:pStyle w:val="ListParagraph"/>
        <w:ind w:left="1080"/>
        <w:rPr>
          <w:rFonts w:eastAsia="Aptos"/>
          <w:sz w:val="24"/>
          <w:szCs w:val="24"/>
          <w:lang w:eastAsia="en-US"/>
        </w:rPr>
      </w:pPr>
      <w:r>
        <w:rPr>
          <w:rFonts w:eastAsia="Aptos"/>
          <w:sz w:val="24"/>
          <w:szCs w:val="24"/>
          <w:lang w:eastAsia="en-US"/>
        </w:rPr>
        <w:t>As the P&amp;A organizations understand through our initial agreements with them that they need to complete the SSA-4570 annually, there are no psychological costs associated with this information collection.</w:t>
      </w:r>
    </w:p>
    <w:p w:rsidR="00400771" w:rsidRPr="00400771" w:rsidP="00400771" w14:paraId="2DF09880" w14:textId="18A30B91">
      <w:pPr>
        <w:pStyle w:val="ListParagraph"/>
        <w:ind w:left="1080"/>
        <w:rPr>
          <w:rFonts w:eastAsia="Aptos"/>
          <w:sz w:val="24"/>
          <w:szCs w:val="24"/>
          <w:lang w:eastAsia="en-US"/>
        </w:rPr>
      </w:pPr>
      <w:r w:rsidRPr="003617EB">
        <w:rPr>
          <w:sz w:val="24"/>
          <w:szCs w:val="24"/>
        </w:rPr>
        <w:t>The respondents are the 57 PABSS project sites</w:t>
      </w:r>
      <w:r w:rsidR="00C5670C">
        <w:rPr>
          <w:sz w:val="24"/>
          <w:szCs w:val="24"/>
        </w:rPr>
        <w:t xml:space="preserve"> who collect information on behalf of </w:t>
      </w:r>
      <w:r w:rsidRPr="003617EB">
        <w:rPr>
          <w:sz w:val="24"/>
          <w:szCs w:val="24"/>
        </w:rPr>
        <w:t xml:space="preserve"> </w:t>
      </w:r>
      <w:r w:rsidR="00C5670C">
        <w:rPr>
          <w:sz w:val="24"/>
          <w:szCs w:val="24"/>
        </w:rPr>
        <w:t xml:space="preserve">SSDI and SSI </w:t>
      </w:r>
      <w:r w:rsidR="009179BA">
        <w:rPr>
          <w:sz w:val="24"/>
          <w:szCs w:val="24"/>
        </w:rPr>
        <w:t>recipients</w:t>
      </w:r>
      <w:r>
        <w:rPr>
          <w:sz w:val="24"/>
          <w:szCs w:val="24"/>
        </w:rPr>
        <w:t>.</w:t>
      </w:r>
    </w:p>
    <w:p w:rsidR="00310517" w:rsidP="00310517" w14:paraId="27BFF6C7" w14:textId="77777777">
      <w:pPr>
        <w:pStyle w:val="ListParagraph"/>
        <w:ind w:left="1080"/>
        <w:rPr>
          <w:b/>
          <w:sz w:val="24"/>
          <w:szCs w:val="24"/>
        </w:rPr>
      </w:pPr>
    </w:p>
    <w:p w:rsidR="00310517" w:rsidP="00310517" w14:paraId="02A056CD" w14:textId="2683530B">
      <w:pPr>
        <w:pStyle w:val="ListParagraph"/>
        <w:numPr>
          <w:ilvl w:val="0"/>
          <w:numId w:val="3"/>
        </w:numPr>
        <w:rPr>
          <w:b/>
          <w:sz w:val="24"/>
          <w:szCs w:val="24"/>
        </w:rPr>
      </w:pPr>
      <w:r w:rsidRPr="0011122A">
        <w:rPr>
          <w:b/>
          <w:sz w:val="24"/>
          <w:szCs w:val="24"/>
        </w:rPr>
        <w:t>Use of Information Technology to Collect the Information</w:t>
      </w:r>
    </w:p>
    <w:p w:rsidR="00B64864" w:rsidP="00B64864" w14:paraId="53E6E3AC" w14:textId="77777777">
      <w:pPr>
        <w:pStyle w:val="ListParagraph"/>
        <w:ind w:left="1080"/>
        <w:rPr>
          <w:rFonts w:eastAsia="Aptos"/>
          <w:sz w:val="24"/>
          <w:szCs w:val="24"/>
          <w:lang w:eastAsia="en-US"/>
        </w:rPr>
      </w:pPr>
      <w:r>
        <w:rPr>
          <w:rFonts w:eastAsia="Aptos"/>
          <w:sz w:val="24"/>
          <w:szCs w:val="24"/>
          <w:lang w:eastAsia="en-US"/>
        </w:rPr>
        <w:t>SSA created two convenient electronic formats</w:t>
      </w:r>
      <w:r>
        <w:rPr>
          <w:rFonts w:eastAsia="Aptos"/>
          <w:sz w:val="24"/>
          <w:szCs w:val="24"/>
          <w:lang w:eastAsia="en-US"/>
        </w:rPr>
        <w:t xml:space="preserve"> of the SSA-4570</w:t>
      </w:r>
      <w:r>
        <w:rPr>
          <w:rFonts w:eastAsia="Aptos"/>
          <w:sz w:val="24"/>
          <w:szCs w:val="24"/>
          <w:lang w:eastAsia="en-US"/>
        </w:rPr>
        <w:t xml:space="preserve"> for the respondents to use:  </w:t>
      </w:r>
      <w:r>
        <w:rPr>
          <w:rFonts w:eastAsia="Aptos"/>
          <w:sz w:val="24"/>
          <w:szCs w:val="24"/>
          <w:lang w:eastAsia="en-US"/>
        </w:rPr>
        <w:t xml:space="preserve">the </w:t>
      </w:r>
      <w:r w:rsidRPr="00B56C8E">
        <w:rPr>
          <w:rFonts w:eastAsia="Aptos"/>
          <w:sz w:val="24"/>
          <w:szCs w:val="24"/>
          <w:lang w:eastAsia="en-US"/>
        </w:rPr>
        <w:t>Web-based Reporting System and a fillable</w:t>
      </w:r>
      <w:r>
        <w:rPr>
          <w:rFonts w:eastAsia="Aptos"/>
          <w:sz w:val="24"/>
          <w:szCs w:val="24"/>
          <w:lang w:eastAsia="en-US"/>
        </w:rPr>
        <w:t>, and submittable</w:t>
      </w:r>
      <w:r w:rsidRPr="00B56C8E">
        <w:rPr>
          <w:rFonts w:eastAsia="Aptos"/>
          <w:sz w:val="24"/>
          <w:szCs w:val="24"/>
          <w:lang w:eastAsia="en-US"/>
        </w:rPr>
        <w:t xml:space="preserve"> PDF form</w:t>
      </w:r>
      <w:r>
        <w:rPr>
          <w:rFonts w:eastAsia="Aptos"/>
          <w:sz w:val="24"/>
          <w:szCs w:val="24"/>
          <w:lang w:eastAsia="en-US"/>
        </w:rPr>
        <w:t>.</w:t>
      </w:r>
    </w:p>
    <w:p w:rsidR="00B64864" w:rsidP="00B64864" w14:paraId="74377D75" w14:textId="77777777">
      <w:pPr>
        <w:pStyle w:val="ListParagraph"/>
        <w:ind w:left="1080"/>
        <w:rPr>
          <w:rFonts w:eastAsia="Aptos"/>
          <w:sz w:val="24"/>
          <w:szCs w:val="24"/>
          <w:lang w:eastAsia="en-US"/>
        </w:rPr>
      </w:pPr>
    </w:p>
    <w:p w:rsidR="00B64864" w:rsidP="00B64864" w14:paraId="5D98393C" w14:textId="77777777">
      <w:pPr>
        <w:pStyle w:val="ListParagraph"/>
        <w:ind w:left="1080"/>
        <w:rPr>
          <w:rFonts w:eastAsia="Aptos"/>
          <w:sz w:val="24"/>
          <w:szCs w:val="24"/>
          <w:u w:val="single"/>
          <w:lang w:eastAsia="en-US"/>
        </w:rPr>
      </w:pPr>
      <w:r w:rsidRPr="00B64864">
        <w:rPr>
          <w:rFonts w:eastAsia="Aptos"/>
          <w:sz w:val="24"/>
          <w:szCs w:val="24"/>
          <w:u w:val="single"/>
          <w:lang w:eastAsia="en-US"/>
        </w:rPr>
        <w:t>Web-based Reporting System (Form SSA-4570)</w:t>
      </w:r>
    </w:p>
    <w:p w:rsidR="00B64864" w:rsidP="00B64864" w14:paraId="199A4CB8" w14:textId="77777777">
      <w:pPr>
        <w:pStyle w:val="ListParagraph"/>
        <w:ind w:left="1080"/>
        <w:rPr>
          <w:rFonts w:eastAsia="Aptos"/>
          <w:sz w:val="24"/>
          <w:szCs w:val="24"/>
          <w:u w:val="single"/>
          <w:lang w:eastAsia="en-US"/>
        </w:rPr>
      </w:pPr>
    </w:p>
    <w:p w:rsidR="00B64864" w:rsidP="00B64864" w14:paraId="00E10B82" w14:textId="77777777">
      <w:pPr>
        <w:pStyle w:val="ListParagraph"/>
        <w:ind w:left="1080"/>
        <w:rPr>
          <w:rFonts w:eastAsia="Aptos"/>
          <w:sz w:val="24"/>
          <w:szCs w:val="24"/>
          <w:lang w:eastAsia="en-US"/>
        </w:rPr>
      </w:pPr>
      <w:r w:rsidRPr="00B64864">
        <w:rPr>
          <w:rFonts w:eastAsia="Aptos"/>
          <w:sz w:val="24"/>
          <w:szCs w:val="24"/>
          <w:lang w:eastAsia="en-US"/>
        </w:rPr>
        <w:t xml:space="preserve">The SSA-4570 Web-based Reporting System is the primary platform all respondents use to complete and submit Form SSA-4570, enabling them to do so directly within a secure digital environment.  The web-based portal also allows respondents to generate a completed SSA-4570 PDF based on their responses.  PABSS grantees are required to submit a copy of this generated SSA-4570 PDF electronically to SSA’s Acquisition and Grants through </w:t>
      </w:r>
      <w:r w:rsidRPr="00B64864">
        <w:rPr>
          <w:rFonts w:eastAsia="Aptos"/>
          <w:sz w:val="24"/>
          <w:szCs w:val="24"/>
          <w:lang w:eastAsia="en-US"/>
        </w:rPr>
        <w:t>GrantSolutions</w:t>
      </w:r>
      <w:r w:rsidRPr="00B64864">
        <w:rPr>
          <w:rFonts w:eastAsia="Aptos"/>
          <w:sz w:val="24"/>
          <w:szCs w:val="24"/>
          <w:lang w:eastAsia="en-US"/>
        </w:rPr>
        <w:t>, an Internet-based solution, as outlined in the Terms and Conditions of our agreement with them.</w:t>
      </w:r>
    </w:p>
    <w:p w:rsidR="00B64864" w:rsidP="00B64864" w14:paraId="46DC2B4E" w14:textId="77777777">
      <w:pPr>
        <w:pStyle w:val="ListParagraph"/>
        <w:ind w:left="1080"/>
        <w:rPr>
          <w:rFonts w:eastAsia="Aptos"/>
          <w:sz w:val="24"/>
          <w:szCs w:val="24"/>
          <w:lang w:eastAsia="en-US"/>
        </w:rPr>
      </w:pPr>
    </w:p>
    <w:p w:rsidR="00B64864" w:rsidP="00B64864" w14:paraId="1C91C334" w14:textId="40629044">
      <w:pPr>
        <w:pStyle w:val="ListParagraph"/>
        <w:ind w:left="1080"/>
        <w:rPr>
          <w:rFonts w:eastAsia="Aptos"/>
          <w:sz w:val="24"/>
          <w:szCs w:val="24"/>
          <w:lang w:eastAsia="en-US"/>
        </w:rPr>
      </w:pPr>
      <w:r w:rsidRPr="00B56C8E">
        <w:rPr>
          <w:rFonts w:eastAsia="Aptos"/>
          <w:sz w:val="24"/>
          <w:szCs w:val="24"/>
          <w:lang w:eastAsia="en-US"/>
        </w:rPr>
        <w:t xml:space="preserve">The SSA-4570 Web-based Reporting System maintains confidentiality and complies with federal data protection standards, ensuring </w:t>
      </w:r>
      <w:r>
        <w:rPr>
          <w:rFonts w:eastAsia="Aptos"/>
          <w:sz w:val="24"/>
          <w:szCs w:val="24"/>
          <w:lang w:eastAsia="en-US"/>
        </w:rPr>
        <w:t xml:space="preserve">the safeguarding of </w:t>
      </w:r>
      <w:r w:rsidRPr="00B56C8E">
        <w:rPr>
          <w:rFonts w:eastAsia="Aptos"/>
          <w:sz w:val="24"/>
          <w:szCs w:val="24"/>
          <w:lang w:eastAsia="en-US"/>
        </w:rPr>
        <w:t xml:space="preserve">sensitive information from unauthorized access.  </w:t>
      </w:r>
      <w:r>
        <w:rPr>
          <w:rFonts w:eastAsia="Aptos"/>
          <w:sz w:val="24"/>
          <w:szCs w:val="24"/>
          <w:lang w:eastAsia="en-US"/>
        </w:rPr>
        <w:t>We monitor and control a</w:t>
      </w:r>
      <w:r w:rsidRPr="00B56C8E">
        <w:rPr>
          <w:rFonts w:eastAsia="Aptos"/>
          <w:sz w:val="24"/>
          <w:szCs w:val="24"/>
          <w:lang w:eastAsia="en-US"/>
        </w:rPr>
        <w:t>ccess to the SSA</w:t>
      </w:r>
      <w:r>
        <w:rPr>
          <w:rFonts w:eastAsia="Aptos"/>
          <w:sz w:val="24"/>
          <w:szCs w:val="24"/>
          <w:lang w:eastAsia="en-US"/>
        </w:rPr>
        <w:noBreakHyphen/>
      </w:r>
      <w:r w:rsidRPr="00B56C8E">
        <w:rPr>
          <w:rFonts w:eastAsia="Aptos"/>
          <w:sz w:val="24"/>
          <w:szCs w:val="24"/>
          <w:lang w:eastAsia="en-US"/>
        </w:rPr>
        <w:t>4570 Web</w:t>
      </w:r>
      <w:r>
        <w:rPr>
          <w:rFonts w:eastAsia="Aptos"/>
          <w:sz w:val="24"/>
          <w:szCs w:val="24"/>
          <w:lang w:eastAsia="en-US"/>
        </w:rPr>
        <w:noBreakHyphen/>
      </w:r>
      <w:r w:rsidRPr="00B56C8E">
        <w:rPr>
          <w:rFonts w:eastAsia="Aptos"/>
          <w:sz w:val="24"/>
          <w:szCs w:val="24"/>
          <w:lang w:eastAsia="en-US"/>
        </w:rPr>
        <w:t xml:space="preserve">based Reporting </w:t>
      </w:r>
      <w:r w:rsidRPr="00B56C8E">
        <w:rPr>
          <w:rFonts w:eastAsia="Aptos"/>
          <w:sz w:val="24"/>
          <w:szCs w:val="24"/>
          <w:lang w:eastAsia="en-US"/>
        </w:rPr>
        <w:t>System</w:t>
      </w:r>
      <w:r>
        <w:rPr>
          <w:rFonts w:eastAsia="Aptos"/>
          <w:sz w:val="24"/>
          <w:szCs w:val="24"/>
          <w:lang w:eastAsia="en-US"/>
        </w:rPr>
        <w:t xml:space="preserve">, </w:t>
      </w:r>
      <w:r w:rsidRPr="00B56C8E">
        <w:rPr>
          <w:rFonts w:eastAsia="Aptos"/>
          <w:sz w:val="24"/>
          <w:szCs w:val="24"/>
          <w:lang w:eastAsia="en-US"/>
        </w:rPr>
        <w:t>and</w:t>
      </w:r>
      <w:r w:rsidRPr="00B56C8E">
        <w:rPr>
          <w:rFonts w:eastAsia="Aptos"/>
          <w:sz w:val="24"/>
          <w:szCs w:val="24"/>
          <w:lang w:eastAsia="en-US"/>
        </w:rPr>
        <w:t xml:space="preserve"> limit</w:t>
      </w:r>
      <w:r>
        <w:rPr>
          <w:rFonts w:eastAsia="Aptos"/>
          <w:sz w:val="24"/>
          <w:szCs w:val="24"/>
          <w:lang w:eastAsia="en-US"/>
        </w:rPr>
        <w:t xml:space="preserve"> it </w:t>
      </w:r>
      <w:r w:rsidRPr="00B56C8E">
        <w:rPr>
          <w:rFonts w:eastAsia="Aptos"/>
          <w:sz w:val="24"/>
          <w:szCs w:val="24"/>
          <w:lang w:eastAsia="en-US"/>
        </w:rPr>
        <w:t>to P&amp;A staff working on the PABSS grant, necessary PABSS T&amp;TA contractor staff, and SSA personnel.  To enhance security, the portal require</w:t>
      </w:r>
      <w:r>
        <w:rPr>
          <w:rFonts w:eastAsia="Aptos"/>
          <w:sz w:val="24"/>
          <w:szCs w:val="24"/>
          <w:lang w:eastAsia="en-US"/>
        </w:rPr>
        <w:t>s</w:t>
      </w:r>
      <w:r w:rsidRPr="00B56C8E">
        <w:rPr>
          <w:rFonts w:eastAsia="Aptos"/>
          <w:sz w:val="24"/>
          <w:szCs w:val="24"/>
          <w:lang w:eastAsia="en-US"/>
        </w:rPr>
        <w:t xml:space="preserve"> Multi-Factor Authentication (MFA) to verify user identities prior to granting access, effectively preventing unauthorized entry.  Additionally, strong encryption protocols safeguard data during transmission, maintaining the confidentiality and integrity of sensitive information.  </w:t>
      </w:r>
      <w:r>
        <w:rPr>
          <w:rFonts w:eastAsia="Aptos"/>
          <w:sz w:val="24"/>
          <w:szCs w:val="24"/>
          <w:lang w:eastAsia="en-US"/>
        </w:rPr>
        <w:t>We store a</w:t>
      </w:r>
      <w:r w:rsidRPr="00B56C8E">
        <w:rPr>
          <w:rFonts w:eastAsia="Aptos"/>
          <w:sz w:val="24"/>
          <w:szCs w:val="24"/>
          <w:lang w:eastAsia="en-US"/>
        </w:rPr>
        <w:t>ll submitted</w:t>
      </w:r>
      <w:r>
        <w:rPr>
          <w:rFonts w:eastAsia="Aptos"/>
          <w:sz w:val="24"/>
          <w:szCs w:val="24"/>
          <w:lang w:eastAsia="en-US"/>
        </w:rPr>
        <w:t xml:space="preserve"> </w:t>
      </w:r>
      <w:r w:rsidRPr="00B56C8E">
        <w:rPr>
          <w:rFonts w:eastAsia="Aptos"/>
          <w:sz w:val="24"/>
          <w:szCs w:val="24"/>
          <w:lang w:eastAsia="en-US"/>
        </w:rPr>
        <w:t>SSA-4570</w:t>
      </w:r>
      <w:r>
        <w:rPr>
          <w:rFonts w:eastAsia="Aptos"/>
          <w:sz w:val="24"/>
          <w:szCs w:val="24"/>
          <w:lang w:eastAsia="en-US"/>
        </w:rPr>
        <w:t xml:space="preserve">s </w:t>
      </w:r>
      <w:r w:rsidRPr="00B56C8E">
        <w:rPr>
          <w:rFonts w:eastAsia="Aptos"/>
          <w:sz w:val="24"/>
          <w:szCs w:val="24"/>
          <w:lang w:eastAsia="en-US"/>
        </w:rPr>
        <w:t xml:space="preserve">using the web-based reporting system in a centralized, secure repository, facilitating efficient access, retrieval, and management </w:t>
      </w:r>
      <w:r>
        <w:rPr>
          <w:rFonts w:eastAsia="Aptos"/>
          <w:sz w:val="24"/>
          <w:szCs w:val="24"/>
          <w:lang w:eastAsia="en-US"/>
        </w:rPr>
        <w:t>to</w:t>
      </w:r>
      <w:r w:rsidRPr="00B56C8E">
        <w:rPr>
          <w:rFonts w:eastAsia="Aptos"/>
          <w:sz w:val="24"/>
          <w:szCs w:val="24"/>
          <w:lang w:eastAsia="en-US"/>
        </w:rPr>
        <w:t xml:space="preserve"> the PABSS T&amp;TA contractor and SSA personnel.  The portal incorporates robust data backup and recovery mechanisms to protect against data loss.  Furthermore, the centralized repository supports advanced data analytics capabilities, empowering the PABSS T&amp;TA contractor and SSA staff to conduct comprehensive analyses of the submitted reports. </w:t>
      </w:r>
    </w:p>
    <w:p w:rsidR="00B64864" w:rsidP="00B64864" w14:paraId="1C7C1D07" w14:textId="77777777">
      <w:pPr>
        <w:pStyle w:val="ListParagraph"/>
        <w:ind w:left="1080"/>
        <w:rPr>
          <w:rFonts w:eastAsia="Aptos"/>
          <w:sz w:val="24"/>
          <w:szCs w:val="24"/>
          <w:lang w:eastAsia="en-US"/>
        </w:rPr>
      </w:pPr>
    </w:p>
    <w:p w:rsidR="00B64864" w:rsidRPr="00B64864" w:rsidP="00B64864" w14:paraId="1EE04E87" w14:textId="17CDF1D9">
      <w:pPr>
        <w:pStyle w:val="ListParagraph"/>
        <w:ind w:left="1080"/>
        <w:rPr>
          <w:rFonts w:eastAsia="Aptos"/>
          <w:sz w:val="24"/>
          <w:szCs w:val="24"/>
          <w:u w:val="single"/>
          <w:lang w:eastAsia="en-US"/>
        </w:rPr>
      </w:pPr>
      <w:r w:rsidRPr="00B64864">
        <w:rPr>
          <w:rFonts w:eastAsia="Aptos"/>
          <w:sz w:val="24"/>
          <w:szCs w:val="24"/>
          <w:u w:val="single"/>
          <w:lang w:eastAsia="en-US"/>
        </w:rPr>
        <w:t>Form</w:t>
      </w:r>
      <w:r w:rsidRPr="00B64864">
        <w:rPr>
          <w:rFonts w:eastAsia="Aptos"/>
          <w:sz w:val="24"/>
          <w:szCs w:val="24"/>
          <w:u w:val="single"/>
          <w:lang w:eastAsia="en-US"/>
        </w:rPr>
        <w:t xml:space="preserve"> SSA-4570 (Fillable PDF)</w:t>
      </w:r>
    </w:p>
    <w:p w:rsidR="00B64864" w:rsidP="00B64864" w14:paraId="3AA642AF" w14:textId="77777777">
      <w:pPr>
        <w:pStyle w:val="ListParagraph"/>
        <w:ind w:left="1080"/>
        <w:rPr>
          <w:rFonts w:eastAsia="Aptos"/>
          <w:sz w:val="24"/>
          <w:szCs w:val="24"/>
          <w:lang w:eastAsia="en-US"/>
        </w:rPr>
      </w:pPr>
    </w:p>
    <w:p w:rsidR="00B64864" w:rsidP="00B64864" w14:paraId="298A85DA" w14:textId="77777777">
      <w:pPr>
        <w:pStyle w:val="ListParagraph"/>
        <w:ind w:left="1080"/>
        <w:rPr>
          <w:rFonts w:eastAsia="Aptos"/>
          <w:sz w:val="24"/>
          <w:szCs w:val="24"/>
          <w:lang w:eastAsia="en-US"/>
        </w:rPr>
      </w:pPr>
      <w:r w:rsidRPr="00B56C8E">
        <w:rPr>
          <w:rFonts w:eastAsia="Aptos"/>
          <w:sz w:val="24"/>
          <w:szCs w:val="24"/>
          <w:lang w:eastAsia="en-US"/>
        </w:rPr>
        <w:t>SSA created a fillable PDF version of the form SSA-4570 for respondents to download, complete, and submit to SSA.</w:t>
      </w:r>
      <w:r>
        <w:rPr>
          <w:rFonts w:eastAsia="Aptos"/>
          <w:sz w:val="24"/>
          <w:szCs w:val="24"/>
          <w:lang w:eastAsia="en-US"/>
        </w:rPr>
        <w:t xml:space="preserve"> </w:t>
      </w:r>
      <w:r w:rsidRPr="00B56C8E">
        <w:rPr>
          <w:rFonts w:eastAsia="Aptos"/>
          <w:sz w:val="24"/>
          <w:szCs w:val="24"/>
          <w:lang w:eastAsia="en-US"/>
        </w:rPr>
        <w:t xml:space="preserve"> PABSS grantees </w:t>
      </w:r>
      <w:r>
        <w:rPr>
          <w:rFonts w:eastAsia="Aptos"/>
          <w:sz w:val="24"/>
          <w:szCs w:val="24"/>
          <w:lang w:eastAsia="en-US"/>
        </w:rPr>
        <w:t>s</w:t>
      </w:r>
      <w:r w:rsidRPr="00B56C8E">
        <w:rPr>
          <w:rFonts w:eastAsia="Aptos"/>
          <w:sz w:val="24"/>
          <w:szCs w:val="24"/>
          <w:lang w:eastAsia="en-US"/>
        </w:rPr>
        <w:t>ubmit</w:t>
      </w:r>
      <w:r>
        <w:rPr>
          <w:rFonts w:eastAsia="Aptos"/>
          <w:sz w:val="24"/>
          <w:szCs w:val="24"/>
          <w:lang w:eastAsia="en-US"/>
        </w:rPr>
        <w:t xml:space="preserve"> the SSA-4570</w:t>
      </w:r>
      <w:r w:rsidRPr="00B56C8E">
        <w:rPr>
          <w:rFonts w:eastAsia="Aptos"/>
          <w:sz w:val="24"/>
          <w:szCs w:val="24"/>
          <w:lang w:eastAsia="en-US"/>
        </w:rPr>
        <w:t xml:space="preserve"> electronically via email to SSA’s PABSS program team and to SSA’s Acquisition and Grants through </w:t>
      </w:r>
      <w:r w:rsidRPr="00B56C8E">
        <w:rPr>
          <w:rFonts w:eastAsia="Aptos"/>
          <w:sz w:val="24"/>
          <w:szCs w:val="24"/>
          <w:lang w:eastAsia="en-US"/>
        </w:rPr>
        <w:t>GrantSolutions</w:t>
      </w:r>
      <w:r w:rsidRPr="00B56C8E">
        <w:rPr>
          <w:rFonts w:eastAsia="Aptos"/>
          <w:sz w:val="24"/>
          <w:szCs w:val="24"/>
          <w:lang w:eastAsia="en-US"/>
        </w:rPr>
        <w:t xml:space="preserve">. </w:t>
      </w:r>
      <w:r>
        <w:rPr>
          <w:rFonts w:eastAsia="Aptos"/>
          <w:sz w:val="24"/>
          <w:szCs w:val="24"/>
          <w:lang w:eastAsia="en-US"/>
        </w:rPr>
        <w:t xml:space="preserve"> </w:t>
      </w:r>
      <w:r w:rsidRPr="00B56C8E">
        <w:rPr>
          <w:rFonts w:eastAsia="Aptos"/>
          <w:sz w:val="24"/>
          <w:szCs w:val="24"/>
          <w:lang w:eastAsia="en-US"/>
        </w:rPr>
        <w:t xml:space="preserve">The fillable PDF version of the form SSA-4570 </w:t>
      </w:r>
      <w:r w:rsidRPr="00B56C8E">
        <w:rPr>
          <w:rFonts w:eastAsia="Aptos"/>
          <w:sz w:val="24"/>
          <w:szCs w:val="24"/>
          <w:lang w:eastAsia="en-US"/>
        </w:rPr>
        <w:t>act</w:t>
      </w:r>
      <w:r w:rsidRPr="00B56C8E">
        <w:rPr>
          <w:rFonts w:eastAsia="Aptos"/>
          <w:sz w:val="24"/>
          <w:szCs w:val="24"/>
          <w:lang w:eastAsia="en-US"/>
        </w:rPr>
        <w:t xml:space="preserve"> as a backup collection instrument in case the Web-based Reporting System becomes inaccessible due to resource or technical issues, or during a PABSS T&amp;TA contract transition. </w:t>
      </w:r>
    </w:p>
    <w:p w:rsidR="00B64864" w:rsidP="00B64864" w14:paraId="560D0E30" w14:textId="77777777">
      <w:pPr>
        <w:pStyle w:val="ListParagraph"/>
        <w:ind w:left="1080"/>
        <w:rPr>
          <w:rFonts w:eastAsia="Aptos"/>
          <w:sz w:val="24"/>
          <w:szCs w:val="24"/>
          <w:lang w:eastAsia="en-US"/>
        </w:rPr>
      </w:pPr>
    </w:p>
    <w:p w:rsidR="00B64864" w:rsidRPr="00B64864" w:rsidP="00B64864" w14:paraId="19A0E5D5" w14:textId="423DC075">
      <w:pPr>
        <w:pStyle w:val="ListParagraph"/>
        <w:ind w:left="1080"/>
        <w:rPr>
          <w:rFonts w:eastAsia="Aptos"/>
          <w:sz w:val="24"/>
          <w:szCs w:val="24"/>
          <w:u w:val="single"/>
          <w:lang w:eastAsia="en-US"/>
        </w:rPr>
      </w:pPr>
      <w:r w:rsidRPr="00B64864">
        <w:rPr>
          <w:sz w:val="24"/>
          <w:szCs w:val="24"/>
        </w:rPr>
        <w:t>In accordance with the agency’s Government Paperwork Elimination Act plan, SSA created an Internet version of the PABSS data collection system.  Based on our data, we estimate 100% of respondents under this OMB number use the electronic version.</w:t>
      </w:r>
    </w:p>
    <w:p w:rsidR="00400771" w:rsidP="00400771" w14:paraId="6E5A52E4" w14:textId="77777777">
      <w:pPr>
        <w:pStyle w:val="ListParagraph"/>
        <w:ind w:left="1080"/>
        <w:rPr>
          <w:b/>
          <w:sz w:val="24"/>
          <w:szCs w:val="24"/>
        </w:rPr>
      </w:pPr>
    </w:p>
    <w:p w:rsidR="00310517" w:rsidRPr="00B64864" w:rsidP="00310517" w14:paraId="40AC2582" w14:textId="3E9B60C6">
      <w:pPr>
        <w:pStyle w:val="ListParagraph"/>
        <w:numPr>
          <w:ilvl w:val="0"/>
          <w:numId w:val="3"/>
        </w:numPr>
        <w:rPr>
          <w:b/>
          <w:sz w:val="24"/>
          <w:szCs w:val="24"/>
        </w:rPr>
      </w:pPr>
      <w:r w:rsidRPr="0011122A">
        <w:rPr>
          <w:b/>
          <w:iCs/>
          <w:sz w:val="24"/>
          <w:szCs w:val="24"/>
        </w:rPr>
        <w:t>Why We Cannot Use Duplicate Information</w:t>
      </w:r>
    </w:p>
    <w:p w:rsidR="00B64864" w:rsidP="00B64864" w14:paraId="491912A4" w14:textId="13977797">
      <w:pPr>
        <w:pStyle w:val="ListParagraph"/>
        <w:ind w:left="1080"/>
        <w:rPr>
          <w:b/>
          <w:iCs/>
          <w:sz w:val="24"/>
          <w:szCs w:val="24"/>
        </w:rPr>
      </w:pPr>
      <w:r w:rsidRPr="0011122A">
        <w:rPr>
          <w:sz w:val="24"/>
          <w:szCs w:val="24"/>
        </w:rPr>
        <w:t xml:space="preserve">The nature of the information we collect and the manner in which we collect it preclude duplication.  </w:t>
      </w:r>
      <w:r>
        <w:rPr>
          <w:sz w:val="24"/>
          <w:szCs w:val="24"/>
        </w:rPr>
        <w:t>SSA</w:t>
      </w:r>
      <w:r w:rsidRPr="0011122A">
        <w:rPr>
          <w:sz w:val="24"/>
          <w:szCs w:val="24"/>
        </w:rPr>
        <w:t xml:space="preserve"> does not use another collection instrument to obtain similar data</w:t>
      </w:r>
      <w:r>
        <w:rPr>
          <w:sz w:val="24"/>
          <w:szCs w:val="24"/>
        </w:rPr>
        <w:t>.</w:t>
      </w:r>
    </w:p>
    <w:p w:rsidR="00B64864" w:rsidP="00B64864" w14:paraId="20422628" w14:textId="77777777">
      <w:pPr>
        <w:pStyle w:val="ListParagraph"/>
        <w:ind w:left="1080"/>
        <w:rPr>
          <w:b/>
          <w:sz w:val="24"/>
          <w:szCs w:val="24"/>
        </w:rPr>
      </w:pPr>
    </w:p>
    <w:p w:rsidR="00310517" w:rsidP="00310517" w14:paraId="508B2797" w14:textId="0F9CC3C9">
      <w:pPr>
        <w:pStyle w:val="ListParagraph"/>
        <w:numPr>
          <w:ilvl w:val="0"/>
          <w:numId w:val="3"/>
        </w:numPr>
        <w:rPr>
          <w:b/>
          <w:sz w:val="24"/>
          <w:szCs w:val="24"/>
        </w:rPr>
      </w:pPr>
      <w:r w:rsidRPr="0011122A">
        <w:rPr>
          <w:b/>
          <w:sz w:val="24"/>
          <w:szCs w:val="24"/>
        </w:rPr>
        <w:t>Minimizing Burden on Small Respondents</w:t>
      </w:r>
    </w:p>
    <w:p w:rsidR="00B64864" w:rsidP="00B64864" w14:paraId="50451A8A" w14:textId="582A3EA6">
      <w:pPr>
        <w:pStyle w:val="ListParagraph"/>
        <w:ind w:left="1080"/>
        <w:rPr>
          <w:b/>
          <w:sz w:val="24"/>
          <w:szCs w:val="24"/>
        </w:rPr>
      </w:pPr>
      <w:r w:rsidRPr="0011122A">
        <w:rPr>
          <w:sz w:val="24"/>
          <w:szCs w:val="24"/>
        </w:rPr>
        <w:t>This collection does not significant</w:t>
      </w:r>
      <w:r>
        <w:rPr>
          <w:sz w:val="24"/>
          <w:szCs w:val="24"/>
        </w:rPr>
        <w:t>ly affect small businesses or other small entities.</w:t>
      </w:r>
    </w:p>
    <w:p w:rsidR="00B64864" w:rsidP="00B64864" w14:paraId="33B98AD2" w14:textId="77777777">
      <w:pPr>
        <w:pStyle w:val="ListParagraph"/>
        <w:ind w:left="1080"/>
        <w:rPr>
          <w:b/>
          <w:sz w:val="24"/>
          <w:szCs w:val="24"/>
        </w:rPr>
      </w:pPr>
    </w:p>
    <w:p w:rsidR="00BF661E" w:rsidP="00BF661E" w14:paraId="1E467ADF" w14:textId="30E8B68E">
      <w:pPr>
        <w:pStyle w:val="ListParagraph"/>
        <w:numPr>
          <w:ilvl w:val="0"/>
          <w:numId w:val="3"/>
        </w:numPr>
        <w:rPr>
          <w:b/>
          <w:sz w:val="24"/>
          <w:szCs w:val="24"/>
        </w:rPr>
      </w:pPr>
      <w:r w:rsidRPr="0011122A">
        <w:rPr>
          <w:b/>
          <w:sz w:val="24"/>
          <w:szCs w:val="24"/>
        </w:rPr>
        <w:t>Consequence of Not Collecting Information or Collecting it Less Frequently</w:t>
      </w:r>
    </w:p>
    <w:p w:rsidR="00BF661E" w:rsidP="00BF661E" w14:paraId="0236DB8C" w14:textId="1D859F97">
      <w:pPr>
        <w:pStyle w:val="ListParagraph"/>
        <w:ind w:left="1080"/>
        <w:rPr>
          <w:b/>
          <w:sz w:val="24"/>
          <w:szCs w:val="24"/>
        </w:rPr>
      </w:pPr>
      <w:r w:rsidRPr="00186563">
        <w:rPr>
          <w:sz w:val="24"/>
          <w:szCs w:val="24"/>
        </w:rPr>
        <w:t xml:space="preserve">If we did not collect this information, SSA could not gather the information needed to support policy and program investment, inform the strategies and approaches leading to improved employment outcomes, and administer and report on the programs ability to meet the needs of SSDI beneficiaries and SSI recipients.  PABSS grantees collect this information at the point when a beneficiary seeks assistance and completes the requested services.  Because we collect this information annually </w:t>
      </w:r>
      <w:r>
        <w:rPr>
          <w:sz w:val="24"/>
          <w:szCs w:val="24"/>
        </w:rPr>
        <w:t xml:space="preserve">as part of our agreement with the P&amp;A organizations, </w:t>
      </w:r>
      <w:r w:rsidRPr="00186563">
        <w:rPr>
          <w:sz w:val="24"/>
          <w:szCs w:val="24"/>
        </w:rPr>
        <w:t>we cannot collect it less frequently.  There are no technical or legal obstacles to burden reduction</w:t>
      </w:r>
      <w:r>
        <w:rPr>
          <w:sz w:val="24"/>
          <w:szCs w:val="24"/>
        </w:rPr>
        <w:t>.</w:t>
      </w:r>
    </w:p>
    <w:p w:rsidR="00BF661E" w:rsidRPr="00BF661E" w:rsidP="00BF661E" w14:paraId="227C811B" w14:textId="2CEBE549">
      <w:pPr>
        <w:pStyle w:val="ListParagraph"/>
        <w:ind w:left="1080"/>
        <w:rPr>
          <w:b/>
          <w:sz w:val="24"/>
          <w:szCs w:val="24"/>
        </w:rPr>
      </w:pPr>
    </w:p>
    <w:p w:rsidR="00310517" w:rsidP="00310517" w14:paraId="7EA233F5" w14:textId="2943EE3C">
      <w:pPr>
        <w:pStyle w:val="ListParagraph"/>
        <w:numPr>
          <w:ilvl w:val="0"/>
          <w:numId w:val="3"/>
        </w:numPr>
        <w:rPr>
          <w:b/>
          <w:sz w:val="24"/>
          <w:szCs w:val="24"/>
        </w:rPr>
      </w:pPr>
      <w:r w:rsidRPr="0011122A">
        <w:rPr>
          <w:b/>
          <w:sz w:val="24"/>
          <w:szCs w:val="24"/>
        </w:rPr>
        <w:t>Special Circumstances</w:t>
      </w:r>
    </w:p>
    <w:p w:rsidR="00BF661E" w:rsidP="00BF661E" w14:paraId="4D60CB07" w14:textId="5D583E95">
      <w:pPr>
        <w:pStyle w:val="ListParagraph"/>
        <w:ind w:left="1080"/>
        <w:rPr>
          <w:b/>
          <w:sz w:val="24"/>
          <w:szCs w:val="24"/>
        </w:rPr>
      </w:pPr>
      <w:r w:rsidRPr="0011122A">
        <w:rPr>
          <w:sz w:val="24"/>
          <w:szCs w:val="24"/>
        </w:rPr>
        <w:t xml:space="preserve">There are no special circumstances that would cause Social Security to conduct this information collection in a manner inconsistent with </w:t>
      </w:r>
      <w:r w:rsidRPr="0011122A">
        <w:rPr>
          <w:i/>
          <w:sz w:val="24"/>
          <w:szCs w:val="24"/>
        </w:rPr>
        <w:t>5 CFR 1320.5</w:t>
      </w:r>
      <w:r w:rsidRPr="0011122A">
        <w:rPr>
          <w:sz w:val="24"/>
          <w:szCs w:val="24"/>
        </w:rPr>
        <w:t>.</w:t>
      </w:r>
    </w:p>
    <w:p w:rsidR="00BF661E" w:rsidP="00BF661E" w14:paraId="2CDDF64E" w14:textId="77777777">
      <w:pPr>
        <w:pStyle w:val="ListParagraph"/>
        <w:ind w:left="1080"/>
        <w:rPr>
          <w:b/>
          <w:sz w:val="24"/>
          <w:szCs w:val="24"/>
        </w:rPr>
      </w:pPr>
    </w:p>
    <w:p w:rsidR="00310517" w:rsidP="00310517" w14:paraId="1E67B402" w14:textId="605CC041">
      <w:pPr>
        <w:pStyle w:val="ListParagraph"/>
        <w:numPr>
          <w:ilvl w:val="0"/>
          <w:numId w:val="3"/>
        </w:numPr>
        <w:rPr>
          <w:b/>
          <w:sz w:val="24"/>
          <w:szCs w:val="24"/>
        </w:rPr>
      </w:pPr>
      <w:r w:rsidRPr="005509B9">
        <w:rPr>
          <w:b/>
          <w:sz w:val="24"/>
          <w:szCs w:val="24"/>
        </w:rPr>
        <w:t>Solicitation of Public Comment and Other Consultations with the Public</w:t>
      </w:r>
    </w:p>
    <w:p w:rsidR="00BF661E" w:rsidP="00BF661E" w14:paraId="1D6E186B" w14:textId="77777777">
      <w:pPr>
        <w:pStyle w:val="ListParagraph"/>
        <w:ind w:left="1080"/>
        <w:rPr>
          <w:sz w:val="24"/>
          <w:szCs w:val="24"/>
        </w:rPr>
      </w:pPr>
      <w:r w:rsidRPr="002A70F9">
        <w:rPr>
          <w:sz w:val="24"/>
          <w:szCs w:val="24"/>
        </w:rPr>
        <w:t xml:space="preserve">The 60-day advance Federal Register Notice published on </w:t>
      </w:r>
      <w:r>
        <w:rPr>
          <w:sz w:val="24"/>
          <w:szCs w:val="24"/>
        </w:rPr>
        <w:t xml:space="preserve">February 26, 2026, </w:t>
      </w:r>
      <w:r w:rsidRPr="002A70F9">
        <w:rPr>
          <w:sz w:val="24"/>
          <w:szCs w:val="24"/>
        </w:rPr>
        <w:t xml:space="preserve">at </w:t>
      </w:r>
    </w:p>
    <w:p w:rsidR="00BF661E" w:rsidP="00BF661E" w14:paraId="30D6BD3A" w14:textId="14C36D24">
      <w:pPr>
        <w:pStyle w:val="ListParagraph"/>
        <w:ind w:left="1080"/>
        <w:rPr>
          <w:b/>
          <w:sz w:val="24"/>
          <w:szCs w:val="24"/>
        </w:rPr>
      </w:pPr>
      <w:r>
        <w:rPr>
          <w:sz w:val="24"/>
          <w:szCs w:val="24"/>
        </w:rPr>
        <w:t>91 FR 9671</w:t>
      </w:r>
      <w:r w:rsidRPr="002A70F9">
        <w:rPr>
          <w:sz w:val="24"/>
          <w:szCs w:val="24"/>
        </w:rPr>
        <w:t xml:space="preserve">, and we received no public comments.  The 30-day </w:t>
      </w:r>
      <w:r>
        <w:rPr>
          <w:sz w:val="24"/>
          <w:szCs w:val="24"/>
        </w:rPr>
        <w:t>F</w:t>
      </w:r>
      <w:r w:rsidRPr="002A70F9">
        <w:rPr>
          <w:sz w:val="24"/>
          <w:szCs w:val="24"/>
        </w:rPr>
        <w:t>RN published on</w:t>
      </w:r>
      <w:r>
        <w:rPr>
          <w:sz w:val="24"/>
          <w:szCs w:val="24"/>
        </w:rPr>
        <w:t xml:space="preserve"> April 24, </w:t>
      </w:r>
      <w:r>
        <w:rPr>
          <w:sz w:val="24"/>
          <w:szCs w:val="24"/>
        </w:rPr>
        <w:t>2026</w:t>
      </w:r>
      <w:r w:rsidRPr="002A70F9">
        <w:rPr>
          <w:sz w:val="24"/>
          <w:szCs w:val="24"/>
        </w:rPr>
        <w:t xml:space="preserve"> at</w:t>
      </w:r>
      <w:r>
        <w:rPr>
          <w:sz w:val="24"/>
          <w:szCs w:val="24"/>
        </w:rPr>
        <w:t xml:space="preserve"> 91 FR 22195, and we received no public comment.  If we </w:t>
      </w:r>
      <w:r w:rsidRPr="00E317E7">
        <w:rPr>
          <w:sz w:val="24"/>
          <w:szCs w:val="24"/>
        </w:rPr>
        <w:t>receive any comments in response to this Notice, we will forward them to OMB</w:t>
      </w:r>
      <w:r>
        <w:rPr>
          <w:sz w:val="24"/>
          <w:szCs w:val="24"/>
        </w:rPr>
        <w:t>.</w:t>
      </w:r>
    </w:p>
    <w:p w:rsidR="00BF661E" w:rsidP="00BF661E" w14:paraId="56300376" w14:textId="77777777">
      <w:pPr>
        <w:pStyle w:val="ListParagraph"/>
        <w:ind w:left="1080"/>
        <w:rPr>
          <w:b/>
          <w:sz w:val="24"/>
          <w:szCs w:val="24"/>
        </w:rPr>
      </w:pPr>
    </w:p>
    <w:p w:rsidR="00310517" w:rsidP="00310517" w14:paraId="74F49BB7" w14:textId="7308E02F">
      <w:pPr>
        <w:pStyle w:val="ListParagraph"/>
        <w:numPr>
          <w:ilvl w:val="0"/>
          <w:numId w:val="3"/>
        </w:numPr>
        <w:rPr>
          <w:b/>
          <w:sz w:val="24"/>
          <w:szCs w:val="24"/>
        </w:rPr>
      </w:pPr>
      <w:r w:rsidRPr="0011122A">
        <w:rPr>
          <w:b/>
          <w:sz w:val="24"/>
          <w:szCs w:val="24"/>
        </w:rPr>
        <w:t>Payment or Gifts to Respondents</w:t>
      </w:r>
    </w:p>
    <w:p w:rsidR="00BF661E" w:rsidP="00BF661E" w14:paraId="66965FC9" w14:textId="271D0FED">
      <w:pPr>
        <w:pStyle w:val="ListParagraph"/>
        <w:ind w:left="1080"/>
        <w:rPr>
          <w:b/>
          <w:sz w:val="24"/>
          <w:szCs w:val="24"/>
        </w:rPr>
      </w:pPr>
      <w:r w:rsidRPr="0011122A">
        <w:rPr>
          <w:sz w:val="24"/>
          <w:szCs w:val="24"/>
        </w:rPr>
        <w:t>Social Security does not provide payment or gifts to the respondents</w:t>
      </w:r>
      <w:r>
        <w:rPr>
          <w:sz w:val="24"/>
          <w:szCs w:val="24"/>
        </w:rPr>
        <w:t>.</w:t>
      </w:r>
    </w:p>
    <w:p w:rsidR="00BF661E" w:rsidP="00BF661E" w14:paraId="2687BE70" w14:textId="77777777">
      <w:pPr>
        <w:pStyle w:val="ListParagraph"/>
        <w:ind w:left="1080"/>
        <w:rPr>
          <w:b/>
          <w:sz w:val="24"/>
          <w:szCs w:val="24"/>
        </w:rPr>
      </w:pPr>
    </w:p>
    <w:p w:rsidR="00310517" w:rsidP="00310517" w14:paraId="3DA144B4" w14:textId="0D1CCCF9">
      <w:pPr>
        <w:pStyle w:val="ListParagraph"/>
        <w:numPr>
          <w:ilvl w:val="0"/>
          <w:numId w:val="3"/>
        </w:numPr>
        <w:rPr>
          <w:b/>
          <w:sz w:val="24"/>
          <w:szCs w:val="24"/>
        </w:rPr>
      </w:pPr>
      <w:r w:rsidRPr="0011122A">
        <w:rPr>
          <w:b/>
          <w:sz w:val="24"/>
          <w:szCs w:val="24"/>
        </w:rPr>
        <w:t>Assurances of Confidentiality</w:t>
      </w:r>
    </w:p>
    <w:p w:rsidR="00BF661E" w:rsidP="00BF661E" w14:paraId="2D618A57" w14:textId="2CE66221">
      <w:pPr>
        <w:pStyle w:val="ListParagraph"/>
        <w:ind w:left="1080"/>
        <w:rPr>
          <w:b/>
          <w:sz w:val="24"/>
          <w:szCs w:val="24"/>
        </w:rPr>
      </w:pPr>
      <w:r w:rsidRPr="00E317E7">
        <w:rPr>
          <w:sz w:val="24"/>
          <w:szCs w:val="24"/>
        </w:rPr>
        <w:t xml:space="preserve">SSA protects and holds confidential the information it collects in accordance with </w:t>
      </w:r>
      <w:r w:rsidRPr="00E317E7">
        <w:rPr>
          <w:i/>
          <w:sz w:val="24"/>
          <w:szCs w:val="24"/>
        </w:rPr>
        <w:t>42</w:t>
      </w:r>
      <w:r>
        <w:rPr>
          <w:i/>
          <w:sz w:val="24"/>
          <w:szCs w:val="24"/>
        </w:rPr>
        <w:t> </w:t>
      </w:r>
      <w:r w:rsidRPr="00E317E7">
        <w:rPr>
          <w:i/>
          <w:sz w:val="24"/>
          <w:szCs w:val="24"/>
        </w:rPr>
        <w:t>U.S.C. 1306, 20 CFR 401</w:t>
      </w:r>
      <w:r w:rsidRPr="00E317E7">
        <w:rPr>
          <w:sz w:val="24"/>
          <w:szCs w:val="24"/>
        </w:rPr>
        <w:t xml:space="preserve"> and </w:t>
      </w:r>
      <w:r w:rsidRPr="00E317E7">
        <w:rPr>
          <w:i/>
          <w:sz w:val="24"/>
          <w:szCs w:val="24"/>
        </w:rPr>
        <w:t>402, 5 U.S.C. 552</w:t>
      </w:r>
      <w:r w:rsidRPr="00E317E7">
        <w:rPr>
          <w:sz w:val="24"/>
          <w:szCs w:val="24"/>
        </w:rPr>
        <w:t xml:space="preserve"> (Freedom of Information Act), </w:t>
      </w:r>
      <w:r w:rsidRPr="00E317E7">
        <w:rPr>
          <w:i/>
          <w:sz w:val="24"/>
          <w:szCs w:val="24"/>
        </w:rPr>
        <w:t>5</w:t>
      </w:r>
      <w:r>
        <w:rPr>
          <w:i/>
          <w:sz w:val="24"/>
          <w:szCs w:val="24"/>
        </w:rPr>
        <w:t> </w:t>
      </w:r>
      <w:r w:rsidRPr="00E317E7">
        <w:rPr>
          <w:i/>
          <w:sz w:val="24"/>
          <w:szCs w:val="24"/>
        </w:rPr>
        <w:t>U.S.C. 552a</w:t>
      </w:r>
      <w:r w:rsidRPr="00E317E7">
        <w:rPr>
          <w:sz w:val="24"/>
          <w:szCs w:val="24"/>
        </w:rPr>
        <w:t xml:space="preserve"> (Privacy Act of 1974) and OMB Circular No. A-130</w:t>
      </w:r>
      <w:r>
        <w:rPr>
          <w:sz w:val="24"/>
          <w:szCs w:val="24"/>
        </w:rPr>
        <w:t>.</w:t>
      </w:r>
    </w:p>
    <w:p w:rsidR="00BF661E" w:rsidP="00BF661E" w14:paraId="6368F705" w14:textId="77777777">
      <w:pPr>
        <w:pStyle w:val="ListParagraph"/>
        <w:ind w:left="1080"/>
        <w:rPr>
          <w:b/>
          <w:sz w:val="24"/>
          <w:szCs w:val="24"/>
        </w:rPr>
      </w:pPr>
    </w:p>
    <w:p w:rsidR="00310517" w:rsidP="00310517" w14:paraId="724AEC6B" w14:textId="2FEF108C">
      <w:pPr>
        <w:pStyle w:val="ListParagraph"/>
        <w:numPr>
          <w:ilvl w:val="0"/>
          <w:numId w:val="3"/>
        </w:numPr>
        <w:rPr>
          <w:b/>
          <w:sz w:val="24"/>
          <w:szCs w:val="24"/>
        </w:rPr>
      </w:pPr>
      <w:r w:rsidRPr="0011122A">
        <w:rPr>
          <w:b/>
          <w:sz w:val="24"/>
          <w:szCs w:val="24"/>
        </w:rPr>
        <w:t>Justification for Sensitive Questions</w:t>
      </w:r>
    </w:p>
    <w:p w:rsidR="00BF661E" w:rsidP="00BF661E" w14:paraId="0D1CBC53" w14:textId="07970308">
      <w:pPr>
        <w:pStyle w:val="ListParagraph"/>
        <w:ind w:left="1080"/>
        <w:rPr>
          <w:b/>
          <w:sz w:val="24"/>
          <w:szCs w:val="24"/>
        </w:rPr>
      </w:pPr>
      <w:r w:rsidRPr="0011122A">
        <w:rPr>
          <w:sz w:val="24"/>
          <w:szCs w:val="24"/>
        </w:rPr>
        <w:t>The information collection does not contain any questions of a sensitive nature.</w:t>
      </w:r>
    </w:p>
    <w:p w:rsidR="00BF661E" w:rsidP="00BF661E" w14:paraId="339A77A7" w14:textId="77777777">
      <w:pPr>
        <w:pStyle w:val="ListParagraph"/>
        <w:ind w:left="1080"/>
        <w:rPr>
          <w:b/>
          <w:sz w:val="24"/>
          <w:szCs w:val="24"/>
        </w:rPr>
      </w:pPr>
    </w:p>
    <w:p w:rsidR="00310517" w:rsidP="00BF661E" w14:paraId="578F698B" w14:textId="3E11279E">
      <w:pPr>
        <w:pStyle w:val="ListParagraph"/>
        <w:numPr>
          <w:ilvl w:val="0"/>
          <w:numId w:val="3"/>
        </w:numPr>
        <w:rPr>
          <w:b/>
          <w:sz w:val="24"/>
          <w:szCs w:val="24"/>
        </w:rPr>
      </w:pPr>
      <w:r w:rsidRPr="0098306C">
        <w:rPr>
          <w:b/>
          <w:sz w:val="24"/>
          <w:szCs w:val="24"/>
        </w:rPr>
        <w:t>Estimates of Public Reporting Burde</w:t>
      </w:r>
      <w:r>
        <w:rPr>
          <w:b/>
          <w:sz w:val="24"/>
          <w:szCs w:val="24"/>
        </w:rPr>
        <w:t>n</w:t>
      </w:r>
    </w:p>
    <w:p w:rsidR="00BF661E" w:rsidP="00BF661E" w14:paraId="4ECF8D4F" w14:textId="75707B92">
      <w:pPr>
        <w:pStyle w:val="ListParagraph"/>
        <w:ind w:left="1080"/>
        <w:rPr>
          <w:bCs/>
          <w:sz w:val="24"/>
          <w:szCs w:val="24"/>
        </w:rPr>
      </w:pPr>
      <w:r>
        <w:rPr>
          <w:bCs/>
          <w:sz w:val="24"/>
          <w:szCs w:val="24"/>
        </w:rPr>
        <w:t>The chart below shows the estimated annual burden for this information collection:</w:t>
      </w:r>
    </w:p>
    <w:p w:rsidR="00BF661E" w:rsidP="00BF661E" w14:paraId="2533FB24" w14:textId="77777777">
      <w:pPr>
        <w:pStyle w:val="ListParagraph"/>
        <w:ind w:left="1080"/>
        <w:rPr>
          <w:bCs/>
          <w:sz w:val="24"/>
          <w:szCs w:val="24"/>
        </w:rPr>
      </w:pPr>
    </w:p>
    <w:tbl>
      <w:tblPr>
        <w:tblW w:w="11250" w:type="dxa"/>
        <w:tblInd w:w="-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0"/>
        <w:gridCol w:w="1620"/>
        <w:gridCol w:w="1350"/>
        <w:gridCol w:w="1260"/>
        <w:gridCol w:w="1350"/>
        <w:gridCol w:w="1530"/>
        <w:gridCol w:w="1800"/>
      </w:tblGrid>
      <w:tr w14:paraId="37050EFD" w14:textId="77777777" w:rsidTr="00664EBA">
        <w:tblPrEx>
          <w:tblW w:w="11250" w:type="dxa"/>
          <w:tblInd w:w="-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340" w:type="dxa"/>
          </w:tcPr>
          <w:p w:rsidR="00BF661E" w:rsidRPr="0020232E" w:rsidP="00664EBA" w14:paraId="501BFD8E" w14:textId="77777777">
            <w:pPr>
              <w:suppressAutoHyphens/>
              <w:autoSpaceDE w:val="0"/>
              <w:autoSpaceDN w:val="0"/>
              <w:adjustRightInd w:val="0"/>
              <w:rPr>
                <w:b/>
                <w:sz w:val="24"/>
                <w:szCs w:val="24"/>
              </w:rPr>
            </w:pPr>
            <w:r w:rsidRPr="0020232E">
              <w:rPr>
                <w:rFonts w:eastAsia="Calibri"/>
                <w:b/>
                <w:sz w:val="24"/>
                <w:szCs w:val="24"/>
              </w:rPr>
              <w:t>M</w:t>
            </w:r>
            <w:r>
              <w:rPr>
                <w:rFonts w:eastAsia="Calibri"/>
                <w:b/>
                <w:sz w:val="24"/>
                <w:szCs w:val="24"/>
              </w:rPr>
              <w:t>ethod</w:t>
            </w:r>
            <w:r w:rsidRPr="0020232E">
              <w:rPr>
                <w:rFonts w:eastAsia="Calibri"/>
                <w:b/>
                <w:sz w:val="24"/>
                <w:szCs w:val="24"/>
              </w:rPr>
              <w:t xml:space="preserve"> of Completion</w:t>
            </w:r>
          </w:p>
        </w:tc>
        <w:tc>
          <w:tcPr>
            <w:tcW w:w="1620" w:type="dxa"/>
          </w:tcPr>
          <w:p w:rsidR="00BF661E" w:rsidRPr="0020232E" w:rsidP="00664EBA" w14:paraId="5CDB03AE" w14:textId="77777777">
            <w:pPr>
              <w:suppressAutoHyphens/>
              <w:autoSpaceDE w:val="0"/>
              <w:autoSpaceDN w:val="0"/>
              <w:adjustRightInd w:val="0"/>
              <w:rPr>
                <w:b/>
                <w:sz w:val="24"/>
                <w:szCs w:val="24"/>
              </w:rPr>
            </w:pPr>
            <w:r w:rsidRPr="0020232E">
              <w:rPr>
                <w:rFonts w:eastAsia="Calibri"/>
                <w:b/>
                <w:sz w:val="24"/>
                <w:szCs w:val="24"/>
              </w:rPr>
              <w:t>Number of Respondents</w:t>
            </w:r>
          </w:p>
        </w:tc>
        <w:tc>
          <w:tcPr>
            <w:tcW w:w="1350" w:type="dxa"/>
          </w:tcPr>
          <w:p w:rsidR="00BF661E" w:rsidRPr="0020232E" w:rsidP="00664EBA" w14:paraId="592914E8" w14:textId="77777777">
            <w:pPr>
              <w:suppressAutoHyphens/>
              <w:autoSpaceDE w:val="0"/>
              <w:autoSpaceDN w:val="0"/>
              <w:adjustRightInd w:val="0"/>
              <w:rPr>
                <w:b/>
                <w:sz w:val="24"/>
                <w:szCs w:val="24"/>
              </w:rPr>
            </w:pPr>
            <w:r w:rsidRPr="0020232E">
              <w:rPr>
                <w:rFonts w:eastAsia="Calibri"/>
                <w:b/>
                <w:sz w:val="24"/>
                <w:szCs w:val="24"/>
              </w:rPr>
              <w:t>Frequency of Response</w:t>
            </w:r>
          </w:p>
        </w:tc>
        <w:tc>
          <w:tcPr>
            <w:tcW w:w="1260" w:type="dxa"/>
          </w:tcPr>
          <w:p w:rsidR="00BF661E" w:rsidRPr="0020232E" w:rsidP="00664EBA" w14:paraId="1813FB4D" w14:textId="77777777">
            <w:pPr>
              <w:suppressAutoHyphens/>
              <w:autoSpaceDE w:val="0"/>
              <w:autoSpaceDN w:val="0"/>
              <w:adjustRightInd w:val="0"/>
              <w:rPr>
                <w:b/>
                <w:sz w:val="24"/>
                <w:szCs w:val="24"/>
              </w:rPr>
            </w:pPr>
            <w:r w:rsidRPr="0020232E">
              <w:rPr>
                <w:rFonts w:eastAsia="Calibri"/>
                <w:b/>
                <w:sz w:val="24"/>
                <w:szCs w:val="24"/>
              </w:rPr>
              <w:t>Average Burden per Response (minutes)</w:t>
            </w:r>
          </w:p>
        </w:tc>
        <w:tc>
          <w:tcPr>
            <w:tcW w:w="1350" w:type="dxa"/>
          </w:tcPr>
          <w:p w:rsidR="00BF661E" w:rsidRPr="0020232E" w:rsidP="00664EBA" w14:paraId="519C657B" w14:textId="77777777">
            <w:pPr>
              <w:suppressAutoHyphens/>
              <w:autoSpaceDE w:val="0"/>
              <w:autoSpaceDN w:val="0"/>
              <w:adjustRightInd w:val="0"/>
              <w:rPr>
                <w:b/>
                <w:sz w:val="24"/>
                <w:szCs w:val="24"/>
              </w:rPr>
            </w:pPr>
            <w:r w:rsidRPr="0020232E">
              <w:rPr>
                <w:rFonts w:eastAsia="Calibri"/>
                <w:b/>
                <w:sz w:val="24"/>
                <w:szCs w:val="24"/>
              </w:rPr>
              <w:t>Estimated Total Annual Burden (hours)</w:t>
            </w:r>
          </w:p>
        </w:tc>
        <w:tc>
          <w:tcPr>
            <w:tcW w:w="1530" w:type="dxa"/>
          </w:tcPr>
          <w:p w:rsidR="00BF661E" w:rsidRPr="0020232E" w:rsidP="00664EBA" w14:paraId="77EDF579" w14:textId="77777777">
            <w:pPr>
              <w:suppressAutoHyphens/>
              <w:rPr>
                <w:b/>
                <w:sz w:val="24"/>
                <w:szCs w:val="24"/>
              </w:rPr>
            </w:pPr>
            <w:r w:rsidRPr="0020232E">
              <w:rPr>
                <w:rFonts w:eastAsia="Calibri"/>
                <w:b/>
                <w:sz w:val="24"/>
                <w:szCs w:val="24"/>
              </w:rPr>
              <w:t>Average Theoretical Hourly Cost Amount (dollars)*</w:t>
            </w:r>
          </w:p>
        </w:tc>
        <w:tc>
          <w:tcPr>
            <w:tcW w:w="1800" w:type="dxa"/>
          </w:tcPr>
          <w:p w:rsidR="00BF661E" w:rsidRPr="0020232E" w:rsidP="00664EBA" w14:paraId="7EEF2255" w14:textId="77777777">
            <w:pPr>
              <w:suppressAutoHyphens/>
              <w:rPr>
                <w:b/>
                <w:sz w:val="24"/>
                <w:szCs w:val="24"/>
              </w:rPr>
            </w:pPr>
            <w:r w:rsidRPr="0020232E">
              <w:rPr>
                <w:rFonts w:eastAsia="Calibri"/>
                <w:b/>
                <w:sz w:val="24"/>
                <w:szCs w:val="24"/>
              </w:rPr>
              <w:t>Total Annual Opportunity Cost (dollars)**</w:t>
            </w:r>
          </w:p>
        </w:tc>
      </w:tr>
      <w:tr w14:paraId="27201700" w14:textId="77777777" w:rsidTr="00664EBA">
        <w:tblPrEx>
          <w:tblW w:w="11250" w:type="dxa"/>
          <w:tblInd w:w="-953" w:type="dxa"/>
          <w:tblLayout w:type="fixed"/>
          <w:tblLook w:val="04A0"/>
        </w:tblPrEx>
        <w:tc>
          <w:tcPr>
            <w:tcW w:w="2340" w:type="dxa"/>
          </w:tcPr>
          <w:p w:rsidR="00BF661E" w:rsidRPr="0020232E" w:rsidP="00BF661E" w14:paraId="68E3BB63" w14:textId="46E0F7DF">
            <w:pPr>
              <w:suppressAutoHyphens/>
              <w:autoSpaceDE w:val="0"/>
              <w:autoSpaceDN w:val="0"/>
              <w:adjustRightInd w:val="0"/>
              <w:rPr>
                <w:rFonts w:eastAsia="Calibri"/>
                <w:b/>
                <w:sz w:val="24"/>
                <w:szCs w:val="24"/>
              </w:rPr>
            </w:pPr>
            <w:r w:rsidRPr="0020232E">
              <w:rPr>
                <w:sz w:val="24"/>
                <w:szCs w:val="24"/>
              </w:rPr>
              <w:t>PABSS Program Grantees (SSA-4570)</w:t>
            </w:r>
          </w:p>
        </w:tc>
        <w:tc>
          <w:tcPr>
            <w:tcW w:w="1620" w:type="dxa"/>
          </w:tcPr>
          <w:p w:rsidR="00BF661E" w:rsidRPr="0020232E" w:rsidP="00BF661E" w14:paraId="0398B463" w14:textId="3F920818">
            <w:pPr>
              <w:suppressAutoHyphens/>
              <w:autoSpaceDE w:val="0"/>
              <w:autoSpaceDN w:val="0"/>
              <w:adjustRightInd w:val="0"/>
              <w:jc w:val="right"/>
              <w:rPr>
                <w:rFonts w:eastAsia="Calibri"/>
                <w:b/>
                <w:sz w:val="24"/>
                <w:szCs w:val="24"/>
              </w:rPr>
            </w:pPr>
            <w:r w:rsidRPr="0020232E">
              <w:rPr>
                <w:sz w:val="24"/>
                <w:szCs w:val="24"/>
              </w:rPr>
              <w:t>1</w:t>
            </w:r>
            <w:r w:rsidRPr="0020232E">
              <w:rPr>
                <w:sz w:val="24"/>
                <w:szCs w:val="24"/>
                <w:vertAlign w:val="superscript"/>
              </w:rPr>
              <w:t>+</w:t>
            </w:r>
          </w:p>
        </w:tc>
        <w:tc>
          <w:tcPr>
            <w:tcW w:w="1350" w:type="dxa"/>
          </w:tcPr>
          <w:p w:rsidR="00BF661E" w:rsidRPr="0020232E" w:rsidP="00BF661E" w14:paraId="144CF144" w14:textId="604D51A4">
            <w:pPr>
              <w:suppressAutoHyphens/>
              <w:autoSpaceDE w:val="0"/>
              <w:autoSpaceDN w:val="0"/>
              <w:adjustRightInd w:val="0"/>
              <w:jc w:val="right"/>
              <w:rPr>
                <w:rFonts w:eastAsia="Calibri"/>
                <w:b/>
                <w:sz w:val="24"/>
                <w:szCs w:val="24"/>
              </w:rPr>
            </w:pPr>
            <w:r w:rsidRPr="0020232E">
              <w:rPr>
                <w:sz w:val="24"/>
                <w:szCs w:val="24"/>
              </w:rPr>
              <w:t>1</w:t>
            </w:r>
          </w:p>
        </w:tc>
        <w:tc>
          <w:tcPr>
            <w:tcW w:w="1260" w:type="dxa"/>
          </w:tcPr>
          <w:p w:rsidR="00BF661E" w:rsidRPr="0020232E" w:rsidP="00BF661E" w14:paraId="66D07320" w14:textId="1141E104">
            <w:pPr>
              <w:suppressAutoHyphens/>
              <w:autoSpaceDE w:val="0"/>
              <w:autoSpaceDN w:val="0"/>
              <w:adjustRightInd w:val="0"/>
              <w:jc w:val="right"/>
              <w:rPr>
                <w:rFonts w:eastAsia="Calibri"/>
                <w:b/>
                <w:sz w:val="24"/>
                <w:szCs w:val="24"/>
              </w:rPr>
            </w:pPr>
            <w:r w:rsidRPr="0020232E">
              <w:rPr>
                <w:sz w:val="24"/>
                <w:szCs w:val="24"/>
              </w:rPr>
              <w:t>1</w:t>
            </w:r>
          </w:p>
        </w:tc>
        <w:tc>
          <w:tcPr>
            <w:tcW w:w="1350" w:type="dxa"/>
          </w:tcPr>
          <w:p w:rsidR="00BF661E" w:rsidRPr="0020232E" w:rsidP="00BF661E" w14:paraId="65DD8005" w14:textId="2762012A">
            <w:pPr>
              <w:suppressAutoHyphens/>
              <w:autoSpaceDE w:val="0"/>
              <w:autoSpaceDN w:val="0"/>
              <w:adjustRightInd w:val="0"/>
              <w:jc w:val="right"/>
              <w:rPr>
                <w:rFonts w:eastAsia="Calibri"/>
                <w:b/>
                <w:sz w:val="24"/>
                <w:szCs w:val="24"/>
              </w:rPr>
            </w:pPr>
            <w:r w:rsidRPr="0020232E">
              <w:rPr>
                <w:sz w:val="24"/>
                <w:szCs w:val="24"/>
              </w:rPr>
              <w:t>1</w:t>
            </w:r>
          </w:p>
        </w:tc>
        <w:tc>
          <w:tcPr>
            <w:tcW w:w="1530" w:type="dxa"/>
          </w:tcPr>
          <w:p w:rsidR="00BF661E" w:rsidRPr="0020232E" w:rsidP="00BF661E" w14:paraId="7D852125" w14:textId="75D37043">
            <w:pPr>
              <w:suppressAutoHyphens/>
              <w:jc w:val="right"/>
              <w:rPr>
                <w:rFonts w:eastAsia="Calibri"/>
                <w:b/>
                <w:sz w:val="24"/>
                <w:szCs w:val="24"/>
              </w:rPr>
            </w:pPr>
            <w:r w:rsidRPr="0020232E">
              <w:rPr>
                <w:rFonts w:eastAsia="Calibri"/>
                <w:sz w:val="24"/>
                <w:szCs w:val="24"/>
              </w:rPr>
              <w:t>$1*</w:t>
            </w:r>
          </w:p>
        </w:tc>
        <w:tc>
          <w:tcPr>
            <w:tcW w:w="1800" w:type="dxa"/>
          </w:tcPr>
          <w:p w:rsidR="00BF661E" w:rsidRPr="0020232E" w:rsidP="00BF661E" w14:paraId="775586C4" w14:textId="4B86A988">
            <w:pPr>
              <w:suppressAutoHyphens/>
              <w:jc w:val="right"/>
              <w:rPr>
                <w:rFonts w:eastAsia="Calibri"/>
                <w:b/>
                <w:sz w:val="24"/>
                <w:szCs w:val="24"/>
              </w:rPr>
            </w:pPr>
            <w:r w:rsidRPr="0020232E">
              <w:rPr>
                <w:rFonts w:eastAsia="Calibri"/>
                <w:sz w:val="24"/>
                <w:szCs w:val="24"/>
              </w:rPr>
              <w:t>$1**</w:t>
            </w:r>
          </w:p>
        </w:tc>
      </w:tr>
      <w:tr w14:paraId="7C22F460" w14:textId="77777777" w:rsidTr="00664EBA">
        <w:tblPrEx>
          <w:tblW w:w="11250" w:type="dxa"/>
          <w:tblInd w:w="-953" w:type="dxa"/>
          <w:tblLayout w:type="fixed"/>
          <w:tblLook w:val="04A0"/>
        </w:tblPrEx>
        <w:tc>
          <w:tcPr>
            <w:tcW w:w="2340" w:type="dxa"/>
          </w:tcPr>
          <w:p w:rsidR="00BF661E" w:rsidRPr="0020232E" w:rsidP="00BF661E" w14:paraId="3D73EFC4" w14:textId="0822B587">
            <w:pPr>
              <w:suppressAutoHyphens/>
              <w:autoSpaceDE w:val="0"/>
              <w:autoSpaceDN w:val="0"/>
              <w:adjustRightInd w:val="0"/>
              <w:rPr>
                <w:rFonts w:eastAsia="Calibri"/>
                <w:b/>
                <w:sz w:val="24"/>
                <w:szCs w:val="24"/>
              </w:rPr>
            </w:pPr>
            <w:r w:rsidRPr="0020232E">
              <w:rPr>
                <w:sz w:val="24"/>
                <w:szCs w:val="24"/>
              </w:rPr>
              <w:t>Web-based Reporting System (SSA-4570)</w:t>
            </w:r>
          </w:p>
        </w:tc>
        <w:tc>
          <w:tcPr>
            <w:tcW w:w="1620" w:type="dxa"/>
          </w:tcPr>
          <w:p w:rsidR="00BF661E" w:rsidRPr="0020232E" w:rsidP="00BF661E" w14:paraId="23C21350" w14:textId="369ABDD5">
            <w:pPr>
              <w:suppressAutoHyphens/>
              <w:autoSpaceDE w:val="0"/>
              <w:autoSpaceDN w:val="0"/>
              <w:adjustRightInd w:val="0"/>
              <w:jc w:val="right"/>
              <w:rPr>
                <w:rFonts w:eastAsia="Calibri"/>
                <w:b/>
                <w:sz w:val="24"/>
                <w:szCs w:val="24"/>
              </w:rPr>
            </w:pPr>
            <w:r w:rsidRPr="0020232E">
              <w:rPr>
                <w:sz w:val="24"/>
                <w:szCs w:val="24"/>
              </w:rPr>
              <w:t>57</w:t>
            </w:r>
          </w:p>
        </w:tc>
        <w:tc>
          <w:tcPr>
            <w:tcW w:w="1350" w:type="dxa"/>
          </w:tcPr>
          <w:p w:rsidR="00BF661E" w:rsidRPr="0020232E" w:rsidP="00BF661E" w14:paraId="676BA71F" w14:textId="69715A49">
            <w:pPr>
              <w:suppressAutoHyphens/>
              <w:autoSpaceDE w:val="0"/>
              <w:autoSpaceDN w:val="0"/>
              <w:adjustRightInd w:val="0"/>
              <w:jc w:val="right"/>
              <w:rPr>
                <w:rFonts w:eastAsia="Calibri"/>
                <w:b/>
                <w:sz w:val="24"/>
                <w:szCs w:val="24"/>
              </w:rPr>
            </w:pPr>
            <w:r w:rsidRPr="0020232E">
              <w:rPr>
                <w:sz w:val="24"/>
                <w:szCs w:val="24"/>
              </w:rPr>
              <w:t>1</w:t>
            </w:r>
          </w:p>
        </w:tc>
        <w:tc>
          <w:tcPr>
            <w:tcW w:w="1260" w:type="dxa"/>
          </w:tcPr>
          <w:p w:rsidR="00BF661E" w:rsidRPr="0020232E" w:rsidP="00BF661E" w14:paraId="27F73FE8" w14:textId="3CA18E6B">
            <w:pPr>
              <w:suppressAutoHyphens/>
              <w:autoSpaceDE w:val="0"/>
              <w:autoSpaceDN w:val="0"/>
              <w:adjustRightInd w:val="0"/>
              <w:jc w:val="right"/>
              <w:rPr>
                <w:rFonts w:eastAsia="Calibri"/>
                <w:b/>
                <w:sz w:val="24"/>
                <w:szCs w:val="24"/>
              </w:rPr>
            </w:pPr>
            <w:r w:rsidRPr="0020232E">
              <w:rPr>
                <w:sz w:val="24"/>
                <w:szCs w:val="24"/>
              </w:rPr>
              <w:t>2,400</w:t>
            </w:r>
          </w:p>
        </w:tc>
        <w:tc>
          <w:tcPr>
            <w:tcW w:w="1350" w:type="dxa"/>
          </w:tcPr>
          <w:p w:rsidR="00BF661E" w:rsidRPr="0020232E" w:rsidP="00BF661E" w14:paraId="535B737C" w14:textId="1CE167EE">
            <w:pPr>
              <w:suppressAutoHyphens/>
              <w:autoSpaceDE w:val="0"/>
              <w:autoSpaceDN w:val="0"/>
              <w:adjustRightInd w:val="0"/>
              <w:jc w:val="right"/>
              <w:rPr>
                <w:rFonts w:eastAsia="Calibri"/>
                <w:b/>
                <w:sz w:val="24"/>
                <w:szCs w:val="24"/>
              </w:rPr>
            </w:pPr>
            <w:r w:rsidRPr="0020232E">
              <w:rPr>
                <w:sz w:val="24"/>
                <w:szCs w:val="24"/>
              </w:rPr>
              <w:t>2,280</w:t>
            </w:r>
          </w:p>
        </w:tc>
        <w:tc>
          <w:tcPr>
            <w:tcW w:w="1530" w:type="dxa"/>
          </w:tcPr>
          <w:p w:rsidR="00BF661E" w:rsidRPr="0020232E" w:rsidP="00BF661E" w14:paraId="766A2B78" w14:textId="75249F48">
            <w:pPr>
              <w:suppressAutoHyphens/>
              <w:jc w:val="right"/>
              <w:rPr>
                <w:rFonts w:eastAsia="Calibri"/>
                <w:b/>
                <w:sz w:val="24"/>
                <w:szCs w:val="24"/>
              </w:rPr>
            </w:pPr>
            <w:r w:rsidRPr="0020232E">
              <w:rPr>
                <w:rFonts w:eastAsia="Calibri"/>
                <w:sz w:val="24"/>
                <w:szCs w:val="24"/>
              </w:rPr>
              <w:t>$</w:t>
            </w:r>
            <w:r w:rsidR="00C5670C">
              <w:rPr>
                <w:rFonts w:eastAsia="Calibri"/>
                <w:sz w:val="24"/>
                <w:szCs w:val="24"/>
              </w:rPr>
              <w:t>55.83</w:t>
            </w:r>
            <w:r w:rsidRPr="0020232E">
              <w:rPr>
                <w:rFonts w:eastAsia="Calibri"/>
                <w:sz w:val="24"/>
                <w:szCs w:val="24"/>
              </w:rPr>
              <w:t>*</w:t>
            </w:r>
          </w:p>
        </w:tc>
        <w:tc>
          <w:tcPr>
            <w:tcW w:w="1800" w:type="dxa"/>
          </w:tcPr>
          <w:p w:rsidR="00BF661E" w:rsidRPr="0020232E" w:rsidP="00BF661E" w14:paraId="6212891C" w14:textId="2D4EDB0A">
            <w:pPr>
              <w:suppressAutoHyphens/>
              <w:jc w:val="right"/>
              <w:rPr>
                <w:rFonts w:eastAsia="Calibri"/>
                <w:b/>
                <w:sz w:val="24"/>
                <w:szCs w:val="24"/>
              </w:rPr>
            </w:pPr>
            <w:r w:rsidRPr="0020232E">
              <w:rPr>
                <w:rFonts w:eastAsia="Calibri"/>
                <w:sz w:val="24"/>
                <w:szCs w:val="24"/>
              </w:rPr>
              <w:t>$</w:t>
            </w:r>
            <w:r w:rsidR="00BF7C6B">
              <w:rPr>
                <w:rFonts w:eastAsia="Calibri"/>
                <w:sz w:val="24"/>
                <w:szCs w:val="24"/>
              </w:rPr>
              <w:t>127,292</w:t>
            </w:r>
            <w:r w:rsidRPr="0020232E">
              <w:rPr>
                <w:rFonts w:eastAsia="Calibri"/>
                <w:sz w:val="24"/>
                <w:szCs w:val="24"/>
              </w:rPr>
              <w:t>**</w:t>
            </w:r>
          </w:p>
        </w:tc>
      </w:tr>
      <w:tr w14:paraId="3070006C" w14:textId="77777777" w:rsidTr="00664EBA">
        <w:tblPrEx>
          <w:tblW w:w="11250" w:type="dxa"/>
          <w:tblInd w:w="-953" w:type="dxa"/>
          <w:tblLayout w:type="fixed"/>
          <w:tblLook w:val="04A0"/>
        </w:tblPrEx>
        <w:tc>
          <w:tcPr>
            <w:tcW w:w="2340" w:type="dxa"/>
          </w:tcPr>
          <w:p w:rsidR="00BF661E" w:rsidRPr="0020232E" w:rsidP="00BF661E" w14:paraId="3A59AA4A" w14:textId="301E99BD">
            <w:pPr>
              <w:suppressAutoHyphens/>
              <w:autoSpaceDE w:val="0"/>
              <w:autoSpaceDN w:val="0"/>
              <w:adjustRightInd w:val="0"/>
              <w:rPr>
                <w:rFonts w:eastAsia="Calibri"/>
                <w:b/>
                <w:sz w:val="24"/>
                <w:szCs w:val="24"/>
              </w:rPr>
            </w:pPr>
            <w:r w:rsidRPr="0020232E">
              <w:rPr>
                <w:b/>
                <w:sz w:val="24"/>
                <w:szCs w:val="24"/>
              </w:rPr>
              <w:t>Totals</w:t>
            </w:r>
          </w:p>
        </w:tc>
        <w:tc>
          <w:tcPr>
            <w:tcW w:w="1620" w:type="dxa"/>
          </w:tcPr>
          <w:p w:rsidR="00BF661E" w:rsidRPr="0020232E" w:rsidP="00BF661E" w14:paraId="1CE6ACF4" w14:textId="20FCA2A2">
            <w:pPr>
              <w:suppressAutoHyphens/>
              <w:autoSpaceDE w:val="0"/>
              <w:autoSpaceDN w:val="0"/>
              <w:adjustRightInd w:val="0"/>
              <w:jc w:val="right"/>
              <w:rPr>
                <w:rFonts w:eastAsia="Calibri"/>
                <w:b/>
                <w:sz w:val="24"/>
                <w:szCs w:val="24"/>
              </w:rPr>
            </w:pPr>
            <w:r w:rsidRPr="0020232E">
              <w:rPr>
                <w:b/>
                <w:sz w:val="24"/>
                <w:szCs w:val="24"/>
              </w:rPr>
              <w:t>5</w:t>
            </w:r>
            <w:r>
              <w:rPr>
                <w:b/>
                <w:sz w:val="24"/>
                <w:szCs w:val="24"/>
              </w:rPr>
              <w:t>8</w:t>
            </w:r>
          </w:p>
        </w:tc>
        <w:tc>
          <w:tcPr>
            <w:tcW w:w="1350" w:type="dxa"/>
          </w:tcPr>
          <w:p w:rsidR="00BF661E" w:rsidRPr="0020232E" w:rsidP="00BF661E" w14:paraId="5885DED6" w14:textId="77777777">
            <w:pPr>
              <w:suppressAutoHyphens/>
              <w:autoSpaceDE w:val="0"/>
              <w:autoSpaceDN w:val="0"/>
              <w:adjustRightInd w:val="0"/>
              <w:jc w:val="right"/>
              <w:rPr>
                <w:rFonts w:eastAsia="Calibri"/>
                <w:b/>
                <w:sz w:val="24"/>
                <w:szCs w:val="24"/>
              </w:rPr>
            </w:pPr>
          </w:p>
        </w:tc>
        <w:tc>
          <w:tcPr>
            <w:tcW w:w="1260" w:type="dxa"/>
          </w:tcPr>
          <w:p w:rsidR="00BF661E" w:rsidRPr="0020232E" w:rsidP="00BF661E" w14:paraId="22C29B8C" w14:textId="77777777">
            <w:pPr>
              <w:suppressAutoHyphens/>
              <w:autoSpaceDE w:val="0"/>
              <w:autoSpaceDN w:val="0"/>
              <w:adjustRightInd w:val="0"/>
              <w:jc w:val="right"/>
              <w:rPr>
                <w:rFonts w:eastAsia="Calibri"/>
                <w:b/>
                <w:sz w:val="24"/>
                <w:szCs w:val="24"/>
              </w:rPr>
            </w:pPr>
          </w:p>
        </w:tc>
        <w:tc>
          <w:tcPr>
            <w:tcW w:w="1350" w:type="dxa"/>
          </w:tcPr>
          <w:p w:rsidR="00BF661E" w:rsidRPr="0020232E" w:rsidP="00BF661E" w14:paraId="1ED6219A" w14:textId="16F7D275">
            <w:pPr>
              <w:suppressAutoHyphens/>
              <w:autoSpaceDE w:val="0"/>
              <w:autoSpaceDN w:val="0"/>
              <w:adjustRightInd w:val="0"/>
              <w:jc w:val="right"/>
              <w:rPr>
                <w:rFonts w:eastAsia="Calibri"/>
                <w:b/>
                <w:sz w:val="24"/>
                <w:szCs w:val="24"/>
              </w:rPr>
            </w:pPr>
            <w:r w:rsidRPr="0020232E">
              <w:rPr>
                <w:b/>
                <w:sz w:val="24"/>
                <w:szCs w:val="24"/>
              </w:rPr>
              <w:t>2,28</w:t>
            </w:r>
            <w:r>
              <w:rPr>
                <w:b/>
                <w:sz w:val="24"/>
                <w:szCs w:val="24"/>
              </w:rPr>
              <w:t>0</w:t>
            </w:r>
          </w:p>
        </w:tc>
        <w:tc>
          <w:tcPr>
            <w:tcW w:w="1530" w:type="dxa"/>
          </w:tcPr>
          <w:p w:rsidR="00BF661E" w:rsidRPr="0020232E" w:rsidP="00BF661E" w14:paraId="17D3DF53" w14:textId="77777777">
            <w:pPr>
              <w:suppressAutoHyphens/>
              <w:jc w:val="right"/>
              <w:rPr>
                <w:rFonts w:eastAsia="Calibri"/>
                <w:b/>
                <w:sz w:val="24"/>
                <w:szCs w:val="24"/>
              </w:rPr>
            </w:pPr>
          </w:p>
        </w:tc>
        <w:tc>
          <w:tcPr>
            <w:tcW w:w="1800" w:type="dxa"/>
          </w:tcPr>
          <w:p w:rsidR="00BF661E" w:rsidRPr="0020232E" w:rsidP="00BF661E" w14:paraId="362B267B" w14:textId="15C14B67">
            <w:pPr>
              <w:suppressAutoHyphens/>
              <w:jc w:val="right"/>
              <w:rPr>
                <w:rFonts w:eastAsia="Calibri"/>
                <w:b/>
                <w:sz w:val="24"/>
                <w:szCs w:val="24"/>
              </w:rPr>
            </w:pPr>
            <w:r w:rsidRPr="0020232E">
              <w:rPr>
                <w:rFonts w:eastAsia="Calibri"/>
                <w:b/>
                <w:sz w:val="24"/>
                <w:szCs w:val="24"/>
              </w:rPr>
              <w:t>$</w:t>
            </w:r>
            <w:r w:rsidR="00BF7C6B">
              <w:rPr>
                <w:rFonts w:eastAsia="Calibri"/>
                <w:b/>
                <w:sz w:val="24"/>
                <w:szCs w:val="24"/>
              </w:rPr>
              <w:t>127,293</w:t>
            </w:r>
            <w:r w:rsidRPr="0020232E">
              <w:rPr>
                <w:rFonts w:eastAsia="Calibri"/>
                <w:b/>
                <w:sz w:val="24"/>
                <w:szCs w:val="24"/>
              </w:rPr>
              <w:t>**</w:t>
            </w:r>
          </w:p>
        </w:tc>
      </w:tr>
    </w:tbl>
    <w:p w:rsidR="00BF661E" w:rsidP="00BF661E" w14:paraId="5F549A9A" w14:textId="16027959">
      <w:pPr>
        <w:pStyle w:val="ListParagraph"/>
        <w:ind w:left="1080"/>
        <w:rPr>
          <w:rStyle w:val="SubtleReference"/>
          <w:i w:val="0"/>
          <w:iCs/>
          <w:sz w:val="24"/>
          <w:szCs w:val="24"/>
        </w:rPr>
      </w:pPr>
      <w:r w:rsidRPr="0020232E">
        <w:rPr>
          <w:sz w:val="24"/>
          <w:szCs w:val="24"/>
          <w:vertAlign w:val="superscript"/>
        </w:rPr>
        <w:t>+</w:t>
      </w:r>
      <w:r w:rsidRPr="00C06368">
        <w:rPr>
          <w:rStyle w:val="SubtleReference"/>
          <w:i w:val="0"/>
          <w:iCs/>
          <w:sz w:val="24"/>
          <w:szCs w:val="24"/>
        </w:rPr>
        <w:t xml:space="preserve">We are placing a place holder for form SSA-4570, as SSA will only use the paper version of the SSA-4570 as a backup collection instrument if the Web-based Reporting System becomes unavailable.  As such, we do not anticipate any respondents will use the PDF form under normal circumstances, therefore, we are </w:t>
      </w:r>
      <w:r>
        <w:rPr>
          <w:rStyle w:val="SubtleReference"/>
          <w:i w:val="0"/>
          <w:iCs/>
          <w:sz w:val="24"/>
          <w:szCs w:val="24"/>
        </w:rPr>
        <w:t>including</w:t>
      </w:r>
      <w:r w:rsidRPr="00C06368">
        <w:rPr>
          <w:rStyle w:val="SubtleReference"/>
          <w:i w:val="0"/>
          <w:iCs/>
          <w:sz w:val="24"/>
          <w:szCs w:val="24"/>
        </w:rPr>
        <w:t xml:space="preserve"> a placeholder</w:t>
      </w:r>
      <w:r>
        <w:rPr>
          <w:rStyle w:val="SubtleReference"/>
          <w:i w:val="0"/>
          <w:iCs/>
          <w:sz w:val="24"/>
          <w:szCs w:val="24"/>
        </w:rPr>
        <w:t xml:space="preserve"> burden here.</w:t>
      </w:r>
    </w:p>
    <w:p w:rsidR="00BF661E" w:rsidP="00BF661E" w14:paraId="05AE2C2D" w14:textId="77777777">
      <w:pPr>
        <w:pStyle w:val="ListParagraph"/>
        <w:ind w:left="1080"/>
        <w:rPr>
          <w:rStyle w:val="SubtleReference"/>
          <w:i w:val="0"/>
          <w:iCs/>
          <w:sz w:val="24"/>
          <w:szCs w:val="24"/>
        </w:rPr>
      </w:pPr>
    </w:p>
    <w:p w:rsidR="00BF661E" w:rsidP="00BF661E" w14:paraId="33D4AE1C" w14:textId="33445230">
      <w:pPr>
        <w:pStyle w:val="ListParagraph"/>
        <w:ind w:left="1080"/>
        <w:rPr>
          <w:sz w:val="24"/>
          <w:szCs w:val="24"/>
        </w:rPr>
      </w:pPr>
      <w:r w:rsidRPr="00FE2776">
        <w:rPr>
          <w:rFonts w:eastAsia="Calibri"/>
          <w:sz w:val="24"/>
          <w:szCs w:val="24"/>
        </w:rPr>
        <w:t>* We based this figure on the</w:t>
      </w:r>
      <w:r w:rsidR="00DE7158">
        <w:rPr>
          <w:rFonts w:eastAsia="Calibri"/>
          <w:sz w:val="24"/>
          <w:szCs w:val="24"/>
        </w:rPr>
        <w:t xml:space="preserve"> </w:t>
      </w:r>
      <w:r w:rsidRPr="00FE2776">
        <w:rPr>
          <w:sz w:val="24"/>
          <w:szCs w:val="24"/>
        </w:rPr>
        <w:t>average Computer Systems Analyst hourly wages (</w:t>
      </w:r>
      <w:hyperlink r:id="rId4" w:anchor="/industry/000000" w:history="1">
        <w:r w:rsidRPr="00FE2776">
          <w:rPr>
            <w:rStyle w:val="Hyperlink"/>
            <w:sz w:val="24"/>
            <w:szCs w:val="24"/>
          </w:rPr>
          <w:t>Occupational Employment and Wage Statistics</w:t>
        </w:r>
      </w:hyperlink>
      <w:r w:rsidRPr="00FE2776">
        <w:rPr>
          <w:sz w:val="24"/>
          <w:szCs w:val="24"/>
          <w:u w:val="single"/>
        </w:rPr>
        <w:t>)</w:t>
      </w:r>
      <w:r w:rsidRPr="00FE2776">
        <w:rPr>
          <w:sz w:val="24"/>
          <w:szCs w:val="24"/>
        </w:rPr>
        <w:t>, as reported by Bureau of Labor Statistics data</w:t>
      </w:r>
      <w:r>
        <w:rPr>
          <w:sz w:val="24"/>
          <w:szCs w:val="24"/>
        </w:rPr>
        <w:t>.</w:t>
      </w:r>
    </w:p>
    <w:p w:rsidR="00BF661E" w:rsidP="00BF661E" w14:paraId="5655F584" w14:textId="77777777">
      <w:pPr>
        <w:pStyle w:val="ListParagraph"/>
        <w:ind w:left="1080"/>
        <w:rPr>
          <w:sz w:val="24"/>
          <w:szCs w:val="24"/>
        </w:rPr>
      </w:pPr>
    </w:p>
    <w:p w:rsidR="00BF661E" w:rsidP="00BF661E" w14:paraId="5A32C16E" w14:textId="68338EAC">
      <w:pPr>
        <w:pStyle w:val="ListParagraph"/>
        <w:ind w:left="1080"/>
        <w:rPr>
          <w:sz w:val="24"/>
          <w:szCs w:val="24"/>
        </w:rPr>
      </w:pPr>
      <w:r w:rsidRPr="00C06368">
        <w:rPr>
          <w:sz w:val="24"/>
          <w:szCs w:val="24"/>
        </w:rPr>
        <w:t>**</w:t>
      </w:r>
      <w:r>
        <w:rPr>
          <w:sz w:val="24"/>
          <w:szCs w:val="24"/>
        </w:rPr>
        <w:t xml:space="preserve"> </w:t>
      </w:r>
      <w:r w:rsidRPr="00C06368">
        <w:rPr>
          <w:sz w:val="24"/>
          <w:szCs w:val="24"/>
        </w:rPr>
        <w:t xml:space="preserve">This figure does not represent actual costs that SSA is imposing on recipients of Social Security payments to complete this application; rather, these are theoretical opportunity costs for the additional time respondents will spend </w:t>
      </w:r>
      <w:r w:rsidRPr="00C06368">
        <w:rPr>
          <w:sz w:val="24"/>
          <w:szCs w:val="24"/>
        </w:rPr>
        <w:t>to complete</w:t>
      </w:r>
      <w:r w:rsidRPr="00C06368">
        <w:rPr>
          <w:sz w:val="24"/>
          <w:szCs w:val="24"/>
        </w:rPr>
        <w:t xml:space="preserve"> the application.  </w:t>
      </w:r>
      <w:r w:rsidRPr="00C06368">
        <w:rPr>
          <w:b/>
          <w:sz w:val="24"/>
          <w:szCs w:val="24"/>
          <w:u w:val="single"/>
        </w:rPr>
        <w:t>There is no actual charge to respondents to complete the application</w:t>
      </w:r>
      <w:r w:rsidRPr="00C06368">
        <w:rPr>
          <w:sz w:val="24"/>
          <w:szCs w:val="24"/>
        </w:rPr>
        <w:t>.</w:t>
      </w:r>
    </w:p>
    <w:p w:rsidR="00BF661E" w:rsidP="00BF661E" w14:paraId="083FE829" w14:textId="77777777">
      <w:pPr>
        <w:pStyle w:val="ListParagraph"/>
        <w:ind w:left="1080"/>
        <w:rPr>
          <w:sz w:val="24"/>
          <w:szCs w:val="24"/>
        </w:rPr>
      </w:pPr>
    </w:p>
    <w:p w:rsidR="00BF661E" w:rsidP="00BF661E" w14:paraId="7F5E7853" w14:textId="1F8094FC">
      <w:pPr>
        <w:pStyle w:val="ListParagraph"/>
        <w:ind w:left="1080"/>
        <w:rPr>
          <w:sz w:val="24"/>
          <w:szCs w:val="24"/>
        </w:rPr>
      </w:pPr>
      <w:r>
        <w:rPr>
          <w:sz w:val="24"/>
          <w:szCs w:val="24"/>
        </w:rPr>
        <w:t>Note:  As respondents either submit this information to us electronically through the Web-based Reporting System, or via an emailed PDF, we have no travel time associated with this information collection.</w:t>
      </w:r>
    </w:p>
    <w:p w:rsidR="00BF661E" w:rsidP="00BF661E" w14:paraId="0EF1CA9B" w14:textId="77777777">
      <w:pPr>
        <w:pStyle w:val="ListParagraph"/>
        <w:ind w:left="1080"/>
        <w:rPr>
          <w:sz w:val="24"/>
          <w:szCs w:val="24"/>
        </w:rPr>
      </w:pPr>
    </w:p>
    <w:p w:rsidR="00BF661E" w:rsidP="00BF661E" w14:paraId="13112FD9" w14:textId="77777777">
      <w:pPr>
        <w:pStyle w:val="ListParagraph"/>
        <w:ind w:left="1080"/>
        <w:rPr>
          <w:sz w:val="24"/>
          <w:szCs w:val="24"/>
        </w:rPr>
      </w:pPr>
      <w:r w:rsidRPr="008450B4">
        <w:rPr>
          <w:sz w:val="24"/>
          <w:szCs w:val="24"/>
        </w:rPr>
        <w:t>We 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p w:rsidR="00BF661E" w:rsidP="00BF661E" w14:paraId="6A1266DA" w14:textId="77777777">
      <w:pPr>
        <w:pStyle w:val="ListParagraph"/>
        <w:ind w:left="1080"/>
        <w:rPr>
          <w:sz w:val="24"/>
          <w:szCs w:val="24"/>
        </w:rPr>
      </w:pPr>
    </w:p>
    <w:tbl>
      <w:tblPr>
        <w:tblW w:w="8274"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1620"/>
        <w:gridCol w:w="1816"/>
        <w:gridCol w:w="1609"/>
        <w:gridCol w:w="1609"/>
      </w:tblGrid>
      <w:tr w14:paraId="5F46D0C2" w14:textId="77777777" w:rsidTr="00BF661E">
        <w:tblPrEx>
          <w:tblW w:w="8274"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1620" w:type="dxa"/>
          </w:tcPr>
          <w:p w:rsidR="00BF661E" w:rsidRPr="008450B4" w:rsidP="00664EBA" w14:paraId="6C0563AF" w14:textId="77777777">
            <w:pPr>
              <w:rPr>
                <w:b/>
                <w:sz w:val="24"/>
                <w:szCs w:val="24"/>
              </w:rPr>
            </w:pPr>
            <w:r w:rsidRPr="008450B4">
              <w:rPr>
                <w:b/>
                <w:sz w:val="24"/>
                <w:szCs w:val="24"/>
              </w:rPr>
              <w:t xml:space="preserve">Total Number of Respondents </w:t>
            </w:r>
          </w:p>
        </w:tc>
        <w:tc>
          <w:tcPr>
            <w:tcW w:w="1620" w:type="dxa"/>
          </w:tcPr>
          <w:p w:rsidR="00BF661E" w:rsidRPr="008450B4" w:rsidP="00664EBA" w14:paraId="25CE2491" w14:textId="77777777">
            <w:pPr>
              <w:rPr>
                <w:b/>
                <w:sz w:val="24"/>
                <w:szCs w:val="24"/>
              </w:rPr>
            </w:pPr>
            <w:r w:rsidRPr="008450B4">
              <w:rPr>
                <w:b/>
                <w:sz w:val="24"/>
                <w:szCs w:val="24"/>
              </w:rPr>
              <w:t>Frequency of Response</w:t>
            </w:r>
          </w:p>
        </w:tc>
        <w:tc>
          <w:tcPr>
            <w:tcW w:w="1816" w:type="dxa"/>
          </w:tcPr>
          <w:p w:rsidR="00BF661E" w:rsidRPr="008450B4" w:rsidP="00664EBA" w14:paraId="705D890B" w14:textId="77777777">
            <w:pPr>
              <w:rPr>
                <w:b/>
                <w:sz w:val="24"/>
                <w:szCs w:val="24"/>
              </w:rPr>
            </w:pPr>
            <w:r w:rsidRPr="008450B4">
              <w:rPr>
                <w:b/>
                <w:sz w:val="24"/>
                <w:szCs w:val="24"/>
              </w:rPr>
              <w:t>Estimate Learning Cost (minutes)</w:t>
            </w:r>
          </w:p>
        </w:tc>
        <w:tc>
          <w:tcPr>
            <w:tcW w:w="1609" w:type="dxa"/>
          </w:tcPr>
          <w:p w:rsidR="00BF661E" w:rsidRPr="008450B4" w:rsidP="00664EBA" w14:paraId="4F5F57F1" w14:textId="77777777">
            <w:pPr>
              <w:rPr>
                <w:b/>
                <w:sz w:val="24"/>
                <w:szCs w:val="24"/>
              </w:rPr>
            </w:pPr>
            <w:r w:rsidRPr="008450B4">
              <w:rPr>
                <w:b/>
                <w:sz w:val="24"/>
                <w:szCs w:val="24"/>
              </w:rPr>
              <w:t>Estimated Total Annual Burden (hours)</w:t>
            </w:r>
          </w:p>
        </w:tc>
        <w:tc>
          <w:tcPr>
            <w:tcW w:w="1609" w:type="dxa"/>
          </w:tcPr>
          <w:p w:rsidR="00BF661E" w:rsidRPr="008450B4" w:rsidP="00664EBA" w14:paraId="17BD9697" w14:textId="77777777">
            <w:pPr>
              <w:rPr>
                <w:b/>
                <w:sz w:val="24"/>
                <w:szCs w:val="24"/>
              </w:rPr>
            </w:pPr>
            <w:r w:rsidRPr="008450B4">
              <w:rPr>
                <w:b/>
                <w:sz w:val="24"/>
                <w:szCs w:val="24"/>
              </w:rPr>
              <w:t>Total Annual Learning Cost (dollars)**</w:t>
            </w:r>
          </w:p>
        </w:tc>
      </w:tr>
      <w:tr w14:paraId="5C5E4931" w14:textId="77777777" w:rsidTr="00BF661E">
        <w:tblPrEx>
          <w:tblW w:w="8274" w:type="dxa"/>
          <w:tblInd w:w="1075" w:type="dxa"/>
          <w:tblLook w:val="04A0"/>
        </w:tblPrEx>
        <w:trPr>
          <w:trHeight w:val="306"/>
        </w:trPr>
        <w:tc>
          <w:tcPr>
            <w:tcW w:w="1620" w:type="dxa"/>
          </w:tcPr>
          <w:p w:rsidR="00BF661E" w:rsidRPr="008450B4" w:rsidP="00664EBA" w14:paraId="3AC37B44" w14:textId="77777777">
            <w:pPr>
              <w:rPr>
                <w:sz w:val="24"/>
                <w:szCs w:val="24"/>
              </w:rPr>
            </w:pPr>
            <w:r w:rsidRPr="008450B4">
              <w:rPr>
                <w:sz w:val="24"/>
                <w:szCs w:val="24"/>
              </w:rPr>
              <w:t>57</w:t>
            </w:r>
          </w:p>
        </w:tc>
        <w:tc>
          <w:tcPr>
            <w:tcW w:w="1620" w:type="dxa"/>
          </w:tcPr>
          <w:p w:rsidR="00BF661E" w:rsidRPr="008450B4" w:rsidP="00664EBA" w14:paraId="785CC2E8" w14:textId="77777777">
            <w:pPr>
              <w:jc w:val="right"/>
              <w:rPr>
                <w:sz w:val="24"/>
                <w:szCs w:val="24"/>
              </w:rPr>
            </w:pPr>
            <w:r w:rsidRPr="008450B4">
              <w:rPr>
                <w:sz w:val="24"/>
                <w:szCs w:val="24"/>
              </w:rPr>
              <w:t>1</w:t>
            </w:r>
          </w:p>
        </w:tc>
        <w:tc>
          <w:tcPr>
            <w:tcW w:w="1816" w:type="dxa"/>
          </w:tcPr>
          <w:p w:rsidR="00BF661E" w:rsidRPr="008450B4" w:rsidP="00664EBA" w14:paraId="19AE2B01" w14:textId="77777777">
            <w:pPr>
              <w:jc w:val="right"/>
              <w:rPr>
                <w:sz w:val="24"/>
                <w:szCs w:val="24"/>
              </w:rPr>
            </w:pPr>
            <w:r w:rsidRPr="008450B4">
              <w:rPr>
                <w:sz w:val="24"/>
                <w:szCs w:val="24"/>
              </w:rPr>
              <w:t>90</w:t>
            </w:r>
          </w:p>
        </w:tc>
        <w:tc>
          <w:tcPr>
            <w:tcW w:w="1609" w:type="dxa"/>
          </w:tcPr>
          <w:p w:rsidR="00BF661E" w:rsidRPr="008450B4" w:rsidP="00664EBA" w14:paraId="49B48E6B" w14:textId="77777777">
            <w:pPr>
              <w:jc w:val="right"/>
              <w:rPr>
                <w:sz w:val="24"/>
                <w:szCs w:val="24"/>
              </w:rPr>
            </w:pPr>
            <w:r w:rsidRPr="008450B4">
              <w:rPr>
                <w:sz w:val="24"/>
                <w:szCs w:val="24"/>
              </w:rPr>
              <w:t>86</w:t>
            </w:r>
          </w:p>
        </w:tc>
        <w:tc>
          <w:tcPr>
            <w:tcW w:w="1609" w:type="dxa"/>
          </w:tcPr>
          <w:p w:rsidR="00BF661E" w:rsidRPr="008450B4" w:rsidP="00664EBA" w14:paraId="2EC87C88" w14:textId="77777777">
            <w:pPr>
              <w:jc w:val="right"/>
              <w:rPr>
                <w:sz w:val="24"/>
                <w:szCs w:val="24"/>
              </w:rPr>
            </w:pPr>
            <w:r w:rsidRPr="008450B4">
              <w:rPr>
                <w:sz w:val="24"/>
                <w:szCs w:val="24"/>
              </w:rPr>
              <w:t>$2,928***</w:t>
            </w:r>
          </w:p>
        </w:tc>
      </w:tr>
    </w:tbl>
    <w:p w:rsidR="00BF661E" w:rsidP="00BF661E" w14:paraId="722733D3" w14:textId="77777777">
      <w:pPr>
        <w:pStyle w:val="ListParagraph"/>
        <w:ind w:left="1080"/>
        <w:rPr>
          <w:sz w:val="24"/>
          <w:szCs w:val="24"/>
        </w:rPr>
      </w:pPr>
      <w:r w:rsidRPr="008450B4">
        <w:rPr>
          <w:sz w:val="24"/>
          <w:szCs w:val="24"/>
        </w:rPr>
        <w:t>***We based this dollar amount on the Average Theoretical Hourly Cost Amount in dollars shown on the burden chart above.</w:t>
      </w:r>
    </w:p>
    <w:p w:rsidR="00BF661E" w:rsidP="00BF661E" w14:paraId="389B506D" w14:textId="77777777">
      <w:pPr>
        <w:pStyle w:val="ListParagraph"/>
        <w:ind w:left="1080"/>
        <w:rPr>
          <w:sz w:val="24"/>
          <w:szCs w:val="24"/>
        </w:rPr>
      </w:pPr>
    </w:p>
    <w:p w:rsidR="00BF661E" w:rsidP="00BF661E" w14:paraId="0757D29C" w14:textId="77777777">
      <w:pPr>
        <w:pStyle w:val="ListParagraph"/>
        <w:ind w:left="1080"/>
        <w:rPr>
          <w:sz w:val="24"/>
          <w:szCs w:val="24"/>
        </w:rPr>
      </w:pPr>
      <w:r w:rsidRPr="008450B4">
        <w:rPr>
          <w:sz w:val="24"/>
          <w:szCs w:val="24"/>
        </w:rPr>
        <w:t>NOTE:  We included the total opportunity cost estimate from this chart in our calculations when showing the total time and opportunity cost estimates in the paragraph below.</w:t>
      </w:r>
    </w:p>
    <w:p w:rsidR="00BF661E" w:rsidP="00BF661E" w14:paraId="6E27381D" w14:textId="4F374E69">
      <w:pPr>
        <w:pStyle w:val="ListParagraph"/>
        <w:ind w:left="1080"/>
        <w:rPr>
          <w:noProof/>
          <w:sz w:val="24"/>
          <w:szCs w:val="24"/>
        </w:rPr>
      </w:pPr>
      <w:r w:rsidRPr="00BF661E">
        <w:rPr>
          <w:noProof/>
          <w:sz w:val="24"/>
          <w:szCs w:val="24"/>
        </w:rPr>
        <w:t xml:space="preserve">We base our burden estimates on current management information data, which includes data from actual interviews, as well as from years of conducting this information collection.  Per our management information data, we believe that </w:t>
      </w:r>
      <w:r w:rsidRPr="00BF661E">
        <w:rPr>
          <w:b/>
          <w:bCs/>
          <w:noProof/>
          <w:sz w:val="24"/>
          <w:szCs w:val="24"/>
        </w:rPr>
        <w:t>2,400</w:t>
      </w:r>
      <w:r w:rsidRPr="00BF661E">
        <w:rPr>
          <w:noProof/>
          <w:sz w:val="24"/>
          <w:szCs w:val="24"/>
        </w:rPr>
        <w:t xml:space="preserve"> minutes accurately shows the average burden per response for </w:t>
      </w:r>
      <w:r w:rsidRPr="00BF661E">
        <w:rPr>
          <w:sz w:val="24"/>
          <w:szCs w:val="24"/>
        </w:rPr>
        <w:t>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BF661E">
        <w:rPr>
          <w:noProof/>
          <w:sz w:val="24"/>
          <w:szCs w:val="24"/>
        </w:rPr>
        <w:t>.  Based on our current management information data, the current burden information we provided is accurate</w:t>
      </w:r>
      <w:r w:rsidRPr="00BF661E">
        <w:rPr>
          <w:sz w:val="24"/>
          <w:szCs w:val="24"/>
        </w:rPr>
        <w:t xml:space="preserve">.  The total burden for this ICR is </w:t>
      </w:r>
      <w:r w:rsidRPr="00BF661E">
        <w:rPr>
          <w:b/>
          <w:sz w:val="24"/>
          <w:szCs w:val="24"/>
        </w:rPr>
        <w:t>2,280</w:t>
      </w:r>
      <w:r w:rsidRPr="00BF661E">
        <w:rPr>
          <w:sz w:val="24"/>
          <w:szCs w:val="24"/>
        </w:rPr>
        <w:t xml:space="preserve"> burden hours (reflecting SSA management information data), which results in an associated theoretical (not actual) opportunity cost financial burden of </w:t>
      </w:r>
      <w:r w:rsidRPr="00BF661E">
        <w:rPr>
          <w:b/>
          <w:sz w:val="24"/>
          <w:szCs w:val="24"/>
        </w:rPr>
        <w:t>$80,563</w:t>
      </w:r>
      <w:r w:rsidRPr="00BF661E">
        <w:rPr>
          <w:sz w:val="24"/>
          <w:szCs w:val="24"/>
        </w:rPr>
        <w:t>.  SSA does not charge respondents to complete our applications</w:t>
      </w:r>
      <w:r w:rsidRPr="00BF661E">
        <w:rPr>
          <w:noProof/>
          <w:sz w:val="24"/>
          <w:szCs w:val="24"/>
        </w:rPr>
        <w:t>.</w:t>
      </w:r>
    </w:p>
    <w:p w:rsidR="001A6024" w:rsidRPr="00BF661E" w:rsidP="00BF661E" w14:paraId="397B5236" w14:textId="65D80BF6">
      <w:pPr>
        <w:pStyle w:val="ListParagraph"/>
        <w:ind w:left="1080"/>
        <w:rPr>
          <w:sz w:val="24"/>
          <w:szCs w:val="24"/>
        </w:rPr>
      </w:pPr>
    </w:p>
    <w:p w:rsidR="00310517" w:rsidP="00310517" w14:paraId="2ADE9F4E" w14:textId="79CE1E7C">
      <w:pPr>
        <w:pStyle w:val="ListParagraph"/>
        <w:numPr>
          <w:ilvl w:val="0"/>
          <w:numId w:val="3"/>
        </w:numPr>
        <w:rPr>
          <w:b/>
          <w:sz w:val="24"/>
          <w:szCs w:val="24"/>
        </w:rPr>
      </w:pPr>
      <w:r w:rsidRPr="0011122A">
        <w:rPr>
          <w:b/>
          <w:sz w:val="24"/>
          <w:szCs w:val="24"/>
        </w:rPr>
        <w:t>Annual Cost to the Respondents (Other)</w:t>
      </w:r>
    </w:p>
    <w:p w:rsidR="001A6024" w:rsidP="001A6024" w14:paraId="56F0F4B0" w14:textId="05F57B03">
      <w:pPr>
        <w:pStyle w:val="ListParagraph"/>
        <w:ind w:left="1080"/>
        <w:rPr>
          <w:b/>
          <w:sz w:val="24"/>
          <w:szCs w:val="24"/>
        </w:rPr>
      </w:pPr>
      <w:r w:rsidRPr="0011122A">
        <w:rPr>
          <w:sz w:val="24"/>
          <w:szCs w:val="24"/>
        </w:rPr>
        <w:t xml:space="preserve">This collection does not impose a known cost burden </w:t>
      </w:r>
      <w:r w:rsidRPr="0011122A">
        <w:rPr>
          <w:sz w:val="24"/>
          <w:szCs w:val="24"/>
        </w:rPr>
        <w:t>to</w:t>
      </w:r>
      <w:r w:rsidRPr="0011122A">
        <w:rPr>
          <w:sz w:val="24"/>
          <w:szCs w:val="24"/>
        </w:rPr>
        <w:t xml:space="preserve"> the respondents</w:t>
      </w:r>
      <w:r>
        <w:rPr>
          <w:sz w:val="24"/>
          <w:szCs w:val="24"/>
        </w:rPr>
        <w:t>.</w:t>
      </w:r>
    </w:p>
    <w:p w:rsidR="001A6024" w:rsidP="001A6024" w14:paraId="5BFF2036" w14:textId="77777777">
      <w:pPr>
        <w:pStyle w:val="ListParagraph"/>
        <w:ind w:left="1080"/>
        <w:rPr>
          <w:b/>
          <w:sz w:val="24"/>
          <w:szCs w:val="24"/>
        </w:rPr>
      </w:pPr>
    </w:p>
    <w:p w:rsidR="00310517" w:rsidP="00310517" w14:paraId="56698223" w14:textId="535050AB">
      <w:pPr>
        <w:pStyle w:val="ListParagraph"/>
        <w:numPr>
          <w:ilvl w:val="0"/>
          <w:numId w:val="3"/>
        </w:numPr>
        <w:rPr>
          <w:b/>
          <w:sz w:val="24"/>
          <w:szCs w:val="24"/>
        </w:rPr>
      </w:pPr>
      <w:r w:rsidRPr="0011122A">
        <w:rPr>
          <w:b/>
          <w:sz w:val="24"/>
          <w:szCs w:val="24"/>
        </w:rPr>
        <w:t xml:space="preserve">Annual Cost </w:t>
      </w:r>
      <w:r w:rsidRPr="0011122A">
        <w:rPr>
          <w:b/>
          <w:sz w:val="24"/>
          <w:szCs w:val="24"/>
        </w:rPr>
        <w:t>To</w:t>
      </w:r>
      <w:r w:rsidRPr="0011122A">
        <w:rPr>
          <w:b/>
          <w:sz w:val="24"/>
          <w:szCs w:val="24"/>
        </w:rPr>
        <w:t xml:space="preserve"> Federal Government</w:t>
      </w:r>
    </w:p>
    <w:p w:rsidR="001A6024" w:rsidP="001A6024" w14:paraId="0FECE4ED" w14:textId="77777777">
      <w:pPr>
        <w:pStyle w:val="ListParagraph"/>
        <w:ind w:left="1080"/>
        <w:rPr>
          <w:color w:val="000000"/>
          <w:sz w:val="24"/>
          <w:szCs w:val="24"/>
        </w:rPr>
      </w:pPr>
      <w:r w:rsidRPr="007346F7">
        <w:rPr>
          <w:color w:val="000000"/>
          <w:sz w:val="24"/>
          <w:szCs w:val="24"/>
        </w:rPr>
        <w:t xml:space="preserve">The annual cost to the Federal Government is approximately </w:t>
      </w:r>
      <w:r w:rsidRPr="00892700">
        <w:rPr>
          <w:b/>
          <w:bCs/>
          <w:color w:val="000000"/>
          <w:sz w:val="24"/>
          <w:szCs w:val="24"/>
        </w:rPr>
        <w:t>$</w:t>
      </w:r>
      <w:r w:rsidRPr="00892700">
        <w:rPr>
          <w:b/>
          <w:bCs/>
          <w:sz w:val="24"/>
          <w:szCs w:val="24"/>
        </w:rPr>
        <w:t>128,966</w:t>
      </w:r>
      <w:r w:rsidRPr="007346F7">
        <w:rPr>
          <w:color w:val="000000"/>
          <w:sz w:val="24"/>
          <w:szCs w:val="24"/>
        </w:rPr>
        <w:t>.  This estimate accounts for costs from the following areas:</w:t>
      </w:r>
    </w:p>
    <w:p w:rsidR="001A6024" w:rsidP="001A6024" w14:paraId="649DD428" w14:textId="77777777">
      <w:pPr>
        <w:pStyle w:val="ListParagraph"/>
        <w:ind w:left="1080"/>
        <w:rPr>
          <w:color w:val="000000"/>
          <w:sz w:val="24"/>
          <w:szCs w:val="24"/>
        </w:rPr>
      </w:pPr>
    </w:p>
    <w:tbl>
      <w:tblPr>
        <w:tblW w:w="4572" w:type="pct"/>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0"/>
        <w:gridCol w:w="3690"/>
        <w:gridCol w:w="1890"/>
      </w:tblGrid>
      <w:tr w14:paraId="5A28E7DA" w14:textId="77777777" w:rsidTr="001A6024">
        <w:tblPrEx>
          <w:tblW w:w="4572" w:type="pct"/>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1737" w:type="pct"/>
          </w:tcPr>
          <w:p w:rsidR="001A6024" w:rsidRPr="0030073E" w:rsidP="00664EBA" w14:paraId="03ED21F8" w14:textId="77777777">
            <w:pPr>
              <w:rPr>
                <w:b/>
                <w:bCs/>
                <w:sz w:val="24"/>
                <w:szCs w:val="24"/>
              </w:rPr>
            </w:pPr>
            <w:r w:rsidRPr="0030073E">
              <w:rPr>
                <w:b/>
                <w:bCs/>
                <w:sz w:val="24"/>
                <w:szCs w:val="24"/>
              </w:rPr>
              <w:t>Description of Cost Factor</w:t>
            </w:r>
          </w:p>
        </w:tc>
        <w:tc>
          <w:tcPr>
            <w:tcW w:w="2158" w:type="pct"/>
          </w:tcPr>
          <w:p w:rsidR="001A6024" w:rsidRPr="0030073E" w:rsidP="00664EBA" w14:paraId="3B3CDFD1" w14:textId="77777777">
            <w:pPr>
              <w:rPr>
                <w:b/>
                <w:bCs/>
                <w:sz w:val="24"/>
                <w:szCs w:val="24"/>
              </w:rPr>
            </w:pPr>
            <w:r w:rsidRPr="0030073E">
              <w:rPr>
                <w:b/>
                <w:bCs/>
                <w:sz w:val="24"/>
                <w:szCs w:val="24"/>
              </w:rPr>
              <w:t>Methodology for Estimating Cost</w:t>
            </w:r>
          </w:p>
        </w:tc>
        <w:tc>
          <w:tcPr>
            <w:tcW w:w="1105" w:type="pct"/>
          </w:tcPr>
          <w:p w:rsidR="001A6024" w:rsidRPr="0030073E" w:rsidP="00664EBA" w14:paraId="29631BA9" w14:textId="77777777">
            <w:pPr>
              <w:jc w:val="center"/>
              <w:rPr>
                <w:b/>
                <w:bCs/>
                <w:sz w:val="24"/>
                <w:szCs w:val="24"/>
              </w:rPr>
            </w:pPr>
            <w:r w:rsidRPr="0030073E">
              <w:rPr>
                <w:b/>
                <w:bCs/>
                <w:sz w:val="24"/>
                <w:szCs w:val="24"/>
              </w:rPr>
              <w:t>Cost in Dollars*</w:t>
            </w:r>
          </w:p>
        </w:tc>
      </w:tr>
      <w:tr w14:paraId="73E46B2F" w14:textId="77777777" w:rsidTr="001A6024">
        <w:tblPrEx>
          <w:tblW w:w="4572" w:type="pct"/>
          <w:tblInd w:w="1075" w:type="dxa"/>
          <w:tblLook w:val="04A0"/>
        </w:tblPrEx>
        <w:trPr>
          <w:cantSplit/>
        </w:trPr>
        <w:tc>
          <w:tcPr>
            <w:tcW w:w="1737" w:type="pct"/>
          </w:tcPr>
          <w:p w:rsidR="001A6024" w:rsidRPr="0030073E" w:rsidP="00664EBA" w14:paraId="6E537EA5" w14:textId="77777777">
            <w:pPr>
              <w:rPr>
                <w:sz w:val="24"/>
                <w:szCs w:val="24"/>
              </w:rPr>
            </w:pPr>
            <w:r w:rsidRPr="0030073E">
              <w:rPr>
                <w:sz w:val="24"/>
                <w:szCs w:val="24"/>
              </w:rPr>
              <w:t>Designing and Printing the Form</w:t>
            </w:r>
          </w:p>
        </w:tc>
        <w:tc>
          <w:tcPr>
            <w:tcW w:w="2158" w:type="pct"/>
          </w:tcPr>
          <w:p w:rsidR="001A6024" w:rsidRPr="0030073E" w:rsidP="00664EBA" w14:paraId="142E61BA" w14:textId="77777777">
            <w:pPr>
              <w:rPr>
                <w:sz w:val="24"/>
                <w:szCs w:val="24"/>
              </w:rPr>
            </w:pPr>
            <w:r w:rsidRPr="0030073E">
              <w:rPr>
                <w:sz w:val="24"/>
                <w:szCs w:val="24"/>
              </w:rPr>
              <w:t>Design Cost + Printing Cost</w:t>
            </w:r>
          </w:p>
        </w:tc>
        <w:tc>
          <w:tcPr>
            <w:tcW w:w="1105" w:type="pct"/>
          </w:tcPr>
          <w:p w:rsidR="001A6024" w:rsidRPr="0030073E" w:rsidP="00664EBA" w14:paraId="5267D1B2" w14:textId="77777777">
            <w:pPr>
              <w:jc w:val="right"/>
              <w:rPr>
                <w:sz w:val="24"/>
                <w:szCs w:val="24"/>
              </w:rPr>
            </w:pPr>
            <w:r w:rsidRPr="0030073E">
              <w:rPr>
                <w:sz w:val="24"/>
                <w:szCs w:val="24"/>
              </w:rPr>
              <w:t>$0*</w:t>
            </w:r>
          </w:p>
        </w:tc>
      </w:tr>
      <w:tr w14:paraId="7F7889F1" w14:textId="77777777" w:rsidTr="001A6024">
        <w:tblPrEx>
          <w:tblW w:w="4572" w:type="pct"/>
          <w:tblInd w:w="1075" w:type="dxa"/>
          <w:tblLook w:val="04A0"/>
        </w:tblPrEx>
        <w:trPr>
          <w:cantSplit/>
        </w:trPr>
        <w:tc>
          <w:tcPr>
            <w:tcW w:w="1737" w:type="pct"/>
          </w:tcPr>
          <w:p w:rsidR="001A6024" w:rsidRPr="0030073E" w:rsidP="00664EBA" w14:paraId="1CF0DBE5" w14:textId="77777777">
            <w:pPr>
              <w:rPr>
                <w:sz w:val="24"/>
                <w:szCs w:val="24"/>
              </w:rPr>
            </w:pPr>
            <w:r w:rsidRPr="0030073E">
              <w:rPr>
                <w:sz w:val="24"/>
                <w:szCs w:val="24"/>
              </w:rPr>
              <w:t>Distributing</w:t>
            </w:r>
            <w:r w:rsidRPr="0030073E">
              <w:rPr>
                <w:sz w:val="24"/>
                <w:szCs w:val="24"/>
              </w:rPr>
              <w:t>, Shipping, and Material Costs for the Form</w:t>
            </w:r>
          </w:p>
        </w:tc>
        <w:tc>
          <w:tcPr>
            <w:tcW w:w="2158" w:type="pct"/>
          </w:tcPr>
          <w:p w:rsidR="001A6024" w:rsidRPr="0030073E" w:rsidP="00664EBA" w14:paraId="5F30905E" w14:textId="77777777">
            <w:pPr>
              <w:rPr>
                <w:sz w:val="24"/>
                <w:szCs w:val="24"/>
              </w:rPr>
            </w:pPr>
            <w:r w:rsidRPr="0030073E">
              <w:rPr>
                <w:sz w:val="24"/>
                <w:szCs w:val="24"/>
              </w:rPr>
              <w:t>Distribution + Shipping + Material Cost</w:t>
            </w:r>
          </w:p>
        </w:tc>
        <w:tc>
          <w:tcPr>
            <w:tcW w:w="1105" w:type="pct"/>
          </w:tcPr>
          <w:p w:rsidR="001A6024" w:rsidRPr="0030073E" w:rsidP="00664EBA" w14:paraId="651F5E7B" w14:textId="77777777">
            <w:pPr>
              <w:jc w:val="right"/>
              <w:rPr>
                <w:sz w:val="24"/>
                <w:szCs w:val="24"/>
              </w:rPr>
            </w:pPr>
            <w:r w:rsidRPr="0030073E">
              <w:rPr>
                <w:sz w:val="24"/>
                <w:szCs w:val="24"/>
              </w:rPr>
              <w:t>$0*</w:t>
            </w:r>
          </w:p>
        </w:tc>
      </w:tr>
      <w:tr w14:paraId="43D25D26" w14:textId="77777777" w:rsidTr="001A6024">
        <w:tblPrEx>
          <w:tblW w:w="4572" w:type="pct"/>
          <w:tblInd w:w="1075" w:type="dxa"/>
          <w:tblLook w:val="04A0"/>
        </w:tblPrEx>
        <w:trPr>
          <w:cantSplit/>
        </w:trPr>
        <w:tc>
          <w:tcPr>
            <w:tcW w:w="1737" w:type="pct"/>
          </w:tcPr>
          <w:p w:rsidR="001A6024" w:rsidRPr="0030073E" w:rsidP="00664EBA" w14:paraId="4E50ED05" w14:textId="77777777">
            <w:pPr>
              <w:rPr>
                <w:sz w:val="24"/>
                <w:szCs w:val="24"/>
              </w:rPr>
            </w:pPr>
            <w:r w:rsidRPr="0030073E">
              <w:rPr>
                <w:sz w:val="24"/>
                <w:szCs w:val="24"/>
              </w:rPr>
              <w:t>SSA Employee (e.g., field office, 800 number, DDS staff) Information Collection and Processing Time</w:t>
            </w:r>
          </w:p>
        </w:tc>
        <w:tc>
          <w:tcPr>
            <w:tcW w:w="2158" w:type="pct"/>
          </w:tcPr>
          <w:p w:rsidR="001A6024" w:rsidRPr="0030073E" w:rsidP="00664EBA" w14:paraId="11A1A612" w14:textId="77777777">
            <w:pPr>
              <w:rPr>
                <w:sz w:val="24"/>
                <w:szCs w:val="24"/>
              </w:rPr>
            </w:pPr>
            <w:r w:rsidRPr="0030073E">
              <w:rPr>
                <w:sz w:val="24"/>
                <w:szCs w:val="24"/>
              </w:rPr>
              <w:t>GS-9 employee x # of responses x processing time</w:t>
            </w:r>
          </w:p>
        </w:tc>
        <w:tc>
          <w:tcPr>
            <w:tcW w:w="1105" w:type="pct"/>
          </w:tcPr>
          <w:p w:rsidR="001A6024" w:rsidRPr="0030073E" w:rsidP="00664EBA" w14:paraId="016CBE6F" w14:textId="77777777">
            <w:pPr>
              <w:jc w:val="right"/>
              <w:rPr>
                <w:sz w:val="24"/>
                <w:szCs w:val="24"/>
              </w:rPr>
            </w:pPr>
            <w:r w:rsidRPr="0030073E">
              <w:rPr>
                <w:sz w:val="24"/>
                <w:szCs w:val="24"/>
              </w:rPr>
              <w:t>$0*</w:t>
            </w:r>
          </w:p>
        </w:tc>
      </w:tr>
      <w:tr w14:paraId="198529FA" w14:textId="77777777" w:rsidTr="001A6024">
        <w:tblPrEx>
          <w:tblW w:w="4572" w:type="pct"/>
          <w:tblInd w:w="1075" w:type="dxa"/>
          <w:tblLook w:val="04A0"/>
        </w:tblPrEx>
        <w:trPr>
          <w:cantSplit/>
        </w:trPr>
        <w:tc>
          <w:tcPr>
            <w:tcW w:w="1737" w:type="pct"/>
          </w:tcPr>
          <w:p w:rsidR="001A6024" w:rsidRPr="0030073E" w:rsidP="00664EBA" w14:paraId="784C56D1" w14:textId="77777777">
            <w:pPr>
              <w:rPr>
                <w:sz w:val="24"/>
                <w:szCs w:val="24"/>
              </w:rPr>
            </w:pPr>
            <w:r w:rsidRPr="0030073E">
              <w:rPr>
                <w:sz w:val="24"/>
                <w:szCs w:val="24"/>
              </w:rPr>
              <w:t>Full-Time Equivalent Costs</w:t>
            </w:r>
          </w:p>
        </w:tc>
        <w:tc>
          <w:tcPr>
            <w:tcW w:w="2158" w:type="pct"/>
          </w:tcPr>
          <w:p w:rsidR="001A6024" w:rsidRPr="0030073E" w:rsidP="00664EBA" w14:paraId="23AB7754" w14:textId="77777777">
            <w:pPr>
              <w:rPr>
                <w:sz w:val="24"/>
                <w:szCs w:val="24"/>
              </w:rPr>
            </w:pPr>
            <w:r w:rsidRPr="0030073E">
              <w:rPr>
                <w:sz w:val="24"/>
                <w:szCs w:val="24"/>
              </w:rPr>
              <w:t>Out of pocket costs + Other expenses for providing this service</w:t>
            </w:r>
          </w:p>
        </w:tc>
        <w:tc>
          <w:tcPr>
            <w:tcW w:w="1105" w:type="pct"/>
          </w:tcPr>
          <w:p w:rsidR="001A6024" w:rsidRPr="0030073E" w:rsidP="00664EBA" w14:paraId="040D9E79" w14:textId="77777777">
            <w:pPr>
              <w:jc w:val="right"/>
              <w:rPr>
                <w:sz w:val="24"/>
                <w:szCs w:val="24"/>
              </w:rPr>
            </w:pPr>
            <w:r w:rsidRPr="0030073E">
              <w:rPr>
                <w:sz w:val="24"/>
                <w:szCs w:val="24"/>
              </w:rPr>
              <w:t>$0*</w:t>
            </w:r>
          </w:p>
        </w:tc>
      </w:tr>
      <w:tr w14:paraId="15FF7859" w14:textId="77777777" w:rsidTr="001A6024">
        <w:tblPrEx>
          <w:tblW w:w="4572" w:type="pct"/>
          <w:tblInd w:w="1075" w:type="dxa"/>
          <w:tblLook w:val="04A0"/>
        </w:tblPrEx>
        <w:trPr>
          <w:cantSplit/>
        </w:trPr>
        <w:tc>
          <w:tcPr>
            <w:tcW w:w="1737" w:type="pct"/>
          </w:tcPr>
          <w:p w:rsidR="001A6024" w:rsidRPr="0030073E" w:rsidP="00664EBA" w14:paraId="24A82122" w14:textId="77777777">
            <w:pPr>
              <w:rPr>
                <w:sz w:val="24"/>
                <w:szCs w:val="24"/>
              </w:rPr>
            </w:pPr>
            <w:r w:rsidRPr="0030073E">
              <w:rPr>
                <w:sz w:val="24"/>
                <w:szCs w:val="24"/>
              </w:rPr>
              <w:t>Systems Development, Updating, and Maintenance</w:t>
            </w:r>
          </w:p>
        </w:tc>
        <w:tc>
          <w:tcPr>
            <w:tcW w:w="2158" w:type="pct"/>
          </w:tcPr>
          <w:p w:rsidR="001A6024" w:rsidRPr="0030073E" w:rsidP="00664EBA" w14:paraId="610BC980" w14:textId="77777777">
            <w:pPr>
              <w:rPr>
                <w:sz w:val="24"/>
                <w:szCs w:val="24"/>
              </w:rPr>
            </w:pPr>
            <w:r w:rsidRPr="0030073E">
              <w:rPr>
                <w:sz w:val="24"/>
                <w:szCs w:val="24"/>
              </w:rPr>
              <w:t>GS-9 employee x man hours for development, updating, maintenance</w:t>
            </w:r>
          </w:p>
        </w:tc>
        <w:tc>
          <w:tcPr>
            <w:tcW w:w="1105" w:type="pct"/>
          </w:tcPr>
          <w:p w:rsidR="001A6024" w:rsidRPr="0030073E" w:rsidP="00664EBA" w14:paraId="1C3E1D87" w14:textId="77777777">
            <w:pPr>
              <w:jc w:val="right"/>
              <w:rPr>
                <w:sz w:val="24"/>
                <w:szCs w:val="24"/>
              </w:rPr>
            </w:pPr>
            <w:r w:rsidRPr="0030073E">
              <w:rPr>
                <w:sz w:val="24"/>
                <w:szCs w:val="24"/>
              </w:rPr>
              <w:t>$0*</w:t>
            </w:r>
          </w:p>
        </w:tc>
      </w:tr>
      <w:tr w14:paraId="5304A657" w14:textId="77777777" w:rsidTr="001A6024">
        <w:tblPrEx>
          <w:tblW w:w="4572" w:type="pct"/>
          <w:tblInd w:w="1075" w:type="dxa"/>
          <w:tblLook w:val="04A0"/>
        </w:tblPrEx>
        <w:trPr>
          <w:cantSplit/>
        </w:trPr>
        <w:tc>
          <w:tcPr>
            <w:tcW w:w="1737" w:type="pct"/>
          </w:tcPr>
          <w:p w:rsidR="001A6024" w:rsidRPr="0030073E" w:rsidP="00664EBA" w14:paraId="04B89992" w14:textId="77777777">
            <w:pPr>
              <w:rPr>
                <w:sz w:val="24"/>
                <w:szCs w:val="24"/>
              </w:rPr>
            </w:pPr>
            <w:r w:rsidRPr="0030073E">
              <w:rPr>
                <w:sz w:val="24"/>
                <w:szCs w:val="24"/>
              </w:rPr>
              <w:t>Quantifiable IT Costs</w:t>
            </w:r>
          </w:p>
        </w:tc>
        <w:tc>
          <w:tcPr>
            <w:tcW w:w="2158" w:type="pct"/>
          </w:tcPr>
          <w:p w:rsidR="001A6024" w:rsidRPr="0030073E" w:rsidP="00664EBA" w14:paraId="38E82219" w14:textId="77777777">
            <w:pPr>
              <w:rPr>
                <w:sz w:val="24"/>
                <w:szCs w:val="24"/>
              </w:rPr>
            </w:pPr>
            <w:r w:rsidRPr="0030073E">
              <w:rPr>
                <w:sz w:val="24"/>
                <w:szCs w:val="24"/>
              </w:rPr>
              <w:t>Any additional IT costs</w:t>
            </w:r>
          </w:p>
        </w:tc>
        <w:tc>
          <w:tcPr>
            <w:tcW w:w="1105" w:type="pct"/>
          </w:tcPr>
          <w:p w:rsidR="001A6024" w:rsidRPr="0030073E" w:rsidP="00664EBA" w14:paraId="3C70EB6E" w14:textId="77777777">
            <w:pPr>
              <w:jc w:val="right"/>
              <w:rPr>
                <w:sz w:val="24"/>
                <w:szCs w:val="24"/>
              </w:rPr>
            </w:pPr>
            <w:r w:rsidRPr="0030073E">
              <w:rPr>
                <w:sz w:val="24"/>
                <w:szCs w:val="24"/>
              </w:rPr>
              <w:t>$0*</w:t>
            </w:r>
          </w:p>
        </w:tc>
      </w:tr>
      <w:tr w14:paraId="04C806D9" w14:textId="77777777" w:rsidTr="001A6024">
        <w:tblPrEx>
          <w:tblW w:w="4572" w:type="pct"/>
          <w:tblInd w:w="1075" w:type="dxa"/>
          <w:tblLook w:val="04A0"/>
        </w:tblPrEx>
        <w:trPr>
          <w:cantSplit/>
        </w:trPr>
        <w:tc>
          <w:tcPr>
            <w:tcW w:w="1737" w:type="pct"/>
          </w:tcPr>
          <w:p w:rsidR="001A6024" w:rsidRPr="0030073E" w:rsidP="00664EBA" w14:paraId="746E271A" w14:textId="77777777">
            <w:pPr>
              <w:rPr>
                <w:sz w:val="24"/>
                <w:szCs w:val="24"/>
              </w:rPr>
            </w:pPr>
            <w:r w:rsidRPr="0030073E">
              <w:rPr>
                <w:sz w:val="24"/>
                <w:szCs w:val="24"/>
              </w:rPr>
              <w:t>Other</w:t>
            </w:r>
          </w:p>
        </w:tc>
        <w:tc>
          <w:tcPr>
            <w:tcW w:w="2158" w:type="pct"/>
          </w:tcPr>
          <w:p w:rsidR="001A6024" w:rsidRPr="0030073E" w:rsidP="00664EBA" w14:paraId="40DF05EF" w14:textId="77777777">
            <w:pPr>
              <w:rPr>
                <w:iCs/>
                <w:sz w:val="24"/>
                <w:szCs w:val="24"/>
              </w:rPr>
            </w:pPr>
            <w:r w:rsidRPr="0030073E">
              <w:rPr>
                <w:iCs/>
                <w:sz w:val="24"/>
                <w:szCs w:val="24"/>
              </w:rPr>
              <w:t xml:space="preserve">PABSS T&amp;TA contractor funding allocated to form and system maintenance </w:t>
            </w:r>
            <w:r w:rsidRPr="0030073E">
              <w:rPr>
                <w:sz w:val="24"/>
                <w:szCs w:val="24"/>
              </w:rPr>
              <w:t xml:space="preserve">including technical assistance, onboarding, minor changes, and </w:t>
            </w:r>
            <w:r w:rsidRPr="0030073E">
              <w:rPr>
                <w:iCs/>
                <w:sz w:val="24"/>
                <w:szCs w:val="24"/>
              </w:rPr>
              <w:t>annual data collection and reporting activities</w:t>
            </w:r>
            <w:r w:rsidRPr="0030073E">
              <w:rPr>
                <w:sz w:val="24"/>
                <w:szCs w:val="24"/>
              </w:rPr>
              <w:t>.</w:t>
            </w:r>
          </w:p>
        </w:tc>
        <w:tc>
          <w:tcPr>
            <w:tcW w:w="1105" w:type="pct"/>
          </w:tcPr>
          <w:p w:rsidR="001A6024" w:rsidRPr="0030073E" w:rsidP="00664EBA" w14:paraId="46F37478" w14:textId="77777777">
            <w:pPr>
              <w:jc w:val="right"/>
              <w:rPr>
                <w:sz w:val="24"/>
                <w:szCs w:val="24"/>
                <w:highlight w:val="yellow"/>
              </w:rPr>
            </w:pPr>
            <w:r w:rsidRPr="0030073E">
              <w:rPr>
                <w:sz w:val="24"/>
                <w:szCs w:val="24"/>
              </w:rPr>
              <w:t>$128,96</w:t>
            </w:r>
            <w:r>
              <w:rPr>
                <w:sz w:val="24"/>
                <w:szCs w:val="24"/>
              </w:rPr>
              <w:t>6</w:t>
            </w:r>
          </w:p>
        </w:tc>
      </w:tr>
      <w:tr w14:paraId="6CC9325E" w14:textId="77777777" w:rsidTr="001A6024">
        <w:tblPrEx>
          <w:tblW w:w="4572" w:type="pct"/>
          <w:tblInd w:w="1075" w:type="dxa"/>
          <w:tblLook w:val="04A0"/>
        </w:tblPrEx>
        <w:trPr>
          <w:cantSplit/>
          <w:trHeight w:val="143"/>
        </w:trPr>
        <w:tc>
          <w:tcPr>
            <w:tcW w:w="1737" w:type="pct"/>
          </w:tcPr>
          <w:p w:rsidR="001A6024" w:rsidRPr="0030073E" w:rsidP="00664EBA" w14:paraId="08BB71DA" w14:textId="77777777">
            <w:pPr>
              <w:rPr>
                <w:b/>
                <w:bCs/>
                <w:sz w:val="24"/>
                <w:szCs w:val="24"/>
              </w:rPr>
            </w:pPr>
            <w:r w:rsidRPr="0030073E">
              <w:rPr>
                <w:b/>
                <w:bCs/>
                <w:sz w:val="24"/>
                <w:szCs w:val="24"/>
              </w:rPr>
              <w:t>Total</w:t>
            </w:r>
          </w:p>
        </w:tc>
        <w:tc>
          <w:tcPr>
            <w:tcW w:w="2158" w:type="pct"/>
          </w:tcPr>
          <w:p w:rsidR="001A6024" w:rsidRPr="0030073E" w:rsidP="00664EBA" w14:paraId="1A0B6275" w14:textId="77777777">
            <w:pPr>
              <w:rPr>
                <w:b/>
                <w:bCs/>
                <w:sz w:val="24"/>
                <w:szCs w:val="24"/>
              </w:rPr>
            </w:pPr>
          </w:p>
        </w:tc>
        <w:tc>
          <w:tcPr>
            <w:tcW w:w="1105" w:type="pct"/>
          </w:tcPr>
          <w:p w:rsidR="001A6024" w:rsidRPr="0030073E" w:rsidP="00664EBA" w14:paraId="41CCE710" w14:textId="77777777">
            <w:pPr>
              <w:jc w:val="right"/>
              <w:rPr>
                <w:b/>
                <w:bCs/>
                <w:sz w:val="24"/>
                <w:szCs w:val="24"/>
              </w:rPr>
            </w:pPr>
            <w:r w:rsidRPr="0030073E">
              <w:rPr>
                <w:b/>
                <w:bCs/>
                <w:sz w:val="24"/>
                <w:szCs w:val="24"/>
              </w:rPr>
              <w:t>$128,96</w:t>
            </w:r>
            <w:r>
              <w:rPr>
                <w:b/>
                <w:bCs/>
                <w:sz w:val="24"/>
                <w:szCs w:val="24"/>
              </w:rPr>
              <w:t>6</w:t>
            </w:r>
          </w:p>
        </w:tc>
      </w:tr>
    </w:tbl>
    <w:p w:rsidR="001A6024" w:rsidP="001A6024" w14:paraId="3B6255FF" w14:textId="31FCDBBD">
      <w:pPr>
        <w:pStyle w:val="ListParagraph"/>
        <w:ind w:left="1080"/>
        <w:rPr>
          <w:color w:val="000000"/>
          <w:sz w:val="24"/>
          <w:szCs w:val="24"/>
        </w:rPr>
      </w:pPr>
      <w:r w:rsidRPr="0030073E">
        <w:rPr>
          <w:color w:val="000000"/>
          <w:sz w:val="24"/>
          <w:szCs w:val="24"/>
        </w:rPr>
        <w:t xml:space="preserve">* We have inserted a $0 amount for cost factors that </w:t>
      </w:r>
      <w:r w:rsidRPr="0030073E">
        <w:rPr>
          <w:color w:val="000000"/>
          <w:sz w:val="24"/>
          <w:szCs w:val="24"/>
        </w:rPr>
        <w:t>do not apply</w:t>
      </w:r>
      <w:r w:rsidRPr="0030073E">
        <w:rPr>
          <w:color w:val="000000"/>
          <w:sz w:val="24"/>
          <w:szCs w:val="24"/>
        </w:rPr>
        <w:t xml:space="preserve"> to this collection.</w:t>
      </w:r>
    </w:p>
    <w:p w:rsidR="001A6024" w:rsidP="001A6024" w14:paraId="2CD4537B" w14:textId="77777777">
      <w:pPr>
        <w:pStyle w:val="ListParagraph"/>
        <w:ind w:left="1080"/>
        <w:rPr>
          <w:color w:val="000000"/>
          <w:sz w:val="24"/>
          <w:szCs w:val="24"/>
        </w:rPr>
      </w:pPr>
    </w:p>
    <w:p w:rsidR="001A6024" w:rsidRPr="001A6024" w:rsidP="001A6024" w14:paraId="76F449D8" w14:textId="6ED79D54">
      <w:pPr>
        <w:pStyle w:val="ListParagraph"/>
        <w:ind w:left="1080"/>
        <w:rPr>
          <w:color w:val="000000"/>
          <w:sz w:val="24"/>
          <w:szCs w:val="24"/>
        </w:rPr>
      </w:pPr>
      <w:r w:rsidRPr="0030073E">
        <w:rPr>
          <w:color w:val="000000"/>
          <w:sz w:val="24"/>
          <w:szCs w:val="24"/>
        </w:rPr>
        <w:t>SSA is unable to break down the costs to the Federal government further than we already have.  However, we have calculated these costs as accurately as possible based on the information we collect for creating, updating, and maintaining these information collections</w:t>
      </w:r>
      <w:r>
        <w:rPr>
          <w:color w:val="000000"/>
          <w:sz w:val="24"/>
          <w:szCs w:val="24"/>
        </w:rPr>
        <w:t>.</w:t>
      </w:r>
    </w:p>
    <w:p w:rsidR="001A6024" w:rsidP="001A6024" w14:paraId="4B00B96E" w14:textId="77777777">
      <w:pPr>
        <w:pStyle w:val="ListParagraph"/>
        <w:ind w:left="1080"/>
        <w:rPr>
          <w:b/>
          <w:sz w:val="24"/>
          <w:szCs w:val="24"/>
        </w:rPr>
      </w:pPr>
    </w:p>
    <w:p w:rsidR="00310517" w:rsidP="00310517" w14:paraId="55FBC26F" w14:textId="1C4AE1C2">
      <w:pPr>
        <w:pStyle w:val="ListParagraph"/>
        <w:numPr>
          <w:ilvl w:val="0"/>
          <w:numId w:val="3"/>
        </w:numPr>
        <w:rPr>
          <w:b/>
          <w:sz w:val="24"/>
          <w:szCs w:val="24"/>
        </w:rPr>
      </w:pPr>
      <w:r w:rsidRPr="0011122A">
        <w:rPr>
          <w:b/>
          <w:sz w:val="24"/>
          <w:szCs w:val="24"/>
        </w:rPr>
        <w:t>Program Changes or Adjustments to the Information Collection Request</w:t>
      </w:r>
    </w:p>
    <w:p w:rsidR="001A6024" w:rsidRPr="002E2658" w:rsidP="002E2658" w14:paraId="36264320" w14:textId="328E1D9C">
      <w:pPr>
        <w:pStyle w:val="ListParagraph"/>
        <w:ind w:left="1080"/>
        <w:rPr>
          <w:rFonts w:eastAsia="Aptos"/>
          <w:sz w:val="24"/>
          <w:szCs w:val="24"/>
          <w:lang w:eastAsia="en-US"/>
        </w:rPr>
      </w:pPr>
      <w:r w:rsidRPr="00014DC8">
        <w:rPr>
          <w:iCs/>
          <w:sz w:val="24"/>
          <w:szCs w:val="24"/>
        </w:rPr>
        <w:t>When we last cleared this IC in 2</w:t>
      </w:r>
      <w:r>
        <w:rPr>
          <w:iCs/>
          <w:sz w:val="24"/>
          <w:szCs w:val="24"/>
        </w:rPr>
        <w:t>023</w:t>
      </w:r>
      <w:r w:rsidRPr="00014DC8">
        <w:rPr>
          <w:iCs/>
          <w:sz w:val="24"/>
          <w:szCs w:val="24"/>
        </w:rPr>
        <w:t xml:space="preserve">, the burden was </w:t>
      </w:r>
      <w:r>
        <w:rPr>
          <w:iCs/>
          <w:sz w:val="24"/>
          <w:szCs w:val="24"/>
        </w:rPr>
        <w:t>4,199</w:t>
      </w:r>
      <w:r w:rsidRPr="00014DC8">
        <w:rPr>
          <w:iCs/>
          <w:sz w:val="24"/>
          <w:szCs w:val="24"/>
        </w:rPr>
        <w:t xml:space="preserve"> hours.  However, we are currently reporting a burden of </w:t>
      </w:r>
      <w:r>
        <w:rPr>
          <w:iCs/>
          <w:sz w:val="24"/>
          <w:szCs w:val="24"/>
        </w:rPr>
        <w:t>2,280</w:t>
      </w:r>
      <w:r w:rsidRPr="00014DC8">
        <w:rPr>
          <w:iCs/>
          <w:sz w:val="24"/>
          <w:szCs w:val="24"/>
        </w:rPr>
        <w:t xml:space="preserve"> hours.  T</w:t>
      </w:r>
      <w:r w:rsidRPr="00C322BB">
        <w:rPr>
          <w:sz w:val="24"/>
          <w:szCs w:val="24"/>
        </w:rPr>
        <w:t>his change stems from a change in methods utilized to calculate the number of respondents.  The reduction in burden is solely attributable to the updated, data-driven estimation approach and not to any programmatic change in reporting requirement</w:t>
      </w:r>
      <w:r>
        <w:rPr>
          <w:sz w:val="24"/>
          <w:szCs w:val="24"/>
        </w:rPr>
        <w:t xml:space="preserve">.  In addition, </w:t>
      </w:r>
      <w:r w:rsidRPr="00A760FE">
        <w:rPr>
          <w:sz w:val="24"/>
          <w:szCs w:val="24"/>
        </w:rPr>
        <w:t>PABSS grantees complete</w:t>
      </w:r>
      <w:r w:rsidR="002E2658">
        <w:rPr>
          <w:sz w:val="24"/>
          <w:szCs w:val="24"/>
        </w:rPr>
        <w:t xml:space="preserve"> the PPR on behalf of </w:t>
      </w:r>
      <w:r w:rsidRPr="003617EB" w:rsidR="002E2658">
        <w:rPr>
          <w:sz w:val="24"/>
          <w:szCs w:val="24"/>
        </w:rPr>
        <w:t xml:space="preserve"> </w:t>
      </w:r>
      <w:r w:rsidR="002E2658">
        <w:rPr>
          <w:sz w:val="24"/>
          <w:szCs w:val="24"/>
        </w:rPr>
        <w:t xml:space="preserve">the SSDI and SSI recipients, </w:t>
      </w:r>
      <w:r w:rsidRPr="002E2658">
        <w:rPr>
          <w:sz w:val="24"/>
          <w:szCs w:val="24"/>
        </w:rPr>
        <w:t xml:space="preserve">so we believe that beneficiaries should not have been included in the previous clearance, we are removing the beneficiaries from the burden chart.  </w:t>
      </w:r>
      <w:r w:rsidRPr="002E2658">
        <w:rPr>
          <w:iCs/>
          <w:sz w:val="24"/>
          <w:szCs w:val="24"/>
        </w:rPr>
        <w:t>These figures represent current Management Information data.</w:t>
      </w:r>
    </w:p>
    <w:p w:rsidR="001A6024" w:rsidRPr="001A6024" w:rsidP="001A6024" w14:paraId="4CCF9233" w14:textId="77777777">
      <w:pPr>
        <w:pStyle w:val="ListParagraph"/>
        <w:ind w:left="1080"/>
        <w:rPr>
          <w:iCs/>
          <w:sz w:val="24"/>
          <w:szCs w:val="24"/>
        </w:rPr>
      </w:pPr>
    </w:p>
    <w:p w:rsidR="001A6024" w:rsidRPr="001A6024" w:rsidP="001A6024" w14:paraId="0EB7F459" w14:textId="33D4CB61">
      <w:pPr>
        <w:pStyle w:val="ListParagraph"/>
        <w:ind w:left="1080"/>
        <w:rPr>
          <w:iCs/>
          <w:sz w:val="24"/>
          <w:szCs w:val="24"/>
        </w:rPr>
      </w:pPr>
      <w:r w:rsidRPr="001A6024">
        <w:rPr>
          <w:color w:val="000000"/>
          <w:sz w:val="24"/>
          <w:szCs w:val="24"/>
        </w:rPr>
        <w:t xml:space="preserve">* Note: The total burden reflected in ROCIS is </w:t>
      </w:r>
      <w:r w:rsidR="002666FC">
        <w:rPr>
          <w:b/>
          <w:bCs/>
          <w:color w:val="000000"/>
          <w:sz w:val="24"/>
          <w:szCs w:val="24"/>
        </w:rPr>
        <w:t>2,366</w:t>
      </w:r>
      <w:r w:rsidRPr="001A6024">
        <w:rPr>
          <w:color w:val="000000"/>
          <w:sz w:val="24"/>
          <w:szCs w:val="24"/>
        </w:rPr>
        <w:t xml:space="preserve">, while the burden cited in #12 of the Supporting Statement is </w:t>
      </w:r>
      <w:r w:rsidR="004D5E0C">
        <w:rPr>
          <w:b/>
          <w:bCs/>
          <w:color w:val="000000"/>
          <w:sz w:val="24"/>
          <w:szCs w:val="24"/>
        </w:rPr>
        <w:t>2,280</w:t>
      </w:r>
      <w:r w:rsidRPr="001A6024">
        <w:rPr>
          <w:color w:val="000000"/>
          <w:sz w:val="24"/>
          <w:szCs w:val="24"/>
        </w:rPr>
        <w:t xml:space="preserve">.  This discrepancy is because the ROCIS burden </w:t>
      </w:r>
      <w:r w:rsidR="004D5E0C">
        <w:rPr>
          <w:color w:val="000000"/>
          <w:sz w:val="24"/>
          <w:szCs w:val="24"/>
        </w:rPr>
        <w:t xml:space="preserve">also </w:t>
      </w:r>
      <w:r w:rsidRPr="001A6024">
        <w:rPr>
          <w:color w:val="000000"/>
          <w:sz w:val="24"/>
          <w:szCs w:val="24"/>
        </w:rPr>
        <w:t>reflects learning costs.  In contrast, the chart in #12 of the Supporting Statement reflects actual burden.</w:t>
      </w:r>
    </w:p>
    <w:p w:rsidR="001A6024" w:rsidP="001A6024" w14:paraId="2FC67695" w14:textId="77777777">
      <w:pPr>
        <w:pStyle w:val="ListParagraph"/>
        <w:ind w:left="1080"/>
        <w:rPr>
          <w:b/>
          <w:sz w:val="24"/>
          <w:szCs w:val="24"/>
        </w:rPr>
      </w:pPr>
    </w:p>
    <w:p w:rsidR="00310517" w:rsidP="00310517" w14:paraId="7E488339" w14:textId="62719F86">
      <w:pPr>
        <w:pStyle w:val="ListParagraph"/>
        <w:numPr>
          <w:ilvl w:val="0"/>
          <w:numId w:val="3"/>
        </w:numPr>
        <w:rPr>
          <w:b/>
          <w:sz w:val="24"/>
          <w:szCs w:val="24"/>
        </w:rPr>
      </w:pPr>
      <w:r w:rsidRPr="0011122A">
        <w:rPr>
          <w:b/>
          <w:sz w:val="24"/>
          <w:szCs w:val="24"/>
        </w:rPr>
        <w:t>Plans or Publication Information Collection Results</w:t>
      </w:r>
    </w:p>
    <w:p w:rsidR="004D5E0C" w:rsidP="004D5E0C" w14:paraId="2820CBB2" w14:textId="24F9FA2B">
      <w:pPr>
        <w:pStyle w:val="ListParagraph"/>
        <w:ind w:left="1080"/>
        <w:rPr>
          <w:b/>
          <w:sz w:val="24"/>
          <w:szCs w:val="24"/>
        </w:rPr>
      </w:pPr>
      <w:r>
        <w:rPr>
          <w:sz w:val="24"/>
          <w:szCs w:val="24"/>
        </w:rPr>
        <w:t>SSA</w:t>
      </w:r>
      <w:r w:rsidRPr="0011122A">
        <w:rPr>
          <w:sz w:val="24"/>
          <w:szCs w:val="24"/>
        </w:rPr>
        <w:t xml:space="preserve"> will not publish the </w:t>
      </w:r>
      <w:r>
        <w:rPr>
          <w:sz w:val="24"/>
          <w:szCs w:val="24"/>
        </w:rPr>
        <w:t>r</w:t>
      </w:r>
      <w:r w:rsidRPr="0011122A">
        <w:rPr>
          <w:sz w:val="24"/>
          <w:szCs w:val="24"/>
        </w:rPr>
        <w:t>esults of the information collection</w:t>
      </w:r>
      <w:r>
        <w:rPr>
          <w:sz w:val="24"/>
          <w:szCs w:val="24"/>
        </w:rPr>
        <w:t>.</w:t>
      </w:r>
    </w:p>
    <w:p w:rsidR="004D5E0C" w:rsidP="004D5E0C" w14:paraId="6D2206DB" w14:textId="77777777">
      <w:pPr>
        <w:pStyle w:val="ListParagraph"/>
        <w:ind w:left="1080"/>
        <w:rPr>
          <w:b/>
          <w:sz w:val="24"/>
          <w:szCs w:val="24"/>
        </w:rPr>
      </w:pPr>
    </w:p>
    <w:p w:rsidR="00310517" w:rsidP="00310517" w14:paraId="15D6F7F2" w14:textId="2998784F">
      <w:pPr>
        <w:pStyle w:val="ListParagraph"/>
        <w:numPr>
          <w:ilvl w:val="0"/>
          <w:numId w:val="3"/>
        </w:numPr>
        <w:rPr>
          <w:b/>
          <w:sz w:val="24"/>
          <w:szCs w:val="24"/>
        </w:rPr>
      </w:pPr>
      <w:r w:rsidRPr="0011122A">
        <w:rPr>
          <w:b/>
          <w:sz w:val="24"/>
          <w:szCs w:val="24"/>
        </w:rPr>
        <w:t>Displaying the OMB Approved Expiration Date</w:t>
      </w:r>
    </w:p>
    <w:p w:rsidR="00BF7C6B" w:rsidRPr="00BF7C6B" w:rsidP="00BF7C6B" w14:paraId="6F70320E" w14:textId="7A6DDDFB">
      <w:pPr>
        <w:pStyle w:val="NoSpacing"/>
        <w:ind w:left="1080"/>
        <w:rPr>
          <w:bCs/>
        </w:rPr>
      </w:pPr>
      <w:r w:rsidRPr="00BF7C6B">
        <w:rPr>
          <w:bCs/>
        </w:rPr>
        <w:t xml:space="preserve">For the </w:t>
      </w:r>
      <w:r w:rsidR="00FB603F">
        <w:rPr>
          <w:b/>
          <w:bCs/>
        </w:rPr>
        <w:t>fillable PDF</w:t>
      </w:r>
      <w:r w:rsidRPr="00BF7C6B">
        <w:rPr>
          <w:b/>
          <w:bCs/>
        </w:rPr>
        <w:t xml:space="preserve"> </w:t>
      </w:r>
      <w:r w:rsidR="00FB603F">
        <w:rPr>
          <w:b/>
          <w:bCs/>
        </w:rPr>
        <w:t>F</w:t>
      </w:r>
      <w:r w:rsidRPr="00BF7C6B">
        <w:rPr>
          <w:b/>
          <w:bCs/>
        </w:rPr>
        <w:t xml:space="preserve">orm </w:t>
      </w:r>
      <w:r w:rsidRPr="00BF7C6B">
        <w:rPr>
          <w:bCs/>
        </w:rPr>
        <w:t>SSA</w:t>
      </w:r>
      <w:r>
        <w:rPr>
          <w:bCs/>
        </w:rPr>
        <w:t>-4570</w:t>
      </w:r>
      <w:r w:rsidRPr="00BF7C6B">
        <w:rPr>
          <w:bCs/>
        </w:rPr>
        <w:t xml:space="preserve">, we will not publish the OMB </w:t>
      </w:r>
      <w:r w:rsidRPr="00BF7C6B">
        <w:rPr>
          <w:bCs/>
        </w:rPr>
        <w:t>approval expiration</w:t>
      </w:r>
      <w:r w:rsidRPr="00BF7C6B">
        <w:rPr>
          <w:bCs/>
        </w:rPr>
        <w:t xml:space="preserve"> date.  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BF7C6B" w:rsidP="00BF7C6B" w14:paraId="3E3D3D85" w14:textId="77777777">
      <w:pPr>
        <w:pStyle w:val="NoSpacing"/>
        <w:ind w:left="1080"/>
        <w:rPr>
          <w:bCs/>
          <w:i/>
          <w:iCs/>
        </w:rPr>
      </w:pPr>
    </w:p>
    <w:p w:rsidR="00BF7C6B" w:rsidRPr="00BF7C6B" w:rsidP="00BF7C6B" w14:paraId="4E6DE9A9" w14:textId="26EC88ED">
      <w:pPr>
        <w:pStyle w:val="NoSpacing"/>
        <w:ind w:left="1080"/>
        <w:rPr>
          <w:bCs/>
        </w:rPr>
      </w:pPr>
      <w:r w:rsidRPr="00BF7C6B">
        <w:rPr>
          <w:bCs/>
        </w:rPr>
        <w:t xml:space="preserve">For the </w:t>
      </w:r>
      <w:r w:rsidRPr="00BF7C6B">
        <w:rPr>
          <w:b/>
          <w:bCs/>
        </w:rPr>
        <w:t>Internet version</w:t>
      </w:r>
      <w:r w:rsidRPr="00BF7C6B">
        <w:rPr>
          <w:bCs/>
        </w:rPr>
        <w:t xml:space="preserve"> of form SSA-</w:t>
      </w:r>
      <w:r>
        <w:rPr>
          <w:bCs/>
        </w:rPr>
        <w:t>4570</w:t>
      </w:r>
      <w:r w:rsidRPr="00BF7C6B">
        <w:rPr>
          <w:bCs/>
        </w:rPr>
        <w:t>, SSA is not requesting an exception to the requirement to display the OMB approval expiration date</w:t>
      </w:r>
      <w:r w:rsidRPr="00BF7C6B">
        <w:rPr>
          <w:bCs/>
          <w:vanish/>
        </w:rPr>
        <w:t> </w:t>
      </w:r>
      <w:r w:rsidRPr="00BF7C6B">
        <w:rPr>
          <w:bCs/>
        </w:rPr>
        <w:t>.</w:t>
      </w:r>
    </w:p>
    <w:p w:rsidR="00BF7C6B" w:rsidRPr="00FB603F" w:rsidP="00FB603F" w14:paraId="1CB1E378" w14:textId="77777777">
      <w:pPr>
        <w:rPr>
          <w:bCs/>
          <w:iCs/>
          <w:sz w:val="24"/>
          <w:szCs w:val="24"/>
        </w:rPr>
      </w:pPr>
    </w:p>
    <w:p w:rsidR="00310517" w:rsidP="00310517" w14:paraId="45FD3C6F" w14:textId="03C0A89E">
      <w:pPr>
        <w:pStyle w:val="ListParagraph"/>
        <w:numPr>
          <w:ilvl w:val="0"/>
          <w:numId w:val="3"/>
        </w:numPr>
        <w:rPr>
          <w:b/>
          <w:sz w:val="24"/>
          <w:szCs w:val="24"/>
        </w:rPr>
      </w:pPr>
      <w:r w:rsidRPr="0011122A">
        <w:rPr>
          <w:b/>
          <w:sz w:val="24"/>
          <w:szCs w:val="24"/>
        </w:rPr>
        <w:t>Exceptions to Certification Statement</w:t>
      </w:r>
    </w:p>
    <w:p w:rsidR="004D5E0C" w:rsidRPr="004D5E0C" w:rsidP="004D5E0C" w14:paraId="631F547C" w14:textId="18E6A839">
      <w:pPr>
        <w:pStyle w:val="ListParagraph"/>
        <w:ind w:left="1080"/>
        <w:rPr>
          <w:sz w:val="24"/>
          <w:szCs w:val="24"/>
        </w:rPr>
      </w:pPr>
      <w:r w:rsidRPr="00FF571D">
        <w:rPr>
          <w:sz w:val="24"/>
          <w:szCs w:val="24"/>
        </w:rPr>
        <w:t xml:space="preserve">SSA is not requesting an exception to the certification requirements at </w:t>
      </w:r>
      <w:r w:rsidRPr="004D5E0C">
        <w:rPr>
          <w:i/>
          <w:sz w:val="24"/>
          <w:szCs w:val="24"/>
        </w:rPr>
        <w:t>5 CFR 1320.9</w:t>
      </w:r>
      <w:r w:rsidRPr="004D5E0C">
        <w:rPr>
          <w:sz w:val="24"/>
          <w:szCs w:val="24"/>
        </w:rPr>
        <w:t xml:space="preserve"> and related provisions at </w:t>
      </w:r>
      <w:r w:rsidRPr="004D5E0C">
        <w:rPr>
          <w:i/>
          <w:sz w:val="24"/>
          <w:szCs w:val="24"/>
        </w:rPr>
        <w:t>5 CFR 1320.8(b)(3)</w:t>
      </w:r>
      <w:r w:rsidRPr="004D5E0C">
        <w:rPr>
          <w:sz w:val="24"/>
          <w:szCs w:val="24"/>
        </w:rPr>
        <w:t>.</w:t>
      </w:r>
    </w:p>
    <w:p w:rsidR="00310517" w:rsidRPr="004D5E0C" w:rsidP="004D5E0C" w14:paraId="347CFD67" w14:textId="77777777">
      <w:pPr>
        <w:rPr>
          <w:b/>
          <w:sz w:val="24"/>
          <w:szCs w:val="24"/>
        </w:rPr>
      </w:pPr>
    </w:p>
    <w:p w:rsidR="005506D6" w:rsidRPr="004D5E0C" w:rsidP="004D5E0C" w14:paraId="5024C890" w14:textId="3361499B">
      <w:pPr>
        <w:pStyle w:val="ListParagraph"/>
        <w:numPr>
          <w:ilvl w:val="0"/>
          <w:numId w:val="1"/>
        </w:numPr>
        <w:ind w:hanging="540"/>
        <w:rPr>
          <w:b/>
          <w:sz w:val="24"/>
          <w:szCs w:val="24"/>
          <w:u w:val="single"/>
        </w:rPr>
      </w:pPr>
      <w:r w:rsidRPr="004D5E0C">
        <w:rPr>
          <w:b/>
          <w:bCs/>
          <w:sz w:val="24"/>
          <w:szCs w:val="24"/>
          <w:u w:val="single"/>
        </w:rPr>
        <w:t>Collections of Information Employing Statistical Methods</w:t>
      </w:r>
    </w:p>
    <w:p w:rsidR="000D2641" w:rsidP="000D2641" w14:paraId="46F8AF92" w14:textId="77777777">
      <w:pPr>
        <w:pStyle w:val="BodyText2"/>
        <w:spacing w:after="0" w:line="240" w:lineRule="auto"/>
        <w:ind w:left="1440"/>
        <w:rPr>
          <w:sz w:val="24"/>
        </w:rPr>
      </w:pPr>
    </w:p>
    <w:p w:rsidR="00596C62" w:rsidRPr="00596C62" w:rsidP="004D5E0C" w14:paraId="5819B815" w14:textId="12404736">
      <w:pPr>
        <w:pStyle w:val="BodyText2"/>
        <w:spacing w:after="0" w:line="240" w:lineRule="auto"/>
        <w:ind w:left="1080"/>
        <w:rPr>
          <w:sz w:val="24"/>
        </w:rPr>
      </w:pPr>
      <w:r w:rsidRPr="00596C62">
        <w:rPr>
          <w:sz w:val="24"/>
        </w:rPr>
        <w:t xml:space="preserve">SSA does not use statistical methods for this information collection. </w:t>
      </w:r>
    </w:p>
    <w:p w:rsidR="005506D6" w:rsidRPr="0011122A" w:rsidP="00596C62" w14:paraId="6293A3C2" w14:textId="042344F9">
      <w:pPr>
        <w:pStyle w:val="ListParagraph"/>
        <w:rPr>
          <w:b/>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ED77D6"/>
    <w:multiLevelType w:val="hybridMultilevel"/>
    <w:tmpl w:val="17706FE6"/>
    <w:lvl w:ilvl="0">
      <w:start w:val="1"/>
      <w:numFmt w:val="upperLetter"/>
      <w:lvlText w:val="%1."/>
      <w:lvlJc w:val="left"/>
      <w:pPr>
        <w:ind w:left="720" w:hanging="360"/>
      </w:pPr>
      <w:rPr>
        <w:rFonts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2D961ED"/>
    <w:multiLevelType w:val="hybridMultilevel"/>
    <w:tmpl w:val="61D0D31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6E503F05"/>
    <w:multiLevelType w:val="hybridMultilevel"/>
    <w:tmpl w:val="1BC80DD4"/>
    <w:lvl w:ilvl="0">
      <w:start w:val="1"/>
      <w:numFmt w:val="decimal"/>
      <w:lvlText w:val="%1."/>
      <w:lvlJc w:val="left"/>
      <w:pPr>
        <w:ind w:left="63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83306882">
    <w:abstractNumId w:val="0"/>
  </w:num>
  <w:num w:numId="2" w16cid:durableId="291331402">
    <w:abstractNumId w:val="2"/>
  </w:num>
  <w:num w:numId="3" w16cid:durableId="103809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6D6"/>
    <w:rsid w:val="00014DC8"/>
    <w:rsid w:val="0002223B"/>
    <w:rsid w:val="0009302D"/>
    <w:rsid w:val="00094394"/>
    <w:rsid w:val="000D2641"/>
    <w:rsid w:val="000D57F0"/>
    <w:rsid w:val="0011122A"/>
    <w:rsid w:val="001179C3"/>
    <w:rsid w:val="0012027C"/>
    <w:rsid w:val="00153DC9"/>
    <w:rsid w:val="00174994"/>
    <w:rsid w:val="00175F6A"/>
    <w:rsid w:val="00186563"/>
    <w:rsid w:val="001A3739"/>
    <w:rsid w:val="001A6024"/>
    <w:rsid w:val="001C1362"/>
    <w:rsid w:val="001F0018"/>
    <w:rsid w:val="0020232E"/>
    <w:rsid w:val="002245E5"/>
    <w:rsid w:val="002666FC"/>
    <w:rsid w:val="00273C47"/>
    <w:rsid w:val="0027448B"/>
    <w:rsid w:val="002866E5"/>
    <w:rsid w:val="002A0E0C"/>
    <w:rsid w:val="002A6064"/>
    <w:rsid w:val="002A70F9"/>
    <w:rsid w:val="002C2527"/>
    <w:rsid w:val="002C4508"/>
    <w:rsid w:val="002E2658"/>
    <w:rsid w:val="002E7634"/>
    <w:rsid w:val="002F12DF"/>
    <w:rsid w:val="0030073E"/>
    <w:rsid w:val="003065AD"/>
    <w:rsid w:val="00310517"/>
    <w:rsid w:val="003617EB"/>
    <w:rsid w:val="003658AB"/>
    <w:rsid w:val="0038280A"/>
    <w:rsid w:val="003D307B"/>
    <w:rsid w:val="00400771"/>
    <w:rsid w:val="00452ADC"/>
    <w:rsid w:val="00454936"/>
    <w:rsid w:val="0045750E"/>
    <w:rsid w:val="00463295"/>
    <w:rsid w:val="004768F8"/>
    <w:rsid w:val="004A4B6F"/>
    <w:rsid w:val="004D245C"/>
    <w:rsid w:val="004D5E0C"/>
    <w:rsid w:val="004F02DE"/>
    <w:rsid w:val="004F3546"/>
    <w:rsid w:val="00506466"/>
    <w:rsid w:val="005506D6"/>
    <w:rsid w:val="005509B9"/>
    <w:rsid w:val="00574894"/>
    <w:rsid w:val="00587844"/>
    <w:rsid w:val="00596C62"/>
    <w:rsid w:val="005A6377"/>
    <w:rsid w:val="005B3FFE"/>
    <w:rsid w:val="00606E30"/>
    <w:rsid w:val="00662088"/>
    <w:rsid w:val="00664EBA"/>
    <w:rsid w:val="006A4628"/>
    <w:rsid w:val="006E5FD0"/>
    <w:rsid w:val="00707B7D"/>
    <w:rsid w:val="0072123D"/>
    <w:rsid w:val="00723133"/>
    <w:rsid w:val="0072370B"/>
    <w:rsid w:val="007346F7"/>
    <w:rsid w:val="00734B8F"/>
    <w:rsid w:val="00763CAF"/>
    <w:rsid w:val="00787B3B"/>
    <w:rsid w:val="00805551"/>
    <w:rsid w:val="00843AD8"/>
    <w:rsid w:val="008450B4"/>
    <w:rsid w:val="008516F1"/>
    <w:rsid w:val="00876B43"/>
    <w:rsid w:val="008841B7"/>
    <w:rsid w:val="0089191E"/>
    <w:rsid w:val="00892700"/>
    <w:rsid w:val="008C047B"/>
    <w:rsid w:val="008F6B28"/>
    <w:rsid w:val="009040CA"/>
    <w:rsid w:val="00906DE4"/>
    <w:rsid w:val="009179BA"/>
    <w:rsid w:val="0096761A"/>
    <w:rsid w:val="009809BE"/>
    <w:rsid w:val="0098306C"/>
    <w:rsid w:val="009B009D"/>
    <w:rsid w:val="009B5D70"/>
    <w:rsid w:val="009D31D9"/>
    <w:rsid w:val="00A01762"/>
    <w:rsid w:val="00A426F2"/>
    <w:rsid w:val="00A61CC9"/>
    <w:rsid w:val="00A64CB4"/>
    <w:rsid w:val="00A760FE"/>
    <w:rsid w:val="00A764F4"/>
    <w:rsid w:val="00A83AFA"/>
    <w:rsid w:val="00A92948"/>
    <w:rsid w:val="00AB31C1"/>
    <w:rsid w:val="00AC70E8"/>
    <w:rsid w:val="00AC75CC"/>
    <w:rsid w:val="00AF0DFB"/>
    <w:rsid w:val="00B02B8C"/>
    <w:rsid w:val="00B0676C"/>
    <w:rsid w:val="00B3232A"/>
    <w:rsid w:val="00B36315"/>
    <w:rsid w:val="00B56C8E"/>
    <w:rsid w:val="00B64864"/>
    <w:rsid w:val="00BF661E"/>
    <w:rsid w:val="00BF7C6B"/>
    <w:rsid w:val="00C06368"/>
    <w:rsid w:val="00C16779"/>
    <w:rsid w:val="00C322BB"/>
    <w:rsid w:val="00C34C51"/>
    <w:rsid w:val="00C51C79"/>
    <w:rsid w:val="00C5670C"/>
    <w:rsid w:val="00C70AC2"/>
    <w:rsid w:val="00C7397C"/>
    <w:rsid w:val="00C77FF9"/>
    <w:rsid w:val="00C90CE2"/>
    <w:rsid w:val="00CA12E3"/>
    <w:rsid w:val="00CB4EA8"/>
    <w:rsid w:val="00CC14A5"/>
    <w:rsid w:val="00CC501D"/>
    <w:rsid w:val="00CD672B"/>
    <w:rsid w:val="00CF22ED"/>
    <w:rsid w:val="00D00D5B"/>
    <w:rsid w:val="00D219AF"/>
    <w:rsid w:val="00D47847"/>
    <w:rsid w:val="00D56945"/>
    <w:rsid w:val="00D716BA"/>
    <w:rsid w:val="00D75AE0"/>
    <w:rsid w:val="00D85432"/>
    <w:rsid w:val="00DA69D2"/>
    <w:rsid w:val="00DE7158"/>
    <w:rsid w:val="00DF4044"/>
    <w:rsid w:val="00E00CAB"/>
    <w:rsid w:val="00E26FEB"/>
    <w:rsid w:val="00E317E7"/>
    <w:rsid w:val="00E3209F"/>
    <w:rsid w:val="00E335AB"/>
    <w:rsid w:val="00E34BFD"/>
    <w:rsid w:val="00E42758"/>
    <w:rsid w:val="00E45122"/>
    <w:rsid w:val="00E631B6"/>
    <w:rsid w:val="00EA1BC2"/>
    <w:rsid w:val="00EC0C8E"/>
    <w:rsid w:val="00EC0FE5"/>
    <w:rsid w:val="00ED10FF"/>
    <w:rsid w:val="00F13E1F"/>
    <w:rsid w:val="00F164D5"/>
    <w:rsid w:val="00F22DC4"/>
    <w:rsid w:val="00F412DE"/>
    <w:rsid w:val="00F4463A"/>
    <w:rsid w:val="00F474AF"/>
    <w:rsid w:val="00FA34E3"/>
    <w:rsid w:val="00FB603F"/>
    <w:rsid w:val="00FB6FB8"/>
    <w:rsid w:val="00FC171D"/>
    <w:rsid w:val="00FC4FBA"/>
    <w:rsid w:val="00FE2776"/>
    <w:rsid w:val="00FF0F6F"/>
    <w:rsid w:val="00FF57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2A40F8"/>
  <w15:docId w15:val="{D44BBF5B-CFAF-4CC1-8CA4-67F7BE4D6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06D6"/>
    <w:pPr>
      <w:spacing w:after="0" w:line="240" w:lineRule="auto"/>
    </w:pPr>
    <w:rPr>
      <w:rFonts w:ascii="Times New Roman" w:eastAsia="Times New Roman" w:hAnsi="Times New Roman" w:cs="Times New Roman"/>
      <w:sz w:val="20"/>
      <w:szCs w:val="20"/>
      <w:lang w:eastAsia="zh-CN"/>
    </w:rPr>
  </w:style>
  <w:style w:type="paragraph" w:styleId="Heading2">
    <w:name w:val="heading 2"/>
    <w:basedOn w:val="Normal"/>
    <w:next w:val="Normal"/>
    <w:link w:val="Heading2Char"/>
    <w:uiPriority w:val="9"/>
    <w:semiHidden/>
    <w:unhideWhenUsed/>
    <w:qFormat/>
    <w:rsid w:val="008450B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5506D6"/>
    <w:pPr>
      <w:keepNext/>
      <w:tabs>
        <w:tab w:val="left" w:pos="0"/>
      </w:tabs>
      <w:suppressAutoHyphens/>
      <w:jc w:val="center"/>
      <w:outlineLvl w:val="2"/>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506D6"/>
    <w:rPr>
      <w:rFonts w:ascii="Courier New" w:eastAsia="Times New Roman" w:hAnsi="Courier New" w:cs="Courier New"/>
      <w:sz w:val="24"/>
      <w:szCs w:val="24"/>
      <w:lang w:eastAsia="zh-CN"/>
    </w:rPr>
  </w:style>
  <w:style w:type="paragraph" w:styleId="ListParagraph">
    <w:name w:val="List Paragraph"/>
    <w:basedOn w:val="Normal"/>
    <w:uiPriority w:val="34"/>
    <w:qFormat/>
    <w:rsid w:val="005506D6"/>
    <w:pPr>
      <w:ind w:left="720"/>
      <w:contextualSpacing/>
    </w:pPr>
  </w:style>
  <w:style w:type="paragraph" w:styleId="BodyText">
    <w:name w:val="Body Text"/>
    <w:basedOn w:val="Normal"/>
    <w:link w:val="BodyTextChar"/>
    <w:rsid w:val="005506D6"/>
    <w:rPr>
      <w:rFonts w:ascii="Courier New" w:hAnsi="Courier New" w:cs="Courier New"/>
      <w:sz w:val="24"/>
      <w:szCs w:val="24"/>
    </w:rPr>
  </w:style>
  <w:style w:type="character" w:customStyle="1" w:styleId="BodyTextChar">
    <w:name w:val="Body Text Char"/>
    <w:basedOn w:val="DefaultParagraphFont"/>
    <w:link w:val="BodyText"/>
    <w:rsid w:val="005506D6"/>
    <w:rPr>
      <w:rFonts w:ascii="Courier New" w:eastAsia="Times New Roman" w:hAnsi="Courier New" w:cs="Courier New"/>
      <w:sz w:val="24"/>
      <w:szCs w:val="24"/>
      <w:lang w:eastAsia="zh-CN"/>
    </w:rPr>
  </w:style>
  <w:style w:type="table" w:styleId="TableGrid">
    <w:name w:val="Table Grid"/>
    <w:basedOn w:val="TableNormal"/>
    <w:uiPriority w:val="59"/>
    <w:rsid w:val="00550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30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06C"/>
    <w:rPr>
      <w:rFonts w:ascii="Segoe UI" w:eastAsia="Times New Roman" w:hAnsi="Segoe UI" w:cs="Segoe UI"/>
      <w:sz w:val="18"/>
      <w:szCs w:val="18"/>
      <w:lang w:eastAsia="zh-CN"/>
    </w:rPr>
  </w:style>
  <w:style w:type="character" w:styleId="CommentReference">
    <w:name w:val="annotation reference"/>
    <w:basedOn w:val="DefaultParagraphFont"/>
    <w:uiPriority w:val="99"/>
    <w:semiHidden/>
    <w:unhideWhenUsed/>
    <w:rsid w:val="0098306C"/>
    <w:rPr>
      <w:sz w:val="16"/>
      <w:szCs w:val="16"/>
    </w:rPr>
  </w:style>
  <w:style w:type="paragraph" w:styleId="CommentText">
    <w:name w:val="annotation text"/>
    <w:basedOn w:val="Normal"/>
    <w:link w:val="CommentTextChar"/>
    <w:uiPriority w:val="99"/>
    <w:unhideWhenUsed/>
    <w:rsid w:val="0098306C"/>
  </w:style>
  <w:style w:type="character" w:customStyle="1" w:styleId="CommentTextChar">
    <w:name w:val="Comment Text Char"/>
    <w:basedOn w:val="DefaultParagraphFont"/>
    <w:link w:val="CommentText"/>
    <w:uiPriority w:val="99"/>
    <w:rsid w:val="0098306C"/>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98306C"/>
    <w:rPr>
      <w:b/>
      <w:bCs/>
    </w:rPr>
  </w:style>
  <w:style w:type="character" w:customStyle="1" w:styleId="CommentSubjectChar">
    <w:name w:val="Comment Subject Char"/>
    <w:basedOn w:val="CommentTextChar"/>
    <w:link w:val="CommentSubject"/>
    <w:uiPriority w:val="99"/>
    <w:semiHidden/>
    <w:rsid w:val="0098306C"/>
    <w:rPr>
      <w:rFonts w:ascii="Times New Roman" w:eastAsia="Times New Roman" w:hAnsi="Times New Roman" w:cs="Times New Roman"/>
      <w:b/>
      <w:bCs/>
      <w:sz w:val="20"/>
      <w:szCs w:val="20"/>
      <w:lang w:eastAsia="zh-CN"/>
    </w:rPr>
  </w:style>
  <w:style w:type="paragraph" w:styleId="Header">
    <w:name w:val="header"/>
    <w:basedOn w:val="Normal"/>
    <w:link w:val="HeaderChar"/>
    <w:uiPriority w:val="99"/>
    <w:unhideWhenUsed/>
    <w:rsid w:val="0027448B"/>
    <w:pPr>
      <w:tabs>
        <w:tab w:val="center" w:pos="4680"/>
        <w:tab w:val="right" w:pos="9360"/>
      </w:tabs>
    </w:pPr>
  </w:style>
  <w:style w:type="character" w:customStyle="1" w:styleId="HeaderChar">
    <w:name w:val="Header Char"/>
    <w:basedOn w:val="DefaultParagraphFont"/>
    <w:link w:val="Header"/>
    <w:uiPriority w:val="99"/>
    <w:rsid w:val="0027448B"/>
    <w:rPr>
      <w:rFonts w:ascii="Times New Roman" w:eastAsia="Times New Roman" w:hAnsi="Times New Roman" w:cs="Times New Roman"/>
      <w:sz w:val="20"/>
      <w:szCs w:val="20"/>
      <w:lang w:eastAsia="zh-CN"/>
    </w:rPr>
  </w:style>
  <w:style w:type="paragraph" w:styleId="Footer">
    <w:name w:val="footer"/>
    <w:basedOn w:val="Normal"/>
    <w:link w:val="FooterChar"/>
    <w:unhideWhenUsed/>
    <w:qFormat/>
    <w:rsid w:val="0027448B"/>
    <w:pPr>
      <w:tabs>
        <w:tab w:val="center" w:pos="4680"/>
        <w:tab w:val="right" w:pos="9360"/>
      </w:tabs>
    </w:pPr>
  </w:style>
  <w:style w:type="character" w:customStyle="1" w:styleId="FooterChar">
    <w:name w:val="Footer Char"/>
    <w:basedOn w:val="DefaultParagraphFont"/>
    <w:link w:val="Footer"/>
    <w:rsid w:val="0027448B"/>
    <w:rPr>
      <w:rFonts w:ascii="Times New Roman" w:eastAsia="Times New Roman" w:hAnsi="Times New Roman" w:cs="Times New Roman"/>
      <w:sz w:val="20"/>
      <w:szCs w:val="20"/>
      <w:lang w:eastAsia="zh-CN"/>
    </w:rPr>
  </w:style>
  <w:style w:type="character" w:styleId="PageNumber">
    <w:name w:val="page number"/>
    <w:basedOn w:val="DefaultParagraphFont"/>
    <w:uiPriority w:val="9"/>
    <w:qFormat/>
    <w:rsid w:val="0027448B"/>
  </w:style>
  <w:style w:type="paragraph" w:styleId="Revision">
    <w:name w:val="Revision"/>
    <w:hidden/>
    <w:uiPriority w:val="99"/>
    <w:semiHidden/>
    <w:rsid w:val="00506466"/>
    <w:pPr>
      <w:spacing w:after="0" w:line="240" w:lineRule="auto"/>
    </w:pPr>
    <w:rPr>
      <w:rFonts w:ascii="Times New Roman" w:eastAsia="Times New Roman" w:hAnsi="Times New Roman" w:cs="Times New Roman"/>
      <w:sz w:val="20"/>
      <w:szCs w:val="20"/>
      <w:lang w:eastAsia="zh-CN"/>
    </w:rPr>
  </w:style>
  <w:style w:type="paragraph" w:styleId="BodyText2">
    <w:name w:val="Body Text 2"/>
    <w:basedOn w:val="Normal"/>
    <w:link w:val="BodyText2Char"/>
    <w:uiPriority w:val="99"/>
    <w:semiHidden/>
    <w:unhideWhenUsed/>
    <w:rsid w:val="00596C62"/>
    <w:pPr>
      <w:spacing w:after="120" w:line="480" w:lineRule="auto"/>
    </w:pPr>
  </w:style>
  <w:style w:type="character" w:customStyle="1" w:styleId="BodyText2Char">
    <w:name w:val="Body Text 2 Char"/>
    <w:basedOn w:val="DefaultParagraphFont"/>
    <w:link w:val="BodyText2"/>
    <w:uiPriority w:val="99"/>
    <w:semiHidden/>
    <w:rsid w:val="00596C62"/>
    <w:rPr>
      <w:rFonts w:ascii="Times New Roman" w:eastAsia="Times New Roman" w:hAnsi="Times New Roman" w:cs="Times New Roman"/>
      <w:sz w:val="20"/>
      <w:szCs w:val="20"/>
      <w:lang w:eastAsia="zh-CN"/>
    </w:rPr>
  </w:style>
  <w:style w:type="character" w:styleId="SubtleReference">
    <w:name w:val="Subtle Reference"/>
    <w:uiPriority w:val="31"/>
    <w:qFormat/>
    <w:rsid w:val="00C06368"/>
    <w:rPr>
      <w:rFonts w:ascii="Times New Roman" w:hAnsi="Times New Roman"/>
      <w:i/>
      <w:caps w:val="0"/>
      <w:smallCaps w:val="0"/>
      <w:strike w:val="0"/>
      <w:dstrike w:val="0"/>
      <w:vanish w:val="0"/>
      <w:color w:val="auto"/>
      <w:sz w:val="22"/>
      <w:vertAlign w:val="baseline"/>
    </w:rPr>
  </w:style>
  <w:style w:type="character" w:styleId="Hyperlink">
    <w:name w:val="Hyperlink"/>
    <w:rsid w:val="00FE2776"/>
    <w:rPr>
      <w:color w:val="0000FF"/>
      <w:u w:val="single"/>
    </w:rPr>
  </w:style>
  <w:style w:type="character" w:customStyle="1" w:styleId="Heading2Char">
    <w:name w:val="Heading 2 Char"/>
    <w:basedOn w:val="DefaultParagraphFont"/>
    <w:link w:val="Heading2"/>
    <w:uiPriority w:val="9"/>
    <w:semiHidden/>
    <w:rsid w:val="008450B4"/>
    <w:rPr>
      <w:rFonts w:asciiTheme="majorHAnsi" w:eastAsiaTheme="majorEastAsia" w:hAnsiTheme="majorHAnsi" w:cstheme="majorBidi"/>
      <w:color w:val="365F91" w:themeColor="accent1" w:themeShade="BF"/>
      <w:sz w:val="26"/>
      <w:szCs w:val="26"/>
      <w:lang w:eastAsia="zh-CN"/>
    </w:rPr>
  </w:style>
  <w:style w:type="paragraph" w:styleId="NoSpacing">
    <w:name w:val="No Spacing"/>
    <w:qFormat/>
    <w:rsid w:val="001A6024"/>
    <w:pPr>
      <w:spacing w:after="0" w:line="240" w:lineRule="auto"/>
    </w:pPr>
    <w:rPr>
      <w:rFonts w:ascii="Times New Roman" w:eastAsia="Times New Roman" w:hAnsi="Times New Roman" w:cs="Times New Roman"/>
      <w:sz w:val="24"/>
      <w:szCs w:val="24"/>
      <w:lang w:bidi="en-US"/>
    </w:rPr>
  </w:style>
  <w:style w:type="character" w:styleId="FollowedHyperlink">
    <w:name w:val="FollowedHyperlink"/>
    <w:basedOn w:val="DefaultParagraphFont"/>
    <w:uiPriority w:val="99"/>
    <w:semiHidden/>
    <w:unhideWhenUsed/>
    <w:rsid w:val="00C567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ata.bls.gov/oes/"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2726</Words>
  <Characters>15540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dc:creator>
  <cp:lastModifiedBy>Naomi Sipple</cp:lastModifiedBy>
  <cp:revision>2</cp:revision>
  <cp:lastPrinted>2019-11-04T14:24:00Z</cp:lastPrinted>
  <dcterms:created xsi:type="dcterms:W3CDTF">2026-04-29T15:39:00Z</dcterms:created>
  <dcterms:modified xsi:type="dcterms:W3CDTF">2026-04-29T15:39:00Z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-350592898</vt:i4>
  </property>
  <property fmtid="{D5CDD505-2E9C-101B-9397-08002B2CF9AE}" pid="3" name="_AuthorEmail">
    <vt:lpwstr>Tasha.Harley@ssa.gov</vt:lpwstr>
  </property>
  <property fmtid="{D5CDD505-2E9C-101B-9397-08002B2CF9AE}" pid="4" name="_AuthorEmailDisplayName">
    <vt:lpwstr>Harley, Tasha   LP</vt:lpwstr>
  </property>
  <property fmtid="{D5CDD505-2E9C-101B-9397-08002B2CF9AE}" pid="5" name="_EmailSubject">
    <vt:lpwstr>ICRs ready for submission in ROCIS</vt:lpwstr>
  </property>
  <property fmtid="{D5CDD505-2E9C-101B-9397-08002B2CF9AE}" pid="6" name="_NewReviewCycle">
    <vt:lpwstr/>
  </property>
  <property fmtid="{D5CDD505-2E9C-101B-9397-08002B2CF9AE}" pid="7" name="_PreviousAdHocReviewCycleID">
    <vt:i4>-893766754</vt:i4>
  </property>
</Properties>
</file>