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E33056" w:rsidRPr="00E33056" w:rsidP="00E33056" w14:paraId="1F23A19B" w14:textId="2F2DE6B1">
      <w:pPr>
        <w:pStyle w:val="BodyText"/>
        <w:ind w:left="239" w:right="380"/>
        <w:rPr>
          <w:b/>
          <w:bCs/>
        </w:rPr>
      </w:pPr>
      <w:r w:rsidRPr="00E33056">
        <w:rPr>
          <w:b/>
          <w:bCs/>
        </w:rPr>
        <w:t>Appendix A - C</w:t>
      </w:r>
      <w:r w:rsidRPr="00E33056">
        <w:rPr>
          <w:b/>
          <w:bCs/>
        </w:rPr>
        <w:t>hanges</w:t>
      </w:r>
      <w:r w:rsidRPr="00E33056">
        <w:rPr>
          <w:b/>
          <w:bCs/>
          <w:spacing w:val="-4"/>
        </w:rPr>
        <w:t xml:space="preserve"> </w:t>
      </w:r>
      <w:r w:rsidRPr="00E33056">
        <w:rPr>
          <w:b/>
          <w:bCs/>
        </w:rPr>
        <w:t>to</w:t>
      </w:r>
      <w:r w:rsidRPr="00E33056">
        <w:rPr>
          <w:b/>
          <w:bCs/>
          <w:spacing w:val="-4"/>
        </w:rPr>
        <w:t xml:space="preserve"> </w:t>
      </w:r>
      <w:r w:rsidRPr="00E33056">
        <w:rPr>
          <w:b/>
          <w:bCs/>
        </w:rPr>
        <w:t>SMART</w:t>
      </w:r>
      <w:r w:rsidRPr="00E33056">
        <w:rPr>
          <w:b/>
          <w:bCs/>
          <w:spacing w:val="-5"/>
        </w:rPr>
        <w:t xml:space="preserve"> </w:t>
      </w:r>
      <w:r w:rsidRPr="00E33056">
        <w:rPr>
          <w:b/>
          <w:bCs/>
        </w:rPr>
        <w:t>including</w:t>
      </w:r>
      <w:r w:rsidRPr="00E33056">
        <w:rPr>
          <w:b/>
          <w:bCs/>
          <w:spacing w:val="-4"/>
        </w:rPr>
        <w:t xml:space="preserve"> </w:t>
      </w:r>
      <w:r w:rsidRPr="00E33056">
        <w:rPr>
          <w:b/>
          <w:bCs/>
        </w:rPr>
        <w:t>eligibility</w:t>
      </w:r>
      <w:r w:rsidRPr="00E33056">
        <w:rPr>
          <w:b/>
          <w:bCs/>
          <w:spacing w:val="-4"/>
        </w:rPr>
        <w:t xml:space="preserve"> </w:t>
      </w:r>
      <w:r w:rsidRPr="00E33056">
        <w:rPr>
          <w:b/>
          <w:bCs/>
        </w:rPr>
        <w:t>and</w:t>
      </w:r>
      <w:r w:rsidRPr="00E33056">
        <w:rPr>
          <w:b/>
          <w:bCs/>
          <w:spacing w:val="-4"/>
        </w:rPr>
        <w:t xml:space="preserve"> </w:t>
      </w:r>
      <w:r w:rsidRPr="00E33056">
        <w:rPr>
          <w:b/>
          <w:bCs/>
        </w:rPr>
        <w:t>enrollment,</w:t>
      </w:r>
      <w:r w:rsidRPr="00E33056">
        <w:rPr>
          <w:b/>
          <w:bCs/>
          <w:spacing w:val="-4"/>
        </w:rPr>
        <w:t xml:space="preserve"> </w:t>
      </w:r>
      <w:r w:rsidRPr="00E33056">
        <w:rPr>
          <w:b/>
          <w:bCs/>
        </w:rPr>
        <w:t xml:space="preserve">financial and programmatic audits, and </w:t>
      </w:r>
      <w:r w:rsidRPr="00E33056">
        <w:rPr>
          <w:b/>
          <w:bCs/>
        </w:rPr>
        <w:t>program</w:t>
      </w:r>
      <w:r w:rsidRPr="00E33056">
        <w:rPr>
          <w:b/>
          <w:bCs/>
        </w:rPr>
        <w:t xml:space="preserve"> integrity.</w:t>
      </w:r>
    </w:p>
    <w:p w:rsidR="00E33056" w:rsidRPr="00E33056" w:rsidP="00E33056" w14:paraId="55D4C46D" w14:textId="34FB86E2">
      <w:pPr>
        <w:pStyle w:val="BodyText"/>
        <w:ind w:left="239" w:right="380"/>
        <w:rPr>
          <w:b/>
          <w:bCs/>
        </w:rPr>
      </w:pPr>
    </w:p>
    <w:p w:rsidR="00E33056" w:rsidP="00E33056" w14:paraId="0B45B70A" w14:textId="77777777">
      <w:pPr>
        <w:pStyle w:val="Heading3"/>
        <w:numPr>
          <w:ilvl w:val="1"/>
          <w:numId w:val="4"/>
        </w:numPr>
        <w:tabs>
          <w:tab w:val="left" w:pos="719"/>
        </w:tabs>
        <w:ind w:left="719"/>
      </w:pPr>
      <w:bookmarkStart w:id="0" w:name="15.1_Eligibility_and_Enrollment"/>
      <w:bookmarkStart w:id="1" w:name="_bookmark35"/>
      <w:bookmarkEnd w:id="0"/>
      <w:bookmarkEnd w:id="1"/>
      <w:r>
        <w:t>Eligibility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Enrollment</w:t>
      </w:r>
    </w:p>
    <w:p w:rsidR="00E33056" w:rsidP="00E33056" w14:paraId="0C8BB6BB" w14:textId="77777777">
      <w:pPr>
        <w:pStyle w:val="BodyText"/>
        <w:ind w:left="239" w:right="256"/>
      </w:pPr>
      <w:r>
        <w:t>The SMART</w:t>
      </w:r>
      <w:r>
        <w:t xml:space="preserve"> includes revisions to the following eligibility and enrollment attestations: SSN, Citizenship, Lawful Presence, Incarceration Status, Household Income and Family Size, ESC, Inconsistency Resolution, PDM, Administration of APTC, and SEPs. </w:t>
      </w:r>
      <w:r>
        <w:t>The SMART</w:t>
      </w:r>
      <w:r>
        <w:t xml:space="preserve"> also includes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addition</w:t>
      </w:r>
      <w:r>
        <w:rPr>
          <w:spacing w:val="-4"/>
        </w:rPr>
        <w:t xml:space="preserve"> </w:t>
      </w:r>
      <w:r>
        <w:t>attestations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Eligibility</w:t>
      </w:r>
      <w:r>
        <w:rPr>
          <w:spacing w:val="-4"/>
        </w:rPr>
        <w:t xml:space="preserve"> </w:t>
      </w:r>
      <w:r>
        <w:t>Application,</w:t>
      </w:r>
      <w:r>
        <w:rPr>
          <w:spacing w:val="-4"/>
        </w:rPr>
        <w:t xml:space="preserve"> </w:t>
      </w:r>
      <w:r>
        <w:t>Verification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Identity,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Web-Brokers and DE Entities. Regulations under 45 CFR §155.335 require that SBEs re-determine the eligibility of a qualified individual annually. The Exchange must conduct annual redeterminations using the SBE Redeterminations Template, which includes minor revisions to assess SBE compliance with updated regulations. Regulations under 45 CFR §155.340(</w:t>
      </w:r>
      <w:r>
        <w:t>i</w:t>
      </w:r>
      <w:r>
        <w:t>) require SBEs to</w:t>
      </w:r>
      <w:r>
        <w:rPr>
          <w:spacing w:val="40"/>
        </w:rPr>
        <w:t xml:space="preserve"> </w:t>
      </w:r>
      <w:r>
        <w:t xml:space="preserve">report to HHS the methodology used to determine that APTC applied to an enrollee’s monthly premium does not exceed the expected monthly </w:t>
      </w:r>
      <w:r>
        <w:t>premium tax</w:t>
      </w:r>
      <w:r>
        <w:t xml:space="preserve"> credit (PTC) amount when the enrollee is enrolled in a policy for less than the full coverage month. SBEs must satisfy these requirements using the APTC Proration Methodology Template.</w:t>
      </w:r>
    </w:p>
    <w:p w:rsidR="00E33056" w:rsidP="00E33056" w14:paraId="66EDCAF8" w14:textId="77777777">
      <w:pPr>
        <w:pStyle w:val="Heading3"/>
        <w:numPr>
          <w:ilvl w:val="1"/>
          <w:numId w:val="4"/>
        </w:numPr>
        <w:tabs>
          <w:tab w:val="left" w:pos="719"/>
        </w:tabs>
        <w:ind w:left="719"/>
      </w:pPr>
      <w:bookmarkStart w:id="2" w:name="15.2_Financial_and_Programmatic_Audit"/>
      <w:bookmarkStart w:id="3" w:name="_bookmark36"/>
      <w:bookmarkEnd w:id="2"/>
      <w:bookmarkEnd w:id="3"/>
      <w:r>
        <w:t>Financial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Programmatic</w:t>
      </w:r>
      <w:r>
        <w:rPr>
          <w:spacing w:val="-3"/>
        </w:rPr>
        <w:t xml:space="preserve"> </w:t>
      </w:r>
      <w:r>
        <w:rPr>
          <w:spacing w:val="-2"/>
        </w:rPr>
        <w:t>Audit</w:t>
      </w:r>
    </w:p>
    <w:p w:rsidR="00E33056" w:rsidP="00E33056" w14:paraId="4B907E49" w14:textId="77777777">
      <w:pPr>
        <w:pStyle w:val="BodyText"/>
        <w:ind w:left="239"/>
      </w:pPr>
      <w:r>
        <w:t>The SMART</w:t>
      </w:r>
      <w:r>
        <w:t xml:space="preserve"> includes revisions to improve the logic within SERVIS clarifying the process for submitting</w:t>
      </w:r>
      <w:r>
        <w:rPr>
          <w:spacing w:val="-4"/>
        </w:rPr>
        <w:t xml:space="preserve"> </w:t>
      </w:r>
      <w:r>
        <w:t>external</w:t>
      </w:r>
      <w:r>
        <w:rPr>
          <w:spacing w:val="-4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audit,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Comprehensive</w:t>
      </w:r>
      <w:r>
        <w:rPr>
          <w:spacing w:val="-4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(ACFR),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internal controls reports for State Exchanges.</w:t>
      </w:r>
    </w:p>
    <w:p w:rsidR="00E33056" w:rsidP="00E33056" w14:paraId="01498978" w14:textId="77777777">
      <w:pPr>
        <w:pStyle w:val="BodyText"/>
        <w:sectPr w:rsidSect="00E33056">
          <w:pgSz w:w="12240" w:h="15840"/>
          <w:pgMar w:top="1280" w:right="1080" w:bottom="1200" w:left="1080" w:header="727" w:footer="990" w:gutter="0"/>
          <w:cols w:space="720"/>
        </w:sectPr>
      </w:pPr>
    </w:p>
    <w:p w:rsidR="00E33056" w:rsidP="00E33056" w14:paraId="7D2B76FD" w14:textId="77777777">
      <w:pPr>
        <w:pStyle w:val="Heading3"/>
        <w:numPr>
          <w:ilvl w:val="1"/>
          <w:numId w:val="4"/>
        </w:numPr>
        <w:tabs>
          <w:tab w:val="left" w:pos="720"/>
        </w:tabs>
        <w:spacing w:before="80"/>
      </w:pPr>
      <w:bookmarkStart w:id="4" w:name="15.3_Program_Integrity"/>
      <w:bookmarkStart w:id="5" w:name="_bookmark37"/>
      <w:bookmarkEnd w:id="4"/>
      <w:bookmarkEnd w:id="5"/>
      <w:r>
        <w:t>Program</w:t>
      </w:r>
      <w:r>
        <w:rPr>
          <w:spacing w:val="-2"/>
        </w:rPr>
        <w:t xml:space="preserve"> Integrity</w:t>
      </w:r>
    </w:p>
    <w:p w:rsidR="00E33056" w:rsidP="00E33056" w14:paraId="0780C32C" w14:textId="77777777">
      <w:pPr>
        <w:pStyle w:val="BodyText"/>
        <w:ind w:right="232"/>
      </w:pPr>
      <w:r>
        <w:t>The</w:t>
      </w:r>
      <w:r>
        <w:rPr>
          <w:spacing w:val="-4"/>
        </w:rPr>
        <w:t xml:space="preserve"> </w:t>
      </w:r>
      <w:r>
        <w:t>SMART</w:t>
      </w:r>
      <w:r>
        <w:rPr>
          <w:spacing w:val="-4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minor</w:t>
      </w:r>
      <w:r>
        <w:rPr>
          <w:spacing w:val="-4"/>
        </w:rPr>
        <w:t xml:space="preserve"> </w:t>
      </w:r>
      <w:r>
        <w:t>clarifications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scope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Exchange</w:t>
      </w:r>
      <w:r>
        <w:rPr>
          <w:spacing w:val="-4"/>
        </w:rPr>
        <w:t xml:space="preserve"> </w:t>
      </w:r>
      <w:r>
        <w:t>oversight</w:t>
      </w:r>
      <w:r>
        <w:rPr>
          <w:spacing w:val="-3"/>
        </w:rPr>
        <w:t xml:space="preserve"> </w:t>
      </w:r>
      <w:r>
        <w:t xml:space="preserve">and </w:t>
      </w:r>
      <w:bookmarkStart w:id="6" w:name="_bookmark38"/>
      <w:bookmarkEnd w:id="6"/>
      <w:r>
        <w:t>monitoring plan and fraud, waste, and abuse policies and procedures.</w:t>
      </w:r>
    </w:p>
    <w:p w:rsidR="00E33056" w:rsidP="00E33056" w14:paraId="71CC265B" w14:textId="77777777">
      <w:pPr>
        <w:spacing w:before="121"/>
        <w:ind w:left="355"/>
        <w:rPr>
          <w:i/>
        </w:rPr>
      </w:pPr>
      <w:r>
        <w:rPr>
          <w:i/>
        </w:rPr>
        <w:t>Table</w:t>
      </w:r>
      <w:r>
        <w:rPr>
          <w:i/>
          <w:spacing w:val="-4"/>
        </w:rPr>
        <w:t xml:space="preserve"> </w:t>
      </w:r>
      <w:r>
        <w:rPr>
          <w:i/>
        </w:rPr>
        <w:t>13</w:t>
      </w:r>
      <w:r>
        <w:rPr>
          <w:i/>
          <w:spacing w:val="-4"/>
        </w:rPr>
        <w:t xml:space="preserve"> </w:t>
      </w:r>
      <w:r>
        <w:rPr>
          <w:i/>
        </w:rPr>
        <w:t>–</w:t>
      </w:r>
      <w:r>
        <w:rPr>
          <w:i/>
          <w:spacing w:val="-4"/>
        </w:rPr>
        <w:t xml:space="preserve"> </w:t>
      </w:r>
      <w:r>
        <w:rPr>
          <w:i/>
        </w:rPr>
        <w:t>Summary</w:t>
      </w:r>
      <w:r>
        <w:rPr>
          <w:i/>
          <w:spacing w:val="-4"/>
        </w:rPr>
        <w:t xml:space="preserve"> </w:t>
      </w:r>
      <w:r>
        <w:rPr>
          <w:i/>
        </w:rPr>
        <w:t>SMART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Requirements</w:t>
      </w:r>
    </w:p>
    <w:p w:rsidR="00E33056" w:rsidP="00E33056" w14:paraId="3FE853D0" w14:textId="77777777">
      <w:pPr>
        <w:pStyle w:val="BodyText"/>
        <w:spacing w:before="3"/>
        <w:ind w:left="0"/>
        <w:rPr>
          <w:i/>
          <w:sz w:val="10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9"/>
        <w:gridCol w:w="3511"/>
        <w:gridCol w:w="4106"/>
      </w:tblGrid>
      <w:tr w14:paraId="3E38BBCA" w14:textId="77777777" w:rsidTr="00C213AC">
        <w:tblPrEx>
          <w:tblW w:w="0" w:type="auto"/>
          <w:tblInd w:w="36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4"/>
        </w:trPr>
        <w:tc>
          <w:tcPr>
            <w:tcW w:w="1709" w:type="dxa"/>
          </w:tcPr>
          <w:p w:rsidR="00E33056" w:rsidP="00C213AC" w14:paraId="4EE43BFC" w14:textId="77777777">
            <w:pPr>
              <w:pStyle w:val="TableParagraph"/>
              <w:spacing w:before="222" w:line="270" w:lineRule="atLeast"/>
              <w:ind w:right="5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SMART SECTION</w:t>
            </w:r>
          </w:p>
        </w:tc>
        <w:tc>
          <w:tcPr>
            <w:tcW w:w="3511" w:type="dxa"/>
          </w:tcPr>
          <w:p w:rsidR="00E33056" w:rsidP="00C213AC" w14:paraId="24DE2231" w14:textId="77777777">
            <w:pPr>
              <w:pStyle w:val="TableParagraph"/>
              <w:spacing w:before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REQUIREMENT</w:t>
            </w:r>
          </w:p>
        </w:tc>
        <w:tc>
          <w:tcPr>
            <w:tcW w:w="4106" w:type="dxa"/>
          </w:tcPr>
          <w:p w:rsidR="00E33056" w:rsidP="00C213AC" w14:paraId="78D27E00" w14:textId="77777777">
            <w:pPr>
              <w:pStyle w:val="TableParagraph"/>
              <w:spacing w:before="241"/>
              <w:rPr>
                <w:b/>
                <w:sz w:val="24"/>
              </w:rPr>
            </w:pPr>
            <w:r>
              <w:rPr>
                <w:b/>
                <w:sz w:val="24"/>
              </w:rPr>
              <w:t>PROPOSED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CHANGE</w:t>
            </w:r>
          </w:p>
        </w:tc>
      </w:tr>
      <w:tr w14:paraId="792B049A" w14:textId="77777777" w:rsidTr="00C213AC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41"/>
        </w:trPr>
        <w:tc>
          <w:tcPr>
            <w:tcW w:w="1709" w:type="dxa"/>
          </w:tcPr>
          <w:p w:rsidR="00E33056" w:rsidP="00C213AC" w14:paraId="2188FC8A" w14:textId="77777777">
            <w:pPr>
              <w:pStyle w:val="TableParagraph"/>
              <w:spacing w:before="239"/>
              <w:rPr>
                <w:b/>
                <w:sz w:val="24"/>
              </w:rPr>
            </w:pPr>
            <w:r>
              <w:rPr>
                <w:b/>
                <w:sz w:val="24"/>
              </w:rPr>
              <w:t>Eligibility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Enrollment</w:t>
            </w:r>
          </w:p>
        </w:tc>
        <w:tc>
          <w:tcPr>
            <w:tcW w:w="3511" w:type="dxa"/>
          </w:tcPr>
          <w:p w:rsidR="00E33056" w:rsidP="00C213AC" w14:paraId="1F4D10E7" w14:textId="77777777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CMS requires SBEs to report on regulatory compliance annually. SBEs attest to eligibility and enrollment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operational requirements. This section focuses on eligibility verifications, inconsistencies, eligibility redeterminations, and reporting requirements.</w:t>
            </w:r>
          </w:p>
        </w:tc>
        <w:tc>
          <w:tcPr>
            <w:tcW w:w="4106" w:type="dxa"/>
          </w:tcPr>
          <w:p w:rsidR="00E33056" w:rsidP="00C213AC" w14:paraId="6A8E2E6E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711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“Verification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Identity” </w:t>
            </w:r>
            <w:r>
              <w:rPr>
                <w:spacing w:val="-2"/>
                <w:sz w:val="24"/>
              </w:rPr>
              <w:t>attestation.</w:t>
            </w:r>
          </w:p>
          <w:p w:rsidR="00E33056" w:rsidP="00C213AC" w14:paraId="6B981ADC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771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“Eligibility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Application” </w:t>
            </w:r>
            <w:r>
              <w:rPr>
                <w:spacing w:val="-2"/>
                <w:sz w:val="24"/>
              </w:rPr>
              <w:t>Attestation.</w:t>
            </w:r>
          </w:p>
          <w:p w:rsidR="00E33056" w:rsidP="00C213AC" w14:paraId="454B4F26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403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“Inconsistency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Verification” </w:t>
            </w:r>
            <w:r>
              <w:rPr>
                <w:spacing w:val="-2"/>
                <w:sz w:val="24"/>
              </w:rPr>
              <w:t>sub-attestation.</w:t>
            </w:r>
          </w:p>
          <w:p w:rsidR="00E33056" w:rsidP="00C213AC" w14:paraId="75284DED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401"/>
              <w:rPr>
                <w:sz w:val="24"/>
              </w:rPr>
            </w:pPr>
            <w:r>
              <w:rPr>
                <w:sz w:val="24"/>
              </w:rPr>
              <w:t>Add “Administration of APTC” sub-attestation and the corresponding requirement to submit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Exchange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APTC proration methodology.</w:t>
            </w:r>
          </w:p>
          <w:p w:rsidR="00E33056" w:rsidP="00C213AC" w14:paraId="2642773C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411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“Standards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Web-Brokers and Direct Enrollment (DE) Entities” attestation.</w:t>
            </w:r>
          </w:p>
          <w:p w:rsidR="00E33056" w:rsidP="00C213AC" w14:paraId="5EE4EF45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141"/>
              <w:rPr>
                <w:sz w:val="24"/>
              </w:rPr>
            </w:pPr>
            <w:r>
              <w:rPr>
                <w:sz w:val="24"/>
              </w:rPr>
              <w:t>Add “Incarceration” sub-attestation to collect any alternative data sources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Exchanges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this </w:t>
            </w:r>
            <w:r>
              <w:rPr>
                <w:spacing w:val="-2"/>
                <w:sz w:val="24"/>
              </w:rPr>
              <w:t>verification.</w:t>
            </w:r>
          </w:p>
          <w:p w:rsidR="00E33056" w:rsidP="00C213AC" w14:paraId="0FBC05EF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Revise the “Social Security Number,” “Citizenship,” “Lawful Presence,” “Household Income and Size,” “Employer Sponsored Coverage,” “Periodic Data Matching,”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“Special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Enrollment Period” attestations to collect additional information on SBE verification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align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with regulatory changes, as applicable.</w:t>
            </w:r>
          </w:p>
          <w:p w:rsidR="00E33056" w:rsidP="00C213AC" w14:paraId="3B3C4976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628"/>
              <w:rPr>
                <w:sz w:val="24"/>
              </w:rPr>
            </w:pPr>
            <w:r>
              <w:rPr>
                <w:sz w:val="24"/>
              </w:rPr>
              <w:t>Revise SBE Redeterminations Template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align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updated federal regulations.</w:t>
            </w:r>
          </w:p>
          <w:p w:rsidR="00E33056" w:rsidP="00C213AC" w14:paraId="12DB1115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310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fields,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applicable,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State Exchanges to provide additional information or clarification for attestations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“No”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“Partial”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 help federal reviewers understand potential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non-compliance.</w:t>
            </w:r>
          </w:p>
        </w:tc>
      </w:tr>
    </w:tbl>
    <w:p w:rsidR="00E33056" w:rsidP="00E33056" w14:paraId="025C8E12" w14:textId="77777777">
      <w:pPr>
        <w:pStyle w:val="TableParagraph"/>
        <w:rPr>
          <w:sz w:val="24"/>
        </w:rPr>
        <w:sectPr w:rsidSect="00E33056">
          <w:pgSz w:w="12240" w:h="15840"/>
          <w:pgMar w:top="1280" w:right="1080" w:bottom="1200" w:left="1080" w:header="727" w:footer="990" w:gutter="0"/>
          <w:cols w:space="720"/>
        </w:sectPr>
      </w:pPr>
    </w:p>
    <w:p w:rsidR="00E33056" w:rsidP="00E33056" w14:paraId="33C30169" w14:textId="77777777">
      <w:pPr>
        <w:pStyle w:val="BodyText"/>
        <w:spacing w:before="0"/>
        <w:ind w:left="0"/>
        <w:rPr>
          <w:i/>
          <w:sz w:val="7"/>
        </w:rPr>
      </w:pPr>
      <w:bookmarkStart w:id="7" w:name="_bookmark39"/>
      <w:bookmarkEnd w:id="7"/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9"/>
        <w:gridCol w:w="3511"/>
        <w:gridCol w:w="4106"/>
      </w:tblGrid>
      <w:tr w14:paraId="541738F7" w14:textId="77777777" w:rsidTr="00C213AC">
        <w:tblPrEx>
          <w:tblW w:w="0" w:type="auto"/>
          <w:tblInd w:w="36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1"/>
        </w:trPr>
        <w:tc>
          <w:tcPr>
            <w:tcW w:w="1709" w:type="dxa"/>
          </w:tcPr>
          <w:p w:rsidR="00E33056" w:rsidP="00C213AC" w14:paraId="5B19EDD1" w14:textId="77777777">
            <w:pPr>
              <w:pStyle w:val="TableParagraph"/>
              <w:spacing w:before="219" w:line="270" w:lineRule="atLeast"/>
              <w:ind w:right="5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SMART SECTION</w:t>
            </w:r>
          </w:p>
        </w:tc>
        <w:tc>
          <w:tcPr>
            <w:tcW w:w="3511" w:type="dxa"/>
          </w:tcPr>
          <w:p w:rsidR="00E33056" w:rsidP="00C213AC" w14:paraId="0CC53F26" w14:textId="77777777">
            <w:pPr>
              <w:pStyle w:val="TableParagraph"/>
              <w:spacing w:before="2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REQUIREMENT</w:t>
            </w:r>
          </w:p>
        </w:tc>
        <w:tc>
          <w:tcPr>
            <w:tcW w:w="4106" w:type="dxa"/>
          </w:tcPr>
          <w:p w:rsidR="00E33056" w:rsidP="00C213AC" w14:paraId="06144E94" w14:textId="77777777">
            <w:pPr>
              <w:pStyle w:val="TableParagraph"/>
              <w:spacing w:before="239"/>
              <w:rPr>
                <w:b/>
                <w:sz w:val="24"/>
              </w:rPr>
            </w:pPr>
            <w:r>
              <w:rPr>
                <w:b/>
                <w:sz w:val="24"/>
              </w:rPr>
              <w:t>PROPOSED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CHANGE</w:t>
            </w:r>
          </w:p>
        </w:tc>
      </w:tr>
      <w:tr w14:paraId="4E2777C4" w14:textId="77777777" w:rsidTr="00C213AC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521"/>
        </w:trPr>
        <w:tc>
          <w:tcPr>
            <w:tcW w:w="1709" w:type="dxa"/>
          </w:tcPr>
          <w:p w:rsidR="00E33056" w:rsidP="00C213AC" w14:paraId="19F13439" w14:textId="77777777">
            <w:pPr>
              <w:pStyle w:val="TableParagraph"/>
              <w:spacing w:before="2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Financial and </w:t>
            </w:r>
            <w:r>
              <w:rPr>
                <w:b/>
                <w:spacing w:val="-2"/>
                <w:sz w:val="24"/>
              </w:rPr>
              <w:t xml:space="preserve">Programmatic </w:t>
            </w:r>
            <w:r>
              <w:rPr>
                <w:b/>
                <w:spacing w:val="-4"/>
                <w:sz w:val="24"/>
              </w:rPr>
              <w:t>Audit</w:t>
            </w:r>
          </w:p>
        </w:tc>
        <w:tc>
          <w:tcPr>
            <w:tcW w:w="3511" w:type="dxa"/>
          </w:tcPr>
          <w:p w:rsidR="00E33056" w:rsidP="00C213AC" w14:paraId="556D360A" w14:textId="77777777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CMS developed audit requirements to ensure SBE and SBE-FP accountability in all financial and programmatic activities, including accurate accounting of all activities, receipts, and expenditures; and compliance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45 CFR § 155 Subparts: Subpart C (General Functions of an Exchange),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Subpart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(Exchange Functions in the Individual Market: Eligibility Determinations for Exchange Participation and Insurance Affordability Programs), Subpart E (Exchange Functions in the Individual Market: Enrollment in Qualified Health Plans) and Subpart K (Exchange Functions: Certification of Qualified Health </w:t>
            </w:r>
            <w:r>
              <w:rPr>
                <w:spacing w:val="-2"/>
                <w:sz w:val="24"/>
              </w:rPr>
              <w:t>Plans).</w:t>
            </w:r>
          </w:p>
        </w:tc>
        <w:tc>
          <w:tcPr>
            <w:tcW w:w="4106" w:type="dxa"/>
          </w:tcPr>
          <w:p w:rsidR="00E33056" w:rsidP="00C213AC" w14:paraId="59BEF479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right="14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Revise language in “Financial Independent External Audit” to clarify to how State Exchanges submit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external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audit, ACFR, and internal controls report.</w:t>
            </w:r>
          </w:p>
          <w:p w:rsidR="00E33056" w:rsidP="00C213AC" w14:paraId="0DB5B3CE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right="403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Update language from Comprehensive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Financial Report (CAFR) to Annual Comprehensive Financial Report </w:t>
            </w:r>
            <w:r>
              <w:rPr>
                <w:spacing w:val="-2"/>
                <w:sz w:val="24"/>
              </w:rPr>
              <w:t>(ACFR).</w:t>
            </w:r>
          </w:p>
          <w:p w:rsidR="00E33056" w:rsidP="00C213AC" w14:paraId="0EBFA441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right="302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Revise order of attestations to improve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flow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experience.</w:t>
            </w:r>
          </w:p>
          <w:p w:rsidR="00E33056" w:rsidP="00C213AC" w14:paraId="690D10DA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right="102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 xml:space="preserve">Add optional field for State Exchanges to provide additional information or clarification regarding their responses in this section of </w:t>
            </w:r>
            <w:r>
              <w:rPr>
                <w:sz w:val="24"/>
              </w:rPr>
              <w:t>the SMART</w:t>
            </w:r>
            <w:r>
              <w:rPr>
                <w:sz w:val="24"/>
              </w:rPr>
              <w:t>. (This was previously included in the Program Integrity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separate and included in this section for improved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flow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experience).</w:t>
            </w:r>
          </w:p>
          <w:p w:rsidR="00E33056" w:rsidP="00C213AC" w14:paraId="354C60B9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76" w:lineRule="exact"/>
              <w:ind w:right="310"/>
              <w:rPr>
                <w:rFonts w:ascii="Symbol" w:hAnsi="Symbol"/>
              </w:rPr>
            </w:pPr>
            <w:r>
              <w:rPr>
                <w:sz w:val="24"/>
              </w:rPr>
              <w:t>Add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fields,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applicable,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State Exchanges to provide additional information or clarification for attestations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“No”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“Partial”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 help federal reviewers understand potential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non-compliance.</w:t>
            </w:r>
          </w:p>
        </w:tc>
      </w:tr>
      <w:tr w14:paraId="3FB0BE38" w14:textId="77777777" w:rsidTr="00C213AC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81"/>
        </w:trPr>
        <w:tc>
          <w:tcPr>
            <w:tcW w:w="1709" w:type="dxa"/>
          </w:tcPr>
          <w:p w:rsidR="00E33056" w:rsidP="00C213AC" w14:paraId="5B2A7CE2" w14:textId="77777777">
            <w:pPr>
              <w:pStyle w:val="TableParagraph"/>
              <w:spacing w:before="236"/>
              <w:ind w:right="6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 Integrity</w:t>
            </w:r>
          </w:p>
        </w:tc>
        <w:tc>
          <w:tcPr>
            <w:tcW w:w="3511" w:type="dxa"/>
          </w:tcPr>
          <w:p w:rsidR="00E33056" w:rsidP="00C213AC" w14:paraId="0805CC69" w14:textId="77777777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CMS developed Program Integrity requirements to ensure proper oversight of the SBEs, including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procedures related to oversight and monitoring,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consumer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assistance, and identifying and addressing </w:t>
            </w:r>
            <w:r>
              <w:rPr>
                <w:sz w:val="24"/>
              </w:rPr>
              <w:t>incidences</w:t>
            </w:r>
            <w:r>
              <w:rPr>
                <w:sz w:val="24"/>
              </w:rPr>
              <w:t xml:space="preserve"> of fraud, waste, and</w:t>
            </w:r>
          </w:p>
          <w:p w:rsidR="00E33056" w:rsidP="00C213AC" w14:paraId="617F979B" w14:textId="7777777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abuse.</w:t>
            </w:r>
          </w:p>
        </w:tc>
        <w:tc>
          <w:tcPr>
            <w:tcW w:w="4106" w:type="dxa"/>
          </w:tcPr>
          <w:p w:rsidR="00E33056" w:rsidP="00C213AC" w14:paraId="76E80FBD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right="313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fields,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applicable,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State Exchanges to provide additional information or clarification for attestations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“No”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“Partial”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 help federal reviewers understand areas of non-compliance.</w:t>
            </w:r>
          </w:p>
        </w:tc>
      </w:tr>
    </w:tbl>
    <w:p w:rsidR="00E33056" w14:paraId="0C982D0E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0306C9"/>
    <w:multiLevelType w:val="hybridMultilevel"/>
    <w:tmpl w:val="07E4F6DE"/>
    <w:lvl w:ilvl="0">
      <w:start w:val="0"/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1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7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0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</w:abstractNum>
  <w:abstractNum w:abstractNumId="1">
    <w:nsid w:val="31E7387F"/>
    <w:multiLevelType w:val="hybridMultilevel"/>
    <w:tmpl w:val="5DFE2EA2"/>
    <w:lvl w:ilvl="0">
      <w:start w:val="0"/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1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7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0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</w:abstractNum>
  <w:abstractNum w:abstractNumId="2">
    <w:nsid w:val="410E70EF"/>
    <w:multiLevelType w:val="multilevel"/>
    <w:tmpl w:val="C0B44070"/>
    <w:lvl w:ilvl="0">
      <w:start w:val="1"/>
      <w:numFmt w:val="decimal"/>
      <w:lvlText w:val="%1"/>
      <w:lvlJc w:val="left"/>
      <w:pPr>
        <w:ind w:left="60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20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00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80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u w:val="single" w:color="000000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65" w:hanging="8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1" w:hanging="8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37" w:hanging="8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22" w:hanging="8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840"/>
      </w:pPr>
      <w:rPr>
        <w:rFonts w:hint="default"/>
        <w:lang w:val="en-US" w:eastAsia="en-US" w:bidi="ar-SA"/>
      </w:rPr>
    </w:lvl>
  </w:abstractNum>
  <w:abstractNum w:abstractNumId="3">
    <w:nsid w:val="68FE2D04"/>
    <w:multiLevelType w:val="hybridMultilevel"/>
    <w:tmpl w:val="3D626DCE"/>
    <w:lvl w:ilvl="0">
      <w:start w:val="0"/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1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7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0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</w:abstractNum>
  <w:num w:numId="1" w16cid:durableId="1310204207">
    <w:abstractNumId w:val="1"/>
  </w:num>
  <w:num w:numId="2" w16cid:durableId="1080256900">
    <w:abstractNumId w:val="3"/>
  </w:num>
  <w:num w:numId="3" w16cid:durableId="1643736092">
    <w:abstractNumId w:val="0"/>
  </w:num>
  <w:num w:numId="4" w16cid:durableId="208614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056"/>
    <w:rsid w:val="00367EEB"/>
    <w:rsid w:val="008C6F51"/>
    <w:rsid w:val="00C213AC"/>
    <w:rsid w:val="00D90E64"/>
    <w:rsid w:val="00E3305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AF3FA7"/>
  <w15:chartTrackingRefBased/>
  <w15:docId w15:val="{CEE8EA11-B811-41E3-9556-22417BAF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30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3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0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0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0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0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0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0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0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0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0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0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0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0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0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0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0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05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33056"/>
    <w:pPr>
      <w:spacing w:before="240"/>
      <w:ind w:left="24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33056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33056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FF8CA2171008418D5DC9FAAC6F2868" ma:contentTypeVersion="10" ma:contentTypeDescription="Create a new document." ma:contentTypeScope="" ma:versionID="a0a6abf6b329ad7807dc85a29c0a19a8">
  <xsd:schema xmlns:xsd="http://www.w3.org/2001/XMLSchema" xmlns:xs="http://www.w3.org/2001/XMLSchema" xmlns:p="http://schemas.microsoft.com/office/2006/metadata/properties" xmlns:ns3="4f642f71-7172-41ed-9c49-d98208a33dac" targetNamespace="http://schemas.microsoft.com/office/2006/metadata/properties" ma:root="true" ma:fieldsID="a11e4aa2e49063f2da60225459e714bf" ns3:_="">
    <xsd:import namespace="4f642f71-7172-41ed-9c49-d98208a33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42f71-7172-41ed-9c49-d98208a33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642f71-7172-41ed-9c49-d98208a33dac" xsi:nil="true"/>
  </documentManagement>
</p:properties>
</file>

<file path=customXml/itemProps1.xml><?xml version="1.0" encoding="utf-8"?>
<ds:datastoreItem xmlns:ds="http://schemas.openxmlformats.org/officeDocument/2006/customXml" ds:itemID="{A88B3D1A-6657-44C2-9F51-2CE869A04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42f71-7172-41ed-9c49-d98208a33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B4F144-4F39-4E7E-BA2B-41D3E924D2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E35F4F-ECD1-4126-879F-849A15082E6C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4f642f71-7172-41ed-9c49-d98208a33dac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681</Words>
  <Characters>4456</Characters>
  <Application>Microsoft Office Word</Application>
  <DocSecurity>0</DocSecurity>
  <Lines>153</Lines>
  <Paragraphs>40</Paragraphs>
  <ScaleCrop>false</ScaleCrop>
  <Company>Center For Medicaid Services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Hill, Jamaa (CMS/OSORA)</dc:creator>
  <cp:lastModifiedBy>Hill, Jamaa (CMS/OSORA)</cp:lastModifiedBy>
  <cp:revision>2</cp:revision>
  <dcterms:created xsi:type="dcterms:W3CDTF">2026-04-30T16:36:00Z</dcterms:created>
  <dcterms:modified xsi:type="dcterms:W3CDTF">2026-04-30T16:36:00Z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0x01010031FF8CA2171008418D5DC9FAAC6F2868</vt:lpwstr>
  </property>
</Properties>
</file>