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1D8B" w14:paraId="33F1C501" w14:textId="77777777">
      <w:pPr>
        <w:spacing w:before="79"/>
        <w:ind w:left="111" w:right="272"/>
        <w:jc w:val="center"/>
        <w:rPr>
          <w:b/>
          <w:sz w:val="24"/>
        </w:rPr>
      </w:pPr>
      <w:r>
        <w:rPr>
          <w:b/>
          <w:sz w:val="24"/>
          <w:u w:val="single"/>
        </w:rPr>
        <w:t>Supporting</w:t>
      </w:r>
      <w:r>
        <w:rPr>
          <w:b/>
          <w:spacing w:val="-5"/>
          <w:sz w:val="24"/>
          <w:u w:val="single"/>
        </w:rPr>
        <w:t xml:space="preserve"> </w:t>
      </w:r>
      <w:r>
        <w:rPr>
          <w:b/>
          <w:sz w:val="24"/>
          <w:u w:val="single"/>
        </w:rPr>
        <w:t>Statement</w:t>
      </w:r>
      <w:r>
        <w:rPr>
          <w:b/>
          <w:spacing w:val="-4"/>
          <w:sz w:val="24"/>
          <w:u w:val="single"/>
        </w:rPr>
        <w:t xml:space="preserve"> </w:t>
      </w:r>
      <w:r>
        <w:rPr>
          <w:b/>
          <w:sz w:val="24"/>
          <w:u w:val="single"/>
        </w:rPr>
        <w:t>-</w:t>
      </w:r>
      <w:r>
        <w:rPr>
          <w:b/>
          <w:spacing w:val="-2"/>
          <w:sz w:val="24"/>
          <w:u w:val="single"/>
        </w:rPr>
        <w:t xml:space="preserve"> </w:t>
      </w:r>
      <w:r>
        <w:rPr>
          <w:b/>
          <w:sz w:val="24"/>
          <w:u w:val="single"/>
        </w:rPr>
        <w:t>Part</w:t>
      </w:r>
      <w:r>
        <w:rPr>
          <w:b/>
          <w:spacing w:val="-4"/>
          <w:sz w:val="24"/>
          <w:u w:val="single"/>
        </w:rPr>
        <w:t xml:space="preserve"> </w:t>
      </w:r>
      <w:r>
        <w:rPr>
          <w:b/>
          <w:spacing w:val="-10"/>
          <w:sz w:val="24"/>
          <w:u w:val="single"/>
        </w:rPr>
        <w:t>B</w:t>
      </w:r>
    </w:p>
    <w:p w:rsidR="00131D8B" w14:paraId="5D1F84EA" w14:textId="77777777">
      <w:pPr>
        <w:pStyle w:val="BodyText"/>
        <w:spacing w:before="2"/>
        <w:rPr>
          <w:b/>
          <w:sz w:val="16"/>
        </w:rPr>
      </w:pPr>
    </w:p>
    <w:p w:rsidR="00131D8B" w14:paraId="1D3ADEC6" w14:textId="77777777">
      <w:pPr>
        <w:pStyle w:val="Heading1"/>
        <w:spacing w:before="90"/>
      </w:pPr>
      <w:r>
        <w:t>External Quality Review (EQR) of Medicaid and Children Health Insurance Program (CHIP)</w:t>
      </w:r>
      <w:r>
        <w:rPr>
          <w:spacing w:val="-5"/>
        </w:rPr>
        <w:t xml:space="preserve"> </w:t>
      </w:r>
      <w:r>
        <w:t>Managed</w:t>
      </w:r>
      <w:r>
        <w:rPr>
          <w:spacing w:val="-4"/>
        </w:rPr>
        <w:t xml:space="preserve"> </w:t>
      </w:r>
      <w:r>
        <w:t>Care,</w:t>
      </w:r>
      <w:r>
        <w:rPr>
          <w:spacing w:val="-2"/>
        </w:rPr>
        <w:t xml:space="preserve"> </w:t>
      </w:r>
      <w:r>
        <w:t>EQR</w:t>
      </w:r>
      <w:r>
        <w:rPr>
          <w:spacing w:val="-5"/>
        </w:rPr>
        <w:t xml:space="preserve"> </w:t>
      </w:r>
      <w:r>
        <w:t>Protocols,</w:t>
      </w:r>
      <w:r>
        <w:rPr>
          <w:spacing w:val="-4"/>
        </w:rPr>
        <w:t xml:space="preserve"> </w:t>
      </w:r>
      <w:r>
        <w:t>and</w:t>
      </w:r>
      <w:r>
        <w:rPr>
          <w:spacing w:val="-4"/>
        </w:rPr>
        <w:t xml:space="preserve"> </w:t>
      </w:r>
      <w:r>
        <w:t>Supporting</w:t>
      </w:r>
      <w:r>
        <w:rPr>
          <w:spacing w:val="-5"/>
        </w:rPr>
        <w:t xml:space="preserve"> </w:t>
      </w:r>
      <w:r>
        <w:t>Regulations</w:t>
      </w:r>
      <w:r>
        <w:rPr>
          <w:spacing w:val="-4"/>
        </w:rPr>
        <w:t xml:space="preserve"> </w:t>
      </w:r>
      <w:r>
        <w:t>in</w:t>
      </w:r>
      <w:r>
        <w:rPr>
          <w:spacing w:val="-6"/>
        </w:rPr>
        <w:t xml:space="preserve"> </w:t>
      </w:r>
      <w:r>
        <w:t>42</w:t>
      </w:r>
      <w:r>
        <w:rPr>
          <w:spacing w:val="-4"/>
        </w:rPr>
        <w:t xml:space="preserve"> </w:t>
      </w:r>
      <w:r>
        <w:t>CFR</w:t>
      </w:r>
      <w:r>
        <w:rPr>
          <w:spacing w:val="-5"/>
        </w:rPr>
        <w:t xml:space="preserve"> </w:t>
      </w:r>
      <w:r>
        <w:t>438.350, 438.352, 438.354, 438.356, 438.358, 438.360, 438.362, 438.364, and 438.370</w:t>
      </w:r>
    </w:p>
    <w:p w:rsidR="00131D8B" w14:paraId="76811CA1" w14:textId="77777777">
      <w:pPr>
        <w:ind w:left="114" w:right="271"/>
        <w:jc w:val="center"/>
        <w:rPr>
          <w:b/>
          <w:sz w:val="24"/>
        </w:rPr>
      </w:pPr>
      <w:r>
        <w:rPr>
          <w:b/>
          <w:sz w:val="24"/>
        </w:rPr>
        <w:t>CMS-R-305,</w:t>
      </w:r>
      <w:r>
        <w:rPr>
          <w:b/>
          <w:spacing w:val="-3"/>
          <w:sz w:val="24"/>
        </w:rPr>
        <w:t xml:space="preserve"> </w:t>
      </w:r>
      <w:r>
        <w:rPr>
          <w:b/>
          <w:sz w:val="24"/>
        </w:rPr>
        <w:t>OMB</w:t>
      </w:r>
      <w:r>
        <w:rPr>
          <w:b/>
          <w:spacing w:val="-2"/>
          <w:sz w:val="24"/>
        </w:rPr>
        <w:t xml:space="preserve"> </w:t>
      </w:r>
      <w:r>
        <w:rPr>
          <w:b/>
          <w:sz w:val="24"/>
        </w:rPr>
        <w:t>0938-</w:t>
      </w:r>
      <w:r>
        <w:rPr>
          <w:b/>
          <w:spacing w:val="-4"/>
          <w:sz w:val="24"/>
        </w:rPr>
        <w:t>0786</w:t>
      </w:r>
    </w:p>
    <w:p w:rsidR="00131D8B" w14:paraId="5234505C" w14:textId="77777777">
      <w:pPr>
        <w:pStyle w:val="BodyText"/>
        <w:rPr>
          <w:b/>
        </w:rPr>
      </w:pPr>
    </w:p>
    <w:p w:rsidR="001371C5" w:rsidP="001371C5" w14:paraId="67936179" w14:textId="080C6BE8">
      <w:pPr>
        <w:pStyle w:val="BodyText"/>
        <w:ind w:left="391" w:right="124"/>
      </w:pPr>
      <w:r>
        <w:rPr>
          <w:b/>
        </w:rPr>
        <w:t xml:space="preserve">Collection of Information Employing Statistical Methods </w:t>
      </w:r>
      <w:r>
        <w:t>- The eight currently</w:t>
      </w:r>
      <w:r>
        <w:rPr>
          <w:spacing w:val="-1"/>
        </w:rPr>
        <w:t xml:space="preserve"> </w:t>
      </w:r>
      <w:r>
        <w:t>approved protocols were drafted in 2010 by Provider Resources, Inc. and the National Commission</w:t>
      </w:r>
      <w:r>
        <w:rPr>
          <w:spacing w:val="40"/>
        </w:rPr>
        <w:t xml:space="preserve"> </w:t>
      </w:r>
      <w:r>
        <w:t>for Quality Assurance with the intention of providing updated guidance to states, their contractors that are not managed care organizations (MCOs), prepaid inpatient health plans (PIHPs),</w:t>
      </w:r>
      <w:r>
        <w:rPr>
          <w:spacing w:val="-4"/>
        </w:rPr>
        <w:t xml:space="preserve"> </w:t>
      </w:r>
      <w:r>
        <w:t>prepaid</w:t>
      </w:r>
      <w:r>
        <w:rPr>
          <w:spacing w:val="-1"/>
        </w:rPr>
        <w:t xml:space="preserve"> </w:t>
      </w:r>
      <w:r>
        <w:t>ambulatory</w:t>
      </w:r>
      <w:r>
        <w:rPr>
          <w:spacing w:val="-8"/>
        </w:rPr>
        <w:t xml:space="preserve"> </w:t>
      </w:r>
      <w:r>
        <w:t>health</w:t>
      </w:r>
      <w:r>
        <w:rPr>
          <w:spacing w:val="-3"/>
        </w:rPr>
        <w:t xml:space="preserve"> </w:t>
      </w:r>
      <w:r>
        <w:t>plans</w:t>
      </w:r>
      <w:r>
        <w:rPr>
          <w:spacing w:val="-3"/>
        </w:rPr>
        <w:t xml:space="preserve"> </w:t>
      </w:r>
      <w:r>
        <w:t>(PAHPs),</w:t>
      </w:r>
      <w:r>
        <w:rPr>
          <w:spacing w:val="-3"/>
        </w:rPr>
        <w:t xml:space="preserve"> </w:t>
      </w:r>
      <w:r>
        <w:t>primary</w:t>
      </w:r>
      <w:r>
        <w:rPr>
          <w:spacing w:val="-8"/>
        </w:rPr>
        <w:t xml:space="preserve"> </w:t>
      </w:r>
      <w:r>
        <w:t>care</w:t>
      </w:r>
      <w:r>
        <w:rPr>
          <w:spacing w:val="-2"/>
        </w:rPr>
        <w:t xml:space="preserve"> </w:t>
      </w:r>
      <w:r>
        <w:t>case</w:t>
      </w:r>
      <w:r>
        <w:rPr>
          <w:spacing w:val="-4"/>
        </w:rPr>
        <w:t xml:space="preserve"> </w:t>
      </w:r>
      <w:r>
        <w:t>management</w:t>
      </w:r>
      <w:r>
        <w:rPr>
          <w:spacing w:val="-3"/>
        </w:rPr>
        <w:t xml:space="preserve"> </w:t>
      </w:r>
      <w:r>
        <w:t>(PCCM) entities (described in §438.310(c)(2)), or external quality review organizations (EQROs) hired</w:t>
      </w:r>
      <w:r>
        <w:rPr>
          <w:spacing w:val="-1"/>
        </w:rPr>
        <w:t xml:space="preserve"> </w:t>
      </w:r>
      <w:r>
        <w:t>by</w:t>
      </w:r>
      <w:r>
        <w:rPr>
          <w:spacing w:val="-6"/>
        </w:rPr>
        <w:t xml:space="preserve"> </w:t>
      </w:r>
      <w:r>
        <w:t>states</w:t>
      </w:r>
      <w:r>
        <w:rPr>
          <w:spacing w:val="-1"/>
        </w:rPr>
        <w:t xml:space="preserve"> </w:t>
      </w:r>
      <w:r>
        <w:t>on</w:t>
      </w:r>
      <w:r>
        <w:rPr>
          <w:spacing w:val="-1"/>
        </w:rPr>
        <w:t xml:space="preserve"> </w:t>
      </w:r>
      <w:r>
        <w:t>how</w:t>
      </w:r>
      <w:r>
        <w:rPr>
          <w:spacing w:val="-2"/>
        </w:rPr>
        <w:t xml:space="preserve"> </w:t>
      </w:r>
      <w:r>
        <w:t>to properly</w:t>
      </w:r>
      <w:r>
        <w:rPr>
          <w:spacing w:val="-6"/>
        </w:rPr>
        <w:t xml:space="preserve"> </w:t>
      </w:r>
      <w:r>
        <w:t>conduct</w:t>
      </w:r>
      <w:r>
        <w:rPr>
          <w:spacing w:val="-1"/>
        </w:rPr>
        <w:t xml:space="preserve"> </w:t>
      </w:r>
      <w:r>
        <w:t>three mandatory</w:t>
      </w:r>
      <w:r>
        <w:rPr>
          <w:spacing w:val="-6"/>
        </w:rPr>
        <w:t xml:space="preserve"> </w:t>
      </w:r>
      <w:r>
        <w:t>and</w:t>
      </w:r>
      <w:r>
        <w:rPr>
          <w:spacing w:val="-1"/>
        </w:rPr>
        <w:t xml:space="preserve"> </w:t>
      </w:r>
      <w:r>
        <w:t>five</w:t>
      </w:r>
      <w:r>
        <w:rPr>
          <w:spacing w:val="-2"/>
        </w:rPr>
        <w:t xml:space="preserve"> </w:t>
      </w:r>
      <w:r>
        <w:t>optional</w:t>
      </w:r>
      <w:r>
        <w:rPr>
          <w:spacing w:val="-1"/>
        </w:rPr>
        <w:t xml:space="preserve"> </w:t>
      </w:r>
      <w:r>
        <w:t>EQR</w:t>
      </w:r>
      <w:r>
        <w:rPr>
          <w:spacing w:val="-1"/>
        </w:rPr>
        <w:t xml:space="preserve"> </w:t>
      </w:r>
      <w:r>
        <w:t>activities listed in 42 CFR 438.358.</w:t>
      </w:r>
      <w:r>
        <w:rPr>
          <w:spacing w:val="40"/>
        </w:rPr>
        <w:t xml:space="preserve"> </w:t>
      </w:r>
      <w:r>
        <w:t>The regulations required the initial drafting and promulgation of these protocols in 2003; the 2012 revision incorporated changes in law and quality</w:t>
      </w:r>
      <w:r>
        <w:rPr>
          <w:spacing w:val="-3"/>
        </w:rPr>
        <w:t xml:space="preserve"> </w:t>
      </w:r>
      <w:r>
        <w:t>practices since the original version was published.</w:t>
      </w:r>
      <w:r>
        <w:rPr>
          <w:spacing w:val="40"/>
        </w:rPr>
        <w:t xml:space="preserve"> </w:t>
      </w:r>
      <w:r>
        <w:t>CMS updated the information collection (but not the included protocols) to align with the EQR provisions of the final rule; this update was approved by OMB on June 16, 2017 with an expiration date of June 20, 2020 (ICR Reference Number 201611-0938-016). CMS updated the eight protocols in 2019 to align with the 2016 final rule; this update was approved by OMB on October 31, 2019 with an expiration date of October 31, 2022 (OMB Control Number 0938-0786).</w:t>
      </w:r>
      <w:r w:rsidR="0026541A">
        <w:t xml:space="preserve"> </w:t>
      </w:r>
      <w:r>
        <w:t xml:space="preserve"> CMS updated the protocols in 2022 to align with the 2020 final rule (RIN 0938-AS25, CMS-2390-F); t</w:t>
      </w:r>
      <w:r w:rsidR="0089176E">
        <w:t>his update was approved by OMB on December 21, 2022 with an expiration date of December 31, 2025 (</w:t>
      </w:r>
      <w:r w:rsidR="004E5B63">
        <w:t xml:space="preserve">OMB Control Number 0938-0786). </w:t>
      </w:r>
    </w:p>
    <w:p w:rsidR="001371C5" w14:paraId="11E5E5EA" w14:textId="77777777">
      <w:pPr>
        <w:pStyle w:val="BodyText"/>
        <w:ind w:left="391" w:right="124"/>
      </w:pPr>
    </w:p>
    <w:p w:rsidR="00131D8B" w14:paraId="709B5CFD" w14:textId="62C28C65">
      <w:pPr>
        <w:pStyle w:val="BodyText"/>
        <w:ind w:left="391" w:right="124"/>
      </w:pPr>
      <w:r>
        <w:t xml:space="preserve">The information collection request </w:t>
      </w:r>
      <w:r w:rsidR="0026541A">
        <w:t xml:space="preserve">(but not the included protocols) </w:t>
      </w:r>
      <w:r>
        <w:t xml:space="preserve">was last revised in 2024 </w:t>
      </w:r>
      <w:r w:rsidR="0026541A">
        <w:t xml:space="preserve">to align with EQR provisions in </w:t>
      </w:r>
      <w:r>
        <w:t>the 2024 final rule</w:t>
      </w:r>
      <w:r w:rsidR="0026541A">
        <w:t xml:space="preserve">; </w:t>
      </w:r>
      <w:r>
        <w:t xml:space="preserve">OMB approved </w:t>
      </w:r>
      <w:r w:rsidR="0026541A">
        <w:t>this update on October 23, 2024 with an expiration date of October 31, 2027 (ICR Reference Number 202404-0938-013).</w:t>
      </w:r>
    </w:p>
    <w:p w:rsidR="001264F9" w14:paraId="134B5B49" w14:textId="77777777">
      <w:pPr>
        <w:pStyle w:val="BodyText"/>
        <w:ind w:left="391" w:right="124"/>
      </w:pPr>
    </w:p>
    <w:p w:rsidR="001264F9" w14:paraId="4CF9BF48" w14:textId="568D29A7">
      <w:pPr>
        <w:pStyle w:val="BodyText"/>
        <w:ind w:left="391" w:right="124"/>
      </w:pPr>
      <w:r>
        <w:t xml:space="preserve">The current information collection request </w:t>
      </w:r>
      <w:r w:rsidR="001371C5">
        <w:t>revises</w:t>
      </w:r>
      <w:r>
        <w:t xml:space="preserve"> the current protocols</w:t>
      </w:r>
      <w:r w:rsidR="004E5B63">
        <w:t xml:space="preserve">, and includes: (1) aligning the existing protocols, appendices, and worksheets with the 2024 final rule; and </w:t>
      </w:r>
      <w:r w:rsidR="00105359">
        <w:t xml:space="preserve">(2) </w:t>
      </w:r>
      <w:r w:rsidR="004E5B63">
        <w:t>add</w:t>
      </w:r>
      <w:r w:rsidR="00105359">
        <w:t>ing</w:t>
      </w:r>
      <w:r w:rsidR="004E5B63">
        <w:t xml:space="preserve"> two new protocols:</w:t>
      </w:r>
      <w:r w:rsidR="00105359">
        <w:t xml:space="preserve"> Assist with the Quality Ratings for Medicaid and CHIP Quality Rating System and </w:t>
      </w:r>
      <w:bookmarkStart w:id="0" w:name="_Hlk207370911"/>
      <w:r w:rsidR="00105359">
        <w:t xml:space="preserve">Assisting with Evaluation of Managed Care Quality Strategies, State Directed Payments, and In Lieu of Services and Settings </w:t>
      </w:r>
      <w:bookmarkEnd w:id="0"/>
      <w:r w:rsidR="00105359">
        <w:t>(RIN 0938 – AU99, CMS-2439-F).</w:t>
      </w:r>
      <w:r w:rsidR="004E5B63">
        <w:t xml:space="preserve"> </w:t>
      </w:r>
    </w:p>
    <w:p w:rsidR="00131D8B" w14:paraId="242C1D1A" w14:textId="77777777">
      <w:pPr>
        <w:pStyle w:val="BodyText"/>
      </w:pPr>
    </w:p>
    <w:p w:rsidR="00131D8B" w14:paraId="4B653028" w14:textId="0083D58C">
      <w:pPr>
        <w:pStyle w:val="ListParagraph"/>
        <w:numPr>
          <w:ilvl w:val="0"/>
          <w:numId w:val="1"/>
        </w:numPr>
        <w:tabs>
          <w:tab w:val="left" w:pos="660"/>
        </w:tabs>
        <w:rPr>
          <w:sz w:val="24"/>
        </w:rPr>
      </w:pPr>
      <w:r>
        <w:rPr>
          <w:sz w:val="24"/>
        </w:rPr>
        <w:t>States and/or their contractors are not required to follow these protocols exactly, but are required to use “methods consistent with the Protocols.”</w:t>
      </w:r>
      <w:r>
        <w:rPr>
          <w:spacing w:val="40"/>
          <w:sz w:val="24"/>
        </w:rPr>
        <w:t xml:space="preserve"> </w:t>
      </w:r>
      <w:r>
        <w:rPr>
          <w:sz w:val="24"/>
        </w:rPr>
        <w:t>Taken together, the protocols could</w:t>
      </w:r>
      <w:r>
        <w:rPr>
          <w:spacing w:val="-3"/>
          <w:sz w:val="24"/>
        </w:rPr>
        <w:t xml:space="preserve"> </w:t>
      </w:r>
      <w:r>
        <w:rPr>
          <w:sz w:val="24"/>
        </w:rPr>
        <w:t>be</w:t>
      </w:r>
      <w:r>
        <w:rPr>
          <w:spacing w:val="-4"/>
          <w:sz w:val="24"/>
        </w:rPr>
        <w:t xml:space="preserve"> </w:t>
      </w:r>
      <w:r>
        <w:rPr>
          <w:sz w:val="24"/>
        </w:rPr>
        <w:t>considered</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a</w:t>
      </w:r>
      <w:r>
        <w:rPr>
          <w:spacing w:val="-4"/>
          <w:sz w:val="24"/>
        </w:rPr>
        <w:t xml:space="preserve"> </w:t>
      </w:r>
      <w:r>
        <w:rPr>
          <w:sz w:val="24"/>
        </w:rPr>
        <w:t>textbook</w:t>
      </w:r>
      <w:r>
        <w:rPr>
          <w:spacing w:val="-3"/>
          <w:sz w:val="24"/>
        </w:rPr>
        <w:t xml:space="preserve"> </w:t>
      </w:r>
      <w:r>
        <w:rPr>
          <w:sz w:val="24"/>
        </w:rPr>
        <w:t>on</w:t>
      </w:r>
      <w:r>
        <w:rPr>
          <w:spacing w:val="-3"/>
          <w:sz w:val="24"/>
        </w:rPr>
        <w:t xml:space="preserve"> </w:t>
      </w:r>
      <w:r>
        <w:rPr>
          <w:sz w:val="24"/>
        </w:rPr>
        <w:t>statistical</w:t>
      </w:r>
      <w:r>
        <w:rPr>
          <w:spacing w:val="-5"/>
          <w:sz w:val="24"/>
        </w:rPr>
        <w:t xml:space="preserve"> </w:t>
      </w:r>
      <w:r>
        <w:rPr>
          <w:sz w:val="24"/>
        </w:rPr>
        <w:t>methods</w:t>
      </w:r>
      <w:r>
        <w:rPr>
          <w:spacing w:val="-3"/>
          <w:sz w:val="24"/>
        </w:rPr>
        <w:t xml:space="preserve"> </w:t>
      </w:r>
      <w:r>
        <w:rPr>
          <w:sz w:val="24"/>
        </w:rPr>
        <w:t>in</w:t>
      </w:r>
      <w:r>
        <w:rPr>
          <w:spacing w:val="-3"/>
          <w:sz w:val="24"/>
        </w:rPr>
        <w:t xml:space="preserve"> </w:t>
      </w:r>
      <w:r>
        <w:rPr>
          <w:sz w:val="24"/>
        </w:rPr>
        <w:t>health</w:t>
      </w:r>
      <w:r>
        <w:rPr>
          <w:spacing w:val="-3"/>
          <w:sz w:val="24"/>
        </w:rPr>
        <w:t xml:space="preserve"> </w:t>
      </w:r>
      <w:r>
        <w:rPr>
          <w:sz w:val="24"/>
        </w:rPr>
        <w:t>care</w:t>
      </w:r>
      <w:r>
        <w:rPr>
          <w:spacing w:val="-4"/>
          <w:sz w:val="24"/>
        </w:rPr>
        <w:t xml:space="preserve"> </w:t>
      </w:r>
      <w:r>
        <w:rPr>
          <w:sz w:val="24"/>
        </w:rPr>
        <w:t>quality</w:t>
      </w:r>
      <w:r>
        <w:rPr>
          <w:spacing w:val="-7"/>
          <w:sz w:val="24"/>
        </w:rPr>
        <w:t xml:space="preserve"> </w:t>
      </w:r>
      <w:r>
        <w:rPr>
          <w:sz w:val="24"/>
        </w:rPr>
        <w:t>control. Often, several statistically valid methods are offered to states and/or their contractors conducting a specific EQR task.</w:t>
      </w:r>
      <w:r>
        <w:rPr>
          <w:spacing w:val="40"/>
          <w:sz w:val="24"/>
        </w:rPr>
        <w:t xml:space="preserve"> </w:t>
      </w:r>
      <w:r>
        <w:rPr>
          <w:sz w:val="24"/>
        </w:rPr>
        <w:t>The protocols offer general statistical guidelines for states and/or their contractors to apply and do not dictate specifics.</w:t>
      </w:r>
      <w:r>
        <w:rPr>
          <w:spacing w:val="40"/>
          <w:sz w:val="24"/>
        </w:rPr>
        <w:t xml:space="preserve"> </w:t>
      </w:r>
      <w:r>
        <w:rPr>
          <w:sz w:val="24"/>
        </w:rPr>
        <w:t>The states and territories that utilize MCOs, PIHPs, PAHPs, are therefore required to submit Medicaid EQR technical reports.</w:t>
      </w:r>
    </w:p>
    <w:p w:rsidR="00131D8B" w14:paraId="03F553D7" w14:textId="77777777">
      <w:pPr>
        <w:pStyle w:val="BodyText"/>
        <w:spacing w:before="1"/>
      </w:pPr>
    </w:p>
    <w:p w:rsidR="00131D8B" w14:paraId="759E0265" w14:textId="01206103">
      <w:pPr>
        <w:pStyle w:val="ListParagraph"/>
        <w:numPr>
          <w:ilvl w:val="0"/>
          <w:numId w:val="1"/>
        </w:numPr>
        <w:tabs>
          <w:tab w:val="left" w:pos="660"/>
        </w:tabs>
        <w:ind w:right="382" w:hanging="361"/>
        <w:rPr>
          <w:sz w:val="23"/>
        </w:rPr>
      </w:pPr>
      <w:r>
        <w:rPr>
          <w:b/>
          <w:sz w:val="24"/>
        </w:rPr>
        <w:t>Procedures</w:t>
      </w:r>
      <w:r>
        <w:rPr>
          <w:b/>
          <w:spacing w:val="-3"/>
          <w:sz w:val="24"/>
        </w:rPr>
        <w:t xml:space="preserve"> </w:t>
      </w:r>
      <w:r>
        <w:rPr>
          <w:b/>
          <w:sz w:val="24"/>
        </w:rPr>
        <w:t>for</w:t>
      </w:r>
      <w:r>
        <w:rPr>
          <w:b/>
          <w:spacing w:val="-4"/>
          <w:sz w:val="24"/>
        </w:rPr>
        <w:t xml:space="preserve"> </w:t>
      </w:r>
      <w:r>
        <w:rPr>
          <w:b/>
          <w:sz w:val="24"/>
        </w:rPr>
        <w:t>collection</w:t>
      </w:r>
      <w:r>
        <w:rPr>
          <w:b/>
          <w:spacing w:val="-3"/>
          <w:sz w:val="24"/>
        </w:rPr>
        <w:t xml:space="preserve"> </w:t>
      </w:r>
      <w:r>
        <w:rPr>
          <w:sz w:val="24"/>
        </w:rPr>
        <w:t>-</w:t>
      </w:r>
      <w:r>
        <w:rPr>
          <w:spacing w:val="-4"/>
          <w:sz w:val="24"/>
        </w:rPr>
        <w:t xml:space="preserve"> </w:t>
      </w:r>
      <w:r>
        <w:rPr>
          <w:sz w:val="24"/>
        </w:rPr>
        <w:t>See</w:t>
      </w:r>
      <w:r>
        <w:rPr>
          <w:spacing w:val="-4"/>
          <w:sz w:val="24"/>
        </w:rPr>
        <w:t xml:space="preserve"> </w:t>
      </w:r>
      <w:r>
        <w:rPr>
          <w:sz w:val="24"/>
        </w:rPr>
        <w:t>answer</w:t>
      </w:r>
      <w:r>
        <w:rPr>
          <w:spacing w:val="-4"/>
          <w:sz w:val="24"/>
        </w:rPr>
        <w:t xml:space="preserve"> </w:t>
      </w:r>
      <w:r>
        <w:rPr>
          <w:sz w:val="24"/>
        </w:rPr>
        <w:t>to</w:t>
      </w:r>
      <w:r>
        <w:rPr>
          <w:spacing w:val="-3"/>
          <w:sz w:val="24"/>
        </w:rPr>
        <w:t xml:space="preserve"> </w:t>
      </w:r>
      <w:r>
        <w:rPr>
          <w:sz w:val="24"/>
        </w:rPr>
        <w:t>number</w:t>
      </w:r>
      <w:r>
        <w:rPr>
          <w:spacing w:val="-4"/>
          <w:sz w:val="24"/>
        </w:rPr>
        <w:t xml:space="preserve"> </w:t>
      </w:r>
      <w:r>
        <w:rPr>
          <w:sz w:val="24"/>
        </w:rPr>
        <w:t>one</w:t>
      </w:r>
      <w:r>
        <w:rPr>
          <w:spacing w:val="-4"/>
          <w:sz w:val="24"/>
        </w:rPr>
        <w:t xml:space="preserve"> </w:t>
      </w:r>
      <w:r>
        <w:rPr>
          <w:sz w:val="24"/>
        </w:rPr>
        <w:t>and</w:t>
      </w:r>
      <w:r>
        <w:rPr>
          <w:spacing w:val="-3"/>
          <w:sz w:val="24"/>
        </w:rPr>
        <w:t xml:space="preserve"> </w:t>
      </w:r>
      <w:r>
        <w:rPr>
          <w:sz w:val="24"/>
        </w:rPr>
        <w:t>the</w:t>
      </w:r>
      <w:r>
        <w:rPr>
          <w:spacing w:val="-2"/>
          <w:sz w:val="24"/>
        </w:rPr>
        <w:t xml:space="preserve"> </w:t>
      </w:r>
      <w:r>
        <w:rPr>
          <w:sz w:val="24"/>
        </w:rPr>
        <w:t>enclosed</w:t>
      </w:r>
      <w:r>
        <w:rPr>
          <w:spacing w:val="-3"/>
          <w:sz w:val="24"/>
        </w:rPr>
        <w:t xml:space="preserve"> </w:t>
      </w:r>
      <w:r>
        <w:rPr>
          <w:sz w:val="24"/>
        </w:rPr>
        <w:t>Protocols.</w:t>
      </w:r>
      <w:r>
        <w:rPr>
          <w:spacing w:val="40"/>
          <w:sz w:val="24"/>
        </w:rPr>
        <w:t xml:space="preserve"> </w:t>
      </w:r>
      <w:r>
        <w:rPr>
          <w:sz w:val="23"/>
        </w:rPr>
        <w:t>As required under 42 CFR 438.10(c)(3)</w:t>
      </w:r>
      <w:r w:rsidR="0050589B">
        <w:rPr>
          <w:sz w:val="23"/>
        </w:rPr>
        <w:t xml:space="preserve"> and 438.364(c)(2)(i)</w:t>
      </w:r>
      <w:r>
        <w:rPr>
          <w:sz w:val="23"/>
        </w:rPr>
        <w:t>, the state must post its finalized annual technical report(s) on its website by April 30th of each year</w:t>
      </w:r>
      <w:r w:rsidR="0050589B">
        <w:rPr>
          <w:sz w:val="23"/>
        </w:rPr>
        <w:t xml:space="preserve"> and notify CMS within 14 days of the posting</w:t>
      </w:r>
      <w:r>
        <w:rPr>
          <w:sz w:val="23"/>
        </w:rPr>
        <w:t xml:space="preserve">. </w:t>
      </w:r>
    </w:p>
    <w:p w:rsidR="00131D8B" w14:paraId="49CECBBC" w14:textId="77777777">
      <w:pPr>
        <w:pStyle w:val="BodyText"/>
        <w:spacing w:before="10"/>
        <w:rPr>
          <w:sz w:val="23"/>
        </w:rPr>
      </w:pPr>
    </w:p>
    <w:p w:rsidR="00131D8B" w:rsidRPr="00151D8D" w:rsidP="002F2600" w14:paraId="1D6ACCA2" w14:textId="652141E0">
      <w:pPr>
        <w:pStyle w:val="ListParagraph"/>
        <w:numPr>
          <w:ilvl w:val="0"/>
          <w:numId w:val="1"/>
        </w:numPr>
        <w:tabs>
          <w:tab w:val="left" w:pos="660"/>
        </w:tabs>
        <w:ind w:left="659" w:right="258"/>
        <w:rPr>
          <w:sz w:val="24"/>
          <w:szCs w:val="24"/>
        </w:rPr>
      </w:pPr>
      <w:r>
        <w:rPr>
          <w:b/>
          <w:sz w:val="24"/>
        </w:rPr>
        <w:t>Methods</w:t>
      </w:r>
      <w:r>
        <w:rPr>
          <w:b/>
          <w:spacing w:val="-2"/>
          <w:sz w:val="24"/>
        </w:rPr>
        <w:t xml:space="preserve"> </w:t>
      </w:r>
      <w:r>
        <w:rPr>
          <w:b/>
          <w:sz w:val="24"/>
        </w:rPr>
        <w:t>to maximize</w:t>
      </w:r>
      <w:r>
        <w:rPr>
          <w:b/>
          <w:spacing w:val="-3"/>
          <w:sz w:val="24"/>
        </w:rPr>
        <w:t xml:space="preserve"> </w:t>
      </w:r>
      <w:r>
        <w:rPr>
          <w:b/>
          <w:sz w:val="24"/>
        </w:rPr>
        <w:t>response</w:t>
      </w:r>
      <w:r>
        <w:rPr>
          <w:b/>
          <w:spacing w:val="-3"/>
          <w:sz w:val="24"/>
        </w:rPr>
        <w:t xml:space="preserve"> </w:t>
      </w:r>
      <w:r>
        <w:rPr>
          <w:b/>
          <w:sz w:val="24"/>
        </w:rPr>
        <w:t>rates</w:t>
      </w:r>
      <w:r>
        <w:rPr>
          <w:b/>
          <w:spacing w:val="-2"/>
          <w:sz w:val="24"/>
        </w:rPr>
        <w:t xml:space="preserve"> </w:t>
      </w:r>
      <w:r>
        <w:rPr>
          <w:b/>
          <w:sz w:val="24"/>
        </w:rPr>
        <w:t>and</w:t>
      </w:r>
      <w:r>
        <w:rPr>
          <w:b/>
          <w:spacing w:val="-2"/>
          <w:sz w:val="24"/>
        </w:rPr>
        <w:t xml:space="preserve"> </w:t>
      </w:r>
      <w:r>
        <w:rPr>
          <w:b/>
          <w:sz w:val="24"/>
        </w:rPr>
        <w:t>address</w:t>
      </w:r>
      <w:r>
        <w:rPr>
          <w:b/>
          <w:spacing w:val="-2"/>
          <w:sz w:val="24"/>
        </w:rPr>
        <w:t xml:space="preserve"> </w:t>
      </w:r>
      <w:r>
        <w:rPr>
          <w:b/>
          <w:sz w:val="24"/>
        </w:rPr>
        <w:t>non-response</w:t>
      </w:r>
      <w:r>
        <w:rPr>
          <w:b/>
          <w:spacing w:val="-3"/>
          <w:sz w:val="24"/>
        </w:rPr>
        <w:t xml:space="preserve"> </w:t>
      </w:r>
      <w:r>
        <w:rPr>
          <w:sz w:val="24"/>
        </w:rPr>
        <w:t>–</w:t>
      </w:r>
      <w:r>
        <w:rPr>
          <w:spacing w:val="-2"/>
          <w:sz w:val="24"/>
        </w:rPr>
        <w:t xml:space="preserve"> </w:t>
      </w:r>
      <w:r>
        <w:rPr>
          <w:sz w:val="24"/>
        </w:rPr>
        <w:t>States</w:t>
      </w:r>
      <w:r>
        <w:rPr>
          <w:spacing w:val="-2"/>
          <w:sz w:val="24"/>
        </w:rPr>
        <w:t xml:space="preserve"> </w:t>
      </w:r>
      <w:r>
        <w:rPr>
          <w:sz w:val="24"/>
        </w:rPr>
        <w:t>are</w:t>
      </w:r>
      <w:r>
        <w:rPr>
          <w:spacing w:val="-3"/>
          <w:sz w:val="24"/>
        </w:rPr>
        <w:t xml:space="preserve"> </w:t>
      </w:r>
      <w:r>
        <w:rPr>
          <w:sz w:val="24"/>
        </w:rPr>
        <w:t>required by</w:t>
      </w:r>
      <w:r>
        <w:rPr>
          <w:spacing w:val="-7"/>
          <w:sz w:val="24"/>
        </w:rPr>
        <w:t xml:space="preserve"> </w:t>
      </w:r>
      <w:r>
        <w:rPr>
          <w:sz w:val="24"/>
        </w:rPr>
        <w:t>regulation</w:t>
      </w:r>
      <w:r>
        <w:rPr>
          <w:spacing w:val="-2"/>
          <w:sz w:val="24"/>
        </w:rPr>
        <w:t xml:space="preserve"> </w:t>
      </w:r>
      <w:r>
        <w:rPr>
          <w:sz w:val="24"/>
        </w:rPr>
        <w:t>(see</w:t>
      </w:r>
      <w:r>
        <w:rPr>
          <w:spacing w:val="-3"/>
          <w:sz w:val="24"/>
        </w:rPr>
        <w:t xml:space="preserve"> </w:t>
      </w:r>
      <w:r>
        <w:rPr>
          <w:sz w:val="24"/>
        </w:rPr>
        <w:t>42</w:t>
      </w:r>
      <w:r>
        <w:rPr>
          <w:spacing w:val="-2"/>
          <w:sz w:val="24"/>
        </w:rPr>
        <w:t xml:space="preserve"> </w:t>
      </w:r>
      <w:r>
        <w:rPr>
          <w:sz w:val="24"/>
        </w:rPr>
        <w:t>CFR</w:t>
      </w:r>
      <w:r>
        <w:rPr>
          <w:spacing w:val="-2"/>
          <w:sz w:val="24"/>
        </w:rPr>
        <w:t xml:space="preserve"> </w:t>
      </w:r>
      <w:r>
        <w:rPr>
          <w:sz w:val="24"/>
        </w:rPr>
        <w:t>438.364(c)(1))</w:t>
      </w:r>
      <w:r>
        <w:rPr>
          <w:spacing w:val="-3"/>
          <w:sz w:val="24"/>
        </w:rPr>
        <w:t xml:space="preserve"> </w:t>
      </w:r>
      <w:r>
        <w:rPr>
          <w:sz w:val="24"/>
        </w:rPr>
        <w:t>to</w:t>
      </w:r>
      <w:r>
        <w:rPr>
          <w:spacing w:val="-2"/>
          <w:sz w:val="24"/>
        </w:rPr>
        <w:t xml:space="preserve"> </w:t>
      </w:r>
      <w:r>
        <w:rPr>
          <w:sz w:val="24"/>
        </w:rPr>
        <w:t>finalize</w:t>
      </w:r>
      <w:r>
        <w:rPr>
          <w:spacing w:val="-3"/>
          <w:sz w:val="24"/>
        </w:rPr>
        <w:t xml:space="preserve"> </w:t>
      </w:r>
      <w:r>
        <w:rPr>
          <w:sz w:val="24"/>
        </w:rPr>
        <w:t>the</w:t>
      </w:r>
      <w:r>
        <w:rPr>
          <w:spacing w:val="-3"/>
          <w:sz w:val="24"/>
        </w:rPr>
        <w:t xml:space="preserve"> </w:t>
      </w:r>
      <w:r>
        <w:rPr>
          <w:sz w:val="24"/>
        </w:rPr>
        <w:t>annual</w:t>
      </w:r>
      <w:r>
        <w:rPr>
          <w:spacing w:val="-2"/>
          <w:sz w:val="24"/>
        </w:rPr>
        <w:t xml:space="preserve"> </w:t>
      </w:r>
      <w:r>
        <w:rPr>
          <w:sz w:val="24"/>
        </w:rPr>
        <w:t>EQR</w:t>
      </w:r>
      <w:r>
        <w:rPr>
          <w:spacing w:val="-2"/>
          <w:sz w:val="24"/>
        </w:rPr>
        <w:t xml:space="preserve"> </w:t>
      </w:r>
      <w:r>
        <w:rPr>
          <w:sz w:val="24"/>
        </w:rPr>
        <w:t>technical</w:t>
      </w:r>
      <w:r>
        <w:rPr>
          <w:spacing w:val="-2"/>
          <w:sz w:val="24"/>
        </w:rPr>
        <w:t xml:space="preserve"> </w:t>
      </w:r>
      <w:r>
        <w:rPr>
          <w:sz w:val="24"/>
        </w:rPr>
        <w:t>report</w:t>
      </w:r>
      <w:r>
        <w:rPr>
          <w:spacing w:val="-2"/>
          <w:sz w:val="24"/>
        </w:rPr>
        <w:t xml:space="preserve"> </w:t>
      </w:r>
      <w:r>
        <w:rPr>
          <w:sz w:val="24"/>
        </w:rPr>
        <w:t>by April 30</w:t>
      </w:r>
      <w:r>
        <w:rPr>
          <w:sz w:val="24"/>
          <w:vertAlign w:val="superscript"/>
        </w:rPr>
        <w:t>th</w:t>
      </w:r>
      <w:r>
        <w:rPr>
          <w:sz w:val="24"/>
        </w:rPr>
        <w:t xml:space="preserve"> each year</w:t>
      </w:r>
      <w:r w:rsidR="00810E24">
        <w:rPr>
          <w:sz w:val="24"/>
        </w:rPr>
        <w:t>.</w:t>
      </w:r>
      <w:r w:rsidR="001264F9">
        <w:rPr>
          <w:sz w:val="24"/>
        </w:rPr>
        <w:t xml:space="preserve"> </w:t>
      </w:r>
      <w:r>
        <w:rPr>
          <w:sz w:val="24"/>
        </w:rPr>
        <w:t>CMS proactively reaches out to states to solicit annual report submission.</w:t>
      </w:r>
      <w:r>
        <w:rPr>
          <w:spacing w:val="40"/>
          <w:sz w:val="24"/>
        </w:rPr>
        <w:t xml:space="preserve"> </w:t>
      </w:r>
      <w:r>
        <w:rPr>
          <w:sz w:val="24"/>
        </w:rPr>
        <w:t>Following initial outreach, the CMS conducts state-specific follow-up to address non-response.</w:t>
      </w:r>
      <w:r>
        <w:rPr>
          <w:spacing w:val="40"/>
          <w:sz w:val="24"/>
        </w:rPr>
        <w:t xml:space="preserve"> </w:t>
      </w:r>
      <w:r>
        <w:rPr>
          <w:sz w:val="24"/>
        </w:rPr>
        <w:t xml:space="preserve">We work with states and/or their contractors to </w:t>
      </w:r>
      <w:r w:rsidRPr="006A604B">
        <w:rPr>
          <w:sz w:val="24"/>
          <w:szCs w:val="24"/>
        </w:rPr>
        <w:t>improv</w:t>
      </w:r>
      <w:r w:rsidRPr="006A604B" w:rsidR="001264F9">
        <w:rPr>
          <w:sz w:val="24"/>
          <w:szCs w:val="24"/>
        </w:rPr>
        <w:t xml:space="preserve">e </w:t>
      </w:r>
      <w:r w:rsidRPr="00151D8D">
        <w:rPr>
          <w:sz w:val="24"/>
          <w:szCs w:val="24"/>
        </w:rPr>
        <w:t>compliance</w:t>
      </w:r>
      <w:r w:rsidRPr="00151D8D">
        <w:rPr>
          <w:spacing w:val="-3"/>
          <w:sz w:val="24"/>
          <w:szCs w:val="24"/>
        </w:rPr>
        <w:t xml:space="preserve"> </w:t>
      </w:r>
      <w:r w:rsidRPr="00151D8D">
        <w:rPr>
          <w:sz w:val="24"/>
          <w:szCs w:val="24"/>
        </w:rPr>
        <w:t>and address requests</w:t>
      </w:r>
      <w:r w:rsidRPr="00151D8D">
        <w:rPr>
          <w:spacing w:val="-2"/>
          <w:sz w:val="24"/>
          <w:szCs w:val="24"/>
        </w:rPr>
        <w:t xml:space="preserve"> </w:t>
      </w:r>
      <w:r w:rsidRPr="00151D8D">
        <w:rPr>
          <w:sz w:val="24"/>
          <w:szCs w:val="24"/>
        </w:rPr>
        <w:t>for</w:t>
      </w:r>
      <w:r w:rsidRPr="00151D8D">
        <w:rPr>
          <w:spacing w:val="-3"/>
          <w:sz w:val="24"/>
          <w:szCs w:val="24"/>
        </w:rPr>
        <w:t xml:space="preserve"> </w:t>
      </w:r>
      <w:r w:rsidRPr="00151D8D">
        <w:rPr>
          <w:sz w:val="24"/>
          <w:szCs w:val="24"/>
        </w:rPr>
        <w:t>technical</w:t>
      </w:r>
      <w:r w:rsidRPr="00151D8D">
        <w:rPr>
          <w:spacing w:val="-1"/>
          <w:sz w:val="24"/>
          <w:szCs w:val="24"/>
        </w:rPr>
        <w:t xml:space="preserve"> </w:t>
      </w:r>
      <w:r w:rsidRPr="00151D8D">
        <w:rPr>
          <w:spacing w:val="-2"/>
          <w:sz w:val="24"/>
          <w:szCs w:val="24"/>
        </w:rPr>
        <w:t>assistance.</w:t>
      </w:r>
    </w:p>
    <w:p w:rsidR="00131D8B" w14:paraId="25391475" w14:textId="77777777">
      <w:pPr>
        <w:pStyle w:val="BodyText"/>
      </w:pPr>
    </w:p>
    <w:p w:rsidR="00131D8B" w14:paraId="19D2896C" w14:textId="77777777">
      <w:pPr>
        <w:pStyle w:val="ListParagraph"/>
        <w:numPr>
          <w:ilvl w:val="0"/>
          <w:numId w:val="1"/>
        </w:numPr>
        <w:tabs>
          <w:tab w:val="left" w:pos="660"/>
        </w:tabs>
        <w:ind w:right="783"/>
        <w:rPr>
          <w:sz w:val="24"/>
        </w:rPr>
      </w:pPr>
      <w:r>
        <w:rPr>
          <w:b/>
          <w:sz w:val="24"/>
        </w:rPr>
        <w:t>Tests</w:t>
      </w:r>
      <w:r>
        <w:rPr>
          <w:b/>
          <w:spacing w:val="-3"/>
          <w:sz w:val="24"/>
        </w:rPr>
        <w:t xml:space="preserve"> </w:t>
      </w:r>
      <w:r>
        <w:rPr>
          <w:b/>
          <w:sz w:val="24"/>
        </w:rPr>
        <w:t>of</w:t>
      </w:r>
      <w:r>
        <w:rPr>
          <w:b/>
          <w:spacing w:val="-2"/>
          <w:sz w:val="24"/>
        </w:rPr>
        <w:t xml:space="preserve"> </w:t>
      </w:r>
      <w:r>
        <w:rPr>
          <w:b/>
          <w:sz w:val="24"/>
        </w:rPr>
        <w:t>procedures</w:t>
      </w:r>
      <w:r>
        <w:rPr>
          <w:b/>
          <w:spacing w:val="-3"/>
          <w:sz w:val="24"/>
        </w:rPr>
        <w:t xml:space="preserve"> </w:t>
      </w:r>
      <w:r>
        <w:rPr>
          <w:b/>
          <w:sz w:val="24"/>
        </w:rPr>
        <w:t>or</w:t>
      </w:r>
      <w:r>
        <w:rPr>
          <w:b/>
          <w:spacing w:val="-2"/>
          <w:sz w:val="24"/>
        </w:rPr>
        <w:t xml:space="preserve"> </w:t>
      </w:r>
      <w:r>
        <w:rPr>
          <w:b/>
          <w:sz w:val="24"/>
        </w:rPr>
        <w:t>methods</w:t>
      </w:r>
      <w:r>
        <w:rPr>
          <w:b/>
          <w:spacing w:val="-3"/>
          <w:sz w:val="24"/>
        </w:rPr>
        <w:t xml:space="preserve"> </w:t>
      </w:r>
      <w:r>
        <w:rPr>
          <w:b/>
          <w:sz w:val="24"/>
        </w:rPr>
        <w:t>undertaken</w:t>
      </w:r>
      <w:r>
        <w:rPr>
          <w:b/>
          <w:spacing w:val="-3"/>
          <w:sz w:val="24"/>
        </w:rPr>
        <w:t xml:space="preserve"> </w:t>
      </w:r>
      <w:r>
        <w:rPr>
          <w:sz w:val="24"/>
        </w:rPr>
        <w:t>-</w:t>
      </w:r>
      <w:r>
        <w:rPr>
          <w:spacing w:val="-4"/>
          <w:sz w:val="24"/>
        </w:rPr>
        <w:t xml:space="preserve"> </w:t>
      </w:r>
      <w:r>
        <w:rPr>
          <w:sz w:val="24"/>
        </w:rPr>
        <w:t>See</w:t>
      </w:r>
      <w:r>
        <w:rPr>
          <w:spacing w:val="-4"/>
          <w:sz w:val="24"/>
        </w:rPr>
        <w:t xml:space="preserve"> </w:t>
      </w:r>
      <w:r>
        <w:rPr>
          <w:sz w:val="24"/>
        </w:rPr>
        <w:t>answer</w:t>
      </w:r>
      <w:r>
        <w:rPr>
          <w:spacing w:val="-4"/>
          <w:sz w:val="24"/>
        </w:rPr>
        <w:t xml:space="preserve"> </w:t>
      </w:r>
      <w:r>
        <w:rPr>
          <w:sz w:val="24"/>
        </w:rPr>
        <w:t>to</w:t>
      </w:r>
      <w:r>
        <w:rPr>
          <w:spacing w:val="-3"/>
          <w:sz w:val="24"/>
        </w:rPr>
        <w:t xml:space="preserve"> </w:t>
      </w:r>
      <w:r>
        <w:rPr>
          <w:sz w:val="24"/>
        </w:rPr>
        <w:t>number</w:t>
      </w:r>
      <w:r>
        <w:rPr>
          <w:spacing w:val="-4"/>
          <w:sz w:val="24"/>
        </w:rPr>
        <w:t xml:space="preserve"> </w:t>
      </w:r>
      <w:r>
        <w:rPr>
          <w:sz w:val="24"/>
        </w:rPr>
        <w:t>one</w:t>
      </w:r>
      <w:r>
        <w:rPr>
          <w:spacing w:val="-2"/>
          <w:sz w:val="24"/>
        </w:rPr>
        <w:t xml:space="preserve"> </w:t>
      </w:r>
      <w:r>
        <w:rPr>
          <w:sz w:val="24"/>
        </w:rPr>
        <w:t>and</w:t>
      </w:r>
      <w:r>
        <w:rPr>
          <w:spacing w:val="-3"/>
          <w:sz w:val="24"/>
        </w:rPr>
        <w:t xml:space="preserve"> </w:t>
      </w:r>
      <w:r>
        <w:rPr>
          <w:sz w:val="24"/>
        </w:rPr>
        <w:t>the enclosed Protocols.</w:t>
      </w:r>
    </w:p>
    <w:p w:rsidR="00131D8B" w14:paraId="3CEEC190" w14:textId="77777777">
      <w:pPr>
        <w:pStyle w:val="BodyText"/>
      </w:pPr>
    </w:p>
    <w:p w:rsidR="00AA0E23" w:rsidRPr="001371C5" w:rsidP="000501CC" w14:paraId="133BED07" w14:textId="4BDE717C">
      <w:pPr>
        <w:pStyle w:val="ListParagraph"/>
        <w:numPr>
          <w:ilvl w:val="0"/>
          <w:numId w:val="1"/>
        </w:numPr>
        <w:tabs>
          <w:tab w:val="left" w:pos="660"/>
        </w:tabs>
        <w:ind w:right="235"/>
        <w:rPr>
          <w:sz w:val="24"/>
        </w:rPr>
      </w:pPr>
      <w:r>
        <w:rPr>
          <w:b/>
          <w:sz w:val="24"/>
        </w:rPr>
        <w:t>Individuals</w:t>
      </w:r>
      <w:r>
        <w:rPr>
          <w:b/>
          <w:spacing w:val="-1"/>
          <w:sz w:val="24"/>
        </w:rPr>
        <w:t xml:space="preserve"> </w:t>
      </w:r>
      <w:r>
        <w:rPr>
          <w:b/>
          <w:sz w:val="24"/>
        </w:rPr>
        <w:t>consulted</w:t>
      </w:r>
      <w:r>
        <w:rPr>
          <w:b/>
          <w:spacing w:val="-1"/>
          <w:sz w:val="24"/>
        </w:rPr>
        <w:t xml:space="preserve"> </w:t>
      </w:r>
      <w:r>
        <w:rPr>
          <w:sz w:val="24"/>
        </w:rPr>
        <w:t>–</w:t>
      </w:r>
      <w:r>
        <w:rPr>
          <w:spacing w:val="-4"/>
          <w:sz w:val="24"/>
        </w:rPr>
        <w:t xml:space="preserve"> </w:t>
      </w:r>
      <w:bookmarkStart w:id="1" w:name="_Hlk207371247"/>
      <w:r w:rsidRPr="001371C5" w:rsidR="000501CC">
        <w:rPr>
          <w:sz w:val="24"/>
        </w:rPr>
        <w:t xml:space="preserve">To develop the new protocol Assist with the Quality Ratings for Medicaid and CHIP Quality Rating System, CMS engaged with select State Medicaid agencies and External Quality Review Organizations (EQROs) to gain insight into </w:t>
      </w:r>
      <w:r w:rsidRPr="001371C5" w:rsidR="007D6330">
        <w:rPr>
          <w:sz w:val="24"/>
        </w:rPr>
        <w:t>challenges and best practices regarding methodological aspects of MAC QRS implementation. To develop the new protocol Assisting with Evaluation of Managed Care Quality Strategies, State Directed Payments, and In Lieu of Services and Settings, CMS engaged with select State Medicaid agencies to gain insight into challenges and best practices regarding</w:t>
      </w:r>
      <w:r w:rsidRPr="001371C5">
        <w:rPr>
          <w:sz w:val="24"/>
        </w:rPr>
        <w:t xml:space="preserve"> these evaluations. </w:t>
      </w:r>
      <w:bookmarkEnd w:id="1"/>
      <w:r w:rsidRPr="001371C5">
        <w:rPr>
          <w:sz w:val="24"/>
        </w:rPr>
        <w:t>As required by statute (section 1932(c)(2)(A)(iii)), CMS consulted with the National Governors’ Association (NGA) during the development of the revised protocols.</w:t>
      </w:r>
    </w:p>
    <w:p w:rsidR="00AA0E23" w:rsidRPr="001371C5" w:rsidP="001371C5" w14:paraId="7D00DB1D" w14:textId="77777777">
      <w:pPr>
        <w:pStyle w:val="ListParagraph"/>
        <w:rPr>
          <w:spacing w:val="-4"/>
          <w:sz w:val="24"/>
        </w:rPr>
      </w:pPr>
    </w:p>
    <w:p w:rsidR="00131D8B" w:rsidRPr="001371C5" w:rsidP="001371C5" w14:paraId="2E84762C" w14:textId="5C6517D7">
      <w:pPr>
        <w:tabs>
          <w:tab w:val="left" w:pos="660"/>
        </w:tabs>
        <w:ind w:right="235"/>
        <w:rPr>
          <w:sz w:val="24"/>
        </w:rPr>
      </w:pPr>
      <w:r w:rsidRPr="001371C5">
        <w:rPr>
          <w:spacing w:val="-4"/>
          <w:sz w:val="24"/>
        </w:rPr>
        <w:t xml:space="preserve">  </w:t>
      </w:r>
    </w:p>
    <w:sectPr>
      <w:pgSz w:w="12240" w:h="15840"/>
      <w:pgMar w:top="1360" w:right="134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44AE4"/>
    <w:multiLevelType w:val="hybridMultilevel"/>
    <w:tmpl w:val="ABF0B298"/>
    <w:lvl w:ilvl="0">
      <w:start w:val="1"/>
      <w:numFmt w:val="decimal"/>
      <w:lvlText w:val="%1)"/>
      <w:lvlJc w:val="left"/>
      <w:pPr>
        <w:ind w:left="66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282" w:hanging="360"/>
      </w:pPr>
      <w:rPr>
        <w:rFonts w:hint="default"/>
        <w:lang w:val="en-US" w:eastAsia="en-US" w:bidi="ar-SA"/>
      </w:rPr>
    </w:lvl>
    <w:lvl w:ilvl="4">
      <w:start w:val="0"/>
      <w:numFmt w:val="bullet"/>
      <w:lvlText w:val="•"/>
      <w:lvlJc w:val="left"/>
      <w:pPr>
        <w:ind w:left="4156"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78" w:hanging="360"/>
      </w:pPr>
      <w:rPr>
        <w:rFonts w:hint="default"/>
        <w:lang w:val="en-US" w:eastAsia="en-US" w:bidi="ar-SA"/>
      </w:rPr>
    </w:lvl>
    <w:lvl w:ilvl="8">
      <w:start w:val="0"/>
      <w:numFmt w:val="bullet"/>
      <w:lvlText w:val="•"/>
      <w:lvlJc w:val="left"/>
      <w:pPr>
        <w:ind w:left="7652" w:hanging="360"/>
      </w:pPr>
      <w:rPr>
        <w:rFonts w:hint="default"/>
        <w:lang w:val="en-US" w:eastAsia="en-US" w:bidi="ar-SA"/>
      </w:rPr>
    </w:lvl>
  </w:abstractNum>
  <w:num w:numId="1" w16cid:durableId="136389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8B"/>
    <w:rsid w:val="000501CC"/>
    <w:rsid w:val="00105359"/>
    <w:rsid w:val="001264F9"/>
    <w:rsid w:val="00131D8B"/>
    <w:rsid w:val="001371C5"/>
    <w:rsid w:val="00151D8D"/>
    <w:rsid w:val="0026541A"/>
    <w:rsid w:val="002F2600"/>
    <w:rsid w:val="003D0F00"/>
    <w:rsid w:val="004E5B63"/>
    <w:rsid w:val="0050589B"/>
    <w:rsid w:val="00523407"/>
    <w:rsid w:val="0058744C"/>
    <w:rsid w:val="006A604B"/>
    <w:rsid w:val="006C1D07"/>
    <w:rsid w:val="007A2C70"/>
    <w:rsid w:val="007D6330"/>
    <w:rsid w:val="00810E24"/>
    <w:rsid w:val="00830B71"/>
    <w:rsid w:val="008755FE"/>
    <w:rsid w:val="008876DC"/>
    <w:rsid w:val="0089176E"/>
    <w:rsid w:val="00937E7F"/>
    <w:rsid w:val="00AA0E23"/>
    <w:rsid w:val="00B2478A"/>
    <w:rsid w:val="00BC5818"/>
    <w:rsid w:val="00C96D69"/>
    <w:rsid w:val="00EC65EA"/>
    <w:rsid w:val="00EF52A7"/>
    <w:rsid w:val="1D2F3704"/>
    <w:rsid w:val="3702E7B1"/>
    <w:rsid w:val="3E0B5A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27B297"/>
  <w15:docId w15:val="{AF016A77-E30C-400E-90C7-C0A047A0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 w:right="27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0" w:right="20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6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4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6D69"/>
    <w:rPr>
      <w:sz w:val="16"/>
      <w:szCs w:val="16"/>
    </w:rPr>
  </w:style>
  <w:style w:type="paragraph" w:styleId="CommentText">
    <w:name w:val="annotation text"/>
    <w:basedOn w:val="Normal"/>
    <w:link w:val="CommentTextChar"/>
    <w:uiPriority w:val="99"/>
    <w:unhideWhenUsed/>
    <w:rsid w:val="00C96D69"/>
    <w:rPr>
      <w:sz w:val="20"/>
      <w:szCs w:val="20"/>
    </w:rPr>
  </w:style>
  <w:style w:type="character" w:customStyle="1" w:styleId="CommentTextChar">
    <w:name w:val="Comment Text Char"/>
    <w:basedOn w:val="DefaultParagraphFont"/>
    <w:link w:val="CommentText"/>
    <w:uiPriority w:val="99"/>
    <w:rsid w:val="00C96D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6D69"/>
    <w:rPr>
      <w:b/>
      <w:bCs/>
    </w:rPr>
  </w:style>
  <w:style w:type="character" w:customStyle="1" w:styleId="CommentSubjectChar">
    <w:name w:val="Comment Subject Char"/>
    <w:basedOn w:val="CommentTextChar"/>
    <w:link w:val="CommentSubject"/>
    <w:uiPriority w:val="99"/>
    <w:semiHidden/>
    <w:rsid w:val="00C96D6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96D69"/>
    <w:rPr>
      <w:color w:val="0000FF" w:themeColor="hyperlink"/>
      <w:u w:val="single"/>
    </w:rPr>
  </w:style>
  <w:style w:type="character" w:styleId="UnresolvedMention">
    <w:name w:val="Unresolved Mention"/>
    <w:basedOn w:val="DefaultParagraphFont"/>
    <w:uiPriority w:val="99"/>
    <w:semiHidden/>
    <w:unhideWhenUsed/>
    <w:rsid w:val="00C96D69"/>
    <w:rPr>
      <w:color w:val="605E5C"/>
      <w:shd w:val="clear" w:color="auto" w:fill="E1DFDD"/>
    </w:rPr>
  </w:style>
  <w:style w:type="paragraph" w:styleId="Revision">
    <w:name w:val="Revision"/>
    <w:hidden/>
    <w:uiPriority w:val="99"/>
    <w:semiHidden/>
    <w:rsid w:val="0089176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6462943-aab0-4b5c-b4d4-52178c4ef92d">TPPNXHVH2SNC-688607999-43220</_dlc_DocId>
    <_dlc_DocIdUrl xmlns="86462943-aab0-4b5c-b4d4-52178c4ef92d">
      <Url>https://cmsgovonline.sharepoint.com/sites/CMS-SharePoint-CMCS-CAHPG-DQHO/_layouts/15/DocIdRedir.aspx?ID=TPPNXHVH2SNC-688607999-43220</Url>
      <Description>TPPNXHVH2SNC-688607999-43220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675B0F4C1FCA49B994ECF975D8C34D" ma:contentTypeVersion="4" ma:contentTypeDescription="Create a new document." ma:contentTypeScope="" ma:versionID="60b9121197b8fd730b1952ac7fb536cf">
  <xsd:schema xmlns:xsd="http://www.w3.org/2001/XMLSchema" xmlns:xs="http://www.w3.org/2001/XMLSchema" xmlns:p="http://schemas.microsoft.com/office/2006/metadata/properties" xmlns:ns2="86462943-aab0-4b5c-b4d4-52178c4ef92d" xmlns:ns3="f1c09907-b33c-434e-8343-82e33730f999" targetNamespace="http://schemas.microsoft.com/office/2006/metadata/properties" ma:root="true" ma:fieldsID="3590fffe6eb22b746dc4a730b701ed38" ns2:_="" ns3:_="">
    <xsd:import namespace="86462943-aab0-4b5c-b4d4-52178c4ef92d"/>
    <xsd:import namespace="f1c09907-b33c-434e-8343-82e33730f999"/>
    <xsd:element name="properties">
      <xsd:complexType>
        <xsd:sequence>
          <xsd:element name="documentManagement">
            <xsd:complexType>
              <xsd:all>
                <xsd:element ref="ns2:_dlc_DocId" minOccurs="0"/>
                <xsd:element ref="ns2:_dlc_DocIdUrl" minOccurs="0"/>
                <xsd:element ref="ns2:_dlc_DocIdPersist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62943-aab0-4b5c-b4d4-52178c4ef9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c09907-b33c-434e-8343-82e33730f999" elementFormDefault="qualified">
    <xsd:import namespace="http://schemas.microsoft.com/office/2006/documentManagement/types"/>
    <xsd:import namespace="http://schemas.microsoft.com/office/infopath/2007/PartnerControls"/>
    <xsd:element name="MediaServiceBillingMetadata" ma:index="11" nillable="true" ma:displayName="MediaServiceBillingMetadata" ma:hidden="true" ma:internalName="MediaServiceBillingMetadata" ma:readOnly="tru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3A073B-2F2E-4CDC-AB28-AD9769C74483}">
  <ds:schemaRefs>
    <ds:schemaRef ds:uri="http://schemas.microsoft.com/sharepoint/v3/contenttype/forms"/>
  </ds:schemaRefs>
</ds:datastoreItem>
</file>

<file path=customXml/itemProps2.xml><?xml version="1.0" encoding="utf-8"?>
<ds:datastoreItem xmlns:ds="http://schemas.openxmlformats.org/officeDocument/2006/customXml" ds:itemID="{5E8F6783-31F6-4CE7-96CB-C3C75FDFA39D}">
  <ds:schemaRef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f1c09907-b33c-434e-8343-82e33730f999"/>
    <ds:schemaRef ds:uri="86462943-aab0-4b5c-b4d4-52178c4ef92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0357F31-A5EE-408A-9981-913C0FDC3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62943-aab0-4b5c-b4d4-52178c4ef92d"/>
    <ds:schemaRef ds:uri="f1c09907-b33c-434e-8343-82e33730f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A7AB1-7F9C-4AD2-A6BB-60FC5C3A66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4123</Characters>
  <Application>Microsoft Office Word</Application>
  <DocSecurity>0</DocSecurity>
  <Lines>73</Lines>
  <Paragraphs>11</Paragraphs>
  <ScaleCrop>false</ScaleCrop>
  <HeadingPairs>
    <vt:vector size="2" baseType="variant">
      <vt:variant>
        <vt:lpstr>Title</vt:lpstr>
      </vt:variant>
      <vt:variant>
        <vt:i4>1</vt:i4>
      </vt:variant>
    </vt:vector>
  </HeadingPairs>
  <TitlesOfParts>
    <vt:vector size="1" baseType="lpstr">
      <vt:lpstr>Supporting Statement Part B- CMS-R-305</vt:lpstr>
    </vt:vector>
  </TitlesOfParts>
  <Company>CMS</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CMS-R-305</dc:title>
  <dc:creator>CMS</dc:creator>
  <cp:lastModifiedBy>Bryman, Mitch (CMS/OSORA)</cp:lastModifiedBy>
  <cp:revision>3</cp:revision>
  <dcterms:created xsi:type="dcterms:W3CDTF">2025-12-22T16:28:00Z</dcterms:created>
  <dcterms:modified xsi:type="dcterms:W3CDTF">2025-12-22T16:36:00Z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0x01010034675B0F4C1FCA49B994ECF975D8C34D</vt:lpwstr>
  </property>
  <property fmtid="{D5CDD505-2E9C-101B-9397-08002B2CF9AE}" pid="3" name="Created">
    <vt:filetime>2022-04-14T00:00:00Z</vt:filetime>
  </property>
  <property fmtid="{D5CDD505-2E9C-101B-9397-08002B2CF9AE}" pid="4" name="Creator">
    <vt:lpwstr>Acrobat PDFMaker 21 for Word</vt:lpwstr>
  </property>
  <property fmtid="{D5CDD505-2E9C-101B-9397-08002B2CF9AE}" pid="5" name="LastSaved">
    <vt:filetime>2023-04-20T00:00:00Z</vt:filetime>
  </property>
  <property fmtid="{D5CDD505-2E9C-101B-9397-08002B2CF9AE}" pid="6" name="Producer">
    <vt:lpwstr>Adobe PDF Library 21.7.131</vt:lpwstr>
  </property>
  <property fmtid="{D5CDD505-2E9C-101B-9397-08002B2CF9AE}" pid="7" name="SourceModified">
    <vt:lpwstr>D:20220414203157</vt:lpwstr>
  </property>
  <property fmtid="{D5CDD505-2E9C-101B-9397-08002B2CF9AE}" pid="8" name="_dlc_DocIdItemGuid">
    <vt:lpwstr>4f844af2-6091-42b4-8654-64cb3388c704</vt:lpwstr>
  </property>
  <property fmtid="{D5CDD505-2E9C-101B-9397-08002B2CF9AE}" pid="9" name="_NewReviewCycle">
    <vt:lpwstr/>
  </property>
</Properties>
</file>