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C35ED" w:rsidRPr="00C40642" w:rsidP="00FE6961" w14:paraId="67F6EA6C" w14:textId="6908FB9E">
      <w:pPr>
        <w:pStyle w:val="Heading1"/>
      </w:pPr>
      <w:bookmarkStart w:id="0" w:name="Supporting_Statement_Part_A_for_Advancin"/>
      <w:bookmarkEnd w:id="0"/>
      <w:r w:rsidRPr="00C40642">
        <w:t>Supporting</w:t>
      </w:r>
      <w:r w:rsidRPr="00C40642">
        <w:rPr>
          <w:spacing w:val="-5"/>
        </w:rPr>
        <w:t xml:space="preserve"> </w:t>
      </w:r>
      <w:r w:rsidRPr="00C40642">
        <w:t>Statement</w:t>
      </w:r>
      <w:r w:rsidRPr="00C40642">
        <w:rPr>
          <w:spacing w:val="-4"/>
        </w:rPr>
        <w:t xml:space="preserve"> </w:t>
      </w:r>
      <w:r w:rsidRPr="00C40642">
        <w:t>Part</w:t>
      </w:r>
      <w:r w:rsidRPr="00C40642">
        <w:rPr>
          <w:spacing w:val="-4"/>
        </w:rPr>
        <w:t xml:space="preserve"> </w:t>
      </w:r>
      <w:r w:rsidRPr="00C40642">
        <w:t>A</w:t>
      </w:r>
      <w:r w:rsidRPr="00C40642">
        <w:rPr>
          <w:spacing w:val="-5"/>
        </w:rPr>
        <w:t xml:space="preserve"> </w:t>
      </w:r>
      <w:r w:rsidRPr="00C40642">
        <w:t>for Advancing</w:t>
      </w:r>
      <w:r w:rsidRPr="00C40642">
        <w:rPr>
          <w:spacing w:val="-4"/>
        </w:rPr>
        <w:t xml:space="preserve"> </w:t>
      </w:r>
      <w:r w:rsidRPr="00C40642">
        <w:t>Interoperability</w:t>
      </w:r>
      <w:r w:rsidRPr="00C40642">
        <w:rPr>
          <w:spacing w:val="-4"/>
        </w:rPr>
        <w:t xml:space="preserve"> </w:t>
      </w:r>
      <w:r w:rsidRPr="00C40642">
        <w:t>and</w:t>
      </w:r>
      <w:r w:rsidRPr="00C40642">
        <w:rPr>
          <w:spacing w:val="-4"/>
        </w:rPr>
        <w:t xml:space="preserve"> </w:t>
      </w:r>
      <w:r w:rsidRPr="00C40642">
        <w:t>Improving</w:t>
      </w:r>
      <w:r w:rsidRPr="00C40642">
        <w:rPr>
          <w:spacing w:val="-4"/>
        </w:rPr>
        <w:t xml:space="preserve"> </w:t>
      </w:r>
      <w:r w:rsidRPr="00C40642">
        <w:t>Prior</w:t>
      </w:r>
      <w:r w:rsidRPr="00C40642">
        <w:rPr>
          <w:spacing w:val="-5"/>
        </w:rPr>
        <w:t xml:space="preserve"> </w:t>
      </w:r>
      <w:r w:rsidRPr="00C40642">
        <w:t xml:space="preserve">Authorization Processes (0938-1437; CMS-10843) </w:t>
      </w:r>
    </w:p>
    <w:p w:rsidR="00045C62" w:rsidP="00DA49E8" w14:paraId="1663400E" w14:textId="75768EEE">
      <w:pPr>
        <w:pStyle w:val="Heading2"/>
        <w:numPr>
          <w:ilvl w:val="0"/>
          <w:numId w:val="22"/>
        </w:numPr>
      </w:pPr>
      <w:r w:rsidRPr="00D33B36">
        <w:t>Background</w:t>
      </w:r>
    </w:p>
    <w:p w:rsidR="00546CA3" w14:paraId="205144F6" w14:textId="68E0A288">
      <w:pPr>
        <w:ind w:left="360"/>
        <w:rPr>
          <w:snapToGrid w:val="0"/>
        </w:rPr>
      </w:pPr>
      <w:bookmarkStart w:id="1" w:name="_Hlk106281431"/>
      <w:r w:rsidRPr="00DE7993">
        <w:t xml:space="preserve">Health </w:t>
      </w:r>
      <w:r>
        <w:t>i</w:t>
      </w:r>
      <w:r w:rsidRPr="00DE7993">
        <w:t xml:space="preserve">nformation </w:t>
      </w:r>
      <w:r>
        <w:t>t</w:t>
      </w:r>
      <w:r w:rsidRPr="00DE7993">
        <w:t xml:space="preserve">echnology </w:t>
      </w:r>
      <w:r>
        <w:t xml:space="preserve">(IT) </w:t>
      </w:r>
      <w:r w:rsidRPr="00DE7993">
        <w:t xml:space="preserve">is changing the </w:t>
      </w:r>
      <w:r w:rsidRPr="00DE7993">
        <w:t>patient</w:t>
      </w:r>
      <w:r w:rsidRPr="00DE7993">
        <w:t xml:space="preserve"> experience and </w:t>
      </w:r>
      <w:r>
        <w:t>how we do business in health</w:t>
      </w:r>
      <w:r w:rsidR="006A6E0A">
        <w:t xml:space="preserve"> </w:t>
      </w:r>
      <w:r>
        <w:t>care, including how</w:t>
      </w:r>
      <w:r w:rsidRPr="00DE7993">
        <w:t xml:space="preserve"> we enabl</w:t>
      </w:r>
      <w:r>
        <w:t xml:space="preserve">e patients </w:t>
      </w:r>
      <w:r w:rsidRPr="00DE7993">
        <w:t xml:space="preserve">to have </w:t>
      </w:r>
      <w:r>
        <w:t xml:space="preserve">better and more </w:t>
      </w:r>
      <w:r w:rsidRPr="00DE7993">
        <w:t xml:space="preserve">secure access to their own information. In May 2020, the Centers for Medicare &amp; Medicaid Services (CMS) finalized </w:t>
      </w:r>
      <w:r>
        <w:rPr>
          <w:snapToGrid w:val="0"/>
        </w:rPr>
        <w:t xml:space="preserve">certain policies </w:t>
      </w:r>
      <w:r w:rsidRPr="00DE7993">
        <w:rPr>
          <w:snapToGrid w:val="0"/>
        </w:rPr>
        <w:t xml:space="preserve">in the </w:t>
      </w:r>
      <w:r w:rsidR="00482373">
        <w:rPr>
          <w:snapToGrid w:val="0"/>
        </w:rPr>
        <w:t xml:space="preserve">2020 </w:t>
      </w:r>
      <w:r w:rsidRPr="00DE7993">
        <w:rPr>
          <w:snapToGrid w:val="0"/>
        </w:rPr>
        <w:t>CMS Interoperability and Patient Access final rule (85 FR 25510) that focused on advancing</w:t>
      </w:r>
      <w:r>
        <w:rPr>
          <w:snapToGrid w:val="0"/>
        </w:rPr>
        <w:t xml:space="preserve"> interoperability</w:t>
      </w:r>
      <w:r w:rsidRPr="00DE7993">
        <w:rPr>
          <w:snapToGrid w:val="0"/>
        </w:rPr>
        <w:t xml:space="preserve"> and improving patient access to their health information</w:t>
      </w:r>
      <w:r w:rsidR="00FC070D">
        <w:rPr>
          <w:snapToGrid w:val="0"/>
        </w:rPr>
        <w:t>, including</w:t>
      </w:r>
      <w:r w:rsidR="005A0425">
        <w:rPr>
          <w:snapToGrid w:val="0"/>
        </w:rPr>
        <w:t xml:space="preserve"> requirement</w:t>
      </w:r>
      <w:r w:rsidR="00462291">
        <w:rPr>
          <w:snapToGrid w:val="0"/>
        </w:rPr>
        <w:t>s</w:t>
      </w:r>
      <w:r w:rsidR="005A0425">
        <w:rPr>
          <w:snapToGrid w:val="0"/>
        </w:rPr>
        <w:t xml:space="preserve"> for</w:t>
      </w:r>
      <w:r w:rsidRPr="006446BC" w:rsidR="00FC070D">
        <w:t xml:space="preserve"> </w:t>
      </w:r>
      <w:r w:rsidR="00462291">
        <w:rPr>
          <w:snapToGrid w:val="0"/>
        </w:rPr>
        <w:t xml:space="preserve">all </w:t>
      </w:r>
      <w:r w:rsidR="00FC070D">
        <w:rPr>
          <w:snapToGrid w:val="0"/>
        </w:rPr>
        <w:t>impacted payers</w:t>
      </w:r>
      <w:r>
        <w:rPr>
          <w:rStyle w:val="FootnoteReference"/>
          <w:snapToGrid w:val="0"/>
          <w:vertAlign w:val="superscript"/>
        </w:rPr>
        <w:footnoteReference w:id="3"/>
      </w:r>
      <w:r w:rsidRPr="005C71B6" w:rsidR="00FC070D">
        <w:rPr>
          <w:snapToGrid w:val="0"/>
          <w:vertAlign w:val="superscript"/>
        </w:rPr>
        <w:t xml:space="preserve"> </w:t>
      </w:r>
      <w:r w:rsidR="00FC070D">
        <w:rPr>
          <w:snapToGrid w:val="0"/>
        </w:rPr>
        <w:t xml:space="preserve">to </w:t>
      </w:r>
      <w:r w:rsidR="00B714FB">
        <w:rPr>
          <w:snapToGrid w:val="0"/>
        </w:rPr>
        <w:t>develop</w:t>
      </w:r>
      <w:r w:rsidRPr="006446BC" w:rsidR="00392EA5">
        <w:t xml:space="preserve"> </w:t>
      </w:r>
      <w:r w:rsidR="00B714FB">
        <w:rPr>
          <w:snapToGrid w:val="0"/>
        </w:rPr>
        <w:t xml:space="preserve">and maintain a Patient Access </w:t>
      </w:r>
      <w:r w:rsidR="000B076A">
        <w:rPr>
          <w:snapToGrid w:val="0"/>
        </w:rPr>
        <w:t>Application Programming Interface (</w:t>
      </w:r>
      <w:r w:rsidR="00B714FB">
        <w:rPr>
          <w:snapToGrid w:val="0"/>
        </w:rPr>
        <w:t>API</w:t>
      </w:r>
      <w:r w:rsidR="000B076A">
        <w:rPr>
          <w:snapToGrid w:val="0"/>
        </w:rPr>
        <w:t>)</w:t>
      </w:r>
      <w:r w:rsidR="00462291">
        <w:rPr>
          <w:snapToGrid w:val="0"/>
        </w:rPr>
        <w:t xml:space="preserve"> and for certain impacted payers to develop and maintain a Provider Directory API</w:t>
      </w:r>
      <w:r w:rsidRPr="006446BC">
        <w:t xml:space="preserve">. </w:t>
      </w:r>
    </w:p>
    <w:p w:rsidR="00546CA3" w14:paraId="4A43531D" w14:textId="10D211DA">
      <w:pPr>
        <w:ind w:left="360"/>
      </w:pPr>
      <w:r>
        <w:rPr>
          <w:snapToGrid w:val="0"/>
        </w:rPr>
        <w:t>In</w:t>
      </w:r>
      <w:r w:rsidRPr="006446BC">
        <w:t xml:space="preserve"> </w:t>
      </w:r>
      <w:r>
        <w:rPr>
          <w:snapToGrid w:val="0"/>
        </w:rPr>
        <w:t>January 2024</w:t>
      </w:r>
      <w:r w:rsidRPr="006446BC">
        <w:t xml:space="preserve">, </w:t>
      </w:r>
      <w:r>
        <w:rPr>
          <w:snapToGrid w:val="0"/>
        </w:rPr>
        <w:t xml:space="preserve">CMS published the </w:t>
      </w:r>
      <w:r w:rsidR="00482373">
        <w:rPr>
          <w:snapToGrid w:val="0"/>
        </w:rPr>
        <w:t xml:space="preserve">2024 </w:t>
      </w:r>
      <w:r>
        <w:rPr>
          <w:snapToGrid w:val="0"/>
        </w:rPr>
        <w:t xml:space="preserve">CMS Interoperability and Prior </w:t>
      </w:r>
      <w:r w:rsidR="001C0404">
        <w:rPr>
          <w:snapToGrid w:val="0"/>
        </w:rPr>
        <w:t>Authorization</w:t>
      </w:r>
      <w:r>
        <w:rPr>
          <w:snapToGrid w:val="0"/>
        </w:rPr>
        <w:t xml:space="preserve"> final rule,</w:t>
      </w:r>
      <w:r w:rsidR="007A747C">
        <w:rPr>
          <w:snapToGrid w:val="0"/>
        </w:rPr>
        <w:t xml:space="preserve"> </w:t>
      </w:r>
      <w:bookmarkEnd w:id="1"/>
      <w:r>
        <w:t>which expands upon federal policies to improve data exchange and</w:t>
      </w:r>
      <w:r w:rsidR="00F843D1">
        <w:t xml:space="preserve"> </w:t>
      </w:r>
      <w:r>
        <w:t>reduce administrative burden within the health</w:t>
      </w:r>
      <w:r w:rsidR="006A6E0A">
        <w:t xml:space="preserve"> </w:t>
      </w:r>
      <w:r>
        <w:t>care system. This final rule require</w:t>
      </w:r>
      <w:r w:rsidR="00B714FB">
        <w:t>s</w:t>
      </w:r>
      <w:r>
        <w:t xml:space="preserve"> </w:t>
      </w:r>
      <w:r w:rsidR="006833BF">
        <w:t>impacted</w:t>
      </w:r>
      <w:r>
        <w:t xml:space="preserve"> payers</w:t>
      </w:r>
      <w:r>
        <w:rPr>
          <w:rStyle w:val="FootnoteReference"/>
          <w:vertAlign w:val="superscript"/>
        </w:rPr>
        <w:footnoteReference w:id="4"/>
      </w:r>
      <w:r>
        <w:t xml:space="preserve"> to develop </w:t>
      </w:r>
      <w:r w:rsidR="00392EA5">
        <w:t>and maintain</w:t>
      </w:r>
      <w:r w:rsidR="002B3267">
        <w:t xml:space="preserve"> </w:t>
      </w:r>
      <w:r w:rsidR="00392EA5">
        <w:t xml:space="preserve">Provider Access, </w:t>
      </w:r>
      <w:r w:rsidR="008A3A30">
        <w:t>Payer-to-Payer, and Prior Authorization APIs</w:t>
      </w:r>
      <w:r>
        <w:t xml:space="preserve">. </w:t>
      </w:r>
      <w:r w:rsidR="008A3A30">
        <w:t xml:space="preserve">It also requires payers to </w:t>
      </w:r>
      <w:r w:rsidR="00906DFD">
        <w:t xml:space="preserve">report metrics </w:t>
      </w:r>
      <w:r w:rsidR="00C901C7">
        <w:t xml:space="preserve">on </w:t>
      </w:r>
      <w:r w:rsidR="006429C7">
        <w:t>Patient Access API u</w:t>
      </w:r>
      <w:r w:rsidR="00C901C7">
        <w:t>sage</w:t>
      </w:r>
      <w:r w:rsidR="002F677A">
        <w:t xml:space="preserve"> to CMS</w:t>
      </w:r>
      <w:r w:rsidR="00C901C7">
        <w:t xml:space="preserve"> and </w:t>
      </w:r>
      <w:r w:rsidR="002F677A">
        <w:t xml:space="preserve">to publicly report </w:t>
      </w:r>
      <w:r w:rsidR="00C901C7">
        <w:t>prior authorization metrics</w:t>
      </w:r>
      <w:r w:rsidR="006429C7">
        <w:t xml:space="preserve"> for non-drug items and services</w:t>
      </w:r>
      <w:r>
        <w:t xml:space="preserve">. </w:t>
      </w:r>
      <w:r w:rsidR="00273D35">
        <w:t>For additional information about the requirements in the 2024 CMS Interoperability and Prior Authorization final rule, see 89 FR 8758.</w:t>
      </w:r>
    </w:p>
    <w:p w:rsidR="00273D35" w:rsidP="00273D35" w14:paraId="7AF6CDFB" w14:textId="4F5702DF">
      <w:pPr>
        <w:ind w:left="360"/>
      </w:pPr>
      <w:r>
        <w:t xml:space="preserve">On </w:t>
      </w:r>
      <w:r w:rsidR="00AD52A8">
        <w:t xml:space="preserve">April 14, 2026 </w:t>
      </w:r>
      <w:r>
        <w:t xml:space="preserve">, CMS published the </w:t>
      </w:r>
      <w:r w:rsidR="00F64FEB">
        <w:t>2026</w:t>
      </w:r>
      <w:r w:rsidR="00C70D8D">
        <w:t xml:space="preserve"> </w:t>
      </w:r>
      <w:r>
        <w:t>CMS Interoperability</w:t>
      </w:r>
      <w:r w:rsidR="00F64FEB">
        <w:t xml:space="preserve"> Standards</w:t>
      </w:r>
      <w:r>
        <w:t xml:space="preserve"> and Prior Authorization for Drugs proposed rule, which includes proposals that expand upon </w:t>
      </w:r>
      <w:r w:rsidR="00DE6856">
        <w:t xml:space="preserve">policies </w:t>
      </w:r>
      <w:r w:rsidR="006F1D4C">
        <w:t>finalized</w:t>
      </w:r>
      <w:r w:rsidR="00DE6856">
        <w:t xml:space="preserve"> in the previous</w:t>
      </w:r>
      <w:r w:rsidR="006F1D4C">
        <w:t>ly mentione</w:t>
      </w:r>
      <w:r w:rsidR="0077357D">
        <w:t>d</w:t>
      </w:r>
      <w:r w:rsidR="00DE6856">
        <w:t xml:space="preserve"> interoperability rules</w:t>
      </w:r>
      <w:r w:rsidR="00304E89">
        <w:t xml:space="preserve">, </w:t>
      </w:r>
      <w:r>
        <w:t xml:space="preserve">including </w:t>
      </w:r>
      <w:r w:rsidR="00F77CAE">
        <w:t>proposa</w:t>
      </w:r>
      <w:r w:rsidR="002B3267">
        <w:t>ls</w:t>
      </w:r>
      <w:r w:rsidR="00F77CAE">
        <w:t xml:space="preserve"> for impacted payers</w:t>
      </w:r>
      <w:r>
        <w:rPr>
          <w:rStyle w:val="FootnoteReference"/>
          <w:vertAlign w:val="superscript"/>
        </w:rPr>
        <w:footnoteReference w:id="5"/>
      </w:r>
      <w:r w:rsidR="00F77CAE">
        <w:t xml:space="preserve"> to </w:t>
      </w:r>
      <w:r w:rsidR="007B7EF9">
        <w:t>report</w:t>
      </w:r>
      <w:r w:rsidR="00F77CAE">
        <w:t xml:space="preserve"> </w:t>
      </w:r>
      <w:r>
        <w:t xml:space="preserve">metrics </w:t>
      </w:r>
      <w:r w:rsidR="007B7EF9">
        <w:t>on</w:t>
      </w:r>
      <w:r>
        <w:t xml:space="preserve"> Provider Access, Payer-to-Payer, and Prior Authorization API</w:t>
      </w:r>
      <w:r w:rsidR="007B7EF9">
        <w:t xml:space="preserve"> usage to CMS</w:t>
      </w:r>
      <w:r w:rsidR="004D529A">
        <w:t>,</w:t>
      </w:r>
      <w:r>
        <w:rPr>
          <w:rStyle w:val="FootnoteReference"/>
          <w:vertAlign w:val="superscript"/>
        </w:rPr>
        <w:footnoteReference w:id="6"/>
      </w:r>
      <w:r w:rsidR="004D529A">
        <w:t xml:space="preserve"> </w:t>
      </w:r>
      <w:r w:rsidR="00216665">
        <w:t xml:space="preserve">to </w:t>
      </w:r>
      <w:r w:rsidR="008E60FC">
        <w:t xml:space="preserve">publicly report </w:t>
      </w:r>
      <w:r>
        <w:t>additional prior authorization metrics</w:t>
      </w:r>
      <w:r w:rsidR="00A64E35">
        <w:t xml:space="preserve"> </w:t>
      </w:r>
      <w:r w:rsidR="008E60FC">
        <w:t>on</w:t>
      </w:r>
      <w:r w:rsidR="00A64E35">
        <w:t xml:space="preserve"> </w:t>
      </w:r>
      <w:r w:rsidR="0014192C">
        <w:t>non-drug items and services</w:t>
      </w:r>
      <w:r w:rsidR="006D2F81">
        <w:t xml:space="preserve">, </w:t>
      </w:r>
      <w:r w:rsidR="0014192C">
        <w:t>and</w:t>
      </w:r>
      <w:r w:rsidR="006D2F81">
        <w:t xml:space="preserve"> to publicly report</w:t>
      </w:r>
      <w:r w:rsidR="0014192C">
        <w:t xml:space="preserve"> </w:t>
      </w:r>
      <w:r w:rsidR="008E60FC">
        <w:t>prior authorization metrics on drugs</w:t>
      </w:r>
      <w:r>
        <w:t>.</w:t>
      </w:r>
      <w:r w:rsidR="008E60FC">
        <w:t xml:space="preserve"> This proposed rule also </w:t>
      </w:r>
      <w:r w:rsidR="0077357D">
        <w:t>proposes to</w:t>
      </w:r>
      <w:r w:rsidR="008E60FC">
        <w:t xml:space="preserve"> extend certain policies finalized in </w:t>
      </w:r>
      <w:r w:rsidR="00527EA7">
        <w:t xml:space="preserve">the </w:t>
      </w:r>
      <w:r w:rsidR="008E60FC">
        <w:t>previous interoperability r</w:t>
      </w:r>
      <w:r w:rsidR="00681574">
        <w:t>ules</w:t>
      </w:r>
      <w:r w:rsidR="008E60FC">
        <w:t xml:space="preserve"> to small group market </w:t>
      </w:r>
      <w:r w:rsidRPr="00E26A72" w:rsidR="00E26A72">
        <w:t xml:space="preserve">Qualified Health Plan </w:t>
      </w:r>
      <w:r w:rsidR="002B616C">
        <w:t>(</w:t>
      </w:r>
      <w:r w:rsidR="008E60FC">
        <w:t>QHP</w:t>
      </w:r>
      <w:r w:rsidR="002B616C">
        <w:t>)</w:t>
      </w:r>
      <w:r w:rsidR="008E60FC">
        <w:t xml:space="preserve"> issuer</w:t>
      </w:r>
      <w:r w:rsidR="00681574">
        <w:t>s</w:t>
      </w:r>
      <w:r w:rsidR="0022443A">
        <w:t xml:space="preserve"> on </w:t>
      </w:r>
      <w:r w:rsidR="0022443A">
        <w:t xml:space="preserve">the </w:t>
      </w:r>
      <w:r w:rsidRPr="0003310A" w:rsidR="0003310A">
        <w:t>Federally-facilitated Small Business Health Options Program</w:t>
      </w:r>
      <w:r w:rsidR="000F7E9A">
        <w:t>s</w:t>
      </w:r>
      <w:r w:rsidRPr="0003310A" w:rsidR="0003310A">
        <w:t xml:space="preserve"> </w:t>
      </w:r>
      <w:r w:rsidR="00C3714A">
        <w:t>(</w:t>
      </w:r>
      <w:r w:rsidR="007724AD">
        <w:t>FF-SHOPs</w:t>
      </w:r>
      <w:r w:rsidR="00C3714A">
        <w:t>)</w:t>
      </w:r>
      <w:r w:rsidR="008E60FC">
        <w:t>, including the requirement</w:t>
      </w:r>
      <w:r w:rsidR="009521C9">
        <w:t>s</w:t>
      </w:r>
      <w:r w:rsidR="008E60FC">
        <w:t xml:space="preserve"> </w:t>
      </w:r>
      <w:r w:rsidR="0077357D">
        <w:t xml:space="preserve">finalized </w:t>
      </w:r>
      <w:r w:rsidR="00681574">
        <w:t>in the 2024 CMS Interoperability and Prior Authorization final rule t</w:t>
      </w:r>
      <w:r w:rsidR="008E60FC">
        <w:t>o report metrics to CMS on Patient Access API usage and to publicly report non-drug prior authorization metrics</w:t>
      </w:r>
      <w:r w:rsidR="00681574">
        <w:t>.</w:t>
      </w:r>
      <w:r>
        <w:t xml:space="preserve"> </w:t>
      </w:r>
      <w:r w:rsidR="00D71C15">
        <w:t xml:space="preserve">Finally, this </w:t>
      </w:r>
      <w:r w:rsidR="000C62BA">
        <w:t xml:space="preserve">proposed </w:t>
      </w:r>
      <w:r w:rsidR="00D71C15">
        <w:t xml:space="preserve">rule proposes to require </w:t>
      </w:r>
      <w:r w:rsidR="00227A94">
        <w:t xml:space="preserve">impacted payers to report </w:t>
      </w:r>
      <w:r w:rsidR="00FB1335">
        <w:t xml:space="preserve">their </w:t>
      </w:r>
      <w:r w:rsidR="00227A94">
        <w:t xml:space="preserve">API </w:t>
      </w:r>
      <w:r w:rsidR="00D71C15">
        <w:t>endpoints</w:t>
      </w:r>
      <w:r w:rsidR="00227A94">
        <w:t xml:space="preserve"> and API documentation to CMS</w:t>
      </w:r>
      <w:r w:rsidR="00D71C15">
        <w:t xml:space="preserve"> to streamline access to </w:t>
      </w:r>
      <w:r w:rsidR="00227A94">
        <w:t>the</w:t>
      </w:r>
      <w:r w:rsidR="00783D20">
        <w:t xml:space="preserve"> Patient Access, Provider </w:t>
      </w:r>
      <w:r w:rsidR="001D325A">
        <w:t>Directory</w:t>
      </w:r>
      <w:r w:rsidR="00783D20">
        <w:t xml:space="preserve">, Provider </w:t>
      </w:r>
      <w:r w:rsidR="001D325A">
        <w:t>Access</w:t>
      </w:r>
      <w:r w:rsidR="00783D20">
        <w:t>, Payer-to-Payer, and Prior Authorization APIs (the “</w:t>
      </w:r>
      <w:r w:rsidR="00937779">
        <w:t>interoperability</w:t>
      </w:r>
      <w:r w:rsidR="00D71C15">
        <w:t xml:space="preserve"> APIs</w:t>
      </w:r>
      <w:r w:rsidR="00783D20">
        <w:t>”)</w:t>
      </w:r>
      <w:r w:rsidR="00227A94">
        <w:t xml:space="preserve"> finalized in </w:t>
      </w:r>
      <w:r w:rsidR="001F1013">
        <w:t xml:space="preserve">previous </w:t>
      </w:r>
      <w:r w:rsidR="00937779">
        <w:t>rulemaking</w:t>
      </w:r>
      <w:r w:rsidR="00D71C15">
        <w:t xml:space="preserve">. </w:t>
      </w:r>
      <w:r>
        <w:t xml:space="preserve">For additional information about the proposals in the </w:t>
      </w:r>
      <w:r w:rsidR="00F64FEB">
        <w:t>2026</w:t>
      </w:r>
      <w:r>
        <w:t xml:space="preserve"> CMS Interoperability </w:t>
      </w:r>
      <w:r w:rsidR="00F64FEB">
        <w:t xml:space="preserve">Standards </w:t>
      </w:r>
      <w:r>
        <w:t>and Prior Authorization for Drugs proposed rule, se</w:t>
      </w:r>
      <w:r w:rsidRPr="00AD52A8">
        <w:t>e [</w:t>
      </w:r>
      <w:r w:rsidRPr="00AD52A8" w:rsidR="00AD52A8">
        <w:t>91 FR 19890</w:t>
      </w:r>
      <w:r w:rsidRPr="00AD52A8">
        <w:t>]</w:t>
      </w:r>
      <w:r>
        <w:t xml:space="preserve">. </w:t>
      </w:r>
    </w:p>
    <w:p w:rsidR="00817204" w:rsidP="00652090" w14:paraId="2CDC4EB7" w14:textId="270B2D8A">
      <w:pPr>
        <w:ind w:left="360"/>
      </w:pPr>
      <w:r>
        <w:t>The</w:t>
      </w:r>
      <w:r w:rsidR="00216665">
        <w:t xml:space="preserve"> 2024 CMS Interoperability and Prior Authorization final rule </w:t>
      </w:r>
      <w:r w:rsidR="009601B9">
        <w:t>include</w:t>
      </w:r>
      <w:r w:rsidR="00AE646E">
        <w:t>d</w:t>
      </w:r>
      <w:r w:rsidR="009601B9">
        <w:t xml:space="preserve"> certain provisions that meet elements of the collections of information provisions under the Paperwork Reduction Act (PRA), described below. </w:t>
      </w:r>
      <w:r>
        <w:t xml:space="preserve">Certain </w:t>
      </w:r>
      <w:r w:rsidR="009601B9">
        <w:t xml:space="preserve">proposals in </w:t>
      </w:r>
      <w:r w:rsidR="00216665">
        <w:t xml:space="preserve">the </w:t>
      </w:r>
      <w:r w:rsidR="00F64FEB">
        <w:t>2026</w:t>
      </w:r>
      <w:r>
        <w:t xml:space="preserve"> </w:t>
      </w:r>
      <w:r w:rsidR="00216665">
        <w:t xml:space="preserve">CMS Interoperability </w:t>
      </w:r>
      <w:r w:rsidR="00F64FEB">
        <w:t xml:space="preserve">Standards </w:t>
      </w:r>
      <w:r w:rsidR="00216665">
        <w:t xml:space="preserve">and Prior Authorization for Drugs </w:t>
      </w:r>
      <w:r>
        <w:t xml:space="preserve">proposed rule </w:t>
      </w:r>
      <w:r w:rsidR="009601B9">
        <w:t>would also fall under the collection of information provisions described in the PRA, if finalized as proposed</w:t>
      </w:r>
      <w:r>
        <w:t xml:space="preserve">. </w:t>
      </w:r>
      <w:r>
        <w:t xml:space="preserve">For a description of the information collections in the 2024 CMS Interoperability and Prior Authorization final rule and the </w:t>
      </w:r>
      <w:r w:rsidR="00F64FEB">
        <w:t>2026</w:t>
      </w:r>
      <w:r>
        <w:t xml:space="preserve"> CMS Interoperability</w:t>
      </w:r>
      <w:r w:rsidR="00F64FEB">
        <w:t xml:space="preserve"> Standards</w:t>
      </w:r>
      <w:r>
        <w:t xml:space="preserve"> and Prior Authorization for Drugs proposed rule, see Section 1</w:t>
      </w:r>
      <w:r w:rsidR="00712641">
        <w:t>3</w:t>
      </w:r>
      <w:r>
        <w:t xml:space="preserve"> (</w:t>
      </w:r>
      <w:r w:rsidR="00712641">
        <w:t>Information Collections</w:t>
      </w:r>
      <w:r>
        <w:t xml:space="preserve">) </w:t>
      </w:r>
      <w:r w:rsidR="00712641">
        <w:t>in</w:t>
      </w:r>
      <w:r>
        <w:t xml:space="preserve"> this PRA package</w:t>
      </w:r>
      <w:r w:rsidR="00652090">
        <w:t>.</w:t>
      </w:r>
    </w:p>
    <w:p w:rsidR="00A529A1" w:rsidRPr="00800D22" w:rsidP="00DD6DEE" w14:paraId="248D472D" w14:textId="754AC848">
      <w:pPr>
        <w:pStyle w:val="Heading2"/>
      </w:pPr>
      <w:r>
        <w:rPr>
          <w:u w:val="none"/>
        </w:rPr>
        <w:t>B</w:t>
      </w:r>
      <w:r w:rsidRPr="00DD6DEE" w:rsidR="00DD6DEE">
        <w:rPr>
          <w:u w:val="none"/>
        </w:rPr>
        <w:t>.</w:t>
      </w:r>
      <w:r w:rsidRPr="00DD6DEE" w:rsidR="00DD6DEE">
        <w:rPr>
          <w:u w:val="none"/>
        </w:rPr>
        <w:tab/>
      </w:r>
      <w:r w:rsidRPr="00800D22">
        <w:t>Justification</w:t>
      </w:r>
    </w:p>
    <w:p w:rsidR="00101FD6" w:rsidP="002C4CD5" w14:paraId="6F692ABF" w14:textId="66EA3503">
      <w:pPr>
        <w:pStyle w:val="Heading3"/>
        <w:ind w:left="720"/>
      </w:pPr>
      <w:bookmarkStart w:id="2" w:name="_Hlk148944498"/>
      <w:r w:rsidRPr="007520E6">
        <w:t>Need and Legal Basis</w:t>
      </w:r>
    </w:p>
    <w:p w:rsidR="00101FD6" w:rsidP="002C4CD5" w14:paraId="191C3D25" w14:textId="2278FE6D">
      <w:pPr>
        <w:pStyle w:val="BodyText"/>
        <w:spacing w:before="0"/>
        <w:ind w:left="720" w:right="138"/>
      </w:pPr>
      <w:r>
        <w:t xml:space="preserve">The collections of information in the 2024 CMS Interoperability and Prior Authorization final rule and the proposed collections of information in the </w:t>
      </w:r>
      <w:r w:rsidR="00F64FEB">
        <w:t>2026</w:t>
      </w:r>
      <w:r>
        <w:t xml:space="preserve"> CMS Interoperability </w:t>
      </w:r>
      <w:r w:rsidR="00F64FEB">
        <w:t xml:space="preserve">Standards </w:t>
      </w:r>
      <w:r>
        <w:t>and Prior Authorization for Drugs proposed rule</w:t>
      </w:r>
      <w:r>
        <w:t xml:space="preserve"> support CMS</w:t>
      </w:r>
      <w:r w:rsidR="001D639E">
        <w:t>’</w:t>
      </w:r>
      <w:r>
        <w:t xml:space="preserve"> and other federal initiatives to advance interoperability</w:t>
      </w:r>
      <w:r>
        <w:rPr>
          <w:spacing w:val="-3"/>
        </w:rPr>
        <w:t xml:space="preserve"> </w:t>
      </w:r>
      <w:r>
        <w:t>and</w:t>
      </w:r>
      <w:r>
        <w:rPr>
          <w:spacing w:val="-3"/>
        </w:rPr>
        <w:t xml:space="preserve"> </w:t>
      </w:r>
      <w:r>
        <w:t>improve</w:t>
      </w:r>
      <w:r>
        <w:rPr>
          <w:spacing w:val="-4"/>
        </w:rPr>
        <w:t xml:space="preserve"> </w:t>
      </w:r>
      <w:r>
        <w:t>access</w:t>
      </w:r>
      <w:r>
        <w:rPr>
          <w:spacing w:val="-4"/>
        </w:rPr>
        <w:t xml:space="preserve"> </w:t>
      </w:r>
      <w:r>
        <w:t>to</w:t>
      </w:r>
      <w:r>
        <w:rPr>
          <w:spacing w:val="-3"/>
        </w:rPr>
        <w:t xml:space="preserve"> </w:t>
      </w:r>
      <w:r>
        <w:t>health</w:t>
      </w:r>
      <w:r>
        <w:rPr>
          <w:spacing w:val="-3"/>
        </w:rPr>
        <w:t xml:space="preserve"> </w:t>
      </w:r>
      <w:r>
        <w:t>information</w:t>
      </w:r>
      <w:r w:rsidR="00D02E30">
        <w:t xml:space="preserve"> for patients, providers, and payers</w:t>
      </w:r>
      <w:r>
        <w:t>,</w:t>
      </w:r>
      <w:r>
        <w:rPr>
          <w:spacing w:val="-3"/>
        </w:rPr>
        <w:t xml:space="preserve"> </w:t>
      </w:r>
      <w:r>
        <w:t>in</w:t>
      </w:r>
      <w:r>
        <w:rPr>
          <w:spacing w:val="-3"/>
        </w:rPr>
        <w:t xml:space="preserve"> </w:t>
      </w:r>
      <w:r>
        <w:t>alignment</w:t>
      </w:r>
      <w:r>
        <w:rPr>
          <w:spacing w:val="-4"/>
        </w:rPr>
        <w:t xml:space="preserve"> </w:t>
      </w:r>
      <w:r>
        <w:t>with</w:t>
      </w:r>
      <w:r>
        <w:rPr>
          <w:spacing w:val="-3"/>
        </w:rPr>
        <w:t xml:space="preserve"> </w:t>
      </w:r>
      <w:r>
        <w:t>goals</w:t>
      </w:r>
      <w:r>
        <w:rPr>
          <w:spacing w:val="-4"/>
        </w:rPr>
        <w:t xml:space="preserve"> </w:t>
      </w:r>
      <w:r>
        <w:t>to</w:t>
      </w:r>
      <w:r>
        <w:rPr>
          <w:spacing w:val="-4"/>
        </w:rPr>
        <w:t xml:space="preserve"> </w:t>
      </w:r>
      <w:r>
        <w:t>improve health</w:t>
      </w:r>
      <w:r w:rsidR="006A6E0A">
        <w:t xml:space="preserve"> </w:t>
      </w:r>
      <w:r>
        <w:t xml:space="preserve">care. The established legal bases for </w:t>
      </w:r>
      <w:r>
        <w:t>these information collections</w:t>
      </w:r>
      <w:r>
        <w:t xml:space="preserve"> are identified below.</w:t>
      </w:r>
    </w:p>
    <w:p w:rsidR="00CB77E4" w:rsidP="00F11E57" w14:paraId="4C470FD4" w14:textId="77777777">
      <w:pPr>
        <w:pStyle w:val="BodyText"/>
        <w:spacing w:before="0"/>
        <w:ind w:left="795" w:right="138"/>
      </w:pPr>
    </w:p>
    <w:p w:rsidR="00E36772" w:rsidP="00FE6961" w14:paraId="7F6B7504" w14:textId="28F1C8F6">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Section 1852(d)(1)(A) of the Social Security Act (the Act) (</w:t>
      </w:r>
      <w:r w:rsidRPr="00413E44" w:rsidR="00D857ED">
        <w:t>requires MA organizations</w:t>
      </w:r>
      <w:r w:rsidR="00D857ED">
        <w:t xml:space="preserve"> to </w:t>
      </w:r>
      <w:r w:rsidRPr="00413E44" w:rsidR="00D857ED">
        <w:t>make covered benefits available and accessible to enrollees in a manner that assures continuity in the provision of benefits</w:t>
      </w:r>
      <w:r w:rsidR="00476235">
        <w:t xml:space="preserve"> as a condition of using a network of providers</w:t>
      </w:r>
      <w:r w:rsidR="00D857ED">
        <w:t>)</w:t>
      </w:r>
      <w:r w:rsidR="003A02AE">
        <w:t>.</w:t>
      </w:r>
    </w:p>
    <w:p w:rsidR="00E36772" w:rsidP="00FE6961" w14:paraId="34EF3F93" w14:textId="57DE5B43">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Section 1852(g)(1)(A) of the Act (</w:t>
      </w:r>
      <w:r w:rsidRPr="00413E44" w:rsidR="00D857ED">
        <w:t xml:space="preserve">requires MA </w:t>
      </w:r>
      <w:r w:rsidR="00D857ED">
        <w:t xml:space="preserve">organizations </w:t>
      </w:r>
      <w:r w:rsidRPr="00413E44" w:rsidR="00D857ED">
        <w:t xml:space="preserve">to have a procedure for making determinations about whether an enrollee is entitled to receive a health service, how much the enrollee is required to pay, and to provide </w:t>
      </w:r>
      <w:r w:rsidRPr="00413E44" w:rsidR="00D857ED">
        <w:t>an</w:t>
      </w:r>
      <w:r w:rsidRPr="00413E44" w:rsidR="00D857ED">
        <w:t xml:space="preserve"> enrollee with a written notice if the plan denies coverage</w:t>
      </w:r>
      <w:r w:rsidR="00D857ED">
        <w:t xml:space="preserve">; </w:t>
      </w:r>
      <w:r w:rsidRPr="00413E44" w:rsidR="00D857ED">
        <w:t>requires that coverage determinations be made on a timely basis</w:t>
      </w:r>
      <w:r w:rsidR="00D857ED">
        <w:t>)</w:t>
      </w:r>
      <w:r w:rsidR="003A02AE">
        <w:t>.</w:t>
      </w:r>
    </w:p>
    <w:p w:rsidR="00E36772" w:rsidP="00FE6961" w14:paraId="4B54F3B7" w14:textId="16C6348C">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Section 1852(h) of the Act (</w:t>
      </w:r>
      <w:r w:rsidR="00D857ED">
        <w:t xml:space="preserve">requires </w:t>
      </w:r>
      <w:r w:rsidRPr="00413E44" w:rsidR="00D857ED">
        <w:t>MA organizations</w:t>
      </w:r>
      <w:r w:rsidR="00D857ED">
        <w:t xml:space="preserve"> to</w:t>
      </w:r>
      <w:r w:rsidRPr="00413E44" w:rsidR="00D857ED">
        <w:t xml:space="preserve"> have procedures to maintain accurate and timely medical records and </w:t>
      </w:r>
      <w:r w:rsidR="00476235">
        <w:t xml:space="preserve">other </w:t>
      </w:r>
      <w:r w:rsidRPr="00413E44" w:rsidR="00D857ED">
        <w:t xml:space="preserve">health information regarding enrollees and to assure enrollees </w:t>
      </w:r>
      <w:r w:rsidR="00D857ED">
        <w:t xml:space="preserve">have </w:t>
      </w:r>
      <w:r w:rsidRPr="00413E44" w:rsidR="00D857ED">
        <w:t xml:space="preserve">timely access to </w:t>
      </w:r>
      <w:r w:rsidR="00D857ED">
        <w:t>those records and information)</w:t>
      </w:r>
      <w:r w:rsidR="003A02AE">
        <w:t>.</w:t>
      </w:r>
    </w:p>
    <w:p w:rsidR="00E36772" w:rsidP="00FE6961" w14:paraId="38F43D3B" w14:textId="3B49ECDA">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Section 1856(b) of the Act (authorizes the Secretary to establish regulatory standards for MA organizations that are consistent with and carry out Part C of the Medicare statute, including the provisions in section 1852 of the Act)</w:t>
      </w:r>
      <w:r w:rsidR="003A02AE">
        <w:t>.</w:t>
      </w:r>
    </w:p>
    <w:p w:rsidR="00E36772" w:rsidP="00FE6961" w14:paraId="08B69B2A" w14:textId="4461215D">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rsidRPr="00D54F70">
        <w:t xml:space="preserve">Section 1857(e)(1) of the Act </w:t>
      </w:r>
      <w:r w:rsidR="00B2487A">
        <w:t xml:space="preserve">(requires that </w:t>
      </w:r>
      <w:r w:rsidR="00C027D9">
        <w:t xml:space="preserve">MA </w:t>
      </w:r>
      <w:r w:rsidR="00B2487A">
        <w:t>organizations add contract terms determined by the Secretary to be “necessary and appropriate”)</w:t>
      </w:r>
      <w:r w:rsidR="003A02AE">
        <w:t>.</w:t>
      </w:r>
    </w:p>
    <w:p w:rsidR="00E36772" w:rsidP="00FE6961" w14:paraId="7BCF644F" w14:textId="5CA59E3A">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rsidRPr="00D54F70">
        <w:t>Section 1902(a)(4)</w:t>
      </w:r>
      <w:r w:rsidR="0034304B">
        <w:t xml:space="preserve"> of the Act</w:t>
      </w:r>
      <w:r w:rsidR="00B2487A">
        <w:t xml:space="preserve"> (requires state Medicaid plans to provide such methods of administration as are found by the Secretary to be necessary for proper and efficient operation of the state Medicaid plan)</w:t>
      </w:r>
      <w:r w:rsidR="003A02AE">
        <w:t>.</w:t>
      </w:r>
    </w:p>
    <w:p w:rsidR="00E36772" w:rsidP="00FE6961" w14:paraId="3B8E5C81" w14:textId="5355EF71">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Section 1902(a)</w:t>
      </w:r>
      <w:r w:rsidRPr="00D54F70" w:rsidR="00101FD6">
        <w:t>(6)</w:t>
      </w:r>
      <w:r>
        <w:t xml:space="preserve"> of the Act</w:t>
      </w:r>
      <w:r w:rsidR="0093671F">
        <w:t xml:space="preserve"> </w:t>
      </w:r>
      <w:r w:rsidRPr="0093671F" w:rsidR="0093671F">
        <w:t xml:space="preserve">(requires </w:t>
      </w:r>
      <w:r w:rsidR="00FC6643">
        <w:t>states to make reports in a form and containing information required by the Secretary</w:t>
      </w:r>
      <w:r w:rsidRPr="0093671F" w:rsidR="0093671F">
        <w:t>)</w:t>
      </w:r>
      <w:r w:rsidR="003A02AE">
        <w:t>.</w:t>
      </w:r>
    </w:p>
    <w:p w:rsidR="00E36772" w:rsidP="00FE6961" w14:paraId="2EC1D139" w14:textId="3B8AFDCC">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Section 1902(a)</w:t>
      </w:r>
      <w:r w:rsidR="00EE0FB7">
        <w:t>(8)</w:t>
      </w:r>
      <w:r>
        <w:t xml:space="preserve"> of the Act</w:t>
      </w:r>
      <w:r w:rsidR="00B2487A">
        <w:t xml:space="preserve"> (requires states to ensure that Medicaid services are furnished with reasonable promptness to all eligible individuals)</w:t>
      </w:r>
      <w:r w:rsidR="003A02AE">
        <w:t>.</w:t>
      </w:r>
    </w:p>
    <w:p w:rsidR="00E36772" w:rsidP="00FE6961" w14:paraId="70604060" w14:textId="48351827">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Section 1902(a)(</w:t>
      </w:r>
      <w:r w:rsidRPr="00D54F70" w:rsidR="00101FD6">
        <w:t xml:space="preserve">19) of the Act </w:t>
      </w:r>
      <w:r w:rsidR="00B2487A">
        <w:t>(requires states to ensure that care and services under a Medicaid state plan are provided in a manner consistent with simplicity of administration and the best interests of the recipients)</w:t>
      </w:r>
      <w:r w:rsidR="003A02AE">
        <w:t>.</w:t>
      </w:r>
    </w:p>
    <w:p w:rsidR="00E36772" w:rsidP="00FE6961" w14:paraId="09FB1231" w14:textId="394C527F">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Section 1903(m)(2)(A)(xi) of the Act (requires that contracts with Medicaid managed care organizations</w:t>
      </w:r>
      <w:r w:rsidR="00FC2BC3">
        <w:t xml:space="preserve"> </w:t>
      </w:r>
      <w:r w:rsidR="000E48DE">
        <w:t>[</w:t>
      </w:r>
      <w:r w:rsidR="00FC2BC3">
        <w:t>MCOs</w:t>
      </w:r>
      <w:r w:rsidR="000E48DE">
        <w:t>]</w:t>
      </w:r>
      <w:r>
        <w:t xml:space="preserve"> include provisions that ensure compliance with applicable requirements)</w:t>
      </w:r>
      <w:r w:rsidR="003A02AE">
        <w:t>.</w:t>
      </w:r>
    </w:p>
    <w:p w:rsidR="00C0389A" w:rsidP="00FE6961" w14:paraId="62A48422" w14:textId="67FE6857">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 xml:space="preserve">Section 1932(a) </w:t>
      </w:r>
      <w:r w:rsidR="006F7BD6">
        <w:t>of the Act (</w:t>
      </w:r>
      <w:r>
        <w:t>provides authority for states to implement managed care arrangements and includes certain waiver provisions</w:t>
      </w:r>
      <w:r w:rsidR="006F7BD6">
        <w:t>)</w:t>
      </w:r>
      <w:r>
        <w:t>.</w:t>
      </w:r>
    </w:p>
    <w:p w:rsidR="00E36772" w:rsidRPr="00000941" w:rsidP="00FE6961" w14:paraId="25FCE46E" w14:textId="59EEA92C">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 xml:space="preserve">Section </w:t>
      </w:r>
      <w:r w:rsidR="00CB77E4">
        <w:t>1932</w:t>
      </w:r>
      <w:r w:rsidR="00EE0FB7">
        <w:t>(c)</w:t>
      </w:r>
      <w:r w:rsidR="00CB77E4">
        <w:t>(1</w:t>
      </w:r>
      <w:r w:rsidRPr="007A6A57" w:rsidR="00CB77E4">
        <w:t>)(A)(</w:t>
      </w:r>
      <w:r w:rsidRPr="007A6A57" w:rsidR="00CB77E4">
        <w:t>i</w:t>
      </w:r>
      <w:r w:rsidRPr="007A6A57" w:rsidR="00CB77E4">
        <w:t>)</w:t>
      </w:r>
      <w:r w:rsidRPr="007A6A57">
        <w:t xml:space="preserve"> of</w:t>
      </w:r>
      <w:r>
        <w:t xml:space="preserve"> the Act</w:t>
      </w:r>
      <w:r w:rsidR="00B2487A">
        <w:t xml:space="preserve"> (</w:t>
      </w:r>
      <w:r w:rsidRPr="00E36772" w:rsidR="00B2487A">
        <w:rPr>
          <w:rFonts w:eastAsia="Calibri"/>
        </w:rPr>
        <w:t xml:space="preserve">requires </w:t>
      </w:r>
      <w:r w:rsidRPr="00E36772" w:rsidR="002A126A">
        <w:rPr>
          <w:rFonts w:eastAsia="Calibri"/>
        </w:rPr>
        <w:t xml:space="preserve">states </w:t>
      </w:r>
      <w:r w:rsidRPr="00E36772" w:rsidR="00202224">
        <w:rPr>
          <w:rFonts w:eastAsia="Calibri"/>
        </w:rPr>
        <w:t xml:space="preserve">that </w:t>
      </w:r>
      <w:r w:rsidRPr="00E36772" w:rsidR="00B2487A">
        <w:rPr>
          <w:rFonts w:eastAsia="Calibri"/>
        </w:rPr>
        <w:t xml:space="preserve">contract with Medicaid </w:t>
      </w:r>
      <w:r w:rsidRPr="00E36772" w:rsidR="00FC2BC3">
        <w:rPr>
          <w:rFonts w:eastAsia="Calibri"/>
        </w:rPr>
        <w:t>MCOs</w:t>
      </w:r>
      <w:r w:rsidRPr="00E36772" w:rsidR="002A126A">
        <w:rPr>
          <w:rFonts w:eastAsia="Calibri"/>
        </w:rPr>
        <w:t xml:space="preserve"> </w:t>
      </w:r>
      <w:r w:rsidRPr="00E36772" w:rsidR="00B2487A">
        <w:rPr>
          <w:rFonts w:eastAsia="Calibri"/>
        </w:rPr>
        <w:t>to develop and implement a quality assessment and improvement strategy that includes standards for access to care so that covered services are available within reasonable timeframes)</w:t>
      </w:r>
      <w:r w:rsidR="003A02AE">
        <w:rPr>
          <w:rFonts w:eastAsia="Calibri"/>
        </w:rPr>
        <w:t>.</w:t>
      </w:r>
    </w:p>
    <w:p w:rsidR="00C0389A" w:rsidRPr="00E36772" w:rsidP="00FE6961" w14:paraId="73F25856" w14:textId="0B185FAA">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 xml:space="preserve">Section 1932(d)(1) </w:t>
      </w:r>
      <w:r w:rsidR="009C5545">
        <w:t>of the Act (</w:t>
      </w:r>
      <w:r>
        <w:t>establishes that managed care entities must comply with requirements the Secretary determines necessary to carry out the purposes of the Medicaid program</w:t>
      </w:r>
      <w:r w:rsidR="00AE575B">
        <w:t>)</w:t>
      </w:r>
      <w:r>
        <w:t>.</w:t>
      </w:r>
    </w:p>
    <w:p w:rsidR="00E36772" w:rsidP="00FE6961" w14:paraId="36DFC1EF" w14:textId="2907AD54">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Section 2101(a) of the Act</w:t>
      </w:r>
      <w:r w:rsidR="002A126A">
        <w:t xml:space="preserve"> (</w:t>
      </w:r>
      <w:r w:rsidR="009C3F18">
        <w:t>states that the purpose of</w:t>
      </w:r>
      <w:r w:rsidR="002A126A">
        <w:t xml:space="preserve"> Title XXI of the Act is to provide funds to states to provide child health assistance to uninsured, low-income children in an effective and efficient manner that is coordinated with other sources of health benefits coverage)</w:t>
      </w:r>
      <w:r w:rsidR="003A02AE">
        <w:t>.</w:t>
      </w:r>
    </w:p>
    <w:p w:rsidR="00E36772" w:rsidRPr="00E36772" w:rsidP="00FE6961" w14:paraId="563D65A7" w14:textId="2D00E9CA">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rsidRPr="00D54F70">
        <w:t xml:space="preserve">Section 2107(b)(1) of the Act </w:t>
      </w:r>
      <w:r w:rsidR="002A126A">
        <w:t xml:space="preserve">(requires </w:t>
      </w:r>
      <w:r w:rsidR="00FC6643">
        <w:t>state CHIP agencies</w:t>
      </w:r>
      <w:r w:rsidR="002A126A">
        <w:t xml:space="preserve"> </w:t>
      </w:r>
      <w:r w:rsidR="00FC6643">
        <w:t>to</w:t>
      </w:r>
      <w:r w:rsidR="002A126A">
        <w:t xml:space="preserve"> collect data, maintain </w:t>
      </w:r>
      <w:r w:rsidRPr="00E36772" w:rsidR="002A126A">
        <w:rPr>
          <w:rFonts w:eastAsia="Calibri"/>
        </w:rPr>
        <w:t xml:space="preserve">records, and furnish reports </w:t>
      </w:r>
      <w:r w:rsidRPr="00E36772" w:rsidR="00FC6643">
        <w:rPr>
          <w:rFonts w:eastAsia="Calibri"/>
        </w:rPr>
        <w:t xml:space="preserve">in order </w:t>
      </w:r>
      <w:r w:rsidRPr="00E36772" w:rsidR="002A126A">
        <w:rPr>
          <w:rFonts w:eastAsia="Calibri"/>
        </w:rPr>
        <w:t>to</w:t>
      </w:r>
      <w:r w:rsidRPr="00E36772" w:rsidR="002A126A">
        <w:rPr>
          <w:rFonts w:eastAsia="Calibri"/>
        </w:rPr>
        <w:t xml:space="preserve"> enable the Secretary to monitor state program administration and compliance and to evaluate and compare the effectiveness of state plans under Title XXI of </w:t>
      </w:r>
      <w:r w:rsidRPr="00E36772" w:rsidR="009C3F18">
        <w:rPr>
          <w:rFonts w:eastAsia="Calibri"/>
        </w:rPr>
        <w:t>the Act</w:t>
      </w:r>
      <w:r w:rsidRPr="00E36772" w:rsidR="002A126A">
        <w:rPr>
          <w:rFonts w:eastAsia="Calibri"/>
        </w:rPr>
        <w:t>)</w:t>
      </w:r>
      <w:bookmarkEnd w:id="2"/>
      <w:r w:rsidR="003A02AE">
        <w:rPr>
          <w:rFonts w:eastAsia="Calibri"/>
        </w:rPr>
        <w:t>.</w:t>
      </w:r>
    </w:p>
    <w:p w:rsidR="00E36772" w:rsidP="00FE6961" w14:paraId="45D1C92C" w14:textId="2CF7FBA2">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 xml:space="preserve">Section 1311(e)(1)(A) of the </w:t>
      </w:r>
      <w:r w:rsidRPr="00D54F70">
        <w:t>Patient Protection and Affordable Care Act</w:t>
      </w:r>
      <w:r w:rsidR="00C63BFA">
        <w:t xml:space="preserve"> (Affordable Care Act)</w:t>
      </w:r>
      <w:r>
        <w:t xml:space="preserve"> (requires that </w:t>
      </w:r>
      <w:r w:rsidR="00897CE3">
        <w:t>Exchanges only certify plans as</w:t>
      </w:r>
      <w:r>
        <w:t xml:space="preserve"> QHPs</w:t>
      </w:r>
      <w:r w:rsidR="00897CE3">
        <w:t xml:space="preserve"> if they</w:t>
      </w:r>
      <w:r>
        <w:t xml:space="preserve"> meet the requirements for certification promulgated </w:t>
      </w:r>
      <w:r w:rsidR="00897CE3">
        <w:t>by the Secretary</w:t>
      </w:r>
      <w:r>
        <w:t xml:space="preserve"> </w:t>
      </w:r>
      <w:r w:rsidR="00544AAB">
        <w:t>under section 1311(c)(1) of the Affordable Care Act</w:t>
      </w:r>
      <w:r>
        <w:t>)</w:t>
      </w:r>
      <w:r w:rsidR="003A02AE">
        <w:t>.</w:t>
      </w:r>
    </w:p>
    <w:p w:rsidR="00FE135D" w:rsidRPr="00101FD6" w:rsidP="00FE6961" w14:paraId="77806B5E" w14:textId="5E825CB2">
      <w:pPr>
        <w:pStyle w:val="ListParagraph"/>
        <w:numPr>
          <w:ilvl w:val="0"/>
          <w:numId w:val="6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1152"/>
      </w:pPr>
      <w:r>
        <w:t>Section</w:t>
      </w:r>
      <w:r w:rsidR="00CB77E4">
        <w:t xml:space="preserve"> 1311(e)(1)(B)</w:t>
      </w:r>
      <w:r>
        <w:t xml:space="preserve"> of </w:t>
      </w:r>
      <w:r w:rsidRPr="00D54F70">
        <w:t>Affordable Care Act</w:t>
      </w:r>
      <w:r w:rsidR="00643681">
        <w:t xml:space="preserve"> (provides discretion to certify QHPs if </w:t>
      </w:r>
      <w:r w:rsidR="00476235">
        <w:t xml:space="preserve">the </w:t>
      </w:r>
      <w:r w:rsidR="00643681">
        <w:t>Exchange determines that making such health plans</w:t>
      </w:r>
      <w:r w:rsidR="009C3F18">
        <w:t xml:space="preserve"> available</w:t>
      </w:r>
      <w:r w:rsidR="00643681">
        <w:t xml:space="preserve"> is in the interests of qualified individuals</w:t>
      </w:r>
      <w:r w:rsidR="00476235">
        <w:t xml:space="preserve"> </w:t>
      </w:r>
      <w:r w:rsidR="002C2B10">
        <w:t xml:space="preserve">and </w:t>
      </w:r>
      <w:r w:rsidR="00476235">
        <w:t xml:space="preserve">qualified employers in the state </w:t>
      </w:r>
      <w:r w:rsidR="00897CE3">
        <w:t>or states</w:t>
      </w:r>
      <w:r w:rsidR="00476235">
        <w:t xml:space="preserve"> in which </w:t>
      </w:r>
      <w:r w:rsidR="00897CE3">
        <w:t>such</w:t>
      </w:r>
      <w:r w:rsidR="00476235">
        <w:t xml:space="preserve"> Exchange operates</w:t>
      </w:r>
      <w:r w:rsidR="00643681">
        <w:t>)</w:t>
      </w:r>
      <w:r w:rsidR="003A02AE">
        <w:t>.</w:t>
      </w:r>
    </w:p>
    <w:p w:rsidR="00A529A1" w:rsidRPr="007520E6" w:rsidP="002C4CD5" w14:paraId="4A879EC9" w14:textId="0A55376A">
      <w:pPr>
        <w:pStyle w:val="Heading3"/>
        <w:ind w:left="720"/>
      </w:pPr>
      <w:r w:rsidRPr="007520E6">
        <w:t>Information Users</w:t>
      </w:r>
    </w:p>
    <w:p w:rsidR="00DD51F6" w:rsidP="002C4CD5" w14:paraId="7AD4B628" w14:textId="365540F5">
      <w:pPr>
        <w:pStyle w:val="NormalIndent"/>
        <w:tabs>
          <w:tab w:val="left" w:pos="720"/>
        </w:tabs>
        <w:ind w:left="720"/>
        <w:rPr>
          <w:color w:val="FF0000"/>
        </w:rPr>
      </w:pPr>
      <w:r>
        <w:t xml:space="preserve">CMS will </w:t>
      </w:r>
      <w:r w:rsidR="00BE07D9">
        <w:t>(or would, for proposal</w:t>
      </w:r>
      <w:r w:rsidR="00625494">
        <w:t>s</w:t>
      </w:r>
      <w:r w:rsidR="00BE07D9">
        <w:t xml:space="preserve"> not yet finalized) </w:t>
      </w:r>
      <w:r>
        <w:t xml:space="preserve">be the information user of </w:t>
      </w:r>
      <w:r w:rsidR="00CA15BE">
        <w:t>Patient Access, Provider Access, Payer-to-Payer, and Prior Authorization API usage</w:t>
      </w:r>
      <w:r>
        <w:t xml:space="preserve"> metrics</w:t>
      </w:r>
      <w:r w:rsidR="00CD629E">
        <w:t xml:space="preserve">. </w:t>
      </w:r>
      <w:r>
        <w:t>CMS</w:t>
      </w:r>
      <w:r>
        <w:rPr>
          <w:spacing w:val="-2"/>
        </w:rPr>
        <w:t xml:space="preserve"> </w:t>
      </w:r>
      <w:r w:rsidRPr="00272348">
        <w:t>will</w:t>
      </w:r>
      <w:r w:rsidR="00272348">
        <w:t xml:space="preserve"> </w:t>
      </w:r>
      <w:r>
        <w:t>use</w:t>
      </w:r>
      <w:r>
        <w:rPr>
          <w:spacing w:val="-3"/>
        </w:rPr>
        <w:t xml:space="preserve"> </w:t>
      </w:r>
      <w:r>
        <w:t>the</w:t>
      </w:r>
      <w:r>
        <w:rPr>
          <w:spacing w:val="-3"/>
        </w:rPr>
        <w:t xml:space="preserve"> </w:t>
      </w:r>
      <w:r>
        <w:t>information</w:t>
      </w:r>
      <w:r>
        <w:rPr>
          <w:spacing w:val="-2"/>
        </w:rPr>
        <w:t xml:space="preserve"> </w:t>
      </w:r>
      <w:r>
        <w:t>it</w:t>
      </w:r>
      <w:r>
        <w:rPr>
          <w:spacing w:val="-2"/>
        </w:rPr>
        <w:t xml:space="preserve"> </w:t>
      </w:r>
      <w:r>
        <w:t>collects</w:t>
      </w:r>
      <w:r>
        <w:rPr>
          <w:spacing w:val="-3"/>
        </w:rPr>
        <w:t xml:space="preserve"> </w:t>
      </w:r>
      <w:r w:rsidR="003A4318">
        <w:rPr>
          <w:spacing w:val="-3"/>
        </w:rPr>
        <w:t xml:space="preserve">about </w:t>
      </w:r>
      <w:r w:rsidR="001E41D6">
        <w:rPr>
          <w:spacing w:val="-3"/>
        </w:rPr>
        <w:t xml:space="preserve">use of </w:t>
      </w:r>
      <w:r w:rsidR="003A4318">
        <w:rPr>
          <w:spacing w:val="-3"/>
        </w:rPr>
        <w:t xml:space="preserve">the Patient Access API </w:t>
      </w:r>
      <w:r>
        <w:t>to</w:t>
      </w:r>
      <w:r>
        <w:rPr>
          <w:spacing w:val="-2"/>
        </w:rPr>
        <w:t xml:space="preserve"> </w:t>
      </w:r>
      <w:r>
        <w:t>better</w:t>
      </w:r>
      <w:r>
        <w:rPr>
          <w:spacing w:val="-2"/>
        </w:rPr>
        <w:t xml:space="preserve"> </w:t>
      </w:r>
      <w:r>
        <w:t xml:space="preserve">understand whether </w:t>
      </w:r>
      <w:r w:rsidR="003A4318">
        <w:t>that</w:t>
      </w:r>
      <w:r>
        <w:t xml:space="preserve"> API is provid</w:t>
      </w:r>
      <w:r w:rsidR="009E15B8">
        <w:t>ing</w:t>
      </w:r>
      <w:r>
        <w:t xml:space="preserve"> patients</w:t>
      </w:r>
      <w:r w:rsidR="008250B9">
        <w:t xml:space="preserve"> with</w:t>
      </w:r>
      <w:r>
        <w:t xml:space="preserve"> access to their health information</w:t>
      </w:r>
      <w:r w:rsidR="008F77D6">
        <w:t xml:space="preserve"> and would use the information that it would collect from small group market QHP issuers </w:t>
      </w:r>
      <w:r w:rsidR="0022443A">
        <w:t xml:space="preserve">on the </w:t>
      </w:r>
      <w:r w:rsidR="007724AD">
        <w:t xml:space="preserve">FF-SHOPs </w:t>
      </w:r>
      <w:r w:rsidR="008F77D6">
        <w:t>in the same way</w:t>
      </w:r>
      <w:r>
        <w:t>.</w:t>
      </w:r>
      <w:r w:rsidR="00CB5CEF">
        <w:t xml:space="preserve"> CMS would use </w:t>
      </w:r>
      <w:r w:rsidR="008437EC">
        <w:t>the information</w:t>
      </w:r>
      <w:r w:rsidR="00BE07D9">
        <w:t xml:space="preserve"> it </w:t>
      </w:r>
      <w:r w:rsidR="00DC7334">
        <w:t xml:space="preserve">would </w:t>
      </w:r>
      <w:r w:rsidR="00BE07D9">
        <w:t xml:space="preserve">collect about the use of the Provider </w:t>
      </w:r>
      <w:r w:rsidR="003D7AAD">
        <w:t>Access,</w:t>
      </w:r>
      <w:r w:rsidR="00BE07D9">
        <w:t xml:space="preserve"> Payer-to-Payer, and Prior Authorization APIs</w:t>
      </w:r>
      <w:r w:rsidR="008437EC">
        <w:t xml:space="preserve"> </w:t>
      </w:r>
      <w:r w:rsidR="001E41D6">
        <w:t>t</w:t>
      </w:r>
      <w:r>
        <w:t>o better understand whether these APIs support treatment, coordinate patient care, and streamline prior authorization processes.</w:t>
      </w:r>
    </w:p>
    <w:p w:rsidR="009C1A31" w:rsidP="002C4CD5" w14:paraId="0AEC41A6" w14:textId="0ABE5B53">
      <w:pPr>
        <w:pStyle w:val="BodyText"/>
        <w:tabs>
          <w:tab w:val="left" w:pos="720"/>
        </w:tabs>
        <w:spacing w:before="80" w:after="240"/>
        <w:ind w:left="720" w:right="206"/>
      </w:pPr>
      <w:r>
        <w:t xml:space="preserve">Payers, patients, and providers will </w:t>
      </w:r>
      <w:r w:rsidR="00BE07D9">
        <w:t>(or would, for proposals not yet finalized)</w:t>
      </w:r>
      <w:r>
        <w:t xml:space="preserve"> be the information users of the </w:t>
      </w:r>
      <w:r w:rsidR="00BE07D9">
        <w:t xml:space="preserve">publicly reported </w:t>
      </w:r>
      <w:r>
        <w:t>prior authorization metrics</w:t>
      </w:r>
      <w:r w:rsidR="00BE07D9">
        <w:t>.</w:t>
      </w:r>
      <w:r w:rsidR="008437EC">
        <w:t xml:space="preserve"> </w:t>
      </w:r>
      <w:r>
        <w:t>Payers</w:t>
      </w:r>
      <w:r>
        <w:rPr>
          <w:spacing w:val="-3"/>
        </w:rPr>
        <w:t xml:space="preserve"> </w:t>
      </w:r>
      <w:r w:rsidR="00EA5C45">
        <w:t>could</w:t>
      </w:r>
      <w:r w:rsidR="00EA5C45">
        <w:rPr>
          <w:spacing w:val="-2"/>
        </w:rPr>
        <w:t xml:space="preserve"> </w:t>
      </w:r>
      <w:r>
        <w:t>use</w:t>
      </w:r>
      <w:r>
        <w:rPr>
          <w:spacing w:val="-3"/>
        </w:rPr>
        <w:t xml:space="preserve"> </w:t>
      </w:r>
      <w:r>
        <w:t>these</w:t>
      </w:r>
      <w:r>
        <w:rPr>
          <w:spacing w:val="-3"/>
        </w:rPr>
        <w:t xml:space="preserve"> </w:t>
      </w:r>
      <w:r>
        <w:t>reports</w:t>
      </w:r>
      <w:r>
        <w:rPr>
          <w:spacing w:val="-3"/>
        </w:rPr>
        <w:t xml:space="preserve"> </w:t>
      </w:r>
      <w:r>
        <w:t>to</w:t>
      </w:r>
      <w:r>
        <w:rPr>
          <w:spacing w:val="-2"/>
        </w:rPr>
        <w:t xml:space="preserve"> </w:t>
      </w:r>
      <w:r>
        <w:t>learn</w:t>
      </w:r>
      <w:r>
        <w:t xml:space="preserve"> about their</w:t>
      </w:r>
      <w:r w:rsidR="00D246B9">
        <w:t xml:space="preserve"> own</w:t>
      </w:r>
      <w:r>
        <w:t xml:space="preserve"> performance and consider adjustments to prior authorization policies or practices</w:t>
      </w:r>
      <w:r w:rsidR="000015C4">
        <w:t>. P</w:t>
      </w:r>
      <w:r>
        <w:t>atients</w:t>
      </w:r>
      <w:r>
        <w:rPr>
          <w:spacing w:val="-3"/>
        </w:rPr>
        <w:t xml:space="preserve"> </w:t>
      </w:r>
      <w:r w:rsidR="009E1D38">
        <w:t xml:space="preserve">could </w:t>
      </w:r>
      <w:r>
        <w:t>review</w:t>
      </w:r>
      <w:r>
        <w:rPr>
          <w:spacing w:val="-3"/>
        </w:rPr>
        <w:t xml:space="preserve"> </w:t>
      </w:r>
      <w:r>
        <w:t>the</w:t>
      </w:r>
      <w:r>
        <w:rPr>
          <w:spacing w:val="-3"/>
        </w:rPr>
        <w:t xml:space="preserve"> </w:t>
      </w:r>
      <w:r>
        <w:t>reports</w:t>
      </w:r>
      <w:r>
        <w:rPr>
          <w:spacing w:val="-3"/>
        </w:rPr>
        <w:t xml:space="preserve"> </w:t>
      </w:r>
      <w:r>
        <w:t>when</w:t>
      </w:r>
      <w:r>
        <w:rPr>
          <w:spacing w:val="-2"/>
        </w:rPr>
        <w:t xml:space="preserve"> </w:t>
      </w:r>
      <w:r>
        <w:t>choosing</w:t>
      </w:r>
      <w:r>
        <w:rPr>
          <w:spacing w:val="-3"/>
        </w:rPr>
        <w:t xml:space="preserve"> </w:t>
      </w:r>
      <w:r>
        <w:t>a</w:t>
      </w:r>
      <w:r>
        <w:rPr>
          <w:spacing w:val="-3"/>
        </w:rPr>
        <w:t xml:space="preserve"> </w:t>
      </w:r>
      <w:r>
        <w:t>new</w:t>
      </w:r>
      <w:r>
        <w:rPr>
          <w:spacing w:val="-3"/>
        </w:rPr>
        <w:t xml:space="preserve"> </w:t>
      </w:r>
      <w:r>
        <w:t>plan</w:t>
      </w:r>
      <w:r w:rsidR="000015C4">
        <w:t>. P</w:t>
      </w:r>
      <w:r>
        <w:t>roviders</w:t>
      </w:r>
      <w:r>
        <w:rPr>
          <w:spacing w:val="-3"/>
        </w:rPr>
        <w:t xml:space="preserve"> </w:t>
      </w:r>
      <w:r w:rsidR="009E1D38">
        <w:t>could</w:t>
      </w:r>
      <w:r w:rsidR="009E1D38">
        <w:rPr>
          <w:spacing w:val="-2"/>
        </w:rPr>
        <w:t xml:space="preserve"> </w:t>
      </w:r>
      <w:r>
        <w:t>use</w:t>
      </w:r>
      <w:r>
        <w:rPr>
          <w:spacing w:val="-3"/>
        </w:rPr>
        <w:t xml:space="preserve"> </w:t>
      </w:r>
      <w:r>
        <w:t>the</w:t>
      </w:r>
      <w:r>
        <w:rPr>
          <w:spacing w:val="-3"/>
        </w:rPr>
        <w:t xml:space="preserve"> </w:t>
      </w:r>
      <w:r>
        <w:t>reports</w:t>
      </w:r>
      <w:r>
        <w:rPr>
          <w:spacing w:val="-3"/>
        </w:rPr>
        <w:t xml:space="preserve"> </w:t>
      </w:r>
      <w:r>
        <w:t>when selecting payer networks to join.</w:t>
      </w:r>
      <w:r w:rsidR="00B20AE7">
        <w:t xml:space="preserve"> </w:t>
      </w:r>
    </w:p>
    <w:p w:rsidR="00FB1335" w:rsidRPr="00F11E57" w:rsidP="002C4CD5" w14:paraId="0F9599A1" w14:textId="2B94F17C">
      <w:pPr>
        <w:pStyle w:val="BodyText"/>
        <w:tabs>
          <w:tab w:val="left" w:pos="720"/>
        </w:tabs>
        <w:spacing w:before="0" w:after="240"/>
        <w:ind w:left="720" w:right="206"/>
        <w:rPr>
          <w:color w:val="FF0000"/>
        </w:rPr>
      </w:pPr>
      <w:r>
        <w:t>Health I</w:t>
      </w:r>
      <w:r w:rsidR="009456C5">
        <w:t>T developers</w:t>
      </w:r>
      <w:r w:rsidR="00B0217B">
        <w:t xml:space="preserve"> (</w:t>
      </w:r>
      <w:r w:rsidR="007C76AD">
        <w:t>including third-party</w:t>
      </w:r>
      <w:r w:rsidR="00B0217B">
        <w:t xml:space="preserve"> app developers and electronic health record [EHR</w:t>
      </w:r>
      <w:r w:rsidR="00A25B77">
        <w:t>]</w:t>
      </w:r>
      <w:r w:rsidR="00B0217B">
        <w:t xml:space="preserve"> developers</w:t>
      </w:r>
      <w:r w:rsidR="000A5D9B">
        <w:t>)</w:t>
      </w:r>
      <w:r w:rsidR="009456C5">
        <w:t>, payers, and providers</w:t>
      </w:r>
      <w:r>
        <w:t xml:space="preserve"> would be the information users of the API endpoints and API documentation.</w:t>
      </w:r>
      <w:r w:rsidR="009456C5">
        <w:t xml:space="preserve"> </w:t>
      </w:r>
      <w:r w:rsidR="007C76AD">
        <w:t>Third-party a</w:t>
      </w:r>
      <w:r w:rsidR="009456C5">
        <w:t xml:space="preserve">pp developers could use the information to connect to payers’ </w:t>
      </w:r>
      <w:r w:rsidR="009456C5">
        <w:t xml:space="preserve">API endpoints to facilitate patients’ access to their data via a </w:t>
      </w:r>
      <w:r w:rsidR="00662FBB">
        <w:t>third-party</w:t>
      </w:r>
      <w:r w:rsidR="009456C5">
        <w:t xml:space="preserve"> health app. EHR developers could use the information to configure providers’ EHRs or other systems to query payers’ </w:t>
      </w:r>
      <w:r w:rsidR="009A652B">
        <w:t xml:space="preserve">API </w:t>
      </w:r>
      <w:r w:rsidR="009456C5">
        <w:t>endpoints to retrieve patient information via the Provider Access API. Payers could use the information to send a request for patient data to a patient</w:t>
      </w:r>
      <w:r w:rsidR="00F4778B">
        <w:t>’</w:t>
      </w:r>
      <w:r w:rsidR="009456C5">
        <w:t>s previous or concurrent payer</w:t>
      </w:r>
      <w:r w:rsidR="00F4778B">
        <w:t>(</w:t>
      </w:r>
      <w:r w:rsidR="009456C5">
        <w:t>s</w:t>
      </w:r>
      <w:r w:rsidR="00F4778B">
        <w:t>)</w:t>
      </w:r>
      <w:r w:rsidR="009456C5">
        <w:t xml:space="preserve"> via the Payer-to-Payer API. Providers could use the information to submit electronic prior authorization requests via the Prior Authorization API.</w:t>
      </w:r>
      <w:r w:rsidR="001757EA">
        <w:t xml:space="preserve"> Third-party app developers and providers could use the information to create third-party apps that help patients find in-network providers and enable care coordination between providers using information available via publicly accessible Provider Directory APIs.</w:t>
      </w:r>
    </w:p>
    <w:p w:rsidR="00A529A1" w:rsidRPr="00552CFF" w:rsidP="002C4CD5" w14:paraId="1DDFE3C3" w14:textId="721BEB5E">
      <w:pPr>
        <w:pStyle w:val="Heading3"/>
        <w:spacing w:before="0"/>
        <w:ind w:left="720"/>
      </w:pPr>
      <w:r w:rsidRPr="00552CFF">
        <w:t>Use of Information Technology</w:t>
      </w:r>
      <w:r w:rsidRPr="00552CFF" w:rsidR="00547B9B">
        <w:t xml:space="preserve"> </w:t>
      </w:r>
    </w:p>
    <w:p w:rsidR="006A22BC" w:rsidP="00670D80" w14:paraId="338619B5" w14:textId="431F3712">
      <w:pPr>
        <w:pStyle w:val="BodyText"/>
        <w:ind w:left="720"/>
      </w:pPr>
      <w:r>
        <w:t>P</w:t>
      </w:r>
      <w:r w:rsidRPr="0089422F" w:rsidR="00965A0E">
        <w:t xml:space="preserve">ayers </w:t>
      </w:r>
      <w:r>
        <w:t xml:space="preserve">will (or would, for </w:t>
      </w:r>
      <w:r w:rsidR="007E6346">
        <w:t>proposals</w:t>
      </w:r>
      <w:r w:rsidR="00446064">
        <w:t xml:space="preserve"> not yet finalized)</w:t>
      </w:r>
      <w:r w:rsidRPr="0089422F" w:rsidR="00965A0E">
        <w:t xml:space="preserve"> use IT to collect </w:t>
      </w:r>
      <w:r w:rsidR="00A70BF1">
        <w:t>Patient Access, Provider</w:t>
      </w:r>
      <w:r>
        <w:t xml:space="preserve"> Access, Payer-to-Payer, and Prior Authorization API usage metrics</w:t>
      </w:r>
      <w:r w:rsidR="0051620B">
        <w:t xml:space="preserve"> data and generate necessary reports to submit to CMS</w:t>
      </w:r>
      <w:r w:rsidR="00A70BF1">
        <w:t xml:space="preserve">. </w:t>
      </w:r>
      <w:r>
        <w:t xml:space="preserve">Similarly, </w:t>
      </w:r>
      <w:r w:rsidR="00E263C7">
        <w:t>p</w:t>
      </w:r>
      <w:r w:rsidRPr="0089422F">
        <w:t xml:space="preserve">ayers </w:t>
      </w:r>
      <w:r w:rsidR="00E263C7">
        <w:t>will (or would, for proposals not yet finalized)</w:t>
      </w:r>
      <w:r>
        <w:t xml:space="preserve"> </w:t>
      </w:r>
      <w:r w:rsidRPr="0089422F">
        <w:t>use IT to collect</w:t>
      </w:r>
      <w:r>
        <w:t xml:space="preserve"> the</w:t>
      </w:r>
      <w:r w:rsidRPr="0089422F">
        <w:t xml:space="preserve"> </w:t>
      </w:r>
      <w:r>
        <w:t>prior authorization metrics</w:t>
      </w:r>
      <w:r w:rsidR="000A5D9B">
        <w:t xml:space="preserve"> data</w:t>
      </w:r>
      <w:r>
        <w:t xml:space="preserve"> on non-drug items and services and drugs and publish </w:t>
      </w:r>
      <w:r w:rsidR="00CB61EC">
        <w:t xml:space="preserve">that </w:t>
      </w:r>
      <w:r>
        <w:t>information on their publicly accessible website</w:t>
      </w:r>
      <w:r w:rsidR="000A5D9B">
        <w:t>s</w:t>
      </w:r>
      <w:r>
        <w:t>.</w:t>
      </w:r>
      <w:r w:rsidR="00FB1335">
        <w:t xml:space="preserve"> </w:t>
      </w:r>
      <w:r w:rsidR="00821630">
        <w:t xml:space="preserve">Payers may use IT to report API endpoint </w:t>
      </w:r>
      <w:r w:rsidR="00867899">
        <w:t>and API documentation</w:t>
      </w:r>
      <w:r w:rsidR="00821630">
        <w:t xml:space="preserve"> information to CMS, though reporting could be accomplished without the use of IT.</w:t>
      </w:r>
    </w:p>
    <w:p w:rsidR="00A529A1" w:rsidP="002C4CD5" w14:paraId="42DA3D2A" w14:textId="6F039DB5">
      <w:pPr>
        <w:pStyle w:val="Heading3"/>
        <w:ind w:left="720"/>
      </w:pPr>
      <w:r w:rsidRPr="00DB5839">
        <w:t>Duplication of Efforts</w:t>
      </w:r>
    </w:p>
    <w:p w:rsidR="00D5127F" w:rsidP="00670D80" w14:paraId="782660DC" w14:textId="7C216F8E">
      <w:pPr>
        <w:pStyle w:val="BodyText"/>
        <w:ind w:left="720"/>
      </w:pPr>
      <w:r>
        <w:t>The</w:t>
      </w:r>
      <w:r>
        <w:rPr>
          <w:spacing w:val="-3"/>
        </w:rPr>
        <w:t xml:space="preserve"> </w:t>
      </w:r>
      <w:r>
        <w:t>information</w:t>
      </w:r>
      <w:r>
        <w:rPr>
          <w:spacing w:val="-2"/>
        </w:rPr>
        <w:t xml:space="preserve"> </w:t>
      </w:r>
      <w:r>
        <w:t>in</w:t>
      </w:r>
      <w:r>
        <w:rPr>
          <w:spacing w:val="-2"/>
        </w:rPr>
        <w:t xml:space="preserve"> </w:t>
      </w:r>
      <w:r>
        <w:t>this</w:t>
      </w:r>
      <w:r>
        <w:rPr>
          <w:spacing w:val="-3"/>
        </w:rPr>
        <w:t xml:space="preserve"> </w:t>
      </w:r>
      <w:r>
        <w:t>information</w:t>
      </w:r>
      <w:r>
        <w:rPr>
          <w:spacing w:val="-2"/>
        </w:rPr>
        <w:t xml:space="preserve"> </w:t>
      </w:r>
      <w:r>
        <w:t>collection</w:t>
      </w:r>
      <w:r>
        <w:rPr>
          <w:spacing w:val="-2"/>
        </w:rPr>
        <w:t xml:space="preserve"> </w:t>
      </w:r>
      <w:r>
        <w:t>document</w:t>
      </w:r>
      <w:r>
        <w:rPr>
          <w:spacing w:val="-2"/>
        </w:rPr>
        <w:t xml:space="preserve"> </w:t>
      </w:r>
      <w:r>
        <w:t>does</w:t>
      </w:r>
      <w:r>
        <w:rPr>
          <w:spacing w:val="-3"/>
        </w:rPr>
        <w:t xml:space="preserve"> </w:t>
      </w:r>
      <w:r>
        <w:t>not</w:t>
      </w:r>
      <w:r>
        <w:rPr>
          <w:spacing w:val="-3"/>
        </w:rPr>
        <w:t xml:space="preserve"> </w:t>
      </w:r>
      <w:r>
        <w:t>duplicate</w:t>
      </w:r>
      <w:r>
        <w:rPr>
          <w:spacing w:val="-3"/>
        </w:rPr>
        <w:t xml:space="preserve"> </w:t>
      </w:r>
      <w:r>
        <w:t>any</w:t>
      </w:r>
      <w:r>
        <w:rPr>
          <w:spacing w:val="-2"/>
        </w:rPr>
        <w:t xml:space="preserve"> </w:t>
      </w:r>
      <w:r>
        <w:t>other</w:t>
      </w:r>
      <w:r>
        <w:rPr>
          <w:spacing w:val="-2"/>
        </w:rPr>
        <w:t xml:space="preserve"> </w:t>
      </w:r>
      <w:r>
        <w:t>effort</w:t>
      </w:r>
      <w:r>
        <w:rPr>
          <w:spacing w:val="-2"/>
        </w:rPr>
        <w:t xml:space="preserve"> </w:t>
      </w:r>
      <w:r>
        <w:t>and</w:t>
      </w:r>
      <w:r>
        <w:rPr>
          <w:spacing w:val="-2"/>
        </w:rPr>
        <w:t xml:space="preserve"> </w:t>
      </w:r>
      <w:r>
        <w:t>the information cannot be obtained from any other source.</w:t>
      </w:r>
    </w:p>
    <w:p w:rsidR="00A529A1" w:rsidP="002C4CD5" w14:paraId="1E224B80" w14:textId="03327140">
      <w:pPr>
        <w:pStyle w:val="Heading3"/>
        <w:ind w:left="720"/>
      </w:pPr>
      <w:r w:rsidRPr="006F41EE">
        <w:t>Small</w:t>
      </w:r>
      <w:r w:rsidRPr="001C0BD5">
        <w:t xml:space="preserve"> Businesses</w:t>
      </w:r>
    </w:p>
    <w:p w:rsidR="00043E02" w:rsidRPr="00043E02" w:rsidP="00F11E57" w14:paraId="19BD36B5" w14:textId="20CD8285">
      <w:pPr>
        <w:pStyle w:val="BodyText"/>
        <w:spacing w:before="218"/>
        <w:ind w:left="720" w:right="138"/>
      </w:pPr>
      <w:r>
        <w:t>The</w:t>
      </w:r>
      <w:r>
        <w:rPr>
          <w:spacing w:val="-3"/>
        </w:rPr>
        <w:t xml:space="preserve"> </w:t>
      </w:r>
      <w:r w:rsidR="00EC007C">
        <w:t>information collections</w:t>
      </w:r>
      <w:r w:rsidR="00E263C7">
        <w:t xml:space="preserve"> described in this package affect</w:t>
      </w:r>
      <w:r w:rsidR="00272348">
        <w:t>:</w:t>
      </w:r>
      <w:r w:rsidR="00E263C7">
        <w:t xml:space="preserve"> </w:t>
      </w:r>
      <w:r w:rsidR="00951641">
        <w:t>(</w:t>
      </w:r>
      <w:r>
        <w:t>1)</w:t>
      </w:r>
      <w:r>
        <w:rPr>
          <w:spacing w:val="-2"/>
        </w:rPr>
        <w:t xml:space="preserve"> </w:t>
      </w:r>
      <w:r>
        <w:t>MA</w:t>
      </w:r>
      <w:r>
        <w:rPr>
          <w:spacing w:val="-3"/>
        </w:rPr>
        <w:t xml:space="preserve"> </w:t>
      </w:r>
      <w:r>
        <w:t>organizations;</w:t>
      </w:r>
      <w:r>
        <w:rPr>
          <w:spacing w:val="-2"/>
        </w:rPr>
        <w:t xml:space="preserve"> </w:t>
      </w:r>
      <w:r w:rsidR="00951641">
        <w:rPr>
          <w:spacing w:val="-2"/>
        </w:rPr>
        <w:t>(</w:t>
      </w:r>
      <w:r>
        <w:t>2)</w:t>
      </w:r>
      <w:r>
        <w:rPr>
          <w:spacing w:val="-2"/>
        </w:rPr>
        <w:t xml:space="preserve"> </w:t>
      </w:r>
      <w:r>
        <w:t>state</w:t>
      </w:r>
      <w:r>
        <w:rPr>
          <w:spacing w:val="-3"/>
        </w:rPr>
        <w:t xml:space="preserve"> </w:t>
      </w:r>
      <w:r>
        <w:t>Medicaid</w:t>
      </w:r>
      <w:r>
        <w:rPr>
          <w:spacing w:val="-2"/>
        </w:rPr>
        <w:t xml:space="preserve"> </w:t>
      </w:r>
      <w:r>
        <w:t>and</w:t>
      </w:r>
      <w:r>
        <w:rPr>
          <w:spacing w:val="-2"/>
        </w:rPr>
        <w:t xml:space="preserve"> </w:t>
      </w:r>
      <w:r>
        <w:t>CHIP</w:t>
      </w:r>
      <w:r>
        <w:rPr>
          <w:spacing w:val="-2"/>
        </w:rPr>
        <w:t xml:space="preserve"> </w:t>
      </w:r>
      <w:r>
        <w:t xml:space="preserve">FFS programs; </w:t>
      </w:r>
      <w:r w:rsidR="00951641">
        <w:t>(</w:t>
      </w:r>
      <w:r>
        <w:t xml:space="preserve">3) Medicaid managed care plans; </w:t>
      </w:r>
      <w:r w:rsidR="00951641">
        <w:t>(</w:t>
      </w:r>
      <w:r>
        <w:t xml:space="preserve">4) CHIP managed care entities; and </w:t>
      </w:r>
      <w:r w:rsidR="00951641">
        <w:t>(</w:t>
      </w:r>
      <w:r>
        <w:t xml:space="preserve">5) QHP issuers on the FFEs. </w:t>
      </w:r>
      <w:r>
        <w:t>T</w:t>
      </w:r>
      <w:r w:rsidRPr="00043E02">
        <w:t>hese organizations have a minimum threshold for small business size of $47 million (</w:t>
      </w:r>
      <w:hyperlink r:id="rId10" w:history="1">
        <w:r w:rsidRPr="00043E02">
          <w:rPr>
            <w:rStyle w:val="Hyperlink"/>
          </w:rPr>
          <w:t>https://www.sba.gov/federal-contracting/contracting-guide/size-standards</w:t>
        </w:r>
      </w:hyperlink>
      <w:r w:rsidRPr="00043E02">
        <w:t>).</w:t>
      </w:r>
    </w:p>
    <w:p w:rsidR="002C40D1" w:rsidP="00F11E57" w14:paraId="0C60B45E" w14:textId="35BAD66A">
      <w:pPr>
        <w:pStyle w:val="BodyText"/>
        <w:ind w:left="720"/>
      </w:pPr>
      <w:r>
        <w:t>The</w:t>
      </w:r>
      <w:r>
        <w:rPr>
          <w:spacing w:val="-4"/>
        </w:rPr>
        <w:t xml:space="preserve"> </w:t>
      </w:r>
      <w:r>
        <w:t>CMS</w:t>
      </w:r>
      <w:r>
        <w:rPr>
          <w:spacing w:val="-3"/>
        </w:rPr>
        <w:t xml:space="preserve"> </w:t>
      </w:r>
      <w:r>
        <w:t>threshold</w:t>
      </w:r>
      <w:r>
        <w:rPr>
          <w:spacing w:val="-3"/>
        </w:rPr>
        <w:t xml:space="preserve"> </w:t>
      </w:r>
      <w:r>
        <w:t>for</w:t>
      </w:r>
      <w:r>
        <w:rPr>
          <w:spacing w:val="-3"/>
        </w:rPr>
        <w:t xml:space="preserve"> </w:t>
      </w:r>
      <w:r>
        <w:t>what</w:t>
      </w:r>
      <w:r>
        <w:rPr>
          <w:spacing w:val="-3"/>
        </w:rPr>
        <w:t xml:space="preserve"> </w:t>
      </w:r>
      <w:r>
        <w:t>constitutes</w:t>
      </w:r>
      <w:r>
        <w:rPr>
          <w:spacing w:val="-4"/>
        </w:rPr>
        <w:t xml:space="preserve"> </w:t>
      </w:r>
      <w:r>
        <w:t>a</w:t>
      </w:r>
      <w:r>
        <w:rPr>
          <w:spacing w:val="-4"/>
        </w:rPr>
        <w:t xml:space="preserve"> </w:t>
      </w:r>
      <w:r>
        <w:t>substantial</w:t>
      </w:r>
      <w:r>
        <w:rPr>
          <w:spacing w:val="-3"/>
        </w:rPr>
        <w:t xml:space="preserve"> </w:t>
      </w:r>
      <w:r>
        <w:t>number</w:t>
      </w:r>
      <w:r>
        <w:rPr>
          <w:spacing w:val="-3"/>
        </w:rPr>
        <w:t xml:space="preserve"> </w:t>
      </w:r>
      <w:r>
        <w:t>of</w:t>
      </w:r>
      <w:r>
        <w:rPr>
          <w:spacing w:val="-3"/>
        </w:rPr>
        <w:t xml:space="preserve"> </w:t>
      </w:r>
      <w:r>
        <w:t>small</w:t>
      </w:r>
      <w:r>
        <w:rPr>
          <w:spacing w:val="-3"/>
        </w:rPr>
        <w:t xml:space="preserve"> </w:t>
      </w:r>
      <w:r>
        <w:t>entities</w:t>
      </w:r>
      <w:r>
        <w:rPr>
          <w:spacing w:val="-4"/>
        </w:rPr>
        <w:t xml:space="preserve"> </w:t>
      </w:r>
      <w:r>
        <w:t>for</w:t>
      </w:r>
      <w:r>
        <w:rPr>
          <w:spacing w:val="-3"/>
        </w:rPr>
        <w:t xml:space="preserve"> </w:t>
      </w:r>
      <w:r>
        <w:t>purposes</w:t>
      </w:r>
      <w:r>
        <w:rPr>
          <w:spacing w:val="-4"/>
        </w:rPr>
        <w:t xml:space="preserve"> </w:t>
      </w:r>
      <w:r>
        <w:t>of</w:t>
      </w:r>
      <w:r>
        <w:rPr>
          <w:spacing w:val="-3"/>
        </w:rPr>
        <w:t xml:space="preserve"> </w:t>
      </w:r>
      <w:r>
        <w:t xml:space="preserve">the Regulatory Flexibility Act (RFA) is </w:t>
      </w:r>
      <w:r w:rsidR="006C3E88">
        <w:t>3</w:t>
      </w:r>
      <w:r>
        <w:t xml:space="preserve"> to </w:t>
      </w:r>
      <w:r w:rsidR="006C3E88">
        <w:t>5</w:t>
      </w:r>
      <w:r>
        <w:t xml:space="preserve"> percent.</w:t>
      </w:r>
      <w:r>
        <w:rPr>
          <w:rStyle w:val="FootnoteReference"/>
          <w:vertAlign w:val="superscript"/>
        </w:rPr>
        <w:footnoteReference w:id="7"/>
      </w:r>
      <w:r w:rsidR="001A2A87">
        <w:t xml:space="preserve"> After reviewing the impacted entities</w:t>
      </w:r>
      <w:r w:rsidR="00EC007C">
        <w:t>,</w:t>
      </w:r>
      <w:r w:rsidR="001A2A87">
        <w:t xml:space="preserve"> CMS has determined that this information collection will not have a significant impact on small businesses.</w:t>
      </w:r>
      <w:r>
        <w:rPr>
          <w:rStyle w:val="FootnoteReference"/>
          <w:vertAlign w:val="superscript"/>
        </w:rPr>
        <w:footnoteReference w:id="8"/>
      </w:r>
    </w:p>
    <w:p w:rsidR="00A529A1" w:rsidRPr="001C0BD5" w:rsidP="002C4CD5" w14:paraId="6058D8CF" w14:textId="209CDC2D">
      <w:pPr>
        <w:pStyle w:val="Heading3"/>
        <w:ind w:left="720"/>
      </w:pPr>
      <w:r w:rsidRPr="001C0BD5">
        <w:t>Less Frequent Collection</w:t>
      </w:r>
    </w:p>
    <w:p w:rsidR="00996985" w:rsidP="00821630" w14:paraId="6D164E42" w14:textId="7A75EC80">
      <w:pPr>
        <w:ind w:left="720"/>
      </w:pPr>
      <w:r>
        <w:t>As indicated, t</w:t>
      </w:r>
      <w:r w:rsidR="001A2A87">
        <w:t xml:space="preserve">he </w:t>
      </w:r>
      <w:r w:rsidR="00EC007C">
        <w:t xml:space="preserve">Patient Access, Provider Access, Payer-to-Payer, and Prior Authorization </w:t>
      </w:r>
      <w:r w:rsidR="001A2A87">
        <w:t>API</w:t>
      </w:r>
      <w:r w:rsidR="00AA64FF">
        <w:t xml:space="preserve"> usage</w:t>
      </w:r>
      <w:r w:rsidR="001A2A87">
        <w:t xml:space="preserve"> metrics</w:t>
      </w:r>
      <w:r w:rsidR="00242DF0">
        <w:t xml:space="preserve"> and </w:t>
      </w:r>
      <w:r w:rsidR="00FE4DCE">
        <w:t>prior authorization metrics</w:t>
      </w:r>
      <w:r w:rsidR="003329E1">
        <w:t xml:space="preserve"> are</w:t>
      </w:r>
      <w:r w:rsidR="00933C7D">
        <w:t xml:space="preserve"> </w:t>
      </w:r>
      <w:r>
        <w:t xml:space="preserve">(or would be, for proposals not yet finalized) </w:t>
      </w:r>
      <w:r w:rsidR="00E50A3A">
        <w:t>reported annually</w:t>
      </w:r>
      <w:r>
        <w:t>.</w:t>
      </w:r>
      <w:r>
        <w:rPr>
          <w:rStyle w:val="FootnoteReference"/>
          <w:vertAlign w:val="superscript"/>
        </w:rPr>
        <w:footnoteReference w:id="9"/>
      </w:r>
      <w:r w:rsidR="00FB1335">
        <w:t xml:space="preserve"> </w:t>
      </w:r>
      <w:r w:rsidR="003329E1">
        <w:t>In addition, i</w:t>
      </w:r>
      <w:r w:rsidR="00951762">
        <w:t xml:space="preserve">mpacted payers would be required to verify </w:t>
      </w:r>
      <w:r w:rsidR="00741E16">
        <w:t>the report</w:t>
      </w:r>
      <w:r w:rsidR="00FE6961">
        <w:t>ed</w:t>
      </w:r>
      <w:r w:rsidR="00741E16">
        <w:t xml:space="preserve"> payer API endpoints and API documentation at least once every 12 months and </w:t>
      </w:r>
      <w:r w:rsidR="00FB1335">
        <w:t>would be required to update API endpoints and API documentation within one week of any changes</w:t>
      </w:r>
      <w:r w:rsidR="00214005">
        <w:t xml:space="preserve"> to the information</w:t>
      </w:r>
      <w:r w:rsidR="00FE6961">
        <w:t>.</w:t>
      </w:r>
    </w:p>
    <w:p w:rsidR="00A82CD4" w:rsidP="00821630" w14:paraId="0A40BF44" w14:textId="07E84A50">
      <w:pPr>
        <w:ind w:left="720"/>
      </w:pPr>
      <w:r>
        <w:t xml:space="preserve">Annual reporting of API usage metrics </w:t>
      </w:r>
      <w:r w:rsidR="00FE4DCE">
        <w:t xml:space="preserve">to CMS </w:t>
      </w:r>
      <w:r w:rsidR="0023671B">
        <w:t>is</w:t>
      </w:r>
      <w:r w:rsidR="001454A2">
        <w:t xml:space="preserve"> </w:t>
      </w:r>
      <w:r w:rsidR="0023671B">
        <w:t xml:space="preserve">critical for monitoring the adoption and efficacy of </w:t>
      </w:r>
      <w:r>
        <w:t>the APIs</w:t>
      </w:r>
      <w:r w:rsidR="0023671B">
        <w:t xml:space="preserve">. </w:t>
      </w:r>
      <w:r w:rsidR="00FE4DCE">
        <w:t xml:space="preserve">Annual reporting of </w:t>
      </w:r>
      <w:r w:rsidR="0023671B">
        <w:t xml:space="preserve">prior authorization metrics </w:t>
      </w:r>
      <w:r w:rsidR="00FE4DCE">
        <w:t>on payers’ public websites</w:t>
      </w:r>
      <w:r w:rsidR="0023671B">
        <w:t xml:space="preserve"> further</w:t>
      </w:r>
      <w:r w:rsidR="00FE4DCE">
        <w:t>s</w:t>
      </w:r>
      <w:r w:rsidR="001454A2">
        <w:t xml:space="preserve"> </w:t>
      </w:r>
      <w:r w:rsidR="0023671B">
        <w:t>the goal of transparency within prior authorization.</w:t>
      </w:r>
      <w:r w:rsidR="000E562C">
        <w:t xml:space="preserve"> Reporting of payer</w:t>
      </w:r>
      <w:r w:rsidR="00FB1335">
        <w:t>s’ API endpoints and API documentation</w:t>
      </w:r>
      <w:r w:rsidR="000E562C">
        <w:t xml:space="preserve"> is essential for the seamless functioning of </w:t>
      </w:r>
      <w:r w:rsidR="000E562C">
        <w:t>the Patient</w:t>
      </w:r>
      <w:r w:rsidR="000E562C">
        <w:t xml:space="preserve"> Access, Provider Access, Payer-to-Payer, and Prior Authorization APIs. Without reporting up-to-date </w:t>
      </w:r>
      <w:r w:rsidR="00FB1335">
        <w:t>API endpoints and API documentation</w:t>
      </w:r>
      <w:r w:rsidR="000E562C">
        <w:t>, health IT</w:t>
      </w:r>
      <w:r w:rsidR="00214005">
        <w:t xml:space="preserve"> developers, payers, and provider</w:t>
      </w:r>
      <w:r w:rsidR="00783D20">
        <w:t>s</w:t>
      </w:r>
      <w:r w:rsidR="000E562C">
        <w:t xml:space="preserve"> would struggle to identify how to connect with payers via </w:t>
      </w:r>
      <w:r w:rsidR="00214005">
        <w:t>the interoperability</w:t>
      </w:r>
      <w:r w:rsidR="000E562C">
        <w:t xml:space="preserve"> API</w:t>
      </w:r>
      <w:r w:rsidR="00214005">
        <w:t>s</w:t>
      </w:r>
      <w:r w:rsidR="000E562C">
        <w:t>.</w:t>
      </w:r>
      <w:r w:rsidR="0023671B">
        <w:t xml:space="preserve"> </w:t>
      </w:r>
      <w:r w:rsidR="00C3769A">
        <w:t xml:space="preserve">If impacted payers fail to </w:t>
      </w:r>
      <w:r w:rsidR="0023671B">
        <w:t>repor</w:t>
      </w:r>
      <w:r w:rsidR="00C3769A">
        <w:t>t</w:t>
      </w:r>
      <w:r w:rsidR="00800389">
        <w:t xml:space="preserve"> these metrics</w:t>
      </w:r>
      <w:r w:rsidR="000E562C">
        <w:t xml:space="preserve"> and </w:t>
      </w:r>
      <w:r w:rsidR="00783D20">
        <w:t xml:space="preserve">API </w:t>
      </w:r>
      <w:r w:rsidR="000E562C">
        <w:t>endpoint</w:t>
      </w:r>
      <w:r w:rsidR="003F407B">
        <w:t>s</w:t>
      </w:r>
      <w:r w:rsidR="008C5821">
        <w:t xml:space="preserve"> and API documentation at the required </w:t>
      </w:r>
      <w:r w:rsidR="00B050C6">
        <w:t>or proposed intervals</w:t>
      </w:r>
      <w:r w:rsidR="003D7AAD">
        <w:t>,</w:t>
      </w:r>
      <w:r w:rsidR="00800389">
        <w:t xml:space="preserve"> </w:t>
      </w:r>
      <w:r w:rsidR="00C3769A">
        <w:t xml:space="preserve">they would </w:t>
      </w:r>
      <w:r w:rsidR="00800389">
        <w:t>be considered non-compliant and</w:t>
      </w:r>
      <w:r w:rsidR="00CD0D27">
        <w:t xml:space="preserve"> would be subject to applicable enforcement mechanisms</w:t>
      </w:r>
      <w:r w:rsidR="00800389">
        <w:t>.</w:t>
      </w:r>
    </w:p>
    <w:p w:rsidR="00A529A1" w:rsidRPr="000730C9" w:rsidP="002C4CD5" w14:paraId="00CCC4B5" w14:textId="20D443FB">
      <w:pPr>
        <w:pStyle w:val="Heading3"/>
        <w:ind w:left="720"/>
      </w:pPr>
      <w:r w:rsidRPr="000730C9">
        <w:t>Special Circumstances</w:t>
      </w:r>
    </w:p>
    <w:p w:rsidR="006F3325" w:rsidRPr="001A58A6" w:rsidP="00A82CD4" w14:paraId="388DF108" w14:textId="42B32581">
      <w:pPr>
        <w:ind w:left="720"/>
      </w:pPr>
      <w:r w:rsidRPr="001A58A6">
        <w:t>Th</w:t>
      </w:r>
      <w:r>
        <w:t>e</w:t>
      </w:r>
      <w:r w:rsidRPr="001A58A6">
        <w:t xml:space="preserve"> information collectio</w:t>
      </w:r>
      <w:r>
        <w:t>n could be</w:t>
      </w:r>
      <w:r w:rsidRPr="001A58A6">
        <w:t xml:space="preserve"> conducted more often than </w:t>
      </w:r>
      <w:r w:rsidR="00A82CD4">
        <w:t>annually</w:t>
      </w:r>
      <w:r w:rsidR="00821630">
        <w:t xml:space="preserve"> </w:t>
      </w:r>
      <w:r>
        <w:t xml:space="preserve">to conform to the proposed requirement outlined in the </w:t>
      </w:r>
      <w:r w:rsidR="009B7208">
        <w:t>2026</w:t>
      </w:r>
      <w:r>
        <w:t xml:space="preserve"> CMS Interoperability</w:t>
      </w:r>
      <w:r w:rsidR="009B7208">
        <w:t xml:space="preserve"> Standards</w:t>
      </w:r>
      <w:r>
        <w:t xml:space="preserve"> and Prior Authorization for Drugs</w:t>
      </w:r>
      <w:r w:rsidR="00393FB1">
        <w:t xml:space="preserve"> proposed rule</w:t>
      </w:r>
      <w:r>
        <w:t xml:space="preserve"> for impacted payers to update their API endpoints and API documentation within one week of any changes to the information</w:t>
      </w:r>
      <w:r w:rsidRPr="001A58A6">
        <w:t>. Otherwise, there are no special circumstances that would require an information collection to be conducted in a manner that requires respondents to:</w:t>
      </w:r>
    </w:p>
    <w:p w:rsidR="00F97FE9" w:rsidRPr="000730C9" w:rsidP="00F11E57" w14:paraId="4C5E618B" w14:textId="77777777">
      <w:pPr>
        <w:pStyle w:val="ListParagraph"/>
        <w:numPr>
          <w:ilvl w:val="0"/>
          <w:numId w:val="11"/>
        </w:numPr>
        <w:ind w:left="1008"/>
      </w:pPr>
      <w:r w:rsidRPr="000730C9">
        <w:t xml:space="preserve">Report information to the agency more often than </w:t>
      </w:r>
      <w:r w:rsidRPr="000730C9">
        <w:t>quarterly;</w:t>
      </w:r>
    </w:p>
    <w:p w:rsidR="00F97FE9" w:rsidRPr="000730C9" w:rsidP="00F11E57" w14:paraId="5BD0E929" w14:textId="77777777">
      <w:pPr>
        <w:pStyle w:val="ListParagraph"/>
        <w:numPr>
          <w:ilvl w:val="0"/>
          <w:numId w:val="11"/>
        </w:numPr>
        <w:ind w:left="1008"/>
      </w:pPr>
      <w:r w:rsidRPr="000730C9">
        <w:t xml:space="preserve">Prepare a written response to a collection of information in fewer than 30 days after receipt of that </w:t>
      </w:r>
      <w:r w:rsidRPr="000730C9">
        <w:t>collection;</w:t>
      </w:r>
    </w:p>
    <w:p w:rsidR="00F97FE9" w:rsidRPr="000730C9" w:rsidP="00F11E57" w14:paraId="788DB7A9" w14:textId="77777777">
      <w:pPr>
        <w:pStyle w:val="ListParagraph"/>
        <w:numPr>
          <w:ilvl w:val="0"/>
          <w:numId w:val="11"/>
        </w:numPr>
        <w:ind w:left="1008"/>
      </w:pPr>
      <w:r w:rsidRPr="000730C9">
        <w:t xml:space="preserve">Submit more than an original and two copies of any </w:t>
      </w:r>
      <w:r w:rsidRPr="000730C9">
        <w:t>document;</w:t>
      </w:r>
    </w:p>
    <w:p w:rsidR="00F97FE9" w:rsidRPr="000730C9" w:rsidP="00F11E57" w14:paraId="6FCBD291" w14:textId="77777777">
      <w:pPr>
        <w:pStyle w:val="ListParagraph"/>
        <w:numPr>
          <w:ilvl w:val="0"/>
          <w:numId w:val="11"/>
        </w:numPr>
        <w:ind w:left="1008"/>
      </w:pPr>
      <w:r w:rsidRPr="000730C9">
        <w:t xml:space="preserve">Retain records, other than health, medical, government contract, grant-in-aid, or tax records for more than three </w:t>
      </w:r>
      <w:r w:rsidRPr="000730C9">
        <w:t>years;</w:t>
      </w:r>
    </w:p>
    <w:p w:rsidR="00F97FE9" w:rsidRPr="000730C9" w:rsidP="00F11E57" w14:paraId="7959EE65" w14:textId="77777777">
      <w:pPr>
        <w:pStyle w:val="ListParagraph"/>
        <w:numPr>
          <w:ilvl w:val="0"/>
          <w:numId w:val="11"/>
        </w:numPr>
        <w:ind w:left="1008"/>
      </w:pPr>
      <w:r w:rsidRPr="000730C9">
        <w:t xml:space="preserve">Collect data in connection with a statistical survey that is not designed to produce valid and reliable results that can be generalized to the universe of </w:t>
      </w:r>
      <w:r w:rsidRPr="000730C9">
        <w:t>study;</w:t>
      </w:r>
    </w:p>
    <w:p w:rsidR="00F97FE9" w:rsidRPr="000730C9" w:rsidP="00F11E57" w14:paraId="0A1BA449" w14:textId="0E9787BD">
      <w:pPr>
        <w:pStyle w:val="ListParagraph"/>
        <w:numPr>
          <w:ilvl w:val="0"/>
          <w:numId w:val="11"/>
        </w:numPr>
        <w:ind w:left="1008"/>
      </w:pPr>
      <w:r w:rsidRPr="000730C9">
        <w:t xml:space="preserve">Use a statistical data classification that has not been reviewed and approved by </w:t>
      </w:r>
      <w:r w:rsidR="00D81918">
        <w:t xml:space="preserve">the </w:t>
      </w:r>
      <w:r w:rsidRPr="00D81918" w:rsidR="00D81918">
        <w:t xml:space="preserve">Office of Management and Budget </w:t>
      </w:r>
      <w:r w:rsidR="006B5E31">
        <w:t>(</w:t>
      </w:r>
      <w:r w:rsidRPr="000730C9">
        <w:t>OMB</w:t>
      </w:r>
      <w:r w:rsidR="006B5E31">
        <w:t>)</w:t>
      </w:r>
      <w:r w:rsidRPr="000730C9">
        <w:t>;</w:t>
      </w:r>
    </w:p>
    <w:p w:rsidR="00F97FE9" w:rsidRPr="000730C9" w:rsidP="00F11E57" w14:paraId="617A4747" w14:textId="77777777">
      <w:pPr>
        <w:pStyle w:val="ListParagraph"/>
        <w:numPr>
          <w:ilvl w:val="0"/>
          <w:numId w:val="11"/>
        </w:numPr>
        <w:ind w:left="1008"/>
      </w:pPr>
      <w:r w:rsidRPr="000730C9">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97FE9" w:rsidRPr="000730C9" w:rsidP="00F11E57" w14:paraId="7B66D815" w14:textId="36C571BF">
      <w:pPr>
        <w:pStyle w:val="ListParagraph"/>
        <w:numPr>
          <w:ilvl w:val="0"/>
          <w:numId w:val="11"/>
        </w:numPr>
        <w:ind w:left="1008"/>
      </w:pPr>
      <w:r w:rsidRPr="000730C9">
        <w:t>Submit proprietary trade secrets or other confidential information</w:t>
      </w:r>
      <w:r w:rsidR="00F40038">
        <w:t>,</w:t>
      </w:r>
      <w:r w:rsidRPr="000730C9">
        <w:t xml:space="preserve"> unless the agency can demonstrate that it has instituted procedures to protect the information's confidentiality to the extent permitted by law.</w:t>
      </w:r>
    </w:p>
    <w:p w:rsidR="00A529A1" w:rsidRPr="000730C9" w:rsidP="005F3A9D" w14:paraId="60C24075" w14:textId="348E945D">
      <w:pPr>
        <w:pStyle w:val="Heading3"/>
        <w:ind w:left="720"/>
      </w:pPr>
      <w:r w:rsidRPr="000730C9">
        <w:t>Federal Register/Outside Consultation</w:t>
      </w:r>
    </w:p>
    <w:p w:rsidR="00A529A1" w:rsidRPr="000730C9" w:rsidP="005F3A9D" w14:paraId="172FB3BB" w14:textId="37AACA10">
      <w:pPr>
        <w:pStyle w:val="NormalIndent"/>
        <w:ind w:left="720"/>
      </w:pPr>
      <w:r>
        <w:t xml:space="preserve">The </w:t>
      </w:r>
      <w:r w:rsidR="00800389">
        <w:t xml:space="preserve">Notice of Proposed Rulemaking </w:t>
      </w:r>
      <w:r>
        <w:t>published</w:t>
      </w:r>
      <w:r>
        <w:t xml:space="preserve"> in the </w:t>
      </w:r>
      <w:r w:rsidR="00800389">
        <w:t>Federal Register (</w:t>
      </w:r>
      <w:r>
        <w:t>91 FR 19890)</w:t>
      </w:r>
      <w:r w:rsidR="00800389">
        <w:t xml:space="preserve"> on </w:t>
      </w:r>
      <w:r>
        <w:t xml:space="preserve">April 14, 2026. </w:t>
      </w:r>
    </w:p>
    <w:p w:rsidR="00A529A1" w:rsidRPr="000730C9" w:rsidP="005F3A9D" w14:paraId="1C0EBDA4" w14:textId="1218D0F5">
      <w:pPr>
        <w:pStyle w:val="Heading3"/>
        <w:ind w:left="720"/>
      </w:pPr>
      <w:r w:rsidRPr="000730C9">
        <w:t>Payments/Gifts to Respondents</w:t>
      </w:r>
    </w:p>
    <w:p w:rsidR="002F7182" w:rsidRPr="000730C9" w:rsidP="00F11E57" w14:paraId="1A8E8F71" w14:textId="4D1A1DCB">
      <w:pPr>
        <w:pStyle w:val="NormalIndent"/>
        <w:ind w:left="720"/>
      </w:pPr>
      <w:r w:rsidRPr="000730C9">
        <w:t xml:space="preserve">There will </w:t>
      </w:r>
      <w:r w:rsidR="008640CA">
        <w:t xml:space="preserve">(or would, for proposals not yet finalized) </w:t>
      </w:r>
      <w:r w:rsidRPr="000730C9">
        <w:t xml:space="preserve">be no payment of gifts of any kind given to participants under this PRA. Payments pertaining to participation in the programs in which the health plans are contracted are not directly connected to this PRA package. </w:t>
      </w:r>
    </w:p>
    <w:p w:rsidR="00A529A1" w:rsidRPr="000730C9" w:rsidP="005F3A9D" w14:paraId="6CA0D65C" w14:textId="4B53AB63">
      <w:pPr>
        <w:pStyle w:val="Heading3"/>
        <w:ind w:left="720"/>
      </w:pPr>
      <w:r w:rsidRPr="000730C9">
        <w:t>Confidentiality</w:t>
      </w:r>
    </w:p>
    <w:p w:rsidR="006A22BC" w:rsidRPr="006A22BC" w:rsidP="00670D80" w14:paraId="692CFEC4" w14:textId="42D096EC">
      <w:pPr>
        <w:pStyle w:val="BodyText"/>
        <w:ind w:left="720"/>
      </w:pPr>
      <w:r w:rsidRPr="000730C9">
        <w:t xml:space="preserve">All information collections under this initiative would be maintained in strict accordance with statutes and regulations governing confidentiality requirements. Health Insurance Portability and Accountability Act </w:t>
      </w:r>
      <w:r w:rsidR="00656C9C">
        <w:t xml:space="preserve">of 1996 </w:t>
      </w:r>
      <w:r w:rsidRPr="000730C9">
        <w:t xml:space="preserve">(HIPAA) covered entities subject to information collection under </w:t>
      </w:r>
      <w:r w:rsidR="00ED07D2">
        <w:t xml:space="preserve">the 2024 CMS Interoperability and Prior Authorization final rule and the </w:t>
      </w:r>
      <w:r w:rsidR="00393FB1">
        <w:t>2026</w:t>
      </w:r>
      <w:r w:rsidR="00ED07D2">
        <w:t xml:space="preserve"> CMS Interoperability </w:t>
      </w:r>
      <w:r w:rsidR="00393FB1">
        <w:t xml:space="preserve">Standards </w:t>
      </w:r>
      <w:r w:rsidR="00ED07D2">
        <w:t>and Prior Authorization for Drugs</w:t>
      </w:r>
      <w:r w:rsidRPr="000730C9" w:rsidR="00ED07D2">
        <w:t xml:space="preserve"> </w:t>
      </w:r>
      <w:r w:rsidRPr="000730C9">
        <w:t xml:space="preserve">proposed rule, and their business associates, would be responsible for compliance with the </w:t>
      </w:r>
      <w:r w:rsidR="008E2977">
        <w:t>Standards for Privacy of Individually Identifiable Health Information (</w:t>
      </w:r>
      <w:r w:rsidRPr="000730C9">
        <w:t>HIPAA Privacy</w:t>
      </w:r>
      <w:r w:rsidR="008E2977">
        <w:t xml:space="preserve"> Rule)</w:t>
      </w:r>
      <w:r w:rsidRPr="000730C9">
        <w:t xml:space="preserve"> and </w:t>
      </w:r>
      <w:r w:rsidR="005D5217">
        <w:t xml:space="preserve">the Security Standards for the Protection of Electronic Protected Health Information (HIPAA </w:t>
      </w:r>
      <w:r w:rsidRPr="000730C9">
        <w:t>Security Rule</w:t>
      </w:r>
      <w:r w:rsidR="005D5217">
        <w:t>)</w:t>
      </w:r>
      <w:r w:rsidRPr="000730C9">
        <w:t xml:space="preserve">, the Federal Trade Commission Act (FTC Act), regulations protecting sensitive information under </w:t>
      </w:r>
      <w:r w:rsidR="006A49AE">
        <w:t xml:space="preserve">42 CFR </w:t>
      </w:r>
      <w:r w:rsidRPr="000730C9">
        <w:t xml:space="preserve">Part </w:t>
      </w:r>
      <w:r w:rsidR="006A49AE">
        <w:t>2</w:t>
      </w:r>
      <w:r w:rsidRPr="000730C9">
        <w:t xml:space="preserve">, and any state laws applicable to their business activities including, but not limited to, their handling of patients’ </w:t>
      </w:r>
      <w:r w:rsidR="009B5D2E">
        <w:t>p</w:t>
      </w:r>
      <w:r w:rsidRPr="000730C9">
        <w:t xml:space="preserve">rotected </w:t>
      </w:r>
      <w:r w:rsidR="009B5D2E">
        <w:t>h</w:t>
      </w:r>
      <w:r w:rsidRPr="000730C9">
        <w:t xml:space="preserve">ealth </w:t>
      </w:r>
      <w:r w:rsidR="009B5D2E">
        <w:t>i</w:t>
      </w:r>
      <w:r w:rsidRPr="000730C9">
        <w:t xml:space="preserve">nformation (PHI) and other data. </w:t>
      </w:r>
    </w:p>
    <w:p w:rsidR="00A529A1" w:rsidRPr="000730C9" w:rsidP="005F3A9D" w14:paraId="25EA669F" w14:textId="0277DC86">
      <w:pPr>
        <w:pStyle w:val="Heading3"/>
        <w:ind w:left="720"/>
      </w:pPr>
      <w:r w:rsidRPr="000730C9">
        <w:t>Sensitive Questions</w:t>
      </w:r>
    </w:p>
    <w:p w:rsidR="00E7705A" w:rsidRPr="00E7705A" w:rsidP="00F11E57" w14:paraId="23FCF0F0" w14:textId="14454FEF">
      <w:pPr>
        <w:pStyle w:val="NormalIndent"/>
        <w:ind w:left="720"/>
      </w:pPr>
      <w:r w:rsidRPr="000730C9">
        <w:rPr>
          <w:rFonts w:eastAsiaTheme="minorHAnsi"/>
        </w:rPr>
        <w:t>There are no sensitive questions associated with this collection. Specifically, the collection does not</w:t>
      </w:r>
      <w:r w:rsidRPr="000730C9">
        <w:t xml:space="preserve"> solicit questions of a sensitive nature, such as sexual behavior and attitudes, religious beliefs, and other matters that are commonly considered private.</w:t>
      </w:r>
    </w:p>
    <w:p w:rsidR="00A529A1" w:rsidRPr="00800D22" w:rsidP="005F3A9D" w14:paraId="2910F9E8" w14:textId="6ABFF9E9">
      <w:pPr>
        <w:pStyle w:val="Heading3"/>
        <w:ind w:left="720"/>
      </w:pPr>
      <w:r w:rsidRPr="00800D22">
        <w:t>Burden Estimates (Hours &amp; Wages)</w:t>
      </w:r>
    </w:p>
    <w:p w:rsidR="003F3E4C" w:rsidRPr="00DE7993" w:rsidP="00670D80" w14:paraId="1C2FFC1B" w14:textId="45B2C0D2">
      <w:pPr>
        <w:ind w:left="720"/>
      </w:pPr>
      <w:r>
        <w:t xml:space="preserve">This section provides a summary of the information </w:t>
      </w:r>
      <w:r>
        <w:t>collections</w:t>
      </w:r>
      <w:r>
        <w:t xml:space="preserve"> required by the proposed and final rules cited above. </w:t>
      </w:r>
      <w:r w:rsidRPr="00DE7993">
        <w:t>T</w:t>
      </w:r>
      <w:r>
        <w:t xml:space="preserve">his revised </w:t>
      </w:r>
      <w:r w:rsidR="005E6741">
        <w:t>S</w:t>
      </w:r>
      <w:r>
        <w:t xml:space="preserve">upporting </w:t>
      </w:r>
      <w:r w:rsidR="005E6741">
        <w:t>S</w:t>
      </w:r>
      <w:r>
        <w:t xml:space="preserve">tatement uses </w:t>
      </w:r>
      <w:r w:rsidRPr="00DE7993">
        <w:t>data from the U.S. Bureau of Labor (BLS) Statistics’</w:t>
      </w:r>
      <w:r w:rsidR="00800389">
        <w:t xml:space="preserve"> 2024</w:t>
      </w:r>
      <w:r w:rsidRPr="00DE7993">
        <w:t xml:space="preserve"> </w:t>
      </w:r>
      <w:r w:rsidRPr="002301A0" w:rsidR="008C3401">
        <w:t>National Occupational Employment and Wage Estimates</w:t>
      </w:r>
      <w:r w:rsidRPr="00DE7993">
        <w:t xml:space="preserve"> </w:t>
      </w:r>
      <w:r w:rsidRPr="00B9137D">
        <w:t>(</w:t>
      </w:r>
      <w:r w:rsidRPr="007A4F66">
        <w:t>https://www.bls.gov/oes/current/oes_nat.htm</w:t>
      </w:r>
      <w:r w:rsidRPr="00B9137D">
        <w:t>)</w:t>
      </w:r>
      <w:r w:rsidR="00F157B8">
        <w:t>.</w:t>
      </w:r>
      <w:r>
        <w:t xml:space="preserve"> </w:t>
      </w:r>
      <w:r w:rsidRPr="00DE7993">
        <w:t>Table 1 presents the mean hourly wage, the cost of fringe benefits (calculated at 100 percent of salary), and the adjusted hourly wage</w:t>
      </w:r>
      <w:r w:rsidR="00180400">
        <w:t>s</w:t>
      </w:r>
      <w:r w:rsidRPr="00DE7993">
        <w:t>.</w:t>
      </w:r>
    </w:p>
    <w:p w:rsidR="003F3E4C" w:rsidP="005F3A9D" w14:paraId="77E76462" w14:textId="6CFA7EEA">
      <w:pPr>
        <w:keepNext/>
        <w:keepLines/>
        <w:spacing w:before="0" w:after="0"/>
        <w:jc w:val="center"/>
        <w:rPr>
          <w:rFonts w:ascii="Times New Roman" w:hAnsi="Times New Roman" w:cs="Times New Roman"/>
          <w:b/>
          <w:bCs/>
          <w:sz w:val="24"/>
        </w:rPr>
      </w:pPr>
      <w:r w:rsidRPr="00DE7993">
        <w:rPr>
          <w:rFonts w:ascii="Times New Roman" w:hAnsi="Times New Roman" w:cs="Times New Roman"/>
          <w:b/>
          <w:bCs/>
          <w:sz w:val="24"/>
        </w:rPr>
        <w:t>TABLE 1: HOURLY WAGE ESTIMATES</w:t>
      </w:r>
    </w:p>
    <w:tbl>
      <w:tblPr>
        <w:tblpPr w:leftFromText="180" w:rightFromText="180" w:vertAnchor="text" w:horzAnchor="margin" w:tblpXSpec="center" w:tblpY="179"/>
        <w:tblW w:w="4570" w:type="pct"/>
        <w:tblLayout w:type="fixed"/>
        <w:tblLook w:val="04A0"/>
      </w:tblPr>
      <w:tblGrid>
        <w:gridCol w:w="2875"/>
        <w:gridCol w:w="1620"/>
        <w:gridCol w:w="1350"/>
        <w:gridCol w:w="1170"/>
        <w:gridCol w:w="1531"/>
      </w:tblGrid>
      <w:tr w14:paraId="36422411" w14:textId="77777777" w:rsidTr="00662FBB">
        <w:tblPrEx>
          <w:tblW w:w="4570" w:type="pct"/>
          <w:tblLayout w:type="fixed"/>
          <w:tblLook w:val="04A0"/>
        </w:tblPrEx>
        <w:trPr>
          <w:trHeight w:val="20"/>
          <w:tblHead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05C2" w:rsidRPr="006F15D0" w:rsidP="00D0204C" w14:paraId="37B554A3" w14:textId="77777777">
            <w:pPr>
              <w:spacing w:before="0" w:after="0"/>
              <w:jc w:val="center"/>
              <w:rPr>
                <w:rFonts w:ascii="Times New Roman" w:eastAsia="Times New Roman" w:hAnsi="Times New Roman" w:cs="Times New Roman"/>
                <w:b/>
                <w:bCs/>
                <w:sz w:val="20"/>
                <w:szCs w:val="20"/>
              </w:rPr>
            </w:pPr>
            <w:r w:rsidRPr="006F15D0">
              <w:rPr>
                <w:rFonts w:ascii="Times New Roman" w:eastAsia="Times New Roman" w:hAnsi="Times New Roman" w:cs="Times New Roman"/>
                <w:b/>
                <w:bCs/>
                <w:sz w:val="20"/>
                <w:szCs w:val="20"/>
              </w:rPr>
              <w:t>Occupation Title</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B05C2" w:rsidRPr="006F15D0" w:rsidP="00D0204C" w14:paraId="427CBC38" w14:textId="77777777">
            <w:pPr>
              <w:spacing w:before="0" w:after="0"/>
              <w:jc w:val="center"/>
              <w:rPr>
                <w:rFonts w:ascii="Times New Roman" w:eastAsia="Times New Roman" w:hAnsi="Times New Roman" w:cs="Times New Roman"/>
                <w:b/>
                <w:bCs/>
                <w:sz w:val="20"/>
                <w:szCs w:val="20"/>
              </w:rPr>
            </w:pPr>
            <w:r w:rsidRPr="006F15D0">
              <w:rPr>
                <w:rFonts w:ascii="Times New Roman" w:eastAsia="Times New Roman" w:hAnsi="Times New Roman" w:cs="Times New Roman"/>
                <w:b/>
                <w:bCs/>
                <w:sz w:val="20"/>
                <w:szCs w:val="20"/>
              </w:rPr>
              <w:t>Occupation Code </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05C2" w:rsidRPr="006F15D0" w:rsidP="00D0204C" w14:paraId="464D835D" w14:textId="77777777">
            <w:pPr>
              <w:spacing w:before="0" w:after="0"/>
              <w:jc w:val="center"/>
              <w:rPr>
                <w:rFonts w:ascii="Times New Roman" w:eastAsia="Times New Roman" w:hAnsi="Times New Roman" w:cs="Times New Roman"/>
                <w:b/>
                <w:bCs/>
                <w:sz w:val="20"/>
                <w:szCs w:val="20"/>
              </w:rPr>
            </w:pPr>
            <w:r w:rsidRPr="006F15D0">
              <w:rPr>
                <w:rFonts w:ascii="Times New Roman" w:eastAsia="Times New Roman" w:hAnsi="Times New Roman" w:cs="Times New Roman"/>
                <w:b/>
                <w:bCs/>
                <w:sz w:val="20"/>
                <w:szCs w:val="20"/>
              </w:rPr>
              <w:t xml:space="preserve"> Median Hourly Wage (</w:t>
            </w:r>
            <w:r w:rsidRPr="006F15D0">
              <w:rPr>
                <w:rFonts w:ascii="Times New Roman" w:eastAsia="Times New Roman" w:hAnsi="Times New Roman" w:cs="Times New Roman"/>
                <w:b/>
                <w:sz w:val="20"/>
                <w:szCs w:val="20"/>
              </w:rPr>
              <w:t>Hour)</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05C2" w:rsidRPr="006F15D0" w:rsidP="00D0204C" w14:paraId="26B56A84" w14:textId="77777777">
            <w:pPr>
              <w:spacing w:before="0" w:after="0"/>
              <w:jc w:val="center"/>
              <w:rPr>
                <w:rFonts w:ascii="Times New Roman" w:eastAsia="Times New Roman" w:hAnsi="Times New Roman" w:cs="Times New Roman"/>
                <w:b/>
                <w:bCs/>
                <w:sz w:val="20"/>
                <w:szCs w:val="20"/>
              </w:rPr>
            </w:pPr>
            <w:r w:rsidRPr="006F15D0">
              <w:rPr>
                <w:rFonts w:ascii="Times New Roman" w:eastAsia="Times New Roman" w:hAnsi="Times New Roman" w:cs="Times New Roman"/>
                <w:b/>
                <w:bCs/>
                <w:sz w:val="20"/>
                <w:szCs w:val="20"/>
              </w:rPr>
              <w:t>Fringe and Overhead ($)</w:t>
            </w:r>
          </w:p>
        </w:tc>
        <w:tc>
          <w:tcPr>
            <w:tcW w:w="15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B05C2" w:rsidRPr="006F15D0" w:rsidP="00D0204C" w14:paraId="18C41ABB" w14:textId="77777777">
            <w:pPr>
              <w:spacing w:before="0" w:after="0"/>
              <w:jc w:val="center"/>
              <w:rPr>
                <w:rFonts w:ascii="Times New Roman" w:eastAsia="Times New Roman" w:hAnsi="Times New Roman" w:cs="Times New Roman"/>
                <w:b/>
                <w:bCs/>
                <w:sz w:val="20"/>
                <w:szCs w:val="20"/>
              </w:rPr>
            </w:pPr>
            <w:r w:rsidRPr="006F15D0">
              <w:rPr>
                <w:rFonts w:ascii="Times New Roman" w:eastAsia="Times New Roman" w:hAnsi="Times New Roman" w:cs="Times New Roman"/>
                <w:b/>
                <w:bCs/>
                <w:sz w:val="20"/>
                <w:szCs w:val="20"/>
              </w:rPr>
              <w:t xml:space="preserve"> Adjusted Hourly Wage ($/</w:t>
            </w:r>
            <w:r w:rsidRPr="006F15D0">
              <w:rPr>
                <w:rFonts w:ascii="Times New Roman" w:eastAsia="Times New Roman" w:hAnsi="Times New Roman" w:cs="Times New Roman"/>
                <w:b/>
                <w:sz w:val="20"/>
                <w:szCs w:val="20"/>
              </w:rPr>
              <w:t>Hour)</w:t>
            </w:r>
          </w:p>
        </w:tc>
      </w:tr>
      <w:tr w14:paraId="5A9C22B9"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noWrap/>
            <w:vAlign w:val="center"/>
            <w:hideMark/>
          </w:tcPr>
          <w:p w:rsidR="006B05C2" w:rsidRPr="006F15D0" w:rsidP="00D0204C" w14:paraId="226E797E" w14:textId="77777777">
            <w:pPr>
              <w:spacing w:before="0" w:after="0"/>
              <w:rPr>
                <w:rFonts w:ascii="Times New Roman" w:eastAsia="Times New Roman" w:hAnsi="Times New Roman" w:cs="Times New Roman"/>
                <w:color w:val="000000"/>
                <w:sz w:val="20"/>
                <w:szCs w:val="20"/>
              </w:rPr>
            </w:pPr>
            <w:r w:rsidRPr="006F15D0">
              <w:rPr>
                <w:rFonts w:ascii="Times New Roman" w:eastAsia="Times New Roman" w:hAnsi="Times New Roman" w:cs="Times New Roman"/>
                <w:color w:val="000000"/>
                <w:sz w:val="20"/>
                <w:szCs w:val="20"/>
              </w:rPr>
              <w:t>Business Operations Specialists</w:t>
            </w:r>
          </w:p>
        </w:tc>
        <w:tc>
          <w:tcPr>
            <w:tcW w:w="1620" w:type="dxa"/>
            <w:tcBorders>
              <w:top w:val="nil"/>
              <w:left w:val="nil"/>
              <w:bottom w:val="single" w:sz="4" w:space="0" w:color="auto"/>
              <w:right w:val="single" w:sz="4" w:space="0" w:color="auto"/>
            </w:tcBorders>
            <w:noWrap/>
            <w:vAlign w:val="center"/>
            <w:hideMark/>
          </w:tcPr>
          <w:p w:rsidR="006B05C2" w:rsidRPr="006F15D0" w:rsidP="00D0204C" w14:paraId="03379E09" w14:textId="77777777">
            <w:pPr>
              <w:spacing w:before="0" w:after="0"/>
              <w:jc w:val="right"/>
              <w:rPr>
                <w:rFonts w:ascii="Times New Roman" w:eastAsia="Times New Roman" w:hAnsi="Times New Roman" w:cs="Times New Roman"/>
                <w:color w:val="000000"/>
                <w:sz w:val="20"/>
                <w:szCs w:val="20"/>
              </w:rPr>
            </w:pPr>
            <w:r w:rsidRPr="006F15D0">
              <w:rPr>
                <w:rFonts w:ascii="Times New Roman" w:eastAsia="Times New Roman" w:hAnsi="Times New Roman" w:cs="Times New Roman"/>
                <w:color w:val="000000"/>
                <w:sz w:val="20"/>
                <w:szCs w:val="20"/>
              </w:rPr>
              <w:t>13-1199</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6B05C2" w:rsidRPr="006F15D0" w:rsidP="00D0204C" w14:paraId="07B668C9" w14:textId="77777777">
            <w:pPr>
              <w:spacing w:before="0" w:after="0"/>
              <w:jc w:val="right"/>
              <w:rPr>
                <w:rFonts w:ascii="Times New Roman" w:eastAsia="Times New Roman" w:hAnsi="Times New Roman" w:cs="Times New Roman"/>
                <w:color w:val="000000"/>
                <w:sz w:val="20"/>
                <w:szCs w:val="20"/>
              </w:rPr>
            </w:pPr>
            <w:r w:rsidRPr="006F15D0">
              <w:rPr>
                <w:rFonts w:ascii="Times New Roman" w:eastAsia="Times New Roman" w:hAnsi="Times New Roman" w:cs="Times New Roman"/>
                <w:color w:val="000000"/>
                <w:sz w:val="20"/>
                <w:szCs w:val="20"/>
              </w:rPr>
              <w:t>$39.07</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6B05C2" w:rsidRPr="006F15D0" w:rsidP="00D0204C" w14:paraId="7BDE8C42" w14:textId="77777777">
            <w:pPr>
              <w:spacing w:before="0" w:after="0"/>
              <w:jc w:val="right"/>
              <w:rPr>
                <w:rFonts w:ascii="Times New Roman" w:eastAsia="Times New Roman" w:hAnsi="Times New Roman" w:cs="Times New Roman"/>
                <w:color w:val="000000"/>
                <w:sz w:val="20"/>
                <w:szCs w:val="20"/>
              </w:rPr>
            </w:pPr>
            <w:r w:rsidRPr="006F15D0">
              <w:rPr>
                <w:rFonts w:ascii="Times New Roman" w:eastAsia="Times New Roman" w:hAnsi="Times New Roman" w:cs="Times New Roman"/>
                <w:color w:val="000000"/>
                <w:sz w:val="20"/>
                <w:szCs w:val="20"/>
              </w:rPr>
              <w:t>$39.07</w:t>
            </w:r>
          </w:p>
        </w:tc>
        <w:tc>
          <w:tcPr>
            <w:tcW w:w="1531" w:type="dxa"/>
            <w:tcBorders>
              <w:top w:val="single" w:sz="4" w:space="0" w:color="auto"/>
              <w:left w:val="nil"/>
              <w:bottom w:val="single" w:sz="4" w:space="0" w:color="auto"/>
              <w:right w:val="single" w:sz="4" w:space="0" w:color="auto"/>
            </w:tcBorders>
            <w:vAlign w:val="center"/>
            <w:hideMark/>
          </w:tcPr>
          <w:p w:rsidR="006B05C2" w:rsidRPr="006F15D0" w:rsidP="00D0204C" w14:paraId="23B7BB60" w14:textId="77777777">
            <w:pPr>
              <w:spacing w:before="0" w:after="0"/>
              <w:jc w:val="right"/>
              <w:rPr>
                <w:rFonts w:ascii="Times New Roman" w:eastAsia="Times New Roman" w:hAnsi="Times New Roman" w:cs="Times New Roman"/>
                <w:color w:val="000000"/>
                <w:sz w:val="20"/>
                <w:szCs w:val="20"/>
              </w:rPr>
            </w:pPr>
            <w:r w:rsidRPr="006F15D0">
              <w:rPr>
                <w:rFonts w:ascii="Times New Roman" w:eastAsia="Times New Roman" w:hAnsi="Times New Roman" w:cs="Times New Roman"/>
                <w:color w:val="000000"/>
                <w:sz w:val="20"/>
                <w:szCs w:val="20"/>
              </w:rPr>
              <w:t xml:space="preserve">$78.14 </w:t>
            </w:r>
          </w:p>
        </w:tc>
      </w:tr>
      <w:tr w14:paraId="40F0EA95"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tcPr>
          <w:p w:rsidR="006B05C2" w:rsidRPr="00F11E57" w:rsidP="00D0204C" w14:paraId="32ECECAC"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Clerical (Office and Administrative Support Operations)</w:t>
            </w:r>
          </w:p>
        </w:tc>
        <w:tc>
          <w:tcPr>
            <w:tcW w:w="1620" w:type="dxa"/>
            <w:tcBorders>
              <w:top w:val="nil"/>
              <w:left w:val="nil"/>
              <w:bottom w:val="single" w:sz="4" w:space="0" w:color="auto"/>
              <w:right w:val="single" w:sz="4" w:space="0" w:color="auto"/>
            </w:tcBorders>
            <w:vAlign w:val="center"/>
          </w:tcPr>
          <w:p w:rsidR="006B05C2" w:rsidRPr="00F11E57" w:rsidP="00D0204C" w14:paraId="464057AE"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43-0000</w:t>
            </w:r>
          </w:p>
        </w:tc>
        <w:tc>
          <w:tcPr>
            <w:tcW w:w="1350" w:type="dxa"/>
            <w:tcBorders>
              <w:top w:val="nil"/>
              <w:left w:val="nil"/>
              <w:bottom w:val="single" w:sz="4" w:space="0" w:color="auto"/>
              <w:right w:val="single" w:sz="4" w:space="0" w:color="auto"/>
            </w:tcBorders>
            <w:shd w:val="clear" w:color="auto" w:fill="FFFFFF" w:themeFill="background1"/>
            <w:vAlign w:val="center"/>
          </w:tcPr>
          <w:p w:rsidR="006B05C2" w:rsidRPr="00F11E57" w:rsidP="00D0204C" w14:paraId="2D7075D8"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$22.27</w:t>
            </w:r>
          </w:p>
        </w:tc>
        <w:tc>
          <w:tcPr>
            <w:tcW w:w="1170" w:type="dxa"/>
            <w:tcBorders>
              <w:top w:val="nil"/>
              <w:left w:val="nil"/>
              <w:bottom w:val="single" w:sz="4" w:space="0" w:color="auto"/>
              <w:right w:val="single" w:sz="4" w:space="0" w:color="auto"/>
            </w:tcBorders>
            <w:shd w:val="clear" w:color="auto" w:fill="FFFFFF" w:themeFill="background1"/>
            <w:vAlign w:val="center"/>
          </w:tcPr>
          <w:p w:rsidR="006B05C2" w:rsidRPr="00F11E57" w:rsidP="00D0204C" w14:paraId="4E65ABD2"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$22.27</w:t>
            </w:r>
          </w:p>
        </w:tc>
        <w:tc>
          <w:tcPr>
            <w:tcW w:w="1531" w:type="dxa"/>
            <w:tcBorders>
              <w:top w:val="nil"/>
              <w:left w:val="nil"/>
              <w:bottom w:val="single" w:sz="4" w:space="0" w:color="auto"/>
              <w:right w:val="single" w:sz="4" w:space="0" w:color="auto"/>
            </w:tcBorders>
            <w:vAlign w:val="center"/>
          </w:tcPr>
          <w:p w:rsidR="006B05C2" w:rsidRPr="00F11E57" w:rsidP="00D0204C" w14:paraId="2D7D74A7"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$44.54</w:t>
            </w:r>
          </w:p>
        </w:tc>
      </w:tr>
      <w:tr w14:paraId="6FD0B3B3"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hideMark/>
          </w:tcPr>
          <w:p w:rsidR="006B05C2" w:rsidRPr="00F11E57" w:rsidP="00D0204C" w14:paraId="75642DA4"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Computer and Information Analysts</w:t>
            </w:r>
          </w:p>
        </w:tc>
        <w:tc>
          <w:tcPr>
            <w:tcW w:w="1620" w:type="dxa"/>
            <w:tcBorders>
              <w:top w:val="nil"/>
              <w:left w:val="nil"/>
              <w:bottom w:val="single" w:sz="4" w:space="0" w:color="auto"/>
              <w:right w:val="single" w:sz="4" w:space="0" w:color="auto"/>
            </w:tcBorders>
            <w:vAlign w:val="center"/>
            <w:hideMark/>
          </w:tcPr>
          <w:p w:rsidR="006B05C2" w:rsidRPr="00F11E57" w:rsidP="00D0204C" w14:paraId="1F37F2C7"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15-1210</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6B05C2" w:rsidRPr="00F11E57" w:rsidP="00D0204C" w14:paraId="40697C0F"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$51.39</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6B05C2" w:rsidRPr="00F11E57" w:rsidP="00D0204C" w14:paraId="29C91508"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$51.39</w:t>
            </w:r>
          </w:p>
        </w:tc>
        <w:tc>
          <w:tcPr>
            <w:tcW w:w="1531" w:type="dxa"/>
            <w:tcBorders>
              <w:top w:val="nil"/>
              <w:left w:val="nil"/>
              <w:bottom w:val="single" w:sz="4" w:space="0" w:color="auto"/>
              <w:right w:val="single" w:sz="4" w:space="0" w:color="auto"/>
            </w:tcBorders>
            <w:vAlign w:val="center"/>
            <w:hideMark/>
          </w:tcPr>
          <w:p w:rsidR="006B05C2" w:rsidRPr="00F11E57" w:rsidP="00D0204C" w14:paraId="2238959F"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 xml:space="preserve">$102.78 </w:t>
            </w:r>
          </w:p>
        </w:tc>
      </w:tr>
      <w:tr w14:paraId="399DB534"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hideMark/>
          </w:tcPr>
          <w:p w:rsidR="006B05C2" w:rsidRPr="00F11E57" w:rsidP="00D0204C" w14:paraId="348ACA0C"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Computer and Information Systems Managers</w:t>
            </w:r>
          </w:p>
        </w:tc>
        <w:tc>
          <w:tcPr>
            <w:tcW w:w="1620" w:type="dxa"/>
            <w:tcBorders>
              <w:top w:val="nil"/>
              <w:left w:val="nil"/>
              <w:bottom w:val="single" w:sz="4" w:space="0" w:color="auto"/>
              <w:right w:val="single" w:sz="4" w:space="0" w:color="auto"/>
            </w:tcBorders>
            <w:vAlign w:val="center"/>
            <w:hideMark/>
          </w:tcPr>
          <w:p w:rsidR="006B05C2" w:rsidRPr="00F11E57" w:rsidP="00D0204C" w14:paraId="4B75F71D"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11-3021</w:t>
            </w:r>
          </w:p>
        </w:tc>
        <w:tc>
          <w:tcPr>
            <w:tcW w:w="1350" w:type="dxa"/>
            <w:tcBorders>
              <w:top w:val="nil"/>
              <w:left w:val="nil"/>
              <w:bottom w:val="single" w:sz="4" w:space="0" w:color="auto"/>
              <w:right w:val="single" w:sz="4" w:space="0" w:color="auto"/>
            </w:tcBorders>
            <w:vAlign w:val="center"/>
            <w:hideMark/>
          </w:tcPr>
          <w:p w:rsidR="006B05C2" w:rsidRPr="00F11E57" w:rsidP="00D0204C" w14:paraId="0795FBB0"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 xml:space="preserve">$82.31 </w:t>
            </w:r>
          </w:p>
        </w:tc>
        <w:tc>
          <w:tcPr>
            <w:tcW w:w="1170" w:type="dxa"/>
            <w:tcBorders>
              <w:top w:val="nil"/>
              <w:left w:val="nil"/>
              <w:bottom w:val="single" w:sz="4" w:space="0" w:color="auto"/>
              <w:right w:val="single" w:sz="4" w:space="0" w:color="auto"/>
            </w:tcBorders>
            <w:vAlign w:val="center"/>
            <w:hideMark/>
          </w:tcPr>
          <w:p w:rsidR="006B05C2" w:rsidRPr="00F11E57" w:rsidP="00D0204C" w14:paraId="1FE554D9"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 xml:space="preserve">$82.31 </w:t>
            </w:r>
          </w:p>
        </w:tc>
        <w:tc>
          <w:tcPr>
            <w:tcW w:w="1531" w:type="dxa"/>
            <w:tcBorders>
              <w:top w:val="nil"/>
              <w:left w:val="nil"/>
              <w:bottom w:val="single" w:sz="4" w:space="0" w:color="auto"/>
              <w:right w:val="single" w:sz="4" w:space="0" w:color="auto"/>
            </w:tcBorders>
            <w:vAlign w:val="center"/>
            <w:hideMark/>
          </w:tcPr>
          <w:p w:rsidR="006B05C2" w:rsidRPr="00F11E57" w:rsidP="00D0204C" w14:paraId="3BF4CE5E"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 xml:space="preserve">$164.62 </w:t>
            </w:r>
          </w:p>
        </w:tc>
      </w:tr>
      <w:tr w14:paraId="46AE1B8F"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hideMark/>
          </w:tcPr>
          <w:p w:rsidR="006B05C2" w:rsidRPr="00F11E57" w:rsidP="00D0204C" w14:paraId="723D698C"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Computer Systems Analysts</w:t>
            </w:r>
          </w:p>
        </w:tc>
        <w:tc>
          <w:tcPr>
            <w:tcW w:w="1620" w:type="dxa"/>
            <w:tcBorders>
              <w:top w:val="nil"/>
              <w:left w:val="nil"/>
              <w:bottom w:val="single" w:sz="4" w:space="0" w:color="auto"/>
              <w:right w:val="single" w:sz="4" w:space="0" w:color="auto"/>
            </w:tcBorders>
            <w:vAlign w:val="center"/>
            <w:hideMark/>
          </w:tcPr>
          <w:p w:rsidR="006B05C2" w:rsidRPr="00F11E57" w:rsidP="00D0204C" w14:paraId="39072203"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15-1211</w:t>
            </w:r>
          </w:p>
        </w:tc>
        <w:tc>
          <w:tcPr>
            <w:tcW w:w="1350" w:type="dxa"/>
            <w:tcBorders>
              <w:top w:val="nil"/>
              <w:left w:val="nil"/>
              <w:bottom w:val="single" w:sz="4" w:space="0" w:color="auto"/>
              <w:right w:val="single" w:sz="4" w:space="0" w:color="auto"/>
            </w:tcBorders>
            <w:vAlign w:val="center"/>
            <w:hideMark/>
          </w:tcPr>
          <w:p w:rsidR="006B05C2" w:rsidRPr="00F11E57" w:rsidP="00D0204C" w14:paraId="61B09432"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 xml:space="preserve">$49.90 </w:t>
            </w:r>
          </w:p>
        </w:tc>
        <w:tc>
          <w:tcPr>
            <w:tcW w:w="1170" w:type="dxa"/>
            <w:tcBorders>
              <w:top w:val="nil"/>
              <w:left w:val="nil"/>
              <w:bottom w:val="single" w:sz="4" w:space="0" w:color="auto"/>
              <w:right w:val="single" w:sz="4" w:space="0" w:color="auto"/>
            </w:tcBorders>
            <w:vAlign w:val="center"/>
            <w:hideMark/>
          </w:tcPr>
          <w:p w:rsidR="006B05C2" w:rsidRPr="00F11E57" w:rsidP="00D0204C" w14:paraId="4E322A77"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 xml:space="preserve">$49.90 </w:t>
            </w:r>
          </w:p>
        </w:tc>
        <w:tc>
          <w:tcPr>
            <w:tcW w:w="1531" w:type="dxa"/>
            <w:tcBorders>
              <w:top w:val="nil"/>
              <w:left w:val="nil"/>
              <w:bottom w:val="single" w:sz="4" w:space="0" w:color="auto"/>
              <w:right w:val="single" w:sz="4" w:space="0" w:color="auto"/>
            </w:tcBorders>
            <w:vAlign w:val="center"/>
            <w:hideMark/>
          </w:tcPr>
          <w:p w:rsidR="006B05C2" w:rsidRPr="00F11E57" w:rsidP="00D0204C" w14:paraId="7593EB13"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 xml:space="preserve">$99.80 </w:t>
            </w:r>
          </w:p>
        </w:tc>
      </w:tr>
      <w:tr w14:paraId="2D5DFDD9"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hideMark/>
          </w:tcPr>
          <w:p w:rsidR="006B05C2" w:rsidRPr="00F11E57" w:rsidP="00D0204C" w14:paraId="206406E8"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Database and Network Administrators and Architects</w:t>
            </w:r>
          </w:p>
        </w:tc>
        <w:tc>
          <w:tcPr>
            <w:tcW w:w="1620" w:type="dxa"/>
            <w:tcBorders>
              <w:top w:val="nil"/>
              <w:left w:val="nil"/>
              <w:bottom w:val="single" w:sz="4" w:space="0" w:color="auto"/>
              <w:right w:val="single" w:sz="4" w:space="0" w:color="auto"/>
            </w:tcBorders>
            <w:vAlign w:val="center"/>
            <w:hideMark/>
          </w:tcPr>
          <w:p w:rsidR="006B05C2" w:rsidRPr="00F11E57" w:rsidP="00D0204C" w14:paraId="3869B079"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15-1240</w:t>
            </w:r>
          </w:p>
        </w:tc>
        <w:tc>
          <w:tcPr>
            <w:tcW w:w="1350" w:type="dxa"/>
            <w:tcBorders>
              <w:top w:val="nil"/>
              <w:left w:val="nil"/>
              <w:bottom w:val="single" w:sz="4" w:space="0" w:color="auto"/>
              <w:right w:val="single" w:sz="4" w:space="0" w:color="auto"/>
            </w:tcBorders>
            <w:vAlign w:val="center"/>
            <w:hideMark/>
          </w:tcPr>
          <w:p w:rsidR="006B05C2" w:rsidRPr="00F11E57" w:rsidP="00D0204C" w14:paraId="49A3E2A8"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$51.67</w:t>
            </w:r>
          </w:p>
        </w:tc>
        <w:tc>
          <w:tcPr>
            <w:tcW w:w="1170" w:type="dxa"/>
            <w:tcBorders>
              <w:top w:val="nil"/>
              <w:left w:val="nil"/>
              <w:bottom w:val="single" w:sz="4" w:space="0" w:color="auto"/>
              <w:right w:val="single" w:sz="4" w:space="0" w:color="auto"/>
            </w:tcBorders>
            <w:vAlign w:val="center"/>
            <w:hideMark/>
          </w:tcPr>
          <w:p w:rsidR="006B05C2" w:rsidRPr="00F11E57" w:rsidP="00D0204C" w14:paraId="2F3B128F"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$51.67</w:t>
            </w:r>
          </w:p>
        </w:tc>
        <w:tc>
          <w:tcPr>
            <w:tcW w:w="1531" w:type="dxa"/>
            <w:tcBorders>
              <w:top w:val="nil"/>
              <w:left w:val="nil"/>
              <w:bottom w:val="single" w:sz="4" w:space="0" w:color="auto"/>
              <w:right w:val="single" w:sz="4" w:space="0" w:color="auto"/>
            </w:tcBorders>
            <w:vAlign w:val="center"/>
            <w:hideMark/>
          </w:tcPr>
          <w:p w:rsidR="006B05C2" w:rsidRPr="00F11E57" w:rsidP="00D0204C" w14:paraId="0843D563"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 xml:space="preserve">$103.34 </w:t>
            </w:r>
          </w:p>
        </w:tc>
      </w:tr>
      <w:tr w14:paraId="35776F0C"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tcPr>
          <w:p w:rsidR="006B05C2" w:rsidRPr="00F11E57" w:rsidP="00D0204C" w14:paraId="09E0413B"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Designers, All Other</w:t>
            </w:r>
          </w:p>
        </w:tc>
        <w:tc>
          <w:tcPr>
            <w:tcW w:w="1620" w:type="dxa"/>
            <w:tcBorders>
              <w:top w:val="nil"/>
              <w:left w:val="nil"/>
              <w:bottom w:val="single" w:sz="4" w:space="0" w:color="auto"/>
              <w:right w:val="single" w:sz="4" w:space="0" w:color="auto"/>
            </w:tcBorders>
            <w:vAlign w:val="center"/>
          </w:tcPr>
          <w:p w:rsidR="006B05C2" w:rsidRPr="00F11E57" w:rsidP="00D0204C" w14:paraId="7B332E46"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27-1029</w:t>
            </w:r>
          </w:p>
        </w:tc>
        <w:tc>
          <w:tcPr>
            <w:tcW w:w="1350" w:type="dxa"/>
            <w:tcBorders>
              <w:top w:val="nil"/>
              <w:left w:val="nil"/>
              <w:bottom w:val="single" w:sz="4" w:space="0" w:color="auto"/>
              <w:right w:val="single" w:sz="4" w:space="0" w:color="auto"/>
            </w:tcBorders>
            <w:vAlign w:val="center"/>
          </w:tcPr>
          <w:p w:rsidR="006B05C2" w:rsidRPr="00F11E57" w:rsidP="00D0204C" w14:paraId="75833C52"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$31.84</w:t>
            </w:r>
          </w:p>
        </w:tc>
        <w:tc>
          <w:tcPr>
            <w:tcW w:w="1170" w:type="dxa"/>
            <w:tcBorders>
              <w:top w:val="nil"/>
              <w:left w:val="nil"/>
              <w:bottom w:val="single" w:sz="4" w:space="0" w:color="auto"/>
              <w:right w:val="single" w:sz="4" w:space="0" w:color="auto"/>
            </w:tcBorders>
            <w:vAlign w:val="center"/>
          </w:tcPr>
          <w:p w:rsidR="006B05C2" w:rsidRPr="00F11E57" w:rsidP="00D0204C" w14:paraId="46AE1099"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$31.84</w:t>
            </w:r>
          </w:p>
        </w:tc>
        <w:tc>
          <w:tcPr>
            <w:tcW w:w="1531" w:type="dxa"/>
            <w:tcBorders>
              <w:top w:val="nil"/>
              <w:left w:val="nil"/>
              <w:bottom w:val="single" w:sz="4" w:space="0" w:color="auto"/>
              <w:right w:val="single" w:sz="4" w:space="0" w:color="auto"/>
            </w:tcBorders>
            <w:vAlign w:val="center"/>
          </w:tcPr>
          <w:p w:rsidR="006B05C2" w:rsidRPr="00F11E57" w:rsidP="00D0204C" w14:paraId="1EBF8C56"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$63.68</w:t>
            </w:r>
          </w:p>
        </w:tc>
      </w:tr>
      <w:tr w14:paraId="1C51F4A6"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hideMark/>
          </w:tcPr>
          <w:p w:rsidR="006B05C2" w:rsidRPr="00F11E57" w:rsidP="00D0204C" w14:paraId="41EBF4DA"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Engineers, All Other</w:t>
            </w:r>
          </w:p>
        </w:tc>
        <w:tc>
          <w:tcPr>
            <w:tcW w:w="1620" w:type="dxa"/>
            <w:tcBorders>
              <w:top w:val="nil"/>
              <w:left w:val="nil"/>
              <w:bottom w:val="single" w:sz="4" w:space="0" w:color="auto"/>
              <w:right w:val="single" w:sz="4" w:space="0" w:color="auto"/>
            </w:tcBorders>
            <w:vAlign w:val="center"/>
            <w:hideMark/>
          </w:tcPr>
          <w:p w:rsidR="006B05C2" w:rsidRPr="00F11E57" w:rsidP="00D0204C" w14:paraId="141D32B4"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17-2199</w:t>
            </w:r>
          </w:p>
        </w:tc>
        <w:tc>
          <w:tcPr>
            <w:tcW w:w="1350" w:type="dxa"/>
            <w:tcBorders>
              <w:top w:val="nil"/>
              <w:left w:val="nil"/>
              <w:bottom w:val="single" w:sz="4" w:space="0" w:color="auto"/>
              <w:right w:val="single" w:sz="4" w:space="0" w:color="auto"/>
            </w:tcBorders>
            <w:shd w:val="clear" w:color="auto" w:fill="FFFFFF" w:themeFill="background1"/>
            <w:vAlign w:val="center"/>
            <w:hideMark/>
          </w:tcPr>
          <w:p w:rsidR="006B05C2" w:rsidRPr="00F11E57" w:rsidP="00D0204C" w14:paraId="3F2EDF42"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$56.61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6B05C2" w:rsidRPr="00F11E57" w:rsidP="00D0204C" w14:paraId="0437C5D7"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$56.61</w:t>
            </w:r>
          </w:p>
        </w:tc>
        <w:tc>
          <w:tcPr>
            <w:tcW w:w="1531" w:type="dxa"/>
            <w:tcBorders>
              <w:top w:val="nil"/>
              <w:left w:val="nil"/>
              <w:bottom w:val="single" w:sz="4" w:space="0" w:color="auto"/>
              <w:right w:val="single" w:sz="4" w:space="0" w:color="auto"/>
            </w:tcBorders>
            <w:vAlign w:val="center"/>
            <w:hideMark/>
          </w:tcPr>
          <w:p w:rsidR="006B05C2" w:rsidRPr="00F11E57" w:rsidP="00D0204C" w14:paraId="6AAD7AEE"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 xml:space="preserve">$113.22 </w:t>
            </w:r>
          </w:p>
        </w:tc>
      </w:tr>
      <w:tr w14:paraId="57C48452"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hideMark/>
          </w:tcPr>
          <w:p w:rsidR="006B05C2" w:rsidRPr="00F11E57" w:rsidP="00D0204C" w14:paraId="0F234545"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General and Operations Managers</w:t>
            </w:r>
          </w:p>
        </w:tc>
        <w:tc>
          <w:tcPr>
            <w:tcW w:w="1620" w:type="dxa"/>
            <w:tcBorders>
              <w:top w:val="nil"/>
              <w:left w:val="nil"/>
              <w:bottom w:val="single" w:sz="4" w:space="0" w:color="auto"/>
              <w:right w:val="single" w:sz="4" w:space="0" w:color="auto"/>
            </w:tcBorders>
            <w:vAlign w:val="center"/>
            <w:hideMark/>
          </w:tcPr>
          <w:p w:rsidR="006B05C2" w:rsidRPr="00F11E57" w:rsidP="00D0204C" w14:paraId="57252E0C"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11-1021</w:t>
            </w:r>
          </w:p>
        </w:tc>
        <w:tc>
          <w:tcPr>
            <w:tcW w:w="1350" w:type="dxa"/>
            <w:tcBorders>
              <w:top w:val="nil"/>
              <w:left w:val="nil"/>
              <w:bottom w:val="single" w:sz="4" w:space="0" w:color="auto"/>
              <w:right w:val="single" w:sz="4" w:space="0" w:color="auto"/>
            </w:tcBorders>
            <w:vAlign w:val="center"/>
            <w:hideMark/>
          </w:tcPr>
          <w:p w:rsidR="006B05C2" w:rsidRPr="00F11E57" w:rsidP="00D0204C" w14:paraId="48647539"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$49.50</w:t>
            </w:r>
          </w:p>
        </w:tc>
        <w:tc>
          <w:tcPr>
            <w:tcW w:w="1170" w:type="dxa"/>
            <w:tcBorders>
              <w:top w:val="nil"/>
              <w:left w:val="nil"/>
              <w:bottom w:val="single" w:sz="4" w:space="0" w:color="auto"/>
              <w:right w:val="single" w:sz="4" w:space="0" w:color="auto"/>
            </w:tcBorders>
            <w:vAlign w:val="center"/>
            <w:hideMark/>
          </w:tcPr>
          <w:p w:rsidR="006B05C2" w:rsidRPr="00F11E57" w:rsidP="00D0204C" w14:paraId="50F1F701"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$49.50</w:t>
            </w:r>
          </w:p>
        </w:tc>
        <w:tc>
          <w:tcPr>
            <w:tcW w:w="1531" w:type="dxa"/>
            <w:tcBorders>
              <w:top w:val="nil"/>
              <w:left w:val="nil"/>
              <w:bottom w:val="single" w:sz="4" w:space="0" w:color="auto"/>
              <w:right w:val="single" w:sz="4" w:space="0" w:color="auto"/>
            </w:tcBorders>
            <w:vAlign w:val="center"/>
            <w:hideMark/>
          </w:tcPr>
          <w:p w:rsidR="006B05C2" w:rsidRPr="00F11E57" w:rsidP="00D0204C" w14:paraId="6D9DBF65"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 xml:space="preserve">$99.00 </w:t>
            </w:r>
          </w:p>
        </w:tc>
      </w:tr>
      <w:tr w14:paraId="6EDFEE40"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tcPr>
          <w:p w:rsidR="006B05C2" w:rsidRPr="00F11E57" w:rsidP="00D0204C" w14:paraId="291516BB"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Medical Records Specialists</w:t>
            </w:r>
          </w:p>
        </w:tc>
        <w:tc>
          <w:tcPr>
            <w:tcW w:w="1620" w:type="dxa"/>
            <w:tcBorders>
              <w:top w:val="nil"/>
              <w:left w:val="nil"/>
              <w:bottom w:val="single" w:sz="4" w:space="0" w:color="auto"/>
              <w:right w:val="single" w:sz="4" w:space="0" w:color="auto"/>
            </w:tcBorders>
            <w:vAlign w:val="center"/>
          </w:tcPr>
          <w:p w:rsidR="006B05C2" w:rsidRPr="00F11E57" w:rsidP="00D0204C" w14:paraId="2915CEB7"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29-2072</w:t>
            </w:r>
          </w:p>
        </w:tc>
        <w:tc>
          <w:tcPr>
            <w:tcW w:w="1350" w:type="dxa"/>
            <w:tcBorders>
              <w:top w:val="nil"/>
              <w:left w:val="nil"/>
              <w:bottom w:val="single" w:sz="4" w:space="0" w:color="auto"/>
              <w:right w:val="single" w:sz="4" w:space="0" w:color="auto"/>
            </w:tcBorders>
            <w:vAlign w:val="center"/>
          </w:tcPr>
          <w:p w:rsidR="006B05C2" w:rsidRPr="00F11E57" w:rsidP="00D0204C" w14:paraId="44A80099"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$24.16</w:t>
            </w:r>
          </w:p>
        </w:tc>
        <w:tc>
          <w:tcPr>
            <w:tcW w:w="1170" w:type="dxa"/>
            <w:tcBorders>
              <w:top w:val="nil"/>
              <w:left w:val="nil"/>
              <w:bottom w:val="single" w:sz="4" w:space="0" w:color="auto"/>
              <w:right w:val="single" w:sz="4" w:space="0" w:color="auto"/>
            </w:tcBorders>
            <w:vAlign w:val="center"/>
          </w:tcPr>
          <w:p w:rsidR="006B05C2" w:rsidRPr="00F11E57" w:rsidP="00D0204C" w14:paraId="7C2BB74F"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$24.16</w:t>
            </w:r>
          </w:p>
        </w:tc>
        <w:tc>
          <w:tcPr>
            <w:tcW w:w="1531" w:type="dxa"/>
            <w:tcBorders>
              <w:top w:val="nil"/>
              <w:left w:val="nil"/>
              <w:bottom w:val="single" w:sz="4" w:space="0" w:color="auto"/>
              <w:right w:val="single" w:sz="4" w:space="0" w:color="auto"/>
            </w:tcBorders>
            <w:vAlign w:val="center"/>
          </w:tcPr>
          <w:p w:rsidR="006B05C2" w:rsidRPr="00F11E57" w:rsidP="00D0204C" w14:paraId="342447B6"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$48.32</w:t>
            </w:r>
          </w:p>
        </w:tc>
      </w:tr>
      <w:tr w14:paraId="70B3BFB4"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tcPr>
          <w:p w:rsidR="006B05C2" w:rsidRPr="00F11E57" w:rsidP="00D0204C" w14:paraId="1FC404FD"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Operations Research Analysts</w:t>
            </w:r>
          </w:p>
        </w:tc>
        <w:tc>
          <w:tcPr>
            <w:tcW w:w="1620" w:type="dxa"/>
            <w:tcBorders>
              <w:top w:val="nil"/>
              <w:left w:val="nil"/>
              <w:bottom w:val="single" w:sz="4" w:space="0" w:color="auto"/>
              <w:right w:val="single" w:sz="4" w:space="0" w:color="auto"/>
            </w:tcBorders>
            <w:vAlign w:val="center"/>
          </w:tcPr>
          <w:p w:rsidR="006B05C2" w:rsidRPr="00F11E57" w:rsidP="00D0204C" w14:paraId="3E001B94"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15-2031</w:t>
            </w:r>
          </w:p>
        </w:tc>
        <w:tc>
          <w:tcPr>
            <w:tcW w:w="1350" w:type="dxa"/>
            <w:tcBorders>
              <w:top w:val="nil"/>
              <w:left w:val="nil"/>
              <w:bottom w:val="single" w:sz="4" w:space="0" w:color="auto"/>
              <w:right w:val="single" w:sz="4" w:space="0" w:color="auto"/>
            </w:tcBorders>
            <w:vAlign w:val="center"/>
          </w:tcPr>
          <w:p w:rsidR="006B05C2" w:rsidRPr="00F11E57" w:rsidP="00D0204C" w14:paraId="252EC30D"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$43.89</w:t>
            </w:r>
          </w:p>
        </w:tc>
        <w:tc>
          <w:tcPr>
            <w:tcW w:w="1170" w:type="dxa"/>
            <w:tcBorders>
              <w:top w:val="nil"/>
              <w:left w:val="nil"/>
              <w:bottom w:val="single" w:sz="4" w:space="0" w:color="auto"/>
              <w:right w:val="single" w:sz="4" w:space="0" w:color="auto"/>
            </w:tcBorders>
            <w:vAlign w:val="center"/>
          </w:tcPr>
          <w:p w:rsidR="006B05C2" w:rsidRPr="00F11E57" w:rsidP="00D0204C" w14:paraId="0DFD8BBD"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$43.89</w:t>
            </w:r>
          </w:p>
        </w:tc>
        <w:tc>
          <w:tcPr>
            <w:tcW w:w="1531" w:type="dxa"/>
            <w:tcBorders>
              <w:top w:val="nil"/>
              <w:left w:val="nil"/>
              <w:bottom w:val="single" w:sz="4" w:space="0" w:color="auto"/>
              <w:right w:val="single" w:sz="4" w:space="0" w:color="auto"/>
            </w:tcBorders>
            <w:vAlign w:val="center"/>
          </w:tcPr>
          <w:p w:rsidR="006B05C2" w:rsidRPr="00F11E57" w:rsidP="00D0204C" w14:paraId="52E6861C"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$87.78</w:t>
            </w:r>
          </w:p>
        </w:tc>
      </w:tr>
      <w:tr w14:paraId="537C5D04"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hideMark/>
          </w:tcPr>
          <w:p w:rsidR="006B05C2" w:rsidRPr="00F11E57" w:rsidP="00D0204C" w14:paraId="3ACE4CEF"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Pharmacists</w:t>
            </w:r>
          </w:p>
        </w:tc>
        <w:tc>
          <w:tcPr>
            <w:tcW w:w="1620" w:type="dxa"/>
            <w:tcBorders>
              <w:top w:val="nil"/>
              <w:left w:val="nil"/>
              <w:bottom w:val="single" w:sz="4" w:space="0" w:color="auto"/>
              <w:right w:val="single" w:sz="4" w:space="0" w:color="auto"/>
            </w:tcBorders>
            <w:vAlign w:val="center"/>
            <w:hideMark/>
          </w:tcPr>
          <w:p w:rsidR="006B05C2" w:rsidRPr="00F11E57" w:rsidP="00D0204C" w14:paraId="176A4013"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29-1051</w:t>
            </w:r>
          </w:p>
        </w:tc>
        <w:tc>
          <w:tcPr>
            <w:tcW w:w="1350" w:type="dxa"/>
            <w:tcBorders>
              <w:top w:val="nil"/>
              <w:left w:val="nil"/>
              <w:bottom w:val="single" w:sz="4" w:space="0" w:color="auto"/>
              <w:right w:val="single" w:sz="4" w:space="0" w:color="auto"/>
            </w:tcBorders>
            <w:vAlign w:val="center"/>
            <w:hideMark/>
          </w:tcPr>
          <w:p w:rsidR="006B05C2" w:rsidRPr="00F11E57" w:rsidP="00D0204C" w14:paraId="6228C4CF" w14:textId="7D7C58B9">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$6</w:t>
            </w:r>
            <w:r w:rsidR="00D7243C">
              <w:rPr>
                <w:rFonts w:ascii="Times New Roman" w:eastAsia="Times New Roman" w:hAnsi="Times New Roman" w:cs="Times New Roman"/>
                <w:sz w:val="20"/>
                <w:szCs w:val="20"/>
              </w:rPr>
              <w:t>6</w:t>
            </w:r>
            <w:r w:rsidRPr="00F11E57">
              <w:rPr>
                <w:rFonts w:ascii="Times New Roman" w:eastAsia="Times New Roman" w:hAnsi="Times New Roman" w:cs="Times New Roman"/>
                <w:sz w:val="20"/>
                <w:szCs w:val="20"/>
              </w:rPr>
              <w:t>.</w:t>
            </w:r>
            <w:r w:rsidR="00D7243C">
              <w:rPr>
                <w:rFonts w:ascii="Times New Roman" w:eastAsia="Times New Roman" w:hAnsi="Times New Roman" w:cs="Times New Roman"/>
                <w:sz w:val="20"/>
                <w:szCs w:val="20"/>
              </w:rPr>
              <w:t>1</w:t>
            </w:r>
            <w:r w:rsidRPr="00F11E57">
              <w:rPr>
                <w:rFonts w:ascii="Times New Roman" w:eastAsia="Times New Roman" w:hAnsi="Times New Roman" w:cs="Times New Roman"/>
                <w:sz w:val="20"/>
                <w:szCs w:val="20"/>
              </w:rPr>
              <w:t xml:space="preserve">0 </w:t>
            </w:r>
          </w:p>
        </w:tc>
        <w:tc>
          <w:tcPr>
            <w:tcW w:w="1170" w:type="dxa"/>
            <w:tcBorders>
              <w:top w:val="nil"/>
              <w:left w:val="nil"/>
              <w:bottom w:val="single" w:sz="4" w:space="0" w:color="auto"/>
              <w:right w:val="single" w:sz="4" w:space="0" w:color="auto"/>
            </w:tcBorders>
            <w:vAlign w:val="center"/>
            <w:hideMark/>
          </w:tcPr>
          <w:p w:rsidR="006B05C2" w:rsidRPr="00F11E57" w:rsidP="00D0204C" w14:paraId="511323F9" w14:textId="763DE62F">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$66.10</w:t>
            </w:r>
            <w:r w:rsidR="009324D2">
              <w:rPr>
                <w:rFonts w:ascii="Times New Roman" w:eastAsia="Times New Roman" w:hAnsi="Times New Roman" w:cs="Times New Roman"/>
                <w:sz w:val="20"/>
                <w:szCs w:val="20"/>
              </w:rPr>
              <w:t xml:space="preserve"> </w:t>
            </w:r>
          </w:p>
        </w:tc>
        <w:tc>
          <w:tcPr>
            <w:tcW w:w="1531" w:type="dxa"/>
            <w:tcBorders>
              <w:top w:val="nil"/>
              <w:left w:val="nil"/>
              <w:bottom w:val="single" w:sz="4" w:space="0" w:color="auto"/>
              <w:right w:val="single" w:sz="4" w:space="0" w:color="auto"/>
            </w:tcBorders>
            <w:vAlign w:val="center"/>
            <w:hideMark/>
          </w:tcPr>
          <w:p w:rsidR="006B05C2" w:rsidRPr="00F11E57" w:rsidP="00D0204C" w14:paraId="6657DB13"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 xml:space="preserve">$132.20 </w:t>
            </w:r>
          </w:p>
        </w:tc>
      </w:tr>
      <w:tr w14:paraId="59970C05"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tcPr>
          <w:p w:rsidR="006B05C2" w:rsidRPr="00F11E57" w:rsidP="00D0204C" w14:paraId="6509389E"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Software and Web Developers, Programmers, and Testers</w:t>
            </w:r>
          </w:p>
        </w:tc>
        <w:tc>
          <w:tcPr>
            <w:tcW w:w="1620" w:type="dxa"/>
            <w:tcBorders>
              <w:top w:val="nil"/>
              <w:left w:val="nil"/>
              <w:bottom w:val="single" w:sz="4" w:space="0" w:color="auto"/>
              <w:right w:val="single" w:sz="4" w:space="0" w:color="auto"/>
            </w:tcBorders>
            <w:vAlign w:val="center"/>
          </w:tcPr>
          <w:p w:rsidR="006B05C2" w:rsidRPr="00F11E57" w:rsidP="00D0204C" w14:paraId="2DCE0142"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15-1250</w:t>
            </w:r>
          </w:p>
        </w:tc>
        <w:tc>
          <w:tcPr>
            <w:tcW w:w="1350" w:type="dxa"/>
            <w:tcBorders>
              <w:top w:val="nil"/>
              <w:left w:val="nil"/>
              <w:bottom w:val="single" w:sz="4" w:space="0" w:color="auto"/>
              <w:right w:val="single" w:sz="4" w:space="0" w:color="auto"/>
            </w:tcBorders>
            <w:shd w:val="clear" w:color="auto" w:fill="FFFFFF" w:themeFill="background1"/>
            <w:vAlign w:val="center"/>
          </w:tcPr>
          <w:p w:rsidR="006B05C2" w:rsidRPr="00F11E57" w:rsidP="00D0204C" w14:paraId="5312FE1E"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$62.17</w:t>
            </w:r>
          </w:p>
        </w:tc>
        <w:tc>
          <w:tcPr>
            <w:tcW w:w="1170" w:type="dxa"/>
            <w:tcBorders>
              <w:top w:val="nil"/>
              <w:left w:val="nil"/>
              <w:bottom w:val="single" w:sz="4" w:space="0" w:color="auto"/>
              <w:right w:val="single" w:sz="4" w:space="0" w:color="auto"/>
            </w:tcBorders>
            <w:shd w:val="clear" w:color="auto" w:fill="FFFFFF" w:themeFill="background1"/>
            <w:vAlign w:val="center"/>
          </w:tcPr>
          <w:p w:rsidR="006B05C2" w:rsidRPr="00F11E57" w:rsidP="00D0204C" w14:paraId="1AABA722"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$62.17</w:t>
            </w:r>
          </w:p>
        </w:tc>
        <w:tc>
          <w:tcPr>
            <w:tcW w:w="1531" w:type="dxa"/>
            <w:tcBorders>
              <w:top w:val="nil"/>
              <w:left w:val="nil"/>
              <w:bottom w:val="single" w:sz="4" w:space="0" w:color="auto"/>
              <w:right w:val="single" w:sz="4" w:space="0" w:color="auto"/>
            </w:tcBorders>
            <w:vAlign w:val="center"/>
          </w:tcPr>
          <w:p w:rsidR="006B05C2" w:rsidRPr="00F11E57" w:rsidP="00D0204C" w14:paraId="46377BD9"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 xml:space="preserve">$124.34 </w:t>
            </w:r>
          </w:p>
        </w:tc>
      </w:tr>
      <w:tr w14:paraId="3D429AA5" w14:textId="77777777" w:rsidTr="00662FBB">
        <w:tblPrEx>
          <w:tblW w:w="4570" w:type="pct"/>
          <w:tblLayout w:type="fixed"/>
          <w:tblLook w:val="04A0"/>
        </w:tblPrEx>
        <w:trPr>
          <w:trHeight w:val="20"/>
        </w:trPr>
        <w:tc>
          <w:tcPr>
            <w:tcW w:w="2875" w:type="dxa"/>
            <w:tcBorders>
              <w:top w:val="nil"/>
              <w:left w:val="single" w:sz="4" w:space="0" w:color="auto"/>
              <w:bottom w:val="single" w:sz="4" w:space="0" w:color="auto"/>
              <w:right w:val="single" w:sz="4" w:space="0" w:color="auto"/>
            </w:tcBorders>
            <w:vAlign w:val="center"/>
            <w:hideMark/>
          </w:tcPr>
          <w:p w:rsidR="006B05C2" w:rsidRPr="00F11E57" w:rsidP="00D0204C" w14:paraId="12B51401" w14:textId="77777777">
            <w:pPr>
              <w:spacing w:before="0" w:after="0"/>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Technical Writers</w:t>
            </w:r>
          </w:p>
        </w:tc>
        <w:tc>
          <w:tcPr>
            <w:tcW w:w="1620" w:type="dxa"/>
            <w:tcBorders>
              <w:top w:val="nil"/>
              <w:left w:val="nil"/>
              <w:bottom w:val="single" w:sz="4" w:space="0" w:color="auto"/>
              <w:right w:val="single" w:sz="4" w:space="0" w:color="auto"/>
            </w:tcBorders>
            <w:vAlign w:val="center"/>
          </w:tcPr>
          <w:p w:rsidR="006B05C2" w:rsidRPr="00F11E57" w:rsidP="00D0204C" w14:paraId="47CD2B53"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27-3042</w:t>
            </w:r>
          </w:p>
        </w:tc>
        <w:tc>
          <w:tcPr>
            <w:tcW w:w="1350" w:type="dxa"/>
            <w:tcBorders>
              <w:top w:val="nil"/>
              <w:left w:val="nil"/>
              <w:bottom w:val="single" w:sz="4" w:space="0" w:color="auto"/>
              <w:right w:val="single" w:sz="4" w:space="0" w:color="auto"/>
            </w:tcBorders>
            <w:shd w:val="clear" w:color="auto" w:fill="FFFFFF" w:themeFill="background1"/>
            <w:vAlign w:val="center"/>
          </w:tcPr>
          <w:p w:rsidR="006B05C2" w:rsidRPr="00F11E57" w:rsidP="00D0204C" w14:paraId="2503FB80"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$44.07</w:t>
            </w:r>
          </w:p>
        </w:tc>
        <w:tc>
          <w:tcPr>
            <w:tcW w:w="1170" w:type="dxa"/>
            <w:tcBorders>
              <w:top w:val="nil"/>
              <w:left w:val="nil"/>
              <w:bottom w:val="single" w:sz="4" w:space="0" w:color="auto"/>
              <w:right w:val="single" w:sz="4" w:space="0" w:color="auto"/>
            </w:tcBorders>
            <w:shd w:val="clear" w:color="auto" w:fill="FFFFFF" w:themeFill="background1"/>
            <w:vAlign w:val="center"/>
          </w:tcPr>
          <w:p w:rsidR="006B05C2" w:rsidRPr="00F11E57" w:rsidP="00D0204C" w14:paraId="24D42A01"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$44.07</w:t>
            </w:r>
          </w:p>
        </w:tc>
        <w:tc>
          <w:tcPr>
            <w:tcW w:w="1531" w:type="dxa"/>
            <w:tcBorders>
              <w:top w:val="nil"/>
              <w:left w:val="nil"/>
              <w:bottom w:val="single" w:sz="4" w:space="0" w:color="auto"/>
              <w:right w:val="single" w:sz="4" w:space="0" w:color="auto"/>
            </w:tcBorders>
            <w:vAlign w:val="center"/>
          </w:tcPr>
          <w:p w:rsidR="006B05C2" w:rsidRPr="00F11E57" w:rsidP="00D0204C" w14:paraId="7A5C2D4B" w14:textId="77777777">
            <w:pPr>
              <w:spacing w:before="0" w:after="0"/>
              <w:jc w:val="right"/>
              <w:rPr>
                <w:rFonts w:ascii="Times New Roman" w:eastAsia="Times New Roman" w:hAnsi="Times New Roman" w:cs="Times New Roman"/>
                <w:sz w:val="20"/>
                <w:szCs w:val="20"/>
              </w:rPr>
            </w:pPr>
            <w:r w:rsidRPr="00F11E57">
              <w:rPr>
                <w:rFonts w:ascii="Times New Roman" w:eastAsia="Times New Roman" w:hAnsi="Times New Roman" w:cs="Times New Roman"/>
                <w:sz w:val="20"/>
                <w:szCs w:val="20"/>
              </w:rPr>
              <w:t>$88.14</w:t>
            </w:r>
          </w:p>
        </w:tc>
      </w:tr>
    </w:tbl>
    <w:p w:rsidR="00741DDF" w:rsidP="00670D80" w14:paraId="47B99DCC" w14:textId="56705A7F">
      <w:pPr>
        <w:kinsoku w:val="0"/>
        <w:overflowPunct w:val="0"/>
        <w:autoSpaceDE w:val="0"/>
        <w:autoSpaceDN w:val="0"/>
        <w:adjustRightInd w:val="0"/>
        <w:spacing w:before="0"/>
      </w:pPr>
    </w:p>
    <w:p w:rsidR="004E130E" w:rsidP="008C48FA" w14:paraId="45E364EF" w14:textId="51DAB0E8">
      <w:pPr>
        <w:pStyle w:val="Heading3"/>
        <w:numPr>
          <w:ilvl w:val="0"/>
          <w:numId w:val="69"/>
        </w:numPr>
        <w:spacing w:before="0"/>
      </w:pPr>
      <w:r>
        <w:t>Information Collections</w:t>
      </w:r>
    </w:p>
    <w:p w:rsidR="00A4385C" w:rsidRPr="00670D80" w:rsidP="00E65AE2" w14:paraId="76FD3F23" w14:textId="2F4C9866">
      <w:pPr>
        <w:pStyle w:val="Heading4"/>
      </w:pPr>
      <w:r w:rsidRPr="0060221D">
        <w:t>Patient</w:t>
      </w:r>
      <w:r w:rsidRPr="00670D80">
        <w:t xml:space="preserve"> </w:t>
      </w:r>
      <w:r w:rsidRPr="0060221D">
        <w:t>Access</w:t>
      </w:r>
      <w:r>
        <w:t>, Provider Access, Payer-to-Payer, and Prior Authorization</w:t>
      </w:r>
      <w:r w:rsidRPr="00670D80">
        <w:t xml:space="preserve"> </w:t>
      </w:r>
      <w:r w:rsidRPr="0060221D">
        <w:t>API</w:t>
      </w:r>
      <w:r w:rsidRPr="00670D80">
        <w:t xml:space="preserve"> </w:t>
      </w:r>
      <w:r w:rsidRPr="0060221D">
        <w:t>Usage</w:t>
      </w:r>
      <w:r>
        <w:t xml:space="preserve"> </w:t>
      </w:r>
      <w:r w:rsidRPr="0060221D">
        <w:t>Metrics</w:t>
      </w:r>
      <w:r w:rsidRPr="00670D80">
        <w:t xml:space="preserve"> Reporting</w:t>
      </w:r>
    </w:p>
    <w:p w:rsidR="00BE3600" w:rsidP="00C723A7" w14:paraId="7B59022F" w14:textId="226A9062">
      <w:pPr>
        <w:pStyle w:val="BodyText"/>
        <w:spacing w:before="80"/>
        <w:ind w:left="360" w:right="206"/>
      </w:pPr>
      <w:r w:rsidRPr="00CC079E">
        <w:t>The 2024 CMS Interoperability and Prior Authorization final rule requires impacted payers to annually report metrics to CMS on Patient Access API usage</w:t>
      </w:r>
      <w:r w:rsidR="00020854">
        <w:t>,</w:t>
      </w:r>
      <w:r w:rsidRPr="00CC079E">
        <w:t xml:space="preserve"> and the </w:t>
      </w:r>
      <w:r w:rsidR="00393FB1">
        <w:t>2026</w:t>
      </w:r>
      <w:r w:rsidRPr="00CC079E">
        <w:t xml:space="preserve"> CMS Interoperability </w:t>
      </w:r>
      <w:r w:rsidR="00393FB1">
        <w:t xml:space="preserve">Standards </w:t>
      </w:r>
      <w:r w:rsidRPr="00CC079E">
        <w:t>and Prior Authorization for Drugs proposed rule would require impacted payers to annually report metrics to CMS on Provider Access, Payer-to-Payer, and Prior Authorization API usage</w:t>
      </w:r>
      <w:r w:rsidRPr="00CC079E" w:rsidR="00D53C3C">
        <w:t>.</w:t>
      </w:r>
      <w:r>
        <w:rPr>
          <w:rStyle w:val="FootnoteReference"/>
          <w:vertAlign w:val="superscript"/>
        </w:rPr>
        <w:footnoteReference w:id="10"/>
      </w:r>
      <w:r w:rsidRPr="00CC079E" w:rsidR="00D53C3C">
        <w:t xml:space="preserve"> </w:t>
      </w:r>
    </w:p>
    <w:p w:rsidR="00BE3600" w:rsidP="00A537A3" w14:paraId="56C1F8FC" w14:textId="64406879">
      <w:pPr>
        <w:pStyle w:val="BodyText"/>
        <w:spacing w:after="240"/>
        <w:ind w:left="360" w:right="153"/>
      </w:pPr>
      <w:r>
        <w:t xml:space="preserve">The </w:t>
      </w:r>
      <w:r w:rsidRPr="00CC079E">
        <w:t>2024 CMS Interoperability and Prior Authorization final rule</w:t>
      </w:r>
      <w:r>
        <w:t xml:space="preserve"> requires</w:t>
      </w:r>
      <w:r w:rsidRPr="00CC079E">
        <w:t xml:space="preserve"> payers to report</w:t>
      </w:r>
      <w:r>
        <w:t xml:space="preserve"> Patient Access</w:t>
      </w:r>
      <w:r w:rsidRPr="00CC079E">
        <w:t xml:space="preserve"> </w:t>
      </w:r>
      <w:r>
        <w:t>API usage</w:t>
      </w:r>
      <w:r w:rsidRPr="00CC079E">
        <w:t xml:space="preserve"> metrics at the following levels: MA organizations at the contract level, state Medicaid and CHIP FFS programs at the state level, Medicaid managed care plans and CHIP managed care entities at the plan level,</w:t>
      </w:r>
      <w:r w:rsidRPr="00CC079E">
        <w:rPr>
          <w:vertAlign w:val="superscript"/>
        </w:rPr>
        <w:t xml:space="preserve"> </w:t>
      </w:r>
      <w:r w:rsidRPr="00CC079E">
        <w:t>and individual market QHP issuers</w:t>
      </w:r>
      <w:r w:rsidR="0022443A">
        <w:t xml:space="preserve"> on the FFEs</w:t>
      </w:r>
      <w:r w:rsidRPr="00CC079E">
        <w:t xml:space="preserve"> at the issuer level.</w:t>
      </w:r>
      <w:r>
        <w:rPr>
          <w:rStyle w:val="FootnoteReference"/>
          <w:vertAlign w:val="superscript"/>
        </w:rPr>
        <w:footnoteReference w:id="11"/>
      </w:r>
      <w:r w:rsidR="00A537A3">
        <w:t xml:space="preserve"> </w:t>
      </w:r>
      <w:r w:rsidRPr="00CC079E">
        <w:t xml:space="preserve">If finalized, </w:t>
      </w:r>
      <w:r w:rsidRPr="00670D80">
        <w:t xml:space="preserve">the </w:t>
      </w:r>
      <w:r w:rsidR="00393FB1">
        <w:t>2026</w:t>
      </w:r>
      <w:r w:rsidRPr="00670D80">
        <w:t xml:space="preserve"> CMS Interoperability </w:t>
      </w:r>
      <w:r w:rsidR="00393FB1">
        <w:t xml:space="preserve">Standards </w:t>
      </w:r>
      <w:r w:rsidRPr="00670D80">
        <w:t xml:space="preserve">and Prior Authorization for Drugs proposed rule would require </w:t>
      </w:r>
      <w:r w:rsidRPr="00CC079E">
        <w:t>impacted payers to report Provider Access, Payer-to-Payer, and Prior Authorization API usage metrics at the same levels, except that Medicaid managed care plans and CHIP managed care entities would be required to report at both the plan and program level.</w:t>
      </w:r>
      <w:r w:rsidR="003C3F6D">
        <w:t xml:space="preserve"> </w:t>
      </w:r>
    </w:p>
    <w:p w:rsidR="00E145FC" w:rsidP="005E1F98" w14:paraId="337FDAA8" w14:textId="64E36030">
      <w:pPr>
        <w:pStyle w:val="BodyText"/>
        <w:spacing w:before="0"/>
        <w:ind w:left="360" w:right="206"/>
      </w:pPr>
      <w:r w:rsidRPr="00CC079E">
        <w:t>The burden estimate related to the</w:t>
      </w:r>
      <w:r>
        <w:t xml:space="preserve"> Patient Access API</w:t>
      </w:r>
      <w:r w:rsidRPr="00CC079E">
        <w:t xml:space="preserve"> </w:t>
      </w:r>
      <w:r>
        <w:t xml:space="preserve">usage metrics </w:t>
      </w:r>
      <w:r w:rsidRPr="00CC079E">
        <w:t xml:space="preserve">reporting requirements reflects the time and effort needed to identify, collect, and disclose the information. </w:t>
      </w:r>
      <w:r w:rsidR="00305FAA">
        <w:t xml:space="preserve">The burden estimate related to the </w:t>
      </w:r>
      <w:r w:rsidRPr="00CC079E" w:rsidR="00A977D1">
        <w:t>Provider Access, Payer-to-Payer, and Prior Authorization API usage</w:t>
      </w:r>
      <w:r w:rsidR="00305FAA">
        <w:t xml:space="preserve"> metrics reporting requirements</w:t>
      </w:r>
      <w:r w:rsidRPr="00CC079E" w:rsidR="00A977D1">
        <w:t xml:space="preserve"> reflects the time and effort needed for impacted payers to </w:t>
      </w:r>
      <w:r w:rsidRPr="00CC079E" w:rsidR="00A977D1">
        <w:rPr>
          <w:snapToGrid w:val="0"/>
        </w:rPr>
        <w:t>conduct a gap analysis of existing reports they have already prepared, followed by appropriate tasks to develop, produce, and submit reports of the</w:t>
      </w:r>
      <w:r w:rsidR="00D40DA4">
        <w:rPr>
          <w:snapToGrid w:val="0"/>
        </w:rPr>
        <w:t xml:space="preserve"> </w:t>
      </w:r>
      <w:r w:rsidR="006A01EE">
        <w:rPr>
          <w:snapToGrid w:val="0"/>
        </w:rPr>
        <w:t>API</w:t>
      </w:r>
      <w:r w:rsidRPr="00CC079E" w:rsidR="00A977D1">
        <w:rPr>
          <w:snapToGrid w:val="0"/>
        </w:rPr>
        <w:t xml:space="preserve"> usage metrics specified in the proposed rule</w:t>
      </w:r>
      <w:r w:rsidRPr="00CC079E" w:rsidR="00A977D1">
        <w:t>.</w:t>
      </w:r>
      <w:r w:rsidR="00863DF7">
        <w:t xml:space="preserve"> </w:t>
      </w:r>
      <w:r w:rsidRPr="00CC079E" w:rsidR="00841045">
        <w:t xml:space="preserve">CMS estimates that it will take a </w:t>
      </w:r>
      <w:r w:rsidRPr="00CC079E" w:rsidR="002718EF">
        <w:t xml:space="preserve">total of </w:t>
      </w:r>
      <w:r w:rsidR="008A05A5">
        <w:t>109,120</w:t>
      </w:r>
      <w:r w:rsidRPr="00CC079E" w:rsidR="002718EF">
        <w:t xml:space="preserve"> hours </w:t>
      </w:r>
      <w:r w:rsidRPr="00CC079E" w:rsidR="007A6771">
        <w:t>resulting in $</w:t>
      </w:r>
      <w:r w:rsidR="00084880">
        <w:t>11.</w:t>
      </w:r>
      <w:r w:rsidR="00B706ED">
        <w:t>68</w:t>
      </w:r>
      <w:r w:rsidRPr="00CC079E" w:rsidR="007A6771">
        <w:t xml:space="preserve"> million the first year and </w:t>
      </w:r>
      <w:r w:rsidR="00C35E4C">
        <w:t>27,280</w:t>
      </w:r>
      <w:r w:rsidR="007A6771">
        <w:t xml:space="preserve"> hours resulting in $</w:t>
      </w:r>
      <w:r w:rsidR="002A5CD3">
        <w:t>2.1</w:t>
      </w:r>
      <w:r w:rsidR="00BA0BC5">
        <w:t>3</w:t>
      </w:r>
      <w:r w:rsidR="007A6771">
        <w:t xml:space="preserve"> million annually in subsequent years</w:t>
      </w:r>
      <w:r w:rsidR="006013E9">
        <w:t xml:space="preserve"> to meet these reporting requirements</w:t>
      </w:r>
      <w:r w:rsidR="007A6771">
        <w:t>.</w:t>
      </w:r>
      <w:r>
        <w:rPr>
          <w:rStyle w:val="FootnoteReference"/>
          <w:vertAlign w:val="superscript"/>
        </w:rPr>
        <w:footnoteReference w:id="12"/>
      </w:r>
      <w:r w:rsidRPr="003F568F" w:rsidR="003F568F">
        <w:t xml:space="preserve"> </w:t>
      </w:r>
    </w:p>
    <w:p w:rsidR="00E145FC" w:rsidP="005E1F98" w14:paraId="40685EFD" w14:textId="77777777">
      <w:pPr>
        <w:pStyle w:val="BodyText"/>
        <w:spacing w:before="0"/>
        <w:ind w:left="360" w:right="206"/>
      </w:pPr>
    </w:p>
    <w:p w:rsidR="00D53C3C" w:rsidP="005E1F98" w14:paraId="78D3EF3F" w14:textId="1CB10427">
      <w:pPr>
        <w:pStyle w:val="BodyText"/>
        <w:spacing w:before="0"/>
        <w:ind w:left="360" w:right="206"/>
      </w:pPr>
      <w:r>
        <w:t>Required Patient Access API usage metrics and proposed Provider Access, Payer-to-Payer, and Prior Authorization usage metrics are as follows</w:t>
      </w:r>
      <w:r w:rsidR="00E145FC">
        <w:t>:</w:t>
      </w:r>
    </w:p>
    <w:p w:rsidR="00A4385C" w:rsidRPr="00670D80" w:rsidP="00E65AE2" w14:paraId="089DC5E2" w14:textId="2281F3D2">
      <w:pPr>
        <w:pStyle w:val="Heading5"/>
      </w:pPr>
      <w:r w:rsidRPr="00523911">
        <w:t xml:space="preserve">Required </w:t>
      </w:r>
      <w:r w:rsidRPr="00C53887">
        <w:t>Patient Access API</w:t>
      </w:r>
      <w:r w:rsidRPr="00670D80">
        <w:rPr>
          <w:b w:val="0"/>
        </w:rPr>
        <w:t xml:space="preserve"> </w:t>
      </w:r>
      <w:r w:rsidRPr="00670D80" w:rsidR="004E130E">
        <w:rPr>
          <w:bCs/>
        </w:rPr>
        <w:t>U</w:t>
      </w:r>
      <w:r w:rsidRPr="00670D80">
        <w:rPr>
          <w:bCs/>
        </w:rPr>
        <w:t xml:space="preserve">sage </w:t>
      </w:r>
      <w:r w:rsidRPr="00670D80" w:rsidR="004E130E">
        <w:rPr>
          <w:bCs/>
        </w:rPr>
        <w:t>M</w:t>
      </w:r>
      <w:r w:rsidRPr="00670D80">
        <w:rPr>
          <w:bCs/>
        </w:rPr>
        <w:t>etrics</w:t>
      </w:r>
      <w:r w:rsidRPr="00670D80">
        <w:t>:</w:t>
      </w:r>
    </w:p>
    <w:p w:rsidR="00A4385C" w:rsidP="00670D80" w14:paraId="27BD15FE" w14:textId="47AAF38C">
      <w:pPr>
        <w:pStyle w:val="ListParagraph"/>
        <w:numPr>
          <w:ilvl w:val="0"/>
          <w:numId w:val="64"/>
        </w:numPr>
      </w:pPr>
      <w:r>
        <w:t>The total</w:t>
      </w:r>
      <w:r>
        <w:rPr>
          <w:spacing w:val="-2"/>
        </w:rPr>
        <w:t xml:space="preserve"> </w:t>
      </w:r>
      <w:r>
        <w:t>number</w:t>
      </w:r>
      <w:r>
        <w:rPr>
          <w:spacing w:val="-2"/>
        </w:rPr>
        <w:t xml:space="preserve"> </w:t>
      </w:r>
      <w:r>
        <w:t>of</w:t>
      </w:r>
      <w:r>
        <w:rPr>
          <w:spacing w:val="-2"/>
        </w:rPr>
        <w:t xml:space="preserve"> </w:t>
      </w:r>
      <w:r>
        <w:t>unique</w:t>
      </w:r>
      <w:r>
        <w:rPr>
          <w:spacing w:val="-3"/>
        </w:rPr>
        <w:t xml:space="preserve"> </w:t>
      </w:r>
      <w:r>
        <w:t>patients</w:t>
      </w:r>
      <w:r>
        <w:rPr>
          <w:spacing w:val="-3"/>
        </w:rPr>
        <w:t xml:space="preserve"> </w:t>
      </w:r>
      <w:r>
        <w:t>whose</w:t>
      </w:r>
      <w:r>
        <w:rPr>
          <w:spacing w:val="-3"/>
        </w:rPr>
        <w:t xml:space="preserve"> </w:t>
      </w:r>
      <w:r>
        <w:t>data</w:t>
      </w:r>
      <w:r>
        <w:rPr>
          <w:spacing w:val="-3"/>
        </w:rPr>
        <w:t xml:space="preserve"> </w:t>
      </w:r>
      <w:r>
        <w:t>are</w:t>
      </w:r>
      <w:r>
        <w:rPr>
          <w:spacing w:val="-3"/>
        </w:rPr>
        <w:t xml:space="preserve"> </w:t>
      </w:r>
      <w:r>
        <w:t>transferred via</w:t>
      </w:r>
      <w:r>
        <w:rPr>
          <w:spacing w:val="-3"/>
        </w:rPr>
        <w:t xml:space="preserve"> </w:t>
      </w:r>
      <w:r>
        <w:t>the</w:t>
      </w:r>
      <w:r>
        <w:rPr>
          <w:spacing w:val="-3"/>
        </w:rPr>
        <w:t xml:space="preserve"> </w:t>
      </w:r>
      <w:r>
        <w:t>Patient Access API to a health app designated by the patient.</w:t>
      </w:r>
    </w:p>
    <w:p w:rsidR="00A4385C" w:rsidP="00670D80" w14:paraId="1C016F2B" w14:textId="20D5F62F">
      <w:pPr>
        <w:pStyle w:val="ListParagraph"/>
        <w:numPr>
          <w:ilvl w:val="0"/>
          <w:numId w:val="64"/>
        </w:numPr>
      </w:pPr>
      <w:r>
        <w:t xml:space="preserve">The total number of unique patients whose data </w:t>
      </w:r>
      <w:r>
        <w:t>are</w:t>
      </w:r>
      <w:r>
        <w:t xml:space="preserve"> transferred more than once via the Patient Access API to a health app designated by the patient.</w:t>
      </w:r>
    </w:p>
    <w:p w:rsidR="00A4385C" w:rsidRPr="00670D80" w:rsidP="00E65AE2" w14:paraId="7E127971" w14:textId="60903DA5">
      <w:pPr>
        <w:pStyle w:val="Heading5"/>
        <w:rPr>
          <w:snapToGrid w:val="0"/>
        </w:rPr>
      </w:pPr>
      <w:r w:rsidRPr="00670D80">
        <w:rPr>
          <w:snapToGrid w:val="0"/>
        </w:rPr>
        <w:t>Proposed</w:t>
      </w:r>
      <w:r w:rsidRPr="00670D80">
        <w:rPr>
          <w:snapToGrid w:val="0"/>
        </w:rPr>
        <w:t xml:space="preserve"> Provider Access, Payer-to-Payer, and Prior Authorization API </w:t>
      </w:r>
      <w:r w:rsidRPr="00670D80" w:rsidR="004E130E">
        <w:rPr>
          <w:bCs/>
          <w:snapToGrid w:val="0"/>
        </w:rPr>
        <w:t>U</w:t>
      </w:r>
      <w:r w:rsidRPr="00670D80">
        <w:rPr>
          <w:bCs/>
          <w:snapToGrid w:val="0"/>
        </w:rPr>
        <w:t xml:space="preserve">sage </w:t>
      </w:r>
      <w:r w:rsidRPr="00670D80" w:rsidR="004E130E">
        <w:rPr>
          <w:bCs/>
          <w:snapToGrid w:val="0"/>
        </w:rPr>
        <w:t>M</w:t>
      </w:r>
      <w:r w:rsidRPr="00670D80">
        <w:rPr>
          <w:bCs/>
          <w:snapToGrid w:val="0"/>
        </w:rPr>
        <w:t>etrics</w:t>
      </w:r>
      <w:r w:rsidRPr="00670D80">
        <w:rPr>
          <w:snapToGrid w:val="0"/>
        </w:rPr>
        <w:t xml:space="preserve">:  </w:t>
      </w:r>
    </w:p>
    <w:p w:rsidR="00A4385C" w:rsidP="00670D80" w14:paraId="25C9E66E" w14:textId="77777777">
      <w:pPr>
        <w:pStyle w:val="ListParagraph"/>
        <w:numPr>
          <w:ilvl w:val="0"/>
          <w:numId w:val="47"/>
        </w:numPr>
        <w:rPr>
          <w:iCs/>
        </w:rPr>
      </w:pPr>
      <w:r>
        <w:rPr>
          <w:iCs/>
        </w:rPr>
        <w:t>The total number of unique providers who requested patient data via their Provider Access API.</w:t>
      </w:r>
    </w:p>
    <w:p w:rsidR="00A4385C" w:rsidP="00670D80" w14:paraId="4D99BF89" w14:textId="6D6B9AF7">
      <w:pPr>
        <w:pStyle w:val="ListParagraph"/>
        <w:numPr>
          <w:ilvl w:val="0"/>
          <w:numId w:val="47"/>
        </w:numPr>
        <w:rPr>
          <w:iCs/>
        </w:rPr>
      </w:pPr>
      <w:r>
        <w:rPr>
          <w:iCs/>
        </w:rPr>
        <w:t xml:space="preserve">The total number of unique patients whose data </w:t>
      </w:r>
      <w:r w:rsidR="00B04DC8">
        <w:rPr>
          <w:iCs/>
        </w:rPr>
        <w:t>we</w:t>
      </w:r>
      <w:r>
        <w:rPr>
          <w:iCs/>
        </w:rPr>
        <w:t>re</w:t>
      </w:r>
      <w:r>
        <w:rPr>
          <w:iCs/>
        </w:rPr>
        <w:t xml:space="preserve"> transferred via their Provider Access API to a provider’s</w:t>
      </w:r>
      <w:r w:rsidR="00B05E36">
        <w:rPr>
          <w:iCs/>
        </w:rPr>
        <w:t xml:space="preserve"> health</w:t>
      </w:r>
      <w:r>
        <w:rPr>
          <w:iCs/>
        </w:rPr>
        <w:t xml:space="preserve"> IT system.</w:t>
      </w:r>
    </w:p>
    <w:p w:rsidR="00A4385C" w:rsidP="00670D80" w14:paraId="1E55BFBE" w14:textId="77777777">
      <w:pPr>
        <w:pStyle w:val="ListParagraph"/>
        <w:numPr>
          <w:ilvl w:val="0"/>
          <w:numId w:val="47"/>
        </w:numPr>
        <w:rPr>
          <w:iCs/>
        </w:rPr>
      </w:pPr>
      <w:r>
        <w:rPr>
          <w:iCs/>
        </w:rPr>
        <w:t>The total number of patient data transfers via their Provider Access API.</w:t>
      </w:r>
    </w:p>
    <w:p w:rsidR="00A4385C" w:rsidP="00670D80" w14:paraId="5AA98EC0" w14:textId="2923F8B1">
      <w:pPr>
        <w:pStyle w:val="ListParagraph"/>
        <w:numPr>
          <w:ilvl w:val="0"/>
          <w:numId w:val="47"/>
        </w:numPr>
      </w:pPr>
      <w:r w:rsidRPr="00400055">
        <w:t xml:space="preserve">The </w:t>
      </w:r>
      <w:r w:rsidRPr="00400055">
        <w:t>percent</w:t>
      </w:r>
      <w:r w:rsidRPr="00400055">
        <w:t xml:space="preserve"> of patients who have opted </w:t>
      </w:r>
      <w:r>
        <w:t>in</w:t>
      </w:r>
      <w:r w:rsidR="00FD50F9">
        <w:t xml:space="preserve"> </w:t>
      </w:r>
      <w:r>
        <w:t xml:space="preserve">to the </w:t>
      </w:r>
      <w:r>
        <w:t>payer to payer</w:t>
      </w:r>
      <w:r w:rsidRPr="00400055">
        <w:t xml:space="preserve"> data exchange. </w:t>
      </w:r>
    </w:p>
    <w:p w:rsidR="00A4385C" w:rsidP="00670D80" w14:paraId="35D63477" w14:textId="77777777">
      <w:pPr>
        <w:pStyle w:val="ListParagraph"/>
        <w:numPr>
          <w:ilvl w:val="0"/>
          <w:numId w:val="47"/>
        </w:numPr>
      </w:pPr>
      <w:r w:rsidRPr="00400055">
        <w:t>The total number of unique patients whose data have been sent to other payers.</w:t>
      </w:r>
    </w:p>
    <w:p w:rsidR="00A4385C" w:rsidRPr="00A4385C" w:rsidP="00670D80" w14:paraId="391DE713" w14:textId="288FC4A1">
      <w:pPr>
        <w:pStyle w:val="ListParagraph"/>
        <w:numPr>
          <w:ilvl w:val="0"/>
          <w:numId w:val="47"/>
        </w:numPr>
      </w:pPr>
      <w:r w:rsidRPr="00400055">
        <w:t xml:space="preserve">The total number of unique patients whose data </w:t>
      </w:r>
      <w:r w:rsidRPr="00400055">
        <w:t>have</w:t>
      </w:r>
      <w:r w:rsidRPr="00400055">
        <w:t xml:space="preserve"> been received from other payers.</w:t>
      </w:r>
    </w:p>
    <w:p w:rsidR="00A4385C" w:rsidRPr="00144B6A" w:rsidP="00670D80" w14:paraId="4B368CA8" w14:textId="004C9616">
      <w:pPr>
        <w:pStyle w:val="ListParagraph"/>
        <w:numPr>
          <w:ilvl w:val="0"/>
          <w:numId w:val="47"/>
        </w:numPr>
        <w:rPr>
          <w:iCs/>
        </w:rPr>
      </w:pPr>
      <w:r w:rsidRPr="00400055">
        <w:t xml:space="preserve">The total number of </w:t>
      </w:r>
      <w:r w:rsidR="005F6E58">
        <w:t xml:space="preserve">unique </w:t>
      </w:r>
      <w:r w:rsidRPr="00400055">
        <w:t>providers who request a prior authorization for items</w:t>
      </w:r>
      <w:r>
        <w:t xml:space="preserve">, </w:t>
      </w:r>
      <w:r w:rsidRPr="00400055">
        <w:t>services,</w:t>
      </w:r>
      <w:r>
        <w:t xml:space="preserve"> or</w:t>
      </w:r>
      <w:r w:rsidRPr="00400055">
        <w:t xml:space="preserve"> drugs </w:t>
      </w:r>
      <w:r>
        <w:t>through</w:t>
      </w:r>
      <w:r w:rsidRPr="00400055">
        <w:t xml:space="preserve"> the</w:t>
      </w:r>
      <w:r>
        <w:t>ir</w:t>
      </w:r>
      <w:r w:rsidRPr="00400055">
        <w:t xml:space="preserve"> Prior Authorization API. </w:t>
      </w:r>
    </w:p>
    <w:p w:rsidR="00A4385C" w:rsidRPr="00144B6A" w:rsidP="00670D80" w14:paraId="06BEF12F" w14:textId="1C1A09C5">
      <w:pPr>
        <w:pStyle w:val="ListParagraph"/>
        <w:numPr>
          <w:ilvl w:val="0"/>
          <w:numId w:val="47"/>
        </w:numPr>
        <w:rPr>
          <w:iCs/>
        </w:rPr>
      </w:pPr>
      <w:r w:rsidRPr="00400055">
        <w:t>The number of unique prior authorization requests for items, services, and</w:t>
      </w:r>
      <w:r>
        <w:t xml:space="preserve"> </w:t>
      </w:r>
      <w:r w:rsidRPr="00400055">
        <w:t xml:space="preserve">drugs </w:t>
      </w:r>
      <w:r>
        <w:t>received</w:t>
      </w:r>
      <w:r w:rsidRPr="00400055">
        <w:t xml:space="preserve"> through the</w:t>
      </w:r>
      <w:r>
        <w:t>ir</w:t>
      </w:r>
      <w:r w:rsidRPr="00400055">
        <w:t xml:space="preserve"> Prior Authorization API.  </w:t>
      </w:r>
    </w:p>
    <w:p w:rsidR="00A4385C" w:rsidRPr="00144B6A" w:rsidP="00670D80" w14:paraId="66375DFB" w14:textId="3C754BAD">
      <w:pPr>
        <w:pStyle w:val="ListParagraph"/>
        <w:numPr>
          <w:ilvl w:val="0"/>
          <w:numId w:val="47"/>
        </w:numPr>
        <w:rPr>
          <w:iCs/>
        </w:rPr>
      </w:pPr>
      <w:r w:rsidRPr="00400055">
        <w:t xml:space="preserve">The percentage of all prior authorization requests </w:t>
      </w:r>
      <w:r>
        <w:t xml:space="preserve">that </w:t>
      </w:r>
      <w:r w:rsidR="00FD50F9">
        <w:t>we</w:t>
      </w:r>
      <w:r>
        <w:t>re</w:t>
      </w:r>
      <w:r w:rsidRPr="00400055">
        <w:t xml:space="preserve"> </w:t>
      </w:r>
      <w:r>
        <w:t xml:space="preserve">received </w:t>
      </w:r>
      <w:r w:rsidRPr="00400055">
        <w:t>through the</w:t>
      </w:r>
      <w:r>
        <w:t>ir</w:t>
      </w:r>
      <w:r w:rsidRPr="00400055">
        <w:t xml:space="preserve"> Prior Authorization API.</w:t>
      </w:r>
    </w:p>
    <w:p w:rsidR="00A4385C" w:rsidRPr="009B2D4B" w:rsidP="00E65AE2" w14:paraId="14D3EF50" w14:textId="35C03C95">
      <w:pPr>
        <w:pStyle w:val="Heading4"/>
      </w:pPr>
      <w:r w:rsidRPr="00CC079E">
        <w:t>Prior</w:t>
      </w:r>
      <w:r w:rsidRPr="00CC079E">
        <w:rPr>
          <w:spacing w:val="-9"/>
        </w:rPr>
        <w:t xml:space="preserve"> </w:t>
      </w:r>
      <w:r w:rsidRPr="00CC079E">
        <w:t>Authorization</w:t>
      </w:r>
      <w:r w:rsidRPr="00CC079E">
        <w:rPr>
          <w:spacing w:val="-9"/>
        </w:rPr>
        <w:t xml:space="preserve"> </w:t>
      </w:r>
      <w:r w:rsidRPr="00CC079E">
        <w:t>Metrics</w:t>
      </w:r>
      <w:r w:rsidRPr="00CC079E">
        <w:rPr>
          <w:spacing w:val="-9"/>
        </w:rPr>
        <w:t xml:space="preserve"> </w:t>
      </w:r>
      <w:r w:rsidRPr="0038750A">
        <w:t>Reporting</w:t>
      </w:r>
      <w:r w:rsidRPr="009B2D4B" w:rsidR="00634E12">
        <w:t xml:space="preserve"> for Non-Drug Items and Services</w:t>
      </w:r>
    </w:p>
    <w:p w:rsidR="00503F26" w:rsidP="005F3A9D" w14:paraId="68EF492F" w14:textId="525DCE67">
      <w:pPr>
        <w:ind w:left="360"/>
      </w:pPr>
      <w:r w:rsidRPr="00CC079E">
        <w:t>The 2024 CMS Interoperability and Prior Authorization final rule requires impacted payers to publicly report prior authorization metrics on non-drug items and services on an annual basis.</w:t>
      </w:r>
      <w:r>
        <w:rPr>
          <w:rStyle w:val="FootnoteReference"/>
          <w:vertAlign w:val="superscript"/>
        </w:rPr>
        <w:footnoteReference w:id="13"/>
      </w:r>
      <w:r w:rsidRPr="00CC079E" w:rsidR="00BC0222">
        <w:t xml:space="preserve"> Impacted payers are required to report prior authorization metrics on non-drug items and services at</w:t>
      </w:r>
      <w:r w:rsidR="00BE3600">
        <w:t xml:space="preserve"> the same levels at which they are required to report Patient Access API usage metrics, as described above.</w:t>
      </w:r>
      <w:r>
        <w:rPr>
          <w:rStyle w:val="FootnoteReference"/>
          <w:vertAlign w:val="superscript"/>
        </w:rPr>
        <w:footnoteReference w:id="14"/>
      </w:r>
      <w:r w:rsidR="00F2444A">
        <w:t xml:space="preserve"> If the</w:t>
      </w:r>
      <w:r w:rsidRPr="00670D80" w:rsidR="00F2444A">
        <w:t xml:space="preserve"> </w:t>
      </w:r>
      <w:r w:rsidR="00393FB1">
        <w:t>2026</w:t>
      </w:r>
      <w:r w:rsidRPr="00670D80" w:rsidR="00F2444A">
        <w:t xml:space="preserve"> CMS Interoperability </w:t>
      </w:r>
      <w:r w:rsidR="00393FB1">
        <w:t xml:space="preserve">Standards </w:t>
      </w:r>
      <w:r w:rsidRPr="00670D80" w:rsidR="00F2444A">
        <w:t xml:space="preserve">and Prior Authorization for Drugs proposed rule </w:t>
      </w:r>
      <w:r w:rsidR="00F2444A">
        <w:t>is finalized, it would</w:t>
      </w:r>
      <w:r w:rsidR="00D0204C">
        <w:t xml:space="preserve"> </w:t>
      </w:r>
      <w:r w:rsidR="007C7CE0">
        <w:t xml:space="preserve">require impacted payers to report prior authorization metrics on </w:t>
      </w:r>
      <w:r w:rsidR="00D0204C">
        <w:t xml:space="preserve">non-drug items and services and </w:t>
      </w:r>
      <w:r w:rsidR="007C7CE0">
        <w:t>drugs at the same level</w:t>
      </w:r>
      <w:r w:rsidR="00E7374A">
        <w:t>s</w:t>
      </w:r>
      <w:r w:rsidR="007C7CE0">
        <w:t xml:space="preserve"> but would</w:t>
      </w:r>
      <w:r w:rsidRPr="00670D80" w:rsidR="00F2444A">
        <w:t xml:space="preserve"> require </w:t>
      </w:r>
      <w:r w:rsidRPr="00CC079E" w:rsidR="00F2444A">
        <w:t>Medicaid managed care plans and CHIP managed care entities to report at both the plan and program level</w:t>
      </w:r>
      <w:r w:rsidRPr="00CC079E" w:rsidR="00BC0222">
        <w:t>.</w:t>
      </w:r>
      <w:r w:rsidR="00863DF7">
        <w:t xml:space="preserve"> </w:t>
      </w:r>
    </w:p>
    <w:p w:rsidR="00D42BF7" w:rsidP="005F3A9D" w14:paraId="714B1D4C" w14:textId="4B8D58B9">
      <w:pPr>
        <w:ind w:left="360"/>
      </w:pPr>
      <w:r>
        <w:t xml:space="preserve">CMS has released guidance, </w:t>
      </w:r>
      <w:r w:rsidR="00D37CCB">
        <w:t>which includes</w:t>
      </w:r>
      <w:r>
        <w:t xml:space="preserve"> an optional template that impacted payers can use, on</w:t>
      </w:r>
      <w:r w:rsidR="00D37CCB">
        <w:t xml:space="preserve"> implementation of</w:t>
      </w:r>
      <w:r>
        <w:t xml:space="preserve"> the requirement in the 2024 CMS Interoperability and Prior Authorization final rule </w:t>
      </w:r>
      <w:r w:rsidR="00D37CCB">
        <w:t xml:space="preserve">for impacted payers </w:t>
      </w:r>
      <w:r>
        <w:t xml:space="preserve">to publicly report prior authorization metrics on non-drug items and services </w:t>
      </w:r>
      <w:r>
        <w:t xml:space="preserve">(available here: </w:t>
      </w:r>
      <w:hyperlink r:id="rId11" w:history="1">
        <w:r w:rsidRPr="005939E8">
          <w:rPr>
            <w:rStyle w:val="Hyperlink"/>
          </w:rPr>
          <w:t>http://www.cms.gov/files/document/prior-authorization-metrics-reporting-overview-template.pdf</w:t>
        </w:r>
      </w:hyperlink>
      <w:r>
        <w:t>).</w:t>
      </w:r>
    </w:p>
    <w:p w:rsidR="00841045" w:rsidP="005F3A9D" w14:paraId="1F4F48C8" w14:textId="461913C7">
      <w:pPr>
        <w:ind w:left="360"/>
      </w:pPr>
      <w:r w:rsidRPr="00C800F0">
        <w:t>The burden estimate related to this proposal reflects the time and effort needed to identify, collect, and disclose the required information.</w:t>
      </w:r>
      <w:r>
        <w:t xml:space="preserve"> </w:t>
      </w:r>
      <w:r w:rsidRPr="00CC079E">
        <w:t xml:space="preserve">CMS estimates that it will take a </w:t>
      </w:r>
      <w:r w:rsidRPr="00CC079E" w:rsidR="002718EF">
        <w:t xml:space="preserve">total of </w:t>
      </w:r>
      <w:r w:rsidR="00E665C2">
        <w:t>109,120</w:t>
      </w:r>
      <w:r w:rsidRPr="00CC079E" w:rsidR="002718EF">
        <w:t xml:space="preserve"> hours resulting in a cost of $</w:t>
      </w:r>
      <w:r w:rsidR="00843D51">
        <w:t>11.</w:t>
      </w:r>
      <w:r w:rsidR="004A22BC">
        <w:t>36</w:t>
      </w:r>
      <w:r w:rsidRPr="00CC079E" w:rsidR="002718EF">
        <w:t xml:space="preserve"> </w:t>
      </w:r>
      <w:r w:rsidRPr="00CC079E" w:rsidR="002718EF">
        <w:t>million</w:t>
      </w:r>
      <w:r w:rsidRPr="00CC079E" w:rsidR="002718EF">
        <w:t xml:space="preserve"> the first year of reporting and </w:t>
      </w:r>
      <w:r w:rsidR="001D2ED3">
        <w:t>40,920</w:t>
      </w:r>
      <w:r w:rsidRPr="00CC079E" w:rsidR="002718EF">
        <w:t xml:space="preserve"> hours resulting in a cost of $</w:t>
      </w:r>
      <w:r w:rsidR="00E5214A">
        <w:t>3.2</w:t>
      </w:r>
      <w:r w:rsidR="004A22BC">
        <w:t>0</w:t>
      </w:r>
      <w:r w:rsidRPr="00CC079E" w:rsidR="002718EF">
        <w:t xml:space="preserve"> million annually in subsequent years</w:t>
      </w:r>
      <w:r w:rsidRPr="00CC079E" w:rsidR="006013E9">
        <w:t xml:space="preserve"> to meet</w:t>
      </w:r>
      <w:r w:rsidR="006013E9">
        <w:t xml:space="preserve"> these reporting requirements</w:t>
      </w:r>
      <w:r w:rsidR="002718EF">
        <w:t>.</w:t>
      </w:r>
      <w:r w:rsidRPr="003F568F" w:rsidR="003F568F">
        <w:t xml:space="preserve"> </w:t>
      </w:r>
      <w:r w:rsidR="003F568F">
        <w:t>Required prior authorization metrics on non-drug items and services are as follows</w:t>
      </w:r>
      <w:r w:rsidR="002624BB">
        <w:t>:</w:t>
      </w:r>
    </w:p>
    <w:p w:rsidR="00A4385C" w:rsidRPr="00670D80" w:rsidP="005F3A9D" w14:paraId="416932EB" w14:textId="53C4DBA7">
      <w:pPr>
        <w:ind w:left="360"/>
        <w:rPr>
          <w:b/>
        </w:rPr>
      </w:pPr>
      <w:r w:rsidRPr="00670D80">
        <w:rPr>
          <w:b/>
        </w:rPr>
        <w:t xml:space="preserve">Required </w:t>
      </w:r>
      <w:r w:rsidR="00CE1F5D">
        <w:rPr>
          <w:b/>
        </w:rPr>
        <w:t>P</w:t>
      </w:r>
      <w:r w:rsidRPr="00670D80">
        <w:rPr>
          <w:b/>
        </w:rPr>
        <w:t xml:space="preserve">rior </w:t>
      </w:r>
      <w:r w:rsidR="00CE1F5D">
        <w:rPr>
          <w:b/>
        </w:rPr>
        <w:t>A</w:t>
      </w:r>
      <w:r w:rsidRPr="00670D80">
        <w:rPr>
          <w:b/>
        </w:rPr>
        <w:t xml:space="preserve">uthorization </w:t>
      </w:r>
      <w:r w:rsidR="00CE1F5D">
        <w:rPr>
          <w:b/>
        </w:rPr>
        <w:t>I</w:t>
      </w:r>
      <w:r w:rsidRPr="00670D80">
        <w:rPr>
          <w:b/>
        </w:rPr>
        <w:t xml:space="preserve">nformation and </w:t>
      </w:r>
      <w:r w:rsidR="00CE1F5D">
        <w:rPr>
          <w:b/>
        </w:rPr>
        <w:t>M</w:t>
      </w:r>
      <w:r w:rsidRPr="00670D80">
        <w:rPr>
          <w:b/>
        </w:rPr>
        <w:t xml:space="preserve">etrics, </w:t>
      </w:r>
      <w:r w:rsidRPr="00E668F4" w:rsidR="00CE1F5D">
        <w:rPr>
          <w:b/>
        </w:rPr>
        <w:t>A</w:t>
      </w:r>
      <w:r w:rsidRPr="00670D80">
        <w:rPr>
          <w:b/>
        </w:rPr>
        <w:t xml:space="preserve">ggregated for all </w:t>
      </w:r>
      <w:r w:rsidRPr="00E668F4" w:rsidR="00CE1F5D">
        <w:rPr>
          <w:b/>
        </w:rPr>
        <w:t>N</w:t>
      </w:r>
      <w:r w:rsidRPr="00670D80">
        <w:rPr>
          <w:b/>
        </w:rPr>
        <w:t>on-</w:t>
      </w:r>
      <w:r w:rsidRPr="00E668F4" w:rsidR="00CE1F5D">
        <w:rPr>
          <w:b/>
        </w:rPr>
        <w:t>D</w:t>
      </w:r>
      <w:r w:rsidRPr="00670D80">
        <w:rPr>
          <w:b/>
        </w:rPr>
        <w:t xml:space="preserve">rug </w:t>
      </w:r>
      <w:r w:rsidRPr="00E668F4" w:rsidR="00CE1F5D">
        <w:rPr>
          <w:b/>
        </w:rPr>
        <w:t>I</w:t>
      </w:r>
      <w:r w:rsidRPr="00670D80">
        <w:rPr>
          <w:b/>
        </w:rPr>
        <w:t xml:space="preserve">tems and </w:t>
      </w:r>
      <w:r w:rsidRPr="00E668F4" w:rsidR="00CE1F5D">
        <w:rPr>
          <w:b/>
          <w:spacing w:val="-2"/>
        </w:rPr>
        <w:t>S</w:t>
      </w:r>
      <w:r w:rsidRPr="00670D80">
        <w:rPr>
          <w:b/>
          <w:spacing w:val="-2"/>
        </w:rPr>
        <w:t>ervices:</w:t>
      </w:r>
      <w:r>
        <w:rPr>
          <w:rStyle w:val="FootnoteReference"/>
          <w:b/>
          <w:spacing w:val="-2"/>
          <w:vertAlign w:val="superscript"/>
        </w:rPr>
        <w:footnoteReference w:id="15"/>
      </w:r>
    </w:p>
    <w:p w:rsidR="00470653" w:rsidRPr="00E668F4" w:rsidP="00E17FF4" w14:paraId="347159EF" w14:textId="6B307E42">
      <w:pPr>
        <w:pStyle w:val="ListParagraph"/>
        <w:numPr>
          <w:ilvl w:val="0"/>
          <w:numId w:val="68"/>
        </w:numPr>
      </w:pPr>
      <w:r>
        <w:t>A</w:t>
      </w:r>
      <w:r w:rsidRPr="00670D80">
        <w:t xml:space="preserve"> </w:t>
      </w:r>
      <w:r w:rsidRPr="00E668F4">
        <w:t>list</w:t>
      </w:r>
      <w:r w:rsidRPr="00670D80">
        <w:t xml:space="preserve"> </w:t>
      </w:r>
      <w:r w:rsidRPr="00E668F4">
        <w:t>of</w:t>
      </w:r>
      <w:r w:rsidRPr="00670D80">
        <w:t xml:space="preserve"> </w:t>
      </w:r>
      <w:r w:rsidRPr="00E668F4">
        <w:t>all</w:t>
      </w:r>
      <w:r w:rsidRPr="00670D80">
        <w:t xml:space="preserve"> </w:t>
      </w:r>
      <w:r w:rsidRPr="00E668F4">
        <w:t>items</w:t>
      </w:r>
      <w:r w:rsidRPr="00670D80">
        <w:t xml:space="preserve"> </w:t>
      </w:r>
      <w:r w:rsidRPr="00E668F4">
        <w:t>and</w:t>
      </w:r>
      <w:r w:rsidRPr="00670D80">
        <w:t xml:space="preserve"> </w:t>
      </w:r>
      <w:r w:rsidRPr="00E668F4">
        <w:t>services</w:t>
      </w:r>
      <w:r w:rsidRPr="00670D80">
        <w:t xml:space="preserve"> </w:t>
      </w:r>
      <w:r w:rsidRPr="00E668F4">
        <w:t>that</w:t>
      </w:r>
      <w:r w:rsidRPr="00670D80">
        <w:t xml:space="preserve"> </w:t>
      </w:r>
      <w:r w:rsidRPr="00E668F4">
        <w:t>require</w:t>
      </w:r>
      <w:r w:rsidRPr="00670D80">
        <w:t xml:space="preserve"> </w:t>
      </w:r>
      <w:r w:rsidRPr="00E668F4">
        <w:t>prior</w:t>
      </w:r>
      <w:r w:rsidRPr="00670D80">
        <w:t xml:space="preserve"> </w:t>
      </w:r>
      <w:r w:rsidRPr="00E668F4">
        <w:t>authorization.</w:t>
      </w:r>
    </w:p>
    <w:p w:rsidR="00A4385C" w:rsidRPr="00E668F4" w:rsidP="00E17FF4" w14:paraId="7BD32B5C" w14:textId="2D148CDC">
      <w:pPr>
        <w:pStyle w:val="ListParagraph"/>
        <w:numPr>
          <w:ilvl w:val="0"/>
          <w:numId w:val="68"/>
        </w:numPr>
      </w:pPr>
      <w:r w:rsidRPr="00E668F4">
        <w:t>The</w:t>
      </w:r>
      <w:r w:rsidRPr="00670D80">
        <w:t xml:space="preserve"> </w:t>
      </w:r>
      <w:r w:rsidRPr="00E668F4">
        <w:t>percentage</w:t>
      </w:r>
      <w:r w:rsidRPr="00670D80">
        <w:t xml:space="preserve"> </w:t>
      </w:r>
      <w:r w:rsidRPr="00E668F4">
        <w:t>of</w:t>
      </w:r>
      <w:r w:rsidRPr="00670D80">
        <w:t xml:space="preserve"> </w:t>
      </w:r>
      <w:r w:rsidRPr="00E668F4">
        <w:t>standard</w:t>
      </w:r>
      <w:r w:rsidRPr="00670D80">
        <w:t xml:space="preserve"> </w:t>
      </w:r>
      <w:r w:rsidRPr="00E668F4">
        <w:t>prior</w:t>
      </w:r>
      <w:r w:rsidRPr="00670D80">
        <w:t xml:space="preserve"> </w:t>
      </w:r>
      <w:r w:rsidRPr="00E668F4">
        <w:t>authorization</w:t>
      </w:r>
      <w:r w:rsidRPr="00670D80">
        <w:t xml:space="preserve"> </w:t>
      </w:r>
      <w:r w:rsidRPr="00E668F4">
        <w:t>requests</w:t>
      </w:r>
      <w:r w:rsidRPr="00670D80">
        <w:t xml:space="preserve"> </w:t>
      </w:r>
      <w:r w:rsidRPr="00E668F4">
        <w:t>that</w:t>
      </w:r>
      <w:r w:rsidRPr="00670D80">
        <w:t xml:space="preserve"> </w:t>
      </w:r>
      <w:r w:rsidRPr="00E668F4">
        <w:t>were</w:t>
      </w:r>
      <w:r w:rsidRPr="00670D80">
        <w:t xml:space="preserve"> </w:t>
      </w:r>
      <w:r w:rsidRPr="00E668F4">
        <w:t>approved,</w:t>
      </w:r>
      <w:r w:rsidRPr="00670D80">
        <w:t xml:space="preserve"> </w:t>
      </w:r>
      <w:r w:rsidRPr="00E668F4">
        <w:t>aggregated</w:t>
      </w:r>
      <w:r w:rsidRPr="00670D80">
        <w:t xml:space="preserve"> </w:t>
      </w:r>
      <w:r w:rsidRPr="00E668F4">
        <w:t>for</w:t>
      </w:r>
      <w:r w:rsidRPr="00670D80">
        <w:t xml:space="preserve"> </w:t>
      </w:r>
      <w:r w:rsidRPr="00E668F4">
        <w:t>all items and services.</w:t>
      </w:r>
    </w:p>
    <w:p w:rsidR="00A4385C" w:rsidP="00E17FF4" w14:paraId="6F33639A" w14:textId="50B3C29B">
      <w:pPr>
        <w:pStyle w:val="ListParagraph"/>
        <w:numPr>
          <w:ilvl w:val="0"/>
          <w:numId w:val="68"/>
        </w:numPr>
      </w:pPr>
      <w:r>
        <w:t>The</w:t>
      </w:r>
      <w:r w:rsidRPr="00670D80">
        <w:t xml:space="preserve"> </w:t>
      </w:r>
      <w:r>
        <w:t>percentage</w:t>
      </w:r>
      <w:r w:rsidRPr="00670D80">
        <w:t xml:space="preserve"> </w:t>
      </w:r>
      <w:r>
        <w:t>of</w:t>
      </w:r>
      <w:r w:rsidRPr="00670D80">
        <w:t xml:space="preserve"> </w:t>
      </w:r>
      <w:r>
        <w:t>standard</w:t>
      </w:r>
      <w:r w:rsidRPr="00670D80">
        <w:t xml:space="preserve"> </w:t>
      </w:r>
      <w:r>
        <w:t>prior</w:t>
      </w:r>
      <w:r w:rsidRPr="00670D80">
        <w:t xml:space="preserve"> </w:t>
      </w:r>
      <w:r>
        <w:t>authorization</w:t>
      </w:r>
      <w:r w:rsidRPr="00670D80">
        <w:t xml:space="preserve"> </w:t>
      </w:r>
      <w:r>
        <w:t>requests</w:t>
      </w:r>
      <w:r w:rsidRPr="00670D80">
        <w:t xml:space="preserve"> </w:t>
      </w:r>
      <w:r>
        <w:t>that</w:t>
      </w:r>
      <w:r w:rsidRPr="00670D80">
        <w:t xml:space="preserve"> </w:t>
      </w:r>
      <w:r>
        <w:t>were</w:t>
      </w:r>
      <w:r w:rsidRPr="00670D80">
        <w:t xml:space="preserve"> </w:t>
      </w:r>
      <w:r>
        <w:t>denied,</w:t>
      </w:r>
      <w:r w:rsidRPr="00670D80">
        <w:t xml:space="preserve"> </w:t>
      </w:r>
      <w:r>
        <w:t>aggregated</w:t>
      </w:r>
      <w:r w:rsidRPr="00670D80">
        <w:t xml:space="preserve"> </w:t>
      </w:r>
      <w:r>
        <w:t>for</w:t>
      </w:r>
      <w:r w:rsidRPr="00670D80">
        <w:t xml:space="preserve"> </w:t>
      </w:r>
      <w:r>
        <w:t>all</w:t>
      </w:r>
      <w:r w:rsidRPr="00670D80">
        <w:t xml:space="preserve"> </w:t>
      </w:r>
      <w:r>
        <w:t>items and services.</w:t>
      </w:r>
    </w:p>
    <w:p w:rsidR="00A4385C" w:rsidP="00E17FF4" w14:paraId="2180FC77" w14:textId="369449A1">
      <w:pPr>
        <w:pStyle w:val="ListParagraph"/>
        <w:numPr>
          <w:ilvl w:val="0"/>
          <w:numId w:val="68"/>
        </w:numPr>
      </w:pPr>
      <w:r>
        <w:t>The</w:t>
      </w:r>
      <w:r w:rsidRPr="00670D80">
        <w:t xml:space="preserve"> </w:t>
      </w:r>
      <w:r>
        <w:t>percentage</w:t>
      </w:r>
      <w:r w:rsidRPr="00670D80">
        <w:t xml:space="preserve"> </w:t>
      </w:r>
      <w:r>
        <w:t>of</w:t>
      </w:r>
      <w:r w:rsidRPr="00670D80">
        <w:t xml:space="preserve"> </w:t>
      </w:r>
      <w:r>
        <w:t>standard</w:t>
      </w:r>
      <w:r w:rsidRPr="00670D80">
        <w:t xml:space="preserve"> </w:t>
      </w:r>
      <w:r>
        <w:t>prior</w:t>
      </w:r>
      <w:r w:rsidRPr="00670D80">
        <w:t xml:space="preserve"> </w:t>
      </w:r>
      <w:r>
        <w:t>authorization</w:t>
      </w:r>
      <w:r w:rsidRPr="00670D80">
        <w:t xml:space="preserve"> </w:t>
      </w:r>
      <w:r>
        <w:t>requests</w:t>
      </w:r>
      <w:r w:rsidRPr="00670D80">
        <w:t xml:space="preserve"> </w:t>
      </w:r>
      <w:r>
        <w:t>that</w:t>
      </w:r>
      <w:r w:rsidRPr="00670D80">
        <w:t xml:space="preserve"> </w:t>
      </w:r>
      <w:r>
        <w:t>were</w:t>
      </w:r>
      <w:r w:rsidRPr="00670D80">
        <w:t xml:space="preserve"> </w:t>
      </w:r>
      <w:r>
        <w:t>approved</w:t>
      </w:r>
      <w:r w:rsidRPr="00670D80">
        <w:t xml:space="preserve"> </w:t>
      </w:r>
      <w:r>
        <w:t>after</w:t>
      </w:r>
      <w:r w:rsidRPr="00670D80">
        <w:t xml:space="preserve"> </w:t>
      </w:r>
      <w:r>
        <w:t>appeal, aggregated for all items and services.</w:t>
      </w:r>
    </w:p>
    <w:p w:rsidR="00A4385C" w:rsidP="00E17FF4" w14:paraId="6C621BE6" w14:textId="3DE0AC7B">
      <w:pPr>
        <w:pStyle w:val="ListParagraph"/>
        <w:numPr>
          <w:ilvl w:val="0"/>
          <w:numId w:val="68"/>
        </w:numPr>
      </w:pPr>
      <w:r>
        <w:t>The</w:t>
      </w:r>
      <w:r w:rsidRPr="00670D80">
        <w:t xml:space="preserve"> </w:t>
      </w:r>
      <w:r>
        <w:t>percentage</w:t>
      </w:r>
      <w:r w:rsidRPr="00670D80">
        <w:t xml:space="preserve"> </w:t>
      </w:r>
      <w:r>
        <w:t>of</w:t>
      </w:r>
      <w:r w:rsidRPr="00670D80">
        <w:t xml:space="preserve"> </w:t>
      </w:r>
      <w:r>
        <w:t>prior</w:t>
      </w:r>
      <w:r w:rsidRPr="00670D80">
        <w:t xml:space="preserve"> </w:t>
      </w:r>
      <w:r>
        <w:t>authorization</w:t>
      </w:r>
      <w:r w:rsidRPr="00670D80">
        <w:t xml:space="preserve"> </w:t>
      </w:r>
      <w:r>
        <w:t>requests</w:t>
      </w:r>
      <w:r w:rsidRPr="00670D80">
        <w:t xml:space="preserve"> </w:t>
      </w:r>
      <w:r>
        <w:t>for</w:t>
      </w:r>
      <w:r w:rsidRPr="00670D80">
        <w:t xml:space="preserve"> </w:t>
      </w:r>
      <w:r>
        <w:t>which</w:t>
      </w:r>
      <w:r w:rsidRPr="00670D80">
        <w:t xml:space="preserve"> </w:t>
      </w:r>
      <w:r>
        <w:t>the</w:t>
      </w:r>
      <w:r w:rsidRPr="00670D80">
        <w:t xml:space="preserve"> </w:t>
      </w:r>
      <w:r>
        <w:t>timeframe</w:t>
      </w:r>
      <w:r w:rsidRPr="00670D80">
        <w:t xml:space="preserve"> </w:t>
      </w:r>
      <w:r>
        <w:t>for</w:t>
      </w:r>
      <w:r w:rsidRPr="00670D80">
        <w:t xml:space="preserve"> </w:t>
      </w:r>
      <w:r>
        <w:t>review</w:t>
      </w:r>
      <w:r w:rsidRPr="00670D80">
        <w:t xml:space="preserve"> </w:t>
      </w:r>
      <w:r>
        <w:t>was</w:t>
      </w:r>
      <w:r w:rsidRPr="00670D80">
        <w:t xml:space="preserve"> </w:t>
      </w:r>
      <w:r>
        <w:t>extended, and the request was approved, aggregated for all items and services.</w:t>
      </w:r>
    </w:p>
    <w:p w:rsidR="00A4385C" w:rsidP="00E17FF4" w14:paraId="0AD52904" w14:textId="6FE4C28F">
      <w:pPr>
        <w:pStyle w:val="ListParagraph"/>
        <w:numPr>
          <w:ilvl w:val="0"/>
          <w:numId w:val="68"/>
        </w:numPr>
      </w:pPr>
      <w:r>
        <w:t>The</w:t>
      </w:r>
      <w:r w:rsidRPr="00670D80">
        <w:t xml:space="preserve"> </w:t>
      </w:r>
      <w:r>
        <w:t>percentage</w:t>
      </w:r>
      <w:r w:rsidRPr="00670D80">
        <w:t xml:space="preserve"> </w:t>
      </w:r>
      <w:r>
        <w:t>of</w:t>
      </w:r>
      <w:r w:rsidRPr="00670D80">
        <w:t xml:space="preserve"> </w:t>
      </w:r>
      <w:r>
        <w:t>expedited</w:t>
      </w:r>
      <w:r w:rsidRPr="00670D80">
        <w:t xml:space="preserve"> </w:t>
      </w:r>
      <w:r>
        <w:t>prior</w:t>
      </w:r>
      <w:r w:rsidRPr="00670D80">
        <w:t xml:space="preserve"> </w:t>
      </w:r>
      <w:r>
        <w:t>authorization</w:t>
      </w:r>
      <w:r w:rsidRPr="00670D80">
        <w:t xml:space="preserve"> </w:t>
      </w:r>
      <w:r>
        <w:t>requests</w:t>
      </w:r>
      <w:r w:rsidRPr="00670D80">
        <w:t xml:space="preserve"> </w:t>
      </w:r>
      <w:r>
        <w:t>that</w:t>
      </w:r>
      <w:r w:rsidRPr="00670D80">
        <w:t xml:space="preserve"> </w:t>
      </w:r>
      <w:r>
        <w:t>were</w:t>
      </w:r>
      <w:r w:rsidRPr="00670D80">
        <w:t xml:space="preserve"> </w:t>
      </w:r>
      <w:r>
        <w:t>approved,</w:t>
      </w:r>
      <w:r w:rsidRPr="00670D80">
        <w:t xml:space="preserve"> </w:t>
      </w:r>
      <w:r>
        <w:t>aggregated</w:t>
      </w:r>
      <w:r w:rsidRPr="00670D80">
        <w:t xml:space="preserve"> </w:t>
      </w:r>
      <w:r>
        <w:t>for</w:t>
      </w:r>
      <w:r w:rsidRPr="00670D80">
        <w:t xml:space="preserve"> </w:t>
      </w:r>
      <w:r>
        <w:t>all items and services.</w:t>
      </w:r>
    </w:p>
    <w:p w:rsidR="00A4385C" w:rsidP="00E17FF4" w14:paraId="2E9325A4" w14:textId="7979FF52">
      <w:pPr>
        <w:pStyle w:val="ListParagraph"/>
        <w:numPr>
          <w:ilvl w:val="0"/>
          <w:numId w:val="68"/>
        </w:numPr>
      </w:pPr>
      <w:r>
        <w:t>The</w:t>
      </w:r>
      <w:r w:rsidRPr="00670D80">
        <w:t xml:space="preserve"> </w:t>
      </w:r>
      <w:r>
        <w:t>percentage</w:t>
      </w:r>
      <w:r w:rsidRPr="00670D80">
        <w:t xml:space="preserve"> </w:t>
      </w:r>
      <w:r>
        <w:t>of</w:t>
      </w:r>
      <w:r w:rsidRPr="00670D80">
        <w:t xml:space="preserve"> </w:t>
      </w:r>
      <w:r>
        <w:t>expedited</w:t>
      </w:r>
      <w:r w:rsidRPr="00670D80">
        <w:t xml:space="preserve"> </w:t>
      </w:r>
      <w:r>
        <w:t>prior</w:t>
      </w:r>
      <w:r w:rsidRPr="00670D80">
        <w:t xml:space="preserve"> </w:t>
      </w:r>
      <w:r>
        <w:t>authorization</w:t>
      </w:r>
      <w:r w:rsidRPr="00670D80">
        <w:t xml:space="preserve"> </w:t>
      </w:r>
      <w:r>
        <w:t>requests</w:t>
      </w:r>
      <w:r w:rsidRPr="00670D80">
        <w:t xml:space="preserve"> </w:t>
      </w:r>
      <w:r>
        <w:t>that</w:t>
      </w:r>
      <w:r w:rsidRPr="00670D80">
        <w:t xml:space="preserve"> </w:t>
      </w:r>
      <w:r>
        <w:t>were</w:t>
      </w:r>
      <w:r w:rsidRPr="00670D80">
        <w:t xml:space="preserve"> </w:t>
      </w:r>
      <w:r>
        <w:t>denied,</w:t>
      </w:r>
      <w:r w:rsidRPr="00670D80">
        <w:t xml:space="preserve"> </w:t>
      </w:r>
      <w:r>
        <w:t>aggregated</w:t>
      </w:r>
      <w:r w:rsidRPr="00670D80">
        <w:t xml:space="preserve"> </w:t>
      </w:r>
      <w:r>
        <w:t>for</w:t>
      </w:r>
      <w:r w:rsidRPr="00670D80">
        <w:t xml:space="preserve"> </w:t>
      </w:r>
      <w:r>
        <w:t>all items and services.</w:t>
      </w:r>
    </w:p>
    <w:p w:rsidR="00A4385C" w:rsidP="00E17FF4" w14:paraId="5E17DE57" w14:textId="7A0E6D0D">
      <w:pPr>
        <w:pStyle w:val="ListParagraph"/>
        <w:numPr>
          <w:ilvl w:val="0"/>
          <w:numId w:val="68"/>
        </w:numPr>
      </w:pPr>
      <w:r>
        <w:t>The average and median time that elapsed between the submission of a request and a determination</w:t>
      </w:r>
      <w:r w:rsidRPr="00670D80">
        <w:t xml:space="preserve"> </w:t>
      </w:r>
      <w:r>
        <w:t>by</w:t>
      </w:r>
      <w:r w:rsidRPr="00670D80">
        <w:t xml:space="preserve"> </w:t>
      </w:r>
      <w:r>
        <w:t>the</w:t>
      </w:r>
      <w:r w:rsidRPr="00670D80">
        <w:t xml:space="preserve"> </w:t>
      </w:r>
      <w:r>
        <w:t>payer,</w:t>
      </w:r>
      <w:r w:rsidRPr="00670D80">
        <w:t xml:space="preserve"> </w:t>
      </w:r>
      <w:r>
        <w:t>plan,</w:t>
      </w:r>
      <w:r w:rsidRPr="00670D80">
        <w:t xml:space="preserve"> </w:t>
      </w:r>
      <w:r>
        <w:t>or</w:t>
      </w:r>
      <w:r w:rsidRPr="00670D80">
        <w:t xml:space="preserve"> </w:t>
      </w:r>
      <w:r>
        <w:t>issuer,</w:t>
      </w:r>
      <w:r w:rsidRPr="00670D80">
        <w:t xml:space="preserve"> </w:t>
      </w:r>
      <w:r>
        <w:t>for</w:t>
      </w:r>
      <w:r w:rsidRPr="00670D80">
        <w:t xml:space="preserve"> </w:t>
      </w:r>
      <w:r>
        <w:t>standard</w:t>
      </w:r>
      <w:r w:rsidRPr="00670D80">
        <w:t xml:space="preserve"> </w:t>
      </w:r>
      <w:r>
        <w:t>prior</w:t>
      </w:r>
      <w:r w:rsidRPr="00670D80">
        <w:t xml:space="preserve"> </w:t>
      </w:r>
      <w:r>
        <w:t>authorizations,</w:t>
      </w:r>
      <w:r w:rsidRPr="00670D80">
        <w:t xml:space="preserve"> </w:t>
      </w:r>
      <w:r>
        <w:t>aggregated</w:t>
      </w:r>
      <w:r w:rsidRPr="00670D80">
        <w:t xml:space="preserve"> </w:t>
      </w:r>
      <w:r>
        <w:t>for</w:t>
      </w:r>
      <w:r w:rsidRPr="00670D80">
        <w:t xml:space="preserve"> </w:t>
      </w:r>
      <w:r>
        <w:t>all items and services.</w:t>
      </w:r>
    </w:p>
    <w:p w:rsidR="00ED47B8" w:rsidRPr="00ED47B8" w:rsidP="00E17FF4" w14:paraId="3F5382A1" w14:textId="3B85CCE9">
      <w:pPr>
        <w:pStyle w:val="ListParagraph"/>
        <w:numPr>
          <w:ilvl w:val="0"/>
          <w:numId w:val="68"/>
        </w:numPr>
      </w:pPr>
      <w:r w:rsidRPr="00ED47B8">
        <w:t>The average and median time that elapsed between the submission of a request and a decision by the</w:t>
      </w:r>
      <w:r w:rsidRPr="00670D80">
        <w:t xml:space="preserve"> </w:t>
      </w:r>
      <w:r w:rsidRPr="00ED47B8">
        <w:t>payer,</w:t>
      </w:r>
      <w:r w:rsidRPr="00670D80">
        <w:t xml:space="preserve"> </w:t>
      </w:r>
      <w:r w:rsidRPr="00ED47B8">
        <w:t>plan,</w:t>
      </w:r>
      <w:r w:rsidRPr="00670D80">
        <w:t xml:space="preserve"> </w:t>
      </w:r>
      <w:r w:rsidRPr="00ED47B8">
        <w:t>or</w:t>
      </w:r>
      <w:r w:rsidRPr="00670D80">
        <w:t xml:space="preserve"> </w:t>
      </w:r>
      <w:r w:rsidRPr="00ED47B8">
        <w:t>issuer,</w:t>
      </w:r>
      <w:r w:rsidRPr="00670D80">
        <w:t xml:space="preserve"> </w:t>
      </w:r>
      <w:r w:rsidRPr="00ED47B8">
        <w:t>for</w:t>
      </w:r>
      <w:r w:rsidRPr="00670D80">
        <w:t xml:space="preserve"> </w:t>
      </w:r>
      <w:r w:rsidRPr="00ED47B8">
        <w:t>expedited</w:t>
      </w:r>
      <w:r w:rsidRPr="00670D80">
        <w:t xml:space="preserve"> </w:t>
      </w:r>
      <w:r w:rsidRPr="00ED47B8">
        <w:t>prior</w:t>
      </w:r>
      <w:r w:rsidRPr="00670D80">
        <w:t xml:space="preserve"> </w:t>
      </w:r>
      <w:r w:rsidRPr="00ED47B8">
        <w:t>authorizations,</w:t>
      </w:r>
      <w:r w:rsidRPr="00670D80">
        <w:t xml:space="preserve"> </w:t>
      </w:r>
      <w:r w:rsidRPr="00ED47B8">
        <w:t>aggregated</w:t>
      </w:r>
      <w:r w:rsidRPr="00670D80">
        <w:t xml:space="preserve"> </w:t>
      </w:r>
      <w:r w:rsidRPr="00ED47B8">
        <w:t>for</w:t>
      </w:r>
      <w:r w:rsidRPr="00670D80">
        <w:t xml:space="preserve"> </w:t>
      </w:r>
      <w:r w:rsidRPr="00ED47B8">
        <w:t>all</w:t>
      </w:r>
      <w:r w:rsidRPr="00670D80">
        <w:t xml:space="preserve"> </w:t>
      </w:r>
      <w:r w:rsidRPr="00ED47B8">
        <w:t>items</w:t>
      </w:r>
      <w:r w:rsidRPr="00670D80">
        <w:t xml:space="preserve"> </w:t>
      </w:r>
      <w:r w:rsidRPr="00ED47B8">
        <w:t>and</w:t>
      </w:r>
      <w:r w:rsidRPr="00670D80">
        <w:t xml:space="preserve"> </w:t>
      </w:r>
      <w:r w:rsidRPr="00ED47B8">
        <w:t>services.</w:t>
      </w:r>
    </w:p>
    <w:p w:rsidR="00A4385C" w:rsidRPr="00174663" w:rsidP="00670D80" w14:paraId="108D19C3" w14:textId="54941A3A">
      <w:pPr>
        <w:pStyle w:val="Heading5"/>
      </w:pPr>
      <w:r w:rsidRPr="00670D80">
        <w:t xml:space="preserve">Proposed </w:t>
      </w:r>
      <w:r w:rsidR="009C43B2">
        <w:t>A</w:t>
      </w:r>
      <w:r w:rsidRPr="00670D80">
        <w:t xml:space="preserve">dditional </w:t>
      </w:r>
      <w:r w:rsidR="009C43B2">
        <w:t>P</w:t>
      </w:r>
      <w:r w:rsidRPr="00670D80">
        <w:t xml:space="preserve">rior </w:t>
      </w:r>
      <w:r w:rsidR="009C43B2">
        <w:t>A</w:t>
      </w:r>
      <w:r w:rsidRPr="00670D80">
        <w:t xml:space="preserve">uthorization </w:t>
      </w:r>
      <w:r w:rsidR="009C43B2">
        <w:t>M</w:t>
      </w:r>
      <w:r w:rsidRPr="00670D80">
        <w:t xml:space="preserve">etrics for </w:t>
      </w:r>
      <w:r w:rsidR="009C43B2">
        <w:t>N</w:t>
      </w:r>
      <w:r w:rsidRPr="00670D80">
        <w:t>on-</w:t>
      </w:r>
      <w:r w:rsidR="009C43B2">
        <w:t>D</w:t>
      </w:r>
      <w:r w:rsidRPr="00670D80">
        <w:t xml:space="preserve">rug </w:t>
      </w:r>
      <w:r w:rsidR="009C43B2">
        <w:t>It</w:t>
      </w:r>
      <w:r w:rsidRPr="00670D80">
        <w:t xml:space="preserve">ems and </w:t>
      </w:r>
      <w:r w:rsidR="009C43B2">
        <w:t>S</w:t>
      </w:r>
      <w:r w:rsidRPr="00670D80">
        <w:t>ervices:</w:t>
      </w:r>
    </w:p>
    <w:p w:rsidR="00A4385C" w:rsidP="00670D80" w14:paraId="10220F08" w14:textId="54319836">
      <w:pPr>
        <w:pStyle w:val="ListParagraph"/>
        <w:numPr>
          <w:ilvl w:val="0"/>
          <w:numId w:val="62"/>
        </w:numPr>
      </w:pPr>
      <w:r>
        <w:t xml:space="preserve">The total number and percentage of standard prior authorization requests for </w:t>
      </w:r>
      <w:r w:rsidR="002B1200">
        <w:t>non-drug</w:t>
      </w:r>
      <w:r>
        <w:t xml:space="preserve"> items and </w:t>
      </w:r>
      <w:r>
        <w:t>services that</w:t>
      </w:r>
      <w:r>
        <w:t xml:space="preserve"> </w:t>
      </w:r>
      <w:r w:rsidR="008B3C44">
        <w:t xml:space="preserve">remain </w:t>
      </w:r>
      <w:r>
        <w:t>denied after appeal.</w:t>
      </w:r>
    </w:p>
    <w:p w:rsidR="00A4385C" w:rsidP="00670D80" w14:paraId="05A75A6F" w14:textId="081933C0">
      <w:pPr>
        <w:pStyle w:val="ListParagraph"/>
        <w:numPr>
          <w:ilvl w:val="0"/>
          <w:numId w:val="62"/>
        </w:numPr>
      </w:pPr>
      <w:r>
        <w:t xml:space="preserve">The total number and percentage of expedited prior authorization requests for </w:t>
      </w:r>
      <w:r w:rsidR="002B1200">
        <w:t>non-drug</w:t>
      </w:r>
      <w:r>
        <w:t xml:space="preserve"> items and </w:t>
      </w:r>
      <w:r>
        <w:t>services that</w:t>
      </w:r>
      <w:r>
        <w:t xml:space="preserve"> </w:t>
      </w:r>
      <w:r w:rsidR="008B3C44">
        <w:t xml:space="preserve">remain </w:t>
      </w:r>
      <w:r>
        <w:t>denied after appeal.</w:t>
      </w:r>
    </w:p>
    <w:p w:rsidR="00A4385C" w:rsidP="00670D80" w14:paraId="00451478" w14:textId="15BE5532">
      <w:pPr>
        <w:pStyle w:val="ListParagraph"/>
        <w:numPr>
          <w:ilvl w:val="0"/>
          <w:numId w:val="62"/>
        </w:numPr>
      </w:pPr>
      <w:r>
        <w:t xml:space="preserve">The total number and percentage of standard prior authorization requests for </w:t>
      </w:r>
      <w:r w:rsidR="008303A8">
        <w:t>non-drug</w:t>
      </w:r>
      <w:r>
        <w:t xml:space="preserve"> items and services for which the timeframe for review was extended, and the request was denied.</w:t>
      </w:r>
    </w:p>
    <w:p w:rsidR="00841045" w:rsidP="00670D80" w14:paraId="71AF18B6" w14:textId="5D70B56F">
      <w:pPr>
        <w:pStyle w:val="ListParagraph"/>
        <w:numPr>
          <w:ilvl w:val="0"/>
          <w:numId w:val="62"/>
        </w:numPr>
      </w:pPr>
      <w:r>
        <w:t xml:space="preserve">The total number and percentage of expedited prior authorization requests for </w:t>
      </w:r>
      <w:r w:rsidR="008303A8">
        <w:t>non-drug</w:t>
      </w:r>
      <w:r>
        <w:t xml:space="preserve"> items and services for which the timeframe for review was extended, and the request was denied.</w:t>
      </w:r>
    </w:p>
    <w:p w:rsidR="00FD50F9" w:rsidP="00670D80" w14:paraId="304F66A6" w14:textId="5CB51BF2">
      <w:pPr>
        <w:pStyle w:val="ListParagraph"/>
        <w:numPr>
          <w:ilvl w:val="0"/>
          <w:numId w:val="62"/>
        </w:numPr>
      </w:pPr>
      <w:r>
        <w:t xml:space="preserve">The total number and percentage of expedited prior authorization requests for </w:t>
      </w:r>
      <w:r w:rsidR="008846BB">
        <w:t xml:space="preserve">non-drug </w:t>
      </w:r>
      <w:r>
        <w:t>items and services for which the</w:t>
      </w:r>
      <w:r w:rsidR="00DC2A81">
        <w:t xml:space="preserve"> timeframe for review was extended</w:t>
      </w:r>
      <w:r w:rsidR="008B3C44">
        <w:t>,</w:t>
      </w:r>
      <w:r w:rsidR="00DC2A81">
        <w:t xml:space="preserve"> and the request was approved.</w:t>
      </w:r>
    </w:p>
    <w:p w:rsidR="00FD50F9" w:rsidP="00670D80" w14:paraId="594CD720" w14:textId="7BCC34F8">
      <w:pPr>
        <w:pStyle w:val="ListParagraph"/>
        <w:numPr>
          <w:ilvl w:val="0"/>
          <w:numId w:val="62"/>
        </w:numPr>
      </w:pPr>
      <w:r>
        <w:t xml:space="preserve">The total number and percentage of expedited prior authorization requests for </w:t>
      </w:r>
      <w:r w:rsidR="008846BB">
        <w:t xml:space="preserve">non-drug </w:t>
      </w:r>
      <w:r>
        <w:t xml:space="preserve">items and services </w:t>
      </w:r>
      <w:r w:rsidR="008B3C44">
        <w:t xml:space="preserve">that were </w:t>
      </w:r>
      <w:r>
        <w:t>approved after appeal</w:t>
      </w:r>
      <w:r>
        <w:t>.</w:t>
      </w:r>
    </w:p>
    <w:p w:rsidR="00470653" w:rsidRPr="00670D80" w:rsidP="00E65AE2" w14:paraId="0FC654CE" w14:textId="3CACD4C9">
      <w:pPr>
        <w:pStyle w:val="Heading4"/>
        <w:rPr>
          <w:color w:val="FF0000"/>
        </w:rPr>
      </w:pPr>
      <w:r w:rsidRPr="00E668F4">
        <w:t>Prior Authorization Metrics</w:t>
      </w:r>
      <w:r w:rsidR="00F2444A">
        <w:t xml:space="preserve"> Reporting</w:t>
      </w:r>
      <w:r w:rsidRPr="00E668F4">
        <w:t xml:space="preserve"> for Drugs </w:t>
      </w:r>
    </w:p>
    <w:p w:rsidR="00503F26" w:rsidP="005F3A9D" w14:paraId="6DF8BCA0" w14:textId="7E5103C4">
      <w:pPr>
        <w:ind w:left="360"/>
      </w:pPr>
      <w:r>
        <w:t xml:space="preserve">The </w:t>
      </w:r>
      <w:r w:rsidR="00393FB1">
        <w:t>2026</w:t>
      </w:r>
      <w:r>
        <w:t xml:space="preserve"> CMS Interoperability</w:t>
      </w:r>
      <w:r w:rsidR="00393FB1">
        <w:t xml:space="preserve"> Standards</w:t>
      </w:r>
      <w:r>
        <w:t xml:space="preserve"> and Prior Authorization for Drugs proposed rule would require impacted payers to publicly report additional prior authorization metrics on drugs. </w:t>
      </w:r>
      <w:r w:rsidR="006834B3">
        <w:t>I</w:t>
      </w:r>
      <w:r w:rsidRPr="00CC079E">
        <w:t xml:space="preserve">mpacted payers are required to report prior authorization metrics on </w:t>
      </w:r>
      <w:r>
        <w:t>drugs</w:t>
      </w:r>
      <w:r w:rsidRPr="00CC079E">
        <w:t xml:space="preserve"> at</w:t>
      </w:r>
      <w:r>
        <w:t xml:space="preserve"> </w:t>
      </w:r>
      <w:r w:rsidRPr="00CC079E">
        <w:t xml:space="preserve">the following levels: MA organizations at the contract level, state Medicaid and CHIP FFS programs at the state level, Medicaid managed care plans and CHIP managed care entities at the plan </w:t>
      </w:r>
      <w:r>
        <w:t>and program l</w:t>
      </w:r>
      <w:r w:rsidRPr="00CC079E">
        <w:t>evel,</w:t>
      </w:r>
      <w:r w:rsidRPr="00CC079E">
        <w:rPr>
          <w:vertAlign w:val="superscript"/>
        </w:rPr>
        <w:t xml:space="preserve"> </w:t>
      </w:r>
      <w:r w:rsidRPr="00CC079E">
        <w:t xml:space="preserve">and </w:t>
      </w:r>
      <w:r>
        <w:t>QHP</w:t>
      </w:r>
      <w:r w:rsidRPr="00CC079E">
        <w:t xml:space="preserve"> issuers</w:t>
      </w:r>
      <w:r>
        <w:t xml:space="preserve"> on the FFEs</w:t>
      </w:r>
      <w:r w:rsidRPr="00CC079E">
        <w:t xml:space="preserve"> at the issuer</w:t>
      </w:r>
      <w:r>
        <w:t xml:space="preserve"> level.</w:t>
      </w:r>
    </w:p>
    <w:p w:rsidR="00A4385C" w:rsidP="005F3A9D" w14:paraId="2238ED5B" w14:textId="74F95048">
      <w:pPr>
        <w:ind w:left="360"/>
      </w:pPr>
      <w:r w:rsidRPr="00C800F0">
        <w:t>The burden estimate related to this proposal reflects the time and effort needed to identify, collect, and disclose the required information specified in the proposed rule.</w:t>
      </w:r>
      <w:r w:rsidR="00841045">
        <w:t xml:space="preserve"> CMS estimates that it will take a </w:t>
      </w:r>
      <w:r w:rsidR="002718EF">
        <w:t xml:space="preserve">total of </w:t>
      </w:r>
      <w:r w:rsidR="00B83450">
        <w:t>109,120</w:t>
      </w:r>
      <w:r w:rsidR="002718EF">
        <w:t xml:space="preserve"> hours resulting in an annual cost of $11.</w:t>
      </w:r>
      <w:r w:rsidR="004A22BC">
        <w:t>36</w:t>
      </w:r>
      <w:r w:rsidR="002718EF">
        <w:t xml:space="preserve"> million the first year </w:t>
      </w:r>
      <w:r w:rsidR="00B83450">
        <w:t xml:space="preserve">of reporting </w:t>
      </w:r>
      <w:r w:rsidR="002718EF">
        <w:t xml:space="preserve">and </w:t>
      </w:r>
      <w:r w:rsidR="00B83450">
        <w:t xml:space="preserve">40,920 </w:t>
      </w:r>
      <w:r w:rsidR="002718EF">
        <w:t>hours resulting in an annual cost of $3.2</w:t>
      </w:r>
      <w:r w:rsidR="004A22BC">
        <w:t>0</w:t>
      </w:r>
      <w:r w:rsidR="002718EF">
        <w:t xml:space="preserve"> million</w:t>
      </w:r>
      <w:r w:rsidR="00C94C1D">
        <w:t xml:space="preserve"> </w:t>
      </w:r>
      <w:r w:rsidR="00995A7D">
        <w:t>for all 341 impacted payers</w:t>
      </w:r>
      <w:r w:rsidR="002718EF">
        <w:t xml:space="preserve"> in the subsequent years</w:t>
      </w:r>
      <w:r w:rsidR="006013E9">
        <w:t xml:space="preserve"> to meet this reporting requirement</w:t>
      </w:r>
      <w:r w:rsidR="002718EF">
        <w:t xml:space="preserve">. </w:t>
      </w:r>
      <w:r>
        <w:t xml:space="preserve">Proposed </w:t>
      </w:r>
      <w:r>
        <w:t>prior authorization metrics on drugs</w:t>
      </w:r>
      <w:r>
        <w:t xml:space="preserve"> by program are as follows</w:t>
      </w:r>
      <w:r w:rsidR="00765571">
        <w:t>:</w:t>
      </w:r>
    </w:p>
    <w:p w:rsidR="009C43B2" w:rsidRPr="00A82CD4" w:rsidP="00E65AE2" w14:paraId="35549003" w14:textId="15F34684">
      <w:pPr>
        <w:pStyle w:val="Heading5"/>
        <w:rPr>
          <w:rStyle w:val="Strong"/>
        </w:rPr>
      </w:pPr>
      <w:r w:rsidRPr="002A33B4">
        <w:rPr>
          <w:rStyle w:val="Strong"/>
          <w:b/>
        </w:rPr>
        <w:t>Proposed Prior Authorization Information and Metrics for Drugs</w:t>
      </w:r>
      <w:r w:rsidRPr="002A33B4" w:rsidR="00103E3C">
        <w:rPr>
          <w:rStyle w:val="Strong"/>
          <w:b/>
        </w:rPr>
        <w:t xml:space="preserve"> MA </w:t>
      </w:r>
      <w:r w:rsidRPr="002A33B4" w:rsidR="00CA2649">
        <w:rPr>
          <w:rStyle w:val="Strong"/>
          <w:b/>
        </w:rPr>
        <w:t>o</w:t>
      </w:r>
      <w:r w:rsidRPr="002A33B4" w:rsidR="00103E3C">
        <w:rPr>
          <w:rStyle w:val="Strong"/>
          <w:b/>
        </w:rPr>
        <w:t xml:space="preserve">rganizations </w:t>
      </w:r>
      <w:r w:rsidRPr="002A33B4" w:rsidR="00CA2649">
        <w:rPr>
          <w:rStyle w:val="Strong"/>
          <w:b/>
        </w:rPr>
        <w:t>w</w:t>
      </w:r>
      <w:r w:rsidRPr="002A33B4" w:rsidR="00103E3C">
        <w:rPr>
          <w:rStyle w:val="Strong"/>
          <w:b/>
        </w:rPr>
        <w:t xml:space="preserve">ould be </w:t>
      </w:r>
      <w:r w:rsidRPr="002A33B4" w:rsidR="00CA2649">
        <w:rPr>
          <w:rStyle w:val="Strong"/>
          <w:b/>
        </w:rPr>
        <w:t>r</w:t>
      </w:r>
      <w:r w:rsidRPr="002A33B4" w:rsidR="00103E3C">
        <w:rPr>
          <w:rStyle w:val="Strong"/>
          <w:b/>
        </w:rPr>
        <w:t xml:space="preserve">equired to </w:t>
      </w:r>
      <w:r w:rsidRPr="002A33B4" w:rsidR="00CA2649">
        <w:rPr>
          <w:rStyle w:val="Strong"/>
          <w:b/>
        </w:rPr>
        <w:t>r</w:t>
      </w:r>
      <w:r w:rsidRPr="002A33B4" w:rsidR="00103E3C">
        <w:rPr>
          <w:rStyle w:val="Strong"/>
          <w:b/>
        </w:rPr>
        <w:t>eport:</w:t>
      </w:r>
    </w:p>
    <w:p w:rsidR="00A4385C" w:rsidRPr="00E20589" w:rsidP="00670D80" w14:paraId="19493C98" w14:textId="6181CE3E">
      <w:pPr>
        <w:pStyle w:val="ListParagraph"/>
        <w:numPr>
          <w:ilvl w:val="0"/>
          <w:numId w:val="51"/>
        </w:numPr>
        <w:spacing w:before="0" w:after="0"/>
        <w:rPr>
          <w:rFonts w:eastAsia="Calibri"/>
        </w:rPr>
      </w:pPr>
      <w:r w:rsidRPr="00ED47B8">
        <w:rPr>
          <w:rFonts w:eastAsia="Calibri"/>
        </w:rPr>
        <w:t xml:space="preserve">A list of all </w:t>
      </w:r>
      <w:r w:rsidRPr="00E20589">
        <w:rPr>
          <w:rFonts w:eastAsia="Calibri"/>
        </w:rPr>
        <w:t xml:space="preserve">drugs </w:t>
      </w:r>
      <w:r w:rsidR="00194450">
        <w:rPr>
          <w:rFonts w:eastAsia="Calibri"/>
        </w:rPr>
        <w:t xml:space="preserve">payable under Part B </w:t>
      </w:r>
      <w:r w:rsidRPr="00E20589">
        <w:rPr>
          <w:rFonts w:eastAsia="Calibri"/>
        </w:rPr>
        <w:t>that require prior authorization.</w:t>
      </w:r>
    </w:p>
    <w:p w:rsidR="00A4385C" w:rsidRPr="00E20589" w:rsidP="00670D80" w14:paraId="29A64FFD" w14:textId="02FB5185">
      <w:pPr>
        <w:pStyle w:val="ListParagraph"/>
        <w:numPr>
          <w:ilvl w:val="0"/>
          <w:numId w:val="51"/>
        </w:numPr>
        <w:spacing w:after="0"/>
        <w:rPr>
          <w:rFonts w:eastAsia="Calibri"/>
        </w:rPr>
      </w:pPr>
      <w:r w:rsidRPr="00ED47B8">
        <w:rPr>
          <w:rFonts w:eastAsia="Calibri"/>
        </w:rPr>
        <w:t>The total number and percentage of approved</w:t>
      </w:r>
      <w:r>
        <w:rPr>
          <w:rFonts w:eastAsia="Calibri"/>
        </w:rPr>
        <w:t xml:space="preserve"> standard</w:t>
      </w:r>
      <w:r w:rsidRPr="00E20589">
        <w:rPr>
          <w:rFonts w:eastAsia="Calibri"/>
        </w:rPr>
        <w:t xml:space="preserve"> prior authorization requests for Part B drugs.</w:t>
      </w:r>
    </w:p>
    <w:p w:rsidR="00A4385C" w:rsidRPr="00E20589" w:rsidP="00670D80" w14:paraId="6C575C4C" w14:textId="2A6E15F5">
      <w:pPr>
        <w:pStyle w:val="ListParagraph"/>
        <w:numPr>
          <w:ilvl w:val="0"/>
          <w:numId w:val="51"/>
        </w:numPr>
        <w:spacing w:after="0"/>
        <w:rPr>
          <w:rFonts w:eastAsia="Calibri"/>
        </w:rPr>
      </w:pPr>
      <w:r w:rsidRPr="00ED47B8">
        <w:rPr>
          <w:rFonts w:eastAsia="Calibri"/>
        </w:rPr>
        <w:t xml:space="preserve">The total number and percentage of denied </w:t>
      </w:r>
      <w:r>
        <w:rPr>
          <w:rFonts w:eastAsia="Calibri"/>
        </w:rPr>
        <w:t xml:space="preserve">standard </w:t>
      </w:r>
      <w:r w:rsidRPr="00E20589">
        <w:rPr>
          <w:rFonts w:eastAsia="Calibri"/>
        </w:rPr>
        <w:t>prior authorization requests for Part B drugs.</w:t>
      </w:r>
    </w:p>
    <w:p w:rsidR="00A4385C" w:rsidRPr="00E20589" w:rsidP="00670D80" w14:paraId="6E7CC312" w14:textId="6D7FD988">
      <w:pPr>
        <w:pStyle w:val="ListParagraph"/>
        <w:numPr>
          <w:ilvl w:val="0"/>
          <w:numId w:val="51"/>
        </w:numPr>
        <w:spacing w:after="0"/>
        <w:rPr>
          <w:rFonts w:eastAsia="Calibri"/>
        </w:rPr>
      </w:pPr>
      <w:r w:rsidRPr="00ED47B8">
        <w:rPr>
          <w:rFonts w:eastAsia="Calibri"/>
        </w:rPr>
        <w:t xml:space="preserve">The total number and percentage of </w:t>
      </w:r>
      <w:r>
        <w:rPr>
          <w:rFonts w:eastAsia="Calibri"/>
        </w:rPr>
        <w:t xml:space="preserve">standard </w:t>
      </w:r>
      <w:r w:rsidRPr="00E20589">
        <w:rPr>
          <w:rFonts w:eastAsia="Calibri"/>
        </w:rPr>
        <w:t>prior authorization requests for Part B drugs for which the timeframe for review was extended</w:t>
      </w:r>
      <w:r w:rsidR="00E811F2">
        <w:rPr>
          <w:rFonts w:eastAsia="Calibri"/>
        </w:rPr>
        <w:t>,</w:t>
      </w:r>
      <w:r w:rsidRPr="00E20589">
        <w:rPr>
          <w:rFonts w:eastAsia="Calibri"/>
        </w:rPr>
        <w:t xml:space="preserve"> and the request was approved.</w:t>
      </w:r>
    </w:p>
    <w:p w:rsidR="00A4385C" w:rsidRPr="00E20589" w:rsidP="00670D80" w14:paraId="4354864B" w14:textId="293363FC">
      <w:pPr>
        <w:pStyle w:val="ListParagraph"/>
        <w:numPr>
          <w:ilvl w:val="0"/>
          <w:numId w:val="51"/>
        </w:numPr>
        <w:spacing w:after="0"/>
        <w:rPr>
          <w:rFonts w:eastAsia="Calibri"/>
        </w:rPr>
      </w:pPr>
      <w:r w:rsidRPr="00ED47B8">
        <w:rPr>
          <w:rFonts w:eastAsia="Calibri"/>
        </w:rPr>
        <w:t xml:space="preserve">The total number and percentage of </w:t>
      </w:r>
      <w:r>
        <w:rPr>
          <w:rFonts w:eastAsia="Calibri"/>
        </w:rPr>
        <w:t xml:space="preserve">standard </w:t>
      </w:r>
      <w:r w:rsidRPr="00E20589">
        <w:rPr>
          <w:rFonts w:eastAsia="Calibri"/>
        </w:rPr>
        <w:t>prior authorization requests for Part B drugs for which the timeframe for review was extended</w:t>
      </w:r>
      <w:r w:rsidR="00B578F0">
        <w:rPr>
          <w:rFonts w:eastAsia="Calibri"/>
        </w:rPr>
        <w:t>,</w:t>
      </w:r>
      <w:r w:rsidRPr="00E20589">
        <w:rPr>
          <w:rFonts w:eastAsia="Calibri"/>
        </w:rPr>
        <w:t xml:space="preserve"> and the request was denied.</w:t>
      </w:r>
    </w:p>
    <w:p w:rsidR="00A4385C" w:rsidRPr="00E20589" w:rsidP="00670D80" w14:paraId="1CB0D5B9" w14:textId="62DBBDB2">
      <w:pPr>
        <w:pStyle w:val="ListParagraph"/>
        <w:numPr>
          <w:ilvl w:val="0"/>
          <w:numId w:val="51"/>
        </w:numPr>
        <w:spacing w:after="0"/>
        <w:rPr>
          <w:rFonts w:eastAsia="Calibri"/>
        </w:rPr>
      </w:pPr>
      <w:r w:rsidRPr="00ED47B8">
        <w:rPr>
          <w:rFonts w:eastAsia="Calibri"/>
        </w:rPr>
        <w:t>The</w:t>
      </w:r>
      <w:r w:rsidRPr="00E20589">
        <w:rPr>
          <w:rFonts w:eastAsia="Calibri"/>
        </w:rPr>
        <w:t xml:space="preserve"> total number and percentage of</w:t>
      </w:r>
      <w:r>
        <w:rPr>
          <w:rFonts w:eastAsia="Calibri"/>
        </w:rPr>
        <w:t xml:space="preserve"> standard</w:t>
      </w:r>
      <w:r w:rsidRPr="00E20589">
        <w:rPr>
          <w:rFonts w:eastAsia="Calibri"/>
        </w:rPr>
        <w:t xml:space="preserve"> prior authorization requests for Part B drugs approved </w:t>
      </w:r>
      <w:r w:rsidR="00CD1F20">
        <w:rPr>
          <w:rFonts w:eastAsia="Calibri"/>
        </w:rPr>
        <w:t>after</w:t>
      </w:r>
      <w:r w:rsidRPr="00E20589" w:rsidR="00CD1F20">
        <w:rPr>
          <w:rFonts w:eastAsia="Calibri"/>
        </w:rPr>
        <w:t xml:space="preserve"> </w:t>
      </w:r>
      <w:r w:rsidRPr="00E20589">
        <w:rPr>
          <w:rFonts w:eastAsia="Calibri"/>
        </w:rPr>
        <w:t>appeal.</w:t>
      </w:r>
    </w:p>
    <w:p w:rsidR="00A4385C" w:rsidRPr="00E20589" w:rsidP="00670D80" w14:paraId="4703D1F4" w14:textId="04830F19">
      <w:pPr>
        <w:pStyle w:val="ListParagraph"/>
        <w:numPr>
          <w:ilvl w:val="0"/>
          <w:numId w:val="51"/>
        </w:numPr>
        <w:spacing w:after="0"/>
        <w:rPr>
          <w:rFonts w:eastAsia="Calibri"/>
        </w:rPr>
      </w:pPr>
      <w:r w:rsidRPr="00ED47B8">
        <w:rPr>
          <w:rFonts w:eastAsia="Calibri"/>
        </w:rPr>
        <w:t>The total number and percentage of</w:t>
      </w:r>
      <w:r>
        <w:rPr>
          <w:rFonts w:eastAsia="Calibri"/>
        </w:rPr>
        <w:t xml:space="preserve"> standard</w:t>
      </w:r>
      <w:r w:rsidRPr="00E20589">
        <w:rPr>
          <w:rFonts w:eastAsia="Calibri"/>
        </w:rPr>
        <w:t xml:space="preserve"> prior authorization requests for Part B drugs </w:t>
      </w:r>
      <w:r w:rsidR="009F3C46">
        <w:rPr>
          <w:rFonts w:eastAsia="Calibri"/>
        </w:rPr>
        <w:t xml:space="preserve">that remain </w:t>
      </w:r>
      <w:r w:rsidRPr="00E20589">
        <w:rPr>
          <w:rFonts w:eastAsia="Calibri"/>
        </w:rPr>
        <w:t xml:space="preserve">denied </w:t>
      </w:r>
      <w:r w:rsidR="00CD1F20">
        <w:rPr>
          <w:rFonts w:eastAsia="Calibri"/>
        </w:rPr>
        <w:t>after</w:t>
      </w:r>
      <w:r w:rsidRPr="00E20589" w:rsidR="00CD1F20">
        <w:rPr>
          <w:rFonts w:eastAsia="Calibri"/>
        </w:rPr>
        <w:t xml:space="preserve"> </w:t>
      </w:r>
      <w:r w:rsidRPr="00E20589">
        <w:rPr>
          <w:rFonts w:eastAsia="Calibri"/>
        </w:rPr>
        <w:t xml:space="preserve">appeal. </w:t>
      </w:r>
    </w:p>
    <w:p w:rsidR="00A4385C" w:rsidRPr="00B8069D" w:rsidP="00670D80" w14:paraId="789A5CDF" w14:textId="38461788">
      <w:pPr>
        <w:pStyle w:val="ListParagraph"/>
        <w:numPr>
          <w:ilvl w:val="0"/>
          <w:numId w:val="51"/>
        </w:numPr>
        <w:spacing w:after="0"/>
        <w:rPr>
          <w:rFonts w:eastAsia="Calibri"/>
        </w:rPr>
      </w:pPr>
      <w:r w:rsidRPr="00ED47B8">
        <w:t xml:space="preserve">The average and median time that elapsed between the submission of requests and decisions for </w:t>
      </w:r>
      <w:r>
        <w:t xml:space="preserve">standard </w:t>
      </w:r>
      <w:r w:rsidRPr="00E20589">
        <w:t xml:space="preserve">prior authorizations for </w:t>
      </w:r>
      <w:r w:rsidRPr="00E20589">
        <w:rPr>
          <w:rFonts w:eastAsia="Calibri"/>
        </w:rPr>
        <w:t>Part B drugs</w:t>
      </w:r>
      <w:r w:rsidRPr="00E20589">
        <w:t>.</w:t>
      </w:r>
    </w:p>
    <w:p w:rsidR="00A4385C" w:rsidRPr="00F11E57" w:rsidP="00670D80" w14:paraId="54E9D20B" w14:textId="0AAD66D9">
      <w:pPr>
        <w:pStyle w:val="ListParagraph"/>
        <w:numPr>
          <w:ilvl w:val="0"/>
          <w:numId w:val="51"/>
        </w:numPr>
        <w:spacing w:after="0"/>
        <w:rPr>
          <w:rFonts w:eastAsia="Calibri"/>
        </w:rPr>
      </w:pPr>
      <w:r w:rsidRPr="00ED47B8">
        <w:t>The total number and percentage of approved expedited prior authorization requests for Part B drugs.</w:t>
      </w:r>
    </w:p>
    <w:p w:rsidR="00A4385C" w:rsidRPr="00F11E57" w:rsidP="00670D80" w14:paraId="292BD3BA" w14:textId="282EB795">
      <w:pPr>
        <w:pStyle w:val="ListParagraph"/>
        <w:numPr>
          <w:ilvl w:val="0"/>
          <w:numId w:val="51"/>
        </w:numPr>
        <w:spacing w:after="0"/>
        <w:rPr>
          <w:rFonts w:eastAsia="Calibri"/>
        </w:rPr>
      </w:pPr>
      <w:r w:rsidRPr="00ED47B8">
        <w:t xml:space="preserve">The total </w:t>
      </w:r>
      <w:r>
        <w:t>number and percentage of denied expedited prior authorization requests for Part B drugs.</w:t>
      </w:r>
    </w:p>
    <w:p w:rsidR="00A4385C" w:rsidRPr="00B8069D" w:rsidP="00670D80" w14:paraId="11665759" w14:textId="74C7AD93">
      <w:pPr>
        <w:pStyle w:val="ListParagraph"/>
        <w:numPr>
          <w:ilvl w:val="0"/>
          <w:numId w:val="51"/>
        </w:numPr>
        <w:spacing w:after="0"/>
        <w:rPr>
          <w:rFonts w:eastAsia="Calibri"/>
        </w:rPr>
      </w:pPr>
      <w:r w:rsidRPr="00ED47B8">
        <w:t xml:space="preserve">The total number and percentage of expedited prior </w:t>
      </w:r>
      <w:r>
        <w:t>authorization requests for Part B drugs for which the timeframe for review was extended</w:t>
      </w:r>
      <w:r w:rsidR="00D9741C">
        <w:t>,</w:t>
      </w:r>
      <w:r>
        <w:t xml:space="preserve"> and the request was approved.</w:t>
      </w:r>
    </w:p>
    <w:p w:rsidR="00A4385C" w:rsidP="00670D80" w14:paraId="1E319D78" w14:textId="016EB474">
      <w:pPr>
        <w:pStyle w:val="ListParagraph"/>
        <w:numPr>
          <w:ilvl w:val="0"/>
          <w:numId w:val="51"/>
        </w:numPr>
        <w:spacing w:after="0"/>
        <w:rPr>
          <w:rFonts w:eastAsia="Calibri"/>
        </w:rPr>
      </w:pPr>
      <w:r w:rsidRPr="00ED47B8">
        <w:rPr>
          <w:rFonts w:eastAsia="Calibri"/>
        </w:rPr>
        <w:t>The total number and percentage of expedited prior authorization requests for Part B drugs for which the timeframe for review was extended</w:t>
      </w:r>
      <w:r w:rsidR="00D9741C">
        <w:rPr>
          <w:rFonts w:eastAsia="Calibri"/>
        </w:rPr>
        <w:t>,</w:t>
      </w:r>
      <w:r w:rsidRPr="00ED47B8">
        <w:rPr>
          <w:rFonts w:eastAsia="Calibri"/>
        </w:rPr>
        <w:t xml:space="preserve"> and the request was denied.</w:t>
      </w:r>
    </w:p>
    <w:p w:rsidR="00A4385C" w:rsidP="00670D80" w14:paraId="7072B78B" w14:textId="3C181613">
      <w:pPr>
        <w:pStyle w:val="ListParagraph"/>
        <w:numPr>
          <w:ilvl w:val="0"/>
          <w:numId w:val="51"/>
        </w:numPr>
        <w:spacing w:after="0"/>
        <w:rPr>
          <w:rFonts w:eastAsia="Calibri"/>
        </w:rPr>
      </w:pPr>
      <w:r w:rsidRPr="00ED47B8">
        <w:rPr>
          <w:rFonts w:eastAsia="Calibri"/>
        </w:rPr>
        <w:t xml:space="preserve">The total number and percentage of expedited prior </w:t>
      </w:r>
      <w:r>
        <w:rPr>
          <w:rFonts w:eastAsia="Calibri"/>
        </w:rPr>
        <w:t xml:space="preserve">authorization requests for Part B drugs approved </w:t>
      </w:r>
      <w:r w:rsidR="0023146C">
        <w:rPr>
          <w:rFonts w:eastAsia="Calibri"/>
        </w:rPr>
        <w:t xml:space="preserve">after </w:t>
      </w:r>
      <w:r>
        <w:rPr>
          <w:rFonts w:eastAsia="Calibri"/>
        </w:rPr>
        <w:t>appeal.</w:t>
      </w:r>
    </w:p>
    <w:p w:rsidR="00A4385C" w:rsidP="00670D80" w14:paraId="7BF83D1D" w14:textId="5EE50301">
      <w:pPr>
        <w:pStyle w:val="ListParagraph"/>
        <w:numPr>
          <w:ilvl w:val="0"/>
          <w:numId w:val="51"/>
        </w:numPr>
        <w:spacing w:after="0"/>
        <w:rPr>
          <w:rFonts w:eastAsia="Calibri"/>
        </w:rPr>
      </w:pPr>
      <w:r w:rsidRPr="00ED47B8">
        <w:rPr>
          <w:rFonts w:eastAsia="Calibri"/>
        </w:rPr>
        <w:t xml:space="preserve">The total number and percentage of expedited prior authorization requests for Part B drugs </w:t>
      </w:r>
      <w:r w:rsidR="004B4990">
        <w:rPr>
          <w:rFonts w:eastAsia="Calibri"/>
        </w:rPr>
        <w:t xml:space="preserve">that remain </w:t>
      </w:r>
      <w:r w:rsidRPr="00ED47B8">
        <w:rPr>
          <w:rFonts w:eastAsia="Calibri"/>
        </w:rPr>
        <w:t xml:space="preserve">denied </w:t>
      </w:r>
      <w:r w:rsidR="0023146C">
        <w:rPr>
          <w:rFonts w:eastAsia="Calibri"/>
        </w:rPr>
        <w:t>after</w:t>
      </w:r>
      <w:r w:rsidRPr="00ED47B8" w:rsidR="0023146C">
        <w:rPr>
          <w:rFonts w:eastAsia="Calibri"/>
        </w:rPr>
        <w:t xml:space="preserve"> </w:t>
      </w:r>
      <w:r w:rsidRPr="00ED47B8">
        <w:rPr>
          <w:rFonts w:eastAsia="Calibri"/>
        </w:rPr>
        <w:t>appeal.</w:t>
      </w:r>
    </w:p>
    <w:p w:rsidR="00A4385C" w:rsidRPr="00E20589" w:rsidP="00670D80" w14:paraId="7D4D77D8" w14:textId="0B59BB3C">
      <w:pPr>
        <w:pStyle w:val="ListParagraph"/>
        <w:numPr>
          <w:ilvl w:val="0"/>
          <w:numId w:val="51"/>
        </w:numPr>
        <w:spacing w:after="0"/>
        <w:rPr>
          <w:rFonts w:eastAsia="Calibri"/>
        </w:rPr>
      </w:pPr>
      <w:r w:rsidRPr="00ED47B8">
        <w:rPr>
          <w:rFonts w:eastAsia="Calibri"/>
        </w:rPr>
        <w:t>The average and median time and elapsed between the submission of requests and decisions for expedited prior authorization</w:t>
      </w:r>
      <w:r w:rsidR="004B4990">
        <w:rPr>
          <w:rFonts w:eastAsia="Calibri"/>
        </w:rPr>
        <w:t xml:space="preserve"> requests</w:t>
      </w:r>
      <w:r w:rsidRPr="00ED47B8">
        <w:rPr>
          <w:rFonts w:eastAsia="Calibri"/>
        </w:rPr>
        <w:t xml:space="preserve"> for Part B drugs.</w:t>
      </w:r>
    </w:p>
    <w:p w:rsidR="00A4385C" w:rsidRPr="00670D80" w:rsidP="00E65AE2" w14:paraId="1FFB927B" w14:textId="77777777">
      <w:pPr>
        <w:pStyle w:val="Heading5"/>
        <w:rPr>
          <w:rFonts w:eastAsia="Calibri"/>
        </w:rPr>
      </w:pPr>
      <w:r w:rsidRPr="00670D80">
        <w:rPr>
          <w:rFonts w:eastAsia="Calibri"/>
        </w:rPr>
        <w:t>State Medicaid and CHIP FFS programs, Medicaid managed care plans, and CHIP managed care entities would be required to report:</w:t>
      </w:r>
    </w:p>
    <w:p w:rsidR="00A4385C" w:rsidRPr="00E20589" w:rsidP="00670D80" w14:paraId="112F39A6" w14:textId="77777777">
      <w:pPr>
        <w:pStyle w:val="ListParagraph"/>
        <w:numPr>
          <w:ilvl w:val="0"/>
          <w:numId w:val="61"/>
        </w:numPr>
        <w:rPr>
          <w:rFonts w:eastAsia="Calibri"/>
        </w:rPr>
      </w:pPr>
      <w:r w:rsidRPr="00ED47B8">
        <w:rPr>
          <w:rFonts w:eastAsia="Calibri"/>
        </w:rPr>
        <w:t xml:space="preserve">A list of all drugs that require prior </w:t>
      </w:r>
      <w:r w:rsidRPr="00E20589">
        <w:rPr>
          <w:rFonts w:eastAsia="Calibri"/>
        </w:rPr>
        <w:t>authorization.</w:t>
      </w:r>
    </w:p>
    <w:p w:rsidR="00A4385C" w:rsidRPr="00E20589" w:rsidP="00670D80" w14:paraId="5BC35B49" w14:textId="77777777">
      <w:pPr>
        <w:pStyle w:val="ListParagraph"/>
        <w:numPr>
          <w:ilvl w:val="0"/>
          <w:numId w:val="61"/>
        </w:numPr>
        <w:rPr>
          <w:rFonts w:eastAsia="Calibri"/>
        </w:rPr>
      </w:pPr>
      <w:r w:rsidRPr="00ED47B8">
        <w:rPr>
          <w:rFonts w:eastAsia="Calibri"/>
        </w:rPr>
        <w:t xml:space="preserve">The total number and percentage of prior authorization requests for all drugs that were approved. </w:t>
      </w:r>
    </w:p>
    <w:p w:rsidR="00A4385C" w:rsidRPr="00E20589" w:rsidP="00670D80" w14:paraId="7091F262" w14:textId="77777777">
      <w:pPr>
        <w:pStyle w:val="ListParagraph"/>
        <w:numPr>
          <w:ilvl w:val="0"/>
          <w:numId w:val="61"/>
        </w:numPr>
        <w:rPr>
          <w:rFonts w:eastAsia="Calibri"/>
        </w:rPr>
      </w:pPr>
      <w:r w:rsidRPr="00ED47B8">
        <w:rPr>
          <w:rFonts w:eastAsia="Calibri"/>
        </w:rPr>
        <w:t xml:space="preserve">The total number and percentage of prior authorization requests for all drugs that were denied. </w:t>
      </w:r>
    </w:p>
    <w:p w:rsidR="00A4385C" w:rsidRPr="00E20589" w:rsidP="00670D80" w14:paraId="2A0C84E7" w14:textId="049A7435">
      <w:pPr>
        <w:pStyle w:val="ListParagraph"/>
        <w:numPr>
          <w:ilvl w:val="0"/>
          <w:numId w:val="61"/>
        </w:numPr>
        <w:rPr>
          <w:rFonts w:eastAsia="Calibri"/>
        </w:rPr>
      </w:pPr>
      <w:r w:rsidRPr="00ED47B8">
        <w:rPr>
          <w:rFonts w:eastAsia="Calibri"/>
        </w:rPr>
        <w:t xml:space="preserve">The total number and percentage of prior authorization requests for all drugs approved </w:t>
      </w:r>
      <w:r w:rsidR="0023146C">
        <w:rPr>
          <w:rFonts w:eastAsia="Calibri"/>
        </w:rPr>
        <w:t>after</w:t>
      </w:r>
      <w:r w:rsidRPr="00ED47B8" w:rsidR="0023146C">
        <w:rPr>
          <w:rFonts w:eastAsia="Calibri"/>
        </w:rPr>
        <w:t xml:space="preserve"> </w:t>
      </w:r>
      <w:sdt>
        <w:sdtPr>
          <w:rPr>
            <w:rFonts w:eastAsia="Calibri"/>
          </w:rPr>
          <w:alias w:val=" "/>
          <w:tag w:val="NAV_SWIFT_799d65aa-9468-4d4e-ab66-aa19c7bcedf9"/>
          <w:id w:val="-492721198"/>
          <w:placeholder>
            <w:docPart w:val="6B4B5024031D4EF281864A043E62444D"/>
          </w:placeholder>
          <w:richText/>
          <w15:appearance w15:val="hidden"/>
        </w:sdtPr>
        <w:sdtContent>
          <w:r w:rsidRPr="00E20589">
            <w:t>​</w:t>
          </w:r>
        </w:sdtContent>
      </w:sdt>
      <w:r w:rsidRPr="00E20589">
        <w:rPr>
          <w:rFonts w:eastAsia="Calibri"/>
        </w:rPr>
        <w:t>appeal.</w:t>
      </w:r>
    </w:p>
    <w:p w:rsidR="00A4385C" w:rsidRPr="00E20589" w:rsidP="00670D80" w14:paraId="3D534997" w14:textId="314A16DB">
      <w:pPr>
        <w:pStyle w:val="ListParagraph"/>
        <w:numPr>
          <w:ilvl w:val="0"/>
          <w:numId w:val="61"/>
        </w:numPr>
        <w:rPr>
          <w:rFonts w:eastAsia="Calibri"/>
        </w:rPr>
      </w:pPr>
      <w:r w:rsidRPr="00ED47B8">
        <w:rPr>
          <w:rFonts w:eastAsia="Calibri"/>
        </w:rPr>
        <w:t xml:space="preserve">The total number and percentage of prior authorization requests for all drugs </w:t>
      </w:r>
      <w:r w:rsidR="00C05F5E">
        <w:rPr>
          <w:rFonts w:eastAsia="Calibri"/>
        </w:rPr>
        <w:t>that remain</w:t>
      </w:r>
      <w:r w:rsidRPr="00ED47B8">
        <w:rPr>
          <w:rFonts w:eastAsia="Calibri"/>
        </w:rPr>
        <w:t xml:space="preserve"> denied </w:t>
      </w:r>
      <w:r w:rsidR="0023146C">
        <w:rPr>
          <w:rFonts w:eastAsia="Calibri"/>
        </w:rPr>
        <w:t>after</w:t>
      </w:r>
      <w:r w:rsidRPr="00ED47B8" w:rsidR="0023146C">
        <w:rPr>
          <w:rFonts w:eastAsia="Calibri"/>
        </w:rPr>
        <w:t xml:space="preserve"> </w:t>
      </w:r>
      <w:r w:rsidRPr="00ED47B8">
        <w:rPr>
          <w:rFonts w:eastAsia="Calibri"/>
        </w:rPr>
        <w:t xml:space="preserve">appeal. </w:t>
      </w:r>
    </w:p>
    <w:p w:rsidR="00A4385C" w:rsidRPr="00E20589" w:rsidP="00670D80" w14:paraId="3F3AFE1F" w14:textId="77777777">
      <w:pPr>
        <w:pStyle w:val="ListParagraph"/>
        <w:numPr>
          <w:ilvl w:val="0"/>
          <w:numId w:val="61"/>
        </w:numPr>
        <w:rPr>
          <w:rFonts w:eastAsia="Calibri"/>
        </w:rPr>
      </w:pPr>
      <w:r w:rsidRPr="00ED47B8">
        <w:t>The average and median time that elapsed between the submission of requests and decisions for prior authorizations for all drugs.</w:t>
      </w:r>
    </w:p>
    <w:p w:rsidR="00A4385C" w:rsidRPr="00670D80" w:rsidP="00E65AE2" w14:paraId="5533C40D" w14:textId="77777777">
      <w:pPr>
        <w:pStyle w:val="Heading5"/>
        <w:rPr>
          <w:rFonts w:eastAsia="Calibri"/>
        </w:rPr>
      </w:pPr>
      <w:r w:rsidRPr="00670D80">
        <w:t>QHP issuers on the FFEs would be required to report:</w:t>
      </w:r>
    </w:p>
    <w:p w:rsidR="00A4385C" w:rsidRPr="00E20589" w:rsidP="00670D80" w14:paraId="3DF509EE" w14:textId="77777777">
      <w:pPr>
        <w:pStyle w:val="ListParagraph"/>
        <w:numPr>
          <w:ilvl w:val="0"/>
          <w:numId w:val="60"/>
        </w:numPr>
      </w:pPr>
      <w:r w:rsidRPr="00ED47B8">
        <w:rPr>
          <w:rFonts w:eastAsia="Calibri"/>
        </w:rPr>
        <w:t xml:space="preserve">A list of all drugs that require prior authorization. </w:t>
      </w:r>
    </w:p>
    <w:p w:rsidR="00A4385C" w:rsidRPr="00E20589" w:rsidP="00670D80" w14:paraId="7C8AB5D1" w14:textId="77777777">
      <w:pPr>
        <w:pStyle w:val="ListParagraph"/>
        <w:numPr>
          <w:ilvl w:val="0"/>
          <w:numId w:val="60"/>
        </w:numPr>
      </w:pPr>
      <w:r w:rsidRPr="00ED47B8">
        <w:t xml:space="preserve">The </w:t>
      </w:r>
      <w:r w:rsidRPr="00E20589">
        <w:rPr>
          <w:rFonts w:eastAsia="Calibri"/>
        </w:rPr>
        <w:t>total number and</w:t>
      </w:r>
      <w:r w:rsidRPr="00E20589">
        <w:t xml:space="preserve"> percentage of standard </w:t>
      </w:r>
      <w:r w:rsidRPr="00E20589">
        <w:rPr>
          <w:rFonts w:eastAsia="Calibri"/>
        </w:rPr>
        <w:t xml:space="preserve">prior authorization requests for all drugs that were approved. </w:t>
      </w:r>
    </w:p>
    <w:p w:rsidR="00A4385C" w:rsidRPr="00E20589" w:rsidP="00670D80" w14:paraId="706E0244" w14:textId="77777777">
      <w:pPr>
        <w:pStyle w:val="ListParagraph"/>
        <w:numPr>
          <w:ilvl w:val="0"/>
          <w:numId w:val="60"/>
        </w:numPr>
      </w:pPr>
      <w:r w:rsidRPr="00ED47B8">
        <w:t xml:space="preserve">The </w:t>
      </w:r>
      <w:r w:rsidRPr="00E20589">
        <w:rPr>
          <w:rFonts w:eastAsia="Calibri"/>
        </w:rPr>
        <w:t>total number and</w:t>
      </w:r>
      <w:r w:rsidRPr="00E20589">
        <w:t xml:space="preserve"> percentage of standard </w:t>
      </w:r>
      <w:r w:rsidRPr="00E20589">
        <w:rPr>
          <w:rFonts w:eastAsia="Calibri"/>
        </w:rPr>
        <w:t xml:space="preserve">prior authorization requests for all drugs that were denied. </w:t>
      </w:r>
    </w:p>
    <w:p w:rsidR="00A4385C" w:rsidRPr="00E20589" w:rsidP="00670D80" w14:paraId="4759E7E8" w14:textId="7D5869B9">
      <w:pPr>
        <w:pStyle w:val="ListParagraph"/>
        <w:numPr>
          <w:ilvl w:val="0"/>
          <w:numId w:val="60"/>
        </w:numPr>
      </w:pPr>
      <w:r w:rsidRPr="00ED47B8">
        <w:rPr>
          <w:rFonts w:eastAsia="Calibri"/>
        </w:rPr>
        <w:t>The total number and percentage of standard prior authorization requests for all drugs for which the timeframe for review was extended</w:t>
      </w:r>
      <w:r w:rsidR="00725A0D">
        <w:rPr>
          <w:rFonts w:eastAsia="Calibri"/>
        </w:rPr>
        <w:t>,</w:t>
      </w:r>
      <w:r w:rsidRPr="00ED47B8">
        <w:rPr>
          <w:rFonts w:eastAsia="Calibri"/>
        </w:rPr>
        <w:t xml:space="preserve"> and the request was approved.</w:t>
      </w:r>
    </w:p>
    <w:p w:rsidR="00A4385C" w:rsidRPr="00E20589" w:rsidP="00670D80" w14:paraId="5F229D33" w14:textId="1D6B019E">
      <w:pPr>
        <w:pStyle w:val="ListParagraph"/>
        <w:numPr>
          <w:ilvl w:val="0"/>
          <w:numId w:val="60"/>
        </w:numPr>
      </w:pPr>
      <w:r w:rsidRPr="00ED47B8">
        <w:t xml:space="preserve">The </w:t>
      </w:r>
      <w:r w:rsidRPr="00E20589">
        <w:rPr>
          <w:rFonts w:eastAsia="Calibri"/>
        </w:rPr>
        <w:t>total number and</w:t>
      </w:r>
      <w:r w:rsidRPr="00E20589">
        <w:t xml:space="preserve"> percentage of standard prior authorization requests for all drugs for which the timeframe for review was extended</w:t>
      </w:r>
      <w:r w:rsidR="006C6D0B">
        <w:t>,</w:t>
      </w:r>
      <w:r w:rsidRPr="00E20589">
        <w:t xml:space="preserve"> and the request was denied.</w:t>
      </w:r>
    </w:p>
    <w:p w:rsidR="00A4385C" w:rsidRPr="00E20589" w:rsidP="00670D80" w14:paraId="4DF59946" w14:textId="4381BF3F">
      <w:pPr>
        <w:pStyle w:val="ListParagraph"/>
        <w:numPr>
          <w:ilvl w:val="0"/>
          <w:numId w:val="60"/>
        </w:numPr>
      </w:pPr>
      <w:r w:rsidRPr="00ED47B8">
        <w:t xml:space="preserve">The </w:t>
      </w:r>
      <w:r w:rsidRPr="00E20589">
        <w:rPr>
          <w:rFonts w:eastAsia="Calibri"/>
        </w:rPr>
        <w:t>total number and</w:t>
      </w:r>
      <w:r w:rsidRPr="00E20589">
        <w:t xml:space="preserve"> percentage of standard prior authorization requests for all drugs</w:t>
      </w:r>
      <w:r w:rsidR="000E682F">
        <w:t xml:space="preserve"> </w:t>
      </w:r>
      <w:r w:rsidRPr="00E20589">
        <w:t xml:space="preserve">approved </w:t>
      </w:r>
      <w:r w:rsidR="00590F56">
        <w:t>after</w:t>
      </w:r>
      <w:r w:rsidRPr="00E20589" w:rsidR="00590F56">
        <w:t xml:space="preserve"> </w:t>
      </w:r>
      <w:r w:rsidRPr="00E20589">
        <w:t>appeal.</w:t>
      </w:r>
    </w:p>
    <w:p w:rsidR="00A4385C" w:rsidRPr="00E20589" w:rsidP="00670D80" w14:paraId="6205F3E9" w14:textId="1242A10A">
      <w:pPr>
        <w:pStyle w:val="ListParagraph"/>
        <w:numPr>
          <w:ilvl w:val="0"/>
          <w:numId w:val="60"/>
        </w:numPr>
      </w:pPr>
      <w:r w:rsidRPr="00ED47B8">
        <w:t xml:space="preserve">The </w:t>
      </w:r>
      <w:r w:rsidRPr="00E20589">
        <w:rPr>
          <w:rFonts w:eastAsia="Calibri"/>
        </w:rPr>
        <w:t>total number and</w:t>
      </w:r>
      <w:r w:rsidRPr="00E20589">
        <w:t xml:space="preserve"> percentage of standard prior authorization requests for all drugs </w:t>
      </w:r>
      <w:r w:rsidR="006C6D0B">
        <w:t xml:space="preserve">that remain </w:t>
      </w:r>
      <w:r w:rsidRPr="00E20589">
        <w:t xml:space="preserve">denied </w:t>
      </w:r>
      <w:r w:rsidR="00590F56">
        <w:t>after</w:t>
      </w:r>
      <w:r w:rsidRPr="00E20589" w:rsidR="00590F56">
        <w:t xml:space="preserve"> </w:t>
      </w:r>
      <w:r w:rsidRPr="00E20589">
        <w:t xml:space="preserve">appeal. </w:t>
      </w:r>
    </w:p>
    <w:p w:rsidR="007306F7" w:rsidRPr="00E20589" w:rsidP="007306F7" w14:paraId="0BE18364" w14:textId="4BEC0E91">
      <w:pPr>
        <w:pStyle w:val="ListParagraph"/>
        <w:numPr>
          <w:ilvl w:val="0"/>
          <w:numId w:val="60"/>
        </w:numPr>
      </w:pPr>
      <w:r w:rsidRPr="00ED47B8">
        <w:t xml:space="preserve">The average and median time that elapsed between the submission of requests and decisions for standard prior </w:t>
      </w:r>
      <w:r w:rsidRPr="00E20589">
        <w:t>authorizations for all drugs.</w:t>
      </w:r>
    </w:p>
    <w:p w:rsidR="00A4385C" w:rsidRPr="00E20589" w:rsidP="00670D80" w14:paraId="196B178D" w14:textId="77777777">
      <w:pPr>
        <w:pStyle w:val="ListParagraph"/>
        <w:numPr>
          <w:ilvl w:val="0"/>
          <w:numId w:val="60"/>
        </w:numPr>
      </w:pPr>
      <w:r w:rsidRPr="00ED47B8">
        <w:t xml:space="preserve">The </w:t>
      </w:r>
      <w:r w:rsidRPr="00E20589">
        <w:rPr>
          <w:rFonts w:eastAsia="Calibri"/>
        </w:rPr>
        <w:t>total number and</w:t>
      </w:r>
      <w:r w:rsidRPr="00E20589">
        <w:t xml:space="preserve"> percentage of expedited </w:t>
      </w:r>
      <w:r w:rsidRPr="00E20589">
        <w:rPr>
          <w:rFonts w:eastAsia="Calibri"/>
        </w:rPr>
        <w:t xml:space="preserve">prior authorization requests for all drugs that were approved. </w:t>
      </w:r>
    </w:p>
    <w:p w:rsidR="00A4385C" w:rsidRPr="00E20589" w:rsidP="00670D80" w14:paraId="3C7330E6" w14:textId="77777777">
      <w:pPr>
        <w:pStyle w:val="ListParagraph"/>
        <w:numPr>
          <w:ilvl w:val="0"/>
          <w:numId w:val="60"/>
        </w:numPr>
      </w:pPr>
      <w:r w:rsidRPr="00ED47B8">
        <w:t xml:space="preserve">The </w:t>
      </w:r>
      <w:r w:rsidRPr="00E20589">
        <w:rPr>
          <w:rFonts w:eastAsia="Calibri"/>
        </w:rPr>
        <w:t>total number and</w:t>
      </w:r>
      <w:r w:rsidRPr="00E20589">
        <w:t xml:space="preserve"> percentage of expedited </w:t>
      </w:r>
      <w:r w:rsidRPr="00E20589">
        <w:rPr>
          <w:rFonts w:eastAsia="Calibri"/>
        </w:rPr>
        <w:t xml:space="preserve">prior authorization requests for all drugs that were denied. </w:t>
      </w:r>
    </w:p>
    <w:p w:rsidR="00A4385C" w:rsidRPr="00E20589" w:rsidP="00670D80" w14:paraId="2A27B5A2" w14:textId="556DB99E">
      <w:pPr>
        <w:pStyle w:val="ListParagraph"/>
        <w:numPr>
          <w:ilvl w:val="0"/>
          <w:numId w:val="60"/>
        </w:numPr>
      </w:pPr>
      <w:r w:rsidRPr="00ED47B8">
        <w:rPr>
          <w:rFonts w:eastAsia="Calibri"/>
        </w:rPr>
        <w:t>The total number and percentage of expedited prior authorization requests for all drugs for which the timeframe for review was extended</w:t>
      </w:r>
      <w:r w:rsidR="00B7219E">
        <w:rPr>
          <w:rFonts w:eastAsia="Calibri"/>
        </w:rPr>
        <w:t>,</w:t>
      </w:r>
      <w:r w:rsidRPr="00ED47B8">
        <w:rPr>
          <w:rFonts w:eastAsia="Calibri"/>
        </w:rPr>
        <w:t xml:space="preserve"> and the request was approved.</w:t>
      </w:r>
    </w:p>
    <w:p w:rsidR="00A4385C" w:rsidRPr="00E20589" w:rsidP="00670D80" w14:paraId="506FC5AB" w14:textId="1954123E">
      <w:pPr>
        <w:pStyle w:val="ListParagraph"/>
        <w:numPr>
          <w:ilvl w:val="0"/>
          <w:numId w:val="60"/>
        </w:numPr>
      </w:pPr>
      <w:r w:rsidRPr="00ED47B8">
        <w:t xml:space="preserve">The </w:t>
      </w:r>
      <w:r w:rsidRPr="00E20589">
        <w:rPr>
          <w:rFonts w:eastAsia="Calibri"/>
        </w:rPr>
        <w:t>total number and</w:t>
      </w:r>
      <w:r w:rsidRPr="00E20589">
        <w:t xml:space="preserve"> percentage of expedited prior authorization requests for all drugs for which the timeframe for review was extended</w:t>
      </w:r>
      <w:r w:rsidR="00B7219E">
        <w:t>,</w:t>
      </w:r>
      <w:r w:rsidRPr="00E20589">
        <w:t xml:space="preserve"> and the request was denied.</w:t>
      </w:r>
    </w:p>
    <w:p w:rsidR="00A4385C" w:rsidRPr="00E20589" w:rsidP="00670D80" w14:paraId="6AFF0557" w14:textId="3D29D0CF">
      <w:pPr>
        <w:pStyle w:val="ListParagraph"/>
        <w:numPr>
          <w:ilvl w:val="0"/>
          <w:numId w:val="60"/>
        </w:numPr>
      </w:pPr>
      <w:r w:rsidRPr="00ED47B8">
        <w:t xml:space="preserve">The </w:t>
      </w:r>
      <w:r w:rsidRPr="00E20589">
        <w:rPr>
          <w:rFonts w:eastAsia="Calibri"/>
        </w:rPr>
        <w:t>total number and</w:t>
      </w:r>
      <w:r w:rsidRPr="00E20589">
        <w:t xml:space="preserve"> percentage of expedited prior authorization requests for all drugs approved </w:t>
      </w:r>
      <w:r w:rsidR="00590F56">
        <w:t>after</w:t>
      </w:r>
      <w:r w:rsidRPr="00E20589" w:rsidR="00590F56">
        <w:t xml:space="preserve"> </w:t>
      </w:r>
      <w:r w:rsidRPr="00E20589">
        <w:t>appeal.</w:t>
      </w:r>
    </w:p>
    <w:p w:rsidR="00A4385C" w:rsidRPr="00E20589" w:rsidP="00670D80" w14:paraId="547CBABD" w14:textId="2F9AFB5A">
      <w:pPr>
        <w:pStyle w:val="ListParagraph"/>
        <w:numPr>
          <w:ilvl w:val="0"/>
          <w:numId w:val="60"/>
        </w:numPr>
      </w:pPr>
      <w:r w:rsidRPr="00ED47B8">
        <w:t xml:space="preserve">The </w:t>
      </w:r>
      <w:r w:rsidRPr="00E20589">
        <w:rPr>
          <w:rFonts w:eastAsia="Calibri"/>
        </w:rPr>
        <w:t>total number and</w:t>
      </w:r>
      <w:r w:rsidRPr="00E20589">
        <w:t xml:space="preserve"> percentage of expedited prior authorization requests for all drugs that </w:t>
      </w:r>
      <w:r w:rsidR="00836DF2">
        <w:t>remain</w:t>
      </w:r>
      <w:r w:rsidRPr="00E20589">
        <w:t xml:space="preserve"> denied </w:t>
      </w:r>
      <w:r w:rsidR="00590F56">
        <w:t>after</w:t>
      </w:r>
      <w:r w:rsidRPr="00E20589" w:rsidR="00590F56">
        <w:t xml:space="preserve"> </w:t>
      </w:r>
      <w:r w:rsidRPr="00E20589">
        <w:t>appeal.</w:t>
      </w:r>
    </w:p>
    <w:p w:rsidR="00004A02" w:rsidP="00670D80" w14:paraId="53EAD235" w14:textId="323AE3C8">
      <w:pPr>
        <w:pStyle w:val="ListParagraph"/>
        <w:numPr>
          <w:ilvl w:val="0"/>
          <w:numId w:val="60"/>
        </w:numPr>
      </w:pPr>
      <w:r w:rsidRPr="00E20589">
        <w:t>The average and median time that elapsed between the submission of requests and decisions for expedited prior authorizations for all drugs</w:t>
      </w:r>
      <w:r>
        <w:t>.</w:t>
      </w:r>
    </w:p>
    <w:p w:rsidR="00261D9A" w:rsidP="00E65AE2" w14:paraId="782D0C1B" w14:textId="0DB6766C">
      <w:pPr>
        <w:pStyle w:val="Heading4"/>
      </w:pPr>
      <w:r>
        <w:t xml:space="preserve">Payer </w:t>
      </w:r>
      <w:r w:rsidR="0046314D">
        <w:t>API</w:t>
      </w:r>
      <w:r>
        <w:t xml:space="preserve"> Endpoints</w:t>
      </w:r>
      <w:r w:rsidR="0046314D">
        <w:t xml:space="preserve"> and API Documentation</w:t>
      </w:r>
    </w:p>
    <w:p w:rsidR="00261D9A" w:rsidP="00A82CD4" w14:paraId="778D01B9" w14:textId="7B2C3EE8">
      <w:pPr>
        <w:tabs>
          <w:tab w:val="left" w:pos="720"/>
          <w:tab w:val="left" w:pos="990"/>
        </w:tabs>
        <w:ind w:left="360"/>
      </w:pPr>
      <w:r>
        <w:t>T</w:t>
      </w:r>
      <w:r>
        <w:t xml:space="preserve">he </w:t>
      </w:r>
      <w:r w:rsidR="00393FB1">
        <w:t>2026</w:t>
      </w:r>
      <w:r>
        <w:t xml:space="preserve"> CMS Interoperability </w:t>
      </w:r>
      <w:r w:rsidR="00393FB1">
        <w:t xml:space="preserve">Standards </w:t>
      </w:r>
      <w:r>
        <w:t xml:space="preserve">and Prior Authorization for Drugs proposed rule </w:t>
      </w:r>
      <w:r w:rsidR="00E56BB2">
        <w:t xml:space="preserve">would </w:t>
      </w:r>
      <w:r>
        <w:t xml:space="preserve">require impacted payers to report </w:t>
      </w:r>
      <w:r w:rsidR="00462291">
        <w:t xml:space="preserve">Patient Access, Provider </w:t>
      </w:r>
      <w:r w:rsidR="001D325A">
        <w:t>Directory</w:t>
      </w:r>
      <w:r w:rsidR="00462291">
        <w:t xml:space="preserve">, </w:t>
      </w:r>
      <w:r w:rsidR="00CB61EC">
        <w:t xml:space="preserve">Provider </w:t>
      </w:r>
      <w:r w:rsidR="001D325A">
        <w:t>Access</w:t>
      </w:r>
      <w:r w:rsidR="00CB61EC">
        <w:t xml:space="preserve">, </w:t>
      </w:r>
      <w:r w:rsidR="00462291">
        <w:t xml:space="preserve">Payer-to-Payer, and Prior Authorization </w:t>
      </w:r>
      <w:r>
        <w:t xml:space="preserve">API endpoints to CMS for publication, in the form of an </w:t>
      </w:r>
      <w:r w:rsidR="0046314D">
        <w:t>E</w:t>
      </w:r>
      <w:r>
        <w:t xml:space="preserve">ndpoint </w:t>
      </w:r>
      <w:r w:rsidR="0046314D">
        <w:t>R</w:t>
      </w:r>
      <w:r>
        <w:t xml:space="preserve">esource, as defined by </w:t>
      </w:r>
      <w:r w:rsidR="00AC1A14">
        <w:t xml:space="preserve">an unexpired version </w:t>
      </w:r>
      <w:r w:rsidR="003B2E2C">
        <w:t xml:space="preserve">of </w:t>
      </w:r>
      <w:r w:rsidR="00574336">
        <w:t xml:space="preserve">the </w:t>
      </w:r>
      <w:r w:rsidRPr="00D74B21" w:rsidR="00D74B21">
        <w:t>Fast Healthcare Interoperability Resources</w:t>
      </w:r>
      <w:r w:rsidRPr="00642D1C" w:rsidR="00D74B21">
        <w:rPr>
          <w:vertAlign w:val="superscript"/>
        </w:rPr>
        <w:t>®</w:t>
      </w:r>
      <w:r w:rsidR="00D74B21">
        <w:t xml:space="preserve"> </w:t>
      </w:r>
      <w:r w:rsidR="00362D82">
        <w:t>(</w:t>
      </w:r>
      <w:r w:rsidR="00574336">
        <w:t>FHIR</w:t>
      </w:r>
      <w:r w:rsidRPr="00D4446A" w:rsidR="00362D82">
        <w:rPr>
          <w:vertAlign w:val="superscript"/>
        </w:rPr>
        <w:t>®</w:t>
      </w:r>
      <w:r w:rsidRPr="00D6725B" w:rsidR="00362D82">
        <w:t>)</w:t>
      </w:r>
      <w:r w:rsidR="00574336">
        <w:t xml:space="preserve"> standard</w:t>
      </w:r>
      <w:r>
        <w:t xml:space="preserve"> </w:t>
      </w:r>
      <w:r w:rsidR="00733F0B">
        <w:t xml:space="preserve">adopted </w:t>
      </w:r>
      <w:r>
        <w:t>in 45 CFR 170.215(a)</w:t>
      </w:r>
      <w:r w:rsidR="00ED52A4">
        <w:t xml:space="preserve">, </w:t>
      </w:r>
      <w:r w:rsidR="003D5A54">
        <w:t>including, if</w:t>
      </w:r>
      <w:r w:rsidR="00ED52A4">
        <w:t xml:space="preserve"> a payer reports multiple endpoints</w:t>
      </w:r>
      <w:r w:rsidR="003D5A54">
        <w:t>, appropriate use cases for each</w:t>
      </w:r>
      <w:r w:rsidR="00ED52A4">
        <w:t xml:space="preserve">. </w:t>
      </w:r>
      <w:r w:rsidR="00ED52A4">
        <w:rPr>
          <w:rFonts w:eastAsia="Times New Roman"/>
          <w:snapToGrid w:val="0"/>
          <w:szCs w:val="20"/>
        </w:rPr>
        <w:t>In addition</w:t>
      </w:r>
      <w:r w:rsidRPr="0052224C">
        <w:rPr>
          <w:rFonts w:eastAsia="Times New Roman"/>
          <w:snapToGrid w:val="0"/>
          <w:szCs w:val="20"/>
        </w:rPr>
        <w:t>, CMS</w:t>
      </w:r>
      <w:r>
        <w:t xml:space="preserve"> </w:t>
      </w:r>
      <w:r w:rsidR="00E56BB2">
        <w:t xml:space="preserve">would </w:t>
      </w:r>
      <w:r>
        <w:t xml:space="preserve">require impacted payers to </w:t>
      </w:r>
      <w:r w:rsidR="00783D20">
        <w:t xml:space="preserve">report </w:t>
      </w:r>
      <w:r w:rsidR="004F3891">
        <w:t xml:space="preserve">URLs with </w:t>
      </w:r>
      <w:r w:rsidR="00D55065">
        <w:t xml:space="preserve">the following </w:t>
      </w:r>
      <w:r w:rsidR="003D5A54">
        <w:t>required documentation for each of their interoperability APIs, as ap</w:t>
      </w:r>
      <w:r w:rsidR="003E7633">
        <w:t>plicable: a</w:t>
      </w:r>
      <w:r w:rsidR="007969CD">
        <w:t xml:space="preserve"> direct</w:t>
      </w:r>
      <w:r>
        <w:t xml:space="preserve"> URL </w:t>
      </w:r>
      <w:r w:rsidR="007969CD">
        <w:t xml:space="preserve">to </w:t>
      </w:r>
      <w:r>
        <w:t xml:space="preserve">their </w:t>
      </w:r>
      <w:r w:rsidR="0046314D">
        <w:t xml:space="preserve">interoperability </w:t>
      </w:r>
      <w:r>
        <w:t>APIs</w:t>
      </w:r>
      <w:r w:rsidR="00F22D0E">
        <w:t>’</w:t>
      </w:r>
      <w:r>
        <w:t xml:space="preserve"> FHIR capability statement</w:t>
      </w:r>
      <w:r w:rsidR="0046314D">
        <w:t>s</w:t>
      </w:r>
      <w:r w:rsidR="003E7633">
        <w:t xml:space="preserve">, </w:t>
      </w:r>
      <w:r w:rsidR="004D7AF3">
        <w:t>a</w:t>
      </w:r>
      <w:r>
        <w:t>uthorization and authentication protocol and implementation details</w:t>
      </w:r>
      <w:r w:rsidR="003E7633">
        <w:t>,</w:t>
      </w:r>
      <w:r>
        <w:t xml:space="preserve"> </w:t>
      </w:r>
      <w:r w:rsidR="0046314D">
        <w:t xml:space="preserve">and </w:t>
      </w:r>
      <w:r>
        <w:t xml:space="preserve">API registration information. Impacted payers would be required to </w:t>
      </w:r>
      <w:r w:rsidR="00D55065">
        <w:t xml:space="preserve">report this information no later than 60 days after the effective date of the </w:t>
      </w:r>
      <w:r w:rsidRPr="00701368" w:rsidR="00D55065">
        <w:t xml:space="preserve">2026 CMS Interoperability Standards and Prior Authorization for Drugs </w:t>
      </w:r>
      <w:r w:rsidR="00D55065">
        <w:t>final rule. New impacted payers would be required to report no later than 60 days before they begin covering patients under the applicable CMS program. Further, i</w:t>
      </w:r>
      <w:r>
        <w:t xml:space="preserve">mpacted payers would be required to verify </w:t>
      </w:r>
      <w:r w:rsidR="0046314D">
        <w:t>the reported</w:t>
      </w:r>
      <w:r>
        <w:t xml:space="preserve"> information at least </w:t>
      </w:r>
      <w:r w:rsidR="00241177">
        <w:t>once every 12 months</w:t>
      </w:r>
      <w:r>
        <w:t xml:space="preserve">, and </w:t>
      </w:r>
      <w:r w:rsidR="00574336">
        <w:t xml:space="preserve">report updated information to CMS </w:t>
      </w:r>
      <w:r>
        <w:t xml:space="preserve">within </w:t>
      </w:r>
      <w:r w:rsidR="00574336">
        <w:t>1</w:t>
      </w:r>
      <w:r>
        <w:t xml:space="preserve"> week of any changes to the reported information. The proposed policy would require </w:t>
      </w:r>
      <w:r>
        <w:t>2</w:t>
      </w:r>
      <w:r>
        <w:t xml:space="preserve"> hours of labor by a Business Operations Specialist at an hourly rate of </w:t>
      </w:r>
      <w:r w:rsidRPr="00BA5AC4">
        <w:t>$</w:t>
      </w:r>
      <w:r>
        <w:t>78.14, or $156</w:t>
      </w:r>
      <w:r w:rsidR="00DB0726">
        <w:t>.28</w:t>
      </w:r>
      <w:r>
        <w:t xml:space="preserve"> annually. For all impacted payers</w:t>
      </w:r>
      <w:r w:rsidR="00B47D82">
        <w:t>,</w:t>
      </w:r>
      <w:r>
        <w:t xml:space="preserve"> this reporting burden would be </w:t>
      </w:r>
      <w:r w:rsidR="00515420">
        <w:t xml:space="preserve">682 hours and </w:t>
      </w:r>
      <w:r>
        <w:t>$53,291 annually</w:t>
      </w:r>
      <w:r w:rsidR="00D454EA">
        <w:t>, rounded</w:t>
      </w:r>
      <w:r>
        <w:t xml:space="preserve"> (</w:t>
      </w:r>
      <w:r w:rsidR="009C7BE0">
        <w:t>$</w:t>
      </w:r>
      <w:r>
        <w:t>156</w:t>
      </w:r>
      <w:r w:rsidR="00DB0726">
        <w:t>.28</w:t>
      </w:r>
      <w:r>
        <w:t xml:space="preserve"> </w:t>
      </w:r>
      <w:r w:rsidR="009C7BE0">
        <w:rPr>
          <w:rFonts w:cstheme="minorHAnsi"/>
        </w:rPr>
        <w:t>×</w:t>
      </w:r>
      <w:r>
        <w:t xml:space="preserve"> 341</w:t>
      </w:r>
      <w:r w:rsidR="00A82CD4">
        <w:t xml:space="preserve"> </w:t>
      </w:r>
      <w:r w:rsidR="009C7BE0">
        <w:t xml:space="preserve">respondents </w:t>
      </w:r>
      <w:r>
        <w:t xml:space="preserve">= </w:t>
      </w:r>
      <w:r w:rsidR="009C7BE0">
        <w:t>$</w:t>
      </w:r>
      <w:r>
        <w:t>53,291</w:t>
      </w:r>
      <w:r w:rsidR="00611C39">
        <w:t>.48</w:t>
      </w:r>
      <w:r>
        <w:t>).</w:t>
      </w:r>
      <w:r>
        <w:rPr>
          <w:rFonts w:cs="Times New Roman"/>
        </w:rPr>
        <w:t xml:space="preserve"> </w:t>
      </w:r>
    </w:p>
    <w:p w:rsidR="00C46833" w:rsidRPr="000668D4" w:rsidP="008C48FA" w14:paraId="376D0747" w14:textId="24984671">
      <w:pPr>
        <w:pStyle w:val="Heading3"/>
        <w:numPr>
          <w:ilvl w:val="0"/>
          <w:numId w:val="0"/>
        </w:numPr>
        <w:ind w:left="360"/>
      </w:pPr>
      <w:r>
        <w:t>Burden Calculation Assumptions</w:t>
      </w:r>
    </w:p>
    <w:p w:rsidR="00644538" w:rsidP="005F3A9D" w14:paraId="161CD644" w14:textId="651257A7">
      <w:pPr>
        <w:pStyle w:val="BodyText"/>
        <w:ind w:left="720"/>
      </w:pPr>
      <w:r>
        <w:t>Table 2 provides t</w:t>
      </w:r>
      <w:r w:rsidR="00403135">
        <w:t xml:space="preserve">he total cumulative annual cost for all the collections of information described in this </w:t>
      </w:r>
      <w:r w:rsidR="00E56BB2">
        <w:t>S</w:t>
      </w:r>
      <w:r w:rsidR="00403135">
        <w:t xml:space="preserve">upporting </w:t>
      </w:r>
      <w:r w:rsidR="00E56BB2">
        <w:t>S</w:t>
      </w:r>
      <w:r w:rsidR="00403135">
        <w:t>tatement. Since the requirements to report metrics</w:t>
      </w:r>
      <w:r>
        <w:t xml:space="preserve"> have differing amounts of burden </w:t>
      </w:r>
      <w:r w:rsidR="00403135">
        <w:t xml:space="preserve">in the first </w:t>
      </w:r>
      <w:r w:rsidR="0002477D">
        <w:t xml:space="preserve">and </w:t>
      </w:r>
      <w:r w:rsidR="00403135">
        <w:t>subsequent years</w:t>
      </w:r>
      <w:r w:rsidR="0002477D">
        <w:t xml:space="preserve"> of implementation</w:t>
      </w:r>
      <w:r w:rsidR="00403135">
        <w:t>, we</w:t>
      </w:r>
      <w:r>
        <w:t xml:space="preserve"> used the following calculations to arrive at an annual average cost for these provisions:</w:t>
      </w:r>
    </w:p>
    <w:p w:rsidR="00644538" w:rsidP="007A036E" w14:paraId="4B781B96" w14:textId="35DC68EB">
      <w:pPr>
        <w:pStyle w:val="BodyText"/>
        <w:numPr>
          <w:ilvl w:val="0"/>
          <w:numId w:val="66"/>
        </w:numPr>
      </w:pPr>
      <w:r>
        <w:t xml:space="preserve">We </w:t>
      </w:r>
      <w:r w:rsidR="00403135">
        <w:t>calculate the annual cost using the average</w:t>
      </w:r>
      <w:r w:rsidR="0002477D">
        <w:t xml:space="preserve"> of the first</w:t>
      </w:r>
      <w:r w:rsidR="00E41F99">
        <w:t>, second,</w:t>
      </w:r>
      <w:r w:rsidR="0002477D">
        <w:t xml:space="preserve"> and </w:t>
      </w:r>
      <w:r w:rsidR="003038C6">
        <w:t xml:space="preserve">third </w:t>
      </w:r>
      <w:r w:rsidR="0002477D">
        <w:t>year estimated</w:t>
      </w:r>
      <w:r w:rsidR="00403135">
        <w:t xml:space="preserve"> </w:t>
      </w:r>
      <w:r>
        <w:t xml:space="preserve">time per respondent and distributed the time for all 341 respondents across </w:t>
      </w:r>
      <w:r>
        <w:t>3</w:t>
      </w:r>
      <w:r>
        <w:t xml:space="preserve"> years</w:t>
      </w:r>
      <w:r w:rsidR="0002477D">
        <w:t xml:space="preserve"> to arrive at the total annual burden hours.</w:t>
      </w:r>
    </w:p>
    <w:p w:rsidR="0002477D" w:rsidP="007A036E" w14:paraId="487B8EE5" w14:textId="694221FE">
      <w:pPr>
        <w:pStyle w:val="BodyText"/>
        <w:numPr>
          <w:ilvl w:val="0"/>
          <w:numId w:val="66"/>
        </w:numPr>
      </w:pPr>
      <w:r>
        <w:t xml:space="preserve">We multiplied the total annual burden hours by the </w:t>
      </w:r>
      <w:r w:rsidR="00403135">
        <w:t>average</w:t>
      </w:r>
      <w:r>
        <w:t xml:space="preserve"> of the first</w:t>
      </w:r>
      <w:r w:rsidR="00E41F99">
        <w:t>, second,</w:t>
      </w:r>
      <w:r>
        <w:t xml:space="preserve"> and </w:t>
      </w:r>
      <w:r w:rsidR="003038C6">
        <w:t xml:space="preserve">third </w:t>
      </w:r>
      <w:r>
        <w:t>year</w:t>
      </w:r>
      <w:r w:rsidR="00403135">
        <w:t xml:space="preserve"> hourly labor cost</w:t>
      </w:r>
      <w:r>
        <w:t xml:space="preserve"> to arrive at the total annual burden </w:t>
      </w:r>
      <w:r>
        <w:t xml:space="preserve">cost </w:t>
      </w:r>
      <w:r>
        <w:t>for each requirement</w:t>
      </w:r>
      <w:r>
        <w:t>.</w:t>
      </w:r>
    </w:p>
    <w:p w:rsidR="003F096B" w:rsidP="005F3A9D" w14:paraId="7FCDE952" w14:textId="1BDC5BF4">
      <w:pPr>
        <w:pStyle w:val="BodyText"/>
        <w:ind w:left="720"/>
      </w:pPr>
      <w:r>
        <w:t>For the</w:t>
      </w:r>
      <w:r w:rsidR="00F66863">
        <w:t xml:space="preserve"> provisions in</w:t>
      </w:r>
      <w:r>
        <w:t xml:space="preserve"> the 2024 </w:t>
      </w:r>
      <w:r w:rsidRPr="006F14EA">
        <w:t xml:space="preserve">CMS Interoperability and Prior Authorization </w:t>
      </w:r>
      <w:r>
        <w:t>f</w:t>
      </w:r>
      <w:r w:rsidRPr="006F14EA">
        <w:t xml:space="preserve">inal </w:t>
      </w:r>
      <w:r>
        <w:t>r</w:t>
      </w:r>
      <w:r w:rsidRPr="006F14EA">
        <w:t>ule</w:t>
      </w:r>
      <w:r>
        <w:t xml:space="preserve">, Table </w:t>
      </w:r>
      <w:r w:rsidR="00B910AC">
        <w:t>3</w:t>
      </w:r>
      <w:r>
        <w:t xml:space="preserve"> summarizes</w:t>
      </w:r>
      <w:r>
        <w:rPr>
          <w:spacing w:val="-3"/>
        </w:rPr>
        <w:t xml:space="preserve"> </w:t>
      </w:r>
      <w:r>
        <w:t>costs</w:t>
      </w:r>
      <w:r>
        <w:rPr>
          <w:spacing w:val="-2"/>
        </w:rPr>
        <w:t xml:space="preserve"> </w:t>
      </w:r>
      <w:r>
        <w:t>for</w:t>
      </w:r>
      <w:r>
        <w:rPr>
          <w:spacing w:val="-2"/>
        </w:rPr>
        <w:t xml:space="preserve"> </w:t>
      </w:r>
      <w:r>
        <w:t>the</w:t>
      </w:r>
      <w:r>
        <w:rPr>
          <w:spacing w:val="-3"/>
        </w:rPr>
        <w:t xml:space="preserve"> </w:t>
      </w:r>
      <w:r>
        <w:t>first</w:t>
      </w:r>
      <w:r w:rsidR="008113FB">
        <w:rPr>
          <w:spacing w:val="-2"/>
        </w:rPr>
        <w:t xml:space="preserve">, second, and third </w:t>
      </w:r>
      <w:r>
        <w:t>years</w:t>
      </w:r>
      <w:r>
        <w:rPr>
          <w:spacing w:val="-3"/>
        </w:rPr>
        <w:t xml:space="preserve"> </w:t>
      </w:r>
      <w:r>
        <w:t>of</w:t>
      </w:r>
      <w:r>
        <w:rPr>
          <w:spacing w:val="-2"/>
        </w:rPr>
        <w:t xml:space="preserve"> </w:t>
      </w:r>
      <w:r>
        <w:t>these</w:t>
      </w:r>
      <w:r>
        <w:rPr>
          <w:spacing w:val="-3"/>
        </w:rPr>
        <w:t xml:space="preserve"> </w:t>
      </w:r>
      <w:r>
        <w:t>provisions</w:t>
      </w:r>
      <w:r>
        <w:rPr>
          <w:spacing w:val="-3"/>
        </w:rPr>
        <w:t xml:space="preserve"> </w:t>
      </w:r>
      <w:r>
        <w:t>(reflects</w:t>
      </w:r>
      <w:r>
        <w:rPr>
          <w:spacing w:val="-3"/>
        </w:rPr>
        <w:t xml:space="preserve"> </w:t>
      </w:r>
      <w:r>
        <w:t>the</w:t>
      </w:r>
      <w:r>
        <w:rPr>
          <w:spacing w:val="-3"/>
        </w:rPr>
        <w:t xml:space="preserve"> </w:t>
      </w:r>
      <w:r>
        <w:t>primary estimate) and is based on the following assumptions:</w:t>
      </w:r>
    </w:p>
    <w:p w:rsidR="003F096B" w:rsidP="00670D80" w14:paraId="197CFE94" w14:textId="07F28213">
      <w:pPr>
        <w:pStyle w:val="ListParagraph"/>
        <w:numPr>
          <w:ilvl w:val="0"/>
          <w:numId w:val="65"/>
        </w:numPr>
      </w:pPr>
      <w:r>
        <w:t xml:space="preserve">The applicable date for </w:t>
      </w:r>
      <w:r w:rsidR="002F56B0">
        <w:t xml:space="preserve">impacted payers </w:t>
      </w:r>
      <w:r>
        <w:t>to implement the Provider Access, Payer-to-Payer, and Prior Authorization APIs is January 1, 2027. The applicable date</w:t>
      </w:r>
      <w:r w:rsidR="00733974">
        <w:t>s</w:t>
      </w:r>
      <w:r>
        <w:t xml:space="preserve"> for reporting Patient Access API </w:t>
      </w:r>
      <w:r w:rsidR="00901CEF">
        <w:t>usage</w:t>
      </w:r>
      <w:r>
        <w:t xml:space="preserve"> and prior authorization metrics</w:t>
      </w:r>
      <w:r w:rsidR="008113FB">
        <w:t xml:space="preserve"> for non-drug items and services</w:t>
      </w:r>
      <w:r>
        <w:rPr>
          <w:spacing w:val="-4"/>
        </w:rPr>
        <w:t xml:space="preserve"> </w:t>
      </w:r>
      <w:r w:rsidR="00733974">
        <w:t>are in</w:t>
      </w:r>
      <w:r w:rsidR="00733974">
        <w:rPr>
          <w:spacing w:val="-4"/>
        </w:rPr>
        <w:t xml:space="preserve"> </w:t>
      </w:r>
      <w:r>
        <w:t>2026.</w:t>
      </w:r>
      <w:r>
        <w:rPr>
          <w:spacing w:val="-3"/>
        </w:rPr>
        <w:t xml:space="preserve"> </w:t>
      </w:r>
      <w:r>
        <w:t>Accordingly,</w:t>
      </w:r>
      <w:r>
        <w:rPr>
          <w:spacing w:val="-3"/>
        </w:rPr>
        <w:t xml:space="preserve"> </w:t>
      </w:r>
      <w:r>
        <w:t>Table</w:t>
      </w:r>
      <w:r>
        <w:rPr>
          <w:spacing w:val="-4"/>
        </w:rPr>
        <w:t xml:space="preserve"> </w:t>
      </w:r>
      <w:r w:rsidR="00C93E9D">
        <w:t>3</w:t>
      </w:r>
      <w:r>
        <w:rPr>
          <w:spacing w:val="-3"/>
        </w:rPr>
        <w:t xml:space="preserve"> </w:t>
      </w:r>
      <w:r>
        <w:t>reflects</w:t>
      </w:r>
      <w:r>
        <w:rPr>
          <w:spacing w:val="-2"/>
        </w:rPr>
        <w:t xml:space="preserve"> </w:t>
      </w:r>
      <w:r>
        <w:t>costs</w:t>
      </w:r>
      <w:r>
        <w:rPr>
          <w:spacing w:val="-2"/>
        </w:rPr>
        <w:t xml:space="preserve"> </w:t>
      </w:r>
      <w:r>
        <w:t>beginning</w:t>
      </w:r>
      <w:r>
        <w:rPr>
          <w:spacing w:val="-3"/>
        </w:rPr>
        <w:t xml:space="preserve"> </w:t>
      </w:r>
      <w:r>
        <w:t>in</w:t>
      </w:r>
      <w:r>
        <w:rPr>
          <w:spacing w:val="-4"/>
        </w:rPr>
        <w:t xml:space="preserve"> </w:t>
      </w:r>
      <w:r>
        <w:t>2027</w:t>
      </w:r>
      <w:r>
        <w:rPr>
          <w:spacing w:val="-5"/>
        </w:rPr>
        <w:t xml:space="preserve"> </w:t>
      </w:r>
      <w:r>
        <w:t>for</w:t>
      </w:r>
      <w:r>
        <w:rPr>
          <w:spacing w:val="-3"/>
        </w:rPr>
        <w:t xml:space="preserve"> </w:t>
      </w:r>
      <w:r>
        <w:t>implementation</w:t>
      </w:r>
      <w:r>
        <w:rPr>
          <w:spacing w:val="-3"/>
        </w:rPr>
        <w:t xml:space="preserve"> </w:t>
      </w:r>
      <w:r>
        <w:t>of the</w:t>
      </w:r>
      <w:r>
        <w:rPr>
          <w:spacing w:val="-4"/>
        </w:rPr>
        <w:t xml:space="preserve"> </w:t>
      </w:r>
      <w:r>
        <w:t>APIs</w:t>
      </w:r>
      <w:r>
        <w:rPr>
          <w:spacing w:val="-3"/>
        </w:rPr>
        <w:t xml:space="preserve"> </w:t>
      </w:r>
      <w:r>
        <w:t>and</w:t>
      </w:r>
      <w:r>
        <w:rPr>
          <w:spacing w:val="-3"/>
        </w:rPr>
        <w:t xml:space="preserve"> </w:t>
      </w:r>
      <w:r>
        <w:t>2026</w:t>
      </w:r>
      <w:r>
        <w:rPr>
          <w:spacing w:val="-4"/>
        </w:rPr>
        <w:t xml:space="preserve"> </w:t>
      </w:r>
      <w:r>
        <w:t>for</w:t>
      </w:r>
      <w:r>
        <w:rPr>
          <w:spacing w:val="-3"/>
        </w:rPr>
        <w:t xml:space="preserve"> </w:t>
      </w:r>
      <w:r>
        <w:t>Patient</w:t>
      </w:r>
      <w:r>
        <w:rPr>
          <w:spacing w:val="-3"/>
        </w:rPr>
        <w:t xml:space="preserve"> </w:t>
      </w:r>
      <w:r>
        <w:t>Access</w:t>
      </w:r>
      <w:r>
        <w:rPr>
          <w:spacing w:val="-4"/>
        </w:rPr>
        <w:t xml:space="preserve"> </w:t>
      </w:r>
      <w:r>
        <w:t>API</w:t>
      </w:r>
      <w:r>
        <w:rPr>
          <w:spacing w:val="-3"/>
        </w:rPr>
        <w:t xml:space="preserve"> </w:t>
      </w:r>
      <w:r w:rsidR="00901CEF">
        <w:rPr>
          <w:spacing w:val="-3"/>
        </w:rPr>
        <w:t>usage</w:t>
      </w:r>
      <w:r w:rsidR="002F56B0">
        <w:rPr>
          <w:spacing w:val="-3"/>
        </w:rPr>
        <w:t xml:space="preserve"> </w:t>
      </w:r>
      <w:r>
        <w:t>and</w:t>
      </w:r>
      <w:r>
        <w:rPr>
          <w:spacing w:val="-3"/>
        </w:rPr>
        <w:t xml:space="preserve"> </w:t>
      </w:r>
      <w:r>
        <w:t>prior</w:t>
      </w:r>
      <w:r>
        <w:rPr>
          <w:spacing w:val="-3"/>
        </w:rPr>
        <w:t xml:space="preserve"> </w:t>
      </w:r>
      <w:r>
        <w:t>authorization</w:t>
      </w:r>
      <w:r>
        <w:rPr>
          <w:spacing w:val="-4"/>
        </w:rPr>
        <w:t xml:space="preserve"> </w:t>
      </w:r>
      <w:r>
        <w:t>metrics</w:t>
      </w:r>
      <w:r>
        <w:rPr>
          <w:spacing w:val="-4"/>
        </w:rPr>
        <w:t xml:space="preserve"> </w:t>
      </w:r>
      <w:r>
        <w:t>reporting</w:t>
      </w:r>
      <w:r w:rsidR="008113FB">
        <w:t xml:space="preserve"> for non-drug items and services</w:t>
      </w:r>
      <w:r>
        <w:t>.</w:t>
      </w:r>
    </w:p>
    <w:p w:rsidR="003F096B" w:rsidP="00670D80" w14:paraId="6B3F3D1E" w14:textId="08D36E13">
      <w:pPr>
        <w:pStyle w:val="ListParagraph"/>
        <w:numPr>
          <w:ilvl w:val="0"/>
          <w:numId w:val="65"/>
        </w:numPr>
      </w:pPr>
      <w:r w:rsidRPr="009F6C5C">
        <w:t xml:space="preserve">Labor costs are either BLS wages when a single staff member is involved or a weighted average representing a team effort, obtained by dividing the aggregate cost by the aggregate hours. </w:t>
      </w:r>
    </w:p>
    <w:p w:rsidR="00A453F0" w:rsidP="005F3A9D" w14:paraId="768BD04D" w14:textId="1865F413">
      <w:pPr>
        <w:pStyle w:val="BodyText"/>
        <w:ind w:left="720"/>
      </w:pPr>
      <w:r w:rsidRPr="009454F8">
        <w:t>For the</w:t>
      </w:r>
      <w:r w:rsidR="00503B8B">
        <w:t xml:space="preserve"> </w:t>
      </w:r>
      <w:r w:rsidR="00393FB1">
        <w:t>2026</w:t>
      </w:r>
      <w:r w:rsidR="00503B8B">
        <w:t xml:space="preserve"> </w:t>
      </w:r>
      <w:r w:rsidRPr="009454F8">
        <w:t xml:space="preserve">CMS Interoperability </w:t>
      </w:r>
      <w:r w:rsidR="00393FB1">
        <w:t xml:space="preserve">Standards </w:t>
      </w:r>
      <w:r w:rsidRPr="009454F8">
        <w:t xml:space="preserve">and Prior Authorization for Drugs proposed rule, Table </w:t>
      </w:r>
      <w:r w:rsidR="00B910AC">
        <w:t>4</w:t>
      </w:r>
      <w:r w:rsidRPr="009454F8">
        <w:t xml:space="preserve"> summarizes costs for the first and subsequent years of these proposals and is based on the following assumptions:</w:t>
      </w:r>
    </w:p>
    <w:p w:rsidR="00A453F0" w:rsidRPr="009F6C5C" w:rsidP="00A453F0" w14:paraId="6CC30305" w14:textId="3118CB79">
      <w:pPr>
        <w:pStyle w:val="NormalIndent"/>
        <w:numPr>
          <w:ilvl w:val="0"/>
          <w:numId w:val="40"/>
        </w:numPr>
        <w:rPr>
          <w:szCs w:val="22"/>
        </w:rPr>
      </w:pPr>
      <w:r>
        <w:t>P</w:t>
      </w:r>
      <w:r>
        <w:t>roposals</w:t>
      </w:r>
      <w:r w:rsidRPr="2F66E574">
        <w:t xml:space="preserve"> </w:t>
      </w:r>
      <w:r>
        <w:t>would</w:t>
      </w:r>
      <w:r w:rsidRPr="2F66E574">
        <w:t xml:space="preserve"> be effective </w:t>
      </w:r>
      <w:r>
        <w:t>beginning</w:t>
      </w:r>
      <w:r w:rsidR="009B4BA2">
        <w:t xml:space="preserve"> </w:t>
      </w:r>
      <w:r w:rsidR="0025491E">
        <w:t xml:space="preserve">60 days after </w:t>
      </w:r>
      <w:r w:rsidR="00DD6499">
        <w:t xml:space="preserve">the effective date of the </w:t>
      </w:r>
      <w:r w:rsidRPr="00701368" w:rsidR="00701368">
        <w:t xml:space="preserve">2026 CMS Interoperability Standards and Prior Authorization for Drugs </w:t>
      </w:r>
      <w:r w:rsidR="00DD6499">
        <w:t>final rule</w:t>
      </w:r>
      <w:r w:rsidR="009B4BA2">
        <w:t xml:space="preserve"> (</w:t>
      </w:r>
      <w:r w:rsidR="005A4773">
        <w:t xml:space="preserve">proposal to report </w:t>
      </w:r>
      <w:r w:rsidR="009B4BA2">
        <w:t>API endpoints and API documentation)</w:t>
      </w:r>
      <w:r w:rsidR="00DD6499">
        <w:t xml:space="preserve"> and</w:t>
      </w:r>
      <w:r w:rsidR="009B4BA2">
        <w:t xml:space="preserve"> 202</w:t>
      </w:r>
      <w:r w:rsidR="00DD6499">
        <w:t>8</w:t>
      </w:r>
      <w:r w:rsidR="009B4BA2">
        <w:t xml:space="preserve"> (</w:t>
      </w:r>
      <w:r w:rsidR="005A4773">
        <w:t xml:space="preserve">proposal to publicly report </w:t>
      </w:r>
      <w:r w:rsidR="009B4BA2">
        <w:t>prior authorization metrics for drugs and</w:t>
      </w:r>
      <w:r>
        <w:t xml:space="preserve"> </w:t>
      </w:r>
      <w:r w:rsidR="005A4773">
        <w:t xml:space="preserve">proposal to report </w:t>
      </w:r>
      <w:r w:rsidR="009B4BA2">
        <w:t>Provider Access, Payer-to-Payer, and Prior Authorization API usage metrics</w:t>
      </w:r>
      <w:r w:rsidR="005A4773">
        <w:t xml:space="preserve"> to CMS</w:t>
      </w:r>
      <w:r w:rsidR="009B4BA2">
        <w:t>)</w:t>
      </w:r>
      <w:r>
        <w:t xml:space="preserve">. However, we assume impacted payers would conduct certain activities before the compliance date to make appropriate operational, procedural, or system changes. </w:t>
      </w:r>
    </w:p>
    <w:p w:rsidR="00FA244C" w:rsidRPr="00875CD0" w:rsidP="005F3A9D" w14:paraId="6FF2F7F6" w14:textId="01C11744">
      <w:pPr>
        <w:pStyle w:val="NormalIndent"/>
        <w:numPr>
          <w:ilvl w:val="0"/>
          <w:numId w:val="40"/>
        </w:numPr>
        <w:ind w:left="1170"/>
        <w:rPr>
          <w:b/>
          <w:bCs/>
        </w:rPr>
      </w:pPr>
      <w:r w:rsidRPr="00875CD0">
        <w:rPr>
          <w:rFonts w:eastAsia="Calibri"/>
        </w:rPr>
        <w:t xml:space="preserve">We are basing our calculations on a 1-year estimate to accommodate all </w:t>
      </w:r>
      <w:r w:rsidRPr="00875CD0">
        <w:rPr>
          <w:rFonts w:eastAsia="Calibri"/>
        </w:rPr>
        <w:t>system</w:t>
      </w:r>
      <w:r w:rsidRPr="00875CD0">
        <w:rPr>
          <w:rFonts w:eastAsia="Calibri"/>
        </w:rPr>
        <w:t xml:space="preserve">, </w:t>
      </w:r>
      <w:r w:rsidRPr="00875CD0">
        <w:rPr>
          <w:rFonts w:eastAsia="Calibri"/>
        </w:rPr>
        <w:t>process</w:t>
      </w:r>
      <w:r w:rsidRPr="00875CD0">
        <w:rPr>
          <w:rFonts w:eastAsia="Calibri"/>
        </w:rPr>
        <w:t xml:space="preserve">, and reporting activities. The 1 year reflects the </w:t>
      </w:r>
      <w:r w:rsidRPr="00875CD0">
        <w:rPr>
          <w:rFonts w:eastAsia="Calibri"/>
        </w:rPr>
        <w:t>time period</w:t>
      </w:r>
      <w:r w:rsidRPr="00875CD0">
        <w:rPr>
          <w:rFonts w:eastAsia="Calibri"/>
        </w:rPr>
        <w:t xml:space="preserve"> from the expected publication of a proposed rule </w:t>
      </w:r>
      <w:r w:rsidR="002603E5">
        <w:rPr>
          <w:rFonts w:eastAsia="Calibri"/>
        </w:rPr>
        <w:t xml:space="preserve">on April 14, 2026, </w:t>
      </w:r>
      <w:r w:rsidRPr="00875CD0">
        <w:rPr>
          <w:rFonts w:eastAsia="Calibri"/>
        </w:rPr>
        <w:t>until the compliance date</w:t>
      </w:r>
      <w:r w:rsidRPr="00875CD0" w:rsidR="009B4BA2">
        <w:rPr>
          <w:rFonts w:eastAsia="Calibri"/>
        </w:rPr>
        <w:t>s</w:t>
      </w:r>
      <w:r w:rsidRPr="00875CD0">
        <w:rPr>
          <w:rFonts w:eastAsia="Calibri"/>
        </w:rPr>
        <w:t xml:space="preserve"> </w:t>
      </w:r>
      <w:r w:rsidR="002301A0">
        <w:rPr>
          <w:rFonts w:eastAsia="Calibri"/>
        </w:rPr>
        <w:t xml:space="preserve">of </w:t>
      </w:r>
      <w:r w:rsidR="008969D9">
        <w:rPr>
          <w:rFonts w:eastAsia="Calibri"/>
        </w:rPr>
        <w:t>60 days a</w:t>
      </w:r>
      <w:r w:rsidR="000F0099">
        <w:rPr>
          <w:rFonts w:eastAsia="Calibri"/>
        </w:rPr>
        <w:t xml:space="preserve">fter the effective date of the CMS Interoperability </w:t>
      </w:r>
      <w:r w:rsidR="008C76E7">
        <w:rPr>
          <w:rFonts w:eastAsia="Calibri"/>
        </w:rPr>
        <w:t>Standards</w:t>
      </w:r>
      <w:r w:rsidR="000F0099">
        <w:rPr>
          <w:rFonts w:eastAsia="Calibri"/>
        </w:rPr>
        <w:t xml:space="preserve"> and Prior Authorization for Drugs final rule</w:t>
      </w:r>
      <w:r w:rsidRPr="00875CD0" w:rsidR="008969D9">
        <w:rPr>
          <w:rFonts w:eastAsia="Calibri"/>
        </w:rPr>
        <w:t xml:space="preserve"> </w:t>
      </w:r>
      <w:r w:rsidR="008C76E7">
        <w:rPr>
          <w:rFonts w:eastAsia="Calibri"/>
        </w:rPr>
        <w:t>and in</w:t>
      </w:r>
      <w:r w:rsidR="002301A0">
        <w:rPr>
          <w:rFonts w:eastAsia="Calibri"/>
        </w:rPr>
        <w:t xml:space="preserve"> </w:t>
      </w:r>
      <w:r w:rsidRPr="00875CD0">
        <w:rPr>
          <w:rFonts w:eastAsia="Calibri"/>
        </w:rPr>
        <w:t>2028</w:t>
      </w:r>
      <w:r w:rsidR="00875CD0">
        <w:rPr>
          <w:rFonts w:eastAsia="Calibri"/>
        </w:rPr>
        <w:t>.</w:t>
      </w:r>
    </w:p>
    <w:p w:rsidR="00875CD0" w:rsidP="002301A0" w14:paraId="6F5E7568" w14:textId="77777777">
      <w:pPr>
        <w:pStyle w:val="NormalIndent"/>
        <w:spacing w:before="0" w:line="184" w:lineRule="exact"/>
        <w:ind w:left="0"/>
        <w:rPr>
          <w:b/>
          <w:bCs/>
        </w:rPr>
        <w:sectPr w:rsidSect="00E36772">
          <w:headerReference w:type="default" r:id="rId12"/>
          <w:footerReference w:type="default" r:id="rId13"/>
          <w:endnotePr>
            <w:numFmt w:val="decimal"/>
          </w:endnotePr>
          <w:pgSz w:w="12240" w:h="15840"/>
          <w:pgMar w:top="1440" w:right="1440" w:bottom="1440" w:left="1440" w:header="720" w:footer="720" w:gutter="0"/>
          <w:cols w:space="720"/>
          <w:noEndnote/>
          <w:docGrid w:linePitch="272"/>
        </w:sectPr>
      </w:pPr>
    </w:p>
    <w:p w:rsidR="00875CD0" w:rsidP="00875CD0" w14:paraId="6328736B" w14:textId="77777777"/>
    <w:p w:rsidR="00875CD0" w:rsidP="00875CD0" w14:paraId="03C594EE" w14:textId="182B31FA">
      <w:pPr>
        <w:jc w:val="center"/>
        <w:rPr>
          <w:b/>
          <w:bCs/>
        </w:rPr>
      </w:pPr>
      <w:r>
        <w:rPr>
          <w:b/>
          <w:bCs/>
        </w:rPr>
        <w:t xml:space="preserve">TABLE 2: </w:t>
      </w:r>
      <w:r w:rsidR="00B06319">
        <w:rPr>
          <w:b/>
          <w:bCs/>
        </w:rPr>
        <w:t>AVERAGE</w:t>
      </w:r>
      <w:r w:rsidR="008A75B4">
        <w:rPr>
          <w:b/>
          <w:bCs/>
        </w:rPr>
        <w:t xml:space="preserve"> </w:t>
      </w:r>
      <w:r>
        <w:rPr>
          <w:b/>
          <w:bCs/>
        </w:rPr>
        <w:t>ANNUAL COST FOR ALL COLLECTIONS OF INFORMATION</w:t>
      </w:r>
    </w:p>
    <w:tbl>
      <w:tblPr>
        <w:tblStyle w:val="TableGrid"/>
        <w:tblW w:w="13320" w:type="dxa"/>
        <w:tblInd w:w="-185" w:type="dxa"/>
        <w:tblLook w:val="04A0"/>
      </w:tblPr>
      <w:tblGrid>
        <w:gridCol w:w="4320"/>
        <w:gridCol w:w="1530"/>
        <w:gridCol w:w="1350"/>
        <w:gridCol w:w="1620"/>
        <w:gridCol w:w="1620"/>
        <w:gridCol w:w="1440"/>
        <w:gridCol w:w="1440"/>
      </w:tblGrid>
      <w:tr w14:paraId="584FBFB9" w14:textId="77777777" w:rsidTr="0019207F">
        <w:tblPrEx>
          <w:tblW w:w="13320" w:type="dxa"/>
          <w:tblInd w:w="-185" w:type="dxa"/>
          <w:tblLook w:val="04A0"/>
        </w:tblPrEx>
        <w:trPr>
          <w:trHeight w:val="575"/>
        </w:trPr>
        <w:tc>
          <w:tcPr>
            <w:tcW w:w="4320" w:type="dxa"/>
            <w:shd w:val="clear" w:color="auto" w:fill="D9D9D9" w:themeFill="background1" w:themeFillShade="D9"/>
            <w:vAlign w:val="center"/>
          </w:tcPr>
          <w:p w:rsidR="00CD7CF3" w:rsidRPr="007E6A1B" w:rsidP="0019207F" w14:paraId="59216459" w14:textId="77777777">
            <w:pPr>
              <w:spacing w:before="60" w:after="60" w:line="184" w:lineRule="exact"/>
              <w:jc w:val="center"/>
              <w:rPr>
                <w:rFonts w:ascii="Times New Roman" w:hAnsi="Times New Roman" w:cs="Times New Roman"/>
                <w:b/>
                <w:bCs/>
                <w:sz w:val="16"/>
                <w:szCs w:val="16"/>
              </w:rPr>
            </w:pPr>
            <w:r w:rsidRPr="007E6A1B">
              <w:rPr>
                <w:rFonts w:ascii="Times New Roman" w:hAnsi="Times New Roman" w:cs="Times New Roman"/>
                <w:b/>
                <w:bCs/>
                <w:sz w:val="16"/>
                <w:szCs w:val="16"/>
              </w:rPr>
              <w:t>Item</w:t>
            </w:r>
          </w:p>
        </w:tc>
        <w:tc>
          <w:tcPr>
            <w:tcW w:w="1530" w:type="dxa"/>
            <w:shd w:val="clear" w:color="auto" w:fill="D9D9D9" w:themeFill="background1" w:themeFillShade="D9"/>
            <w:vAlign w:val="center"/>
          </w:tcPr>
          <w:p w:rsidR="00CD7CF3" w:rsidRPr="007E6A1B" w:rsidP="0019207F" w14:paraId="71138032" w14:textId="77777777">
            <w:pPr>
              <w:spacing w:before="60" w:after="60" w:line="184" w:lineRule="exact"/>
              <w:jc w:val="center"/>
              <w:rPr>
                <w:rFonts w:ascii="Times New Roman" w:hAnsi="Times New Roman" w:cs="Times New Roman"/>
                <w:b/>
                <w:bCs/>
                <w:sz w:val="16"/>
                <w:szCs w:val="16"/>
              </w:rPr>
            </w:pPr>
            <w:r w:rsidRPr="007E6A1B">
              <w:rPr>
                <w:rFonts w:ascii="Times New Roman" w:hAnsi="Times New Roman" w:cs="Times New Roman"/>
                <w:b/>
                <w:bCs/>
                <w:sz w:val="16"/>
                <w:szCs w:val="16"/>
              </w:rPr>
              <w:t>Regulatory Citations</w:t>
            </w:r>
          </w:p>
        </w:tc>
        <w:tc>
          <w:tcPr>
            <w:tcW w:w="1350" w:type="dxa"/>
            <w:shd w:val="clear" w:color="auto" w:fill="D9D9D9" w:themeFill="background1" w:themeFillShade="D9"/>
            <w:vAlign w:val="center"/>
          </w:tcPr>
          <w:p w:rsidR="00CD7CF3" w:rsidRPr="007E6A1B" w:rsidP="0019207F" w14:paraId="142A0483" w14:textId="77777777">
            <w:pPr>
              <w:spacing w:before="60" w:after="60" w:line="184" w:lineRule="exact"/>
              <w:jc w:val="center"/>
              <w:rPr>
                <w:rFonts w:ascii="Times New Roman" w:hAnsi="Times New Roman" w:cs="Times New Roman"/>
                <w:b/>
                <w:bCs/>
                <w:sz w:val="16"/>
                <w:szCs w:val="16"/>
              </w:rPr>
            </w:pPr>
            <w:r w:rsidRPr="007E6A1B">
              <w:rPr>
                <w:rFonts w:ascii="Times New Roman" w:hAnsi="Times New Roman" w:cs="Times New Roman"/>
                <w:b/>
                <w:bCs/>
                <w:sz w:val="16"/>
                <w:szCs w:val="16"/>
              </w:rPr>
              <w:t>Number of Respondents</w:t>
            </w:r>
          </w:p>
        </w:tc>
        <w:tc>
          <w:tcPr>
            <w:tcW w:w="1620" w:type="dxa"/>
            <w:shd w:val="clear" w:color="auto" w:fill="D9D9D9" w:themeFill="background1" w:themeFillShade="D9"/>
            <w:vAlign w:val="center"/>
          </w:tcPr>
          <w:p w:rsidR="00CD7CF3" w:rsidRPr="007E6A1B" w:rsidP="0019207F" w14:paraId="2AFBE34B" w14:textId="77777777">
            <w:pPr>
              <w:spacing w:before="60" w:after="60" w:line="184" w:lineRule="exact"/>
              <w:jc w:val="center"/>
              <w:rPr>
                <w:rFonts w:ascii="Times New Roman" w:hAnsi="Times New Roman" w:cs="Times New Roman"/>
                <w:b/>
                <w:bCs/>
                <w:sz w:val="16"/>
                <w:szCs w:val="16"/>
              </w:rPr>
            </w:pPr>
            <w:r w:rsidRPr="007E6A1B">
              <w:rPr>
                <w:rFonts w:ascii="Times New Roman" w:hAnsi="Times New Roman" w:cs="Times New Roman"/>
                <w:b/>
                <w:bCs/>
                <w:sz w:val="16"/>
                <w:szCs w:val="16"/>
              </w:rPr>
              <w:t>Average Time per Respondent</w:t>
            </w:r>
            <w:r w:rsidRPr="007E6A1B">
              <w:rPr>
                <w:rFonts w:ascii="Times New Roman" w:hAnsi="Times New Roman" w:cs="Times New Roman"/>
                <w:b/>
                <w:bCs/>
                <w:sz w:val="16"/>
                <w:szCs w:val="16"/>
              </w:rPr>
              <w:br/>
              <w:t xml:space="preserve"> (Hour)</w:t>
            </w:r>
          </w:p>
        </w:tc>
        <w:tc>
          <w:tcPr>
            <w:tcW w:w="1620" w:type="dxa"/>
            <w:shd w:val="clear" w:color="auto" w:fill="D9D9D9" w:themeFill="background1" w:themeFillShade="D9"/>
            <w:vAlign w:val="center"/>
          </w:tcPr>
          <w:p w:rsidR="00CD7CF3" w:rsidRPr="007E6A1B" w:rsidP="0019207F" w14:paraId="1C4B7596" w14:textId="0D44B4F6">
            <w:pPr>
              <w:spacing w:before="60" w:after="60" w:line="184" w:lineRule="exact"/>
              <w:jc w:val="center"/>
              <w:rPr>
                <w:rFonts w:ascii="Times New Roman" w:hAnsi="Times New Roman" w:cs="Times New Roman"/>
                <w:b/>
                <w:bCs/>
                <w:sz w:val="16"/>
                <w:szCs w:val="16"/>
              </w:rPr>
            </w:pPr>
            <w:r w:rsidRPr="007E6A1B">
              <w:rPr>
                <w:rFonts w:ascii="Times New Roman" w:hAnsi="Times New Roman" w:cs="Times New Roman"/>
                <w:b/>
                <w:bCs/>
                <w:sz w:val="16"/>
                <w:szCs w:val="16"/>
              </w:rPr>
              <w:t>Total Annual Hours</w:t>
            </w:r>
          </w:p>
        </w:tc>
        <w:tc>
          <w:tcPr>
            <w:tcW w:w="1440" w:type="dxa"/>
            <w:shd w:val="clear" w:color="auto" w:fill="D9D9D9" w:themeFill="background1" w:themeFillShade="D9"/>
            <w:vAlign w:val="center"/>
          </w:tcPr>
          <w:p w:rsidR="00CD7CF3" w:rsidRPr="007E6A1B" w:rsidP="0019207F" w14:paraId="15EABDF5" w14:textId="04BFA68D">
            <w:pPr>
              <w:spacing w:before="60" w:after="60" w:line="184" w:lineRule="exact"/>
              <w:jc w:val="center"/>
              <w:rPr>
                <w:rFonts w:ascii="Times New Roman" w:hAnsi="Times New Roman" w:cs="Times New Roman"/>
                <w:b/>
                <w:bCs/>
                <w:sz w:val="16"/>
                <w:szCs w:val="16"/>
              </w:rPr>
            </w:pPr>
            <w:r>
              <w:rPr>
                <w:rFonts w:ascii="Times New Roman" w:hAnsi="Times New Roman" w:cs="Times New Roman"/>
                <w:b/>
                <w:bCs/>
                <w:sz w:val="16"/>
                <w:szCs w:val="16"/>
              </w:rPr>
              <w:t xml:space="preserve">Average </w:t>
            </w:r>
            <w:r w:rsidRPr="007E6A1B">
              <w:rPr>
                <w:rFonts w:ascii="Times New Roman" w:hAnsi="Times New Roman" w:cs="Times New Roman"/>
                <w:b/>
                <w:bCs/>
                <w:sz w:val="16"/>
                <w:szCs w:val="16"/>
              </w:rPr>
              <w:t>Labor Cost</w:t>
            </w:r>
            <w:r w:rsidRPr="007E6A1B">
              <w:rPr>
                <w:rFonts w:ascii="Times New Roman" w:hAnsi="Times New Roman" w:cs="Times New Roman"/>
                <w:b/>
                <w:bCs/>
                <w:sz w:val="16"/>
                <w:szCs w:val="16"/>
              </w:rPr>
              <w:br/>
              <w:t xml:space="preserve"> ($/Hour)</w:t>
            </w:r>
          </w:p>
        </w:tc>
        <w:tc>
          <w:tcPr>
            <w:tcW w:w="1440" w:type="dxa"/>
            <w:shd w:val="clear" w:color="auto" w:fill="D9D9D9" w:themeFill="background1" w:themeFillShade="D9"/>
            <w:vAlign w:val="center"/>
          </w:tcPr>
          <w:p w:rsidR="00CD7CF3" w:rsidRPr="007E6A1B" w:rsidP="0019207F" w14:paraId="698617E6" w14:textId="4CE45EF5">
            <w:pPr>
              <w:spacing w:before="60" w:after="60" w:line="184" w:lineRule="exact"/>
              <w:jc w:val="center"/>
              <w:rPr>
                <w:rFonts w:ascii="Times New Roman" w:hAnsi="Times New Roman" w:cs="Times New Roman"/>
                <w:b/>
                <w:bCs/>
                <w:sz w:val="16"/>
                <w:szCs w:val="16"/>
              </w:rPr>
            </w:pPr>
            <w:r>
              <w:rPr>
                <w:rFonts w:ascii="Times New Roman" w:hAnsi="Times New Roman" w:cs="Times New Roman"/>
                <w:b/>
                <w:bCs/>
                <w:sz w:val="16"/>
                <w:szCs w:val="16"/>
              </w:rPr>
              <w:t xml:space="preserve">Average </w:t>
            </w:r>
            <w:r w:rsidRPr="007E6A1B">
              <w:rPr>
                <w:rFonts w:ascii="Times New Roman" w:hAnsi="Times New Roman" w:cs="Times New Roman"/>
                <w:b/>
                <w:bCs/>
                <w:sz w:val="16"/>
                <w:szCs w:val="16"/>
              </w:rPr>
              <w:t xml:space="preserve">Annual Cost </w:t>
            </w:r>
            <w:r w:rsidRPr="007E6A1B">
              <w:rPr>
                <w:rFonts w:ascii="Times New Roman" w:hAnsi="Times New Roman" w:cs="Times New Roman"/>
                <w:b/>
                <w:bCs/>
                <w:sz w:val="16"/>
                <w:szCs w:val="16"/>
              </w:rPr>
              <w:br/>
              <w:t>(Millions $)</w:t>
            </w:r>
          </w:p>
        </w:tc>
      </w:tr>
      <w:tr w14:paraId="6CA44FFC" w14:textId="77777777" w:rsidTr="0019207F">
        <w:tblPrEx>
          <w:tblW w:w="13320" w:type="dxa"/>
          <w:tblInd w:w="-185" w:type="dxa"/>
          <w:tblLook w:val="04A0"/>
        </w:tblPrEx>
        <w:tc>
          <w:tcPr>
            <w:tcW w:w="4320" w:type="dxa"/>
            <w:vAlign w:val="center"/>
          </w:tcPr>
          <w:p w:rsidR="00CD7CF3" w:rsidRPr="007E6A1B" w:rsidP="0019207F" w14:paraId="067B0F00" w14:textId="1C38B498">
            <w:pPr>
              <w:spacing w:before="0" w:after="0" w:line="184" w:lineRule="exact"/>
              <w:rPr>
                <w:rFonts w:ascii="Times New Roman" w:hAnsi="Times New Roman" w:cs="Times New Roman"/>
                <w:b/>
                <w:bCs/>
                <w:sz w:val="16"/>
                <w:szCs w:val="16"/>
              </w:rPr>
            </w:pPr>
            <w:r w:rsidRPr="007E6A1B">
              <w:rPr>
                <w:rFonts w:ascii="Times New Roman" w:hAnsi="Times New Roman" w:cs="Times New Roman"/>
                <w:sz w:val="17"/>
                <w:szCs w:val="17"/>
              </w:rPr>
              <w:t xml:space="preserve">Average Burden </w:t>
            </w:r>
            <w:r w:rsidR="001066E2">
              <w:rPr>
                <w:rFonts w:ascii="Times New Roman" w:hAnsi="Times New Roman" w:cs="Times New Roman"/>
                <w:sz w:val="17"/>
                <w:szCs w:val="17"/>
              </w:rPr>
              <w:t xml:space="preserve">of </w:t>
            </w:r>
            <w:r w:rsidR="00D04109">
              <w:rPr>
                <w:rFonts w:ascii="Times New Roman" w:hAnsi="Times New Roman" w:cs="Times New Roman"/>
                <w:sz w:val="17"/>
                <w:szCs w:val="17"/>
              </w:rPr>
              <w:t>Reporting</w:t>
            </w:r>
            <w:r w:rsidRPr="007E6A1B" w:rsidR="001066E2">
              <w:rPr>
                <w:rFonts w:ascii="Times New Roman" w:hAnsi="Times New Roman" w:cs="Times New Roman"/>
                <w:sz w:val="17"/>
                <w:szCs w:val="17"/>
              </w:rPr>
              <w:t xml:space="preserve"> </w:t>
            </w:r>
            <w:r w:rsidRPr="007E6A1B">
              <w:rPr>
                <w:rFonts w:ascii="Times New Roman" w:hAnsi="Times New Roman" w:cs="Times New Roman"/>
                <w:sz w:val="17"/>
                <w:szCs w:val="17"/>
              </w:rPr>
              <w:t xml:space="preserve">Patient Access API Metrics </w:t>
            </w:r>
            <w:r w:rsidR="007975FA">
              <w:rPr>
                <w:rFonts w:ascii="Times New Roman" w:hAnsi="Times New Roman" w:cs="Times New Roman"/>
                <w:sz w:val="17"/>
                <w:szCs w:val="17"/>
              </w:rPr>
              <w:t>to CMS</w:t>
            </w:r>
          </w:p>
        </w:tc>
        <w:tc>
          <w:tcPr>
            <w:tcW w:w="1530" w:type="dxa"/>
            <w:vAlign w:val="center"/>
          </w:tcPr>
          <w:p w:rsidR="00CD7CF3" w:rsidRPr="007E6A1B" w:rsidP="0019207F" w14:paraId="39FB30F7"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(1)</w:t>
            </w:r>
          </w:p>
        </w:tc>
        <w:tc>
          <w:tcPr>
            <w:tcW w:w="1350" w:type="dxa"/>
            <w:vAlign w:val="center"/>
          </w:tcPr>
          <w:p w:rsidR="00CD7CF3" w:rsidRPr="007E6A1B" w:rsidP="0019207F" w14:paraId="749255E2"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341</w:t>
            </w:r>
          </w:p>
        </w:tc>
        <w:tc>
          <w:tcPr>
            <w:tcW w:w="1620" w:type="dxa"/>
            <w:vAlign w:val="center"/>
          </w:tcPr>
          <w:p w:rsidR="00CD7CF3" w:rsidRPr="007E6A1B" w:rsidP="0019207F" w14:paraId="2CF5BD5B" w14:textId="59C3BA5E">
            <w:pPr>
              <w:spacing w:before="0" w:after="0" w:line="184" w:lineRule="exact"/>
              <w:jc w:val="right"/>
              <w:rPr>
                <w:rFonts w:ascii="Times New Roman" w:hAnsi="Times New Roman" w:cs="Times New Roman"/>
                <w:b/>
                <w:bCs/>
                <w:sz w:val="16"/>
                <w:szCs w:val="16"/>
              </w:rPr>
            </w:pPr>
            <w:r>
              <w:rPr>
                <w:rFonts w:ascii="Times New Roman" w:hAnsi="Times New Roman" w:cs="Times New Roman"/>
                <w:sz w:val="17"/>
                <w:szCs w:val="17"/>
              </w:rPr>
              <w:t>80</w:t>
            </w:r>
          </w:p>
        </w:tc>
        <w:tc>
          <w:tcPr>
            <w:tcW w:w="1620" w:type="dxa"/>
            <w:vAlign w:val="center"/>
          </w:tcPr>
          <w:p w:rsidR="00CD7CF3" w:rsidRPr="007E6A1B" w:rsidP="0019207F" w14:paraId="6A6E2871" w14:textId="44D19013">
            <w:pPr>
              <w:spacing w:before="0" w:after="0" w:line="184" w:lineRule="exact"/>
              <w:jc w:val="right"/>
              <w:rPr>
                <w:rFonts w:ascii="Times New Roman" w:hAnsi="Times New Roman" w:cs="Times New Roman"/>
                <w:b/>
                <w:bCs/>
                <w:sz w:val="16"/>
                <w:szCs w:val="16"/>
              </w:rPr>
            </w:pPr>
            <w:r>
              <w:rPr>
                <w:rFonts w:ascii="Times New Roman" w:hAnsi="Times New Roman" w:cs="Times New Roman"/>
                <w:spacing w:val="-2"/>
                <w:sz w:val="17"/>
                <w:szCs w:val="17"/>
              </w:rPr>
              <w:t>27,280</w:t>
            </w:r>
          </w:p>
        </w:tc>
        <w:tc>
          <w:tcPr>
            <w:tcW w:w="1440" w:type="dxa"/>
            <w:vAlign w:val="center"/>
          </w:tcPr>
          <w:p w:rsidR="00CD7CF3" w:rsidRPr="007E6A1B" w:rsidP="0019207F" w14:paraId="1F1275D5" w14:textId="36910045">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w:t>
            </w:r>
            <w:r w:rsidR="00BD72E0">
              <w:rPr>
                <w:rFonts w:ascii="Times New Roman" w:hAnsi="Times New Roman" w:cs="Times New Roman"/>
                <w:sz w:val="17"/>
                <w:szCs w:val="17"/>
              </w:rPr>
              <w:t>87.80</w:t>
            </w:r>
          </w:p>
        </w:tc>
        <w:tc>
          <w:tcPr>
            <w:tcW w:w="1440" w:type="dxa"/>
            <w:vAlign w:val="center"/>
          </w:tcPr>
          <w:p w:rsidR="00CD7CF3" w:rsidRPr="007E6A1B" w:rsidP="0019207F" w14:paraId="223F2CBF" w14:textId="650D437E">
            <w:pPr>
              <w:spacing w:before="0" w:after="0" w:line="184" w:lineRule="exact"/>
              <w:jc w:val="right"/>
              <w:rPr>
                <w:rFonts w:ascii="Times New Roman" w:hAnsi="Times New Roman" w:cs="Times New Roman"/>
                <w:b/>
                <w:bCs/>
                <w:sz w:val="16"/>
                <w:szCs w:val="16"/>
              </w:rPr>
            </w:pPr>
            <w:r>
              <w:rPr>
                <w:rFonts w:ascii="Times New Roman" w:hAnsi="Times New Roman" w:cs="Times New Roman"/>
                <w:sz w:val="17"/>
                <w:szCs w:val="17"/>
              </w:rPr>
              <w:t>$2.</w:t>
            </w:r>
            <w:r w:rsidR="007516FD">
              <w:rPr>
                <w:rFonts w:ascii="Times New Roman" w:hAnsi="Times New Roman" w:cs="Times New Roman"/>
                <w:sz w:val="17"/>
                <w:szCs w:val="17"/>
              </w:rPr>
              <w:t>66</w:t>
            </w:r>
          </w:p>
        </w:tc>
      </w:tr>
      <w:tr w14:paraId="42AC6672" w14:textId="77777777" w:rsidTr="0019207F">
        <w:tblPrEx>
          <w:tblW w:w="13320" w:type="dxa"/>
          <w:tblInd w:w="-185" w:type="dxa"/>
          <w:tblLook w:val="04A0"/>
        </w:tblPrEx>
        <w:tc>
          <w:tcPr>
            <w:tcW w:w="4320" w:type="dxa"/>
            <w:vAlign w:val="center"/>
          </w:tcPr>
          <w:p w:rsidR="00CD7CF3" w:rsidRPr="007E6A1B" w:rsidP="0019207F" w14:paraId="769D6404" w14:textId="3073DFE7">
            <w:pPr>
              <w:spacing w:before="0" w:after="0" w:line="184" w:lineRule="exact"/>
              <w:rPr>
                <w:rFonts w:ascii="Times New Roman" w:hAnsi="Times New Roman" w:cs="Times New Roman"/>
                <w:b/>
                <w:bCs/>
                <w:sz w:val="16"/>
                <w:szCs w:val="16"/>
              </w:rPr>
            </w:pPr>
            <w:r w:rsidRPr="007E6A1B">
              <w:rPr>
                <w:rFonts w:ascii="Times New Roman" w:hAnsi="Times New Roman" w:cs="Times New Roman"/>
                <w:sz w:val="17"/>
                <w:szCs w:val="17"/>
              </w:rPr>
              <w:t xml:space="preserve">Average Burden for Public Reporting of Prior Authorization Metrics </w:t>
            </w:r>
            <w:r w:rsidR="00B226EE">
              <w:rPr>
                <w:rFonts w:ascii="Times New Roman" w:hAnsi="Times New Roman" w:cs="Times New Roman"/>
                <w:sz w:val="17"/>
                <w:szCs w:val="17"/>
              </w:rPr>
              <w:t>for Non-Drug Items and Services</w:t>
            </w:r>
          </w:p>
        </w:tc>
        <w:tc>
          <w:tcPr>
            <w:tcW w:w="1530" w:type="dxa"/>
            <w:vAlign w:val="center"/>
          </w:tcPr>
          <w:p w:rsidR="00CD7CF3" w:rsidRPr="007E6A1B" w:rsidP="0019207F" w14:paraId="0F12D5D5"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(2)</w:t>
            </w:r>
          </w:p>
        </w:tc>
        <w:tc>
          <w:tcPr>
            <w:tcW w:w="1350" w:type="dxa"/>
            <w:vAlign w:val="center"/>
          </w:tcPr>
          <w:p w:rsidR="00CD7CF3" w:rsidRPr="007E6A1B" w:rsidP="0019207F" w14:paraId="60A200E7"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341</w:t>
            </w:r>
          </w:p>
        </w:tc>
        <w:tc>
          <w:tcPr>
            <w:tcW w:w="1620" w:type="dxa"/>
            <w:vAlign w:val="center"/>
          </w:tcPr>
          <w:p w:rsidR="00CD7CF3" w:rsidRPr="007E6A1B" w:rsidP="0019207F" w14:paraId="4209846C" w14:textId="476453A9">
            <w:pPr>
              <w:spacing w:before="0" w:after="0" w:line="184" w:lineRule="exact"/>
              <w:jc w:val="right"/>
              <w:rPr>
                <w:rFonts w:ascii="Times New Roman" w:hAnsi="Times New Roman" w:cs="Times New Roman"/>
                <w:b/>
                <w:bCs/>
                <w:sz w:val="16"/>
                <w:szCs w:val="16"/>
              </w:rPr>
            </w:pPr>
            <w:r>
              <w:rPr>
                <w:rFonts w:ascii="Times New Roman" w:hAnsi="Times New Roman" w:cs="Times New Roman"/>
                <w:spacing w:val="-5"/>
                <w:sz w:val="17"/>
                <w:szCs w:val="17"/>
              </w:rPr>
              <w:t>186.7</w:t>
            </w:r>
          </w:p>
        </w:tc>
        <w:tc>
          <w:tcPr>
            <w:tcW w:w="1620" w:type="dxa"/>
            <w:vAlign w:val="center"/>
          </w:tcPr>
          <w:p w:rsidR="00CD7CF3" w:rsidRPr="007E6A1B" w:rsidP="0019207F" w14:paraId="0229E94C" w14:textId="6EEA629E">
            <w:pPr>
              <w:spacing w:before="0" w:after="0" w:line="184" w:lineRule="exact"/>
              <w:jc w:val="right"/>
              <w:rPr>
                <w:rFonts w:ascii="Times New Roman" w:hAnsi="Times New Roman" w:cs="Times New Roman"/>
                <w:b/>
                <w:bCs/>
                <w:sz w:val="16"/>
                <w:szCs w:val="16"/>
              </w:rPr>
            </w:pPr>
            <w:r>
              <w:rPr>
                <w:rFonts w:ascii="Times New Roman" w:hAnsi="Times New Roman" w:cs="Times New Roman"/>
                <w:spacing w:val="-2"/>
                <w:sz w:val="17"/>
                <w:szCs w:val="17"/>
              </w:rPr>
              <w:t>63,653</w:t>
            </w:r>
          </w:p>
        </w:tc>
        <w:tc>
          <w:tcPr>
            <w:tcW w:w="1440" w:type="dxa"/>
            <w:vAlign w:val="center"/>
          </w:tcPr>
          <w:p w:rsidR="00CD7CF3" w:rsidRPr="007E6A1B" w:rsidP="0019207F" w14:paraId="1CE7B5B8" w14:textId="30D63AA4">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pacing w:val="-2"/>
                <w:sz w:val="17"/>
                <w:szCs w:val="17"/>
              </w:rPr>
              <w:t>$</w:t>
            </w:r>
            <w:r w:rsidR="00BD72E0">
              <w:rPr>
                <w:rFonts w:ascii="Times New Roman" w:hAnsi="Times New Roman" w:cs="Times New Roman"/>
                <w:spacing w:val="-2"/>
                <w:sz w:val="17"/>
                <w:szCs w:val="17"/>
              </w:rPr>
              <w:t>86.80</w:t>
            </w:r>
            <w:r w:rsidRPr="007E6A1B">
              <w:rPr>
                <w:rFonts w:ascii="Times New Roman" w:hAnsi="Times New Roman" w:cs="Times New Roman"/>
                <w:spacing w:val="-2"/>
                <w:sz w:val="17"/>
                <w:szCs w:val="17"/>
              </w:rPr>
              <w:t xml:space="preserve"> </w:t>
            </w:r>
          </w:p>
        </w:tc>
        <w:tc>
          <w:tcPr>
            <w:tcW w:w="1440" w:type="dxa"/>
            <w:vAlign w:val="center"/>
          </w:tcPr>
          <w:p w:rsidR="00CD7CF3" w:rsidRPr="00BA5FA4" w:rsidP="0019207F" w14:paraId="003314AA" w14:textId="7FEA7F06">
            <w:pPr>
              <w:spacing w:before="0" w:after="0" w:line="184" w:lineRule="exact"/>
              <w:jc w:val="right"/>
              <w:rPr>
                <w:rFonts w:ascii="Times New Roman" w:hAnsi="Times New Roman" w:cs="Times New Roman"/>
                <w:sz w:val="17"/>
                <w:szCs w:val="17"/>
              </w:rPr>
            </w:pPr>
            <w:r>
              <w:rPr>
                <w:rFonts w:ascii="Times New Roman" w:hAnsi="Times New Roman" w:cs="Times New Roman"/>
                <w:sz w:val="17"/>
                <w:szCs w:val="17"/>
              </w:rPr>
              <w:t>$5.</w:t>
            </w:r>
            <w:r w:rsidR="00901022">
              <w:rPr>
                <w:rFonts w:ascii="Times New Roman" w:hAnsi="Times New Roman" w:cs="Times New Roman"/>
                <w:sz w:val="17"/>
                <w:szCs w:val="17"/>
              </w:rPr>
              <w:t>9</w:t>
            </w:r>
            <w:r w:rsidR="00561E45">
              <w:rPr>
                <w:rFonts w:ascii="Times New Roman" w:hAnsi="Times New Roman" w:cs="Times New Roman"/>
                <w:sz w:val="17"/>
                <w:szCs w:val="17"/>
              </w:rPr>
              <w:t>2</w:t>
            </w:r>
          </w:p>
        </w:tc>
      </w:tr>
      <w:tr w14:paraId="6199B8D5" w14:textId="77777777" w:rsidTr="0019207F">
        <w:tblPrEx>
          <w:tblW w:w="13320" w:type="dxa"/>
          <w:tblInd w:w="-185" w:type="dxa"/>
          <w:tblLook w:val="04A0"/>
        </w:tblPrEx>
        <w:tc>
          <w:tcPr>
            <w:tcW w:w="4320" w:type="dxa"/>
            <w:vAlign w:val="center"/>
          </w:tcPr>
          <w:p w:rsidR="00CD7CF3" w:rsidRPr="007E6A1B" w:rsidP="0019207F" w14:paraId="6AE2EF17" w14:textId="4843056F">
            <w:pPr>
              <w:spacing w:before="0" w:after="0" w:line="184" w:lineRule="exact"/>
              <w:rPr>
                <w:rFonts w:ascii="Times New Roman" w:hAnsi="Times New Roman" w:cs="Times New Roman"/>
                <w:b/>
                <w:bCs/>
                <w:sz w:val="16"/>
                <w:szCs w:val="16"/>
              </w:rPr>
            </w:pPr>
            <w:r w:rsidRPr="007E6A1B">
              <w:rPr>
                <w:rFonts w:ascii="Times New Roman" w:hAnsi="Times New Roman" w:cs="Times New Roman"/>
                <w:sz w:val="17"/>
                <w:szCs w:val="17"/>
              </w:rPr>
              <w:t xml:space="preserve">Average Burden </w:t>
            </w:r>
            <w:r w:rsidR="003038C6">
              <w:rPr>
                <w:rFonts w:ascii="Times New Roman" w:hAnsi="Times New Roman" w:cs="Times New Roman"/>
                <w:sz w:val="17"/>
                <w:szCs w:val="17"/>
              </w:rPr>
              <w:t>for</w:t>
            </w:r>
            <w:r w:rsidRPr="007E6A1B">
              <w:rPr>
                <w:rFonts w:ascii="Times New Roman" w:hAnsi="Times New Roman" w:cs="Times New Roman"/>
                <w:sz w:val="17"/>
                <w:szCs w:val="17"/>
              </w:rPr>
              <w:t xml:space="preserve"> </w:t>
            </w:r>
            <w:r w:rsidR="00EA1316">
              <w:rPr>
                <w:rFonts w:ascii="Times New Roman" w:hAnsi="Times New Roman" w:cs="Times New Roman"/>
                <w:sz w:val="17"/>
                <w:szCs w:val="17"/>
              </w:rPr>
              <w:t xml:space="preserve">Public </w:t>
            </w:r>
            <w:r w:rsidRPr="007E6A1B">
              <w:rPr>
                <w:rFonts w:ascii="Times New Roman" w:hAnsi="Times New Roman" w:cs="Times New Roman"/>
                <w:sz w:val="17"/>
                <w:szCs w:val="17"/>
              </w:rPr>
              <w:t xml:space="preserve">Reporting </w:t>
            </w:r>
            <w:r w:rsidR="00EA1316">
              <w:rPr>
                <w:rFonts w:ascii="Times New Roman" w:hAnsi="Times New Roman" w:cs="Times New Roman"/>
                <w:sz w:val="17"/>
                <w:szCs w:val="17"/>
              </w:rPr>
              <w:t xml:space="preserve">of </w:t>
            </w:r>
            <w:r w:rsidRPr="007E6A1B">
              <w:rPr>
                <w:rFonts w:ascii="Times New Roman" w:hAnsi="Times New Roman" w:cs="Times New Roman"/>
                <w:sz w:val="17"/>
                <w:szCs w:val="17"/>
              </w:rPr>
              <w:t xml:space="preserve">Prior Authorization Metrics for Drugs </w:t>
            </w:r>
          </w:p>
        </w:tc>
        <w:tc>
          <w:tcPr>
            <w:tcW w:w="1530" w:type="dxa"/>
            <w:vAlign w:val="center"/>
          </w:tcPr>
          <w:p w:rsidR="00CD7CF3" w:rsidRPr="007E6A1B" w:rsidP="0019207F" w14:paraId="1EFB3F1E" w14:textId="0B6568B9">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w:t>
            </w:r>
            <w:r w:rsidR="006B0FD6">
              <w:rPr>
                <w:rFonts w:ascii="Times New Roman" w:hAnsi="Times New Roman" w:cs="Times New Roman"/>
                <w:sz w:val="17"/>
                <w:szCs w:val="17"/>
              </w:rPr>
              <w:t>3</w:t>
            </w:r>
            <w:r w:rsidRPr="007E6A1B">
              <w:rPr>
                <w:rFonts w:ascii="Times New Roman" w:hAnsi="Times New Roman" w:cs="Times New Roman"/>
                <w:sz w:val="17"/>
                <w:szCs w:val="17"/>
              </w:rPr>
              <w:t>)</w:t>
            </w:r>
          </w:p>
        </w:tc>
        <w:tc>
          <w:tcPr>
            <w:tcW w:w="1350" w:type="dxa"/>
            <w:vAlign w:val="center"/>
          </w:tcPr>
          <w:p w:rsidR="00CD7CF3" w:rsidRPr="007E6A1B" w:rsidP="0019207F" w14:paraId="27B11BD2"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341</w:t>
            </w:r>
          </w:p>
        </w:tc>
        <w:tc>
          <w:tcPr>
            <w:tcW w:w="1620" w:type="dxa"/>
            <w:vAlign w:val="center"/>
          </w:tcPr>
          <w:p w:rsidR="00CD7CF3" w:rsidRPr="007E6A1B" w:rsidP="0019207F" w14:paraId="50850A6D" w14:textId="4945A772">
            <w:pPr>
              <w:spacing w:before="0" w:after="0" w:line="184" w:lineRule="exact"/>
              <w:jc w:val="right"/>
              <w:rPr>
                <w:rFonts w:ascii="Times New Roman" w:hAnsi="Times New Roman" w:cs="Times New Roman"/>
                <w:b/>
                <w:bCs/>
                <w:sz w:val="16"/>
                <w:szCs w:val="16"/>
              </w:rPr>
            </w:pPr>
            <w:r>
              <w:rPr>
                <w:rFonts w:ascii="Times New Roman" w:hAnsi="Times New Roman" w:cs="Times New Roman"/>
                <w:sz w:val="17"/>
                <w:szCs w:val="17"/>
              </w:rPr>
              <w:t>186.7</w:t>
            </w:r>
          </w:p>
        </w:tc>
        <w:tc>
          <w:tcPr>
            <w:tcW w:w="1620" w:type="dxa"/>
            <w:vAlign w:val="center"/>
          </w:tcPr>
          <w:p w:rsidR="00CD7CF3" w:rsidRPr="007E6A1B" w:rsidP="0019207F" w14:paraId="1AEDC7D9" w14:textId="10359250">
            <w:pPr>
              <w:spacing w:before="0" w:after="0" w:line="184" w:lineRule="exact"/>
              <w:jc w:val="right"/>
              <w:rPr>
                <w:rFonts w:ascii="Times New Roman" w:hAnsi="Times New Roman" w:cs="Times New Roman"/>
                <w:b/>
                <w:bCs/>
                <w:sz w:val="16"/>
                <w:szCs w:val="16"/>
              </w:rPr>
            </w:pPr>
            <w:r>
              <w:rPr>
                <w:rFonts w:ascii="Times New Roman" w:hAnsi="Times New Roman" w:cs="Times New Roman"/>
                <w:sz w:val="17"/>
                <w:szCs w:val="17"/>
              </w:rPr>
              <w:t>63,653</w:t>
            </w:r>
          </w:p>
        </w:tc>
        <w:tc>
          <w:tcPr>
            <w:tcW w:w="1440" w:type="dxa"/>
            <w:vAlign w:val="center"/>
          </w:tcPr>
          <w:p w:rsidR="00CD7CF3" w:rsidRPr="007E6A1B" w:rsidP="0019207F" w14:paraId="2F1897EA" w14:textId="723ACEFE">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w:t>
            </w:r>
            <w:r w:rsidR="00BD72E0">
              <w:rPr>
                <w:rFonts w:ascii="Times New Roman" w:hAnsi="Times New Roman" w:cs="Times New Roman"/>
                <w:sz w:val="17"/>
                <w:szCs w:val="17"/>
              </w:rPr>
              <w:t>86.80</w:t>
            </w:r>
          </w:p>
        </w:tc>
        <w:tc>
          <w:tcPr>
            <w:tcW w:w="1440" w:type="dxa"/>
            <w:vAlign w:val="center"/>
          </w:tcPr>
          <w:p w:rsidR="00CD7CF3" w:rsidRPr="007E6A1B" w:rsidP="0019207F" w14:paraId="5D88BBCE" w14:textId="0B7DA7BA">
            <w:pPr>
              <w:spacing w:before="0" w:after="0" w:line="184" w:lineRule="exact"/>
              <w:jc w:val="right"/>
              <w:rPr>
                <w:rFonts w:ascii="Times New Roman" w:hAnsi="Times New Roman" w:cs="Times New Roman"/>
                <w:b/>
                <w:bCs/>
                <w:sz w:val="16"/>
                <w:szCs w:val="16"/>
              </w:rPr>
            </w:pPr>
            <w:r>
              <w:rPr>
                <w:rFonts w:ascii="Times New Roman" w:hAnsi="Times New Roman" w:cs="Times New Roman"/>
                <w:sz w:val="17"/>
                <w:szCs w:val="17"/>
              </w:rPr>
              <w:t>$5.</w:t>
            </w:r>
            <w:r w:rsidR="00901022">
              <w:rPr>
                <w:rFonts w:ascii="Times New Roman" w:hAnsi="Times New Roman" w:cs="Times New Roman"/>
                <w:sz w:val="17"/>
                <w:szCs w:val="17"/>
              </w:rPr>
              <w:t>9</w:t>
            </w:r>
            <w:r w:rsidR="00561E45">
              <w:rPr>
                <w:rFonts w:ascii="Times New Roman" w:hAnsi="Times New Roman" w:cs="Times New Roman"/>
                <w:sz w:val="17"/>
                <w:szCs w:val="17"/>
              </w:rPr>
              <w:t>2</w:t>
            </w:r>
          </w:p>
        </w:tc>
      </w:tr>
      <w:tr w14:paraId="7E65BFED" w14:textId="77777777" w:rsidTr="0019207F">
        <w:tblPrEx>
          <w:tblW w:w="13320" w:type="dxa"/>
          <w:tblInd w:w="-185" w:type="dxa"/>
          <w:tblLook w:val="04A0"/>
        </w:tblPrEx>
        <w:tc>
          <w:tcPr>
            <w:tcW w:w="4320" w:type="dxa"/>
            <w:vAlign w:val="center"/>
          </w:tcPr>
          <w:p w:rsidR="00CD7CF3" w:rsidRPr="007E6A1B" w:rsidP="0019207F" w14:paraId="6154ABE7" w14:textId="5B76E41E">
            <w:pPr>
              <w:spacing w:before="0" w:after="0" w:line="184" w:lineRule="exact"/>
              <w:rPr>
                <w:rFonts w:ascii="Times New Roman" w:hAnsi="Times New Roman" w:cs="Times New Roman"/>
                <w:b/>
                <w:bCs/>
                <w:sz w:val="16"/>
                <w:szCs w:val="16"/>
              </w:rPr>
            </w:pPr>
            <w:r w:rsidRPr="007E6A1B">
              <w:rPr>
                <w:rFonts w:ascii="Times New Roman" w:hAnsi="Times New Roman" w:cs="Times New Roman"/>
                <w:sz w:val="17"/>
                <w:szCs w:val="17"/>
              </w:rPr>
              <w:t>Average Burden of Reporting Provider Access, Payer-to-Payer</w:t>
            </w:r>
            <w:r w:rsidR="00B94FA3">
              <w:rPr>
                <w:rFonts w:ascii="Times New Roman" w:hAnsi="Times New Roman" w:cs="Times New Roman"/>
                <w:sz w:val="17"/>
                <w:szCs w:val="17"/>
              </w:rPr>
              <w:t>,</w:t>
            </w:r>
            <w:r w:rsidRPr="007E6A1B">
              <w:rPr>
                <w:rFonts w:ascii="Times New Roman" w:hAnsi="Times New Roman" w:cs="Times New Roman"/>
                <w:sz w:val="17"/>
                <w:szCs w:val="17"/>
              </w:rPr>
              <w:t xml:space="preserve"> and Prior Authorization API Metrics to CMS </w:t>
            </w:r>
          </w:p>
        </w:tc>
        <w:tc>
          <w:tcPr>
            <w:tcW w:w="1530" w:type="dxa"/>
            <w:vAlign w:val="center"/>
          </w:tcPr>
          <w:p w:rsidR="00CD7CF3" w:rsidRPr="007E6A1B" w:rsidP="0019207F" w14:paraId="0853A5AC" w14:textId="3CE29916">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w:t>
            </w:r>
            <w:r w:rsidR="00C747E9">
              <w:rPr>
                <w:rFonts w:ascii="Times New Roman" w:hAnsi="Times New Roman" w:cs="Times New Roman"/>
                <w:sz w:val="17"/>
                <w:szCs w:val="17"/>
              </w:rPr>
              <w:t>4</w:t>
            </w:r>
            <w:r w:rsidRPr="007E6A1B">
              <w:rPr>
                <w:rFonts w:ascii="Times New Roman" w:hAnsi="Times New Roman" w:cs="Times New Roman"/>
                <w:sz w:val="17"/>
                <w:szCs w:val="17"/>
              </w:rPr>
              <w:t>)</w:t>
            </w:r>
          </w:p>
        </w:tc>
        <w:tc>
          <w:tcPr>
            <w:tcW w:w="1350" w:type="dxa"/>
            <w:vAlign w:val="center"/>
          </w:tcPr>
          <w:p w:rsidR="00CD7CF3" w:rsidRPr="007E6A1B" w:rsidP="0019207F" w14:paraId="0C07686B"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341</w:t>
            </w:r>
          </w:p>
        </w:tc>
        <w:tc>
          <w:tcPr>
            <w:tcW w:w="1620" w:type="dxa"/>
            <w:vAlign w:val="center"/>
          </w:tcPr>
          <w:p w:rsidR="00CD7CF3" w:rsidRPr="007E6A1B" w:rsidP="0019207F" w14:paraId="133D7570" w14:textId="59B5D173">
            <w:pPr>
              <w:spacing w:before="0" w:after="0" w:line="184" w:lineRule="exact"/>
              <w:jc w:val="right"/>
              <w:rPr>
                <w:rFonts w:ascii="Times New Roman" w:hAnsi="Times New Roman" w:cs="Times New Roman"/>
                <w:b/>
                <w:bCs/>
                <w:sz w:val="16"/>
                <w:szCs w:val="16"/>
              </w:rPr>
            </w:pPr>
            <w:r>
              <w:rPr>
                <w:rFonts w:ascii="Times New Roman" w:hAnsi="Times New Roman" w:cs="Times New Roman"/>
                <w:sz w:val="17"/>
                <w:szCs w:val="17"/>
              </w:rPr>
              <w:t>80</w:t>
            </w:r>
          </w:p>
        </w:tc>
        <w:tc>
          <w:tcPr>
            <w:tcW w:w="1620" w:type="dxa"/>
            <w:vAlign w:val="center"/>
          </w:tcPr>
          <w:p w:rsidR="00CD7CF3" w:rsidRPr="007E6A1B" w:rsidP="0019207F" w14:paraId="37CF15BE" w14:textId="2F311786">
            <w:pPr>
              <w:spacing w:before="0" w:after="0" w:line="184" w:lineRule="exact"/>
              <w:jc w:val="right"/>
              <w:rPr>
                <w:rFonts w:ascii="Times New Roman" w:hAnsi="Times New Roman" w:cs="Times New Roman"/>
                <w:b/>
                <w:bCs/>
                <w:sz w:val="16"/>
                <w:szCs w:val="16"/>
              </w:rPr>
            </w:pPr>
            <w:r>
              <w:rPr>
                <w:rFonts w:ascii="Times New Roman" w:hAnsi="Times New Roman" w:cs="Times New Roman"/>
                <w:sz w:val="17"/>
                <w:szCs w:val="17"/>
              </w:rPr>
              <w:t>27,280</w:t>
            </w:r>
          </w:p>
        </w:tc>
        <w:tc>
          <w:tcPr>
            <w:tcW w:w="1440" w:type="dxa"/>
            <w:vAlign w:val="center"/>
          </w:tcPr>
          <w:p w:rsidR="00CD7CF3" w:rsidRPr="007E6A1B" w:rsidP="0019207F" w14:paraId="1E81DB83" w14:textId="096034FE">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w:t>
            </w:r>
            <w:r w:rsidR="00BD72E0">
              <w:rPr>
                <w:rFonts w:ascii="Times New Roman" w:hAnsi="Times New Roman" w:cs="Times New Roman"/>
                <w:sz w:val="17"/>
                <w:szCs w:val="17"/>
              </w:rPr>
              <w:t>87.80</w:t>
            </w:r>
            <w:r w:rsidRPr="007E6A1B">
              <w:rPr>
                <w:rFonts w:ascii="Times New Roman" w:hAnsi="Times New Roman" w:cs="Times New Roman"/>
                <w:sz w:val="17"/>
                <w:szCs w:val="17"/>
              </w:rPr>
              <w:t xml:space="preserve"> </w:t>
            </w:r>
          </w:p>
        </w:tc>
        <w:tc>
          <w:tcPr>
            <w:tcW w:w="1440" w:type="dxa"/>
            <w:vAlign w:val="center"/>
          </w:tcPr>
          <w:p w:rsidR="00CD7CF3" w:rsidRPr="007E6A1B" w:rsidP="0019207F" w14:paraId="76CF00FC" w14:textId="370357CA">
            <w:pPr>
              <w:spacing w:before="0" w:after="0" w:line="184" w:lineRule="exact"/>
              <w:jc w:val="right"/>
              <w:rPr>
                <w:rFonts w:ascii="Times New Roman" w:hAnsi="Times New Roman" w:cs="Times New Roman"/>
                <w:b/>
                <w:bCs/>
                <w:sz w:val="16"/>
                <w:szCs w:val="16"/>
              </w:rPr>
            </w:pPr>
            <w:r>
              <w:rPr>
                <w:rFonts w:ascii="Times New Roman" w:hAnsi="Times New Roman" w:cs="Times New Roman"/>
                <w:sz w:val="17"/>
                <w:szCs w:val="17"/>
              </w:rPr>
              <w:t>$2.</w:t>
            </w:r>
            <w:r w:rsidR="00561E45">
              <w:rPr>
                <w:rFonts w:ascii="Times New Roman" w:hAnsi="Times New Roman" w:cs="Times New Roman"/>
                <w:sz w:val="17"/>
                <w:szCs w:val="17"/>
              </w:rPr>
              <w:t>66</w:t>
            </w:r>
          </w:p>
        </w:tc>
      </w:tr>
      <w:tr w14:paraId="3AD4344F" w14:textId="77777777" w:rsidTr="0019207F">
        <w:tblPrEx>
          <w:tblW w:w="13320" w:type="dxa"/>
          <w:tblInd w:w="-185" w:type="dxa"/>
          <w:tblLook w:val="04A0"/>
        </w:tblPrEx>
        <w:tc>
          <w:tcPr>
            <w:tcW w:w="4320" w:type="dxa"/>
            <w:vAlign w:val="center"/>
          </w:tcPr>
          <w:p w:rsidR="00CD7CF3" w:rsidRPr="007E6A1B" w:rsidP="0019207F" w14:paraId="2080D505" w14:textId="77777777">
            <w:pPr>
              <w:spacing w:before="0" w:after="0" w:line="184" w:lineRule="exact"/>
              <w:rPr>
                <w:rFonts w:ascii="Times New Roman" w:hAnsi="Times New Roman" w:cs="Times New Roman"/>
                <w:b/>
                <w:bCs/>
                <w:sz w:val="16"/>
                <w:szCs w:val="16"/>
              </w:rPr>
            </w:pPr>
            <w:r w:rsidRPr="007E6A1B">
              <w:rPr>
                <w:rFonts w:ascii="Times New Roman" w:hAnsi="Times New Roman" w:cs="Times New Roman"/>
                <w:sz w:val="17"/>
                <w:szCs w:val="17"/>
              </w:rPr>
              <w:t>Payer Endpoint Reporting</w:t>
            </w:r>
          </w:p>
        </w:tc>
        <w:tc>
          <w:tcPr>
            <w:tcW w:w="1530" w:type="dxa"/>
            <w:vAlign w:val="center"/>
          </w:tcPr>
          <w:p w:rsidR="00CD7CF3" w:rsidRPr="007E6A1B" w:rsidP="0019207F" w14:paraId="0978E647" w14:textId="577AB925">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w:t>
            </w:r>
            <w:r w:rsidR="00C747E9">
              <w:rPr>
                <w:rFonts w:ascii="Times New Roman" w:hAnsi="Times New Roman" w:cs="Times New Roman"/>
                <w:sz w:val="17"/>
                <w:szCs w:val="17"/>
              </w:rPr>
              <w:t>5</w:t>
            </w:r>
            <w:r w:rsidRPr="007E6A1B">
              <w:rPr>
                <w:rFonts w:ascii="Times New Roman" w:hAnsi="Times New Roman" w:cs="Times New Roman"/>
                <w:sz w:val="17"/>
                <w:szCs w:val="17"/>
              </w:rPr>
              <w:t>)</w:t>
            </w:r>
          </w:p>
        </w:tc>
        <w:tc>
          <w:tcPr>
            <w:tcW w:w="1350" w:type="dxa"/>
            <w:vAlign w:val="center"/>
          </w:tcPr>
          <w:p w:rsidR="00CD7CF3" w:rsidRPr="007E6A1B" w:rsidP="0019207F" w14:paraId="7E26F3E0"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341</w:t>
            </w:r>
          </w:p>
        </w:tc>
        <w:tc>
          <w:tcPr>
            <w:tcW w:w="1620" w:type="dxa"/>
            <w:vAlign w:val="center"/>
          </w:tcPr>
          <w:p w:rsidR="00CD7CF3" w:rsidRPr="007E6A1B" w:rsidP="0019207F" w14:paraId="3766E085"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2</w:t>
            </w:r>
          </w:p>
        </w:tc>
        <w:tc>
          <w:tcPr>
            <w:tcW w:w="1620" w:type="dxa"/>
            <w:vAlign w:val="center"/>
          </w:tcPr>
          <w:p w:rsidR="00CD7CF3" w:rsidRPr="007E6A1B" w:rsidP="0019207F" w14:paraId="00C029CF"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682</w:t>
            </w:r>
          </w:p>
        </w:tc>
        <w:tc>
          <w:tcPr>
            <w:tcW w:w="1440" w:type="dxa"/>
            <w:vAlign w:val="center"/>
          </w:tcPr>
          <w:p w:rsidR="00CD7CF3" w:rsidRPr="007E6A1B" w:rsidP="0019207F" w14:paraId="6710955B"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 xml:space="preserve">$78.14 </w:t>
            </w:r>
          </w:p>
        </w:tc>
        <w:tc>
          <w:tcPr>
            <w:tcW w:w="1440" w:type="dxa"/>
            <w:vAlign w:val="center"/>
          </w:tcPr>
          <w:p w:rsidR="00CD7CF3" w:rsidRPr="007E6A1B" w:rsidP="0019207F" w14:paraId="023EB5E1"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sz w:val="17"/>
                <w:szCs w:val="17"/>
              </w:rPr>
              <w:t xml:space="preserve">$0.05 </w:t>
            </w:r>
          </w:p>
        </w:tc>
      </w:tr>
      <w:tr w14:paraId="5BFB5CAC" w14:textId="77777777" w:rsidTr="0019207F">
        <w:tblPrEx>
          <w:tblW w:w="13320" w:type="dxa"/>
          <w:tblInd w:w="-185" w:type="dxa"/>
          <w:tblLook w:val="04A0"/>
        </w:tblPrEx>
        <w:trPr>
          <w:trHeight w:val="54"/>
        </w:trPr>
        <w:tc>
          <w:tcPr>
            <w:tcW w:w="4320" w:type="dxa"/>
            <w:shd w:val="clear" w:color="auto" w:fill="D9D9D9" w:themeFill="background1" w:themeFillShade="D9"/>
            <w:vAlign w:val="center"/>
          </w:tcPr>
          <w:p w:rsidR="00CD7CF3" w:rsidRPr="007E6A1B" w:rsidP="0019207F" w14:paraId="79E77DAF" w14:textId="77777777">
            <w:pPr>
              <w:spacing w:before="0" w:after="0" w:line="184" w:lineRule="exact"/>
              <w:rPr>
                <w:rFonts w:ascii="Times New Roman" w:hAnsi="Times New Roman" w:cs="Times New Roman"/>
                <w:b/>
                <w:bCs/>
                <w:sz w:val="16"/>
                <w:szCs w:val="16"/>
              </w:rPr>
            </w:pPr>
            <w:r w:rsidRPr="007E6A1B">
              <w:rPr>
                <w:rFonts w:ascii="Times New Roman" w:hAnsi="Times New Roman" w:cs="Times New Roman"/>
                <w:b/>
                <w:bCs/>
                <w:sz w:val="17"/>
                <w:szCs w:val="17"/>
              </w:rPr>
              <w:t>Total Cumulative Hours and Costs of Collections</w:t>
            </w:r>
          </w:p>
        </w:tc>
        <w:tc>
          <w:tcPr>
            <w:tcW w:w="1530" w:type="dxa"/>
            <w:shd w:val="clear" w:color="auto" w:fill="D9D9D9" w:themeFill="background1" w:themeFillShade="D9"/>
          </w:tcPr>
          <w:p w:rsidR="00CD7CF3" w:rsidRPr="007E6A1B" w:rsidP="0019207F" w14:paraId="40CDA241"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b/>
                <w:bCs/>
                <w:sz w:val="16"/>
                <w:szCs w:val="16"/>
              </w:rPr>
              <w:t>N/A</w:t>
            </w:r>
          </w:p>
        </w:tc>
        <w:tc>
          <w:tcPr>
            <w:tcW w:w="1350" w:type="dxa"/>
            <w:shd w:val="clear" w:color="auto" w:fill="D9D9D9" w:themeFill="background1" w:themeFillShade="D9"/>
          </w:tcPr>
          <w:p w:rsidR="00CD7CF3" w:rsidRPr="007E6A1B" w:rsidP="0019207F" w14:paraId="2BD65EDF"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b/>
                <w:bCs/>
                <w:sz w:val="16"/>
                <w:szCs w:val="16"/>
              </w:rPr>
              <w:t>N/A</w:t>
            </w:r>
          </w:p>
        </w:tc>
        <w:tc>
          <w:tcPr>
            <w:tcW w:w="1620" w:type="dxa"/>
            <w:shd w:val="clear" w:color="auto" w:fill="D9D9D9" w:themeFill="background1" w:themeFillShade="D9"/>
            <w:vAlign w:val="center"/>
          </w:tcPr>
          <w:p w:rsidR="00CD7CF3" w:rsidRPr="007E6A1B" w:rsidP="0019207F" w14:paraId="5A0260E2" w14:textId="34932142">
            <w:pPr>
              <w:spacing w:before="0" w:after="0" w:line="184" w:lineRule="exact"/>
              <w:jc w:val="right"/>
              <w:rPr>
                <w:rFonts w:ascii="Times New Roman" w:hAnsi="Times New Roman" w:cs="Times New Roman"/>
                <w:b/>
                <w:bCs/>
                <w:sz w:val="16"/>
                <w:szCs w:val="16"/>
              </w:rPr>
            </w:pPr>
            <w:r>
              <w:rPr>
                <w:rFonts w:ascii="Times New Roman" w:hAnsi="Times New Roman" w:cs="Times New Roman"/>
                <w:b/>
                <w:bCs/>
                <w:sz w:val="17"/>
                <w:szCs w:val="17"/>
              </w:rPr>
              <w:t>535</w:t>
            </w:r>
          </w:p>
        </w:tc>
        <w:tc>
          <w:tcPr>
            <w:tcW w:w="1620" w:type="dxa"/>
            <w:shd w:val="clear" w:color="auto" w:fill="D9D9D9" w:themeFill="background1" w:themeFillShade="D9"/>
            <w:vAlign w:val="center"/>
          </w:tcPr>
          <w:p w:rsidR="00CD7CF3" w:rsidRPr="007E6A1B" w:rsidP="0019207F" w14:paraId="284BB012" w14:textId="0B6FBBA5">
            <w:pPr>
              <w:spacing w:before="0" w:after="0" w:line="184" w:lineRule="exact"/>
              <w:jc w:val="right"/>
              <w:rPr>
                <w:rFonts w:ascii="Times New Roman" w:hAnsi="Times New Roman" w:cs="Times New Roman"/>
                <w:b/>
                <w:bCs/>
                <w:sz w:val="16"/>
                <w:szCs w:val="16"/>
              </w:rPr>
            </w:pPr>
            <w:r>
              <w:rPr>
                <w:rFonts w:ascii="Times New Roman" w:hAnsi="Times New Roman" w:cs="Times New Roman"/>
                <w:b/>
                <w:bCs/>
                <w:color w:val="000000"/>
                <w:sz w:val="17"/>
                <w:szCs w:val="17"/>
              </w:rPr>
              <w:t>181,867</w:t>
            </w:r>
          </w:p>
        </w:tc>
        <w:tc>
          <w:tcPr>
            <w:tcW w:w="1440" w:type="dxa"/>
            <w:shd w:val="clear" w:color="auto" w:fill="D9D9D9" w:themeFill="background1" w:themeFillShade="D9"/>
            <w:vAlign w:val="center"/>
          </w:tcPr>
          <w:p w:rsidR="00CD7CF3" w:rsidRPr="007E6A1B" w:rsidP="0019207F" w14:paraId="7AAE6094" w14:textId="77777777">
            <w:pPr>
              <w:spacing w:before="0" w:after="0" w:line="184" w:lineRule="exact"/>
              <w:jc w:val="right"/>
              <w:rPr>
                <w:rFonts w:ascii="Times New Roman" w:hAnsi="Times New Roman" w:cs="Times New Roman"/>
                <w:b/>
                <w:bCs/>
                <w:sz w:val="16"/>
                <w:szCs w:val="16"/>
              </w:rPr>
            </w:pPr>
            <w:r w:rsidRPr="007E6A1B">
              <w:rPr>
                <w:rFonts w:ascii="Times New Roman" w:hAnsi="Times New Roman" w:cs="Times New Roman"/>
                <w:b/>
                <w:bCs/>
                <w:sz w:val="17"/>
                <w:szCs w:val="17"/>
              </w:rPr>
              <w:t>N/A</w:t>
            </w:r>
          </w:p>
        </w:tc>
        <w:tc>
          <w:tcPr>
            <w:tcW w:w="1440" w:type="dxa"/>
            <w:shd w:val="clear" w:color="auto" w:fill="D9D9D9" w:themeFill="background1" w:themeFillShade="D9"/>
            <w:vAlign w:val="center"/>
          </w:tcPr>
          <w:p w:rsidR="00CD7CF3" w:rsidRPr="007E6A1B" w:rsidP="0019207F" w14:paraId="0EBBF6E5" w14:textId="2D13E11D">
            <w:pPr>
              <w:spacing w:before="0" w:after="0" w:line="184" w:lineRule="exact"/>
              <w:jc w:val="right"/>
              <w:rPr>
                <w:rFonts w:ascii="Times New Roman" w:hAnsi="Times New Roman" w:cs="Times New Roman"/>
                <w:b/>
                <w:bCs/>
                <w:sz w:val="16"/>
                <w:szCs w:val="16"/>
              </w:rPr>
            </w:pPr>
            <w:r>
              <w:rPr>
                <w:rFonts w:ascii="Times New Roman" w:hAnsi="Times New Roman" w:cs="Times New Roman"/>
                <w:b/>
                <w:bCs/>
                <w:sz w:val="17"/>
                <w:szCs w:val="17"/>
              </w:rPr>
              <w:t>$1</w:t>
            </w:r>
            <w:r w:rsidR="005279D1">
              <w:rPr>
                <w:rFonts w:ascii="Times New Roman" w:hAnsi="Times New Roman" w:cs="Times New Roman"/>
                <w:b/>
                <w:bCs/>
                <w:sz w:val="17"/>
                <w:szCs w:val="17"/>
              </w:rPr>
              <w:t>7</w:t>
            </w:r>
            <w:r>
              <w:rPr>
                <w:rFonts w:ascii="Times New Roman" w:hAnsi="Times New Roman" w:cs="Times New Roman"/>
                <w:b/>
                <w:bCs/>
                <w:sz w:val="17"/>
                <w:szCs w:val="17"/>
              </w:rPr>
              <w:t>.</w:t>
            </w:r>
            <w:r w:rsidR="009B1D00">
              <w:rPr>
                <w:rFonts w:ascii="Times New Roman" w:hAnsi="Times New Roman" w:cs="Times New Roman"/>
                <w:b/>
                <w:bCs/>
                <w:sz w:val="17"/>
                <w:szCs w:val="17"/>
              </w:rPr>
              <w:t>2</w:t>
            </w:r>
            <w:r w:rsidR="00561E45">
              <w:rPr>
                <w:rFonts w:ascii="Times New Roman" w:hAnsi="Times New Roman" w:cs="Times New Roman"/>
                <w:b/>
                <w:bCs/>
                <w:sz w:val="17"/>
                <w:szCs w:val="17"/>
              </w:rPr>
              <w:t>1</w:t>
            </w:r>
          </w:p>
        </w:tc>
      </w:tr>
    </w:tbl>
    <w:p w:rsidR="00875CD0" w:rsidRPr="00A82CD4" w:rsidP="00875CD0" w14:paraId="4DEF2A8E" w14:textId="751A2DA7">
      <w:pPr>
        <w:spacing w:before="0" w:line="184" w:lineRule="exact"/>
        <w:rPr>
          <w:spacing w:val="-2"/>
          <w:sz w:val="16"/>
        </w:rPr>
      </w:pPr>
      <w:r w:rsidRPr="004172EA">
        <w:rPr>
          <w:rFonts w:cs="Times New Roman"/>
          <w:b/>
          <w:bCs/>
          <w:sz w:val="16"/>
          <w:szCs w:val="16"/>
        </w:rPr>
        <w:t>NOTES</w:t>
      </w:r>
      <w:r w:rsidRPr="004172EA">
        <w:rPr>
          <w:rFonts w:cs="Times New Roman"/>
          <w:sz w:val="16"/>
          <w:szCs w:val="16"/>
        </w:rPr>
        <w:t>:</w:t>
      </w:r>
      <w:r>
        <w:rPr>
          <w:rFonts w:cs="Times New Roman"/>
          <w:sz w:val="16"/>
          <w:szCs w:val="16"/>
        </w:rPr>
        <w:t xml:space="preserve"> (1) </w:t>
      </w:r>
      <w:r w:rsidRPr="004172EA">
        <w:rPr>
          <w:rFonts w:eastAsia="Times New Roman" w:cs="Times New Roman"/>
          <w:color w:val="000000"/>
          <w:sz w:val="16"/>
          <w:szCs w:val="16"/>
        </w:rPr>
        <w:t>42 CFR 422.122, 42 CFR 440.230, 42 CFR 438.210, 42 CFR 457.732, 42 CFR 457.1233, and 45 CFR 156.223</w:t>
      </w:r>
      <w:r>
        <w:rPr>
          <w:rFonts w:eastAsia="Times New Roman" w:cs="Times New Roman"/>
          <w:color w:val="000000"/>
          <w:sz w:val="16"/>
          <w:szCs w:val="16"/>
        </w:rPr>
        <w:t>;</w:t>
      </w:r>
      <w:r w:rsidR="00E13ED2">
        <w:rPr>
          <w:rFonts w:eastAsia="Times New Roman" w:cs="Times New Roman"/>
          <w:color w:val="000000"/>
          <w:sz w:val="16"/>
          <w:szCs w:val="16"/>
        </w:rPr>
        <w:br/>
      </w:r>
      <w:r>
        <w:rPr>
          <w:rFonts w:eastAsia="Times New Roman" w:cs="Times New Roman"/>
          <w:color w:val="000000"/>
          <w:sz w:val="16"/>
          <w:szCs w:val="16"/>
        </w:rPr>
        <w:t xml:space="preserve">(2) </w:t>
      </w:r>
      <w:r w:rsidRPr="004172EA">
        <w:rPr>
          <w:rFonts w:cs="Times New Roman"/>
          <w:sz w:val="16"/>
          <w:szCs w:val="16"/>
        </w:rPr>
        <w:t>42 CFR 422.121, 42 CFR 422.122, 42 CFR 431.61, 42 CFR 431.80, 42 CFR 438.242, 42 CFR 457.730, 42 CFR 457.731, 42 CFR 457.732, 42 CFR 457.1233, 45 CFR 156.222, and 45 CFR 156.22</w:t>
      </w:r>
      <w:r>
        <w:rPr>
          <w:rFonts w:cs="Times New Roman"/>
          <w:sz w:val="16"/>
          <w:szCs w:val="16"/>
        </w:rPr>
        <w:t xml:space="preserve">3; </w:t>
      </w:r>
      <w:r w:rsidR="00E13ED2">
        <w:rPr>
          <w:rFonts w:cs="Times New Roman"/>
          <w:sz w:val="16"/>
          <w:szCs w:val="16"/>
        </w:rPr>
        <w:br/>
      </w:r>
      <w:r w:rsidR="006B0FD6">
        <w:rPr>
          <w:rFonts w:cs="Times New Roman"/>
          <w:sz w:val="16"/>
          <w:szCs w:val="16"/>
        </w:rPr>
        <w:t xml:space="preserve">(3) </w:t>
      </w:r>
      <w:r w:rsidRPr="004172EA" w:rsidR="006B0FD6">
        <w:rPr>
          <w:rFonts w:eastAsia="Times New Roman" w:cs="Times New Roman"/>
          <w:color w:val="000000"/>
          <w:sz w:val="16"/>
          <w:szCs w:val="16"/>
        </w:rPr>
        <w:t>42 CFR 422.122, 42 CFR 440.230, 42 CFR 438.210, 42 CFR 457.732, 42 CFR 457.123</w:t>
      </w:r>
      <w:r w:rsidR="006B0FD6">
        <w:rPr>
          <w:rFonts w:eastAsia="Times New Roman" w:cs="Times New Roman"/>
          <w:color w:val="000000"/>
          <w:sz w:val="16"/>
          <w:szCs w:val="16"/>
        </w:rPr>
        <w:t>0</w:t>
      </w:r>
      <w:r w:rsidRPr="004172EA" w:rsidR="006B0FD6">
        <w:rPr>
          <w:rFonts w:eastAsia="Times New Roman" w:cs="Times New Roman"/>
          <w:color w:val="000000"/>
          <w:sz w:val="16"/>
          <w:szCs w:val="16"/>
        </w:rPr>
        <w:t>, and 45 CFR 156.223</w:t>
      </w:r>
      <w:r w:rsidR="006B0FD6">
        <w:rPr>
          <w:rFonts w:eastAsia="Times New Roman" w:cs="Times New Roman"/>
          <w:color w:val="000000"/>
          <w:sz w:val="16"/>
          <w:szCs w:val="16"/>
        </w:rPr>
        <w:t>;</w:t>
      </w:r>
      <w:r w:rsidR="006B0FD6">
        <w:rPr>
          <w:spacing w:val="-2"/>
          <w:sz w:val="16"/>
        </w:rPr>
        <w:t xml:space="preserve"> </w:t>
      </w:r>
      <w:r w:rsidR="00DC3856">
        <w:rPr>
          <w:spacing w:val="-2"/>
          <w:sz w:val="16"/>
        </w:rPr>
        <w:br/>
      </w:r>
      <w:r>
        <w:rPr>
          <w:spacing w:val="-2"/>
          <w:sz w:val="16"/>
        </w:rPr>
        <w:t>(</w:t>
      </w:r>
      <w:r w:rsidR="006B0FD6">
        <w:rPr>
          <w:spacing w:val="-2"/>
          <w:sz w:val="16"/>
        </w:rPr>
        <w:t>4</w:t>
      </w:r>
      <w:r>
        <w:rPr>
          <w:spacing w:val="-2"/>
          <w:sz w:val="16"/>
        </w:rPr>
        <w:t>)</w:t>
      </w:r>
      <w:r w:rsidR="00C747E9">
        <w:rPr>
          <w:spacing w:val="-2"/>
          <w:sz w:val="16"/>
        </w:rPr>
        <w:t xml:space="preserve"> </w:t>
      </w:r>
      <w:r w:rsidRPr="004172EA" w:rsidR="00C747E9">
        <w:rPr>
          <w:rFonts w:cs="Times New Roman"/>
          <w:sz w:val="16"/>
          <w:szCs w:val="16"/>
        </w:rPr>
        <w:t>42 CFR 422.121, 42 CFR 422.122, 42 CFR 431.61, 42 CFR 431.80, 42 CFR 438.242, 42 CFR 457.731, 42 CFR 457.732, 42 CFR 457.1233, 45 CFR 156.222, and 45 CFR 156.22</w:t>
      </w:r>
      <w:r w:rsidR="00C747E9">
        <w:rPr>
          <w:rFonts w:cs="Times New Roman"/>
          <w:sz w:val="16"/>
          <w:szCs w:val="16"/>
        </w:rPr>
        <w:t>3;</w:t>
      </w:r>
      <w:r>
        <w:rPr>
          <w:spacing w:val="-2"/>
          <w:sz w:val="16"/>
        </w:rPr>
        <w:t xml:space="preserve"> </w:t>
      </w:r>
      <w:r w:rsidR="00DC3856">
        <w:rPr>
          <w:spacing w:val="-2"/>
          <w:sz w:val="16"/>
        </w:rPr>
        <w:br/>
      </w:r>
      <w:r w:rsidR="00C747E9">
        <w:rPr>
          <w:spacing w:val="-2"/>
          <w:sz w:val="16"/>
        </w:rPr>
        <w:t xml:space="preserve">(5) </w:t>
      </w:r>
      <w:r>
        <w:rPr>
          <w:spacing w:val="-2"/>
          <w:sz w:val="16"/>
        </w:rPr>
        <w:t xml:space="preserve">42 CFR 422.119, </w:t>
      </w:r>
      <w:r w:rsidRPr="004172EA">
        <w:rPr>
          <w:rFonts w:eastAsia="Times New Roman" w:cs="Times New Roman"/>
          <w:color w:val="000000"/>
          <w:sz w:val="16"/>
          <w:szCs w:val="16"/>
        </w:rPr>
        <w:t>42 CFR</w:t>
      </w:r>
      <w:r>
        <w:rPr>
          <w:spacing w:val="-2"/>
          <w:sz w:val="16"/>
        </w:rPr>
        <w:t xml:space="preserve"> 422.120, </w:t>
      </w:r>
      <w:r w:rsidRPr="004172EA">
        <w:rPr>
          <w:rFonts w:eastAsia="Times New Roman" w:cs="Times New Roman"/>
          <w:color w:val="000000"/>
          <w:sz w:val="16"/>
          <w:szCs w:val="16"/>
        </w:rPr>
        <w:t>42 CFR</w:t>
      </w:r>
      <w:r>
        <w:rPr>
          <w:spacing w:val="-2"/>
          <w:sz w:val="16"/>
        </w:rPr>
        <w:t xml:space="preserve"> 422.121, </w:t>
      </w:r>
      <w:r w:rsidRPr="004172EA">
        <w:rPr>
          <w:rFonts w:eastAsia="Times New Roman" w:cs="Times New Roman"/>
          <w:color w:val="000000"/>
          <w:sz w:val="16"/>
          <w:szCs w:val="16"/>
        </w:rPr>
        <w:t>42 CFR</w:t>
      </w:r>
      <w:r>
        <w:rPr>
          <w:spacing w:val="-2"/>
          <w:sz w:val="16"/>
        </w:rPr>
        <w:t xml:space="preserve"> 422.122, </w:t>
      </w:r>
      <w:r w:rsidRPr="004172EA">
        <w:rPr>
          <w:rFonts w:eastAsia="Times New Roman" w:cs="Times New Roman"/>
          <w:color w:val="000000"/>
          <w:sz w:val="16"/>
          <w:szCs w:val="16"/>
        </w:rPr>
        <w:t>42 CFR</w:t>
      </w:r>
      <w:r>
        <w:rPr>
          <w:spacing w:val="-2"/>
          <w:sz w:val="16"/>
        </w:rPr>
        <w:t xml:space="preserve"> 431.60, </w:t>
      </w:r>
      <w:r w:rsidRPr="004172EA">
        <w:rPr>
          <w:rFonts w:eastAsia="Times New Roman" w:cs="Times New Roman"/>
          <w:color w:val="000000"/>
          <w:sz w:val="16"/>
          <w:szCs w:val="16"/>
        </w:rPr>
        <w:t>42 CFR</w:t>
      </w:r>
      <w:r>
        <w:rPr>
          <w:spacing w:val="-2"/>
          <w:sz w:val="16"/>
        </w:rPr>
        <w:t xml:space="preserve"> 431.61, </w:t>
      </w:r>
      <w:r w:rsidRPr="004172EA">
        <w:rPr>
          <w:rFonts w:eastAsia="Times New Roman" w:cs="Times New Roman"/>
          <w:color w:val="000000"/>
          <w:sz w:val="16"/>
          <w:szCs w:val="16"/>
        </w:rPr>
        <w:t>42 CFR</w:t>
      </w:r>
      <w:r>
        <w:rPr>
          <w:spacing w:val="-2"/>
          <w:sz w:val="16"/>
        </w:rPr>
        <w:t xml:space="preserve"> 431.70, </w:t>
      </w:r>
      <w:r w:rsidRPr="004172EA">
        <w:rPr>
          <w:rFonts w:eastAsia="Times New Roman" w:cs="Times New Roman"/>
          <w:color w:val="000000"/>
          <w:sz w:val="16"/>
          <w:szCs w:val="16"/>
        </w:rPr>
        <w:t>42 CFR</w:t>
      </w:r>
      <w:r>
        <w:rPr>
          <w:spacing w:val="-2"/>
          <w:sz w:val="16"/>
        </w:rPr>
        <w:t xml:space="preserve"> 431.80, </w:t>
      </w:r>
      <w:r w:rsidRPr="004172EA">
        <w:rPr>
          <w:rFonts w:eastAsia="Times New Roman" w:cs="Times New Roman"/>
          <w:color w:val="000000"/>
          <w:sz w:val="16"/>
          <w:szCs w:val="16"/>
        </w:rPr>
        <w:t>42 CFR</w:t>
      </w:r>
      <w:r>
        <w:rPr>
          <w:spacing w:val="-2"/>
          <w:sz w:val="16"/>
        </w:rPr>
        <w:t xml:space="preserve"> 457.730, </w:t>
      </w:r>
      <w:r w:rsidRPr="004172EA">
        <w:rPr>
          <w:rFonts w:eastAsia="Times New Roman" w:cs="Times New Roman"/>
          <w:color w:val="000000"/>
          <w:sz w:val="16"/>
          <w:szCs w:val="16"/>
        </w:rPr>
        <w:t>42 CFR</w:t>
      </w:r>
      <w:r>
        <w:rPr>
          <w:spacing w:val="-2"/>
          <w:sz w:val="16"/>
        </w:rPr>
        <w:t xml:space="preserve"> 457.731, </w:t>
      </w:r>
      <w:r w:rsidRPr="004172EA">
        <w:rPr>
          <w:rFonts w:eastAsia="Times New Roman" w:cs="Times New Roman"/>
          <w:color w:val="000000"/>
          <w:sz w:val="16"/>
          <w:szCs w:val="16"/>
        </w:rPr>
        <w:t>42 CFR</w:t>
      </w:r>
      <w:r>
        <w:rPr>
          <w:spacing w:val="-2"/>
          <w:sz w:val="16"/>
        </w:rPr>
        <w:t xml:space="preserve"> 457.732, </w:t>
      </w:r>
      <w:r w:rsidRPr="004172EA">
        <w:rPr>
          <w:rFonts w:eastAsia="Times New Roman" w:cs="Times New Roman"/>
          <w:color w:val="000000"/>
          <w:sz w:val="16"/>
          <w:szCs w:val="16"/>
        </w:rPr>
        <w:t>42 CFR</w:t>
      </w:r>
      <w:r>
        <w:rPr>
          <w:spacing w:val="-2"/>
          <w:sz w:val="16"/>
        </w:rPr>
        <w:t xml:space="preserve"> 457.760</w:t>
      </w:r>
      <w:r w:rsidR="00C747E9">
        <w:rPr>
          <w:spacing w:val="-2"/>
          <w:sz w:val="16"/>
        </w:rPr>
        <w:t xml:space="preserve">, 42 CFR 457.1233, </w:t>
      </w:r>
      <w:r>
        <w:rPr>
          <w:spacing w:val="-2"/>
          <w:sz w:val="16"/>
        </w:rPr>
        <w:t xml:space="preserve">45 CFR 156.221, </w:t>
      </w:r>
      <w:r w:rsidRPr="004172EA">
        <w:rPr>
          <w:rFonts w:eastAsia="Times New Roman" w:cs="Times New Roman"/>
          <w:color w:val="000000"/>
          <w:sz w:val="16"/>
          <w:szCs w:val="16"/>
        </w:rPr>
        <w:t>4</w:t>
      </w:r>
      <w:r>
        <w:rPr>
          <w:rFonts w:eastAsia="Times New Roman" w:cs="Times New Roman"/>
          <w:color w:val="000000"/>
          <w:sz w:val="16"/>
          <w:szCs w:val="16"/>
        </w:rPr>
        <w:t>5</w:t>
      </w:r>
      <w:r w:rsidRPr="004172EA">
        <w:rPr>
          <w:rFonts w:eastAsia="Times New Roman" w:cs="Times New Roman"/>
          <w:color w:val="000000"/>
          <w:sz w:val="16"/>
          <w:szCs w:val="16"/>
        </w:rPr>
        <w:t xml:space="preserve"> CFR</w:t>
      </w:r>
      <w:r>
        <w:rPr>
          <w:spacing w:val="-2"/>
          <w:sz w:val="16"/>
        </w:rPr>
        <w:t xml:space="preserve"> 156.222, and </w:t>
      </w:r>
      <w:r w:rsidRPr="004172EA">
        <w:rPr>
          <w:rFonts w:eastAsia="Times New Roman" w:cs="Times New Roman"/>
          <w:color w:val="000000"/>
          <w:sz w:val="16"/>
          <w:szCs w:val="16"/>
        </w:rPr>
        <w:t>4</w:t>
      </w:r>
      <w:r>
        <w:rPr>
          <w:rFonts w:eastAsia="Times New Roman" w:cs="Times New Roman"/>
          <w:color w:val="000000"/>
          <w:sz w:val="16"/>
          <w:szCs w:val="16"/>
        </w:rPr>
        <w:t>5</w:t>
      </w:r>
      <w:r w:rsidRPr="004172EA">
        <w:rPr>
          <w:rFonts w:eastAsia="Times New Roman" w:cs="Times New Roman"/>
          <w:color w:val="000000"/>
          <w:sz w:val="16"/>
          <w:szCs w:val="16"/>
        </w:rPr>
        <w:t xml:space="preserve"> CFR</w:t>
      </w:r>
      <w:r>
        <w:rPr>
          <w:spacing w:val="-2"/>
          <w:sz w:val="16"/>
        </w:rPr>
        <w:t xml:space="preserve"> 156.223.</w:t>
      </w:r>
    </w:p>
    <w:p w:rsidR="00AD5178" w:rsidP="00875CD0" w14:paraId="4649419D" w14:textId="77777777">
      <w:pPr>
        <w:jc w:val="center"/>
        <w:rPr>
          <w:b/>
          <w:bCs/>
        </w:rPr>
      </w:pPr>
    </w:p>
    <w:p w:rsidR="00875CD0" w:rsidP="00875CD0" w14:paraId="21E0B135" w14:textId="66ECADF9">
      <w:pPr>
        <w:jc w:val="center"/>
        <w:rPr>
          <w:b/>
          <w:bCs/>
        </w:rPr>
      </w:pPr>
      <w:r w:rsidRPr="00E72273">
        <w:rPr>
          <w:b/>
          <w:bCs/>
        </w:rPr>
        <w:t xml:space="preserve">TABLE </w:t>
      </w:r>
      <w:r>
        <w:rPr>
          <w:b/>
          <w:bCs/>
        </w:rPr>
        <w:t>3</w:t>
      </w:r>
      <w:r w:rsidRPr="00E72273">
        <w:rPr>
          <w:b/>
          <w:bCs/>
        </w:rPr>
        <w:t>: COST FOR FIRST</w:t>
      </w:r>
      <w:r w:rsidR="00AD5178">
        <w:rPr>
          <w:b/>
          <w:bCs/>
        </w:rPr>
        <w:t>, SECOND,</w:t>
      </w:r>
      <w:r w:rsidRPr="00E72273">
        <w:rPr>
          <w:b/>
          <w:bCs/>
        </w:rPr>
        <w:t xml:space="preserve"> AND </w:t>
      </w:r>
      <w:r w:rsidR="003038C6">
        <w:rPr>
          <w:b/>
          <w:bCs/>
        </w:rPr>
        <w:t>THIRD</w:t>
      </w:r>
      <w:r w:rsidRPr="00E72273">
        <w:rPr>
          <w:b/>
          <w:bCs/>
        </w:rPr>
        <w:t xml:space="preserve"> YEARS </w:t>
      </w:r>
      <w:r>
        <w:rPr>
          <w:b/>
          <w:bCs/>
        </w:rPr>
        <w:t>OF REPORTING PATIENT AC</w:t>
      </w:r>
      <w:r w:rsidR="003D7AAD">
        <w:rPr>
          <w:b/>
          <w:bCs/>
        </w:rPr>
        <w:t>C</w:t>
      </w:r>
      <w:r>
        <w:rPr>
          <w:b/>
          <w:bCs/>
        </w:rPr>
        <w:t>ESS API AND PRIOR AUTHORIZATION METRICS</w:t>
      </w:r>
    </w:p>
    <w:tbl>
      <w:tblPr>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55"/>
        <w:gridCol w:w="1085"/>
        <w:gridCol w:w="1260"/>
        <w:gridCol w:w="1080"/>
        <w:gridCol w:w="900"/>
        <w:gridCol w:w="1260"/>
        <w:gridCol w:w="1080"/>
        <w:gridCol w:w="1080"/>
        <w:gridCol w:w="1435"/>
      </w:tblGrid>
      <w:tr w14:paraId="4DE55FD5" w14:textId="77777777" w:rsidTr="00AD5178">
        <w:tblPrEx>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0"/>
          <w:jc w:val="center"/>
        </w:trPr>
        <w:tc>
          <w:tcPr>
            <w:tcW w:w="3955" w:type="dxa"/>
            <w:shd w:val="clear" w:color="000000" w:fill="D9D9D9"/>
            <w:vAlign w:val="center"/>
            <w:hideMark/>
          </w:tcPr>
          <w:p w:rsidR="00875CD0" w:rsidRPr="00A82CD4" w:rsidP="0019207F" w14:paraId="43FB06DC" w14:textId="77777777">
            <w:pPr>
              <w:pStyle w:val="NoSpacing"/>
              <w:jc w:val="center"/>
              <w:rPr>
                <w:rFonts w:asciiTheme="minorHAnsi" w:hAnsiTheme="minorHAnsi" w:cstheme="minorHAnsi"/>
                <w:b/>
                <w:bCs/>
                <w:sz w:val="17"/>
                <w:szCs w:val="17"/>
              </w:rPr>
            </w:pPr>
            <w:r w:rsidRPr="00A82CD4">
              <w:rPr>
                <w:rFonts w:asciiTheme="minorHAnsi" w:hAnsiTheme="minorHAnsi" w:cstheme="minorHAnsi"/>
                <w:b/>
                <w:bCs/>
                <w:sz w:val="17"/>
                <w:szCs w:val="17"/>
              </w:rPr>
              <w:t>Item</w:t>
            </w:r>
          </w:p>
        </w:tc>
        <w:tc>
          <w:tcPr>
            <w:tcW w:w="1085" w:type="dxa"/>
            <w:shd w:val="clear" w:color="000000" w:fill="D9D9D9"/>
            <w:vAlign w:val="center"/>
            <w:hideMark/>
          </w:tcPr>
          <w:p w:rsidR="00875CD0" w:rsidRPr="00A82CD4" w:rsidP="0019207F" w14:paraId="10430024" w14:textId="77777777">
            <w:pPr>
              <w:pStyle w:val="NoSpacing"/>
              <w:jc w:val="center"/>
              <w:rPr>
                <w:rFonts w:asciiTheme="minorHAnsi" w:hAnsiTheme="minorHAnsi" w:cstheme="minorHAnsi"/>
                <w:b/>
                <w:bCs/>
                <w:sz w:val="17"/>
                <w:szCs w:val="17"/>
              </w:rPr>
            </w:pPr>
            <w:r w:rsidRPr="00A82CD4">
              <w:rPr>
                <w:rFonts w:asciiTheme="minorHAnsi" w:hAnsiTheme="minorHAnsi" w:cstheme="minorHAnsi"/>
                <w:b/>
                <w:bCs/>
                <w:sz w:val="17"/>
                <w:szCs w:val="17"/>
              </w:rPr>
              <w:t>Regulatory Citations</w:t>
            </w:r>
          </w:p>
        </w:tc>
        <w:tc>
          <w:tcPr>
            <w:tcW w:w="1260" w:type="dxa"/>
            <w:shd w:val="clear" w:color="000000" w:fill="D9D9D9"/>
            <w:vAlign w:val="center"/>
            <w:hideMark/>
          </w:tcPr>
          <w:p w:rsidR="00875CD0" w:rsidRPr="00A82CD4" w:rsidP="0019207F" w14:paraId="75690CDD" w14:textId="77777777">
            <w:pPr>
              <w:pStyle w:val="NoSpacing"/>
              <w:jc w:val="center"/>
              <w:rPr>
                <w:rFonts w:asciiTheme="minorHAnsi" w:hAnsiTheme="minorHAnsi" w:cstheme="minorHAnsi"/>
                <w:b/>
                <w:bCs/>
                <w:sz w:val="17"/>
                <w:szCs w:val="17"/>
              </w:rPr>
            </w:pPr>
            <w:r w:rsidRPr="00A82CD4">
              <w:rPr>
                <w:rFonts w:asciiTheme="minorHAnsi" w:hAnsiTheme="minorHAnsi" w:cstheme="minorHAnsi"/>
                <w:b/>
                <w:bCs/>
                <w:sz w:val="17"/>
                <w:szCs w:val="17"/>
              </w:rPr>
              <w:t>Number of Respondents</w:t>
            </w:r>
          </w:p>
        </w:tc>
        <w:tc>
          <w:tcPr>
            <w:tcW w:w="1080" w:type="dxa"/>
            <w:shd w:val="clear" w:color="000000" w:fill="D9D9D9"/>
            <w:vAlign w:val="center"/>
            <w:hideMark/>
          </w:tcPr>
          <w:p w:rsidR="00875CD0" w:rsidRPr="00A82CD4" w:rsidP="0019207F" w14:paraId="5A1F656E" w14:textId="77777777">
            <w:pPr>
              <w:pStyle w:val="NoSpacing"/>
              <w:jc w:val="center"/>
              <w:rPr>
                <w:rFonts w:asciiTheme="minorHAnsi" w:hAnsiTheme="minorHAnsi" w:cstheme="minorHAnsi"/>
                <w:b/>
                <w:bCs/>
                <w:sz w:val="17"/>
                <w:szCs w:val="17"/>
              </w:rPr>
            </w:pPr>
            <w:r w:rsidRPr="00A82CD4">
              <w:rPr>
                <w:rFonts w:asciiTheme="minorHAnsi" w:hAnsiTheme="minorHAnsi" w:cstheme="minorHAnsi"/>
                <w:b/>
                <w:bCs/>
                <w:sz w:val="17"/>
                <w:szCs w:val="17"/>
              </w:rPr>
              <w:t>Time per Respondent (Hour)</w:t>
            </w:r>
          </w:p>
        </w:tc>
        <w:tc>
          <w:tcPr>
            <w:tcW w:w="900" w:type="dxa"/>
            <w:shd w:val="clear" w:color="000000" w:fill="D9D9D9"/>
            <w:vAlign w:val="center"/>
            <w:hideMark/>
          </w:tcPr>
          <w:p w:rsidR="00875CD0" w:rsidRPr="00A82CD4" w:rsidP="0019207F" w14:paraId="01832394" w14:textId="77777777">
            <w:pPr>
              <w:pStyle w:val="NoSpacing"/>
              <w:jc w:val="center"/>
              <w:rPr>
                <w:rFonts w:asciiTheme="minorHAnsi" w:hAnsiTheme="minorHAnsi" w:cstheme="minorHAnsi"/>
                <w:b/>
                <w:bCs/>
                <w:sz w:val="17"/>
                <w:szCs w:val="17"/>
              </w:rPr>
            </w:pPr>
            <w:r w:rsidRPr="00A82CD4">
              <w:rPr>
                <w:rFonts w:asciiTheme="minorHAnsi" w:hAnsiTheme="minorHAnsi" w:cstheme="minorHAnsi"/>
                <w:b/>
                <w:bCs/>
                <w:sz w:val="17"/>
                <w:szCs w:val="17"/>
              </w:rPr>
              <w:t>Total Annual Hours</w:t>
            </w:r>
          </w:p>
        </w:tc>
        <w:tc>
          <w:tcPr>
            <w:tcW w:w="1260" w:type="dxa"/>
            <w:shd w:val="clear" w:color="000000" w:fill="D9D9D9"/>
            <w:vAlign w:val="center"/>
            <w:hideMark/>
          </w:tcPr>
          <w:p w:rsidR="00875CD0" w:rsidRPr="00A82CD4" w:rsidP="0019207F" w14:paraId="1EF8867C" w14:textId="77777777">
            <w:pPr>
              <w:pStyle w:val="NoSpacing"/>
              <w:jc w:val="center"/>
              <w:rPr>
                <w:rFonts w:asciiTheme="minorHAnsi" w:hAnsiTheme="minorHAnsi" w:cstheme="minorHAnsi"/>
                <w:b/>
                <w:bCs/>
                <w:sz w:val="17"/>
                <w:szCs w:val="17"/>
              </w:rPr>
            </w:pPr>
            <w:r w:rsidRPr="00A82CD4">
              <w:rPr>
                <w:rFonts w:asciiTheme="minorHAnsi" w:hAnsiTheme="minorHAnsi" w:cstheme="minorHAnsi"/>
                <w:b/>
                <w:bCs/>
                <w:sz w:val="17"/>
                <w:szCs w:val="17"/>
              </w:rPr>
              <w:t>Labor Cost ($/Hour)</w:t>
            </w:r>
          </w:p>
        </w:tc>
        <w:tc>
          <w:tcPr>
            <w:tcW w:w="1080" w:type="dxa"/>
            <w:shd w:val="clear" w:color="000000" w:fill="D9D9D9"/>
            <w:vAlign w:val="center"/>
            <w:hideMark/>
          </w:tcPr>
          <w:p w:rsidR="00875CD0" w:rsidRPr="00A82CD4" w:rsidP="0019207F" w14:paraId="3F4C12D9" w14:textId="20DB185A">
            <w:pPr>
              <w:pStyle w:val="NoSpacing"/>
              <w:jc w:val="center"/>
              <w:rPr>
                <w:rFonts w:asciiTheme="minorHAnsi" w:hAnsiTheme="minorHAnsi" w:cstheme="minorHAnsi"/>
                <w:b/>
                <w:bCs/>
                <w:sz w:val="17"/>
                <w:szCs w:val="17"/>
              </w:rPr>
            </w:pPr>
            <w:r>
              <w:rPr>
                <w:rFonts w:asciiTheme="minorHAnsi" w:hAnsiTheme="minorHAnsi" w:cstheme="minorHAnsi"/>
                <w:b/>
                <w:bCs/>
                <w:sz w:val="17"/>
                <w:szCs w:val="17"/>
              </w:rPr>
              <w:t>1st</w:t>
            </w:r>
            <w:r w:rsidRPr="00A82CD4">
              <w:rPr>
                <w:rFonts w:asciiTheme="minorHAnsi" w:hAnsiTheme="minorHAnsi" w:cstheme="minorHAnsi"/>
                <w:b/>
                <w:bCs/>
                <w:sz w:val="17"/>
                <w:szCs w:val="17"/>
              </w:rPr>
              <w:t xml:space="preserve"> Year Cost (Millions $)</w:t>
            </w:r>
          </w:p>
        </w:tc>
        <w:tc>
          <w:tcPr>
            <w:tcW w:w="1080" w:type="dxa"/>
            <w:shd w:val="clear" w:color="000000" w:fill="D9D9D9"/>
            <w:vAlign w:val="center"/>
            <w:hideMark/>
          </w:tcPr>
          <w:p w:rsidR="00875CD0" w:rsidRPr="00A82CD4" w:rsidP="0019207F" w14:paraId="647BDEF7" w14:textId="104207F2">
            <w:pPr>
              <w:pStyle w:val="NoSpacing"/>
              <w:jc w:val="center"/>
              <w:rPr>
                <w:rFonts w:asciiTheme="minorHAnsi" w:hAnsiTheme="minorHAnsi" w:cstheme="minorHAnsi"/>
                <w:b/>
                <w:bCs/>
                <w:sz w:val="17"/>
                <w:szCs w:val="17"/>
              </w:rPr>
            </w:pPr>
            <w:r>
              <w:rPr>
                <w:rFonts w:asciiTheme="minorHAnsi" w:hAnsiTheme="minorHAnsi" w:cstheme="minorHAnsi"/>
                <w:b/>
                <w:bCs/>
                <w:sz w:val="17"/>
                <w:szCs w:val="17"/>
              </w:rPr>
              <w:t>2nd</w:t>
            </w:r>
            <w:r w:rsidRPr="00A82CD4">
              <w:rPr>
                <w:rFonts w:asciiTheme="minorHAnsi" w:hAnsiTheme="minorHAnsi" w:cstheme="minorHAnsi"/>
                <w:b/>
                <w:bCs/>
                <w:sz w:val="17"/>
                <w:szCs w:val="17"/>
              </w:rPr>
              <w:t xml:space="preserve"> Year Cost (Millions $)</w:t>
            </w:r>
          </w:p>
        </w:tc>
        <w:tc>
          <w:tcPr>
            <w:tcW w:w="1435" w:type="dxa"/>
            <w:shd w:val="clear" w:color="000000" w:fill="D9D9D9"/>
            <w:vAlign w:val="center"/>
            <w:hideMark/>
          </w:tcPr>
          <w:p w:rsidR="00875CD0" w:rsidRPr="00A82CD4" w:rsidP="0019207F" w14:paraId="7F25A0DD" w14:textId="7B6FB50F">
            <w:pPr>
              <w:pStyle w:val="NoSpacing"/>
              <w:jc w:val="center"/>
              <w:rPr>
                <w:rFonts w:asciiTheme="minorHAnsi" w:hAnsiTheme="minorHAnsi" w:cstheme="minorHAnsi"/>
                <w:b/>
                <w:bCs/>
                <w:sz w:val="17"/>
                <w:szCs w:val="17"/>
              </w:rPr>
            </w:pPr>
            <w:r>
              <w:rPr>
                <w:rFonts w:asciiTheme="minorHAnsi" w:hAnsiTheme="minorHAnsi" w:cstheme="minorHAnsi"/>
                <w:b/>
                <w:bCs/>
                <w:sz w:val="17"/>
                <w:szCs w:val="17"/>
              </w:rPr>
              <w:t>3rd</w:t>
            </w:r>
            <w:r w:rsidRPr="00A82CD4">
              <w:rPr>
                <w:rFonts w:asciiTheme="minorHAnsi" w:hAnsiTheme="minorHAnsi" w:cstheme="minorHAnsi"/>
                <w:b/>
                <w:bCs/>
                <w:sz w:val="17"/>
                <w:szCs w:val="17"/>
              </w:rPr>
              <w:t xml:space="preserve"> Year Cost (Millions $)</w:t>
            </w:r>
          </w:p>
        </w:tc>
      </w:tr>
      <w:tr w14:paraId="38542A77" w14:textId="77777777" w:rsidTr="00BA5FA4">
        <w:tblPrEx>
          <w:tblW w:w="13135" w:type="dxa"/>
          <w:jc w:val="center"/>
          <w:tblLayout w:type="fixed"/>
          <w:tblLook w:val="04A0"/>
        </w:tblPrEx>
        <w:trPr>
          <w:trHeight w:val="251"/>
          <w:jc w:val="center"/>
        </w:trPr>
        <w:tc>
          <w:tcPr>
            <w:tcW w:w="3955" w:type="dxa"/>
            <w:vAlign w:val="center"/>
            <w:hideMark/>
          </w:tcPr>
          <w:p w:rsidR="00875CD0" w:rsidRPr="00A82CD4" w:rsidP="0019207F" w14:paraId="739A3C9A" w14:textId="588C13DB">
            <w:pPr>
              <w:pStyle w:val="NoSpacing"/>
              <w:rPr>
                <w:rFonts w:asciiTheme="minorHAnsi" w:hAnsiTheme="minorHAnsi" w:cstheme="minorHAnsi"/>
                <w:sz w:val="17"/>
                <w:szCs w:val="17"/>
              </w:rPr>
            </w:pPr>
            <w:r w:rsidRPr="00A82CD4">
              <w:rPr>
                <w:rFonts w:asciiTheme="minorHAnsi" w:hAnsiTheme="minorHAnsi" w:cstheme="minorHAnsi"/>
                <w:sz w:val="17"/>
                <w:szCs w:val="17"/>
              </w:rPr>
              <w:t xml:space="preserve">Patient Access API Metrics Reporting </w:t>
            </w:r>
            <w:r w:rsidR="007975FA">
              <w:rPr>
                <w:rFonts w:asciiTheme="minorHAnsi" w:hAnsiTheme="minorHAnsi" w:cstheme="minorHAnsi"/>
                <w:sz w:val="17"/>
                <w:szCs w:val="17"/>
              </w:rPr>
              <w:t xml:space="preserve">to CMS </w:t>
            </w:r>
            <w:r w:rsidRPr="00A82CD4">
              <w:rPr>
                <w:rFonts w:asciiTheme="minorHAnsi" w:hAnsiTheme="minorHAnsi" w:cstheme="minorHAnsi"/>
                <w:sz w:val="17"/>
                <w:szCs w:val="17"/>
              </w:rPr>
              <w:t>(1</w:t>
            </w:r>
            <w:r w:rsidRPr="00A82CD4">
              <w:rPr>
                <w:rFonts w:asciiTheme="minorHAnsi" w:hAnsiTheme="minorHAnsi" w:cstheme="minorHAnsi"/>
                <w:sz w:val="17"/>
                <w:szCs w:val="17"/>
                <w:vertAlign w:val="superscript"/>
              </w:rPr>
              <w:t>st</w:t>
            </w:r>
            <w:r w:rsidRPr="00A82CD4">
              <w:rPr>
                <w:rFonts w:asciiTheme="minorHAnsi" w:hAnsiTheme="minorHAnsi" w:cstheme="minorHAnsi"/>
                <w:sz w:val="17"/>
                <w:szCs w:val="17"/>
              </w:rPr>
              <w:t xml:space="preserve"> Year)</w:t>
            </w:r>
          </w:p>
        </w:tc>
        <w:tc>
          <w:tcPr>
            <w:tcW w:w="1085" w:type="dxa"/>
            <w:hideMark/>
          </w:tcPr>
          <w:p w:rsidR="00875CD0" w:rsidRPr="00A82CD4" w:rsidP="0019207F" w14:paraId="7F13D20F" w14:textId="60E79AB6">
            <w:pPr>
              <w:pStyle w:val="NoSpacing"/>
              <w:jc w:val="right"/>
              <w:rPr>
                <w:rFonts w:asciiTheme="minorHAnsi" w:hAnsiTheme="minorHAnsi" w:cstheme="minorHAnsi"/>
                <w:sz w:val="17"/>
                <w:szCs w:val="17"/>
              </w:rPr>
            </w:pPr>
            <w:r>
              <w:rPr>
                <w:rFonts w:asciiTheme="minorHAnsi" w:hAnsiTheme="minorHAnsi" w:cstheme="minorHAnsi"/>
                <w:sz w:val="17"/>
                <w:szCs w:val="17"/>
              </w:rPr>
              <w:t>(</w:t>
            </w:r>
            <w:r w:rsidRPr="00A82CD4">
              <w:rPr>
                <w:rFonts w:asciiTheme="minorHAnsi" w:hAnsiTheme="minorHAnsi" w:cstheme="minorHAnsi"/>
                <w:sz w:val="17"/>
                <w:szCs w:val="17"/>
              </w:rPr>
              <w:t>1</w:t>
            </w:r>
            <w:r>
              <w:rPr>
                <w:rFonts w:asciiTheme="minorHAnsi" w:hAnsiTheme="minorHAnsi" w:cstheme="minorHAnsi"/>
                <w:sz w:val="17"/>
                <w:szCs w:val="17"/>
              </w:rPr>
              <w:t>)</w:t>
            </w:r>
          </w:p>
        </w:tc>
        <w:tc>
          <w:tcPr>
            <w:tcW w:w="1260" w:type="dxa"/>
            <w:hideMark/>
          </w:tcPr>
          <w:p w:rsidR="00875CD0" w:rsidRPr="00A82CD4" w:rsidP="0019207F" w14:paraId="366E7BDE" w14:textId="0781FA70">
            <w:pPr>
              <w:pStyle w:val="NoSpacing"/>
              <w:jc w:val="right"/>
              <w:rPr>
                <w:rFonts w:asciiTheme="minorHAnsi" w:hAnsiTheme="minorHAnsi" w:cstheme="minorHAnsi"/>
                <w:sz w:val="17"/>
                <w:szCs w:val="17"/>
              </w:rPr>
            </w:pPr>
            <w:r w:rsidRPr="00BA5FA4">
              <w:rPr>
                <w:rFonts w:asciiTheme="minorHAnsi" w:hAnsiTheme="minorHAnsi" w:cstheme="minorHAnsi"/>
                <w:sz w:val="17"/>
                <w:szCs w:val="17"/>
              </w:rPr>
              <w:t>341</w:t>
            </w:r>
          </w:p>
        </w:tc>
        <w:tc>
          <w:tcPr>
            <w:tcW w:w="1080" w:type="dxa"/>
            <w:noWrap/>
            <w:hideMark/>
          </w:tcPr>
          <w:p w:rsidR="00875CD0" w:rsidRPr="00A82CD4" w:rsidP="0019207F" w14:paraId="4792B536" w14:textId="20714313">
            <w:pPr>
              <w:pStyle w:val="NoSpacing"/>
              <w:jc w:val="right"/>
              <w:rPr>
                <w:rFonts w:asciiTheme="minorHAnsi" w:hAnsiTheme="minorHAnsi" w:cstheme="minorHAnsi"/>
                <w:sz w:val="17"/>
                <w:szCs w:val="17"/>
              </w:rPr>
            </w:pPr>
            <w:r w:rsidRPr="00BA5FA4">
              <w:rPr>
                <w:rFonts w:asciiTheme="minorHAnsi" w:hAnsiTheme="minorHAnsi" w:cstheme="minorHAnsi"/>
                <w:sz w:val="17"/>
                <w:szCs w:val="17"/>
              </w:rPr>
              <w:t>160</w:t>
            </w:r>
          </w:p>
        </w:tc>
        <w:tc>
          <w:tcPr>
            <w:tcW w:w="900" w:type="dxa"/>
            <w:noWrap/>
            <w:hideMark/>
          </w:tcPr>
          <w:p w:rsidR="00875CD0" w:rsidRPr="00A82CD4" w:rsidP="0019207F" w14:paraId="623EAFFB" w14:textId="34270612">
            <w:pPr>
              <w:pStyle w:val="NoSpacing"/>
              <w:jc w:val="right"/>
              <w:rPr>
                <w:rFonts w:asciiTheme="minorHAnsi" w:hAnsiTheme="minorHAnsi" w:cstheme="minorHAnsi"/>
                <w:sz w:val="17"/>
                <w:szCs w:val="17"/>
              </w:rPr>
            </w:pPr>
            <w:r w:rsidRPr="00BA5FA4">
              <w:rPr>
                <w:rFonts w:asciiTheme="minorHAnsi" w:hAnsiTheme="minorHAnsi" w:cstheme="minorHAnsi"/>
                <w:sz w:val="17"/>
                <w:szCs w:val="17"/>
              </w:rPr>
              <w:t>54,560</w:t>
            </w:r>
          </w:p>
        </w:tc>
        <w:tc>
          <w:tcPr>
            <w:tcW w:w="1260" w:type="dxa"/>
            <w:noWrap/>
            <w:hideMark/>
          </w:tcPr>
          <w:p w:rsidR="00875CD0" w:rsidRPr="00A82CD4" w:rsidP="0019207F" w14:paraId="19F22872" w14:textId="5820B608">
            <w:pPr>
              <w:pStyle w:val="NoSpacing"/>
              <w:jc w:val="right"/>
              <w:rPr>
                <w:rFonts w:asciiTheme="minorHAnsi" w:hAnsiTheme="minorHAnsi" w:cstheme="minorHAnsi"/>
                <w:sz w:val="17"/>
                <w:szCs w:val="17"/>
              </w:rPr>
            </w:pPr>
            <w:r w:rsidRPr="00BA5FA4">
              <w:rPr>
                <w:rFonts w:asciiTheme="minorHAnsi" w:hAnsiTheme="minorHAnsi" w:cstheme="minorHAnsi"/>
                <w:sz w:val="17"/>
                <w:szCs w:val="17"/>
              </w:rPr>
              <w:t xml:space="preserve">$107.02 </w:t>
            </w:r>
          </w:p>
        </w:tc>
        <w:tc>
          <w:tcPr>
            <w:tcW w:w="1080" w:type="dxa"/>
            <w:noWrap/>
            <w:hideMark/>
          </w:tcPr>
          <w:p w:rsidR="00875CD0" w:rsidRPr="00A82CD4" w:rsidP="0019207F" w14:paraId="7A066558" w14:textId="334C1920">
            <w:pPr>
              <w:pStyle w:val="NoSpacing"/>
              <w:jc w:val="right"/>
              <w:rPr>
                <w:rFonts w:asciiTheme="minorHAnsi" w:hAnsiTheme="minorHAnsi" w:cstheme="minorHAnsi"/>
                <w:sz w:val="17"/>
                <w:szCs w:val="17"/>
              </w:rPr>
            </w:pPr>
            <w:r w:rsidRPr="00BA5FA4">
              <w:rPr>
                <w:rFonts w:asciiTheme="minorHAnsi" w:hAnsiTheme="minorHAnsi" w:cstheme="minorHAnsi"/>
                <w:sz w:val="17"/>
                <w:szCs w:val="17"/>
              </w:rPr>
              <w:t>$5</w:t>
            </w:r>
            <w:r>
              <w:rPr>
                <w:rFonts w:asciiTheme="minorHAnsi" w:hAnsiTheme="minorHAnsi" w:cstheme="minorHAnsi"/>
                <w:sz w:val="17"/>
                <w:szCs w:val="17"/>
              </w:rPr>
              <w:t>.8</w:t>
            </w:r>
            <w:r w:rsidR="00561E45">
              <w:rPr>
                <w:rFonts w:asciiTheme="minorHAnsi" w:hAnsiTheme="minorHAnsi" w:cstheme="minorHAnsi"/>
                <w:sz w:val="17"/>
                <w:szCs w:val="17"/>
              </w:rPr>
              <w:t>4</w:t>
            </w:r>
            <w:r w:rsidRPr="003A269A">
              <w:rPr>
                <w:rFonts w:asciiTheme="minorHAnsi" w:hAnsiTheme="minorHAnsi" w:cstheme="minorHAnsi"/>
                <w:sz w:val="17"/>
                <w:szCs w:val="17"/>
              </w:rPr>
              <w:t xml:space="preserve"> </w:t>
            </w:r>
          </w:p>
        </w:tc>
        <w:tc>
          <w:tcPr>
            <w:tcW w:w="1080" w:type="dxa"/>
            <w:hideMark/>
          </w:tcPr>
          <w:p w:rsidR="00875CD0" w:rsidRPr="00A82CD4" w:rsidP="0019207F" w14:paraId="626AC931" w14:textId="4BA768A6">
            <w:pPr>
              <w:pStyle w:val="NoSpacing"/>
              <w:jc w:val="right"/>
              <w:rPr>
                <w:rFonts w:asciiTheme="minorHAnsi" w:hAnsiTheme="minorHAnsi" w:cstheme="minorHAnsi"/>
                <w:sz w:val="17"/>
                <w:szCs w:val="17"/>
              </w:rPr>
            </w:pPr>
            <w:r>
              <w:rPr>
                <w:rFonts w:asciiTheme="minorHAnsi" w:hAnsiTheme="minorHAnsi" w:cstheme="minorHAnsi"/>
                <w:sz w:val="17"/>
                <w:szCs w:val="17"/>
              </w:rPr>
              <w:t>-</w:t>
            </w:r>
          </w:p>
        </w:tc>
        <w:tc>
          <w:tcPr>
            <w:tcW w:w="1435" w:type="dxa"/>
            <w:noWrap/>
            <w:hideMark/>
          </w:tcPr>
          <w:p w:rsidR="00875CD0" w:rsidRPr="00A82CD4" w:rsidP="0019207F" w14:paraId="35B5501E" w14:textId="68FD77DF">
            <w:pPr>
              <w:pStyle w:val="NoSpacing"/>
              <w:jc w:val="right"/>
              <w:rPr>
                <w:rFonts w:asciiTheme="minorHAnsi" w:hAnsiTheme="minorHAnsi" w:cstheme="minorHAnsi"/>
                <w:sz w:val="17"/>
                <w:szCs w:val="17"/>
              </w:rPr>
            </w:pPr>
            <w:r>
              <w:rPr>
                <w:rFonts w:asciiTheme="minorHAnsi" w:hAnsiTheme="minorHAnsi" w:cstheme="minorHAnsi"/>
                <w:sz w:val="17"/>
                <w:szCs w:val="17"/>
              </w:rPr>
              <w:t>-</w:t>
            </w:r>
          </w:p>
        </w:tc>
      </w:tr>
      <w:tr w14:paraId="05BB0D94" w14:textId="77777777" w:rsidTr="00BA5FA4">
        <w:tblPrEx>
          <w:tblW w:w="13135" w:type="dxa"/>
          <w:jc w:val="center"/>
          <w:tblLayout w:type="fixed"/>
          <w:tblLook w:val="04A0"/>
        </w:tblPrEx>
        <w:trPr>
          <w:trHeight w:val="449"/>
          <w:jc w:val="center"/>
        </w:trPr>
        <w:tc>
          <w:tcPr>
            <w:tcW w:w="3955" w:type="dxa"/>
            <w:vAlign w:val="center"/>
            <w:hideMark/>
          </w:tcPr>
          <w:p w:rsidR="00875CD0" w:rsidRPr="00A82CD4" w:rsidP="0019207F" w14:paraId="0FEDF1BF" w14:textId="7045DC2D">
            <w:pPr>
              <w:pStyle w:val="NoSpacing"/>
              <w:rPr>
                <w:rFonts w:asciiTheme="minorHAnsi" w:hAnsiTheme="minorHAnsi" w:cstheme="minorHAnsi"/>
                <w:sz w:val="17"/>
                <w:szCs w:val="17"/>
              </w:rPr>
            </w:pPr>
            <w:r w:rsidRPr="00A82CD4">
              <w:rPr>
                <w:rFonts w:asciiTheme="minorHAnsi" w:hAnsiTheme="minorHAnsi" w:cstheme="minorHAnsi"/>
                <w:sz w:val="17"/>
                <w:szCs w:val="17"/>
              </w:rPr>
              <w:t xml:space="preserve">Patient Access API Metrics Reporting </w:t>
            </w:r>
            <w:r w:rsidR="007975FA">
              <w:rPr>
                <w:rFonts w:asciiTheme="minorHAnsi" w:hAnsiTheme="minorHAnsi" w:cstheme="minorHAnsi"/>
                <w:sz w:val="17"/>
                <w:szCs w:val="17"/>
              </w:rPr>
              <w:t xml:space="preserve">to CMS </w:t>
            </w:r>
            <w:r w:rsidRPr="00A82CD4">
              <w:rPr>
                <w:rFonts w:asciiTheme="minorHAnsi" w:hAnsiTheme="minorHAnsi" w:cstheme="minorHAnsi"/>
                <w:sz w:val="17"/>
                <w:szCs w:val="17"/>
              </w:rPr>
              <w:t>(</w:t>
            </w:r>
            <w:r w:rsidR="003038C6">
              <w:rPr>
                <w:rFonts w:asciiTheme="minorHAnsi" w:hAnsiTheme="minorHAnsi" w:cstheme="minorHAnsi"/>
                <w:sz w:val="17"/>
                <w:szCs w:val="17"/>
              </w:rPr>
              <w:t>2</w:t>
            </w:r>
            <w:r w:rsidRPr="00BA5FA4" w:rsidR="003038C6">
              <w:rPr>
                <w:rFonts w:asciiTheme="minorHAnsi" w:hAnsiTheme="minorHAnsi" w:cstheme="minorHAnsi"/>
                <w:sz w:val="17"/>
                <w:szCs w:val="17"/>
                <w:vertAlign w:val="superscript"/>
              </w:rPr>
              <w:t>nd</w:t>
            </w:r>
            <w:r w:rsidR="003038C6">
              <w:rPr>
                <w:rFonts w:asciiTheme="minorHAnsi" w:hAnsiTheme="minorHAnsi" w:cstheme="minorHAnsi"/>
                <w:sz w:val="17"/>
                <w:szCs w:val="17"/>
              </w:rPr>
              <w:t xml:space="preserve"> and 3</w:t>
            </w:r>
            <w:r w:rsidRPr="00BA5FA4" w:rsidR="003038C6">
              <w:rPr>
                <w:rFonts w:asciiTheme="minorHAnsi" w:hAnsiTheme="minorHAnsi" w:cstheme="minorHAnsi"/>
                <w:sz w:val="17"/>
                <w:szCs w:val="17"/>
                <w:vertAlign w:val="superscript"/>
              </w:rPr>
              <w:t>rd</w:t>
            </w:r>
            <w:r w:rsidRPr="00A82CD4">
              <w:rPr>
                <w:rFonts w:asciiTheme="minorHAnsi" w:hAnsiTheme="minorHAnsi" w:cstheme="minorHAnsi"/>
                <w:sz w:val="17"/>
                <w:szCs w:val="17"/>
              </w:rPr>
              <w:t xml:space="preserve"> Years)</w:t>
            </w:r>
          </w:p>
        </w:tc>
        <w:tc>
          <w:tcPr>
            <w:tcW w:w="1085" w:type="dxa"/>
            <w:hideMark/>
          </w:tcPr>
          <w:p w:rsidR="00875CD0" w:rsidRPr="00A82CD4" w:rsidP="0019207F" w14:paraId="365FF00C" w14:textId="21F55E34">
            <w:pPr>
              <w:pStyle w:val="NoSpacing"/>
              <w:jc w:val="right"/>
              <w:rPr>
                <w:rFonts w:asciiTheme="minorHAnsi" w:hAnsiTheme="minorHAnsi" w:cstheme="minorHAnsi"/>
                <w:sz w:val="17"/>
                <w:szCs w:val="17"/>
              </w:rPr>
            </w:pPr>
            <w:r>
              <w:rPr>
                <w:rFonts w:asciiTheme="minorHAnsi" w:hAnsiTheme="minorHAnsi" w:cstheme="minorHAnsi"/>
                <w:sz w:val="17"/>
                <w:szCs w:val="17"/>
              </w:rPr>
              <w:t>(</w:t>
            </w:r>
            <w:r w:rsidRPr="00A82CD4">
              <w:rPr>
                <w:rFonts w:asciiTheme="minorHAnsi" w:hAnsiTheme="minorHAnsi" w:cstheme="minorHAnsi"/>
                <w:sz w:val="17"/>
                <w:szCs w:val="17"/>
              </w:rPr>
              <w:t>1</w:t>
            </w:r>
            <w:r>
              <w:rPr>
                <w:rFonts w:asciiTheme="minorHAnsi" w:hAnsiTheme="minorHAnsi" w:cstheme="minorHAnsi"/>
                <w:sz w:val="17"/>
                <w:szCs w:val="17"/>
              </w:rPr>
              <w:t>)</w:t>
            </w:r>
          </w:p>
        </w:tc>
        <w:tc>
          <w:tcPr>
            <w:tcW w:w="1260" w:type="dxa"/>
            <w:hideMark/>
          </w:tcPr>
          <w:p w:rsidR="00875CD0" w:rsidRPr="00A82CD4" w:rsidP="0019207F" w14:paraId="1988D706" w14:textId="1F71D2F7">
            <w:pPr>
              <w:pStyle w:val="NoSpacing"/>
              <w:jc w:val="right"/>
              <w:rPr>
                <w:rFonts w:asciiTheme="minorHAnsi" w:hAnsiTheme="minorHAnsi" w:cstheme="minorHAnsi"/>
                <w:sz w:val="17"/>
                <w:szCs w:val="17"/>
              </w:rPr>
            </w:pPr>
            <w:r w:rsidRPr="00BA5FA4">
              <w:rPr>
                <w:rFonts w:asciiTheme="minorHAnsi" w:hAnsiTheme="minorHAnsi" w:cstheme="minorHAnsi"/>
                <w:sz w:val="17"/>
                <w:szCs w:val="17"/>
              </w:rPr>
              <w:t>341</w:t>
            </w:r>
          </w:p>
        </w:tc>
        <w:tc>
          <w:tcPr>
            <w:tcW w:w="1080" w:type="dxa"/>
            <w:noWrap/>
            <w:hideMark/>
          </w:tcPr>
          <w:p w:rsidR="00875CD0" w:rsidRPr="00A82CD4" w:rsidP="0019207F" w14:paraId="31ADD2C7" w14:textId="6CB71031">
            <w:pPr>
              <w:pStyle w:val="NoSpacing"/>
              <w:jc w:val="right"/>
              <w:rPr>
                <w:rFonts w:asciiTheme="minorHAnsi" w:hAnsiTheme="minorHAnsi" w:cstheme="minorHAnsi"/>
                <w:sz w:val="17"/>
                <w:szCs w:val="17"/>
              </w:rPr>
            </w:pPr>
            <w:r w:rsidRPr="00BA5FA4">
              <w:rPr>
                <w:rFonts w:asciiTheme="minorHAnsi" w:hAnsiTheme="minorHAnsi" w:cstheme="minorHAnsi"/>
                <w:sz w:val="17"/>
                <w:szCs w:val="17"/>
              </w:rPr>
              <w:t>40</w:t>
            </w:r>
          </w:p>
        </w:tc>
        <w:tc>
          <w:tcPr>
            <w:tcW w:w="900" w:type="dxa"/>
            <w:noWrap/>
            <w:hideMark/>
          </w:tcPr>
          <w:p w:rsidR="00875CD0" w:rsidRPr="00A82CD4" w:rsidP="0019207F" w14:paraId="747BEEB6" w14:textId="45F50610">
            <w:pPr>
              <w:pStyle w:val="NoSpacing"/>
              <w:jc w:val="right"/>
              <w:rPr>
                <w:rFonts w:asciiTheme="minorHAnsi" w:hAnsiTheme="minorHAnsi" w:cstheme="minorHAnsi"/>
                <w:sz w:val="17"/>
                <w:szCs w:val="17"/>
              </w:rPr>
            </w:pPr>
            <w:r w:rsidRPr="00BA5FA4">
              <w:rPr>
                <w:rFonts w:asciiTheme="minorHAnsi" w:hAnsiTheme="minorHAnsi" w:cstheme="minorHAnsi"/>
                <w:sz w:val="17"/>
                <w:szCs w:val="17"/>
              </w:rPr>
              <w:t>13,640</w:t>
            </w:r>
          </w:p>
        </w:tc>
        <w:tc>
          <w:tcPr>
            <w:tcW w:w="1260" w:type="dxa"/>
            <w:noWrap/>
            <w:hideMark/>
          </w:tcPr>
          <w:p w:rsidR="00875CD0" w:rsidRPr="00A82CD4" w:rsidP="0019207F" w14:paraId="5181B4D3" w14:textId="63F65AC5">
            <w:pPr>
              <w:pStyle w:val="NoSpacing"/>
              <w:jc w:val="right"/>
              <w:rPr>
                <w:rFonts w:asciiTheme="minorHAnsi" w:hAnsiTheme="minorHAnsi" w:cstheme="minorHAnsi"/>
                <w:sz w:val="17"/>
                <w:szCs w:val="17"/>
              </w:rPr>
            </w:pPr>
            <w:r w:rsidRPr="00BA5FA4">
              <w:rPr>
                <w:rFonts w:asciiTheme="minorHAnsi" w:hAnsiTheme="minorHAnsi" w:cstheme="minorHAnsi"/>
                <w:sz w:val="17"/>
                <w:szCs w:val="17"/>
              </w:rPr>
              <w:t xml:space="preserve">$78.14 </w:t>
            </w:r>
          </w:p>
        </w:tc>
        <w:tc>
          <w:tcPr>
            <w:tcW w:w="1080" w:type="dxa"/>
            <w:noWrap/>
            <w:hideMark/>
          </w:tcPr>
          <w:p w:rsidR="00875CD0" w:rsidRPr="00A82CD4" w:rsidP="0019207F" w14:paraId="7802F477" w14:textId="306B39E5">
            <w:pPr>
              <w:pStyle w:val="NoSpacing"/>
              <w:jc w:val="right"/>
              <w:rPr>
                <w:rFonts w:asciiTheme="minorHAnsi" w:hAnsiTheme="minorHAnsi" w:cstheme="minorHAnsi"/>
                <w:sz w:val="17"/>
                <w:szCs w:val="17"/>
              </w:rPr>
            </w:pPr>
            <w:r>
              <w:rPr>
                <w:rFonts w:asciiTheme="minorHAnsi" w:hAnsiTheme="minorHAnsi" w:cstheme="minorHAnsi"/>
                <w:sz w:val="17"/>
                <w:szCs w:val="17"/>
              </w:rPr>
              <w:t>-</w:t>
            </w:r>
          </w:p>
        </w:tc>
        <w:tc>
          <w:tcPr>
            <w:tcW w:w="1080" w:type="dxa"/>
            <w:hideMark/>
          </w:tcPr>
          <w:p w:rsidR="00875CD0" w:rsidRPr="00A82CD4" w:rsidP="0019207F" w14:paraId="24697610" w14:textId="59A23472">
            <w:pPr>
              <w:pStyle w:val="NoSpacing"/>
              <w:jc w:val="right"/>
              <w:rPr>
                <w:rFonts w:asciiTheme="minorHAnsi" w:hAnsiTheme="minorHAnsi" w:cstheme="minorHAnsi"/>
                <w:sz w:val="17"/>
                <w:szCs w:val="17"/>
              </w:rPr>
            </w:pPr>
            <w:r w:rsidRPr="00BA5FA4">
              <w:rPr>
                <w:rFonts w:asciiTheme="minorHAnsi" w:hAnsiTheme="minorHAnsi" w:cstheme="minorHAnsi"/>
                <w:sz w:val="17"/>
                <w:szCs w:val="17"/>
              </w:rPr>
              <w:t>$1</w:t>
            </w:r>
            <w:r>
              <w:rPr>
                <w:rFonts w:asciiTheme="minorHAnsi" w:hAnsiTheme="minorHAnsi" w:cstheme="minorHAnsi"/>
                <w:sz w:val="17"/>
                <w:szCs w:val="17"/>
              </w:rPr>
              <w:t>.</w:t>
            </w:r>
            <w:r w:rsidR="00561E45">
              <w:rPr>
                <w:rFonts w:asciiTheme="minorHAnsi" w:hAnsiTheme="minorHAnsi" w:cstheme="minorHAnsi"/>
                <w:sz w:val="17"/>
                <w:szCs w:val="17"/>
              </w:rPr>
              <w:t>07</w:t>
            </w:r>
          </w:p>
        </w:tc>
        <w:tc>
          <w:tcPr>
            <w:tcW w:w="1435" w:type="dxa"/>
            <w:noWrap/>
            <w:hideMark/>
          </w:tcPr>
          <w:p w:rsidR="00875CD0" w:rsidRPr="00A82CD4" w:rsidP="0019207F" w14:paraId="7CE30EF6" w14:textId="7F84DBB6">
            <w:pPr>
              <w:pStyle w:val="NoSpacing"/>
              <w:jc w:val="right"/>
              <w:rPr>
                <w:rFonts w:asciiTheme="minorHAnsi" w:hAnsiTheme="minorHAnsi" w:cstheme="minorHAnsi"/>
                <w:sz w:val="17"/>
                <w:szCs w:val="17"/>
              </w:rPr>
            </w:pPr>
            <w:r w:rsidRPr="00BA5FA4">
              <w:rPr>
                <w:rFonts w:asciiTheme="minorHAnsi" w:hAnsiTheme="minorHAnsi" w:cstheme="minorHAnsi"/>
                <w:sz w:val="17"/>
                <w:szCs w:val="17"/>
              </w:rPr>
              <w:t>$1</w:t>
            </w:r>
            <w:r>
              <w:rPr>
                <w:rFonts w:asciiTheme="minorHAnsi" w:hAnsiTheme="minorHAnsi" w:cstheme="minorHAnsi"/>
                <w:sz w:val="17"/>
                <w:szCs w:val="17"/>
              </w:rPr>
              <w:t>.</w:t>
            </w:r>
            <w:r w:rsidR="00561E45">
              <w:rPr>
                <w:rFonts w:asciiTheme="minorHAnsi" w:hAnsiTheme="minorHAnsi" w:cstheme="minorHAnsi"/>
                <w:sz w:val="17"/>
                <w:szCs w:val="17"/>
              </w:rPr>
              <w:t>07</w:t>
            </w:r>
            <w:r w:rsidRPr="003A269A">
              <w:rPr>
                <w:rFonts w:asciiTheme="minorHAnsi" w:hAnsiTheme="minorHAnsi" w:cstheme="minorHAnsi"/>
                <w:sz w:val="17"/>
                <w:szCs w:val="17"/>
              </w:rPr>
              <w:t xml:space="preserve"> </w:t>
            </w:r>
          </w:p>
        </w:tc>
      </w:tr>
      <w:tr w14:paraId="124BCE9B" w14:textId="77777777" w:rsidTr="00BA5FA4">
        <w:tblPrEx>
          <w:tblW w:w="13135" w:type="dxa"/>
          <w:jc w:val="center"/>
          <w:tblLayout w:type="fixed"/>
          <w:tblLook w:val="04A0"/>
        </w:tblPrEx>
        <w:trPr>
          <w:trHeight w:val="431"/>
          <w:jc w:val="center"/>
        </w:trPr>
        <w:tc>
          <w:tcPr>
            <w:tcW w:w="3955" w:type="dxa"/>
            <w:vAlign w:val="center"/>
            <w:hideMark/>
          </w:tcPr>
          <w:p w:rsidR="00875CD0" w:rsidRPr="00A82CD4" w:rsidP="0019207F" w14:paraId="74049FDC" w14:textId="0E9D96D6">
            <w:pPr>
              <w:pStyle w:val="NoSpacing"/>
              <w:rPr>
                <w:rFonts w:asciiTheme="minorHAnsi" w:hAnsiTheme="minorHAnsi" w:cstheme="minorHAnsi"/>
                <w:sz w:val="17"/>
                <w:szCs w:val="17"/>
              </w:rPr>
            </w:pPr>
            <w:r w:rsidRPr="00A82CD4">
              <w:rPr>
                <w:rFonts w:asciiTheme="minorHAnsi" w:hAnsiTheme="minorHAnsi" w:cstheme="minorHAnsi"/>
                <w:sz w:val="17"/>
                <w:szCs w:val="17"/>
              </w:rPr>
              <w:t>Public Reporting of</w:t>
            </w:r>
            <w:r>
              <w:rPr>
                <w:rFonts w:asciiTheme="minorHAnsi" w:hAnsiTheme="minorHAnsi" w:cstheme="minorHAnsi"/>
                <w:sz w:val="17"/>
                <w:szCs w:val="17"/>
              </w:rPr>
              <w:t xml:space="preserve"> </w:t>
            </w:r>
            <w:r w:rsidRPr="00A82CD4">
              <w:rPr>
                <w:rFonts w:asciiTheme="minorHAnsi" w:hAnsiTheme="minorHAnsi" w:cstheme="minorHAnsi"/>
                <w:sz w:val="17"/>
                <w:szCs w:val="17"/>
              </w:rPr>
              <w:t>Prior Authorization Metrics</w:t>
            </w:r>
            <w:r>
              <w:rPr>
                <w:rFonts w:asciiTheme="minorHAnsi" w:hAnsiTheme="minorHAnsi" w:cstheme="minorHAnsi"/>
                <w:sz w:val="17"/>
                <w:szCs w:val="17"/>
              </w:rPr>
              <w:t xml:space="preserve"> </w:t>
            </w:r>
            <w:r w:rsidR="00EA1316">
              <w:rPr>
                <w:rFonts w:asciiTheme="minorHAnsi" w:hAnsiTheme="minorHAnsi" w:cstheme="minorHAnsi"/>
                <w:sz w:val="17"/>
                <w:szCs w:val="17"/>
              </w:rPr>
              <w:t>for Non-Drug Items and Services</w:t>
            </w:r>
            <w:r>
              <w:rPr>
                <w:rFonts w:asciiTheme="minorHAnsi" w:hAnsiTheme="minorHAnsi" w:cstheme="minorHAnsi"/>
                <w:sz w:val="17"/>
                <w:szCs w:val="17"/>
              </w:rPr>
              <w:t xml:space="preserve"> </w:t>
            </w:r>
            <w:r w:rsidRPr="00A82CD4">
              <w:rPr>
                <w:rFonts w:asciiTheme="minorHAnsi" w:hAnsiTheme="minorHAnsi" w:cstheme="minorHAnsi"/>
                <w:sz w:val="17"/>
                <w:szCs w:val="17"/>
              </w:rPr>
              <w:t>(1</w:t>
            </w:r>
            <w:r w:rsidRPr="00A82CD4">
              <w:rPr>
                <w:rFonts w:asciiTheme="minorHAnsi" w:hAnsiTheme="minorHAnsi" w:cstheme="minorHAnsi"/>
                <w:sz w:val="17"/>
                <w:szCs w:val="17"/>
                <w:vertAlign w:val="superscript"/>
              </w:rPr>
              <w:t>st</w:t>
            </w:r>
            <w:r w:rsidRPr="00A82CD4">
              <w:rPr>
                <w:rFonts w:asciiTheme="minorHAnsi" w:hAnsiTheme="minorHAnsi" w:cstheme="minorHAnsi"/>
                <w:sz w:val="17"/>
                <w:szCs w:val="17"/>
              </w:rPr>
              <w:t xml:space="preserve"> Year)</w:t>
            </w:r>
          </w:p>
        </w:tc>
        <w:tc>
          <w:tcPr>
            <w:tcW w:w="1085" w:type="dxa"/>
            <w:hideMark/>
          </w:tcPr>
          <w:p w:rsidR="00875CD0" w:rsidRPr="00A82CD4" w:rsidP="0019207F" w14:paraId="7075A47E" w14:textId="3B34FD48">
            <w:pPr>
              <w:pStyle w:val="NoSpacing"/>
              <w:jc w:val="right"/>
              <w:rPr>
                <w:rFonts w:asciiTheme="minorHAnsi" w:hAnsiTheme="minorHAnsi" w:cstheme="minorHAnsi"/>
                <w:sz w:val="17"/>
                <w:szCs w:val="17"/>
              </w:rPr>
            </w:pPr>
            <w:r>
              <w:rPr>
                <w:rFonts w:asciiTheme="minorHAnsi" w:hAnsiTheme="minorHAnsi" w:cstheme="minorHAnsi"/>
                <w:sz w:val="17"/>
                <w:szCs w:val="17"/>
              </w:rPr>
              <w:t>(</w:t>
            </w:r>
            <w:r w:rsidRPr="00A82CD4">
              <w:rPr>
                <w:rFonts w:asciiTheme="minorHAnsi" w:hAnsiTheme="minorHAnsi" w:cstheme="minorHAnsi"/>
                <w:sz w:val="17"/>
                <w:szCs w:val="17"/>
              </w:rPr>
              <w:t>2</w:t>
            </w:r>
            <w:r>
              <w:rPr>
                <w:rFonts w:asciiTheme="minorHAnsi" w:hAnsiTheme="minorHAnsi" w:cstheme="minorHAnsi"/>
                <w:sz w:val="17"/>
                <w:szCs w:val="17"/>
              </w:rPr>
              <w:t>)</w:t>
            </w:r>
          </w:p>
        </w:tc>
        <w:tc>
          <w:tcPr>
            <w:tcW w:w="1260" w:type="dxa"/>
            <w:hideMark/>
          </w:tcPr>
          <w:p w:rsidR="00875CD0" w:rsidRPr="00A82CD4" w:rsidP="0019207F" w14:paraId="6C34736D" w14:textId="4EB05400">
            <w:pPr>
              <w:pStyle w:val="NoSpacing"/>
              <w:jc w:val="right"/>
              <w:rPr>
                <w:rFonts w:asciiTheme="minorHAnsi" w:hAnsiTheme="minorHAnsi" w:cstheme="minorHAnsi"/>
                <w:sz w:val="17"/>
                <w:szCs w:val="17"/>
              </w:rPr>
            </w:pPr>
            <w:r w:rsidRPr="00BA5FA4">
              <w:rPr>
                <w:rFonts w:asciiTheme="minorHAnsi" w:hAnsiTheme="minorHAnsi" w:cstheme="minorHAnsi"/>
                <w:sz w:val="17"/>
                <w:szCs w:val="17"/>
              </w:rPr>
              <w:t>341</w:t>
            </w:r>
          </w:p>
        </w:tc>
        <w:tc>
          <w:tcPr>
            <w:tcW w:w="1080" w:type="dxa"/>
            <w:noWrap/>
            <w:hideMark/>
          </w:tcPr>
          <w:p w:rsidR="00875CD0" w:rsidRPr="00A82CD4" w:rsidP="0019207F" w14:paraId="333D0DF7" w14:textId="5D93700C">
            <w:pPr>
              <w:pStyle w:val="NoSpacing"/>
              <w:jc w:val="right"/>
              <w:rPr>
                <w:rFonts w:asciiTheme="minorHAnsi" w:hAnsiTheme="minorHAnsi" w:cstheme="minorHAnsi"/>
                <w:sz w:val="17"/>
                <w:szCs w:val="17"/>
              </w:rPr>
            </w:pPr>
            <w:r w:rsidRPr="00BA5FA4">
              <w:rPr>
                <w:rFonts w:asciiTheme="minorHAnsi" w:hAnsiTheme="minorHAnsi" w:cstheme="minorHAnsi"/>
                <w:sz w:val="17"/>
                <w:szCs w:val="17"/>
              </w:rPr>
              <w:t>320</w:t>
            </w:r>
          </w:p>
        </w:tc>
        <w:tc>
          <w:tcPr>
            <w:tcW w:w="900" w:type="dxa"/>
            <w:noWrap/>
            <w:hideMark/>
          </w:tcPr>
          <w:p w:rsidR="00875CD0" w:rsidRPr="00A82CD4" w:rsidP="0019207F" w14:paraId="484D8FD3" w14:textId="7C3E5359">
            <w:pPr>
              <w:pStyle w:val="NoSpacing"/>
              <w:jc w:val="right"/>
              <w:rPr>
                <w:rFonts w:asciiTheme="minorHAnsi" w:hAnsiTheme="minorHAnsi" w:cstheme="minorHAnsi"/>
                <w:sz w:val="17"/>
                <w:szCs w:val="17"/>
              </w:rPr>
            </w:pPr>
            <w:r w:rsidRPr="00BA5FA4">
              <w:rPr>
                <w:rFonts w:asciiTheme="minorHAnsi" w:hAnsiTheme="minorHAnsi" w:cstheme="minorHAnsi"/>
                <w:sz w:val="17"/>
                <w:szCs w:val="17"/>
              </w:rPr>
              <w:t>109,120</w:t>
            </w:r>
          </w:p>
        </w:tc>
        <w:tc>
          <w:tcPr>
            <w:tcW w:w="1260" w:type="dxa"/>
            <w:noWrap/>
            <w:hideMark/>
          </w:tcPr>
          <w:p w:rsidR="00875CD0" w:rsidRPr="00A82CD4" w:rsidP="0019207F" w14:paraId="62937C59" w14:textId="7E10791C">
            <w:pPr>
              <w:pStyle w:val="NoSpacing"/>
              <w:jc w:val="right"/>
              <w:rPr>
                <w:rFonts w:asciiTheme="minorHAnsi" w:hAnsiTheme="minorHAnsi" w:cstheme="minorHAnsi"/>
                <w:sz w:val="17"/>
                <w:szCs w:val="17"/>
              </w:rPr>
            </w:pPr>
            <w:r w:rsidRPr="00BA5FA4">
              <w:rPr>
                <w:rFonts w:asciiTheme="minorHAnsi" w:hAnsiTheme="minorHAnsi" w:cstheme="minorHAnsi"/>
                <w:sz w:val="17"/>
                <w:szCs w:val="17"/>
              </w:rPr>
              <w:t xml:space="preserve">$104.13 </w:t>
            </w:r>
          </w:p>
        </w:tc>
        <w:tc>
          <w:tcPr>
            <w:tcW w:w="1080" w:type="dxa"/>
            <w:noWrap/>
            <w:hideMark/>
          </w:tcPr>
          <w:p w:rsidR="00875CD0" w:rsidRPr="00A82CD4" w:rsidP="0019207F" w14:paraId="4F165559" w14:textId="7C54D143">
            <w:pPr>
              <w:pStyle w:val="NoSpacing"/>
              <w:jc w:val="right"/>
              <w:rPr>
                <w:rFonts w:asciiTheme="minorHAnsi" w:hAnsiTheme="minorHAnsi" w:cstheme="minorHAnsi"/>
                <w:sz w:val="17"/>
                <w:szCs w:val="17"/>
              </w:rPr>
            </w:pPr>
            <w:r w:rsidRPr="00BA5FA4">
              <w:rPr>
                <w:rFonts w:asciiTheme="minorHAnsi" w:hAnsiTheme="minorHAnsi" w:cstheme="minorHAnsi"/>
                <w:sz w:val="17"/>
                <w:szCs w:val="17"/>
              </w:rPr>
              <w:t>$11</w:t>
            </w:r>
            <w:r>
              <w:rPr>
                <w:rFonts w:asciiTheme="minorHAnsi" w:hAnsiTheme="minorHAnsi" w:cstheme="minorHAnsi"/>
                <w:sz w:val="17"/>
                <w:szCs w:val="17"/>
              </w:rPr>
              <w:t>.</w:t>
            </w:r>
            <w:r w:rsidR="003966A2">
              <w:rPr>
                <w:rFonts w:asciiTheme="minorHAnsi" w:hAnsiTheme="minorHAnsi" w:cstheme="minorHAnsi"/>
                <w:sz w:val="17"/>
                <w:szCs w:val="17"/>
              </w:rPr>
              <w:t>36</w:t>
            </w:r>
            <w:r w:rsidRPr="003A269A">
              <w:rPr>
                <w:rFonts w:asciiTheme="minorHAnsi" w:hAnsiTheme="minorHAnsi" w:cstheme="minorHAnsi"/>
                <w:sz w:val="17"/>
                <w:szCs w:val="17"/>
              </w:rPr>
              <w:t xml:space="preserve"> </w:t>
            </w:r>
          </w:p>
        </w:tc>
        <w:tc>
          <w:tcPr>
            <w:tcW w:w="1080" w:type="dxa"/>
            <w:hideMark/>
          </w:tcPr>
          <w:p w:rsidR="00875CD0" w:rsidRPr="00A82CD4" w:rsidP="0019207F" w14:paraId="26D50A34" w14:textId="150B8258">
            <w:pPr>
              <w:pStyle w:val="NoSpacing"/>
              <w:jc w:val="right"/>
              <w:rPr>
                <w:rFonts w:asciiTheme="minorHAnsi" w:hAnsiTheme="minorHAnsi" w:cstheme="minorHAnsi"/>
                <w:sz w:val="17"/>
                <w:szCs w:val="17"/>
              </w:rPr>
            </w:pPr>
            <w:r>
              <w:rPr>
                <w:rFonts w:asciiTheme="minorHAnsi" w:hAnsiTheme="minorHAnsi" w:cstheme="minorHAnsi"/>
                <w:sz w:val="17"/>
                <w:szCs w:val="17"/>
              </w:rPr>
              <w:t>-</w:t>
            </w:r>
          </w:p>
        </w:tc>
        <w:tc>
          <w:tcPr>
            <w:tcW w:w="1435" w:type="dxa"/>
            <w:noWrap/>
            <w:hideMark/>
          </w:tcPr>
          <w:p w:rsidR="00875CD0" w:rsidRPr="00A82CD4" w:rsidP="0019207F" w14:paraId="55F542AF" w14:textId="52F87A03">
            <w:pPr>
              <w:pStyle w:val="NoSpacing"/>
              <w:jc w:val="right"/>
              <w:rPr>
                <w:rFonts w:asciiTheme="minorHAnsi" w:hAnsiTheme="minorHAnsi" w:cstheme="minorHAnsi"/>
                <w:sz w:val="17"/>
                <w:szCs w:val="17"/>
              </w:rPr>
            </w:pPr>
            <w:r>
              <w:rPr>
                <w:rFonts w:asciiTheme="minorHAnsi" w:hAnsiTheme="minorHAnsi" w:cstheme="minorHAnsi"/>
                <w:sz w:val="17"/>
                <w:szCs w:val="17"/>
              </w:rPr>
              <w:t>-</w:t>
            </w:r>
          </w:p>
        </w:tc>
      </w:tr>
      <w:tr w14:paraId="6DEA4C3F" w14:textId="77777777" w:rsidTr="00BA5FA4">
        <w:tblPrEx>
          <w:tblW w:w="13135" w:type="dxa"/>
          <w:jc w:val="center"/>
          <w:tblLayout w:type="fixed"/>
          <w:tblLook w:val="04A0"/>
        </w:tblPrEx>
        <w:trPr>
          <w:trHeight w:val="359"/>
          <w:jc w:val="center"/>
        </w:trPr>
        <w:tc>
          <w:tcPr>
            <w:tcW w:w="3955" w:type="dxa"/>
            <w:vAlign w:val="center"/>
            <w:hideMark/>
          </w:tcPr>
          <w:p w:rsidR="00875CD0" w:rsidRPr="00A82CD4" w:rsidP="0019207F" w14:paraId="0141CA4F" w14:textId="6E7428E1">
            <w:pPr>
              <w:pStyle w:val="NoSpacing"/>
              <w:rPr>
                <w:rFonts w:asciiTheme="minorHAnsi" w:hAnsiTheme="minorHAnsi" w:cstheme="minorHAnsi"/>
                <w:sz w:val="17"/>
                <w:szCs w:val="17"/>
              </w:rPr>
            </w:pPr>
            <w:r w:rsidRPr="00A82CD4">
              <w:rPr>
                <w:rFonts w:asciiTheme="minorHAnsi" w:hAnsiTheme="minorHAnsi" w:cstheme="minorHAnsi"/>
                <w:sz w:val="17"/>
                <w:szCs w:val="17"/>
              </w:rPr>
              <w:t xml:space="preserve">Public Reporting of Prior Authorization Metrics </w:t>
            </w:r>
            <w:r w:rsidR="003012A0">
              <w:rPr>
                <w:rFonts w:asciiTheme="minorHAnsi" w:hAnsiTheme="minorHAnsi" w:cstheme="minorHAnsi"/>
                <w:sz w:val="17"/>
                <w:szCs w:val="17"/>
              </w:rPr>
              <w:t>for Non-Drug Items and Services</w:t>
            </w:r>
            <w:r w:rsidRPr="00A82CD4">
              <w:rPr>
                <w:rFonts w:asciiTheme="minorHAnsi" w:hAnsiTheme="minorHAnsi" w:cstheme="minorHAnsi"/>
                <w:sz w:val="17"/>
                <w:szCs w:val="17"/>
              </w:rPr>
              <w:t xml:space="preserve"> (</w:t>
            </w:r>
            <w:r w:rsidR="003038C6">
              <w:rPr>
                <w:rFonts w:asciiTheme="minorHAnsi" w:hAnsiTheme="minorHAnsi" w:cstheme="minorHAnsi"/>
                <w:sz w:val="17"/>
                <w:szCs w:val="17"/>
              </w:rPr>
              <w:t>2</w:t>
            </w:r>
            <w:r w:rsidRPr="00BA5FA4" w:rsidR="003038C6">
              <w:rPr>
                <w:rFonts w:asciiTheme="minorHAnsi" w:hAnsiTheme="minorHAnsi" w:cstheme="minorHAnsi"/>
                <w:sz w:val="17"/>
                <w:szCs w:val="17"/>
                <w:vertAlign w:val="superscript"/>
              </w:rPr>
              <w:t>nd</w:t>
            </w:r>
            <w:r w:rsidR="003038C6">
              <w:rPr>
                <w:rFonts w:asciiTheme="minorHAnsi" w:hAnsiTheme="minorHAnsi" w:cstheme="minorHAnsi"/>
                <w:sz w:val="17"/>
                <w:szCs w:val="17"/>
              </w:rPr>
              <w:t xml:space="preserve"> and 3</w:t>
            </w:r>
            <w:r w:rsidRPr="00BA5FA4" w:rsidR="003038C6">
              <w:rPr>
                <w:rFonts w:asciiTheme="minorHAnsi" w:hAnsiTheme="minorHAnsi" w:cstheme="minorHAnsi"/>
                <w:sz w:val="17"/>
                <w:szCs w:val="17"/>
                <w:vertAlign w:val="superscript"/>
              </w:rPr>
              <w:t>rd</w:t>
            </w:r>
            <w:r w:rsidRPr="00A82CD4">
              <w:rPr>
                <w:rFonts w:asciiTheme="minorHAnsi" w:hAnsiTheme="minorHAnsi" w:cstheme="minorHAnsi"/>
                <w:sz w:val="17"/>
                <w:szCs w:val="17"/>
              </w:rPr>
              <w:t xml:space="preserve"> Years)</w:t>
            </w:r>
          </w:p>
        </w:tc>
        <w:tc>
          <w:tcPr>
            <w:tcW w:w="1085" w:type="dxa"/>
            <w:hideMark/>
          </w:tcPr>
          <w:p w:rsidR="00875CD0" w:rsidRPr="00A82CD4" w:rsidP="0019207F" w14:paraId="53FADC70" w14:textId="0B3C4A88">
            <w:pPr>
              <w:pStyle w:val="NoSpacing"/>
              <w:jc w:val="right"/>
              <w:rPr>
                <w:rFonts w:asciiTheme="minorHAnsi" w:hAnsiTheme="minorHAnsi" w:cstheme="minorHAnsi"/>
                <w:sz w:val="17"/>
                <w:szCs w:val="17"/>
              </w:rPr>
            </w:pPr>
            <w:r>
              <w:rPr>
                <w:rFonts w:asciiTheme="minorHAnsi" w:hAnsiTheme="minorHAnsi" w:cstheme="minorHAnsi"/>
                <w:sz w:val="17"/>
                <w:szCs w:val="17"/>
              </w:rPr>
              <w:t>(</w:t>
            </w:r>
            <w:r w:rsidRPr="00A82CD4">
              <w:rPr>
                <w:rFonts w:asciiTheme="minorHAnsi" w:hAnsiTheme="minorHAnsi" w:cstheme="minorHAnsi"/>
                <w:sz w:val="17"/>
                <w:szCs w:val="17"/>
              </w:rPr>
              <w:t>2</w:t>
            </w:r>
            <w:r>
              <w:rPr>
                <w:rFonts w:asciiTheme="minorHAnsi" w:hAnsiTheme="minorHAnsi" w:cstheme="minorHAnsi"/>
                <w:sz w:val="17"/>
                <w:szCs w:val="17"/>
              </w:rPr>
              <w:t>)</w:t>
            </w:r>
          </w:p>
        </w:tc>
        <w:tc>
          <w:tcPr>
            <w:tcW w:w="1260" w:type="dxa"/>
            <w:hideMark/>
          </w:tcPr>
          <w:p w:rsidR="00875CD0" w:rsidRPr="00A82CD4" w:rsidP="0019207F" w14:paraId="59E7A72E" w14:textId="79512916">
            <w:pPr>
              <w:pStyle w:val="NoSpacing"/>
              <w:jc w:val="right"/>
              <w:rPr>
                <w:rFonts w:asciiTheme="minorHAnsi" w:hAnsiTheme="minorHAnsi" w:cstheme="minorHAnsi"/>
                <w:sz w:val="17"/>
                <w:szCs w:val="17"/>
              </w:rPr>
            </w:pPr>
            <w:r w:rsidRPr="00BA5FA4">
              <w:rPr>
                <w:rFonts w:asciiTheme="minorHAnsi" w:hAnsiTheme="minorHAnsi" w:cstheme="minorHAnsi"/>
                <w:sz w:val="17"/>
                <w:szCs w:val="17"/>
              </w:rPr>
              <w:t>341</w:t>
            </w:r>
          </w:p>
        </w:tc>
        <w:tc>
          <w:tcPr>
            <w:tcW w:w="1080" w:type="dxa"/>
            <w:hideMark/>
          </w:tcPr>
          <w:p w:rsidR="00875CD0" w:rsidRPr="00A82CD4" w:rsidP="0019207F" w14:paraId="270563A2" w14:textId="39A219D1">
            <w:pPr>
              <w:pStyle w:val="NoSpacing"/>
              <w:jc w:val="right"/>
              <w:rPr>
                <w:rFonts w:asciiTheme="minorHAnsi" w:hAnsiTheme="minorHAnsi" w:cstheme="minorHAnsi"/>
                <w:sz w:val="17"/>
                <w:szCs w:val="17"/>
              </w:rPr>
            </w:pPr>
            <w:r w:rsidRPr="00BA5FA4">
              <w:rPr>
                <w:rFonts w:asciiTheme="minorHAnsi" w:hAnsiTheme="minorHAnsi" w:cstheme="minorHAnsi"/>
                <w:sz w:val="17"/>
                <w:szCs w:val="17"/>
              </w:rPr>
              <w:t>120</w:t>
            </w:r>
          </w:p>
        </w:tc>
        <w:tc>
          <w:tcPr>
            <w:tcW w:w="900" w:type="dxa"/>
            <w:noWrap/>
            <w:hideMark/>
          </w:tcPr>
          <w:p w:rsidR="00875CD0" w:rsidRPr="00A82CD4" w:rsidP="0019207F" w14:paraId="14CC021D" w14:textId="1AC54543">
            <w:pPr>
              <w:pStyle w:val="NoSpacing"/>
              <w:jc w:val="right"/>
              <w:rPr>
                <w:rFonts w:asciiTheme="minorHAnsi" w:hAnsiTheme="minorHAnsi" w:cstheme="minorHAnsi"/>
                <w:sz w:val="17"/>
                <w:szCs w:val="17"/>
              </w:rPr>
            </w:pPr>
            <w:r w:rsidRPr="00BA5FA4">
              <w:rPr>
                <w:rFonts w:asciiTheme="minorHAnsi" w:hAnsiTheme="minorHAnsi" w:cstheme="minorHAnsi"/>
                <w:sz w:val="17"/>
                <w:szCs w:val="17"/>
              </w:rPr>
              <w:t>40,920</w:t>
            </w:r>
          </w:p>
        </w:tc>
        <w:tc>
          <w:tcPr>
            <w:tcW w:w="1260" w:type="dxa"/>
            <w:noWrap/>
            <w:hideMark/>
          </w:tcPr>
          <w:p w:rsidR="00875CD0" w:rsidRPr="00A82CD4" w:rsidP="0019207F" w14:paraId="7179D837" w14:textId="1CFEE91E">
            <w:pPr>
              <w:pStyle w:val="NoSpacing"/>
              <w:jc w:val="right"/>
              <w:rPr>
                <w:rFonts w:asciiTheme="minorHAnsi" w:hAnsiTheme="minorHAnsi" w:cstheme="minorHAnsi"/>
                <w:sz w:val="17"/>
                <w:szCs w:val="17"/>
              </w:rPr>
            </w:pPr>
            <w:r w:rsidRPr="00BA5FA4">
              <w:rPr>
                <w:rFonts w:asciiTheme="minorHAnsi" w:hAnsiTheme="minorHAnsi" w:cstheme="minorHAnsi"/>
                <w:sz w:val="17"/>
                <w:szCs w:val="17"/>
              </w:rPr>
              <w:t xml:space="preserve">$78.14 </w:t>
            </w:r>
          </w:p>
        </w:tc>
        <w:tc>
          <w:tcPr>
            <w:tcW w:w="1080" w:type="dxa"/>
            <w:noWrap/>
            <w:hideMark/>
          </w:tcPr>
          <w:p w:rsidR="00875CD0" w:rsidRPr="00A82CD4" w:rsidP="0019207F" w14:paraId="6A68B355" w14:textId="05810E45">
            <w:pPr>
              <w:pStyle w:val="NoSpacing"/>
              <w:jc w:val="right"/>
              <w:rPr>
                <w:rFonts w:asciiTheme="minorHAnsi" w:hAnsiTheme="minorHAnsi" w:cstheme="minorHAnsi"/>
                <w:sz w:val="17"/>
                <w:szCs w:val="17"/>
              </w:rPr>
            </w:pPr>
            <w:r>
              <w:rPr>
                <w:rFonts w:asciiTheme="minorHAnsi" w:hAnsiTheme="minorHAnsi" w:cstheme="minorHAnsi"/>
                <w:sz w:val="17"/>
                <w:szCs w:val="17"/>
              </w:rPr>
              <w:t>-</w:t>
            </w:r>
          </w:p>
        </w:tc>
        <w:tc>
          <w:tcPr>
            <w:tcW w:w="1080" w:type="dxa"/>
            <w:hideMark/>
          </w:tcPr>
          <w:p w:rsidR="00875CD0" w:rsidRPr="00A82CD4" w:rsidP="0019207F" w14:paraId="4DB4BFBC" w14:textId="3562F396">
            <w:pPr>
              <w:pStyle w:val="NoSpacing"/>
              <w:jc w:val="right"/>
              <w:rPr>
                <w:rFonts w:asciiTheme="minorHAnsi" w:hAnsiTheme="minorHAnsi" w:cstheme="minorHAnsi"/>
                <w:sz w:val="17"/>
                <w:szCs w:val="17"/>
              </w:rPr>
            </w:pPr>
            <w:r w:rsidRPr="00BA5FA4">
              <w:rPr>
                <w:rFonts w:asciiTheme="minorHAnsi" w:hAnsiTheme="minorHAnsi" w:cstheme="minorHAnsi"/>
                <w:sz w:val="17"/>
                <w:szCs w:val="17"/>
              </w:rPr>
              <w:t>$3</w:t>
            </w:r>
            <w:r>
              <w:rPr>
                <w:rFonts w:asciiTheme="minorHAnsi" w:hAnsiTheme="minorHAnsi" w:cstheme="minorHAnsi"/>
                <w:sz w:val="17"/>
                <w:szCs w:val="17"/>
              </w:rPr>
              <w:t>.2</w:t>
            </w:r>
            <w:r w:rsidR="00C7500C">
              <w:rPr>
                <w:rFonts w:asciiTheme="minorHAnsi" w:hAnsiTheme="minorHAnsi" w:cstheme="minorHAnsi"/>
                <w:sz w:val="17"/>
                <w:szCs w:val="17"/>
              </w:rPr>
              <w:t>0</w:t>
            </w:r>
          </w:p>
        </w:tc>
        <w:tc>
          <w:tcPr>
            <w:tcW w:w="1435" w:type="dxa"/>
            <w:noWrap/>
            <w:hideMark/>
          </w:tcPr>
          <w:p w:rsidR="00875CD0" w:rsidRPr="00A82CD4" w:rsidP="0019207F" w14:paraId="2A2C72CE" w14:textId="3EBBADB4">
            <w:pPr>
              <w:pStyle w:val="NoSpacing"/>
              <w:jc w:val="right"/>
              <w:rPr>
                <w:rFonts w:asciiTheme="minorHAnsi" w:hAnsiTheme="minorHAnsi" w:cstheme="minorHAnsi"/>
                <w:sz w:val="17"/>
                <w:szCs w:val="17"/>
              </w:rPr>
            </w:pPr>
            <w:r w:rsidRPr="00BA5FA4">
              <w:rPr>
                <w:rFonts w:asciiTheme="minorHAnsi" w:hAnsiTheme="minorHAnsi" w:cstheme="minorHAnsi"/>
                <w:sz w:val="17"/>
                <w:szCs w:val="17"/>
              </w:rPr>
              <w:t>$3</w:t>
            </w:r>
            <w:r>
              <w:rPr>
                <w:rFonts w:asciiTheme="minorHAnsi" w:hAnsiTheme="minorHAnsi" w:cstheme="minorHAnsi"/>
                <w:sz w:val="17"/>
                <w:szCs w:val="17"/>
              </w:rPr>
              <w:t>.2</w:t>
            </w:r>
            <w:r w:rsidR="00C7500C">
              <w:rPr>
                <w:rFonts w:asciiTheme="minorHAnsi" w:hAnsiTheme="minorHAnsi" w:cstheme="minorHAnsi"/>
                <w:sz w:val="17"/>
                <w:szCs w:val="17"/>
              </w:rPr>
              <w:t>0</w:t>
            </w:r>
          </w:p>
        </w:tc>
      </w:tr>
      <w:tr w14:paraId="1C11645B" w14:textId="77777777" w:rsidTr="00AD5178">
        <w:tblPrEx>
          <w:tblW w:w="13135" w:type="dxa"/>
          <w:jc w:val="center"/>
          <w:tblLayout w:type="fixed"/>
          <w:tblLook w:val="04A0"/>
        </w:tblPrEx>
        <w:trPr>
          <w:trHeight w:val="359"/>
          <w:jc w:val="center"/>
        </w:trPr>
        <w:tc>
          <w:tcPr>
            <w:tcW w:w="3955" w:type="dxa"/>
            <w:shd w:val="clear" w:color="auto" w:fill="D9D9D9" w:themeFill="background1" w:themeFillShade="D9"/>
            <w:vAlign w:val="center"/>
          </w:tcPr>
          <w:p w:rsidR="00875CD0" w:rsidRPr="00FA244C" w:rsidP="00BA5FA4" w14:paraId="507C0B71" w14:textId="77777777">
            <w:pPr>
              <w:pStyle w:val="NoSpacing"/>
              <w:ind w:left="-115" w:firstLine="90"/>
              <w:rPr>
                <w:rFonts w:asciiTheme="minorHAnsi" w:hAnsiTheme="minorHAnsi" w:cstheme="minorHAnsi"/>
                <w:sz w:val="17"/>
                <w:szCs w:val="17"/>
              </w:rPr>
            </w:pPr>
            <w:r w:rsidRPr="00A82CD4">
              <w:rPr>
                <w:rFonts w:eastAsia="Times New Roman" w:asciiTheme="minorHAnsi" w:hAnsiTheme="minorHAnsi" w:cstheme="minorHAnsi"/>
                <w:b/>
                <w:bCs/>
                <w:color w:val="000000"/>
                <w:sz w:val="17"/>
                <w:szCs w:val="17"/>
              </w:rPr>
              <w:t>Total Hours and Costs for Applicable Impacted Payers</w:t>
            </w:r>
          </w:p>
        </w:tc>
        <w:tc>
          <w:tcPr>
            <w:tcW w:w="1085" w:type="dxa"/>
            <w:shd w:val="clear" w:color="auto" w:fill="D9D9D9" w:themeFill="background1" w:themeFillShade="D9"/>
          </w:tcPr>
          <w:p w:rsidR="00875CD0" w:rsidRPr="00BA5FA4" w:rsidP="0019207F" w14:paraId="41CFBFF3" w14:textId="3C66A4A7">
            <w:pPr>
              <w:pStyle w:val="NoSpacing"/>
              <w:jc w:val="right"/>
              <w:rPr>
                <w:rFonts w:asciiTheme="minorHAnsi" w:hAnsiTheme="minorHAnsi" w:cstheme="minorHAnsi"/>
                <w:b/>
                <w:sz w:val="17"/>
                <w:szCs w:val="17"/>
              </w:rPr>
            </w:pPr>
            <w:r w:rsidRPr="00BA5FA4">
              <w:rPr>
                <w:rFonts w:asciiTheme="minorHAnsi" w:hAnsiTheme="minorHAnsi" w:cstheme="minorHAnsi"/>
                <w:b/>
                <w:bCs/>
                <w:sz w:val="17"/>
                <w:szCs w:val="17"/>
              </w:rPr>
              <w:t>N/A</w:t>
            </w:r>
          </w:p>
        </w:tc>
        <w:tc>
          <w:tcPr>
            <w:tcW w:w="1260" w:type="dxa"/>
            <w:shd w:val="clear" w:color="auto" w:fill="D9D9D9" w:themeFill="background1" w:themeFillShade="D9"/>
          </w:tcPr>
          <w:p w:rsidR="00875CD0" w:rsidRPr="00BA5FA4" w:rsidP="0019207F" w14:paraId="5A039535" w14:textId="48C780DF">
            <w:pPr>
              <w:pStyle w:val="NoSpacing"/>
              <w:jc w:val="right"/>
              <w:rPr>
                <w:rFonts w:asciiTheme="minorHAnsi" w:hAnsiTheme="minorHAnsi" w:cstheme="minorHAnsi"/>
                <w:b/>
                <w:color w:val="FF0000"/>
                <w:sz w:val="17"/>
                <w:szCs w:val="17"/>
              </w:rPr>
            </w:pPr>
            <w:r w:rsidRPr="00BA5FA4">
              <w:rPr>
                <w:rFonts w:asciiTheme="minorHAnsi" w:hAnsiTheme="minorHAnsi" w:cstheme="minorHAnsi"/>
                <w:b/>
                <w:bCs/>
                <w:sz w:val="17"/>
                <w:szCs w:val="17"/>
              </w:rPr>
              <w:t>N/A</w:t>
            </w:r>
          </w:p>
        </w:tc>
        <w:tc>
          <w:tcPr>
            <w:tcW w:w="1080" w:type="dxa"/>
            <w:shd w:val="clear" w:color="auto" w:fill="D9D9D9" w:themeFill="background1" w:themeFillShade="D9"/>
          </w:tcPr>
          <w:p w:rsidR="00875CD0" w:rsidRPr="00BA5FA4" w:rsidP="0019207F" w14:paraId="567FFA7A" w14:textId="28A7BB90">
            <w:pPr>
              <w:pStyle w:val="NoSpacing"/>
              <w:jc w:val="right"/>
              <w:rPr>
                <w:rFonts w:asciiTheme="minorHAnsi" w:hAnsiTheme="minorHAnsi" w:cstheme="minorHAnsi"/>
                <w:b/>
                <w:spacing w:val="-5"/>
                <w:sz w:val="17"/>
                <w:szCs w:val="17"/>
              </w:rPr>
            </w:pPr>
            <w:r w:rsidRPr="00BA5FA4">
              <w:rPr>
                <w:rFonts w:asciiTheme="minorHAnsi" w:hAnsiTheme="minorHAnsi" w:cstheme="minorHAnsi"/>
                <w:b/>
                <w:bCs/>
                <w:sz w:val="17"/>
                <w:szCs w:val="17"/>
              </w:rPr>
              <w:t>N/A</w:t>
            </w:r>
          </w:p>
        </w:tc>
        <w:tc>
          <w:tcPr>
            <w:tcW w:w="900" w:type="dxa"/>
            <w:shd w:val="clear" w:color="auto" w:fill="D9D9D9" w:themeFill="background1" w:themeFillShade="D9"/>
            <w:noWrap/>
          </w:tcPr>
          <w:p w:rsidR="00875CD0" w:rsidRPr="00BA5FA4" w:rsidP="0019207F" w14:paraId="06B90D90" w14:textId="45D340E7">
            <w:pPr>
              <w:pStyle w:val="NoSpacing"/>
              <w:jc w:val="right"/>
              <w:rPr>
                <w:rFonts w:asciiTheme="minorHAnsi" w:hAnsiTheme="minorHAnsi" w:cstheme="minorHAnsi"/>
                <w:b/>
                <w:spacing w:val="-2"/>
                <w:sz w:val="17"/>
                <w:szCs w:val="17"/>
              </w:rPr>
            </w:pPr>
            <w:r w:rsidRPr="00BA5FA4">
              <w:rPr>
                <w:rFonts w:asciiTheme="minorHAnsi" w:hAnsiTheme="minorHAnsi" w:cstheme="minorHAnsi"/>
                <w:b/>
                <w:bCs/>
                <w:sz w:val="17"/>
                <w:szCs w:val="17"/>
              </w:rPr>
              <w:t>72,747</w:t>
            </w:r>
          </w:p>
        </w:tc>
        <w:tc>
          <w:tcPr>
            <w:tcW w:w="1260" w:type="dxa"/>
            <w:shd w:val="clear" w:color="auto" w:fill="D9D9D9" w:themeFill="background1" w:themeFillShade="D9"/>
            <w:noWrap/>
          </w:tcPr>
          <w:p w:rsidR="00875CD0" w:rsidRPr="00BA5FA4" w:rsidP="0019207F" w14:paraId="044A0EBB" w14:textId="546DC398">
            <w:pPr>
              <w:pStyle w:val="NoSpacing"/>
              <w:jc w:val="right"/>
              <w:rPr>
                <w:rFonts w:asciiTheme="minorHAnsi" w:hAnsiTheme="minorHAnsi" w:cstheme="minorHAnsi"/>
                <w:b/>
                <w:spacing w:val="-2"/>
                <w:sz w:val="17"/>
                <w:szCs w:val="17"/>
              </w:rPr>
            </w:pPr>
            <w:r w:rsidRPr="00BA5FA4">
              <w:rPr>
                <w:rFonts w:asciiTheme="minorHAnsi" w:hAnsiTheme="minorHAnsi" w:cstheme="minorHAnsi"/>
                <w:b/>
                <w:bCs/>
                <w:sz w:val="17"/>
                <w:szCs w:val="17"/>
              </w:rPr>
              <w:t>N/A</w:t>
            </w:r>
          </w:p>
        </w:tc>
        <w:tc>
          <w:tcPr>
            <w:tcW w:w="1080" w:type="dxa"/>
            <w:shd w:val="clear" w:color="auto" w:fill="D9D9D9" w:themeFill="background1" w:themeFillShade="D9"/>
            <w:noWrap/>
          </w:tcPr>
          <w:p w:rsidR="00875CD0" w:rsidRPr="00BA5FA4" w:rsidP="0019207F" w14:paraId="2823BF00" w14:textId="376C9024">
            <w:pPr>
              <w:pStyle w:val="NoSpacing"/>
              <w:jc w:val="right"/>
              <w:rPr>
                <w:rFonts w:asciiTheme="minorHAnsi" w:hAnsiTheme="minorHAnsi" w:cstheme="minorHAnsi"/>
                <w:b/>
                <w:sz w:val="17"/>
                <w:szCs w:val="17"/>
              </w:rPr>
            </w:pPr>
            <w:r w:rsidRPr="00BA5FA4">
              <w:rPr>
                <w:rFonts w:asciiTheme="minorHAnsi" w:hAnsiTheme="minorHAnsi" w:cstheme="minorHAnsi"/>
                <w:b/>
                <w:bCs/>
                <w:sz w:val="17"/>
                <w:szCs w:val="17"/>
              </w:rPr>
              <w:t>$17</w:t>
            </w:r>
            <w:r>
              <w:rPr>
                <w:rFonts w:asciiTheme="minorHAnsi" w:hAnsiTheme="minorHAnsi" w:cstheme="minorHAnsi"/>
                <w:b/>
                <w:bCs/>
                <w:sz w:val="17"/>
                <w:szCs w:val="17"/>
              </w:rPr>
              <w:t>.2</w:t>
            </w:r>
            <w:r w:rsidR="00C7500C">
              <w:rPr>
                <w:rFonts w:asciiTheme="minorHAnsi" w:hAnsiTheme="minorHAnsi" w:cstheme="minorHAnsi"/>
                <w:b/>
                <w:bCs/>
                <w:sz w:val="17"/>
                <w:szCs w:val="17"/>
              </w:rPr>
              <w:t>0</w:t>
            </w:r>
            <w:r w:rsidRPr="003A269A">
              <w:rPr>
                <w:rFonts w:eastAsia="Times New Roman" w:asciiTheme="minorHAnsi" w:hAnsiTheme="minorHAnsi" w:cstheme="minorHAnsi"/>
                <w:b/>
                <w:bCs/>
                <w:color w:val="000000"/>
                <w:sz w:val="17"/>
                <w:szCs w:val="17"/>
              </w:rPr>
              <w:t xml:space="preserve"> </w:t>
            </w:r>
          </w:p>
        </w:tc>
        <w:tc>
          <w:tcPr>
            <w:tcW w:w="1080" w:type="dxa"/>
            <w:shd w:val="clear" w:color="auto" w:fill="D9D9D9" w:themeFill="background1" w:themeFillShade="D9"/>
          </w:tcPr>
          <w:p w:rsidR="00875CD0" w:rsidRPr="00BA5FA4" w:rsidP="0019207F" w14:paraId="7E633D23" w14:textId="5A2096BA">
            <w:pPr>
              <w:pStyle w:val="NoSpacing"/>
              <w:jc w:val="right"/>
              <w:rPr>
                <w:rFonts w:asciiTheme="minorHAnsi" w:hAnsiTheme="minorHAnsi" w:cstheme="minorHAnsi"/>
                <w:b/>
                <w:sz w:val="17"/>
                <w:szCs w:val="17"/>
              </w:rPr>
            </w:pPr>
            <w:r w:rsidRPr="00BA5FA4">
              <w:rPr>
                <w:rFonts w:asciiTheme="minorHAnsi" w:hAnsiTheme="minorHAnsi" w:cstheme="minorHAnsi"/>
                <w:b/>
                <w:bCs/>
                <w:sz w:val="17"/>
                <w:szCs w:val="17"/>
              </w:rPr>
              <w:t>$4</w:t>
            </w:r>
            <w:r>
              <w:rPr>
                <w:rFonts w:asciiTheme="minorHAnsi" w:hAnsiTheme="minorHAnsi" w:cstheme="minorHAnsi"/>
                <w:b/>
                <w:bCs/>
                <w:sz w:val="17"/>
                <w:szCs w:val="17"/>
              </w:rPr>
              <w:t>.</w:t>
            </w:r>
            <w:r w:rsidR="00C7500C">
              <w:rPr>
                <w:rFonts w:eastAsia="Times New Roman" w:asciiTheme="minorHAnsi" w:hAnsiTheme="minorHAnsi" w:cstheme="minorHAnsi"/>
                <w:b/>
                <w:bCs/>
                <w:color w:val="000000"/>
                <w:sz w:val="17"/>
                <w:szCs w:val="17"/>
              </w:rPr>
              <w:t>26</w:t>
            </w:r>
          </w:p>
        </w:tc>
        <w:tc>
          <w:tcPr>
            <w:tcW w:w="1435" w:type="dxa"/>
            <w:shd w:val="clear" w:color="auto" w:fill="D9D9D9" w:themeFill="background1" w:themeFillShade="D9"/>
            <w:noWrap/>
          </w:tcPr>
          <w:p w:rsidR="00875CD0" w:rsidRPr="00BA5FA4" w:rsidP="0019207F" w14:paraId="402D5543" w14:textId="36D29E33">
            <w:pPr>
              <w:pStyle w:val="NoSpacing"/>
              <w:jc w:val="right"/>
              <w:rPr>
                <w:rFonts w:asciiTheme="minorHAnsi" w:hAnsiTheme="minorHAnsi" w:cstheme="minorHAnsi"/>
                <w:b/>
                <w:sz w:val="17"/>
                <w:szCs w:val="17"/>
              </w:rPr>
            </w:pPr>
            <w:r w:rsidRPr="00BA5FA4">
              <w:rPr>
                <w:rFonts w:asciiTheme="minorHAnsi" w:hAnsiTheme="minorHAnsi" w:cstheme="minorHAnsi"/>
                <w:b/>
                <w:bCs/>
                <w:sz w:val="17"/>
                <w:szCs w:val="17"/>
              </w:rPr>
              <w:t>$4</w:t>
            </w:r>
            <w:r>
              <w:rPr>
                <w:rFonts w:asciiTheme="minorHAnsi" w:hAnsiTheme="minorHAnsi" w:cstheme="minorHAnsi"/>
                <w:b/>
                <w:bCs/>
                <w:sz w:val="17"/>
                <w:szCs w:val="17"/>
              </w:rPr>
              <w:t>.</w:t>
            </w:r>
            <w:r w:rsidR="003D67E0">
              <w:rPr>
                <w:rFonts w:asciiTheme="minorHAnsi" w:hAnsiTheme="minorHAnsi" w:cstheme="minorHAnsi"/>
                <w:b/>
                <w:bCs/>
                <w:sz w:val="17"/>
                <w:szCs w:val="17"/>
              </w:rPr>
              <w:t>26</w:t>
            </w:r>
            <w:r w:rsidRPr="003A269A">
              <w:rPr>
                <w:rFonts w:asciiTheme="minorHAnsi" w:hAnsiTheme="minorHAnsi" w:cstheme="minorHAnsi"/>
                <w:b/>
                <w:bCs/>
                <w:color w:val="000000"/>
                <w:sz w:val="17"/>
                <w:szCs w:val="17"/>
              </w:rPr>
              <w:t xml:space="preserve"> </w:t>
            </w:r>
          </w:p>
        </w:tc>
      </w:tr>
    </w:tbl>
    <w:p w:rsidR="00AD5178" w:rsidP="009E4F23" w14:paraId="1018C7E8" w14:textId="69205499">
      <w:pPr>
        <w:spacing w:before="0" w:line="184" w:lineRule="exact"/>
        <w:rPr>
          <w:b/>
          <w:bCs/>
        </w:rPr>
      </w:pPr>
      <w:r>
        <w:rPr>
          <w:b/>
          <w:spacing w:val="-2"/>
          <w:sz w:val="16"/>
        </w:rPr>
        <w:t>NOTES</w:t>
      </w:r>
      <w:r>
        <w:rPr>
          <w:spacing w:val="-2"/>
          <w:sz w:val="16"/>
        </w:rPr>
        <w:t>:</w:t>
      </w:r>
      <w:r>
        <w:rPr>
          <w:sz w:val="16"/>
        </w:rPr>
        <w:t xml:space="preserve"> (1) </w:t>
      </w:r>
      <w:r w:rsidRPr="00E72273">
        <w:rPr>
          <w:sz w:val="16"/>
        </w:rPr>
        <w:t>42</w:t>
      </w:r>
      <w:r w:rsidRPr="00E72273">
        <w:rPr>
          <w:spacing w:val="-6"/>
          <w:sz w:val="16"/>
        </w:rPr>
        <w:t xml:space="preserve"> </w:t>
      </w:r>
      <w:r w:rsidRPr="00E72273">
        <w:rPr>
          <w:sz w:val="16"/>
        </w:rPr>
        <w:t>CFR</w:t>
      </w:r>
      <w:r w:rsidRPr="00E72273">
        <w:rPr>
          <w:spacing w:val="-5"/>
          <w:sz w:val="16"/>
        </w:rPr>
        <w:t xml:space="preserve"> </w:t>
      </w:r>
      <w:r w:rsidRPr="00E72273">
        <w:rPr>
          <w:sz w:val="16"/>
        </w:rPr>
        <w:t>422.119,</w:t>
      </w:r>
      <w:r w:rsidRPr="00E72273">
        <w:rPr>
          <w:spacing w:val="-6"/>
          <w:sz w:val="16"/>
        </w:rPr>
        <w:t xml:space="preserve"> </w:t>
      </w:r>
      <w:r w:rsidRPr="004172EA">
        <w:rPr>
          <w:rFonts w:eastAsia="Times New Roman" w:cs="Times New Roman"/>
          <w:color w:val="000000"/>
          <w:sz w:val="16"/>
          <w:szCs w:val="16"/>
        </w:rPr>
        <w:t>42 CFR</w:t>
      </w:r>
      <w:r w:rsidRPr="00E72273">
        <w:rPr>
          <w:sz w:val="16"/>
        </w:rPr>
        <w:t xml:space="preserve"> 431.60,</w:t>
      </w:r>
      <w:r w:rsidRPr="00E72273">
        <w:rPr>
          <w:spacing w:val="-6"/>
          <w:sz w:val="16"/>
        </w:rPr>
        <w:t xml:space="preserve"> </w:t>
      </w:r>
      <w:r w:rsidRPr="004172EA">
        <w:rPr>
          <w:rFonts w:eastAsia="Times New Roman" w:cs="Times New Roman"/>
          <w:color w:val="000000"/>
          <w:sz w:val="16"/>
          <w:szCs w:val="16"/>
        </w:rPr>
        <w:t>42 CFR</w:t>
      </w:r>
      <w:r w:rsidRPr="00E72273">
        <w:rPr>
          <w:sz w:val="16"/>
        </w:rPr>
        <w:t xml:space="preserve"> 438.242,</w:t>
      </w:r>
      <w:r w:rsidRPr="00E72273">
        <w:rPr>
          <w:spacing w:val="-6"/>
          <w:sz w:val="16"/>
        </w:rPr>
        <w:t xml:space="preserve"> </w:t>
      </w:r>
      <w:r w:rsidRPr="004172EA">
        <w:rPr>
          <w:rFonts w:eastAsia="Times New Roman" w:cs="Times New Roman"/>
          <w:color w:val="000000"/>
          <w:sz w:val="16"/>
          <w:szCs w:val="16"/>
        </w:rPr>
        <w:t>42 CFR</w:t>
      </w:r>
      <w:r w:rsidRPr="00E72273">
        <w:rPr>
          <w:sz w:val="16"/>
        </w:rPr>
        <w:t xml:space="preserve"> 457.730,</w:t>
      </w:r>
      <w:r w:rsidRPr="00E72273">
        <w:rPr>
          <w:spacing w:val="-6"/>
          <w:sz w:val="16"/>
        </w:rPr>
        <w:t xml:space="preserve"> </w:t>
      </w:r>
      <w:r w:rsidRPr="004172EA">
        <w:rPr>
          <w:rFonts w:eastAsia="Times New Roman" w:cs="Times New Roman"/>
          <w:color w:val="000000"/>
          <w:sz w:val="16"/>
          <w:szCs w:val="16"/>
        </w:rPr>
        <w:t>42 CFR</w:t>
      </w:r>
      <w:r w:rsidRPr="00E72273">
        <w:rPr>
          <w:sz w:val="16"/>
        </w:rPr>
        <w:t xml:space="preserve"> 457.1233</w:t>
      </w:r>
      <w:r w:rsidR="007F6758">
        <w:rPr>
          <w:sz w:val="16"/>
        </w:rPr>
        <w:t>,</w:t>
      </w:r>
      <w:r w:rsidRPr="00E72273">
        <w:rPr>
          <w:spacing w:val="-5"/>
          <w:sz w:val="16"/>
        </w:rPr>
        <w:t xml:space="preserve"> </w:t>
      </w:r>
      <w:r w:rsidRPr="00E72273">
        <w:rPr>
          <w:sz w:val="16"/>
        </w:rPr>
        <w:t>and</w:t>
      </w:r>
      <w:r w:rsidRPr="00E72273">
        <w:rPr>
          <w:spacing w:val="-5"/>
          <w:sz w:val="16"/>
        </w:rPr>
        <w:t xml:space="preserve"> </w:t>
      </w:r>
      <w:r w:rsidRPr="00E72273">
        <w:rPr>
          <w:sz w:val="16"/>
        </w:rPr>
        <w:t>45</w:t>
      </w:r>
      <w:r w:rsidRPr="00E72273">
        <w:rPr>
          <w:spacing w:val="-5"/>
          <w:sz w:val="16"/>
        </w:rPr>
        <w:t xml:space="preserve"> </w:t>
      </w:r>
      <w:r w:rsidRPr="00E72273">
        <w:rPr>
          <w:sz w:val="16"/>
        </w:rPr>
        <w:t>CFR</w:t>
      </w:r>
      <w:r w:rsidRPr="00E72273">
        <w:rPr>
          <w:spacing w:val="-6"/>
          <w:sz w:val="16"/>
        </w:rPr>
        <w:t xml:space="preserve"> </w:t>
      </w:r>
      <w:r w:rsidRPr="00E72273">
        <w:rPr>
          <w:spacing w:val="-2"/>
          <w:sz w:val="16"/>
        </w:rPr>
        <w:t>156.221</w:t>
      </w:r>
      <w:r>
        <w:rPr>
          <w:spacing w:val="-2"/>
          <w:sz w:val="16"/>
        </w:rPr>
        <w:t xml:space="preserve">; </w:t>
      </w:r>
      <w:r w:rsidR="00276807">
        <w:rPr>
          <w:spacing w:val="-2"/>
          <w:sz w:val="16"/>
        </w:rPr>
        <w:br/>
      </w:r>
      <w:r>
        <w:rPr>
          <w:spacing w:val="-2"/>
          <w:sz w:val="16"/>
        </w:rPr>
        <w:t xml:space="preserve">(2) </w:t>
      </w:r>
      <w:r w:rsidRPr="00E72273">
        <w:rPr>
          <w:sz w:val="16"/>
        </w:rPr>
        <w:t>42</w:t>
      </w:r>
      <w:r w:rsidRPr="00E72273">
        <w:rPr>
          <w:spacing w:val="-6"/>
          <w:sz w:val="16"/>
        </w:rPr>
        <w:t xml:space="preserve"> </w:t>
      </w:r>
      <w:r w:rsidRPr="00E72273">
        <w:rPr>
          <w:sz w:val="16"/>
        </w:rPr>
        <w:t>CFR</w:t>
      </w:r>
      <w:r w:rsidRPr="00E72273">
        <w:rPr>
          <w:spacing w:val="-6"/>
          <w:sz w:val="16"/>
        </w:rPr>
        <w:t xml:space="preserve"> </w:t>
      </w:r>
      <w:r w:rsidRPr="00E72273">
        <w:rPr>
          <w:sz w:val="16"/>
        </w:rPr>
        <w:t>422.122,</w:t>
      </w:r>
      <w:r w:rsidRPr="00E72273">
        <w:rPr>
          <w:spacing w:val="-6"/>
          <w:sz w:val="16"/>
        </w:rPr>
        <w:t xml:space="preserve"> </w:t>
      </w:r>
      <w:r w:rsidRPr="004172EA">
        <w:rPr>
          <w:rFonts w:eastAsia="Times New Roman" w:cs="Times New Roman"/>
          <w:color w:val="000000"/>
          <w:sz w:val="16"/>
          <w:szCs w:val="16"/>
        </w:rPr>
        <w:t>42 CFR</w:t>
      </w:r>
      <w:r w:rsidRPr="00E72273">
        <w:rPr>
          <w:sz w:val="16"/>
        </w:rPr>
        <w:t xml:space="preserve"> 438.210,</w:t>
      </w:r>
      <w:r w:rsidRPr="00E72273">
        <w:rPr>
          <w:spacing w:val="-6"/>
          <w:sz w:val="16"/>
        </w:rPr>
        <w:t xml:space="preserve"> </w:t>
      </w:r>
      <w:r w:rsidRPr="004172EA">
        <w:rPr>
          <w:rFonts w:eastAsia="Times New Roman" w:cs="Times New Roman"/>
          <w:color w:val="000000"/>
          <w:sz w:val="16"/>
          <w:szCs w:val="16"/>
        </w:rPr>
        <w:t>42 CFR</w:t>
      </w:r>
      <w:r w:rsidRPr="00E72273">
        <w:rPr>
          <w:sz w:val="16"/>
        </w:rPr>
        <w:t xml:space="preserve"> 440.230,</w:t>
      </w:r>
      <w:r w:rsidRPr="00E72273">
        <w:rPr>
          <w:spacing w:val="-6"/>
          <w:sz w:val="16"/>
        </w:rPr>
        <w:t xml:space="preserve"> </w:t>
      </w:r>
      <w:r w:rsidRPr="004172EA">
        <w:rPr>
          <w:rFonts w:eastAsia="Times New Roman" w:cs="Times New Roman"/>
          <w:color w:val="000000"/>
          <w:sz w:val="16"/>
          <w:szCs w:val="16"/>
        </w:rPr>
        <w:t>42 CFR</w:t>
      </w:r>
      <w:r w:rsidRPr="00E72273">
        <w:rPr>
          <w:sz w:val="16"/>
        </w:rPr>
        <w:t xml:space="preserve"> 457.732,</w:t>
      </w:r>
      <w:r w:rsidRPr="00E72273">
        <w:rPr>
          <w:spacing w:val="-5"/>
          <w:sz w:val="16"/>
        </w:rPr>
        <w:t xml:space="preserve"> </w:t>
      </w:r>
      <w:r w:rsidRPr="004172EA">
        <w:rPr>
          <w:rFonts w:eastAsia="Times New Roman" w:cs="Times New Roman"/>
          <w:color w:val="000000"/>
          <w:sz w:val="16"/>
          <w:szCs w:val="16"/>
        </w:rPr>
        <w:t>42 CFR</w:t>
      </w:r>
      <w:r w:rsidRPr="00E72273">
        <w:rPr>
          <w:sz w:val="16"/>
        </w:rPr>
        <w:t xml:space="preserve"> 457.123</w:t>
      </w:r>
      <w:r w:rsidR="00D475D9">
        <w:rPr>
          <w:sz w:val="16"/>
        </w:rPr>
        <w:t>0</w:t>
      </w:r>
      <w:r w:rsidR="007F6758">
        <w:rPr>
          <w:sz w:val="16"/>
        </w:rPr>
        <w:t>,</w:t>
      </w:r>
      <w:r w:rsidRPr="00E72273">
        <w:rPr>
          <w:spacing w:val="-5"/>
          <w:sz w:val="16"/>
        </w:rPr>
        <w:t xml:space="preserve"> </w:t>
      </w:r>
      <w:r w:rsidRPr="00E72273">
        <w:rPr>
          <w:sz w:val="16"/>
        </w:rPr>
        <w:t>and</w:t>
      </w:r>
      <w:r w:rsidRPr="00E72273">
        <w:rPr>
          <w:spacing w:val="-6"/>
          <w:sz w:val="16"/>
        </w:rPr>
        <w:t xml:space="preserve"> </w:t>
      </w:r>
      <w:r w:rsidRPr="00E72273">
        <w:rPr>
          <w:sz w:val="16"/>
        </w:rPr>
        <w:t>45</w:t>
      </w:r>
      <w:r w:rsidRPr="00E72273">
        <w:rPr>
          <w:spacing w:val="-5"/>
          <w:sz w:val="16"/>
        </w:rPr>
        <w:t xml:space="preserve"> </w:t>
      </w:r>
      <w:r w:rsidRPr="00E72273">
        <w:rPr>
          <w:sz w:val="16"/>
        </w:rPr>
        <w:t>CFR</w:t>
      </w:r>
      <w:r w:rsidRPr="00E72273">
        <w:rPr>
          <w:spacing w:val="-6"/>
          <w:sz w:val="16"/>
        </w:rPr>
        <w:t xml:space="preserve"> </w:t>
      </w:r>
      <w:r w:rsidRPr="00E72273">
        <w:rPr>
          <w:spacing w:val="-2"/>
          <w:sz w:val="16"/>
        </w:rPr>
        <w:t>156.223</w:t>
      </w:r>
      <w:r w:rsidRPr="002301A0" w:rsidR="002301A0">
        <w:t>.</w:t>
      </w:r>
    </w:p>
    <w:p w:rsidR="00875CD0" w:rsidP="00BA5FA4" w14:paraId="593CD814" w14:textId="0A80DE2E">
      <w:pPr>
        <w:jc w:val="center"/>
      </w:pPr>
      <w:r w:rsidRPr="00E72273">
        <w:rPr>
          <w:b/>
          <w:bCs/>
        </w:rPr>
        <w:t xml:space="preserve">TABLE </w:t>
      </w:r>
      <w:r>
        <w:rPr>
          <w:b/>
          <w:bCs/>
        </w:rPr>
        <w:t>4</w:t>
      </w:r>
      <w:r w:rsidRPr="00E72273">
        <w:rPr>
          <w:b/>
          <w:bCs/>
        </w:rPr>
        <w:t>: COST FOR FIRST</w:t>
      </w:r>
      <w:r w:rsidR="003A269A">
        <w:rPr>
          <w:b/>
          <w:bCs/>
        </w:rPr>
        <w:t>, SECOND,</w:t>
      </w:r>
      <w:r w:rsidRPr="00E72273">
        <w:rPr>
          <w:b/>
          <w:bCs/>
        </w:rPr>
        <w:t xml:space="preserve"> AND </w:t>
      </w:r>
      <w:r w:rsidR="003038C6">
        <w:rPr>
          <w:b/>
          <w:bCs/>
        </w:rPr>
        <w:t>THIRD</w:t>
      </w:r>
      <w:r w:rsidRPr="00E72273">
        <w:rPr>
          <w:b/>
          <w:bCs/>
        </w:rPr>
        <w:t xml:space="preserve"> YEARS FOR </w:t>
      </w:r>
      <w:r w:rsidR="00B06319">
        <w:rPr>
          <w:b/>
          <w:bCs/>
        </w:rPr>
        <w:t xml:space="preserve">PROPOSED </w:t>
      </w:r>
      <w:r>
        <w:rPr>
          <w:b/>
          <w:bCs/>
        </w:rPr>
        <w:t xml:space="preserve">PRIOR AUTHORIZATION METRICS </w:t>
      </w:r>
      <w:r w:rsidR="00B06319">
        <w:rPr>
          <w:b/>
          <w:bCs/>
        </w:rPr>
        <w:t>REPORTING</w:t>
      </w:r>
      <w:r>
        <w:rPr>
          <w:b/>
          <w:bCs/>
        </w:rPr>
        <w:t xml:space="preserve"> FOR DRUGS, METRICS REPORTING FOR THE ACCESS APIS, AND PAYER ENDPOINT REPORTING</w:t>
      </w:r>
    </w:p>
    <w:tbl>
      <w:tblPr>
        <w:tblW w:w="12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5"/>
        <w:gridCol w:w="1080"/>
        <w:gridCol w:w="1170"/>
        <w:gridCol w:w="1080"/>
        <w:gridCol w:w="990"/>
        <w:gridCol w:w="1170"/>
        <w:gridCol w:w="1260"/>
        <w:gridCol w:w="1080"/>
        <w:gridCol w:w="1080"/>
      </w:tblGrid>
      <w:tr w14:paraId="428B86C7" w14:textId="77777777" w:rsidTr="00BA5FA4">
        <w:tblPrEx>
          <w:tblW w:w="12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4055" w:type="dxa"/>
            <w:shd w:val="clear" w:color="auto" w:fill="D9D9D9" w:themeFill="background1" w:themeFillShade="D9"/>
            <w:vAlign w:val="center"/>
            <w:hideMark/>
          </w:tcPr>
          <w:p w:rsidR="00875CD0" w:rsidRPr="00E72273" w:rsidP="0019207F" w14:paraId="0E3A589A" w14:textId="77777777">
            <w:pPr>
              <w:spacing w:after="0"/>
              <w:contextualSpacing/>
              <w:jc w:val="center"/>
              <w:rPr>
                <w:rFonts w:eastAsia="Times New Roman" w:cs="Times New Roman"/>
                <w:b/>
                <w:bCs/>
                <w:color w:val="000000"/>
                <w:sz w:val="17"/>
                <w:szCs w:val="17"/>
              </w:rPr>
            </w:pPr>
            <w:bookmarkStart w:id="3" w:name="_Hlk203985709"/>
            <w:r w:rsidRPr="00E72273">
              <w:rPr>
                <w:rFonts w:eastAsia="Times New Roman" w:cs="Times New Roman"/>
                <w:b/>
                <w:bCs/>
                <w:color w:val="000000"/>
                <w:sz w:val="17"/>
                <w:szCs w:val="17"/>
              </w:rPr>
              <w:t>Item</w:t>
            </w:r>
          </w:p>
        </w:tc>
        <w:tc>
          <w:tcPr>
            <w:tcW w:w="1080" w:type="dxa"/>
            <w:shd w:val="clear" w:color="auto" w:fill="D9D9D9" w:themeFill="background1" w:themeFillShade="D9"/>
            <w:vAlign w:val="center"/>
            <w:hideMark/>
          </w:tcPr>
          <w:p w:rsidR="00875CD0" w:rsidRPr="00E72273" w:rsidP="0019207F" w14:paraId="6F65BD8C" w14:textId="77777777">
            <w:pPr>
              <w:spacing w:after="0"/>
              <w:contextualSpacing/>
              <w:jc w:val="center"/>
              <w:rPr>
                <w:rFonts w:eastAsia="Times New Roman" w:cs="Times New Roman"/>
                <w:b/>
                <w:bCs/>
                <w:color w:val="000000"/>
                <w:sz w:val="17"/>
                <w:szCs w:val="17"/>
              </w:rPr>
            </w:pPr>
            <w:r w:rsidRPr="00E72273">
              <w:rPr>
                <w:rFonts w:eastAsia="Times New Roman" w:cs="Times New Roman"/>
                <w:b/>
                <w:bCs/>
                <w:color w:val="000000"/>
                <w:sz w:val="17"/>
                <w:szCs w:val="17"/>
              </w:rPr>
              <w:t>Regulatory Citations</w:t>
            </w:r>
          </w:p>
        </w:tc>
        <w:tc>
          <w:tcPr>
            <w:tcW w:w="1170" w:type="dxa"/>
            <w:shd w:val="clear" w:color="auto" w:fill="D9D9D9" w:themeFill="background1" w:themeFillShade="D9"/>
            <w:vAlign w:val="center"/>
            <w:hideMark/>
          </w:tcPr>
          <w:p w:rsidR="00875CD0" w:rsidRPr="00E72273" w:rsidP="0019207F" w14:paraId="2D258724" w14:textId="77777777">
            <w:pPr>
              <w:spacing w:after="0"/>
              <w:contextualSpacing/>
              <w:jc w:val="center"/>
              <w:rPr>
                <w:rFonts w:eastAsia="Times New Roman" w:cs="Times New Roman"/>
                <w:b/>
                <w:bCs/>
                <w:color w:val="000000"/>
                <w:sz w:val="17"/>
                <w:szCs w:val="17"/>
              </w:rPr>
            </w:pPr>
            <w:r w:rsidRPr="00E72273">
              <w:rPr>
                <w:rFonts w:eastAsia="Times New Roman" w:cs="Times New Roman"/>
                <w:b/>
                <w:color w:val="000000"/>
                <w:sz w:val="17"/>
                <w:szCs w:val="17"/>
              </w:rPr>
              <w:t xml:space="preserve">Number of </w:t>
            </w:r>
            <w:r>
              <w:rPr>
                <w:rFonts w:eastAsia="Times New Roman" w:cs="Times New Roman"/>
                <w:b/>
                <w:color w:val="000000"/>
                <w:sz w:val="17"/>
                <w:szCs w:val="17"/>
              </w:rPr>
              <w:t>Respondents</w:t>
            </w:r>
          </w:p>
        </w:tc>
        <w:tc>
          <w:tcPr>
            <w:tcW w:w="1080" w:type="dxa"/>
            <w:shd w:val="clear" w:color="auto" w:fill="D9D9D9" w:themeFill="background1" w:themeFillShade="D9"/>
            <w:vAlign w:val="center"/>
            <w:hideMark/>
          </w:tcPr>
          <w:p w:rsidR="00875CD0" w:rsidRPr="00E72273" w:rsidP="0019207F" w14:paraId="13BE3D7B" w14:textId="77777777">
            <w:pPr>
              <w:spacing w:after="0"/>
              <w:contextualSpacing/>
              <w:jc w:val="center"/>
              <w:rPr>
                <w:rFonts w:eastAsia="Times New Roman" w:cs="Times New Roman"/>
                <w:b/>
                <w:bCs/>
                <w:color w:val="000000"/>
                <w:sz w:val="17"/>
                <w:szCs w:val="17"/>
              </w:rPr>
            </w:pPr>
            <w:r w:rsidRPr="00E72273">
              <w:rPr>
                <w:rFonts w:eastAsia="Times New Roman" w:cs="Times New Roman"/>
                <w:b/>
                <w:bCs/>
                <w:color w:val="000000"/>
                <w:sz w:val="17"/>
                <w:szCs w:val="17"/>
              </w:rPr>
              <w:t>Time per Respondent (Hour)</w:t>
            </w:r>
          </w:p>
        </w:tc>
        <w:tc>
          <w:tcPr>
            <w:tcW w:w="990" w:type="dxa"/>
            <w:shd w:val="clear" w:color="auto" w:fill="D9D9D9" w:themeFill="background1" w:themeFillShade="D9"/>
            <w:vAlign w:val="center"/>
            <w:hideMark/>
          </w:tcPr>
          <w:p w:rsidR="00875CD0" w:rsidRPr="00E72273" w:rsidP="0019207F" w14:paraId="04496384" w14:textId="77777777">
            <w:pPr>
              <w:spacing w:after="0"/>
              <w:contextualSpacing/>
              <w:jc w:val="center"/>
              <w:rPr>
                <w:rFonts w:eastAsia="Times New Roman" w:cs="Times New Roman"/>
                <w:b/>
                <w:bCs/>
                <w:color w:val="000000"/>
                <w:sz w:val="17"/>
                <w:szCs w:val="17"/>
              </w:rPr>
            </w:pPr>
            <w:r w:rsidRPr="00E72273">
              <w:rPr>
                <w:rFonts w:eastAsia="Times New Roman" w:cs="Times New Roman"/>
                <w:b/>
                <w:bCs/>
                <w:color w:val="000000"/>
                <w:sz w:val="17"/>
                <w:szCs w:val="17"/>
              </w:rPr>
              <w:t>Total Annual Hours</w:t>
            </w:r>
          </w:p>
        </w:tc>
        <w:tc>
          <w:tcPr>
            <w:tcW w:w="1170" w:type="dxa"/>
            <w:shd w:val="clear" w:color="auto" w:fill="D9D9D9" w:themeFill="background1" w:themeFillShade="D9"/>
            <w:vAlign w:val="center"/>
            <w:hideMark/>
          </w:tcPr>
          <w:p w:rsidR="00875CD0" w:rsidRPr="00E72273" w:rsidP="0019207F" w14:paraId="0E7B6B8A" w14:textId="77777777">
            <w:pPr>
              <w:spacing w:after="0"/>
              <w:contextualSpacing/>
              <w:jc w:val="center"/>
              <w:rPr>
                <w:rFonts w:eastAsia="Times New Roman" w:cs="Times New Roman"/>
                <w:b/>
                <w:bCs/>
                <w:color w:val="000000"/>
                <w:sz w:val="17"/>
                <w:szCs w:val="17"/>
              </w:rPr>
            </w:pPr>
            <w:r w:rsidRPr="00E72273">
              <w:rPr>
                <w:rFonts w:eastAsia="Times New Roman" w:cs="Times New Roman"/>
                <w:b/>
                <w:bCs/>
                <w:color w:val="000000"/>
                <w:sz w:val="17"/>
                <w:szCs w:val="17"/>
              </w:rPr>
              <w:t>Labor Cost ($/Hour)</w:t>
            </w:r>
          </w:p>
        </w:tc>
        <w:tc>
          <w:tcPr>
            <w:tcW w:w="1260" w:type="dxa"/>
            <w:shd w:val="clear" w:color="auto" w:fill="D9D9D9" w:themeFill="background1" w:themeFillShade="D9"/>
            <w:vAlign w:val="center"/>
            <w:hideMark/>
          </w:tcPr>
          <w:p w:rsidR="00875CD0" w:rsidRPr="00E72273" w:rsidP="0019207F" w14:paraId="2FD94388" w14:textId="77777777">
            <w:pPr>
              <w:spacing w:after="0"/>
              <w:contextualSpacing/>
              <w:jc w:val="center"/>
              <w:rPr>
                <w:rFonts w:eastAsia="Times New Roman" w:cs="Times New Roman"/>
                <w:b/>
                <w:bCs/>
                <w:color w:val="000000"/>
                <w:sz w:val="17"/>
                <w:szCs w:val="17"/>
              </w:rPr>
            </w:pPr>
            <w:r w:rsidRPr="00E72273">
              <w:rPr>
                <w:rFonts w:eastAsia="Times New Roman" w:cs="Times New Roman"/>
                <w:b/>
                <w:bCs/>
                <w:color w:val="000000"/>
                <w:sz w:val="17"/>
                <w:szCs w:val="17"/>
              </w:rPr>
              <w:t>1st Year Cost (Millions $)</w:t>
            </w:r>
          </w:p>
        </w:tc>
        <w:tc>
          <w:tcPr>
            <w:tcW w:w="1080" w:type="dxa"/>
            <w:shd w:val="clear" w:color="auto" w:fill="D9D9D9" w:themeFill="background1" w:themeFillShade="D9"/>
            <w:vAlign w:val="center"/>
            <w:hideMark/>
          </w:tcPr>
          <w:p w:rsidR="00875CD0" w:rsidRPr="00E72273" w:rsidP="0019207F" w14:paraId="3D008D4D" w14:textId="77777777">
            <w:pPr>
              <w:spacing w:after="0"/>
              <w:contextualSpacing/>
              <w:jc w:val="center"/>
              <w:rPr>
                <w:rFonts w:eastAsia="Times New Roman" w:cs="Times New Roman"/>
                <w:b/>
                <w:bCs/>
                <w:color w:val="000000"/>
                <w:sz w:val="17"/>
                <w:szCs w:val="17"/>
              </w:rPr>
            </w:pPr>
            <w:r w:rsidRPr="00E72273">
              <w:rPr>
                <w:rFonts w:eastAsia="Times New Roman" w:cs="Times New Roman"/>
                <w:b/>
                <w:bCs/>
                <w:color w:val="000000"/>
                <w:sz w:val="17"/>
                <w:szCs w:val="17"/>
              </w:rPr>
              <w:t>2nd Year Cost (Millions $)</w:t>
            </w:r>
          </w:p>
        </w:tc>
        <w:tc>
          <w:tcPr>
            <w:tcW w:w="1080" w:type="dxa"/>
            <w:shd w:val="clear" w:color="auto" w:fill="D9D9D9" w:themeFill="background1" w:themeFillShade="D9"/>
            <w:vAlign w:val="center"/>
            <w:hideMark/>
          </w:tcPr>
          <w:p w:rsidR="00875CD0" w:rsidP="0019207F" w14:paraId="59399518" w14:textId="7E49EE1E">
            <w:pPr>
              <w:spacing w:after="0"/>
              <w:contextualSpacing/>
              <w:jc w:val="center"/>
              <w:rPr>
                <w:rFonts w:eastAsia="Times New Roman" w:cs="Times New Roman"/>
                <w:b/>
                <w:bCs/>
                <w:color w:val="000000"/>
                <w:sz w:val="17"/>
                <w:szCs w:val="17"/>
              </w:rPr>
            </w:pPr>
            <w:r>
              <w:rPr>
                <w:rFonts w:eastAsia="Times New Roman" w:cs="Times New Roman"/>
                <w:b/>
                <w:bCs/>
                <w:color w:val="000000"/>
                <w:sz w:val="17"/>
                <w:szCs w:val="17"/>
              </w:rPr>
              <w:t>3rd</w:t>
            </w:r>
            <w:r w:rsidRPr="00E72273">
              <w:rPr>
                <w:rFonts w:eastAsia="Times New Roman" w:cs="Times New Roman"/>
                <w:b/>
                <w:bCs/>
                <w:color w:val="000000"/>
                <w:sz w:val="17"/>
                <w:szCs w:val="17"/>
              </w:rPr>
              <w:t xml:space="preserve"> Year Cost </w:t>
            </w:r>
          </w:p>
          <w:p w:rsidR="00875CD0" w:rsidRPr="00E72273" w:rsidP="0019207F" w14:paraId="1119968F" w14:textId="77777777">
            <w:pPr>
              <w:spacing w:after="0"/>
              <w:contextualSpacing/>
              <w:jc w:val="center"/>
              <w:rPr>
                <w:rFonts w:eastAsia="Times New Roman" w:cs="Times New Roman"/>
                <w:b/>
                <w:bCs/>
                <w:color w:val="000000"/>
                <w:sz w:val="17"/>
                <w:szCs w:val="17"/>
              </w:rPr>
            </w:pPr>
            <w:r w:rsidRPr="00E72273">
              <w:rPr>
                <w:rFonts w:eastAsia="Times New Roman" w:cs="Times New Roman"/>
                <w:b/>
                <w:bCs/>
                <w:color w:val="000000"/>
                <w:sz w:val="17"/>
                <w:szCs w:val="17"/>
              </w:rPr>
              <w:t>(Millions $)</w:t>
            </w:r>
          </w:p>
        </w:tc>
      </w:tr>
      <w:tr w14:paraId="58F99B14" w14:textId="77777777" w:rsidTr="00AD5178">
        <w:tblPrEx>
          <w:tblW w:w="12965" w:type="dxa"/>
          <w:jc w:val="center"/>
          <w:tblLayout w:type="fixed"/>
          <w:tblLook w:val="04A0"/>
        </w:tblPrEx>
        <w:trPr>
          <w:cantSplit/>
          <w:jc w:val="center"/>
        </w:trPr>
        <w:tc>
          <w:tcPr>
            <w:tcW w:w="4055" w:type="dxa"/>
            <w:vAlign w:val="center"/>
            <w:hideMark/>
          </w:tcPr>
          <w:p w:rsidR="00875CD0" w:rsidRPr="00E72273" w:rsidP="0019207F" w14:paraId="7DBE5D80" w14:textId="1F0745D5">
            <w:pPr>
              <w:spacing w:after="0"/>
              <w:contextualSpacing/>
              <w:rPr>
                <w:rFonts w:eastAsia="Times New Roman" w:cs="Times New Roman"/>
                <w:color w:val="000000"/>
                <w:sz w:val="17"/>
                <w:szCs w:val="17"/>
              </w:rPr>
            </w:pPr>
            <w:bookmarkStart w:id="4" w:name="_Hlk166764429"/>
            <w:r>
              <w:rPr>
                <w:rFonts w:eastAsia="Times New Roman" w:cs="Times New Roman"/>
                <w:color w:val="000000"/>
                <w:sz w:val="17"/>
                <w:szCs w:val="17"/>
              </w:rPr>
              <w:t xml:space="preserve">Public </w:t>
            </w:r>
            <w:r w:rsidRPr="00E72273">
              <w:rPr>
                <w:rFonts w:eastAsia="Times New Roman" w:cs="Times New Roman"/>
                <w:color w:val="000000"/>
                <w:sz w:val="17"/>
                <w:szCs w:val="17"/>
              </w:rPr>
              <w:t xml:space="preserve">Reporting </w:t>
            </w:r>
            <w:r>
              <w:rPr>
                <w:rFonts w:eastAsia="Times New Roman" w:cs="Times New Roman"/>
                <w:color w:val="000000"/>
                <w:sz w:val="17"/>
                <w:szCs w:val="17"/>
              </w:rPr>
              <w:t xml:space="preserve">of </w:t>
            </w:r>
            <w:r w:rsidRPr="00E72273">
              <w:rPr>
                <w:rFonts w:eastAsia="Times New Roman" w:cs="Times New Roman"/>
                <w:color w:val="000000"/>
                <w:sz w:val="17"/>
                <w:szCs w:val="17"/>
              </w:rPr>
              <w:t xml:space="preserve">Prior Authorization Metrics </w:t>
            </w:r>
            <w:r>
              <w:rPr>
                <w:rFonts w:eastAsia="Times New Roman" w:cs="Times New Roman"/>
                <w:color w:val="000000"/>
                <w:sz w:val="17"/>
                <w:szCs w:val="17"/>
              </w:rPr>
              <w:t xml:space="preserve">for Drugs </w:t>
            </w:r>
            <w:r w:rsidRPr="00E72273">
              <w:rPr>
                <w:rFonts w:eastAsia="Times New Roman" w:cs="Times New Roman"/>
                <w:color w:val="000000"/>
                <w:sz w:val="17"/>
                <w:szCs w:val="17"/>
              </w:rPr>
              <w:t>(1</w:t>
            </w:r>
            <w:r w:rsidRPr="00E72273">
              <w:rPr>
                <w:rFonts w:eastAsia="Times New Roman" w:cs="Times New Roman"/>
                <w:color w:val="000000"/>
                <w:sz w:val="17"/>
                <w:szCs w:val="17"/>
                <w:vertAlign w:val="superscript"/>
              </w:rPr>
              <w:t>st</w:t>
            </w:r>
            <w:r w:rsidRPr="00E72273">
              <w:rPr>
                <w:rFonts w:eastAsia="Times New Roman" w:cs="Times New Roman"/>
                <w:color w:val="000000"/>
                <w:sz w:val="17"/>
                <w:szCs w:val="17"/>
              </w:rPr>
              <w:t xml:space="preserve"> Year)</w:t>
            </w:r>
          </w:p>
          <w:p w:rsidR="00875CD0" w:rsidRPr="00E72273" w:rsidP="0019207F" w14:paraId="0B15F635" w14:textId="77777777">
            <w:pPr>
              <w:spacing w:after="0"/>
              <w:contextualSpacing/>
              <w:rPr>
                <w:rFonts w:eastAsia="Times New Roman" w:cs="Times New Roman"/>
                <w:color w:val="000000"/>
                <w:sz w:val="17"/>
                <w:szCs w:val="17"/>
              </w:rPr>
            </w:pPr>
          </w:p>
        </w:tc>
        <w:tc>
          <w:tcPr>
            <w:tcW w:w="1080" w:type="dxa"/>
            <w:hideMark/>
          </w:tcPr>
          <w:p w:rsidR="00875CD0" w:rsidRPr="00E72273" w:rsidP="0019207F" w14:paraId="649308B9" w14:textId="46C8EE0E">
            <w:pPr>
              <w:spacing w:after="0"/>
              <w:contextualSpacing/>
              <w:jc w:val="right"/>
              <w:rPr>
                <w:rFonts w:eastAsia="Times New Roman" w:cs="Times New Roman"/>
                <w:color w:val="000000"/>
                <w:sz w:val="17"/>
                <w:szCs w:val="17"/>
              </w:rPr>
            </w:pPr>
            <w:r w:rsidRPr="00E72273">
              <w:rPr>
                <w:rFonts w:eastAsia="Times New Roman" w:cs="Times New Roman"/>
                <w:color w:val="000000"/>
                <w:sz w:val="17"/>
                <w:szCs w:val="17"/>
              </w:rPr>
              <w:t>(1)</w:t>
            </w:r>
          </w:p>
        </w:tc>
        <w:tc>
          <w:tcPr>
            <w:tcW w:w="1170" w:type="dxa"/>
            <w:hideMark/>
          </w:tcPr>
          <w:p w:rsidR="00875CD0" w:rsidRPr="00E72273" w:rsidP="0019207F" w14:paraId="77C28742" w14:textId="7540EB6F">
            <w:pPr>
              <w:spacing w:after="0"/>
              <w:contextualSpacing/>
              <w:jc w:val="right"/>
              <w:rPr>
                <w:rFonts w:eastAsia="Times New Roman" w:cs="Times New Roman"/>
                <w:color w:val="000000"/>
                <w:sz w:val="17"/>
                <w:szCs w:val="17"/>
              </w:rPr>
            </w:pPr>
            <w:r>
              <w:rPr>
                <w:color w:val="000000"/>
                <w:sz w:val="17"/>
                <w:szCs w:val="17"/>
              </w:rPr>
              <w:t>341</w:t>
            </w:r>
          </w:p>
        </w:tc>
        <w:tc>
          <w:tcPr>
            <w:tcW w:w="1080" w:type="dxa"/>
            <w:noWrap/>
            <w:hideMark/>
          </w:tcPr>
          <w:p w:rsidR="00875CD0" w:rsidRPr="00E72273" w:rsidP="0019207F" w14:paraId="7CCBD7F3" w14:textId="5694E8F3">
            <w:pPr>
              <w:spacing w:after="0"/>
              <w:contextualSpacing/>
              <w:jc w:val="right"/>
              <w:rPr>
                <w:rFonts w:eastAsia="Times New Roman" w:cs="Times New Roman"/>
                <w:color w:val="000000"/>
                <w:sz w:val="17"/>
                <w:szCs w:val="17"/>
              </w:rPr>
            </w:pPr>
            <w:r>
              <w:rPr>
                <w:color w:val="000000"/>
                <w:sz w:val="17"/>
                <w:szCs w:val="17"/>
              </w:rPr>
              <w:t>320</w:t>
            </w:r>
          </w:p>
        </w:tc>
        <w:tc>
          <w:tcPr>
            <w:tcW w:w="990" w:type="dxa"/>
            <w:noWrap/>
            <w:hideMark/>
          </w:tcPr>
          <w:p w:rsidR="00875CD0" w:rsidRPr="00E72273" w:rsidP="0019207F" w14:paraId="3328718D" w14:textId="29B99436">
            <w:pPr>
              <w:spacing w:after="0"/>
              <w:contextualSpacing/>
              <w:jc w:val="right"/>
              <w:rPr>
                <w:rFonts w:eastAsia="Times New Roman" w:cs="Times New Roman"/>
                <w:color w:val="000000"/>
                <w:sz w:val="17"/>
                <w:szCs w:val="17"/>
              </w:rPr>
            </w:pPr>
            <w:r>
              <w:rPr>
                <w:color w:val="000000"/>
                <w:sz w:val="17"/>
                <w:szCs w:val="17"/>
              </w:rPr>
              <w:t>109,120</w:t>
            </w:r>
          </w:p>
        </w:tc>
        <w:tc>
          <w:tcPr>
            <w:tcW w:w="1170" w:type="dxa"/>
            <w:noWrap/>
          </w:tcPr>
          <w:p w:rsidR="00875CD0" w:rsidRPr="00E72273" w:rsidP="0019207F" w14:paraId="3198F3D5" w14:textId="4F779E9A">
            <w:pPr>
              <w:spacing w:after="0"/>
              <w:contextualSpacing/>
              <w:jc w:val="right"/>
              <w:rPr>
                <w:rFonts w:eastAsia="Times New Roman" w:cs="Times New Roman"/>
                <w:color w:val="000000"/>
                <w:sz w:val="17"/>
                <w:szCs w:val="17"/>
              </w:rPr>
            </w:pPr>
            <w:r>
              <w:rPr>
                <w:color w:val="000000"/>
                <w:sz w:val="17"/>
                <w:szCs w:val="17"/>
              </w:rPr>
              <w:t xml:space="preserve">$104.13 </w:t>
            </w:r>
          </w:p>
        </w:tc>
        <w:tc>
          <w:tcPr>
            <w:tcW w:w="1260" w:type="dxa"/>
            <w:noWrap/>
          </w:tcPr>
          <w:p w:rsidR="00875CD0" w:rsidRPr="00E72273" w:rsidP="0019207F" w14:paraId="53CF0267" w14:textId="37CCFC0F">
            <w:pPr>
              <w:spacing w:after="0"/>
              <w:contextualSpacing/>
              <w:jc w:val="right"/>
              <w:rPr>
                <w:rFonts w:eastAsia="Times New Roman" w:cs="Times New Roman"/>
                <w:color w:val="000000"/>
                <w:sz w:val="17"/>
                <w:szCs w:val="17"/>
              </w:rPr>
            </w:pPr>
            <w:r>
              <w:rPr>
                <w:color w:val="000000"/>
                <w:sz w:val="17"/>
                <w:szCs w:val="17"/>
              </w:rPr>
              <w:t>$11.</w:t>
            </w:r>
            <w:r w:rsidR="003D67E0">
              <w:rPr>
                <w:color w:val="000000"/>
                <w:sz w:val="17"/>
                <w:szCs w:val="17"/>
              </w:rPr>
              <w:t>36</w:t>
            </w:r>
          </w:p>
        </w:tc>
        <w:tc>
          <w:tcPr>
            <w:tcW w:w="1080" w:type="dxa"/>
            <w:noWrap/>
          </w:tcPr>
          <w:p w:rsidR="00875CD0" w:rsidRPr="00E72273" w:rsidP="0019207F" w14:paraId="479C02F5" w14:textId="2413FF91">
            <w:pPr>
              <w:spacing w:after="0"/>
              <w:contextualSpacing/>
              <w:jc w:val="right"/>
              <w:rPr>
                <w:rFonts w:eastAsia="Times New Roman" w:cs="Times New Roman"/>
                <w:color w:val="000000"/>
                <w:sz w:val="17"/>
                <w:szCs w:val="17"/>
              </w:rPr>
            </w:pPr>
            <w:r>
              <w:rPr>
                <w:rFonts w:eastAsia="Times New Roman" w:cs="Times New Roman"/>
                <w:color w:val="000000"/>
                <w:sz w:val="17"/>
                <w:szCs w:val="17"/>
              </w:rPr>
              <w:t>-</w:t>
            </w:r>
          </w:p>
        </w:tc>
        <w:tc>
          <w:tcPr>
            <w:tcW w:w="1080" w:type="dxa"/>
            <w:noWrap/>
          </w:tcPr>
          <w:p w:rsidR="00875CD0" w:rsidRPr="00E72273" w:rsidP="0019207F" w14:paraId="472A4D2A" w14:textId="5E464F39">
            <w:pPr>
              <w:spacing w:after="0"/>
              <w:contextualSpacing/>
              <w:jc w:val="right"/>
              <w:rPr>
                <w:rFonts w:eastAsia="Times New Roman" w:cs="Times New Roman"/>
                <w:color w:val="000000"/>
                <w:sz w:val="17"/>
                <w:szCs w:val="17"/>
              </w:rPr>
            </w:pPr>
            <w:r>
              <w:rPr>
                <w:rFonts w:eastAsia="Times New Roman" w:cs="Times New Roman"/>
                <w:color w:val="000000"/>
                <w:sz w:val="17"/>
                <w:szCs w:val="17"/>
              </w:rPr>
              <w:t>-</w:t>
            </w:r>
          </w:p>
        </w:tc>
      </w:tr>
      <w:tr w14:paraId="75DE2A81" w14:textId="77777777" w:rsidTr="00AD5178">
        <w:tblPrEx>
          <w:tblW w:w="12965" w:type="dxa"/>
          <w:jc w:val="center"/>
          <w:tblLayout w:type="fixed"/>
          <w:tblLook w:val="04A0"/>
        </w:tblPrEx>
        <w:trPr>
          <w:cantSplit/>
          <w:jc w:val="center"/>
        </w:trPr>
        <w:tc>
          <w:tcPr>
            <w:tcW w:w="4055" w:type="dxa"/>
            <w:vAlign w:val="center"/>
            <w:hideMark/>
          </w:tcPr>
          <w:p w:rsidR="00875CD0" w:rsidRPr="00E72273" w:rsidP="0019207F" w14:paraId="7ABF281A" w14:textId="2690EEAD">
            <w:pPr>
              <w:spacing w:after="0"/>
              <w:contextualSpacing/>
              <w:rPr>
                <w:rFonts w:eastAsia="Times New Roman" w:cs="Times New Roman"/>
                <w:color w:val="000000"/>
                <w:sz w:val="17"/>
                <w:szCs w:val="17"/>
              </w:rPr>
            </w:pPr>
            <w:r>
              <w:rPr>
                <w:rFonts w:eastAsia="Times New Roman" w:cs="Times New Roman"/>
                <w:color w:val="000000"/>
                <w:sz w:val="17"/>
                <w:szCs w:val="17"/>
              </w:rPr>
              <w:t xml:space="preserve">Public </w:t>
            </w:r>
            <w:r w:rsidRPr="00E72273">
              <w:rPr>
                <w:rFonts w:eastAsia="Times New Roman" w:cs="Times New Roman"/>
                <w:color w:val="000000"/>
                <w:sz w:val="17"/>
                <w:szCs w:val="17"/>
              </w:rPr>
              <w:t xml:space="preserve">Reporting </w:t>
            </w:r>
            <w:r>
              <w:rPr>
                <w:rFonts w:eastAsia="Times New Roman" w:cs="Times New Roman"/>
                <w:color w:val="000000"/>
                <w:sz w:val="17"/>
                <w:szCs w:val="17"/>
              </w:rPr>
              <w:t>of</w:t>
            </w:r>
            <w:r w:rsidRPr="00E72273">
              <w:rPr>
                <w:rFonts w:eastAsia="Times New Roman" w:cs="Times New Roman"/>
                <w:color w:val="000000"/>
                <w:sz w:val="17"/>
                <w:szCs w:val="17"/>
              </w:rPr>
              <w:t xml:space="preserve"> Prior Authorization Metrics </w:t>
            </w:r>
            <w:r>
              <w:rPr>
                <w:rFonts w:eastAsia="Times New Roman" w:cs="Times New Roman"/>
                <w:color w:val="000000"/>
                <w:sz w:val="17"/>
                <w:szCs w:val="17"/>
              </w:rPr>
              <w:t xml:space="preserve">for Drugs </w:t>
            </w:r>
            <w:r w:rsidRPr="00E72273">
              <w:rPr>
                <w:rFonts w:eastAsia="Times New Roman" w:cs="Times New Roman"/>
                <w:color w:val="000000"/>
                <w:sz w:val="17"/>
                <w:szCs w:val="17"/>
              </w:rPr>
              <w:t>(</w:t>
            </w:r>
            <w:r w:rsidR="003038C6">
              <w:rPr>
                <w:rFonts w:eastAsia="Times New Roman" w:cs="Times New Roman"/>
                <w:color w:val="000000"/>
                <w:sz w:val="17"/>
                <w:szCs w:val="17"/>
              </w:rPr>
              <w:t>2</w:t>
            </w:r>
            <w:r w:rsidRPr="00BA5FA4" w:rsidR="003038C6">
              <w:rPr>
                <w:rFonts w:eastAsia="Times New Roman" w:cs="Times New Roman"/>
                <w:color w:val="000000"/>
                <w:sz w:val="17"/>
                <w:szCs w:val="17"/>
                <w:vertAlign w:val="superscript"/>
              </w:rPr>
              <w:t>nd</w:t>
            </w:r>
            <w:r w:rsidR="003038C6">
              <w:rPr>
                <w:rFonts w:eastAsia="Times New Roman" w:cs="Times New Roman"/>
                <w:color w:val="000000"/>
                <w:sz w:val="17"/>
                <w:szCs w:val="17"/>
              </w:rPr>
              <w:t xml:space="preserve"> and 3</w:t>
            </w:r>
            <w:r w:rsidRPr="00BA5FA4" w:rsidR="003038C6">
              <w:rPr>
                <w:rFonts w:eastAsia="Times New Roman" w:cs="Times New Roman"/>
                <w:color w:val="000000"/>
                <w:sz w:val="17"/>
                <w:szCs w:val="17"/>
                <w:vertAlign w:val="superscript"/>
              </w:rPr>
              <w:t>rd</w:t>
            </w:r>
            <w:r w:rsidRPr="00E72273">
              <w:rPr>
                <w:rFonts w:eastAsia="Times New Roman" w:cs="Times New Roman"/>
                <w:color w:val="000000"/>
                <w:sz w:val="17"/>
                <w:szCs w:val="17"/>
              </w:rPr>
              <w:t xml:space="preserve"> Years)</w:t>
            </w:r>
          </w:p>
        </w:tc>
        <w:tc>
          <w:tcPr>
            <w:tcW w:w="1080" w:type="dxa"/>
            <w:hideMark/>
          </w:tcPr>
          <w:p w:rsidR="00875CD0" w:rsidRPr="00E72273" w:rsidP="0019207F" w14:paraId="1272657C" w14:textId="7774245F">
            <w:pPr>
              <w:spacing w:after="0"/>
              <w:contextualSpacing/>
              <w:jc w:val="right"/>
              <w:rPr>
                <w:rFonts w:eastAsia="Times New Roman" w:cs="Times New Roman"/>
                <w:color w:val="000000"/>
                <w:sz w:val="17"/>
                <w:szCs w:val="17"/>
              </w:rPr>
            </w:pPr>
            <w:r w:rsidRPr="00E72273">
              <w:rPr>
                <w:rFonts w:eastAsia="Times New Roman" w:cs="Times New Roman"/>
                <w:color w:val="000000"/>
                <w:sz w:val="17"/>
                <w:szCs w:val="17"/>
              </w:rPr>
              <w:t>(1)</w:t>
            </w:r>
          </w:p>
        </w:tc>
        <w:tc>
          <w:tcPr>
            <w:tcW w:w="1170" w:type="dxa"/>
            <w:hideMark/>
          </w:tcPr>
          <w:p w:rsidR="00875CD0" w:rsidRPr="00E72273" w:rsidP="0019207F" w14:paraId="49ABF939" w14:textId="212127DC">
            <w:pPr>
              <w:spacing w:after="0"/>
              <w:contextualSpacing/>
              <w:jc w:val="right"/>
              <w:rPr>
                <w:rFonts w:eastAsia="Times New Roman" w:cs="Times New Roman"/>
                <w:color w:val="000000"/>
                <w:sz w:val="17"/>
                <w:szCs w:val="17"/>
              </w:rPr>
            </w:pPr>
            <w:r>
              <w:rPr>
                <w:color w:val="000000"/>
                <w:sz w:val="17"/>
                <w:szCs w:val="17"/>
              </w:rPr>
              <w:t>341</w:t>
            </w:r>
          </w:p>
        </w:tc>
        <w:tc>
          <w:tcPr>
            <w:tcW w:w="1080" w:type="dxa"/>
            <w:noWrap/>
            <w:hideMark/>
          </w:tcPr>
          <w:p w:rsidR="00875CD0" w:rsidRPr="00E72273" w:rsidP="0019207F" w14:paraId="6584DBDE" w14:textId="1002E191">
            <w:pPr>
              <w:spacing w:after="0"/>
              <w:contextualSpacing/>
              <w:jc w:val="right"/>
              <w:rPr>
                <w:rFonts w:eastAsia="Times New Roman" w:cs="Times New Roman"/>
                <w:color w:val="000000"/>
                <w:sz w:val="17"/>
                <w:szCs w:val="17"/>
              </w:rPr>
            </w:pPr>
            <w:r>
              <w:rPr>
                <w:color w:val="000000"/>
                <w:sz w:val="17"/>
                <w:szCs w:val="17"/>
              </w:rPr>
              <w:t>120</w:t>
            </w:r>
          </w:p>
        </w:tc>
        <w:tc>
          <w:tcPr>
            <w:tcW w:w="990" w:type="dxa"/>
            <w:noWrap/>
            <w:hideMark/>
          </w:tcPr>
          <w:p w:rsidR="00875CD0" w:rsidRPr="00E72273" w:rsidP="0019207F" w14:paraId="34F3BD86" w14:textId="59942575">
            <w:pPr>
              <w:spacing w:after="0"/>
              <w:contextualSpacing/>
              <w:jc w:val="right"/>
              <w:rPr>
                <w:rFonts w:eastAsia="Times New Roman" w:cs="Times New Roman"/>
                <w:color w:val="000000"/>
                <w:sz w:val="17"/>
                <w:szCs w:val="17"/>
              </w:rPr>
            </w:pPr>
            <w:r>
              <w:rPr>
                <w:color w:val="000000"/>
                <w:sz w:val="17"/>
                <w:szCs w:val="17"/>
              </w:rPr>
              <w:t>40,920</w:t>
            </w:r>
          </w:p>
        </w:tc>
        <w:tc>
          <w:tcPr>
            <w:tcW w:w="1170" w:type="dxa"/>
            <w:noWrap/>
          </w:tcPr>
          <w:p w:rsidR="00875CD0" w:rsidRPr="00E72273" w:rsidP="0019207F" w14:paraId="05BA8A69" w14:textId="236DD2AC">
            <w:pPr>
              <w:spacing w:after="0"/>
              <w:contextualSpacing/>
              <w:jc w:val="right"/>
              <w:rPr>
                <w:rFonts w:eastAsia="Times New Roman" w:cs="Times New Roman"/>
                <w:color w:val="000000"/>
                <w:sz w:val="17"/>
                <w:szCs w:val="17"/>
              </w:rPr>
            </w:pPr>
            <w:r>
              <w:rPr>
                <w:color w:val="000000"/>
                <w:sz w:val="17"/>
                <w:szCs w:val="17"/>
              </w:rPr>
              <w:t xml:space="preserve">$78.14 </w:t>
            </w:r>
          </w:p>
        </w:tc>
        <w:tc>
          <w:tcPr>
            <w:tcW w:w="1260" w:type="dxa"/>
            <w:noWrap/>
          </w:tcPr>
          <w:p w:rsidR="00875CD0" w:rsidRPr="00E72273" w:rsidP="0019207F" w14:paraId="605C919E" w14:textId="3835CAC7">
            <w:pPr>
              <w:spacing w:after="0"/>
              <w:contextualSpacing/>
              <w:jc w:val="right"/>
              <w:rPr>
                <w:rFonts w:eastAsia="Times New Roman" w:cs="Times New Roman"/>
                <w:color w:val="000000"/>
                <w:sz w:val="17"/>
                <w:szCs w:val="17"/>
              </w:rPr>
            </w:pPr>
            <w:r>
              <w:rPr>
                <w:rFonts w:eastAsia="Times New Roman" w:cs="Times New Roman"/>
                <w:color w:val="000000"/>
                <w:sz w:val="17"/>
                <w:szCs w:val="17"/>
              </w:rPr>
              <w:t>-</w:t>
            </w:r>
          </w:p>
        </w:tc>
        <w:tc>
          <w:tcPr>
            <w:tcW w:w="1080" w:type="dxa"/>
            <w:noWrap/>
          </w:tcPr>
          <w:p w:rsidR="00875CD0" w:rsidRPr="00E72273" w:rsidP="0019207F" w14:paraId="5A4B526F" w14:textId="311B6326">
            <w:pPr>
              <w:spacing w:after="0"/>
              <w:contextualSpacing/>
              <w:jc w:val="right"/>
              <w:rPr>
                <w:rFonts w:eastAsia="Times New Roman" w:cs="Times New Roman"/>
                <w:color w:val="000000"/>
                <w:sz w:val="17"/>
                <w:szCs w:val="17"/>
              </w:rPr>
            </w:pPr>
            <w:r>
              <w:rPr>
                <w:color w:val="000000"/>
                <w:sz w:val="17"/>
                <w:szCs w:val="17"/>
              </w:rPr>
              <w:t>$3.2</w:t>
            </w:r>
            <w:r w:rsidR="005B4C42">
              <w:rPr>
                <w:color w:val="000000"/>
                <w:sz w:val="17"/>
                <w:szCs w:val="17"/>
              </w:rPr>
              <w:t>0</w:t>
            </w:r>
            <w:r w:rsidR="003A269A">
              <w:rPr>
                <w:color w:val="000000"/>
                <w:sz w:val="17"/>
                <w:szCs w:val="17"/>
              </w:rPr>
              <w:t xml:space="preserve"> </w:t>
            </w:r>
          </w:p>
        </w:tc>
        <w:tc>
          <w:tcPr>
            <w:tcW w:w="1080" w:type="dxa"/>
            <w:noWrap/>
          </w:tcPr>
          <w:p w:rsidR="00875CD0" w:rsidRPr="00E72273" w:rsidP="0019207F" w14:paraId="16A645B7" w14:textId="2039BCF2">
            <w:pPr>
              <w:spacing w:after="0"/>
              <w:contextualSpacing/>
              <w:jc w:val="right"/>
              <w:rPr>
                <w:rFonts w:eastAsia="Times New Roman" w:cs="Times New Roman"/>
                <w:color w:val="000000"/>
                <w:sz w:val="17"/>
                <w:szCs w:val="17"/>
              </w:rPr>
            </w:pPr>
            <w:r>
              <w:rPr>
                <w:color w:val="000000"/>
                <w:sz w:val="17"/>
                <w:szCs w:val="17"/>
              </w:rPr>
              <w:t>$</w:t>
            </w:r>
            <w:r w:rsidR="003A269A">
              <w:rPr>
                <w:color w:val="000000"/>
                <w:sz w:val="17"/>
                <w:szCs w:val="17"/>
              </w:rPr>
              <w:t>3.2</w:t>
            </w:r>
            <w:r w:rsidR="005B4C42">
              <w:rPr>
                <w:color w:val="000000"/>
                <w:sz w:val="17"/>
                <w:szCs w:val="17"/>
              </w:rPr>
              <w:t>0</w:t>
            </w:r>
          </w:p>
        </w:tc>
      </w:tr>
      <w:tr w14:paraId="288C4B08" w14:textId="77777777" w:rsidTr="00AD5178">
        <w:tblPrEx>
          <w:tblW w:w="12965" w:type="dxa"/>
          <w:jc w:val="center"/>
          <w:tblLayout w:type="fixed"/>
          <w:tblLook w:val="04A0"/>
        </w:tblPrEx>
        <w:trPr>
          <w:cantSplit/>
          <w:jc w:val="center"/>
        </w:trPr>
        <w:tc>
          <w:tcPr>
            <w:tcW w:w="4055" w:type="dxa"/>
            <w:vAlign w:val="center"/>
            <w:hideMark/>
          </w:tcPr>
          <w:p w:rsidR="00875CD0" w:rsidRPr="00E72273" w:rsidP="0019207F" w14:paraId="67118934" w14:textId="61759FF9">
            <w:pPr>
              <w:spacing w:after="0"/>
              <w:contextualSpacing/>
              <w:rPr>
                <w:rFonts w:eastAsia="Times New Roman" w:cs="Times New Roman"/>
                <w:color w:val="000000"/>
                <w:sz w:val="17"/>
                <w:szCs w:val="17"/>
              </w:rPr>
            </w:pPr>
            <w:r w:rsidRPr="00E72273">
              <w:rPr>
                <w:rFonts w:eastAsia="Times New Roman" w:cs="Times New Roman"/>
                <w:color w:val="000000"/>
                <w:sz w:val="17"/>
                <w:szCs w:val="17"/>
              </w:rPr>
              <w:t xml:space="preserve">Aggregate Burden of Reporting </w:t>
            </w:r>
            <w:r>
              <w:rPr>
                <w:rFonts w:eastAsia="Times New Roman" w:cs="Times New Roman"/>
                <w:color w:val="000000"/>
                <w:sz w:val="17"/>
                <w:szCs w:val="17"/>
              </w:rPr>
              <w:t>Provider Access, Payer-to-Payer</w:t>
            </w:r>
            <w:r w:rsidR="009D5479">
              <w:rPr>
                <w:rFonts w:eastAsia="Times New Roman" w:cs="Times New Roman"/>
                <w:color w:val="000000"/>
                <w:sz w:val="17"/>
                <w:szCs w:val="17"/>
              </w:rPr>
              <w:t>,</w:t>
            </w:r>
            <w:r>
              <w:rPr>
                <w:rFonts w:eastAsia="Times New Roman" w:cs="Times New Roman"/>
                <w:color w:val="000000"/>
                <w:sz w:val="17"/>
                <w:szCs w:val="17"/>
              </w:rPr>
              <w:t xml:space="preserve"> and Prior Authorization </w:t>
            </w:r>
            <w:r w:rsidRPr="00E72273">
              <w:rPr>
                <w:rFonts w:eastAsia="Times New Roman" w:cs="Times New Roman"/>
                <w:color w:val="000000"/>
                <w:sz w:val="17"/>
                <w:szCs w:val="17"/>
              </w:rPr>
              <w:t>API Metrics to CMS (1</w:t>
            </w:r>
            <w:r w:rsidRPr="00E72273">
              <w:rPr>
                <w:rFonts w:eastAsia="Times New Roman" w:cs="Times New Roman"/>
                <w:color w:val="000000"/>
                <w:sz w:val="17"/>
                <w:szCs w:val="17"/>
                <w:vertAlign w:val="superscript"/>
              </w:rPr>
              <w:t>st</w:t>
            </w:r>
            <w:r w:rsidRPr="00E72273">
              <w:rPr>
                <w:rFonts w:eastAsia="Times New Roman" w:cs="Times New Roman"/>
                <w:color w:val="000000"/>
                <w:sz w:val="17"/>
                <w:szCs w:val="17"/>
              </w:rPr>
              <w:t xml:space="preserve"> Year)</w:t>
            </w:r>
          </w:p>
        </w:tc>
        <w:tc>
          <w:tcPr>
            <w:tcW w:w="1080" w:type="dxa"/>
            <w:hideMark/>
          </w:tcPr>
          <w:p w:rsidR="00875CD0" w:rsidRPr="00E72273" w:rsidP="0019207F" w14:paraId="26C970ED" w14:textId="6BE3EF47">
            <w:pPr>
              <w:spacing w:after="0"/>
              <w:contextualSpacing/>
              <w:jc w:val="right"/>
              <w:rPr>
                <w:rFonts w:eastAsia="Times New Roman" w:cs="Times New Roman"/>
                <w:color w:val="000000"/>
                <w:sz w:val="17"/>
                <w:szCs w:val="17"/>
              </w:rPr>
            </w:pPr>
            <w:r w:rsidRPr="00E72273">
              <w:rPr>
                <w:rFonts w:eastAsia="Times New Roman" w:cs="Times New Roman"/>
                <w:color w:val="000000"/>
                <w:sz w:val="17"/>
                <w:szCs w:val="17"/>
              </w:rPr>
              <w:t>(2)</w:t>
            </w:r>
          </w:p>
        </w:tc>
        <w:tc>
          <w:tcPr>
            <w:tcW w:w="1170" w:type="dxa"/>
            <w:hideMark/>
          </w:tcPr>
          <w:p w:rsidR="00875CD0" w:rsidRPr="00E72273" w:rsidP="0019207F" w14:paraId="18FDF031" w14:textId="4374E351">
            <w:pPr>
              <w:spacing w:after="0"/>
              <w:contextualSpacing/>
              <w:jc w:val="right"/>
              <w:rPr>
                <w:rFonts w:eastAsia="Times New Roman" w:cs="Times New Roman"/>
                <w:color w:val="000000"/>
                <w:sz w:val="17"/>
                <w:szCs w:val="17"/>
              </w:rPr>
            </w:pPr>
            <w:r>
              <w:rPr>
                <w:color w:val="000000"/>
                <w:sz w:val="17"/>
                <w:szCs w:val="17"/>
              </w:rPr>
              <w:t>341</w:t>
            </w:r>
          </w:p>
        </w:tc>
        <w:tc>
          <w:tcPr>
            <w:tcW w:w="1080" w:type="dxa"/>
            <w:noWrap/>
            <w:hideMark/>
          </w:tcPr>
          <w:p w:rsidR="00875CD0" w:rsidRPr="00E72273" w:rsidP="0019207F" w14:paraId="60F45533" w14:textId="76416A72">
            <w:pPr>
              <w:spacing w:after="0"/>
              <w:contextualSpacing/>
              <w:jc w:val="right"/>
              <w:rPr>
                <w:rFonts w:eastAsia="Times New Roman" w:cs="Times New Roman"/>
                <w:color w:val="000000"/>
                <w:sz w:val="17"/>
                <w:szCs w:val="17"/>
              </w:rPr>
            </w:pPr>
            <w:r>
              <w:rPr>
                <w:color w:val="000000"/>
                <w:sz w:val="17"/>
                <w:szCs w:val="17"/>
              </w:rPr>
              <w:t>160</w:t>
            </w:r>
          </w:p>
        </w:tc>
        <w:tc>
          <w:tcPr>
            <w:tcW w:w="990" w:type="dxa"/>
            <w:noWrap/>
            <w:hideMark/>
          </w:tcPr>
          <w:p w:rsidR="00875CD0" w:rsidRPr="00E72273" w:rsidP="0019207F" w14:paraId="187577B9" w14:textId="469D9751">
            <w:pPr>
              <w:spacing w:after="0"/>
              <w:contextualSpacing/>
              <w:jc w:val="right"/>
              <w:rPr>
                <w:rFonts w:eastAsia="Times New Roman" w:cs="Times New Roman"/>
                <w:color w:val="000000"/>
                <w:sz w:val="17"/>
                <w:szCs w:val="17"/>
              </w:rPr>
            </w:pPr>
            <w:r>
              <w:rPr>
                <w:color w:val="000000"/>
                <w:sz w:val="17"/>
                <w:szCs w:val="17"/>
              </w:rPr>
              <w:t>54,560</w:t>
            </w:r>
          </w:p>
        </w:tc>
        <w:tc>
          <w:tcPr>
            <w:tcW w:w="1170" w:type="dxa"/>
            <w:noWrap/>
          </w:tcPr>
          <w:p w:rsidR="00875CD0" w:rsidRPr="00E72273" w:rsidP="0019207F" w14:paraId="6D7EA0C9" w14:textId="26C2DAAA">
            <w:pPr>
              <w:spacing w:after="0"/>
              <w:contextualSpacing/>
              <w:jc w:val="right"/>
              <w:rPr>
                <w:rFonts w:eastAsia="Times New Roman" w:cs="Times New Roman"/>
                <w:color w:val="000000"/>
                <w:sz w:val="17"/>
                <w:szCs w:val="17"/>
              </w:rPr>
            </w:pPr>
            <w:r>
              <w:rPr>
                <w:color w:val="000000"/>
                <w:sz w:val="17"/>
                <w:szCs w:val="17"/>
              </w:rPr>
              <w:t xml:space="preserve">$107.02 </w:t>
            </w:r>
          </w:p>
        </w:tc>
        <w:tc>
          <w:tcPr>
            <w:tcW w:w="1260" w:type="dxa"/>
            <w:noWrap/>
          </w:tcPr>
          <w:p w:rsidR="00875CD0" w:rsidRPr="00E72273" w:rsidP="0019207F" w14:paraId="2DEB4225" w14:textId="3E7E3433">
            <w:pPr>
              <w:spacing w:after="0"/>
              <w:contextualSpacing/>
              <w:jc w:val="right"/>
              <w:rPr>
                <w:rFonts w:eastAsia="Times New Roman" w:cs="Times New Roman"/>
                <w:color w:val="000000"/>
                <w:sz w:val="17"/>
                <w:szCs w:val="17"/>
              </w:rPr>
            </w:pPr>
            <w:r>
              <w:rPr>
                <w:color w:val="000000"/>
                <w:sz w:val="17"/>
                <w:szCs w:val="17"/>
              </w:rPr>
              <w:t>$5.8</w:t>
            </w:r>
            <w:r w:rsidR="005B4C42">
              <w:rPr>
                <w:color w:val="000000"/>
                <w:sz w:val="17"/>
                <w:szCs w:val="17"/>
              </w:rPr>
              <w:t>4</w:t>
            </w:r>
          </w:p>
        </w:tc>
        <w:tc>
          <w:tcPr>
            <w:tcW w:w="1080" w:type="dxa"/>
            <w:noWrap/>
          </w:tcPr>
          <w:p w:rsidR="00875CD0" w:rsidRPr="00E72273" w:rsidP="0019207F" w14:paraId="35555A7C" w14:textId="6F963943">
            <w:pPr>
              <w:spacing w:after="0"/>
              <w:contextualSpacing/>
              <w:jc w:val="right"/>
              <w:rPr>
                <w:rFonts w:eastAsia="Times New Roman" w:cs="Times New Roman"/>
                <w:color w:val="000000"/>
                <w:sz w:val="17"/>
                <w:szCs w:val="17"/>
              </w:rPr>
            </w:pPr>
            <w:r>
              <w:rPr>
                <w:color w:val="000000"/>
                <w:sz w:val="17"/>
                <w:szCs w:val="17"/>
              </w:rPr>
              <w:t>-</w:t>
            </w:r>
            <w:r w:rsidR="003A269A">
              <w:rPr>
                <w:color w:val="000000"/>
                <w:sz w:val="17"/>
                <w:szCs w:val="17"/>
              </w:rPr>
              <w:t xml:space="preserve"> </w:t>
            </w:r>
          </w:p>
        </w:tc>
        <w:tc>
          <w:tcPr>
            <w:tcW w:w="1080" w:type="dxa"/>
            <w:noWrap/>
          </w:tcPr>
          <w:p w:rsidR="00875CD0" w:rsidRPr="00E72273" w:rsidP="0019207F" w14:paraId="267D271B" w14:textId="17289A7E">
            <w:pPr>
              <w:spacing w:after="0"/>
              <w:contextualSpacing/>
              <w:jc w:val="right"/>
              <w:rPr>
                <w:rFonts w:eastAsia="Times New Roman" w:cs="Times New Roman"/>
                <w:color w:val="000000"/>
                <w:sz w:val="17"/>
                <w:szCs w:val="17"/>
              </w:rPr>
            </w:pPr>
            <w:r>
              <w:rPr>
                <w:rFonts w:eastAsia="Times New Roman" w:cs="Times New Roman"/>
                <w:color w:val="000000"/>
                <w:sz w:val="17"/>
                <w:szCs w:val="17"/>
              </w:rPr>
              <w:t>-</w:t>
            </w:r>
          </w:p>
        </w:tc>
      </w:tr>
      <w:tr w14:paraId="3EEA4E9C" w14:textId="77777777" w:rsidTr="002301A0">
        <w:tblPrEx>
          <w:tblW w:w="12965" w:type="dxa"/>
          <w:jc w:val="center"/>
          <w:tblLayout w:type="fixed"/>
          <w:tblLook w:val="04A0"/>
        </w:tblPrEx>
        <w:trPr>
          <w:cantSplit/>
          <w:trHeight w:val="692"/>
          <w:jc w:val="center"/>
        </w:trPr>
        <w:tc>
          <w:tcPr>
            <w:tcW w:w="4055" w:type="dxa"/>
            <w:vAlign w:val="center"/>
          </w:tcPr>
          <w:p w:rsidR="00875CD0" w:rsidRPr="00E72273" w:rsidP="002301A0" w14:paraId="292738DD" w14:textId="7C9024BD">
            <w:pPr>
              <w:spacing w:before="0" w:after="0" w:line="259" w:lineRule="auto"/>
              <w:rPr>
                <w:rFonts w:eastAsia="Times New Roman" w:cs="Times New Roman"/>
                <w:color w:val="000000"/>
                <w:sz w:val="17"/>
                <w:szCs w:val="17"/>
              </w:rPr>
            </w:pPr>
            <w:r w:rsidRPr="00E72273">
              <w:rPr>
                <w:rFonts w:eastAsia="Times New Roman" w:cs="Times New Roman"/>
                <w:color w:val="000000"/>
                <w:sz w:val="17"/>
                <w:szCs w:val="17"/>
              </w:rPr>
              <w:t xml:space="preserve">Aggregate Burden of Reporting </w:t>
            </w:r>
            <w:r>
              <w:rPr>
                <w:rFonts w:eastAsia="Times New Roman" w:cs="Times New Roman"/>
                <w:color w:val="000000"/>
                <w:sz w:val="17"/>
                <w:szCs w:val="17"/>
              </w:rPr>
              <w:t>Provider Access, Payer-to-Payer</w:t>
            </w:r>
            <w:r w:rsidR="009D5479">
              <w:rPr>
                <w:rFonts w:eastAsia="Times New Roman" w:cs="Times New Roman"/>
                <w:color w:val="000000"/>
                <w:sz w:val="17"/>
                <w:szCs w:val="17"/>
              </w:rPr>
              <w:t>,</w:t>
            </w:r>
            <w:r>
              <w:rPr>
                <w:rFonts w:eastAsia="Times New Roman" w:cs="Times New Roman"/>
                <w:color w:val="000000"/>
                <w:sz w:val="17"/>
                <w:szCs w:val="17"/>
              </w:rPr>
              <w:t xml:space="preserve"> and Prior Authorization </w:t>
            </w:r>
            <w:r w:rsidRPr="00E72273">
              <w:rPr>
                <w:rFonts w:eastAsia="Times New Roman" w:cs="Times New Roman"/>
                <w:color w:val="000000"/>
                <w:sz w:val="17"/>
                <w:szCs w:val="17"/>
              </w:rPr>
              <w:t>API Metrics to CMS (</w:t>
            </w:r>
            <w:r w:rsidR="003038C6">
              <w:rPr>
                <w:rFonts w:eastAsia="Times New Roman" w:cs="Times New Roman"/>
                <w:color w:val="000000"/>
                <w:sz w:val="17"/>
                <w:szCs w:val="17"/>
              </w:rPr>
              <w:t>2</w:t>
            </w:r>
            <w:r w:rsidRPr="00BA5FA4" w:rsidR="003038C6">
              <w:rPr>
                <w:rFonts w:eastAsia="Times New Roman" w:cs="Times New Roman"/>
                <w:color w:val="000000"/>
                <w:sz w:val="17"/>
                <w:szCs w:val="17"/>
                <w:vertAlign w:val="superscript"/>
              </w:rPr>
              <w:t>nd</w:t>
            </w:r>
            <w:r w:rsidR="003038C6">
              <w:rPr>
                <w:rFonts w:eastAsia="Times New Roman" w:cs="Times New Roman"/>
                <w:color w:val="000000"/>
                <w:sz w:val="17"/>
                <w:szCs w:val="17"/>
              </w:rPr>
              <w:t xml:space="preserve"> and 3</w:t>
            </w:r>
            <w:r w:rsidRPr="00BA5FA4" w:rsidR="003038C6">
              <w:rPr>
                <w:rFonts w:eastAsia="Times New Roman" w:cs="Times New Roman"/>
                <w:color w:val="000000"/>
                <w:sz w:val="17"/>
                <w:szCs w:val="17"/>
                <w:vertAlign w:val="superscript"/>
              </w:rPr>
              <w:t>rd</w:t>
            </w:r>
            <w:r w:rsidRPr="00E72273">
              <w:rPr>
                <w:rFonts w:eastAsia="Times New Roman" w:cs="Times New Roman"/>
                <w:color w:val="000000"/>
                <w:sz w:val="17"/>
                <w:szCs w:val="17"/>
              </w:rPr>
              <w:t xml:space="preserve"> Years)</w:t>
            </w:r>
          </w:p>
        </w:tc>
        <w:tc>
          <w:tcPr>
            <w:tcW w:w="1080" w:type="dxa"/>
          </w:tcPr>
          <w:p w:rsidR="00875CD0" w:rsidRPr="00E72273" w:rsidP="0019207F" w14:paraId="60BD50A6" w14:textId="58E9321B">
            <w:pPr>
              <w:spacing w:after="0"/>
              <w:contextualSpacing/>
              <w:jc w:val="right"/>
              <w:rPr>
                <w:rFonts w:eastAsia="Times New Roman" w:cs="Times New Roman"/>
                <w:color w:val="000000"/>
                <w:sz w:val="17"/>
                <w:szCs w:val="17"/>
              </w:rPr>
            </w:pPr>
            <w:r w:rsidRPr="00E72273">
              <w:rPr>
                <w:rFonts w:cs="Times New Roman"/>
                <w:color w:val="000000"/>
                <w:sz w:val="17"/>
                <w:szCs w:val="17"/>
              </w:rPr>
              <w:t>(2)</w:t>
            </w:r>
          </w:p>
        </w:tc>
        <w:tc>
          <w:tcPr>
            <w:tcW w:w="1170" w:type="dxa"/>
          </w:tcPr>
          <w:p w:rsidR="00875CD0" w:rsidRPr="00E72273" w:rsidP="0019207F" w14:paraId="59CBCC64" w14:textId="327D6BD4">
            <w:pPr>
              <w:spacing w:after="0"/>
              <w:contextualSpacing/>
              <w:jc w:val="right"/>
              <w:rPr>
                <w:rFonts w:eastAsia="Times New Roman" w:cs="Times New Roman"/>
                <w:color w:val="000000"/>
                <w:sz w:val="17"/>
                <w:szCs w:val="17"/>
              </w:rPr>
            </w:pPr>
            <w:r>
              <w:rPr>
                <w:color w:val="000000"/>
                <w:sz w:val="17"/>
                <w:szCs w:val="17"/>
              </w:rPr>
              <w:t>341</w:t>
            </w:r>
          </w:p>
        </w:tc>
        <w:tc>
          <w:tcPr>
            <w:tcW w:w="1080" w:type="dxa"/>
          </w:tcPr>
          <w:p w:rsidR="00875CD0" w:rsidRPr="00E72273" w:rsidP="0019207F" w14:paraId="7A6CFB3B" w14:textId="109E8487">
            <w:pPr>
              <w:spacing w:after="0"/>
              <w:contextualSpacing/>
              <w:jc w:val="right"/>
              <w:rPr>
                <w:rFonts w:eastAsia="Times New Roman" w:cs="Times New Roman"/>
                <w:color w:val="000000"/>
                <w:sz w:val="17"/>
                <w:szCs w:val="17"/>
              </w:rPr>
            </w:pPr>
            <w:r>
              <w:rPr>
                <w:color w:val="000000"/>
                <w:sz w:val="17"/>
                <w:szCs w:val="17"/>
              </w:rPr>
              <w:t>40</w:t>
            </w:r>
          </w:p>
        </w:tc>
        <w:tc>
          <w:tcPr>
            <w:tcW w:w="990" w:type="dxa"/>
          </w:tcPr>
          <w:p w:rsidR="00875CD0" w:rsidRPr="00E72273" w:rsidP="0019207F" w14:paraId="41EEFDA5" w14:textId="2C4EE0B9">
            <w:pPr>
              <w:spacing w:after="0"/>
              <w:contextualSpacing/>
              <w:jc w:val="right"/>
              <w:rPr>
                <w:rFonts w:eastAsia="Times New Roman" w:cs="Times New Roman"/>
                <w:color w:val="000000"/>
                <w:sz w:val="17"/>
                <w:szCs w:val="17"/>
              </w:rPr>
            </w:pPr>
            <w:r>
              <w:rPr>
                <w:color w:val="000000"/>
                <w:sz w:val="17"/>
                <w:szCs w:val="17"/>
              </w:rPr>
              <w:t>13,640</w:t>
            </w:r>
          </w:p>
        </w:tc>
        <w:tc>
          <w:tcPr>
            <w:tcW w:w="1170" w:type="dxa"/>
            <w:noWrap/>
          </w:tcPr>
          <w:p w:rsidR="00875CD0" w:rsidRPr="00E72273" w:rsidP="0019207F" w14:paraId="08857C7C" w14:textId="690FDD17">
            <w:pPr>
              <w:spacing w:after="0"/>
              <w:contextualSpacing/>
              <w:jc w:val="right"/>
              <w:rPr>
                <w:rFonts w:eastAsia="Times New Roman" w:cs="Times New Roman"/>
                <w:color w:val="000000"/>
                <w:sz w:val="17"/>
                <w:szCs w:val="17"/>
              </w:rPr>
            </w:pPr>
            <w:r>
              <w:rPr>
                <w:color w:val="000000"/>
                <w:sz w:val="17"/>
                <w:szCs w:val="17"/>
              </w:rPr>
              <w:t xml:space="preserve">$78.14 </w:t>
            </w:r>
          </w:p>
        </w:tc>
        <w:tc>
          <w:tcPr>
            <w:tcW w:w="1260" w:type="dxa"/>
          </w:tcPr>
          <w:p w:rsidR="00875CD0" w:rsidRPr="00E72273" w:rsidP="0019207F" w14:paraId="040556D9" w14:textId="1B1ACB9B">
            <w:pPr>
              <w:spacing w:after="0"/>
              <w:contextualSpacing/>
              <w:jc w:val="right"/>
              <w:rPr>
                <w:rFonts w:eastAsia="Times New Roman" w:cs="Times New Roman"/>
                <w:color w:val="000000"/>
                <w:sz w:val="17"/>
                <w:szCs w:val="17"/>
              </w:rPr>
            </w:pPr>
            <w:r>
              <w:rPr>
                <w:rFonts w:eastAsia="Times New Roman" w:cs="Times New Roman"/>
                <w:color w:val="000000"/>
                <w:sz w:val="17"/>
                <w:szCs w:val="17"/>
              </w:rPr>
              <w:t>-</w:t>
            </w:r>
          </w:p>
        </w:tc>
        <w:tc>
          <w:tcPr>
            <w:tcW w:w="1080" w:type="dxa"/>
            <w:noWrap/>
          </w:tcPr>
          <w:p w:rsidR="00875CD0" w:rsidRPr="00E72273" w:rsidP="0019207F" w14:paraId="5BE18657" w14:textId="3BA8DA02">
            <w:pPr>
              <w:spacing w:after="0"/>
              <w:contextualSpacing/>
              <w:jc w:val="right"/>
              <w:rPr>
                <w:rFonts w:eastAsia="Times New Roman" w:cs="Times New Roman"/>
                <w:color w:val="000000"/>
                <w:sz w:val="17"/>
                <w:szCs w:val="17"/>
              </w:rPr>
            </w:pPr>
            <w:r>
              <w:rPr>
                <w:color w:val="000000"/>
                <w:sz w:val="17"/>
                <w:szCs w:val="17"/>
              </w:rPr>
              <w:t xml:space="preserve"> </w:t>
            </w:r>
            <w:r w:rsidR="003C1381">
              <w:rPr>
                <w:color w:val="000000"/>
                <w:sz w:val="17"/>
                <w:szCs w:val="17"/>
              </w:rPr>
              <w:t>$1.</w:t>
            </w:r>
            <w:r w:rsidR="005B4C42">
              <w:rPr>
                <w:color w:val="000000"/>
                <w:sz w:val="17"/>
                <w:szCs w:val="17"/>
              </w:rPr>
              <w:t>07</w:t>
            </w:r>
          </w:p>
        </w:tc>
        <w:tc>
          <w:tcPr>
            <w:tcW w:w="1080" w:type="dxa"/>
            <w:noWrap/>
          </w:tcPr>
          <w:p w:rsidR="00875CD0" w:rsidRPr="00E72273" w:rsidP="0019207F" w14:paraId="75EBAAB1" w14:textId="6DB70CAA">
            <w:pPr>
              <w:spacing w:after="0"/>
              <w:contextualSpacing/>
              <w:jc w:val="right"/>
              <w:rPr>
                <w:rFonts w:eastAsia="Times New Roman" w:cs="Times New Roman"/>
                <w:color w:val="000000"/>
                <w:sz w:val="17"/>
                <w:szCs w:val="17"/>
              </w:rPr>
            </w:pPr>
            <w:r>
              <w:rPr>
                <w:color w:val="000000"/>
                <w:sz w:val="17"/>
                <w:szCs w:val="17"/>
              </w:rPr>
              <w:t>$1.</w:t>
            </w:r>
            <w:r w:rsidR="005B4C42">
              <w:rPr>
                <w:color w:val="000000"/>
                <w:sz w:val="17"/>
                <w:szCs w:val="17"/>
              </w:rPr>
              <w:t>07</w:t>
            </w:r>
          </w:p>
        </w:tc>
      </w:tr>
      <w:tr w14:paraId="22E7CF70" w14:textId="77777777" w:rsidTr="00AD5178">
        <w:tblPrEx>
          <w:tblW w:w="12965" w:type="dxa"/>
          <w:jc w:val="center"/>
          <w:tblLayout w:type="fixed"/>
          <w:tblLook w:val="04A0"/>
        </w:tblPrEx>
        <w:trPr>
          <w:cantSplit/>
          <w:trHeight w:val="332"/>
          <w:jc w:val="center"/>
        </w:trPr>
        <w:tc>
          <w:tcPr>
            <w:tcW w:w="4055" w:type="dxa"/>
            <w:vAlign w:val="center"/>
          </w:tcPr>
          <w:p w:rsidR="00875CD0" w:rsidRPr="00E72273" w:rsidP="002301A0" w14:paraId="3DD6971B" w14:textId="77777777">
            <w:pPr>
              <w:spacing w:before="0" w:after="0" w:line="259" w:lineRule="auto"/>
              <w:rPr>
                <w:rFonts w:eastAsia="Times New Roman" w:cs="Times New Roman"/>
                <w:color w:val="000000"/>
                <w:sz w:val="17"/>
                <w:szCs w:val="17"/>
              </w:rPr>
            </w:pPr>
            <w:r>
              <w:rPr>
                <w:rFonts w:eastAsia="Times New Roman" w:cs="Times New Roman"/>
                <w:color w:val="000000"/>
                <w:sz w:val="17"/>
                <w:szCs w:val="17"/>
              </w:rPr>
              <w:t>Payer Endpoint Reporting</w:t>
            </w:r>
          </w:p>
        </w:tc>
        <w:tc>
          <w:tcPr>
            <w:tcW w:w="1080" w:type="dxa"/>
          </w:tcPr>
          <w:p w:rsidR="00875CD0" w:rsidRPr="00E72273" w:rsidP="0019207F" w14:paraId="6C6FB7E1" w14:textId="6F7F651E">
            <w:pPr>
              <w:spacing w:after="0"/>
              <w:contextualSpacing/>
              <w:jc w:val="right"/>
              <w:rPr>
                <w:rFonts w:cs="Times New Roman"/>
                <w:color w:val="000000"/>
                <w:sz w:val="17"/>
                <w:szCs w:val="17"/>
              </w:rPr>
            </w:pPr>
            <w:r>
              <w:rPr>
                <w:rFonts w:cs="Times New Roman"/>
                <w:color w:val="000000"/>
                <w:sz w:val="17"/>
                <w:szCs w:val="17"/>
              </w:rPr>
              <w:t>(3)</w:t>
            </w:r>
          </w:p>
        </w:tc>
        <w:tc>
          <w:tcPr>
            <w:tcW w:w="1170" w:type="dxa"/>
          </w:tcPr>
          <w:p w:rsidR="00875CD0" w:rsidRPr="00E72273" w:rsidP="0019207F" w14:paraId="14EE211C" w14:textId="48A0E0EC">
            <w:pPr>
              <w:spacing w:after="0"/>
              <w:contextualSpacing/>
              <w:jc w:val="right"/>
              <w:rPr>
                <w:rFonts w:cs="Times New Roman"/>
                <w:color w:val="000000"/>
                <w:sz w:val="17"/>
                <w:szCs w:val="17"/>
              </w:rPr>
            </w:pPr>
            <w:r>
              <w:rPr>
                <w:color w:val="000000"/>
                <w:sz w:val="17"/>
                <w:szCs w:val="17"/>
              </w:rPr>
              <w:t>341</w:t>
            </w:r>
          </w:p>
        </w:tc>
        <w:tc>
          <w:tcPr>
            <w:tcW w:w="1080" w:type="dxa"/>
          </w:tcPr>
          <w:p w:rsidR="00875CD0" w:rsidRPr="00E72273" w:rsidP="0019207F" w14:paraId="0E78F815" w14:textId="5EE1A103">
            <w:pPr>
              <w:spacing w:after="0"/>
              <w:contextualSpacing/>
              <w:jc w:val="right"/>
              <w:rPr>
                <w:rFonts w:cs="Times New Roman"/>
                <w:color w:val="000000"/>
                <w:sz w:val="17"/>
                <w:szCs w:val="17"/>
              </w:rPr>
            </w:pPr>
            <w:r>
              <w:rPr>
                <w:color w:val="000000"/>
                <w:sz w:val="17"/>
                <w:szCs w:val="17"/>
              </w:rPr>
              <w:t>2</w:t>
            </w:r>
          </w:p>
        </w:tc>
        <w:tc>
          <w:tcPr>
            <w:tcW w:w="990" w:type="dxa"/>
          </w:tcPr>
          <w:p w:rsidR="00875CD0" w:rsidRPr="00E72273" w:rsidP="0019207F" w14:paraId="51D1E6FD" w14:textId="10EAE3C8">
            <w:pPr>
              <w:spacing w:after="0"/>
              <w:contextualSpacing/>
              <w:jc w:val="right"/>
              <w:rPr>
                <w:rFonts w:cs="Times New Roman"/>
                <w:color w:val="000000"/>
                <w:sz w:val="17"/>
                <w:szCs w:val="17"/>
              </w:rPr>
            </w:pPr>
            <w:r>
              <w:rPr>
                <w:color w:val="000000"/>
                <w:sz w:val="17"/>
                <w:szCs w:val="17"/>
              </w:rPr>
              <w:t>682</w:t>
            </w:r>
          </w:p>
        </w:tc>
        <w:tc>
          <w:tcPr>
            <w:tcW w:w="1170" w:type="dxa"/>
            <w:noWrap/>
          </w:tcPr>
          <w:p w:rsidR="00875CD0" w:rsidRPr="00E72273" w:rsidP="0019207F" w14:paraId="7C975BF0" w14:textId="1E313485">
            <w:pPr>
              <w:spacing w:after="0"/>
              <w:contextualSpacing/>
              <w:jc w:val="right"/>
              <w:rPr>
                <w:rFonts w:eastAsia="Times New Roman" w:cs="Times New Roman"/>
                <w:color w:val="000000"/>
                <w:sz w:val="17"/>
                <w:szCs w:val="17"/>
              </w:rPr>
            </w:pPr>
            <w:r>
              <w:rPr>
                <w:color w:val="000000"/>
                <w:sz w:val="17"/>
                <w:szCs w:val="17"/>
              </w:rPr>
              <w:t xml:space="preserve">$78.14 </w:t>
            </w:r>
          </w:p>
        </w:tc>
        <w:tc>
          <w:tcPr>
            <w:tcW w:w="1260" w:type="dxa"/>
          </w:tcPr>
          <w:p w:rsidR="00875CD0" w:rsidRPr="00E72273" w:rsidP="0019207F" w14:paraId="55AEF2D5" w14:textId="60B88305">
            <w:pPr>
              <w:spacing w:after="0"/>
              <w:contextualSpacing/>
              <w:jc w:val="right"/>
              <w:rPr>
                <w:rFonts w:eastAsia="Times New Roman" w:cs="Times New Roman"/>
                <w:color w:val="000000"/>
                <w:sz w:val="17"/>
                <w:szCs w:val="17"/>
              </w:rPr>
            </w:pPr>
            <w:r>
              <w:rPr>
                <w:color w:val="000000"/>
                <w:sz w:val="17"/>
                <w:szCs w:val="17"/>
              </w:rPr>
              <w:t>$0.05</w:t>
            </w:r>
          </w:p>
        </w:tc>
        <w:tc>
          <w:tcPr>
            <w:tcW w:w="1080" w:type="dxa"/>
            <w:noWrap/>
          </w:tcPr>
          <w:p w:rsidR="00875CD0" w:rsidRPr="00E72273" w:rsidP="0019207F" w14:paraId="33A6BDE8" w14:textId="21873335">
            <w:pPr>
              <w:spacing w:after="0"/>
              <w:contextualSpacing/>
              <w:jc w:val="right"/>
              <w:rPr>
                <w:rFonts w:eastAsia="Times New Roman" w:cs="Times New Roman"/>
                <w:color w:val="000000"/>
                <w:sz w:val="17"/>
                <w:szCs w:val="17"/>
              </w:rPr>
            </w:pPr>
            <w:r>
              <w:rPr>
                <w:color w:val="000000"/>
                <w:sz w:val="17"/>
                <w:szCs w:val="17"/>
              </w:rPr>
              <w:t>$0.05</w:t>
            </w:r>
          </w:p>
        </w:tc>
        <w:tc>
          <w:tcPr>
            <w:tcW w:w="1080" w:type="dxa"/>
            <w:noWrap/>
          </w:tcPr>
          <w:p w:rsidR="00875CD0" w:rsidRPr="00E72273" w:rsidP="0019207F" w14:paraId="1ED02FAC" w14:textId="3297D910">
            <w:pPr>
              <w:spacing w:after="0"/>
              <w:contextualSpacing/>
              <w:jc w:val="right"/>
              <w:rPr>
                <w:rFonts w:cs="Times New Roman"/>
                <w:color w:val="000000"/>
                <w:sz w:val="17"/>
                <w:szCs w:val="17"/>
              </w:rPr>
            </w:pPr>
            <w:r>
              <w:rPr>
                <w:color w:val="000000"/>
                <w:sz w:val="17"/>
                <w:szCs w:val="17"/>
              </w:rPr>
              <w:t>$0.05</w:t>
            </w:r>
          </w:p>
        </w:tc>
      </w:tr>
      <w:bookmarkEnd w:id="4"/>
      <w:tr w14:paraId="223F0B14" w14:textId="77777777" w:rsidTr="00BA5FA4">
        <w:tblPrEx>
          <w:tblW w:w="12965" w:type="dxa"/>
          <w:jc w:val="center"/>
          <w:tblLayout w:type="fixed"/>
          <w:tblLook w:val="04A0"/>
        </w:tblPrEx>
        <w:trPr>
          <w:cantSplit/>
          <w:jc w:val="center"/>
        </w:trPr>
        <w:tc>
          <w:tcPr>
            <w:tcW w:w="4055" w:type="dxa"/>
            <w:shd w:val="clear" w:color="auto" w:fill="D9D9D9" w:themeFill="background1" w:themeFillShade="D9"/>
            <w:vAlign w:val="center"/>
            <w:hideMark/>
          </w:tcPr>
          <w:p w:rsidR="00875CD0" w:rsidRPr="00E72273" w:rsidP="0019207F" w14:paraId="320DC7BE" w14:textId="77777777">
            <w:pPr>
              <w:spacing w:before="240"/>
              <w:contextualSpacing/>
              <w:rPr>
                <w:rFonts w:eastAsia="Times New Roman" w:cs="Times New Roman"/>
                <w:b/>
                <w:bCs/>
                <w:color w:val="000000"/>
                <w:sz w:val="17"/>
                <w:szCs w:val="17"/>
              </w:rPr>
            </w:pPr>
            <w:r w:rsidRPr="00E72273">
              <w:rPr>
                <w:rFonts w:eastAsia="Times New Roman" w:cs="Times New Roman"/>
                <w:b/>
                <w:bCs/>
                <w:color w:val="000000"/>
                <w:sz w:val="17"/>
                <w:szCs w:val="17"/>
              </w:rPr>
              <w:t>Total Hours and Costs for Applicable Impacted Payers</w:t>
            </w:r>
          </w:p>
        </w:tc>
        <w:tc>
          <w:tcPr>
            <w:tcW w:w="1080" w:type="dxa"/>
            <w:shd w:val="clear" w:color="auto" w:fill="D9D9D9" w:themeFill="background1" w:themeFillShade="D9"/>
            <w:vAlign w:val="center"/>
            <w:hideMark/>
          </w:tcPr>
          <w:p w:rsidR="00875CD0" w:rsidRPr="00E72273" w:rsidP="0019207F" w14:paraId="55B48583" w14:textId="066F15C7">
            <w:pPr>
              <w:spacing w:before="120" w:after="120"/>
              <w:contextualSpacing/>
              <w:jc w:val="right"/>
              <w:rPr>
                <w:rFonts w:eastAsia="Times New Roman" w:cs="Times New Roman"/>
                <w:b/>
                <w:bCs/>
                <w:color w:val="000000"/>
                <w:sz w:val="17"/>
                <w:szCs w:val="17"/>
              </w:rPr>
            </w:pPr>
            <w:r>
              <w:rPr>
                <w:b/>
                <w:bCs/>
                <w:color w:val="000000"/>
                <w:sz w:val="17"/>
                <w:szCs w:val="17"/>
              </w:rPr>
              <w:t>N/A</w:t>
            </w:r>
          </w:p>
        </w:tc>
        <w:tc>
          <w:tcPr>
            <w:tcW w:w="1170" w:type="dxa"/>
            <w:shd w:val="clear" w:color="auto" w:fill="D9D9D9" w:themeFill="background1" w:themeFillShade="D9"/>
            <w:vAlign w:val="center"/>
            <w:hideMark/>
          </w:tcPr>
          <w:p w:rsidR="00875CD0" w:rsidRPr="00E72273" w:rsidP="0019207F" w14:paraId="0972C2FE" w14:textId="6EA33A66">
            <w:pPr>
              <w:spacing w:before="120" w:after="120"/>
              <w:contextualSpacing/>
              <w:jc w:val="right"/>
              <w:rPr>
                <w:rFonts w:eastAsia="Times New Roman" w:cs="Times New Roman"/>
                <w:b/>
                <w:bCs/>
                <w:color w:val="000000"/>
                <w:sz w:val="17"/>
                <w:szCs w:val="17"/>
              </w:rPr>
            </w:pPr>
            <w:r>
              <w:rPr>
                <w:b/>
                <w:bCs/>
                <w:color w:val="000000"/>
                <w:sz w:val="17"/>
                <w:szCs w:val="17"/>
              </w:rPr>
              <w:t>N/A</w:t>
            </w:r>
          </w:p>
        </w:tc>
        <w:tc>
          <w:tcPr>
            <w:tcW w:w="1080" w:type="dxa"/>
            <w:shd w:val="clear" w:color="auto" w:fill="D9D9D9" w:themeFill="background1" w:themeFillShade="D9"/>
            <w:noWrap/>
            <w:vAlign w:val="center"/>
            <w:hideMark/>
          </w:tcPr>
          <w:p w:rsidR="00875CD0" w:rsidRPr="00E72273" w:rsidP="0019207F" w14:paraId="12AF39EE" w14:textId="0704435C">
            <w:pPr>
              <w:spacing w:before="120" w:after="120"/>
              <w:contextualSpacing/>
              <w:jc w:val="right"/>
              <w:rPr>
                <w:rFonts w:eastAsia="Times New Roman" w:cs="Times New Roman"/>
                <w:b/>
                <w:bCs/>
                <w:color w:val="000000"/>
                <w:sz w:val="17"/>
                <w:szCs w:val="17"/>
              </w:rPr>
            </w:pPr>
            <w:r>
              <w:rPr>
                <w:b/>
                <w:bCs/>
                <w:color w:val="000000"/>
                <w:sz w:val="17"/>
                <w:szCs w:val="17"/>
              </w:rPr>
              <w:t>N/A</w:t>
            </w:r>
          </w:p>
        </w:tc>
        <w:tc>
          <w:tcPr>
            <w:tcW w:w="990" w:type="dxa"/>
            <w:shd w:val="clear" w:color="auto" w:fill="D9D9D9" w:themeFill="background1" w:themeFillShade="D9"/>
            <w:noWrap/>
            <w:vAlign w:val="center"/>
            <w:hideMark/>
          </w:tcPr>
          <w:p w:rsidR="00875CD0" w:rsidRPr="00E72273" w:rsidP="0019207F" w14:paraId="674E2704" w14:textId="4998CDE7">
            <w:pPr>
              <w:spacing w:before="120" w:after="120"/>
              <w:jc w:val="right"/>
              <w:rPr>
                <w:rFonts w:eastAsia="Times New Roman" w:cs="Times New Roman"/>
                <w:b/>
                <w:bCs/>
                <w:color w:val="000000"/>
                <w:sz w:val="17"/>
                <w:szCs w:val="17"/>
              </w:rPr>
            </w:pPr>
            <w:r>
              <w:rPr>
                <w:b/>
                <w:bCs/>
                <w:color w:val="000000"/>
                <w:sz w:val="17"/>
                <w:szCs w:val="17"/>
              </w:rPr>
              <w:t>218,922</w:t>
            </w:r>
          </w:p>
        </w:tc>
        <w:tc>
          <w:tcPr>
            <w:tcW w:w="1170" w:type="dxa"/>
            <w:shd w:val="clear" w:color="auto" w:fill="D9D9D9" w:themeFill="background1" w:themeFillShade="D9"/>
            <w:noWrap/>
            <w:vAlign w:val="center"/>
            <w:hideMark/>
          </w:tcPr>
          <w:p w:rsidR="00875CD0" w:rsidRPr="00E72273" w:rsidP="0019207F" w14:paraId="3C3BB033" w14:textId="061FFA94">
            <w:pPr>
              <w:spacing w:before="120" w:after="120"/>
              <w:contextualSpacing/>
              <w:jc w:val="right"/>
              <w:rPr>
                <w:rFonts w:eastAsia="Times New Roman" w:cs="Times New Roman"/>
                <w:b/>
                <w:bCs/>
                <w:color w:val="000000"/>
                <w:sz w:val="17"/>
                <w:szCs w:val="17"/>
              </w:rPr>
            </w:pPr>
            <w:r>
              <w:rPr>
                <w:b/>
                <w:bCs/>
                <w:color w:val="000000"/>
                <w:sz w:val="17"/>
                <w:szCs w:val="17"/>
              </w:rPr>
              <w:t>N/A</w:t>
            </w:r>
          </w:p>
        </w:tc>
        <w:tc>
          <w:tcPr>
            <w:tcW w:w="1260" w:type="dxa"/>
            <w:shd w:val="clear" w:color="auto" w:fill="D9D9D9" w:themeFill="background1" w:themeFillShade="D9"/>
            <w:noWrap/>
            <w:vAlign w:val="center"/>
          </w:tcPr>
          <w:p w:rsidR="00875CD0" w:rsidRPr="00E72273" w:rsidP="0019207F" w14:paraId="58E37602" w14:textId="6FC4299A">
            <w:pPr>
              <w:spacing w:before="120" w:after="120"/>
              <w:contextualSpacing/>
              <w:jc w:val="right"/>
              <w:rPr>
                <w:rFonts w:eastAsia="Times New Roman" w:cs="Times New Roman"/>
                <w:b/>
                <w:bCs/>
                <w:color w:val="000000"/>
                <w:sz w:val="17"/>
                <w:szCs w:val="17"/>
              </w:rPr>
            </w:pPr>
            <w:r>
              <w:rPr>
                <w:b/>
                <w:color w:val="000000"/>
                <w:sz w:val="17"/>
                <w:szCs w:val="17"/>
              </w:rPr>
              <w:t>$1</w:t>
            </w:r>
            <w:r w:rsidR="009F591F">
              <w:rPr>
                <w:b/>
                <w:color w:val="000000"/>
                <w:sz w:val="17"/>
                <w:szCs w:val="17"/>
              </w:rPr>
              <w:t>7.</w:t>
            </w:r>
            <w:r w:rsidR="008F4270">
              <w:rPr>
                <w:b/>
                <w:color w:val="000000"/>
                <w:sz w:val="17"/>
                <w:szCs w:val="17"/>
              </w:rPr>
              <w:t>25</w:t>
            </w:r>
          </w:p>
        </w:tc>
        <w:tc>
          <w:tcPr>
            <w:tcW w:w="1080" w:type="dxa"/>
            <w:shd w:val="clear" w:color="auto" w:fill="D9D9D9" w:themeFill="background1" w:themeFillShade="D9"/>
            <w:noWrap/>
            <w:vAlign w:val="center"/>
          </w:tcPr>
          <w:p w:rsidR="00875CD0" w:rsidRPr="00E72273" w:rsidP="0019207F" w14:paraId="293310A1" w14:textId="75B94DC2">
            <w:pPr>
              <w:spacing w:before="120" w:after="120"/>
              <w:contextualSpacing/>
              <w:jc w:val="right"/>
              <w:rPr>
                <w:rFonts w:eastAsia="Times New Roman" w:cs="Times New Roman"/>
                <w:b/>
                <w:bCs/>
                <w:color w:val="000000"/>
                <w:sz w:val="17"/>
                <w:szCs w:val="17"/>
              </w:rPr>
            </w:pPr>
            <w:r>
              <w:rPr>
                <w:b/>
                <w:color w:val="000000"/>
                <w:sz w:val="17"/>
                <w:szCs w:val="17"/>
              </w:rPr>
              <w:t>$</w:t>
            </w:r>
            <w:r w:rsidR="00A11B59">
              <w:rPr>
                <w:b/>
                <w:bCs/>
                <w:color w:val="000000"/>
                <w:sz w:val="17"/>
                <w:szCs w:val="17"/>
              </w:rPr>
              <w:t>4</w:t>
            </w:r>
            <w:r w:rsidR="003A269A">
              <w:rPr>
                <w:b/>
                <w:bCs/>
                <w:color w:val="000000"/>
                <w:sz w:val="17"/>
                <w:szCs w:val="17"/>
              </w:rPr>
              <w:t>.</w:t>
            </w:r>
            <w:r w:rsidR="00A11B59">
              <w:rPr>
                <w:b/>
                <w:bCs/>
                <w:color w:val="000000"/>
                <w:sz w:val="17"/>
                <w:szCs w:val="17"/>
              </w:rPr>
              <w:t>3</w:t>
            </w:r>
            <w:r w:rsidR="008F4270">
              <w:rPr>
                <w:b/>
                <w:bCs/>
                <w:color w:val="000000"/>
                <w:sz w:val="17"/>
                <w:szCs w:val="17"/>
              </w:rPr>
              <w:t>2</w:t>
            </w:r>
            <w:r w:rsidR="003A269A">
              <w:rPr>
                <w:b/>
                <w:bCs/>
                <w:color w:val="000000"/>
                <w:sz w:val="17"/>
                <w:szCs w:val="17"/>
              </w:rPr>
              <w:t xml:space="preserve"> </w:t>
            </w:r>
          </w:p>
        </w:tc>
        <w:tc>
          <w:tcPr>
            <w:tcW w:w="1080" w:type="dxa"/>
            <w:shd w:val="clear" w:color="auto" w:fill="D9D9D9" w:themeFill="background1" w:themeFillShade="D9"/>
            <w:noWrap/>
            <w:vAlign w:val="center"/>
          </w:tcPr>
          <w:p w:rsidR="00875CD0" w:rsidRPr="00E72273" w:rsidP="0019207F" w14:paraId="2711CB87" w14:textId="4A52E301">
            <w:pPr>
              <w:spacing w:before="120" w:after="120"/>
              <w:contextualSpacing/>
              <w:jc w:val="right"/>
              <w:rPr>
                <w:rFonts w:eastAsia="Times New Roman" w:cs="Times New Roman"/>
                <w:b/>
                <w:bCs/>
                <w:color w:val="000000"/>
                <w:sz w:val="17"/>
                <w:szCs w:val="17"/>
              </w:rPr>
            </w:pPr>
            <w:r>
              <w:rPr>
                <w:b/>
                <w:bCs/>
                <w:color w:val="000000"/>
                <w:sz w:val="17"/>
                <w:szCs w:val="17"/>
              </w:rPr>
              <w:t>$4.3</w:t>
            </w:r>
            <w:r w:rsidR="008F4270">
              <w:rPr>
                <w:b/>
                <w:bCs/>
                <w:color w:val="000000"/>
                <w:sz w:val="17"/>
                <w:szCs w:val="17"/>
              </w:rPr>
              <w:t>2</w:t>
            </w:r>
            <w:r>
              <w:rPr>
                <w:b/>
                <w:bCs/>
                <w:color w:val="000000"/>
                <w:sz w:val="17"/>
                <w:szCs w:val="17"/>
              </w:rPr>
              <w:t xml:space="preserve"> </w:t>
            </w:r>
          </w:p>
        </w:tc>
      </w:tr>
    </w:tbl>
    <w:bookmarkEnd w:id="3"/>
    <w:p w:rsidR="00875CD0" w:rsidRPr="001E0171" w:rsidP="00875CD0" w14:paraId="6798D28F" w14:textId="38D33B12">
      <w:pPr>
        <w:spacing w:before="0" w:line="184" w:lineRule="exact"/>
        <w:rPr>
          <w:spacing w:val="-2"/>
          <w:sz w:val="16"/>
        </w:rPr>
      </w:pPr>
      <w:r w:rsidRPr="004172EA">
        <w:rPr>
          <w:rFonts w:cs="Times New Roman"/>
          <w:b/>
          <w:bCs/>
          <w:sz w:val="16"/>
          <w:szCs w:val="16"/>
        </w:rPr>
        <w:t>NOTES</w:t>
      </w:r>
      <w:r w:rsidRPr="004172EA">
        <w:rPr>
          <w:rFonts w:cs="Times New Roman"/>
          <w:sz w:val="16"/>
          <w:szCs w:val="16"/>
        </w:rPr>
        <w:t>:</w:t>
      </w:r>
      <w:r>
        <w:rPr>
          <w:rFonts w:cs="Times New Roman"/>
          <w:sz w:val="16"/>
          <w:szCs w:val="16"/>
        </w:rPr>
        <w:t xml:space="preserve"> (1) </w:t>
      </w:r>
      <w:r w:rsidRPr="004172EA">
        <w:rPr>
          <w:rFonts w:eastAsia="Times New Roman" w:cs="Times New Roman"/>
          <w:color w:val="000000"/>
          <w:sz w:val="16"/>
          <w:szCs w:val="16"/>
        </w:rPr>
        <w:t>42 CFR 422.122, 42 CFR 440.230, 42 CFR 438.210, 42 CFR 457.732, 42 CFR 457.123</w:t>
      </w:r>
      <w:r w:rsidR="00BF7264">
        <w:rPr>
          <w:rFonts w:eastAsia="Times New Roman" w:cs="Times New Roman"/>
          <w:color w:val="000000"/>
          <w:sz w:val="16"/>
          <w:szCs w:val="16"/>
        </w:rPr>
        <w:t>0</w:t>
      </w:r>
      <w:r w:rsidRPr="004172EA">
        <w:rPr>
          <w:rFonts w:eastAsia="Times New Roman" w:cs="Times New Roman"/>
          <w:color w:val="000000"/>
          <w:sz w:val="16"/>
          <w:szCs w:val="16"/>
        </w:rPr>
        <w:t>, and 45 CFR 156.223</w:t>
      </w:r>
      <w:r>
        <w:rPr>
          <w:rFonts w:eastAsia="Times New Roman" w:cs="Times New Roman"/>
          <w:color w:val="000000"/>
          <w:sz w:val="16"/>
          <w:szCs w:val="16"/>
        </w:rPr>
        <w:t xml:space="preserve">; </w:t>
      </w:r>
      <w:r w:rsidR="008655FF">
        <w:rPr>
          <w:rFonts w:eastAsia="Times New Roman" w:cs="Times New Roman"/>
          <w:color w:val="000000"/>
          <w:sz w:val="16"/>
          <w:szCs w:val="16"/>
        </w:rPr>
        <w:br/>
      </w:r>
      <w:r>
        <w:rPr>
          <w:rFonts w:eastAsia="Times New Roman" w:cs="Times New Roman"/>
          <w:color w:val="000000"/>
          <w:sz w:val="16"/>
          <w:szCs w:val="16"/>
        </w:rPr>
        <w:t xml:space="preserve">(2) </w:t>
      </w:r>
      <w:r w:rsidRPr="004172EA">
        <w:rPr>
          <w:rFonts w:cs="Times New Roman"/>
          <w:sz w:val="16"/>
          <w:szCs w:val="16"/>
        </w:rPr>
        <w:t>42 CFR 422.121, 42 CFR 422.122, 42 CFR 431.61, 42 CFR 431.80, 42 CFR 438.242, 42 CFR 457.731, 42 CFR 457.732, 42 CFR 457.1233, 45 CFR 156.222, and 45 CFR 156.22</w:t>
      </w:r>
      <w:r>
        <w:rPr>
          <w:rFonts w:cs="Times New Roman"/>
          <w:sz w:val="16"/>
          <w:szCs w:val="16"/>
        </w:rPr>
        <w:t xml:space="preserve">3; </w:t>
      </w:r>
      <w:r w:rsidR="008655FF">
        <w:rPr>
          <w:rFonts w:cs="Times New Roman"/>
          <w:sz w:val="16"/>
          <w:szCs w:val="16"/>
        </w:rPr>
        <w:br/>
      </w:r>
      <w:r>
        <w:rPr>
          <w:spacing w:val="-2"/>
          <w:sz w:val="16"/>
        </w:rPr>
        <w:t xml:space="preserve">(3) 42 CFR 422.119, 42 CFR 422.120, 42 CFR 422.121, 42 CFR 422.122, 42 CFR 431.60, 42 CFR 431.61, 42 CFR 431.70, 42 CFR 431.80, 42 CFR </w:t>
      </w:r>
      <w:r w:rsidR="00112817">
        <w:rPr>
          <w:spacing w:val="-2"/>
          <w:sz w:val="16"/>
        </w:rPr>
        <w:t xml:space="preserve">438.242, </w:t>
      </w:r>
      <w:r>
        <w:rPr>
          <w:spacing w:val="-2"/>
          <w:sz w:val="16"/>
        </w:rPr>
        <w:t>42 CFR 457.730, 42 CFR 457.731, 42 CFR 457.732, 42 CFR 457.760</w:t>
      </w:r>
      <w:r w:rsidR="00BF7264">
        <w:rPr>
          <w:spacing w:val="-2"/>
          <w:sz w:val="16"/>
        </w:rPr>
        <w:t xml:space="preserve">, 42 CFR 457.1233, </w:t>
      </w:r>
      <w:r>
        <w:rPr>
          <w:spacing w:val="-2"/>
          <w:sz w:val="16"/>
        </w:rPr>
        <w:t>45 CFR 156.221, 45 CFR 156.222, and 45 CFR 156.223.</w:t>
      </w:r>
    </w:p>
    <w:p w:rsidR="00875CD0" w:rsidRPr="00B15F68" w:rsidP="00875CD0" w14:paraId="6CD29F0C" w14:textId="77777777"/>
    <w:p w:rsidR="00875CD0" w:rsidP="00875CD0" w14:paraId="13905F8B" w14:textId="77777777">
      <w:pPr>
        <w:pStyle w:val="NormalIndent"/>
        <w:spacing w:before="0" w:line="184" w:lineRule="exact"/>
        <w:ind w:left="0"/>
        <w:rPr>
          <w:b/>
          <w:bCs/>
        </w:rPr>
      </w:pPr>
    </w:p>
    <w:p w:rsidR="00875CD0" w:rsidP="00875CD0" w14:paraId="5DA08E12" w14:textId="77777777">
      <w:pPr>
        <w:pStyle w:val="NormalIndent"/>
        <w:spacing w:before="0" w:line="184" w:lineRule="exact"/>
        <w:ind w:left="0"/>
        <w:rPr>
          <w:b/>
          <w:bCs/>
        </w:rPr>
        <w:sectPr w:rsidSect="00875CD0">
          <w:endnotePr>
            <w:numFmt w:val="decimal"/>
          </w:endnotePr>
          <w:pgSz w:w="15840" w:h="12240" w:orient="landscape"/>
          <w:pgMar w:top="1440" w:right="1440" w:bottom="1440" w:left="1440" w:header="720" w:footer="720" w:gutter="0"/>
          <w:cols w:space="720"/>
          <w:noEndnote/>
          <w:docGrid w:linePitch="299"/>
        </w:sectPr>
      </w:pPr>
    </w:p>
    <w:p w:rsidR="00A529A1" w:rsidRPr="0060419C" w:rsidP="005F3A9D" w14:paraId="1E2F7E49" w14:textId="169110D4">
      <w:pPr>
        <w:pStyle w:val="Heading3"/>
        <w:ind w:left="720"/>
      </w:pPr>
      <w:r w:rsidRPr="0060419C">
        <w:t>Capital Costs</w:t>
      </w:r>
    </w:p>
    <w:p w:rsidR="00EC5F69" w:rsidRPr="00EC5F69" w:rsidP="00F11E57" w14:paraId="5E023F50" w14:textId="28301031">
      <w:pPr>
        <w:pStyle w:val="BodyText"/>
        <w:ind w:left="720"/>
      </w:pPr>
      <w:r>
        <w:t>There</w:t>
      </w:r>
      <w:r>
        <w:rPr>
          <w:spacing w:val="-7"/>
        </w:rPr>
        <w:t xml:space="preserve"> </w:t>
      </w:r>
      <w:r>
        <w:t>are</w:t>
      </w:r>
      <w:r>
        <w:rPr>
          <w:spacing w:val="-7"/>
        </w:rPr>
        <w:t xml:space="preserve"> </w:t>
      </w:r>
      <w:r>
        <w:t>no</w:t>
      </w:r>
      <w:r>
        <w:rPr>
          <w:spacing w:val="-7"/>
        </w:rPr>
        <w:t xml:space="preserve"> </w:t>
      </w:r>
      <w:r>
        <w:t>capital</w:t>
      </w:r>
      <w:r>
        <w:rPr>
          <w:spacing w:val="-6"/>
        </w:rPr>
        <w:t xml:space="preserve"> </w:t>
      </w:r>
      <w:r>
        <w:t>costs</w:t>
      </w:r>
      <w:r>
        <w:rPr>
          <w:spacing w:val="-5"/>
        </w:rPr>
        <w:t xml:space="preserve"> </w:t>
      </w:r>
      <w:r>
        <w:t>associated</w:t>
      </w:r>
      <w:r>
        <w:rPr>
          <w:spacing w:val="-6"/>
        </w:rPr>
        <w:t xml:space="preserve"> </w:t>
      </w:r>
      <w:r>
        <w:t>with</w:t>
      </w:r>
      <w:r>
        <w:rPr>
          <w:spacing w:val="-6"/>
        </w:rPr>
        <w:t xml:space="preserve"> </w:t>
      </w:r>
      <w:r>
        <w:t>this</w:t>
      </w:r>
      <w:r>
        <w:rPr>
          <w:spacing w:val="-7"/>
        </w:rPr>
        <w:t xml:space="preserve"> </w:t>
      </w:r>
      <w:r>
        <w:rPr>
          <w:spacing w:val="-2"/>
        </w:rPr>
        <w:t>collection.</w:t>
      </w:r>
    </w:p>
    <w:p w:rsidR="00A529A1" w:rsidRPr="00F11E57" w:rsidP="005F3A9D" w14:paraId="3E05825F" w14:textId="291BC91A">
      <w:pPr>
        <w:pStyle w:val="Heading3"/>
        <w:ind w:left="720"/>
      </w:pPr>
      <w:r w:rsidRPr="00F11E57">
        <w:t>Cost to Federal Government</w:t>
      </w:r>
    </w:p>
    <w:p w:rsidR="00687AFF" w:rsidP="00B968B3" w14:paraId="1E6DE845" w14:textId="70B16C82">
      <w:pPr>
        <w:ind w:left="720"/>
      </w:pPr>
      <w:r w:rsidRPr="00681589">
        <w:t>There are no direct costs to the federal government associated with this collection</w:t>
      </w:r>
      <w:r w:rsidR="00F82D13">
        <w:t>;</w:t>
      </w:r>
      <w:r w:rsidRPr="00681589">
        <w:t xml:space="preserve"> however</w:t>
      </w:r>
      <w:r w:rsidR="00411477">
        <w:t>,</w:t>
      </w:r>
      <w:r w:rsidRPr="00681589">
        <w:t xml:space="preserve"> the cost of th</w:t>
      </w:r>
      <w:r w:rsidRPr="00681589" w:rsidR="00AA4900">
        <w:t>e</w:t>
      </w:r>
      <w:r w:rsidRPr="00681589">
        <w:t xml:space="preserve"> collection w</w:t>
      </w:r>
      <w:r w:rsidRPr="00681589" w:rsidR="00AA4900">
        <w:t>ould</w:t>
      </w:r>
      <w:r w:rsidRPr="00681589">
        <w:t xml:space="preserve"> inform the total amount of subsidies, rebates, and </w:t>
      </w:r>
      <w:r w:rsidR="00347818">
        <w:t>premium tax credit (</w:t>
      </w:r>
      <w:r w:rsidRPr="00681589">
        <w:t>P</w:t>
      </w:r>
      <w:r w:rsidR="00347818">
        <w:t>TC)</w:t>
      </w:r>
      <w:r w:rsidRPr="00681589">
        <w:t xml:space="preserve"> payment contributed by the federal government to the Medicare Advantage, Medicaid and CHIP, and QHP</w:t>
      </w:r>
      <w:r w:rsidR="007865BD">
        <w:t>s</w:t>
      </w:r>
      <w:r w:rsidRPr="00681589">
        <w:t xml:space="preserve">. </w:t>
      </w:r>
      <w:r w:rsidRPr="00681589" w:rsidR="00AA4900">
        <w:t xml:space="preserve">Based on the proposed cost of the information collections, we estimate that government transfers would increase by </w:t>
      </w:r>
      <w:r w:rsidR="00C07B3B">
        <w:t>an average of $12.31</w:t>
      </w:r>
      <w:r w:rsidRPr="00681589" w:rsidR="00AA4900">
        <w:t xml:space="preserve"> million annually </w:t>
      </w:r>
      <w:r w:rsidR="00C07B3B">
        <w:t xml:space="preserve">over the next </w:t>
      </w:r>
      <w:r w:rsidR="00C07B3B">
        <w:t>3</w:t>
      </w:r>
      <w:r w:rsidR="00C07B3B">
        <w:t xml:space="preserve"> years</w:t>
      </w:r>
      <w:r w:rsidRPr="00681589" w:rsidR="00AA4900">
        <w:t xml:space="preserve"> </w:t>
      </w:r>
      <w:r w:rsidRPr="00681589" w:rsidR="00AA4900">
        <w:t>as a result of</w:t>
      </w:r>
      <w:r w:rsidRPr="00681589" w:rsidR="00AA4900">
        <w:t xml:space="preserve"> these information collections.</w:t>
      </w:r>
    </w:p>
    <w:p w:rsidR="006223D7" w:rsidP="005F3A9D" w14:paraId="35CC1DA7" w14:textId="0E1D8B19">
      <w:pPr>
        <w:pStyle w:val="Heading3"/>
        <w:ind w:left="720"/>
      </w:pPr>
      <w:r w:rsidRPr="00F11E57">
        <w:t>Changes to Burden</w:t>
      </w:r>
    </w:p>
    <w:p w:rsidR="00241212" w:rsidP="00670D80" w14:paraId="022BC248" w14:textId="559CAFF1">
      <w:pPr>
        <w:pStyle w:val="BodyText"/>
        <w:ind w:left="720"/>
      </w:pPr>
      <w:r w:rsidRPr="00241212">
        <w:t>In a previous version of this Supporting Statement, we described the burden on impacted payers to update their policies to reflect the requirements in the 2024 CMS Interoperability and Prior Authorization final rule to communicate the reason for prior authorization denials and make prior authorization decisions within certain timeframes. CMS has since determined that the communication of</w:t>
      </w:r>
      <w:r w:rsidR="00D520B3">
        <w:t xml:space="preserve"> a</w:t>
      </w:r>
      <w:r w:rsidRPr="00241212">
        <w:t xml:space="preserve"> prior authorization denial reason </w:t>
      </w:r>
      <w:r w:rsidR="00D520B3">
        <w:t>and a change to decision timeframes are</w:t>
      </w:r>
      <w:r w:rsidRPr="00241212">
        <w:t xml:space="preserve"> usual and customary business practice</w:t>
      </w:r>
      <w:r w:rsidR="00D520B3">
        <w:t>s</w:t>
      </w:r>
      <w:r w:rsidRPr="00241212">
        <w:t>. Since usual and customary business practices do not require a burden calculation pursuant to 5 CFR 1320.3(b)(2), we removed the burde</w:t>
      </w:r>
      <w:r>
        <w:t xml:space="preserve">n estimates from this </w:t>
      </w:r>
      <w:r w:rsidR="005E6741">
        <w:t>S</w:t>
      </w:r>
      <w:r>
        <w:t xml:space="preserve">upporting </w:t>
      </w:r>
      <w:r w:rsidR="005E6741">
        <w:t>S</w:t>
      </w:r>
      <w:r>
        <w:t>tatement, reducing the overall burden of this collection by</w:t>
      </w:r>
      <w:r w:rsidR="007977D3">
        <w:t xml:space="preserve"> $0.</w:t>
      </w:r>
      <w:r w:rsidR="0027410C">
        <w:t>35</w:t>
      </w:r>
      <w:r w:rsidR="007977D3">
        <w:t xml:space="preserve"> million (2,920 burden hours at $120.90 an hour). </w:t>
      </w:r>
    </w:p>
    <w:p w:rsidR="00241212" w:rsidP="00670D80" w14:paraId="6ED13B79" w14:textId="10112CF5">
      <w:pPr>
        <w:pStyle w:val="BodyText"/>
        <w:ind w:left="720"/>
        <w:rPr>
          <w:szCs w:val="24"/>
        </w:rPr>
      </w:pPr>
      <w:r>
        <w:rPr>
          <w:szCs w:val="24"/>
        </w:rPr>
        <w:t xml:space="preserve">Additionally, </w:t>
      </w:r>
      <w:r w:rsidR="00366333">
        <w:rPr>
          <w:szCs w:val="24"/>
        </w:rPr>
        <w:t xml:space="preserve">the </w:t>
      </w:r>
      <w:r w:rsidR="008D2E7F">
        <w:rPr>
          <w:szCs w:val="24"/>
        </w:rPr>
        <w:t xml:space="preserve">previous version of this Supporting Statement </w:t>
      </w:r>
      <w:r w:rsidR="006D76DC">
        <w:rPr>
          <w:szCs w:val="24"/>
        </w:rPr>
        <w:t xml:space="preserve">characterized the burden associated with implementing the finalized APIs to support interoperability and prior authorization as collections of information. </w:t>
      </w:r>
      <w:r w:rsidR="00DE1626">
        <w:rPr>
          <w:szCs w:val="24"/>
        </w:rPr>
        <w:t xml:space="preserve">To more accurately calculate the burden associated with </w:t>
      </w:r>
      <w:r w:rsidR="00244A24">
        <w:rPr>
          <w:szCs w:val="24"/>
        </w:rPr>
        <w:t>the</w:t>
      </w:r>
      <w:r w:rsidR="00DE1626">
        <w:rPr>
          <w:szCs w:val="24"/>
        </w:rPr>
        <w:t xml:space="preserve"> </w:t>
      </w:r>
      <w:r w:rsidR="008D2E7F">
        <w:rPr>
          <w:szCs w:val="24"/>
        </w:rPr>
        <w:t xml:space="preserve">proposed and finalized requirements to implement FHIR APIs, </w:t>
      </w:r>
      <w:r w:rsidR="006D76DC">
        <w:rPr>
          <w:szCs w:val="24"/>
        </w:rPr>
        <w:t>CMS</w:t>
      </w:r>
      <w:r w:rsidR="00F04A2C">
        <w:rPr>
          <w:szCs w:val="24"/>
        </w:rPr>
        <w:t xml:space="preserve"> has</w:t>
      </w:r>
      <w:r w:rsidR="002301A0">
        <w:rPr>
          <w:szCs w:val="24"/>
        </w:rPr>
        <w:t xml:space="preserve"> </w:t>
      </w:r>
      <w:r w:rsidR="006D76DC">
        <w:rPr>
          <w:szCs w:val="24"/>
        </w:rPr>
        <w:t>remove</w:t>
      </w:r>
      <w:r w:rsidR="00F04A2C">
        <w:rPr>
          <w:szCs w:val="24"/>
        </w:rPr>
        <w:t>d</w:t>
      </w:r>
      <w:r w:rsidR="006D76DC">
        <w:rPr>
          <w:szCs w:val="24"/>
        </w:rPr>
        <w:t xml:space="preserve"> API implementation burden erroneously included in the </w:t>
      </w:r>
      <w:r w:rsidR="00800CFF">
        <w:rPr>
          <w:szCs w:val="24"/>
        </w:rPr>
        <w:t>previous</w:t>
      </w:r>
      <w:r w:rsidR="00065C66">
        <w:rPr>
          <w:szCs w:val="24"/>
        </w:rPr>
        <w:t xml:space="preserve"> version</w:t>
      </w:r>
      <w:r w:rsidR="00D520B3">
        <w:rPr>
          <w:szCs w:val="24"/>
        </w:rPr>
        <w:t>s</w:t>
      </w:r>
      <w:r w:rsidR="00065C66">
        <w:rPr>
          <w:szCs w:val="24"/>
        </w:rPr>
        <w:t xml:space="preserve"> of this</w:t>
      </w:r>
      <w:r w:rsidR="008D2E7F">
        <w:rPr>
          <w:szCs w:val="24"/>
        </w:rPr>
        <w:t xml:space="preserve"> package. </w:t>
      </w:r>
      <w:r w:rsidR="006D76DC">
        <w:rPr>
          <w:szCs w:val="24"/>
        </w:rPr>
        <w:t>These revisions w</w:t>
      </w:r>
      <w:r w:rsidR="008D2E7F">
        <w:rPr>
          <w:szCs w:val="24"/>
        </w:rPr>
        <w:t>ould</w:t>
      </w:r>
      <w:r w:rsidR="006D76DC">
        <w:rPr>
          <w:szCs w:val="24"/>
        </w:rPr>
        <w:t xml:space="preserve"> align the approach for calculating </w:t>
      </w:r>
      <w:r w:rsidR="008D2E7F">
        <w:rPr>
          <w:szCs w:val="24"/>
        </w:rPr>
        <w:t>information collection</w:t>
      </w:r>
      <w:r w:rsidR="006D76DC">
        <w:rPr>
          <w:szCs w:val="24"/>
        </w:rPr>
        <w:t xml:space="preserve"> burden across existing interoperability-focused PRA packages and streamline the content of the package for increased accuracy and fidelity to the requirements of the PRA. </w:t>
      </w:r>
      <w:r w:rsidR="008D2E7F">
        <w:rPr>
          <w:szCs w:val="24"/>
        </w:rPr>
        <w:t>This change eliminates estimated burden of this package by $</w:t>
      </w:r>
      <w:r w:rsidR="00CA24E0">
        <w:rPr>
          <w:szCs w:val="24"/>
        </w:rPr>
        <w:t>684 million</w:t>
      </w:r>
      <w:r w:rsidR="001D3FEA">
        <w:rPr>
          <w:szCs w:val="24"/>
        </w:rPr>
        <w:t>. For additional information on this change, see section IV.D.1</w:t>
      </w:r>
      <w:r w:rsidR="00805FBC">
        <w:rPr>
          <w:szCs w:val="24"/>
        </w:rPr>
        <w:t>.</w:t>
      </w:r>
      <w:r w:rsidR="008D2E7F">
        <w:rPr>
          <w:szCs w:val="24"/>
        </w:rPr>
        <w:t xml:space="preserve"> </w:t>
      </w:r>
      <w:r w:rsidR="001D3FEA">
        <w:rPr>
          <w:szCs w:val="24"/>
        </w:rPr>
        <w:t xml:space="preserve">in the </w:t>
      </w:r>
      <w:r w:rsidR="00393FB1">
        <w:t>2026</w:t>
      </w:r>
      <w:r w:rsidR="001D3FEA">
        <w:t xml:space="preserve"> CMS Interoperability </w:t>
      </w:r>
      <w:r w:rsidR="00393FB1">
        <w:t xml:space="preserve">Standards </w:t>
      </w:r>
      <w:r w:rsidR="001D3FEA">
        <w:t>and Prior Authorization for Drugs proposed rule</w:t>
      </w:r>
      <w:r w:rsidR="00B33437">
        <w:rPr>
          <w:szCs w:val="24"/>
        </w:rPr>
        <w:t xml:space="preserve">. </w:t>
      </w:r>
    </w:p>
    <w:p w:rsidR="00C72132" w:rsidP="00670D80" w14:paraId="61D596A9" w14:textId="65032EA7">
      <w:pPr>
        <w:pStyle w:val="BodyText"/>
        <w:ind w:left="720"/>
      </w:pPr>
      <w:r>
        <w:rPr>
          <w:szCs w:val="24"/>
        </w:rPr>
        <w:t>T</w:t>
      </w:r>
      <w:r w:rsidR="00945592">
        <w:rPr>
          <w:szCs w:val="24"/>
        </w:rPr>
        <w:t>his Supporting Statement has been updated from the previous version to reflect an estimated 341 respondents for the collections of information related to Patient Access API usage and prior authorization metrics reporting.</w:t>
      </w:r>
      <w:r w:rsidR="004A4CD6">
        <w:rPr>
          <w:szCs w:val="24"/>
        </w:rPr>
        <w:t xml:space="preserve"> Previously, this Supporting Statement assumed 365 respondents for these information collections, based on the methodology described in the </w:t>
      </w:r>
      <w:r w:rsidR="004A4CD6">
        <w:rPr>
          <w:snapToGrid w:val="0"/>
        </w:rPr>
        <w:t>2024 CMS Interoperability and Prior Authorization final rule.</w:t>
      </w:r>
      <w:r w:rsidR="00945592">
        <w:rPr>
          <w:szCs w:val="24"/>
        </w:rPr>
        <w:t xml:space="preserve"> Th</w:t>
      </w:r>
      <w:r w:rsidR="004A4CD6">
        <w:rPr>
          <w:szCs w:val="24"/>
        </w:rPr>
        <w:t>e reduct</w:t>
      </w:r>
      <w:r w:rsidR="00C22579">
        <w:rPr>
          <w:szCs w:val="24"/>
        </w:rPr>
        <w:t>ion of 24</w:t>
      </w:r>
      <w:r>
        <w:rPr>
          <w:szCs w:val="24"/>
        </w:rPr>
        <w:t xml:space="preserve"> respondents</w:t>
      </w:r>
      <w:r w:rsidR="00945592">
        <w:rPr>
          <w:szCs w:val="24"/>
        </w:rPr>
        <w:t xml:space="preserve"> was prompted by a refinement in the methodology which CMS use</w:t>
      </w:r>
      <w:r w:rsidR="007823C3">
        <w:rPr>
          <w:szCs w:val="24"/>
        </w:rPr>
        <w:t>d</w:t>
      </w:r>
      <w:r w:rsidR="00945592">
        <w:rPr>
          <w:szCs w:val="24"/>
        </w:rPr>
        <w:t xml:space="preserve"> to quantify the number of parent organizations offering </w:t>
      </w:r>
      <w:r w:rsidR="00C911BC">
        <w:rPr>
          <w:szCs w:val="24"/>
        </w:rPr>
        <w:t>impacted health plans (</w:t>
      </w:r>
      <w:r w:rsidR="00945592">
        <w:t>MA, Medicaid, CHIP, and QHPs</w:t>
      </w:r>
      <w:r w:rsidR="00C911BC">
        <w:t>)</w:t>
      </w:r>
      <w:r w:rsidR="00520A25">
        <w:t>.</w:t>
      </w:r>
    </w:p>
    <w:p w:rsidR="00945592" w:rsidP="00670D80" w14:paraId="189F1887" w14:textId="33CEEF9B">
      <w:pPr>
        <w:pStyle w:val="BodyText"/>
        <w:ind w:left="720"/>
      </w:pPr>
      <w:r>
        <w:t xml:space="preserve">We note that the changes reflected in this Supporting Statement result from a combination of alterations to the burden estimates: </w:t>
      </w:r>
      <w:r w:rsidR="007823C3">
        <w:t>(</w:t>
      </w:r>
      <w:r>
        <w:t xml:space="preserve">1) removing burden associated with reason for denial; </w:t>
      </w:r>
      <w:r w:rsidR="007823C3">
        <w:t>(</w:t>
      </w:r>
      <w:r>
        <w:t xml:space="preserve">2) removing burden associated with implementation of APIs; </w:t>
      </w:r>
      <w:r w:rsidR="007823C3">
        <w:t>(</w:t>
      </w:r>
      <w:r>
        <w:t xml:space="preserve">3) updating </w:t>
      </w:r>
      <w:r w:rsidR="00564BA7">
        <w:t>burden associated with reporting Patient Access API usage metrics and prior authorization metrics for non-drug items and services</w:t>
      </w:r>
      <w:r>
        <w:t xml:space="preserve"> to 341 respondents; and </w:t>
      </w:r>
      <w:r w:rsidR="007823C3">
        <w:t>(</w:t>
      </w:r>
      <w:r>
        <w:t xml:space="preserve">4) the addition of new proposed collections. </w:t>
      </w:r>
    </w:p>
    <w:p w:rsidR="00C72132" w:rsidRPr="00C72132" w:rsidP="00E56BB2" w14:paraId="6AD120A9" w14:textId="2F141401">
      <w:pPr>
        <w:pStyle w:val="BodyText"/>
        <w:ind w:left="720"/>
      </w:pPr>
      <w:r>
        <w:t xml:space="preserve">The previous version of this Supporting Statement contained a duplicative reference </w:t>
      </w:r>
      <w:r w:rsidR="00F07D82">
        <w:t xml:space="preserve">to the </w:t>
      </w:r>
      <w:r w:rsidRPr="00C72132">
        <w:t xml:space="preserve">burden </w:t>
      </w:r>
      <w:r w:rsidRPr="00C72132">
        <w:t>estimates for</w:t>
      </w:r>
      <w:r>
        <w:t xml:space="preserve"> the </w:t>
      </w:r>
      <w:r w:rsidRPr="00DA2640" w:rsidR="00DA2640">
        <w:t xml:space="preserve">Merit-based Incentive Payment System </w:t>
      </w:r>
      <w:r w:rsidR="00DA2640">
        <w:t>(</w:t>
      </w:r>
      <w:r>
        <w:t>MIPS</w:t>
      </w:r>
      <w:r w:rsidR="00DA2640">
        <w:t>)</w:t>
      </w:r>
      <w:r>
        <w:t xml:space="preserve"> and </w:t>
      </w:r>
      <w:r w:rsidRPr="00C72132">
        <w:t xml:space="preserve">eligible hospitals </w:t>
      </w:r>
      <w:r>
        <w:t xml:space="preserve">and </w:t>
      </w:r>
      <w:r w:rsidRPr="00C056CD" w:rsidR="00C056CD">
        <w:t xml:space="preserve">critical access hospital </w:t>
      </w:r>
      <w:r w:rsidR="008E2D39">
        <w:t>(</w:t>
      </w:r>
      <w:r>
        <w:t>CAH</w:t>
      </w:r>
      <w:r w:rsidR="008E2D39">
        <w:t>)</w:t>
      </w:r>
      <w:r>
        <w:t xml:space="preserve"> programs’</w:t>
      </w:r>
      <w:r w:rsidRPr="00C72132">
        <w:t xml:space="preserve"> Electronic Prior Authorization</w:t>
      </w:r>
      <w:r>
        <w:t xml:space="preserve"> measure, which</w:t>
      </w:r>
      <w:r w:rsidRPr="00C72132">
        <w:t xml:space="preserve"> </w:t>
      </w:r>
      <w:r>
        <w:t xml:space="preserve">was </w:t>
      </w:r>
      <w:r w:rsidRPr="00C72132">
        <w:t>captured under multiple approved OMB control numbers: 0938-1278 and</w:t>
      </w:r>
      <w:r>
        <w:t xml:space="preserve"> this collection</w:t>
      </w:r>
      <w:r w:rsidRPr="00C72132">
        <w:t xml:space="preserve"> 0938-1437. </w:t>
      </w:r>
      <w:r w:rsidR="00F07D82">
        <w:t xml:space="preserve">To address this duplication, </w:t>
      </w:r>
      <w:r w:rsidRPr="00C72132">
        <w:t xml:space="preserve">OMB control number 0938-1437 will no longer reference burden estimations for Electronic Prior Authorization for eligible hospitals and CAHs. All references and calculations </w:t>
      </w:r>
      <w:r w:rsidRPr="00C72132" w:rsidR="00F07D82">
        <w:t>are</w:t>
      </w:r>
      <w:r w:rsidRPr="00C72132">
        <w:t xml:space="preserve"> calculated and provided for under OMB control number 0938-1278.  </w:t>
      </w:r>
    </w:p>
    <w:p w:rsidR="00A529A1" w:rsidRPr="00F11E57" w:rsidP="005F3A9D" w14:paraId="697ED2CB" w14:textId="782A6BA1">
      <w:pPr>
        <w:pStyle w:val="Heading3"/>
        <w:ind w:left="720"/>
      </w:pPr>
      <w:r w:rsidRPr="00F11E57">
        <w:t>Publication/Tabulation Dates</w:t>
      </w:r>
    </w:p>
    <w:p w:rsidR="002E1B2E" w:rsidP="00F11E57" w14:paraId="594C450B" w14:textId="350B7F94">
      <w:pPr>
        <w:ind w:left="720"/>
      </w:pPr>
      <w:r>
        <w:t xml:space="preserve">CMS does not intend to publish any </w:t>
      </w:r>
      <w:r w:rsidR="00C25A83">
        <w:t>performance-based</w:t>
      </w:r>
      <w:r>
        <w:t xml:space="preserve"> reports about payer</w:t>
      </w:r>
      <w:r w:rsidR="007664C2">
        <w:t xml:space="preserve">s’ </w:t>
      </w:r>
      <w:r w:rsidR="00C25A83">
        <w:t xml:space="preserve">interoperability </w:t>
      </w:r>
      <w:r>
        <w:t>related information collections, including reports to CMS on Patient Access</w:t>
      </w:r>
      <w:r w:rsidR="007664C2">
        <w:t>, Provider Access, Payer-to-Payer, or Prior Authorization API</w:t>
      </w:r>
      <w:r w:rsidR="000750D1">
        <w:t xml:space="preserve"> </w:t>
      </w:r>
      <w:r>
        <w:t>us</w:t>
      </w:r>
      <w:r w:rsidR="00CD11FF">
        <w:t>age</w:t>
      </w:r>
      <w:r>
        <w:t xml:space="preserve"> </w:t>
      </w:r>
      <w:r w:rsidR="00AC6DFC">
        <w:t xml:space="preserve">metrics </w:t>
      </w:r>
      <w:r>
        <w:t xml:space="preserve">and public reports on prior authorization </w:t>
      </w:r>
      <w:r w:rsidR="00581DD0">
        <w:t>metrics for non-drug items and services and drugs</w:t>
      </w:r>
      <w:r>
        <w:t>.</w:t>
      </w:r>
    </w:p>
    <w:p w:rsidR="006834B3" w:rsidP="005F3A9D" w14:paraId="1085368E" w14:textId="2C7957DE">
      <w:pPr>
        <w:pStyle w:val="Heading3"/>
        <w:ind w:left="720"/>
      </w:pPr>
      <w:r w:rsidRPr="001D3825">
        <w:t>Expiration Date</w:t>
      </w:r>
    </w:p>
    <w:p w:rsidR="002603E5" w:rsidRPr="002603E5" w:rsidP="00AD52A8" w14:paraId="69369DBB" w14:textId="7334F7C9">
      <w:pPr>
        <w:pStyle w:val="BodyText"/>
        <w:spacing w:before="218"/>
        <w:ind w:left="720" w:right="134"/>
        <w:jc w:val="both"/>
      </w:pPr>
      <w:r w:rsidRPr="002603E5">
        <w:t>The Office of Healthcare Experience and Interoperability (OHEI) will provide the expiration date and OMB control number for applicable provisions of the PRA package on the top right of the relevant OHEI website pages when that information is provided by OMB.</w:t>
      </w:r>
    </w:p>
    <w:p w:rsidR="00A529A1" w:rsidRPr="001D3825" w:rsidP="005F3A9D" w14:paraId="230464C6" w14:textId="2FEEA834">
      <w:pPr>
        <w:pStyle w:val="Heading3"/>
        <w:ind w:left="720"/>
      </w:pPr>
      <w:r w:rsidRPr="001D3825">
        <w:t>Certification Statement</w:t>
      </w:r>
    </w:p>
    <w:p w:rsidR="00295EE4" w:rsidRPr="00295EE4" w:rsidP="00F11E57" w14:paraId="0A4D1426" w14:textId="5CBDEA50">
      <w:pPr>
        <w:tabs>
          <w:tab w:val="left" w:pos="432"/>
        </w:tabs>
        <w:spacing w:before="220"/>
        <w:ind w:left="720"/>
      </w:pPr>
      <w:r w:rsidRPr="00DE7993">
        <w:rPr>
          <w:rFonts w:ascii="Times New Roman" w:hAnsi="Times New Roman" w:cs="Times New Roman"/>
        </w:rPr>
        <w:t>There are no exceptions to the certification statement.</w:t>
      </w:r>
    </w:p>
    <w:p w:rsidR="00D14509" w:rsidP="00BE703B" w14:paraId="3B4078AE" w14:textId="0ACDEEA7">
      <w:pPr>
        <w:tabs>
          <w:tab w:val="left" w:pos="432"/>
        </w:tabs>
        <w:spacing w:before="220"/>
        <w:ind w:left="432"/>
      </w:pPr>
    </w:p>
    <w:sectPr w:rsidSect="00E36772">
      <w:endnotePr>
        <w:numFmt w:val="decimal"/>
      </w:endnotePr>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B4664" w:rsidP="00A529A1" w14:paraId="5C34DEBA" w14:textId="77777777">
      <w:pPr>
        <w:spacing w:after="0"/>
      </w:pPr>
      <w:r>
        <w:separator/>
      </w:r>
    </w:p>
  </w:endnote>
  <w:endnote w:type="continuationSeparator" w:id="1">
    <w:p w:rsidR="00DB4664" w:rsidP="00A529A1" w14:paraId="16557355" w14:textId="77777777">
      <w:pPr>
        <w:spacing w:after="0"/>
      </w:pPr>
      <w:r>
        <w:continuationSeparator/>
      </w:r>
    </w:p>
  </w:endnote>
  <w:endnote w:type="continuationNotice" w:id="2">
    <w:p w:rsidR="00DB4664" w14:paraId="28D64EA0"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7364916"/>
      <w:docPartObj>
        <w:docPartGallery w:val="Page Numbers (Bottom of Page)"/>
        <w:docPartUnique/>
      </w:docPartObj>
    </w:sdtPr>
    <w:sdtEndPr>
      <w:rPr>
        <w:rFonts w:ascii="Times New Roman" w:hAnsi="Times New Roman"/>
        <w:noProof/>
      </w:rPr>
    </w:sdtEndPr>
    <w:sdtContent>
      <w:p w:rsidR="00F17D52" w:rsidP="00045C62" w14:paraId="0C5C8C68" w14:textId="77777777">
        <w:pPr>
          <w:pStyle w:val="Footer"/>
          <w:jc w:val="center"/>
        </w:pPr>
        <w:r w:rsidRPr="00AE0AB5">
          <w:rPr>
            <w:rFonts w:ascii="Times New Roman" w:hAnsi="Times New Roman"/>
          </w:rPr>
          <w:fldChar w:fldCharType="begin"/>
        </w:r>
        <w:r w:rsidRPr="00AE0AB5">
          <w:rPr>
            <w:rFonts w:ascii="Times New Roman" w:hAnsi="Times New Roman"/>
          </w:rPr>
          <w:instrText xml:space="preserve"> PAGE   \* MERGEFORMAT </w:instrText>
        </w:r>
        <w:r w:rsidRPr="00AE0AB5">
          <w:rPr>
            <w:rFonts w:ascii="Times New Roman" w:hAnsi="Times New Roman"/>
          </w:rPr>
          <w:fldChar w:fldCharType="separate"/>
        </w:r>
        <w:r w:rsidRPr="00AE0AB5">
          <w:rPr>
            <w:rFonts w:ascii="Times New Roman" w:hAnsi="Times New Roman"/>
            <w:noProof/>
          </w:rPr>
          <w:t>2</w:t>
        </w:r>
        <w:r w:rsidRPr="00AE0AB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4664" w:rsidP="00BE703B" w14:paraId="20F7D58D" w14:textId="77777777">
      <w:pPr>
        <w:spacing w:before="0" w:after="0"/>
      </w:pPr>
      <w:r>
        <w:separator/>
      </w:r>
    </w:p>
  </w:footnote>
  <w:footnote w:type="continuationSeparator" w:id="1">
    <w:p w:rsidR="00DB4664" w:rsidP="00BE703B" w14:paraId="45F3F555" w14:textId="77777777">
      <w:pPr>
        <w:spacing w:before="0" w:after="0"/>
      </w:pPr>
      <w:r>
        <w:continuationSeparator/>
      </w:r>
    </w:p>
  </w:footnote>
  <w:footnote w:type="continuationNotice" w:id="2">
    <w:p w:rsidR="00DB4664" w14:paraId="12104BEF" w14:textId="77777777">
      <w:pPr>
        <w:spacing w:after="0"/>
      </w:pPr>
    </w:p>
  </w:footnote>
  <w:footnote w:id="3">
    <w:p w:rsidR="00FF34A3" w:rsidP="00670D80" w14:paraId="7BBE440C" w14:textId="001DB9F3">
      <w:pPr>
        <w:pStyle w:val="FootnoteText"/>
        <w:spacing w:before="0"/>
      </w:pPr>
      <w:r w:rsidRPr="001860E3">
        <w:rPr>
          <w:rStyle w:val="FootnoteReference"/>
          <w:vertAlign w:val="superscript"/>
        </w:rPr>
        <w:footnoteRef/>
      </w:r>
      <w:r>
        <w:t xml:space="preserve"> </w:t>
      </w:r>
      <w:r w:rsidRPr="00273BA1">
        <w:t xml:space="preserve">Payers impacted by </w:t>
      </w:r>
      <w:r>
        <w:t xml:space="preserve">the 2020 </w:t>
      </w:r>
      <w:r w:rsidRPr="00273BA1">
        <w:t xml:space="preserve">CMS Interoperability and </w:t>
      </w:r>
      <w:r w:rsidR="001860E3">
        <w:t xml:space="preserve">Patient Access final </w:t>
      </w:r>
      <w:r w:rsidRPr="00273BA1">
        <w:t xml:space="preserve">rule include Medicare Advantage (MA) organizations; state Medicaid and Children’s Health Insurance Program (CHIP) </w:t>
      </w:r>
      <w:r w:rsidR="00CC02A2">
        <w:t>f</w:t>
      </w:r>
      <w:r w:rsidRPr="00273BA1">
        <w:t>ee-for-</w:t>
      </w:r>
      <w:r w:rsidR="00CC02A2">
        <w:t>s</w:t>
      </w:r>
      <w:r w:rsidRPr="00273BA1">
        <w:t xml:space="preserve">ervice (FFS) programs; Medicaid managed care plans; CHIP managed care entities; and issuers that offer individual market QHPs on the </w:t>
      </w:r>
      <w:r w:rsidR="008C1BE0">
        <w:t>Federally</w:t>
      </w:r>
      <w:r w:rsidR="009E2D70">
        <w:t>-f</w:t>
      </w:r>
      <w:r w:rsidR="008C1BE0">
        <w:t>acilitated Exchange</w:t>
      </w:r>
      <w:r w:rsidRPr="00AF5A12" w:rsidR="008C1BE0">
        <w:t>s</w:t>
      </w:r>
      <w:r w:rsidRPr="00273BA1" w:rsidR="008C1BE0">
        <w:t xml:space="preserve"> </w:t>
      </w:r>
      <w:r w:rsidR="003C7CF5">
        <w:t>(</w:t>
      </w:r>
      <w:r w:rsidRPr="00273BA1">
        <w:t>FFEs</w:t>
      </w:r>
      <w:r w:rsidR="003C7CF5">
        <w:t>)</w:t>
      </w:r>
      <w:r w:rsidRPr="00273BA1">
        <w:t xml:space="preserve"> (individual market QHP issuers</w:t>
      </w:r>
      <w:r w:rsidR="0022443A">
        <w:t xml:space="preserve"> on the FFEs</w:t>
      </w:r>
      <w:r w:rsidR="00875934">
        <w:t>)</w:t>
      </w:r>
      <w:r w:rsidRPr="00273BA1">
        <w:t>.</w:t>
      </w:r>
    </w:p>
  </w:footnote>
  <w:footnote w:id="4">
    <w:p w:rsidR="00937677" w:rsidP="00670D80" w14:paraId="4FAAA5CB" w14:textId="52D7AF88">
      <w:pPr>
        <w:pStyle w:val="FootnoteText"/>
        <w:spacing w:before="0"/>
      </w:pPr>
      <w:r w:rsidRPr="00513187">
        <w:rPr>
          <w:rStyle w:val="FootnoteReference"/>
          <w:vertAlign w:val="superscript"/>
        </w:rPr>
        <w:footnoteRef/>
      </w:r>
      <w:r>
        <w:t xml:space="preserve"> </w:t>
      </w:r>
      <w:r w:rsidR="004C3B8E">
        <w:t xml:space="preserve">The same payers impacted by </w:t>
      </w:r>
      <w:r w:rsidR="000B6133">
        <w:t>t</w:t>
      </w:r>
      <w:r w:rsidR="003B51EF">
        <w:t xml:space="preserve">he </w:t>
      </w:r>
      <w:r w:rsidR="004C3B8E">
        <w:t>2020 CMS Interoperability and Patient Access final rule</w:t>
      </w:r>
      <w:r w:rsidR="000B6133">
        <w:t xml:space="preserve"> are also impacted by the 2024 CMS Interoperability and Prior Authorization final rule</w:t>
      </w:r>
      <w:r w:rsidR="004C3B8E">
        <w:t>.</w:t>
      </w:r>
    </w:p>
  </w:footnote>
  <w:footnote w:id="5">
    <w:p w:rsidR="002A1FCD" w:rsidRPr="007C156A" w:rsidP="00670D80" w14:paraId="034BEE3F" w14:textId="46869F2E">
      <w:pPr>
        <w:pStyle w:val="FootnoteText"/>
        <w:spacing w:before="0"/>
      </w:pPr>
      <w:r w:rsidRPr="00F11E57">
        <w:rPr>
          <w:rStyle w:val="FootnoteReference"/>
          <w:vertAlign w:val="superscript"/>
        </w:rPr>
        <w:footnoteRef/>
      </w:r>
      <w:r w:rsidRPr="007C156A">
        <w:t xml:space="preserve"> Payers impacted by the </w:t>
      </w:r>
      <w:r w:rsidR="00393FB1">
        <w:t>2026</w:t>
      </w:r>
      <w:r w:rsidRPr="007C156A">
        <w:t xml:space="preserve"> CMS Interoperability </w:t>
      </w:r>
      <w:r w:rsidR="00393FB1">
        <w:t xml:space="preserve">Standards </w:t>
      </w:r>
      <w:r w:rsidRPr="007C156A">
        <w:t xml:space="preserve">and Prior Authorization </w:t>
      </w:r>
      <w:r w:rsidR="00762301">
        <w:t xml:space="preserve">for Drugs </w:t>
      </w:r>
      <w:r w:rsidRPr="007C156A">
        <w:t xml:space="preserve">proposed rule include MA organizations; state Medicaid and CHIP FFS programs; Medicaid managed care plans; CHIP managed care entities; and QHP issuers on the FFEs, which include both individual market QHP issuers </w:t>
      </w:r>
      <w:r w:rsidR="0022443A">
        <w:t xml:space="preserve">on the FFEs </w:t>
      </w:r>
      <w:r w:rsidRPr="007C156A">
        <w:t>and</w:t>
      </w:r>
      <w:r w:rsidRPr="007C156A" w:rsidR="00D07A33">
        <w:t xml:space="preserve"> </w:t>
      </w:r>
      <w:r w:rsidRPr="00F11E57" w:rsidR="00D07A33">
        <w:rPr>
          <w:rFonts w:ascii="Times New Roman" w:hAnsi="Times New Roman"/>
        </w:rPr>
        <w:t xml:space="preserve">issuers that offer small group market QHPs on </w:t>
      </w:r>
      <w:r w:rsidRPr="00F11E57" w:rsidR="00D07A33">
        <w:rPr>
          <w:rFonts w:ascii="Times New Roman" w:hAnsi="Times New Roman"/>
        </w:rPr>
        <w:t xml:space="preserve">the </w:t>
      </w:r>
      <w:r w:rsidRPr="007C156A" w:rsidR="007C156A">
        <w:t>Federally-facilitated Small Business Health Options Program</w:t>
      </w:r>
      <w:r w:rsidR="004541EE">
        <w:t>s</w:t>
      </w:r>
      <w:r w:rsidRPr="007C156A" w:rsidR="007C156A">
        <w:t xml:space="preserve"> (</w:t>
      </w:r>
      <w:r w:rsidRPr="00F11E57" w:rsidR="00D07A33">
        <w:rPr>
          <w:rFonts w:ascii="Times New Roman" w:hAnsi="Times New Roman"/>
        </w:rPr>
        <w:t>FF-SHOP</w:t>
      </w:r>
      <w:r w:rsidR="00C779F1">
        <w:rPr>
          <w:rFonts w:ascii="Times New Roman" w:hAnsi="Times New Roman"/>
        </w:rPr>
        <w:t>s</w:t>
      </w:r>
      <w:r w:rsidRPr="007C156A" w:rsidR="007C156A">
        <w:rPr>
          <w:rFonts w:ascii="Times New Roman" w:hAnsi="Times New Roman"/>
        </w:rPr>
        <w:t>)</w:t>
      </w:r>
      <w:r w:rsidRPr="00F11E57" w:rsidR="00D07A33">
        <w:rPr>
          <w:rFonts w:ascii="Times New Roman" w:hAnsi="Times New Roman"/>
        </w:rPr>
        <w:t xml:space="preserve"> (small group market QHP issuers</w:t>
      </w:r>
      <w:r w:rsidR="0022443A">
        <w:rPr>
          <w:rFonts w:ascii="Times New Roman" w:hAnsi="Times New Roman"/>
        </w:rPr>
        <w:t xml:space="preserve"> on the </w:t>
      </w:r>
      <w:r w:rsidR="00EF2AC7">
        <w:rPr>
          <w:rFonts w:ascii="Times New Roman" w:hAnsi="Times New Roman"/>
        </w:rPr>
        <w:t>FF-SHOPs)</w:t>
      </w:r>
      <w:r w:rsidR="0059198E">
        <w:rPr>
          <w:rFonts w:ascii="Times New Roman" w:hAnsi="Times New Roman"/>
        </w:rPr>
        <w:t>.</w:t>
      </w:r>
      <w:r w:rsidRPr="00F11E57" w:rsidR="00D07A33">
        <w:rPr>
          <w:rFonts w:ascii="Times New Roman" w:hAnsi="Times New Roman"/>
        </w:rPr>
        <w:t xml:space="preserve"> </w:t>
      </w:r>
    </w:p>
  </w:footnote>
  <w:footnote w:id="6">
    <w:p w:rsidR="00880A9C" w:rsidRPr="004F637F" w:rsidP="00A8153E" w14:paraId="355E65FB" w14:textId="318E45F4">
      <w:pPr>
        <w:pStyle w:val="FootnoteText"/>
        <w:spacing w:before="0"/>
        <w:rPr>
          <w:vertAlign w:val="superscript"/>
        </w:rPr>
      </w:pPr>
      <w:r w:rsidRPr="004F637F">
        <w:rPr>
          <w:rStyle w:val="FootnoteReference"/>
          <w:vertAlign w:val="superscript"/>
        </w:rPr>
        <w:footnoteRef/>
      </w:r>
      <w:r w:rsidRPr="004F637F">
        <w:rPr>
          <w:vertAlign w:val="superscript"/>
        </w:rPr>
        <w:t xml:space="preserve"> </w:t>
      </w:r>
      <w:r w:rsidR="00A95110">
        <w:t xml:space="preserve">Medicaid managed care plans and CHIP managed care entities would be required to report </w:t>
      </w:r>
      <w:r w:rsidR="00816ADC">
        <w:t>to states.</w:t>
      </w:r>
    </w:p>
  </w:footnote>
  <w:footnote w:id="7">
    <w:p w:rsidR="00683CB7" w:rsidRPr="002603E5" w:rsidP="002301A0" w14:paraId="2E287653" w14:textId="035A95BE">
      <w:pPr>
        <w:spacing w:before="0" w:after="0"/>
        <w:rPr>
          <w:sz w:val="20"/>
          <w:szCs w:val="20"/>
        </w:rPr>
      </w:pPr>
      <w:r w:rsidRPr="00520A25">
        <w:rPr>
          <w:rStyle w:val="FootnoteReference"/>
          <w:sz w:val="20"/>
          <w:szCs w:val="20"/>
          <w:vertAlign w:val="superscript"/>
        </w:rPr>
        <w:footnoteRef/>
      </w:r>
      <w:r w:rsidRPr="00520A25">
        <w:rPr>
          <w:sz w:val="20"/>
          <w:szCs w:val="20"/>
          <w:vertAlign w:val="superscript"/>
        </w:rPr>
        <w:t xml:space="preserve"> </w:t>
      </w:r>
      <w:r w:rsidRPr="00520A25">
        <w:rPr>
          <w:sz w:val="20"/>
          <w:szCs w:val="20"/>
        </w:rPr>
        <w:t>For</w:t>
      </w:r>
      <w:r w:rsidRPr="00520A25">
        <w:rPr>
          <w:spacing w:val="-3"/>
          <w:sz w:val="20"/>
          <w:szCs w:val="20"/>
        </w:rPr>
        <w:t xml:space="preserve"> </w:t>
      </w:r>
      <w:r w:rsidRPr="00520A25">
        <w:rPr>
          <w:sz w:val="20"/>
          <w:szCs w:val="20"/>
        </w:rPr>
        <w:t>purpose</w:t>
      </w:r>
      <w:r w:rsidRPr="002603E5">
        <w:rPr>
          <w:sz w:val="20"/>
          <w:szCs w:val="20"/>
        </w:rPr>
        <w:t>s</w:t>
      </w:r>
      <w:r w:rsidRPr="002603E5">
        <w:rPr>
          <w:spacing w:val="-3"/>
          <w:sz w:val="20"/>
          <w:szCs w:val="20"/>
        </w:rPr>
        <w:t xml:space="preserve"> </w:t>
      </w:r>
      <w:r w:rsidRPr="002603E5">
        <w:rPr>
          <w:sz w:val="20"/>
          <w:szCs w:val="20"/>
        </w:rPr>
        <w:t>of</w:t>
      </w:r>
      <w:r w:rsidRPr="002603E5">
        <w:rPr>
          <w:spacing w:val="-3"/>
          <w:sz w:val="20"/>
          <w:szCs w:val="20"/>
        </w:rPr>
        <w:t xml:space="preserve"> </w:t>
      </w:r>
      <w:r w:rsidRPr="002603E5">
        <w:rPr>
          <w:sz w:val="20"/>
          <w:szCs w:val="20"/>
        </w:rPr>
        <w:t>the</w:t>
      </w:r>
      <w:r w:rsidRPr="002603E5">
        <w:rPr>
          <w:spacing w:val="-2"/>
          <w:sz w:val="20"/>
          <w:szCs w:val="20"/>
        </w:rPr>
        <w:t xml:space="preserve"> </w:t>
      </w:r>
      <w:r w:rsidRPr="002603E5">
        <w:rPr>
          <w:sz w:val="20"/>
          <w:szCs w:val="20"/>
        </w:rPr>
        <w:t>RFA,</w:t>
      </w:r>
      <w:r w:rsidRPr="002603E5">
        <w:rPr>
          <w:spacing w:val="-3"/>
          <w:sz w:val="20"/>
          <w:szCs w:val="20"/>
        </w:rPr>
        <w:t xml:space="preserve"> </w:t>
      </w:r>
      <w:r w:rsidRPr="002603E5">
        <w:rPr>
          <w:sz w:val="20"/>
          <w:szCs w:val="20"/>
        </w:rPr>
        <w:t>small</w:t>
      </w:r>
      <w:r w:rsidRPr="002603E5">
        <w:rPr>
          <w:spacing w:val="-3"/>
          <w:sz w:val="20"/>
          <w:szCs w:val="20"/>
        </w:rPr>
        <w:t xml:space="preserve"> </w:t>
      </w:r>
      <w:r w:rsidRPr="002603E5">
        <w:rPr>
          <w:sz w:val="20"/>
          <w:szCs w:val="20"/>
        </w:rPr>
        <w:t>entities</w:t>
      </w:r>
      <w:r w:rsidRPr="002603E5">
        <w:rPr>
          <w:spacing w:val="-2"/>
          <w:sz w:val="20"/>
          <w:szCs w:val="20"/>
        </w:rPr>
        <w:t xml:space="preserve"> </w:t>
      </w:r>
      <w:r w:rsidRPr="002603E5">
        <w:rPr>
          <w:sz w:val="20"/>
          <w:szCs w:val="20"/>
        </w:rPr>
        <w:t>include</w:t>
      </w:r>
      <w:r w:rsidRPr="002603E5">
        <w:rPr>
          <w:spacing w:val="-3"/>
          <w:sz w:val="20"/>
          <w:szCs w:val="20"/>
        </w:rPr>
        <w:t xml:space="preserve"> </w:t>
      </w:r>
      <w:r w:rsidRPr="002603E5">
        <w:rPr>
          <w:sz w:val="20"/>
          <w:szCs w:val="20"/>
        </w:rPr>
        <w:t>small</w:t>
      </w:r>
      <w:r w:rsidRPr="002603E5">
        <w:rPr>
          <w:spacing w:val="-3"/>
          <w:sz w:val="20"/>
          <w:szCs w:val="20"/>
        </w:rPr>
        <w:t xml:space="preserve"> </w:t>
      </w:r>
      <w:r w:rsidRPr="002603E5">
        <w:rPr>
          <w:sz w:val="20"/>
          <w:szCs w:val="20"/>
        </w:rPr>
        <w:t>businesses,</w:t>
      </w:r>
      <w:r w:rsidRPr="002603E5">
        <w:rPr>
          <w:spacing w:val="-3"/>
          <w:sz w:val="20"/>
          <w:szCs w:val="20"/>
        </w:rPr>
        <w:t xml:space="preserve"> </w:t>
      </w:r>
      <w:r w:rsidRPr="002603E5">
        <w:rPr>
          <w:sz w:val="20"/>
          <w:szCs w:val="20"/>
        </w:rPr>
        <w:t>nonprofit</w:t>
      </w:r>
      <w:r w:rsidRPr="002603E5">
        <w:rPr>
          <w:spacing w:val="-4"/>
          <w:sz w:val="20"/>
          <w:szCs w:val="20"/>
        </w:rPr>
        <w:t xml:space="preserve"> </w:t>
      </w:r>
      <w:r w:rsidRPr="002603E5">
        <w:rPr>
          <w:sz w:val="20"/>
          <w:szCs w:val="20"/>
        </w:rPr>
        <w:t>organizations,</w:t>
      </w:r>
      <w:r w:rsidRPr="002603E5">
        <w:rPr>
          <w:spacing w:val="-3"/>
          <w:sz w:val="20"/>
          <w:szCs w:val="20"/>
        </w:rPr>
        <w:t xml:space="preserve"> </w:t>
      </w:r>
      <w:r w:rsidRPr="002603E5">
        <w:rPr>
          <w:sz w:val="20"/>
          <w:szCs w:val="20"/>
        </w:rPr>
        <w:t>and</w:t>
      </w:r>
      <w:r w:rsidRPr="002603E5">
        <w:rPr>
          <w:spacing w:val="-1"/>
          <w:sz w:val="20"/>
          <w:szCs w:val="20"/>
        </w:rPr>
        <w:t xml:space="preserve"> </w:t>
      </w:r>
      <w:r w:rsidRPr="002603E5">
        <w:rPr>
          <w:sz w:val="20"/>
          <w:szCs w:val="20"/>
        </w:rPr>
        <w:t>small</w:t>
      </w:r>
      <w:r w:rsidRPr="002603E5">
        <w:rPr>
          <w:spacing w:val="-3"/>
          <w:sz w:val="20"/>
          <w:szCs w:val="20"/>
        </w:rPr>
        <w:t xml:space="preserve"> </w:t>
      </w:r>
      <w:r w:rsidRPr="002603E5">
        <w:rPr>
          <w:sz w:val="20"/>
          <w:szCs w:val="20"/>
        </w:rPr>
        <w:t xml:space="preserve">government </w:t>
      </w:r>
      <w:r w:rsidRPr="002603E5">
        <w:rPr>
          <w:spacing w:val="-2"/>
          <w:sz w:val="20"/>
          <w:szCs w:val="20"/>
        </w:rPr>
        <w:t>jurisdictions.</w:t>
      </w:r>
    </w:p>
  </w:footnote>
  <w:footnote w:id="8">
    <w:p w:rsidR="001A2A87" w:rsidRPr="002603E5" w:rsidP="00670D80" w14:paraId="429A8D45" w14:textId="079D3762">
      <w:pPr>
        <w:pStyle w:val="FootnoteText"/>
        <w:spacing w:before="0"/>
      </w:pPr>
      <w:r w:rsidRPr="002603E5">
        <w:rPr>
          <w:rStyle w:val="FootnoteReference"/>
          <w:vertAlign w:val="superscript"/>
        </w:rPr>
        <w:footnoteRef/>
      </w:r>
      <w:r w:rsidRPr="002603E5">
        <w:rPr>
          <w:vertAlign w:val="superscript"/>
        </w:rPr>
        <w:t xml:space="preserve"> </w:t>
      </w:r>
      <w:r w:rsidRPr="002603E5">
        <w:rPr>
          <w:i/>
        </w:rPr>
        <w:t>See</w:t>
      </w:r>
      <w:r w:rsidRPr="002603E5">
        <w:t xml:space="preserve"> 89 FR 8758 and</w:t>
      </w:r>
      <w:r w:rsidR="002603E5">
        <w:t xml:space="preserve"> 91</w:t>
      </w:r>
      <w:r w:rsidRPr="002603E5">
        <w:t xml:space="preserve"> FR </w:t>
      </w:r>
      <w:r w:rsidRPr="002603E5" w:rsidR="002603E5">
        <w:t>20041</w:t>
      </w:r>
      <w:r w:rsidRPr="002603E5" w:rsidR="00AA64FF">
        <w:t>.</w:t>
      </w:r>
    </w:p>
  </w:footnote>
  <w:footnote w:id="9">
    <w:p w:rsidR="00617528" w:rsidRPr="002301A0" w:rsidP="002301A0" w14:paraId="3F5E5011" w14:textId="34F5C500">
      <w:pPr>
        <w:pStyle w:val="FootnoteText"/>
        <w:spacing w:before="0"/>
        <w:rPr>
          <w:vertAlign w:val="superscript"/>
        </w:rPr>
      </w:pPr>
      <w:r w:rsidRPr="002603E5">
        <w:rPr>
          <w:rStyle w:val="FootnoteReference"/>
          <w:vertAlign w:val="superscript"/>
        </w:rPr>
        <w:footnoteRef/>
      </w:r>
      <w:r w:rsidRPr="002603E5">
        <w:rPr>
          <w:vertAlign w:val="superscript"/>
        </w:rPr>
        <w:t xml:space="preserve"> </w:t>
      </w:r>
      <w:r w:rsidRPr="002603E5">
        <w:rPr>
          <w:rFonts w:ascii="Times New Roman" w:hAnsi="Times New Roman"/>
          <w:i/>
        </w:rPr>
        <w:t>See</w:t>
      </w:r>
      <w:r w:rsidRPr="002603E5">
        <w:t xml:space="preserve"> 89 FR 8784 and 8879 and</w:t>
      </w:r>
      <w:r w:rsidR="002603E5">
        <w:t xml:space="preserve"> 91</w:t>
      </w:r>
      <w:r w:rsidRPr="002603E5">
        <w:t xml:space="preserve"> FR </w:t>
      </w:r>
      <w:r w:rsidRPr="002603E5" w:rsidR="002603E5">
        <w:t>19940</w:t>
      </w:r>
      <w:r w:rsidR="002603E5">
        <w:t xml:space="preserve"> </w:t>
      </w:r>
      <w:r w:rsidRPr="002603E5">
        <w:t xml:space="preserve">and </w:t>
      </w:r>
      <w:r w:rsidRPr="002603E5" w:rsidR="002603E5">
        <w:t>1994</w:t>
      </w:r>
      <w:r w:rsidR="002603E5">
        <w:t xml:space="preserve">2. </w:t>
      </w:r>
    </w:p>
  </w:footnote>
  <w:footnote w:id="10">
    <w:p w:rsidR="00D53C3C" w:rsidP="00670D80" w14:paraId="459ECD98" w14:textId="0DE6B456">
      <w:pPr>
        <w:pStyle w:val="FootnoteText"/>
        <w:spacing w:before="0"/>
        <w:contextualSpacing/>
      </w:pPr>
      <w:r w:rsidRPr="00F11E57">
        <w:rPr>
          <w:rStyle w:val="FootnoteReference"/>
          <w:vertAlign w:val="superscript"/>
        </w:rPr>
        <w:footnoteRef/>
      </w:r>
      <w:r w:rsidRPr="00F11E57">
        <w:rPr>
          <w:vertAlign w:val="superscript"/>
        </w:rPr>
        <w:t xml:space="preserve"> </w:t>
      </w:r>
      <w:r>
        <w:t xml:space="preserve">The </w:t>
      </w:r>
      <w:r w:rsidR="00393FB1">
        <w:t>2026</w:t>
      </w:r>
      <w:r>
        <w:t xml:space="preserve"> CMS Interoperability </w:t>
      </w:r>
      <w:r w:rsidR="00393FB1">
        <w:t xml:space="preserve">Standards </w:t>
      </w:r>
      <w:r>
        <w:t xml:space="preserve">and Prior Authorization for Drugs </w:t>
      </w:r>
      <w:r w:rsidRPr="00CC079E">
        <w:t>proposed rule would also require small group market QHP issuers</w:t>
      </w:r>
      <w:r w:rsidR="0022443A">
        <w:t xml:space="preserve"> on the </w:t>
      </w:r>
      <w:r w:rsidR="007724AD">
        <w:t>FF-SHOPs</w:t>
      </w:r>
      <w:r w:rsidRPr="00CC079E" w:rsidR="007724AD">
        <w:t xml:space="preserve"> </w:t>
      </w:r>
      <w:r w:rsidRPr="00CC079E">
        <w:t>to report metrics on the use of the Patient Access API. However, CMS determined that the burden for these information collections for payers impacted under the 2024 CMS Interoperability and Prior Authorization final rule would not increase due to this proposal.</w:t>
      </w:r>
    </w:p>
  </w:footnote>
  <w:footnote w:id="11">
    <w:p w:rsidR="003C3F6D" w:rsidRPr="00443B4C" w:rsidP="003C3F6D" w14:paraId="4B0EB2A6" w14:textId="073B7B3D">
      <w:pPr>
        <w:pStyle w:val="FootnoteText"/>
        <w:contextualSpacing/>
        <w:rPr>
          <w:vertAlign w:val="superscript"/>
        </w:rPr>
      </w:pPr>
      <w:r w:rsidRPr="00443B4C">
        <w:rPr>
          <w:rStyle w:val="FootnoteReference"/>
          <w:vertAlign w:val="superscript"/>
        </w:rPr>
        <w:footnoteRef/>
      </w:r>
      <w:r w:rsidRPr="00443B4C">
        <w:rPr>
          <w:vertAlign w:val="superscript"/>
        </w:rPr>
        <w:t xml:space="preserve"> </w:t>
      </w:r>
      <w:r>
        <w:t>If finalized, the 2026 CMS Interoperability Standards and Prior Authorization for Drugs proposed rule would require Medicaid managed care plans and CHIP managed care entities to report the Patient Access API usage metrics finalized in the 2024 CMS Interoperability and Prior Authorization final rule at both the plan and program level.</w:t>
      </w:r>
    </w:p>
  </w:footnote>
  <w:footnote w:id="12">
    <w:p w:rsidR="00CD5311" w:rsidP="002301A0" w14:paraId="5EAFB726" w14:textId="4B93B010">
      <w:pPr>
        <w:pStyle w:val="FootnoteText"/>
        <w:spacing w:before="0"/>
      </w:pPr>
      <w:r w:rsidRPr="00CD5311">
        <w:rPr>
          <w:rStyle w:val="FootnoteReference"/>
          <w:vertAlign w:val="superscript"/>
        </w:rPr>
        <w:footnoteRef/>
      </w:r>
      <w:r w:rsidRPr="00CD5311">
        <w:rPr>
          <w:vertAlign w:val="superscript"/>
        </w:rPr>
        <w:t xml:space="preserve"> </w:t>
      </w:r>
      <w:r>
        <w:t xml:space="preserve">This is the total aggregate burden of the provisions and proposals included in the 2024 CMS Interoperability and Prior Authorization final rule and </w:t>
      </w:r>
      <w:r w:rsidR="00393FB1">
        <w:t>2026</w:t>
      </w:r>
      <w:r>
        <w:t xml:space="preserve"> CMS Interoperability </w:t>
      </w:r>
      <w:r w:rsidR="00393FB1">
        <w:t xml:space="preserve">Standards </w:t>
      </w:r>
      <w:r>
        <w:t xml:space="preserve">and Prior Authorization for Drugs </w:t>
      </w:r>
      <w:r w:rsidRPr="00CC079E">
        <w:t>proposed rule</w:t>
      </w:r>
      <w:r>
        <w:t>. Note</w:t>
      </w:r>
      <w:r w:rsidR="007641AF">
        <w:t>,</w:t>
      </w:r>
      <w:r>
        <w:t xml:space="preserve"> the </w:t>
      </w:r>
      <w:r w:rsidR="007641AF">
        <w:t>first-year</w:t>
      </w:r>
      <w:r>
        <w:t xml:space="preserve"> one-time costs start in different calendar years for each rule based on the finalized and proposed compliance dates</w:t>
      </w:r>
      <w:r w:rsidR="00B4778A">
        <w:t>,</w:t>
      </w:r>
      <w:r>
        <w:t xml:space="preserve"> </w:t>
      </w:r>
      <w:r w:rsidRPr="00CD5311">
        <w:t>and the burden will eventually be satisfied.</w:t>
      </w:r>
    </w:p>
  </w:footnote>
  <w:footnote w:id="13">
    <w:p w:rsidR="00BE3600" w:rsidP="009B2D4B" w14:paraId="17CF7588" w14:textId="759B2ABC">
      <w:pPr>
        <w:pStyle w:val="FootnoteText"/>
        <w:spacing w:before="0"/>
        <w:contextualSpacing/>
      </w:pPr>
      <w:r w:rsidRPr="009B2D4B">
        <w:rPr>
          <w:rStyle w:val="FootnoteReference"/>
          <w:vertAlign w:val="superscript"/>
        </w:rPr>
        <w:footnoteRef/>
      </w:r>
      <w:r w:rsidRPr="009B2D4B">
        <w:rPr>
          <w:vertAlign w:val="superscript"/>
        </w:rPr>
        <w:t xml:space="preserve"> </w:t>
      </w:r>
      <w:r>
        <w:t xml:space="preserve">The </w:t>
      </w:r>
      <w:r w:rsidR="00393FB1">
        <w:t>2026</w:t>
      </w:r>
      <w:r>
        <w:t xml:space="preserve"> CMS Interoperability </w:t>
      </w:r>
      <w:r w:rsidR="00393FB1">
        <w:t xml:space="preserve">Standards </w:t>
      </w:r>
      <w:r>
        <w:t xml:space="preserve">and Prior Authorization for Drugs </w:t>
      </w:r>
      <w:r w:rsidRPr="00CC079E">
        <w:t>proposed rule would also require small group market QHP issuers</w:t>
      </w:r>
      <w:r w:rsidR="0022443A">
        <w:t xml:space="preserve"> on the </w:t>
      </w:r>
      <w:r w:rsidR="007724AD">
        <w:t>FF-SHOPs</w:t>
      </w:r>
      <w:r w:rsidRPr="00CC079E" w:rsidR="007724AD">
        <w:t xml:space="preserve"> </w:t>
      </w:r>
      <w:r w:rsidRPr="00CC079E">
        <w:t>to report metrics on the use of the Patient Access API and on prior authorization metrics for non-drug items and services. However, CMS determined that the burden for these information collections for payers impacted under the 2024 CMS Interoperability and Prior Authorization final rule would not increase due to this proposal.</w:t>
      </w:r>
    </w:p>
  </w:footnote>
  <w:footnote w:id="14">
    <w:p w:rsidR="00513E37" w:rsidRPr="00443B4C" w:rsidP="00513E37" w14:paraId="40DA621C" w14:textId="234C910C">
      <w:pPr>
        <w:pStyle w:val="FootnoteText"/>
        <w:contextualSpacing/>
        <w:rPr>
          <w:vertAlign w:val="superscript"/>
        </w:rPr>
      </w:pPr>
      <w:r w:rsidRPr="00443B4C">
        <w:rPr>
          <w:rStyle w:val="FootnoteReference"/>
          <w:vertAlign w:val="superscript"/>
        </w:rPr>
        <w:footnoteRef/>
      </w:r>
      <w:r w:rsidRPr="00443B4C">
        <w:rPr>
          <w:vertAlign w:val="superscript"/>
        </w:rPr>
        <w:t xml:space="preserve"> </w:t>
      </w:r>
      <w:r>
        <w:t xml:space="preserve">If finalized, the 2026 CMS Interoperability Standards and Prior Authorization for Drugs proposed rule would require Medicaid managed care plans and CHIP managed care entities to report the </w:t>
      </w:r>
      <w:r w:rsidR="003C3F6D">
        <w:t>prior authorization metrics on non-drug items and services</w:t>
      </w:r>
      <w:r>
        <w:t xml:space="preserve"> finalized in the 2024 CMS Interoperability and Prior Authorization final rule at both the plan and program level.</w:t>
      </w:r>
    </w:p>
  </w:footnote>
  <w:footnote w:id="15">
    <w:p w:rsidR="00D124E9" w:rsidRPr="00EE6A94" w:rsidP="00EE6A94" w14:paraId="422B688A" w14:textId="1213E96E">
      <w:pPr>
        <w:pStyle w:val="FootnoteText"/>
        <w:spacing w:before="0"/>
        <w:rPr>
          <w:vertAlign w:val="superscript"/>
        </w:rPr>
      </w:pPr>
      <w:r w:rsidRPr="00520A25">
        <w:rPr>
          <w:rStyle w:val="FootnoteReference"/>
          <w:vertAlign w:val="superscript"/>
        </w:rPr>
        <w:footnoteRef/>
      </w:r>
      <w:r w:rsidRPr="00520A25">
        <w:rPr>
          <w:vertAlign w:val="superscript"/>
        </w:rPr>
        <w:t xml:space="preserve"> </w:t>
      </w:r>
      <w:r>
        <w:t xml:space="preserve">The </w:t>
      </w:r>
      <w:r w:rsidR="00393FB1">
        <w:t>2026</w:t>
      </w:r>
      <w:r>
        <w:t xml:space="preserve"> CMS Interoperability </w:t>
      </w:r>
      <w:r w:rsidR="00393FB1">
        <w:t xml:space="preserve">Standards </w:t>
      </w:r>
      <w:r>
        <w:t xml:space="preserve">and Prior Authorization for Drugs </w:t>
      </w:r>
      <w:r w:rsidRPr="00CC079E">
        <w:t>proposed rule</w:t>
      </w:r>
      <w:r>
        <w:t xml:space="preserve"> proposes </w:t>
      </w:r>
      <w:r w:rsidR="005371EF">
        <w:t xml:space="preserve">to require </w:t>
      </w:r>
      <w:r>
        <w:t>impacted payers to report “the total number</w:t>
      </w:r>
      <w:r w:rsidR="005371EF">
        <w:t xml:space="preserve"> </w:t>
      </w:r>
      <w:r>
        <w:t>and percentage,</w:t>
      </w:r>
      <w:r w:rsidR="005371EF">
        <w:t xml:space="preserve">” </w:t>
      </w:r>
      <w:r>
        <w:t xml:space="preserve">rather than just the percentage, for </w:t>
      </w:r>
      <w:r w:rsidR="005371EF">
        <w:t>all of the below</w:t>
      </w:r>
      <w:r>
        <w:t xml:space="preserve"> metrics</w:t>
      </w:r>
      <w:r w:rsidR="005371EF">
        <w:t xml:space="preserve"> except for: “A list of all non-drug items and services that require prior authorization,” “The average and median time that elapsed between the submission of a request and a determination</w:t>
      </w:r>
      <w:r w:rsidRPr="00670D80" w:rsidR="005371EF">
        <w:t xml:space="preserve"> </w:t>
      </w:r>
      <w:r w:rsidR="005371EF">
        <w:t>by</w:t>
      </w:r>
      <w:r w:rsidRPr="00670D80" w:rsidR="005371EF">
        <w:t xml:space="preserve"> </w:t>
      </w:r>
      <w:r w:rsidR="005371EF">
        <w:t>the</w:t>
      </w:r>
      <w:r w:rsidRPr="00670D80" w:rsidR="005371EF">
        <w:t xml:space="preserve"> </w:t>
      </w:r>
      <w:r w:rsidR="005371EF">
        <w:t>payer,</w:t>
      </w:r>
      <w:r w:rsidRPr="00670D80" w:rsidR="005371EF">
        <w:t xml:space="preserve"> </w:t>
      </w:r>
      <w:r w:rsidR="005371EF">
        <w:t>plan,</w:t>
      </w:r>
      <w:r w:rsidRPr="00670D80" w:rsidR="005371EF">
        <w:t xml:space="preserve"> </w:t>
      </w:r>
      <w:r w:rsidR="005371EF">
        <w:t>or</w:t>
      </w:r>
      <w:r w:rsidRPr="00670D80" w:rsidR="005371EF">
        <w:t xml:space="preserve"> </w:t>
      </w:r>
      <w:r w:rsidR="005371EF">
        <w:t>issuer,</w:t>
      </w:r>
      <w:r w:rsidRPr="00670D80" w:rsidR="005371EF">
        <w:t xml:space="preserve"> </w:t>
      </w:r>
      <w:r w:rsidR="005371EF">
        <w:t>for</w:t>
      </w:r>
      <w:r w:rsidRPr="00670D80" w:rsidR="005371EF">
        <w:t xml:space="preserve"> </w:t>
      </w:r>
      <w:r w:rsidR="005371EF">
        <w:t>standard</w:t>
      </w:r>
      <w:r w:rsidRPr="00670D80" w:rsidR="005371EF">
        <w:t xml:space="preserve"> </w:t>
      </w:r>
      <w:r w:rsidR="005371EF">
        <w:t>prior</w:t>
      </w:r>
      <w:r w:rsidRPr="00670D80" w:rsidR="005371EF">
        <w:t xml:space="preserve"> </w:t>
      </w:r>
      <w:r w:rsidR="005371EF">
        <w:t>authorizations,</w:t>
      </w:r>
      <w:r w:rsidRPr="00670D80" w:rsidR="005371EF">
        <w:t xml:space="preserve"> </w:t>
      </w:r>
      <w:r w:rsidR="005371EF">
        <w:t>aggregated</w:t>
      </w:r>
      <w:r w:rsidRPr="00670D80" w:rsidR="005371EF">
        <w:t xml:space="preserve"> </w:t>
      </w:r>
      <w:r w:rsidR="005371EF">
        <w:t>for</w:t>
      </w:r>
      <w:r w:rsidRPr="00670D80" w:rsidR="005371EF">
        <w:t xml:space="preserve"> </w:t>
      </w:r>
      <w:r w:rsidR="005371EF">
        <w:t>all non-drug items and services,” and “T</w:t>
      </w:r>
      <w:r w:rsidRPr="00ED47B8" w:rsidR="005371EF">
        <w:t>he average and median time that elapsed between the submission of a request and a decision by the</w:t>
      </w:r>
      <w:r w:rsidRPr="00670D80" w:rsidR="005371EF">
        <w:t xml:space="preserve"> </w:t>
      </w:r>
      <w:r w:rsidRPr="00ED47B8" w:rsidR="005371EF">
        <w:t>payer,</w:t>
      </w:r>
      <w:r w:rsidRPr="00670D80" w:rsidR="005371EF">
        <w:t xml:space="preserve"> </w:t>
      </w:r>
      <w:r w:rsidRPr="00ED47B8" w:rsidR="005371EF">
        <w:t>plan,</w:t>
      </w:r>
      <w:r w:rsidRPr="00670D80" w:rsidR="005371EF">
        <w:t xml:space="preserve"> </w:t>
      </w:r>
      <w:r w:rsidRPr="00ED47B8" w:rsidR="005371EF">
        <w:t>or</w:t>
      </w:r>
      <w:r w:rsidRPr="00670D80" w:rsidR="005371EF">
        <w:t xml:space="preserve"> </w:t>
      </w:r>
      <w:r w:rsidRPr="00ED47B8" w:rsidR="005371EF">
        <w:t>issuer,</w:t>
      </w:r>
      <w:r w:rsidRPr="00670D80" w:rsidR="005371EF">
        <w:t xml:space="preserve"> </w:t>
      </w:r>
      <w:r w:rsidRPr="00ED47B8" w:rsidR="005371EF">
        <w:t>for</w:t>
      </w:r>
      <w:r w:rsidRPr="00670D80" w:rsidR="005371EF">
        <w:t xml:space="preserve"> </w:t>
      </w:r>
      <w:r w:rsidRPr="00ED47B8" w:rsidR="005371EF">
        <w:t>expedited</w:t>
      </w:r>
      <w:r w:rsidRPr="00670D80" w:rsidR="005371EF">
        <w:t xml:space="preserve"> </w:t>
      </w:r>
      <w:r w:rsidRPr="00ED47B8" w:rsidR="005371EF">
        <w:t>prior</w:t>
      </w:r>
      <w:r w:rsidRPr="00670D80" w:rsidR="005371EF">
        <w:t xml:space="preserve"> </w:t>
      </w:r>
      <w:r w:rsidRPr="00ED47B8" w:rsidR="005371EF">
        <w:t>authorizations,</w:t>
      </w:r>
      <w:r w:rsidRPr="00670D80" w:rsidR="005371EF">
        <w:t xml:space="preserve"> </w:t>
      </w:r>
      <w:r w:rsidRPr="00ED47B8" w:rsidR="005371EF">
        <w:t>aggregated</w:t>
      </w:r>
      <w:r w:rsidRPr="00670D80" w:rsidR="005371EF">
        <w:t xml:space="preserve"> </w:t>
      </w:r>
      <w:r w:rsidRPr="00ED47B8" w:rsidR="005371EF">
        <w:t>for</w:t>
      </w:r>
      <w:r w:rsidRPr="00670D80" w:rsidR="005371EF">
        <w:t xml:space="preserve"> </w:t>
      </w:r>
      <w:r w:rsidRPr="00ED47B8" w:rsidR="005371EF">
        <w:t>all</w:t>
      </w:r>
      <w:r w:rsidRPr="00670D80" w:rsidR="005371EF">
        <w:t xml:space="preserve"> </w:t>
      </w:r>
      <w:r w:rsidRPr="00ED47B8" w:rsidR="005371EF">
        <w:t>non-drug items</w:t>
      </w:r>
      <w:r w:rsidRPr="00670D80" w:rsidR="005371EF">
        <w:t xml:space="preserve"> </w:t>
      </w:r>
      <w:r w:rsidRPr="00ED47B8" w:rsidR="005371EF">
        <w:t>and</w:t>
      </w:r>
      <w:r w:rsidRPr="00670D80" w:rsidR="005371EF">
        <w:t xml:space="preserve"> </w:t>
      </w:r>
      <w:r w:rsidRPr="00ED47B8" w:rsidR="005371EF">
        <w:t>services.</w:t>
      </w:r>
      <w:r w:rsidR="005371EF">
        <w:t xml:space="preserve">” The </w:t>
      </w:r>
      <w:r w:rsidR="00393FB1">
        <w:t>2026</w:t>
      </w:r>
      <w:r w:rsidR="005371EF">
        <w:t xml:space="preserve"> CMS Interoperability</w:t>
      </w:r>
      <w:r w:rsidR="00393FB1">
        <w:t xml:space="preserve"> Standards</w:t>
      </w:r>
      <w:r w:rsidR="005371EF">
        <w:t xml:space="preserve"> and Prior Authorization for Drugs </w:t>
      </w:r>
      <w:r w:rsidRPr="00CC079E" w:rsidR="005371EF">
        <w:t>proposed rule</w:t>
      </w:r>
      <w:r w:rsidR="005371EF">
        <w:t xml:space="preserve"> also proposes</w:t>
      </w:r>
      <w:r>
        <w:t xml:space="preserve"> to remove “aggregated for all non-drug items and services</w:t>
      </w:r>
      <w:r w:rsidR="009A4898">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120"/>
      <w:gridCol w:w="3120"/>
      <w:gridCol w:w="3120"/>
    </w:tblGrid>
    <w:tr w14:paraId="6D89913D" w14:textId="77777777" w:rsidTr="5055B944">
      <w:tblPrEx>
        <w:tblW w:w="0" w:type="auto"/>
        <w:tblLayout w:type="fixed"/>
        <w:tblLook w:val="04A0"/>
      </w:tblPrEx>
      <w:tc>
        <w:tcPr>
          <w:tcW w:w="3120" w:type="dxa"/>
        </w:tcPr>
        <w:p w:rsidR="34B6257C" w:rsidP="00520A25" w14:paraId="40D4B595" w14:textId="0C485EE7">
          <w:pPr>
            <w:pStyle w:val="Header"/>
            <w:ind w:left="-115"/>
          </w:pPr>
        </w:p>
      </w:tc>
      <w:tc>
        <w:tcPr>
          <w:tcW w:w="3120" w:type="dxa"/>
        </w:tcPr>
        <w:p w:rsidR="34B6257C" w:rsidP="00520A25" w14:paraId="4659BC26" w14:textId="07797730">
          <w:pPr>
            <w:pStyle w:val="Header"/>
            <w:jc w:val="center"/>
          </w:pPr>
        </w:p>
      </w:tc>
      <w:tc>
        <w:tcPr>
          <w:tcW w:w="3120" w:type="dxa"/>
        </w:tcPr>
        <w:p w:rsidR="34B6257C" w:rsidP="00520A25" w14:paraId="6333B900" w14:textId="1F930032">
          <w:pPr>
            <w:pStyle w:val="Header"/>
            <w:ind w:right="-115"/>
            <w:jc w:val="right"/>
          </w:pPr>
        </w:p>
      </w:tc>
    </w:tr>
  </w:tbl>
  <w:p w:rsidR="34B6257C" w:rsidP="00EE6A94" w14:paraId="1750F232" w14:textId="5B80F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17C45"/>
    <w:multiLevelType w:val="hybridMultilevel"/>
    <w:tmpl w:val="6E4251C6"/>
    <w:lvl w:ilvl="0">
      <w:start w:val="0"/>
      <w:numFmt w:val="bullet"/>
      <w:lvlText w:val=""/>
      <w:lvlJc w:val="left"/>
      <w:pPr>
        <w:ind w:left="119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04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nsid w:val="0A6F6F0F"/>
    <w:multiLevelType w:val="hybridMultilevel"/>
    <w:tmpl w:val="A8FE90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7729F7"/>
    <w:multiLevelType w:val="hybridMultilevel"/>
    <w:tmpl w:val="23C80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00364F"/>
    <w:multiLevelType w:val="hybridMultilevel"/>
    <w:tmpl w:val="9E849708"/>
    <w:lvl w:ilvl="0">
      <w:start w:val="1"/>
      <w:numFmt w:val="bullet"/>
      <w:lvlText w:val=""/>
      <w:lvlJc w:val="left"/>
      <w:pPr>
        <w:ind w:left="1155"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0B5F5BC4"/>
    <w:multiLevelType w:val="hybridMultilevel"/>
    <w:tmpl w:val="61A4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87534A"/>
    <w:multiLevelType w:val="hybridMultilevel"/>
    <w:tmpl w:val="FFF61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4B59A9"/>
    <w:multiLevelType w:val="hybridMultilevel"/>
    <w:tmpl w:val="F0E29A06"/>
    <w:lvl w:ilvl="0">
      <w:start w:val="1"/>
      <w:numFmt w:val="bullet"/>
      <w:lvlText w:val=""/>
      <w:lvlJc w:val="left"/>
      <w:pPr>
        <w:ind w:left="1155" w:hanging="360"/>
      </w:pPr>
      <w:rPr>
        <w:rFonts w:ascii="Symbol" w:hAnsi="Symbol" w:hint="default"/>
      </w:rPr>
    </w:lvl>
    <w:lvl w:ilvl="1" w:tentative="1">
      <w:start w:val="1"/>
      <w:numFmt w:val="bullet"/>
      <w:lvlText w:val="o"/>
      <w:lvlJc w:val="left"/>
      <w:pPr>
        <w:ind w:left="1875" w:hanging="360"/>
      </w:pPr>
      <w:rPr>
        <w:rFonts w:ascii="Courier New" w:hAnsi="Courier New" w:cs="Courier New" w:hint="default"/>
      </w:rPr>
    </w:lvl>
    <w:lvl w:ilvl="2" w:tentative="1">
      <w:start w:val="1"/>
      <w:numFmt w:val="bullet"/>
      <w:lvlText w:val=""/>
      <w:lvlJc w:val="left"/>
      <w:pPr>
        <w:ind w:left="2595" w:hanging="360"/>
      </w:pPr>
      <w:rPr>
        <w:rFonts w:ascii="Wingdings" w:hAnsi="Wingdings" w:hint="default"/>
      </w:rPr>
    </w:lvl>
    <w:lvl w:ilvl="3" w:tentative="1">
      <w:start w:val="1"/>
      <w:numFmt w:val="bullet"/>
      <w:lvlText w:val=""/>
      <w:lvlJc w:val="left"/>
      <w:pPr>
        <w:ind w:left="3315" w:hanging="360"/>
      </w:pPr>
      <w:rPr>
        <w:rFonts w:ascii="Symbol" w:hAnsi="Symbol" w:hint="default"/>
      </w:rPr>
    </w:lvl>
    <w:lvl w:ilvl="4" w:tentative="1">
      <w:start w:val="1"/>
      <w:numFmt w:val="bullet"/>
      <w:lvlText w:val="o"/>
      <w:lvlJc w:val="left"/>
      <w:pPr>
        <w:ind w:left="4035" w:hanging="360"/>
      </w:pPr>
      <w:rPr>
        <w:rFonts w:ascii="Courier New" w:hAnsi="Courier New" w:cs="Courier New" w:hint="default"/>
      </w:rPr>
    </w:lvl>
    <w:lvl w:ilvl="5" w:tentative="1">
      <w:start w:val="1"/>
      <w:numFmt w:val="bullet"/>
      <w:lvlText w:val=""/>
      <w:lvlJc w:val="left"/>
      <w:pPr>
        <w:ind w:left="4755" w:hanging="360"/>
      </w:pPr>
      <w:rPr>
        <w:rFonts w:ascii="Wingdings" w:hAnsi="Wingdings" w:hint="default"/>
      </w:rPr>
    </w:lvl>
    <w:lvl w:ilvl="6" w:tentative="1">
      <w:start w:val="1"/>
      <w:numFmt w:val="bullet"/>
      <w:lvlText w:val=""/>
      <w:lvlJc w:val="left"/>
      <w:pPr>
        <w:ind w:left="5475" w:hanging="360"/>
      </w:pPr>
      <w:rPr>
        <w:rFonts w:ascii="Symbol" w:hAnsi="Symbol" w:hint="default"/>
      </w:rPr>
    </w:lvl>
    <w:lvl w:ilvl="7" w:tentative="1">
      <w:start w:val="1"/>
      <w:numFmt w:val="bullet"/>
      <w:lvlText w:val="o"/>
      <w:lvlJc w:val="left"/>
      <w:pPr>
        <w:ind w:left="6195" w:hanging="360"/>
      </w:pPr>
      <w:rPr>
        <w:rFonts w:ascii="Courier New" w:hAnsi="Courier New" w:cs="Courier New" w:hint="default"/>
      </w:rPr>
    </w:lvl>
    <w:lvl w:ilvl="8" w:tentative="1">
      <w:start w:val="1"/>
      <w:numFmt w:val="bullet"/>
      <w:lvlText w:val=""/>
      <w:lvlJc w:val="left"/>
      <w:pPr>
        <w:ind w:left="6915" w:hanging="360"/>
      </w:pPr>
      <w:rPr>
        <w:rFonts w:ascii="Wingdings" w:hAnsi="Wingdings" w:hint="default"/>
      </w:rPr>
    </w:lvl>
  </w:abstractNum>
  <w:abstractNum w:abstractNumId="7">
    <w:nsid w:val="12E75EB8"/>
    <w:multiLevelType w:val="hybridMultilevel"/>
    <w:tmpl w:val="E612D5D8"/>
    <w:lvl w:ilvl="0">
      <w:start w:val="1"/>
      <w:numFmt w:val="bullet"/>
      <w:lvlText w:val=""/>
      <w:lvlJc w:val="left"/>
      <w:pPr>
        <w:ind w:left="1496" w:hanging="360"/>
      </w:pPr>
      <w:rPr>
        <w:rFonts w:ascii="Symbol" w:hAnsi="Symbol" w:hint="default"/>
      </w:rPr>
    </w:lvl>
    <w:lvl w:ilvl="1" w:tentative="1">
      <w:start w:val="1"/>
      <w:numFmt w:val="bullet"/>
      <w:lvlText w:val="o"/>
      <w:lvlJc w:val="left"/>
      <w:pPr>
        <w:ind w:left="2216" w:hanging="360"/>
      </w:pPr>
      <w:rPr>
        <w:rFonts w:ascii="Courier New" w:hAnsi="Courier New" w:cs="Courier New" w:hint="default"/>
      </w:rPr>
    </w:lvl>
    <w:lvl w:ilvl="2" w:tentative="1">
      <w:start w:val="1"/>
      <w:numFmt w:val="bullet"/>
      <w:lvlText w:val=""/>
      <w:lvlJc w:val="left"/>
      <w:pPr>
        <w:ind w:left="2936" w:hanging="360"/>
      </w:pPr>
      <w:rPr>
        <w:rFonts w:ascii="Wingdings" w:hAnsi="Wingdings" w:hint="default"/>
      </w:rPr>
    </w:lvl>
    <w:lvl w:ilvl="3" w:tentative="1">
      <w:start w:val="1"/>
      <w:numFmt w:val="bullet"/>
      <w:lvlText w:val=""/>
      <w:lvlJc w:val="left"/>
      <w:pPr>
        <w:ind w:left="3656" w:hanging="360"/>
      </w:pPr>
      <w:rPr>
        <w:rFonts w:ascii="Symbol" w:hAnsi="Symbol" w:hint="default"/>
      </w:rPr>
    </w:lvl>
    <w:lvl w:ilvl="4" w:tentative="1">
      <w:start w:val="1"/>
      <w:numFmt w:val="bullet"/>
      <w:lvlText w:val="o"/>
      <w:lvlJc w:val="left"/>
      <w:pPr>
        <w:ind w:left="4376" w:hanging="360"/>
      </w:pPr>
      <w:rPr>
        <w:rFonts w:ascii="Courier New" w:hAnsi="Courier New" w:cs="Courier New" w:hint="default"/>
      </w:rPr>
    </w:lvl>
    <w:lvl w:ilvl="5" w:tentative="1">
      <w:start w:val="1"/>
      <w:numFmt w:val="bullet"/>
      <w:lvlText w:val=""/>
      <w:lvlJc w:val="left"/>
      <w:pPr>
        <w:ind w:left="5096" w:hanging="360"/>
      </w:pPr>
      <w:rPr>
        <w:rFonts w:ascii="Wingdings" w:hAnsi="Wingdings" w:hint="default"/>
      </w:rPr>
    </w:lvl>
    <w:lvl w:ilvl="6" w:tentative="1">
      <w:start w:val="1"/>
      <w:numFmt w:val="bullet"/>
      <w:lvlText w:val=""/>
      <w:lvlJc w:val="left"/>
      <w:pPr>
        <w:ind w:left="5816" w:hanging="360"/>
      </w:pPr>
      <w:rPr>
        <w:rFonts w:ascii="Symbol" w:hAnsi="Symbol" w:hint="default"/>
      </w:rPr>
    </w:lvl>
    <w:lvl w:ilvl="7" w:tentative="1">
      <w:start w:val="1"/>
      <w:numFmt w:val="bullet"/>
      <w:lvlText w:val="o"/>
      <w:lvlJc w:val="left"/>
      <w:pPr>
        <w:ind w:left="6536" w:hanging="360"/>
      </w:pPr>
      <w:rPr>
        <w:rFonts w:ascii="Courier New" w:hAnsi="Courier New" w:cs="Courier New" w:hint="default"/>
      </w:rPr>
    </w:lvl>
    <w:lvl w:ilvl="8" w:tentative="1">
      <w:start w:val="1"/>
      <w:numFmt w:val="bullet"/>
      <w:lvlText w:val=""/>
      <w:lvlJc w:val="left"/>
      <w:pPr>
        <w:ind w:left="7256" w:hanging="360"/>
      </w:pPr>
      <w:rPr>
        <w:rFonts w:ascii="Wingdings" w:hAnsi="Wingdings" w:hint="default"/>
      </w:rPr>
    </w:lvl>
  </w:abstractNum>
  <w:abstractNum w:abstractNumId="8">
    <w:nsid w:val="13F135C9"/>
    <w:multiLevelType w:val="hybridMultilevel"/>
    <w:tmpl w:val="8AD2025A"/>
    <w:lvl w:ilvl="0">
      <w:start w:val="4"/>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42574EE"/>
    <w:multiLevelType w:val="hybridMultilevel"/>
    <w:tmpl w:val="2B4EDD12"/>
    <w:lvl w:ilvl="0">
      <w:start w:val="0"/>
      <w:numFmt w:val="bullet"/>
      <w:lvlText w:val="*"/>
      <w:lvlJc w:val="left"/>
      <w:pPr>
        <w:ind w:left="251" w:hanging="152"/>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2)"/>
      <w:lvlJc w:val="left"/>
      <w:pPr>
        <w:ind w:left="1105" w:hanging="286"/>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2442" w:hanging="286"/>
      </w:pPr>
      <w:rPr>
        <w:rFonts w:hint="default"/>
        <w:lang w:val="en-US" w:eastAsia="en-US" w:bidi="ar-SA"/>
      </w:rPr>
    </w:lvl>
    <w:lvl w:ilvl="3">
      <w:start w:val="0"/>
      <w:numFmt w:val="bullet"/>
      <w:lvlText w:val="•"/>
      <w:lvlJc w:val="left"/>
      <w:pPr>
        <w:ind w:left="3784" w:hanging="286"/>
      </w:pPr>
      <w:rPr>
        <w:rFonts w:hint="default"/>
        <w:lang w:val="en-US" w:eastAsia="en-US" w:bidi="ar-SA"/>
      </w:rPr>
    </w:lvl>
    <w:lvl w:ilvl="4">
      <w:start w:val="0"/>
      <w:numFmt w:val="bullet"/>
      <w:lvlText w:val="•"/>
      <w:lvlJc w:val="left"/>
      <w:pPr>
        <w:ind w:left="5126" w:hanging="286"/>
      </w:pPr>
      <w:rPr>
        <w:rFonts w:hint="default"/>
        <w:lang w:val="en-US" w:eastAsia="en-US" w:bidi="ar-SA"/>
      </w:rPr>
    </w:lvl>
    <w:lvl w:ilvl="5">
      <w:start w:val="0"/>
      <w:numFmt w:val="bullet"/>
      <w:lvlText w:val="•"/>
      <w:lvlJc w:val="left"/>
      <w:pPr>
        <w:ind w:left="6468" w:hanging="286"/>
      </w:pPr>
      <w:rPr>
        <w:rFonts w:hint="default"/>
        <w:lang w:val="en-US" w:eastAsia="en-US" w:bidi="ar-SA"/>
      </w:rPr>
    </w:lvl>
    <w:lvl w:ilvl="6">
      <w:start w:val="0"/>
      <w:numFmt w:val="bullet"/>
      <w:lvlText w:val="•"/>
      <w:lvlJc w:val="left"/>
      <w:pPr>
        <w:ind w:left="7811" w:hanging="286"/>
      </w:pPr>
      <w:rPr>
        <w:rFonts w:hint="default"/>
        <w:lang w:val="en-US" w:eastAsia="en-US" w:bidi="ar-SA"/>
      </w:rPr>
    </w:lvl>
    <w:lvl w:ilvl="7">
      <w:start w:val="0"/>
      <w:numFmt w:val="bullet"/>
      <w:lvlText w:val="•"/>
      <w:lvlJc w:val="left"/>
      <w:pPr>
        <w:ind w:left="9153" w:hanging="286"/>
      </w:pPr>
      <w:rPr>
        <w:rFonts w:hint="default"/>
        <w:lang w:val="en-US" w:eastAsia="en-US" w:bidi="ar-SA"/>
      </w:rPr>
    </w:lvl>
    <w:lvl w:ilvl="8">
      <w:start w:val="0"/>
      <w:numFmt w:val="bullet"/>
      <w:lvlText w:val="•"/>
      <w:lvlJc w:val="left"/>
      <w:pPr>
        <w:ind w:left="10495" w:hanging="286"/>
      </w:pPr>
      <w:rPr>
        <w:rFonts w:hint="default"/>
        <w:lang w:val="en-US" w:eastAsia="en-US" w:bidi="ar-SA"/>
      </w:rPr>
    </w:lvl>
  </w:abstractNum>
  <w:abstractNum w:abstractNumId="10">
    <w:nsid w:val="146E7AB7"/>
    <w:multiLevelType w:val="hybridMultilevel"/>
    <w:tmpl w:val="1EE2048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15B2763C"/>
    <w:multiLevelType w:val="hybridMultilevel"/>
    <w:tmpl w:val="4E4644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CD748D"/>
    <w:multiLevelType w:val="hybridMultilevel"/>
    <w:tmpl w:val="69C2B26E"/>
    <w:lvl w:ilvl="0">
      <w:start w:val="1"/>
      <w:numFmt w:val="bullet"/>
      <w:lvlText w:val="o"/>
      <w:lvlJc w:val="left"/>
      <w:pPr>
        <w:ind w:left="695" w:hanging="288"/>
      </w:pPr>
      <w:rPr>
        <w:rFonts w:ascii="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1572" w:hanging="288"/>
      </w:pPr>
      <w:rPr>
        <w:rFonts w:hint="default"/>
        <w:lang w:val="en-US" w:eastAsia="en-US" w:bidi="ar-SA"/>
      </w:rPr>
    </w:lvl>
    <w:lvl w:ilvl="2">
      <w:start w:val="0"/>
      <w:numFmt w:val="bullet"/>
      <w:lvlText w:val="•"/>
      <w:lvlJc w:val="left"/>
      <w:pPr>
        <w:ind w:left="2448" w:hanging="288"/>
      </w:pPr>
      <w:rPr>
        <w:rFonts w:hint="default"/>
        <w:lang w:val="en-US" w:eastAsia="en-US" w:bidi="ar-SA"/>
      </w:rPr>
    </w:lvl>
    <w:lvl w:ilvl="3">
      <w:start w:val="0"/>
      <w:numFmt w:val="bullet"/>
      <w:lvlText w:val="•"/>
      <w:lvlJc w:val="left"/>
      <w:pPr>
        <w:ind w:left="3324" w:hanging="288"/>
      </w:pPr>
      <w:rPr>
        <w:rFonts w:hint="default"/>
        <w:lang w:val="en-US" w:eastAsia="en-US" w:bidi="ar-SA"/>
      </w:rPr>
    </w:lvl>
    <w:lvl w:ilvl="4">
      <w:start w:val="0"/>
      <w:numFmt w:val="bullet"/>
      <w:lvlText w:val="•"/>
      <w:lvlJc w:val="left"/>
      <w:pPr>
        <w:ind w:left="4200" w:hanging="288"/>
      </w:pPr>
      <w:rPr>
        <w:rFonts w:hint="default"/>
        <w:lang w:val="en-US" w:eastAsia="en-US" w:bidi="ar-SA"/>
      </w:rPr>
    </w:lvl>
    <w:lvl w:ilvl="5">
      <w:start w:val="0"/>
      <w:numFmt w:val="bullet"/>
      <w:lvlText w:val="•"/>
      <w:lvlJc w:val="left"/>
      <w:pPr>
        <w:ind w:left="5076" w:hanging="288"/>
      </w:pPr>
      <w:rPr>
        <w:rFonts w:hint="default"/>
        <w:lang w:val="en-US" w:eastAsia="en-US" w:bidi="ar-SA"/>
      </w:rPr>
    </w:lvl>
    <w:lvl w:ilvl="6">
      <w:start w:val="0"/>
      <w:numFmt w:val="bullet"/>
      <w:lvlText w:val="•"/>
      <w:lvlJc w:val="left"/>
      <w:pPr>
        <w:ind w:left="5952" w:hanging="288"/>
      </w:pPr>
      <w:rPr>
        <w:rFonts w:hint="default"/>
        <w:lang w:val="en-US" w:eastAsia="en-US" w:bidi="ar-SA"/>
      </w:rPr>
    </w:lvl>
    <w:lvl w:ilvl="7">
      <w:start w:val="0"/>
      <w:numFmt w:val="bullet"/>
      <w:lvlText w:val="•"/>
      <w:lvlJc w:val="left"/>
      <w:pPr>
        <w:ind w:left="6828" w:hanging="288"/>
      </w:pPr>
      <w:rPr>
        <w:rFonts w:hint="default"/>
        <w:lang w:val="en-US" w:eastAsia="en-US" w:bidi="ar-SA"/>
      </w:rPr>
    </w:lvl>
    <w:lvl w:ilvl="8">
      <w:start w:val="0"/>
      <w:numFmt w:val="bullet"/>
      <w:lvlText w:val="•"/>
      <w:lvlJc w:val="left"/>
      <w:pPr>
        <w:ind w:left="7704" w:hanging="288"/>
      </w:pPr>
      <w:rPr>
        <w:rFonts w:hint="default"/>
        <w:lang w:val="en-US" w:eastAsia="en-US" w:bidi="ar-SA"/>
      </w:rPr>
    </w:lvl>
  </w:abstractNum>
  <w:abstractNum w:abstractNumId="13">
    <w:nsid w:val="17FE1458"/>
    <w:multiLevelType w:val="hybridMultilevel"/>
    <w:tmpl w:val="2B0492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964349C"/>
    <w:multiLevelType w:val="hybridMultilevel"/>
    <w:tmpl w:val="1338C8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9661759"/>
    <w:multiLevelType w:val="multilevel"/>
    <w:tmpl w:val="854AEF60"/>
    <w:lvl w:ilvl="0">
      <w:start w:val="1"/>
      <w:numFmt w:val="decimal"/>
      <w:pStyle w:val="Heading3"/>
      <w:lvlText w:val="%1."/>
      <w:lvlJc w:val="left"/>
      <w:pPr>
        <w:ind w:left="795" w:hanging="435"/>
      </w:pPr>
      <w:rPr>
        <w:rFonts w:hint="default"/>
        <w:u w:val="none"/>
      </w:rPr>
    </w:lvl>
    <w:lvl w:ilvl="1">
      <w:start w:val="1"/>
      <w:numFmt w:val="decimal"/>
      <w:isLgl/>
      <w:lvlText w:val="%1.%2"/>
      <w:lvlJc w:val="left"/>
      <w:pPr>
        <w:ind w:left="897" w:hanging="465"/>
      </w:pPr>
      <w:rPr>
        <w:rFonts w:hint="default"/>
        <w:u w:val="none"/>
      </w:rPr>
    </w:lvl>
    <w:lvl w:ilvl="2">
      <w:start w:val="1"/>
      <w:numFmt w:val="decimal"/>
      <w:isLgl/>
      <w:lvlText w:val="%1.%2.%3"/>
      <w:lvlJc w:val="left"/>
      <w:pPr>
        <w:ind w:left="1170" w:hanging="720"/>
      </w:pPr>
      <w:rPr>
        <w:rFonts w:hint="default"/>
        <w:u w:val="none"/>
      </w:rPr>
    </w:lvl>
    <w:lvl w:ilvl="3">
      <w:start w:val="1"/>
      <w:numFmt w:val="decimal"/>
      <w:isLgl/>
      <w:lvlText w:val="%1.%2.%3.%4"/>
      <w:lvlJc w:val="left"/>
      <w:pPr>
        <w:ind w:left="1296" w:hanging="720"/>
      </w:pPr>
      <w:rPr>
        <w:rFonts w:hint="default"/>
        <w:u w:val="none"/>
      </w:rPr>
    </w:lvl>
    <w:lvl w:ilvl="4">
      <w:start w:val="1"/>
      <w:numFmt w:val="decimal"/>
      <w:isLgl/>
      <w:lvlText w:val="%1.%2.%3.%4.%5"/>
      <w:lvlJc w:val="left"/>
      <w:pPr>
        <w:ind w:left="1728"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232" w:hanging="1440"/>
      </w:pPr>
      <w:rPr>
        <w:rFonts w:hint="default"/>
        <w:u w:val="none"/>
      </w:rPr>
    </w:lvl>
    <w:lvl w:ilvl="7">
      <w:start w:val="1"/>
      <w:numFmt w:val="decimal"/>
      <w:isLgl/>
      <w:lvlText w:val="%1.%2.%3.%4.%5.%6.%7.%8"/>
      <w:lvlJc w:val="left"/>
      <w:pPr>
        <w:ind w:left="2304" w:hanging="1440"/>
      </w:pPr>
      <w:rPr>
        <w:rFonts w:hint="default"/>
        <w:u w:val="none"/>
      </w:rPr>
    </w:lvl>
    <w:lvl w:ilvl="8">
      <w:start w:val="1"/>
      <w:numFmt w:val="decimal"/>
      <w:isLgl/>
      <w:lvlText w:val="%1.%2.%3.%4.%5.%6.%7.%8.%9"/>
      <w:lvlJc w:val="left"/>
      <w:pPr>
        <w:ind w:left="2376" w:hanging="1440"/>
      </w:pPr>
      <w:rPr>
        <w:rFonts w:hint="default"/>
        <w:u w:val="none"/>
      </w:rPr>
    </w:lvl>
  </w:abstractNum>
  <w:abstractNum w:abstractNumId="16">
    <w:nsid w:val="1D13262F"/>
    <w:multiLevelType w:val="hybridMultilevel"/>
    <w:tmpl w:val="063459D4"/>
    <w:lvl w:ilvl="0">
      <w:start w:val="0"/>
      <w:numFmt w:val="bullet"/>
      <w:lvlText w:val=""/>
      <w:lvlJc w:val="left"/>
      <w:pPr>
        <w:ind w:left="1152" w:hanging="360"/>
      </w:pPr>
      <w:rPr>
        <w:rFonts w:ascii="Symbol" w:eastAsia="Symbol" w:hAnsi="Symbol" w:cs="Symbol" w:hint="default"/>
        <w:b w:val="0"/>
        <w:bCs w:val="0"/>
        <w:i w:val="0"/>
        <w:iCs w:val="0"/>
        <w:spacing w:val="0"/>
        <w:w w:val="99"/>
        <w:sz w:val="22"/>
        <w:szCs w:val="22"/>
        <w:lang w:val="en-US" w:eastAsia="en-US" w:bidi="ar-SA"/>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1D7B2EC9"/>
    <w:multiLevelType w:val="hybridMultilevel"/>
    <w:tmpl w:val="E54C4CB4"/>
    <w:lvl w:ilvl="0">
      <w:start w:val="1"/>
      <w:numFmt w:val="decimal"/>
      <w:lvlText w:val="%1."/>
      <w:lvlJc w:val="left"/>
      <w:pPr>
        <w:ind w:left="795" w:hanging="435"/>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FC73DDB"/>
    <w:multiLevelType w:val="hybridMultilevel"/>
    <w:tmpl w:val="50B80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5B5BCC"/>
    <w:multiLevelType w:val="hybridMultilevel"/>
    <w:tmpl w:val="D00C065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24DC45B5"/>
    <w:multiLevelType w:val="multilevel"/>
    <w:tmpl w:val="6300654E"/>
    <w:lvl w:ilvl="0">
      <w:start w:val="1"/>
      <w:numFmt w:val="bullet"/>
      <w:lvlText w:val=""/>
      <w:lvlJc w:val="left"/>
      <w:pPr>
        <w:ind w:left="720"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50604D4"/>
    <w:multiLevelType w:val="hybridMultilevel"/>
    <w:tmpl w:val="FF560972"/>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2">
    <w:nsid w:val="26F83ABC"/>
    <w:multiLevelType w:val="hybridMultilevel"/>
    <w:tmpl w:val="005AD1BC"/>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3">
    <w:nsid w:val="275D50CE"/>
    <w:multiLevelType w:val="multilevel"/>
    <w:tmpl w:val="6300654E"/>
    <w:lvl w:ilvl="0">
      <w:start w:val="1"/>
      <w:numFmt w:val="bullet"/>
      <w:lvlText w:val=""/>
      <w:lvlJc w:val="left"/>
      <w:pPr>
        <w:ind w:left="720"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7FF1524"/>
    <w:multiLevelType w:val="hybridMultilevel"/>
    <w:tmpl w:val="65E6BB20"/>
    <w:lvl w:ilvl="0">
      <w:start w:val="0"/>
      <w:numFmt w:val="bullet"/>
      <w:lvlText w:val=""/>
      <w:lvlJc w:val="left"/>
      <w:pPr>
        <w:ind w:left="1152" w:hanging="360"/>
      </w:pPr>
      <w:rPr>
        <w:rFonts w:ascii="Symbol" w:eastAsia="Symbol" w:hAnsi="Symbol" w:cs="Symbol" w:hint="default"/>
        <w:b w:val="0"/>
        <w:bCs w:val="0"/>
        <w:i w:val="0"/>
        <w:iCs w:val="0"/>
        <w:spacing w:val="0"/>
        <w:w w:val="99"/>
        <w:sz w:val="22"/>
        <w:szCs w:val="22"/>
        <w:lang w:val="en-US" w:eastAsia="en-US" w:bidi="ar-SA"/>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28B01A74"/>
    <w:multiLevelType w:val="hybridMultilevel"/>
    <w:tmpl w:val="34B0B2FE"/>
    <w:lvl w:ilvl="0">
      <w:start w:val="0"/>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8B26610"/>
    <w:multiLevelType w:val="hybridMultilevel"/>
    <w:tmpl w:val="9A94C01C"/>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2B1036CE"/>
    <w:multiLevelType w:val="hybridMultilevel"/>
    <w:tmpl w:val="BA165F6E"/>
    <w:lvl w:ilvl="0">
      <w:start w:val="1"/>
      <w:numFmt w:val="upperLetter"/>
      <w:lvlText w:val="%1."/>
      <w:lvlJc w:val="left"/>
      <w:pPr>
        <w:ind w:left="375" w:hanging="360"/>
      </w:pPr>
      <w:rPr>
        <w:rFonts w:hint="default"/>
      </w:rPr>
    </w:lvl>
    <w:lvl w:ilvl="1" w:tentative="1">
      <w:start w:val="1"/>
      <w:numFmt w:val="lowerLetter"/>
      <w:lvlText w:val="%2."/>
      <w:lvlJc w:val="left"/>
      <w:pPr>
        <w:ind w:left="1095" w:hanging="360"/>
      </w:pPr>
    </w:lvl>
    <w:lvl w:ilvl="2" w:tentative="1">
      <w:start w:val="1"/>
      <w:numFmt w:val="lowerRoman"/>
      <w:lvlText w:val="%3."/>
      <w:lvlJc w:val="right"/>
      <w:pPr>
        <w:ind w:left="1815" w:hanging="180"/>
      </w:pPr>
    </w:lvl>
    <w:lvl w:ilvl="3" w:tentative="1">
      <w:start w:val="1"/>
      <w:numFmt w:val="decimal"/>
      <w:lvlText w:val="%4."/>
      <w:lvlJc w:val="left"/>
      <w:pPr>
        <w:ind w:left="2535" w:hanging="360"/>
      </w:pPr>
    </w:lvl>
    <w:lvl w:ilvl="4" w:tentative="1">
      <w:start w:val="1"/>
      <w:numFmt w:val="lowerLetter"/>
      <w:lvlText w:val="%5."/>
      <w:lvlJc w:val="left"/>
      <w:pPr>
        <w:ind w:left="3255" w:hanging="360"/>
      </w:pPr>
    </w:lvl>
    <w:lvl w:ilvl="5" w:tentative="1">
      <w:start w:val="1"/>
      <w:numFmt w:val="lowerRoman"/>
      <w:lvlText w:val="%6."/>
      <w:lvlJc w:val="right"/>
      <w:pPr>
        <w:ind w:left="3975" w:hanging="180"/>
      </w:pPr>
    </w:lvl>
    <w:lvl w:ilvl="6" w:tentative="1">
      <w:start w:val="1"/>
      <w:numFmt w:val="decimal"/>
      <w:lvlText w:val="%7."/>
      <w:lvlJc w:val="left"/>
      <w:pPr>
        <w:ind w:left="4695" w:hanging="360"/>
      </w:pPr>
    </w:lvl>
    <w:lvl w:ilvl="7" w:tentative="1">
      <w:start w:val="1"/>
      <w:numFmt w:val="lowerLetter"/>
      <w:lvlText w:val="%8."/>
      <w:lvlJc w:val="left"/>
      <w:pPr>
        <w:ind w:left="5415" w:hanging="360"/>
      </w:pPr>
    </w:lvl>
    <w:lvl w:ilvl="8" w:tentative="1">
      <w:start w:val="1"/>
      <w:numFmt w:val="lowerRoman"/>
      <w:lvlText w:val="%9."/>
      <w:lvlJc w:val="right"/>
      <w:pPr>
        <w:ind w:left="6135" w:hanging="180"/>
      </w:pPr>
    </w:lvl>
  </w:abstractNum>
  <w:abstractNum w:abstractNumId="28">
    <w:nsid w:val="2C6B3C65"/>
    <w:multiLevelType w:val="hybridMultilevel"/>
    <w:tmpl w:val="4EA692EA"/>
    <w:lvl w:ilvl="0">
      <w:start w:val="0"/>
      <w:numFmt w:val="bullet"/>
      <w:lvlText w:val=""/>
      <w:lvlJc w:val="left"/>
      <w:pPr>
        <w:ind w:left="1343"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166" w:hanging="360"/>
      </w:pPr>
      <w:rPr>
        <w:rFonts w:hint="default"/>
        <w:lang w:val="en-US" w:eastAsia="en-US" w:bidi="ar-SA"/>
      </w:rPr>
    </w:lvl>
    <w:lvl w:ilvl="2">
      <w:start w:val="0"/>
      <w:numFmt w:val="bullet"/>
      <w:lvlText w:val="•"/>
      <w:lvlJc w:val="left"/>
      <w:pPr>
        <w:ind w:left="2992" w:hanging="360"/>
      </w:pPr>
      <w:rPr>
        <w:rFonts w:hint="default"/>
        <w:lang w:val="en-US" w:eastAsia="en-US" w:bidi="ar-SA"/>
      </w:rPr>
    </w:lvl>
    <w:lvl w:ilvl="3">
      <w:start w:val="0"/>
      <w:numFmt w:val="bullet"/>
      <w:lvlText w:val="•"/>
      <w:lvlJc w:val="left"/>
      <w:pPr>
        <w:ind w:left="381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29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7948" w:hanging="360"/>
      </w:pPr>
      <w:rPr>
        <w:rFonts w:hint="default"/>
        <w:lang w:val="en-US" w:eastAsia="en-US" w:bidi="ar-SA"/>
      </w:rPr>
    </w:lvl>
  </w:abstractNum>
  <w:abstractNum w:abstractNumId="29">
    <w:nsid w:val="2D2E6C4C"/>
    <w:multiLevelType w:val="hybridMultilevel"/>
    <w:tmpl w:val="FE546E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F935CA2"/>
    <w:multiLevelType w:val="hybridMultilevel"/>
    <w:tmpl w:val="DA8AA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FA17DD3"/>
    <w:multiLevelType w:val="hybridMultilevel"/>
    <w:tmpl w:val="CAB64328"/>
    <w:lvl w:ilvl="0">
      <w:start w:val="0"/>
      <w:numFmt w:val="bullet"/>
      <w:lvlText w:val=""/>
      <w:lvlJc w:val="left"/>
      <w:pPr>
        <w:ind w:left="695" w:hanging="288"/>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572" w:hanging="288"/>
      </w:pPr>
      <w:rPr>
        <w:rFonts w:hint="default"/>
        <w:lang w:val="en-US" w:eastAsia="en-US" w:bidi="ar-SA"/>
      </w:rPr>
    </w:lvl>
    <w:lvl w:ilvl="2">
      <w:start w:val="0"/>
      <w:numFmt w:val="bullet"/>
      <w:lvlText w:val="•"/>
      <w:lvlJc w:val="left"/>
      <w:pPr>
        <w:ind w:left="2448" w:hanging="288"/>
      </w:pPr>
      <w:rPr>
        <w:rFonts w:hint="default"/>
        <w:lang w:val="en-US" w:eastAsia="en-US" w:bidi="ar-SA"/>
      </w:rPr>
    </w:lvl>
    <w:lvl w:ilvl="3">
      <w:start w:val="0"/>
      <w:numFmt w:val="bullet"/>
      <w:lvlText w:val="•"/>
      <w:lvlJc w:val="left"/>
      <w:pPr>
        <w:ind w:left="3324" w:hanging="288"/>
      </w:pPr>
      <w:rPr>
        <w:rFonts w:hint="default"/>
        <w:lang w:val="en-US" w:eastAsia="en-US" w:bidi="ar-SA"/>
      </w:rPr>
    </w:lvl>
    <w:lvl w:ilvl="4">
      <w:start w:val="0"/>
      <w:numFmt w:val="bullet"/>
      <w:lvlText w:val="•"/>
      <w:lvlJc w:val="left"/>
      <w:pPr>
        <w:ind w:left="4200" w:hanging="288"/>
      </w:pPr>
      <w:rPr>
        <w:rFonts w:hint="default"/>
        <w:lang w:val="en-US" w:eastAsia="en-US" w:bidi="ar-SA"/>
      </w:rPr>
    </w:lvl>
    <w:lvl w:ilvl="5">
      <w:start w:val="0"/>
      <w:numFmt w:val="bullet"/>
      <w:lvlText w:val="•"/>
      <w:lvlJc w:val="left"/>
      <w:pPr>
        <w:ind w:left="5076" w:hanging="288"/>
      </w:pPr>
      <w:rPr>
        <w:rFonts w:hint="default"/>
        <w:lang w:val="en-US" w:eastAsia="en-US" w:bidi="ar-SA"/>
      </w:rPr>
    </w:lvl>
    <w:lvl w:ilvl="6">
      <w:start w:val="0"/>
      <w:numFmt w:val="bullet"/>
      <w:lvlText w:val="•"/>
      <w:lvlJc w:val="left"/>
      <w:pPr>
        <w:ind w:left="5952" w:hanging="288"/>
      </w:pPr>
      <w:rPr>
        <w:rFonts w:hint="default"/>
        <w:lang w:val="en-US" w:eastAsia="en-US" w:bidi="ar-SA"/>
      </w:rPr>
    </w:lvl>
    <w:lvl w:ilvl="7">
      <w:start w:val="0"/>
      <w:numFmt w:val="bullet"/>
      <w:lvlText w:val="•"/>
      <w:lvlJc w:val="left"/>
      <w:pPr>
        <w:ind w:left="6828" w:hanging="288"/>
      </w:pPr>
      <w:rPr>
        <w:rFonts w:hint="default"/>
        <w:lang w:val="en-US" w:eastAsia="en-US" w:bidi="ar-SA"/>
      </w:rPr>
    </w:lvl>
    <w:lvl w:ilvl="8">
      <w:start w:val="0"/>
      <w:numFmt w:val="bullet"/>
      <w:lvlText w:val="•"/>
      <w:lvlJc w:val="left"/>
      <w:pPr>
        <w:ind w:left="7704" w:hanging="288"/>
      </w:pPr>
      <w:rPr>
        <w:rFonts w:hint="default"/>
        <w:lang w:val="en-US" w:eastAsia="en-US" w:bidi="ar-SA"/>
      </w:rPr>
    </w:lvl>
  </w:abstractNum>
  <w:abstractNum w:abstractNumId="32">
    <w:nsid w:val="30CB215F"/>
    <w:multiLevelType w:val="hybridMultilevel"/>
    <w:tmpl w:val="D0502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23274EF"/>
    <w:multiLevelType w:val="hybridMultilevel"/>
    <w:tmpl w:val="ACA485B0"/>
    <w:lvl w:ilvl="0">
      <w:start w:val="0"/>
      <w:numFmt w:val="bullet"/>
      <w:lvlText w:val=""/>
      <w:lvlJc w:val="left"/>
      <w:pPr>
        <w:ind w:left="1152" w:hanging="360"/>
      </w:pPr>
      <w:rPr>
        <w:rFonts w:ascii="Symbol" w:eastAsia="Symbol" w:hAnsi="Symbol" w:cs="Symbol" w:hint="default"/>
        <w:b w:val="0"/>
        <w:bCs w:val="0"/>
        <w:i w:val="0"/>
        <w:iCs w:val="0"/>
        <w:spacing w:val="0"/>
        <w:w w:val="99"/>
        <w:sz w:val="22"/>
        <w:szCs w:val="22"/>
        <w:lang w:val="en-US" w:eastAsia="en-US" w:bidi="ar-SA"/>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34">
    <w:nsid w:val="32743F65"/>
    <w:multiLevelType w:val="hybridMultilevel"/>
    <w:tmpl w:val="88CC8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2B20713"/>
    <w:multiLevelType w:val="hybridMultilevel"/>
    <w:tmpl w:val="4664D92E"/>
    <w:lvl w:ilvl="0">
      <w:start w:val="0"/>
      <w:numFmt w:val="bullet"/>
      <w:lvlText w:val=""/>
      <w:lvlJc w:val="left"/>
      <w:pPr>
        <w:ind w:left="1152" w:hanging="360"/>
      </w:pPr>
      <w:rPr>
        <w:rFonts w:ascii="Symbol" w:eastAsia="Symbol" w:hAnsi="Symbol" w:cs="Symbol" w:hint="default"/>
        <w:b w:val="0"/>
        <w:bCs w:val="0"/>
        <w:i w:val="0"/>
        <w:iCs w:val="0"/>
        <w:spacing w:val="0"/>
        <w:w w:val="99"/>
        <w:sz w:val="22"/>
        <w:szCs w:val="22"/>
        <w:lang w:val="en-US" w:eastAsia="en-US" w:bidi="ar-SA"/>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6">
    <w:nsid w:val="33145199"/>
    <w:multiLevelType w:val="hybridMultilevel"/>
    <w:tmpl w:val="258CBEB2"/>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7">
    <w:nsid w:val="3435115B"/>
    <w:multiLevelType w:val="hybridMultilevel"/>
    <w:tmpl w:val="2AF8D6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7920F52"/>
    <w:multiLevelType w:val="hybridMultilevel"/>
    <w:tmpl w:val="78D85DC0"/>
    <w:lvl w:ilvl="0">
      <w:start w:val="1"/>
      <w:numFmt w:val="bullet"/>
      <w:lvlText w:val=""/>
      <w:lvlJc w:val="left"/>
      <w:pPr>
        <w:ind w:left="1152"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031156"/>
    <w:multiLevelType w:val="hybridMultilevel"/>
    <w:tmpl w:val="7EB097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8A37258"/>
    <w:multiLevelType w:val="hybridMultilevel"/>
    <w:tmpl w:val="F6DC0BA6"/>
    <w:lvl w:ilvl="0">
      <w:start w:val="0"/>
      <w:numFmt w:val="bullet"/>
      <w:lvlText w:val=""/>
      <w:lvlJc w:val="left"/>
      <w:pPr>
        <w:ind w:left="990" w:hanging="360"/>
      </w:pPr>
      <w:rPr>
        <w:rFonts w:ascii="Symbol" w:eastAsia="Symbol" w:hAnsi="Symbol" w:cs="Symbol" w:hint="default"/>
        <w:b w:val="0"/>
        <w:bCs w:val="0"/>
        <w:i w:val="0"/>
        <w:iCs w:val="0"/>
        <w:spacing w:val="0"/>
        <w:w w:val="99"/>
        <w:sz w:val="22"/>
        <w:szCs w:val="22"/>
        <w:lang w:val="en-US" w:eastAsia="en-US" w:bidi="ar-SA"/>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1">
    <w:nsid w:val="38B70091"/>
    <w:multiLevelType w:val="multilevel"/>
    <w:tmpl w:val="B90A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46C12E8"/>
    <w:multiLevelType w:val="hybridMultilevel"/>
    <w:tmpl w:val="107E1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5BE3F62"/>
    <w:multiLevelType w:val="hybridMultilevel"/>
    <w:tmpl w:val="95E01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6B837AB"/>
    <w:multiLevelType w:val="hybridMultilevel"/>
    <w:tmpl w:val="A6022FE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5">
    <w:nsid w:val="497F3F54"/>
    <w:multiLevelType w:val="hybridMultilevel"/>
    <w:tmpl w:val="8AD2FFE0"/>
    <w:lvl w:ilvl="0">
      <w:start w:val="1"/>
      <w:numFmt w:val="bullet"/>
      <w:lvlText w:val="o"/>
      <w:lvlJc w:val="left"/>
      <w:pPr>
        <w:ind w:left="1199" w:hanging="360"/>
      </w:pPr>
      <w:rPr>
        <w:rFonts w:ascii="Courier New" w:hAnsi="Courier New" w:cs="Courier New" w:hint="default"/>
      </w:rPr>
    </w:lvl>
    <w:lvl w:ilvl="1" w:tentative="1">
      <w:start w:val="1"/>
      <w:numFmt w:val="bullet"/>
      <w:lvlText w:val="o"/>
      <w:lvlJc w:val="left"/>
      <w:pPr>
        <w:ind w:left="1919" w:hanging="360"/>
      </w:pPr>
      <w:rPr>
        <w:rFonts w:ascii="Courier New" w:hAnsi="Courier New" w:cs="Courier New" w:hint="default"/>
      </w:rPr>
    </w:lvl>
    <w:lvl w:ilvl="2" w:tentative="1">
      <w:start w:val="1"/>
      <w:numFmt w:val="bullet"/>
      <w:lvlText w:val=""/>
      <w:lvlJc w:val="left"/>
      <w:pPr>
        <w:ind w:left="2639" w:hanging="360"/>
      </w:pPr>
      <w:rPr>
        <w:rFonts w:ascii="Wingdings" w:hAnsi="Wingdings" w:hint="default"/>
      </w:rPr>
    </w:lvl>
    <w:lvl w:ilvl="3" w:tentative="1">
      <w:start w:val="1"/>
      <w:numFmt w:val="bullet"/>
      <w:lvlText w:val=""/>
      <w:lvlJc w:val="left"/>
      <w:pPr>
        <w:ind w:left="3359" w:hanging="360"/>
      </w:pPr>
      <w:rPr>
        <w:rFonts w:ascii="Symbol" w:hAnsi="Symbol" w:hint="default"/>
      </w:rPr>
    </w:lvl>
    <w:lvl w:ilvl="4" w:tentative="1">
      <w:start w:val="1"/>
      <w:numFmt w:val="bullet"/>
      <w:lvlText w:val="o"/>
      <w:lvlJc w:val="left"/>
      <w:pPr>
        <w:ind w:left="4079" w:hanging="360"/>
      </w:pPr>
      <w:rPr>
        <w:rFonts w:ascii="Courier New" w:hAnsi="Courier New" w:cs="Courier New" w:hint="default"/>
      </w:rPr>
    </w:lvl>
    <w:lvl w:ilvl="5" w:tentative="1">
      <w:start w:val="1"/>
      <w:numFmt w:val="bullet"/>
      <w:lvlText w:val=""/>
      <w:lvlJc w:val="left"/>
      <w:pPr>
        <w:ind w:left="4799" w:hanging="360"/>
      </w:pPr>
      <w:rPr>
        <w:rFonts w:ascii="Wingdings" w:hAnsi="Wingdings" w:hint="default"/>
      </w:rPr>
    </w:lvl>
    <w:lvl w:ilvl="6" w:tentative="1">
      <w:start w:val="1"/>
      <w:numFmt w:val="bullet"/>
      <w:lvlText w:val=""/>
      <w:lvlJc w:val="left"/>
      <w:pPr>
        <w:ind w:left="5519" w:hanging="360"/>
      </w:pPr>
      <w:rPr>
        <w:rFonts w:ascii="Symbol" w:hAnsi="Symbol" w:hint="default"/>
      </w:rPr>
    </w:lvl>
    <w:lvl w:ilvl="7" w:tentative="1">
      <w:start w:val="1"/>
      <w:numFmt w:val="bullet"/>
      <w:lvlText w:val="o"/>
      <w:lvlJc w:val="left"/>
      <w:pPr>
        <w:ind w:left="6239" w:hanging="360"/>
      </w:pPr>
      <w:rPr>
        <w:rFonts w:ascii="Courier New" w:hAnsi="Courier New" w:cs="Courier New" w:hint="default"/>
      </w:rPr>
    </w:lvl>
    <w:lvl w:ilvl="8" w:tentative="1">
      <w:start w:val="1"/>
      <w:numFmt w:val="bullet"/>
      <w:lvlText w:val=""/>
      <w:lvlJc w:val="left"/>
      <w:pPr>
        <w:ind w:left="6959" w:hanging="360"/>
      </w:pPr>
      <w:rPr>
        <w:rFonts w:ascii="Wingdings" w:hAnsi="Wingdings" w:hint="default"/>
      </w:rPr>
    </w:lvl>
  </w:abstractNum>
  <w:abstractNum w:abstractNumId="46">
    <w:nsid w:val="4A5848B0"/>
    <w:multiLevelType w:val="hybridMultilevel"/>
    <w:tmpl w:val="9F2831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4BA07E8F"/>
    <w:multiLevelType w:val="hybridMultilevel"/>
    <w:tmpl w:val="1D9E8E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C2205F2"/>
    <w:multiLevelType w:val="hybridMultilevel"/>
    <w:tmpl w:val="79645E78"/>
    <w:lvl w:ilvl="0">
      <w:start w:val="0"/>
      <w:numFmt w:val="bullet"/>
      <w:lvlText w:val=""/>
      <w:lvlJc w:val="left"/>
      <w:pPr>
        <w:ind w:left="990" w:hanging="360"/>
      </w:pPr>
      <w:rPr>
        <w:rFonts w:ascii="Symbol" w:eastAsia="Symbol" w:hAnsi="Symbol" w:cs="Symbol" w:hint="default"/>
        <w:b w:val="0"/>
        <w:bCs w:val="0"/>
        <w:i w:val="0"/>
        <w:iCs w:val="0"/>
        <w:spacing w:val="0"/>
        <w:w w:val="99"/>
        <w:sz w:val="22"/>
        <w:szCs w:val="22"/>
        <w:lang w:val="en-US" w:eastAsia="en-US" w:bidi="ar-SA"/>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9">
    <w:nsid w:val="4C5F1B01"/>
    <w:multiLevelType w:val="hybridMultilevel"/>
    <w:tmpl w:val="3DF8D2A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0">
    <w:nsid w:val="52B06B09"/>
    <w:multiLevelType w:val="hybridMultilevel"/>
    <w:tmpl w:val="21A4E57A"/>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1">
    <w:nsid w:val="571F13F7"/>
    <w:multiLevelType w:val="hybridMultilevel"/>
    <w:tmpl w:val="3E86F2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738440E"/>
    <w:multiLevelType w:val="hybridMultilevel"/>
    <w:tmpl w:val="D982EA86"/>
    <w:lvl w:ilvl="0">
      <w:start w:val="0"/>
      <w:numFmt w:val="bullet"/>
      <w:lvlText w:val=""/>
      <w:lvlJc w:val="left"/>
      <w:pPr>
        <w:ind w:left="1152" w:hanging="360"/>
      </w:pPr>
      <w:rPr>
        <w:rFonts w:ascii="Symbol" w:eastAsia="Symbol" w:hAnsi="Symbol" w:cs="Symbol" w:hint="default"/>
        <w:b w:val="0"/>
        <w:bCs w:val="0"/>
        <w:i w:val="0"/>
        <w:iCs w:val="0"/>
        <w:spacing w:val="0"/>
        <w:w w:val="99"/>
        <w:sz w:val="22"/>
        <w:szCs w:val="22"/>
        <w:lang w:val="en-US" w:eastAsia="en-US" w:bidi="ar-SA"/>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53">
    <w:nsid w:val="6187323C"/>
    <w:multiLevelType w:val="hybridMultilevel"/>
    <w:tmpl w:val="CD12B7C0"/>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54">
    <w:nsid w:val="61CF7D6F"/>
    <w:multiLevelType w:val="hybridMultilevel"/>
    <w:tmpl w:val="AAF406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63324988"/>
    <w:multiLevelType w:val="hybridMultilevel"/>
    <w:tmpl w:val="6F207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6B908F0"/>
    <w:multiLevelType w:val="hybridMultilevel"/>
    <w:tmpl w:val="50A2A8F2"/>
    <w:lvl w:ilvl="0">
      <w:start w:val="0"/>
      <w:numFmt w:val="bullet"/>
      <w:lvlText w:val=""/>
      <w:lvlJc w:val="left"/>
      <w:pPr>
        <w:ind w:left="1152" w:hanging="360"/>
      </w:pPr>
      <w:rPr>
        <w:rFonts w:ascii="Symbol" w:eastAsia="Symbol" w:hAnsi="Symbol" w:cs="Symbol" w:hint="default"/>
        <w:b w:val="0"/>
        <w:bCs w:val="0"/>
        <w:i w:val="0"/>
        <w:iCs w:val="0"/>
        <w:spacing w:val="0"/>
        <w:w w:val="99"/>
        <w:sz w:val="22"/>
        <w:szCs w:val="22"/>
        <w:lang w:val="en-US" w:eastAsia="en-US" w:bidi="ar-SA"/>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7">
    <w:nsid w:val="6C537881"/>
    <w:multiLevelType w:val="hybridMultilevel"/>
    <w:tmpl w:val="4BAC8A80"/>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E9213D8"/>
    <w:multiLevelType w:val="hybridMultilevel"/>
    <w:tmpl w:val="0A780E14"/>
    <w:lvl w:ilvl="0">
      <w:start w:val="0"/>
      <w:numFmt w:val="bullet"/>
      <w:lvlText w:val=""/>
      <w:lvlJc w:val="left"/>
      <w:pPr>
        <w:ind w:left="1152" w:hanging="360"/>
      </w:pPr>
      <w:rPr>
        <w:rFonts w:ascii="Symbol" w:eastAsia="Symbol" w:hAnsi="Symbol" w:cs="Symbol" w:hint="default"/>
        <w:b w:val="0"/>
        <w:bCs w:val="0"/>
        <w:i w:val="0"/>
        <w:iCs w:val="0"/>
        <w:spacing w:val="0"/>
        <w:w w:val="99"/>
        <w:sz w:val="22"/>
        <w:szCs w:val="22"/>
        <w:lang w:val="en-US" w:eastAsia="en-US" w:bidi="ar-SA"/>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9">
    <w:nsid w:val="73DA3DB6"/>
    <w:multiLevelType w:val="hybridMultilevel"/>
    <w:tmpl w:val="7160C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46C317B"/>
    <w:multiLevelType w:val="hybridMultilevel"/>
    <w:tmpl w:val="009A8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4855CB1"/>
    <w:multiLevelType w:val="hybridMultilevel"/>
    <w:tmpl w:val="58CC22A4"/>
    <w:lvl w:ilvl="0">
      <w:start w:val="0"/>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770F53F1"/>
    <w:multiLevelType w:val="hybridMultilevel"/>
    <w:tmpl w:val="76B0C494"/>
    <w:lvl w:ilvl="0">
      <w:start w:val="1"/>
      <w:numFmt w:val="bullet"/>
      <w:lvlText w:val=""/>
      <w:lvlJc w:val="left"/>
      <w:pPr>
        <w:ind w:left="1152"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3">
    <w:nsid w:val="7BA826C8"/>
    <w:multiLevelType w:val="hybridMultilevel"/>
    <w:tmpl w:val="0B5C1A98"/>
    <w:lvl w:ilvl="0">
      <w:start w:val="0"/>
      <w:numFmt w:val="bullet"/>
      <w:lvlText w:val=""/>
      <w:lvlJc w:val="left"/>
      <w:pPr>
        <w:ind w:left="1152" w:hanging="360"/>
      </w:pPr>
      <w:rPr>
        <w:rFonts w:ascii="Symbol" w:eastAsia="Symbol" w:hAnsi="Symbol" w:cs="Symbol" w:hint="default"/>
        <w:b w:val="0"/>
        <w:bCs w:val="0"/>
        <w:i w:val="0"/>
        <w:iCs w:val="0"/>
        <w:spacing w:val="0"/>
        <w:w w:val="99"/>
        <w:sz w:val="22"/>
        <w:szCs w:val="22"/>
        <w:lang w:val="en-US" w:eastAsia="en-US" w:bidi="ar-SA"/>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4">
    <w:nsid w:val="7C813EEA"/>
    <w:multiLevelType w:val="hybridMultilevel"/>
    <w:tmpl w:val="CA40AF66"/>
    <w:lvl w:ilvl="0">
      <w:start w:val="1"/>
      <w:numFmt w:val="bullet"/>
      <w:lvlText w:val=""/>
      <w:lvlJc w:val="left"/>
      <w:pPr>
        <w:ind w:left="838" w:hanging="360"/>
      </w:pPr>
      <w:rPr>
        <w:rFonts w:ascii="Symbol" w:hAnsi="Symbol" w:hint="default"/>
      </w:rPr>
    </w:lvl>
    <w:lvl w:ilvl="1" w:tentative="1">
      <w:start w:val="1"/>
      <w:numFmt w:val="bullet"/>
      <w:lvlText w:val="o"/>
      <w:lvlJc w:val="left"/>
      <w:pPr>
        <w:ind w:left="1558" w:hanging="360"/>
      </w:pPr>
      <w:rPr>
        <w:rFonts w:ascii="Courier New" w:hAnsi="Courier New" w:cs="Courier New" w:hint="default"/>
      </w:rPr>
    </w:lvl>
    <w:lvl w:ilvl="2" w:tentative="1">
      <w:start w:val="1"/>
      <w:numFmt w:val="bullet"/>
      <w:lvlText w:val=""/>
      <w:lvlJc w:val="left"/>
      <w:pPr>
        <w:ind w:left="2278" w:hanging="360"/>
      </w:pPr>
      <w:rPr>
        <w:rFonts w:ascii="Wingdings" w:hAnsi="Wingdings" w:hint="default"/>
      </w:rPr>
    </w:lvl>
    <w:lvl w:ilvl="3" w:tentative="1">
      <w:start w:val="1"/>
      <w:numFmt w:val="bullet"/>
      <w:lvlText w:val=""/>
      <w:lvlJc w:val="left"/>
      <w:pPr>
        <w:ind w:left="2998" w:hanging="360"/>
      </w:pPr>
      <w:rPr>
        <w:rFonts w:ascii="Symbol" w:hAnsi="Symbol" w:hint="default"/>
      </w:rPr>
    </w:lvl>
    <w:lvl w:ilvl="4" w:tentative="1">
      <w:start w:val="1"/>
      <w:numFmt w:val="bullet"/>
      <w:lvlText w:val="o"/>
      <w:lvlJc w:val="left"/>
      <w:pPr>
        <w:ind w:left="3718" w:hanging="360"/>
      </w:pPr>
      <w:rPr>
        <w:rFonts w:ascii="Courier New" w:hAnsi="Courier New" w:cs="Courier New" w:hint="default"/>
      </w:rPr>
    </w:lvl>
    <w:lvl w:ilvl="5" w:tentative="1">
      <w:start w:val="1"/>
      <w:numFmt w:val="bullet"/>
      <w:lvlText w:val=""/>
      <w:lvlJc w:val="left"/>
      <w:pPr>
        <w:ind w:left="4438" w:hanging="360"/>
      </w:pPr>
      <w:rPr>
        <w:rFonts w:ascii="Wingdings" w:hAnsi="Wingdings" w:hint="default"/>
      </w:rPr>
    </w:lvl>
    <w:lvl w:ilvl="6" w:tentative="1">
      <w:start w:val="1"/>
      <w:numFmt w:val="bullet"/>
      <w:lvlText w:val=""/>
      <w:lvlJc w:val="left"/>
      <w:pPr>
        <w:ind w:left="5158" w:hanging="360"/>
      </w:pPr>
      <w:rPr>
        <w:rFonts w:ascii="Symbol" w:hAnsi="Symbol" w:hint="default"/>
      </w:rPr>
    </w:lvl>
    <w:lvl w:ilvl="7" w:tentative="1">
      <w:start w:val="1"/>
      <w:numFmt w:val="bullet"/>
      <w:lvlText w:val="o"/>
      <w:lvlJc w:val="left"/>
      <w:pPr>
        <w:ind w:left="5878" w:hanging="360"/>
      </w:pPr>
      <w:rPr>
        <w:rFonts w:ascii="Courier New" w:hAnsi="Courier New" w:cs="Courier New" w:hint="default"/>
      </w:rPr>
    </w:lvl>
    <w:lvl w:ilvl="8" w:tentative="1">
      <w:start w:val="1"/>
      <w:numFmt w:val="bullet"/>
      <w:lvlText w:val=""/>
      <w:lvlJc w:val="left"/>
      <w:pPr>
        <w:ind w:left="6598" w:hanging="360"/>
      </w:pPr>
      <w:rPr>
        <w:rFonts w:ascii="Wingdings" w:hAnsi="Wingdings" w:hint="default"/>
      </w:rPr>
    </w:lvl>
  </w:abstractNum>
  <w:num w:numId="1" w16cid:durableId="918831109">
    <w:abstractNumId w:val="8"/>
  </w:num>
  <w:num w:numId="2" w16cid:durableId="1042048647">
    <w:abstractNumId w:val="50"/>
  </w:num>
  <w:num w:numId="3" w16cid:durableId="1671175815">
    <w:abstractNumId w:val="43"/>
  </w:num>
  <w:num w:numId="4" w16cid:durableId="169030495">
    <w:abstractNumId w:val="59"/>
  </w:num>
  <w:num w:numId="5" w16cid:durableId="1138376746">
    <w:abstractNumId w:val="42"/>
  </w:num>
  <w:num w:numId="6" w16cid:durableId="1166094381">
    <w:abstractNumId w:val="21"/>
  </w:num>
  <w:num w:numId="7" w16cid:durableId="1931545110">
    <w:abstractNumId w:val="60"/>
  </w:num>
  <w:num w:numId="8" w16cid:durableId="280961779">
    <w:abstractNumId w:val="4"/>
  </w:num>
  <w:num w:numId="9" w16cid:durableId="1754739451">
    <w:abstractNumId w:val="5"/>
  </w:num>
  <w:num w:numId="10" w16cid:durableId="1872843785">
    <w:abstractNumId w:val="20"/>
  </w:num>
  <w:num w:numId="11" w16cid:durableId="1268123408">
    <w:abstractNumId w:val="23"/>
  </w:num>
  <w:num w:numId="12" w16cid:durableId="1767070988">
    <w:abstractNumId w:val="54"/>
  </w:num>
  <w:num w:numId="13" w16cid:durableId="1256816362">
    <w:abstractNumId w:val="17"/>
  </w:num>
  <w:num w:numId="14" w16cid:durableId="1956906694">
    <w:abstractNumId w:val="15"/>
  </w:num>
  <w:num w:numId="15" w16cid:durableId="1387027945">
    <w:abstractNumId w:val="9"/>
  </w:num>
  <w:num w:numId="16" w16cid:durableId="622079035">
    <w:abstractNumId w:val="2"/>
  </w:num>
  <w:num w:numId="17" w16cid:durableId="1915318773">
    <w:abstractNumId w:val="18"/>
  </w:num>
  <w:num w:numId="18" w16cid:durableId="46882697">
    <w:abstractNumId w:val="55"/>
  </w:num>
  <w:num w:numId="19" w16cid:durableId="1065687105">
    <w:abstractNumId w:val="32"/>
  </w:num>
  <w:num w:numId="20" w16cid:durableId="304354826">
    <w:abstractNumId w:val="26"/>
  </w:num>
  <w:num w:numId="21" w16cid:durableId="718476326">
    <w:abstractNumId w:val="27"/>
  </w:num>
  <w:num w:numId="22" w16cid:durableId="1497912569">
    <w:abstractNumId w:val="51"/>
  </w:num>
  <w:num w:numId="23" w16cid:durableId="422261633">
    <w:abstractNumId w:val="22"/>
  </w:num>
  <w:num w:numId="24" w16cid:durableId="568273370">
    <w:abstractNumId w:val="10"/>
  </w:num>
  <w:num w:numId="25" w16cid:durableId="1704288703">
    <w:abstractNumId w:val="41"/>
  </w:num>
  <w:num w:numId="26" w16cid:durableId="202446752">
    <w:abstractNumId w:val="1"/>
  </w:num>
  <w:num w:numId="27" w16cid:durableId="182130539">
    <w:abstractNumId w:val="13"/>
  </w:num>
  <w:num w:numId="28" w16cid:durableId="2029987652">
    <w:abstractNumId w:val="14"/>
  </w:num>
  <w:num w:numId="29" w16cid:durableId="354502362">
    <w:abstractNumId w:val="46"/>
  </w:num>
  <w:num w:numId="30" w16cid:durableId="1026176756">
    <w:abstractNumId w:val="49"/>
  </w:num>
  <w:num w:numId="31" w16cid:durableId="895317967">
    <w:abstractNumId w:val="44"/>
  </w:num>
  <w:num w:numId="32" w16cid:durableId="706222040">
    <w:abstractNumId w:val="31"/>
  </w:num>
  <w:num w:numId="33" w16cid:durableId="492643286">
    <w:abstractNumId w:val="28"/>
  </w:num>
  <w:num w:numId="34" w16cid:durableId="1854418362">
    <w:abstractNumId w:val="64"/>
  </w:num>
  <w:num w:numId="35" w16cid:durableId="524830996">
    <w:abstractNumId w:val="39"/>
  </w:num>
  <w:num w:numId="36" w16cid:durableId="517888153">
    <w:abstractNumId w:val="34"/>
  </w:num>
  <w:num w:numId="37" w16cid:durableId="1508909991">
    <w:abstractNumId w:val="19"/>
  </w:num>
  <w:num w:numId="38" w16cid:durableId="159463726">
    <w:abstractNumId w:val="53"/>
  </w:num>
  <w:num w:numId="39" w16cid:durableId="296569942">
    <w:abstractNumId w:val="0"/>
  </w:num>
  <w:num w:numId="40" w16cid:durableId="2110618137">
    <w:abstractNumId w:val="62"/>
  </w:num>
  <w:num w:numId="41" w16cid:durableId="1147594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5127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88270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5626435">
    <w:abstractNumId w:val="30"/>
  </w:num>
  <w:num w:numId="45" w16cid:durableId="140998210">
    <w:abstractNumId w:val="7"/>
  </w:num>
  <w:num w:numId="46" w16cid:durableId="360714500">
    <w:abstractNumId w:val="57"/>
  </w:num>
  <w:num w:numId="47" w16cid:durableId="1667515559">
    <w:abstractNumId w:val="3"/>
  </w:num>
  <w:num w:numId="48" w16cid:durableId="453401970">
    <w:abstractNumId w:val="12"/>
  </w:num>
  <w:num w:numId="49" w16cid:durableId="1068261376">
    <w:abstractNumId w:val="29"/>
  </w:num>
  <w:num w:numId="50" w16cid:durableId="1907916596">
    <w:abstractNumId w:val="45"/>
  </w:num>
  <w:num w:numId="51" w16cid:durableId="1536692919">
    <w:abstractNumId w:val="33"/>
  </w:num>
  <w:num w:numId="52" w16cid:durableId="655106274">
    <w:abstractNumId w:val="36"/>
  </w:num>
  <w:num w:numId="53" w16cid:durableId="194078894">
    <w:abstractNumId w:val="37"/>
  </w:num>
  <w:num w:numId="54" w16cid:durableId="370691175">
    <w:abstractNumId w:val="47"/>
  </w:num>
  <w:num w:numId="55" w16cid:durableId="1513061941">
    <w:abstractNumId w:val="11"/>
  </w:num>
  <w:num w:numId="56" w16cid:durableId="488865228">
    <w:abstractNumId w:val="48"/>
  </w:num>
  <w:num w:numId="57" w16cid:durableId="1597519107">
    <w:abstractNumId w:val="61"/>
  </w:num>
  <w:num w:numId="58" w16cid:durableId="472403590">
    <w:abstractNumId w:val="25"/>
  </w:num>
  <w:num w:numId="59" w16cid:durableId="435902174">
    <w:abstractNumId w:val="40"/>
  </w:num>
  <w:num w:numId="60" w16cid:durableId="825323324">
    <w:abstractNumId w:val="16"/>
  </w:num>
  <w:num w:numId="61" w16cid:durableId="1085691757">
    <w:abstractNumId w:val="24"/>
  </w:num>
  <w:num w:numId="62" w16cid:durableId="264271123">
    <w:abstractNumId w:val="35"/>
  </w:num>
  <w:num w:numId="63" w16cid:durableId="968587788">
    <w:abstractNumId w:val="63"/>
  </w:num>
  <w:num w:numId="64" w16cid:durableId="379479679">
    <w:abstractNumId w:val="52"/>
  </w:num>
  <w:num w:numId="65" w16cid:durableId="238901960">
    <w:abstractNumId w:val="58"/>
  </w:num>
  <w:num w:numId="66" w16cid:durableId="1326978834">
    <w:abstractNumId w:val="38"/>
  </w:num>
  <w:num w:numId="67" w16cid:durableId="892737223">
    <w:abstractNumId w:val="6"/>
  </w:num>
  <w:num w:numId="68" w16cid:durableId="422461811">
    <w:abstractNumId w:val="56"/>
  </w:num>
  <w:num w:numId="69" w16cid:durableId="1405714200">
    <w:abstractNumId w:val="15"/>
    <w:lvlOverride w:ilvl="0">
      <w:startOverride w:val="12"/>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A1"/>
    <w:rsid w:val="000001B3"/>
    <w:rsid w:val="00000711"/>
    <w:rsid w:val="00000941"/>
    <w:rsid w:val="00000B37"/>
    <w:rsid w:val="00000F2C"/>
    <w:rsid w:val="000015C4"/>
    <w:rsid w:val="00001719"/>
    <w:rsid w:val="000018D1"/>
    <w:rsid w:val="00001A31"/>
    <w:rsid w:val="00001BD5"/>
    <w:rsid w:val="00001DFD"/>
    <w:rsid w:val="00001E65"/>
    <w:rsid w:val="000023EA"/>
    <w:rsid w:val="000023F9"/>
    <w:rsid w:val="000025F0"/>
    <w:rsid w:val="000026BD"/>
    <w:rsid w:val="00002B5E"/>
    <w:rsid w:val="00002ED3"/>
    <w:rsid w:val="00002F29"/>
    <w:rsid w:val="00002FE8"/>
    <w:rsid w:val="0000369C"/>
    <w:rsid w:val="00003D5B"/>
    <w:rsid w:val="00004364"/>
    <w:rsid w:val="00004A02"/>
    <w:rsid w:val="0000529C"/>
    <w:rsid w:val="00005413"/>
    <w:rsid w:val="000056AF"/>
    <w:rsid w:val="00005865"/>
    <w:rsid w:val="00005D05"/>
    <w:rsid w:val="00005F11"/>
    <w:rsid w:val="000060F0"/>
    <w:rsid w:val="0000610C"/>
    <w:rsid w:val="000064CA"/>
    <w:rsid w:val="00007069"/>
    <w:rsid w:val="0000736A"/>
    <w:rsid w:val="0000740D"/>
    <w:rsid w:val="00007B5F"/>
    <w:rsid w:val="000106F3"/>
    <w:rsid w:val="00010BF3"/>
    <w:rsid w:val="000111F0"/>
    <w:rsid w:val="000113B2"/>
    <w:rsid w:val="000117CD"/>
    <w:rsid w:val="00012060"/>
    <w:rsid w:val="00012BC3"/>
    <w:rsid w:val="00013231"/>
    <w:rsid w:val="00014063"/>
    <w:rsid w:val="000140B4"/>
    <w:rsid w:val="000141A1"/>
    <w:rsid w:val="0001463D"/>
    <w:rsid w:val="00014733"/>
    <w:rsid w:val="00014D99"/>
    <w:rsid w:val="00015B9E"/>
    <w:rsid w:val="00016369"/>
    <w:rsid w:val="0001694B"/>
    <w:rsid w:val="00016A65"/>
    <w:rsid w:val="00016C6A"/>
    <w:rsid w:val="00017A77"/>
    <w:rsid w:val="00017D09"/>
    <w:rsid w:val="00020255"/>
    <w:rsid w:val="00020471"/>
    <w:rsid w:val="00020854"/>
    <w:rsid w:val="00021721"/>
    <w:rsid w:val="00021F8D"/>
    <w:rsid w:val="00022224"/>
    <w:rsid w:val="000231A6"/>
    <w:rsid w:val="000240B0"/>
    <w:rsid w:val="000241DB"/>
    <w:rsid w:val="000243B5"/>
    <w:rsid w:val="0002460D"/>
    <w:rsid w:val="0002477D"/>
    <w:rsid w:val="00025085"/>
    <w:rsid w:val="0002513C"/>
    <w:rsid w:val="00025498"/>
    <w:rsid w:val="000255F8"/>
    <w:rsid w:val="000259A7"/>
    <w:rsid w:val="00025E0E"/>
    <w:rsid w:val="00025EA1"/>
    <w:rsid w:val="000261DC"/>
    <w:rsid w:val="0002660E"/>
    <w:rsid w:val="00026803"/>
    <w:rsid w:val="00026BAB"/>
    <w:rsid w:val="00026C83"/>
    <w:rsid w:val="00026E79"/>
    <w:rsid w:val="000271D6"/>
    <w:rsid w:val="0003021D"/>
    <w:rsid w:val="00030547"/>
    <w:rsid w:val="000309F5"/>
    <w:rsid w:val="000319AA"/>
    <w:rsid w:val="00032011"/>
    <w:rsid w:val="00032189"/>
    <w:rsid w:val="000323B5"/>
    <w:rsid w:val="0003256D"/>
    <w:rsid w:val="00032977"/>
    <w:rsid w:val="00032B02"/>
    <w:rsid w:val="00032BE2"/>
    <w:rsid w:val="0003310A"/>
    <w:rsid w:val="00033503"/>
    <w:rsid w:val="00033AF3"/>
    <w:rsid w:val="00033FF6"/>
    <w:rsid w:val="00034143"/>
    <w:rsid w:val="00034513"/>
    <w:rsid w:val="00034797"/>
    <w:rsid w:val="00034833"/>
    <w:rsid w:val="00034DD0"/>
    <w:rsid w:val="000350C3"/>
    <w:rsid w:val="0003588B"/>
    <w:rsid w:val="00035905"/>
    <w:rsid w:val="00035D98"/>
    <w:rsid w:val="00035F59"/>
    <w:rsid w:val="00036CE9"/>
    <w:rsid w:val="0003701E"/>
    <w:rsid w:val="000371E7"/>
    <w:rsid w:val="00037808"/>
    <w:rsid w:val="00037BEF"/>
    <w:rsid w:val="00037CD7"/>
    <w:rsid w:val="00037D25"/>
    <w:rsid w:val="00037F1B"/>
    <w:rsid w:val="00037F7C"/>
    <w:rsid w:val="00037F8F"/>
    <w:rsid w:val="0004039C"/>
    <w:rsid w:val="00040A64"/>
    <w:rsid w:val="00040A6C"/>
    <w:rsid w:val="00040DBF"/>
    <w:rsid w:val="00041405"/>
    <w:rsid w:val="00041BD8"/>
    <w:rsid w:val="00042513"/>
    <w:rsid w:val="00042B7E"/>
    <w:rsid w:val="00042CFB"/>
    <w:rsid w:val="0004346E"/>
    <w:rsid w:val="00043780"/>
    <w:rsid w:val="00043E02"/>
    <w:rsid w:val="00043F99"/>
    <w:rsid w:val="000440D5"/>
    <w:rsid w:val="000440F6"/>
    <w:rsid w:val="00044228"/>
    <w:rsid w:val="000442EE"/>
    <w:rsid w:val="0004448A"/>
    <w:rsid w:val="000446ED"/>
    <w:rsid w:val="000448BB"/>
    <w:rsid w:val="00044A6F"/>
    <w:rsid w:val="00044B0A"/>
    <w:rsid w:val="00044F1A"/>
    <w:rsid w:val="000453F8"/>
    <w:rsid w:val="00045864"/>
    <w:rsid w:val="000459F0"/>
    <w:rsid w:val="00045C08"/>
    <w:rsid w:val="00045C62"/>
    <w:rsid w:val="000461AA"/>
    <w:rsid w:val="00046657"/>
    <w:rsid w:val="000467BA"/>
    <w:rsid w:val="0004684E"/>
    <w:rsid w:val="00046A03"/>
    <w:rsid w:val="00046A7C"/>
    <w:rsid w:val="00046C89"/>
    <w:rsid w:val="00046D3E"/>
    <w:rsid w:val="00046E04"/>
    <w:rsid w:val="00046FF7"/>
    <w:rsid w:val="0004718D"/>
    <w:rsid w:val="000478D7"/>
    <w:rsid w:val="000478E9"/>
    <w:rsid w:val="000479CB"/>
    <w:rsid w:val="00047AE2"/>
    <w:rsid w:val="00050177"/>
    <w:rsid w:val="00050255"/>
    <w:rsid w:val="00050BE2"/>
    <w:rsid w:val="00050C4A"/>
    <w:rsid w:val="00050FC9"/>
    <w:rsid w:val="00051B29"/>
    <w:rsid w:val="0005215A"/>
    <w:rsid w:val="0005278E"/>
    <w:rsid w:val="000529D2"/>
    <w:rsid w:val="00052A81"/>
    <w:rsid w:val="00052DBA"/>
    <w:rsid w:val="000530E4"/>
    <w:rsid w:val="00053132"/>
    <w:rsid w:val="00053417"/>
    <w:rsid w:val="00053D1F"/>
    <w:rsid w:val="00054436"/>
    <w:rsid w:val="0005475D"/>
    <w:rsid w:val="000551BC"/>
    <w:rsid w:val="000554BD"/>
    <w:rsid w:val="00055B8B"/>
    <w:rsid w:val="00055BCF"/>
    <w:rsid w:val="00055E5C"/>
    <w:rsid w:val="0005634A"/>
    <w:rsid w:val="00056B4A"/>
    <w:rsid w:val="00056D5A"/>
    <w:rsid w:val="00056DD5"/>
    <w:rsid w:val="00056E08"/>
    <w:rsid w:val="000571D4"/>
    <w:rsid w:val="000575DD"/>
    <w:rsid w:val="0005762F"/>
    <w:rsid w:val="000579AA"/>
    <w:rsid w:val="00057AB6"/>
    <w:rsid w:val="00057B47"/>
    <w:rsid w:val="00057B9A"/>
    <w:rsid w:val="00057D35"/>
    <w:rsid w:val="00057E8B"/>
    <w:rsid w:val="00057F08"/>
    <w:rsid w:val="00060344"/>
    <w:rsid w:val="00061030"/>
    <w:rsid w:val="0006163B"/>
    <w:rsid w:val="00061924"/>
    <w:rsid w:val="000621A2"/>
    <w:rsid w:val="00062836"/>
    <w:rsid w:val="00062CA1"/>
    <w:rsid w:val="00062D37"/>
    <w:rsid w:val="00063379"/>
    <w:rsid w:val="00063944"/>
    <w:rsid w:val="00064748"/>
    <w:rsid w:val="0006497C"/>
    <w:rsid w:val="00064CCE"/>
    <w:rsid w:val="00065A28"/>
    <w:rsid w:val="00065C66"/>
    <w:rsid w:val="00065DA2"/>
    <w:rsid w:val="00065E27"/>
    <w:rsid w:val="00065F10"/>
    <w:rsid w:val="000660E0"/>
    <w:rsid w:val="00066194"/>
    <w:rsid w:val="0006653E"/>
    <w:rsid w:val="000668D4"/>
    <w:rsid w:val="00066A37"/>
    <w:rsid w:val="00066E60"/>
    <w:rsid w:val="00067446"/>
    <w:rsid w:val="00067831"/>
    <w:rsid w:val="00067888"/>
    <w:rsid w:val="00067DFA"/>
    <w:rsid w:val="00067F57"/>
    <w:rsid w:val="00070BC6"/>
    <w:rsid w:val="00070E97"/>
    <w:rsid w:val="0007111F"/>
    <w:rsid w:val="00071590"/>
    <w:rsid w:val="0007173C"/>
    <w:rsid w:val="00071820"/>
    <w:rsid w:val="00071873"/>
    <w:rsid w:val="000726EB"/>
    <w:rsid w:val="00072BBF"/>
    <w:rsid w:val="00072EF1"/>
    <w:rsid w:val="000730C9"/>
    <w:rsid w:val="0007323E"/>
    <w:rsid w:val="0007364B"/>
    <w:rsid w:val="000738FC"/>
    <w:rsid w:val="00073B31"/>
    <w:rsid w:val="000745E5"/>
    <w:rsid w:val="000748DB"/>
    <w:rsid w:val="00074B18"/>
    <w:rsid w:val="00074FB1"/>
    <w:rsid w:val="000750D1"/>
    <w:rsid w:val="00075930"/>
    <w:rsid w:val="00075967"/>
    <w:rsid w:val="00075BBF"/>
    <w:rsid w:val="00075DF3"/>
    <w:rsid w:val="000763E2"/>
    <w:rsid w:val="00076422"/>
    <w:rsid w:val="0007707B"/>
    <w:rsid w:val="00077201"/>
    <w:rsid w:val="000806FF"/>
    <w:rsid w:val="00080732"/>
    <w:rsid w:val="00080B81"/>
    <w:rsid w:val="00080C22"/>
    <w:rsid w:val="0008137D"/>
    <w:rsid w:val="000816EE"/>
    <w:rsid w:val="00082F0F"/>
    <w:rsid w:val="00083857"/>
    <w:rsid w:val="00083E32"/>
    <w:rsid w:val="00084880"/>
    <w:rsid w:val="00084E3A"/>
    <w:rsid w:val="00084FF0"/>
    <w:rsid w:val="000851EB"/>
    <w:rsid w:val="000854D2"/>
    <w:rsid w:val="00085BFB"/>
    <w:rsid w:val="00086036"/>
    <w:rsid w:val="00086F89"/>
    <w:rsid w:val="00087431"/>
    <w:rsid w:val="000875FE"/>
    <w:rsid w:val="00087B8A"/>
    <w:rsid w:val="00087DC8"/>
    <w:rsid w:val="0009027D"/>
    <w:rsid w:val="00090498"/>
    <w:rsid w:val="00091CF1"/>
    <w:rsid w:val="00091E66"/>
    <w:rsid w:val="00091F7C"/>
    <w:rsid w:val="00092062"/>
    <w:rsid w:val="00092701"/>
    <w:rsid w:val="00092B8C"/>
    <w:rsid w:val="00092EBA"/>
    <w:rsid w:val="0009377E"/>
    <w:rsid w:val="00093951"/>
    <w:rsid w:val="00093FFA"/>
    <w:rsid w:val="00094865"/>
    <w:rsid w:val="00094A2F"/>
    <w:rsid w:val="00094BC3"/>
    <w:rsid w:val="00094C75"/>
    <w:rsid w:val="00094FA9"/>
    <w:rsid w:val="00095044"/>
    <w:rsid w:val="0009559D"/>
    <w:rsid w:val="00095611"/>
    <w:rsid w:val="00095645"/>
    <w:rsid w:val="00095835"/>
    <w:rsid w:val="000959BC"/>
    <w:rsid w:val="0009617C"/>
    <w:rsid w:val="0009679F"/>
    <w:rsid w:val="00096B81"/>
    <w:rsid w:val="000972AD"/>
    <w:rsid w:val="00097445"/>
    <w:rsid w:val="0009754E"/>
    <w:rsid w:val="000979BF"/>
    <w:rsid w:val="00097D03"/>
    <w:rsid w:val="00097DBE"/>
    <w:rsid w:val="00097EF3"/>
    <w:rsid w:val="000A0967"/>
    <w:rsid w:val="000A0E5A"/>
    <w:rsid w:val="000A0E98"/>
    <w:rsid w:val="000A12D2"/>
    <w:rsid w:val="000A133E"/>
    <w:rsid w:val="000A13F6"/>
    <w:rsid w:val="000A1482"/>
    <w:rsid w:val="000A1BBC"/>
    <w:rsid w:val="000A228F"/>
    <w:rsid w:val="000A2782"/>
    <w:rsid w:val="000A2D79"/>
    <w:rsid w:val="000A2F9E"/>
    <w:rsid w:val="000A3487"/>
    <w:rsid w:val="000A3B15"/>
    <w:rsid w:val="000A3C31"/>
    <w:rsid w:val="000A4530"/>
    <w:rsid w:val="000A4D82"/>
    <w:rsid w:val="000A5D9B"/>
    <w:rsid w:val="000A5E89"/>
    <w:rsid w:val="000A6453"/>
    <w:rsid w:val="000A7248"/>
    <w:rsid w:val="000A7959"/>
    <w:rsid w:val="000A7BD7"/>
    <w:rsid w:val="000A7E4C"/>
    <w:rsid w:val="000B041E"/>
    <w:rsid w:val="000B076A"/>
    <w:rsid w:val="000B0A35"/>
    <w:rsid w:val="000B0E15"/>
    <w:rsid w:val="000B0F61"/>
    <w:rsid w:val="000B18DF"/>
    <w:rsid w:val="000B223D"/>
    <w:rsid w:val="000B2A00"/>
    <w:rsid w:val="000B2CA5"/>
    <w:rsid w:val="000B2DC3"/>
    <w:rsid w:val="000B2F65"/>
    <w:rsid w:val="000B33BE"/>
    <w:rsid w:val="000B3703"/>
    <w:rsid w:val="000B3840"/>
    <w:rsid w:val="000B40AC"/>
    <w:rsid w:val="000B417E"/>
    <w:rsid w:val="000B473D"/>
    <w:rsid w:val="000B4B0F"/>
    <w:rsid w:val="000B4DBB"/>
    <w:rsid w:val="000B5519"/>
    <w:rsid w:val="000B558B"/>
    <w:rsid w:val="000B5781"/>
    <w:rsid w:val="000B5C9D"/>
    <w:rsid w:val="000B5D06"/>
    <w:rsid w:val="000B6133"/>
    <w:rsid w:val="000B6338"/>
    <w:rsid w:val="000B6389"/>
    <w:rsid w:val="000B7213"/>
    <w:rsid w:val="000B7597"/>
    <w:rsid w:val="000B759F"/>
    <w:rsid w:val="000B7ED8"/>
    <w:rsid w:val="000C0510"/>
    <w:rsid w:val="000C0931"/>
    <w:rsid w:val="000C0943"/>
    <w:rsid w:val="000C0A0C"/>
    <w:rsid w:val="000C0AB8"/>
    <w:rsid w:val="000C1013"/>
    <w:rsid w:val="000C13E3"/>
    <w:rsid w:val="000C14D4"/>
    <w:rsid w:val="000C17D3"/>
    <w:rsid w:val="000C1CA5"/>
    <w:rsid w:val="000C1F8D"/>
    <w:rsid w:val="000C20DB"/>
    <w:rsid w:val="000C2286"/>
    <w:rsid w:val="000C231A"/>
    <w:rsid w:val="000C29D7"/>
    <w:rsid w:val="000C2E28"/>
    <w:rsid w:val="000C2E98"/>
    <w:rsid w:val="000C3AD7"/>
    <w:rsid w:val="000C4870"/>
    <w:rsid w:val="000C4E32"/>
    <w:rsid w:val="000C511F"/>
    <w:rsid w:val="000C5FA3"/>
    <w:rsid w:val="000C62BA"/>
    <w:rsid w:val="000C684E"/>
    <w:rsid w:val="000C6B80"/>
    <w:rsid w:val="000C6BD7"/>
    <w:rsid w:val="000C7FDB"/>
    <w:rsid w:val="000D0071"/>
    <w:rsid w:val="000D00F9"/>
    <w:rsid w:val="000D01BD"/>
    <w:rsid w:val="000D041D"/>
    <w:rsid w:val="000D0ADF"/>
    <w:rsid w:val="000D0C9A"/>
    <w:rsid w:val="000D13D8"/>
    <w:rsid w:val="000D23B8"/>
    <w:rsid w:val="000D2A52"/>
    <w:rsid w:val="000D2A83"/>
    <w:rsid w:val="000D2F01"/>
    <w:rsid w:val="000D33A8"/>
    <w:rsid w:val="000D38E2"/>
    <w:rsid w:val="000D4F10"/>
    <w:rsid w:val="000D54D9"/>
    <w:rsid w:val="000D5EDD"/>
    <w:rsid w:val="000D63D7"/>
    <w:rsid w:val="000D68E9"/>
    <w:rsid w:val="000D72BB"/>
    <w:rsid w:val="000E0444"/>
    <w:rsid w:val="000E0AF9"/>
    <w:rsid w:val="000E10E9"/>
    <w:rsid w:val="000E1286"/>
    <w:rsid w:val="000E159B"/>
    <w:rsid w:val="000E1C22"/>
    <w:rsid w:val="000E1D03"/>
    <w:rsid w:val="000E1E77"/>
    <w:rsid w:val="000E1EED"/>
    <w:rsid w:val="000E2303"/>
    <w:rsid w:val="000E241A"/>
    <w:rsid w:val="000E26E5"/>
    <w:rsid w:val="000E27BF"/>
    <w:rsid w:val="000E2BA3"/>
    <w:rsid w:val="000E2D4E"/>
    <w:rsid w:val="000E2D88"/>
    <w:rsid w:val="000E31F7"/>
    <w:rsid w:val="000E36A4"/>
    <w:rsid w:val="000E38ED"/>
    <w:rsid w:val="000E41D1"/>
    <w:rsid w:val="000E444B"/>
    <w:rsid w:val="000E4768"/>
    <w:rsid w:val="000E476A"/>
    <w:rsid w:val="000E48DE"/>
    <w:rsid w:val="000E4B39"/>
    <w:rsid w:val="000E4C0E"/>
    <w:rsid w:val="000E5166"/>
    <w:rsid w:val="000E5394"/>
    <w:rsid w:val="000E547F"/>
    <w:rsid w:val="000E554E"/>
    <w:rsid w:val="000E562C"/>
    <w:rsid w:val="000E5706"/>
    <w:rsid w:val="000E57F2"/>
    <w:rsid w:val="000E599A"/>
    <w:rsid w:val="000E60C1"/>
    <w:rsid w:val="000E6655"/>
    <w:rsid w:val="000E67C0"/>
    <w:rsid w:val="000E682F"/>
    <w:rsid w:val="000E6C5B"/>
    <w:rsid w:val="000E777F"/>
    <w:rsid w:val="000E789E"/>
    <w:rsid w:val="000E79B1"/>
    <w:rsid w:val="000F0099"/>
    <w:rsid w:val="000F053A"/>
    <w:rsid w:val="000F16B8"/>
    <w:rsid w:val="000F17E9"/>
    <w:rsid w:val="000F1914"/>
    <w:rsid w:val="000F26D7"/>
    <w:rsid w:val="000F2B75"/>
    <w:rsid w:val="000F317A"/>
    <w:rsid w:val="000F35BB"/>
    <w:rsid w:val="000F3736"/>
    <w:rsid w:val="000F3770"/>
    <w:rsid w:val="000F3C6F"/>
    <w:rsid w:val="000F452D"/>
    <w:rsid w:val="000F45A8"/>
    <w:rsid w:val="000F46DE"/>
    <w:rsid w:val="000F47A2"/>
    <w:rsid w:val="000F48FA"/>
    <w:rsid w:val="000F4962"/>
    <w:rsid w:val="000F4BAA"/>
    <w:rsid w:val="000F4E4A"/>
    <w:rsid w:val="000F4F4D"/>
    <w:rsid w:val="000F554D"/>
    <w:rsid w:val="000F5A7B"/>
    <w:rsid w:val="000F5B79"/>
    <w:rsid w:val="000F60F0"/>
    <w:rsid w:val="000F634B"/>
    <w:rsid w:val="000F6E76"/>
    <w:rsid w:val="000F6F12"/>
    <w:rsid w:val="000F7A00"/>
    <w:rsid w:val="000F7A98"/>
    <w:rsid w:val="000F7C0C"/>
    <w:rsid w:val="000F7C2F"/>
    <w:rsid w:val="000F7E9A"/>
    <w:rsid w:val="00100A4A"/>
    <w:rsid w:val="00101910"/>
    <w:rsid w:val="00101C6E"/>
    <w:rsid w:val="00101FD6"/>
    <w:rsid w:val="00102384"/>
    <w:rsid w:val="00102944"/>
    <w:rsid w:val="0010304C"/>
    <w:rsid w:val="0010364F"/>
    <w:rsid w:val="00103C8A"/>
    <w:rsid w:val="00103DDC"/>
    <w:rsid w:val="00103E3C"/>
    <w:rsid w:val="00104299"/>
    <w:rsid w:val="0010459D"/>
    <w:rsid w:val="00104BC6"/>
    <w:rsid w:val="00105532"/>
    <w:rsid w:val="00105597"/>
    <w:rsid w:val="0010594A"/>
    <w:rsid w:val="0010623E"/>
    <w:rsid w:val="001063FD"/>
    <w:rsid w:val="001066E2"/>
    <w:rsid w:val="00106821"/>
    <w:rsid w:val="001070BB"/>
    <w:rsid w:val="001070DF"/>
    <w:rsid w:val="00107674"/>
    <w:rsid w:val="00107806"/>
    <w:rsid w:val="00107E15"/>
    <w:rsid w:val="00110690"/>
    <w:rsid w:val="0011080F"/>
    <w:rsid w:val="00110900"/>
    <w:rsid w:val="00110C23"/>
    <w:rsid w:val="00110EC4"/>
    <w:rsid w:val="00111B0F"/>
    <w:rsid w:val="001121DF"/>
    <w:rsid w:val="001121F6"/>
    <w:rsid w:val="00112403"/>
    <w:rsid w:val="00112770"/>
    <w:rsid w:val="00112817"/>
    <w:rsid w:val="00112927"/>
    <w:rsid w:val="00112DD8"/>
    <w:rsid w:val="00113520"/>
    <w:rsid w:val="0011373B"/>
    <w:rsid w:val="00113A77"/>
    <w:rsid w:val="00114045"/>
    <w:rsid w:val="00114333"/>
    <w:rsid w:val="0011465A"/>
    <w:rsid w:val="001156A7"/>
    <w:rsid w:val="0011577C"/>
    <w:rsid w:val="00115DC7"/>
    <w:rsid w:val="00115DE5"/>
    <w:rsid w:val="001166BD"/>
    <w:rsid w:val="00116CC2"/>
    <w:rsid w:val="00116ED9"/>
    <w:rsid w:val="001173B2"/>
    <w:rsid w:val="00117E90"/>
    <w:rsid w:val="00120589"/>
    <w:rsid w:val="0012065D"/>
    <w:rsid w:val="00120857"/>
    <w:rsid w:val="00120A51"/>
    <w:rsid w:val="00120FE0"/>
    <w:rsid w:val="0012127D"/>
    <w:rsid w:val="0012141D"/>
    <w:rsid w:val="00123A37"/>
    <w:rsid w:val="00123D4C"/>
    <w:rsid w:val="00123D85"/>
    <w:rsid w:val="00123F19"/>
    <w:rsid w:val="00124119"/>
    <w:rsid w:val="00124611"/>
    <w:rsid w:val="001249FA"/>
    <w:rsid w:val="00124C74"/>
    <w:rsid w:val="0012588F"/>
    <w:rsid w:val="00125BD8"/>
    <w:rsid w:val="00126318"/>
    <w:rsid w:val="00126335"/>
    <w:rsid w:val="00126833"/>
    <w:rsid w:val="00126A31"/>
    <w:rsid w:val="00126AD9"/>
    <w:rsid w:val="00127286"/>
    <w:rsid w:val="00127805"/>
    <w:rsid w:val="001278BB"/>
    <w:rsid w:val="0013093B"/>
    <w:rsid w:val="0013180B"/>
    <w:rsid w:val="00131EAD"/>
    <w:rsid w:val="00131F02"/>
    <w:rsid w:val="0013241F"/>
    <w:rsid w:val="00132760"/>
    <w:rsid w:val="00132900"/>
    <w:rsid w:val="00132D2C"/>
    <w:rsid w:val="00132DAD"/>
    <w:rsid w:val="00133123"/>
    <w:rsid w:val="0013365D"/>
    <w:rsid w:val="00133667"/>
    <w:rsid w:val="0013389C"/>
    <w:rsid w:val="00133E5C"/>
    <w:rsid w:val="00133F57"/>
    <w:rsid w:val="001343C5"/>
    <w:rsid w:val="0013446A"/>
    <w:rsid w:val="001345DA"/>
    <w:rsid w:val="00134879"/>
    <w:rsid w:val="00134C09"/>
    <w:rsid w:val="001351DA"/>
    <w:rsid w:val="001351E2"/>
    <w:rsid w:val="00135284"/>
    <w:rsid w:val="00135547"/>
    <w:rsid w:val="00135873"/>
    <w:rsid w:val="00135CD1"/>
    <w:rsid w:val="0013618E"/>
    <w:rsid w:val="001363E9"/>
    <w:rsid w:val="00136C73"/>
    <w:rsid w:val="00136FF2"/>
    <w:rsid w:val="0013702F"/>
    <w:rsid w:val="00137642"/>
    <w:rsid w:val="00137C53"/>
    <w:rsid w:val="00140048"/>
    <w:rsid w:val="001406F5"/>
    <w:rsid w:val="00140E47"/>
    <w:rsid w:val="00141172"/>
    <w:rsid w:val="00141505"/>
    <w:rsid w:val="00141766"/>
    <w:rsid w:val="0014192C"/>
    <w:rsid w:val="00141BBE"/>
    <w:rsid w:val="001420F1"/>
    <w:rsid w:val="00142487"/>
    <w:rsid w:val="00142FE5"/>
    <w:rsid w:val="001431D9"/>
    <w:rsid w:val="00143B03"/>
    <w:rsid w:val="00144057"/>
    <w:rsid w:val="0014416C"/>
    <w:rsid w:val="0014421C"/>
    <w:rsid w:val="00144B6A"/>
    <w:rsid w:val="00144C7C"/>
    <w:rsid w:val="00144CF8"/>
    <w:rsid w:val="00145131"/>
    <w:rsid w:val="001454A2"/>
    <w:rsid w:val="00145B37"/>
    <w:rsid w:val="00145F33"/>
    <w:rsid w:val="0014646E"/>
    <w:rsid w:val="001464CB"/>
    <w:rsid w:val="00146853"/>
    <w:rsid w:val="00146A06"/>
    <w:rsid w:val="001474B1"/>
    <w:rsid w:val="00147578"/>
    <w:rsid w:val="00147A3D"/>
    <w:rsid w:val="00147BB9"/>
    <w:rsid w:val="0015041A"/>
    <w:rsid w:val="001506C6"/>
    <w:rsid w:val="00150786"/>
    <w:rsid w:val="00150ADD"/>
    <w:rsid w:val="00150C35"/>
    <w:rsid w:val="00150CB6"/>
    <w:rsid w:val="00151743"/>
    <w:rsid w:val="00151AC8"/>
    <w:rsid w:val="0015227C"/>
    <w:rsid w:val="00152323"/>
    <w:rsid w:val="00152CCE"/>
    <w:rsid w:val="001542E3"/>
    <w:rsid w:val="0015434D"/>
    <w:rsid w:val="0015438E"/>
    <w:rsid w:val="001544EE"/>
    <w:rsid w:val="00154587"/>
    <w:rsid w:val="0015490F"/>
    <w:rsid w:val="001549DD"/>
    <w:rsid w:val="00155334"/>
    <w:rsid w:val="0015546D"/>
    <w:rsid w:val="001562AA"/>
    <w:rsid w:val="00156BF4"/>
    <w:rsid w:val="00156DB0"/>
    <w:rsid w:val="00157308"/>
    <w:rsid w:val="00157448"/>
    <w:rsid w:val="00157A89"/>
    <w:rsid w:val="001606AF"/>
    <w:rsid w:val="001610C9"/>
    <w:rsid w:val="001612DC"/>
    <w:rsid w:val="001616DC"/>
    <w:rsid w:val="00161A18"/>
    <w:rsid w:val="00162646"/>
    <w:rsid w:val="001626B5"/>
    <w:rsid w:val="00162B34"/>
    <w:rsid w:val="00163058"/>
    <w:rsid w:val="001638EE"/>
    <w:rsid w:val="00163E01"/>
    <w:rsid w:val="001641B3"/>
    <w:rsid w:val="0016422C"/>
    <w:rsid w:val="00164ECF"/>
    <w:rsid w:val="00164EDC"/>
    <w:rsid w:val="00165678"/>
    <w:rsid w:val="00165F3E"/>
    <w:rsid w:val="001662C4"/>
    <w:rsid w:val="0016633D"/>
    <w:rsid w:val="00166889"/>
    <w:rsid w:val="00166C9A"/>
    <w:rsid w:val="00166DC6"/>
    <w:rsid w:val="00166DEA"/>
    <w:rsid w:val="00167602"/>
    <w:rsid w:val="00167AAA"/>
    <w:rsid w:val="00167B0A"/>
    <w:rsid w:val="00167FCB"/>
    <w:rsid w:val="001700B0"/>
    <w:rsid w:val="0017023A"/>
    <w:rsid w:val="001704AB"/>
    <w:rsid w:val="001707C4"/>
    <w:rsid w:val="00171830"/>
    <w:rsid w:val="001719DC"/>
    <w:rsid w:val="001725D5"/>
    <w:rsid w:val="00172B20"/>
    <w:rsid w:val="00172F6B"/>
    <w:rsid w:val="001735AE"/>
    <w:rsid w:val="001735BB"/>
    <w:rsid w:val="00173891"/>
    <w:rsid w:val="00173CAF"/>
    <w:rsid w:val="001745C8"/>
    <w:rsid w:val="00174663"/>
    <w:rsid w:val="0017496A"/>
    <w:rsid w:val="00174978"/>
    <w:rsid w:val="00174C7A"/>
    <w:rsid w:val="00174E7C"/>
    <w:rsid w:val="001751DF"/>
    <w:rsid w:val="001757EA"/>
    <w:rsid w:val="00175CD1"/>
    <w:rsid w:val="001761A2"/>
    <w:rsid w:val="0017637E"/>
    <w:rsid w:val="00176596"/>
    <w:rsid w:val="001767F2"/>
    <w:rsid w:val="0017703D"/>
    <w:rsid w:val="00177199"/>
    <w:rsid w:val="001774BD"/>
    <w:rsid w:val="00177AD7"/>
    <w:rsid w:val="00180400"/>
    <w:rsid w:val="001805DF"/>
    <w:rsid w:val="00180765"/>
    <w:rsid w:val="00180E0D"/>
    <w:rsid w:val="00181AAB"/>
    <w:rsid w:val="0018205C"/>
    <w:rsid w:val="0018207A"/>
    <w:rsid w:val="00182349"/>
    <w:rsid w:val="00182638"/>
    <w:rsid w:val="00182A86"/>
    <w:rsid w:val="00183221"/>
    <w:rsid w:val="00183490"/>
    <w:rsid w:val="00183629"/>
    <w:rsid w:val="00183775"/>
    <w:rsid w:val="00183970"/>
    <w:rsid w:val="00183BB7"/>
    <w:rsid w:val="00183BE6"/>
    <w:rsid w:val="00183E59"/>
    <w:rsid w:val="00183E6B"/>
    <w:rsid w:val="001848FF"/>
    <w:rsid w:val="00185048"/>
    <w:rsid w:val="00185FF2"/>
    <w:rsid w:val="001860E3"/>
    <w:rsid w:val="001861A5"/>
    <w:rsid w:val="001862F1"/>
    <w:rsid w:val="001867C0"/>
    <w:rsid w:val="001869F2"/>
    <w:rsid w:val="00187029"/>
    <w:rsid w:val="0018776C"/>
    <w:rsid w:val="001878F0"/>
    <w:rsid w:val="00187ADA"/>
    <w:rsid w:val="00187E8D"/>
    <w:rsid w:val="00190614"/>
    <w:rsid w:val="001909DC"/>
    <w:rsid w:val="00190F3D"/>
    <w:rsid w:val="00191674"/>
    <w:rsid w:val="0019195C"/>
    <w:rsid w:val="00191AE8"/>
    <w:rsid w:val="00191BF1"/>
    <w:rsid w:val="00191F72"/>
    <w:rsid w:val="0019207F"/>
    <w:rsid w:val="00192904"/>
    <w:rsid w:val="001935C0"/>
    <w:rsid w:val="00193937"/>
    <w:rsid w:val="00193E7F"/>
    <w:rsid w:val="00194227"/>
    <w:rsid w:val="00194450"/>
    <w:rsid w:val="00194760"/>
    <w:rsid w:val="00194AD4"/>
    <w:rsid w:val="00194BA0"/>
    <w:rsid w:val="00194C4C"/>
    <w:rsid w:val="00195000"/>
    <w:rsid w:val="00195A04"/>
    <w:rsid w:val="00195AFA"/>
    <w:rsid w:val="00195DDF"/>
    <w:rsid w:val="00196443"/>
    <w:rsid w:val="001971C9"/>
    <w:rsid w:val="0019783B"/>
    <w:rsid w:val="001A076E"/>
    <w:rsid w:val="001A077B"/>
    <w:rsid w:val="001A10B4"/>
    <w:rsid w:val="001A1238"/>
    <w:rsid w:val="001A1528"/>
    <w:rsid w:val="001A18EC"/>
    <w:rsid w:val="001A1BEA"/>
    <w:rsid w:val="001A1C89"/>
    <w:rsid w:val="001A1D0B"/>
    <w:rsid w:val="001A2A87"/>
    <w:rsid w:val="001A3192"/>
    <w:rsid w:val="001A332E"/>
    <w:rsid w:val="001A3AA4"/>
    <w:rsid w:val="001A4307"/>
    <w:rsid w:val="001A4AFC"/>
    <w:rsid w:val="001A5179"/>
    <w:rsid w:val="001A53B2"/>
    <w:rsid w:val="001A58A6"/>
    <w:rsid w:val="001A5C40"/>
    <w:rsid w:val="001A64EF"/>
    <w:rsid w:val="001A694E"/>
    <w:rsid w:val="001A70B0"/>
    <w:rsid w:val="001A749E"/>
    <w:rsid w:val="001A7607"/>
    <w:rsid w:val="001A76AF"/>
    <w:rsid w:val="001A776A"/>
    <w:rsid w:val="001A78AD"/>
    <w:rsid w:val="001A7971"/>
    <w:rsid w:val="001B046B"/>
    <w:rsid w:val="001B0601"/>
    <w:rsid w:val="001B08ED"/>
    <w:rsid w:val="001B0B2D"/>
    <w:rsid w:val="001B0F87"/>
    <w:rsid w:val="001B17CC"/>
    <w:rsid w:val="001B182A"/>
    <w:rsid w:val="001B1B82"/>
    <w:rsid w:val="001B25F9"/>
    <w:rsid w:val="001B2663"/>
    <w:rsid w:val="001B285F"/>
    <w:rsid w:val="001B28F8"/>
    <w:rsid w:val="001B2976"/>
    <w:rsid w:val="001B29C7"/>
    <w:rsid w:val="001B2BE2"/>
    <w:rsid w:val="001B35F1"/>
    <w:rsid w:val="001B3A4E"/>
    <w:rsid w:val="001B3C98"/>
    <w:rsid w:val="001B4415"/>
    <w:rsid w:val="001B4424"/>
    <w:rsid w:val="001B4AEC"/>
    <w:rsid w:val="001B4B3C"/>
    <w:rsid w:val="001B4E4E"/>
    <w:rsid w:val="001B5B1A"/>
    <w:rsid w:val="001B5B3A"/>
    <w:rsid w:val="001B5E5D"/>
    <w:rsid w:val="001B69A0"/>
    <w:rsid w:val="001B7005"/>
    <w:rsid w:val="001B73C9"/>
    <w:rsid w:val="001B7446"/>
    <w:rsid w:val="001B747C"/>
    <w:rsid w:val="001B758E"/>
    <w:rsid w:val="001B7856"/>
    <w:rsid w:val="001B7C59"/>
    <w:rsid w:val="001B7F73"/>
    <w:rsid w:val="001B7FA4"/>
    <w:rsid w:val="001C017B"/>
    <w:rsid w:val="001C0404"/>
    <w:rsid w:val="001C04E2"/>
    <w:rsid w:val="001C04E8"/>
    <w:rsid w:val="001C0A3D"/>
    <w:rsid w:val="001C0BD5"/>
    <w:rsid w:val="001C0C44"/>
    <w:rsid w:val="001C0D42"/>
    <w:rsid w:val="001C118F"/>
    <w:rsid w:val="001C1F00"/>
    <w:rsid w:val="001C200B"/>
    <w:rsid w:val="001C202F"/>
    <w:rsid w:val="001C2114"/>
    <w:rsid w:val="001C231D"/>
    <w:rsid w:val="001C250B"/>
    <w:rsid w:val="001C268F"/>
    <w:rsid w:val="001C2E30"/>
    <w:rsid w:val="001C3010"/>
    <w:rsid w:val="001C34E6"/>
    <w:rsid w:val="001C3AA3"/>
    <w:rsid w:val="001C48DA"/>
    <w:rsid w:val="001C4A0D"/>
    <w:rsid w:val="001C4B7A"/>
    <w:rsid w:val="001C4BF3"/>
    <w:rsid w:val="001C4CE6"/>
    <w:rsid w:val="001C5025"/>
    <w:rsid w:val="001C5D0A"/>
    <w:rsid w:val="001C5D69"/>
    <w:rsid w:val="001C600D"/>
    <w:rsid w:val="001C6816"/>
    <w:rsid w:val="001C6AC4"/>
    <w:rsid w:val="001C6AFD"/>
    <w:rsid w:val="001C73BF"/>
    <w:rsid w:val="001C7603"/>
    <w:rsid w:val="001C7954"/>
    <w:rsid w:val="001C7A09"/>
    <w:rsid w:val="001D02F2"/>
    <w:rsid w:val="001D0458"/>
    <w:rsid w:val="001D06D2"/>
    <w:rsid w:val="001D0864"/>
    <w:rsid w:val="001D0A11"/>
    <w:rsid w:val="001D0B72"/>
    <w:rsid w:val="001D11A4"/>
    <w:rsid w:val="001D1653"/>
    <w:rsid w:val="001D1DF0"/>
    <w:rsid w:val="001D2351"/>
    <w:rsid w:val="001D2ED3"/>
    <w:rsid w:val="001D325A"/>
    <w:rsid w:val="001D3825"/>
    <w:rsid w:val="001D3FEA"/>
    <w:rsid w:val="001D4902"/>
    <w:rsid w:val="001D5126"/>
    <w:rsid w:val="001D55A7"/>
    <w:rsid w:val="001D57FD"/>
    <w:rsid w:val="001D5966"/>
    <w:rsid w:val="001D5D19"/>
    <w:rsid w:val="001D5FF5"/>
    <w:rsid w:val="001D61F6"/>
    <w:rsid w:val="001D639E"/>
    <w:rsid w:val="001D6467"/>
    <w:rsid w:val="001D6493"/>
    <w:rsid w:val="001D6694"/>
    <w:rsid w:val="001D70A5"/>
    <w:rsid w:val="001D7106"/>
    <w:rsid w:val="001D7207"/>
    <w:rsid w:val="001D7A45"/>
    <w:rsid w:val="001E0171"/>
    <w:rsid w:val="001E03B4"/>
    <w:rsid w:val="001E0403"/>
    <w:rsid w:val="001E0452"/>
    <w:rsid w:val="001E0A5C"/>
    <w:rsid w:val="001E119A"/>
    <w:rsid w:val="001E1517"/>
    <w:rsid w:val="001E23E4"/>
    <w:rsid w:val="001E24FC"/>
    <w:rsid w:val="001E28E0"/>
    <w:rsid w:val="001E2A07"/>
    <w:rsid w:val="001E32B3"/>
    <w:rsid w:val="001E343B"/>
    <w:rsid w:val="001E3552"/>
    <w:rsid w:val="001E3618"/>
    <w:rsid w:val="001E3CD0"/>
    <w:rsid w:val="001E4029"/>
    <w:rsid w:val="001E405D"/>
    <w:rsid w:val="001E414B"/>
    <w:rsid w:val="001E4172"/>
    <w:rsid w:val="001E41D6"/>
    <w:rsid w:val="001E5044"/>
    <w:rsid w:val="001E53AE"/>
    <w:rsid w:val="001E54C6"/>
    <w:rsid w:val="001E57AD"/>
    <w:rsid w:val="001E5A91"/>
    <w:rsid w:val="001E6467"/>
    <w:rsid w:val="001E6632"/>
    <w:rsid w:val="001E6683"/>
    <w:rsid w:val="001E6D80"/>
    <w:rsid w:val="001E71D7"/>
    <w:rsid w:val="001E7C35"/>
    <w:rsid w:val="001E7EB9"/>
    <w:rsid w:val="001F05D5"/>
    <w:rsid w:val="001F066A"/>
    <w:rsid w:val="001F07CB"/>
    <w:rsid w:val="001F1013"/>
    <w:rsid w:val="001F1062"/>
    <w:rsid w:val="001F1283"/>
    <w:rsid w:val="001F138E"/>
    <w:rsid w:val="001F14AD"/>
    <w:rsid w:val="001F14AF"/>
    <w:rsid w:val="001F1808"/>
    <w:rsid w:val="001F1A6F"/>
    <w:rsid w:val="001F20FD"/>
    <w:rsid w:val="001F25D9"/>
    <w:rsid w:val="001F2C51"/>
    <w:rsid w:val="001F2D49"/>
    <w:rsid w:val="001F2E19"/>
    <w:rsid w:val="001F2E85"/>
    <w:rsid w:val="001F30C7"/>
    <w:rsid w:val="001F32CF"/>
    <w:rsid w:val="001F35BE"/>
    <w:rsid w:val="001F3A42"/>
    <w:rsid w:val="001F3A8F"/>
    <w:rsid w:val="001F3AD1"/>
    <w:rsid w:val="001F3E6E"/>
    <w:rsid w:val="001F3F75"/>
    <w:rsid w:val="001F4013"/>
    <w:rsid w:val="001F42F4"/>
    <w:rsid w:val="001F43CC"/>
    <w:rsid w:val="001F4871"/>
    <w:rsid w:val="001F4A30"/>
    <w:rsid w:val="001F4B45"/>
    <w:rsid w:val="001F4DB6"/>
    <w:rsid w:val="001F5A0A"/>
    <w:rsid w:val="001F6BB8"/>
    <w:rsid w:val="001F7512"/>
    <w:rsid w:val="001F7793"/>
    <w:rsid w:val="001F7E35"/>
    <w:rsid w:val="00200744"/>
    <w:rsid w:val="00201416"/>
    <w:rsid w:val="00201ABC"/>
    <w:rsid w:val="00201EC9"/>
    <w:rsid w:val="00201EEC"/>
    <w:rsid w:val="00201F08"/>
    <w:rsid w:val="00202049"/>
    <w:rsid w:val="00202224"/>
    <w:rsid w:val="002023B9"/>
    <w:rsid w:val="002025D6"/>
    <w:rsid w:val="00202A16"/>
    <w:rsid w:val="00203634"/>
    <w:rsid w:val="00203676"/>
    <w:rsid w:val="00203706"/>
    <w:rsid w:val="00203994"/>
    <w:rsid w:val="00203B27"/>
    <w:rsid w:val="00204861"/>
    <w:rsid w:val="00204A54"/>
    <w:rsid w:val="00204D8F"/>
    <w:rsid w:val="00205248"/>
    <w:rsid w:val="002052CB"/>
    <w:rsid w:val="00205EB6"/>
    <w:rsid w:val="00205EE6"/>
    <w:rsid w:val="002062C9"/>
    <w:rsid w:val="002066F3"/>
    <w:rsid w:val="00206906"/>
    <w:rsid w:val="002074E9"/>
    <w:rsid w:val="0021015E"/>
    <w:rsid w:val="002106B9"/>
    <w:rsid w:val="00210B38"/>
    <w:rsid w:val="00210BA5"/>
    <w:rsid w:val="00210E24"/>
    <w:rsid w:val="00210FD1"/>
    <w:rsid w:val="00211380"/>
    <w:rsid w:val="00211CC4"/>
    <w:rsid w:val="00212615"/>
    <w:rsid w:val="00212D39"/>
    <w:rsid w:val="00213046"/>
    <w:rsid w:val="002131C6"/>
    <w:rsid w:val="00213B36"/>
    <w:rsid w:val="00213C9A"/>
    <w:rsid w:val="00214005"/>
    <w:rsid w:val="002140CD"/>
    <w:rsid w:val="0021434C"/>
    <w:rsid w:val="00214EDD"/>
    <w:rsid w:val="00215743"/>
    <w:rsid w:val="00215B93"/>
    <w:rsid w:val="00215C39"/>
    <w:rsid w:val="00215E32"/>
    <w:rsid w:val="002160E5"/>
    <w:rsid w:val="002164B5"/>
    <w:rsid w:val="00216526"/>
    <w:rsid w:val="00216665"/>
    <w:rsid w:val="00217C07"/>
    <w:rsid w:val="0022015F"/>
    <w:rsid w:val="00220932"/>
    <w:rsid w:val="0022103D"/>
    <w:rsid w:val="002210FD"/>
    <w:rsid w:val="0022147F"/>
    <w:rsid w:val="002221E7"/>
    <w:rsid w:val="0022250F"/>
    <w:rsid w:val="002229E4"/>
    <w:rsid w:val="00222EA5"/>
    <w:rsid w:val="00222EE5"/>
    <w:rsid w:val="00222F62"/>
    <w:rsid w:val="00222FCD"/>
    <w:rsid w:val="00223400"/>
    <w:rsid w:val="002235C9"/>
    <w:rsid w:val="002239DB"/>
    <w:rsid w:val="00223E1B"/>
    <w:rsid w:val="00224085"/>
    <w:rsid w:val="002243BF"/>
    <w:rsid w:val="0022443A"/>
    <w:rsid w:val="00224BE4"/>
    <w:rsid w:val="002254F8"/>
    <w:rsid w:val="00225AA3"/>
    <w:rsid w:val="00225BBE"/>
    <w:rsid w:val="00225FEE"/>
    <w:rsid w:val="00226601"/>
    <w:rsid w:val="00226AEC"/>
    <w:rsid w:val="00226B66"/>
    <w:rsid w:val="0022737E"/>
    <w:rsid w:val="002273AB"/>
    <w:rsid w:val="00227660"/>
    <w:rsid w:val="00227A94"/>
    <w:rsid w:val="00227F02"/>
    <w:rsid w:val="00227F08"/>
    <w:rsid w:val="00227F9E"/>
    <w:rsid w:val="00230037"/>
    <w:rsid w:val="002301A0"/>
    <w:rsid w:val="0023059F"/>
    <w:rsid w:val="00230750"/>
    <w:rsid w:val="00231404"/>
    <w:rsid w:val="0023146C"/>
    <w:rsid w:val="002317D4"/>
    <w:rsid w:val="00231BDD"/>
    <w:rsid w:val="00231BE2"/>
    <w:rsid w:val="002320DB"/>
    <w:rsid w:val="00232700"/>
    <w:rsid w:val="0023305D"/>
    <w:rsid w:val="002330E7"/>
    <w:rsid w:val="00233BFF"/>
    <w:rsid w:val="00233CE4"/>
    <w:rsid w:val="00234493"/>
    <w:rsid w:val="0023456A"/>
    <w:rsid w:val="002347F7"/>
    <w:rsid w:val="0023484B"/>
    <w:rsid w:val="0023487E"/>
    <w:rsid w:val="002353A6"/>
    <w:rsid w:val="002354B0"/>
    <w:rsid w:val="00235637"/>
    <w:rsid w:val="002356E3"/>
    <w:rsid w:val="00235A49"/>
    <w:rsid w:val="00235CCB"/>
    <w:rsid w:val="0023671B"/>
    <w:rsid w:val="0023679A"/>
    <w:rsid w:val="00236DA3"/>
    <w:rsid w:val="00236E1D"/>
    <w:rsid w:val="0023787A"/>
    <w:rsid w:val="00237DD1"/>
    <w:rsid w:val="002402C6"/>
    <w:rsid w:val="002402E1"/>
    <w:rsid w:val="002406FA"/>
    <w:rsid w:val="00240D18"/>
    <w:rsid w:val="002410C9"/>
    <w:rsid w:val="00241177"/>
    <w:rsid w:val="00241212"/>
    <w:rsid w:val="002412CE"/>
    <w:rsid w:val="00241582"/>
    <w:rsid w:val="002417CB"/>
    <w:rsid w:val="002418A9"/>
    <w:rsid w:val="002419CF"/>
    <w:rsid w:val="00241B25"/>
    <w:rsid w:val="00241C55"/>
    <w:rsid w:val="00241C74"/>
    <w:rsid w:val="0024225C"/>
    <w:rsid w:val="00242627"/>
    <w:rsid w:val="00242DF0"/>
    <w:rsid w:val="00242F68"/>
    <w:rsid w:val="002433D5"/>
    <w:rsid w:val="00243509"/>
    <w:rsid w:val="00243709"/>
    <w:rsid w:val="00243ACC"/>
    <w:rsid w:val="00243C84"/>
    <w:rsid w:val="00243FF2"/>
    <w:rsid w:val="002447C8"/>
    <w:rsid w:val="00244A24"/>
    <w:rsid w:val="00244B10"/>
    <w:rsid w:val="00244FCA"/>
    <w:rsid w:val="00245029"/>
    <w:rsid w:val="002454E8"/>
    <w:rsid w:val="00245BCF"/>
    <w:rsid w:val="00245F1A"/>
    <w:rsid w:val="00246514"/>
    <w:rsid w:val="00246C85"/>
    <w:rsid w:val="00246D87"/>
    <w:rsid w:val="00246DBB"/>
    <w:rsid w:val="00246E45"/>
    <w:rsid w:val="00246F95"/>
    <w:rsid w:val="00247075"/>
    <w:rsid w:val="00247140"/>
    <w:rsid w:val="00247760"/>
    <w:rsid w:val="0025078D"/>
    <w:rsid w:val="00250A74"/>
    <w:rsid w:val="00250E09"/>
    <w:rsid w:val="00250F00"/>
    <w:rsid w:val="0025107D"/>
    <w:rsid w:val="00251908"/>
    <w:rsid w:val="00252555"/>
    <w:rsid w:val="00252686"/>
    <w:rsid w:val="00252820"/>
    <w:rsid w:val="00252880"/>
    <w:rsid w:val="002529BF"/>
    <w:rsid w:val="0025325A"/>
    <w:rsid w:val="00253A60"/>
    <w:rsid w:val="00253D86"/>
    <w:rsid w:val="00253F27"/>
    <w:rsid w:val="002548BE"/>
    <w:rsid w:val="0025491E"/>
    <w:rsid w:val="002549DD"/>
    <w:rsid w:val="00254F21"/>
    <w:rsid w:val="00255597"/>
    <w:rsid w:val="002559BF"/>
    <w:rsid w:val="00256443"/>
    <w:rsid w:val="002567FD"/>
    <w:rsid w:val="0025687E"/>
    <w:rsid w:val="00256DF7"/>
    <w:rsid w:val="00260101"/>
    <w:rsid w:val="002603E5"/>
    <w:rsid w:val="00260466"/>
    <w:rsid w:val="002608E7"/>
    <w:rsid w:val="00260939"/>
    <w:rsid w:val="00260C54"/>
    <w:rsid w:val="002617CA"/>
    <w:rsid w:val="00261A62"/>
    <w:rsid w:val="00261B4D"/>
    <w:rsid w:val="00261D9A"/>
    <w:rsid w:val="0026231A"/>
    <w:rsid w:val="00262461"/>
    <w:rsid w:val="002624BB"/>
    <w:rsid w:val="00262F55"/>
    <w:rsid w:val="0026311F"/>
    <w:rsid w:val="0026334B"/>
    <w:rsid w:val="0026378C"/>
    <w:rsid w:val="00263C0E"/>
    <w:rsid w:val="0026426D"/>
    <w:rsid w:val="0026541D"/>
    <w:rsid w:val="00265629"/>
    <w:rsid w:val="00265E47"/>
    <w:rsid w:val="00266354"/>
    <w:rsid w:val="00266626"/>
    <w:rsid w:val="0026682D"/>
    <w:rsid w:val="002668E6"/>
    <w:rsid w:val="00266B2C"/>
    <w:rsid w:val="00266E91"/>
    <w:rsid w:val="0026702D"/>
    <w:rsid w:val="00267045"/>
    <w:rsid w:val="0026741E"/>
    <w:rsid w:val="00267934"/>
    <w:rsid w:val="00270A68"/>
    <w:rsid w:val="00270B3A"/>
    <w:rsid w:val="002710BF"/>
    <w:rsid w:val="0027150C"/>
    <w:rsid w:val="00271770"/>
    <w:rsid w:val="0027183D"/>
    <w:rsid w:val="002718EF"/>
    <w:rsid w:val="00271E8F"/>
    <w:rsid w:val="0027208C"/>
    <w:rsid w:val="00272348"/>
    <w:rsid w:val="00272A9C"/>
    <w:rsid w:val="002736C0"/>
    <w:rsid w:val="00273BA1"/>
    <w:rsid w:val="00273D35"/>
    <w:rsid w:val="00273EAF"/>
    <w:rsid w:val="002740BF"/>
    <w:rsid w:val="0027410C"/>
    <w:rsid w:val="00274265"/>
    <w:rsid w:val="002746C8"/>
    <w:rsid w:val="00274E38"/>
    <w:rsid w:val="002750E5"/>
    <w:rsid w:val="0027516F"/>
    <w:rsid w:val="002758ED"/>
    <w:rsid w:val="00276807"/>
    <w:rsid w:val="00276922"/>
    <w:rsid w:val="00276D0C"/>
    <w:rsid w:val="00276FDB"/>
    <w:rsid w:val="0027705A"/>
    <w:rsid w:val="00277118"/>
    <w:rsid w:val="002772D9"/>
    <w:rsid w:val="00277A08"/>
    <w:rsid w:val="00277B60"/>
    <w:rsid w:val="00277C62"/>
    <w:rsid w:val="00277C6F"/>
    <w:rsid w:val="00277C75"/>
    <w:rsid w:val="00280296"/>
    <w:rsid w:val="002805EF"/>
    <w:rsid w:val="002807CF"/>
    <w:rsid w:val="0028080D"/>
    <w:rsid w:val="00280A61"/>
    <w:rsid w:val="00280C40"/>
    <w:rsid w:val="00280E0B"/>
    <w:rsid w:val="00281012"/>
    <w:rsid w:val="00281436"/>
    <w:rsid w:val="00281FF0"/>
    <w:rsid w:val="00282A5F"/>
    <w:rsid w:val="00282B1A"/>
    <w:rsid w:val="00282CA8"/>
    <w:rsid w:val="00282F3C"/>
    <w:rsid w:val="00282F7B"/>
    <w:rsid w:val="00283068"/>
    <w:rsid w:val="00283D9C"/>
    <w:rsid w:val="00283EA7"/>
    <w:rsid w:val="0028409D"/>
    <w:rsid w:val="002842C7"/>
    <w:rsid w:val="00284E6D"/>
    <w:rsid w:val="0028528A"/>
    <w:rsid w:val="002852DC"/>
    <w:rsid w:val="002854DD"/>
    <w:rsid w:val="00285BEC"/>
    <w:rsid w:val="00286A48"/>
    <w:rsid w:val="00286D75"/>
    <w:rsid w:val="002873A4"/>
    <w:rsid w:val="002879A5"/>
    <w:rsid w:val="002879B6"/>
    <w:rsid w:val="00287F0E"/>
    <w:rsid w:val="00290151"/>
    <w:rsid w:val="002912F5"/>
    <w:rsid w:val="0029139E"/>
    <w:rsid w:val="00292398"/>
    <w:rsid w:val="002925AA"/>
    <w:rsid w:val="00292873"/>
    <w:rsid w:val="002930CE"/>
    <w:rsid w:val="0029509D"/>
    <w:rsid w:val="002950F4"/>
    <w:rsid w:val="00295E3F"/>
    <w:rsid w:val="00295EE4"/>
    <w:rsid w:val="00296793"/>
    <w:rsid w:val="00296E3A"/>
    <w:rsid w:val="002975D6"/>
    <w:rsid w:val="002975E6"/>
    <w:rsid w:val="0029789F"/>
    <w:rsid w:val="002A0615"/>
    <w:rsid w:val="002A0880"/>
    <w:rsid w:val="002A0DAD"/>
    <w:rsid w:val="002A10F4"/>
    <w:rsid w:val="002A11D3"/>
    <w:rsid w:val="002A126A"/>
    <w:rsid w:val="002A13F8"/>
    <w:rsid w:val="002A1728"/>
    <w:rsid w:val="002A1D7F"/>
    <w:rsid w:val="002A1FCD"/>
    <w:rsid w:val="002A29A9"/>
    <w:rsid w:val="002A31E6"/>
    <w:rsid w:val="002A333A"/>
    <w:rsid w:val="002A33B4"/>
    <w:rsid w:val="002A35B9"/>
    <w:rsid w:val="002A36FC"/>
    <w:rsid w:val="002A3729"/>
    <w:rsid w:val="002A3A22"/>
    <w:rsid w:val="002A3AC0"/>
    <w:rsid w:val="002A3B93"/>
    <w:rsid w:val="002A4427"/>
    <w:rsid w:val="002A4C5E"/>
    <w:rsid w:val="002A4D3B"/>
    <w:rsid w:val="002A4F50"/>
    <w:rsid w:val="002A5854"/>
    <w:rsid w:val="002A5BE4"/>
    <w:rsid w:val="002A5CD3"/>
    <w:rsid w:val="002A656D"/>
    <w:rsid w:val="002A6851"/>
    <w:rsid w:val="002B077A"/>
    <w:rsid w:val="002B07DD"/>
    <w:rsid w:val="002B08A6"/>
    <w:rsid w:val="002B0F06"/>
    <w:rsid w:val="002B1200"/>
    <w:rsid w:val="002B134B"/>
    <w:rsid w:val="002B13C1"/>
    <w:rsid w:val="002B20F0"/>
    <w:rsid w:val="002B22D8"/>
    <w:rsid w:val="002B23E0"/>
    <w:rsid w:val="002B25DE"/>
    <w:rsid w:val="002B3267"/>
    <w:rsid w:val="002B3F27"/>
    <w:rsid w:val="002B417F"/>
    <w:rsid w:val="002B43AC"/>
    <w:rsid w:val="002B447C"/>
    <w:rsid w:val="002B4DDA"/>
    <w:rsid w:val="002B4EDC"/>
    <w:rsid w:val="002B5307"/>
    <w:rsid w:val="002B597D"/>
    <w:rsid w:val="002B6145"/>
    <w:rsid w:val="002B616C"/>
    <w:rsid w:val="002B62DB"/>
    <w:rsid w:val="002B6C6B"/>
    <w:rsid w:val="002B71BB"/>
    <w:rsid w:val="002B7244"/>
    <w:rsid w:val="002B74B5"/>
    <w:rsid w:val="002B79F8"/>
    <w:rsid w:val="002C011A"/>
    <w:rsid w:val="002C01FE"/>
    <w:rsid w:val="002C02E2"/>
    <w:rsid w:val="002C06F8"/>
    <w:rsid w:val="002C085A"/>
    <w:rsid w:val="002C0982"/>
    <w:rsid w:val="002C0E62"/>
    <w:rsid w:val="002C10FA"/>
    <w:rsid w:val="002C1151"/>
    <w:rsid w:val="002C122C"/>
    <w:rsid w:val="002C1300"/>
    <w:rsid w:val="002C138E"/>
    <w:rsid w:val="002C1901"/>
    <w:rsid w:val="002C2155"/>
    <w:rsid w:val="002C2368"/>
    <w:rsid w:val="002C239A"/>
    <w:rsid w:val="002C28B2"/>
    <w:rsid w:val="002C2B10"/>
    <w:rsid w:val="002C3423"/>
    <w:rsid w:val="002C34DC"/>
    <w:rsid w:val="002C351F"/>
    <w:rsid w:val="002C39A9"/>
    <w:rsid w:val="002C3BF1"/>
    <w:rsid w:val="002C3EC8"/>
    <w:rsid w:val="002C40D1"/>
    <w:rsid w:val="002C4680"/>
    <w:rsid w:val="002C4CD5"/>
    <w:rsid w:val="002C4D10"/>
    <w:rsid w:val="002C58DF"/>
    <w:rsid w:val="002C5ABB"/>
    <w:rsid w:val="002C5B99"/>
    <w:rsid w:val="002C602B"/>
    <w:rsid w:val="002C6768"/>
    <w:rsid w:val="002C711D"/>
    <w:rsid w:val="002C76FD"/>
    <w:rsid w:val="002C7B01"/>
    <w:rsid w:val="002C7E28"/>
    <w:rsid w:val="002D01A2"/>
    <w:rsid w:val="002D0274"/>
    <w:rsid w:val="002D0F4B"/>
    <w:rsid w:val="002D1233"/>
    <w:rsid w:val="002D17BA"/>
    <w:rsid w:val="002D18EC"/>
    <w:rsid w:val="002D1B18"/>
    <w:rsid w:val="002D1F51"/>
    <w:rsid w:val="002D1FA2"/>
    <w:rsid w:val="002D23A9"/>
    <w:rsid w:val="002D24CD"/>
    <w:rsid w:val="002D2891"/>
    <w:rsid w:val="002D2B82"/>
    <w:rsid w:val="002D2BE3"/>
    <w:rsid w:val="002D2F8D"/>
    <w:rsid w:val="002D2FA1"/>
    <w:rsid w:val="002D2FC6"/>
    <w:rsid w:val="002D37C7"/>
    <w:rsid w:val="002D3AE2"/>
    <w:rsid w:val="002D3ED0"/>
    <w:rsid w:val="002D4162"/>
    <w:rsid w:val="002D417C"/>
    <w:rsid w:val="002D43BD"/>
    <w:rsid w:val="002D44AD"/>
    <w:rsid w:val="002D4533"/>
    <w:rsid w:val="002D4649"/>
    <w:rsid w:val="002D4D2E"/>
    <w:rsid w:val="002D51AA"/>
    <w:rsid w:val="002D5272"/>
    <w:rsid w:val="002D5758"/>
    <w:rsid w:val="002D5768"/>
    <w:rsid w:val="002D592A"/>
    <w:rsid w:val="002D60F2"/>
    <w:rsid w:val="002D69AA"/>
    <w:rsid w:val="002D6C4D"/>
    <w:rsid w:val="002D6D1B"/>
    <w:rsid w:val="002D709C"/>
    <w:rsid w:val="002D74DB"/>
    <w:rsid w:val="002D7660"/>
    <w:rsid w:val="002D7863"/>
    <w:rsid w:val="002D7F11"/>
    <w:rsid w:val="002D7FCF"/>
    <w:rsid w:val="002E130D"/>
    <w:rsid w:val="002E1784"/>
    <w:rsid w:val="002E1B2E"/>
    <w:rsid w:val="002E1E20"/>
    <w:rsid w:val="002E274C"/>
    <w:rsid w:val="002E2DD7"/>
    <w:rsid w:val="002E2F58"/>
    <w:rsid w:val="002E303C"/>
    <w:rsid w:val="002E37EE"/>
    <w:rsid w:val="002E3DD0"/>
    <w:rsid w:val="002E413F"/>
    <w:rsid w:val="002E438E"/>
    <w:rsid w:val="002E458E"/>
    <w:rsid w:val="002E56F5"/>
    <w:rsid w:val="002E58E9"/>
    <w:rsid w:val="002E5D68"/>
    <w:rsid w:val="002E5D79"/>
    <w:rsid w:val="002E6356"/>
    <w:rsid w:val="002E643B"/>
    <w:rsid w:val="002E6820"/>
    <w:rsid w:val="002E74A9"/>
    <w:rsid w:val="002E7BBA"/>
    <w:rsid w:val="002F0A79"/>
    <w:rsid w:val="002F0C84"/>
    <w:rsid w:val="002F0E3A"/>
    <w:rsid w:val="002F1868"/>
    <w:rsid w:val="002F1FA8"/>
    <w:rsid w:val="002F22AE"/>
    <w:rsid w:val="002F2319"/>
    <w:rsid w:val="002F2870"/>
    <w:rsid w:val="002F298D"/>
    <w:rsid w:val="002F2C06"/>
    <w:rsid w:val="002F2D66"/>
    <w:rsid w:val="002F348B"/>
    <w:rsid w:val="002F3898"/>
    <w:rsid w:val="002F543D"/>
    <w:rsid w:val="002F56B0"/>
    <w:rsid w:val="002F5DB0"/>
    <w:rsid w:val="002F5FFE"/>
    <w:rsid w:val="002F63BC"/>
    <w:rsid w:val="002F677A"/>
    <w:rsid w:val="002F67F7"/>
    <w:rsid w:val="002F7182"/>
    <w:rsid w:val="002F7198"/>
    <w:rsid w:val="002F7420"/>
    <w:rsid w:val="002F79F9"/>
    <w:rsid w:val="002F7ED5"/>
    <w:rsid w:val="003001E5"/>
    <w:rsid w:val="003012A0"/>
    <w:rsid w:val="003015D8"/>
    <w:rsid w:val="00301F2C"/>
    <w:rsid w:val="0030222E"/>
    <w:rsid w:val="003025B8"/>
    <w:rsid w:val="00302EAC"/>
    <w:rsid w:val="00303093"/>
    <w:rsid w:val="00303192"/>
    <w:rsid w:val="00303278"/>
    <w:rsid w:val="003037E0"/>
    <w:rsid w:val="003038C6"/>
    <w:rsid w:val="00303BD3"/>
    <w:rsid w:val="0030405A"/>
    <w:rsid w:val="00304BFA"/>
    <w:rsid w:val="00304E89"/>
    <w:rsid w:val="00304F7A"/>
    <w:rsid w:val="0030531F"/>
    <w:rsid w:val="00305463"/>
    <w:rsid w:val="00305880"/>
    <w:rsid w:val="003059F5"/>
    <w:rsid w:val="00305B3B"/>
    <w:rsid w:val="00305E74"/>
    <w:rsid w:val="00305FAA"/>
    <w:rsid w:val="00306A5D"/>
    <w:rsid w:val="00306D39"/>
    <w:rsid w:val="00307314"/>
    <w:rsid w:val="0030758B"/>
    <w:rsid w:val="003075A9"/>
    <w:rsid w:val="00307A3B"/>
    <w:rsid w:val="00307B2E"/>
    <w:rsid w:val="00310548"/>
    <w:rsid w:val="003107C3"/>
    <w:rsid w:val="00310A5E"/>
    <w:rsid w:val="0031104A"/>
    <w:rsid w:val="00311182"/>
    <w:rsid w:val="0031133F"/>
    <w:rsid w:val="00311598"/>
    <w:rsid w:val="00311A7C"/>
    <w:rsid w:val="00311DCC"/>
    <w:rsid w:val="003126E7"/>
    <w:rsid w:val="00312962"/>
    <w:rsid w:val="00312D50"/>
    <w:rsid w:val="00312F6E"/>
    <w:rsid w:val="00313A55"/>
    <w:rsid w:val="0031426F"/>
    <w:rsid w:val="003144B5"/>
    <w:rsid w:val="00314830"/>
    <w:rsid w:val="00314DFE"/>
    <w:rsid w:val="00314E69"/>
    <w:rsid w:val="00315CF7"/>
    <w:rsid w:val="00316509"/>
    <w:rsid w:val="00316A7A"/>
    <w:rsid w:val="00316C80"/>
    <w:rsid w:val="00316CC4"/>
    <w:rsid w:val="00320334"/>
    <w:rsid w:val="003203FE"/>
    <w:rsid w:val="003204CF"/>
    <w:rsid w:val="00320952"/>
    <w:rsid w:val="00320B2C"/>
    <w:rsid w:val="00320F48"/>
    <w:rsid w:val="0032105C"/>
    <w:rsid w:val="00321328"/>
    <w:rsid w:val="00321535"/>
    <w:rsid w:val="00321605"/>
    <w:rsid w:val="003216D4"/>
    <w:rsid w:val="00321C0A"/>
    <w:rsid w:val="00321CC1"/>
    <w:rsid w:val="003221E2"/>
    <w:rsid w:val="00322688"/>
    <w:rsid w:val="0032389E"/>
    <w:rsid w:val="00323C67"/>
    <w:rsid w:val="00323D8F"/>
    <w:rsid w:val="0032420E"/>
    <w:rsid w:val="003248F8"/>
    <w:rsid w:val="00325130"/>
    <w:rsid w:val="00325C01"/>
    <w:rsid w:val="00326C00"/>
    <w:rsid w:val="00326ED8"/>
    <w:rsid w:val="0032757A"/>
    <w:rsid w:val="003278B8"/>
    <w:rsid w:val="003279A4"/>
    <w:rsid w:val="00327A44"/>
    <w:rsid w:val="00327F3A"/>
    <w:rsid w:val="00330876"/>
    <w:rsid w:val="00330C0F"/>
    <w:rsid w:val="00330D5E"/>
    <w:rsid w:val="00331743"/>
    <w:rsid w:val="00331B46"/>
    <w:rsid w:val="00331B6B"/>
    <w:rsid w:val="00331EC0"/>
    <w:rsid w:val="00332099"/>
    <w:rsid w:val="0033227E"/>
    <w:rsid w:val="003329E1"/>
    <w:rsid w:val="00332EFA"/>
    <w:rsid w:val="00332F6C"/>
    <w:rsid w:val="00333111"/>
    <w:rsid w:val="00333267"/>
    <w:rsid w:val="0033411E"/>
    <w:rsid w:val="003343B7"/>
    <w:rsid w:val="00334D19"/>
    <w:rsid w:val="00334DA7"/>
    <w:rsid w:val="00334EC2"/>
    <w:rsid w:val="003350FC"/>
    <w:rsid w:val="00335743"/>
    <w:rsid w:val="00335831"/>
    <w:rsid w:val="00335E75"/>
    <w:rsid w:val="00335F44"/>
    <w:rsid w:val="00337077"/>
    <w:rsid w:val="0033784D"/>
    <w:rsid w:val="00337CD0"/>
    <w:rsid w:val="00340473"/>
    <w:rsid w:val="00340926"/>
    <w:rsid w:val="003409A9"/>
    <w:rsid w:val="00340D02"/>
    <w:rsid w:val="00341282"/>
    <w:rsid w:val="003412EE"/>
    <w:rsid w:val="0034173B"/>
    <w:rsid w:val="00341840"/>
    <w:rsid w:val="003418E8"/>
    <w:rsid w:val="003419B7"/>
    <w:rsid w:val="0034242A"/>
    <w:rsid w:val="003424F2"/>
    <w:rsid w:val="003426BF"/>
    <w:rsid w:val="00342CCF"/>
    <w:rsid w:val="0034304B"/>
    <w:rsid w:val="003437FC"/>
    <w:rsid w:val="0034463A"/>
    <w:rsid w:val="0034474C"/>
    <w:rsid w:val="00344C4D"/>
    <w:rsid w:val="00344C9C"/>
    <w:rsid w:val="00344E80"/>
    <w:rsid w:val="00345B1E"/>
    <w:rsid w:val="00345BC3"/>
    <w:rsid w:val="00345BD6"/>
    <w:rsid w:val="003464A2"/>
    <w:rsid w:val="00346632"/>
    <w:rsid w:val="00346A6A"/>
    <w:rsid w:val="00346F11"/>
    <w:rsid w:val="00347405"/>
    <w:rsid w:val="00347818"/>
    <w:rsid w:val="00347D1B"/>
    <w:rsid w:val="003501D8"/>
    <w:rsid w:val="0035053B"/>
    <w:rsid w:val="00350871"/>
    <w:rsid w:val="00350938"/>
    <w:rsid w:val="00350D0F"/>
    <w:rsid w:val="0035126E"/>
    <w:rsid w:val="003520E6"/>
    <w:rsid w:val="003521E1"/>
    <w:rsid w:val="003523E4"/>
    <w:rsid w:val="00352CA0"/>
    <w:rsid w:val="00353580"/>
    <w:rsid w:val="00353C22"/>
    <w:rsid w:val="003540C9"/>
    <w:rsid w:val="00354B62"/>
    <w:rsid w:val="00354BD3"/>
    <w:rsid w:val="00354C20"/>
    <w:rsid w:val="00354CCF"/>
    <w:rsid w:val="003552AC"/>
    <w:rsid w:val="003552BE"/>
    <w:rsid w:val="003554FC"/>
    <w:rsid w:val="00355637"/>
    <w:rsid w:val="00355D3E"/>
    <w:rsid w:val="0035625C"/>
    <w:rsid w:val="00356289"/>
    <w:rsid w:val="00356AA0"/>
    <w:rsid w:val="00357953"/>
    <w:rsid w:val="0036083D"/>
    <w:rsid w:val="0036098F"/>
    <w:rsid w:val="00360AE4"/>
    <w:rsid w:val="0036154C"/>
    <w:rsid w:val="00362D82"/>
    <w:rsid w:val="00363230"/>
    <w:rsid w:val="0036329C"/>
    <w:rsid w:val="0036353B"/>
    <w:rsid w:val="0036357A"/>
    <w:rsid w:val="003635AE"/>
    <w:rsid w:val="0036497F"/>
    <w:rsid w:val="00364B68"/>
    <w:rsid w:val="00364F65"/>
    <w:rsid w:val="003661B8"/>
    <w:rsid w:val="0036627C"/>
    <w:rsid w:val="00366333"/>
    <w:rsid w:val="0036753E"/>
    <w:rsid w:val="003677B9"/>
    <w:rsid w:val="00367F0F"/>
    <w:rsid w:val="0037026F"/>
    <w:rsid w:val="00371BA2"/>
    <w:rsid w:val="00371C58"/>
    <w:rsid w:val="00371C5E"/>
    <w:rsid w:val="0037230C"/>
    <w:rsid w:val="00372916"/>
    <w:rsid w:val="003731AA"/>
    <w:rsid w:val="003733CF"/>
    <w:rsid w:val="003735E9"/>
    <w:rsid w:val="00373635"/>
    <w:rsid w:val="00373783"/>
    <w:rsid w:val="00373C92"/>
    <w:rsid w:val="0037440E"/>
    <w:rsid w:val="00374640"/>
    <w:rsid w:val="00374A37"/>
    <w:rsid w:val="00374BA6"/>
    <w:rsid w:val="00374E1D"/>
    <w:rsid w:val="00375A1A"/>
    <w:rsid w:val="00375A37"/>
    <w:rsid w:val="00375B32"/>
    <w:rsid w:val="00375DE6"/>
    <w:rsid w:val="003762B8"/>
    <w:rsid w:val="003762C0"/>
    <w:rsid w:val="0037663B"/>
    <w:rsid w:val="00376920"/>
    <w:rsid w:val="00376FEB"/>
    <w:rsid w:val="003775E9"/>
    <w:rsid w:val="00380000"/>
    <w:rsid w:val="00380483"/>
    <w:rsid w:val="0038071A"/>
    <w:rsid w:val="003807C3"/>
    <w:rsid w:val="003808E8"/>
    <w:rsid w:val="00380AD9"/>
    <w:rsid w:val="0038186B"/>
    <w:rsid w:val="00381927"/>
    <w:rsid w:val="00381984"/>
    <w:rsid w:val="00381B4B"/>
    <w:rsid w:val="00381D0E"/>
    <w:rsid w:val="00382533"/>
    <w:rsid w:val="003831E6"/>
    <w:rsid w:val="003832E0"/>
    <w:rsid w:val="0038383C"/>
    <w:rsid w:val="00383854"/>
    <w:rsid w:val="00383B01"/>
    <w:rsid w:val="0038438D"/>
    <w:rsid w:val="00384486"/>
    <w:rsid w:val="003844E3"/>
    <w:rsid w:val="00385024"/>
    <w:rsid w:val="003852ED"/>
    <w:rsid w:val="003854A5"/>
    <w:rsid w:val="003858FA"/>
    <w:rsid w:val="00385EE4"/>
    <w:rsid w:val="00385FFF"/>
    <w:rsid w:val="00386235"/>
    <w:rsid w:val="00386280"/>
    <w:rsid w:val="003865E0"/>
    <w:rsid w:val="003866E9"/>
    <w:rsid w:val="00386B2B"/>
    <w:rsid w:val="00386CAA"/>
    <w:rsid w:val="00386D8C"/>
    <w:rsid w:val="00386D9E"/>
    <w:rsid w:val="0038750A"/>
    <w:rsid w:val="00387611"/>
    <w:rsid w:val="00387BA6"/>
    <w:rsid w:val="003900FE"/>
    <w:rsid w:val="0039148D"/>
    <w:rsid w:val="00391531"/>
    <w:rsid w:val="003915BF"/>
    <w:rsid w:val="00391861"/>
    <w:rsid w:val="00392422"/>
    <w:rsid w:val="0039243D"/>
    <w:rsid w:val="003925E2"/>
    <w:rsid w:val="003928B6"/>
    <w:rsid w:val="00392B93"/>
    <w:rsid w:val="00392EA5"/>
    <w:rsid w:val="0039308B"/>
    <w:rsid w:val="00393692"/>
    <w:rsid w:val="00393EDC"/>
    <w:rsid w:val="00393FB1"/>
    <w:rsid w:val="00394F51"/>
    <w:rsid w:val="00394F85"/>
    <w:rsid w:val="0039512B"/>
    <w:rsid w:val="00395266"/>
    <w:rsid w:val="00395536"/>
    <w:rsid w:val="00395ADB"/>
    <w:rsid w:val="00396556"/>
    <w:rsid w:val="003966A2"/>
    <w:rsid w:val="0039678B"/>
    <w:rsid w:val="00396818"/>
    <w:rsid w:val="003971FE"/>
    <w:rsid w:val="0039772D"/>
    <w:rsid w:val="0039787B"/>
    <w:rsid w:val="00397E0A"/>
    <w:rsid w:val="003A0226"/>
    <w:rsid w:val="003A0270"/>
    <w:rsid w:val="003A02AE"/>
    <w:rsid w:val="003A0AE2"/>
    <w:rsid w:val="003A0D2C"/>
    <w:rsid w:val="003A1007"/>
    <w:rsid w:val="003A152A"/>
    <w:rsid w:val="003A19B8"/>
    <w:rsid w:val="003A1CAB"/>
    <w:rsid w:val="003A20F7"/>
    <w:rsid w:val="003A2472"/>
    <w:rsid w:val="003A258E"/>
    <w:rsid w:val="003A25D3"/>
    <w:rsid w:val="003A269A"/>
    <w:rsid w:val="003A2831"/>
    <w:rsid w:val="003A2C9C"/>
    <w:rsid w:val="003A2F7E"/>
    <w:rsid w:val="003A334C"/>
    <w:rsid w:val="003A3B1B"/>
    <w:rsid w:val="003A3CB5"/>
    <w:rsid w:val="003A40A3"/>
    <w:rsid w:val="003A4318"/>
    <w:rsid w:val="003A433A"/>
    <w:rsid w:val="003A44DF"/>
    <w:rsid w:val="003A4529"/>
    <w:rsid w:val="003A5011"/>
    <w:rsid w:val="003A510B"/>
    <w:rsid w:val="003A548E"/>
    <w:rsid w:val="003A5916"/>
    <w:rsid w:val="003A5E2B"/>
    <w:rsid w:val="003A5E4F"/>
    <w:rsid w:val="003A61FA"/>
    <w:rsid w:val="003A6906"/>
    <w:rsid w:val="003A720C"/>
    <w:rsid w:val="003A79D5"/>
    <w:rsid w:val="003A7A99"/>
    <w:rsid w:val="003A7DFC"/>
    <w:rsid w:val="003A7E6F"/>
    <w:rsid w:val="003B062A"/>
    <w:rsid w:val="003B07C7"/>
    <w:rsid w:val="003B0831"/>
    <w:rsid w:val="003B0B1E"/>
    <w:rsid w:val="003B1033"/>
    <w:rsid w:val="003B152C"/>
    <w:rsid w:val="003B1C14"/>
    <w:rsid w:val="003B2064"/>
    <w:rsid w:val="003B28CE"/>
    <w:rsid w:val="003B2E2C"/>
    <w:rsid w:val="003B312B"/>
    <w:rsid w:val="003B35E8"/>
    <w:rsid w:val="003B4427"/>
    <w:rsid w:val="003B45A0"/>
    <w:rsid w:val="003B4B8E"/>
    <w:rsid w:val="003B4D86"/>
    <w:rsid w:val="003B4EBB"/>
    <w:rsid w:val="003B51EF"/>
    <w:rsid w:val="003B5267"/>
    <w:rsid w:val="003B5725"/>
    <w:rsid w:val="003B579C"/>
    <w:rsid w:val="003B6F13"/>
    <w:rsid w:val="003B6F18"/>
    <w:rsid w:val="003B71B2"/>
    <w:rsid w:val="003B71ED"/>
    <w:rsid w:val="003B7717"/>
    <w:rsid w:val="003C1073"/>
    <w:rsid w:val="003C1333"/>
    <w:rsid w:val="003C1381"/>
    <w:rsid w:val="003C1899"/>
    <w:rsid w:val="003C196F"/>
    <w:rsid w:val="003C1A08"/>
    <w:rsid w:val="003C1A56"/>
    <w:rsid w:val="003C1B69"/>
    <w:rsid w:val="003C25A8"/>
    <w:rsid w:val="003C2DFE"/>
    <w:rsid w:val="003C3B8B"/>
    <w:rsid w:val="003C3C6F"/>
    <w:rsid w:val="003C3F6D"/>
    <w:rsid w:val="003C4190"/>
    <w:rsid w:val="003C49F5"/>
    <w:rsid w:val="003C5313"/>
    <w:rsid w:val="003C5BCC"/>
    <w:rsid w:val="003C5F00"/>
    <w:rsid w:val="003C5FFB"/>
    <w:rsid w:val="003C630A"/>
    <w:rsid w:val="003C6411"/>
    <w:rsid w:val="003C6891"/>
    <w:rsid w:val="003C7062"/>
    <w:rsid w:val="003C72E4"/>
    <w:rsid w:val="003C74CA"/>
    <w:rsid w:val="003C75F2"/>
    <w:rsid w:val="003C76C3"/>
    <w:rsid w:val="003C7A47"/>
    <w:rsid w:val="003C7CC2"/>
    <w:rsid w:val="003C7CF5"/>
    <w:rsid w:val="003D0357"/>
    <w:rsid w:val="003D04A7"/>
    <w:rsid w:val="003D0770"/>
    <w:rsid w:val="003D0B8A"/>
    <w:rsid w:val="003D0D22"/>
    <w:rsid w:val="003D1146"/>
    <w:rsid w:val="003D12A0"/>
    <w:rsid w:val="003D134B"/>
    <w:rsid w:val="003D1ADA"/>
    <w:rsid w:val="003D1C42"/>
    <w:rsid w:val="003D2239"/>
    <w:rsid w:val="003D2A2C"/>
    <w:rsid w:val="003D334B"/>
    <w:rsid w:val="003D3370"/>
    <w:rsid w:val="003D36FB"/>
    <w:rsid w:val="003D3713"/>
    <w:rsid w:val="003D3903"/>
    <w:rsid w:val="003D3EE8"/>
    <w:rsid w:val="003D4425"/>
    <w:rsid w:val="003D47F6"/>
    <w:rsid w:val="003D5976"/>
    <w:rsid w:val="003D5A54"/>
    <w:rsid w:val="003D5D69"/>
    <w:rsid w:val="003D5ECF"/>
    <w:rsid w:val="003D628E"/>
    <w:rsid w:val="003D63FD"/>
    <w:rsid w:val="003D67E0"/>
    <w:rsid w:val="003D69C9"/>
    <w:rsid w:val="003D6FC5"/>
    <w:rsid w:val="003D70E1"/>
    <w:rsid w:val="003D7750"/>
    <w:rsid w:val="003D7AAD"/>
    <w:rsid w:val="003D7B4D"/>
    <w:rsid w:val="003E05AF"/>
    <w:rsid w:val="003E088C"/>
    <w:rsid w:val="003E0890"/>
    <w:rsid w:val="003E10C2"/>
    <w:rsid w:val="003E1160"/>
    <w:rsid w:val="003E121F"/>
    <w:rsid w:val="003E223C"/>
    <w:rsid w:val="003E22A9"/>
    <w:rsid w:val="003E25EE"/>
    <w:rsid w:val="003E2754"/>
    <w:rsid w:val="003E294A"/>
    <w:rsid w:val="003E2BB5"/>
    <w:rsid w:val="003E3470"/>
    <w:rsid w:val="003E3640"/>
    <w:rsid w:val="003E3F09"/>
    <w:rsid w:val="003E4099"/>
    <w:rsid w:val="003E41C0"/>
    <w:rsid w:val="003E473A"/>
    <w:rsid w:val="003E4A6A"/>
    <w:rsid w:val="003E4DD9"/>
    <w:rsid w:val="003E50E4"/>
    <w:rsid w:val="003E58BC"/>
    <w:rsid w:val="003E5AAA"/>
    <w:rsid w:val="003E5F64"/>
    <w:rsid w:val="003E60B6"/>
    <w:rsid w:val="003E6FAB"/>
    <w:rsid w:val="003E6FC6"/>
    <w:rsid w:val="003E718A"/>
    <w:rsid w:val="003E7624"/>
    <w:rsid w:val="003E7633"/>
    <w:rsid w:val="003E78D4"/>
    <w:rsid w:val="003E797D"/>
    <w:rsid w:val="003E7E3F"/>
    <w:rsid w:val="003F04F9"/>
    <w:rsid w:val="003F07B7"/>
    <w:rsid w:val="003F096B"/>
    <w:rsid w:val="003F0D5D"/>
    <w:rsid w:val="003F0DA2"/>
    <w:rsid w:val="003F1B67"/>
    <w:rsid w:val="003F1F84"/>
    <w:rsid w:val="003F216A"/>
    <w:rsid w:val="003F248E"/>
    <w:rsid w:val="003F275B"/>
    <w:rsid w:val="003F2774"/>
    <w:rsid w:val="003F27C2"/>
    <w:rsid w:val="003F27FE"/>
    <w:rsid w:val="003F3DFB"/>
    <w:rsid w:val="003F3E4C"/>
    <w:rsid w:val="003F407B"/>
    <w:rsid w:val="003F4DB7"/>
    <w:rsid w:val="003F521F"/>
    <w:rsid w:val="003F568F"/>
    <w:rsid w:val="003F6047"/>
    <w:rsid w:val="003F6164"/>
    <w:rsid w:val="003F6650"/>
    <w:rsid w:val="003F677E"/>
    <w:rsid w:val="003F6B50"/>
    <w:rsid w:val="003F6B53"/>
    <w:rsid w:val="003F70A5"/>
    <w:rsid w:val="003F7AEE"/>
    <w:rsid w:val="003F7DF6"/>
    <w:rsid w:val="003F7FC0"/>
    <w:rsid w:val="00400055"/>
    <w:rsid w:val="004000BF"/>
    <w:rsid w:val="00400242"/>
    <w:rsid w:val="004003D7"/>
    <w:rsid w:val="00400879"/>
    <w:rsid w:val="00400AEE"/>
    <w:rsid w:val="00400D1F"/>
    <w:rsid w:val="00401181"/>
    <w:rsid w:val="004017F5"/>
    <w:rsid w:val="004018E8"/>
    <w:rsid w:val="00401AF2"/>
    <w:rsid w:val="0040209D"/>
    <w:rsid w:val="0040253C"/>
    <w:rsid w:val="004025DD"/>
    <w:rsid w:val="004025E4"/>
    <w:rsid w:val="0040262B"/>
    <w:rsid w:val="004027D4"/>
    <w:rsid w:val="00403135"/>
    <w:rsid w:val="00403D39"/>
    <w:rsid w:val="00403FEF"/>
    <w:rsid w:val="0040403B"/>
    <w:rsid w:val="00404CCA"/>
    <w:rsid w:val="00404FBB"/>
    <w:rsid w:val="00405436"/>
    <w:rsid w:val="00405612"/>
    <w:rsid w:val="00405786"/>
    <w:rsid w:val="004069C3"/>
    <w:rsid w:val="00406F29"/>
    <w:rsid w:val="00407059"/>
    <w:rsid w:val="004073CD"/>
    <w:rsid w:val="00407574"/>
    <w:rsid w:val="00407C88"/>
    <w:rsid w:val="00407F3A"/>
    <w:rsid w:val="0041033D"/>
    <w:rsid w:val="00411477"/>
    <w:rsid w:val="00411700"/>
    <w:rsid w:val="0041182F"/>
    <w:rsid w:val="00411876"/>
    <w:rsid w:val="00411890"/>
    <w:rsid w:val="00411929"/>
    <w:rsid w:val="004120C0"/>
    <w:rsid w:val="004123CA"/>
    <w:rsid w:val="00412B34"/>
    <w:rsid w:val="00412C41"/>
    <w:rsid w:val="00412D61"/>
    <w:rsid w:val="00412E50"/>
    <w:rsid w:val="00413218"/>
    <w:rsid w:val="00413263"/>
    <w:rsid w:val="00413A53"/>
    <w:rsid w:val="00413D14"/>
    <w:rsid w:val="00413DBF"/>
    <w:rsid w:val="00413E41"/>
    <w:rsid w:val="00413E44"/>
    <w:rsid w:val="00413FD9"/>
    <w:rsid w:val="00414A4E"/>
    <w:rsid w:val="00415251"/>
    <w:rsid w:val="004155C2"/>
    <w:rsid w:val="004159F9"/>
    <w:rsid w:val="00415CF3"/>
    <w:rsid w:val="00415E5C"/>
    <w:rsid w:val="004160C1"/>
    <w:rsid w:val="004166F1"/>
    <w:rsid w:val="00416855"/>
    <w:rsid w:val="00416C34"/>
    <w:rsid w:val="00416D88"/>
    <w:rsid w:val="00416DAD"/>
    <w:rsid w:val="00417208"/>
    <w:rsid w:val="004172EA"/>
    <w:rsid w:val="00417EF6"/>
    <w:rsid w:val="004204D3"/>
    <w:rsid w:val="00420B91"/>
    <w:rsid w:val="00420F11"/>
    <w:rsid w:val="00421299"/>
    <w:rsid w:val="0042144C"/>
    <w:rsid w:val="00421663"/>
    <w:rsid w:val="004217A4"/>
    <w:rsid w:val="00421807"/>
    <w:rsid w:val="00422064"/>
    <w:rsid w:val="0042219D"/>
    <w:rsid w:val="004221B9"/>
    <w:rsid w:val="00422B67"/>
    <w:rsid w:val="00422FB7"/>
    <w:rsid w:val="004230B4"/>
    <w:rsid w:val="0042347B"/>
    <w:rsid w:val="004239D5"/>
    <w:rsid w:val="00423D71"/>
    <w:rsid w:val="00424592"/>
    <w:rsid w:val="0042472E"/>
    <w:rsid w:val="00424ACD"/>
    <w:rsid w:val="00425364"/>
    <w:rsid w:val="00425999"/>
    <w:rsid w:val="00426565"/>
    <w:rsid w:val="00426C64"/>
    <w:rsid w:val="00426CE1"/>
    <w:rsid w:val="00427B45"/>
    <w:rsid w:val="00427D10"/>
    <w:rsid w:val="00430708"/>
    <w:rsid w:val="004309F0"/>
    <w:rsid w:val="00430A9B"/>
    <w:rsid w:val="0043135F"/>
    <w:rsid w:val="004314CA"/>
    <w:rsid w:val="0043160E"/>
    <w:rsid w:val="00431839"/>
    <w:rsid w:val="004321C7"/>
    <w:rsid w:val="00432745"/>
    <w:rsid w:val="00432A4F"/>
    <w:rsid w:val="00432E5E"/>
    <w:rsid w:val="00433118"/>
    <w:rsid w:val="0043396D"/>
    <w:rsid w:val="0043397A"/>
    <w:rsid w:val="004339ED"/>
    <w:rsid w:val="00434107"/>
    <w:rsid w:val="00434222"/>
    <w:rsid w:val="00434894"/>
    <w:rsid w:val="00434AC5"/>
    <w:rsid w:val="00434BB3"/>
    <w:rsid w:val="00434D27"/>
    <w:rsid w:val="00434F96"/>
    <w:rsid w:val="00434FC1"/>
    <w:rsid w:val="004352F1"/>
    <w:rsid w:val="004364C4"/>
    <w:rsid w:val="004401E9"/>
    <w:rsid w:val="00440A92"/>
    <w:rsid w:val="00440CA5"/>
    <w:rsid w:val="004410C3"/>
    <w:rsid w:val="004412FD"/>
    <w:rsid w:val="00441892"/>
    <w:rsid w:val="004422FD"/>
    <w:rsid w:val="0044264F"/>
    <w:rsid w:val="00442850"/>
    <w:rsid w:val="00442CC5"/>
    <w:rsid w:val="00442E8A"/>
    <w:rsid w:val="00443358"/>
    <w:rsid w:val="0044395E"/>
    <w:rsid w:val="00443B4C"/>
    <w:rsid w:val="00443EC9"/>
    <w:rsid w:val="00444A52"/>
    <w:rsid w:val="00444AE7"/>
    <w:rsid w:val="00444DF2"/>
    <w:rsid w:val="0044522C"/>
    <w:rsid w:val="004452A9"/>
    <w:rsid w:val="00445322"/>
    <w:rsid w:val="00445325"/>
    <w:rsid w:val="00445EB9"/>
    <w:rsid w:val="00446064"/>
    <w:rsid w:val="0044607D"/>
    <w:rsid w:val="00446126"/>
    <w:rsid w:val="00447769"/>
    <w:rsid w:val="0044781D"/>
    <w:rsid w:val="00447AD9"/>
    <w:rsid w:val="00447B78"/>
    <w:rsid w:val="00447E8B"/>
    <w:rsid w:val="004505F1"/>
    <w:rsid w:val="004507F9"/>
    <w:rsid w:val="00450BA1"/>
    <w:rsid w:val="004514D3"/>
    <w:rsid w:val="004517AE"/>
    <w:rsid w:val="004517D2"/>
    <w:rsid w:val="00451E27"/>
    <w:rsid w:val="0045200A"/>
    <w:rsid w:val="0045205D"/>
    <w:rsid w:val="004521CF"/>
    <w:rsid w:val="0045243A"/>
    <w:rsid w:val="00452469"/>
    <w:rsid w:val="0045266C"/>
    <w:rsid w:val="00452BD8"/>
    <w:rsid w:val="00452EE5"/>
    <w:rsid w:val="004532C8"/>
    <w:rsid w:val="00453A04"/>
    <w:rsid w:val="00453AF5"/>
    <w:rsid w:val="00453E80"/>
    <w:rsid w:val="004541EE"/>
    <w:rsid w:val="00454598"/>
    <w:rsid w:val="00454EDE"/>
    <w:rsid w:val="00455339"/>
    <w:rsid w:val="0045582C"/>
    <w:rsid w:val="00455CC0"/>
    <w:rsid w:val="00455F1B"/>
    <w:rsid w:val="00455F6E"/>
    <w:rsid w:val="0045604C"/>
    <w:rsid w:val="00456251"/>
    <w:rsid w:val="00456B61"/>
    <w:rsid w:val="00456FDE"/>
    <w:rsid w:val="00457B41"/>
    <w:rsid w:val="004603DF"/>
    <w:rsid w:val="00460605"/>
    <w:rsid w:val="00460697"/>
    <w:rsid w:val="004606AD"/>
    <w:rsid w:val="004609D2"/>
    <w:rsid w:val="00460F4C"/>
    <w:rsid w:val="004610A9"/>
    <w:rsid w:val="004612B6"/>
    <w:rsid w:val="004615D3"/>
    <w:rsid w:val="004615F5"/>
    <w:rsid w:val="00462291"/>
    <w:rsid w:val="0046234D"/>
    <w:rsid w:val="004625C9"/>
    <w:rsid w:val="0046314D"/>
    <w:rsid w:val="004631DD"/>
    <w:rsid w:val="004635B1"/>
    <w:rsid w:val="00463CAD"/>
    <w:rsid w:val="00464185"/>
    <w:rsid w:val="004643BA"/>
    <w:rsid w:val="00464AB1"/>
    <w:rsid w:val="004654D6"/>
    <w:rsid w:val="00465877"/>
    <w:rsid w:val="00465B4C"/>
    <w:rsid w:val="004660C0"/>
    <w:rsid w:val="00466426"/>
    <w:rsid w:val="004664E7"/>
    <w:rsid w:val="00466DC2"/>
    <w:rsid w:val="00466E77"/>
    <w:rsid w:val="00467380"/>
    <w:rsid w:val="0046739F"/>
    <w:rsid w:val="00467744"/>
    <w:rsid w:val="00467CD5"/>
    <w:rsid w:val="00467D30"/>
    <w:rsid w:val="00467D82"/>
    <w:rsid w:val="00470107"/>
    <w:rsid w:val="00470653"/>
    <w:rsid w:val="00470879"/>
    <w:rsid w:val="00470F84"/>
    <w:rsid w:val="00471016"/>
    <w:rsid w:val="00471024"/>
    <w:rsid w:val="0047163F"/>
    <w:rsid w:val="00471800"/>
    <w:rsid w:val="00471831"/>
    <w:rsid w:val="00471A19"/>
    <w:rsid w:val="00472524"/>
    <w:rsid w:val="00472547"/>
    <w:rsid w:val="00472E7F"/>
    <w:rsid w:val="00473363"/>
    <w:rsid w:val="0047355D"/>
    <w:rsid w:val="004739AF"/>
    <w:rsid w:val="00473CF8"/>
    <w:rsid w:val="0047415D"/>
    <w:rsid w:val="00474FB7"/>
    <w:rsid w:val="00475399"/>
    <w:rsid w:val="004756A4"/>
    <w:rsid w:val="004759D0"/>
    <w:rsid w:val="00475BBC"/>
    <w:rsid w:val="00475D73"/>
    <w:rsid w:val="00476235"/>
    <w:rsid w:val="004770E6"/>
    <w:rsid w:val="00477150"/>
    <w:rsid w:val="004773F3"/>
    <w:rsid w:val="00477403"/>
    <w:rsid w:val="00480041"/>
    <w:rsid w:val="004801F6"/>
    <w:rsid w:val="004807DB"/>
    <w:rsid w:val="00480902"/>
    <w:rsid w:val="00480A54"/>
    <w:rsid w:val="00480A67"/>
    <w:rsid w:val="00481421"/>
    <w:rsid w:val="0048171A"/>
    <w:rsid w:val="00481757"/>
    <w:rsid w:val="0048185A"/>
    <w:rsid w:val="004819FE"/>
    <w:rsid w:val="00482373"/>
    <w:rsid w:val="004824BC"/>
    <w:rsid w:val="00482821"/>
    <w:rsid w:val="00483EB3"/>
    <w:rsid w:val="00484070"/>
    <w:rsid w:val="0048446B"/>
    <w:rsid w:val="00484852"/>
    <w:rsid w:val="0048498B"/>
    <w:rsid w:val="00484C5C"/>
    <w:rsid w:val="00485003"/>
    <w:rsid w:val="0048556E"/>
    <w:rsid w:val="004867F1"/>
    <w:rsid w:val="004868BF"/>
    <w:rsid w:val="004868FF"/>
    <w:rsid w:val="00486ED2"/>
    <w:rsid w:val="004873FA"/>
    <w:rsid w:val="00487C8D"/>
    <w:rsid w:val="00490174"/>
    <w:rsid w:val="00490413"/>
    <w:rsid w:val="00490EC3"/>
    <w:rsid w:val="0049129B"/>
    <w:rsid w:val="004912C5"/>
    <w:rsid w:val="004914D6"/>
    <w:rsid w:val="0049151D"/>
    <w:rsid w:val="00491AD1"/>
    <w:rsid w:val="00491F05"/>
    <w:rsid w:val="0049289E"/>
    <w:rsid w:val="004928B5"/>
    <w:rsid w:val="00492A74"/>
    <w:rsid w:val="00492B6B"/>
    <w:rsid w:val="00492BEA"/>
    <w:rsid w:val="00492E5E"/>
    <w:rsid w:val="00492F6D"/>
    <w:rsid w:val="00493B93"/>
    <w:rsid w:val="00494233"/>
    <w:rsid w:val="004942E6"/>
    <w:rsid w:val="00494525"/>
    <w:rsid w:val="004945BC"/>
    <w:rsid w:val="0049474D"/>
    <w:rsid w:val="00494EEC"/>
    <w:rsid w:val="004950C4"/>
    <w:rsid w:val="0049533B"/>
    <w:rsid w:val="004955DE"/>
    <w:rsid w:val="004955FE"/>
    <w:rsid w:val="00495E5F"/>
    <w:rsid w:val="004965CB"/>
    <w:rsid w:val="00496AFF"/>
    <w:rsid w:val="00496C4A"/>
    <w:rsid w:val="00497645"/>
    <w:rsid w:val="004977EA"/>
    <w:rsid w:val="004A145C"/>
    <w:rsid w:val="004A14BE"/>
    <w:rsid w:val="004A1563"/>
    <w:rsid w:val="004A1BD1"/>
    <w:rsid w:val="004A1FF7"/>
    <w:rsid w:val="004A2132"/>
    <w:rsid w:val="004A22BC"/>
    <w:rsid w:val="004A2635"/>
    <w:rsid w:val="004A271D"/>
    <w:rsid w:val="004A2CF1"/>
    <w:rsid w:val="004A2EC2"/>
    <w:rsid w:val="004A30F8"/>
    <w:rsid w:val="004A326C"/>
    <w:rsid w:val="004A337F"/>
    <w:rsid w:val="004A3479"/>
    <w:rsid w:val="004A3E16"/>
    <w:rsid w:val="004A43B1"/>
    <w:rsid w:val="004A4437"/>
    <w:rsid w:val="004A4883"/>
    <w:rsid w:val="004A488D"/>
    <w:rsid w:val="004A4B6C"/>
    <w:rsid w:val="004A4CD6"/>
    <w:rsid w:val="004A4D06"/>
    <w:rsid w:val="004A576C"/>
    <w:rsid w:val="004A57C9"/>
    <w:rsid w:val="004A5A91"/>
    <w:rsid w:val="004A5D97"/>
    <w:rsid w:val="004A62D4"/>
    <w:rsid w:val="004A63E0"/>
    <w:rsid w:val="004A641F"/>
    <w:rsid w:val="004A67F5"/>
    <w:rsid w:val="004A6E10"/>
    <w:rsid w:val="004A70B6"/>
    <w:rsid w:val="004A724B"/>
    <w:rsid w:val="004A74EB"/>
    <w:rsid w:val="004B0186"/>
    <w:rsid w:val="004B0193"/>
    <w:rsid w:val="004B03F5"/>
    <w:rsid w:val="004B05B5"/>
    <w:rsid w:val="004B06EB"/>
    <w:rsid w:val="004B071B"/>
    <w:rsid w:val="004B0F62"/>
    <w:rsid w:val="004B0FBF"/>
    <w:rsid w:val="004B1EC4"/>
    <w:rsid w:val="004B20B4"/>
    <w:rsid w:val="004B2620"/>
    <w:rsid w:val="004B2874"/>
    <w:rsid w:val="004B2ACC"/>
    <w:rsid w:val="004B31BF"/>
    <w:rsid w:val="004B3C7F"/>
    <w:rsid w:val="004B3E57"/>
    <w:rsid w:val="004B427B"/>
    <w:rsid w:val="004B4990"/>
    <w:rsid w:val="004B4D81"/>
    <w:rsid w:val="004B5274"/>
    <w:rsid w:val="004B5D9A"/>
    <w:rsid w:val="004B5DBA"/>
    <w:rsid w:val="004B5F14"/>
    <w:rsid w:val="004B5F9F"/>
    <w:rsid w:val="004B69CB"/>
    <w:rsid w:val="004B6D15"/>
    <w:rsid w:val="004B7578"/>
    <w:rsid w:val="004B7D76"/>
    <w:rsid w:val="004C0154"/>
    <w:rsid w:val="004C0220"/>
    <w:rsid w:val="004C033A"/>
    <w:rsid w:val="004C0429"/>
    <w:rsid w:val="004C07B9"/>
    <w:rsid w:val="004C084A"/>
    <w:rsid w:val="004C0982"/>
    <w:rsid w:val="004C101E"/>
    <w:rsid w:val="004C1473"/>
    <w:rsid w:val="004C1E12"/>
    <w:rsid w:val="004C26DA"/>
    <w:rsid w:val="004C2AE7"/>
    <w:rsid w:val="004C2D51"/>
    <w:rsid w:val="004C2F79"/>
    <w:rsid w:val="004C3100"/>
    <w:rsid w:val="004C35ED"/>
    <w:rsid w:val="004C380A"/>
    <w:rsid w:val="004C39F7"/>
    <w:rsid w:val="004C3B8E"/>
    <w:rsid w:val="004C4821"/>
    <w:rsid w:val="004C49A5"/>
    <w:rsid w:val="004C5B19"/>
    <w:rsid w:val="004C5FAA"/>
    <w:rsid w:val="004C6921"/>
    <w:rsid w:val="004C6C29"/>
    <w:rsid w:val="004C7128"/>
    <w:rsid w:val="004C715A"/>
    <w:rsid w:val="004C7470"/>
    <w:rsid w:val="004C74A8"/>
    <w:rsid w:val="004C7941"/>
    <w:rsid w:val="004D01D1"/>
    <w:rsid w:val="004D039A"/>
    <w:rsid w:val="004D0536"/>
    <w:rsid w:val="004D0854"/>
    <w:rsid w:val="004D0BE0"/>
    <w:rsid w:val="004D0CE5"/>
    <w:rsid w:val="004D107B"/>
    <w:rsid w:val="004D11DD"/>
    <w:rsid w:val="004D21D4"/>
    <w:rsid w:val="004D26CF"/>
    <w:rsid w:val="004D2AC6"/>
    <w:rsid w:val="004D2C83"/>
    <w:rsid w:val="004D2F7D"/>
    <w:rsid w:val="004D3074"/>
    <w:rsid w:val="004D30F9"/>
    <w:rsid w:val="004D338C"/>
    <w:rsid w:val="004D348E"/>
    <w:rsid w:val="004D3FD2"/>
    <w:rsid w:val="004D40A5"/>
    <w:rsid w:val="004D42A5"/>
    <w:rsid w:val="004D4953"/>
    <w:rsid w:val="004D49A1"/>
    <w:rsid w:val="004D4A33"/>
    <w:rsid w:val="004D4C9C"/>
    <w:rsid w:val="004D4E91"/>
    <w:rsid w:val="004D529A"/>
    <w:rsid w:val="004D5337"/>
    <w:rsid w:val="004D5BB0"/>
    <w:rsid w:val="004D5EDD"/>
    <w:rsid w:val="004D60E0"/>
    <w:rsid w:val="004D6F47"/>
    <w:rsid w:val="004D7087"/>
    <w:rsid w:val="004D7AF3"/>
    <w:rsid w:val="004D7BD4"/>
    <w:rsid w:val="004E00E1"/>
    <w:rsid w:val="004E0E93"/>
    <w:rsid w:val="004E0F14"/>
    <w:rsid w:val="004E11E2"/>
    <w:rsid w:val="004E130E"/>
    <w:rsid w:val="004E1D29"/>
    <w:rsid w:val="004E2105"/>
    <w:rsid w:val="004E22F9"/>
    <w:rsid w:val="004E2A26"/>
    <w:rsid w:val="004E2BF0"/>
    <w:rsid w:val="004E2E79"/>
    <w:rsid w:val="004E3410"/>
    <w:rsid w:val="004E34AD"/>
    <w:rsid w:val="004E3525"/>
    <w:rsid w:val="004E4567"/>
    <w:rsid w:val="004E475D"/>
    <w:rsid w:val="004E536F"/>
    <w:rsid w:val="004E54F5"/>
    <w:rsid w:val="004E553E"/>
    <w:rsid w:val="004E5786"/>
    <w:rsid w:val="004E5E43"/>
    <w:rsid w:val="004E676D"/>
    <w:rsid w:val="004E6BAC"/>
    <w:rsid w:val="004E77BA"/>
    <w:rsid w:val="004E7982"/>
    <w:rsid w:val="004E7E8E"/>
    <w:rsid w:val="004F0633"/>
    <w:rsid w:val="004F071C"/>
    <w:rsid w:val="004F083B"/>
    <w:rsid w:val="004F1AB7"/>
    <w:rsid w:val="004F1C1E"/>
    <w:rsid w:val="004F1CCF"/>
    <w:rsid w:val="004F2F7A"/>
    <w:rsid w:val="004F3750"/>
    <w:rsid w:val="004F378A"/>
    <w:rsid w:val="004F3891"/>
    <w:rsid w:val="004F3AA3"/>
    <w:rsid w:val="004F3E7E"/>
    <w:rsid w:val="004F449C"/>
    <w:rsid w:val="004F464A"/>
    <w:rsid w:val="004F480A"/>
    <w:rsid w:val="004F5225"/>
    <w:rsid w:val="004F5448"/>
    <w:rsid w:val="004F5742"/>
    <w:rsid w:val="004F5A3E"/>
    <w:rsid w:val="004F5C59"/>
    <w:rsid w:val="004F637F"/>
    <w:rsid w:val="004F66CD"/>
    <w:rsid w:val="004F685F"/>
    <w:rsid w:val="004F6CD8"/>
    <w:rsid w:val="004F73FE"/>
    <w:rsid w:val="004F7D84"/>
    <w:rsid w:val="005004A1"/>
    <w:rsid w:val="00500B30"/>
    <w:rsid w:val="00501847"/>
    <w:rsid w:val="00501A4F"/>
    <w:rsid w:val="00501BF6"/>
    <w:rsid w:val="00501F49"/>
    <w:rsid w:val="005027F9"/>
    <w:rsid w:val="00502EF8"/>
    <w:rsid w:val="00503025"/>
    <w:rsid w:val="00503460"/>
    <w:rsid w:val="005037BB"/>
    <w:rsid w:val="00503B8B"/>
    <w:rsid w:val="00503F26"/>
    <w:rsid w:val="00503F70"/>
    <w:rsid w:val="005043AF"/>
    <w:rsid w:val="00504500"/>
    <w:rsid w:val="00504637"/>
    <w:rsid w:val="005046D6"/>
    <w:rsid w:val="00505936"/>
    <w:rsid w:val="00505E42"/>
    <w:rsid w:val="00505EEC"/>
    <w:rsid w:val="005060A3"/>
    <w:rsid w:val="00506531"/>
    <w:rsid w:val="00506580"/>
    <w:rsid w:val="00506A15"/>
    <w:rsid w:val="00506B38"/>
    <w:rsid w:val="00506C0E"/>
    <w:rsid w:val="00506D2C"/>
    <w:rsid w:val="00506FD3"/>
    <w:rsid w:val="005072B0"/>
    <w:rsid w:val="00507744"/>
    <w:rsid w:val="005078AB"/>
    <w:rsid w:val="00507A4F"/>
    <w:rsid w:val="00510431"/>
    <w:rsid w:val="00510835"/>
    <w:rsid w:val="005108AA"/>
    <w:rsid w:val="005109FA"/>
    <w:rsid w:val="00510DEA"/>
    <w:rsid w:val="00511FC1"/>
    <w:rsid w:val="005123C2"/>
    <w:rsid w:val="005124D0"/>
    <w:rsid w:val="005127A8"/>
    <w:rsid w:val="0051292F"/>
    <w:rsid w:val="00512BEF"/>
    <w:rsid w:val="00512EE2"/>
    <w:rsid w:val="00512F59"/>
    <w:rsid w:val="0051302B"/>
    <w:rsid w:val="00513187"/>
    <w:rsid w:val="00513747"/>
    <w:rsid w:val="00513942"/>
    <w:rsid w:val="0051399B"/>
    <w:rsid w:val="00513E37"/>
    <w:rsid w:val="0051438F"/>
    <w:rsid w:val="005145AF"/>
    <w:rsid w:val="005148B6"/>
    <w:rsid w:val="00514BB3"/>
    <w:rsid w:val="00514DD8"/>
    <w:rsid w:val="00515420"/>
    <w:rsid w:val="005157BE"/>
    <w:rsid w:val="00515BBC"/>
    <w:rsid w:val="0051620B"/>
    <w:rsid w:val="005170D1"/>
    <w:rsid w:val="005171A7"/>
    <w:rsid w:val="0051732C"/>
    <w:rsid w:val="005177AA"/>
    <w:rsid w:val="005200D2"/>
    <w:rsid w:val="00520326"/>
    <w:rsid w:val="005204C8"/>
    <w:rsid w:val="005206B4"/>
    <w:rsid w:val="0052075A"/>
    <w:rsid w:val="00520A25"/>
    <w:rsid w:val="005221EC"/>
    <w:rsid w:val="0052224C"/>
    <w:rsid w:val="005229A3"/>
    <w:rsid w:val="00522B6F"/>
    <w:rsid w:val="00522D5F"/>
    <w:rsid w:val="005230F7"/>
    <w:rsid w:val="00523342"/>
    <w:rsid w:val="005235B2"/>
    <w:rsid w:val="00523911"/>
    <w:rsid w:val="00523EA2"/>
    <w:rsid w:val="00523F52"/>
    <w:rsid w:val="005243A2"/>
    <w:rsid w:val="0052454E"/>
    <w:rsid w:val="00524BB0"/>
    <w:rsid w:val="00524E86"/>
    <w:rsid w:val="0052536B"/>
    <w:rsid w:val="00525731"/>
    <w:rsid w:val="0052577F"/>
    <w:rsid w:val="00525806"/>
    <w:rsid w:val="0052736C"/>
    <w:rsid w:val="00527453"/>
    <w:rsid w:val="0052771B"/>
    <w:rsid w:val="00527843"/>
    <w:rsid w:val="005279D1"/>
    <w:rsid w:val="00527C2E"/>
    <w:rsid w:val="00527EA7"/>
    <w:rsid w:val="00530C1B"/>
    <w:rsid w:val="00530D45"/>
    <w:rsid w:val="00531074"/>
    <w:rsid w:val="00531666"/>
    <w:rsid w:val="00531672"/>
    <w:rsid w:val="00531872"/>
    <w:rsid w:val="00531AEF"/>
    <w:rsid w:val="00531B2B"/>
    <w:rsid w:val="00531E18"/>
    <w:rsid w:val="0053253F"/>
    <w:rsid w:val="0053260E"/>
    <w:rsid w:val="0053303F"/>
    <w:rsid w:val="00534150"/>
    <w:rsid w:val="00534355"/>
    <w:rsid w:val="00534A47"/>
    <w:rsid w:val="00534BB5"/>
    <w:rsid w:val="00536449"/>
    <w:rsid w:val="00536806"/>
    <w:rsid w:val="005369E1"/>
    <w:rsid w:val="005371B8"/>
    <w:rsid w:val="005371EF"/>
    <w:rsid w:val="0053731C"/>
    <w:rsid w:val="005374A1"/>
    <w:rsid w:val="00540056"/>
    <w:rsid w:val="005403B5"/>
    <w:rsid w:val="005404C3"/>
    <w:rsid w:val="005410AA"/>
    <w:rsid w:val="005415B3"/>
    <w:rsid w:val="0054188B"/>
    <w:rsid w:val="00541E0E"/>
    <w:rsid w:val="005425EB"/>
    <w:rsid w:val="00542ED2"/>
    <w:rsid w:val="00543446"/>
    <w:rsid w:val="00544AAB"/>
    <w:rsid w:val="00544F98"/>
    <w:rsid w:val="00545CFD"/>
    <w:rsid w:val="0054663A"/>
    <w:rsid w:val="00546C3C"/>
    <w:rsid w:val="00546CA3"/>
    <w:rsid w:val="005471AF"/>
    <w:rsid w:val="0054747F"/>
    <w:rsid w:val="005475FE"/>
    <w:rsid w:val="00547A4B"/>
    <w:rsid w:val="00547B9B"/>
    <w:rsid w:val="00547FDA"/>
    <w:rsid w:val="0055050E"/>
    <w:rsid w:val="005506D7"/>
    <w:rsid w:val="00551066"/>
    <w:rsid w:val="005511A1"/>
    <w:rsid w:val="00551276"/>
    <w:rsid w:val="0055140F"/>
    <w:rsid w:val="005518A8"/>
    <w:rsid w:val="00551994"/>
    <w:rsid w:val="005528F6"/>
    <w:rsid w:val="00552CFF"/>
    <w:rsid w:val="0055324F"/>
    <w:rsid w:val="00553493"/>
    <w:rsid w:val="005536FA"/>
    <w:rsid w:val="00554001"/>
    <w:rsid w:val="00554040"/>
    <w:rsid w:val="00554338"/>
    <w:rsid w:val="00554DC7"/>
    <w:rsid w:val="005550ED"/>
    <w:rsid w:val="005550FB"/>
    <w:rsid w:val="00555326"/>
    <w:rsid w:val="0055589F"/>
    <w:rsid w:val="00555938"/>
    <w:rsid w:val="005560BF"/>
    <w:rsid w:val="0055625C"/>
    <w:rsid w:val="0055639A"/>
    <w:rsid w:val="00556D6E"/>
    <w:rsid w:val="00557200"/>
    <w:rsid w:val="00557768"/>
    <w:rsid w:val="00557B47"/>
    <w:rsid w:val="0056036B"/>
    <w:rsid w:val="0056125A"/>
    <w:rsid w:val="0056174D"/>
    <w:rsid w:val="00561A00"/>
    <w:rsid w:val="00561E45"/>
    <w:rsid w:val="0056231E"/>
    <w:rsid w:val="0056358B"/>
    <w:rsid w:val="005635B2"/>
    <w:rsid w:val="00563641"/>
    <w:rsid w:val="00563A2B"/>
    <w:rsid w:val="00563B55"/>
    <w:rsid w:val="00563E94"/>
    <w:rsid w:val="00564A09"/>
    <w:rsid w:val="00564A98"/>
    <w:rsid w:val="00564BA7"/>
    <w:rsid w:val="00564E5E"/>
    <w:rsid w:val="005652DE"/>
    <w:rsid w:val="00565C53"/>
    <w:rsid w:val="005660BC"/>
    <w:rsid w:val="00566DE3"/>
    <w:rsid w:val="00566FE9"/>
    <w:rsid w:val="005675A2"/>
    <w:rsid w:val="005676E1"/>
    <w:rsid w:val="0057027C"/>
    <w:rsid w:val="00570299"/>
    <w:rsid w:val="005709BA"/>
    <w:rsid w:val="00571528"/>
    <w:rsid w:val="00571563"/>
    <w:rsid w:val="005718C9"/>
    <w:rsid w:val="00571C3D"/>
    <w:rsid w:val="00572008"/>
    <w:rsid w:val="005720AC"/>
    <w:rsid w:val="005725D8"/>
    <w:rsid w:val="00572791"/>
    <w:rsid w:val="005727A9"/>
    <w:rsid w:val="00572917"/>
    <w:rsid w:val="005731CE"/>
    <w:rsid w:val="00573590"/>
    <w:rsid w:val="005735FA"/>
    <w:rsid w:val="0057387A"/>
    <w:rsid w:val="00573B7C"/>
    <w:rsid w:val="00573B9B"/>
    <w:rsid w:val="00574336"/>
    <w:rsid w:val="00574418"/>
    <w:rsid w:val="005748DD"/>
    <w:rsid w:val="00574FE7"/>
    <w:rsid w:val="0057639F"/>
    <w:rsid w:val="0057668C"/>
    <w:rsid w:val="005766C6"/>
    <w:rsid w:val="00577098"/>
    <w:rsid w:val="00577559"/>
    <w:rsid w:val="0057788C"/>
    <w:rsid w:val="00577AC6"/>
    <w:rsid w:val="00577E87"/>
    <w:rsid w:val="005806B5"/>
    <w:rsid w:val="0058074F"/>
    <w:rsid w:val="00580952"/>
    <w:rsid w:val="00580D73"/>
    <w:rsid w:val="00581580"/>
    <w:rsid w:val="00581AF7"/>
    <w:rsid w:val="00581CAD"/>
    <w:rsid w:val="00581DD0"/>
    <w:rsid w:val="00581FA3"/>
    <w:rsid w:val="00582167"/>
    <w:rsid w:val="005821D8"/>
    <w:rsid w:val="00582C1A"/>
    <w:rsid w:val="00582C50"/>
    <w:rsid w:val="00582CE8"/>
    <w:rsid w:val="00582F35"/>
    <w:rsid w:val="005830CB"/>
    <w:rsid w:val="00583527"/>
    <w:rsid w:val="00583684"/>
    <w:rsid w:val="00583905"/>
    <w:rsid w:val="00583B67"/>
    <w:rsid w:val="00583C2C"/>
    <w:rsid w:val="0058456D"/>
    <w:rsid w:val="00584DD7"/>
    <w:rsid w:val="0058502A"/>
    <w:rsid w:val="00585693"/>
    <w:rsid w:val="0058573F"/>
    <w:rsid w:val="00585A60"/>
    <w:rsid w:val="00585AE4"/>
    <w:rsid w:val="00585B82"/>
    <w:rsid w:val="00586262"/>
    <w:rsid w:val="005862B1"/>
    <w:rsid w:val="005864C6"/>
    <w:rsid w:val="005875EF"/>
    <w:rsid w:val="00587A45"/>
    <w:rsid w:val="00587F4F"/>
    <w:rsid w:val="00590594"/>
    <w:rsid w:val="00590EF3"/>
    <w:rsid w:val="00590F56"/>
    <w:rsid w:val="0059153A"/>
    <w:rsid w:val="0059198E"/>
    <w:rsid w:val="005919AC"/>
    <w:rsid w:val="00591E76"/>
    <w:rsid w:val="00592502"/>
    <w:rsid w:val="00592ADC"/>
    <w:rsid w:val="0059336B"/>
    <w:rsid w:val="005933BC"/>
    <w:rsid w:val="005933D5"/>
    <w:rsid w:val="005934C9"/>
    <w:rsid w:val="005939E8"/>
    <w:rsid w:val="0059456D"/>
    <w:rsid w:val="00594801"/>
    <w:rsid w:val="00594D6A"/>
    <w:rsid w:val="00594D78"/>
    <w:rsid w:val="00595042"/>
    <w:rsid w:val="00595158"/>
    <w:rsid w:val="005954EB"/>
    <w:rsid w:val="00595678"/>
    <w:rsid w:val="005956AE"/>
    <w:rsid w:val="00595FAD"/>
    <w:rsid w:val="005960FC"/>
    <w:rsid w:val="0059613A"/>
    <w:rsid w:val="00596C65"/>
    <w:rsid w:val="00596EDC"/>
    <w:rsid w:val="0059732E"/>
    <w:rsid w:val="0059782B"/>
    <w:rsid w:val="005978EF"/>
    <w:rsid w:val="005979E9"/>
    <w:rsid w:val="00597AA9"/>
    <w:rsid w:val="005A032F"/>
    <w:rsid w:val="005A0425"/>
    <w:rsid w:val="005A07CE"/>
    <w:rsid w:val="005A1739"/>
    <w:rsid w:val="005A17E5"/>
    <w:rsid w:val="005A1CF5"/>
    <w:rsid w:val="005A2CD6"/>
    <w:rsid w:val="005A2D46"/>
    <w:rsid w:val="005A2EFF"/>
    <w:rsid w:val="005A3A67"/>
    <w:rsid w:val="005A3AC8"/>
    <w:rsid w:val="005A3EA6"/>
    <w:rsid w:val="005A3F7F"/>
    <w:rsid w:val="005A45FA"/>
    <w:rsid w:val="005A4771"/>
    <w:rsid w:val="005A4773"/>
    <w:rsid w:val="005A4A0B"/>
    <w:rsid w:val="005A5512"/>
    <w:rsid w:val="005A5767"/>
    <w:rsid w:val="005A5AA0"/>
    <w:rsid w:val="005A5E26"/>
    <w:rsid w:val="005A62EA"/>
    <w:rsid w:val="005A664A"/>
    <w:rsid w:val="005A6C7B"/>
    <w:rsid w:val="005A7145"/>
    <w:rsid w:val="005A7313"/>
    <w:rsid w:val="005A7442"/>
    <w:rsid w:val="005A7893"/>
    <w:rsid w:val="005A7A28"/>
    <w:rsid w:val="005A7D3D"/>
    <w:rsid w:val="005A7D93"/>
    <w:rsid w:val="005A7E15"/>
    <w:rsid w:val="005B017F"/>
    <w:rsid w:val="005B0201"/>
    <w:rsid w:val="005B048F"/>
    <w:rsid w:val="005B0CBD"/>
    <w:rsid w:val="005B0F05"/>
    <w:rsid w:val="005B0F8F"/>
    <w:rsid w:val="005B1633"/>
    <w:rsid w:val="005B18CC"/>
    <w:rsid w:val="005B1C25"/>
    <w:rsid w:val="005B21D9"/>
    <w:rsid w:val="005B23EB"/>
    <w:rsid w:val="005B2B74"/>
    <w:rsid w:val="005B2E02"/>
    <w:rsid w:val="005B33AE"/>
    <w:rsid w:val="005B3AAE"/>
    <w:rsid w:val="005B3CA8"/>
    <w:rsid w:val="005B3E46"/>
    <w:rsid w:val="005B42FA"/>
    <w:rsid w:val="005B48E4"/>
    <w:rsid w:val="005B4A5F"/>
    <w:rsid w:val="005B4C42"/>
    <w:rsid w:val="005B5098"/>
    <w:rsid w:val="005B549D"/>
    <w:rsid w:val="005B595C"/>
    <w:rsid w:val="005B6307"/>
    <w:rsid w:val="005B648B"/>
    <w:rsid w:val="005B6825"/>
    <w:rsid w:val="005B6E04"/>
    <w:rsid w:val="005B7DA5"/>
    <w:rsid w:val="005C0434"/>
    <w:rsid w:val="005C0685"/>
    <w:rsid w:val="005C0820"/>
    <w:rsid w:val="005C0D7A"/>
    <w:rsid w:val="005C0F52"/>
    <w:rsid w:val="005C1320"/>
    <w:rsid w:val="005C150E"/>
    <w:rsid w:val="005C173B"/>
    <w:rsid w:val="005C174A"/>
    <w:rsid w:val="005C17E2"/>
    <w:rsid w:val="005C1978"/>
    <w:rsid w:val="005C1F70"/>
    <w:rsid w:val="005C220C"/>
    <w:rsid w:val="005C2314"/>
    <w:rsid w:val="005C2669"/>
    <w:rsid w:val="005C2684"/>
    <w:rsid w:val="005C2935"/>
    <w:rsid w:val="005C2A05"/>
    <w:rsid w:val="005C2E88"/>
    <w:rsid w:val="005C2F12"/>
    <w:rsid w:val="005C2F1A"/>
    <w:rsid w:val="005C313E"/>
    <w:rsid w:val="005C3371"/>
    <w:rsid w:val="005C4268"/>
    <w:rsid w:val="005C470F"/>
    <w:rsid w:val="005C5761"/>
    <w:rsid w:val="005C5A64"/>
    <w:rsid w:val="005C5D6F"/>
    <w:rsid w:val="005C5E54"/>
    <w:rsid w:val="005C5EF3"/>
    <w:rsid w:val="005C7122"/>
    <w:rsid w:val="005C71B6"/>
    <w:rsid w:val="005C771D"/>
    <w:rsid w:val="005C7D20"/>
    <w:rsid w:val="005D0361"/>
    <w:rsid w:val="005D04CE"/>
    <w:rsid w:val="005D05BB"/>
    <w:rsid w:val="005D06E4"/>
    <w:rsid w:val="005D091B"/>
    <w:rsid w:val="005D09D7"/>
    <w:rsid w:val="005D0AF0"/>
    <w:rsid w:val="005D1758"/>
    <w:rsid w:val="005D1A2E"/>
    <w:rsid w:val="005D245D"/>
    <w:rsid w:val="005D290C"/>
    <w:rsid w:val="005D2A1B"/>
    <w:rsid w:val="005D2E97"/>
    <w:rsid w:val="005D3720"/>
    <w:rsid w:val="005D3EFC"/>
    <w:rsid w:val="005D4515"/>
    <w:rsid w:val="005D47A2"/>
    <w:rsid w:val="005D4981"/>
    <w:rsid w:val="005D520F"/>
    <w:rsid w:val="005D5217"/>
    <w:rsid w:val="005D52C4"/>
    <w:rsid w:val="005D52DF"/>
    <w:rsid w:val="005D5EB5"/>
    <w:rsid w:val="005D6009"/>
    <w:rsid w:val="005D622F"/>
    <w:rsid w:val="005D6571"/>
    <w:rsid w:val="005D678E"/>
    <w:rsid w:val="005D6C8C"/>
    <w:rsid w:val="005D6FD3"/>
    <w:rsid w:val="005D717E"/>
    <w:rsid w:val="005D763A"/>
    <w:rsid w:val="005D781A"/>
    <w:rsid w:val="005D7B8B"/>
    <w:rsid w:val="005D7CEF"/>
    <w:rsid w:val="005D7D12"/>
    <w:rsid w:val="005D7FBF"/>
    <w:rsid w:val="005E0054"/>
    <w:rsid w:val="005E0703"/>
    <w:rsid w:val="005E08C6"/>
    <w:rsid w:val="005E0936"/>
    <w:rsid w:val="005E0FC4"/>
    <w:rsid w:val="005E1276"/>
    <w:rsid w:val="005E13A9"/>
    <w:rsid w:val="005E13B7"/>
    <w:rsid w:val="005E1F98"/>
    <w:rsid w:val="005E219A"/>
    <w:rsid w:val="005E2364"/>
    <w:rsid w:val="005E2F07"/>
    <w:rsid w:val="005E3585"/>
    <w:rsid w:val="005E36EF"/>
    <w:rsid w:val="005E39D0"/>
    <w:rsid w:val="005E3AF7"/>
    <w:rsid w:val="005E3D20"/>
    <w:rsid w:val="005E41D6"/>
    <w:rsid w:val="005E4368"/>
    <w:rsid w:val="005E4518"/>
    <w:rsid w:val="005E4911"/>
    <w:rsid w:val="005E52AD"/>
    <w:rsid w:val="005E5391"/>
    <w:rsid w:val="005E5739"/>
    <w:rsid w:val="005E5750"/>
    <w:rsid w:val="005E6017"/>
    <w:rsid w:val="005E605D"/>
    <w:rsid w:val="005E643E"/>
    <w:rsid w:val="005E6548"/>
    <w:rsid w:val="005E6741"/>
    <w:rsid w:val="005E6B3D"/>
    <w:rsid w:val="005E6BB7"/>
    <w:rsid w:val="005E6D9B"/>
    <w:rsid w:val="005E713E"/>
    <w:rsid w:val="005E7176"/>
    <w:rsid w:val="005E7E3F"/>
    <w:rsid w:val="005F007A"/>
    <w:rsid w:val="005F082C"/>
    <w:rsid w:val="005F0917"/>
    <w:rsid w:val="005F0D3F"/>
    <w:rsid w:val="005F145B"/>
    <w:rsid w:val="005F1508"/>
    <w:rsid w:val="005F1A32"/>
    <w:rsid w:val="005F1F20"/>
    <w:rsid w:val="005F1F32"/>
    <w:rsid w:val="005F2377"/>
    <w:rsid w:val="005F26E3"/>
    <w:rsid w:val="005F2A3A"/>
    <w:rsid w:val="005F2BC6"/>
    <w:rsid w:val="005F2CBA"/>
    <w:rsid w:val="005F327A"/>
    <w:rsid w:val="005F388D"/>
    <w:rsid w:val="005F3A9D"/>
    <w:rsid w:val="005F4097"/>
    <w:rsid w:val="005F4635"/>
    <w:rsid w:val="005F491A"/>
    <w:rsid w:val="005F4D02"/>
    <w:rsid w:val="005F5068"/>
    <w:rsid w:val="005F5595"/>
    <w:rsid w:val="005F5642"/>
    <w:rsid w:val="005F57B1"/>
    <w:rsid w:val="005F57E2"/>
    <w:rsid w:val="005F5D79"/>
    <w:rsid w:val="005F64AB"/>
    <w:rsid w:val="005F6C77"/>
    <w:rsid w:val="005F6E58"/>
    <w:rsid w:val="005F6E70"/>
    <w:rsid w:val="005F7883"/>
    <w:rsid w:val="005F7BAD"/>
    <w:rsid w:val="005F7E99"/>
    <w:rsid w:val="0060041B"/>
    <w:rsid w:val="0060090F"/>
    <w:rsid w:val="00600BF1"/>
    <w:rsid w:val="00600EF1"/>
    <w:rsid w:val="00600F4E"/>
    <w:rsid w:val="0060130F"/>
    <w:rsid w:val="006013E9"/>
    <w:rsid w:val="00601449"/>
    <w:rsid w:val="006017CC"/>
    <w:rsid w:val="006017DF"/>
    <w:rsid w:val="006018B0"/>
    <w:rsid w:val="00601A72"/>
    <w:rsid w:val="00601E04"/>
    <w:rsid w:val="0060221D"/>
    <w:rsid w:val="00602927"/>
    <w:rsid w:val="006031C0"/>
    <w:rsid w:val="00603A03"/>
    <w:rsid w:val="00603A36"/>
    <w:rsid w:val="00603BCF"/>
    <w:rsid w:val="0060419C"/>
    <w:rsid w:val="00604828"/>
    <w:rsid w:val="006051CE"/>
    <w:rsid w:val="00605340"/>
    <w:rsid w:val="00605DF8"/>
    <w:rsid w:val="00605EF3"/>
    <w:rsid w:val="0060614A"/>
    <w:rsid w:val="00606B8C"/>
    <w:rsid w:val="006076F0"/>
    <w:rsid w:val="00607838"/>
    <w:rsid w:val="00607BC7"/>
    <w:rsid w:val="00607C13"/>
    <w:rsid w:val="00607EC1"/>
    <w:rsid w:val="0061024A"/>
    <w:rsid w:val="00610893"/>
    <w:rsid w:val="00610AB1"/>
    <w:rsid w:val="006112D9"/>
    <w:rsid w:val="006115AD"/>
    <w:rsid w:val="006115B0"/>
    <w:rsid w:val="00611634"/>
    <w:rsid w:val="0061167F"/>
    <w:rsid w:val="00611919"/>
    <w:rsid w:val="00611C39"/>
    <w:rsid w:val="00611EA1"/>
    <w:rsid w:val="006124D3"/>
    <w:rsid w:val="006128DA"/>
    <w:rsid w:val="00612A87"/>
    <w:rsid w:val="006137B7"/>
    <w:rsid w:val="00613E9B"/>
    <w:rsid w:val="006143EE"/>
    <w:rsid w:val="006148D5"/>
    <w:rsid w:val="00614E99"/>
    <w:rsid w:val="006157D6"/>
    <w:rsid w:val="006158FF"/>
    <w:rsid w:val="006167D6"/>
    <w:rsid w:val="006169A7"/>
    <w:rsid w:val="00616B73"/>
    <w:rsid w:val="00617055"/>
    <w:rsid w:val="006172A9"/>
    <w:rsid w:val="0061739D"/>
    <w:rsid w:val="006174E7"/>
    <w:rsid w:val="00617528"/>
    <w:rsid w:val="00617554"/>
    <w:rsid w:val="00617789"/>
    <w:rsid w:val="006203E6"/>
    <w:rsid w:val="00620530"/>
    <w:rsid w:val="00621343"/>
    <w:rsid w:val="006213AA"/>
    <w:rsid w:val="00621503"/>
    <w:rsid w:val="00621526"/>
    <w:rsid w:val="006217E0"/>
    <w:rsid w:val="0062189D"/>
    <w:rsid w:val="006223D7"/>
    <w:rsid w:val="00622DA5"/>
    <w:rsid w:val="00622F09"/>
    <w:rsid w:val="0062305B"/>
    <w:rsid w:val="006233BA"/>
    <w:rsid w:val="006242D5"/>
    <w:rsid w:val="00624A1F"/>
    <w:rsid w:val="00624AD0"/>
    <w:rsid w:val="00624DC7"/>
    <w:rsid w:val="00624DFD"/>
    <w:rsid w:val="00624F52"/>
    <w:rsid w:val="0062505A"/>
    <w:rsid w:val="00625128"/>
    <w:rsid w:val="00625221"/>
    <w:rsid w:val="00625494"/>
    <w:rsid w:val="0062603F"/>
    <w:rsid w:val="00626AC1"/>
    <w:rsid w:val="00627010"/>
    <w:rsid w:val="0062736D"/>
    <w:rsid w:val="00627518"/>
    <w:rsid w:val="00630369"/>
    <w:rsid w:val="00630B39"/>
    <w:rsid w:val="00630C19"/>
    <w:rsid w:val="00631A66"/>
    <w:rsid w:val="00631B8C"/>
    <w:rsid w:val="00631CA5"/>
    <w:rsid w:val="006322CF"/>
    <w:rsid w:val="006323C3"/>
    <w:rsid w:val="006323DC"/>
    <w:rsid w:val="0063243D"/>
    <w:rsid w:val="00632878"/>
    <w:rsid w:val="00632F79"/>
    <w:rsid w:val="0063314C"/>
    <w:rsid w:val="006339B7"/>
    <w:rsid w:val="00633BA4"/>
    <w:rsid w:val="00633C74"/>
    <w:rsid w:val="00633D16"/>
    <w:rsid w:val="00633DB9"/>
    <w:rsid w:val="006346E1"/>
    <w:rsid w:val="0063488D"/>
    <w:rsid w:val="00634B01"/>
    <w:rsid w:val="00634DD1"/>
    <w:rsid w:val="00634DD3"/>
    <w:rsid w:val="00634E12"/>
    <w:rsid w:val="00635008"/>
    <w:rsid w:val="006350CC"/>
    <w:rsid w:val="006356AD"/>
    <w:rsid w:val="0063578D"/>
    <w:rsid w:val="00635CC6"/>
    <w:rsid w:val="006362DC"/>
    <w:rsid w:val="006362EF"/>
    <w:rsid w:val="006368CF"/>
    <w:rsid w:val="00637234"/>
    <w:rsid w:val="00637502"/>
    <w:rsid w:val="00637D07"/>
    <w:rsid w:val="00637E20"/>
    <w:rsid w:val="0064081F"/>
    <w:rsid w:val="00640C40"/>
    <w:rsid w:val="006419EC"/>
    <w:rsid w:val="00641DD0"/>
    <w:rsid w:val="006425A3"/>
    <w:rsid w:val="00642998"/>
    <w:rsid w:val="006429C7"/>
    <w:rsid w:val="00642B73"/>
    <w:rsid w:val="00642D1C"/>
    <w:rsid w:val="00642DED"/>
    <w:rsid w:val="00643681"/>
    <w:rsid w:val="00643868"/>
    <w:rsid w:val="00643D18"/>
    <w:rsid w:val="00643F9C"/>
    <w:rsid w:val="0064408E"/>
    <w:rsid w:val="00644487"/>
    <w:rsid w:val="00644538"/>
    <w:rsid w:val="006446BC"/>
    <w:rsid w:val="006446E1"/>
    <w:rsid w:val="0064497C"/>
    <w:rsid w:val="006451DC"/>
    <w:rsid w:val="00645537"/>
    <w:rsid w:val="00645B54"/>
    <w:rsid w:val="00645B83"/>
    <w:rsid w:val="00646113"/>
    <w:rsid w:val="00646375"/>
    <w:rsid w:val="006468A9"/>
    <w:rsid w:val="0064697E"/>
    <w:rsid w:val="00646AE1"/>
    <w:rsid w:val="00647098"/>
    <w:rsid w:val="0065034E"/>
    <w:rsid w:val="006505AB"/>
    <w:rsid w:val="00650A30"/>
    <w:rsid w:val="00650A88"/>
    <w:rsid w:val="00650C7A"/>
    <w:rsid w:val="00651314"/>
    <w:rsid w:val="0065139F"/>
    <w:rsid w:val="00651AEA"/>
    <w:rsid w:val="00651BE3"/>
    <w:rsid w:val="00652090"/>
    <w:rsid w:val="006522CE"/>
    <w:rsid w:val="00652703"/>
    <w:rsid w:val="0065315F"/>
    <w:rsid w:val="006532B8"/>
    <w:rsid w:val="006532DB"/>
    <w:rsid w:val="006537FA"/>
    <w:rsid w:val="00654215"/>
    <w:rsid w:val="00654228"/>
    <w:rsid w:val="006545B5"/>
    <w:rsid w:val="00654816"/>
    <w:rsid w:val="00654AE8"/>
    <w:rsid w:val="00654BBB"/>
    <w:rsid w:val="00654C95"/>
    <w:rsid w:val="00654D92"/>
    <w:rsid w:val="006554BA"/>
    <w:rsid w:val="00655DF7"/>
    <w:rsid w:val="00655FD5"/>
    <w:rsid w:val="00656C9C"/>
    <w:rsid w:val="00656F72"/>
    <w:rsid w:val="00657D00"/>
    <w:rsid w:val="00657E1C"/>
    <w:rsid w:val="00660000"/>
    <w:rsid w:val="00660CDC"/>
    <w:rsid w:val="00660D54"/>
    <w:rsid w:val="00661AE6"/>
    <w:rsid w:val="00661FAC"/>
    <w:rsid w:val="00662854"/>
    <w:rsid w:val="00662D5E"/>
    <w:rsid w:val="00662FBB"/>
    <w:rsid w:val="00662FDE"/>
    <w:rsid w:val="0066369B"/>
    <w:rsid w:val="00664027"/>
    <w:rsid w:val="00664580"/>
    <w:rsid w:val="00664876"/>
    <w:rsid w:val="00664BC1"/>
    <w:rsid w:val="00664DDA"/>
    <w:rsid w:val="00664DF9"/>
    <w:rsid w:val="006651F1"/>
    <w:rsid w:val="00665A05"/>
    <w:rsid w:val="00665ABA"/>
    <w:rsid w:val="00666344"/>
    <w:rsid w:val="006663D5"/>
    <w:rsid w:val="006663E4"/>
    <w:rsid w:val="0066693E"/>
    <w:rsid w:val="00666E09"/>
    <w:rsid w:val="00667278"/>
    <w:rsid w:val="0066762A"/>
    <w:rsid w:val="0066791A"/>
    <w:rsid w:val="00667C01"/>
    <w:rsid w:val="006706E8"/>
    <w:rsid w:val="00670955"/>
    <w:rsid w:val="00670BD4"/>
    <w:rsid w:val="00670D80"/>
    <w:rsid w:val="0067146C"/>
    <w:rsid w:val="0067157B"/>
    <w:rsid w:val="0067197D"/>
    <w:rsid w:val="00672E2A"/>
    <w:rsid w:val="00672FFF"/>
    <w:rsid w:val="0067353D"/>
    <w:rsid w:val="00673BE1"/>
    <w:rsid w:val="00673C44"/>
    <w:rsid w:val="006742C1"/>
    <w:rsid w:val="0067488F"/>
    <w:rsid w:val="006748DA"/>
    <w:rsid w:val="006749C5"/>
    <w:rsid w:val="00674AD4"/>
    <w:rsid w:val="00674BDA"/>
    <w:rsid w:val="00674C25"/>
    <w:rsid w:val="00674F04"/>
    <w:rsid w:val="006752DB"/>
    <w:rsid w:val="0067533C"/>
    <w:rsid w:val="0067594A"/>
    <w:rsid w:val="0067631A"/>
    <w:rsid w:val="006764D2"/>
    <w:rsid w:val="00676D37"/>
    <w:rsid w:val="0067767C"/>
    <w:rsid w:val="00677C02"/>
    <w:rsid w:val="0068040B"/>
    <w:rsid w:val="00680CDB"/>
    <w:rsid w:val="00680DB2"/>
    <w:rsid w:val="006810DC"/>
    <w:rsid w:val="00681574"/>
    <w:rsid w:val="00681589"/>
    <w:rsid w:val="00681C01"/>
    <w:rsid w:val="00681CA6"/>
    <w:rsid w:val="00682183"/>
    <w:rsid w:val="0068228C"/>
    <w:rsid w:val="00682E51"/>
    <w:rsid w:val="0068337B"/>
    <w:rsid w:val="006833BF"/>
    <w:rsid w:val="006834B3"/>
    <w:rsid w:val="00683C32"/>
    <w:rsid w:val="00683CB7"/>
    <w:rsid w:val="00684812"/>
    <w:rsid w:val="00684AC8"/>
    <w:rsid w:val="00685103"/>
    <w:rsid w:val="006854BA"/>
    <w:rsid w:val="00685A90"/>
    <w:rsid w:val="00685DFA"/>
    <w:rsid w:val="00685EE6"/>
    <w:rsid w:val="00686834"/>
    <w:rsid w:val="00686BAA"/>
    <w:rsid w:val="006872F4"/>
    <w:rsid w:val="006878C6"/>
    <w:rsid w:val="006879DE"/>
    <w:rsid w:val="00687AFF"/>
    <w:rsid w:val="00687E96"/>
    <w:rsid w:val="00690206"/>
    <w:rsid w:val="00690A04"/>
    <w:rsid w:val="00690F10"/>
    <w:rsid w:val="006910D9"/>
    <w:rsid w:val="00691BE4"/>
    <w:rsid w:val="00691DBE"/>
    <w:rsid w:val="006922AA"/>
    <w:rsid w:val="006926DD"/>
    <w:rsid w:val="00692734"/>
    <w:rsid w:val="00692AC5"/>
    <w:rsid w:val="00692DF6"/>
    <w:rsid w:val="00692E7D"/>
    <w:rsid w:val="006930D2"/>
    <w:rsid w:val="00693439"/>
    <w:rsid w:val="006937EE"/>
    <w:rsid w:val="0069397C"/>
    <w:rsid w:val="00693A53"/>
    <w:rsid w:val="00693ACE"/>
    <w:rsid w:val="006942AF"/>
    <w:rsid w:val="00694604"/>
    <w:rsid w:val="00694CBD"/>
    <w:rsid w:val="00694DF8"/>
    <w:rsid w:val="006950B5"/>
    <w:rsid w:val="006950B8"/>
    <w:rsid w:val="006950BE"/>
    <w:rsid w:val="0069521F"/>
    <w:rsid w:val="00695459"/>
    <w:rsid w:val="00695BF9"/>
    <w:rsid w:val="006964C1"/>
    <w:rsid w:val="00696B7C"/>
    <w:rsid w:val="006973E3"/>
    <w:rsid w:val="00697A39"/>
    <w:rsid w:val="006A01EE"/>
    <w:rsid w:val="006A039B"/>
    <w:rsid w:val="006A07B8"/>
    <w:rsid w:val="006A0D62"/>
    <w:rsid w:val="006A10F8"/>
    <w:rsid w:val="006A1945"/>
    <w:rsid w:val="006A1999"/>
    <w:rsid w:val="006A1B38"/>
    <w:rsid w:val="006A22BC"/>
    <w:rsid w:val="006A238F"/>
    <w:rsid w:val="006A2840"/>
    <w:rsid w:val="006A2D5D"/>
    <w:rsid w:val="006A2FAD"/>
    <w:rsid w:val="006A2FEB"/>
    <w:rsid w:val="006A396C"/>
    <w:rsid w:val="006A3D7A"/>
    <w:rsid w:val="006A40F5"/>
    <w:rsid w:val="006A410B"/>
    <w:rsid w:val="006A4217"/>
    <w:rsid w:val="006A4434"/>
    <w:rsid w:val="006A49AE"/>
    <w:rsid w:val="006A5550"/>
    <w:rsid w:val="006A5805"/>
    <w:rsid w:val="006A5D83"/>
    <w:rsid w:val="006A66FC"/>
    <w:rsid w:val="006A6BAA"/>
    <w:rsid w:val="006A6C3D"/>
    <w:rsid w:val="006A6DA0"/>
    <w:rsid w:val="006A6E0A"/>
    <w:rsid w:val="006A746F"/>
    <w:rsid w:val="006A7608"/>
    <w:rsid w:val="006A7E6E"/>
    <w:rsid w:val="006B032A"/>
    <w:rsid w:val="006B05C2"/>
    <w:rsid w:val="006B0AD0"/>
    <w:rsid w:val="006B0FD6"/>
    <w:rsid w:val="006B1179"/>
    <w:rsid w:val="006B13B8"/>
    <w:rsid w:val="006B1673"/>
    <w:rsid w:val="006B176F"/>
    <w:rsid w:val="006B22CA"/>
    <w:rsid w:val="006B285B"/>
    <w:rsid w:val="006B2A6A"/>
    <w:rsid w:val="006B2B2C"/>
    <w:rsid w:val="006B2E2C"/>
    <w:rsid w:val="006B347A"/>
    <w:rsid w:val="006B34EC"/>
    <w:rsid w:val="006B3560"/>
    <w:rsid w:val="006B4398"/>
    <w:rsid w:val="006B4534"/>
    <w:rsid w:val="006B4774"/>
    <w:rsid w:val="006B51E6"/>
    <w:rsid w:val="006B5222"/>
    <w:rsid w:val="006B55DB"/>
    <w:rsid w:val="006B5889"/>
    <w:rsid w:val="006B5A97"/>
    <w:rsid w:val="006B5E31"/>
    <w:rsid w:val="006B6918"/>
    <w:rsid w:val="006B6C7B"/>
    <w:rsid w:val="006B6EF8"/>
    <w:rsid w:val="006B7E4A"/>
    <w:rsid w:val="006C02CE"/>
    <w:rsid w:val="006C0410"/>
    <w:rsid w:val="006C059E"/>
    <w:rsid w:val="006C0659"/>
    <w:rsid w:val="006C13F7"/>
    <w:rsid w:val="006C175D"/>
    <w:rsid w:val="006C17F3"/>
    <w:rsid w:val="006C1956"/>
    <w:rsid w:val="006C252D"/>
    <w:rsid w:val="006C25C0"/>
    <w:rsid w:val="006C2777"/>
    <w:rsid w:val="006C27E0"/>
    <w:rsid w:val="006C3C6E"/>
    <w:rsid w:val="006C3C9F"/>
    <w:rsid w:val="006C3E88"/>
    <w:rsid w:val="006C3FBE"/>
    <w:rsid w:val="006C41F9"/>
    <w:rsid w:val="006C443C"/>
    <w:rsid w:val="006C4447"/>
    <w:rsid w:val="006C4912"/>
    <w:rsid w:val="006C4A82"/>
    <w:rsid w:val="006C4F77"/>
    <w:rsid w:val="006C6A9C"/>
    <w:rsid w:val="006C6D0B"/>
    <w:rsid w:val="006C755D"/>
    <w:rsid w:val="006C7A62"/>
    <w:rsid w:val="006D0258"/>
    <w:rsid w:val="006D028A"/>
    <w:rsid w:val="006D04F7"/>
    <w:rsid w:val="006D068A"/>
    <w:rsid w:val="006D0CA0"/>
    <w:rsid w:val="006D13A5"/>
    <w:rsid w:val="006D1991"/>
    <w:rsid w:val="006D2353"/>
    <w:rsid w:val="006D2C8D"/>
    <w:rsid w:val="006D2F81"/>
    <w:rsid w:val="006D3038"/>
    <w:rsid w:val="006D32CB"/>
    <w:rsid w:val="006D33D3"/>
    <w:rsid w:val="006D386B"/>
    <w:rsid w:val="006D4339"/>
    <w:rsid w:val="006D5253"/>
    <w:rsid w:val="006D58C7"/>
    <w:rsid w:val="006D5AC3"/>
    <w:rsid w:val="006D61A7"/>
    <w:rsid w:val="006D644B"/>
    <w:rsid w:val="006D681D"/>
    <w:rsid w:val="006D699D"/>
    <w:rsid w:val="006D69E9"/>
    <w:rsid w:val="006D6AAF"/>
    <w:rsid w:val="006D6B9A"/>
    <w:rsid w:val="006D6C36"/>
    <w:rsid w:val="006D6D50"/>
    <w:rsid w:val="006D6E39"/>
    <w:rsid w:val="006D7085"/>
    <w:rsid w:val="006D714D"/>
    <w:rsid w:val="006D726D"/>
    <w:rsid w:val="006D76DC"/>
    <w:rsid w:val="006D779A"/>
    <w:rsid w:val="006D77D3"/>
    <w:rsid w:val="006D7BCC"/>
    <w:rsid w:val="006D7CD7"/>
    <w:rsid w:val="006D7DF9"/>
    <w:rsid w:val="006D7E13"/>
    <w:rsid w:val="006D7F42"/>
    <w:rsid w:val="006E0704"/>
    <w:rsid w:val="006E0821"/>
    <w:rsid w:val="006E0C68"/>
    <w:rsid w:val="006E0FD5"/>
    <w:rsid w:val="006E1038"/>
    <w:rsid w:val="006E12B1"/>
    <w:rsid w:val="006E14A3"/>
    <w:rsid w:val="006E15B2"/>
    <w:rsid w:val="006E1F0E"/>
    <w:rsid w:val="006E1FC7"/>
    <w:rsid w:val="006E23CC"/>
    <w:rsid w:val="006E27C2"/>
    <w:rsid w:val="006E29BF"/>
    <w:rsid w:val="006E29FB"/>
    <w:rsid w:val="006E2ACA"/>
    <w:rsid w:val="006E3234"/>
    <w:rsid w:val="006E349A"/>
    <w:rsid w:val="006E3746"/>
    <w:rsid w:val="006E3B2B"/>
    <w:rsid w:val="006E3C38"/>
    <w:rsid w:val="006E4089"/>
    <w:rsid w:val="006E4497"/>
    <w:rsid w:val="006E46BB"/>
    <w:rsid w:val="006E490C"/>
    <w:rsid w:val="006E49C8"/>
    <w:rsid w:val="006E5395"/>
    <w:rsid w:val="006E54B1"/>
    <w:rsid w:val="006E5503"/>
    <w:rsid w:val="006E593D"/>
    <w:rsid w:val="006E5FFB"/>
    <w:rsid w:val="006E6302"/>
    <w:rsid w:val="006E7040"/>
    <w:rsid w:val="006E7069"/>
    <w:rsid w:val="006F01D3"/>
    <w:rsid w:val="006F01D4"/>
    <w:rsid w:val="006F031F"/>
    <w:rsid w:val="006F0766"/>
    <w:rsid w:val="006F093D"/>
    <w:rsid w:val="006F0C78"/>
    <w:rsid w:val="006F129B"/>
    <w:rsid w:val="006F14EA"/>
    <w:rsid w:val="006F15D0"/>
    <w:rsid w:val="006F1761"/>
    <w:rsid w:val="006F194E"/>
    <w:rsid w:val="006F1D4C"/>
    <w:rsid w:val="006F1F0D"/>
    <w:rsid w:val="006F1F85"/>
    <w:rsid w:val="006F20DC"/>
    <w:rsid w:val="006F2200"/>
    <w:rsid w:val="006F22F1"/>
    <w:rsid w:val="006F31A3"/>
    <w:rsid w:val="006F3325"/>
    <w:rsid w:val="006F3A24"/>
    <w:rsid w:val="006F3EFD"/>
    <w:rsid w:val="006F3FF3"/>
    <w:rsid w:val="006F41EE"/>
    <w:rsid w:val="006F44DA"/>
    <w:rsid w:val="006F463D"/>
    <w:rsid w:val="006F4867"/>
    <w:rsid w:val="006F48EA"/>
    <w:rsid w:val="006F4BCF"/>
    <w:rsid w:val="006F4C29"/>
    <w:rsid w:val="006F4E41"/>
    <w:rsid w:val="006F54F3"/>
    <w:rsid w:val="006F5714"/>
    <w:rsid w:val="006F5E0C"/>
    <w:rsid w:val="006F617D"/>
    <w:rsid w:val="006F6444"/>
    <w:rsid w:val="006F65E3"/>
    <w:rsid w:val="006F6792"/>
    <w:rsid w:val="006F6C03"/>
    <w:rsid w:val="006F6DA4"/>
    <w:rsid w:val="006F703F"/>
    <w:rsid w:val="006F70D9"/>
    <w:rsid w:val="006F772B"/>
    <w:rsid w:val="006F7A81"/>
    <w:rsid w:val="006F7BD6"/>
    <w:rsid w:val="0070008B"/>
    <w:rsid w:val="00700B20"/>
    <w:rsid w:val="00701368"/>
    <w:rsid w:val="00701EF7"/>
    <w:rsid w:val="00702665"/>
    <w:rsid w:val="00702BB7"/>
    <w:rsid w:val="007030DC"/>
    <w:rsid w:val="00703142"/>
    <w:rsid w:val="00703526"/>
    <w:rsid w:val="007037A5"/>
    <w:rsid w:val="0070449B"/>
    <w:rsid w:val="00704A5C"/>
    <w:rsid w:val="00704EED"/>
    <w:rsid w:val="00705225"/>
    <w:rsid w:val="007057FD"/>
    <w:rsid w:val="00705A4A"/>
    <w:rsid w:val="007066F0"/>
    <w:rsid w:val="00706733"/>
    <w:rsid w:val="007072A6"/>
    <w:rsid w:val="00707967"/>
    <w:rsid w:val="007101E8"/>
    <w:rsid w:val="00710243"/>
    <w:rsid w:val="007104DD"/>
    <w:rsid w:val="00710879"/>
    <w:rsid w:val="00710DE4"/>
    <w:rsid w:val="007114BF"/>
    <w:rsid w:val="00711CD9"/>
    <w:rsid w:val="00712274"/>
    <w:rsid w:val="00712641"/>
    <w:rsid w:val="00712BCF"/>
    <w:rsid w:val="00712FC5"/>
    <w:rsid w:val="0071405D"/>
    <w:rsid w:val="007145B6"/>
    <w:rsid w:val="00714E3E"/>
    <w:rsid w:val="0071528F"/>
    <w:rsid w:val="0071591F"/>
    <w:rsid w:val="0071601A"/>
    <w:rsid w:val="00716136"/>
    <w:rsid w:val="0071648B"/>
    <w:rsid w:val="00716760"/>
    <w:rsid w:val="00716B14"/>
    <w:rsid w:val="007172A3"/>
    <w:rsid w:val="0071740F"/>
    <w:rsid w:val="007176EE"/>
    <w:rsid w:val="00717752"/>
    <w:rsid w:val="007179A6"/>
    <w:rsid w:val="00717A96"/>
    <w:rsid w:val="00717F09"/>
    <w:rsid w:val="007203BD"/>
    <w:rsid w:val="007208B6"/>
    <w:rsid w:val="00720B9B"/>
    <w:rsid w:val="00720C7C"/>
    <w:rsid w:val="00720CD6"/>
    <w:rsid w:val="0072111E"/>
    <w:rsid w:val="007211A2"/>
    <w:rsid w:val="00721238"/>
    <w:rsid w:val="00721385"/>
    <w:rsid w:val="00721698"/>
    <w:rsid w:val="00721895"/>
    <w:rsid w:val="00721A15"/>
    <w:rsid w:val="007224BA"/>
    <w:rsid w:val="007226D6"/>
    <w:rsid w:val="00722DE3"/>
    <w:rsid w:val="00723714"/>
    <w:rsid w:val="00723753"/>
    <w:rsid w:val="00723BB4"/>
    <w:rsid w:val="0072426F"/>
    <w:rsid w:val="007245EB"/>
    <w:rsid w:val="00724D13"/>
    <w:rsid w:val="007253EA"/>
    <w:rsid w:val="007259EC"/>
    <w:rsid w:val="00725A0D"/>
    <w:rsid w:val="00726B58"/>
    <w:rsid w:val="00727123"/>
    <w:rsid w:val="00727192"/>
    <w:rsid w:val="007272ED"/>
    <w:rsid w:val="00727371"/>
    <w:rsid w:val="00727411"/>
    <w:rsid w:val="00727485"/>
    <w:rsid w:val="0072757F"/>
    <w:rsid w:val="00727A6C"/>
    <w:rsid w:val="007303CD"/>
    <w:rsid w:val="007306F7"/>
    <w:rsid w:val="0073097C"/>
    <w:rsid w:val="00730DA1"/>
    <w:rsid w:val="007316E4"/>
    <w:rsid w:val="00731FF5"/>
    <w:rsid w:val="00732DDA"/>
    <w:rsid w:val="007330A6"/>
    <w:rsid w:val="00733221"/>
    <w:rsid w:val="007333AC"/>
    <w:rsid w:val="00733974"/>
    <w:rsid w:val="007339BD"/>
    <w:rsid w:val="00733F0B"/>
    <w:rsid w:val="007340A0"/>
    <w:rsid w:val="007341E2"/>
    <w:rsid w:val="007347A9"/>
    <w:rsid w:val="00734B0E"/>
    <w:rsid w:val="007351A2"/>
    <w:rsid w:val="007351AA"/>
    <w:rsid w:val="007354FE"/>
    <w:rsid w:val="00735A24"/>
    <w:rsid w:val="00735DE6"/>
    <w:rsid w:val="0073620B"/>
    <w:rsid w:val="00736398"/>
    <w:rsid w:val="0073647E"/>
    <w:rsid w:val="007365B0"/>
    <w:rsid w:val="007368FE"/>
    <w:rsid w:val="0073777E"/>
    <w:rsid w:val="00737A44"/>
    <w:rsid w:val="00737BD8"/>
    <w:rsid w:val="0074015C"/>
    <w:rsid w:val="0074021F"/>
    <w:rsid w:val="00740264"/>
    <w:rsid w:val="007406E7"/>
    <w:rsid w:val="00740A3F"/>
    <w:rsid w:val="00740B3A"/>
    <w:rsid w:val="00740C7F"/>
    <w:rsid w:val="00740CB9"/>
    <w:rsid w:val="00740F2A"/>
    <w:rsid w:val="00741176"/>
    <w:rsid w:val="0074117F"/>
    <w:rsid w:val="007413B5"/>
    <w:rsid w:val="00741400"/>
    <w:rsid w:val="00741646"/>
    <w:rsid w:val="00741BA4"/>
    <w:rsid w:val="00741DDF"/>
    <w:rsid w:val="00741E16"/>
    <w:rsid w:val="00741FBC"/>
    <w:rsid w:val="00742010"/>
    <w:rsid w:val="007420F6"/>
    <w:rsid w:val="00742884"/>
    <w:rsid w:val="0074390A"/>
    <w:rsid w:val="00744018"/>
    <w:rsid w:val="007443B4"/>
    <w:rsid w:val="007444B0"/>
    <w:rsid w:val="00744618"/>
    <w:rsid w:val="007458CB"/>
    <w:rsid w:val="00745A6E"/>
    <w:rsid w:val="00745F2D"/>
    <w:rsid w:val="00745FF3"/>
    <w:rsid w:val="0074675A"/>
    <w:rsid w:val="0074679E"/>
    <w:rsid w:val="007474A5"/>
    <w:rsid w:val="00747817"/>
    <w:rsid w:val="00750141"/>
    <w:rsid w:val="00750197"/>
    <w:rsid w:val="007508BE"/>
    <w:rsid w:val="007515DA"/>
    <w:rsid w:val="0075162D"/>
    <w:rsid w:val="007516FD"/>
    <w:rsid w:val="007520E6"/>
    <w:rsid w:val="00752326"/>
    <w:rsid w:val="00752B20"/>
    <w:rsid w:val="00752BDE"/>
    <w:rsid w:val="00752EBC"/>
    <w:rsid w:val="00753C64"/>
    <w:rsid w:val="00753D3C"/>
    <w:rsid w:val="00754253"/>
    <w:rsid w:val="00754697"/>
    <w:rsid w:val="00754A86"/>
    <w:rsid w:val="007550C4"/>
    <w:rsid w:val="0075546D"/>
    <w:rsid w:val="007557C2"/>
    <w:rsid w:val="007558EB"/>
    <w:rsid w:val="007562F2"/>
    <w:rsid w:val="007564F5"/>
    <w:rsid w:val="00756D0A"/>
    <w:rsid w:val="007575C6"/>
    <w:rsid w:val="00757982"/>
    <w:rsid w:val="00757A52"/>
    <w:rsid w:val="00757B3B"/>
    <w:rsid w:val="00757CFA"/>
    <w:rsid w:val="00760E4E"/>
    <w:rsid w:val="00761018"/>
    <w:rsid w:val="007612B2"/>
    <w:rsid w:val="007615FE"/>
    <w:rsid w:val="00761911"/>
    <w:rsid w:val="00761A6C"/>
    <w:rsid w:val="00762301"/>
    <w:rsid w:val="00762B97"/>
    <w:rsid w:val="00762B98"/>
    <w:rsid w:val="007630C1"/>
    <w:rsid w:val="0076397C"/>
    <w:rsid w:val="007641AF"/>
    <w:rsid w:val="00764392"/>
    <w:rsid w:val="0076443B"/>
    <w:rsid w:val="0076443E"/>
    <w:rsid w:val="00764D22"/>
    <w:rsid w:val="00764D92"/>
    <w:rsid w:val="00765571"/>
    <w:rsid w:val="007656E5"/>
    <w:rsid w:val="00765C5B"/>
    <w:rsid w:val="00765D76"/>
    <w:rsid w:val="00766263"/>
    <w:rsid w:val="007664C2"/>
    <w:rsid w:val="00766817"/>
    <w:rsid w:val="00766D99"/>
    <w:rsid w:val="007673E2"/>
    <w:rsid w:val="00767624"/>
    <w:rsid w:val="00770400"/>
    <w:rsid w:val="0077182A"/>
    <w:rsid w:val="00771C34"/>
    <w:rsid w:val="007720D3"/>
    <w:rsid w:val="007724AD"/>
    <w:rsid w:val="00772B16"/>
    <w:rsid w:val="00772D5E"/>
    <w:rsid w:val="00773036"/>
    <w:rsid w:val="00773104"/>
    <w:rsid w:val="007734CA"/>
    <w:rsid w:val="0077357D"/>
    <w:rsid w:val="007735C3"/>
    <w:rsid w:val="007735F5"/>
    <w:rsid w:val="00773994"/>
    <w:rsid w:val="00773F4E"/>
    <w:rsid w:val="0077440D"/>
    <w:rsid w:val="00774524"/>
    <w:rsid w:val="007748E1"/>
    <w:rsid w:val="00774B03"/>
    <w:rsid w:val="00774B42"/>
    <w:rsid w:val="00774B56"/>
    <w:rsid w:val="00774C1D"/>
    <w:rsid w:val="00775088"/>
    <w:rsid w:val="007750E0"/>
    <w:rsid w:val="0077512C"/>
    <w:rsid w:val="00775271"/>
    <w:rsid w:val="007755AA"/>
    <w:rsid w:val="00775CCD"/>
    <w:rsid w:val="00775CD9"/>
    <w:rsid w:val="0077629A"/>
    <w:rsid w:val="0077678C"/>
    <w:rsid w:val="00777106"/>
    <w:rsid w:val="0077790A"/>
    <w:rsid w:val="00777B94"/>
    <w:rsid w:val="00777BDB"/>
    <w:rsid w:val="007806C9"/>
    <w:rsid w:val="00780AD1"/>
    <w:rsid w:val="00780ADB"/>
    <w:rsid w:val="00780F7F"/>
    <w:rsid w:val="0078124B"/>
    <w:rsid w:val="0078135B"/>
    <w:rsid w:val="007815C3"/>
    <w:rsid w:val="0078177F"/>
    <w:rsid w:val="007817CC"/>
    <w:rsid w:val="00781997"/>
    <w:rsid w:val="00782205"/>
    <w:rsid w:val="007823C3"/>
    <w:rsid w:val="00782B3D"/>
    <w:rsid w:val="00782E14"/>
    <w:rsid w:val="00783291"/>
    <w:rsid w:val="007838CA"/>
    <w:rsid w:val="00783D20"/>
    <w:rsid w:val="0078412B"/>
    <w:rsid w:val="00784644"/>
    <w:rsid w:val="00784FA1"/>
    <w:rsid w:val="007852F9"/>
    <w:rsid w:val="007857F4"/>
    <w:rsid w:val="007859D1"/>
    <w:rsid w:val="00785D88"/>
    <w:rsid w:val="00786163"/>
    <w:rsid w:val="007861BD"/>
    <w:rsid w:val="00786355"/>
    <w:rsid w:val="0078654B"/>
    <w:rsid w:val="007865BD"/>
    <w:rsid w:val="00786602"/>
    <w:rsid w:val="00786810"/>
    <w:rsid w:val="00787484"/>
    <w:rsid w:val="0078794E"/>
    <w:rsid w:val="00787A00"/>
    <w:rsid w:val="00787BB7"/>
    <w:rsid w:val="00787CF6"/>
    <w:rsid w:val="00787F1F"/>
    <w:rsid w:val="00790033"/>
    <w:rsid w:val="00790258"/>
    <w:rsid w:val="00790C74"/>
    <w:rsid w:val="00790F55"/>
    <w:rsid w:val="00791385"/>
    <w:rsid w:val="00791979"/>
    <w:rsid w:val="00791A05"/>
    <w:rsid w:val="00791A07"/>
    <w:rsid w:val="00791F7A"/>
    <w:rsid w:val="0079220F"/>
    <w:rsid w:val="007922B8"/>
    <w:rsid w:val="007923DC"/>
    <w:rsid w:val="0079280D"/>
    <w:rsid w:val="007928E7"/>
    <w:rsid w:val="00792A36"/>
    <w:rsid w:val="00793535"/>
    <w:rsid w:val="00793D9B"/>
    <w:rsid w:val="00794440"/>
    <w:rsid w:val="007945A7"/>
    <w:rsid w:val="007947C7"/>
    <w:rsid w:val="0079501C"/>
    <w:rsid w:val="00795164"/>
    <w:rsid w:val="007951F0"/>
    <w:rsid w:val="00795337"/>
    <w:rsid w:val="00795819"/>
    <w:rsid w:val="00795BA6"/>
    <w:rsid w:val="00795CB5"/>
    <w:rsid w:val="00796334"/>
    <w:rsid w:val="007969CD"/>
    <w:rsid w:val="00796CED"/>
    <w:rsid w:val="00797108"/>
    <w:rsid w:val="0079718A"/>
    <w:rsid w:val="007975FA"/>
    <w:rsid w:val="007977D3"/>
    <w:rsid w:val="00797F2D"/>
    <w:rsid w:val="007A0037"/>
    <w:rsid w:val="007A01EC"/>
    <w:rsid w:val="007A036E"/>
    <w:rsid w:val="007A0460"/>
    <w:rsid w:val="007A0485"/>
    <w:rsid w:val="007A0C19"/>
    <w:rsid w:val="007A0F86"/>
    <w:rsid w:val="007A1012"/>
    <w:rsid w:val="007A16A3"/>
    <w:rsid w:val="007A1723"/>
    <w:rsid w:val="007A2D08"/>
    <w:rsid w:val="007A2FAA"/>
    <w:rsid w:val="007A31CC"/>
    <w:rsid w:val="007A373A"/>
    <w:rsid w:val="007A419D"/>
    <w:rsid w:val="007A43E4"/>
    <w:rsid w:val="007A4708"/>
    <w:rsid w:val="007A4C27"/>
    <w:rsid w:val="007A4F66"/>
    <w:rsid w:val="007A51A4"/>
    <w:rsid w:val="007A5AF4"/>
    <w:rsid w:val="007A5E76"/>
    <w:rsid w:val="007A5F3E"/>
    <w:rsid w:val="007A6390"/>
    <w:rsid w:val="007A63EA"/>
    <w:rsid w:val="007A64CF"/>
    <w:rsid w:val="007A6771"/>
    <w:rsid w:val="007A6A57"/>
    <w:rsid w:val="007A6BAE"/>
    <w:rsid w:val="007A6DC4"/>
    <w:rsid w:val="007A747C"/>
    <w:rsid w:val="007A7537"/>
    <w:rsid w:val="007A7DFC"/>
    <w:rsid w:val="007B0269"/>
    <w:rsid w:val="007B027E"/>
    <w:rsid w:val="007B032C"/>
    <w:rsid w:val="007B03B3"/>
    <w:rsid w:val="007B045F"/>
    <w:rsid w:val="007B0612"/>
    <w:rsid w:val="007B0B42"/>
    <w:rsid w:val="007B0DE3"/>
    <w:rsid w:val="007B1711"/>
    <w:rsid w:val="007B1899"/>
    <w:rsid w:val="007B1A22"/>
    <w:rsid w:val="007B1B61"/>
    <w:rsid w:val="007B1ED4"/>
    <w:rsid w:val="007B2144"/>
    <w:rsid w:val="007B2439"/>
    <w:rsid w:val="007B35ED"/>
    <w:rsid w:val="007B3906"/>
    <w:rsid w:val="007B3AAD"/>
    <w:rsid w:val="007B3FB5"/>
    <w:rsid w:val="007B4821"/>
    <w:rsid w:val="007B4923"/>
    <w:rsid w:val="007B4DA1"/>
    <w:rsid w:val="007B4FDF"/>
    <w:rsid w:val="007B54A5"/>
    <w:rsid w:val="007B57F1"/>
    <w:rsid w:val="007B5BC2"/>
    <w:rsid w:val="007B5C9E"/>
    <w:rsid w:val="007B5D1F"/>
    <w:rsid w:val="007B6152"/>
    <w:rsid w:val="007B6F10"/>
    <w:rsid w:val="007B72DA"/>
    <w:rsid w:val="007B7690"/>
    <w:rsid w:val="007B79C6"/>
    <w:rsid w:val="007B7EF9"/>
    <w:rsid w:val="007C0FAC"/>
    <w:rsid w:val="007C12AC"/>
    <w:rsid w:val="007C156A"/>
    <w:rsid w:val="007C17D8"/>
    <w:rsid w:val="007C17EE"/>
    <w:rsid w:val="007C1B26"/>
    <w:rsid w:val="007C1CE3"/>
    <w:rsid w:val="007C1D43"/>
    <w:rsid w:val="007C1DBA"/>
    <w:rsid w:val="007C21D6"/>
    <w:rsid w:val="007C26D7"/>
    <w:rsid w:val="007C2AA3"/>
    <w:rsid w:val="007C2C36"/>
    <w:rsid w:val="007C302E"/>
    <w:rsid w:val="007C3B64"/>
    <w:rsid w:val="007C4162"/>
    <w:rsid w:val="007C43C9"/>
    <w:rsid w:val="007C4703"/>
    <w:rsid w:val="007C4788"/>
    <w:rsid w:val="007C4A04"/>
    <w:rsid w:val="007C4B99"/>
    <w:rsid w:val="007C4F99"/>
    <w:rsid w:val="007C5566"/>
    <w:rsid w:val="007C5658"/>
    <w:rsid w:val="007C5AD4"/>
    <w:rsid w:val="007C64E6"/>
    <w:rsid w:val="007C76AD"/>
    <w:rsid w:val="007C76C8"/>
    <w:rsid w:val="007C79C5"/>
    <w:rsid w:val="007C7A1C"/>
    <w:rsid w:val="007C7AEC"/>
    <w:rsid w:val="007C7CE0"/>
    <w:rsid w:val="007D0279"/>
    <w:rsid w:val="007D0353"/>
    <w:rsid w:val="007D0AAC"/>
    <w:rsid w:val="007D0CEB"/>
    <w:rsid w:val="007D0F66"/>
    <w:rsid w:val="007D104B"/>
    <w:rsid w:val="007D13B3"/>
    <w:rsid w:val="007D1713"/>
    <w:rsid w:val="007D1CD8"/>
    <w:rsid w:val="007D2045"/>
    <w:rsid w:val="007D2283"/>
    <w:rsid w:val="007D22F8"/>
    <w:rsid w:val="007D2557"/>
    <w:rsid w:val="007D2BAF"/>
    <w:rsid w:val="007D2E0A"/>
    <w:rsid w:val="007D309B"/>
    <w:rsid w:val="007D3856"/>
    <w:rsid w:val="007D434A"/>
    <w:rsid w:val="007D4669"/>
    <w:rsid w:val="007D484F"/>
    <w:rsid w:val="007D4EA3"/>
    <w:rsid w:val="007D565E"/>
    <w:rsid w:val="007D5BCC"/>
    <w:rsid w:val="007D667E"/>
    <w:rsid w:val="007D69D6"/>
    <w:rsid w:val="007D6B7C"/>
    <w:rsid w:val="007D7155"/>
    <w:rsid w:val="007D7C78"/>
    <w:rsid w:val="007D7D02"/>
    <w:rsid w:val="007E0004"/>
    <w:rsid w:val="007E0177"/>
    <w:rsid w:val="007E01CF"/>
    <w:rsid w:val="007E0879"/>
    <w:rsid w:val="007E09A1"/>
    <w:rsid w:val="007E0E71"/>
    <w:rsid w:val="007E138E"/>
    <w:rsid w:val="007E1DA2"/>
    <w:rsid w:val="007E1DCE"/>
    <w:rsid w:val="007E1F1D"/>
    <w:rsid w:val="007E215F"/>
    <w:rsid w:val="007E21FE"/>
    <w:rsid w:val="007E25A1"/>
    <w:rsid w:val="007E26C1"/>
    <w:rsid w:val="007E2CCF"/>
    <w:rsid w:val="007E3977"/>
    <w:rsid w:val="007E3A47"/>
    <w:rsid w:val="007E488D"/>
    <w:rsid w:val="007E5013"/>
    <w:rsid w:val="007E5143"/>
    <w:rsid w:val="007E5343"/>
    <w:rsid w:val="007E555A"/>
    <w:rsid w:val="007E6346"/>
    <w:rsid w:val="007E63D9"/>
    <w:rsid w:val="007E675C"/>
    <w:rsid w:val="007E69F8"/>
    <w:rsid w:val="007E6A1B"/>
    <w:rsid w:val="007E6CB5"/>
    <w:rsid w:val="007E6DC1"/>
    <w:rsid w:val="007E73A2"/>
    <w:rsid w:val="007E7742"/>
    <w:rsid w:val="007E78CE"/>
    <w:rsid w:val="007E7995"/>
    <w:rsid w:val="007E7DDD"/>
    <w:rsid w:val="007F0106"/>
    <w:rsid w:val="007F0335"/>
    <w:rsid w:val="007F04E6"/>
    <w:rsid w:val="007F12F4"/>
    <w:rsid w:val="007F13E2"/>
    <w:rsid w:val="007F1991"/>
    <w:rsid w:val="007F19E9"/>
    <w:rsid w:val="007F2395"/>
    <w:rsid w:val="007F2FC3"/>
    <w:rsid w:val="007F3895"/>
    <w:rsid w:val="007F38AE"/>
    <w:rsid w:val="007F3D94"/>
    <w:rsid w:val="007F40D4"/>
    <w:rsid w:val="007F43B9"/>
    <w:rsid w:val="007F454B"/>
    <w:rsid w:val="007F4D43"/>
    <w:rsid w:val="007F4E33"/>
    <w:rsid w:val="007F54A4"/>
    <w:rsid w:val="007F669A"/>
    <w:rsid w:val="007F6758"/>
    <w:rsid w:val="007F6970"/>
    <w:rsid w:val="007F6A33"/>
    <w:rsid w:val="007F718D"/>
    <w:rsid w:val="007F72C7"/>
    <w:rsid w:val="007F74D0"/>
    <w:rsid w:val="007F7A61"/>
    <w:rsid w:val="007F7D9A"/>
    <w:rsid w:val="00800389"/>
    <w:rsid w:val="00800838"/>
    <w:rsid w:val="00800CFF"/>
    <w:rsid w:val="00800D22"/>
    <w:rsid w:val="0080184A"/>
    <w:rsid w:val="00801BFE"/>
    <w:rsid w:val="0080212D"/>
    <w:rsid w:val="008021A7"/>
    <w:rsid w:val="0080243C"/>
    <w:rsid w:val="008026C0"/>
    <w:rsid w:val="0080370E"/>
    <w:rsid w:val="00803725"/>
    <w:rsid w:val="00803912"/>
    <w:rsid w:val="008040D8"/>
    <w:rsid w:val="00804D33"/>
    <w:rsid w:val="00804DA9"/>
    <w:rsid w:val="008051D4"/>
    <w:rsid w:val="00805A44"/>
    <w:rsid w:val="00805FBC"/>
    <w:rsid w:val="00806046"/>
    <w:rsid w:val="008061AF"/>
    <w:rsid w:val="0080621B"/>
    <w:rsid w:val="008064F8"/>
    <w:rsid w:val="0080693C"/>
    <w:rsid w:val="00806D1A"/>
    <w:rsid w:val="00806EA0"/>
    <w:rsid w:val="008072E4"/>
    <w:rsid w:val="00807797"/>
    <w:rsid w:val="00810092"/>
    <w:rsid w:val="00810656"/>
    <w:rsid w:val="00810721"/>
    <w:rsid w:val="00810944"/>
    <w:rsid w:val="00810A3E"/>
    <w:rsid w:val="008111D7"/>
    <w:rsid w:val="008113FB"/>
    <w:rsid w:val="00811BCE"/>
    <w:rsid w:val="00811C06"/>
    <w:rsid w:val="00811CC8"/>
    <w:rsid w:val="00811E8E"/>
    <w:rsid w:val="00811EAD"/>
    <w:rsid w:val="0081203A"/>
    <w:rsid w:val="00812DB8"/>
    <w:rsid w:val="00813B6D"/>
    <w:rsid w:val="00813EBB"/>
    <w:rsid w:val="008145EE"/>
    <w:rsid w:val="008146D9"/>
    <w:rsid w:val="00814AAB"/>
    <w:rsid w:val="00814D8D"/>
    <w:rsid w:val="00814E9C"/>
    <w:rsid w:val="008151E2"/>
    <w:rsid w:val="00815DC6"/>
    <w:rsid w:val="0081633D"/>
    <w:rsid w:val="00816541"/>
    <w:rsid w:val="00816836"/>
    <w:rsid w:val="00816891"/>
    <w:rsid w:val="00816ADC"/>
    <w:rsid w:val="00816B00"/>
    <w:rsid w:val="00817204"/>
    <w:rsid w:val="008173AB"/>
    <w:rsid w:val="00817805"/>
    <w:rsid w:val="00817833"/>
    <w:rsid w:val="00817E78"/>
    <w:rsid w:val="00817ED5"/>
    <w:rsid w:val="008202F6"/>
    <w:rsid w:val="00820353"/>
    <w:rsid w:val="00820361"/>
    <w:rsid w:val="008207BF"/>
    <w:rsid w:val="0082086F"/>
    <w:rsid w:val="00821040"/>
    <w:rsid w:val="00821457"/>
    <w:rsid w:val="008214FD"/>
    <w:rsid w:val="0082157B"/>
    <w:rsid w:val="00821630"/>
    <w:rsid w:val="00821650"/>
    <w:rsid w:val="008223EA"/>
    <w:rsid w:val="008225C9"/>
    <w:rsid w:val="0082271D"/>
    <w:rsid w:val="00822BEF"/>
    <w:rsid w:val="00822C68"/>
    <w:rsid w:val="0082334A"/>
    <w:rsid w:val="0082338C"/>
    <w:rsid w:val="0082365A"/>
    <w:rsid w:val="008239C9"/>
    <w:rsid w:val="00823B3E"/>
    <w:rsid w:val="0082460D"/>
    <w:rsid w:val="008250B9"/>
    <w:rsid w:val="00825308"/>
    <w:rsid w:val="008255F4"/>
    <w:rsid w:val="0082566F"/>
    <w:rsid w:val="00825743"/>
    <w:rsid w:val="00825931"/>
    <w:rsid w:val="00825C74"/>
    <w:rsid w:val="00825DE6"/>
    <w:rsid w:val="00826528"/>
    <w:rsid w:val="00826FC2"/>
    <w:rsid w:val="008303A8"/>
    <w:rsid w:val="00830C2E"/>
    <w:rsid w:val="00830F41"/>
    <w:rsid w:val="00831582"/>
    <w:rsid w:val="00831751"/>
    <w:rsid w:val="00832E7E"/>
    <w:rsid w:val="00833091"/>
    <w:rsid w:val="008332EA"/>
    <w:rsid w:val="0083347F"/>
    <w:rsid w:val="008334B7"/>
    <w:rsid w:val="0083359A"/>
    <w:rsid w:val="008335F7"/>
    <w:rsid w:val="00834129"/>
    <w:rsid w:val="00834308"/>
    <w:rsid w:val="00834AC3"/>
    <w:rsid w:val="0083527B"/>
    <w:rsid w:val="008360BA"/>
    <w:rsid w:val="00836DF2"/>
    <w:rsid w:val="008373A5"/>
    <w:rsid w:val="0083777B"/>
    <w:rsid w:val="00837AAC"/>
    <w:rsid w:val="00837E43"/>
    <w:rsid w:val="00837F94"/>
    <w:rsid w:val="00840631"/>
    <w:rsid w:val="0084068D"/>
    <w:rsid w:val="00840905"/>
    <w:rsid w:val="00841045"/>
    <w:rsid w:val="0084111E"/>
    <w:rsid w:val="00841207"/>
    <w:rsid w:val="00841300"/>
    <w:rsid w:val="008413F6"/>
    <w:rsid w:val="00841431"/>
    <w:rsid w:val="00841813"/>
    <w:rsid w:val="008418E5"/>
    <w:rsid w:val="00841ABB"/>
    <w:rsid w:val="00842C67"/>
    <w:rsid w:val="008437EC"/>
    <w:rsid w:val="00843B84"/>
    <w:rsid w:val="00843D51"/>
    <w:rsid w:val="00844615"/>
    <w:rsid w:val="008449F5"/>
    <w:rsid w:val="008452B6"/>
    <w:rsid w:val="008452C1"/>
    <w:rsid w:val="00845458"/>
    <w:rsid w:val="00845547"/>
    <w:rsid w:val="00845B13"/>
    <w:rsid w:val="008460B5"/>
    <w:rsid w:val="008463EB"/>
    <w:rsid w:val="00846C5B"/>
    <w:rsid w:val="00846FCE"/>
    <w:rsid w:val="0084706A"/>
    <w:rsid w:val="00847910"/>
    <w:rsid w:val="0085036E"/>
    <w:rsid w:val="008505EF"/>
    <w:rsid w:val="00850631"/>
    <w:rsid w:val="00850A01"/>
    <w:rsid w:val="00850AC0"/>
    <w:rsid w:val="00850B2E"/>
    <w:rsid w:val="00850C67"/>
    <w:rsid w:val="00850D99"/>
    <w:rsid w:val="00850EAD"/>
    <w:rsid w:val="00850F1A"/>
    <w:rsid w:val="008511CC"/>
    <w:rsid w:val="0085159D"/>
    <w:rsid w:val="00852849"/>
    <w:rsid w:val="00852BC0"/>
    <w:rsid w:val="008531A8"/>
    <w:rsid w:val="008533AF"/>
    <w:rsid w:val="008534A1"/>
    <w:rsid w:val="00853640"/>
    <w:rsid w:val="00853711"/>
    <w:rsid w:val="00853EBF"/>
    <w:rsid w:val="00854404"/>
    <w:rsid w:val="00854593"/>
    <w:rsid w:val="00854948"/>
    <w:rsid w:val="00854A4A"/>
    <w:rsid w:val="00854AD7"/>
    <w:rsid w:val="00854F5A"/>
    <w:rsid w:val="00855580"/>
    <w:rsid w:val="0085568F"/>
    <w:rsid w:val="008556B6"/>
    <w:rsid w:val="008556C6"/>
    <w:rsid w:val="00855DB0"/>
    <w:rsid w:val="008563B9"/>
    <w:rsid w:val="00856C94"/>
    <w:rsid w:val="00857212"/>
    <w:rsid w:val="0085767D"/>
    <w:rsid w:val="00857AB7"/>
    <w:rsid w:val="00857B50"/>
    <w:rsid w:val="00857DB4"/>
    <w:rsid w:val="00857FA9"/>
    <w:rsid w:val="0086024A"/>
    <w:rsid w:val="008602BB"/>
    <w:rsid w:val="008602F0"/>
    <w:rsid w:val="00860BC7"/>
    <w:rsid w:val="008615A5"/>
    <w:rsid w:val="00861D86"/>
    <w:rsid w:val="008624E4"/>
    <w:rsid w:val="008626D4"/>
    <w:rsid w:val="00862751"/>
    <w:rsid w:val="00862ACA"/>
    <w:rsid w:val="00862B76"/>
    <w:rsid w:val="008634CB"/>
    <w:rsid w:val="00863A6C"/>
    <w:rsid w:val="00863D38"/>
    <w:rsid w:val="00863DF7"/>
    <w:rsid w:val="008640CA"/>
    <w:rsid w:val="00864358"/>
    <w:rsid w:val="008647BB"/>
    <w:rsid w:val="00864F99"/>
    <w:rsid w:val="008655BC"/>
    <w:rsid w:val="008655FF"/>
    <w:rsid w:val="00865DA0"/>
    <w:rsid w:val="00865E3F"/>
    <w:rsid w:val="008666AE"/>
    <w:rsid w:val="00866997"/>
    <w:rsid w:val="00867091"/>
    <w:rsid w:val="0086715F"/>
    <w:rsid w:val="00867899"/>
    <w:rsid w:val="00867AAE"/>
    <w:rsid w:val="00867E10"/>
    <w:rsid w:val="00867F37"/>
    <w:rsid w:val="008700A8"/>
    <w:rsid w:val="008709A7"/>
    <w:rsid w:val="00871612"/>
    <w:rsid w:val="0087225E"/>
    <w:rsid w:val="0087232F"/>
    <w:rsid w:val="008727CE"/>
    <w:rsid w:val="0087281C"/>
    <w:rsid w:val="00872B62"/>
    <w:rsid w:val="00872D4B"/>
    <w:rsid w:val="008736DD"/>
    <w:rsid w:val="008739C3"/>
    <w:rsid w:val="008739D7"/>
    <w:rsid w:val="00873DA1"/>
    <w:rsid w:val="00873E93"/>
    <w:rsid w:val="0087450B"/>
    <w:rsid w:val="00874770"/>
    <w:rsid w:val="00874860"/>
    <w:rsid w:val="008748D6"/>
    <w:rsid w:val="00875934"/>
    <w:rsid w:val="00875A72"/>
    <w:rsid w:val="00875CD0"/>
    <w:rsid w:val="00875DAB"/>
    <w:rsid w:val="00875E3F"/>
    <w:rsid w:val="0087675F"/>
    <w:rsid w:val="0087697C"/>
    <w:rsid w:val="00876B70"/>
    <w:rsid w:val="00877744"/>
    <w:rsid w:val="00880158"/>
    <w:rsid w:val="0088019C"/>
    <w:rsid w:val="008801F5"/>
    <w:rsid w:val="00880A9C"/>
    <w:rsid w:val="0088138E"/>
    <w:rsid w:val="0088155A"/>
    <w:rsid w:val="00881816"/>
    <w:rsid w:val="00881930"/>
    <w:rsid w:val="00881D48"/>
    <w:rsid w:val="00881EB4"/>
    <w:rsid w:val="00882D22"/>
    <w:rsid w:val="00883147"/>
    <w:rsid w:val="008835D1"/>
    <w:rsid w:val="00883690"/>
    <w:rsid w:val="008839CC"/>
    <w:rsid w:val="00883A37"/>
    <w:rsid w:val="00883FE7"/>
    <w:rsid w:val="00884556"/>
    <w:rsid w:val="008846BB"/>
    <w:rsid w:val="00884A28"/>
    <w:rsid w:val="00884AC4"/>
    <w:rsid w:val="00885135"/>
    <w:rsid w:val="00885414"/>
    <w:rsid w:val="00885881"/>
    <w:rsid w:val="00885E6B"/>
    <w:rsid w:val="00885EDC"/>
    <w:rsid w:val="008864E5"/>
    <w:rsid w:val="0088651A"/>
    <w:rsid w:val="0088654C"/>
    <w:rsid w:val="008867E3"/>
    <w:rsid w:val="00887279"/>
    <w:rsid w:val="00887326"/>
    <w:rsid w:val="00887D4F"/>
    <w:rsid w:val="00887FCD"/>
    <w:rsid w:val="00890536"/>
    <w:rsid w:val="0089092D"/>
    <w:rsid w:val="00890EBA"/>
    <w:rsid w:val="008914F0"/>
    <w:rsid w:val="0089154F"/>
    <w:rsid w:val="008918C0"/>
    <w:rsid w:val="00891BF4"/>
    <w:rsid w:val="00892049"/>
    <w:rsid w:val="00892401"/>
    <w:rsid w:val="008927D2"/>
    <w:rsid w:val="00892C4D"/>
    <w:rsid w:val="00893225"/>
    <w:rsid w:val="008937D1"/>
    <w:rsid w:val="008940AF"/>
    <w:rsid w:val="0089411A"/>
    <w:rsid w:val="0089422F"/>
    <w:rsid w:val="0089433E"/>
    <w:rsid w:val="008943FE"/>
    <w:rsid w:val="0089458A"/>
    <w:rsid w:val="008957F9"/>
    <w:rsid w:val="00895840"/>
    <w:rsid w:val="00895BF8"/>
    <w:rsid w:val="00895C31"/>
    <w:rsid w:val="00895E50"/>
    <w:rsid w:val="00896122"/>
    <w:rsid w:val="00896881"/>
    <w:rsid w:val="008968BC"/>
    <w:rsid w:val="008969D9"/>
    <w:rsid w:val="00896FDA"/>
    <w:rsid w:val="008971FC"/>
    <w:rsid w:val="0089768F"/>
    <w:rsid w:val="00897CA8"/>
    <w:rsid w:val="00897CE3"/>
    <w:rsid w:val="008A030F"/>
    <w:rsid w:val="008A05A5"/>
    <w:rsid w:val="008A05E1"/>
    <w:rsid w:val="008A15E6"/>
    <w:rsid w:val="008A1790"/>
    <w:rsid w:val="008A18BA"/>
    <w:rsid w:val="008A19DF"/>
    <w:rsid w:val="008A1AE3"/>
    <w:rsid w:val="008A1B77"/>
    <w:rsid w:val="008A1C4B"/>
    <w:rsid w:val="008A1FEF"/>
    <w:rsid w:val="008A2957"/>
    <w:rsid w:val="008A3565"/>
    <w:rsid w:val="008A3A30"/>
    <w:rsid w:val="008A3AB9"/>
    <w:rsid w:val="008A3C78"/>
    <w:rsid w:val="008A3EE0"/>
    <w:rsid w:val="008A3F61"/>
    <w:rsid w:val="008A45A2"/>
    <w:rsid w:val="008A4F89"/>
    <w:rsid w:val="008A5241"/>
    <w:rsid w:val="008A5463"/>
    <w:rsid w:val="008A5846"/>
    <w:rsid w:val="008A5A67"/>
    <w:rsid w:val="008A5AC0"/>
    <w:rsid w:val="008A5BC3"/>
    <w:rsid w:val="008A62BB"/>
    <w:rsid w:val="008A64BF"/>
    <w:rsid w:val="008A684B"/>
    <w:rsid w:val="008A7255"/>
    <w:rsid w:val="008A75B4"/>
    <w:rsid w:val="008A76D4"/>
    <w:rsid w:val="008A7835"/>
    <w:rsid w:val="008A7A46"/>
    <w:rsid w:val="008A7E07"/>
    <w:rsid w:val="008A7F1F"/>
    <w:rsid w:val="008B053D"/>
    <w:rsid w:val="008B07A4"/>
    <w:rsid w:val="008B0B1B"/>
    <w:rsid w:val="008B1374"/>
    <w:rsid w:val="008B1CA3"/>
    <w:rsid w:val="008B1CC7"/>
    <w:rsid w:val="008B1D75"/>
    <w:rsid w:val="008B1DB0"/>
    <w:rsid w:val="008B1E71"/>
    <w:rsid w:val="008B1EE6"/>
    <w:rsid w:val="008B2ADB"/>
    <w:rsid w:val="008B2FA6"/>
    <w:rsid w:val="008B3027"/>
    <w:rsid w:val="008B3114"/>
    <w:rsid w:val="008B367A"/>
    <w:rsid w:val="008B3765"/>
    <w:rsid w:val="008B38EB"/>
    <w:rsid w:val="008B3AA0"/>
    <w:rsid w:val="008B3C44"/>
    <w:rsid w:val="008B3CA7"/>
    <w:rsid w:val="008B3F8D"/>
    <w:rsid w:val="008B4441"/>
    <w:rsid w:val="008B4752"/>
    <w:rsid w:val="008B5152"/>
    <w:rsid w:val="008B5427"/>
    <w:rsid w:val="008B553D"/>
    <w:rsid w:val="008B5569"/>
    <w:rsid w:val="008B5B2A"/>
    <w:rsid w:val="008B5F8E"/>
    <w:rsid w:val="008B65B1"/>
    <w:rsid w:val="008B69C9"/>
    <w:rsid w:val="008B7D56"/>
    <w:rsid w:val="008B7DD1"/>
    <w:rsid w:val="008C040B"/>
    <w:rsid w:val="008C0943"/>
    <w:rsid w:val="008C0D32"/>
    <w:rsid w:val="008C1035"/>
    <w:rsid w:val="008C106A"/>
    <w:rsid w:val="008C13EE"/>
    <w:rsid w:val="008C17C1"/>
    <w:rsid w:val="008C1BE0"/>
    <w:rsid w:val="008C1C22"/>
    <w:rsid w:val="008C202F"/>
    <w:rsid w:val="008C2A0E"/>
    <w:rsid w:val="008C2AC0"/>
    <w:rsid w:val="008C2B4C"/>
    <w:rsid w:val="008C324C"/>
    <w:rsid w:val="008C3401"/>
    <w:rsid w:val="008C3592"/>
    <w:rsid w:val="008C39C2"/>
    <w:rsid w:val="008C3C0E"/>
    <w:rsid w:val="008C3CD2"/>
    <w:rsid w:val="008C3DBD"/>
    <w:rsid w:val="008C3F02"/>
    <w:rsid w:val="008C4204"/>
    <w:rsid w:val="008C4354"/>
    <w:rsid w:val="008C48FA"/>
    <w:rsid w:val="008C5207"/>
    <w:rsid w:val="008C5436"/>
    <w:rsid w:val="008C57F5"/>
    <w:rsid w:val="008C5821"/>
    <w:rsid w:val="008C5BA2"/>
    <w:rsid w:val="008C5DF4"/>
    <w:rsid w:val="008C6310"/>
    <w:rsid w:val="008C63E0"/>
    <w:rsid w:val="008C6E37"/>
    <w:rsid w:val="008C76E7"/>
    <w:rsid w:val="008C7D41"/>
    <w:rsid w:val="008C7E45"/>
    <w:rsid w:val="008D0076"/>
    <w:rsid w:val="008D0A5E"/>
    <w:rsid w:val="008D1088"/>
    <w:rsid w:val="008D11EC"/>
    <w:rsid w:val="008D1A77"/>
    <w:rsid w:val="008D1E61"/>
    <w:rsid w:val="008D239B"/>
    <w:rsid w:val="008D294D"/>
    <w:rsid w:val="008D2A1C"/>
    <w:rsid w:val="008D2A83"/>
    <w:rsid w:val="008D2AF2"/>
    <w:rsid w:val="008D2E7F"/>
    <w:rsid w:val="008D2FB4"/>
    <w:rsid w:val="008D3D5B"/>
    <w:rsid w:val="008D4576"/>
    <w:rsid w:val="008D48D1"/>
    <w:rsid w:val="008D4DC1"/>
    <w:rsid w:val="008D504D"/>
    <w:rsid w:val="008D51F2"/>
    <w:rsid w:val="008D52CF"/>
    <w:rsid w:val="008D538E"/>
    <w:rsid w:val="008D5B81"/>
    <w:rsid w:val="008D5D45"/>
    <w:rsid w:val="008D6223"/>
    <w:rsid w:val="008D6243"/>
    <w:rsid w:val="008D6295"/>
    <w:rsid w:val="008D66EB"/>
    <w:rsid w:val="008D6775"/>
    <w:rsid w:val="008D751F"/>
    <w:rsid w:val="008D7676"/>
    <w:rsid w:val="008D77E6"/>
    <w:rsid w:val="008D7B6A"/>
    <w:rsid w:val="008D7B7B"/>
    <w:rsid w:val="008D7C1C"/>
    <w:rsid w:val="008E0031"/>
    <w:rsid w:val="008E0423"/>
    <w:rsid w:val="008E05A2"/>
    <w:rsid w:val="008E089E"/>
    <w:rsid w:val="008E0C6E"/>
    <w:rsid w:val="008E0F39"/>
    <w:rsid w:val="008E238B"/>
    <w:rsid w:val="008E2977"/>
    <w:rsid w:val="008E2D39"/>
    <w:rsid w:val="008E3430"/>
    <w:rsid w:val="008E347C"/>
    <w:rsid w:val="008E34E3"/>
    <w:rsid w:val="008E4153"/>
    <w:rsid w:val="008E4172"/>
    <w:rsid w:val="008E426A"/>
    <w:rsid w:val="008E4712"/>
    <w:rsid w:val="008E49FC"/>
    <w:rsid w:val="008E4A6E"/>
    <w:rsid w:val="008E4C3E"/>
    <w:rsid w:val="008E4F3C"/>
    <w:rsid w:val="008E586D"/>
    <w:rsid w:val="008E5F8B"/>
    <w:rsid w:val="008E60FC"/>
    <w:rsid w:val="008E61A9"/>
    <w:rsid w:val="008E6C62"/>
    <w:rsid w:val="008E6E6E"/>
    <w:rsid w:val="008E7BAC"/>
    <w:rsid w:val="008E7D85"/>
    <w:rsid w:val="008F0573"/>
    <w:rsid w:val="008F097D"/>
    <w:rsid w:val="008F0BF3"/>
    <w:rsid w:val="008F0CEB"/>
    <w:rsid w:val="008F1A51"/>
    <w:rsid w:val="008F1CEC"/>
    <w:rsid w:val="008F1FFA"/>
    <w:rsid w:val="008F22BE"/>
    <w:rsid w:val="008F2414"/>
    <w:rsid w:val="008F27D2"/>
    <w:rsid w:val="008F3447"/>
    <w:rsid w:val="008F3EF8"/>
    <w:rsid w:val="008F4270"/>
    <w:rsid w:val="008F5162"/>
    <w:rsid w:val="008F5265"/>
    <w:rsid w:val="008F559B"/>
    <w:rsid w:val="008F56F5"/>
    <w:rsid w:val="008F5AB5"/>
    <w:rsid w:val="008F5BEF"/>
    <w:rsid w:val="008F60CB"/>
    <w:rsid w:val="008F6585"/>
    <w:rsid w:val="008F6829"/>
    <w:rsid w:val="008F690B"/>
    <w:rsid w:val="008F6A44"/>
    <w:rsid w:val="008F6B9D"/>
    <w:rsid w:val="008F77D6"/>
    <w:rsid w:val="008F7A58"/>
    <w:rsid w:val="008F7B4C"/>
    <w:rsid w:val="008F7D2F"/>
    <w:rsid w:val="00900157"/>
    <w:rsid w:val="009002C9"/>
    <w:rsid w:val="0090067B"/>
    <w:rsid w:val="00900700"/>
    <w:rsid w:val="00900A03"/>
    <w:rsid w:val="00900A77"/>
    <w:rsid w:val="00900D10"/>
    <w:rsid w:val="00900D7D"/>
    <w:rsid w:val="00901022"/>
    <w:rsid w:val="009011AA"/>
    <w:rsid w:val="00901232"/>
    <w:rsid w:val="00901303"/>
    <w:rsid w:val="00901CEF"/>
    <w:rsid w:val="00902170"/>
    <w:rsid w:val="009026D0"/>
    <w:rsid w:val="00902ABB"/>
    <w:rsid w:val="00902D8B"/>
    <w:rsid w:val="00903509"/>
    <w:rsid w:val="00903590"/>
    <w:rsid w:val="00903991"/>
    <w:rsid w:val="00903B4A"/>
    <w:rsid w:val="00903F8E"/>
    <w:rsid w:val="00904377"/>
    <w:rsid w:val="00904576"/>
    <w:rsid w:val="00904CC5"/>
    <w:rsid w:val="00904E12"/>
    <w:rsid w:val="00905624"/>
    <w:rsid w:val="00905630"/>
    <w:rsid w:val="00906316"/>
    <w:rsid w:val="00906BAC"/>
    <w:rsid w:val="00906DEF"/>
    <w:rsid w:val="00906DFD"/>
    <w:rsid w:val="00906F2E"/>
    <w:rsid w:val="009070E5"/>
    <w:rsid w:val="00907155"/>
    <w:rsid w:val="009071F9"/>
    <w:rsid w:val="009077B9"/>
    <w:rsid w:val="00907A3B"/>
    <w:rsid w:val="00907B7C"/>
    <w:rsid w:val="009103FE"/>
    <w:rsid w:val="00910E19"/>
    <w:rsid w:val="009116A9"/>
    <w:rsid w:val="00911BCC"/>
    <w:rsid w:val="00911D60"/>
    <w:rsid w:val="00913057"/>
    <w:rsid w:val="00913C71"/>
    <w:rsid w:val="00913C96"/>
    <w:rsid w:val="0091404C"/>
    <w:rsid w:val="00914359"/>
    <w:rsid w:val="00914C4D"/>
    <w:rsid w:val="00914FE9"/>
    <w:rsid w:val="00915153"/>
    <w:rsid w:val="00915380"/>
    <w:rsid w:val="00915C62"/>
    <w:rsid w:val="00915DA0"/>
    <w:rsid w:val="00916F05"/>
    <w:rsid w:val="009170D1"/>
    <w:rsid w:val="00917667"/>
    <w:rsid w:val="00920CE2"/>
    <w:rsid w:val="00920D92"/>
    <w:rsid w:val="009213D8"/>
    <w:rsid w:val="009213FF"/>
    <w:rsid w:val="009216C6"/>
    <w:rsid w:val="0092197A"/>
    <w:rsid w:val="009229C1"/>
    <w:rsid w:val="009230B6"/>
    <w:rsid w:val="009230CB"/>
    <w:rsid w:val="00923103"/>
    <w:rsid w:val="00923148"/>
    <w:rsid w:val="009238E1"/>
    <w:rsid w:val="00923B6E"/>
    <w:rsid w:val="009247F1"/>
    <w:rsid w:val="00924837"/>
    <w:rsid w:val="00925256"/>
    <w:rsid w:val="00925288"/>
    <w:rsid w:val="009252C9"/>
    <w:rsid w:val="00925659"/>
    <w:rsid w:val="00925D7A"/>
    <w:rsid w:val="00926351"/>
    <w:rsid w:val="009264DB"/>
    <w:rsid w:val="00927039"/>
    <w:rsid w:val="0092713D"/>
    <w:rsid w:val="009271BE"/>
    <w:rsid w:val="00927761"/>
    <w:rsid w:val="00927A22"/>
    <w:rsid w:val="0093004A"/>
    <w:rsid w:val="00930480"/>
    <w:rsid w:val="009306CD"/>
    <w:rsid w:val="009308DD"/>
    <w:rsid w:val="00930C34"/>
    <w:rsid w:val="009311AC"/>
    <w:rsid w:val="009317D0"/>
    <w:rsid w:val="00931F7D"/>
    <w:rsid w:val="00931FCE"/>
    <w:rsid w:val="00932045"/>
    <w:rsid w:val="009324D2"/>
    <w:rsid w:val="009324ED"/>
    <w:rsid w:val="00932550"/>
    <w:rsid w:val="0093280E"/>
    <w:rsid w:val="00932938"/>
    <w:rsid w:val="00932F3D"/>
    <w:rsid w:val="00933995"/>
    <w:rsid w:val="00933AD8"/>
    <w:rsid w:val="00933B31"/>
    <w:rsid w:val="00933C7D"/>
    <w:rsid w:val="00933D22"/>
    <w:rsid w:val="009347A1"/>
    <w:rsid w:val="009355E3"/>
    <w:rsid w:val="00935AA4"/>
    <w:rsid w:val="00935B33"/>
    <w:rsid w:val="00935CF2"/>
    <w:rsid w:val="00935EAA"/>
    <w:rsid w:val="0093628D"/>
    <w:rsid w:val="0093671F"/>
    <w:rsid w:val="00936729"/>
    <w:rsid w:val="0093685F"/>
    <w:rsid w:val="009369BF"/>
    <w:rsid w:val="00936E21"/>
    <w:rsid w:val="00936EB1"/>
    <w:rsid w:val="0093719C"/>
    <w:rsid w:val="00937519"/>
    <w:rsid w:val="00937677"/>
    <w:rsid w:val="0093767A"/>
    <w:rsid w:val="00937708"/>
    <w:rsid w:val="00937779"/>
    <w:rsid w:val="00937AE8"/>
    <w:rsid w:val="00940201"/>
    <w:rsid w:val="00940B07"/>
    <w:rsid w:val="00940DE6"/>
    <w:rsid w:val="00940EFD"/>
    <w:rsid w:val="009413A2"/>
    <w:rsid w:val="00941579"/>
    <w:rsid w:val="0094167D"/>
    <w:rsid w:val="00941B2A"/>
    <w:rsid w:val="00941B76"/>
    <w:rsid w:val="00941DA4"/>
    <w:rsid w:val="00941F2F"/>
    <w:rsid w:val="00942743"/>
    <w:rsid w:val="009428AE"/>
    <w:rsid w:val="00942920"/>
    <w:rsid w:val="00942BC6"/>
    <w:rsid w:val="00942ED3"/>
    <w:rsid w:val="00943778"/>
    <w:rsid w:val="00943941"/>
    <w:rsid w:val="00943C6E"/>
    <w:rsid w:val="0094432F"/>
    <w:rsid w:val="0094440D"/>
    <w:rsid w:val="0094491D"/>
    <w:rsid w:val="00944E10"/>
    <w:rsid w:val="00944E24"/>
    <w:rsid w:val="00944ECB"/>
    <w:rsid w:val="00944F1F"/>
    <w:rsid w:val="009454F8"/>
    <w:rsid w:val="00945592"/>
    <w:rsid w:val="009456C5"/>
    <w:rsid w:val="00945D09"/>
    <w:rsid w:val="0094640C"/>
    <w:rsid w:val="0094646F"/>
    <w:rsid w:val="009466AC"/>
    <w:rsid w:val="00946972"/>
    <w:rsid w:val="00946E08"/>
    <w:rsid w:val="00946F85"/>
    <w:rsid w:val="00947407"/>
    <w:rsid w:val="00947640"/>
    <w:rsid w:val="00947B8E"/>
    <w:rsid w:val="00947DE0"/>
    <w:rsid w:val="00947EFA"/>
    <w:rsid w:val="0095065D"/>
    <w:rsid w:val="009511C8"/>
    <w:rsid w:val="009511F4"/>
    <w:rsid w:val="009513E0"/>
    <w:rsid w:val="009515CD"/>
    <w:rsid w:val="0095162D"/>
    <w:rsid w:val="00951641"/>
    <w:rsid w:val="00951762"/>
    <w:rsid w:val="0095176E"/>
    <w:rsid w:val="009518FC"/>
    <w:rsid w:val="00951B37"/>
    <w:rsid w:val="00951D25"/>
    <w:rsid w:val="00951E4A"/>
    <w:rsid w:val="009521C9"/>
    <w:rsid w:val="009522A9"/>
    <w:rsid w:val="0095275B"/>
    <w:rsid w:val="00952EAD"/>
    <w:rsid w:val="00953083"/>
    <w:rsid w:val="00953691"/>
    <w:rsid w:val="00953A43"/>
    <w:rsid w:val="00953B22"/>
    <w:rsid w:val="00953DAB"/>
    <w:rsid w:val="00954E76"/>
    <w:rsid w:val="00955757"/>
    <w:rsid w:val="009559F9"/>
    <w:rsid w:val="009560EA"/>
    <w:rsid w:val="0095637F"/>
    <w:rsid w:val="00956466"/>
    <w:rsid w:val="009570F7"/>
    <w:rsid w:val="00957184"/>
    <w:rsid w:val="00957190"/>
    <w:rsid w:val="0095783C"/>
    <w:rsid w:val="00957A3E"/>
    <w:rsid w:val="00957EF7"/>
    <w:rsid w:val="009601B9"/>
    <w:rsid w:val="0096069B"/>
    <w:rsid w:val="00960A90"/>
    <w:rsid w:val="009611A0"/>
    <w:rsid w:val="0096178F"/>
    <w:rsid w:val="0096199E"/>
    <w:rsid w:val="00961BB6"/>
    <w:rsid w:val="009623B9"/>
    <w:rsid w:val="009624F5"/>
    <w:rsid w:val="00962BC1"/>
    <w:rsid w:val="00962C27"/>
    <w:rsid w:val="00962C8C"/>
    <w:rsid w:val="00962DF5"/>
    <w:rsid w:val="0096344D"/>
    <w:rsid w:val="0096374C"/>
    <w:rsid w:val="00963DD7"/>
    <w:rsid w:val="00963EC9"/>
    <w:rsid w:val="009641EC"/>
    <w:rsid w:val="00964311"/>
    <w:rsid w:val="00965059"/>
    <w:rsid w:val="00965622"/>
    <w:rsid w:val="0096575D"/>
    <w:rsid w:val="0096579A"/>
    <w:rsid w:val="00965A0E"/>
    <w:rsid w:val="00965B10"/>
    <w:rsid w:val="00965B97"/>
    <w:rsid w:val="00965D7B"/>
    <w:rsid w:val="00965F04"/>
    <w:rsid w:val="0096654D"/>
    <w:rsid w:val="0096679F"/>
    <w:rsid w:val="00966E23"/>
    <w:rsid w:val="009670D9"/>
    <w:rsid w:val="0096732A"/>
    <w:rsid w:val="00967A32"/>
    <w:rsid w:val="00967B8B"/>
    <w:rsid w:val="00967D5C"/>
    <w:rsid w:val="00967DD5"/>
    <w:rsid w:val="0097029A"/>
    <w:rsid w:val="00970475"/>
    <w:rsid w:val="00970F3C"/>
    <w:rsid w:val="00971320"/>
    <w:rsid w:val="0097140D"/>
    <w:rsid w:val="0097190D"/>
    <w:rsid w:val="00971FF8"/>
    <w:rsid w:val="00972144"/>
    <w:rsid w:val="00972489"/>
    <w:rsid w:val="009728E7"/>
    <w:rsid w:val="00972F01"/>
    <w:rsid w:val="00973056"/>
    <w:rsid w:val="009736FC"/>
    <w:rsid w:val="009737B6"/>
    <w:rsid w:val="0097459F"/>
    <w:rsid w:val="0097494E"/>
    <w:rsid w:val="00974C13"/>
    <w:rsid w:val="0097500B"/>
    <w:rsid w:val="00975852"/>
    <w:rsid w:val="0097618C"/>
    <w:rsid w:val="00976261"/>
    <w:rsid w:val="00976B9D"/>
    <w:rsid w:val="0097702D"/>
    <w:rsid w:val="0097708A"/>
    <w:rsid w:val="009772A1"/>
    <w:rsid w:val="009775F5"/>
    <w:rsid w:val="00977749"/>
    <w:rsid w:val="00977C18"/>
    <w:rsid w:val="009800F6"/>
    <w:rsid w:val="00980132"/>
    <w:rsid w:val="00980642"/>
    <w:rsid w:val="00980B3F"/>
    <w:rsid w:val="00981906"/>
    <w:rsid w:val="00981979"/>
    <w:rsid w:val="00981A4F"/>
    <w:rsid w:val="00981C1F"/>
    <w:rsid w:val="00981CEE"/>
    <w:rsid w:val="00981CF5"/>
    <w:rsid w:val="00981E91"/>
    <w:rsid w:val="0098207A"/>
    <w:rsid w:val="00982642"/>
    <w:rsid w:val="00982B36"/>
    <w:rsid w:val="00982C0F"/>
    <w:rsid w:val="00982CB1"/>
    <w:rsid w:val="00983235"/>
    <w:rsid w:val="009832A1"/>
    <w:rsid w:val="00984027"/>
    <w:rsid w:val="00984136"/>
    <w:rsid w:val="00984154"/>
    <w:rsid w:val="00984AF6"/>
    <w:rsid w:val="00985AB7"/>
    <w:rsid w:val="00985C4C"/>
    <w:rsid w:val="00986C71"/>
    <w:rsid w:val="00986E0B"/>
    <w:rsid w:val="00986F17"/>
    <w:rsid w:val="00987003"/>
    <w:rsid w:val="00987184"/>
    <w:rsid w:val="009877D3"/>
    <w:rsid w:val="00987D11"/>
    <w:rsid w:val="00990125"/>
    <w:rsid w:val="009905F1"/>
    <w:rsid w:val="0099095D"/>
    <w:rsid w:val="00990A3E"/>
    <w:rsid w:val="00991E99"/>
    <w:rsid w:val="00991ED5"/>
    <w:rsid w:val="009925AC"/>
    <w:rsid w:val="00992924"/>
    <w:rsid w:val="00992B26"/>
    <w:rsid w:val="0099358D"/>
    <w:rsid w:val="009935F6"/>
    <w:rsid w:val="00993611"/>
    <w:rsid w:val="00993671"/>
    <w:rsid w:val="00993C3C"/>
    <w:rsid w:val="00993CDE"/>
    <w:rsid w:val="00993F9B"/>
    <w:rsid w:val="009945AD"/>
    <w:rsid w:val="00994B5C"/>
    <w:rsid w:val="00995884"/>
    <w:rsid w:val="009958CB"/>
    <w:rsid w:val="00995909"/>
    <w:rsid w:val="00995A7D"/>
    <w:rsid w:val="00995AB6"/>
    <w:rsid w:val="00995C10"/>
    <w:rsid w:val="00995ED5"/>
    <w:rsid w:val="00996985"/>
    <w:rsid w:val="00996CEF"/>
    <w:rsid w:val="00996F27"/>
    <w:rsid w:val="0099752B"/>
    <w:rsid w:val="00997606"/>
    <w:rsid w:val="00997C1A"/>
    <w:rsid w:val="00997D37"/>
    <w:rsid w:val="009A01E3"/>
    <w:rsid w:val="009A0913"/>
    <w:rsid w:val="009A0FF9"/>
    <w:rsid w:val="009A13FD"/>
    <w:rsid w:val="009A151E"/>
    <w:rsid w:val="009A1AF4"/>
    <w:rsid w:val="009A1F93"/>
    <w:rsid w:val="009A2085"/>
    <w:rsid w:val="009A27DB"/>
    <w:rsid w:val="009A2C58"/>
    <w:rsid w:val="009A2C88"/>
    <w:rsid w:val="009A2D4D"/>
    <w:rsid w:val="009A3240"/>
    <w:rsid w:val="009A3738"/>
    <w:rsid w:val="009A3A89"/>
    <w:rsid w:val="009A3AFB"/>
    <w:rsid w:val="009A3B29"/>
    <w:rsid w:val="009A3E3D"/>
    <w:rsid w:val="009A3E63"/>
    <w:rsid w:val="009A40FB"/>
    <w:rsid w:val="009A422A"/>
    <w:rsid w:val="009A4511"/>
    <w:rsid w:val="009A460C"/>
    <w:rsid w:val="009A4898"/>
    <w:rsid w:val="009A495F"/>
    <w:rsid w:val="009A5ADC"/>
    <w:rsid w:val="009A5BDA"/>
    <w:rsid w:val="009A5C18"/>
    <w:rsid w:val="009A652B"/>
    <w:rsid w:val="009A6A10"/>
    <w:rsid w:val="009A6EC1"/>
    <w:rsid w:val="009A70BC"/>
    <w:rsid w:val="009A71D8"/>
    <w:rsid w:val="009A765A"/>
    <w:rsid w:val="009A77D9"/>
    <w:rsid w:val="009A7FD0"/>
    <w:rsid w:val="009B0562"/>
    <w:rsid w:val="009B07ED"/>
    <w:rsid w:val="009B0801"/>
    <w:rsid w:val="009B12A0"/>
    <w:rsid w:val="009B1975"/>
    <w:rsid w:val="009B1A3F"/>
    <w:rsid w:val="009B1D00"/>
    <w:rsid w:val="009B1EB1"/>
    <w:rsid w:val="009B27FD"/>
    <w:rsid w:val="009B2B6E"/>
    <w:rsid w:val="009B2D4B"/>
    <w:rsid w:val="009B370C"/>
    <w:rsid w:val="009B387F"/>
    <w:rsid w:val="009B3EF7"/>
    <w:rsid w:val="009B4183"/>
    <w:rsid w:val="009B4693"/>
    <w:rsid w:val="009B47C0"/>
    <w:rsid w:val="009B4BA2"/>
    <w:rsid w:val="009B4C02"/>
    <w:rsid w:val="009B4D9D"/>
    <w:rsid w:val="009B55C6"/>
    <w:rsid w:val="009B5D2E"/>
    <w:rsid w:val="009B5FD1"/>
    <w:rsid w:val="009B6A33"/>
    <w:rsid w:val="009B6B25"/>
    <w:rsid w:val="009B6CAD"/>
    <w:rsid w:val="009B6D16"/>
    <w:rsid w:val="009B7084"/>
    <w:rsid w:val="009B7208"/>
    <w:rsid w:val="009B7214"/>
    <w:rsid w:val="009B7C80"/>
    <w:rsid w:val="009B7DE7"/>
    <w:rsid w:val="009C0189"/>
    <w:rsid w:val="009C054C"/>
    <w:rsid w:val="009C0917"/>
    <w:rsid w:val="009C0FDB"/>
    <w:rsid w:val="009C1344"/>
    <w:rsid w:val="009C14C3"/>
    <w:rsid w:val="009C16D9"/>
    <w:rsid w:val="009C1921"/>
    <w:rsid w:val="009C1A31"/>
    <w:rsid w:val="009C1F1E"/>
    <w:rsid w:val="009C2273"/>
    <w:rsid w:val="009C24E9"/>
    <w:rsid w:val="009C3E47"/>
    <w:rsid w:val="009C3F18"/>
    <w:rsid w:val="009C42B1"/>
    <w:rsid w:val="009C4349"/>
    <w:rsid w:val="009C43A7"/>
    <w:rsid w:val="009C43B2"/>
    <w:rsid w:val="009C466D"/>
    <w:rsid w:val="009C4BEE"/>
    <w:rsid w:val="009C4DD1"/>
    <w:rsid w:val="009C5545"/>
    <w:rsid w:val="009C5F17"/>
    <w:rsid w:val="009C6407"/>
    <w:rsid w:val="009C64E3"/>
    <w:rsid w:val="009C68AA"/>
    <w:rsid w:val="009C6E22"/>
    <w:rsid w:val="009C7092"/>
    <w:rsid w:val="009C7B5F"/>
    <w:rsid w:val="009C7BE0"/>
    <w:rsid w:val="009C7CFD"/>
    <w:rsid w:val="009D00D4"/>
    <w:rsid w:val="009D013F"/>
    <w:rsid w:val="009D0537"/>
    <w:rsid w:val="009D0AE6"/>
    <w:rsid w:val="009D1102"/>
    <w:rsid w:val="009D1692"/>
    <w:rsid w:val="009D1C0E"/>
    <w:rsid w:val="009D210B"/>
    <w:rsid w:val="009D2712"/>
    <w:rsid w:val="009D37C5"/>
    <w:rsid w:val="009D3ADA"/>
    <w:rsid w:val="009D3AE7"/>
    <w:rsid w:val="009D4028"/>
    <w:rsid w:val="009D40AD"/>
    <w:rsid w:val="009D422E"/>
    <w:rsid w:val="009D4664"/>
    <w:rsid w:val="009D4799"/>
    <w:rsid w:val="009D47DA"/>
    <w:rsid w:val="009D4C36"/>
    <w:rsid w:val="009D5417"/>
    <w:rsid w:val="009D5479"/>
    <w:rsid w:val="009D564A"/>
    <w:rsid w:val="009D5A27"/>
    <w:rsid w:val="009D5F71"/>
    <w:rsid w:val="009D5FB2"/>
    <w:rsid w:val="009D6241"/>
    <w:rsid w:val="009D6433"/>
    <w:rsid w:val="009D6ACB"/>
    <w:rsid w:val="009D6F8F"/>
    <w:rsid w:val="009D7050"/>
    <w:rsid w:val="009E084A"/>
    <w:rsid w:val="009E0CED"/>
    <w:rsid w:val="009E0EE2"/>
    <w:rsid w:val="009E15B8"/>
    <w:rsid w:val="009E1724"/>
    <w:rsid w:val="009E17FD"/>
    <w:rsid w:val="009E1D38"/>
    <w:rsid w:val="009E1EA6"/>
    <w:rsid w:val="009E20E4"/>
    <w:rsid w:val="009E28C7"/>
    <w:rsid w:val="009E2D70"/>
    <w:rsid w:val="009E2E18"/>
    <w:rsid w:val="009E315C"/>
    <w:rsid w:val="009E3564"/>
    <w:rsid w:val="009E3568"/>
    <w:rsid w:val="009E391A"/>
    <w:rsid w:val="009E3B60"/>
    <w:rsid w:val="009E4E46"/>
    <w:rsid w:val="009E4F23"/>
    <w:rsid w:val="009E52EC"/>
    <w:rsid w:val="009E54F5"/>
    <w:rsid w:val="009E5AAE"/>
    <w:rsid w:val="009E5C4F"/>
    <w:rsid w:val="009E5C58"/>
    <w:rsid w:val="009E60F3"/>
    <w:rsid w:val="009E6492"/>
    <w:rsid w:val="009E6ACD"/>
    <w:rsid w:val="009E72E4"/>
    <w:rsid w:val="009E7424"/>
    <w:rsid w:val="009E7732"/>
    <w:rsid w:val="009E7796"/>
    <w:rsid w:val="009E7898"/>
    <w:rsid w:val="009E796B"/>
    <w:rsid w:val="009E7ABE"/>
    <w:rsid w:val="009E7C66"/>
    <w:rsid w:val="009F0043"/>
    <w:rsid w:val="009F0518"/>
    <w:rsid w:val="009F071F"/>
    <w:rsid w:val="009F0B21"/>
    <w:rsid w:val="009F0C2A"/>
    <w:rsid w:val="009F147C"/>
    <w:rsid w:val="009F17EA"/>
    <w:rsid w:val="009F1BB4"/>
    <w:rsid w:val="009F1EC6"/>
    <w:rsid w:val="009F23B6"/>
    <w:rsid w:val="009F24EC"/>
    <w:rsid w:val="009F2883"/>
    <w:rsid w:val="009F28E1"/>
    <w:rsid w:val="009F2A89"/>
    <w:rsid w:val="009F2C75"/>
    <w:rsid w:val="009F32D4"/>
    <w:rsid w:val="009F3516"/>
    <w:rsid w:val="009F3C46"/>
    <w:rsid w:val="009F4022"/>
    <w:rsid w:val="009F43B5"/>
    <w:rsid w:val="009F4BCB"/>
    <w:rsid w:val="009F5038"/>
    <w:rsid w:val="009F50CF"/>
    <w:rsid w:val="009F591F"/>
    <w:rsid w:val="009F5A14"/>
    <w:rsid w:val="009F5CC3"/>
    <w:rsid w:val="009F6157"/>
    <w:rsid w:val="009F69C5"/>
    <w:rsid w:val="009F6A23"/>
    <w:rsid w:val="009F6C5C"/>
    <w:rsid w:val="009F6CE1"/>
    <w:rsid w:val="009F6DB0"/>
    <w:rsid w:val="009F7206"/>
    <w:rsid w:val="009F74E0"/>
    <w:rsid w:val="009F7562"/>
    <w:rsid w:val="009F75B7"/>
    <w:rsid w:val="009F77B0"/>
    <w:rsid w:val="009F78CC"/>
    <w:rsid w:val="009F7A02"/>
    <w:rsid w:val="00A0072C"/>
    <w:rsid w:val="00A00923"/>
    <w:rsid w:val="00A00A0F"/>
    <w:rsid w:val="00A00AB8"/>
    <w:rsid w:val="00A00D24"/>
    <w:rsid w:val="00A00F8B"/>
    <w:rsid w:val="00A00FD7"/>
    <w:rsid w:val="00A0173E"/>
    <w:rsid w:val="00A017F4"/>
    <w:rsid w:val="00A01CEE"/>
    <w:rsid w:val="00A02046"/>
    <w:rsid w:val="00A0216A"/>
    <w:rsid w:val="00A022AC"/>
    <w:rsid w:val="00A03A9E"/>
    <w:rsid w:val="00A03F46"/>
    <w:rsid w:val="00A0435A"/>
    <w:rsid w:val="00A04715"/>
    <w:rsid w:val="00A04C63"/>
    <w:rsid w:val="00A05483"/>
    <w:rsid w:val="00A05AC8"/>
    <w:rsid w:val="00A05BD7"/>
    <w:rsid w:val="00A06091"/>
    <w:rsid w:val="00A06099"/>
    <w:rsid w:val="00A0648B"/>
    <w:rsid w:val="00A06BE1"/>
    <w:rsid w:val="00A07D6E"/>
    <w:rsid w:val="00A10234"/>
    <w:rsid w:val="00A10301"/>
    <w:rsid w:val="00A10408"/>
    <w:rsid w:val="00A10455"/>
    <w:rsid w:val="00A1080D"/>
    <w:rsid w:val="00A10CB6"/>
    <w:rsid w:val="00A1114C"/>
    <w:rsid w:val="00A11282"/>
    <w:rsid w:val="00A1171E"/>
    <w:rsid w:val="00A11B59"/>
    <w:rsid w:val="00A11F60"/>
    <w:rsid w:val="00A1200A"/>
    <w:rsid w:val="00A122D4"/>
    <w:rsid w:val="00A123E5"/>
    <w:rsid w:val="00A1250D"/>
    <w:rsid w:val="00A12C16"/>
    <w:rsid w:val="00A12FAC"/>
    <w:rsid w:val="00A1324E"/>
    <w:rsid w:val="00A135A6"/>
    <w:rsid w:val="00A13613"/>
    <w:rsid w:val="00A13670"/>
    <w:rsid w:val="00A13BA8"/>
    <w:rsid w:val="00A14D68"/>
    <w:rsid w:val="00A15607"/>
    <w:rsid w:val="00A15B3F"/>
    <w:rsid w:val="00A161A0"/>
    <w:rsid w:val="00A16C7B"/>
    <w:rsid w:val="00A16CF9"/>
    <w:rsid w:val="00A17898"/>
    <w:rsid w:val="00A179F6"/>
    <w:rsid w:val="00A17B4B"/>
    <w:rsid w:val="00A206BF"/>
    <w:rsid w:val="00A21512"/>
    <w:rsid w:val="00A21ADC"/>
    <w:rsid w:val="00A21F18"/>
    <w:rsid w:val="00A21F54"/>
    <w:rsid w:val="00A22556"/>
    <w:rsid w:val="00A226FD"/>
    <w:rsid w:val="00A22C88"/>
    <w:rsid w:val="00A22F3B"/>
    <w:rsid w:val="00A231BC"/>
    <w:rsid w:val="00A23679"/>
    <w:rsid w:val="00A23770"/>
    <w:rsid w:val="00A23B7D"/>
    <w:rsid w:val="00A23C0A"/>
    <w:rsid w:val="00A23FAA"/>
    <w:rsid w:val="00A24518"/>
    <w:rsid w:val="00A246ED"/>
    <w:rsid w:val="00A249FC"/>
    <w:rsid w:val="00A24D93"/>
    <w:rsid w:val="00A24E8B"/>
    <w:rsid w:val="00A25B77"/>
    <w:rsid w:val="00A25E89"/>
    <w:rsid w:val="00A25EE4"/>
    <w:rsid w:val="00A26217"/>
    <w:rsid w:val="00A26811"/>
    <w:rsid w:val="00A26C30"/>
    <w:rsid w:val="00A27546"/>
    <w:rsid w:val="00A27562"/>
    <w:rsid w:val="00A27D9F"/>
    <w:rsid w:val="00A27F4F"/>
    <w:rsid w:val="00A301FA"/>
    <w:rsid w:val="00A303F2"/>
    <w:rsid w:val="00A3047C"/>
    <w:rsid w:val="00A30E2B"/>
    <w:rsid w:val="00A315D5"/>
    <w:rsid w:val="00A31962"/>
    <w:rsid w:val="00A31D6C"/>
    <w:rsid w:val="00A31FCB"/>
    <w:rsid w:val="00A3204F"/>
    <w:rsid w:val="00A32FE3"/>
    <w:rsid w:val="00A330C9"/>
    <w:rsid w:val="00A33162"/>
    <w:rsid w:val="00A3334A"/>
    <w:rsid w:val="00A33572"/>
    <w:rsid w:val="00A3358F"/>
    <w:rsid w:val="00A336C4"/>
    <w:rsid w:val="00A34B35"/>
    <w:rsid w:val="00A34D9E"/>
    <w:rsid w:val="00A35225"/>
    <w:rsid w:val="00A352DF"/>
    <w:rsid w:val="00A358FD"/>
    <w:rsid w:val="00A35DEE"/>
    <w:rsid w:val="00A35FF2"/>
    <w:rsid w:val="00A36762"/>
    <w:rsid w:val="00A3695C"/>
    <w:rsid w:val="00A36CFF"/>
    <w:rsid w:val="00A376C1"/>
    <w:rsid w:val="00A37907"/>
    <w:rsid w:val="00A379FE"/>
    <w:rsid w:val="00A37A5F"/>
    <w:rsid w:val="00A37D66"/>
    <w:rsid w:val="00A37D93"/>
    <w:rsid w:val="00A37DEA"/>
    <w:rsid w:val="00A400D9"/>
    <w:rsid w:val="00A4022D"/>
    <w:rsid w:val="00A4112D"/>
    <w:rsid w:val="00A416D3"/>
    <w:rsid w:val="00A41709"/>
    <w:rsid w:val="00A420EB"/>
    <w:rsid w:val="00A42544"/>
    <w:rsid w:val="00A4268F"/>
    <w:rsid w:val="00A42B0F"/>
    <w:rsid w:val="00A42F4C"/>
    <w:rsid w:val="00A4311B"/>
    <w:rsid w:val="00A433C0"/>
    <w:rsid w:val="00A436AB"/>
    <w:rsid w:val="00A4385C"/>
    <w:rsid w:val="00A439BC"/>
    <w:rsid w:val="00A43B0F"/>
    <w:rsid w:val="00A447C0"/>
    <w:rsid w:val="00A44F00"/>
    <w:rsid w:val="00A4504A"/>
    <w:rsid w:val="00A453F0"/>
    <w:rsid w:val="00A4578B"/>
    <w:rsid w:val="00A457B6"/>
    <w:rsid w:val="00A45861"/>
    <w:rsid w:val="00A459D9"/>
    <w:rsid w:val="00A45A6B"/>
    <w:rsid w:val="00A461C3"/>
    <w:rsid w:val="00A464B1"/>
    <w:rsid w:val="00A46EE2"/>
    <w:rsid w:val="00A47643"/>
    <w:rsid w:val="00A479E3"/>
    <w:rsid w:val="00A47D2B"/>
    <w:rsid w:val="00A50174"/>
    <w:rsid w:val="00A5082A"/>
    <w:rsid w:val="00A50A47"/>
    <w:rsid w:val="00A50EEE"/>
    <w:rsid w:val="00A50FCB"/>
    <w:rsid w:val="00A51239"/>
    <w:rsid w:val="00A5153D"/>
    <w:rsid w:val="00A51644"/>
    <w:rsid w:val="00A52227"/>
    <w:rsid w:val="00A5264A"/>
    <w:rsid w:val="00A529A1"/>
    <w:rsid w:val="00A52CFB"/>
    <w:rsid w:val="00A52DB0"/>
    <w:rsid w:val="00A52E2D"/>
    <w:rsid w:val="00A53228"/>
    <w:rsid w:val="00A534D8"/>
    <w:rsid w:val="00A537A3"/>
    <w:rsid w:val="00A53BB2"/>
    <w:rsid w:val="00A542C8"/>
    <w:rsid w:val="00A544B7"/>
    <w:rsid w:val="00A549CC"/>
    <w:rsid w:val="00A54BA1"/>
    <w:rsid w:val="00A54C40"/>
    <w:rsid w:val="00A54CB5"/>
    <w:rsid w:val="00A54EBA"/>
    <w:rsid w:val="00A54F8F"/>
    <w:rsid w:val="00A55131"/>
    <w:rsid w:val="00A55B3F"/>
    <w:rsid w:val="00A55E91"/>
    <w:rsid w:val="00A561FE"/>
    <w:rsid w:val="00A563F1"/>
    <w:rsid w:val="00A57498"/>
    <w:rsid w:val="00A5776C"/>
    <w:rsid w:val="00A57A17"/>
    <w:rsid w:val="00A60973"/>
    <w:rsid w:val="00A61895"/>
    <w:rsid w:val="00A62D56"/>
    <w:rsid w:val="00A62E60"/>
    <w:rsid w:val="00A63598"/>
    <w:rsid w:val="00A63966"/>
    <w:rsid w:val="00A640D5"/>
    <w:rsid w:val="00A64E35"/>
    <w:rsid w:val="00A650ED"/>
    <w:rsid w:val="00A65365"/>
    <w:rsid w:val="00A6548E"/>
    <w:rsid w:val="00A65658"/>
    <w:rsid w:val="00A65923"/>
    <w:rsid w:val="00A659C0"/>
    <w:rsid w:val="00A65CF7"/>
    <w:rsid w:val="00A65E7F"/>
    <w:rsid w:val="00A65FE8"/>
    <w:rsid w:val="00A66111"/>
    <w:rsid w:val="00A662C6"/>
    <w:rsid w:val="00A66BE9"/>
    <w:rsid w:val="00A66E2A"/>
    <w:rsid w:val="00A67142"/>
    <w:rsid w:val="00A67418"/>
    <w:rsid w:val="00A677C8"/>
    <w:rsid w:val="00A677F4"/>
    <w:rsid w:val="00A67E44"/>
    <w:rsid w:val="00A67E97"/>
    <w:rsid w:val="00A7002C"/>
    <w:rsid w:val="00A701FC"/>
    <w:rsid w:val="00A70708"/>
    <w:rsid w:val="00A707A0"/>
    <w:rsid w:val="00A70AF9"/>
    <w:rsid w:val="00A70B4B"/>
    <w:rsid w:val="00A70BF1"/>
    <w:rsid w:val="00A715F3"/>
    <w:rsid w:val="00A71630"/>
    <w:rsid w:val="00A7185F"/>
    <w:rsid w:val="00A71A4C"/>
    <w:rsid w:val="00A72123"/>
    <w:rsid w:val="00A72163"/>
    <w:rsid w:val="00A72674"/>
    <w:rsid w:val="00A7410B"/>
    <w:rsid w:val="00A744F9"/>
    <w:rsid w:val="00A74584"/>
    <w:rsid w:val="00A74682"/>
    <w:rsid w:val="00A7473E"/>
    <w:rsid w:val="00A749BD"/>
    <w:rsid w:val="00A74C4B"/>
    <w:rsid w:val="00A74DE2"/>
    <w:rsid w:val="00A75470"/>
    <w:rsid w:val="00A75939"/>
    <w:rsid w:val="00A75D62"/>
    <w:rsid w:val="00A760F8"/>
    <w:rsid w:val="00A767B8"/>
    <w:rsid w:val="00A76F0C"/>
    <w:rsid w:val="00A7704B"/>
    <w:rsid w:val="00A770B5"/>
    <w:rsid w:val="00A77767"/>
    <w:rsid w:val="00A777C1"/>
    <w:rsid w:val="00A7799B"/>
    <w:rsid w:val="00A77A0B"/>
    <w:rsid w:val="00A80163"/>
    <w:rsid w:val="00A8040F"/>
    <w:rsid w:val="00A806D2"/>
    <w:rsid w:val="00A80A2E"/>
    <w:rsid w:val="00A80CFA"/>
    <w:rsid w:val="00A80F9E"/>
    <w:rsid w:val="00A811B1"/>
    <w:rsid w:val="00A8153E"/>
    <w:rsid w:val="00A81A6B"/>
    <w:rsid w:val="00A81B29"/>
    <w:rsid w:val="00A81DFD"/>
    <w:rsid w:val="00A81E60"/>
    <w:rsid w:val="00A822E7"/>
    <w:rsid w:val="00A823A4"/>
    <w:rsid w:val="00A82C29"/>
    <w:rsid w:val="00A82CD4"/>
    <w:rsid w:val="00A82E2F"/>
    <w:rsid w:val="00A831DE"/>
    <w:rsid w:val="00A832BC"/>
    <w:rsid w:val="00A83A1B"/>
    <w:rsid w:val="00A83D2C"/>
    <w:rsid w:val="00A83E7C"/>
    <w:rsid w:val="00A83FC9"/>
    <w:rsid w:val="00A8447F"/>
    <w:rsid w:val="00A84623"/>
    <w:rsid w:val="00A84BA4"/>
    <w:rsid w:val="00A85460"/>
    <w:rsid w:val="00A85A05"/>
    <w:rsid w:val="00A860A3"/>
    <w:rsid w:val="00A86633"/>
    <w:rsid w:val="00A86C12"/>
    <w:rsid w:val="00A86DDD"/>
    <w:rsid w:val="00A870F2"/>
    <w:rsid w:val="00A9005A"/>
    <w:rsid w:val="00A901AC"/>
    <w:rsid w:val="00A9064A"/>
    <w:rsid w:val="00A90656"/>
    <w:rsid w:val="00A9075C"/>
    <w:rsid w:val="00A90793"/>
    <w:rsid w:val="00A90CE8"/>
    <w:rsid w:val="00A91002"/>
    <w:rsid w:val="00A910BD"/>
    <w:rsid w:val="00A9143C"/>
    <w:rsid w:val="00A91583"/>
    <w:rsid w:val="00A91A12"/>
    <w:rsid w:val="00A9235A"/>
    <w:rsid w:val="00A92CB9"/>
    <w:rsid w:val="00A92D28"/>
    <w:rsid w:val="00A93B5F"/>
    <w:rsid w:val="00A94E10"/>
    <w:rsid w:val="00A95110"/>
    <w:rsid w:val="00A9511B"/>
    <w:rsid w:val="00A952ED"/>
    <w:rsid w:val="00A95BAF"/>
    <w:rsid w:val="00A95EB2"/>
    <w:rsid w:val="00A95F19"/>
    <w:rsid w:val="00A9626F"/>
    <w:rsid w:val="00A96DA2"/>
    <w:rsid w:val="00A970AC"/>
    <w:rsid w:val="00A971CA"/>
    <w:rsid w:val="00A97316"/>
    <w:rsid w:val="00A977D1"/>
    <w:rsid w:val="00A97CC6"/>
    <w:rsid w:val="00AA01C1"/>
    <w:rsid w:val="00AA0341"/>
    <w:rsid w:val="00AA0445"/>
    <w:rsid w:val="00AA06AB"/>
    <w:rsid w:val="00AA0B3E"/>
    <w:rsid w:val="00AA1297"/>
    <w:rsid w:val="00AA15AD"/>
    <w:rsid w:val="00AA1B7C"/>
    <w:rsid w:val="00AA1EC5"/>
    <w:rsid w:val="00AA237E"/>
    <w:rsid w:val="00AA2742"/>
    <w:rsid w:val="00AA297A"/>
    <w:rsid w:val="00AA2BA0"/>
    <w:rsid w:val="00AA2BAF"/>
    <w:rsid w:val="00AA2CF4"/>
    <w:rsid w:val="00AA2D86"/>
    <w:rsid w:val="00AA2DA0"/>
    <w:rsid w:val="00AA3008"/>
    <w:rsid w:val="00AA387E"/>
    <w:rsid w:val="00AA3AD3"/>
    <w:rsid w:val="00AA3DE2"/>
    <w:rsid w:val="00AA3DF3"/>
    <w:rsid w:val="00AA4900"/>
    <w:rsid w:val="00AA5055"/>
    <w:rsid w:val="00AA50C8"/>
    <w:rsid w:val="00AA51DA"/>
    <w:rsid w:val="00AA64FF"/>
    <w:rsid w:val="00AA6D94"/>
    <w:rsid w:val="00AA7A33"/>
    <w:rsid w:val="00AA7ED5"/>
    <w:rsid w:val="00AB0EED"/>
    <w:rsid w:val="00AB18A1"/>
    <w:rsid w:val="00AB278C"/>
    <w:rsid w:val="00AB2C02"/>
    <w:rsid w:val="00AB2F6D"/>
    <w:rsid w:val="00AB310F"/>
    <w:rsid w:val="00AB31EF"/>
    <w:rsid w:val="00AB385C"/>
    <w:rsid w:val="00AB3B45"/>
    <w:rsid w:val="00AB3D03"/>
    <w:rsid w:val="00AB3D1F"/>
    <w:rsid w:val="00AB3DAC"/>
    <w:rsid w:val="00AB3E2A"/>
    <w:rsid w:val="00AB3E9C"/>
    <w:rsid w:val="00AB4027"/>
    <w:rsid w:val="00AB42B3"/>
    <w:rsid w:val="00AB42F5"/>
    <w:rsid w:val="00AB43A4"/>
    <w:rsid w:val="00AB4768"/>
    <w:rsid w:val="00AB4797"/>
    <w:rsid w:val="00AB47E9"/>
    <w:rsid w:val="00AB4E61"/>
    <w:rsid w:val="00AB4FD8"/>
    <w:rsid w:val="00AB5A6C"/>
    <w:rsid w:val="00AB60A9"/>
    <w:rsid w:val="00AB65C7"/>
    <w:rsid w:val="00AB6B9D"/>
    <w:rsid w:val="00AB6F23"/>
    <w:rsid w:val="00AB7B93"/>
    <w:rsid w:val="00AB7D2A"/>
    <w:rsid w:val="00AB7D76"/>
    <w:rsid w:val="00AB7F2E"/>
    <w:rsid w:val="00AC001C"/>
    <w:rsid w:val="00AC0384"/>
    <w:rsid w:val="00AC078D"/>
    <w:rsid w:val="00AC11D2"/>
    <w:rsid w:val="00AC167E"/>
    <w:rsid w:val="00AC1A14"/>
    <w:rsid w:val="00AC1AAE"/>
    <w:rsid w:val="00AC2305"/>
    <w:rsid w:val="00AC2860"/>
    <w:rsid w:val="00AC28F2"/>
    <w:rsid w:val="00AC2B84"/>
    <w:rsid w:val="00AC2C4F"/>
    <w:rsid w:val="00AC2C59"/>
    <w:rsid w:val="00AC2DEF"/>
    <w:rsid w:val="00AC317D"/>
    <w:rsid w:val="00AC3351"/>
    <w:rsid w:val="00AC373B"/>
    <w:rsid w:val="00AC3EAA"/>
    <w:rsid w:val="00AC428F"/>
    <w:rsid w:val="00AC4A04"/>
    <w:rsid w:val="00AC4EF8"/>
    <w:rsid w:val="00AC5281"/>
    <w:rsid w:val="00AC57F6"/>
    <w:rsid w:val="00AC5C11"/>
    <w:rsid w:val="00AC5DCB"/>
    <w:rsid w:val="00AC6611"/>
    <w:rsid w:val="00AC6C10"/>
    <w:rsid w:val="00AC6DFC"/>
    <w:rsid w:val="00AC7382"/>
    <w:rsid w:val="00AC78BA"/>
    <w:rsid w:val="00AC7A66"/>
    <w:rsid w:val="00AC7CA1"/>
    <w:rsid w:val="00AC7DDE"/>
    <w:rsid w:val="00AD0387"/>
    <w:rsid w:val="00AD0ABD"/>
    <w:rsid w:val="00AD0AD4"/>
    <w:rsid w:val="00AD0F4E"/>
    <w:rsid w:val="00AD21BD"/>
    <w:rsid w:val="00AD282C"/>
    <w:rsid w:val="00AD317C"/>
    <w:rsid w:val="00AD328F"/>
    <w:rsid w:val="00AD353D"/>
    <w:rsid w:val="00AD384E"/>
    <w:rsid w:val="00AD3EBB"/>
    <w:rsid w:val="00AD450A"/>
    <w:rsid w:val="00AD4884"/>
    <w:rsid w:val="00AD4960"/>
    <w:rsid w:val="00AD4C68"/>
    <w:rsid w:val="00AD5178"/>
    <w:rsid w:val="00AD52A8"/>
    <w:rsid w:val="00AD5885"/>
    <w:rsid w:val="00AD6150"/>
    <w:rsid w:val="00AD64A2"/>
    <w:rsid w:val="00AD6AAC"/>
    <w:rsid w:val="00AD6C34"/>
    <w:rsid w:val="00AD6E7B"/>
    <w:rsid w:val="00AD74BE"/>
    <w:rsid w:val="00AD7A10"/>
    <w:rsid w:val="00AD7B37"/>
    <w:rsid w:val="00AE02C3"/>
    <w:rsid w:val="00AE0533"/>
    <w:rsid w:val="00AE090E"/>
    <w:rsid w:val="00AE0A67"/>
    <w:rsid w:val="00AE0AB5"/>
    <w:rsid w:val="00AE0C2D"/>
    <w:rsid w:val="00AE0CCB"/>
    <w:rsid w:val="00AE0E8A"/>
    <w:rsid w:val="00AE1531"/>
    <w:rsid w:val="00AE193C"/>
    <w:rsid w:val="00AE1985"/>
    <w:rsid w:val="00AE1F4E"/>
    <w:rsid w:val="00AE20A9"/>
    <w:rsid w:val="00AE247E"/>
    <w:rsid w:val="00AE26EE"/>
    <w:rsid w:val="00AE2A13"/>
    <w:rsid w:val="00AE2D5C"/>
    <w:rsid w:val="00AE2EC7"/>
    <w:rsid w:val="00AE3912"/>
    <w:rsid w:val="00AE3BE6"/>
    <w:rsid w:val="00AE3D16"/>
    <w:rsid w:val="00AE3EE7"/>
    <w:rsid w:val="00AE41ED"/>
    <w:rsid w:val="00AE4579"/>
    <w:rsid w:val="00AE4959"/>
    <w:rsid w:val="00AE4AD0"/>
    <w:rsid w:val="00AE4E8A"/>
    <w:rsid w:val="00AE50F2"/>
    <w:rsid w:val="00AE575B"/>
    <w:rsid w:val="00AE57C2"/>
    <w:rsid w:val="00AE5985"/>
    <w:rsid w:val="00AE5B9D"/>
    <w:rsid w:val="00AE5E01"/>
    <w:rsid w:val="00AE617C"/>
    <w:rsid w:val="00AE6302"/>
    <w:rsid w:val="00AE646E"/>
    <w:rsid w:val="00AE6513"/>
    <w:rsid w:val="00AE6559"/>
    <w:rsid w:val="00AE70F2"/>
    <w:rsid w:val="00AE7AFC"/>
    <w:rsid w:val="00AE7DB1"/>
    <w:rsid w:val="00AF043E"/>
    <w:rsid w:val="00AF06C1"/>
    <w:rsid w:val="00AF0B5E"/>
    <w:rsid w:val="00AF0BA5"/>
    <w:rsid w:val="00AF161A"/>
    <w:rsid w:val="00AF1AB6"/>
    <w:rsid w:val="00AF2A0D"/>
    <w:rsid w:val="00AF33CD"/>
    <w:rsid w:val="00AF37A2"/>
    <w:rsid w:val="00AF3CFC"/>
    <w:rsid w:val="00AF4221"/>
    <w:rsid w:val="00AF563A"/>
    <w:rsid w:val="00AF5A12"/>
    <w:rsid w:val="00AF5FB6"/>
    <w:rsid w:val="00AF5FFC"/>
    <w:rsid w:val="00AF62A4"/>
    <w:rsid w:val="00AF7A5D"/>
    <w:rsid w:val="00AF7FBE"/>
    <w:rsid w:val="00B00C3D"/>
    <w:rsid w:val="00B01534"/>
    <w:rsid w:val="00B01B14"/>
    <w:rsid w:val="00B01BCC"/>
    <w:rsid w:val="00B01CD8"/>
    <w:rsid w:val="00B0217B"/>
    <w:rsid w:val="00B022FE"/>
    <w:rsid w:val="00B032C4"/>
    <w:rsid w:val="00B032D8"/>
    <w:rsid w:val="00B0338B"/>
    <w:rsid w:val="00B03545"/>
    <w:rsid w:val="00B035ED"/>
    <w:rsid w:val="00B039F1"/>
    <w:rsid w:val="00B0437D"/>
    <w:rsid w:val="00B04600"/>
    <w:rsid w:val="00B0498C"/>
    <w:rsid w:val="00B04AD9"/>
    <w:rsid w:val="00B04DC8"/>
    <w:rsid w:val="00B050C6"/>
    <w:rsid w:val="00B05175"/>
    <w:rsid w:val="00B0526C"/>
    <w:rsid w:val="00B05304"/>
    <w:rsid w:val="00B055F0"/>
    <w:rsid w:val="00B05612"/>
    <w:rsid w:val="00B05869"/>
    <w:rsid w:val="00B05BCE"/>
    <w:rsid w:val="00B05E04"/>
    <w:rsid w:val="00B05E36"/>
    <w:rsid w:val="00B062D5"/>
    <w:rsid w:val="00B06319"/>
    <w:rsid w:val="00B0631D"/>
    <w:rsid w:val="00B07038"/>
    <w:rsid w:val="00B073AC"/>
    <w:rsid w:val="00B10466"/>
    <w:rsid w:val="00B105BB"/>
    <w:rsid w:val="00B106FC"/>
    <w:rsid w:val="00B10B8C"/>
    <w:rsid w:val="00B10C0C"/>
    <w:rsid w:val="00B12176"/>
    <w:rsid w:val="00B12178"/>
    <w:rsid w:val="00B13478"/>
    <w:rsid w:val="00B1364D"/>
    <w:rsid w:val="00B13CD4"/>
    <w:rsid w:val="00B1426A"/>
    <w:rsid w:val="00B148F8"/>
    <w:rsid w:val="00B14DB4"/>
    <w:rsid w:val="00B14E15"/>
    <w:rsid w:val="00B15905"/>
    <w:rsid w:val="00B15E1D"/>
    <w:rsid w:val="00B15F68"/>
    <w:rsid w:val="00B164EE"/>
    <w:rsid w:val="00B16776"/>
    <w:rsid w:val="00B173BF"/>
    <w:rsid w:val="00B174F5"/>
    <w:rsid w:val="00B17DFD"/>
    <w:rsid w:val="00B17E01"/>
    <w:rsid w:val="00B20AE7"/>
    <w:rsid w:val="00B20B1A"/>
    <w:rsid w:val="00B212BE"/>
    <w:rsid w:val="00B21590"/>
    <w:rsid w:val="00B215E2"/>
    <w:rsid w:val="00B226EE"/>
    <w:rsid w:val="00B229DD"/>
    <w:rsid w:val="00B22B64"/>
    <w:rsid w:val="00B22EF5"/>
    <w:rsid w:val="00B22F7F"/>
    <w:rsid w:val="00B235DC"/>
    <w:rsid w:val="00B2381B"/>
    <w:rsid w:val="00B2411F"/>
    <w:rsid w:val="00B244A9"/>
    <w:rsid w:val="00B24594"/>
    <w:rsid w:val="00B245AB"/>
    <w:rsid w:val="00B2487A"/>
    <w:rsid w:val="00B24897"/>
    <w:rsid w:val="00B248E3"/>
    <w:rsid w:val="00B24CBA"/>
    <w:rsid w:val="00B24F7D"/>
    <w:rsid w:val="00B2594B"/>
    <w:rsid w:val="00B25AC2"/>
    <w:rsid w:val="00B263FE"/>
    <w:rsid w:val="00B26E69"/>
    <w:rsid w:val="00B26EFD"/>
    <w:rsid w:val="00B2764B"/>
    <w:rsid w:val="00B278E3"/>
    <w:rsid w:val="00B27A06"/>
    <w:rsid w:val="00B304C8"/>
    <w:rsid w:val="00B30E9A"/>
    <w:rsid w:val="00B31003"/>
    <w:rsid w:val="00B311F5"/>
    <w:rsid w:val="00B3161A"/>
    <w:rsid w:val="00B317B9"/>
    <w:rsid w:val="00B317DF"/>
    <w:rsid w:val="00B317FD"/>
    <w:rsid w:val="00B3234D"/>
    <w:rsid w:val="00B33437"/>
    <w:rsid w:val="00B33A9C"/>
    <w:rsid w:val="00B33CD2"/>
    <w:rsid w:val="00B340FB"/>
    <w:rsid w:val="00B34392"/>
    <w:rsid w:val="00B34C0E"/>
    <w:rsid w:val="00B34F85"/>
    <w:rsid w:val="00B359F2"/>
    <w:rsid w:val="00B35DB8"/>
    <w:rsid w:val="00B36B57"/>
    <w:rsid w:val="00B36BC1"/>
    <w:rsid w:val="00B371F7"/>
    <w:rsid w:val="00B37411"/>
    <w:rsid w:val="00B37BBB"/>
    <w:rsid w:val="00B37EA3"/>
    <w:rsid w:val="00B40170"/>
    <w:rsid w:val="00B40A4D"/>
    <w:rsid w:val="00B40B0E"/>
    <w:rsid w:val="00B40E9F"/>
    <w:rsid w:val="00B411AB"/>
    <w:rsid w:val="00B41629"/>
    <w:rsid w:val="00B41789"/>
    <w:rsid w:val="00B41889"/>
    <w:rsid w:val="00B41FD4"/>
    <w:rsid w:val="00B43164"/>
    <w:rsid w:val="00B431B9"/>
    <w:rsid w:val="00B43771"/>
    <w:rsid w:val="00B4379F"/>
    <w:rsid w:val="00B4396D"/>
    <w:rsid w:val="00B43C01"/>
    <w:rsid w:val="00B4458C"/>
    <w:rsid w:val="00B44C88"/>
    <w:rsid w:val="00B44C96"/>
    <w:rsid w:val="00B44DF0"/>
    <w:rsid w:val="00B451DE"/>
    <w:rsid w:val="00B455D1"/>
    <w:rsid w:val="00B45657"/>
    <w:rsid w:val="00B45918"/>
    <w:rsid w:val="00B45EC1"/>
    <w:rsid w:val="00B464C8"/>
    <w:rsid w:val="00B465D8"/>
    <w:rsid w:val="00B468EB"/>
    <w:rsid w:val="00B4753E"/>
    <w:rsid w:val="00B4778A"/>
    <w:rsid w:val="00B4797B"/>
    <w:rsid w:val="00B47B16"/>
    <w:rsid w:val="00B47D82"/>
    <w:rsid w:val="00B47E2C"/>
    <w:rsid w:val="00B503B9"/>
    <w:rsid w:val="00B508B3"/>
    <w:rsid w:val="00B51086"/>
    <w:rsid w:val="00B5134B"/>
    <w:rsid w:val="00B517A6"/>
    <w:rsid w:val="00B51F37"/>
    <w:rsid w:val="00B52259"/>
    <w:rsid w:val="00B526C0"/>
    <w:rsid w:val="00B527B8"/>
    <w:rsid w:val="00B52887"/>
    <w:rsid w:val="00B528FC"/>
    <w:rsid w:val="00B52BB5"/>
    <w:rsid w:val="00B539E1"/>
    <w:rsid w:val="00B53A79"/>
    <w:rsid w:val="00B53B92"/>
    <w:rsid w:val="00B541A7"/>
    <w:rsid w:val="00B54552"/>
    <w:rsid w:val="00B549D1"/>
    <w:rsid w:val="00B54CBB"/>
    <w:rsid w:val="00B5662E"/>
    <w:rsid w:val="00B56C37"/>
    <w:rsid w:val="00B56E99"/>
    <w:rsid w:val="00B5739F"/>
    <w:rsid w:val="00B578F0"/>
    <w:rsid w:val="00B6022B"/>
    <w:rsid w:val="00B60BCB"/>
    <w:rsid w:val="00B60C98"/>
    <w:rsid w:val="00B61C0A"/>
    <w:rsid w:val="00B6202A"/>
    <w:rsid w:val="00B621AD"/>
    <w:rsid w:val="00B625BB"/>
    <w:rsid w:val="00B62BCD"/>
    <w:rsid w:val="00B6414C"/>
    <w:rsid w:val="00B64A36"/>
    <w:rsid w:val="00B65286"/>
    <w:rsid w:val="00B656E0"/>
    <w:rsid w:val="00B659F8"/>
    <w:rsid w:val="00B65C6D"/>
    <w:rsid w:val="00B65CE5"/>
    <w:rsid w:val="00B66031"/>
    <w:rsid w:val="00B66435"/>
    <w:rsid w:val="00B667FD"/>
    <w:rsid w:val="00B66A26"/>
    <w:rsid w:val="00B66C4F"/>
    <w:rsid w:val="00B66F53"/>
    <w:rsid w:val="00B66FE9"/>
    <w:rsid w:val="00B6740E"/>
    <w:rsid w:val="00B700A8"/>
    <w:rsid w:val="00B706ED"/>
    <w:rsid w:val="00B70C21"/>
    <w:rsid w:val="00B710F5"/>
    <w:rsid w:val="00B71150"/>
    <w:rsid w:val="00B7132D"/>
    <w:rsid w:val="00B714FB"/>
    <w:rsid w:val="00B71644"/>
    <w:rsid w:val="00B71E32"/>
    <w:rsid w:val="00B7219E"/>
    <w:rsid w:val="00B721B0"/>
    <w:rsid w:val="00B725A6"/>
    <w:rsid w:val="00B732AD"/>
    <w:rsid w:val="00B734F8"/>
    <w:rsid w:val="00B73ABC"/>
    <w:rsid w:val="00B73D03"/>
    <w:rsid w:val="00B73F17"/>
    <w:rsid w:val="00B74462"/>
    <w:rsid w:val="00B74637"/>
    <w:rsid w:val="00B74939"/>
    <w:rsid w:val="00B75359"/>
    <w:rsid w:val="00B754CA"/>
    <w:rsid w:val="00B759A0"/>
    <w:rsid w:val="00B75BF6"/>
    <w:rsid w:val="00B75EAE"/>
    <w:rsid w:val="00B7611B"/>
    <w:rsid w:val="00B767B0"/>
    <w:rsid w:val="00B77255"/>
    <w:rsid w:val="00B772EB"/>
    <w:rsid w:val="00B775A3"/>
    <w:rsid w:val="00B77B56"/>
    <w:rsid w:val="00B77DB9"/>
    <w:rsid w:val="00B8014A"/>
    <w:rsid w:val="00B801A8"/>
    <w:rsid w:val="00B8064C"/>
    <w:rsid w:val="00B8069D"/>
    <w:rsid w:val="00B80BE9"/>
    <w:rsid w:val="00B80EC8"/>
    <w:rsid w:val="00B81041"/>
    <w:rsid w:val="00B818A6"/>
    <w:rsid w:val="00B81944"/>
    <w:rsid w:val="00B81A53"/>
    <w:rsid w:val="00B81E8A"/>
    <w:rsid w:val="00B83450"/>
    <w:rsid w:val="00B83CA1"/>
    <w:rsid w:val="00B84135"/>
    <w:rsid w:val="00B84531"/>
    <w:rsid w:val="00B8473B"/>
    <w:rsid w:val="00B84F8F"/>
    <w:rsid w:val="00B85185"/>
    <w:rsid w:val="00B86066"/>
    <w:rsid w:val="00B86151"/>
    <w:rsid w:val="00B86398"/>
    <w:rsid w:val="00B86628"/>
    <w:rsid w:val="00B86A1C"/>
    <w:rsid w:val="00B86E69"/>
    <w:rsid w:val="00B871B2"/>
    <w:rsid w:val="00B87418"/>
    <w:rsid w:val="00B874BB"/>
    <w:rsid w:val="00B87667"/>
    <w:rsid w:val="00B8767F"/>
    <w:rsid w:val="00B907A5"/>
    <w:rsid w:val="00B910AC"/>
    <w:rsid w:val="00B9126D"/>
    <w:rsid w:val="00B9137D"/>
    <w:rsid w:val="00B9148C"/>
    <w:rsid w:val="00B915D5"/>
    <w:rsid w:val="00B91B45"/>
    <w:rsid w:val="00B91DA0"/>
    <w:rsid w:val="00B91F09"/>
    <w:rsid w:val="00B9206A"/>
    <w:rsid w:val="00B9276B"/>
    <w:rsid w:val="00B92999"/>
    <w:rsid w:val="00B92AB7"/>
    <w:rsid w:val="00B92B3E"/>
    <w:rsid w:val="00B92CCD"/>
    <w:rsid w:val="00B93AB0"/>
    <w:rsid w:val="00B94148"/>
    <w:rsid w:val="00B949D8"/>
    <w:rsid w:val="00B94F0B"/>
    <w:rsid w:val="00B94FA3"/>
    <w:rsid w:val="00B959D7"/>
    <w:rsid w:val="00B959FD"/>
    <w:rsid w:val="00B95CF9"/>
    <w:rsid w:val="00B95FFA"/>
    <w:rsid w:val="00B96265"/>
    <w:rsid w:val="00B96860"/>
    <w:rsid w:val="00B968B3"/>
    <w:rsid w:val="00B96FA2"/>
    <w:rsid w:val="00B9720D"/>
    <w:rsid w:val="00B97289"/>
    <w:rsid w:val="00B975A2"/>
    <w:rsid w:val="00B97A4D"/>
    <w:rsid w:val="00BA02D7"/>
    <w:rsid w:val="00BA06FE"/>
    <w:rsid w:val="00BA09E4"/>
    <w:rsid w:val="00BA0BC5"/>
    <w:rsid w:val="00BA0BE5"/>
    <w:rsid w:val="00BA106C"/>
    <w:rsid w:val="00BA13CC"/>
    <w:rsid w:val="00BA1499"/>
    <w:rsid w:val="00BA18A9"/>
    <w:rsid w:val="00BA1A4E"/>
    <w:rsid w:val="00BA1A5E"/>
    <w:rsid w:val="00BA2353"/>
    <w:rsid w:val="00BA2853"/>
    <w:rsid w:val="00BA36E7"/>
    <w:rsid w:val="00BA4390"/>
    <w:rsid w:val="00BA4C5A"/>
    <w:rsid w:val="00BA4E26"/>
    <w:rsid w:val="00BA4FD3"/>
    <w:rsid w:val="00BA5322"/>
    <w:rsid w:val="00BA55DE"/>
    <w:rsid w:val="00BA5AC4"/>
    <w:rsid w:val="00BA5FA4"/>
    <w:rsid w:val="00BA6087"/>
    <w:rsid w:val="00BA6A66"/>
    <w:rsid w:val="00BA6CF6"/>
    <w:rsid w:val="00BA711C"/>
    <w:rsid w:val="00BA787D"/>
    <w:rsid w:val="00BB014F"/>
    <w:rsid w:val="00BB01B9"/>
    <w:rsid w:val="00BB0DF4"/>
    <w:rsid w:val="00BB101F"/>
    <w:rsid w:val="00BB16BA"/>
    <w:rsid w:val="00BB1EA2"/>
    <w:rsid w:val="00BB209C"/>
    <w:rsid w:val="00BB2A60"/>
    <w:rsid w:val="00BB33F1"/>
    <w:rsid w:val="00BB4209"/>
    <w:rsid w:val="00BB43DA"/>
    <w:rsid w:val="00BB56CF"/>
    <w:rsid w:val="00BB5776"/>
    <w:rsid w:val="00BB5BC1"/>
    <w:rsid w:val="00BB641C"/>
    <w:rsid w:val="00BB69BB"/>
    <w:rsid w:val="00BB6FD6"/>
    <w:rsid w:val="00BB70D1"/>
    <w:rsid w:val="00BB7409"/>
    <w:rsid w:val="00BB755D"/>
    <w:rsid w:val="00BB75AC"/>
    <w:rsid w:val="00BB7B79"/>
    <w:rsid w:val="00BB7C30"/>
    <w:rsid w:val="00BB7E2A"/>
    <w:rsid w:val="00BB7E33"/>
    <w:rsid w:val="00BB7F17"/>
    <w:rsid w:val="00BC0222"/>
    <w:rsid w:val="00BC02BB"/>
    <w:rsid w:val="00BC073A"/>
    <w:rsid w:val="00BC0808"/>
    <w:rsid w:val="00BC0966"/>
    <w:rsid w:val="00BC0D3F"/>
    <w:rsid w:val="00BC1883"/>
    <w:rsid w:val="00BC214A"/>
    <w:rsid w:val="00BC2226"/>
    <w:rsid w:val="00BC227B"/>
    <w:rsid w:val="00BC22CB"/>
    <w:rsid w:val="00BC270F"/>
    <w:rsid w:val="00BC2BE8"/>
    <w:rsid w:val="00BC37B2"/>
    <w:rsid w:val="00BC3E3E"/>
    <w:rsid w:val="00BC3F66"/>
    <w:rsid w:val="00BC419B"/>
    <w:rsid w:val="00BC4547"/>
    <w:rsid w:val="00BC47F8"/>
    <w:rsid w:val="00BC492F"/>
    <w:rsid w:val="00BC4D72"/>
    <w:rsid w:val="00BC4F3F"/>
    <w:rsid w:val="00BC50EF"/>
    <w:rsid w:val="00BC51FF"/>
    <w:rsid w:val="00BC58C4"/>
    <w:rsid w:val="00BC5973"/>
    <w:rsid w:val="00BC5EF0"/>
    <w:rsid w:val="00BC6724"/>
    <w:rsid w:val="00BC69CD"/>
    <w:rsid w:val="00BC69DF"/>
    <w:rsid w:val="00BC6B3A"/>
    <w:rsid w:val="00BC7943"/>
    <w:rsid w:val="00BC7C0E"/>
    <w:rsid w:val="00BD0D5B"/>
    <w:rsid w:val="00BD1862"/>
    <w:rsid w:val="00BD19DB"/>
    <w:rsid w:val="00BD1B2D"/>
    <w:rsid w:val="00BD1D18"/>
    <w:rsid w:val="00BD338A"/>
    <w:rsid w:val="00BD339B"/>
    <w:rsid w:val="00BD3CBA"/>
    <w:rsid w:val="00BD3CC5"/>
    <w:rsid w:val="00BD4474"/>
    <w:rsid w:val="00BD4774"/>
    <w:rsid w:val="00BD4808"/>
    <w:rsid w:val="00BD4836"/>
    <w:rsid w:val="00BD4973"/>
    <w:rsid w:val="00BD4E2D"/>
    <w:rsid w:val="00BD5236"/>
    <w:rsid w:val="00BD52BD"/>
    <w:rsid w:val="00BD56FA"/>
    <w:rsid w:val="00BD5AF6"/>
    <w:rsid w:val="00BD5EDA"/>
    <w:rsid w:val="00BD60D8"/>
    <w:rsid w:val="00BD6180"/>
    <w:rsid w:val="00BD71A9"/>
    <w:rsid w:val="00BD72E0"/>
    <w:rsid w:val="00BD7944"/>
    <w:rsid w:val="00BD7991"/>
    <w:rsid w:val="00BD7B02"/>
    <w:rsid w:val="00BD7E53"/>
    <w:rsid w:val="00BD7E8E"/>
    <w:rsid w:val="00BE00E4"/>
    <w:rsid w:val="00BE0586"/>
    <w:rsid w:val="00BE07D9"/>
    <w:rsid w:val="00BE09D1"/>
    <w:rsid w:val="00BE0A25"/>
    <w:rsid w:val="00BE112F"/>
    <w:rsid w:val="00BE1CE4"/>
    <w:rsid w:val="00BE1F0F"/>
    <w:rsid w:val="00BE1FA4"/>
    <w:rsid w:val="00BE2141"/>
    <w:rsid w:val="00BE2511"/>
    <w:rsid w:val="00BE26AA"/>
    <w:rsid w:val="00BE27CF"/>
    <w:rsid w:val="00BE307D"/>
    <w:rsid w:val="00BE32E0"/>
    <w:rsid w:val="00BE34C3"/>
    <w:rsid w:val="00BE3600"/>
    <w:rsid w:val="00BE36B2"/>
    <w:rsid w:val="00BE3DA1"/>
    <w:rsid w:val="00BE4295"/>
    <w:rsid w:val="00BE4A0F"/>
    <w:rsid w:val="00BE4A78"/>
    <w:rsid w:val="00BE4C7A"/>
    <w:rsid w:val="00BE4FA1"/>
    <w:rsid w:val="00BE5269"/>
    <w:rsid w:val="00BE561A"/>
    <w:rsid w:val="00BE5B97"/>
    <w:rsid w:val="00BE600D"/>
    <w:rsid w:val="00BE702F"/>
    <w:rsid w:val="00BE703B"/>
    <w:rsid w:val="00BE726E"/>
    <w:rsid w:val="00BE728A"/>
    <w:rsid w:val="00BE74B2"/>
    <w:rsid w:val="00BE76EE"/>
    <w:rsid w:val="00BE79B4"/>
    <w:rsid w:val="00BE79D4"/>
    <w:rsid w:val="00BE7D51"/>
    <w:rsid w:val="00BF065C"/>
    <w:rsid w:val="00BF08D0"/>
    <w:rsid w:val="00BF0E95"/>
    <w:rsid w:val="00BF1B3F"/>
    <w:rsid w:val="00BF1C9D"/>
    <w:rsid w:val="00BF1D9B"/>
    <w:rsid w:val="00BF27C4"/>
    <w:rsid w:val="00BF29D8"/>
    <w:rsid w:val="00BF2AA0"/>
    <w:rsid w:val="00BF2F62"/>
    <w:rsid w:val="00BF2FED"/>
    <w:rsid w:val="00BF3617"/>
    <w:rsid w:val="00BF3620"/>
    <w:rsid w:val="00BF3E5B"/>
    <w:rsid w:val="00BF4735"/>
    <w:rsid w:val="00BF4875"/>
    <w:rsid w:val="00BF5585"/>
    <w:rsid w:val="00BF571A"/>
    <w:rsid w:val="00BF5BC0"/>
    <w:rsid w:val="00BF5C69"/>
    <w:rsid w:val="00BF6C66"/>
    <w:rsid w:val="00BF7046"/>
    <w:rsid w:val="00BF7264"/>
    <w:rsid w:val="00BF7495"/>
    <w:rsid w:val="00BF7BB4"/>
    <w:rsid w:val="00C001F7"/>
    <w:rsid w:val="00C0057E"/>
    <w:rsid w:val="00C009AB"/>
    <w:rsid w:val="00C00D57"/>
    <w:rsid w:val="00C012A3"/>
    <w:rsid w:val="00C012B7"/>
    <w:rsid w:val="00C0140B"/>
    <w:rsid w:val="00C01473"/>
    <w:rsid w:val="00C01C80"/>
    <w:rsid w:val="00C027D9"/>
    <w:rsid w:val="00C02CCF"/>
    <w:rsid w:val="00C02FD1"/>
    <w:rsid w:val="00C0306E"/>
    <w:rsid w:val="00C030D0"/>
    <w:rsid w:val="00C035E4"/>
    <w:rsid w:val="00C03800"/>
    <w:rsid w:val="00C03896"/>
    <w:rsid w:val="00C0389A"/>
    <w:rsid w:val="00C044A9"/>
    <w:rsid w:val="00C054A2"/>
    <w:rsid w:val="00C05676"/>
    <w:rsid w:val="00C056CD"/>
    <w:rsid w:val="00C0583D"/>
    <w:rsid w:val="00C05B5B"/>
    <w:rsid w:val="00C05DAD"/>
    <w:rsid w:val="00C05F5E"/>
    <w:rsid w:val="00C06B26"/>
    <w:rsid w:val="00C06E78"/>
    <w:rsid w:val="00C07051"/>
    <w:rsid w:val="00C0776D"/>
    <w:rsid w:val="00C07B3B"/>
    <w:rsid w:val="00C07ECF"/>
    <w:rsid w:val="00C1060F"/>
    <w:rsid w:val="00C10E06"/>
    <w:rsid w:val="00C110CA"/>
    <w:rsid w:val="00C11127"/>
    <w:rsid w:val="00C11694"/>
    <w:rsid w:val="00C116E0"/>
    <w:rsid w:val="00C118A6"/>
    <w:rsid w:val="00C1217A"/>
    <w:rsid w:val="00C12261"/>
    <w:rsid w:val="00C1298E"/>
    <w:rsid w:val="00C1335F"/>
    <w:rsid w:val="00C13931"/>
    <w:rsid w:val="00C139D3"/>
    <w:rsid w:val="00C13C55"/>
    <w:rsid w:val="00C142E7"/>
    <w:rsid w:val="00C1475F"/>
    <w:rsid w:val="00C149CF"/>
    <w:rsid w:val="00C14CE2"/>
    <w:rsid w:val="00C14FF8"/>
    <w:rsid w:val="00C150E7"/>
    <w:rsid w:val="00C1534E"/>
    <w:rsid w:val="00C159CB"/>
    <w:rsid w:val="00C16257"/>
    <w:rsid w:val="00C1638C"/>
    <w:rsid w:val="00C1643B"/>
    <w:rsid w:val="00C16B72"/>
    <w:rsid w:val="00C16C49"/>
    <w:rsid w:val="00C16D4B"/>
    <w:rsid w:val="00C17A56"/>
    <w:rsid w:val="00C17AB4"/>
    <w:rsid w:val="00C17C3D"/>
    <w:rsid w:val="00C17EE7"/>
    <w:rsid w:val="00C20061"/>
    <w:rsid w:val="00C2034F"/>
    <w:rsid w:val="00C205B2"/>
    <w:rsid w:val="00C206F8"/>
    <w:rsid w:val="00C20711"/>
    <w:rsid w:val="00C20955"/>
    <w:rsid w:val="00C20B34"/>
    <w:rsid w:val="00C21225"/>
    <w:rsid w:val="00C21267"/>
    <w:rsid w:val="00C2130C"/>
    <w:rsid w:val="00C222E7"/>
    <w:rsid w:val="00C22579"/>
    <w:rsid w:val="00C2287C"/>
    <w:rsid w:val="00C229B1"/>
    <w:rsid w:val="00C22D59"/>
    <w:rsid w:val="00C23CC0"/>
    <w:rsid w:val="00C24234"/>
    <w:rsid w:val="00C24F1E"/>
    <w:rsid w:val="00C2562E"/>
    <w:rsid w:val="00C259A0"/>
    <w:rsid w:val="00C25A83"/>
    <w:rsid w:val="00C266B9"/>
    <w:rsid w:val="00C26781"/>
    <w:rsid w:val="00C26BE3"/>
    <w:rsid w:val="00C26ECB"/>
    <w:rsid w:val="00C272B1"/>
    <w:rsid w:val="00C272EC"/>
    <w:rsid w:val="00C274AC"/>
    <w:rsid w:val="00C275C8"/>
    <w:rsid w:val="00C3062E"/>
    <w:rsid w:val="00C30C4F"/>
    <w:rsid w:val="00C30ED7"/>
    <w:rsid w:val="00C30F44"/>
    <w:rsid w:val="00C31127"/>
    <w:rsid w:val="00C31A29"/>
    <w:rsid w:val="00C31BAB"/>
    <w:rsid w:val="00C3219D"/>
    <w:rsid w:val="00C327F4"/>
    <w:rsid w:val="00C3292E"/>
    <w:rsid w:val="00C32B55"/>
    <w:rsid w:val="00C32F9D"/>
    <w:rsid w:val="00C32FB5"/>
    <w:rsid w:val="00C33420"/>
    <w:rsid w:val="00C334A0"/>
    <w:rsid w:val="00C33701"/>
    <w:rsid w:val="00C3394F"/>
    <w:rsid w:val="00C339F0"/>
    <w:rsid w:val="00C33AED"/>
    <w:rsid w:val="00C34096"/>
    <w:rsid w:val="00C340EE"/>
    <w:rsid w:val="00C34154"/>
    <w:rsid w:val="00C34B17"/>
    <w:rsid w:val="00C34B7C"/>
    <w:rsid w:val="00C34C8F"/>
    <w:rsid w:val="00C350DC"/>
    <w:rsid w:val="00C356CB"/>
    <w:rsid w:val="00C356CE"/>
    <w:rsid w:val="00C3588D"/>
    <w:rsid w:val="00C35CC6"/>
    <w:rsid w:val="00C35E4C"/>
    <w:rsid w:val="00C35FEF"/>
    <w:rsid w:val="00C3647F"/>
    <w:rsid w:val="00C364CC"/>
    <w:rsid w:val="00C3677C"/>
    <w:rsid w:val="00C3714A"/>
    <w:rsid w:val="00C37365"/>
    <w:rsid w:val="00C373F4"/>
    <w:rsid w:val="00C3744A"/>
    <w:rsid w:val="00C3753B"/>
    <w:rsid w:val="00C37669"/>
    <w:rsid w:val="00C3769A"/>
    <w:rsid w:val="00C37882"/>
    <w:rsid w:val="00C37BF9"/>
    <w:rsid w:val="00C40642"/>
    <w:rsid w:val="00C40643"/>
    <w:rsid w:val="00C4079C"/>
    <w:rsid w:val="00C40A20"/>
    <w:rsid w:val="00C40B01"/>
    <w:rsid w:val="00C40B68"/>
    <w:rsid w:val="00C41D2B"/>
    <w:rsid w:val="00C41D85"/>
    <w:rsid w:val="00C422FF"/>
    <w:rsid w:val="00C4235B"/>
    <w:rsid w:val="00C42CF8"/>
    <w:rsid w:val="00C43CB2"/>
    <w:rsid w:val="00C43CBD"/>
    <w:rsid w:val="00C43DEE"/>
    <w:rsid w:val="00C4427F"/>
    <w:rsid w:val="00C44329"/>
    <w:rsid w:val="00C44A9B"/>
    <w:rsid w:val="00C44EE0"/>
    <w:rsid w:val="00C45313"/>
    <w:rsid w:val="00C45BAC"/>
    <w:rsid w:val="00C45D9C"/>
    <w:rsid w:val="00C46833"/>
    <w:rsid w:val="00C46949"/>
    <w:rsid w:val="00C46AD9"/>
    <w:rsid w:val="00C46F48"/>
    <w:rsid w:val="00C473FF"/>
    <w:rsid w:val="00C4779C"/>
    <w:rsid w:val="00C47868"/>
    <w:rsid w:val="00C479FE"/>
    <w:rsid w:val="00C47A9D"/>
    <w:rsid w:val="00C47CD8"/>
    <w:rsid w:val="00C47DF5"/>
    <w:rsid w:val="00C50376"/>
    <w:rsid w:val="00C5054A"/>
    <w:rsid w:val="00C51B13"/>
    <w:rsid w:val="00C51B8B"/>
    <w:rsid w:val="00C51DA9"/>
    <w:rsid w:val="00C52B79"/>
    <w:rsid w:val="00C52ED6"/>
    <w:rsid w:val="00C53572"/>
    <w:rsid w:val="00C53887"/>
    <w:rsid w:val="00C5399F"/>
    <w:rsid w:val="00C5418F"/>
    <w:rsid w:val="00C544C6"/>
    <w:rsid w:val="00C54A1C"/>
    <w:rsid w:val="00C54AD5"/>
    <w:rsid w:val="00C55AF0"/>
    <w:rsid w:val="00C56511"/>
    <w:rsid w:val="00C572B1"/>
    <w:rsid w:val="00C57348"/>
    <w:rsid w:val="00C5744E"/>
    <w:rsid w:val="00C574F1"/>
    <w:rsid w:val="00C5780F"/>
    <w:rsid w:val="00C57C3F"/>
    <w:rsid w:val="00C57D99"/>
    <w:rsid w:val="00C57EB6"/>
    <w:rsid w:val="00C60317"/>
    <w:rsid w:val="00C6045D"/>
    <w:rsid w:val="00C60511"/>
    <w:rsid w:val="00C61831"/>
    <w:rsid w:val="00C61C1E"/>
    <w:rsid w:val="00C61CD4"/>
    <w:rsid w:val="00C61D91"/>
    <w:rsid w:val="00C62DD6"/>
    <w:rsid w:val="00C62EE3"/>
    <w:rsid w:val="00C6325C"/>
    <w:rsid w:val="00C63521"/>
    <w:rsid w:val="00C63BFA"/>
    <w:rsid w:val="00C64366"/>
    <w:rsid w:val="00C64822"/>
    <w:rsid w:val="00C64C89"/>
    <w:rsid w:val="00C658FB"/>
    <w:rsid w:val="00C65DA3"/>
    <w:rsid w:val="00C66025"/>
    <w:rsid w:val="00C662AF"/>
    <w:rsid w:val="00C66755"/>
    <w:rsid w:val="00C672B2"/>
    <w:rsid w:val="00C67573"/>
    <w:rsid w:val="00C704D3"/>
    <w:rsid w:val="00C7065A"/>
    <w:rsid w:val="00C708B1"/>
    <w:rsid w:val="00C709A7"/>
    <w:rsid w:val="00C70D02"/>
    <w:rsid w:val="00C70D8D"/>
    <w:rsid w:val="00C71252"/>
    <w:rsid w:val="00C712FB"/>
    <w:rsid w:val="00C71309"/>
    <w:rsid w:val="00C71D62"/>
    <w:rsid w:val="00C720E7"/>
    <w:rsid w:val="00C72132"/>
    <w:rsid w:val="00C72162"/>
    <w:rsid w:val="00C723A7"/>
    <w:rsid w:val="00C7282A"/>
    <w:rsid w:val="00C730DF"/>
    <w:rsid w:val="00C73363"/>
    <w:rsid w:val="00C733B7"/>
    <w:rsid w:val="00C7354C"/>
    <w:rsid w:val="00C7392A"/>
    <w:rsid w:val="00C73FA2"/>
    <w:rsid w:val="00C7407F"/>
    <w:rsid w:val="00C745B5"/>
    <w:rsid w:val="00C746BA"/>
    <w:rsid w:val="00C747E9"/>
    <w:rsid w:val="00C74E9A"/>
    <w:rsid w:val="00C74F72"/>
    <w:rsid w:val="00C7500C"/>
    <w:rsid w:val="00C750C8"/>
    <w:rsid w:val="00C75252"/>
    <w:rsid w:val="00C754AA"/>
    <w:rsid w:val="00C75E94"/>
    <w:rsid w:val="00C760D2"/>
    <w:rsid w:val="00C76751"/>
    <w:rsid w:val="00C7685D"/>
    <w:rsid w:val="00C77595"/>
    <w:rsid w:val="00C77837"/>
    <w:rsid w:val="00C779F1"/>
    <w:rsid w:val="00C77BAF"/>
    <w:rsid w:val="00C77F1D"/>
    <w:rsid w:val="00C80092"/>
    <w:rsid w:val="00C800F0"/>
    <w:rsid w:val="00C806EF"/>
    <w:rsid w:val="00C80860"/>
    <w:rsid w:val="00C81340"/>
    <w:rsid w:val="00C8187A"/>
    <w:rsid w:val="00C81EF2"/>
    <w:rsid w:val="00C824CC"/>
    <w:rsid w:val="00C82744"/>
    <w:rsid w:val="00C82C52"/>
    <w:rsid w:val="00C82C63"/>
    <w:rsid w:val="00C83909"/>
    <w:rsid w:val="00C83BAF"/>
    <w:rsid w:val="00C83E63"/>
    <w:rsid w:val="00C8417C"/>
    <w:rsid w:val="00C84190"/>
    <w:rsid w:val="00C8442C"/>
    <w:rsid w:val="00C849D9"/>
    <w:rsid w:val="00C84C51"/>
    <w:rsid w:val="00C85163"/>
    <w:rsid w:val="00C8561C"/>
    <w:rsid w:val="00C85D7E"/>
    <w:rsid w:val="00C865E5"/>
    <w:rsid w:val="00C866D3"/>
    <w:rsid w:val="00C8671E"/>
    <w:rsid w:val="00C86FDD"/>
    <w:rsid w:val="00C872A5"/>
    <w:rsid w:val="00C87ECB"/>
    <w:rsid w:val="00C901C7"/>
    <w:rsid w:val="00C90245"/>
    <w:rsid w:val="00C902EF"/>
    <w:rsid w:val="00C911BC"/>
    <w:rsid w:val="00C9133E"/>
    <w:rsid w:val="00C91BA2"/>
    <w:rsid w:val="00C91CE3"/>
    <w:rsid w:val="00C92491"/>
    <w:rsid w:val="00C924FF"/>
    <w:rsid w:val="00C925B5"/>
    <w:rsid w:val="00C92638"/>
    <w:rsid w:val="00C92AC2"/>
    <w:rsid w:val="00C92D3A"/>
    <w:rsid w:val="00C931C2"/>
    <w:rsid w:val="00C933E6"/>
    <w:rsid w:val="00C936BA"/>
    <w:rsid w:val="00C93A16"/>
    <w:rsid w:val="00C93C45"/>
    <w:rsid w:val="00C93E9D"/>
    <w:rsid w:val="00C94573"/>
    <w:rsid w:val="00C94C1D"/>
    <w:rsid w:val="00C95D89"/>
    <w:rsid w:val="00C961D8"/>
    <w:rsid w:val="00C96C90"/>
    <w:rsid w:val="00C97297"/>
    <w:rsid w:val="00C977EE"/>
    <w:rsid w:val="00C97BDA"/>
    <w:rsid w:val="00C97EF5"/>
    <w:rsid w:val="00CA0133"/>
    <w:rsid w:val="00CA0300"/>
    <w:rsid w:val="00CA03ED"/>
    <w:rsid w:val="00CA057D"/>
    <w:rsid w:val="00CA08D0"/>
    <w:rsid w:val="00CA0B5A"/>
    <w:rsid w:val="00CA0BC4"/>
    <w:rsid w:val="00CA0EE0"/>
    <w:rsid w:val="00CA1408"/>
    <w:rsid w:val="00CA15BE"/>
    <w:rsid w:val="00CA1E30"/>
    <w:rsid w:val="00CA1F31"/>
    <w:rsid w:val="00CA24E0"/>
    <w:rsid w:val="00CA24F1"/>
    <w:rsid w:val="00CA259D"/>
    <w:rsid w:val="00CA2649"/>
    <w:rsid w:val="00CA266A"/>
    <w:rsid w:val="00CA26CE"/>
    <w:rsid w:val="00CA26D0"/>
    <w:rsid w:val="00CA2CCE"/>
    <w:rsid w:val="00CA31B1"/>
    <w:rsid w:val="00CA359C"/>
    <w:rsid w:val="00CA3808"/>
    <w:rsid w:val="00CA3900"/>
    <w:rsid w:val="00CA39FA"/>
    <w:rsid w:val="00CA3A5C"/>
    <w:rsid w:val="00CA3B40"/>
    <w:rsid w:val="00CA3B87"/>
    <w:rsid w:val="00CA47CF"/>
    <w:rsid w:val="00CA4DCE"/>
    <w:rsid w:val="00CA4EDB"/>
    <w:rsid w:val="00CA52A8"/>
    <w:rsid w:val="00CA5469"/>
    <w:rsid w:val="00CA587E"/>
    <w:rsid w:val="00CA5B57"/>
    <w:rsid w:val="00CA5E0B"/>
    <w:rsid w:val="00CA5E52"/>
    <w:rsid w:val="00CA65B3"/>
    <w:rsid w:val="00CA6C24"/>
    <w:rsid w:val="00CA7696"/>
    <w:rsid w:val="00CA777D"/>
    <w:rsid w:val="00CA79B5"/>
    <w:rsid w:val="00CA7DCE"/>
    <w:rsid w:val="00CA7F67"/>
    <w:rsid w:val="00CB0ADE"/>
    <w:rsid w:val="00CB0CF4"/>
    <w:rsid w:val="00CB13CD"/>
    <w:rsid w:val="00CB1667"/>
    <w:rsid w:val="00CB24D7"/>
    <w:rsid w:val="00CB2848"/>
    <w:rsid w:val="00CB2A3A"/>
    <w:rsid w:val="00CB32D7"/>
    <w:rsid w:val="00CB3755"/>
    <w:rsid w:val="00CB37E9"/>
    <w:rsid w:val="00CB3A52"/>
    <w:rsid w:val="00CB3BD8"/>
    <w:rsid w:val="00CB3C4D"/>
    <w:rsid w:val="00CB3C93"/>
    <w:rsid w:val="00CB4238"/>
    <w:rsid w:val="00CB4A8A"/>
    <w:rsid w:val="00CB55A5"/>
    <w:rsid w:val="00CB5620"/>
    <w:rsid w:val="00CB577C"/>
    <w:rsid w:val="00CB5B1C"/>
    <w:rsid w:val="00CB5CEF"/>
    <w:rsid w:val="00CB61EC"/>
    <w:rsid w:val="00CB620C"/>
    <w:rsid w:val="00CB628F"/>
    <w:rsid w:val="00CB635E"/>
    <w:rsid w:val="00CB77E4"/>
    <w:rsid w:val="00CB7B1E"/>
    <w:rsid w:val="00CB7FB0"/>
    <w:rsid w:val="00CC0170"/>
    <w:rsid w:val="00CC02A2"/>
    <w:rsid w:val="00CC0591"/>
    <w:rsid w:val="00CC079E"/>
    <w:rsid w:val="00CC102E"/>
    <w:rsid w:val="00CC146D"/>
    <w:rsid w:val="00CC1F82"/>
    <w:rsid w:val="00CC244B"/>
    <w:rsid w:val="00CC25D2"/>
    <w:rsid w:val="00CC3103"/>
    <w:rsid w:val="00CC3104"/>
    <w:rsid w:val="00CC3875"/>
    <w:rsid w:val="00CC4A15"/>
    <w:rsid w:val="00CC5656"/>
    <w:rsid w:val="00CC58A6"/>
    <w:rsid w:val="00CC5910"/>
    <w:rsid w:val="00CC5B98"/>
    <w:rsid w:val="00CC64B7"/>
    <w:rsid w:val="00CC650F"/>
    <w:rsid w:val="00CC71AD"/>
    <w:rsid w:val="00CC7269"/>
    <w:rsid w:val="00CC72E1"/>
    <w:rsid w:val="00CC72ED"/>
    <w:rsid w:val="00CC7371"/>
    <w:rsid w:val="00CC7513"/>
    <w:rsid w:val="00CC75A2"/>
    <w:rsid w:val="00CC76FC"/>
    <w:rsid w:val="00CC7D8F"/>
    <w:rsid w:val="00CD06F1"/>
    <w:rsid w:val="00CD0C3C"/>
    <w:rsid w:val="00CD0D27"/>
    <w:rsid w:val="00CD0F15"/>
    <w:rsid w:val="00CD11FF"/>
    <w:rsid w:val="00CD14AD"/>
    <w:rsid w:val="00CD172D"/>
    <w:rsid w:val="00CD1D8B"/>
    <w:rsid w:val="00CD1F20"/>
    <w:rsid w:val="00CD204D"/>
    <w:rsid w:val="00CD246D"/>
    <w:rsid w:val="00CD26BC"/>
    <w:rsid w:val="00CD2D2C"/>
    <w:rsid w:val="00CD2E4E"/>
    <w:rsid w:val="00CD3682"/>
    <w:rsid w:val="00CD3A4F"/>
    <w:rsid w:val="00CD3E74"/>
    <w:rsid w:val="00CD4BDE"/>
    <w:rsid w:val="00CD4CD0"/>
    <w:rsid w:val="00CD4EF6"/>
    <w:rsid w:val="00CD5311"/>
    <w:rsid w:val="00CD5576"/>
    <w:rsid w:val="00CD568A"/>
    <w:rsid w:val="00CD5868"/>
    <w:rsid w:val="00CD5B17"/>
    <w:rsid w:val="00CD5F94"/>
    <w:rsid w:val="00CD5FE3"/>
    <w:rsid w:val="00CD611F"/>
    <w:rsid w:val="00CD629E"/>
    <w:rsid w:val="00CD68D6"/>
    <w:rsid w:val="00CD786C"/>
    <w:rsid w:val="00CD7AB8"/>
    <w:rsid w:val="00CD7B44"/>
    <w:rsid w:val="00CD7CF3"/>
    <w:rsid w:val="00CD7D94"/>
    <w:rsid w:val="00CD7E4C"/>
    <w:rsid w:val="00CE02D0"/>
    <w:rsid w:val="00CE0370"/>
    <w:rsid w:val="00CE0455"/>
    <w:rsid w:val="00CE0A70"/>
    <w:rsid w:val="00CE13C3"/>
    <w:rsid w:val="00CE1553"/>
    <w:rsid w:val="00CE16B2"/>
    <w:rsid w:val="00CE17A8"/>
    <w:rsid w:val="00CE17AC"/>
    <w:rsid w:val="00CE184E"/>
    <w:rsid w:val="00CE1B3E"/>
    <w:rsid w:val="00CE1F5D"/>
    <w:rsid w:val="00CE2F5C"/>
    <w:rsid w:val="00CE3AD8"/>
    <w:rsid w:val="00CE3EE6"/>
    <w:rsid w:val="00CE3F28"/>
    <w:rsid w:val="00CE5886"/>
    <w:rsid w:val="00CE58D0"/>
    <w:rsid w:val="00CE6079"/>
    <w:rsid w:val="00CE6454"/>
    <w:rsid w:val="00CE654C"/>
    <w:rsid w:val="00CE6ABD"/>
    <w:rsid w:val="00CE6C2F"/>
    <w:rsid w:val="00CE6CD4"/>
    <w:rsid w:val="00CE6EF1"/>
    <w:rsid w:val="00CE7198"/>
    <w:rsid w:val="00CE72B1"/>
    <w:rsid w:val="00CE7B6D"/>
    <w:rsid w:val="00CE7D48"/>
    <w:rsid w:val="00CE7F05"/>
    <w:rsid w:val="00CF01B4"/>
    <w:rsid w:val="00CF0441"/>
    <w:rsid w:val="00CF08C3"/>
    <w:rsid w:val="00CF0979"/>
    <w:rsid w:val="00CF0F2C"/>
    <w:rsid w:val="00CF10B6"/>
    <w:rsid w:val="00CF1F32"/>
    <w:rsid w:val="00CF1FDD"/>
    <w:rsid w:val="00CF202A"/>
    <w:rsid w:val="00CF28D9"/>
    <w:rsid w:val="00CF2A9E"/>
    <w:rsid w:val="00CF35DF"/>
    <w:rsid w:val="00CF46D2"/>
    <w:rsid w:val="00CF54EC"/>
    <w:rsid w:val="00CF59C4"/>
    <w:rsid w:val="00CF635A"/>
    <w:rsid w:val="00CF662C"/>
    <w:rsid w:val="00CF6AEE"/>
    <w:rsid w:val="00CF74ED"/>
    <w:rsid w:val="00CF77CE"/>
    <w:rsid w:val="00D000D9"/>
    <w:rsid w:val="00D0014F"/>
    <w:rsid w:val="00D00455"/>
    <w:rsid w:val="00D00589"/>
    <w:rsid w:val="00D006DA"/>
    <w:rsid w:val="00D00F2F"/>
    <w:rsid w:val="00D01107"/>
    <w:rsid w:val="00D01121"/>
    <w:rsid w:val="00D01136"/>
    <w:rsid w:val="00D01183"/>
    <w:rsid w:val="00D014DE"/>
    <w:rsid w:val="00D016B0"/>
    <w:rsid w:val="00D018BA"/>
    <w:rsid w:val="00D0204C"/>
    <w:rsid w:val="00D02443"/>
    <w:rsid w:val="00D02887"/>
    <w:rsid w:val="00D0296A"/>
    <w:rsid w:val="00D02A68"/>
    <w:rsid w:val="00D02AE1"/>
    <w:rsid w:val="00D02DBA"/>
    <w:rsid w:val="00D02DE0"/>
    <w:rsid w:val="00D02E30"/>
    <w:rsid w:val="00D03018"/>
    <w:rsid w:val="00D031BB"/>
    <w:rsid w:val="00D03210"/>
    <w:rsid w:val="00D03AA0"/>
    <w:rsid w:val="00D03B13"/>
    <w:rsid w:val="00D0407F"/>
    <w:rsid w:val="00D040B2"/>
    <w:rsid w:val="00D04109"/>
    <w:rsid w:val="00D044C6"/>
    <w:rsid w:val="00D05640"/>
    <w:rsid w:val="00D0577C"/>
    <w:rsid w:val="00D05FA0"/>
    <w:rsid w:val="00D06247"/>
    <w:rsid w:val="00D06787"/>
    <w:rsid w:val="00D06BA2"/>
    <w:rsid w:val="00D06BAE"/>
    <w:rsid w:val="00D06CA0"/>
    <w:rsid w:val="00D06D8D"/>
    <w:rsid w:val="00D07514"/>
    <w:rsid w:val="00D07629"/>
    <w:rsid w:val="00D07A26"/>
    <w:rsid w:val="00D07A33"/>
    <w:rsid w:val="00D1025E"/>
    <w:rsid w:val="00D10A02"/>
    <w:rsid w:val="00D10BDA"/>
    <w:rsid w:val="00D10D82"/>
    <w:rsid w:val="00D110A0"/>
    <w:rsid w:val="00D11FA5"/>
    <w:rsid w:val="00D122BD"/>
    <w:rsid w:val="00D122DD"/>
    <w:rsid w:val="00D124E9"/>
    <w:rsid w:val="00D12C4F"/>
    <w:rsid w:val="00D12E4C"/>
    <w:rsid w:val="00D13125"/>
    <w:rsid w:val="00D133B6"/>
    <w:rsid w:val="00D141D3"/>
    <w:rsid w:val="00D142AB"/>
    <w:rsid w:val="00D14302"/>
    <w:rsid w:val="00D14509"/>
    <w:rsid w:val="00D14648"/>
    <w:rsid w:val="00D15403"/>
    <w:rsid w:val="00D15940"/>
    <w:rsid w:val="00D15BBC"/>
    <w:rsid w:val="00D160D9"/>
    <w:rsid w:val="00D16737"/>
    <w:rsid w:val="00D174EC"/>
    <w:rsid w:val="00D17724"/>
    <w:rsid w:val="00D177CB"/>
    <w:rsid w:val="00D17977"/>
    <w:rsid w:val="00D17EAB"/>
    <w:rsid w:val="00D17EC0"/>
    <w:rsid w:val="00D202C4"/>
    <w:rsid w:val="00D2127D"/>
    <w:rsid w:val="00D215FF"/>
    <w:rsid w:val="00D218BE"/>
    <w:rsid w:val="00D2199A"/>
    <w:rsid w:val="00D219F2"/>
    <w:rsid w:val="00D21E6C"/>
    <w:rsid w:val="00D2212B"/>
    <w:rsid w:val="00D221C9"/>
    <w:rsid w:val="00D2264C"/>
    <w:rsid w:val="00D2278B"/>
    <w:rsid w:val="00D22966"/>
    <w:rsid w:val="00D22B3B"/>
    <w:rsid w:val="00D22C1C"/>
    <w:rsid w:val="00D22C1D"/>
    <w:rsid w:val="00D234A4"/>
    <w:rsid w:val="00D239D4"/>
    <w:rsid w:val="00D246B9"/>
    <w:rsid w:val="00D247E7"/>
    <w:rsid w:val="00D2487A"/>
    <w:rsid w:val="00D249EE"/>
    <w:rsid w:val="00D24D17"/>
    <w:rsid w:val="00D256EC"/>
    <w:rsid w:val="00D25908"/>
    <w:rsid w:val="00D25945"/>
    <w:rsid w:val="00D25CD3"/>
    <w:rsid w:val="00D2696C"/>
    <w:rsid w:val="00D26D3A"/>
    <w:rsid w:val="00D26F16"/>
    <w:rsid w:val="00D278C3"/>
    <w:rsid w:val="00D27B61"/>
    <w:rsid w:val="00D3002F"/>
    <w:rsid w:val="00D302B3"/>
    <w:rsid w:val="00D306A8"/>
    <w:rsid w:val="00D30E8D"/>
    <w:rsid w:val="00D31082"/>
    <w:rsid w:val="00D3121E"/>
    <w:rsid w:val="00D31785"/>
    <w:rsid w:val="00D31E65"/>
    <w:rsid w:val="00D32194"/>
    <w:rsid w:val="00D32580"/>
    <w:rsid w:val="00D32735"/>
    <w:rsid w:val="00D33159"/>
    <w:rsid w:val="00D33B36"/>
    <w:rsid w:val="00D344B4"/>
    <w:rsid w:val="00D3474E"/>
    <w:rsid w:val="00D34C6E"/>
    <w:rsid w:val="00D35655"/>
    <w:rsid w:val="00D3566D"/>
    <w:rsid w:val="00D3574D"/>
    <w:rsid w:val="00D35EE4"/>
    <w:rsid w:val="00D35F70"/>
    <w:rsid w:val="00D36060"/>
    <w:rsid w:val="00D362C1"/>
    <w:rsid w:val="00D37752"/>
    <w:rsid w:val="00D379A4"/>
    <w:rsid w:val="00D37CC9"/>
    <w:rsid w:val="00D37CCB"/>
    <w:rsid w:val="00D37D4E"/>
    <w:rsid w:val="00D40224"/>
    <w:rsid w:val="00D40667"/>
    <w:rsid w:val="00D406FB"/>
    <w:rsid w:val="00D40CAF"/>
    <w:rsid w:val="00D40DA4"/>
    <w:rsid w:val="00D4196A"/>
    <w:rsid w:val="00D4204C"/>
    <w:rsid w:val="00D4285B"/>
    <w:rsid w:val="00D4286A"/>
    <w:rsid w:val="00D42974"/>
    <w:rsid w:val="00D42ADF"/>
    <w:rsid w:val="00D42BF7"/>
    <w:rsid w:val="00D42C94"/>
    <w:rsid w:val="00D4323D"/>
    <w:rsid w:val="00D4353B"/>
    <w:rsid w:val="00D43799"/>
    <w:rsid w:val="00D43E24"/>
    <w:rsid w:val="00D44157"/>
    <w:rsid w:val="00D4446A"/>
    <w:rsid w:val="00D44929"/>
    <w:rsid w:val="00D44FA3"/>
    <w:rsid w:val="00D454EA"/>
    <w:rsid w:val="00D45DDF"/>
    <w:rsid w:val="00D46823"/>
    <w:rsid w:val="00D470A3"/>
    <w:rsid w:val="00D47196"/>
    <w:rsid w:val="00D475D9"/>
    <w:rsid w:val="00D47611"/>
    <w:rsid w:val="00D477ED"/>
    <w:rsid w:val="00D47903"/>
    <w:rsid w:val="00D479A0"/>
    <w:rsid w:val="00D50167"/>
    <w:rsid w:val="00D501DB"/>
    <w:rsid w:val="00D506EC"/>
    <w:rsid w:val="00D5070A"/>
    <w:rsid w:val="00D5083A"/>
    <w:rsid w:val="00D50BEA"/>
    <w:rsid w:val="00D50DFD"/>
    <w:rsid w:val="00D50E4B"/>
    <w:rsid w:val="00D50F45"/>
    <w:rsid w:val="00D5127F"/>
    <w:rsid w:val="00D5146E"/>
    <w:rsid w:val="00D51571"/>
    <w:rsid w:val="00D5158C"/>
    <w:rsid w:val="00D51B22"/>
    <w:rsid w:val="00D51CFC"/>
    <w:rsid w:val="00D520B3"/>
    <w:rsid w:val="00D520E5"/>
    <w:rsid w:val="00D52299"/>
    <w:rsid w:val="00D52353"/>
    <w:rsid w:val="00D523BD"/>
    <w:rsid w:val="00D523D8"/>
    <w:rsid w:val="00D5273B"/>
    <w:rsid w:val="00D528DD"/>
    <w:rsid w:val="00D52A6B"/>
    <w:rsid w:val="00D536CB"/>
    <w:rsid w:val="00D53C3C"/>
    <w:rsid w:val="00D53EC9"/>
    <w:rsid w:val="00D54103"/>
    <w:rsid w:val="00D54F70"/>
    <w:rsid w:val="00D55043"/>
    <w:rsid w:val="00D55065"/>
    <w:rsid w:val="00D555CB"/>
    <w:rsid w:val="00D55822"/>
    <w:rsid w:val="00D564D8"/>
    <w:rsid w:val="00D5661A"/>
    <w:rsid w:val="00D56A55"/>
    <w:rsid w:val="00D57363"/>
    <w:rsid w:val="00D574E4"/>
    <w:rsid w:val="00D575F5"/>
    <w:rsid w:val="00D60154"/>
    <w:rsid w:val="00D60652"/>
    <w:rsid w:val="00D60867"/>
    <w:rsid w:val="00D60956"/>
    <w:rsid w:val="00D61274"/>
    <w:rsid w:val="00D615CD"/>
    <w:rsid w:val="00D62488"/>
    <w:rsid w:val="00D62580"/>
    <w:rsid w:val="00D626A1"/>
    <w:rsid w:val="00D62A07"/>
    <w:rsid w:val="00D631F8"/>
    <w:rsid w:val="00D63998"/>
    <w:rsid w:val="00D6399B"/>
    <w:rsid w:val="00D63E5E"/>
    <w:rsid w:val="00D64071"/>
    <w:rsid w:val="00D6418A"/>
    <w:rsid w:val="00D6441A"/>
    <w:rsid w:val="00D64E76"/>
    <w:rsid w:val="00D6513C"/>
    <w:rsid w:val="00D65801"/>
    <w:rsid w:val="00D65D0D"/>
    <w:rsid w:val="00D6609A"/>
    <w:rsid w:val="00D667B1"/>
    <w:rsid w:val="00D66856"/>
    <w:rsid w:val="00D669D1"/>
    <w:rsid w:val="00D66CCB"/>
    <w:rsid w:val="00D6725B"/>
    <w:rsid w:val="00D67571"/>
    <w:rsid w:val="00D67770"/>
    <w:rsid w:val="00D705A0"/>
    <w:rsid w:val="00D70ABB"/>
    <w:rsid w:val="00D7120B"/>
    <w:rsid w:val="00D71587"/>
    <w:rsid w:val="00D71727"/>
    <w:rsid w:val="00D71C15"/>
    <w:rsid w:val="00D71F2B"/>
    <w:rsid w:val="00D7243C"/>
    <w:rsid w:val="00D72856"/>
    <w:rsid w:val="00D730B3"/>
    <w:rsid w:val="00D730C1"/>
    <w:rsid w:val="00D73829"/>
    <w:rsid w:val="00D738AF"/>
    <w:rsid w:val="00D738CD"/>
    <w:rsid w:val="00D73B3E"/>
    <w:rsid w:val="00D74198"/>
    <w:rsid w:val="00D741C0"/>
    <w:rsid w:val="00D7471D"/>
    <w:rsid w:val="00D74B1C"/>
    <w:rsid w:val="00D74B21"/>
    <w:rsid w:val="00D7532E"/>
    <w:rsid w:val="00D75B37"/>
    <w:rsid w:val="00D75B45"/>
    <w:rsid w:val="00D76165"/>
    <w:rsid w:val="00D7641B"/>
    <w:rsid w:val="00D7694D"/>
    <w:rsid w:val="00D76B23"/>
    <w:rsid w:val="00D76DA4"/>
    <w:rsid w:val="00D76FA6"/>
    <w:rsid w:val="00D771C0"/>
    <w:rsid w:val="00D77909"/>
    <w:rsid w:val="00D801A2"/>
    <w:rsid w:val="00D801F6"/>
    <w:rsid w:val="00D8078F"/>
    <w:rsid w:val="00D807EF"/>
    <w:rsid w:val="00D80C72"/>
    <w:rsid w:val="00D813B8"/>
    <w:rsid w:val="00D81706"/>
    <w:rsid w:val="00D81918"/>
    <w:rsid w:val="00D81C82"/>
    <w:rsid w:val="00D81CE6"/>
    <w:rsid w:val="00D824F3"/>
    <w:rsid w:val="00D82D08"/>
    <w:rsid w:val="00D82D77"/>
    <w:rsid w:val="00D847C7"/>
    <w:rsid w:val="00D848DD"/>
    <w:rsid w:val="00D852B5"/>
    <w:rsid w:val="00D857ED"/>
    <w:rsid w:val="00D85D67"/>
    <w:rsid w:val="00D8616B"/>
    <w:rsid w:val="00D872E3"/>
    <w:rsid w:val="00D87334"/>
    <w:rsid w:val="00D87481"/>
    <w:rsid w:val="00D87A2C"/>
    <w:rsid w:val="00D87A6A"/>
    <w:rsid w:val="00D87E45"/>
    <w:rsid w:val="00D90220"/>
    <w:rsid w:val="00D9029E"/>
    <w:rsid w:val="00D902E9"/>
    <w:rsid w:val="00D91A18"/>
    <w:rsid w:val="00D921F3"/>
    <w:rsid w:val="00D92B1F"/>
    <w:rsid w:val="00D9396D"/>
    <w:rsid w:val="00D93BF2"/>
    <w:rsid w:val="00D93F3B"/>
    <w:rsid w:val="00D940CB"/>
    <w:rsid w:val="00D941B4"/>
    <w:rsid w:val="00D9494A"/>
    <w:rsid w:val="00D94B36"/>
    <w:rsid w:val="00D94D3D"/>
    <w:rsid w:val="00D94F15"/>
    <w:rsid w:val="00D94F35"/>
    <w:rsid w:val="00D950F5"/>
    <w:rsid w:val="00D955DE"/>
    <w:rsid w:val="00D95A4D"/>
    <w:rsid w:val="00D9654B"/>
    <w:rsid w:val="00D965BA"/>
    <w:rsid w:val="00D9662F"/>
    <w:rsid w:val="00D966CB"/>
    <w:rsid w:val="00D9684E"/>
    <w:rsid w:val="00D968A2"/>
    <w:rsid w:val="00D96BA4"/>
    <w:rsid w:val="00D96D11"/>
    <w:rsid w:val="00D96E14"/>
    <w:rsid w:val="00D9741C"/>
    <w:rsid w:val="00D974BC"/>
    <w:rsid w:val="00D97504"/>
    <w:rsid w:val="00D97815"/>
    <w:rsid w:val="00D97907"/>
    <w:rsid w:val="00DA0ABF"/>
    <w:rsid w:val="00DA0CB6"/>
    <w:rsid w:val="00DA11FF"/>
    <w:rsid w:val="00DA12EB"/>
    <w:rsid w:val="00DA15E7"/>
    <w:rsid w:val="00DA1F1B"/>
    <w:rsid w:val="00DA1F7D"/>
    <w:rsid w:val="00DA1FBF"/>
    <w:rsid w:val="00DA2161"/>
    <w:rsid w:val="00DA2640"/>
    <w:rsid w:val="00DA29B2"/>
    <w:rsid w:val="00DA2B25"/>
    <w:rsid w:val="00DA3094"/>
    <w:rsid w:val="00DA30F1"/>
    <w:rsid w:val="00DA3384"/>
    <w:rsid w:val="00DA383C"/>
    <w:rsid w:val="00DA44E3"/>
    <w:rsid w:val="00DA477C"/>
    <w:rsid w:val="00DA4907"/>
    <w:rsid w:val="00DA49E8"/>
    <w:rsid w:val="00DA4E42"/>
    <w:rsid w:val="00DA5204"/>
    <w:rsid w:val="00DA5313"/>
    <w:rsid w:val="00DA5488"/>
    <w:rsid w:val="00DA563C"/>
    <w:rsid w:val="00DA58E4"/>
    <w:rsid w:val="00DA59E1"/>
    <w:rsid w:val="00DA5E29"/>
    <w:rsid w:val="00DA68A0"/>
    <w:rsid w:val="00DA69A5"/>
    <w:rsid w:val="00DA6AB8"/>
    <w:rsid w:val="00DA6DC8"/>
    <w:rsid w:val="00DA6DDF"/>
    <w:rsid w:val="00DA70A9"/>
    <w:rsid w:val="00DA7968"/>
    <w:rsid w:val="00DA7A6C"/>
    <w:rsid w:val="00DA7A87"/>
    <w:rsid w:val="00DA7DB9"/>
    <w:rsid w:val="00DB00F3"/>
    <w:rsid w:val="00DB017B"/>
    <w:rsid w:val="00DB0290"/>
    <w:rsid w:val="00DB052B"/>
    <w:rsid w:val="00DB0726"/>
    <w:rsid w:val="00DB0834"/>
    <w:rsid w:val="00DB0D73"/>
    <w:rsid w:val="00DB0F8F"/>
    <w:rsid w:val="00DB187C"/>
    <w:rsid w:val="00DB1A26"/>
    <w:rsid w:val="00DB1C9C"/>
    <w:rsid w:val="00DB25D3"/>
    <w:rsid w:val="00DB2601"/>
    <w:rsid w:val="00DB332D"/>
    <w:rsid w:val="00DB34BF"/>
    <w:rsid w:val="00DB3E07"/>
    <w:rsid w:val="00DB3FB7"/>
    <w:rsid w:val="00DB4664"/>
    <w:rsid w:val="00DB4841"/>
    <w:rsid w:val="00DB4FC9"/>
    <w:rsid w:val="00DB51AD"/>
    <w:rsid w:val="00DB5839"/>
    <w:rsid w:val="00DB5FDC"/>
    <w:rsid w:val="00DB6353"/>
    <w:rsid w:val="00DB7C26"/>
    <w:rsid w:val="00DB7DA7"/>
    <w:rsid w:val="00DC039D"/>
    <w:rsid w:val="00DC0DB9"/>
    <w:rsid w:val="00DC0FE1"/>
    <w:rsid w:val="00DC10A2"/>
    <w:rsid w:val="00DC13DC"/>
    <w:rsid w:val="00DC2108"/>
    <w:rsid w:val="00DC22C3"/>
    <w:rsid w:val="00DC22EA"/>
    <w:rsid w:val="00DC26EF"/>
    <w:rsid w:val="00DC2979"/>
    <w:rsid w:val="00DC2A21"/>
    <w:rsid w:val="00DC2A81"/>
    <w:rsid w:val="00DC2ABB"/>
    <w:rsid w:val="00DC2B47"/>
    <w:rsid w:val="00DC31DC"/>
    <w:rsid w:val="00DC3201"/>
    <w:rsid w:val="00DC3856"/>
    <w:rsid w:val="00DC3FA3"/>
    <w:rsid w:val="00DC435E"/>
    <w:rsid w:val="00DC523A"/>
    <w:rsid w:val="00DC532B"/>
    <w:rsid w:val="00DC5376"/>
    <w:rsid w:val="00DC54D2"/>
    <w:rsid w:val="00DC5C5F"/>
    <w:rsid w:val="00DC5FBD"/>
    <w:rsid w:val="00DC60D0"/>
    <w:rsid w:val="00DC6113"/>
    <w:rsid w:val="00DC6663"/>
    <w:rsid w:val="00DC667F"/>
    <w:rsid w:val="00DC676F"/>
    <w:rsid w:val="00DC67E7"/>
    <w:rsid w:val="00DC67EB"/>
    <w:rsid w:val="00DC6964"/>
    <w:rsid w:val="00DC7334"/>
    <w:rsid w:val="00DC7AA3"/>
    <w:rsid w:val="00DC7AFF"/>
    <w:rsid w:val="00DC7B32"/>
    <w:rsid w:val="00DC7E0B"/>
    <w:rsid w:val="00DD0020"/>
    <w:rsid w:val="00DD009F"/>
    <w:rsid w:val="00DD01AC"/>
    <w:rsid w:val="00DD05E9"/>
    <w:rsid w:val="00DD0BD6"/>
    <w:rsid w:val="00DD14C9"/>
    <w:rsid w:val="00DD1543"/>
    <w:rsid w:val="00DD1818"/>
    <w:rsid w:val="00DD2782"/>
    <w:rsid w:val="00DD2799"/>
    <w:rsid w:val="00DD2FDB"/>
    <w:rsid w:val="00DD3158"/>
    <w:rsid w:val="00DD31D3"/>
    <w:rsid w:val="00DD3309"/>
    <w:rsid w:val="00DD3AD0"/>
    <w:rsid w:val="00DD4063"/>
    <w:rsid w:val="00DD4917"/>
    <w:rsid w:val="00DD4A38"/>
    <w:rsid w:val="00DD4AAD"/>
    <w:rsid w:val="00DD4EEC"/>
    <w:rsid w:val="00DD4FD8"/>
    <w:rsid w:val="00DD51F6"/>
    <w:rsid w:val="00DD5237"/>
    <w:rsid w:val="00DD5613"/>
    <w:rsid w:val="00DD5863"/>
    <w:rsid w:val="00DD59BD"/>
    <w:rsid w:val="00DD5A49"/>
    <w:rsid w:val="00DD5EC9"/>
    <w:rsid w:val="00DD5F08"/>
    <w:rsid w:val="00DD6499"/>
    <w:rsid w:val="00DD6825"/>
    <w:rsid w:val="00DD69C4"/>
    <w:rsid w:val="00DD6B64"/>
    <w:rsid w:val="00DD6DEE"/>
    <w:rsid w:val="00DD72E7"/>
    <w:rsid w:val="00DD759D"/>
    <w:rsid w:val="00DE0EB5"/>
    <w:rsid w:val="00DE15DC"/>
    <w:rsid w:val="00DE1626"/>
    <w:rsid w:val="00DE1BF7"/>
    <w:rsid w:val="00DE1EA6"/>
    <w:rsid w:val="00DE21B9"/>
    <w:rsid w:val="00DE22DE"/>
    <w:rsid w:val="00DE244F"/>
    <w:rsid w:val="00DE2A46"/>
    <w:rsid w:val="00DE33DB"/>
    <w:rsid w:val="00DE35E5"/>
    <w:rsid w:val="00DE3954"/>
    <w:rsid w:val="00DE3EAB"/>
    <w:rsid w:val="00DE415A"/>
    <w:rsid w:val="00DE48D9"/>
    <w:rsid w:val="00DE490E"/>
    <w:rsid w:val="00DE541A"/>
    <w:rsid w:val="00DE5F43"/>
    <w:rsid w:val="00DE63BD"/>
    <w:rsid w:val="00DE6763"/>
    <w:rsid w:val="00DE6856"/>
    <w:rsid w:val="00DE6961"/>
    <w:rsid w:val="00DE6999"/>
    <w:rsid w:val="00DE6B19"/>
    <w:rsid w:val="00DE6C7E"/>
    <w:rsid w:val="00DE70F1"/>
    <w:rsid w:val="00DE70FF"/>
    <w:rsid w:val="00DE73AB"/>
    <w:rsid w:val="00DE73EB"/>
    <w:rsid w:val="00DE73F3"/>
    <w:rsid w:val="00DE7440"/>
    <w:rsid w:val="00DE7993"/>
    <w:rsid w:val="00DE7D02"/>
    <w:rsid w:val="00DE7D66"/>
    <w:rsid w:val="00DF0039"/>
    <w:rsid w:val="00DF005B"/>
    <w:rsid w:val="00DF065A"/>
    <w:rsid w:val="00DF0981"/>
    <w:rsid w:val="00DF0B70"/>
    <w:rsid w:val="00DF12A4"/>
    <w:rsid w:val="00DF1D2C"/>
    <w:rsid w:val="00DF1FEC"/>
    <w:rsid w:val="00DF2398"/>
    <w:rsid w:val="00DF2CA2"/>
    <w:rsid w:val="00DF3153"/>
    <w:rsid w:val="00DF3435"/>
    <w:rsid w:val="00DF443B"/>
    <w:rsid w:val="00DF4F0A"/>
    <w:rsid w:val="00DF50B4"/>
    <w:rsid w:val="00DF52B0"/>
    <w:rsid w:val="00DF615F"/>
    <w:rsid w:val="00DF6304"/>
    <w:rsid w:val="00DF65A3"/>
    <w:rsid w:val="00DF65BD"/>
    <w:rsid w:val="00DF6911"/>
    <w:rsid w:val="00DF696E"/>
    <w:rsid w:val="00DF6C1F"/>
    <w:rsid w:val="00DF6CA0"/>
    <w:rsid w:val="00DF7188"/>
    <w:rsid w:val="00DF7F8C"/>
    <w:rsid w:val="00E004F9"/>
    <w:rsid w:val="00E00810"/>
    <w:rsid w:val="00E00B91"/>
    <w:rsid w:val="00E00E8E"/>
    <w:rsid w:val="00E010E0"/>
    <w:rsid w:val="00E014CF"/>
    <w:rsid w:val="00E021F6"/>
    <w:rsid w:val="00E02310"/>
    <w:rsid w:val="00E03EC6"/>
    <w:rsid w:val="00E04397"/>
    <w:rsid w:val="00E04463"/>
    <w:rsid w:val="00E046FE"/>
    <w:rsid w:val="00E048ED"/>
    <w:rsid w:val="00E04C83"/>
    <w:rsid w:val="00E0521D"/>
    <w:rsid w:val="00E05602"/>
    <w:rsid w:val="00E059BA"/>
    <w:rsid w:val="00E05CEF"/>
    <w:rsid w:val="00E05E0A"/>
    <w:rsid w:val="00E0613F"/>
    <w:rsid w:val="00E065FF"/>
    <w:rsid w:val="00E066DD"/>
    <w:rsid w:val="00E06965"/>
    <w:rsid w:val="00E06AA4"/>
    <w:rsid w:val="00E06D33"/>
    <w:rsid w:val="00E0716A"/>
    <w:rsid w:val="00E076DE"/>
    <w:rsid w:val="00E079B8"/>
    <w:rsid w:val="00E07DE6"/>
    <w:rsid w:val="00E10B81"/>
    <w:rsid w:val="00E10D3D"/>
    <w:rsid w:val="00E11321"/>
    <w:rsid w:val="00E11B3C"/>
    <w:rsid w:val="00E11BA8"/>
    <w:rsid w:val="00E1247F"/>
    <w:rsid w:val="00E124E7"/>
    <w:rsid w:val="00E125AA"/>
    <w:rsid w:val="00E12645"/>
    <w:rsid w:val="00E12A72"/>
    <w:rsid w:val="00E12A73"/>
    <w:rsid w:val="00E12B70"/>
    <w:rsid w:val="00E13256"/>
    <w:rsid w:val="00E136FD"/>
    <w:rsid w:val="00E13731"/>
    <w:rsid w:val="00E13E10"/>
    <w:rsid w:val="00E13ED2"/>
    <w:rsid w:val="00E145FC"/>
    <w:rsid w:val="00E14FD9"/>
    <w:rsid w:val="00E155A7"/>
    <w:rsid w:val="00E156F6"/>
    <w:rsid w:val="00E1589A"/>
    <w:rsid w:val="00E15CB6"/>
    <w:rsid w:val="00E15FD0"/>
    <w:rsid w:val="00E16750"/>
    <w:rsid w:val="00E16ED3"/>
    <w:rsid w:val="00E1730E"/>
    <w:rsid w:val="00E17859"/>
    <w:rsid w:val="00E17B3D"/>
    <w:rsid w:val="00E17C1A"/>
    <w:rsid w:val="00E17E48"/>
    <w:rsid w:val="00E17FF4"/>
    <w:rsid w:val="00E202F1"/>
    <w:rsid w:val="00E20337"/>
    <w:rsid w:val="00E203A1"/>
    <w:rsid w:val="00E20589"/>
    <w:rsid w:val="00E2065A"/>
    <w:rsid w:val="00E20AF5"/>
    <w:rsid w:val="00E211CB"/>
    <w:rsid w:val="00E2129D"/>
    <w:rsid w:val="00E21352"/>
    <w:rsid w:val="00E2140F"/>
    <w:rsid w:val="00E2142D"/>
    <w:rsid w:val="00E2171B"/>
    <w:rsid w:val="00E21EE4"/>
    <w:rsid w:val="00E22352"/>
    <w:rsid w:val="00E22A22"/>
    <w:rsid w:val="00E22BFA"/>
    <w:rsid w:val="00E23037"/>
    <w:rsid w:val="00E230F1"/>
    <w:rsid w:val="00E233F7"/>
    <w:rsid w:val="00E2365B"/>
    <w:rsid w:val="00E23E45"/>
    <w:rsid w:val="00E24135"/>
    <w:rsid w:val="00E2463E"/>
    <w:rsid w:val="00E24D8A"/>
    <w:rsid w:val="00E251FA"/>
    <w:rsid w:val="00E2544B"/>
    <w:rsid w:val="00E25837"/>
    <w:rsid w:val="00E25910"/>
    <w:rsid w:val="00E261CE"/>
    <w:rsid w:val="00E263C7"/>
    <w:rsid w:val="00E26964"/>
    <w:rsid w:val="00E26A72"/>
    <w:rsid w:val="00E30013"/>
    <w:rsid w:val="00E3065E"/>
    <w:rsid w:val="00E30BC6"/>
    <w:rsid w:val="00E30C74"/>
    <w:rsid w:val="00E312B0"/>
    <w:rsid w:val="00E3153C"/>
    <w:rsid w:val="00E31755"/>
    <w:rsid w:val="00E31813"/>
    <w:rsid w:val="00E318A6"/>
    <w:rsid w:val="00E31C89"/>
    <w:rsid w:val="00E32418"/>
    <w:rsid w:val="00E3260B"/>
    <w:rsid w:val="00E32615"/>
    <w:rsid w:val="00E32A38"/>
    <w:rsid w:val="00E32B8D"/>
    <w:rsid w:val="00E330CD"/>
    <w:rsid w:val="00E3326C"/>
    <w:rsid w:val="00E33406"/>
    <w:rsid w:val="00E335C0"/>
    <w:rsid w:val="00E3386A"/>
    <w:rsid w:val="00E33B51"/>
    <w:rsid w:val="00E33C0A"/>
    <w:rsid w:val="00E34743"/>
    <w:rsid w:val="00E35096"/>
    <w:rsid w:val="00E3514F"/>
    <w:rsid w:val="00E35950"/>
    <w:rsid w:val="00E364DB"/>
    <w:rsid w:val="00E36760"/>
    <w:rsid w:val="00E36772"/>
    <w:rsid w:val="00E36D79"/>
    <w:rsid w:val="00E37438"/>
    <w:rsid w:val="00E375FC"/>
    <w:rsid w:val="00E37F47"/>
    <w:rsid w:val="00E402B1"/>
    <w:rsid w:val="00E4096C"/>
    <w:rsid w:val="00E40B75"/>
    <w:rsid w:val="00E40C30"/>
    <w:rsid w:val="00E40D98"/>
    <w:rsid w:val="00E40DC3"/>
    <w:rsid w:val="00E411E4"/>
    <w:rsid w:val="00E4153E"/>
    <w:rsid w:val="00E41601"/>
    <w:rsid w:val="00E4164B"/>
    <w:rsid w:val="00E41C71"/>
    <w:rsid w:val="00E41F99"/>
    <w:rsid w:val="00E423A9"/>
    <w:rsid w:val="00E42752"/>
    <w:rsid w:val="00E42CC4"/>
    <w:rsid w:val="00E431F3"/>
    <w:rsid w:val="00E432BF"/>
    <w:rsid w:val="00E44605"/>
    <w:rsid w:val="00E44780"/>
    <w:rsid w:val="00E44B2B"/>
    <w:rsid w:val="00E44FDC"/>
    <w:rsid w:val="00E452C6"/>
    <w:rsid w:val="00E45888"/>
    <w:rsid w:val="00E45897"/>
    <w:rsid w:val="00E458B9"/>
    <w:rsid w:val="00E458D7"/>
    <w:rsid w:val="00E45CC6"/>
    <w:rsid w:val="00E45D66"/>
    <w:rsid w:val="00E45F4D"/>
    <w:rsid w:val="00E4632C"/>
    <w:rsid w:val="00E46861"/>
    <w:rsid w:val="00E4687F"/>
    <w:rsid w:val="00E46D30"/>
    <w:rsid w:val="00E47075"/>
    <w:rsid w:val="00E47B20"/>
    <w:rsid w:val="00E47FD8"/>
    <w:rsid w:val="00E504C1"/>
    <w:rsid w:val="00E506EE"/>
    <w:rsid w:val="00E5079F"/>
    <w:rsid w:val="00E50A3A"/>
    <w:rsid w:val="00E51141"/>
    <w:rsid w:val="00E51C71"/>
    <w:rsid w:val="00E5214A"/>
    <w:rsid w:val="00E523B0"/>
    <w:rsid w:val="00E530F6"/>
    <w:rsid w:val="00E531AD"/>
    <w:rsid w:val="00E53D29"/>
    <w:rsid w:val="00E53DC6"/>
    <w:rsid w:val="00E5400D"/>
    <w:rsid w:val="00E54266"/>
    <w:rsid w:val="00E54305"/>
    <w:rsid w:val="00E5430F"/>
    <w:rsid w:val="00E5505E"/>
    <w:rsid w:val="00E550E4"/>
    <w:rsid w:val="00E550FA"/>
    <w:rsid w:val="00E5526B"/>
    <w:rsid w:val="00E55DCB"/>
    <w:rsid w:val="00E561F1"/>
    <w:rsid w:val="00E56664"/>
    <w:rsid w:val="00E56704"/>
    <w:rsid w:val="00E56BB2"/>
    <w:rsid w:val="00E56EAA"/>
    <w:rsid w:val="00E575CC"/>
    <w:rsid w:val="00E5762F"/>
    <w:rsid w:val="00E57D3F"/>
    <w:rsid w:val="00E57DD5"/>
    <w:rsid w:val="00E57F87"/>
    <w:rsid w:val="00E6004A"/>
    <w:rsid w:val="00E60250"/>
    <w:rsid w:val="00E606BA"/>
    <w:rsid w:val="00E60A13"/>
    <w:rsid w:val="00E60C5B"/>
    <w:rsid w:val="00E60E28"/>
    <w:rsid w:val="00E6181B"/>
    <w:rsid w:val="00E61A5F"/>
    <w:rsid w:val="00E61D78"/>
    <w:rsid w:val="00E61E48"/>
    <w:rsid w:val="00E62420"/>
    <w:rsid w:val="00E6250C"/>
    <w:rsid w:val="00E62625"/>
    <w:rsid w:val="00E626AE"/>
    <w:rsid w:val="00E62FFA"/>
    <w:rsid w:val="00E631AD"/>
    <w:rsid w:val="00E636F2"/>
    <w:rsid w:val="00E6372F"/>
    <w:rsid w:val="00E63C29"/>
    <w:rsid w:val="00E63EDA"/>
    <w:rsid w:val="00E64474"/>
    <w:rsid w:val="00E6459E"/>
    <w:rsid w:val="00E647D1"/>
    <w:rsid w:val="00E64829"/>
    <w:rsid w:val="00E64CF7"/>
    <w:rsid w:val="00E65008"/>
    <w:rsid w:val="00E65140"/>
    <w:rsid w:val="00E65478"/>
    <w:rsid w:val="00E6560B"/>
    <w:rsid w:val="00E658AC"/>
    <w:rsid w:val="00E65AE2"/>
    <w:rsid w:val="00E65B74"/>
    <w:rsid w:val="00E65E83"/>
    <w:rsid w:val="00E665C2"/>
    <w:rsid w:val="00E66750"/>
    <w:rsid w:val="00E667AE"/>
    <w:rsid w:val="00E668F4"/>
    <w:rsid w:val="00E6695B"/>
    <w:rsid w:val="00E66CD1"/>
    <w:rsid w:val="00E66D86"/>
    <w:rsid w:val="00E672A4"/>
    <w:rsid w:val="00E67C86"/>
    <w:rsid w:val="00E67D2B"/>
    <w:rsid w:val="00E67DE9"/>
    <w:rsid w:val="00E67E98"/>
    <w:rsid w:val="00E705E5"/>
    <w:rsid w:val="00E706A6"/>
    <w:rsid w:val="00E70866"/>
    <w:rsid w:val="00E70A83"/>
    <w:rsid w:val="00E70CB6"/>
    <w:rsid w:val="00E7119E"/>
    <w:rsid w:val="00E71240"/>
    <w:rsid w:val="00E71249"/>
    <w:rsid w:val="00E71285"/>
    <w:rsid w:val="00E71F55"/>
    <w:rsid w:val="00E72273"/>
    <w:rsid w:val="00E72961"/>
    <w:rsid w:val="00E729D8"/>
    <w:rsid w:val="00E72AA2"/>
    <w:rsid w:val="00E72DEA"/>
    <w:rsid w:val="00E72F6A"/>
    <w:rsid w:val="00E732FC"/>
    <w:rsid w:val="00E73587"/>
    <w:rsid w:val="00E7374A"/>
    <w:rsid w:val="00E739D4"/>
    <w:rsid w:val="00E739D6"/>
    <w:rsid w:val="00E73A4F"/>
    <w:rsid w:val="00E74059"/>
    <w:rsid w:val="00E74730"/>
    <w:rsid w:val="00E74802"/>
    <w:rsid w:val="00E74E3A"/>
    <w:rsid w:val="00E75797"/>
    <w:rsid w:val="00E767E3"/>
    <w:rsid w:val="00E7688F"/>
    <w:rsid w:val="00E76AB9"/>
    <w:rsid w:val="00E76EEC"/>
    <w:rsid w:val="00E76FAD"/>
    <w:rsid w:val="00E7705A"/>
    <w:rsid w:val="00E771EA"/>
    <w:rsid w:val="00E77273"/>
    <w:rsid w:val="00E77AB6"/>
    <w:rsid w:val="00E77E6B"/>
    <w:rsid w:val="00E807F1"/>
    <w:rsid w:val="00E811F2"/>
    <w:rsid w:val="00E815F0"/>
    <w:rsid w:val="00E81D6A"/>
    <w:rsid w:val="00E81DBF"/>
    <w:rsid w:val="00E82302"/>
    <w:rsid w:val="00E828BD"/>
    <w:rsid w:val="00E82B35"/>
    <w:rsid w:val="00E83197"/>
    <w:rsid w:val="00E83287"/>
    <w:rsid w:val="00E83405"/>
    <w:rsid w:val="00E837D5"/>
    <w:rsid w:val="00E837E5"/>
    <w:rsid w:val="00E83E58"/>
    <w:rsid w:val="00E84434"/>
    <w:rsid w:val="00E844CA"/>
    <w:rsid w:val="00E84875"/>
    <w:rsid w:val="00E84D7B"/>
    <w:rsid w:val="00E850E1"/>
    <w:rsid w:val="00E8518B"/>
    <w:rsid w:val="00E85516"/>
    <w:rsid w:val="00E859B8"/>
    <w:rsid w:val="00E8686C"/>
    <w:rsid w:val="00E86D87"/>
    <w:rsid w:val="00E87587"/>
    <w:rsid w:val="00E87806"/>
    <w:rsid w:val="00E901D9"/>
    <w:rsid w:val="00E9090B"/>
    <w:rsid w:val="00E90B6D"/>
    <w:rsid w:val="00E90FC2"/>
    <w:rsid w:val="00E91668"/>
    <w:rsid w:val="00E91867"/>
    <w:rsid w:val="00E918F9"/>
    <w:rsid w:val="00E91CA4"/>
    <w:rsid w:val="00E91F72"/>
    <w:rsid w:val="00E922E3"/>
    <w:rsid w:val="00E926F2"/>
    <w:rsid w:val="00E938BD"/>
    <w:rsid w:val="00E94569"/>
    <w:rsid w:val="00E94A38"/>
    <w:rsid w:val="00E95095"/>
    <w:rsid w:val="00E955E7"/>
    <w:rsid w:val="00E9564D"/>
    <w:rsid w:val="00E958EA"/>
    <w:rsid w:val="00E9666E"/>
    <w:rsid w:val="00E96773"/>
    <w:rsid w:val="00E96D03"/>
    <w:rsid w:val="00E96E93"/>
    <w:rsid w:val="00E96F6D"/>
    <w:rsid w:val="00E976F0"/>
    <w:rsid w:val="00E97A46"/>
    <w:rsid w:val="00E97B84"/>
    <w:rsid w:val="00E97CE2"/>
    <w:rsid w:val="00E97F88"/>
    <w:rsid w:val="00EA021B"/>
    <w:rsid w:val="00EA04D7"/>
    <w:rsid w:val="00EA08B4"/>
    <w:rsid w:val="00EA0BF4"/>
    <w:rsid w:val="00EA12F0"/>
    <w:rsid w:val="00EA1316"/>
    <w:rsid w:val="00EA1556"/>
    <w:rsid w:val="00EA1598"/>
    <w:rsid w:val="00EA1EE5"/>
    <w:rsid w:val="00EA2080"/>
    <w:rsid w:val="00EA2193"/>
    <w:rsid w:val="00EA287E"/>
    <w:rsid w:val="00EA2C51"/>
    <w:rsid w:val="00EA307C"/>
    <w:rsid w:val="00EA31E6"/>
    <w:rsid w:val="00EA411F"/>
    <w:rsid w:val="00EA428F"/>
    <w:rsid w:val="00EA4AAB"/>
    <w:rsid w:val="00EA4CAC"/>
    <w:rsid w:val="00EA52B3"/>
    <w:rsid w:val="00EA58AB"/>
    <w:rsid w:val="00EA5A3D"/>
    <w:rsid w:val="00EA5C45"/>
    <w:rsid w:val="00EA60EC"/>
    <w:rsid w:val="00EA6619"/>
    <w:rsid w:val="00EA6638"/>
    <w:rsid w:val="00EA66CE"/>
    <w:rsid w:val="00EA685F"/>
    <w:rsid w:val="00EA6F81"/>
    <w:rsid w:val="00EA74F3"/>
    <w:rsid w:val="00EA795F"/>
    <w:rsid w:val="00EA7E75"/>
    <w:rsid w:val="00EB011D"/>
    <w:rsid w:val="00EB0332"/>
    <w:rsid w:val="00EB0696"/>
    <w:rsid w:val="00EB0827"/>
    <w:rsid w:val="00EB0B2E"/>
    <w:rsid w:val="00EB0B8A"/>
    <w:rsid w:val="00EB13C5"/>
    <w:rsid w:val="00EB18BA"/>
    <w:rsid w:val="00EB1920"/>
    <w:rsid w:val="00EB1A2C"/>
    <w:rsid w:val="00EB22A8"/>
    <w:rsid w:val="00EB235F"/>
    <w:rsid w:val="00EB2395"/>
    <w:rsid w:val="00EB23D4"/>
    <w:rsid w:val="00EB2426"/>
    <w:rsid w:val="00EB2863"/>
    <w:rsid w:val="00EB28B9"/>
    <w:rsid w:val="00EB2A92"/>
    <w:rsid w:val="00EB2C36"/>
    <w:rsid w:val="00EB2C72"/>
    <w:rsid w:val="00EB2EEA"/>
    <w:rsid w:val="00EB30DB"/>
    <w:rsid w:val="00EB3358"/>
    <w:rsid w:val="00EB33D4"/>
    <w:rsid w:val="00EB3C58"/>
    <w:rsid w:val="00EB3DB3"/>
    <w:rsid w:val="00EB45C7"/>
    <w:rsid w:val="00EB46F5"/>
    <w:rsid w:val="00EB4826"/>
    <w:rsid w:val="00EB4F84"/>
    <w:rsid w:val="00EB5269"/>
    <w:rsid w:val="00EB5658"/>
    <w:rsid w:val="00EB57D5"/>
    <w:rsid w:val="00EB5936"/>
    <w:rsid w:val="00EB5D20"/>
    <w:rsid w:val="00EB5F99"/>
    <w:rsid w:val="00EB60DF"/>
    <w:rsid w:val="00EB6C54"/>
    <w:rsid w:val="00EB7A84"/>
    <w:rsid w:val="00EB7B5E"/>
    <w:rsid w:val="00EC007C"/>
    <w:rsid w:val="00EC03DE"/>
    <w:rsid w:val="00EC0E74"/>
    <w:rsid w:val="00EC0F07"/>
    <w:rsid w:val="00EC1659"/>
    <w:rsid w:val="00EC20CE"/>
    <w:rsid w:val="00EC2774"/>
    <w:rsid w:val="00EC3072"/>
    <w:rsid w:val="00EC323B"/>
    <w:rsid w:val="00EC32D8"/>
    <w:rsid w:val="00EC3405"/>
    <w:rsid w:val="00EC39AC"/>
    <w:rsid w:val="00EC3A2B"/>
    <w:rsid w:val="00EC3A73"/>
    <w:rsid w:val="00EC3B47"/>
    <w:rsid w:val="00EC4367"/>
    <w:rsid w:val="00EC460D"/>
    <w:rsid w:val="00EC4C6E"/>
    <w:rsid w:val="00EC52C2"/>
    <w:rsid w:val="00EC52D9"/>
    <w:rsid w:val="00EC56CE"/>
    <w:rsid w:val="00EC5F5A"/>
    <w:rsid w:val="00EC5F69"/>
    <w:rsid w:val="00EC5F82"/>
    <w:rsid w:val="00EC6189"/>
    <w:rsid w:val="00EC68F7"/>
    <w:rsid w:val="00EC68F8"/>
    <w:rsid w:val="00EC6ABD"/>
    <w:rsid w:val="00EC709B"/>
    <w:rsid w:val="00EC71FD"/>
    <w:rsid w:val="00EC7797"/>
    <w:rsid w:val="00EC7A3B"/>
    <w:rsid w:val="00EC7B72"/>
    <w:rsid w:val="00EC7E8F"/>
    <w:rsid w:val="00ED02F7"/>
    <w:rsid w:val="00ED07D2"/>
    <w:rsid w:val="00ED0C5E"/>
    <w:rsid w:val="00ED0CE1"/>
    <w:rsid w:val="00ED0DAE"/>
    <w:rsid w:val="00ED0FC9"/>
    <w:rsid w:val="00ED0FE8"/>
    <w:rsid w:val="00ED15A7"/>
    <w:rsid w:val="00ED1668"/>
    <w:rsid w:val="00ED2328"/>
    <w:rsid w:val="00ED2373"/>
    <w:rsid w:val="00ED266B"/>
    <w:rsid w:val="00ED2858"/>
    <w:rsid w:val="00ED296C"/>
    <w:rsid w:val="00ED2974"/>
    <w:rsid w:val="00ED2D48"/>
    <w:rsid w:val="00ED2E17"/>
    <w:rsid w:val="00ED2E5B"/>
    <w:rsid w:val="00ED320C"/>
    <w:rsid w:val="00ED35DC"/>
    <w:rsid w:val="00ED3796"/>
    <w:rsid w:val="00ED41D3"/>
    <w:rsid w:val="00ED42E6"/>
    <w:rsid w:val="00ED4625"/>
    <w:rsid w:val="00ED47B8"/>
    <w:rsid w:val="00ED4F2B"/>
    <w:rsid w:val="00ED52A4"/>
    <w:rsid w:val="00ED542F"/>
    <w:rsid w:val="00ED547C"/>
    <w:rsid w:val="00ED56FE"/>
    <w:rsid w:val="00ED588A"/>
    <w:rsid w:val="00ED5972"/>
    <w:rsid w:val="00ED59BE"/>
    <w:rsid w:val="00ED5FEC"/>
    <w:rsid w:val="00ED66F0"/>
    <w:rsid w:val="00ED6CC4"/>
    <w:rsid w:val="00ED76A7"/>
    <w:rsid w:val="00ED7755"/>
    <w:rsid w:val="00ED7B73"/>
    <w:rsid w:val="00EE06B8"/>
    <w:rsid w:val="00EE0833"/>
    <w:rsid w:val="00EE0FB7"/>
    <w:rsid w:val="00EE166B"/>
    <w:rsid w:val="00EE16EE"/>
    <w:rsid w:val="00EE1A5A"/>
    <w:rsid w:val="00EE1B9D"/>
    <w:rsid w:val="00EE1BB7"/>
    <w:rsid w:val="00EE1E0A"/>
    <w:rsid w:val="00EE20E2"/>
    <w:rsid w:val="00EE22EB"/>
    <w:rsid w:val="00EE250C"/>
    <w:rsid w:val="00EE2EFE"/>
    <w:rsid w:val="00EE323C"/>
    <w:rsid w:val="00EE32DD"/>
    <w:rsid w:val="00EE3301"/>
    <w:rsid w:val="00EE37BB"/>
    <w:rsid w:val="00EE4618"/>
    <w:rsid w:val="00EE5185"/>
    <w:rsid w:val="00EE5C14"/>
    <w:rsid w:val="00EE5C2C"/>
    <w:rsid w:val="00EE6148"/>
    <w:rsid w:val="00EE6423"/>
    <w:rsid w:val="00EE67A2"/>
    <w:rsid w:val="00EE6A94"/>
    <w:rsid w:val="00EE6F9F"/>
    <w:rsid w:val="00EE7CAA"/>
    <w:rsid w:val="00EE7FBA"/>
    <w:rsid w:val="00EF0FC6"/>
    <w:rsid w:val="00EF0FE4"/>
    <w:rsid w:val="00EF1448"/>
    <w:rsid w:val="00EF19A8"/>
    <w:rsid w:val="00EF284D"/>
    <w:rsid w:val="00EF2AC7"/>
    <w:rsid w:val="00EF2AE9"/>
    <w:rsid w:val="00EF2C27"/>
    <w:rsid w:val="00EF2CE0"/>
    <w:rsid w:val="00EF2E42"/>
    <w:rsid w:val="00EF38A6"/>
    <w:rsid w:val="00EF38D2"/>
    <w:rsid w:val="00EF3AD9"/>
    <w:rsid w:val="00EF3EB4"/>
    <w:rsid w:val="00EF498F"/>
    <w:rsid w:val="00EF4D7C"/>
    <w:rsid w:val="00EF4FAC"/>
    <w:rsid w:val="00EF52F0"/>
    <w:rsid w:val="00EF5557"/>
    <w:rsid w:val="00EF585D"/>
    <w:rsid w:val="00EF5B99"/>
    <w:rsid w:val="00EF5E30"/>
    <w:rsid w:val="00EF61D9"/>
    <w:rsid w:val="00EF62C8"/>
    <w:rsid w:val="00EF65BB"/>
    <w:rsid w:val="00EF6857"/>
    <w:rsid w:val="00EF6B3A"/>
    <w:rsid w:val="00EF72CA"/>
    <w:rsid w:val="00EF741F"/>
    <w:rsid w:val="00EF75B9"/>
    <w:rsid w:val="00EF7790"/>
    <w:rsid w:val="00F00164"/>
    <w:rsid w:val="00F00862"/>
    <w:rsid w:val="00F00C4F"/>
    <w:rsid w:val="00F016B9"/>
    <w:rsid w:val="00F01E16"/>
    <w:rsid w:val="00F01EE3"/>
    <w:rsid w:val="00F0201B"/>
    <w:rsid w:val="00F026B5"/>
    <w:rsid w:val="00F02996"/>
    <w:rsid w:val="00F02BFE"/>
    <w:rsid w:val="00F02C1D"/>
    <w:rsid w:val="00F0326B"/>
    <w:rsid w:val="00F034E9"/>
    <w:rsid w:val="00F03548"/>
    <w:rsid w:val="00F036C6"/>
    <w:rsid w:val="00F03E9B"/>
    <w:rsid w:val="00F048C3"/>
    <w:rsid w:val="00F04A2C"/>
    <w:rsid w:val="00F0510B"/>
    <w:rsid w:val="00F05558"/>
    <w:rsid w:val="00F05BDE"/>
    <w:rsid w:val="00F06BAC"/>
    <w:rsid w:val="00F06C8F"/>
    <w:rsid w:val="00F07134"/>
    <w:rsid w:val="00F07A5A"/>
    <w:rsid w:val="00F07A63"/>
    <w:rsid w:val="00F07D82"/>
    <w:rsid w:val="00F07E22"/>
    <w:rsid w:val="00F10028"/>
    <w:rsid w:val="00F10A46"/>
    <w:rsid w:val="00F10F14"/>
    <w:rsid w:val="00F116B3"/>
    <w:rsid w:val="00F11903"/>
    <w:rsid w:val="00F11C51"/>
    <w:rsid w:val="00F11D81"/>
    <w:rsid w:val="00F11E57"/>
    <w:rsid w:val="00F125B3"/>
    <w:rsid w:val="00F12E5C"/>
    <w:rsid w:val="00F13267"/>
    <w:rsid w:val="00F1338A"/>
    <w:rsid w:val="00F13640"/>
    <w:rsid w:val="00F13697"/>
    <w:rsid w:val="00F13ACB"/>
    <w:rsid w:val="00F13EBF"/>
    <w:rsid w:val="00F141A6"/>
    <w:rsid w:val="00F14568"/>
    <w:rsid w:val="00F14A17"/>
    <w:rsid w:val="00F1521D"/>
    <w:rsid w:val="00F155D3"/>
    <w:rsid w:val="00F157B8"/>
    <w:rsid w:val="00F169AD"/>
    <w:rsid w:val="00F17016"/>
    <w:rsid w:val="00F170B6"/>
    <w:rsid w:val="00F17401"/>
    <w:rsid w:val="00F17CB4"/>
    <w:rsid w:val="00F17D52"/>
    <w:rsid w:val="00F17F8F"/>
    <w:rsid w:val="00F20454"/>
    <w:rsid w:val="00F20789"/>
    <w:rsid w:val="00F2090F"/>
    <w:rsid w:val="00F212A2"/>
    <w:rsid w:val="00F21AC6"/>
    <w:rsid w:val="00F21F6D"/>
    <w:rsid w:val="00F225D0"/>
    <w:rsid w:val="00F22A9F"/>
    <w:rsid w:val="00F22CA6"/>
    <w:rsid w:val="00F22D0E"/>
    <w:rsid w:val="00F2444A"/>
    <w:rsid w:val="00F24516"/>
    <w:rsid w:val="00F24C8A"/>
    <w:rsid w:val="00F25043"/>
    <w:rsid w:val="00F2515C"/>
    <w:rsid w:val="00F25E8D"/>
    <w:rsid w:val="00F26787"/>
    <w:rsid w:val="00F2684D"/>
    <w:rsid w:val="00F26C5A"/>
    <w:rsid w:val="00F26C83"/>
    <w:rsid w:val="00F27016"/>
    <w:rsid w:val="00F2754B"/>
    <w:rsid w:val="00F27FE4"/>
    <w:rsid w:val="00F30154"/>
    <w:rsid w:val="00F304DA"/>
    <w:rsid w:val="00F30662"/>
    <w:rsid w:val="00F308EA"/>
    <w:rsid w:val="00F30927"/>
    <w:rsid w:val="00F30A4E"/>
    <w:rsid w:val="00F30CA9"/>
    <w:rsid w:val="00F3115B"/>
    <w:rsid w:val="00F31600"/>
    <w:rsid w:val="00F31658"/>
    <w:rsid w:val="00F316C1"/>
    <w:rsid w:val="00F3322F"/>
    <w:rsid w:val="00F333F9"/>
    <w:rsid w:val="00F33462"/>
    <w:rsid w:val="00F33C0A"/>
    <w:rsid w:val="00F34053"/>
    <w:rsid w:val="00F34C0B"/>
    <w:rsid w:val="00F357BF"/>
    <w:rsid w:val="00F35A98"/>
    <w:rsid w:val="00F35B26"/>
    <w:rsid w:val="00F35FC0"/>
    <w:rsid w:val="00F367AE"/>
    <w:rsid w:val="00F36A06"/>
    <w:rsid w:val="00F36D6C"/>
    <w:rsid w:val="00F37387"/>
    <w:rsid w:val="00F37BE8"/>
    <w:rsid w:val="00F40038"/>
    <w:rsid w:val="00F4017F"/>
    <w:rsid w:val="00F401F8"/>
    <w:rsid w:val="00F40200"/>
    <w:rsid w:val="00F4027F"/>
    <w:rsid w:val="00F40382"/>
    <w:rsid w:val="00F409DA"/>
    <w:rsid w:val="00F40BE8"/>
    <w:rsid w:val="00F40E98"/>
    <w:rsid w:val="00F414E1"/>
    <w:rsid w:val="00F41822"/>
    <w:rsid w:val="00F41A36"/>
    <w:rsid w:val="00F41B26"/>
    <w:rsid w:val="00F41CC9"/>
    <w:rsid w:val="00F421E1"/>
    <w:rsid w:val="00F4237F"/>
    <w:rsid w:val="00F424B2"/>
    <w:rsid w:val="00F426B5"/>
    <w:rsid w:val="00F427DC"/>
    <w:rsid w:val="00F42C04"/>
    <w:rsid w:val="00F42C1D"/>
    <w:rsid w:val="00F42DF0"/>
    <w:rsid w:val="00F439C3"/>
    <w:rsid w:val="00F43B78"/>
    <w:rsid w:val="00F4449B"/>
    <w:rsid w:val="00F4474D"/>
    <w:rsid w:val="00F44FA4"/>
    <w:rsid w:val="00F44FB9"/>
    <w:rsid w:val="00F45195"/>
    <w:rsid w:val="00F451EB"/>
    <w:rsid w:val="00F452F3"/>
    <w:rsid w:val="00F4566D"/>
    <w:rsid w:val="00F4594C"/>
    <w:rsid w:val="00F45AF0"/>
    <w:rsid w:val="00F45DEA"/>
    <w:rsid w:val="00F4690C"/>
    <w:rsid w:val="00F4710D"/>
    <w:rsid w:val="00F4712F"/>
    <w:rsid w:val="00F475ED"/>
    <w:rsid w:val="00F4778B"/>
    <w:rsid w:val="00F47790"/>
    <w:rsid w:val="00F479BD"/>
    <w:rsid w:val="00F50916"/>
    <w:rsid w:val="00F50C77"/>
    <w:rsid w:val="00F50D1F"/>
    <w:rsid w:val="00F50D50"/>
    <w:rsid w:val="00F50F2A"/>
    <w:rsid w:val="00F5111A"/>
    <w:rsid w:val="00F51145"/>
    <w:rsid w:val="00F51A51"/>
    <w:rsid w:val="00F523F4"/>
    <w:rsid w:val="00F5299B"/>
    <w:rsid w:val="00F5330F"/>
    <w:rsid w:val="00F5331D"/>
    <w:rsid w:val="00F538C2"/>
    <w:rsid w:val="00F539C3"/>
    <w:rsid w:val="00F53AF7"/>
    <w:rsid w:val="00F5407C"/>
    <w:rsid w:val="00F54130"/>
    <w:rsid w:val="00F548DB"/>
    <w:rsid w:val="00F54AB7"/>
    <w:rsid w:val="00F550D5"/>
    <w:rsid w:val="00F55259"/>
    <w:rsid w:val="00F55570"/>
    <w:rsid w:val="00F55C81"/>
    <w:rsid w:val="00F562F1"/>
    <w:rsid w:val="00F56519"/>
    <w:rsid w:val="00F5695D"/>
    <w:rsid w:val="00F572BE"/>
    <w:rsid w:val="00F57534"/>
    <w:rsid w:val="00F57C44"/>
    <w:rsid w:val="00F6043D"/>
    <w:rsid w:val="00F616C8"/>
    <w:rsid w:val="00F61D05"/>
    <w:rsid w:val="00F61D57"/>
    <w:rsid w:val="00F62929"/>
    <w:rsid w:val="00F62AE5"/>
    <w:rsid w:val="00F63021"/>
    <w:rsid w:val="00F633FA"/>
    <w:rsid w:val="00F636C7"/>
    <w:rsid w:val="00F63943"/>
    <w:rsid w:val="00F64945"/>
    <w:rsid w:val="00F64995"/>
    <w:rsid w:val="00F649D2"/>
    <w:rsid w:val="00F64A52"/>
    <w:rsid w:val="00F64E8D"/>
    <w:rsid w:val="00F64FEB"/>
    <w:rsid w:val="00F65330"/>
    <w:rsid w:val="00F655FB"/>
    <w:rsid w:val="00F65898"/>
    <w:rsid w:val="00F66267"/>
    <w:rsid w:val="00F664F5"/>
    <w:rsid w:val="00F6657C"/>
    <w:rsid w:val="00F66863"/>
    <w:rsid w:val="00F670EA"/>
    <w:rsid w:val="00F672B9"/>
    <w:rsid w:val="00F67356"/>
    <w:rsid w:val="00F676FE"/>
    <w:rsid w:val="00F67735"/>
    <w:rsid w:val="00F67891"/>
    <w:rsid w:val="00F704F1"/>
    <w:rsid w:val="00F705D9"/>
    <w:rsid w:val="00F70929"/>
    <w:rsid w:val="00F70F68"/>
    <w:rsid w:val="00F70F9D"/>
    <w:rsid w:val="00F71D74"/>
    <w:rsid w:val="00F71DF0"/>
    <w:rsid w:val="00F73187"/>
    <w:rsid w:val="00F732DD"/>
    <w:rsid w:val="00F73582"/>
    <w:rsid w:val="00F735D9"/>
    <w:rsid w:val="00F73768"/>
    <w:rsid w:val="00F7422F"/>
    <w:rsid w:val="00F74E2D"/>
    <w:rsid w:val="00F74E3B"/>
    <w:rsid w:val="00F75446"/>
    <w:rsid w:val="00F75C10"/>
    <w:rsid w:val="00F76519"/>
    <w:rsid w:val="00F7680E"/>
    <w:rsid w:val="00F76B70"/>
    <w:rsid w:val="00F76BC9"/>
    <w:rsid w:val="00F76E48"/>
    <w:rsid w:val="00F774DF"/>
    <w:rsid w:val="00F7755C"/>
    <w:rsid w:val="00F77CAE"/>
    <w:rsid w:val="00F80076"/>
    <w:rsid w:val="00F801A0"/>
    <w:rsid w:val="00F8043F"/>
    <w:rsid w:val="00F80A5A"/>
    <w:rsid w:val="00F80BA5"/>
    <w:rsid w:val="00F813AB"/>
    <w:rsid w:val="00F81695"/>
    <w:rsid w:val="00F816CC"/>
    <w:rsid w:val="00F8245C"/>
    <w:rsid w:val="00F82481"/>
    <w:rsid w:val="00F82D13"/>
    <w:rsid w:val="00F82EC4"/>
    <w:rsid w:val="00F832A7"/>
    <w:rsid w:val="00F83ACB"/>
    <w:rsid w:val="00F843D1"/>
    <w:rsid w:val="00F84582"/>
    <w:rsid w:val="00F847CB"/>
    <w:rsid w:val="00F84E75"/>
    <w:rsid w:val="00F852BD"/>
    <w:rsid w:val="00F855BB"/>
    <w:rsid w:val="00F85623"/>
    <w:rsid w:val="00F857F4"/>
    <w:rsid w:val="00F85C4C"/>
    <w:rsid w:val="00F85CF1"/>
    <w:rsid w:val="00F85D24"/>
    <w:rsid w:val="00F86684"/>
    <w:rsid w:val="00F867DC"/>
    <w:rsid w:val="00F86A7C"/>
    <w:rsid w:val="00F86D46"/>
    <w:rsid w:val="00F87238"/>
    <w:rsid w:val="00F87FFC"/>
    <w:rsid w:val="00F90B7D"/>
    <w:rsid w:val="00F91135"/>
    <w:rsid w:val="00F91A23"/>
    <w:rsid w:val="00F91D9D"/>
    <w:rsid w:val="00F92195"/>
    <w:rsid w:val="00F92956"/>
    <w:rsid w:val="00F92C05"/>
    <w:rsid w:val="00F93011"/>
    <w:rsid w:val="00F93064"/>
    <w:rsid w:val="00F93196"/>
    <w:rsid w:val="00F9320E"/>
    <w:rsid w:val="00F938ED"/>
    <w:rsid w:val="00F93917"/>
    <w:rsid w:val="00F93D0F"/>
    <w:rsid w:val="00F93D98"/>
    <w:rsid w:val="00F94313"/>
    <w:rsid w:val="00F945CE"/>
    <w:rsid w:val="00F94703"/>
    <w:rsid w:val="00F94D65"/>
    <w:rsid w:val="00F94E6C"/>
    <w:rsid w:val="00F957F9"/>
    <w:rsid w:val="00F95C1F"/>
    <w:rsid w:val="00F96687"/>
    <w:rsid w:val="00F967E0"/>
    <w:rsid w:val="00F969DC"/>
    <w:rsid w:val="00F96AA4"/>
    <w:rsid w:val="00F96BD4"/>
    <w:rsid w:val="00F96C29"/>
    <w:rsid w:val="00F97407"/>
    <w:rsid w:val="00F97BAD"/>
    <w:rsid w:val="00F97BC7"/>
    <w:rsid w:val="00F97FE9"/>
    <w:rsid w:val="00FA027E"/>
    <w:rsid w:val="00FA0454"/>
    <w:rsid w:val="00FA0695"/>
    <w:rsid w:val="00FA0A7B"/>
    <w:rsid w:val="00FA12B3"/>
    <w:rsid w:val="00FA1606"/>
    <w:rsid w:val="00FA1639"/>
    <w:rsid w:val="00FA1719"/>
    <w:rsid w:val="00FA244C"/>
    <w:rsid w:val="00FA2460"/>
    <w:rsid w:val="00FA24DF"/>
    <w:rsid w:val="00FA2761"/>
    <w:rsid w:val="00FA2B6E"/>
    <w:rsid w:val="00FA2DD9"/>
    <w:rsid w:val="00FA2E57"/>
    <w:rsid w:val="00FA3713"/>
    <w:rsid w:val="00FA3DAD"/>
    <w:rsid w:val="00FA42AD"/>
    <w:rsid w:val="00FA4372"/>
    <w:rsid w:val="00FA481F"/>
    <w:rsid w:val="00FA4946"/>
    <w:rsid w:val="00FA4E6B"/>
    <w:rsid w:val="00FA52FF"/>
    <w:rsid w:val="00FA546A"/>
    <w:rsid w:val="00FA5626"/>
    <w:rsid w:val="00FA5767"/>
    <w:rsid w:val="00FA5B00"/>
    <w:rsid w:val="00FA5BAE"/>
    <w:rsid w:val="00FA5D34"/>
    <w:rsid w:val="00FA5DB5"/>
    <w:rsid w:val="00FA5FE4"/>
    <w:rsid w:val="00FA665E"/>
    <w:rsid w:val="00FA6CB3"/>
    <w:rsid w:val="00FA75C7"/>
    <w:rsid w:val="00FA75F3"/>
    <w:rsid w:val="00FA777D"/>
    <w:rsid w:val="00FA79AF"/>
    <w:rsid w:val="00FA7FB0"/>
    <w:rsid w:val="00FB023D"/>
    <w:rsid w:val="00FB02D9"/>
    <w:rsid w:val="00FB0E63"/>
    <w:rsid w:val="00FB0F0A"/>
    <w:rsid w:val="00FB12F6"/>
    <w:rsid w:val="00FB1335"/>
    <w:rsid w:val="00FB1B76"/>
    <w:rsid w:val="00FB1E06"/>
    <w:rsid w:val="00FB1EF1"/>
    <w:rsid w:val="00FB2191"/>
    <w:rsid w:val="00FB2EA6"/>
    <w:rsid w:val="00FB2EDE"/>
    <w:rsid w:val="00FB2FB0"/>
    <w:rsid w:val="00FB30CC"/>
    <w:rsid w:val="00FB3623"/>
    <w:rsid w:val="00FB391E"/>
    <w:rsid w:val="00FB3927"/>
    <w:rsid w:val="00FB3CD6"/>
    <w:rsid w:val="00FB3D89"/>
    <w:rsid w:val="00FB41F5"/>
    <w:rsid w:val="00FB437B"/>
    <w:rsid w:val="00FB48C6"/>
    <w:rsid w:val="00FB4BF1"/>
    <w:rsid w:val="00FB52A5"/>
    <w:rsid w:val="00FB5379"/>
    <w:rsid w:val="00FB5727"/>
    <w:rsid w:val="00FB5F7D"/>
    <w:rsid w:val="00FB5FB9"/>
    <w:rsid w:val="00FB6304"/>
    <w:rsid w:val="00FB660B"/>
    <w:rsid w:val="00FB6671"/>
    <w:rsid w:val="00FB66F8"/>
    <w:rsid w:val="00FB76A8"/>
    <w:rsid w:val="00FB7A59"/>
    <w:rsid w:val="00FB7DA3"/>
    <w:rsid w:val="00FC070D"/>
    <w:rsid w:val="00FC112A"/>
    <w:rsid w:val="00FC23E5"/>
    <w:rsid w:val="00FC263E"/>
    <w:rsid w:val="00FC277A"/>
    <w:rsid w:val="00FC2BC3"/>
    <w:rsid w:val="00FC2DF5"/>
    <w:rsid w:val="00FC3462"/>
    <w:rsid w:val="00FC4428"/>
    <w:rsid w:val="00FC50A6"/>
    <w:rsid w:val="00FC532D"/>
    <w:rsid w:val="00FC572B"/>
    <w:rsid w:val="00FC5C62"/>
    <w:rsid w:val="00FC5C8F"/>
    <w:rsid w:val="00FC5CC1"/>
    <w:rsid w:val="00FC5DB7"/>
    <w:rsid w:val="00FC609C"/>
    <w:rsid w:val="00FC61EC"/>
    <w:rsid w:val="00FC6643"/>
    <w:rsid w:val="00FC6894"/>
    <w:rsid w:val="00FC6E0C"/>
    <w:rsid w:val="00FC6E2B"/>
    <w:rsid w:val="00FC6F06"/>
    <w:rsid w:val="00FC7076"/>
    <w:rsid w:val="00FC7331"/>
    <w:rsid w:val="00FC74AE"/>
    <w:rsid w:val="00FC7BCB"/>
    <w:rsid w:val="00FD1420"/>
    <w:rsid w:val="00FD1719"/>
    <w:rsid w:val="00FD280B"/>
    <w:rsid w:val="00FD2902"/>
    <w:rsid w:val="00FD295D"/>
    <w:rsid w:val="00FD2A87"/>
    <w:rsid w:val="00FD2E0E"/>
    <w:rsid w:val="00FD3181"/>
    <w:rsid w:val="00FD3213"/>
    <w:rsid w:val="00FD374A"/>
    <w:rsid w:val="00FD397D"/>
    <w:rsid w:val="00FD3AD3"/>
    <w:rsid w:val="00FD50F9"/>
    <w:rsid w:val="00FD51F1"/>
    <w:rsid w:val="00FD51F4"/>
    <w:rsid w:val="00FD54C8"/>
    <w:rsid w:val="00FD592D"/>
    <w:rsid w:val="00FD5CAB"/>
    <w:rsid w:val="00FD5FFD"/>
    <w:rsid w:val="00FD6637"/>
    <w:rsid w:val="00FD675B"/>
    <w:rsid w:val="00FD6DDB"/>
    <w:rsid w:val="00FD6DED"/>
    <w:rsid w:val="00FD6FAC"/>
    <w:rsid w:val="00FD700E"/>
    <w:rsid w:val="00FD719B"/>
    <w:rsid w:val="00FD76D1"/>
    <w:rsid w:val="00FD7B51"/>
    <w:rsid w:val="00FD7F1D"/>
    <w:rsid w:val="00FE02A0"/>
    <w:rsid w:val="00FE0A5E"/>
    <w:rsid w:val="00FE0D23"/>
    <w:rsid w:val="00FE135D"/>
    <w:rsid w:val="00FE14F5"/>
    <w:rsid w:val="00FE1BC5"/>
    <w:rsid w:val="00FE1FFC"/>
    <w:rsid w:val="00FE23D4"/>
    <w:rsid w:val="00FE2411"/>
    <w:rsid w:val="00FE27E9"/>
    <w:rsid w:val="00FE28DB"/>
    <w:rsid w:val="00FE2A0A"/>
    <w:rsid w:val="00FE2B9A"/>
    <w:rsid w:val="00FE3091"/>
    <w:rsid w:val="00FE3A9E"/>
    <w:rsid w:val="00FE3DFB"/>
    <w:rsid w:val="00FE3E2A"/>
    <w:rsid w:val="00FE4151"/>
    <w:rsid w:val="00FE44D8"/>
    <w:rsid w:val="00FE463B"/>
    <w:rsid w:val="00FE4DCE"/>
    <w:rsid w:val="00FE5B8C"/>
    <w:rsid w:val="00FE5E68"/>
    <w:rsid w:val="00FE633B"/>
    <w:rsid w:val="00FE6952"/>
    <w:rsid w:val="00FE6961"/>
    <w:rsid w:val="00FE72CA"/>
    <w:rsid w:val="00FE77D3"/>
    <w:rsid w:val="00FE792D"/>
    <w:rsid w:val="00FE7A6A"/>
    <w:rsid w:val="00FE7BEE"/>
    <w:rsid w:val="00FE7C87"/>
    <w:rsid w:val="00FE7D5E"/>
    <w:rsid w:val="00FF006C"/>
    <w:rsid w:val="00FF0557"/>
    <w:rsid w:val="00FF0685"/>
    <w:rsid w:val="00FF0FE1"/>
    <w:rsid w:val="00FF15F7"/>
    <w:rsid w:val="00FF19E2"/>
    <w:rsid w:val="00FF214F"/>
    <w:rsid w:val="00FF22E1"/>
    <w:rsid w:val="00FF2431"/>
    <w:rsid w:val="00FF2BFC"/>
    <w:rsid w:val="00FF2DD9"/>
    <w:rsid w:val="00FF310C"/>
    <w:rsid w:val="00FF34A3"/>
    <w:rsid w:val="00FF3785"/>
    <w:rsid w:val="00FF382A"/>
    <w:rsid w:val="00FF3E1C"/>
    <w:rsid w:val="00FF60C1"/>
    <w:rsid w:val="00FF680C"/>
    <w:rsid w:val="00FF6C8E"/>
    <w:rsid w:val="00FF7055"/>
    <w:rsid w:val="00FF715C"/>
    <w:rsid w:val="00FF71A5"/>
    <w:rsid w:val="00FF7263"/>
    <w:rsid w:val="00FF7384"/>
    <w:rsid w:val="00FF744B"/>
    <w:rsid w:val="00FF78A1"/>
    <w:rsid w:val="11129874"/>
    <w:rsid w:val="1650CB6D"/>
    <w:rsid w:val="236FE41E"/>
    <w:rsid w:val="25702D8D"/>
    <w:rsid w:val="2AD9293D"/>
    <w:rsid w:val="2F66E574"/>
    <w:rsid w:val="34B6257C"/>
    <w:rsid w:val="35E85781"/>
    <w:rsid w:val="3A46511C"/>
    <w:rsid w:val="3D38BF30"/>
    <w:rsid w:val="3E284606"/>
    <w:rsid w:val="43D6E652"/>
    <w:rsid w:val="45B88455"/>
    <w:rsid w:val="4CBB5030"/>
    <w:rsid w:val="5055B944"/>
    <w:rsid w:val="5324F04F"/>
    <w:rsid w:val="5B70BBDB"/>
    <w:rsid w:val="7B7D122D"/>
  </w:rsids>
  <w:docVars>
    <w:docVar w:name="__Grammarly_42___1" w:val="H4sIAAAAAAAEAKtWcslP9kxRslIyNDY2NDE3NjQ3MTSxNDc1NDNX0lEKTi0uzszPAykwNK4FAH5ie5Y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24452AD"/>
  <w15:docId w15:val="{3DF7C89E-D161-467A-AD8D-F91E913C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CF"/>
    <w:pPr>
      <w:spacing w:before="200" w:after="200" w:line="240" w:lineRule="auto"/>
    </w:pPr>
  </w:style>
  <w:style w:type="paragraph" w:styleId="Heading1">
    <w:name w:val="heading 1"/>
    <w:basedOn w:val="Normal"/>
    <w:next w:val="Normal"/>
    <w:link w:val="Heading1Char"/>
    <w:uiPriority w:val="9"/>
    <w:qFormat/>
    <w:rsid w:val="000106F3"/>
    <w:pPr>
      <w:jc w:val="center"/>
      <w:outlineLvl w:val="0"/>
    </w:pPr>
    <w:rPr>
      <w:b/>
      <w:bCs/>
      <w:u w:val="single"/>
    </w:rPr>
  </w:style>
  <w:style w:type="paragraph" w:styleId="Heading2">
    <w:name w:val="heading 2"/>
    <w:basedOn w:val="Normal"/>
    <w:next w:val="Normal"/>
    <w:link w:val="Heading2Char"/>
    <w:uiPriority w:val="9"/>
    <w:unhideWhenUsed/>
    <w:qFormat/>
    <w:rsid w:val="00DD6DEE"/>
    <w:pPr>
      <w:keepNext/>
      <w:keepLines/>
      <w:ind w:left="432" w:hanging="432"/>
      <w:outlineLvl w:val="1"/>
    </w:pPr>
    <w:rPr>
      <w:rFonts w:asciiTheme="majorHAnsi" w:eastAsiaTheme="majorEastAsia" w:hAnsiTheme="majorHAnsi" w:cstheme="majorBidi"/>
      <w:b/>
      <w:bCs/>
      <w:u w:val="single"/>
    </w:rPr>
  </w:style>
  <w:style w:type="paragraph" w:styleId="Heading3">
    <w:name w:val="heading 3"/>
    <w:basedOn w:val="Normal"/>
    <w:next w:val="Normal"/>
    <w:link w:val="Heading3Char"/>
    <w:uiPriority w:val="9"/>
    <w:unhideWhenUsed/>
    <w:qFormat/>
    <w:rsid w:val="00EE323C"/>
    <w:pPr>
      <w:keepNext/>
      <w:keepLines/>
      <w:numPr>
        <w:numId w:val="14"/>
      </w:numPr>
      <w:outlineLvl w:val="2"/>
    </w:pPr>
    <w:rPr>
      <w:rFonts w:asciiTheme="majorHAnsi" w:eastAsiaTheme="majorEastAsia" w:hAnsiTheme="majorHAnsi" w:cstheme="majorBidi"/>
      <w:u w:val="single"/>
    </w:rPr>
  </w:style>
  <w:style w:type="paragraph" w:styleId="Heading4">
    <w:name w:val="heading 4"/>
    <w:basedOn w:val="Heading5"/>
    <w:next w:val="Normal"/>
    <w:link w:val="Heading4Char"/>
    <w:uiPriority w:val="9"/>
    <w:unhideWhenUsed/>
    <w:qFormat/>
    <w:rsid w:val="00523911"/>
    <w:pPr>
      <w:outlineLvl w:val="3"/>
    </w:pPr>
    <w:rPr>
      <w:i/>
      <w:iCs/>
    </w:rPr>
  </w:style>
  <w:style w:type="paragraph" w:styleId="Heading5">
    <w:name w:val="heading 5"/>
    <w:basedOn w:val="Normal"/>
    <w:next w:val="Normal"/>
    <w:link w:val="Heading5Char"/>
    <w:uiPriority w:val="9"/>
    <w:unhideWhenUsed/>
    <w:qFormat/>
    <w:rsid w:val="00523911"/>
    <w:pPr>
      <w:ind w:left="360"/>
      <w:outlineLvl w:val="4"/>
    </w:pPr>
    <w:rPr>
      <w:b/>
    </w:rPr>
  </w:style>
  <w:style w:type="paragraph" w:styleId="Heading6">
    <w:name w:val="heading 6"/>
    <w:basedOn w:val="Normal"/>
    <w:next w:val="Normal"/>
    <w:link w:val="Heading6Char"/>
    <w:uiPriority w:val="9"/>
    <w:unhideWhenUsed/>
    <w:qFormat/>
    <w:rsid w:val="00BE703B"/>
    <w:pPr>
      <w:keepNext/>
      <w:keepLines/>
      <w:spacing w:before="220" w:after="220"/>
      <w:ind w:left="432"/>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1E5A91"/>
    <w:pPr>
      <w:keepNext/>
      <w:keepLines/>
      <w:ind w:left="432"/>
      <w:outlineLvl w:val="6"/>
    </w:pPr>
    <w:rPr>
      <w:rFonts w:asciiTheme="majorHAnsi" w:eastAsiaTheme="majorEastAsia" w:hAnsiTheme="majorHAnsi" w:cstheme="majorBidi"/>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A529A1"/>
  </w:style>
  <w:style w:type="paragraph" w:styleId="NoSpacing">
    <w:name w:val="No Spacing"/>
    <w:uiPriority w:val="1"/>
    <w:qFormat/>
    <w:rsid w:val="00A529A1"/>
    <w:pPr>
      <w:spacing w:after="0" w:line="240" w:lineRule="auto"/>
    </w:pPr>
    <w:rPr>
      <w:rFonts w:ascii="Calibri" w:eastAsia="Calibri" w:hAnsi="Calibri" w:cs="Times New Roman"/>
    </w:rPr>
  </w:style>
  <w:style w:type="character" w:styleId="Hyperlink">
    <w:name w:val="Hyperlink"/>
    <w:uiPriority w:val="99"/>
    <w:rsid w:val="00A529A1"/>
    <w:rPr>
      <w:color w:val="0563C1"/>
      <w:u w:val="single"/>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qFormat/>
    <w:rsid w:val="001E5A91"/>
    <w:pPr>
      <w:widowControl w:val="0"/>
      <w:spacing w:after="0"/>
    </w:pPr>
    <w:rPr>
      <w:rFonts w:eastAsia="Times New Roman" w:cs="Times New Roman"/>
      <w:snapToGrid w:val="0"/>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1E5A91"/>
    <w:rPr>
      <w:rFonts w:eastAsia="Times New Roman" w:cs="Times New Roman"/>
      <w:snapToGrid w:val="0"/>
      <w:sz w:val="20"/>
      <w:szCs w:val="20"/>
    </w:rPr>
  </w:style>
  <w:style w:type="paragraph" w:styleId="Footer">
    <w:name w:val="footer"/>
    <w:basedOn w:val="Normal"/>
    <w:link w:val="FooterChar"/>
    <w:uiPriority w:val="99"/>
    <w:unhideWhenUsed/>
    <w:rsid w:val="00A529A1"/>
    <w:pPr>
      <w:tabs>
        <w:tab w:val="center" w:pos="4680"/>
        <w:tab w:val="right" w:pos="9360"/>
      </w:tabs>
      <w:spacing w:after="0"/>
    </w:pPr>
    <w:rPr>
      <w:rFonts w:ascii="Calibri" w:eastAsia="Calibri" w:hAnsi="Calibri" w:cs="Times New Roman"/>
    </w:rPr>
  </w:style>
  <w:style w:type="character" w:customStyle="1" w:styleId="FooterChar">
    <w:name w:val="Footer Char"/>
    <w:basedOn w:val="DefaultParagraphFont"/>
    <w:link w:val="Footer"/>
    <w:uiPriority w:val="99"/>
    <w:rsid w:val="00A529A1"/>
    <w:rPr>
      <w:rFonts w:ascii="Calibri" w:eastAsia="Calibri" w:hAnsi="Calibri" w:cs="Times New Roman"/>
    </w:rPr>
  </w:style>
  <w:style w:type="paragraph" w:customStyle="1" w:styleId="SSAH2">
    <w:name w:val="SSA_H2"/>
    <w:basedOn w:val="Normal"/>
    <w:next w:val="Normal"/>
    <w:link w:val="SSAH2Char"/>
    <w:qFormat/>
    <w:rsid w:val="00A529A1"/>
    <w:pPr>
      <w:spacing w:after="0"/>
      <w:outlineLvl w:val="1"/>
    </w:pPr>
    <w:rPr>
      <w:rFonts w:ascii="Cambria" w:eastAsia="Calibri" w:hAnsi="Cambria" w:cs="Times New Roman"/>
      <w:b/>
      <w:sz w:val="24"/>
    </w:rPr>
  </w:style>
  <w:style w:type="character" w:customStyle="1" w:styleId="SSAH2Char">
    <w:name w:val="SSA_H2 Char"/>
    <w:link w:val="SSAH2"/>
    <w:rsid w:val="00A529A1"/>
    <w:rPr>
      <w:rFonts w:ascii="Cambria" w:eastAsia="Calibri" w:hAnsi="Cambria" w:cs="Times New Roman"/>
      <w:b/>
      <w:sz w:val="24"/>
    </w:rPr>
  </w:style>
  <w:style w:type="paragraph" w:styleId="ListParagraph">
    <w:name w:val="List Paragraph"/>
    <w:basedOn w:val="Normal"/>
    <w:uiPriority w:val="34"/>
    <w:qFormat/>
    <w:rsid w:val="00B9137D"/>
    <w:pPr>
      <w:autoSpaceDE w:val="0"/>
      <w:autoSpaceDN w:val="0"/>
      <w:spacing w:before="100" w:after="100"/>
      <w:ind w:left="792" w:hanging="360"/>
    </w:pPr>
    <w:rPr>
      <w:rFonts w:ascii="Times New Roman" w:eastAsia="Times New Roman" w:hAnsi="Times New Roman" w:cs="Times New Roman"/>
      <w:u w:color="000000"/>
      <w:lang w:bidi="en-US"/>
    </w:rPr>
  </w:style>
  <w:style w:type="paragraph" w:styleId="NormalIndent">
    <w:name w:val="Normal Indent"/>
    <w:aliases w:val="indent"/>
    <w:basedOn w:val="Normal"/>
    <w:rsid w:val="00BE703B"/>
    <w:pPr>
      <w:autoSpaceDE w:val="0"/>
      <w:autoSpaceDN w:val="0"/>
      <w:adjustRightInd w:val="0"/>
      <w:spacing w:before="220" w:after="220"/>
      <w:ind w:left="432"/>
    </w:pPr>
    <w:rPr>
      <w:rFonts w:ascii="Times New Roman" w:eastAsia="Times New Roman" w:hAnsi="Times New Roman" w:cs="Times New Roman"/>
      <w:szCs w:val="24"/>
    </w:rPr>
  </w:style>
  <w:style w:type="paragraph" w:customStyle="1" w:styleId="Default">
    <w:name w:val="Default"/>
    <w:rsid w:val="00A529A1"/>
    <w:pPr>
      <w:autoSpaceDE w:val="0"/>
      <w:autoSpaceDN w:val="0"/>
      <w:adjustRightInd w:val="0"/>
      <w:spacing w:after="0" w:line="240" w:lineRule="auto"/>
    </w:pPr>
    <w:rPr>
      <w:rFonts w:ascii="Wingdings" w:eastAsia="Calibri" w:hAnsi="Wingdings" w:cs="Wingdings"/>
      <w:color w:val="000000"/>
      <w:sz w:val="24"/>
      <w:szCs w:val="24"/>
    </w:rPr>
  </w:style>
  <w:style w:type="character" w:customStyle="1" w:styleId="normaltextrun">
    <w:name w:val="normaltextrun"/>
    <w:basedOn w:val="DefaultParagraphFont"/>
    <w:rsid w:val="00A529A1"/>
  </w:style>
  <w:style w:type="paragraph" w:styleId="Revision">
    <w:name w:val="Revision"/>
    <w:hidden/>
    <w:uiPriority w:val="99"/>
    <w:semiHidden/>
    <w:rsid w:val="008D751F"/>
    <w:pPr>
      <w:spacing w:after="0" w:line="240" w:lineRule="auto"/>
    </w:pPr>
  </w:style>
  <w:style w:type="character" w:styleId="CommentReference">
    <w:name w:val="annotation reference"/>
    <w:basedOn w:val="DefaultParagraphFont"/>
    <w:uiPriority w:val="99"/>
    <w:unhideWhenUsed/>
    <w:rsid w:val="008D751F"/>
    <w:rPr>
      <w:sz w:val="16"/>
      <w:szCs w:val="16"/>
    </w:rPr>
  </w:style>
  <w:style w:type="paragraph" w:styleId="CommentText">
    <w:name w:val="annotation text"/>
    <w:aliases w:val="Times New Roman,t"/>
    <w:basedOn w:val="Normal"/>
    <w:link w:val="CommentTextChar"/>
    <w:uiPriority w:val="99"/>
    <w:unhideWhenUsed/>
    <w:qFormat/>
    <w:rsid w:val="008D751F"/>
    <w:rPr>
      <w:sz w:val="20"/>
      <w:szCs w:val="20"/>
    </w:rPr>
  </w:style>
  <w:style w:type="character" w:customStyle="1" w:styleId="CommentTextChar">
    <w:name w:val="Comment Text Char"/>
    <w:aliases w:val="Times New Roman Char,t Char"/>
    <w:basedOn w:val="DefaultParagraphFont"/>
    <w:link w:val="CommentText"/>
    <w:uiPriority w:val="99"/>
    <w:rsid w:val="008D751F"/>
    <w:rPr>
      <w:sz w:val="20"/>
      <w:szCs w:val="20"/>
    </w:rPr>
  </w:style>
  <w:style w:type="paragraph" w:styleId="CommentSubject">
    <w:name w:val="annotation subject"/>
    <w:basedOn w:val="CommentText"/>
    <w:next w:val="CommentText"/>
    <w:link w:val="CommentSubjectChar"/>
    <w:uiPriority w:val="99"/>
    <w:semiHidden/>
    <w:unhideWhenUsed/>
    <w:rsid w:val="008D751F"/>
    <w:rPr>
      <w:b/>
      <w:bCs/>
    </w:rPr>
  </w:style>
  <w:style w:type="character" w:customStyle="1" w:styleId="CommentSubjectChar">
    <w:name w:val="Comment Subject Char"/>
    <w:basedOn w:val="CommentTextChar"/>
    <w:link w:val="CommentSubject"/>
    <w:uiPriority w:val="99"/>
    <w:semiHidden/>
    <w:rsid w:val="008D751F"/>
    <w:rPr>
      <w:b/>
      <w:bCs/>
      <w:sz w:val="20"/>
      <w:szCs w:val="20"/>
    </w:rPr>
  </w:style>
  <w:style w:type="paragraph" w:styleId="Header">
    <w:name w:val="header"/>
    <w:basedOn w:val="Normal"/>
    <w:link w:val="HeaderChar"/>
    <w:uiPriority w:val="99"/>
    <w:unhideWhenUsed/>
    <w:rsid w:val="00064748"/>
    <w:pPr>
      <w:tabs>
        <w:tab w:val="center" w:pos="4680"/>
        <w:tab w:val="right" w:pos="9360"/>
      </w:tabs>
      <w:spacing w:after="0"/>
    </w:pPr>
  </w:style>
  <w:style w:type="character" w:customStyle="1" w:styleId="HeaderChar">
    <w:name w:val="Header Char"/>
    <w:basedOn w:val="DefaultParagraphFont"/>
    <w:link w:val="Header"/>
    <w:uiPriority w:val="99"/>
    <w:rsid w:val="00064748"/>
  </w:style>
  <w:style w:type="character" w:styleId="FollowedHyperlink">
    <w:name w:val="FollowedHyperlink"/>
    <w:basedOn w:val="DefaultParagraphFont"/>
    <w:uiPriority w:val="99"/>
    <w:semiHidden/>
    <w:unhideWhenUsed/>
    <w:rsid w:val="002F5FFE"/>
    <w:rPr>
      <w:color w:val="954F72" w:themeColor="followedHyperlink"/>
      <w:u w:val="single"/>
    </w:rPr>
  </w:style>
  <w:style w:type="character" w:customStyle="1" w:styleId="Heading2Char">
    <w:name w:val="Heading 2 Char"/>
    <w:basedOn w:val="DefaultParagraphFont"/>
    <w:link w:val="Heading2"/>
    <w:uiPriority w:val="9"/>
    <w:rsid w:val="00DD6DEE"/>
    <w:rPr>
      <w:rFonts w:asciiTheme="majorHAnsi" w:eastAsiaTheme="majorEastAsia" w:hAnsiTheme="majorHAnsi" w:cstheme="majorBidi"/>
      <w:b/>
      <w:bCs/>
      <w:u w:val="single"/>
    </w:rPr>
  </w:style>
  <w:style w:type="character" w:customStyle="1" w:styleId="Heading1Char">
    <w:name w:val="Heading 1 Char"/>
    <w:basedOn w:val="DefaultParagraphFont"/>
    <w:link w:val="Heading1"/>
    <w:uiPriority w:val="9"/>
    <w:rsid w:val="00BE703B"/>
    <w:rPr>
      <w:b/>
      <w:bCs/>
      <w:u w:val="single"/>
    </w:rPr>
  </w:style>
  <w:style w:type="character" w:customStyle="1" w:styleId="Heading3Char">
    <w:name w:val="Heading 3 Char"/>
    <w:basedOn w:val="DefaultParagraphFont"/>
    <w:link w:val="Heading3"/>
    <w:uiPriority w:val="9"/>
    <w:rsid w:val="00EE323C"/>
    <w:rPr>
      <w:rFonts w:asciiTheme="majorHAnsi" w:eastAsiaTheme="majorEastAsia" w:hAnsiTheme="majorHAnsi" w:cstheme="majorBidi"/>
      <w:u w:val="single"/>
    </w:rPr>
  </w:style>
  <w:style w:type="character" w:styleId="UnresolvedMention">
    <w:name w:val="Unresolved Mention"/>
    <w:basedOn w:val="DefaultParagraphFont"/>
    <w:uiPriority w:val="99"/>
    <w:semiHidden/>
    <w:unhideWhenUsed/>
    <w:rsid w:val="0046234D"/>
    <w:rPr>
      <w:color w:val="605E5C"/>
      <w:shd w:val="clear" w:color="auto" w:fill="E1DFDD"/>
    </w:rPr>
  </w:style>
  <w:style w:type="character" w:customStyle="1" w:styleId="Heading5Char">
    <w:name w:val="Heading 5 Char"/>
    <w:basedOn w:val="DefaultParagraphFont"/>
    <w:link w:val="Heading5"/>
    <w:uiPriority w:val="9"/>
    <w:rsid w:val="00B9137D"/>
    <w:rPr>
      <w:b/>
    </w:rPr>
  </w:style>
  <w:style w:type="character" w:customStyle="1" w:styleId="Heading6Char">
    <w:name w:val="Heading 6 Char"/>
    <w:basedOn w:val="DefaultParagraphFont"/>
    <w:link w:val="Heading6"/>
    <w:uiPriority w:val="9"/>
    <w:rsid w:val="00BE703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1E5A91"/>
    <w:rPr>
      <w:rFonts w:asciiTheme="majorHAnsi" w:eastAsiaTheme="majorEastAsia" w:hAnsiTheme="majorHAnsi" w:cstheme="majorBidi"/>
      <w:b/>
      <w:bCs/>
      <w:i/>
      <w:iCs/>
    </w:rPr>
  </w:style>
  <w:style w:type="character" w:customStyle="1" w:styleId="Heading4Char">
    <w:name w:val="Heading 4 Char"/>
    <w:basedOn w:val="DefaultParagraphFont"/>
    <w:link w:val="Heading4"/>
    <w:uiPriority w:val="9"/>
    <w:rsid w:val="00B9137D"/>
    <w:rPr>
      <w:b/>
      <w:i/>
      <w:iCs/>
    </w:rPr>
  </w:style>
  <w:style w:type="paragraph" w:customStyle="1" w:styleId="Subheading3">
    <w:name w:val="Subheading 3"/>
    <w:basedOn w:val="Heading3"/>
    <w:next w:val="Normal"/>
    <w:qFormat/>
    <w:rsid w:val="00EE323C"/>
    <w:pPr>
      <w:numPr>
        <w:numId w:val="0"/>
      </w:numPr>
    </w:pPr>
    <w:rPr>
      <w:b/>
      <w:i/>
      <w:u w:val="none"/>
    </w:rPr>
  </w:style>
  <w:style w:type="paragraph" w:customStyle="1" w:styleId="Subheading4">
    <w:name w:val="Subheading 4"/>
    <w:next w:val="Normal"/>
    <w:qFormat/>
    <w:rsid w:val="00EE323C"/>
    <w:pPr>
      <w:keepNext/>
      <w:spacing w:before="200" w:after="200" w:line="240" w:lineRule="auto"/>
      <w:ind w:left="432"/>
      <w:outlineLvl w:val="3"/>
    </w:pPr>
    <w:rPr>
      <w:rFonts w:asciiTheme="majorHAnsi" w:eastAsiaTheme="majorEastAsia" w:hAnsiTheme="majorHAnsi" w:cstheme="majorBidi"/>
      <w:b/>
      <w:bCs/>
      <w:i/>
      <w:iCs/>
    </w:rPr>
  </w:style>
  <w:style w:type="paragraph" w:styleId="EndnoteText">
    <w:name w:val="endnote text"/>
    <w:basedOn w:val="Normal"/>
    <w:link w:val="EndnoteTextChar"/>
    <w:uiPriority w:val="99"/>
    <w:semiHidden/>
    <w:unhideWhenUsed/>
    <w:rsid w:val="00A206BF"/>
    <w:pPr>
      <w:spacing w:before="0" w:after="0"/>
    </w:pPr>
    <w:rPr>
      <w:sz w:val="20"/>
      <w:szCs w:val="20"/>
    </w:rPr>
  </w:style>
  <w:style w:type="character" w:customStyle="1" w:styleId="EndnoteTextChar">
    <w:name w:val="Endnote Text Char"/>
    <w:basedOn w:val="DefaultParagraphFont"/>
    <w:link w:val="EndnoteText"/>
    <w:uiPriority w:val="99"/>
    <w:semiHidden/>
    <w:rsid w:val="00A206BF"/>
    <w:rPr>
      <w:sz w:val="20"/>
      <w:szCs w:val="20"/>
    </w:rPr>
  </w:style>
  <w:style w:type="character" w:styleId="EndnoteReference">
    <w:name w:val="endnote reference"/>
    <w:basedOn w:val="DefaultParagraphFont"/>
    <w:uiPriority w:val="99"/>
    <w:semiHidden/>
    <w:unhideWhenUsed/>
    <w:rsid w:val="00A206BF"/>
    <w:rPr>
      <w:vertAlign w:val="superscript"/>
    </w:rPr>
  </w:style>
  <w:style w:type="character" w:styleId="Mention">
    <w:name w:val="Mention"/>
    <w:basedOn w:val="DefaultParagraphFont"/>
    <w:uiPriority w:val="99"/>
    <w:unhideWhenUsed/>
    <w:rsid w:val="00BE34C3"/>
    <w:rPr>
      <w:color w:val="2B579A"/>
      <w:shd w:val="clear" w:color="auto" w:fill="E1DFDD"/>
    </w:rPr>
  </w:style>
  <w:style w:type="character" w:customStyle="1" w:styleId="ui-provider">
    <w:name w:val="ui-provider"/>
    <w:basedOn w:val="DefaultParagraphFont"/>
    <w:rsid w:val="001D02F2"/>
  </w:style>
  <w:style w:type="paragraph" w:customStyle="1" w:styleId="pf1">
    <w:name w:val="pf1"/>
    <w:basedOn w:val="Normal"/>
    <w:rsid w:val="008B1E71"/>
    <w:pPr>
      <w:spacing w:before="100" w:beforeAutospacing="1" w:after="100" w:afterAutospacing="1"/>
    </w:pPr>
    <w:rPr>
      <w:rFonts w:ascii="Times New Roman" w:eastAsia="Times New Roman" w:hAnsi="Times New Roman" w:cs="Times New Roman"/>
      <w:sz w:val="24"/>
      <w:szCs w:val="24"/>
    </w:rPr>
  </w:style>
  <w:style w:type="paragraph" w:customStyle="1" w:styleId="pf2">
    <w:name w:val="pf2"/>
    <w:basedOn w:val="Normal"/>
    <w:rsid w:val="008B1E71"/>
    <w:pPr>
      <w:spacing w:before="100" w:beforeAutospacing="1" w:after="100" w:afterAutospacing="1"/>
      <w:ind w:left="1080"/>
    </w:pPr>
    <w:rPr>
      <w:rFonts w:ascii="Times New Roman" w:eastAsia="Times New Roman" w:hAnsi="Times New Roman" w:cs="Times New Roman"/>
      <w:sz w:val="24"/>
      <w:szCs w:val="24"/>
    </w:rPr>
  </w:style>
  <w:style w:type="paragraph" w:customStyle="1" w:styleId="pf0">
    <w:name w:val="pf0"/>
    <w:basedOn w:val="Normal"/>
    <w:rsid w:val="008B1E7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8B1E71"/>
    <w:rPr>
      <w:rFonts w:ascii="Segoe UI" w:hAnsi="Segoe UI" w:cs="Segoe UI" w:hint="default"/>
      <w:sz w:val="18"/>
      <w:szCs w:val="18"/>
    </w:rPr>
  </w:style>
  <w:style w:type="character" w:customStyle="1" w:styleId="cf11">
    <w:name w:val="cf11"/>
    <w:basedOn w:val="DefaultParagraphFont"/>
    <w:rsid w:val="008B1E71"/>
    <w:rPr>
      <w:rFonts w:ascii="Segoe UI" w:hAnsi="Segoe UI" w:cs="Segoe UI" w:hint="default"/>
      <w:sz w:val="18"/>
      <w:szCs w:val="18"/>
    </w:rPr>
  </w:style>
  <w:style w:type="paragraph" w:styleId="NormalWeb">
    <w:name w:val="Normal (Web)"/>
    <w:basedOn w:val="Normal"/>
    <w:uiPriority w:val="99"/>
    <w:semiHidden/>
    <w:unhideWhenUsed/>
    <w:rsid w:val="008B1E71"/>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9521F"/>
    <w:pPr>
      <w:widowControl w:val="0"/>
      <w:autoSpaceDE w:val="0"/>
      <w:autoSpaceDN w:val="0"/>
      <w:spacing w:before="220" w:after="0"/>
      <w:ind w:left="551"/>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9521F"/>
    <w:rPr>
      <w:rFonts w:ascii="Times New Roman" w:eastAsia="Times New Roman" w:hAnsi="Times New Roman" w:cs="Times New Roman"/>
    </w:rPr>
  </w:style>
  <w:style w:type="character" w:customStyle="1" w:styleId="citationstylesgno2wrpf">
    <w:name w:val="citationstyles_gno2wrpf"/>
    <w:basedOn w:val="DefaultParagraphFont"/>
    <w:rsid w:val="0096679F"/>
  </w:style>
  <w:style w:type="table" w:styleId="TableGrid">
    <w:name w:val="Table Grid"/>
    <w:basedOn w:val="TableNormal"/>
    <w:uiPriority w:val="39"/>
    <w:rsid w:val="006A7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41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ba.gov/federal-contracting/contracting-guide/size-standards" TargetMode="External" /><Relationship Id="rId11" Type="http://schemas.openxmlformats.org/officeDocument/2006/relationships/hyperlink" Target="http://www.cms.gov/files/document/prior-authorization-metrics-reporting-overview-template.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B4B5024031D4EF281864A043E62444D"/>
        <w:category>
          <w:name w:val="General"/>
          <w:gallery w:val="placeholder"/>
        </w:category>
        <w:types>
          <w:type w:val="bbPlcHdr"/>
        </w:types>
        <w:behaviors>
          <w:behavior w:val="content"/>
        </w:behaviors>
        <w:guid w:val="{7D871C63-7E98-4718-8CF9-568E74942B11}"/>
      </w:docPartPr>
      <w:docPartBody>
        <w:p w:rsidR="00375D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CE"/>
    <w:rsid w:val="0002513C"/>
    <w:rsid w:val="00055F1E"/>
    <w:rsid w:val="00061030"/>
    <w:rsid w:val="00092F96"/>
    <w:rsid w:val="000B37E4"/>
    <w:rsid w:val="000B417E"/>
    <w:rsid w:val="000B558B"/>
    <w:rsid w:val="000C2286"/>
    <w:rsid w:val="00142CDA"/>
    <w:rsid w:val="00142E26"/>
    <w:rsid w:val="001544DD"/>
    <w:rsid w:val="00175CD1"/>
    <w:rsid w:val="00183E59"/>
    <w:rsid w:val="0019195C"/>
    <w:rsid w:val="00196BA6"/>
    <w:rsid w:val="001C4A0D"/>
    <w:rsid w:val="001C5F26"/>
    <w:rsid w:val="001D61F6"/>
    <w:rsid w:val="001E119A"/>
    <w:rsid w:val="001F1808"/>
    <w:rsid w:val="001F58B1"/>
    <w:rsid w:val="001F5CA9"/>
    <w:rsid w:val="001F6D1F"/>
    <w:rsid w:val="001F75E4"/>
    <w:rsid w:val="00202321"/>
    <w:rsid w:val="002164B5"/>
    <w:rsid w:val="00235BF0"/>
    <w:rsid w:val="0024113F"/>
    <w:rsid w:val="002455F7"/>
    <w:rsid w:val="00253943"/>
    <w:rsid w:val="00260C54"/>
    <w:rsid w:val="00285449"/>
    <w:rsid w:val="002C58DF"/>
    <w:rsid w:val="002D1B18"/>
    <w:rsid w:val="00323D8F"/>
    <w:rsid w:val="003603CE"/>
    <w:rsid w:val="00375DE6"/>
    <w:rsid w:val="003762B8"/>
    <w:rsid w:val="003808E8"/>
    <w:rsid w:val="003D2239"/>
    <w:rsid w:val="003E3F09"/>
    <w:rsid w:val="00424592"/>
    <w:rsid w:val="00427F99"/>
    <w:rsid w:val="004365F5"/>
    <w:rsid w:val="00454EDE"/>
    <w:rsid w:val="00455339"/>
    <w:rsid w:val="00466426"/>
    <w:rsid w:val="004807FC"/>
    <w:rsid w:val="004A5C61"/>
    <w:rsid w:val="004B31BF"/>
    <w:rsid w:val="004C5B10"/>
    <w:rsid w:val="004D0536"/>
    <w:rsid w:val="004D7276"/>
    <w:rsid w:val="005127A8"/>
    <w:rsid w:val="00582CFF"/>
    <w:rsid w:val="005B4C56"/>
    <w:rsid w:val="005B5098"/>
    <w:rsid w:val="005E0BC2"/>
    <w:rsid w:val="005E3D20"/>
    <w:rsid w:val="00607838"/>
    <w:rsid w:val="006168ED"/>
    <w:rsid w:val="00631CA5"/>
    <w:rsid w:val="00692560"/>
    <w:rsid w:val="00693788"/>
    <w:rsid w:val="006C0410"/>
    <w:rsid w:val="007272ED"/>
    <w:rsid w:val="007444B0"/>
    <w:rsid w:val="00777BDB"/>
    <w:rsid w:val="00782E14"/>
    <w:rsid w:val="00793CAE"/>
    <w:rsid w:val="007E479B"/>
    <w:rsid w:val="00810656"/>
    <w:rsid w:val="008460B5"/>
    <w:rsid w:val="008A13B7"/>
    <w:rsid w:val="008C7E45"/>
    <w:rsid w:val="008D7B38"/>
    <w:rsid w:val="008F1BFA"/>
    <w:rsid w:val="00901B4C"/>
    <w:rsid w:val="00902518"/>
    <w:rsid w:val="00907155"/>
    <w:rsid w:val="009240BC"/>
    <w:rsid w:val="00933B31"/>
    <w:rsid w:val="0094282D"/>
    <w:rsid w:val="009839D1"/>
    <w:rsid w:val="009A66AE"/>
    <w:rsid w:val="009B643D"/>
    <w:rsid w:val="009C5F17"/>
    <w:rsid w:val="009D0537"/>
    <w:rsid w:val="00A22F3B"/>
    <w:rsid w:val="00A37907"/>
    <w:rsid w:val="00A65365"/>
    <w:rsid w:val="00AD4960"/>
    <w:rsid w:val="00AE1F4E"/>
    <w:rsid w:val="00B11D41"/>
    <w:rsid w:val="00B36BE6"/>
    <w:rsid w:val="00B40C7D"/>
    <w:rsid w:val="00BE125C"/>
    <w:rsid w:val="00C34096"/>
    <w:rsid w:val="00C777CE"/>
    <w:rsid w:val="00C83BAF"/>
    <w:rsid w:val="00CA3B40"/>
    <w:rsid w:val="00CA47CF"/>
    <w:rsid w:val="00CD346A"/>
    <w:rsid w:val="00CD43B0"/>
    <w:rsid w:val="00CE1B3E"/>
    <w:rsid w:val="00D2487A"/>
    <w:rsid w:val="00D355CC"/>
    <w:rsid w:val="00D40CAF"/>
    <w:rsid w:val="00D479A0"/>
    <w:rsid w:val="00DB25D3"/>
    <w:rsid w:val="00DB68FE"/>
    <w:rsid w:val="00DC5961"/>
    <w:rsid w:val="00DD759D"/>
    <w:rsid w:val="00DE6C7E"/>
    <w:rsid w:val="00E201C9"/>
    <w:rsid w:val="00E431F3"/>
    <w:rsid w:val="00E66D86"/>
    <w:rsid w:val="00EB28B9"/>
    <w:rsid w:val="00EB5269"/>
    <w:rsid w:val="00EC60BB"/>
    <w:rsid w:val="00ED2858"/>
    <w:rsid w:val="00ED2D48"/>
    <w:rsid w:val="00ED6AC6"/>
    <w:rsid w:val="00F26C5A"/>
    <w:rsid w:val="00F55570"/>
    <w:rsid w:val="00F66CBB"/>
    <w:rsid w:val="00F9720C"/>
    <w:rsid w:val="00FA5B00"/>
    <w:rsid w:val="00FB05E0"/>
    <w:rsid w:val="00FB23D2"/>
    <w:rsid w:val="00FC6E0C"/>
    <w:rsid w:val="00FF3B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NR-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axCatchAll xmlns="4952e0ab-3107-446c-ab42-809a130af1dc" xsi:nil="true"/>
    <lf414c47304d4c15a4cdd593deb02f5f xmlns="4952e0ab-3107-446c-ab42-809a130af1dc" xsi:nil="true"/>
    <DocStatus xmlns="4952e0ab-3107-446c-ab42-809a130af1dc">New</DocStatus>
    <lf4e879360834b32a0ce60c3bef10998 xmlns="4952e0ab-3107-446c-ab42-809a130af1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657F9339BA52419106A42A8F8B13E1" ma:contentTypeVersion="31" ma:contentTypeDescription="Create a new document." ma:contentTypeScope="" ma:versionID="624abd59efd9af65d3644dec1a8738a2">
  <xsd:schema xmlns:xsd="http://www.w3.org/2001/XMLSchema" xmlns:xs="http://www.w3.org/2001/XMLSchema" xmlns:p="http://schemas.microsoft.com/office/2006/metadata/properties" xmlns:ns2="4952e0ab-3107-446c-ab42-809a130af1dc" xmlns:ns3="0e2b8baa-ed9b-4397-837d-7d3d767dc08d" targetNamespace="http://schemas.microsoft.com/office/2006/metadata/properties" ma:root="true" ma:fieldsID="2f925367f718ed4805ec28012503d747" ns2:_="" ns3:_="">
    <xsd:import namespace="4952e0ab-3107-446c-ab42-809a130af1dc"/>
    <xsd:import namespace="0e2b8baa-ed9b-4397-837d-7d3d767dc08d"/>
    <xsd:element name="properties">
      <xsd:complexType>
        <xsd:sequence>
          <xsd:element name="documentManagement">
            <xsd:complexType>
              <xsd:all>
                <xsd:element ref="ns2:TaxCatchAll" minOccurs="0"/>
                <xsd:element ref="ns2:DocStatus" minOccurs="0"/>
                <xsd:element ref="ns2:lf414c47304d4c15a4cdd593deb02f5f" minOccurs="0"/>
                <xsd:element ref="ns2:lf4e879360834b32a0ce60c3bef10998"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2e0ab-3107-446c-ab42-809a130af1d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c4c8c1-bcdb-4781-9db0-4ab1d32f3e55}" ma:internalName="TaxCatchAll" ma:showField="CatchAllData" ma:web="4952e0ab-3107-446c-ab42-809a130af1dc">
      <xsd:complexType>
        <xsd:complexContent>
          <xsd:extension base="dms:MultiChoiceLookup">
            <xsd:sequence>
              <xsd:element name="Value" type="dms:Lookup" maxOccurs="unbounded" minOccurs="0" nillable="true"/>
            </xsd:sequence>
          </xsd:extension>
        </xsd:complexContent>
      </xsd:complexType>
    </xsd:element>
    <xsd:element name="DocStatus" ma:index="10"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14c47304d4c15a4cdd593deb02f5f" ma:index="12" nillable="true" ma:displayName="Component_1" ma:hidden="true" ma:internalName="lf414c47304d4c15a4cdd593deb02f5f" ma:readOnly="false">
      <xsd:simpleType>
        <xsd:restriction base="dms:Note"/>
      </xsd:simpleType>
    </xsd:element>
    <xsd:element name="lf4e879360834b32a0ce60c3bef10998" ma:index="13" nillable="true" ma:displayName="CMS GRS Bucket Series_0" ma:hidden="true" ma:internalName="lf4e879360834b32a0ce60c3bef10998"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2b8baa-ed9b-4397-837d-7d3d767dc08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909A7-E29F-4E64-BE7D-1BC0181DC31E}">
  <ds:schemaRefs>
    <ds:schemaRef ds:uri="http://schemas.microsoft.com/sharepoint/v3/contenttype/forms"/>
  </ds:schemaRefs>
</ds:datastoreItem>
</file>

<file path=customXml/itemProps2.xml><?xml version="1.0" encoding="utf-8"?>
<ds:datastoreItem xmlns:ds="http://schemas.openxmlformats.org/officeDocument/2006/customXml" ds:itemID="{57DBA34B-4478-4B57-9A07-01C8632E3FA5}">
  <ds:schemaRefs>
    <ds:schemaRef ds:uri="http://schemas.microsoft.com/office/2006/metadata/properties"/>
    <ds:schemaRef ds:uri="http://schemas.microsoft.com/office/infopath/2007/PartnerControls"/>
    <ds:schemaRef ds:uri="4952e0ab-3107-446c-ab42-809a130af1dc"/>
  </ds:schemaRefs>
</ds:datastoreItem>
</file>

<file path=customXml/itemProps3.xml><?xml version="1.0" encoding="utf-8"?>
<ds:datastoreItem xmlns:ds="http://schemas.openxmlformats.org/officeDocument/2006/customXml" ds:itemID="{4951585E-707B-472E-BA77-7A33B5B762DF}">
  <ds:schemaRefs>
    <ds:schemaRef ds:uri="http://schemas.openxmlformats.org/officeDocument/2006/bibliography"/>
  </ds:schemaRefs>
</ds:datastoreItem>
</file>

<file path=customXml/itemProps4.xml><?xml version="1.0" encoding="utf-8"?>
<ds:datastoreItem xmlns:ds="http://schemas.openxmlformats.org/officeDocument/2006/customXml" ds:itemID="{96293F65-8CFD-44FA-A257-674FE81D4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2e0ab-3107-446c-ab42-809a130af1dc"/>
    <ds:schemaRef ds:uri="0e2b8baa-ed9b-4397-837d-7d3d767dc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 id="{ea7c8314-e2a8-4228-9f00-abb40bc383a4}" enabled="1" method="Privileged" siteId="{66d73691-ea97-48b1-95d5-e94f0a46b878}"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17</Pages>
  <Words>6790</Words>
  <Characters>38706</Characters>
  <Application>Microsoft Office Word</Application>
  <DocSecurity>0</DocSecurity>
  <Lines>860</Lines>
  <Paragraphs>494</Paragraphs>
  <ScaleCrop>false</ScaleCrop>
  <HeadingPairs>
    <vt:vector size="2" baseType="variant">
      <vt:variant>
        <vt:lpstr>Title</vt:lpstr>
      </vt:variant>
      <vt:variant>
        <vt:i4>1</vt:i4>
      </vt:variant>
    </vt:vector>
  </HeadingPairs>
  <TitlesOfParts>
    <vt:vector size="1" baseType="lpstr">
      <vt:lpstr>CMS-10843_Supporting Statement Part A</vt:lpstr>
    </vt:vector>
  </TitlesOfParts>
  <Company/>
  <LinksUpToDate>false</LinksUpToDate>
  <CharactersWithSpaces>45002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CMS-10843_Supporting Statement Part A</dc:title>
  <dc:subject>CMS-10843 Supporting Statement Part A</dc:subject>
  <dc:creator>Centers for Medicare &amp; Medicaid Services (CMS)</dc:creator>
  <cp:keywords>Supporting Statement, Part A, PRA, CMS-10843, CMS-0057-F</cp:keywords>
  <cp:lastModifiedBy>Parham, William (CMS/OSORA)</cp:lastModifiedBy>
  <cp:revision>4</cp:revision>
  <dcterms:created xsi:type="dcterms:W3CDTF">2026-04-15T19:56:00Z</dcterms:created>
  <dcterms:modified xsi:type="dcterms:W3CDTF">2026-04-20T18:42:00Z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MS_x0020_GRS_x0020_Bucket_x0020_Series">
    <vt:lpwstr/>
  </property>
  <property fmtid="{D5CDD505-2E9C-101B-9397-08002B2CF9AE}" pid="4" name="Component">
    <vt:lpwstr/>
  </property>
  <property fmtid="{D5CDD505-2E9C-101B-9397-08002B2CF9AE}" pid="5" name="ContentTypeId">
    <vt:lpwstr>0x01010062657F9339BA52419106A42A8F8B13E1</vt:lpwstr>
  </property>
  <property fmtid="{D5CDD505-2E9C-101B-9397-08002B2CF9AE}" pid="6" name="docLang">
    <vt:lpwstr>en</vt:lpwstr>
  </property>
  <property fmtid="{D5CDD505-2E9C-101B-9397-08002B2CF9AE}" pid="7" name="MediaServiceImageTags">
    <vt:lpwstr/>
  </property>
  <property fmtid="{D5CDD505-2E9C-101B-9397-08002B2CF9AE}" pid="8" name="RLPreviousUrl">
    <vt:lpwstr>/office/obrhi/HIIG/Legislation &amp; Rulemaking/Rulemaking/Rule 4 - Interop and Drugs/Rule 4 PRA Package/Consolidated Final Rule 3 and Rule 4 NPRM Package/Consolidated Supporting Statement Part A_6.11.docx</vt:lpwstr>
  </property>
  <property fmtid="{D5CDD505-2E9C-101B-9397-08002B2CF9AE}" pid="9" name="_ExtendedDescription">
    <vt:lpwstr/>
  </property>
  <property fmtid="{D5CDD505-2E9C-101B-9397-08002B2CF9AE}" pid="10" name="_ShortcutSiteId">
    <vt:lpwstr/>
  </property>
  <property fmtid="{D5CDD505-2E9C-101B-9397-08002B2CF9AE}" pid="11" name="_ShortcutUniqueId">
    <vt:lpwstr/>
  </property>
  <property fmtid="{D5CDD505-2E9C-101B-9397-08002B2CF9AE}" pid="12" name="_ShortcutUrl">
    <vt:lpwstr/>
  </property>
  <property fmtid="{D5CDD505-2E9C-101B-9397-08002B2CF9AE}" pid="13" name="_ShortcutWebId">
    <vt:lpwstr/>
  </property>
</Properties>
</file>