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E415A" w:rsidRPr="00B270C7" w:rsidP="00F474C4" w14:paraId="6FEF80F4" w14:textId="528BEBC7">
      <w:pPr>
        <w:pStyle w:val="Title"/>
      </w:pPr>
      <w:bookmarkStart w:id="0" w:name="Supporting_Statement_For_Paperwork_Reduc"/>
      <w:bookmarkEnd w:id="0"/>
      <w:r w:rsidRPr="00B270C7">
        <w:t xml:space="preserve">Supporting Statement for </w:t>
      </w:r>
      <w:r w:rsidRPr="00B270C7" w:rsidR="00672C4D">
        <w:t>Conditions of Participation</w:t>
      </w:r>
      <w:r w:rsidRPr="00B270C7">
        <w:t xml:space="preserve"> for Transplant Programs</w:t>
      </w:r>
    </w:p>
    <w:p w:rsidR="00C63703" w:rsidP="00F474C4" w14:paraId="637EBA0F" w14:textId="34FB255C">
      <w:pPr>
        <w:pStyle w:val="Title"/>
      </w:pPr>
      <w:r w:rsidRPr="00B270C7">
        <w:t>(</w:t>
      </w:r>
      <w:r w:rsidRPr="00B270C7" w:rsidR="00396860">
        <w:t xml:space="preserve">OMB Control No. </w:t>
      </w:r>
      <w:r w:rsidRPr="00B270C7">
        <w:t>0938-1069</w:t>
      </w:r>
      <w:r w:rsidRPr="00B270C7" w:rsidR="00B27C4F">
        <w:t>/</w:t>
      </w:r>
      <w:r w:rsidRPr="00B270C7">
        <w:t>CMS-10266)</w:t>
      </w:r>
    </w:p>
    <w:p w:rsidR="00595B10" w:rsidRPr="00595B10" w:rsidP="00595B10" w14:paraId="6E25645D" w14:textId="77777777"/>
    <w:p w:rsidR="00967179" w:rsidRPr="00B270C7" w:rsidP="00595B10" w14:paraId="383D09A9" w14:textId="3793474C">
      <w:pPr>
        <w:pStyle w:val="Heading1"/>
        <w:spacing w:before="0" w:after="0"/>
      </w:pPr>
      <w:bookmarkStart w:id="1" w:name="Conditions_of_Participation:__Requiremen"/>
      <w:bookmarkStart w:id="2" w:name="A._Introduction"/>
      <w:bookmarkEnd w:id="1"/>
      <w:bookmarkEnd w:id="2"/>
      <w:r w:rsidRPr="00B270C7">
        <w:t>Background</w:t>
      </w:r>
    </w:p>
    <w:p w:rsidR="00595B10" w:rsidP="00595B10" w14:paraId="2285F69D" w14:textId="77777777">
      <w:pPr>
        <w:pStyle w:val="BodyText"/>
        <w:ind w:left="460" w:right="144"/>
      </w:pPr>
    </w:p>
    <w:p w:rsidR="009936DF" w:rsidP="00595B10" w14:paraId="40E08779" w14:textId="2B882F29">
      <w:pPr>
        <w:pStyle w:val="BodyText"/>
        <w:ind w:left="460" w:right="144"/>
      </w:pPr>
      <w:r w:rsidRPr="009936DF">
        <w:t xml:space="preserve">The purpose of this package is to request </w:t>
      </w:r>
      <w:r w:rsidR="00A53788">
        <w:t xml:space="preserve">approval </w:t>
      </w:r>
      <w:r w:rsidRPr="009936DF">
        <w:t xml:space="preserve">from the Office of Management and Budget (OMB) to </w:t>
      </w:r>
      <w:r w:rsidR="00A64DDD">
        <w:t>reinstate</w:t>
      </w:r>
      <w:r w:rsidRPr="009936DF">
        <w:t>, with change, the information collection</w:t>
      </w:r>
      <w:r>
        <w:t xml:space="preserve"> </w:t>
      </w:r>
      <w:r w:rsidR="00A64DDD">
        <w:t>request</w:t>
      </w:r>
      <w:r w:rsidRPr="009936DF">
        <w:t xml:space="preserve"> </w:t>
      </w:r>
      <w:r w:rsidR="00B27C4F">
        <w:t xml:space="preserve">for </w:t>
      </w:r>
      <w:r w:rsidR="00396860">
        <w:t xml:space="preserve">OMB Control No. </w:t>
      </w:r>
      <w:r w:rsidRPr="009936DF">
        <w:t>0938-1069</w:t>
      </w:r>
      <w:r w:rsidR="00B27C4F">
        <w:t>,</w:t>
      </w:r>
      <w:r w:rsidRPr="009936DF" w:rsidR="00967179">
        <w:t xml:space="preserve"> </w:t>
      </w:r>
      <w:r w:rsidR="00967179">
        <w:t>which</w:t>
      </w:r>
      <w:r w:rsidRPr="00967179" w:rsidR="00967179">
        <w:t xml:space="preserve"> expired on November 30, 2022.</w:t>
      </w:r>
      <w:r>
        <w:t xml:space="preserve"> The </w:t>
      </w:r>
      <w:r w:rsidR="00B27C4F">
        <w:t>information collection request</w:t>
      </w:r>
      <w:r>
        <w:t xml:space="preserve"> described herein </w:t>
      </w:r>
      <w:r w:rsidR="00A53788">
        <w:t>is</w:t>
      </w:r>
      <w:r>
        <w:t xml:space="preserve"> </w:t>
      </w:r>
      <w:r w:rsidR="00396860">
        <w:t>associated with the</w:t>
      </w:r>
      <w:r w:rsidR="00B27C4F">
        <w:t xml:space="preserve"> </w:t>
      </w:r>
      <w:r>
        <w:t>Conditions of Participation (CoPs)</w:t>
      </w:r>
      <w:r w:rsidR="00DE415A">
        <w:t xml:space="preserve"> </w:t>
      </w:r>
      <w:r>
        <w:t>for Transplant Programs</w:t>
      </w:r>
      <w:r w:rsidR="00DE415A">
        <w:t xml:space="preserve">, </w:t>
      </w:r>
      <w:r w:rsidRPr="00D91054" w:rsidR="00DE415A">
        <w:t xml:space="preserve">specified </w:t>
      </w:r>
      <w:r w:rsidR="00DE415A">
        <w:t xml:space="preserve">at Title 42 Code for Regulations (CFR) Sections §§ </w:t>
      </w:r>
      <w:r w:rsidRPr="00D91054" w:rsidR="00DE415A">
        <w:t>482.</w:t>
      </w:r>
      <w:r w:rsidR="00DE415A">
        <w:t>68</w:t>
      </w:r>
      <w:r w:rsidRPr="00D91054" w:rsidR="00DE415A">
        <w:t xml:space="preserve"> </w:t>
      </w:r>
      <w:r w:rsidR="00DE415A">
        <w:t>to</w:t>
      </w:r>
      <w:r w:rsidRPr="00D91054" w:rsidR="00DE415A">
        <w:t xml:space="preserve"> 482.</w:t>
      </w:r>
      <w:r w:rsidR="00DE415A">
        <w:t>104</w:t>
      </w:r>
      <w:r>
        <w:t>.</w:t>
      </w:r>
      <w:r>
        <w:rPr>
          <w:rStyle w:val="FootnoteReference"/>
        </w:rPr>
        <w:footnoteReference w:id="2"/>
      </w:r>
    </w:p>
    <w:p w:rsidR="00396860" w:rsidP="00F474C4" w14:paraId="2840899A" w14:textId="77777777">
      <w:pPr>
        <w:pStyle w:val="BodyText"/>
        <w:spacing w:before="1"/>
        <w:ind w:left="460" w:right="144"/>
      </w:pPr>
    </w:p>
    <w:p w:rsidR="00396860" w:rsidP="00595B10" w14:paraId="4477B2F7" w14:textId="4D39B23E">
      <w:pPr>
        <w:pStyle w:val="BodyText"/>
        <w:ind w:left="460" w:right="144"/>
      </w:pPr>
      <w:r>
        <w:t>A certified Transplant Program is an approved Medicare provider type</w:t>
      </w:r>
      <w:r w:rsidRPr="00D91054">
        <w:t xml:space="preserve"> </w:t>
      </w:r>
      <w:r>
        <w:t xml:space="preserve">that is </w:t>
      </w:r>
      <w:r w:rsidRPr="00D91054">
        <w:t xml:space="preserve">located </w:t>
      </w:r>
      <w:r>
        <w:t>within an approved</w:t>
      </w:r>
      <w:r w:rsidRPr="00D91054">
        <w:t xml:space="preserve"> </w:t>
      </w:r>
      <w:r w:rsidR="00103333">
        <w:t xml:space="preserve">Medicare </w:t>
      </w:r>
      <w:r>
        <w:t>H</w:t>
      </w:r>
      <w:r w:rsidRPr="00D91054">
        <w:t>ospital</w:t>
      </w:r>
      <w:r>
        <w:t xml:space="preserve"> provider type. Approved Medicare dialysis facilities also work in conjunction with Transplant Programs, as they support patients before and possibly after kidney transplants. Transplant Programs may receive payment for </w:t>
      </w:r>
      <w:r w:rsidRPr="00F859BB">
        <w:t>heart, heart-lung, intestine, kidney, liver, lung, and pancreas</w:t>
      </w:r>
      <w:r>
        <w:t xml:space="preserve"> transplants if</w:t>
      </w:r>
      <w:r w:rsidR="0015797D">
        <w:t>, and only if, t</w:t>
      </w:r>
      <w:r>
        <w:t xml:space="preserve">hey </w:t>
      </w:r>
      <w:r>
        <w:t>are in compliance with</w:t>
      </w:r>
      <w:r>
        <w:t xml:space="preserve"> the Conditions of Participation (CoPs) </w:t>
      </w:r>
      <w:r w:rsidRPr="00D91054">
        <w:t xml:space="preserve">specified in 42 CFR </w:t>
      </w:r>
      <w:r w:rsidRPr="00B27C4F">
        <w:t xml:space="preserve">§§ </w:t>
      </w:r>
      <w:r w:rsidRPr="009C46E9">
        <w:t>482</w:t>
      </w:r>
      <w:r w:rsidRPr="00D91054">
        <w:t>.</w:t>
      </w:r>
      <w:r>
        <w:t>68</w:t>
      </w:r>
      <w:r w:rsidRPr="00D91054">
        <w:t xml:space="preserve"> </w:t>
      </w:r>
      <w:r>
        <w:t>to</w:t>
      </w:r>
      <w:r w:rsidRPr="00D91054">
        <w:t xml:space="preserve"> 482.</w:t>
      </w:r>
      <w:r>
        <w:t xml:space="preserve">104. </w:t>
      </w:r>
    </w:p>
    <w:p w:rsidR="00396860" w:rsidP="00F474C4" w14:paraId="3F119EF3" w14:textId="77777777">
      <w:pPr>
        <w:pStyle w:val="BodyText"/>
        <w:spacing w:before="1"/>
        <w:ind w:left="460" w:right="144"/>
      </w:pPr>
    </w:p>
    <w:p w:rsidR="00967179" w:rsidP="00F474C4" w14:paraId="2F0FCBE6" w14:textId="49A2419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szCs w:val="24"/>
        </w:rPr>
      </w:pPr>
      <w:r>
        <w:rPr>
          <w:sz w:val="24"/>
          <w:szCs w:val="24"/>
        </w:rPr>
        <w:t xml:space="preserve">The </w:t>
      </w:r>
      <w:r w:rsidRPr="00967179">
        <w:rPr>
          <w:sz w:val="24"/>
          <w:szCs w:val="24"/>
        </w:rPr>
        <w:t>previous iteration of OMB Control Number 0938-1069</w:t>
      </w:r>
      <w:r>
        <w:rPr>
          <w:sz w:val="24"/>
          <w:szCs w:val="24"/>
        </w:rPr>
        <w:t xml:space="preserve"> was </w:t>
      </w:r>
      <w:r w:rsidRPr="00967179">
        <w:rPr>
          <w:sz w:val="24"/>
          <w:szCs w:val="24"/>
        </w:rPr>
        <w:t>approved</w:t>
      </w:r>
      <w:r w:rsidR="00EE0AF7">
        <w:rPr>
          <w:sz w:val="24"/>
          <w:szCs w:val="24"/>
        </w:rPr>
        <w:t xml:space="preserve"> on</w:t>
      </w:r>
      <w:r w:rsidRPr="00967179">
        <w:rPr>
          <w:sz w:val="24"/>
          <w:szCs w:val="24"/>
        </w:rPr>
        <w:t xml:space="preserve"> November </w:t>
      </w:r>
      <w:r w:rsidR="00BA19C7">
        <w:rPr>
          <w:sz w:val="24"/>
          <w:szCs w:val="24"/>
        </w:rPr>
        <w:t>29</w:t>
      </w:r>
      <w:r w:rsidRPr="00967179">
        <w:rPr>
          <w:sz w:val="24"/>
          <w:szCs w:val="24"/>
        </w:rPr>
        <w:t>, 20</w:t>
      </w:r>
      <w:r w:rsidR="00BA19C7">
        <w:rPr>
          <w:sz w:val="24"/>
          <w:szCs w:val="24"/>
        </w:rPr>
        <w:t>19</w:t>
      </w:r>
      <w:r>
        <w:rPr>
          <w:sz w:val="24"/>
          <w:szCs w:val="24"/>
        </w:rPr>
        <w:t>, with an</w:t>
      </w:r>
      <w:r w:rsidRPr="00967179">
        <w:rPr>
          <w:sz w:val="24"/>
          <w:szCs w:val="24"/>
        </w:rPr>
        <w:t xml:space="preserve"> </w:t>
      </w:r>
      <w:r>
        <w:rPr>
          <w:sz w:val="24"/>
          <w:szCs w:val="24"/>
        </w:rPr>
        <w:t xml:space="preserve">estimated </w:t>
      </w:r>
      <w:r w:rsidRPr="00967179">
        <w:rPr>
          <w:sz w:val="24"/>
          <w:szCs w:val="24"/>
        </w:rPr>
        <w:t>annual burden of 2,593</w:t>
      </w:r>
      <w:r w:rsidR="00EE0AF7">
        <w:rPr>
          <w:sz w:val="24"/>
          <w:szCs w:val="24"/>
        </w:rPr>
        <w:t xml:space="preserve"> hours</w:t>
      </w:r>
      <w:r w:rsidRPr="00967179">
        <w:rPr>
          <w:sz w:val="24"/>
          <w:szCs w:val="24"/>
        </w:rPr>
        <w:t xml:space="preserve"> </w:t>
      </w:r>
      <w:r w:rsidR="00EE0AF7">
        <w:rPr>
          <w:sz w:val="24"/>
          <w:szCs w:val="24"/>
        </w:rPr>
        <w:t>and</w:t>
      </w:r>
      <w:r>
        <w:rPr>
          <w:sz w:val="24"/>
          <w:szCs w:val="24"/>
        </w:rPr>
        <w:t xml:space="preserve"> an</w:t>
      </w:r>
      <w:r w:rsidRPr="00967179">
        <w:rPr>
          <w:sz w:val="24"/>
          <w:szCs w:val="24"/>
        </w:rPr>
        <w:t xml:space="preserve"> </w:t>
      </w:r>
      <w:r w:rsidRPr="00967179" w:rsidR="009432A0">
        <w:rPr>
          <w:sz w:val="24"/>
          <w:szCs w:val="24"/>
        </w:rPr>
        <w:t>annual cost</w:t>
      </w:r>
      <w:r w:rsidRPr="00967179">
        <w:rPr>
          <w:sz w:val="24"/>
          <w:szCs w:val="24"/>
        </w:rPr>
        <w:t xml:space="preserve"> of $</w:t>
      </w:r>
      <w:r w:rsidR="005E63BE">
        <w:rPr>
          <w:sz w:val="24"/>
          <w:szCs w:val="24"/>
        </w:rPr>
        <w:t>181,130.</w:t>
      </w:r>
      <w:r w:rsidRPr="00967179">
        <w:rPr>
          <w:sz w:val="24"/>
          <w:szCs w:val="24"/>
        </w:rPr>
        <w:t xml:space="preserve"> </w:t>
      </w:r>
    </w:p>
    <w:p w:rsidR="00967179" w:rsidP="00F474C4" w14:paraId="2138F36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szCs w:val="24"/>
        </w:rPr>
      </w:pPr>
    </w:p>
    <w:p w:rsidR="00967179" w:rsidP="00F474C4" w14:paraId="031D2E7A" w14:textId="5AC00D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szCs w:val="24"/>
        </w:rPr>
      </w:pPr>
      <w:r w:rsidRPr="00BD2E8B">
        <w:rPr>
          <w:sz w:val="24"/>
          <w:szCs w:val="24"/>
        </w:rPr>
        <w:t>For this re-instatement</w:t>
      </w:r>
      <w:r w:rsidRPr="00BD2E8B" w:rsidR="00D70D41">
        <w:rPr>
          <w:sz w:val="24"/>
          <w:szCs w:val="24"/>
        </w:rPr>
        <w:t>,</w:t>
      </w:r>
      <w:r w:rsidRPr="00BD2E8B">
        <w:rPr>
          <w:sz w:val="24"/>
          <w:szCs w:val="24"/>
        </w:rPr>
        <w:t xml:space="preserve"> the total annual </w:t>
      </w:r>
      <w:r w:rsidRPr="00BD2E8B" w:rsidR="00EF3345">
        <w:rPr>
          <w:sz w:val="24"/>
          <w:szCs w:val="24"/>
        </w:rPr>
        <w:t xml:space="preserve">hourly </w:t>
      </w:r>
      <w:r w:rsidRPr="00BD2E8B">
        <w:rPr>
          <w:sz w:val="24"/>
          <w:szCs w:val="24"/>
        </w:rPr>
        <w:t xml:space="preserve">burden is </w:t>
      </w:r>
      <w:r w:rsidRPr="00BD2E8B" w:rsidR="00EF3345">
        <w:rPr>
          <w:sz w:val="24"/>
          <w:szCs w:val="24"/>
        </w:rPr>
        <w:t>revised to</w:t>
      </w:r>
      <w:r w:rsidRPr="00BD2E8B">
        <w:rPr>
          <w:sz w:val="24"/>
          <w:szCs w:val="24"/>
        </w:rPr>
        <w:t xml:space="preserve"> </w:t>
      </w:r>
      <w:r w:rsidRPr="00BD2E8B">
        <w:rPr>
          <w:b/>
          <w:bCs/>
          <w:sz w:val="24"/>
          <w:szCs w:val="24"/>
        </w:rPr>
        <w:t>3</w:t>
      </w:r>
      <w:r w:rsidRPr="004C1575" w:rsidR="003D3D50">
        <w:rPr>
          <w:b/>
          <w:bCs/>
          <w:sz w:val="24"/>
          <w:szCs w:val="24"/>
        </w:rPr>
        <w:t>,3</w:t>
      </w:r>
      <w:r w:rsidR="005B102E">
        <w:rPr>
          <w:b/>
          <w:bCs/>
          <w:sz w:val="24"/>
          <w:szCs w:val="24"/>
        </w:rPr>
        <w:t>4</w:t>
      </w:r>
      <w:r w:rsidR="0053544C">
        <w:rPr>
          <w:b/>
          <w:bCs/>
          <w:sz w:val="24"/>
          <w:szCs w:val="24"/>
        </w:rPr>
        <w:t>0</w:t>
      </w:r>
      <w:r w:rsidRPr="00BD2E8B">
        <w:rPr>
          <w:b/>
          <w:bCs/>
          <w:sz w:val="24"/>
          <w:szCs w:val="24"/>
        </w:rPr>
        <w:t xml:space="preserve">, </w:t>
      </w:r>
      <w:r w:rsidRPr="00BD2E8B" w:rsidR="00EE0AF7">
        <w:rPr>
          <w:sz w:val="24"/>
          <w:szCs w:val="24"/>
        </w:rPr>
        <w:t>with</w:t>
      </w:r>
      <w:r w:rsidRPr="00BD2E8B">
        <w:rPr>
          <w:sz w:val="24"/>
          <w:szCs w:val="24"/>
        </w:rPr>
        <w:t xml:space="preserve"> an annual burden cost of </w:t>
      </w:r>
      <w:r w:rsidRPr="00BD2E8B">
        <w:rPr>
          <w:b/>
          <w:bCs/>
          <w:sz w:val="24"/>
          <w:szCs w:val="24"/>
        </w:rPr>
        <w:t>$3</w:t>
      </w:r>
      <w:r w:rsidRPr="00BD2E8B" w:rsidR="003D3D50">
        <w:rPr>
          <w:b/>
          <w:bCs/>
          <w:sz w:val="24"/>
          <w:szCs w:val="24"/>
        </w:rPr>
        <w:t>5</w:t>
      </w:r>
      <w:r w:rsidR="005B102E">
        <w:rPr>
          <w:b/>
          <w:bCs/>
          <w:sz w:val="24"/>
          <w:szCs w:val="24"/>
        </w:rPr>
        <w:t>2</w:t>
      </w:r>
      <w:r w:rsidR="0053544C">
        <w:rPr>
          <w:b/>
          <w:bCs/>
          <w:sz w:val="24"/>
          <w:szCs w:val="24"/>
        </w:rPr>
        <w:t>,</w:t>
      </w:r>
      <w:r w:rsidR="005B102E">
        <w:rPr>
          <w:b/>
          <w:bCs/>
          <w:sz w:val="24"/>
          <w:szCs w:val="24"/>
        </w:rPr>
        <w:t>4</w:t>
      </w:r>
      <w:r w:rsidR="0053544C">
        <w:rPr>
          <w:b/>
          <w:bCs/>
          <w:sz w:val="24"/>
          <w:szCs w:val="24"/>
        </w:rPr>
        <w:t>6</w:t>
      </w:r>
      <w:r w:rsidR="005B102E">
        <w:rPr>
          <w:b/>
          <w:bCs/>
          <w:sz w:val="24"/>
          <w:szCs w:val="24"/>
        </w:rPr>
        <w:t>2</w:t>
      </w:r>
      <w:r w:rsidRPr="00BD2E8B" w:rsidR="00EE0AF7">
        <w:rPr>
          <w:sz w:val="24"/>
          <w:szCs w:val="24"/>
        </w:rPr>
        <w:t xml:space="preserve"> (</w:t>
      </w:r>
      <w:r w:rsidRPr="00BD2E8B" w:rsidR="00EF625E">
        <w:rPr>
          <w:sz w:val="24"/>
          <w:szCs w:val="24"/>
        </w:rPr>
        <w:t>s</w:t>
      </w:r>
      <w:r w:rsidRPr="00BD2E8B" w:rsidR="00702E00">
        <w:rPr>
          <w:sz w:val="24"/>
          <w:szCs w:val="24"/>
        </w:rPr>
        <w:t>ee Table</w:t>
      </w:r>
      <w:r w:rsidRPr="00BD2E8B" w:rsidR="003D3D50">
        <w:rPr>
          <w:sz w:val="24"/>
          <w:szCs w:val="24"/>
        </w:rPr>
        <w:t xml:space="preserve"> 1</w:t>
      </w:r>
      <w:r w:rsidR="0053544C">
        <w:rPr>
          <w:sz w:val="24"/>
          <w:szCs w:val="24"/>
        </w:rPr>
        <w:t>1</w:t>
      </w:r>
      <w:r w:rsidRPr="00BD2E8B" w:rsidR="00EE0AF7">
        <w:rPr>
          <w:sz w:val="24"/>
          <w:szCs w:val="24"/>
        </w:rPr>
        <w:t>)</w:t>
      </w:r>
      <w:r w:rsidRPr="00BD2E8B" w:rsidR="00D70D41">
        <w:rPr>
          <w:sz w:val="24"/>
          <w:szCs w:val="24"/>
        </w:rPr>
        <w:t xml:space="preserve">. </w:t>
      </w:r>
      <w:r w:rsidRPr="00BD2E8B" w:rsidR="00FA5203">
        <w:rPr>
          <w:sz w:val="24"/>
          <w:szCs w:val="24"/>
        </w:rPr>
        <w:t xml:space="preserve">The </w:t>
      </w:r>
      <w:r w:rsidR="005B102E">
        <w:rPr>
          <w:sz w:val="24"/>
          <w:szCs w:val="24"/>
        </w:rPr>
        <w:t>29</w:t>
      </w:r>
      <w:r w:rsidR="0053544C">
        <w:rPr>
          <w:sz w:val="24"/>
          <w:szCs w:val="24"/>
        </w:rPr>
        <w:t xml:space="preserve">% </w:t>
      </w:r>
      <w:r w:rsidRPr="00BD2E8B" w:rsidR="00FA5203">
        <w:rPr>
          <w:sz w:val="24"/>
          <w:szCs w:val="24"/>
        </w:rPr>
        <w:t xml:space="preserve">increase </w:t>
      </w:r>
      <w:r w:rsidR="0053544C">
        <w:rPr>
          <w:sz w:val="24"/>
          <w:szCs w:val="24"/>
        </w:rPr>
        <w:t>in burden hours (from 2,593 to 3,3</w:t>
      </w:r>
      <w:r w:rsidR="005B102E">
        <w:rPr>
          <w:sz w:val="24"/>
          <w:szCs w:val="24"/>
        </w:rPr>
        <w:t>4</w:t>
      </w:r>
      <w:r w:rsidR="0053544C">
        <w:rPr>
          <w:sz w:val="24"/>
          <w:szCs w:val="24"/>
        </w:rPr>
        <w:t>0</w:t>
      </w:r>
      <w:r w:rsidR="00452275">
        <w:rPr>
          <w:sz w:val="24"/>
          <w:szCs w:val="24"/>
        </w:rPr>
        <w:t xml:space="preserve">) </w:t>
      </w:r>
      <w:r w:rsidRPr="00BD2E8B" w:rsidR="00FA5203">
        <w:rPr>
          <w:sz w:val="24"/>
          <w:szCs w:val="24"/>
        </w:rPr>
        <w:t>is</w:t>
      </w:r>
      <w:r w:rsidRPr="00BD2E8B" w:rsidR="003D3D50">
        <w:rPr>
          <w:sz w:val="24"/>
          <w:szCs w:val="24"/>
        </w:rPr>
        <w:t xml:space="preserve"> primarily due to the addition of</w:t>
      </w:r>
      <w:r w:rsidR="005B102E">
        <w:rPr>
          <w:sz w:val="24"/>
          <w:szCs w:val="24"/>
        </w:rPr>
        <w:t xml:space="preserve"> </w:t>
      </w:r>
      <w:r w:rsidRPr="005B102E" w:rsidR="005B102E">
        <w:rPr>
          <w:sz w:val="24"/>
          <w:szCs w:val="24"/>
        </w:rPr>
        <w:t xml:space="preserve">one </w:t>
      </w:r>
      <w:r w:rsidRPr="005B102E" w:rsidR="003D3D50">
        <w:rPr>
          <w:sz w:val="24"/>
          <w:szCs w:val="24"/>
        </w:rPr>
        <w:t>missing IC</w:t>
      </w:r>
      <w:r w:rsidRPr="005B102E" w:rsidR="00F23070">
        <w:rPr>
          <w:sz w:val="24"/>
          <w:szCs w:val="24"/>
        </w:rPr>
        <w:t>,</w:t>
      </w:r>
      <w:r w:rsidRPr="005B102E" w:rsidR="00924644">
        <w:rPr>
          <w:sz w:val="24"/>
          <w:szCs w:val="24"/>
        </w:rPr>
        <w:t xml:space="preserve"> (</w:t>
      </w:r>
      <w:r w:rsidRPr="004C1575" w:rsidR="00924644">
        <w:rPr>
          <w:sz w:val="24"/>
          <w:szCs w:val="24"/>
        </w:rPr>
        <w:t xml:space="preserve">IC-3), </w:t>
      </w:r>
      <w:r w:rsidRPr="005B102E" w:rsidR="003D3D50">
        <w:rPr>
          <w:sz w:val="24"/>
          <w:szCs w:val="24"/>
        </w:rPr>
        <w:t>minor corrections to burden estimates</w:t>
      </w:r>
      <w:r w:rsidRPr="005B102E" w:rsidR="00F23070">
        <w:rPr>
          <w:sz w:val="24"/>
          <w:szCs w:val="24"/>
        </w:rPr>
        <w:t>, and updating labor wag</w:t>
      </w:r>
      <w:r w:rsidRPr="00BD2E8B" w:rsidR="00F23070">
        <w:rPr>
          <w:sz w:val="24"/>
          <w:szCs w:val="24"/>
        </w:rPr>
        <w:t>e</w:t>
      </w:r>
      <w:r w:rsidRPr="00BD2E8B" w:rsidR="0015797D">
        <w:rPr>
          <w:sz w:val="24"/>
          <w:szCs w:val="24"/>
        </w:rPr>
        <w:t xml:space="preserve"> data </w:t>
      </w:r>
      <w:r w:rsidRPr="00BD2E8B" w:rsidR="00F23070">
        <w:rPr>
          <w:sz w:val="24"/>
          <w:szCs w:val="24"/>
        </w:rPr>
        <w:t>to more recent</w:t>
      </w:r>
      <w:r w:rsidRPr="00BD2E8B" w:rsidR="0015797D">
        <w:rPr>
          <w:sz w:val="24"/>
          <w:szCs w:val="24"/>
        </w:rPr>
        <w:t>ly available</w:t>
      </w:r>
      <w:r w:rsidRPr="00BD2E8B" w:rsidR="00F23070">
        <w:rPr>
          <w:sz w:val="24"/>
          <w:szCs w:val="24"/>
        </w:rPr>
        <w:t xml:space="preserve"> data</w:t>
      </w:r>
      <w:r w:rsidRPr="00BD2E8B" w:rsidR="00FA5203">
        <w:rPr>
          <w:sz w:val="24"/>
          <w:szCs w:val="24"/>
        </w:rPr>
        <w:t xml:space="preserve">. </w:t>
      </w:r>
      <w:r w:rsidRPr="00BD2E8B" w:rsidR="0015797D">
        <w:rPr>
          <w:sz w:val="24"/>
          <w:szCs w:val="24"/>
        </w:rPr>
        <w:t>For a</w:t>
      </w:r>
      <w:r w:rsidRPr="00BD2E8B" w:rsidR="00BA72BD">
        <w:rPr>
          <w:sz w:val="24"/>
          <w:szCs w:val="24"/>
        </w:rPr>
        <w:t xml:space="preserve"> detailed explanation</w:t>
      </w:r>
      <w:r w:rsidR="00BA72BD">
        <w:rPr>
          <w:sz w:val="24"/>
          <w:szCs w:val="24"/>
        </w:rPr>
        <w:t xml:space="preserve"> </w:t>
      </w:r>
      <w:r w:rsidR="0015797D">
        <w:rPr>
          <w:sz w:val="24"/>
          <w:szCs w:val="24"/>
        </w:rPr>
        <w:t xml:space="preserve">see, </w:t>
      </w:r>
      <w:r w:rsidRPr="00A53788">
        <w:rPr>
          <w:b/>
          <w:bCs/>
          <w:sz w:val="24"/>
          <w:szCs w:val="24"/>
        </w:rPr>
        <w:t>Section 15</w:t>
      </w:r>
      <w:r w:rsidRPr="00EE0AF7">
        <w:rPr>
          <w:sz w:val="24"/>
          <w:szCs w:val="24"/>
        </w:rPr>
        <w:t>.</w:t>
      </w:r>
    </w:p>
    <w:p w:rsidR="00593E5F" w:rsidP="00F474C4" w14:paraId="42E22EB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szCs w:val="24"/>
        </w:rPr>
      </w:pPr>
    </w:p>
    <w:p w:rsidR="001D42E3" w:rsidP="00F474C4" w14:paraId="339F3725" w14:textId="77777777">
      <w:pPr>
        <w:pStyle w:val="BodyText"/>
        <w:ind w:left="460" w:right="144"/>
      </w:pPr>
      <w:r>
        <w:t>Note that this PRA package only covers the information collections (ICs) for the CoPs that govern transplant programs embedded in hospitals. Other ICs related to transplant programs can be found in the following PRA packages:</w:t>
      </w:r>
    </w:p>
    <w:p w:rsidR="004C1575" w:rsidP="00F474C4" w14:paraId="2B643F45" w14:textId="2EE72AE9">
      <w:pPr>
        <w:pStyle w:val="BodyText"/>
        <w:numPr>
          <w:ilvl w:val="0"/>
          <w:numId w:val="40"/>
        </w:numPr>
        <w:ind w:right="144"/>
      </w:pPr>
      <w:r>
        <w:t xml:space="preserve">The ICs associated with a transplant program’s emergency preparedness requirements at 42 CFR § 482.78 (which fall within the broader emergency preparedness requirements for hospitals with transplant programs at 42 CFR § 482.15) can be found in the </w:t>
      </w:r>
      <w:r w:rsidRPr="000D1FF5">
        <w:t>Emergency Preparedness</w:t>
      </w:r>
      <w:r>
        <w:t xml:space="preserve"> “omnibus”</w:t>
      </w:r>
      <w:r w:rsidRPr="000D1FF5">
        <w:t xml:space="preserve"> PRA package (OMB </w:t>
      </w:r>
      <w:r>
        <w:t xml:space="preserve">Control </w:t>
      </w:r>
      <w:r w:rsidRPr="000D1FF5">
        <w:t xml:space="preserve">number </w:t>
      </w:r>
      <w:r w:rsidRPr="00D1359D">
        <w:t>0938-1325)</w:t>
      </w:r>
      <w:r>
        <w:t>.</w:t>
      </w:r>
    </w:p>
    <w:p w:rsidR="004C1575" w:rsidP="004E3E54" w14:paraId="7470A304" w14:textId="7D4950DB">
      <w:pPr>
        <w:pStyle w:val="BodyText"/>
        <w:numPr>
          <w:ilvl w:val="0"/>
          <w:numId w:val="40"/>
        </w:numPr>
        <w:ind w:right="144"/>
      </w:pPr>
      <w:r>
        <w:t xml:space="preserve">The ICs </w:t>
      </w:r>
      <w:r>
        <w:t xml:space="preserve">for </w:t>
      </w:r>
      <w:r>
        <w:t>H</w:t>
      </w:r>
      <w:r w:rsidRPr="00D91054">
        <w:t xml:space="preserve">ospital </w:t>
      </w:r>
      <w:r>
        <w:t>CoPs</w:t>
      </w:r>
      <w:r>
        <w:rPr>
          <w:rStyle w:val="FootnoteReference"/>
        </w:rPr>
        <w:footnoteReference w:id="3"/>
      </w:r>
      <w:r>
        <w:t xml:space="preserve"> </w:t>
      </w:r>
      <w:r>
        <w:t xml:space="preserve">(other than emergency preparedness) </w:t>
      </w:r>
      <w:r>
        <w:t>can be found under the Hospital PRA package (</w:t>
      </w:r>
      <w:r w:rsidRPr="00D91054">
        <w:t>OMB</w:t>
      </w:r>
      <w:r>
        <w:t xml:space="preserve"> Control number</w:t>
      </w:r>
      <w:r w:rsidRPr="00D91054">
        <w:t xml:space="preserve"> 0938-0328</w:t>
      </w:r>
      <w:r>
        <w:t>)</w:t>
      </w:r>
      <w:r w:rsidRPr="000D1FF5">
        <w:t>.</w:t>
      </w:r>
      <w:r w:rsidRPr="00C43734">
        <w:t xml:space="preserve"> </w:t>
      </w:r>
    </w:p>
    <w:p w:rsidR="00593E5F" w:rsidP="00F474C4" w14:paraId="5A8661D2" w14:textId="62DB5A19">
      <w:pPr>
        <w:pStyle w:val="BodyText"/>
        <w:numPr>
          <w:ilvl w:val="0"/>
          <w:numId w:val="40"/>
        </w:numPr>
        <w:ind w:right="144"/>
      </w:pPr>
      <w:r>
        <w:t xml:space="preserve">The ICs </w:t>
      </w:r>
      <w:r w:rsidR="004C1575">
        <w:t xml:space="preserve">for </w:t>
      </w:r>
      <w:r>
        <w:t>dialysis facilities’ Conditions for Coverage (CfCs)</w:t>
      </w:r>
      <w:r>
        <w:rPr>
          <w:rStyle w:val="FootnoteReference"/>
        </w:rPr>
        <w:footnoteReference w:id="4"/>
      </w:r>
      <w:r>
        <w:t xml:space="preserve"> can be found under the E</w:t>
      </w:r>
      <w:r w:rsidR="004C1575">
        <w:t>nd Stage Renal Disease (E</w:t>
      </w:r>
      <w:r>
        <w:t>SRD</w:t>
      </w:r>
      <w:r w:rsidR="004C1575">
        <w:t>)</w:t>
      </w:r>
      <w:r>
        <w:t xml:space="preserve"> PRA package (</w:t>
      </w:r>
      <w:r w:rsidRPr="00D91054">
        <w:t>OMB</w:t>
      </w:r>
      <w:r>
        <w:t xml:space="preserve"> Control number</w:t>
      </w:r>
      <w:r w:rsidRPr="00F859BB">
        <w:t xml:space="preserve"> 0938-0386</w:t>
      </w:r>
      <w:r>
        <w:t>).</w:t>
      </w:r>
      <w:r w:rsidRPr="000D1FF5">
        <w:t xml:space="preserve"> </w:t>
      </w:r>
      <w:bookmarkStart w:id="3" w:name="B.__Background"/>
      <w:bookmarkStart w:id="4" w:name="C.__Justification"/>
      <w:bookmarkEnd w:id="3"/>
      <w:bookmarkEnd w:id="4"/>
    </w:p>
    <w:p w:rsidR="004E3E54" w:rsidP="004E3E54" w14:paraId="546ED123" w14:textId="77777777">
      <w:pPr>
        <w:pStyle w:val="BodyText"/>
        <w:ind w:left="820" w:right="144"/>
      </w:pPr>
    </w:p>
    <w:p w:rsidR="00593E5F" w:rsidP="004E3E54" w14:paraId="383CE23A" w14:textId="79005E4E">
      <w:pPr>
        <w:pStyle w:val="Heading1"/>
        <w:spacing w:before="0" w:after="0"/>
      </w:pPr>
      <w:r w:rsidRPr="003A5E98">
        <w:t>Justification</w:t>
      </w:r>
    </w:p>
    <w:p w:rsidR="004E3E54" w:rsidRPr="004E3E54" w:rsidP="004E3E54" w14:paraId="38CEAF3C" w14:textId="77777777"/>
    <w:p w:rsidR="00C63703" w:rsidRPr="009B55FC" w:rsidP="009B55FC" w14:paraId="55729B09" w14:textId="77777777">
      <w:pPr>
        <w:pStyle w:val="Heading2"/>
      </w:pPr>
      <w:bookmarkStart w:id="5" w:name="1._Need_and_Legal_Basis"/>
      <w:bookmarkEnd w:id="5"/>
      <w:r w:rsidRPr="009B55FC">
        <w:t>Need and Legal Basis</w:t>
      </w:r>
    </w:p>
    <w:p w:rsidR="00593E5F" w:rsidRPr="00F17155" w:rsidP="00593E5F" w14:paraId="30C087BB" w14:textId="2E349CA1">
      <w:pPr>
        <w:pStyle w:val="ListParagraph"/>
        <w:spacing w:before="0"/>
        <w:ind w:left="446" w:firstLine="0"/>
        <w:rPr>
          <w:rFonts w:ascii="Times New Roman" w:hAnsi="Times New Roman" w:cs="Times New Roman"/>
          <w:sz w:val="24"/>
        </w:rPr>
      </w:pPr>
    </w:p>
    <w:p w:rsidR="00057E07" w:rsidP="00F474C4" w14:paraId="28A12C99" w14:textId="011818A1">
      <w:pPr>
        <w:pStyle w:val="BodyText"/>
        <w:ind w:left="446" w:right="72"/>
      </w:pPr>
      <w:r w:rsidRPr="00F17155">
        <w:t>The regulations containing these information collection requirements are located at 42</w:t>
      </w:r>
      <w:r w:rsidRPr="00D91054" w:rsidR="00A84CFC">
        <w:t xml:space="preserve"> </w:t>
      </w:r>
      <w:r w:rsidR="00BA45C9">
        <w:t>CFR</w:t>
      </w:r>
      <w:r w:rsidRPr="00EE0AF7" w:rsidR="00A84CFC">
        <w:t xml:space="preserve"> </w:t>
      </w:r>
      <w:r w:rsidRPr="004C1575" w:rsidR="00A84CFC">
        <w:t xml:space="preserve">§§ </w:t>
      </w:r>
      <w:r w:rsidRPr="00EE0AF7" w:rsidR="00A84CFC">
        <w:t>482</w:t>
      </w:r>
      <w:r w:rsidRPr="00D91054" w:rsidR="00A84CFC">
        <w:t>.</w:t>
      </w:r>
      <w:r w:rsidR="00A84CFC">
        <w:t>68</w:t>
      </w:r>
      <w:r w:rsidRPr="00D91054" w:rsidR="00A84CFC">
        <w:t xml:space="preserve"> </w:t>
      </w:r>
      <w:r w:rsidR="00A84CFC">
        <w:t>to</w:t>
      </w:r>
      <w:r w:rsidRPr="00D91054" w:rsidR="00A84CFC">
        <w:t xml:space="preserve"> 482.</w:t>
      </w:r>
      <w:r w:rsidR="00A84CFC">
        <w:t>104</w:t>
      </w:r>
      <w:r w:rsidRPr="00F17155">
        <w:t>. The</w:t>
      </w:r>
      <w:r w:rsidR="00EF625E">
        <w:t xml:space="preserve"> statutory authority for </w:t>
      </w:r>
      <w:r w:rsidR="00BA45C9">
        <w:t xml:space="preserve">these </w:t>
      </w:r>
      <w:r w:rsidRPr="00F17155">
        <w:t xml:space="preserve">requirements </w:t>
      </w:r>
      <w:r w:rsidR="00BA45C9">
        <w:t xml:space="preserve">is in sections </w:t>
      </w:r>
      <w:r w:rsidRPr="00F17155">
        <w:t>1102, 1861(e), 1871(a), and</w:t>
      </w:r>
      <w:r w:rsidR="00D933D0">
        <w:t xml:space="preserve"> </w:t>
      </w:r>
      <w:r w:rsidRPr="00F17155">
        <w:t xml:space="preserve">1881(b)(1) of the Social Security Act (the Act). </w:t>
      </w:r>
    </w:p>
    <w:p w:rsidR="0097012A" w:rsidP="00F474C4" w14:paraId="68DB58C6" w14:textId="77777777">
      <w:pPr>
        <w:pStyle w:val="BodyText"/>
        <w:ind w:left="446" w:right="72"/>
      </w:pPr>
    </w:p>
    <w:p w:rsidR="00D25870" w:rsidP="00F474C4" w14:paraId="75B5DA38" w14:textId="6759533E">
      <w:pPr>
        <w:pStyle w:val="BodyText"/>
        <w:ind w:left="446" w:right="72"/>
      </w:pPr>
      <w:r w:rsidRPr="00F17155">
        <w:t xml:space="preserve">Section 1102 of the Act authorizes the Secretary to publish rules and regulations “necessary for the efficient administration of the functions” with which the Secretary is charged under the Act. </w:t>
      </w:r>
    </w:p>
    <w:p w:rsidR="0097012A" w:rsidP="00F474C4" w14:paraId="001B4D39" w14:textId="77777777">
      <w:pPr>
        <w:pStyle w:val="BodyText"/>
        <w:ind w:left="446" w:right="72"/>
      </w:pPr>
    </w:p>
    <w:p w:rsidR="00D25870" w:rsidP="00F474C4" w14:paraId="25E72764" w14:textId="3CA8DB45">
      <w:pPr>
        <w:pStyle w:val="BodyText"/>
        <w:ind w:left="446" w:right="72"/>
      </w:pPr>
      <w:r w:rsidRPr="00F17155">
        <w:t xml:space="preserve">Section 1861(e) of the Act authorizes promulgation of regulations in the interests of the health and safety of individuals who are furnished services by a hospital. </w:t>
      </w:r>
    </w:p>
    <w:p w:rsidR="0097012A" w:rsidP="00F474C4" w14:paraId="4AA687F8" w14:textId="77777777">
      <w:pPr>
        <w:pStyle w:val="BodyText"/>
        <w:ind w:left="446" w:right="72"/>
      </w:pPr>
    </w:p>
    <w:p w:rsidR="00B2617E" w:rsidP="00F474C4" w14:paraId="0C788BEA" w14:textId="326E4053">
      <w:pPr>
        <w:pStyle w:val="BodyText"/>
        <w:ind w:left="446" w:right="72"/>
      </w:pPr>
      <w:r w:rsidRPr="00F17155">
        <w:t>Section 1871(a) of the Act authorizes the Secretary to “prescribe such regulations as may be necessary to carry out the administration of the insurance programs</w:t>
      </w:r>
      <w:r w:rsidR="00BA45C9">
        <w:t xml:space="preserve"> </w:t>
      </w:r>
      <w:r w:rsidR="00EF625E">
        <w:t>under this title</w:t>
      </w:r>
      <w:r w:rsidR="00BA45C9">
        <w:t>.</w:t>
      </w:r>
      <w:r w:rsidRPr="00F17155">
        <w:t xml:space="preserve">”   </w:t>
      </w:r>
    </w:p>
    <w:p w:rsidR="0097012A" w:rsidP="00F474C4" w14:paraId="31B4276D" w14:textId="77777777">
      <w:pPr>
        <w:pStyle w:val="BodyText"/>
        <w:ind w:left="446" w:right="72"/>
      </w:pPr>
    </w:p>
    <w:p w:rsidR="004716A7" w:rsidP="00F474C4" w14:paraId="2AA95DBD" w14:textId="59929882">
      <w:pPr>
        <w:pStyle w:val="BodyText"/>
        <w:ind w:left="446" w:right="72"/>
      </w:pPr>
      <w:r w:rsidRPr="00F17155">
        <w:t xml:space="preserve">Section 1881(b)(1) of the Act contains specific authority for prescribing the health and safety requirements for facilities, including renal transplant </w:t>
      </w:r>
      <w:r w:rsidR="00672C4D">
        <w:t>programs</w:t>
      </w:r>
      <w:r w:rsidRPr="00F17155">
        <w:t xml:space="preserve"> that furnish end stage renal disease (ESRD)</w:t>
      </w:r>
      <w:r w:rsidR="00EE0AF7">
        <w:t xml:space="preserve"> as</w:t>
      </w:r>
      <w:r w:rsidRPr="00F17155">
        <w:t xml:space="preserve"> care</w:t>
      </w:r>
      <w:r w:rsidR="00BA45C9">
        <w:t xml:space="preserve"> </w:t>
      </w:r>
      <w:r w:rsidRPr="00F17155">
        <w:t>to beneficiaries</w:t>
      </w:r>
      <w:bookmarkStart w:id="6" w:name="2._Information_Users"/>
      <w:bookmarkEnd w:id="6"/>
      <w:r w:rsidR="007D79F4">
        <w:t>.</w:t>
      </w:r>
    </w:p>
    <w:p w:rsidR="00593E5F" w:rsidP="00F474C4" w14:paraId="12E3C524" w14:textId="77777777">
      <w:pPr>
        <w:pStyle w:val="BodyText"/>
        <w:ind w:left="446" w:right="72"/>
      </w:pPr>
    </w:p>
    <w:p w:rsidR="00C63703" w:rsidRPr="004E3E54" w:rsidP="009B55FC" w14:paraId="250392E1" w14:textId="77777777">
      <w:pPr>
        <w:pStyle w:val="Heading2"/>
        <w:rPr>
          <w:szCs w:val="24"/>
        </w:rPr>
      </w:pPr>
      <w:r w:rsidRPr="004E3E54">
        <w:rPr>
          <w:szCs w:val="24"/>
        </w:rPr>
        <w:t>Information Users</w:t>
      </w:r>
    </w:p>
    <w:p w:rsidR="00C63703" w:rsidRPr="004E3E54" w14:paraId="152684F4" w14:textId="77777777">
      <w:pPr>
        <w:pStyle w:val="BodyText"/>
        <w:spacing w:before="3"/>
      </w:pPr>
    </w:p>
    <w:p w:rsidR="00A53788" w:rsidP="00F474C4" w14:paraId="78885FE7" w14:textId="0794266B">
      <w:pPr>
        <w:pStyle w:val="BodyText"/>
        <w:ind w:left="450" w:right="78"/>
      </w:pPr>
      <w:bookmarkStart w:id="7" w:name="_Hlk195281251"/>
      <w:r w:rsidRPr="004E3E54">
        <w:t>CMS uses the</w:t>
      </w:r>
      <w:r w:rsidRPr="00A53788">
        <w:t xml:space="preserve"> ICs</w:t>
      </w:r>
      <w:r w:rsidRPr="00A53788">
        <w:t xml:space="preserve"> to ensure </w:t>
      </w:r>
      <w:r>
        <w:t>transplant programs</w:t>
      </w:r>
      <w:r w:rsidRPr="00A53788">
        <w:t xml:space="preserve"> comply with Medicare and Medicaid CoPs </w:t>
      </w:r>
      <w:r w:rsidRPr="00A53788">
        <w:t>in order to</w:t>
      </w:r>
      <w:r w:rsidRPr="00A53788">
        <w:t xml:space="preserve"> protect patient health and safety. </w:t>
      </w:r>
      <w:r w:rsidR="007D79F4">
        <w:t>The ICs are</w:t>
      </w:r>
      <w:r>
        <w:t xml:space="preserve"> collected by</w:t>
      </w:r>
      <w:r w:rsidR="007D79F4">
        <w:t xml:space="preserve"> s</w:t>
      </w:r>
      <w:r w:rsidRPr="00797CA0" w:rsidR="00797CA0">
        <w:t xml:space="preserve">urveyors, employed by state agencies under agreements with Medicare, to determine whether transplant programs meet certification requirements as Medicare providers. </w:t>
      </w:r>
    </w:p>
    <w:p w:rsidR="001B3F8C" w:rsidP="00F474C4" w14:paraId="4D9C5A8F" w14:textId="1B6E263E">
      <w:pPr>
        <w:pStyle w:val="BodyText"/>
        <w:ind w:left="450" w:right="78"/>
        <w:rPr>
          <w:color w:val="000000" w:themeColor="text1"/>
        </w:rPr>
      </w:pPr>
      <w:r w:rsidRPr="0011058B">
        <w:rPr>
          <w:color w:val="000000" w:themeColor="text1"/>
        </w:rPr>
        <w:t>The state surveyors conduct in-person on-site visits and use the ICs to complete the surveys</w:t>
      </w:r>
      <w:r>
        <w:rPr>
          <w:color w:val="000000" w:themeColor="text1"/>
        </w:rPr>
        <w:t>.</w:t>
      </w:r>
    </w:p>
    <w:p w:rsidR="00593E5F" w:rsidP="00F474C4" w14:paraId="7083AC5C" w14:textId="77777777">
      <w:pPr>
        <w:pStyle w:val="BodyText"/>
        <w:ind w:left="450" w:right="78"/>
      </w:pPr>
    </w:p>
    <w:p w:rsidR="00C63703" w:rsidRPr="004E3E54" w:rsidP="009B55FC" w14:paraId="525C0D19" w14:textId="75ECEC2B">
      <w:pPr>
        <w:pStyle w:val="Heading2"/>
        <w:rPr>
          <w:szCs w:val="24"/>
        </w:rPr>
      </w:pPr>
      <w:bookmarkStart w:id="8" w:name="3._Use_of_Information_Technology"/>
      <w:bookmarkEnd w:id="7"/>
      <w:bookmarkEnd w:id="8"/>
      <w:r w:rsidRPr="004E3E54">
        <w:rPr>
          <w:szCs w:val="24"/>
        </w:rPr>
        <w:t xml:space="preserve">Improved </w:t>
      </w:r>
      <w:r w:rsidRPr="004E3E54" w:rsidR="0052602B">
        <w:rPr>
          <w:szCs w:val="24"/>
        </w:rPr>
        <w:t>Information</w:t>
      </w:r>
      <w:r w:rsidRPr="004E3E54" w:rsidR="0052602B">
        <w:rPr>
          <w:spacing w:val="5"/>
          <w:szCs w:val="24"/>
        </w:rPr>
        <w:t xml:space="preserve"> </w:t>
      </w:r>
      <w:r w:rsidRPr="004E3E54" w:rsidR="0052602B">
        <w:rPr>
          <w:szCs w:val="24"/>
        </w:rPr>
        <w:t>Technology</w:t>
      </w:r>
    </w:p>
    <w:p w:rsidR="00C63703" w:rsidRPr="004E3E54" w:rsidP="00593E5F" w14:paraId="306F4842" w14:textId="77777777">
      <w:pPr>
        <w:pStyle w:val="BodyText"/>
      </w:pPr>
    </w:p>
    <w:p w:rsidR="0097012A" w:rsidP="00F474C4" w14:paraId="16534DCD" w14:textId="44DA06E0">
      <w:pPr>
        <w:pStyle w:val="BodyText"/>
        <w:ind w:left="450" w:right="78"/>
      </w:pPr>
      <w:r w:rsidRPr="004E3E54">
        <w:t>CMS does not require the use of any specific technology or format so long as the required ICs are</w:t>
      </w:r>
      <w:r w:rsidRPr="0097012A">
        <w:t xml:space="preserve"> readily available for review by State surveyors at the time of the on-site survey. </w:t>
      </w:r>
      <w:r w:rsidR="616C7B30">
        <w:t xml:space="preserve">Transplant programs may use </w:t>
      </w:r>
      <w:r>
        <w:t xml:space="preserve">any available </w:t>
      </w:r>
      <w:r w:rsidR="616C7B30">
        <w:t>information technolog</w:t>
      </w:r>
      <w:r>
        <w:t>y</w:t>
      </w:r>
      <w:r w:rsidR="616C7B30">
        <w:t xml:space="preserve"> to </w:t>
      </w:r>
      <w:r>
        <w:t>collect and maintain</w:t>
      </w:r>
      <w:r w:rsidR="00B43DDD">
        <w:t xml:space="preserve"> </w:t>
      </w:r>
      <w:r w:rsidR="004C0BC8">
        <w:t xml:space="preserve">the </w:t>
      </w:r>
      <w:r>
        <w:t xml:space="preserve">required </w:t>
      </w:r>
      <w:r w:rsidR="00797CA0">
        <w:t>ICs,</w:t>
      </w:r>
      <w:r w:rsidR="616C7B30">
        <w:t xml:space="preserve"> </w:t>
      </w:r>
      <w:r w:rsidR="616C7B30">
        <w:t>as long as</w:t>
      </w:r>
      <w:r w:rsidR="616C7B30">
        <w:t xml:space="preserve"> they are consistent with existing confidentiality </w:t>
      </w:r>
      <w:r w:rsidR="00797CA0">
        <w:t xml:space="preserve">and </w:t>
      </w:r>
      <w:r w:rsidR="616C7B30">
        <w:t xml:space="preserve">record-keeping regulations at 42 CFR </w:t>
      </w:r>
      <w:r w:rsidR="00687762">
        <w:t xml:space="preserve">§ </w:t>
      </w:r>
      <w:r w:rsidR="616C7B30">
        <w:t>482.13(d)</w:t>
      </w:r>
      <w:r w:rsidR="004C0BC8">
        <w:t xml:space="preserve"> and standard medical confidentiality practices, such as th</w:t>
      </w:r>
      <w:r w:rsidR="00797CA0">
        <w:t>ose required by the</w:t>
      </w:r>
      <w:r w:rsidR="004C0BC8">
        <w:t xml:space="preserve"> Health Insurance </w:t>
      </w:r>
      <w:r w:rsidR="004C0BC8">
        <w:t>Portability and Accountability Act of 1996 (HIPAA).</w:t>
      </w:r>
      <w:r w:rsidR="004C0BC8">
        <w:rPr>
          <w:rStyle w:val="CommentReference"/>
        </w:rPr>
        <w:t xml:space="preserve"> </w:t>
      </w:r>
      <w:r w:rsidRPr="0097012A">
        <w:t xml:space="preserve">The use of technology for information collection and retention is encouraged when such methods would reduce burden and are consistent with </w:t>
      </w:r>
      <w:r>
        <w:t xml:space="preserve">transplant programs' </w:t>
      </w:r>
      <w:r w:rsidRPr="0097012A">
        <w:t>operations.</w:t>
      </w:r>
    </w:p>
    <w:p w:rsidR="00593E5F" w:rsidRPr="00593E5F" w:rsidP="00F474C4" w14:paraId="5C121FF0" w14:textId="77777777">
      <w:pPr>
        <w:pStyle w:val="BodyText"/>
        <w:ind w:left="450" w:right="78"/>
        <w:rPr>
          <w:rStyle w:val="CommentReference"/>
          <w:sz w:val="24"/>
          <w:szCs w:val="24"/>
        </w:rPr>
      </w:pPr>
    </w:p>
    <w:p w:rsidR="00C63703" w:rsidRPr="004E3E54" w:rsidP="00F474C4" w14:paraId="460E1084" w14:textId="4EE4E3E3">
      <w:pPr>
        <w:pStyle w:val="Heading2"/>
        <w:rPr>
          <w:szCs w:val="24"/>
        </w:rPr>
      </w:pPr>
      <w:bookmarkStart w:id="9" w:name="4._Duplication_of_Efforts"/>
      <w:bookmarkEnd w:id="9"/>
      <w:r w:rsidRPr="004E3E54">
        <w:rPr>
          <w:szCs w:val="24"/>
        </w:rPr>
        <w:t>Duplication of</w:t>
      </w:r>
      <w:r w:rsidRPr="004E3E54">
        <w:rPr>
          <w:spacing w:val="10"/>
          <w:szCs w:val="24"/>
        </w:rPr>
        <w:t xml:space="preserve"> </w:t>
      </w:r>
      <w:r w:rsidRPr="004E3E54" w:rsidR="003E0804">
        <w:rPr>
          <w:szCs w:val="24"/>
        </w:rPr>
        <w:t xml:space="preserve">Similar Information </w:t>
      </w:r>
    </w:p>
    <w:p w:rsidR="00C63703" w:rsidRPr="004E3E54" w:rsidP="00F474C4" w14:paraId="249C6FFF" w14:textId="77777777">
      <w:pPr>
        <w:pStyle w:val="BodyText"/>
        <w:spacing w:before="3"/>
      </w:pPr>
    </w:p>
    <w:p w:rsidR="0097012A" w:rsidP="00F474C4" w14:paraId="451DF03D" w14:textId="3577EB00">
      <w:pPr>
        <w:pStyle w:val="BodyText"/>
        <w:ind w:left="450" w:right="78"/>
      </w:pPr>
      <w:bookmarkStart w:id="10" w:name="_Hlk195280121"/>
      <w:r w:rsidRPr="004E3E54">
        <w:t>There is no duplication of information</w:t>
      </w:r>
      <w:r w:rsidRPr="004E3E54">
        <w:t xml:space="preserve"> collection</w:t>
      </w:r>
      <w:r w:rsidRPr="004E3E54">
        <w:t xml:space="preserve">. </w:t>
      </w:r>
      <w:r w:rsidRPr="004E3E54">
        <w:t>The ICs are designed to be sufficiently general, allowing transplant programs</w:t>
      </w:r>
      <w:r>
        <w:t xml:space="preserve"> </w:t>
      </w:r>
      <w:r w:rsidRPr="0097012A">
        <w:t xml:space="preserve">flexibility in substance and format within their existing recordkeeping practices. If </w:t>
      </w:r>
      <w:r>
        <w:t xml:space="preserve">transplant programs </w:t>
      </w:r>
      <w:r w:rsidRPr="0097012A">
        <w:t>already maintain records that satisfy the ICs, regardless of format (electronic or paper), no additional collection is required.</w:t>
      </w:r>
    </w:p>
    <w:p w:rsidR="00593E5F" w:rsidP="00F474C4" w14:paraId="3D185CEB" w14:textId="77777777">
      <w:pPr>
        <w:pStyle w:val="BodyText"/>
        <w:ind w:left="450" w:right="78"/>
      </w:pPr>
    </w:p>
    <w:p w:rsidR="00C63703" w:rsidRPr="004E3E54" w:rsidP="00F474C4" w14:paraId="1B87D6E3" w14:textId="77777777">
      <w:pPr>
        <w:pStyle w:val="Heading2"/>
        <w:rPr>
          <w:szCs w:val="24"/>
        </w:rPr>
      </w:pPr>
      <w:bookmarkStart w:id="11" w:name="5._Small_Businesses"/>
      <w:bookmarkEnd w:id="10"/>
      <w:bookmarkEnd w:id="11"/>
      <w:r w:rsidRPr="004E3E54">
        <w:rPr>
          <w:szCs w:val="24"/>
        </w:rPr>
        <w:t>Small</w:t>
      </w:r>
      <w:r w:rsidRPr="004E3E54">
        <w:rPr>
          <w:spacing w:val="-1"/>
          <w:szCs w:val="24"/>
        </w:rPr>
        <w:t xml:space="preserve"> </w:t>
      </w:r>
      <w:r w:rsidRPr="004E3E54">
        <w:rPr>
          <w:szCs w:val="24"/>
        </w:rPr>
        <w:t>Businesses</w:t>
      </w:r>
    </w:p>
    <w:p w:rsidR="00C63703" w:rsidRPr="004E3E54" w:rsidP="00F474C4" w14:paraId="454B87B3" w14:textId="77777777">
      <w:pPr>
        <w:pStyle w:val="BodyText"/>
        <w:spacing w:before="3"/>
      </w:pPr>
    </w:p>
    <w:p w:rsidR="0097012A" w:rsidP="00F474C4" w14:paraId="7011FC2F" w14:textId="71761883">
      <w:pPr>
        <w:pStyle w:val="BodyText"/>
        <w:ind w:left="450"/>
      </w:pPr>
      <w:bookmarkStart w:id="12" w:name="_Hlk195280319"/>
      <w:r w:rsidRPr="004E3E54">
        <w:t>The ICs do affect small</w:t>
      </w:r>
      <w:r>
        <w:t xml:space="preserve"> businesses. However, </w:t>
      </w:r>
      <w:r w:rsidRPr="0097012A">
        <w:t xml:space="preserve">CMS minimizes the impact by allowing </w:t>
      </w:r>
      <w:r>
        <w:t xml:space="preserve">small businesses the </w:t>
      </w:r>
      <w:r w:rsidRPr="0097012A">
        <w:t>flexibility to meet the information requirements in ways that are consistent with their existing operations.</w:t>
      </w:r>
    </w:p>
    <w:p w:rsidR="00593E5F" w:rsidP="00F474C4" w14:paraId="12B0CAA2" w14:textId="77777777">
      <w:pPr>
        <w:pStyle w:val="BodyText"/>
        <w:spacing w:before="61"/>
        <w:ind w:left="450"/>
      </w:pPr>
    </w:p>
    <w:p w:rsidR="00C63703" w:rsidRPr="004E3E54" w:rsidP="00F474C4" w14:paraId="00F0B1A6" w14:textId="77777777">
      <w:pPr>
        <w:pStyle w:val="Heading2"/>
        <w:rPr>
          <w:szCs w:val="24"/>
        </w:rPr>
      </w:pPr>
      <w:bookmarkStart w:id="13" w:name="6._Less_Frequent_Collection"/>
      <w:bookmarkEnd w:id="12"/>
      <w:bookmarkEnd w:id="13"/>
      <w:r w:rsidRPr="004E3E54">
        <w:rPr>
          <w:szCs w:val="24"/>
        </w:rPr>
        <w:t>Less Frequent</w:t>
      </w:r>
      <w:r w:rsidRPr="004E3E54">
        <w:rPr>
          <w:spacing w:val="2"/>
          <w:szCs w:val="24"/>
        </w:rPr>
        <w:t xml:space="preserve"> </w:t>
      </w:r>
      <w:r w:rsidRPr="004E3E54">
        <w:rPr>
          <w:szCs w:val="24"/>
        </w:rPr>
        <w:t>Collection</w:t>
      </w:r>
    </w:p>
    <w:p w:rsidR="00C63703" w:rsidRPr="004E3E54" w:rsidP="00F474C4" w14:paraId="2CDBE5BA" w14:textId="77777777">
      <w:pPr>
        <w:pStyle w:val="BodyText"/>
        <w:spacing w:before="3"/>
      </w:pPr>
    </w:p>
    <w:p w:rsidR="00FB5234" w:rsidP="00F474C4" w14:paraId="528EB51F" w14:textId="6DDDF32C">
      <w:pPr>
        <w:pStyle w:val="BodyText"/>
        <w:ind w:left="450" w:right="78"/>
      </w:pPr>
      <w:r w:rsidRPr="004E3E54">
        <w:t>Less frequent information collection could limit CMS’s ability to ensure compliance with Medicare Conditions of Participation (CoPs), which could potentially compromise patient health and safety</w:t>
      </w:r>
      <w:r>
        <w:t xml:space="preserve">. CMS does not collect the ICs directly from transplant programs but instead relies on surveyors to review the </w:t>
      </w:r>
      <w:r w:rsidR="00593E5F">
        <w:t>ICs</w:t>
      </w:r>
      <w:r>
        <w:t xml:space="preserve"> during their on-site </w:t>
      </w:r>
      <w:r w:rsidR="00593E5F">
        <w:t>surveys, which are conducted every four to six years to recertify transplant programs or in response to complaints.</w:t>
      </w:r>
      <w:r w:rsidRPr="00593E5F" w:rsidR="00593E5F">
        <w:t xml:space="preserve"> </w:t>
      </w:r>
      <w:r w:rsidR="00593E5F">
        <w:t>These s</w:t>
      </w:r>
      <w:r w:rsidRPr="00B01FAD" w:rsidR="00593E5F">
        <w:t xml:space="preserve">urveys </w:t>
      </w:r>
      <w:r w:rsidRPr="00B01FAD" w:rsidR="00593E5F">
        <w:t>help</w:t>
      </w:r>
      <w:r w:rsidR="00593E5F">
        <w:t>s</w:t>
      </w:r>
      <w:r w:rsidRPr="00B01FAD" w:rsidR="00593E5F">
        <w:t xml:space="preserve"> ensure that transplant programs maintain a high level of quality and adhere to established standards for patient care and outcomes. </w:t>
      </w:r>
      <w:bookmarkStart w:id="14" w:name="7._Special_Circumstances"/>
      <w:bookmarkStart w:id="15" w:name="_Hlk195697219"/>
      <w:bookmarkEnd w:id="14"/>
    </w:p>
    <w:p w:rsidR="00593E5F" w:rsidRPr="00F17155" w:rsidP="00F474C4" w14:paraId="71A92BC9" w14:textId="77777777">
      <w:pPr>
        <w:pStyle w:val="BodyText"/>
        <w:ind w:left="450" w:right="78"/>
      </w:pPr>
    </w:p>
    <w:bookmarkEnd w:id="15"/>
    <w:p w:rsidR="00C63703" w:rsidRPr="004E3E54" w:rsidP="00F474C4" w14:paraId="47C73DED" w14:textId="5AE600EB">
      <w:pPr>
        <w:pStyle w:val="Heading2"/>
        <w:rPr>
          <w:szCs w:val="24"/>
        </w:rPr>
      </w:pPr>
      <w:r w:rsidRPr="004E3E54">
        <w:rPr>
          <w:szCs w:val="24"/>
        </w:rPr>
        <w:t>Specia</w:t>
      </w:r>
      <w:r w:rsidRPr="004E3E54" w:rsidR="00002982">
        <w:rPr>
          <w:szCs w:val="24"/>
        </w:rPr>
        <w:t>l C</w:t>
      </w:r>
      <w:r w:rsidRPr="004E3E54">
        <w:rPr>
          <w:szCs w:val="24"/>
        </w:rPr>
        <w:t>ircumstances</w:t>
      </w:r>
    </w:p>
    <w:p w:rsidR="00C63703" w:rsidRPr="004E3E54" w:rsidP="00F474C4" w14:paraId="419F9ADE" w14:textId="77777777">
      <w:pPr>
        <w:pStyle w:val="BodyText"/>
        <w:spacing w:before="3"/>
      </w:pPr>
    </w:p>
    <w:p w:rsidR="00CF3B0C" w:rsidRPr="004E3E54" w:rsidP="00595B10" w14:paraId="5C777F99" w14:textId="1C7A8F67">
      <w:pPr>
        <w:pStyle w:val="BodyText"/>
        <w:ind w:left="450"/>
      </w:pPr>
      <w:r w:rsidRPr="004E3E54">
        <w:t>Th</w:t>
      </w:r>
      <w:r w:rsidRPr="004E3E54" w:rsidR="00B8692A">
        <w:t>ere are</w:t>
      </w:r>
      <w:r w:rsidRPr="004E3E54" w:rsidR="00CF6BE5">
        <w:t xml:space="preserve"> </w:t>
      </w:r>
      <w:r w:rsidRPr="004E3E54" w:rsidR="00B8692A">
        <w:t>no</w:t>
      </w:r>
      <w:r w:rsidRPr="004E3E54">
        <w:t xml:space="preserve"> special circumstances.</w:t>
      </w:r>
    </w:p>
    <w:p w:rsidR="00CF3B0C" w:rsidRPr="00CF3B0C" w:rsidP="00F474C4" w14:paraId="76CBD3C1" w14:textId="77777777">
      <w:pPr>
        <w:pStyle w:val="BodyText"/>
        <w:ind w:left="450"/>
      </w:pPr>
    </w:p>
    <w:p w:rsidR="00C63703" w:rsidRPr="003A5E98" w:rsidP="00F474C4" w14:paraId="24D1B43A" w14:textId="77777777">
      <w:pPr>
        <w:pStyle w:val="Heading2"/>
      </w:pPr>
      <w:bookmarkStart w:id="16" w:name="8._Federal_Register/Outside_Consultation"/>
      <w:bookmarkEnd w:id="16"/>
      <w:r w:rsidRPr="003A5E98">
        <w:t>Federal Register/Outside Consultation</w:t>
      </w:r>
    </w:p>
    <w:p w:rsidR="00C63703" w:rsidRPr="00C40EC0" w:rsidP="00F474C4" w14:paraId="1BFBD0CA" w14:textId="77777777">
      <w:pPr>
        <w:pStyle w:val="BodyText"/>
        <w:spacing w:before="3"/>
      </w:pPr>
    </w:p>
    <w:p w:rsidR="00CF3B0C" w:rsidP="00211936" w14:paraId="5EB6EF4E" w14:textId="0511DB68">
      <w:pPr>
        <w:ind w:left="450"/>
        <w:rPr>
          <w:sz w:val="24"/>
          <w:szCs w:val="24"/>
        </w:rPr>
      </w:pPr>
      <w:bookmarkStart w:id="17" w:name="_Hlk195280447"/>
      <w:r w:rsidRPr="008B6BAC">
        <w:rPr>
          <w:sz w:val="24"/>
          <w:szCs w:val="24"/>
        </w:rPr>
        <w:t xml:space="preserve">The 60-day </w:t>
      </w:r>
      <w:r w:rsidRPr="005F709E">
        <w:rPr>
          <w:i/>
          <w:iCs/>
          <w:sz w:val="24"/>
          <w:szCs w:val="24"/>
        </w:rPr>
        <w:t>Federal Register</w:t>
      </w:r>
      <w:r w:rsidRPr="008B6BAC">
        <w:rPr>
          <w:sz w:val="24"/>
          <w:szCs w:val="24"/>
        </w:rPr>
        <w:t xml:space="preserve"> </w:t>
      </w:r>
      <w:r w:rsidR="00B8442F">
        <w:rPr>
          <w:sz w:val="24"/>
          <w:szCs w:val="24"/>
        </w:rPr>
        <w:t xml:space="preserve">notice was </w:t>
      </w:r>
      <w:r w:rsidRPr="00CF6BE5">
        <w:rPr>
          <w:sz w:val="24"/>
          <w:szCs w:val="24"/>
        </w:rPr>
        <w:t xml:space="preserve">published </w:t>
      </w:r>
      <w:r w:rsidRPr="00CF6BE5" w:rsidR="00B8442F">
        <w:rPr>
          <w:sz w:val="24"/>
          <w:szCs w:val="24"/>
        </w:rPr>
        <w:t xml:space="preserve">on </w:t>
      </w:r>
      <w:r w:rsidR="00211936">
        <w:rPr>
          <w:sz w:val="24"/>
          <w:szCs w:val="24"/>
        </w:rPr>
        <w:t>January 21, 2026 (91 FR 2536</w:t>
      </w:r>
      <w:r w:rsidR="00211936">
        <w:rPr>
          <w:sz w:val="24"/>
          <w:szCs w:val="24"/>
        </w:rPr>
        <w:t xml:space="preserve">) </w:t>
      </w:r>
      <w:r w:rsidRPr="00CF6BE5">
        <w:rPr>
          <w:sz w:val="24"/>
          <w:szCs w:val="24"/>
        </w:rPr>
        <w:t>.</w:t>
      </w:r>
      <w:bookmarkEnd w:id="17"/>
      <w:r w:rsidR="00211936">
        <w:rPr>
          <w:sz w:val="24"/>
          <w:szCs w:val="24"/>
        </w:rPr>
        <w:t xml:space="preserve"> </w:t>
      </w:r>
      <w:r w:rsidRPr="00211936" w:rsidR="00211936">
        <w:rPr>
          <w:sz w:val="24"/>
          <w:szCs w:val="24"/>
        </w:rPr>
        <w:t xml:space="preserve">CMS received </w:t>
      </w:r>
      <w:r w:rsidR="00211936">
        <w:rPr>
          <w:sz w:val="24"/>
          <w:szCs w:val="24"/>
        </w:rPr>
        <w:t xml:space="preserve">one </w:t>
      </w:r>
      <w:r w:rsidRPr="00211936" w:rsidR="00211936">
        <w:rPr>
          <w:sz w:val="24"/>
          <w:szCs w:val="24"/>
        </w:rPr>
        <w:t xml:space="preserve">comment from </w:t>
      </w:r>
      <w:r w:rsidR="00211936">
        <w:rPr>
          <w:sz w:val="24"/>
          <w:szCs w:val="24"/>
        </w:rPr>
        <w:t xml:space="preserve">an </w:t>
      </w:r>
      <w:r w:rsidRPr="00211936" w:rsidR="00211936">
        <w:rPr>
          <w:sz w:val="24"/>
          <w:szCs w:val="24"/>
        </w:rPr>
        <w:t>individual. See Attachment A for CMS’ Response to Public Comments Received.</w:t>
      </w:r>
    </w:p>
    <w:p w:rsidR="000A265D" w:rsidP="00211936" w14:paraId="55375095" w14:textId="77777777">
      <w:pPr>
        <w:ind w:left="450"/>
        <w:rPr>
          <w:sz w:val="24"/>
          <w:szCs w:val="24"/>
        </w:rPr>
      </w:pPr>
    </w:p>
    <w:p w:rsidR="000A265D" w:rsidP="00211936" w14:paraId="408A97AD" w14:textId="0E203805">
      <w:pPr>
        <w:ind w:left="450"/>
        <w:rPr>
          <w:sz w:val="24"/>
          <w:szCs w:val="24"/>
        </w:rPr>
      </w:pPr>
      <w:r w:rsidRPr="000A265D">
        <w:rPr>
          <w:sz w:val="24"/>
          <w:szCs w:val="24"/>
        </w:rPr>
        <w:t xml:space="preserve">The 30-day </w:t>
      </w:r>
      <w:r w:rsidRPr="000A265D">
        <w:rPr>
          <w:i/>
          <w:iCs/>
          <w:sz w:val="24"/>
          <w:szCs w:val="24"/>
        </w:rPr>
        <w:t>Federal Register</w:t>
      </w:r>
      <w:r w:rsidRPr="000A265D">
        <w:rPr>
          <w:sz w:val="24"/>
          <w:szCs w:val="24"/>
        </w:rPr>
        <w:t xml:space="preserve"> notice published on </w:t>
      </w:r>
      <w:r w:rsidR="00271224">
        <w:rPr>
          <w:sz w:val="24"/>
          <w:szCs w:val="24"/>
        </w:rPr>
        <w:t>April 16, 2026</w:t>
      </w:r>
      <w:r w:rsidRPr="000A265D">
        <w:rPr>
          <w:sz w:val="24"/>
          <w:szCs w:val="24"/>
        </w:rPr>
        <w:t xml:space="preserve"> (9</w:t>
      </w:r>
      <w:r>
        <w:rPr>
          <w:sz w:val="24"/>
          <w:szCs w:val="24"/>
        </w:rPr>
        <w:t>1</w:t>
      </w:r>
      <w:r w:rsidRPr="000A265D">
        <w:rPr>
          <w:sz w:val="24"/>
          <w:szCs w:val="24"/>
        </w:rPr>
        <w:t xml:space="preserve"> FR </w:t>
      </w:r>
      <w:r w:rsidR="00271224">
        <w:rPr>
          <w:sz w:val="24"/>
          <w:szCs w:val="24"/>
        </w:rPr>
        <w:t>20459</w:t>
      </w:r>
      <w:r w:rsidRPr="000A265D">
        <w:rPr>
          <w:sz w:val="24"/>
          <w:szCs w:val="24"/>
        </w:rPr>
        <w:t>).</w:t>
      </w:r>
    </w:p>
    <w:p w:rsidR="00CF3B0C" w:rsidP="00F474C4" w14:paraId="5C5FC7E2" w14:textId="77777777">
      <w:pPr>
        <w:ind w:left="450"/>
        <w:rPr>
          <w:sz w:val="24"/>
          <w:szCs w:val="24"/>
        </w:rPr>
      </w:pPr>
    </w:p>
    <w:p w:rsidR="00C63703" w:rsidRPr="00414E6F" w:rsidP="00F474C4" w14:paraId="172FE7BD" w14:textId="77777777">
      <w:pPr>
        <w:pStyle w:val="Heading2"/>
        <w:rPr>
          <w:szCs w:val="24"/>
        </w:rPr>
      </w:pPr>
      <w:bookmarkStart w:id="18" w:name="9._Payments/Gifts_to_Respondents"/>
      <w:bookmarkEnd w:id="18"/>
      <w:r w:rsidRPr="00414E6F">
        <w:rPr>
          <w:szCs w:val="24"/>
        </w:rPr>
        <w:t>Payments/Gifts to Respondents</w:t>
      </w:r>
    </w:p>
    <w:p w:rsidR="00C63703" w:rsidRPr="00414E6F" w:rsidP="00F474C4" w14:paraId="23D9EE11" w14:textId="77777777">
      <w:pPr>
        <w:pStyle w:val="BodyText"/>
        <w:spacing w:before="3"/>
      </w:pPr>
    </w:p>
    <w:p w:rsidR="00E739A3" w:rsidRPr="00414E6F" w:rsidP="00F474C4" w14:paraId="5D3308D3" w14:textId="1DE6CD7F">
      <w:pPr>
        <w:pStyle w:val="BodyText"/>
        <w:ind w:left="450"/>
      </w:pPr>
      <w:r w:rsidRPr="00414E6F">
        <w:t>N</w:t>
      </w:r>
      <w:r w:rsidRPr="00414E6F" w:rsidR="00B8692A">
        <w:t xml:space="preserve">o </w:t>
      </w:r>
      <w:r w:rsidRPr="00414E6F" w:rsidR="0052602B">
        <w:t>payment</w:t>
      </w:r>
      <w:r w:rsidRPr="00414E6F" w:rsidR="00C27DBF">
        <w:t xml:space="preserve">s </w:t>
      </w:r>
      <w:r w:rsidRPr="00414E6F" w:rsidR="0052602B">
        <w:t xml:space="preserve">or gifts </w:t>
      </w:r>
      <w:r w:rsidRPr="00414E6F" w:rsidR="00CF3B0C">
        <w:t xml:space="preserve">will be </w:t>
      </w:r>
      <w:r w:rsidRPr="00414E6F">
        <w:t>provided</w:t>
      </w:r>
      <w:r w:rsidRPr="00414E6F" w:rsidR="00CF6BE5">
        <w:t xml:space="preserve"> </w:t>
      </w:r>
      <w:r w:rsidRPr="00414E6F" w:rsidR="0052602B">
        <w:t xml:space="preserve">to </w:t>
      </w:r>
      <w:r w:rsidRPr="00414E6F" w:rsidR="00CF3B0C">
        <w:t>respondents as part of this information collection.</w:t>
      </w:r>
    </w:p>
    <w:p w:rsidR="00CF3B0C" w:rsidRPr="00414E6F" w:rsidP="00F474C4" w14:paraId="676FCF34" w14:textId="77777777">
      <w:pPr>
        <w:pStyle w:val="BodyText"/>
        <w:ind w:left="450"/>
      </w:pPr>
    </w:p>
    <w:p w:rsidR="00595B10" w:rsidP="00F474C4" w14:paraId="4A631EEB" w14:textId="77777777">
      <w:pPr>
        <w:pStyle w:val="BodyText"/>
        <w:ind w:left="450"/>
      </w:pPr>
    </w:p>
    <w:p w:rsidR="00595B10" w:rsidP="00F474C4" w14:paraId="12F8BC17" w14:textId="77777777">
      <w:pPr>
        <w:pStyle w:val="BodyText"/>
        <w:ind w:left="450"/>
      </w:pPr>
    </w:p>
    <w:p w:rsidR="00595B10" w:rsidP="00F474C4" w14:paraId="20359A59" w14:textId="77777777">
      <w:pPr>
        <w:pStyle w:val="BodyText"/>
        <w:ind w:left="450"/>
      </w:pPr>
    </w:p>
    <w:p w:rsidR="00C63703" w:rsidRPr="00414E6F" w:rsidP="00595B10" w14:paraId="51CFC2D6" w14:textId="77777777">
      <w:pPr>
        <w:pStyle w:val="Heading2"/>
        <w:rPr>
          <w:szCs w:val="24"/>
        </w:rPr>
      </w:pPr>
      <w:bookmarkStart w:id="19" w:name="10._Confidentiality"/>
      <w:bookmarkEnd w:id="19"/>
      <w:r w:rsidRPr="00414E6F">
        <w:rPr>
          <w:szCs w:val="24"/>
        </w:rPr>
        <w:t>Confidentiality</w:t>
      </w:r>
    </w:p>
    <w:p w:rsidR="00C63703" w:rsidRPr="00414E6F" w:rsidP="00595B10" w14:paraId="2A7270F9" w14:textId="77777777">
      <w:pPr>
        <w:pStyle w:val="BodyText"/>
      </w:pPr>
    </w:p>
    <w:p w:rsidR="00CF3B0C" w:rsidP="00595B10" w14:paraId="41B2B16E" w14:textId="436F0FE3">
      <w:pPr>
        <w:pStyle w:val="BodyText"/>
        <w:ind w:left="450"/>
      </w:pPr>
      <w:bookmarkStart w:id="20" w:name="_Hlk195285226"/>
      <w:bookmarkEnd w:id="20"/>
      <w:r w:rsidRPr="00414E6F">
        <w:t>Transplant programs are subject to s</w:t>
      </w:r>
      <w:r w:rsidRPr="00414E6F" w:rsidR="12046A50">
        <w:t xml:space="preserve">tandard medical confidentiality practices, such as </w:t>
      </w:r>
      <w:r w:rsidRPr="00414E6F" w:rsidR="00B8442F">
        <w:t>those outlined in the</w:t>
      </w:r>
      <w:r w:rsidRPr="00414E6F" w:rsidR="12046A50">
        <w:t xml:space="preserve"> Health Insurance Portability and Accountability Act of 1996 (HIPAA),</w:t>
      </w:r>
      <w:r w:rsidRPr="00414E6F">
        <w:t xml:space="preserve"> codified under 45 CFR </w:t>
      </w:r>
      <w:r w:rsidRPr="00414E6F" w:rsidR="00B8442F">
        <w:t xml:space="preserve">§§ </w:t>
      </w:r>
      <w:r w:rsidRPr="00414E6F">
        <w:t>160 and 164.</w:t>
      </w:r>
      <w:r w:rsidRPr="00414E6F" w:rsidR="12046A50">
        <w:t xml:space="preserve"> </w:t>
      </w:r>
      <w:r w:rsidRPr="00414E6F">
        <w:t>In addition</w:t>
      </w:r>
      <w:r w:rsidRPr="00414E6F" w:rsidR="00687762">
        <w:t>,</w:t>
      </w:r>
      <w:r w:rsidRPr="00414E6F">
        <w:t xml:space="preserve"> transplant programs</w:t>
      </w:r>
      <w:r>
        <w:t xml:space="preserve"> must </w:t>
      </w:r>
      <w:r w:rsidR="00B8442F">
        <w:t xml:space="preserve">comply </w:t>
      </w:r>
      <w:r>
        <w:t xml:space="preserve">with existing confidentiality in record-keeping regulations at 42 CFR </w:t>
      </w:r>
      <w:r w:rsidRPr="00B8442F" w:rsidR="00B8442F">
        <w:t>§</w:t>
      </w:r>
      <w:r w:rsidR="00B8442F">
        <w:t xml:space="preserve"> </w:t>
      </w:r>
      <w:r>
        <w:t>482.13(d)</w:t>
      </w:r>
      <w:r w:rsidR="12046A50">
        <w:t xml:space="preserve">. </w:t>
      </w:r>
      <w:r w:rsidR="007D79F4">
        <w:t xml:space="preserve">These confidentiality requirements help ensure patient privacy and the security of individuals’ protected health information. </w:t>
      </w:r>
    </w:p>
    <w:p w:rsidR="00CF3B0C" w:rsidRPr="00F17155" w:rsidP="00CF3B0C" w14:paraId="5FDE8A7B" w14:textId="77777777">
      <w:pPr>
        <w:pStyle w:val="BodyText"/>
        <w:ind w:left="450"/>
      </w:pPr>
    </w:p>
    <w:p w:rsidR="00C63703" w:rsidRPr="009B55FC" w:rsidP="009B55FC" w14:paraId="4B9F2F3E" w14:textId="77777777">
      <w:pPr>
        <w:pStyle w:val="Heading2"/>
      </w:pPr>
      <w:bookmarkStart w:id="21" w:name="11._Sensitive_Questions"/>
      <w:bookmarkEnd w:id="21"/>
      <w:r w:rsidRPr="009B55FC">
        <w:t>Sensitive Questions</w:t>
      </w:r>
    </w:p>
    <w:p w:rsidR="00595B10" w:rsidP="00595B10" w14:paraId="7FE57B4A" w14:textId="77777777">
      <w:pPr>
        <w:pStyle w:val="BodyText"/>
        <w:ind w:left="450"/>
      </w:pPr>
    </w:p>
    <w:p w:rsidR="00B035F9" w:rsidRPr="00CF3B0C" w:rsidP="00595B10" w14:paraId="418E09F1" w14:textId="5DFE4D39">
      <w:pPr>
        <w:pStyle w:val="BodyText"/>
        <w:ind w:left="450"/>
      </w:pPr>
      <w:r w:rsidRPr="00CF3B0C">
        <w:t>T</w:t>
      </w:r>
      <w:r w:rsidRPr="00CF3B0C">
        <w:t>here are no sensitive questions associated with this information collection.</w:t>
      </w:r>
    </w:p>
    <w:p w:rsidR="000D1011" w:rsidRPr="00CF3B0C" w:rsidP="00F474C4" w14:paraId="78BF347D" w14:textId="5D5C1146">
      <w:pPr>
        <w:pStyle w:val="BodyText"/>
        <w:spacing w:before="1"/>
        <w:ind w:left="450"/>
      </w:pPr>
      <w:r w:rsidRPr="00CF3B0C">
        <w:rPr>
          <w:color w:val="262626"/>
          <w:shd w:val="clear" w:color="auto" w:fill="FFFFFF"/>
        </w:rPr>
        <w:t>S</w:t>
      </w:r>
      <w:r w:rsidRPr="00CF3B0C">
        <w:t xml:space="preserve">urveyors </w:t>
      </w:r>
      <w:r w:rsidRPr="00CF3B0C" w:rsidR="007D79F4">
        <w:t xml:space="preserve">may </w:t>
      </w:r>
      <w:r w:rsidRPr="00CF3B0C">
        <w:t>ask sensitive questions during the survey process, particularly when reviewing patient records</w:t>
      </w:r>
      <w:r w:rsidRPr="00CF3B0C" w:rsidR="00112451">
        <w:t>,</w:t>
      </w:r>
      <w:r w:rsidRPr="00CF3B0C">
        <w:t xml:space="preserve"> interviewing staff and patients</w:t>
      </w:r>
      <w:r w:rsidRPr="00CF3B0C" w:rsidR="00573D22">
        <w:t>,</w:t>
      </w:r>
      <w:r w:rsidRPr="00CF3B0C">
        <w:t xml:space="preserve"> and examining quality assessment activities. As indicated in the “confidential</w:t>
      </w:r>
      <w:r w:rsidRPr="00CF3B0C" w:rsidR="00112451">
        <w:t>it</w:t>
      </w:r>
      <w:r w:rsidRPr="00CF3B0C">
        <w:t xml:space="preserve">y” section, </w:t>
      </w:r>
      <w:r w:rsidRPr="00CF3B0C" w:rsidR="00112451">
        <w:t>s</w:t>
      </w:r>
      <w:r w:rsidRPr="00CF3B0C">
        <w:t xml:space="preserve">urveyors must adhere to 45 CFR </w:t>
      </w:r>
      <w:r w:rsidRPr="00CF3B0C" w:rsidR="00573D22">
        <w:t>§§</w:t>
      </w:r>
      <w:r w:rsidRPr="00CF3B0C">
        <w:t>160 and 164</w:t>
      </w:r>
      <w:r w:rsidRPr="00CF3B0C" w:rsidR="00573D22">
        <w:t>,</w:t>
      </w:r>
      <w:r w:rsidRPr="00CF3B0C">
        <w:t xml:space="preserve"> which covers security standards for </w:t>
      </w:r>
      <w:r w:rsidRPr="00CF3B0C" w:rsidR="000342A4">
        <w:t xml:space="preserve">the </w:t>
      </w:r>
      <w:r w:rsidRPr="00CF3B0C">
        <w:t xml:space="preserve">protection of electronic </w:t>
      </w:r>
      <w:r w:rsidRPr="00CF3B0C" w:rsidR="000342A4">
        <w:t>protected</w:t>
      </w:r>
      <w:r w:rsidRPr="00CF3B0C">
        <w:t xml:space="preserve"> health information, </w:t>
      </w:r>
      <w:r w:rsidRPr="00CF3B0C" w:rsidR="000342A4">
        <w:t>notification</w:t>
      </w:r>
      <w:r w:rsidRPr="00CF3B0C">
        <w:t xml:space="preserve"> procedures for breaches of unsecured protected health information, and privacy uses and disclosure of </w:t>
      </w:r>
      <w:r w:rsidRPr="00CF3B0C" w:rsidR="000342A4">
        <w:t>individually identifiable health information. Further</w:t>
      </w:r>
      <w:r w:rsidRPr="00CF3B0C" w:rsidR="00573D22">
        <w:t>more,</w:t>
      </w:r>
      <w:r w:rsidRPr="00CF3B0C" w:rsidR="000342A4">
        <w:t xml:space="preserve"> surveyors must perform interviews “one-on-one” when</w:t>
      </w:r>
      <w:r w:rsidRPr="00CF3B0C" w:rsidR="00573D22">
        <w:t>ever</w:t>
      </w:r>
      <w:r w:rsidRPr="00CF3B0C" w:rsidR="000342A4">
        <w:t xml:space="preserve"> possible to protect patient privacy.</w:t>
      </w:r>
    </w:p>
    <w:p w:rsidR="007D79F4" w:rsidRPr="00CF3B0C" w:rsidP="00F474C4" w14:paraId="3A9C46D1" w14:textId="77777777">
      <w:pPr>
        <w:pStyle w:val="BodyText"/>
        <w:spacing w:before="1"/>
        <w:ind w:left="450"/>
      </w:pPr>
    </w:p>
    <w:p w:rsidR="00CF3B0C" w:rsidRPr="00700FBB" w:rsidP="00F474C4" w14:paraId="31456F8B" w14:textId="665E81AB">
      <w:pPr>
        <w:pStyle w:val="BodyText"/>
        <w:spacing w:before="1"/>
        <w:ind w:left="450"/>
      </w:pPr>
      <w:r w:rsidRPr="00CF3B0C">
        <w:t>The survey process follows a structured protocol with clear guidelines about information handling, and surveyors must display their identification badges during on-site surveys, ensuring accountability in the handling of sensitive information.</w:t>
      </w:r>
      <w:r w:rsidRPr="000342A4">
        <w:t xml:space="preserve"> </w:t>
      </w:r>
    </w:p>
    <w:p w:rsidR="000D1011" w14:paraId="6E44A38A" w14:textId="77777777">
      <w:pPr>
        <w:pStyle w:val="BodyText"/>
        <w:spacing w:before="1"/>
        <w:ind w:left="450"/>
      </w:pPr>
    </w:p>
    <w:p w:rsidR="00C63703" w:rsidRPr="003A5E98" w:rsidP="009B55FC" w14:paraId="08DB25BB" w14:textId="77777777">
      <w:pPr>
        <w:pStyle w:val="Heading2"/>
      </w:pPr>
      <w:bookmarkStart w:id="22" w:name="12._Burden_Estimates_(Hours_&amp;_Wages)"/>
      <w:bookmarkEnd w:id="22"/>
      <w:r w:rsidRPr="003A5E98">
        <w:t>Burden Estimates (Hours &amp; Wages)</w:t>
      </w:r>
    </w:p>
    <w:p w:rsidR="007D79F4" w:rsidP="00DE50B9" w14:paraId="6701EBD7" w14:textId="77777777">
      <w:pPr>
        <w:pStyle w:val="BodyText"/>
        <w:spacing w:line="247" w:lineRule="auto"/>
        <w:ind w:left="460"/>
      </w:pPr>
      <w:bookmarkStart w:id="23" w:name="Section_482.74_–_Standard:_Notification_"/>
      <w:bookmarkEnd w:id="23"/>
    </w:p>
    <w:p w:rsidR="12046A50" w:rsidRPr="0015797D" w:rsidP="00595B10" w14:paraId="66F30EDC" w14:textId="10FC69BA">
      <w:pPr>
        <w:pStyle w:val="BodyText"/>
        <w:tabs>
          <w:tab w:val="left" w:pos="540"/>
        </w:tabs>
        <w:ind w:left="450"/>
      </w:pPr>
      <w:r>
        <w:t xml:space="preserve">This section </w:t>
      </w:r>
      <w:r w:rsidR="00CF3B0C">
        <w:t>consists of the</w:t>
      </w:r>
      <w:r>
        <w:t xml:space="preserve"> following three parts</w:t>
      </w:r>
      <w:r w:rsidR="00573D22">
        <w:t>:</w:t>
      </w:r>
      <w:r>
        <w:t xml:space="preserve"> Part 12-A, </w:t>
      </w:r>
      <w:r w:rsidR="00573D22">
        <w:t xml:space="preserve">Part </w:t>
      </w:r>
      <w:r>
        <w:t xml:space="preserve">12-B, and </w:t>
      </w:r>
      <w:r w:rsidR="00573D22">
        <w:t xml:space="preserve">Part </w:t>
      </w:r>
      <w:r>
        <w:t>12-C. Part 12-A explains the general assumptions use</w:t>
      </w:r>
      <w:r w:rsidR="00573D22">
        <w:t>d</w:t>
      </w:r>
      <w:r>
        <w:t xml:space="preserve"> to estimate </w:t>
      </w:r>
      <w:r w:rsidR="00573D22">
        <w:t xml:space="preserve">annual </w:t>
      </w:r>
      <w:r>
        <w:t xml:space="preserve">hourly burden and costs. Part 12-B explains the </w:t>
      </w:r>
      <w:r w:rsidRPr="00573D22" w:rsidR="00573D22">
        <w:t xml:space="preserve">Conditions of Participation </w:t>
      </w:r>
      <w:r w:rsidR="00573D22">
        <w:t>(</w:t>
      </w:r>
      <w:r>
        <w:t>CoPs</w:t>
      </w:r>
      <w:r w:rsidR="00573D22">
        <w:t>)</w:t>
      </w:r>
      <w:r>
        <w:t xml:space="preserve"> in detail and describes the methodology used to estimate the</w:t>
      </w:r>
      <w:r w:rsidR="00573D22">
        <w:t xml:space="preserve"> annual</w:t>
      </w:r>
      <w:r>
        <w:t xml:space="preserve"> hourly burden and cost. Part 12-C summari</w:t>
      </w:r>
      <w:r w:rsidR="00417BD1">
        <w:t>z</w:t>
      </w:r>
      <w:r>
        <w:t xml:space="preserve">es the </w:t>
      </w:r>
      <w:r w:rsidRPr="0015797D">
        <w:t>information.</w:t>
      </w:r>
    </w:p>
    <w:p w:rsidR="12046A50" w:rsidRPr="00C50F86" w:rsidP="00F474C4" w14:paraId="28E8D39C" w14:textId="04430FB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szCs w:val="24"/>
        </w:rPr>
      </w:pPr>
    </w:p>
    <w:p w:rsidR="12046A50" w:rsidRPr="009B55FC" w:rsidP="00595B10" w14:paraId="29C7E7CF" w14:textId="07B71AF0">
      <w:pPr>
        <w:pStyle w:val="Heading3"/>
        <w:ind w:left="450"/>
      </w:pPr>
      <w:r w:rsidRPr="009B55FC">
        <w:t>Part 12-A: Assumptions</w:t>
      </w:r>
    </w:p>
    <w:p w:rsidR="001A1329" w:rsidRPr="007D79F4" w:rsidP="00595B10" w14:paraId="20F6C139" w14:textId="42C39738">
      <w:pPr>
        <w:tabs>
          <w:tab w:val="left" w:pos="432"/>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szCs w:val="24"/>
        </w:rPr>
      </w:pPr>
      <w:r w:rsidRPr="007D79F4">
        <w:rPr>
          <w:sz w:val="24"/>
          <w:szCs w:val="24"/>
        </w:rPr>
        <w:t>Below are the global assumptions for the number of new and currently certified</w:t>
      </w:r>
      <w:r w:rsidRPr="007D79F4" w:rsidR="00690A30">
        <w:rPr>
          <w:sz w:val="24"/>
          <w:szCs w:val="24"/>
        </w:rPr>
        <w:t xml:space="preserve"> </w:t>
      </w:r>
      <w:r w:rsidRPr="007D79F4">
        <w:rPr>
          <w:sz w:val="24"/>
          <w:szCs w:val="24"/>
        </w:rPr>
        <w:t>facilities (</w:t>
      </w:r>
      <w:r w:rsidRPr="007D79F4" w:rsidR="00690A30">
        <w:rPr>
          <w:sz w:val="24"/>
          <w:szCs w:val="24"/>
        </w:rPr>
        <w:t xml:space="preserve">see </w:t>
      </w:r>
      <w:r w:rsidRPr="007D79F4">
        <w:rPr>
          <w:sz w:val="24"/>
          <w:szCs w:val="24"/>
        </w:rPr>
        <w:t xml:space="preserve">Table 1) </w:t>
      </w:r>
      <w:r w:rsidRPr="007D79F4" w:rsidR="00690A30">
        <w:rPr>
          <w:sz w:val="24"/>
          <w:szCs w:val="24"/>
        </w:rPr>
        <w:t xml:space="preserve">as well as </w:t>
      </w:r>
      <w:r w:rsidRPr="007D79F4">
        <w:rPr>
          <w:sz w:val="24"/>
          <w:szCs w:val="24"/>
        </w:rPr>
        <w:t>current hourly wage</w:t>
      </w:r>
      <w:r w:rsidR="00DE50B9">
        <w:rPr>
          <w:sz w:val="24"/>
          <w:szCs w:val="24"/>
        </w:rPr>
        <w:t>s</w:t>
      </w:r>
      <w:r w:rsidRPr="007D79F4" w:rsidR="00690A30">
        <w:rPr>
          <w:sz w:val="24"/>
          <w:szCs w:val="24"/>
        </w:rPr>
        <w:t xml:space="preserve"> </w:t>
      </w:r>
      <w:r w:rsidRPr="007D79F4">
        <w:rPr>
          <w:sz w:val="24"/>
          <w:szCs w:val="24"/>
        </w:rPr>
        <w:t>used to estimate the</w:t>
      </w:r>
      <w:r w:rsidR="00DE50B9">
        <w:rPr>
          <w:sz w:val="24"/>
          <w:szCs w:val="24"/>
        </w:rPr>
        <w:t xml:space="preserve"> </w:t>
      </w:r>
      <w:r w:rsidRPr="007D79F4">
        <w:rPr>
          <w:sz w:val="24"/>
          <w:szCs w:val="24"/>
        </w:rPr>
        <w:t xml:space="preserve">associated burden hours and costs per </w:t>
      </w:r>
      <w:r w:rsidRPr="007D79F4" w:rsidR="003C7CBE">
        <w:rPr>
          <w:sz w:val="24"/>
        </w:rPr>
        <w:t>information collections (</w:t>
      </w:r>
      <w:r w:rsidRPr="007D79F4">
        <w:rPr>
          <w:sz w:val="24"/>
          <w:szCs w:val="24"/>
        </w:rPr>
        <w:t>IC</w:t>
      </w:r>
      <w:r w:rsidRPr="007D79F4" w:rsidR="003C7CBE">
        <w:rPr>
          <w:sz w:val="24"/>
          <w:szCs w:val="24"/>
        </w:rPr>
        <w:t>s)</w:t>
      </w:r>
      <w:r w:rsidRPr="007D79F4">
        <w:rPr>
          <w:sz w:val="24"/>
          <w:szCs w:val="24"/>
        </w:rPr>
        <w:t xml:space="preserve"> and for the entire industry (</w:t>
      </w:r>
      <w:r w:rsidRPr="007D79F4" w:rsidR="00690A30">
        <w:rPr>
          <w:sz w:val="24"/>
          <w:szCs w:val="24"/>
        </w:rPr>
        <w:t xml:space="preserve">see </w:t>
      </w:r>
      <w:r w:rsidRPr="007D79F4">
        <w:rPr>
          <w:sz w:val="24"/>
          <w:szCs w:val="24"/>
        </w:rPr>
        <w:t>Table 2).</w:t>
      </w:r>
    </w:p>
    <w:p w:rsidR="00F474C4" w:rsidP="00F474C4" w14:paraId="79274BDF" w14:textId="77777777">
      <w:pPr>
        <w:pStyle w:val="BodyText"/>
        <w:tabs>
          <w:tab w:val="left" w:pos="540"/>
        </w:tabs>
        <w:ind w:left="360"/>
      </w:pPr>
    </w:p>
    <w:p w:rsidR="00704E58" w:rsidRPr="009B55FC" w:rsidP="00595B10" w14:paraId="164B3E34" w14:textId="6999ABF8">
      <w:pPr>
        <w:pStyle w:val="Heading4"/>
        <w:spacing w:line="240" w:lineRule="auto"/>
        <w:ind w:left="450"/>
      </w:pPr>
      <w:bookmarkStart w:id="24" w:name="_Hlk195286932"/>
      <w:r w:rsidRPr="009B55FC">
        <w:t xml:space="preserve">Number of </w:t>
      </w:r>
      <w:r w:rsidRPr="009B55FC" w:rsidR="00BD2E8B">
        <w:t>Respondents (</w:t>
      </w:r>
      <w:r w:rsidRPr="009B55FC" w:rsidR="000342A4">
        <w:t>Transplant Programs</w:t>
      </w:r>
      <w:r w:rsidRPr="009B55FC" w:rsidR="00BD2E8B">
        <w:t>)</w:t>
      </w:r>
    </w:p>
    <w:bookmarkEnd w:id="24"/>
    <w:p w:rsidR="00905263" w:rsidP="00595B10" w14:paraId="3AFC4022" w14:textId="68963478">
      <w:pPr>
        <w:tabs>
          <w:tab w:val="left" w:pos="0"/>
          <w:tab w:val="left" w:pos="432"/>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szCs w:val="24"/>
        </w:rPr>
      </w:pPr>
      <w:r w:rsidRPr="0015797D">
        <w:rPr>
          <w:sz w:val="24"/>
          <w:szCs w:val="24"/>
        </w:rPr>
        <w:t>A certified t</w:t>
      </w:r>
      <w:r w:rsidRPr="007D79F4" w:rsidR="00AE1F12">
        <w:rPr>
          <w:sz w:val="24"/>
          <w:szCs w:val="24"/>
        </w:rPr>
        <w:t xml:space="preserve">ransplant </w:t>
      </w:r>
      <w:r w:rsidRPr="0015797D" w:rsidR="00AE1F12">
        <w:rPr>
          <w:sz w:val="24"/>
          <w:szCs w:val="24"/>
        </w:rPr>
        <w:t>program</w:t>
      </w:r>
      <w:r w:rsidRPr="0015797D">
        <w:rPr>
          <w:sz w:val="24"/>
          <w:szCs w:val="24"/>
        </w:rPr>
        <w:t xml:space="preserve"> is</w:t>
      </w:r>
      <w:r w:rsidRPr="007D79F4" w:rsidR="00AE1F12">
        <w:rPr>
          <w:sz w:val="24"/>
          <w:szCs w:val="24"/>
        </w:rPr>
        <w:t xml:space="preserve"> </w:t>
      </w:r>
      <w:r w:rsidRPr="0015797D">
        <w:rPr>
          <w:sz w:val="24"/>
          <w:szCs w:val="24"/>
        </w:rPr>
        <w:t>l</w:t>
      </w:r>
      <w:r w:rsidRPr="007D79F4" w:rsidR="00AE1F12">
        <w:rPr>
          <w:sz w:val="24"/>
          <w:szCs w:val="24"/>
        </w:rPr>
        <w:t xml:space="preserve">ocated </w:t>
      </w:r>
      <w:r w:rsidRPr="0015797D">
        <w:rPr>
          <w:sz w:val="24"/>
          <w:szCs w:val="24"/>
        </w:rPr>
        <w:t>within a Medicare</w:t>
      </w:r>
      <w:r w:rsidRPr="0015797D" w:rsidR="00690A30">
        <w:rPr>
          <w:sz w:val="24"/>
          <w:szCs w:val="24"/>
        </w:rPr>
        <w:t>-</w:t>
      </w:r>
      <w:r w:rsidRPr="0015797D">
        <w:rPr>
          <w:sz w:val="24"/>
          <w:szCs w:val="24"/>
        </w:rPr>
        <w:t xml:space="preserve">certified </w:t>
      </w:r>
      <w:r w:rsidRPr="007D79F4" w:rsidR="00AE1F12">
        <w:rPr>
          <w:sz w:val="24"/>
          <w:szCs w:val="24"/>
        </w:rPr>
        <w:t>hospital that is a member of</w:t>
      </w:r>
      <w:r w:rsidRPr="0015797D" w:rsidR="003C7CBE">
        <w:rPr>
          <w:sz w:val="24"/>
          <w:szCs w:val="24"/>
        </w:rPr>
        <w:t>,</w:t>
      </w:r>
      <w:r w:rsidRPr="00C50F86" w:rsidR="00AE1F12">
        <w:rPr>
          <w:sz w:val="24"/>
          <w:szCs w:val="24"/>
        </w:rPr>
        <w:t xml:space="preserve"> and abides by</w:t>
      </w:r>
      <w:r w:rsidRPr="0015797D" w:rsidR="003C7CBE">
        <w:rPr>
          <w:sz w:val="24"/>
          <w:szCs w:val="24"/>
        </w:rPr>
        <w:t>,</w:t>
      </w:r>
      <w:r w:rsidRPr="007D79F4" w:rsidR="00AE1F12">
        <w:rPr>
          <w:sz w:val="24"/>
          <w:szCs w:val="24"/>
        </w:rPr>
        <w:t xml:space="preserve"> the rules and requirements of the Organ Procurement and </w:t>
      </w:r>
      <w:r w:rsidR="00BF7E6B">
        <w:rPr>
          <w:sz w:val="24"/>
          <w:szCs w:val="24"/>
        </w:rPr>
        <w:t>T</w:t>
      </w:r>
      <w:r w:rsidRPr="007D79F4" w:rsidR="00AE1F12">
        <w:rPr>
          <w:sz w:val="24"/>
          <w:szCs w:val="24"/>
        </w:rPr>
        <w:t xml:space="preserve">ransplantation Network (OPTN). </w:t>
      </w:r>
      <w:r w:rsidRPr="007D79F4" w:rsidR="00CE3F51">
        <w:rPr>
          <w:sz w:val="24"/>
          <w:szCs w:val="24"/>
        </w:rPr>
        <w:t>The burden for the</w:t>
      </w:r>
      <w:r w:rsidRPr="007D79F4" w:rsidR="00690A30">
        <w:rPr>
          <w:sz w:val="24"/>
          <w:szCs w:val="24"/>
        </w:rPr>
        <w:t xml:space="preserve"> </w:t>
      </w:r>
      <w:r w:rsidRPr="007D79F4" w:rsidR="00CE3F51">
        <w:rPr>
          <w:sz w:val="24"/>
          <w:szCs w:val="24"/>
        </w:rPr>
        <w:t xml:space="preserve">information collections </w:t>
      </w:r>
      <w:r w:rsidR="00BF7E6B">
        <w:rPr>
          <w:sz w:val="24"/>
          <w:szCs w:val="24"/>
        </w:rPr>
        <w:t>(</w:t>
      </w:r>
      <w:r w:rsidRPr="007D79F4" w:rsidR="00690A30">
        <w:rPr>
          <w:sz w:val="24"/>
          <w:szCs w:val="24"/>
        </w:rPr>
        <w:t>ICs</w:t>
      </w:r>
      <w:r w:rsidRPr="007D79F4" w:rsidR="003C7CBE">
        <w:rPr>
          <w:sz w:val="24"/>
          <w:szCs w:val="24"/>
        </w:rPr>
        <w:t>)</w:t>
      </w:r>
      <w:r w:rsidRPr="007D79F4" w:rsidR="00690A30">
        <w:rPr>
          <w:sz w:val="24"/>
          <w:szCs w:val="24"/>
        </w:rPr>
        <w:t xml:space="preserve"> </w:t>
      </w:r>
      <w:r w:rsidRPr="007D79F4" w:rsidR="00CE3F51">
        <w:rPr>
          <w:sz w:val="24"/>
          <w:szCs w:val="24"/>
        </w:rPr>
        <w:t xml:space="preserve">described </w:t>
      </w:r>
      <w:r w:rsidRPr="007D79F4" w:rsidR="000342A4">
        <w:rPr>
          <w:sz w:val="24"/>
          <w:szCs w:val="24"/>
        </w:rPr>
        <w:t xml:space="preserve">in Part 12-B </w:t>
      </w:r>
      <w:r w:rsidRPr="007D79F4" w:rsidR="003C7CBE">
        <w:rPr>
          <w:sz w:val="24"/>
          <w:szCs w:val="24"/>
        </w:rPr>
        <w:t>is based on</w:t>
      </w:r>
      <w:r w:rsidRPr="007D79F4" w:rsidR="00CE3F51">
        <w:rPr>
          <w:sz w:val="24"/>
          <w:szCs w:val="24"/>
        </w:rPr>
        <w:t xml:space="preserve"> facility data</w:t>
      </w:r>
      <w:r w:rsidRPr="007D79F4" w:rsidR="00B035F9">
        <w:rPr>
          <w:sz w:val="24"/>
          <w:szCs w:val="24"/>
        </w:rPr>
        <w:t xml:space="preserve"> for hospitals that provide transplants</w:t>
      </w:r>
      <w:r w:rsidRPr="007D79F4" w:rsidR="003C7CBE">
        <w:rPr>
          <w:sz w:val="24"/>
          <w:szCs w:val="24"/>
        </w:rPr>
        <w:t>,</w:t>
      </w:r>
      <w:r w:rsidRPr="007D79F4" w:rsidR="00B035F9">
        <w:rPr>
          <w:sz w:val="24"/>
          <w:szCs w:val="24"/>
        </w:rPr>
        <w:t xml:space="preserve"> </w:t>
      </w:r>
      <w:r w:rsidRPr="0015797D">
        <w:rPr>
          <w:sz w:val="24"/>
          <w:szCs w:val="24"/>
        </w:rPr>
        <w:t xml:space="preserve">as reported by </w:t>
      </w:r>
      <w:r w:rsidRPr="0015797D" w:rsidR="00324E4F">
        <w:rPr>
          <w:sz w:val="24"/>
          <w:szCs w:val="24"/>
        </w:rPr>
        <w:t>CMS’ Certification and Survey Provider Enhanced Reporting (CASPER)</w:t>
      </w:r>
      <w:r w:rsidRPr="007D79F4" w:rsidR="00F37721">
        <w:rPr>
          <w:sz w:val="24"/>
          <w:szCs w:val="24"/>
        </w:rPr>
        <w:t>,</w:t>
      </w:r>
      <w:r w:rsidRPr="007D79F4" w:rsidR="00CE3F51">
        <w:rPr>
          <w:sz w:val="24"/>
          <w:szCs w:val="24"/>
        </w:rPr>
        <w:t xml:space="preserve"> </w:t>
      </w:r>
      <w:r w:rsidRPr="007D79F4" w:rsidR="00690A30">
        <w:rPr>
          <w:sz w:val="24"/>
          <w:szCs w:val="24"/>
        </w:rPr>
        <w:t xml:space="preserve">as shown </w:t>
      </w:r>
      <w:r w:rsidRPr="007D79F4" w:rsidR="00CE3F51">
        <w:rPr>
          <w:sz w:val="24"/>
          <w:szCs w:val="24"/>
        </w:rPr>
        <w:t>in Table 1</w:t>
      </w:r>
      <w:r w:rsidRPr="0015797D" w:rsidR="00F42619">
        <w:rPr>
          <w:sz w:val="24"/>
          <w:szCs w:val="24"/>
        </w:rPr>
        <w:t>.</w:t>
      </w:r>
      <w:r>
        <w:rPr>
          <w:rStyle w:val="FootnoteReference"/>
          <w:sz w:val="24"/>
          <w:szCs w:val="24"/>
        </w:rPr>
        <w:footnoteReference w:id="5"/>
      </w:r>
      <w:r w:rsidRPr="0015797D" w:rsidR="00F42619">
        <w:rPr>
          <w:sz w:val="24"/>
          <w:szCs w:val="24"/>
        </w:rPr>
        <w:t xml:space="preserve"> </w:t>
      </w:r>
      <w:r w:rsidRPr="0015797D">
        <w:rPr>
          <w:sz w:val="24"/>
          <w:szCs w:val="24"/>
        </w:rPr>
        <w:t xml:space="preserve"> To estimate the number of transplant programs impacted</w:t>
      </w:r>
      <w:r w:rsidRPr="0015797D" w:rsidR="003F65F5">
        <w:rPr>
          <w:sz w:val="24"/>
          <w:szCs w:val="24"/>
        </w:rPr>
        <w:t xml:space="preserve"> by these ICs</w:t>
      </w:r>
      <w:r w:rsidRPr="0015797D">
        <w:rPr>
          <w:sz w:val="24"/>
          <w:szCs w:val="24"/>
        </w:rPr>
        <w:t>,</w:t>
      </w:r>
      <w:r w:rsidR="00BF7E6B">
        <w:rPr>
          <w:sz w:val="24"/>
          <w:szCs w:val="24"/>
        </w:rPr>
        <w:t xml:space="preserve"> </w:t>
      </w:r>
      <w:r w:rsidRPr="0015797D" w:rsidR="003C7CBE">
        <w:rPr>
          <w:sz w:val="24"/>
          <w:szCs w:val="24"/>
        </w:rPr>
        <w:t>CMS</w:t>
      </w:r>
      <w:r w:rsidRPr="0015797D">
        <w:rPr>
          <w:sz w:val="24"/>
          <w:szCs w:val="24"/>
        </w:rPr>
        <w:t xml:space="preserve"> assume</w:t>
      </w:r>
      <w:r w:rsidRPr="0015797D" w:rsidR="003C7CBE">
        <w:rPr>
          <w:sz w:val="24"/>
          <w:szCs w:val="24"/>
        </w:rPr>
        <w:t>s</w:t>
      </w:r>
      <w:r w:rsidRPr="0015797D">
        <w:rPr>
          <w:sz w:val="24"/>
          <w:szCs w:val="24"/>
        </w:rPr>
        <w:t xml:space="preserve"> there </w:t>
      </w:r>
      <w:r w:rsidRPr="0015797D" w:rsidR="00DF1DEE">
        <w:rPr>
          <w:sz w:val="24"/>
          <w:szCs w:val="24"/>
        </w:rPr>
        <w:t>will</w:t>
      </w:r>
      <w:r w:rsidRPr="0015797D">
        <w:rPr>
          <w:sz w:val="24"/>
          <w:szCs w:val="24"/>
        </w:rPr>
        <w:t xml:space="preserve"> </w:t>
      </w:r>
      <w:r w:rsidRPr="001F3874">
        <w:rPr>
          <w:sz w:val="24"/>
          <w:szCs w:val="24"/>
        </w:rPr>
        <w:t>be 23</w:t>
      </w:r>
      <w:r w:rsidRPr="001F3874" w:rsidR="0015797D">
        <w:rPr>
          <w:sz w:val="24"/>
          <w:szCs w:val="24"/>
        </w:rPr>
        <w:t>7</w:t>
      </w:r>
      <w:r w:rsidRPr="001F3874">
        <w:rPr>
          <w:sz w:val="24"/>
          <w:szCs w:val="24"/>
        </w:rPr>
        <w:t xml:space="preserve"> Medicare-</w:t>
      </w:r>
      <w:r w:rsidRPr="0015797D">
        <w:rPr>
          <w:sz w:val="24"/>
          <w:szCs w:val="24"/>
        </w:rPr>
        <w:t xml:space="preserve">certified transplant programs </w:t>
      </w:r>
      <w:r w:rsidRPr="0015797D" w:rsidR="003C7CBE">
        <w:rPr>
          <w:sz w:val="24"/>
          <w:szCs w:val="24"/>
        </w:rPr>
        <w:t xml:space="preserve">operating </w:t>
      </w:r>
      <w:r w:rsidRPr="0015797D">
        <w:rPr>
          <w:sz w:val="24"/>
          <w:szCs w:val="24"/>
        </w:rPr>
        <w:t xml:space="preserve">within Medicare-certified hospitals </w:t>
      </w:r>
      <w:r w:rsidRPr="0015797D" w:rsidR="003F65F5">
        <w:rPr>
          <w:sz w:val="24"/>
          <w:szCs w:val="24"/>
        </w:rPr>
        <w:t>during</w:t>
      </w:r>
      <w:r w:rsidRPr="0015797D">
        <w:rPr>
          <w:sz w:val="24"/>
          <w:szCs w:val="24"/>
        </w:rPr>
        <w:t xml:space="preserve"> the next three-year period</w:t>
      </w:r>
      <w:r w:rsidR="00584720">
        <w:rPr>
          <w:sz w:val="24"/>
          <w:szCs w:val="24"/>
        </w:rPr>
        <w:t xml:space="preserve"> (2025, 2026, 2027)</w:t>
      </w:r>
      <w:r w:rsidRPr="0015797D" w:rsidR="003C7CBE">
        <w:rPr>
          <w:sz w:val="24"/>
          <w:szCs w:val="24"/>
        </w:rPr>
        <w:t xml:space="preserve">. This </w:t>
      </w:r>
      <w:r w:rsidRPr="0015797D" w:rsidR="003F65F5">
        <w:rPr>
          <w:sz w:val="24"/>
          <w:szCs w:val="24"/>
        </w:rPr>
        <w:t xml:space="preserve">estimate </w:t>
      </w:r>
      <w:r w:rsidRPr="0015797D" w:rsidR="003C7CBE">
        <w:rPr>
          <w:sz w:val="24"/>
          <w:szCs w:val="24"/>
        </w:rPr>
        <w:t xml:space="preserve">is </w:t>
      </w:r>
      <w:r w:rsidRPr="0015797D">
        <w:rPr>
          <w:sz w:val="24"/>
          <w:szCs w:val="24"/>
        </w:rPr>
        <w:t>based on the</w:t>
      </w:r>
      <w:r w:rsidR="00BF7E6B">
        <w:rPr>
          <w:sz w:val="24"/>
          <w:szCs w:val="24"/>
        </w:rPr>
        <w:t xml:space="preserve"> average</w:t>
      </w:r>
      <w:r w:rsidRPr="0015797D">
        <w:rPr>
          <w:sz w:val="24"/>
          <w:szCs w:val="24"/>
        </w:rPr>
        <w:t xml:space="preserve"> number of active programs </w:t>
      </w:r>
      <w:r w:rsidR="00584720">
        <w:rPr>
          <w:sz w:val="24"/>
          <w:szCs w:val="24"/>
        </w:rPr>
        <w:t>between</w:t>
      </w:r>
      <w:r w:rsidRPr="0015797D">
        <w:rPr>
          <w:sz w:val="24"/>
          <w:szCs w:val="24"/>
        </w:rPr>
        <w:t xml:space="preserve"> Calendar Year (CY) </w:t>
      </w:r>
      <w:r w:rsidR="00584720">
        <w:rPr>
          <w:sz w:val="24"/>
          <w:szCs w:val="24"/>
        </w:rPr>
        <w:t xml:space="preserve">2020 to </w:t>
      </w:r>
      <w:r w:rsidRPr="0015797D">
        <w:rPr>
          <w:sz w:val="24"/>
          <w:szCs w:val="24"/>
        </w:rPr>
        <w:t xml:space="preserve">2024. </w:t>
      </w:r>
      <w:r w:rsidRPr="0015797D" w:rsidR="00461033">
        <w:rPr>
          <w:sz w:val="24"/>
          <w:szCs w:val="24"/>
        </w:rPr>
        <w:t xml:space="preserve">In addition, </w:t>
      </w:r>
      <w:r w:rsidR="00584720">
        <w:rPr>
          <w:sz w:val="24"/>
          <w:szCs w:val="24"/>
        </w:rPr>
        <w:t xml:space="preserve">between the same </w:t>
      </w:r>
      <w:r w:rsidR="00584720">
        <w:rPr>
          <w:sz w:val="24"/>
          <w:szCs w:val="24"/>
        </w:rPr>
        <w:t>time period</w:t>
      </w:r>
      <w:r w:rsidR="00584720">
        <w:rPr>
          <w:sz w:val="24"/>
          <w:szCs w:val="24"/>
        </w:rPr>
        <w:t xml:space="preserve">, </w:t>
      </w:r>
      <w:r w:rsidRPr="0015797D" w:rsidR="003F65F5">
        <w:rPr>
          <w:sz w:val="24"/>
          <w:szCs w:val="24"/>
        </w:rPr>
        <w:t>CMS observed a</w:t>
      </w:r>
      <w:r w:rsidRPr="0015797D" w:rsidR="00DF1DEE">
        <w:rPr>
          <w:sz w:val="24"/>
          <w:szCs w:val="24"/>
        </w:rPr>
        <w:t xml:space="preserve">n average </w:t>
      </w:r>
      <w:r w:rsidRPr="0015797D" w:rsidR="003F65F5">
        <w:rPr>
          <w:sz w:val="24"/>
          <w:szCs w:val="24"/>
        </w:rPr>
        <w:t xml:space="preserve">of </w:t>
      </w:r>
      <w:r w:rsidRPr="0015797D" w:rsidR="00782240">
        <w:rPr>
          <w:sz w:val="24"/>
          <w:szCs w:val="24"/>
        </w:rPr>
        <w:t>two</w:t>
      </w:r>
      <w:r w:rsidRPr="0015797D">
        <w:rPr>
          <w:sz w:val="24"/>
          <w:szCs w:val="24"/>
        </w:rPr>
        <w:t xml:space="preserve"> newly certified transplant programs within Medicare-certified hospitals and </w:t>
      </w:r>
      <w:r w:rsidRPr="0015797D" w:rsidR="00782240">
        <w:rPr>
          <w:sz w:val="24"/>
          <w:szCs w:val="24"/>
        </w:rPr>
        <w:t>two</w:t>
      </w:r>
      <w:r w:rsidRPr="0015797D">
        <w:rPr>
          <w:sz w:val="24"/>
          <w:szCs w:val="24"/>
        </w:rPr>
        <w:t xml:space="preserve"> </w:t>
      </w:r>
      <w:r w:rsidRPr="0015797D" w:rsidR="003F65F5">
        <w:rPr>
          <w:sz w:val="24"/>
          <w:szCs w:val="24"/>
        </w:rPr>
        <w:t>terminations annually</w:t>
      </w:r>
      <w:r w:rsidR="00BF7E6B">
        <w:rPr>
          <w:sz w:val="24"/>
          <w:szCs w:val="24"/>
        </w:rPr>
        <w:t>.</w:t>
      </w:r>
      <w:r w:rsidRPr="0015797D" w:rsidR="003C7CBE">
        <w:rPr>
          <w:sz w:val="24"/>
          <w:szCs w:val="24"/>
        </w:rPr>
        <w:t xml:space="preserve"> </w:t>
      </w:r>
    </w:p>
    <w:p w:rsidR="00CF3B0C" w:rsidRPr="0015797D" w:rsidP="00417BD1" w14:paraId="08C3EE5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516E83" w:rsidRPr="007D79F4" w:rsidP="007D79F4" w14:paraId="454E4DED" w14:textId="68F41A5F">
      <w:pPr>
        <w:pStyle w:val="BodyText"/>
        <w:spacing w:before="1" w:line="247" w:lineRule="auto"/>
        <w:ind w:left="460" w:right="144"/>
        <w:jc w:val="center"/>
        <w:rPr>
          <w:b/>
          <w:bCs/>
        </w:rPr>
      </w:pPr>
      <w:r w:rsidRPr="007D79F4">
        <w:rPr>
          <w:b/>
          <w:bCs/>
        </w:rPr>
        <w:t xml:space="preserve">Table 1: </w:t>
      </w:r>
      <w:r w:rsidRPr="007D79F4" w:rsidR="00905263">
        <w:rPr>
          <w:b/>
          <w:bCs/>
        </w:rPr>
        <w:t>N</w:t>
      </w:r>
      <w:r w:rsidRPr="007D79F4" w:rsidR="00461033">
        <w:rPr>
          <w:b/>
          <w:bCs/>
        </w:rPr>
        <w:t>umber of Transplant Facilities Impacted</w:t>
      </w:r>
      <w:r>
        <w:rPr>
          <w:rStyle w:val="FootnoteReference"/>
          <w:b/>
          <w:bCs/>
        </w:rPr>
        <w:footnoteReference w:id="6"/>
      </w:r>
    </w:p>
    <w:tbl>
      <w:tblPr>
        <w:tblW w:w="7333" w:type="dxa"/>
        <w:tblInd w:w="535" w:type="dxa"/>
        <w:tblLook w:val="04A0"/>
      </w:tblPr>
      <w:tblGrid>
        <w:gridCol w:w="2610"/>
        <w:gridCol w:w="810"/>
        <w:gridCol w:w="900"/>
        <w:gridCol w:w="756"/>
        <w:gridCol w:w="680"/>
        <w:gridCol w:w="694"/>
        <w:gridCol w:w="883"/>
      </w:tblGrid>
      <w:tr w14:paraId="6D9FAD08" w14:textId="77777777" w:rsidTr="00414E6F">
        <w:tblPrEx>
          <w:tblW w:w="7333" w:type="dxa"/>
          <w:tblInd w:w="535" w:type="dxa"/>
          <w:tblLook w:val="04A0"/>
        </w:tblPrEx>
        <w:trPr>
          <w:trHeight w:val="576"/>
        </w:trPr>
        <w:tc>
          <w:tcPr>
            <w:tcW w:w="2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860E1" w:rsidRPr="00BF7E6B" w:rsidP="00CF6BE5" w14:paraId="38FAD68D" w14:textId="5A745689">
            <w:pPr>
              <w:widowControl/>
              <w:autoSpaceDE/>
              <w:autoSpaceDN/>
              <w:jc w:val="center"/>
              <w:rPr>
                <w:b/>
                <w:bCs/>
                <w:color w:val="000000"/>
                <w:sz w:val="20"/>
                <w:szCs w:val="20"/>
              </w:rPr>
            </w:pPr>
            <w:r w:rsidRPr="00BF7E6B">
              <w:rPr>
                <w:b/>
                <w:bCs/>
                <w:color w:val="000000"/>
                <w:sz w:val="20"/>
                <w:szCs w:val="20"/>
              </w:rPr>
              <w:t># of Transplant Programs with Hospitals</w:t>
            </w:r>
          </w:p>
        </w:tc>
        <w:tc>
          <w:tcPr>
            <w:tcW w:w="81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860E1" w:rsidRPr="007459D2" w:rsidP="006860E1" w14:paraId="0A05C1E8" w14:textId="5BE5B482">
            <w:pPr>
              <w:widowControl/>
              <w:autoSpaceDE/>
              <w:autoSpaceDN/>
              <w:jc w:val="center"/>
              <w:rPr>
                <w:b/>
                <w:bCs/>
                <w:sz w:val="20"/>
                <w:szCs w:val="20"/>
              </w:rPr>
            </w:pPr>
            <w:r w:rsidRPr="007459D2">
              <w:rPr>
                <w:b/>
                <w:bCs/>
                <w:sz w:val="20"/>
                <w:szCs w:val="20"/>
              </w:rPr>
              <w:t>2020</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860E1" w:rsidRPr="007459D2" w:rsidP="006860E1" w14:paraId="19EC9D3A" w14:textId="164ABE8A">
            <w:pPr>
              <w:widowControl/>
              <w:autoSpaceDE/>
              <w:autoSpaceDN/>
              <w:jc w:val="center"/>
              <w:rPr>
                <w:b/>
                <w:bCs/>
                <w:sz w:val="20"/>
                <w:szCs w:val="20"/>
              </w:rPr>
            </w:pPr>
            <w:r w:rsidRPr="007459D2">
              <w:rPr>
                <w:b/>
                <w:bCs/>
                <w:sz w:val="20"/>
                <w:szCs w:val="20"/>
              </w:rPr>
              <w:t>2021</w:t>
            </w:r>
          </w:p>
        </w:tc>
        <w:tc>
          <w:tcPr>
            <w:tcW w:w="7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860E1" w:rsidRPr="007459D2" w:rsidP="006860E1" w14:paraId="25587989" w14:textId="4C7C6968">
            <w:pPr>
              <w:widowControl/>
              <w:autoSpaceDE/>
              <w:autoSpaceDN/>
              <w:jc w:val="center"/>
              <w:rPr>
                <w:b/>
                <w:bCs/>
                <w:sz w:val="20"/>
                <w:szCs w:val="20"/>
              </w:rPr>
            </w:pPr>
            <w:r w:rsidRPr="007459D2">
              <w:rPr>
                <w:b/>
                <w:bCs/>
                <w:sz w:val="20"/>
                <w:szCs w:val="20"/>
              </w:rPr>
              <w:t>2022</w:t>
            </w:r>
          </w:p>
        </w:tc>
        <w:tc>
          <w:tcPr>
            <w:tcW w:w="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860E1" w:rsidRPr="007459D2" w:rsidP="006860E1" w14:paraId="4E3B50D7" w14:textId="5BE49A3D">
            <w:pPr>
              <w:widowControl/>
              <w:autoSpaceDE/>
              <w:autoSpaceDN/>
              <w:jc w:val="center"/>
              <w:rPr>
                <w:b/>
                <w:bCs/>
                <w:sz w:val="20"/>
                <w:szCs w:val="20"/>
              </w:rPr>
            </w:pPr>
            <w:r w:rsidRPr="007459D2">
              <w:rPr>
                <w:b/>
                <w:bCs/>
                <w:sz w:val="20"/>
                <w:szCs w:val="20"/>
              </w:rPr>
              <w:t>2023</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860E1" w:rsidRPr="007459D2" w:rsidP="006860E1" w14:paraId="54991A4D" w14:textId="6BFDFFBB">
            <w:pPr>
              <w:widowControl/>
              <w:autoSpaceDE/>
              <w:autoSpaceDN/>
              <w:jc w:val="center"/>
              <w:rPr>
                <w:b/>
                <w:bCs/>
                <w:sz w:val="20"/>
                <w:szCs w:val="20"/>
              </w:rPr>
            </w:pPr>
            <w:r w:rsidRPr="007459D2">
              <w:rPr>
                <w:b/>
                <w:bCs/>
                <w:sz w:val="20"/>
                <w:szCs w:val="20"/>
              </w:rPr>
              <w:t>2024</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860E1" w:rsidRPr="007459D2" w:rsidP="006860E1" w14:paraId="1092DFC8" w14:textId="0A48A684">
            <w:pPr>
              <w:widowControl/>
              <w:autoSpaceDE/>
              <w:autoSpaceDN/>
              <w:jc w:val="center"/>
              <w:rPr>
                <w:b/>
                <w:bCs/>
                <w:sz w:val="20"/>
                <w:szCs w:val="20"/>
              </w:rPr>
            </w:pPr>
            <w:r w:rsidRPr="007459D2">
              <w:rPr>
                <w:b/>
                <w:bCs/>
                <w:sz w:val="20"/>
                <w:szCs w:val="20"/>
              </w:rPr>
              <w:t>5-yr. average</w:t>
            </w:r>
          </w:p>
        </w:tc>
      </w:tr>
      <w:tr w14:paraId="63D667FA" w14:textId="77777777" w:rsidTr="00DE415A">
        <w:tblPrEx>
          <w:tblW w:w="7333" w:type="dxa"/>
          <w:tblInd w:w="535" w:type="dxa"/>
          <w:tblLook w:val="04A0"/>
        </w:tblPrEx>
        <w:trPr>
          <w:trHeight w:val="576"/>
        </w:trPr>
        <w:tc>
          <w:tcPr>
            <w:tcW w:w="2610" w:type="dxa"/>
            <w:tcBorders>
              <w:top w:val="single" w:sz="4" w:space="0" w:color="auto"/>
              <w:left w:val="single" w:sz="4" w:space="0" w:color="auto"/>
              <w:bottom w:val="single" w:sz="4" w:space="0" w:color="auto"/>
              <w:right w:val="single" w:sz="4" w:space="0" w:color="auto"/>
            </w:tcBorders>
            <w:noWrap/>
            <w:vAlign w:val="center"/>
          </w:tcPr>
          <w:p w:rsidR="006860E1" w:rsidRPr="008D36CB" w:rsidP="006860E1" w14:paraId="659FEA13" w14:textId="5CF1147B">
            <w:pPr>
              <w:widowControl/>
              <w:autoSpaceDE/>
              <w:autoSpaceDN/>
              <w:rPr>
                <w:color w:val="000000"/>
                <w:sz w:val="20"/>
                <w:szCs w:val="20"/>
              </w:rPr>
            </w:pPr>
            <w:r w:rsidRPr="008D36CB">
              <w:rPr>
                <w:color w:val="000000"/>
                <w:sz w:val="20"/>
                <w:szCs w:val="20"/>
              </w:rPr>
              <w:t xml:space="preserve">Currently Active Programs </w:t>
            </w:r>
          </w:p>
        </w:tc>
        <w:tc>
          <w:tcPr>
            <w:tcW w:w="810" w:type="dxa"/>
            <w:tcBorders>
              <w:top w:val="single" w:sz="4" w:space="0" w:color="auto"/>
              <w:left w:val="nil"/>
              <w:bottom w:val="single" w:sz="4" w:space="0" w:color="auto"/>
              <w:right w:val="single" w:sz="4" w:space="0" w:color="auto"/>
            </w:tcBorders>
            <w:noWrap/>
            <w:vAlign w:val="center"/>
          </w:tcPr>
          <w:p w:rsidR="006860E1" w:rsidRPr="008D36CB" w:rsidP="006860E1" w14:paraId="42E3C0F4" w14:textId="27AB94D7">
            <w:pPr>
              <w:widowControl/>
              <w:autoSpaceDE/>
              <w:autoSpaceDN/>
              <w:jc w:val="center"/>
              <w:rPr>
                <w:sz w:val="20"/>
                <w:szCs w:val="20"/>
              </w:rPr>
            </w:pPr>
            <w:r w:rsidRPr="008D36CB">
              <w:rPr>
                <w:sz w:val="20"/>
                <w:szCs w:val="20"/>
              </w:rPr>
              <w:t>237</w:t>
            </w:r>
          </w:p>
        </w:tc>
        <w:tc>
          <w:tcPr>
            <w:tcW w:w="900" w:type="dxa"/>
            <w:tcBorders>
              <w:top w:val="single" w:sz="4" w:space="0" w:color="auto"/>
              <w:left w:val="single" w:sz="4" w:space="0" w:color="auto"/>
              <w:bottom w:val="single" w:sz="4" w:space="0" w:color="auto"/>
              <w:right w:val="single" w:sz="4" w:space="0" w:color="auto"/>
            </w:tcBorders>
            <w:vAlign w:val="center"/>
          </w:tcPr>
          <w:p w:rsidR="006860E1" w:rsidRPr="008D36CB" w:rsidP="006860E1" w14:paraId="366E399E" w14:textId="7C79D3FE">
            <w:pPr>
              <w:widowControl/>
              <w:autoSpaceDE/>
              <w:autoSpaceDN/>
              <w:jc w:val="center"/>
              <w:rPr>
                <w:sz w:val="20"/>
                <w:szCs w:val="20"/>
              </w:rPr>
            </w:pPr>
            <w:r w:rsidRPr="008D36CB">
              <w:rPr>
                <w:sz w:val="20"/>
                <w:szCs w:val="20"/>
              </w:rPr>
              <w:t>237</w:t>
            </w:r>
          </w:p>
        </w:tc>
        <w:tc>
          <w:tcPr>
            <w:tcW w:w="756" w:type="dxa"/>
            <w:tcBorders>
              <w:top w:val="single" w:sz="4" w:space="0" w:color="auto"/>
              <w:left w:val="single" w:sz="4" w:space="0" w:color="auto"/>
              <w:bottom w:val="single" w:sz="4" w:space="0" w:color="auto"/>
              <w:right w:val="single" w:sz="4" w:space="0" w:color="auto"/>
            </w:tcBorders>
            <w:vAlign w:val="center"/>
          </w:tcPr>
          <w:p w:rsidR="006860E1" w:rsidRPr="008D36CB" w:rsidP="006860E1" w14:paraId="3DA5283B" w14:textId="68C6B9F2">
            <w:pPr>
              <w:widowControl/>
              <w:autoSpaceDE/>
              <w:autoSpaceDN/>
              <w:jc w:val="center"/>
              <w:rPr>
                <w:sz w:val="20"/>
                <w:szCs w:val="20"/>
              </w:rPr>
            </w:pPr>
            <w:r w:rsidRPr="008D36CB">
              <w:rPr>
                <w:sz w:val="20"/>
                <w:szCs w:val="20"/>
              </w:rPr>
              <w:t>239</w:t>
            </w:r>
          </w:p>
        </w:tc>
        <w:tc>
          <w:tcPr>
            <w:tcW w:w="680" w:type="dxa"/>
            <w:tcBorders>
              <w:top w:val="single" w:sz="4" w:space="0" w:color="auto"/>
              <w:left w:val="single" w:sz="4" w:space="0" w:color="auto"/>
              <w:bottom w:val="single" w:sz="4" w:space="0" w:color="auto"/>
              <w:right w:val="single" w:sz="4" w:space="0" w:color="auto"/>
            </w:tcBorders>
            <w:vAlign w:val="center"/>
          </w:tcPr>
          <w:p w:rsidR="006860E1" w:rsidRPr="008D36CB" w:rsidP="006860E1" w14:paraId="0405445E" w14:textId="2AD870BA">
            <w:pPr>
              <w:widowControl/>
              <w:autoSpaceDE/>
              <w:autoSpaceDN/>
              <w:jc w:val="center"/>
              <w:rPr>
                <w:sz w:val="20"/>
                <w:szCs w:val="20"/>
              </w:rPr>
            </w:pPr>
            <w:r w:rsidRPr="008D36CB">
              <w:rPr>
                <w:sz w:val="20"/>
                <w:szCs w:val="20"/>
              </w:rPr>
              <w:t>239</w:t>
            </w:r>
          </w:p>
        </w:tc>
        <w:tc>
          <w:tcPr>
            <w:tcW w:w="694" w:type="dxa"/>
            <w:tcBorders>
              <w:top w:val="single" w:sz="4" w:space="0" w:color="auto"/>
              <w:left w:val="single" w:sz="4" w:space="0" w:color="auto"/>
              <w:bottom w:val="single" w:sz="4" w:space="0" w:color="auto"/>
              <w:right w:val="single" w:sz="4" w:space="0" w:color="auto"/>
            </w:tcBorders>
            <w:vAlign w:val="center"/>
          </w:tcPr>
          <w:p w:rsidR="006860E1" w:rsidRPr="007459D2" w:rsidP="006860E1" w14:paraId="591C70F6" w14:textId="4C69540E">
            <w:pPr>
              <w:widowControl/>
              <w:autoSpaceDE/>
              <w:autoSpaceDN/>
              <w:jc w:val="center"/>
              <w:rPr>
                <w:color w:val="000000"/>
                <w:sz w:val="20"/>
                <w:szCs w:val="20"/>
              </w:rPr>
            </w:pPr>
            <w:r w:rsidRPr="007459D2">
              <w:rPr>
                <w:color w:val="000000"/>
                <w:sz w:val="20"/>
                <w:szCs w:val="20"/>
              </w:rPr>
              <w:t>234</w:t>
            </w:r>
          </w:p>
        </w:tc>
        <w:tc>
          <w:tcPr>
            <w:tcW w:w="883" w:type="dxa"/>
            <w:tcBorders>
              <w:top w:val="single" w:sz="4" w:space="0" w:color="auto"/>
              <w:left w:val="single" w:sz="4" w:space="0" w:color="auto"/>
              <w:bottom w:val="single" w:sz="4" w:space="0" w:color="auto"/>
              <w:right w:val="single" w:sz="4" w:space="0" w:color="auto"/>
            </w:tcBorders>
            <w:vAlign w:val="center"/>
          </w:tcPr>
          <w:p w:rsidR="006860E1" w:rsidRPr="008D36CB" w:rsidP="006860E1" w14:paraId="33266AA7" w14:textId="7FCA77AC">
            <w:pPr>
              <w:widowControl/>
              <w:autoSpaceDE/>
              <w:autoSpaceDN/>
              <w:jc w:val="center"/>
              <w:rPr>
                <w:color w:val="000000"/>
                <w:sz w:val="20"/>
                <w:szCs w:val="20"/>
              </w:rPr>
            </w:pPr>
            <w:r w:rsidRPr="008D36CB">
              <w:rPr>
                <w:color w:val="000000"/>
                <w:sz w:val="20"/>
                <w:szCs w:val="20"/>
              </w:rPr>
              <w:t>237</w:t>
            </w:r>
          </w:p>
        </w:tc>
      </w:tr>
      <w:tr w14:paraId="3136A537" w14:textId="256154AD" w:rsidTr="00DE415A">
        <w:tblPrEx>
          <w:tblW w:w="7333" w:type="dxa"/>
          <w:tblInd w:w="535" w:type="dxa"/>
          <w:tblLook w:val="04A0"/>
        </w:tblPrEx>
        <w:trPr>
          <w:trHeight w:val="576"/>
        </w:trPr>
        <w:tc>
          <w:tcPr>
            <w:tcW w:w="2610" w:type="dxa"/>
            <w:tcBorders>
              <w:top w:val="nil"/>
              <w:left w:val="single" w:sz="4" w:space="0" w:color="auto"/>
              <w:bottom w:val="single" w:sz="4" w:space="0" w:color="auto"/>
              <w:right w:val="single" w:sz="4" w:space="0" w:color="auto"/>
            </w:tcBorders>
            <w:noWrap/>
            <w:vAlign w:val="center"/>
            <w:hideMark/>
          </w:tcPr>
          <w:p w:rsidR="006860E1" w:rsidRPr="008D36CB" w:rsidP="006860E1" w14:paraId="1987DFFB" w14:textId="4946D7B7">
            <w:pPr>
              <w:widowControl/>
              <w:autoSpaceDE/>
              <w:autoSpaceDN/>
              <w:rPr>
                <w:color w:val="000000"/>
                <w:sz w:val="20"/>
                <w:szCs w:val="20"/>
              </w:rPr>
            </w:pPr>
            <w:r w:rsidRPr="008D36CB">
              <w:rPr>
                <w:color w:val="000000"/>
                <w:sz w:val="20"/>
                <w:szCs w:val="20"/>
              </w:rPr>
              <w:t>New Programs</w:t>
            </w:r>
          </w:p>
        </w:tc>
        <w:tc>
          <w:tcPr>
            <w:tcW w:w="810" w:type="dxa"/>
            <w:tcBorders>
              <w:top w:val="single" w:sz="4" w:space="0" w:color="auto"/>
              <w:left w:val="nil"/>
              <w:bottom w:val="single" w:sz="4" w:space="0" w:color="auto"/>
              <w:right w:val="single" w:sz="4" w:space="0" w:color="auto"/>
            </w:tcBorders>
            <w:noWrap/>
            <w:vAlign w:val="center"/>
            <w:hideMark/>
          </w:tcPr>
          <w:p w:rsidR="006860E1" w:rsidRPr="008D36CB" w:rsidP="006860E1" w14:paraId="0CA857A2" w14:textId="693158E2">
            <w:pPr>
              <w:widowControl/>
              <w:autoSpaceDE/>
              <w:autoSpaceDN/>
              <w:jc w:val="center"/>
              <w:rPr>
                <w:color w:val="000000"/>
                <w:sz w:val="20"/>
                <w:szCs w:val="20"/>
              </w:rPr>
            </w:pPr>
            <w:r w:rsidRPr="008D36CB">
              <w:rPr>
                <w:sz w:val="20"/>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6860E1" w:rsidRPr="008D36CB" w:rsidP="006860E1" w14:paraId="4F904970" w14:textId="4445B45C">
            <w:pPr>
              <w:widowControl/>
              <w:autoSpaceDE/>
              <w:autoSpaceDN/>
              <w:jc w:val="center"/>
              <w:rPr>
                <w:color w:val="000000"/>
                <w:sz w:val="20"/>
                <w:szCs w:val="20"/>
              </w:rPr>
            </w:pPr>
            <w:r w:rsidRPr="008D36CB">
              <w:rPr>
                <w:sz w:val="20"/>
                <w:szCs w:val="20"/>
              </w:rPr>
              <w:t>4</w:t>
            </w:r>
          </w:p>
        </w:tc>
        <w:tc>
          <w:tcPr>
            <w:tcW w:w="756" w:type="dxa"/>
            <w:tcBorders>
              <w:top w:val="single" w:sz="4" w:space="0" w:color="auto"/>
              <w:left w:val="single" w:sz="4" w:space="0" w:color="auto"/>
              <w:bottom w:val="single" w:sz="4" w:space="0" w:color="auto"/>
              <w:right w:val="single" w:sz="4" w:space="0" w:color="auto"/>
            </w:tcBorders>
            <w:vAlign w:val="center"/>
          </w:tcPr>
          <w:p w:rsidR="006860E1" w:rsidRPr="008D36CB" w:rsidP="006860E1" w14:paraId="14678657" w14:textId="47437F1B">
            <w:pPr>
              <w:widowControl/>
              <w:autoSpaceDE/>
              <w:autoSpaceDN/>
              <w:jc w:val="center"/>
              <w:rPr>
                <w:color w:val="000000"/>
                <w:sz w:val="20"/>
                <w:szCs w:val="20"/>
              </w:rPr>
            </w:pPr>
            <w:r w:rsidRPr="008D36CB">
              <w:rPr>
                <w:sz w:val="20"/>
                <w:szCs w:val="20"/>
              </w:rPr>
              <w:t>3</w:t>
            </w:r>
          </w:p>
        </w:tc>
        <w:tc>
          <w:tcPr>
            <w:tcW w:w="680" w:type="dxa"/>
            <w:tcBorders>
              <w:top w:val="single" w:sz="4" w:space="0" w:color="auto"/>
              <w:left w:val="single" w:sz="4" w:space="0" w:color="auto"/>
              <w:bottom w:val="single" w:sz="4" w:space="0" w:color="auto"/>
              <w:right w:val="single" w:sz="4" w:space="0" w:color="auto"/>
            </w:tcBorders>
            <w:vAlign w:val="center"/>
          </w:tcPr>
          <w:p w:rsidR="006860E1" w:rsidRPr="008D36CB" w:rsidP="006860E1" w14:paraId="6C9ECFC8" w14:textId="7C7B94CD">
            <w:pPr>
              <w:widowControl/>
              <w:autoSpaceDE/>
              <w:autoSpaceDN/>
              <w:jc w:val="center"/>
              <w:rPr>
                <w:color w:val="000000"/>
                <w:sz w:val="20"/>
                <w:szCs w:val="20"/>
              </w:rPr>
            </w:pPr>
            <w:r w:rsidRPr="008D36CB">
              <w:rPr>
                <w:sz w:val="20"/>
                <w:szCs w:val="20"/>
              </w:rPr>
              <w:t>1</w:t>
            </w:r>
          </w:p>
        </w:tc>
        <w:tc>
          <w:tcPr>
            <w:tcW w:w="694" w:type="dxa"/>
            <w:tcBorders>
              <w:top w:val="single" w:sz="4" w:space="0" w:color="auto"/>
              <w:left w:val="single" w:sz="4" w:space="0" w:color="auto"/>
              <w:bottom w:val="single" w:sz="4" w:space="0" w:color="auto"/>
              <w:right w:val="single" w:sz="4" w:space="0" w:color="auto"/>
            </w:tcBorders>
            <w:vAlign w:val="center"/>
          </w:tcPr>
          <w:p w:rsidR="006860E1" w:rsidRPr="008D36CB" w:rsidP="006860E1" w14:paraId="07184DB2" w14:textId="2C0870D6">
            <w:pPr>
              <w:widowControl/>
              <w:autoSpaceDE/>
              <w:autoSpaceDN/>
              <w:jc w:val="center"/>
              <w:rPr>
                <w:color w:val="000000"/>
                <w:sz w:val="20"/>
                <w:szCs w:val="20"/>
              </w:rPr>
            </w:pPr>
            <w:r w:rsidRPr="008D36CB">
              <w:rPr>
                <w:color w:val="000000"/>
                <w:sz w:val="20"/>
                <w:szCs w:val="20"/>
              </w:rPr>
              <w:t>0</w:t>
            </w:r>
          </w:p>
        </w:tc>
        <w:tc>
          <w:tcPr>
            <w:tcW w:w="883" w:type="dxa"/>
            <w:tcBorders>
              <w:top w:val="single" w:sz="4" w:space="0" w:color="auto"/>
              <w:left w:val="single" w:sz="4" w:space="0" w:color="auto"/>
              <w:bottom w:val="single" w:sz="4" w:space="0" w:color="auto"/>
              <w:right w:val="single" w:sz="4" w:space="0" w:color="auto"/>
            </w:tcBorders>
            <w:vAlign w:val="center"/>
          </w:tcPr>
          <w:p w:rsidR="006860E1" w:rsidRPr="008D36CB" w:rsidP="006860E1" w14:paraId="21FA28E5" w14:textId="2C4ED211">
            <w:pPr>
              <w:widowControl/>
              <w:autoSpaceDE/>
              <w:autoSpaceDN/>
              <w:jc w:val="center"/>
              <w:rPr>
                <w:color w:val="000000"/>
                <w:sz w:val="20"/>
                <w:szCs w:val="20"/>
              </w:rPr>
            </w:pPr>
            <w:r w:rsidRPr="008D36CB">
              <w:rPr>
                <w:color w:val="000000"/>
                <w:sz w:val="20"/>
                <w:szCs w:val="20"/>
              </w:rPr>
              <w:t>2</w:t>
            </w:r>
          </w:p>
        </w:tc>
      </w:tr>
      <w:tr w14:paraId="3056313B" w14:textId="14FFADF0" w:rsidTr="00DE415A">
        <w:tblPrEx>
          <w:tblW w:w="7333" w:type="dxa"/>
          <w:tblInd w:w="535" w:type="dxa"/>
          <w:tblLook w:val="04A0"/>
        </w:tblPrEx>
        <w:trPr>
          <w:trHeight w:val="576"/>
        </w:trPr>
        <w:tc>
          <w:tcPr>
            <w:tcW w:w="2610" w:type="dxa"/>
            <w:tcBorders>
              <w:top w:val="nil"/>
              <w:left w:val="single" w:sz="4" w:space="0" w:color="auto"/>
              <w:bottom w:val="single" w:sz="4" w:space="0" w:color="auto"/>
              <w:right w:val="single" w:sz="4" w:space="0" w:color="auto"/>
            </w:tcBorders>
            <w:noWrap/>
            <w:vAlign w:val="center"/>
            <w:hideMark/>
          </w:tcPr>
          <w:p w:rsidR="006860E1" w:rsidRPr="008D36CB" w:rsidP="006860E1" w14:paraId="186CEDC6" w14:textId="7AF8DDB1">
            <w:pPr>
              <w:widowControl/>
              <w:autoSpaceDE/>
              <w:autoSpaceDN/>
              <w:rPr>
                <w:color w:val="000000"/>
                <w:sz w:val="20"/>
                <w:szCs w:val="20"/>
              </w:rPr>
            </w:pPr>
            <w:r w:rsidRPr="008D36CB">
              <w:rPr>
                <w:color w:val="000000"/>
                <w:sz w:val="20"/>
                <w:szCs w:val="20"/>
              </w:rPr>
              <w:t>Terminated Programs</w:t>
            </w:r>
          </w:p>
        </w:tc>
        <w:tc>
          <w:tcPr>
            <w:tcW w:w="810" w:type="dxa"/>
            <w:tcBorders>
              <w:top w:val="single" w:sz="4" w:space="0" w:color="auto"/>
              <w:left w:val="nil"/>
              <w:bottom w:val="single" w:sz="4" w:space="0" w:color="auto"/>
              <w:right w:val="single" w:sz="4" w:space="0" w:color="auto"/>
            </w:tcBorders>
            <w:noWrap/>
            <w:vAlign w:val="center"/>
            <w:hideMark/>
          </w:tcPr>
          <w:p w:rsidR="006860E1" w:rsidRPr="008D36CB" w:rsidP="006860E1" w14:paraId="25EA80A6" w14:textId="5575442A">
            <w:pPr>
              <w:widowControl/>
              <w:autoSpaceDE/>
              <w:autoSpaceDN/>
              <w:jc w:val="center"/>
              <w:rPr>
                <w:color w:val="000000"/>
                <w:sz w:val="20"/>
                <w:szCs w:val="20"/>
              </w:rPr>
            </w:pPr>
            <w:r w:rsidRPr="008D36CB">
              <w:rPr>
                <w:color w:val="00000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rsidR="006860E1" w:rsidRPr="008D36CB" w:rsidP="006860E1" w14:paraId="52BA19B6" w14:textId="032AAEDB">
            <w:pPr>
              <w:widowControl/>
              <w:autoSpaceDE/>
              <w:autoSpaceDN/>
              <w:jc w:val="center"/>
              <w:rPr>
                <w:color w:val="000000"/>
                <w:sz w:val="20"/>
                <w:szCs w:val="20"/>
              </w:rPr>
            </w:pPr>
            <w:r w:rsidRPr="008D36CB">
              <w:rPr>
                <w:sz w:val="20"/>
                <w:szCs w:val="20"/>
              </w:rPr>
              <w:t>1</w:t>
            </w:r>
          </w:p>
        </w:tc>
        <w:tc>
          <w:tcPr>
            <w:tcW w:w="756" w:type="dxa"/>
            <w:tcBorders>
              <w:top w:val="single" w:sz="4" w:space="0" w:color="auto"/>
              <w:left w:val="single" w:sz="4" w:space="0" w:color="auto"/>
              <w:bottom w:val="single" w:sz="4" w:space="0" w:color="auto"/>
              <w:right w:val="single" w:sz="4" w:space="0" w:color="auto"/>
            </w:tcBorders>
            <w:vAlign w:val="center"/>
          </w:tcPr>
          <w:p w:rsidR="006860E1" w:rsidRPr="008D36CB" w:rsidP="006860E1" w14:paraId="355FB743" w14:textId="0D9316D8">
            <w:pPr>
              <w:widowControl/>
              <w:autoSpaceDE/>
              <w:autoSpaceDN/>
              <w:jc w:val="center"/>
              <w:rPr>
                <w:color w:val="000000"/>
                <w:sz w:val="20"/>
                <w:szCs w:val="20"/>
              </w:rPr>
            </w:pPr>
            <w:r w:rsidRPr="008D36CB">
              <w:rPr>
                <w:sz w:val="20"/>
                <w:szCs w:val="20"/>
              </w:rPr>
              <w:t>1</w:t>
            </w:r>
          </w:p>
        </w:tc>
        <w:tc>
          <w:tcPr>
            <w:tcW w:w="680" w:type="dxa"/>
            <w:tcBorders>
              <w:top w:val="single" w:sz="4" w:space="0" w:color="auto"/>
              <w:left w:val="single" w:sz="4" w:space="0" w:color="auto"/>
              <w:bottom w:val="single" w:sz="4" w:space="0" w:color="auto"/>
              <w:right w:val="single" w:sz="4" w:space="0" w:color="auto"/>
            </w:tcBorders>
            <w:vAlign w:val="center"/>
          </w:tcPr>
          <w:p w:rsidR="006860E1" w:rsidRPr="008D36CB" w:rsidP="006860E1" w14:paraId="528ACF30" w14:textId="54DEE7F0">
            <w:pPr>
              <w:widowControl/>
              <w:autoSpaceDE/>
              <w:autoSpaceDN/>
              <w:jc w:val="center"/>
              <w:rPr>
                <w:color w:val="000000"/>
                <w:sz w:val="20"/>
                <w:szCs w:val="20"/>
              </w:rPr>
            </w:pPr>
            <w:r w:rsidRPr="008D36CB">
              <w:rPr>
                <w:sz w:val="20"/>
                <w:szCs w:val="20"/>
              </w:rPr>
              <w:t>5</w:t>
            </w:r>
          </w:p>
        </w:tc>
        <w:tc>
          <w:tcPr>
            <w:tcW w:w="694" w:type="dxa"/>
            <w:tcBorders>
              <w:top w:val="single" w:sz="4" w:space="0" w:color="auto"/>
              <w:left w:val="single" w:sz="4" w:space="0" w:color="auto"/>
              <w:bottom w:val="single" w:sz="4" w:space="0" w:color="auto"/>
              <w:right w:val="single" w:sz="4" w:space="0" w:color="auto"/>
            </w:tcBorders>
            <w:vAlign w:val="center"/>
          </w:tcPr>
          <w:p w:rsidR="006860E1" w:rsidRPr="008D36CB" w:rsidP="006860E1" w14:paraId="4670CD0B" w14:textId="0674CD57">
            <w:pPr>
              <w:widowControl/>
              <w:autoSpaceDE/>
              <w:autoSpaceDN/>
              <w:jc w:val="center"/>
              <w:rPr>
                <w:color w:val="000000"/>
                <w:sz w:val="20"/>
                <w:szCs w:val="20"/>
              </w:rPr>
            </w:pPr>
            <w:r w:rsidRPr="008D36CB">
              <w:rPr>
                <w:color w:val="000000"/>
                <w:sz w:val="20"/>
                <w:szCs w:val="20"/>
              </w:rPr>
              <w:t>0</w:t>
            </w:r>
          </w:p>
        </w:tc>
        <w:tc>
          <w:tcPr>
            <w:tcW w:w="883" w:type="dxa"/>
            <w:tcBorders>
              <w:top w:val="single" w:sz="4" w:space="0" w:color="auto"/>
              <w:left w:val="single" w:sz="4" w:space="0" w:color="auto"/>
              <w:bottom w:val="single" w:sz="4" w:space="0" w:color="auto"/>
              <w:right w:val="single" w:sz="4" w:space="0" w:color="auto"/>
            </w:tcBorders>
            <w:vAlign w:val="center"/>
          </w:tcPr>
          <w:p w:rsidR="006860E1" w:rsidRPr="008D36CB" w:rsidP="006860E1" w14:paraId="2FC09460" w14:textId="688D11B0">
            <w:pPr>
              <w:widowControl/>
              <w:autoSpaceDE/>
              <w:autoSpaceDN/>
              <w:jc w:val="center"/>
              <w:rPr>
                <w:color w:val="000000"/>
                <w:sz w:val="20"/>
                <w:szCs w:val="20"/>
              </w:rPr>
            </w:pPr>
            <w:r w:rsidRPr="008D36CB">
              <w:rPr>
                <w:color w:val="000000"/>
                <w:sz w:val="20"/>
                <w:szCs w:val="20"/>
              </w:rPr>
              <w:t>2</w:t>
            </w:r>
          </w:p>
        </w:tc>
      </w:tr>
    </w:tbl>
    <w:p w:rsidR="00C437DE" w:rsidRPr="00414E6F" w:rsidP="00F474C4" w14:paraId="445FBF7E" w14:textId="77777777">
      <w:pPr>
        <w:pStyle w:val="BodyText"/>
        <w:spacing w:before="1"/>
        <w:ind w:right="144"/>
      </w:pPr>
    </w:p>
    <w:p w:rsidR="00595B10" w:rsidRPr="00414E6F" w:rsidP="00F474C4" w14:paraId="12B64C46" w14:textId="77777777">
      <w:pPr>
        <w:pStyle w:val="Heading4"/>
        <w:spacing w:line="240" w:lineRule="auto"/>
        <w:ind w:left="0"/>
        <w:rPr>
          <w:u w:val="none"/>
        </w:rPr>
      </w:pPr>
    </w:p>
    <w:p w:rsidR="00AE235D" w:rsidRPr="00414E6F" w:rsidP="00F474C4" w14:paraId="515A77FB" w14:textId="43363C5B">
      <w:pPr>
        <w:pStyle w:val="Heading4"/>
        <w:spacing w:line="240" w:lineRule="auto"/>
        <w:ind w:left="0"/>
      </w:pPr>
      <w:r w:rsidRPr="00414E6F">
        <w:t>Labor Wages</w:t>
      </w:r>
    </w:p>
    <w:p w:rsidR="005B102E" w:rsidP="00F474C4" w14:paraId="71B8D032" w14:textId="52464004">
      <w:pPr>
        <w:pStyle w:val="BodyText"/>
        <w:ind w:right="110"/>
      </w:pPr>
      <w:r w:rsidRPr="007009E2">
        <w:rPr>
          <w:color w:val="000000"/>
        </w:rPr>
        <w:t xml:space="preserve">The burden </w:t>
      </w:r>
      <w:r w:rsidR="00BF0842">
        <w:rPr>
          <w:color w:val="000000"/>
        </w:rPr>
        <w:t xml:space="preserve">cost </w:t>
      </w:r>
      <w:r w:rsidRPr="007009E2">
        <w:rPr>
          <w:color w:val="000000"/>
        </w:rPr>
        <w:t>for</w:t>
      </w:r>
      <w:r w:rsidR="00BD2E8B">
        <w:rPr>
          <w:color w:val="000000"/>
        </w:rPr>
        <w:t xml:space="preserve"> the</w:t>
      </w:r>
      <w:r w:rsidRPr="007009E2">
        <w:rPr>
          <w:color w:val="000000"/>
        </w:rPr>
        <w:t xml:space="preserve"> </w:t>
      </w:r>
      <w:r w:rsidR="00BF0842">
        <w:rPr>
          <w:color w:val="000000"/>
        </w:rPr>
        <w:t>ICs</w:t>
      </w:r>
      <w:r w:rsidRPr="007009E2">
        <w:rPr>
          <w:color w:val="000000"/>
        </w:rPr>
        <w:t xml:space="preserve"> described </w:t>
      </w:r>
      <w:r w:rsidR="00461033">
        <w:rPr>
          <w:color w:val="000000"/>
        </w:rPr>
        <w:t xml:space="preserve">in Part 12-B </w:t>
      </w:r>
      <w:r w:rsidR="00AE235D">
        <w:rPr>
          <w:color w:val="000000"/>
        </w:rPr>
        <w:t>is based on</w:t>
      </w:r>
      <w:r w:rsidR="00CE3F51">
        <w:rPr>
          <w:color w:val="000000"/>
        </w:rPr>
        <w:t xml:space="preserve"> </w:t>
      </w:r>
      <w:r>
        <w:rPr>
          <w:color w:val="000000"/>
        </w:rPr>
        <w:t>s</w:t>
      </w:r>
      <w:r w:rsidRPr="006A0391">
        <w:t>alary data</w:t>
      </w:r>
      <w:r>
        <w:t xml:space="preserve"> </w:t>
      </w:r>
      <w:r w:rsidR="00AE235D">
        <w:t>presented</w:t>
      </w:r>
      <w:r>
        <w:t xml:space="preserve"> i</w:t>
      </w:r>
      <w:r w:rsidRPr="00024890">
        <w:t xml:space="preserve">n </w:t>
      </w:r>
      <w:r w:rsidRPr="00024890">
        <w:fldChar w:fldCharType="begin"/>
      </w:r>
      <w:r w:rsidRPr="00024890">
        <w:instrText xml:space="preserve"> REF _Ref194321443 \h  \* MERGEFORMAT </w:instrText>
      </w:r>
      <w:r w:rsidRPr="00024890">
        <w:fldChar w:fldCharType="separate"/>
      </w:r>
      <w:r w:rsidRPr="007D79F4">
        <w:t xml:space="preserve">Table </w:t>
      </w:r>
      <w:r w:rsidRPr="007D79F4" w:rsidR="00CD6D1C">
        <w:t xml:space="preserve">2 </w:t>
      </w:r>
      <w:r w:rsidRPr="00024890">
        <w:fldChar w:fldCharType="end"/>
      </w:r>
      <w:r w:rsidRPr="00AE235D" w:rsidR="00CD6D1C">
        <w:t>below</w:t>
      </w:r>
      <w:r>
        <w:t>.</w:t>
      </w:r>
      <w:r w:rsidRPr="006A0391">
        <w:t xml:space="preserve"> </w:t>
      </w:r>
      <w:r>
        <w:t>This salary data is</w:t>
      </w:r>
      <w:r w:rsidR="00DD237F">
        <w:t xml:space="preserve"> derived from</w:t>
      </w:r>
      <w:r w:rsidR="00CF6BE5">
        <w:t xml:space="preserve"> </w:t>
      </w:r>
      <w:r w:rsidRPr="006A0391">
        <w:t>the U.S. Department of Labor</w:t>
      </w:r>
      <w:r w:rsidR="00C437DE">
        <w:t>,</w:t>
      </w:r>
      <w:r w:rsidRPr="006A0391">
        <w:t xml:space="preserve"> Bureau of Labor Statistics (BLS)</w:t>
      </w:r>
      <w:r w:rsidR="00384946">
        <w:t>,</w:t>
      </w:r>
      <w:r w:rsidR="00CE3F51">
        <w:t xml:space="preserve"> </w:t>
      </w:r>
      <w:r w:rsidRPr="006A0391">
        <w:t>Occupational Employment and Wage Estimates</w:t>
      </w:r>
      <w:r>
        <w:t xml:space="preserve"> (</w:t>
      </w:r>
      <w:r w:rsidRPr="006A0391">
        <w:t>OEWS</w:t>
      </w:r>
      <w:r w:rsidR="007764C8">
        <w:t>)</w:t>
      </w:r>
      <w:r w:rsidRPr="006A79C0" w:rsidR="006A79C0">
        <w:t xml:space="preserve"> for Specialty Hospitals (except Psychiatric and Substance Abuse)</w:t>
      </w:r>
      <w:r w:rsidR="00625801">
        <w:t>.</w:t>
      </w:r>
      <w:r>
        <w:rPr>
          <w:rStyle w:val="FootnoteReference"/>
        </w:rPr>
        <w:footnoteReference w:id="7"/>
      </w:r>
    </w:p>
    <w:p w:rsidR="00CF3B0C" w:rsidP="00F474C4" w14:paraId="726370F8" w14:textId="77777777">
      <w:pPr>
        <w:pStyle w:val="BodyText"/>
        <w:ind w:right="110"/>
      </w:pPr>
    </w:p>
    <w:p w:rsidR="00C437DE" w:rsidP="00F474C4" w14:paraId="3CDF33A0" w14:textId="4D27292D">
      <w:pPr>
        <w:pStyle w:val="BodyText"/>
        <w:ind w:right="110"/>
      </w:pPr>
      <w:r>
        <w:t xml:space="preserve">To develop the estimates, CMS </w:t>
      </w:r>
      <w:r w:rsidR="004512B6">
        <w:t xml:space="preserve">first </w:t>
      </w:r>
      <w:r w:rsidRPr="006A0391" w:rsidR="004512B6">
        <w:t>identi</w:t>
      </w:r>
      <w:r w:rsidR="004512B6">
        <w:t>fied</w:t>
      </w:r>
      <w:r w:rsidRPr="006A0391" w:rsidR="004512B6">
        <w:t xml:space="preserve"> </w:t>
      </w:r>
      <w:r w:rsidR="004512B6">
        <w:t xml:space="preserve">typical </w:t>
      </w:r>
      <w:r w:rsidRPr="006A0391" w:rsidR="004512B6">
        <w:t xml:space="preserve">positions </w:t>
      </w:r>
      <w:r w:rsidR="004512B6">
        <w:t xml:space="preserve">employed </w:t>
      </w:r>
      <w:r w:rsidR="00384946">
        <w:t>with</w:t>
      </w:r>
      <w:r w:rsidR="004512B6">
        <w:t xml:space="preserve">in </w:t>
      </w:r>
      <w:r>
        <w:t>t</w:t>
      </w:r>
      <w:r w:rsidR="004512B6">
        <w:t>ransplant</w:t>
      </w:r>
      <w:r w:rsidR="006A79C0">
        <w:t xml:space="preserve"> </w:t>
      </w:r>
      <w:r>
        <w:t>p</w:t>
      </w:r>
      <w:r w:rsidR="004512B6">
        <w:t xml:space="preserve">rograms and then matched those positions with </w:t>
      </w:r>
      <w:r w:rsidR="00626789">
        <w:t>the</w:t>
      </w:r>
      <w:r>
        <w:t>ir</w:t>
      </w:r>
      <w:r w:rsidR="00626789">
        <w:t xml:space="preserve"> equival</w:t>
      </w:r>
      <w:r w:rsidR="00DD237F">
        <w:t>ent</w:t>
      </w:r>
      <w:r w:rsidR="00626789">
        <w:t xml:space="preserve"> </w:t>
      </w:r>
      <w:r w:rsidR="00CE3F51">
        <w:t xml:space="preserve">labor </w:t>
      </w:r>
      <w:r w:rsidR="00626789">
        <w:t>title</w:t>
      </w:r>
      <w:r>
        <w:t>s</w:t>
      </w:r>
      <w:r w:rsidR="006A79C0">
        <w:t xml:space="preserve"> </w:t>
      </w:r>
      <w:r>
        <w:t xml:space="preserve">as listed </w:t>
      </w:r>
      <w:r w:rsidR="00DD237F">
        <w:t>in</w:t>
      </w:r>
      <w:r>
        <w:t xml:space="preserve"> the </w:t>
      </w:r>
      <w:r w:rsidRPr="006A0391" w:rsidR="00626789">
        <w:t>OEWS</w:t>
      </w:r>
      <w:r w:rsidR="004512B6">
        <w:t>.</w:t>
      </w:r>
      <w:r w:rsidRPr="006A0391" w:rsidR="004512B6">
        <w:t xml:space="preserve"> </w:t>
      </w:r>
      <w:bookmarkStart w:id="25" w:name="_Hlk195287305"/>
      <w:r>
        <w:t>For example, the transplant program “</w:t>
      </w:r>
      <w:r w:rsidR="00DD237F">
        <w:t>M</w:t>
      </w:r>
      <w:r>
        <w:t xml:space="preserve">edical </w:t>
      </w:r>
      <w:r w:rsidR="00DD237F">
        <w:t>D</w:t>
      </w:r>
      <w:r>
        <w:t xml:space="preserve">irector” </w:t>
      </w:r>
      <w:r w:rsidR="00DD237F">
        <w:t>corresponds</w:t>
      </w:r>
      <w:r>
        <w:t xml:space="preserve"> to </w:t>
      </w:r>
      <w:r w:rsidRPr="00F17155">
        <w:t xml:space="preserve">the physician or surgeon responsible for the medical care </w:t>
      </w:r>
      <w:r w:rsidR="00DD237F">
        <w:t xml:space="preserve">of </w:t>
      </w:r>
      <w:r w:rsidRPr="00F17155">
        <w:t>transplant recipients and living donors</w:t>
      </w:r>
      <w:r w:rsidR="00DD237F">
        <w:t>. The</w:t>
      </w:r>
      <w:r w:rsidR="00FF4583">
        <w:t xml:space="preserve"> </w:t>
      </w:r>
      <w:r w:rsidRPr="00F17155">
        <w:t xml:space="preserve">“Administrator” refers to </w:t>
      </w:r>
      <w:r>
        <w:t xml:space="preserve">the </w:t>
      </w:r>
      <w:r w:rsidR="00DD237F">
        <w:t>t</w:t>
      </w:r>
      <w:r>
        <w:t xml:space="preserve">ransplant </w:t>
      </w:r>
      <w:r w:rsidR="00DD237F">
        <w:t>p</w:t>
      </w:r>
      <w:r>
        <w:t>rogram Director</w:t>
      </w:r>
      <w:r w:rsidR="00DD237F">
        <w:t>,</w:t>
      </w:r>
      <w:r>
        <w:t xml:space="preserve"> </w:t>
      </w:r>
      <w:r w:rsidRPr="00F17155">
        <w:t xml:space="preserve">who plans, directs, or coordinates </w:t>
      </w:r>
      <w:r>
        <w:t xml:space="preserve">all </w:t>
      </w:r>
      <w:r w:rsidRPr="00F17155">
        <w:t xml:space="preserve">services </w:t>
      </w:r>
      <w:r w:rsidR="00DD237F">
        <w:t xml:space="preserve">provided by </w:t>
      </w:r>
      <w:r w:rsidRPr="00F17155">
        <w:t xml:space="preserve">the transplant </w:t>
      </w:r>
      <w:r>
        <w:t>program</w:t>
      </w:r>
      <w:r w:rsidRPr="00F17155">
        <w:t>.</w:t>
      </w:r>
      <w:r w:rsidRPr="00C437DE">
        <w:rPr>
          <w:rStyle w:val="FootnoteReference"/>
          <w:sz w:val="20"/>
          <w:szCs w:val="20"/>
        </w:rPr>
        <w:t xml:space="preserve"> </w:t>
      </w:r>
    </w:p>
    <w:p w:rsidR="005B102E" w:rsidP="00F474C4" w14:paraId="7B772431" w14:textId="77777777">
      <w:pPr>
        <w:pStyle w:val="BodyText"/>
        <w:ind w:right="110"/>
      </w:pPr>
    </w:p>
    <w:p w:rsidR="00626789" w:rsidP="00F474C4" w14:paraId="17E3D9C2" w14:textId="659AB74E">
      <w:pPr>
        <w:pStyle w:val="BodyText"/>
        <w:ind w:right="110"/>
      </w:pPr>
      <w:r>
        <w:t>CMS</w:t>
      </w:r>
      <w:r w:rsidRPr="00696139" w:rsidR="00696139">
        <w:t xml:space="preserve"> then identified the hourly</w:t>
      </w:r>
      <w:r w:rsidR="00CE3F51">
        <w:t xml:space="preserve"> mean</w:t>
      </w:r>
      <w:r w:rsidRPr="00696139" w:rsidR="00696139">
        <w:t xml:space="preserve"> wage for </w:t>
      </w:r>
      <w:r>
        <w:t xml:space="preserve">each applicable </w:t>
      </w:r>
      <w:r w:rsidRPr="00696139" w:rsidR="00696139">
        <w:t xml:space="preserve">labor category and </w:t>
      </w:r>
      <w:r>
        <w:t>applied a</w:t>
      </w:r>
      <w:r w:rsidRPr="00696139" w:rsidR="00696139">
        <w:t xml:space="preserve"> 100 percent markup to account for fringe and overhead</w:t>
      </w:r>
      <w:r>
        <w:t xml:space="preserve"> costs</w:t>
      </w:r>
      <w:r w:rsidRPr="00696139" w:rsidR="00696139">
        <w:t xml:space="preserve">. </w:t>
      </w:r>
      <w:r>
        <w:t>The resulting wage rates were rounded up to the nearest whole dollar</w:t>
      </w:r>
      <w:r w:rsidRPr="00696139" w:rsidR="00696139">
        <w:t>.</w:t>
      </w:r>
    </w:p>
    <w:p w:rsidR="00F474C4" w:rsidP="005B102E" w14:paraId="72E70F80" w14:textId="77777777">
      <w:pPr>
        <w:pStyle w:val="BodyText"/>
        <w:spacing w:line="247" w:lineRule="auto"/>
        <w:ind w:right="110"/>
      </w:pPr>
    </w:p>
    <w:p w:rsidR="00595B10" w:rsidP="005B102E" w14:paraId="32E62C17" w14:textId="77777777">
      <w:pPr>
        <w:pStyle w:val="BodyText"/>
        <w:spacing w:line="247" w:lineRule="auto"/>
        <w:ind w:right="110"/>
      </w:pPr>
    </w:p>
    <w:p w:rsidR="00F474C4" w:rsidP="005B102E" w14:paraId="225FA2E0" w14:textId="77777777">
      <w:pPr>
        <w:pStyle w:val="BodyText"/>
        <w:spacing w:line="247" w:lineRule="auto"/>
        <w:ind w:right="110"/>
      </w:pPr>
    </w:p>
    <w:p w:rsidR="00F474C4" w:rsidP="005B102E" w14:paraId="539E2AFF" w14:textId="77777777">
      <w:pPr>
        <w:pStyle w:val="BodyText"/>
        <w:spacing w:line="247" w:lineRule="auto"/>
        <w:ind w:right="110"/>
      </w:pPr>
    </w:p>
    <w:p w:rsidR="00FA5203" w:rsidRPr="007D79F4" w:rsidP="00F474C4" w14:paraId="7553C62B" w14:textId="4B203F50">
      <w:pPr>
        <w:pStyle w:val="BodyText"/>
        <w:spacing w:before="1"/>
        <w:ind w:left="479"/>
        <w:jc w:val="center"/>
        <w:rPr>
          <w:b/>
          <w:bCs/>
        </w:rPr>
      </w:pPr>
      <w:r w:rsidRPr="007D79F4">
        <w:rPr>
          <w:b/>
          <w:bCs/>
        </w:rPr>
        <w:t xml:space="preserve">Table 2: </w:t>
      </w:r>
      <w:r w:rsidRPr="007D79F4" w:rsidR="00384946">
        <w:rPr>
          <w:b/>
          <w:bCs/>
        </w:rPr>
        <w:t xml:space="preserve">Hourly Labor </w:t>
      </w:r>
      <w:r w:rsidRPr="007D79F4">
        <w:rPr>
          <w:b/>
          <w:bCs/>
        </w:rPr>
        <w:t xml:space="preserve">Wage </w:t>
      </w:r>
      <w:r w:rsidRPr="007D79F4" w:rsidR="00384946">
        <w:rPr>
          <w:b/>
          <w:bCs/>
        </w:rPr>
        <w:t>Data</w:t>
      </w:r>
      <w:r>
        <w:rPr>
          <w:rStyle w:val="FootnoteReference"/>
          <w:b/>
          <w:bCs/>
        </w:rPr>
        <w:footnoteReference w:id="8"/>
      </w:r>
    </w:p>
    <w:tbl>
      <w:tblPr>
        <w:tblW w:w="8370" w:type="dxa"/>
        <w:tblInd w:w="265" w:type="dxa"/>
        <w:tblLayout w:type="fixed"/>
        <w:tblLook w:val="04A0"/>
      </w:tblPr>
      <w:tblGrid>
        <w:gridCol w:w="2515"/>
        <w:gridCol w:w="2345"/>
        <w:gridCol w:w="990"/>
        <w:gridCol w:w="1350"/>
        <w:gridCol w:w="1170"/>
      </w:tblGrid>
      <w:tr w14:paraId="0DAEE435" w14:textId="77777777" w:rsidTr="00CF3B0C">
        <w:tblPrEx>
          <w:tblW w:w="8370" w:type="dxa"/>
          <w:tblInd w:w="265" w:type="dxa"/>
          <w:tblLayout w:type="fixed"/>
          <w:tblLook w:val="04A0"/>
        </w:tblPrEx>
        <w:trPr>
          <w:trHeight w:val="1517"/>
        </w:trPr>
        <w:tc>
          <w:tcPr>
            <w:tcW w:w="2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FA5203" w:rsidRPr="0092729D" w:rsidP="0019334A" w14:paraId="29E64DB1" w14:textId="1E51CED8">
            <w:pPr>
              <w:widowControl/>
              <w:autoSpaceDE/>
              <w:autoSpaceDN/>
              <w:jc w:val="center"/>
              <w:rPr>
                <w:b/>
                <w:bCs/>
                <w:color w:val="000000"/>
                <w:sz w:val="20"/>
                <w:szCs w:val="20"/>
              </w:rPr>
            </w:pPr>
            <w:r w:rsidRPr="0092729D">
              <w:rPr>
                <w:b/>
                <w:bCs/>
                <w:color w:val="000000"/>
                <w:sz w:val="20"/>
                <w:szCs w:val="20"/>
              </w:rPr>
              <w:t xml:space="preserve">Transplant Program </w:t>
            </w:r>
            <w:r w:rsidRPr="0092729D">
              <w:rPr>
                <w:b/>
                <w:bCs/>
                <w:color w:val="000000"/>
                <w:sz w:val="20"/>
                <w:szCs w:val="20"/>
              </w:rPr>
              <w:t>Personnel</w:t>
            </w:r>
          </w:p>
        </w:tc>
        <w:tc>
          <w:tcPr>
            <w:tcW w:w="234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A5203" w:rsidRPr="0092729D" w:rsidP="0019334A" w14:paraId="033F52B3" w14:textId="77777777">
            <w:pPr>
              <w:widowControl/>
              <w:autoSpaceDE/>
              <w:autoSpaceDN/>
              <w:jc w:val="center"/>
              <w:rPr>
                <w:b/>
                <w:bCs/>
                <w:color w:val="000000"/>
                <w:sz w:val="20"/>
                <w:szCs w:val="20"/>
              </w:rPr>
            </w:pPr>
            <w:r w:rsidRPr="0092729D">
              <w:rPr>
                <w:b/>
                <w:bCs/>
                <w:color w:val="000000"/>
                <w:sz w:val="20"/>
                <w:szCs w:val="20"/>
              </w:rPr>
              <w:t>BLS Labor Title</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A5203" w:rsidRPr="0092729D" w:rsidP="0019334A" w14:paraId="2F5456E0" w14:textId="77777777">
            <w:pPr>
              <w:widowControl/>
              <w:autoSpaceDE/>
              <w:autoSpaceDN/>
              <w:jc w:val="center"/>
              <w:rPr>
                <w:b/>
                <w:bCs/>
                <w:color w:val="000000"/>
                <w:sz w:val="20"/>
                <w:szCs w:val="20"/>
              </w:rPr>
            </w:pPr>
            <w:r w:rsidRPr="0092729D">
              <w:rPr>
                <w:b/>
                <w:bCs/>
                <w:color w:val="000000"/>
                <w:sz w:val="20"/>
                <w:szCs w:val="20"/>
              </w:rPr>
              <w:t>BLS</w:t>
            </w:r>
          </w:p>
          <w:p w:rsidR="00FA5203" w:rsidRPr="0092729D" w:rsidP="0019334A" w14:paraId="51958B8B" w14:textId="77777777">
            <w:pPr>
              <w:widowControl/>
              <w:autoSpaceDE/>
              <w:autoSpaceDN/>
              <w:jc w:val="center"/>
              <w:rPr>
                <w:b/>
                <w:bCs/>
                <w:color w:val="000000"/>
                <w:sz w:val="20"/>
                <w:szCs w:val="20"/>
              </w:rPr>
            </w:pPr>
            <w:r w:rsidRPr="0092729D">
              <w:rPr>
                <w:b/>
                <w:bCs/>
                <w:color w:val="000000"/>
                <w:sz w:val="20"/>
                <w:szCs w:val="20"/>
              </w:rPr>
              <w:t>Labor Code</w:t>
            </w:r>
          </w:p>
        </w:tc>
        <w:tc>
          <w:tcPr>
            <w:tcW w:w="13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BF7E6B" w:rsidP="0019334A" w14:paraId="5A34FF9C" w14:textId="77777777">
            <w:pPr>
              <w:widowControl/>
              <w:autoSpaceDE/>
              <w:autoSpaceDN/>
              <w:jc w:val="center"/>
              <w:rPr>
                <w:b/>
                <w:bCs/>
                <w:color w:val="000000"/>
                <w:sz w:val="20"/>
                <w:szCs w:val="20"/>
              </w:rPr>
            </w:pPr>
          </w:p>
          <w:p w:rsidR="00FA5203" w:rsidRPr="0092729D" w:rsidP="0019334A" w14:paraId="71173EDE" w14:textId="6E3DF6E1">
            <w:pPr>
              <w:widowControl/>
              <w:autoSpaceDE/>
              <w:autoSpaceDN/>
              <w:jc w:val="center"/>
              <w:rPr>
                <w:b/>
                <w:bCs/>
                <w:color w:val="000000"/>
                <w:sz w:val="20"/>
                <w:szCs w:val="20"/>
              </w:rPr>
            </w:pPr>
            <w:r w:rsidRPr="0092729D">
              <w:rPr>
                <w:b/>
                <w:bCs/>
                <w:color w:val="000000"/>
                <w:sz w:val="20"/>
                <w:szCs w:val="20"/>
              </w:rPr>
              <w:t>May 202</w:t>
            </w:r>
            <w:r w:rsidRPr="0092729D" w:rsidR="007764C8">
              <w:rPr>
                <w:b/>
                <w:bCs/>
                <w:color w:val="000000"/>
                <w:sz w:val="20"/>
                <w:szCs w:val="20"/>
              </w:rPr>
              <w:t>4</w:t>
            </w:r>
            <w:r w:rsidRPr="0092729D">
              <w:rPr>
                <w:b/>
                <w:bCs/>
                <w:color w:val="000000"/>
                <w:sz w:val="20"/>
                <w:szCs w:val="20"/>
              </w:rPr>
              <w:t xml:space="preserve"> Hourly Mean</w:t>
            </w:r>
          </w:p>
          <w:p w:rsidR="00BF7E6B" w:rsidRPr="007459D2" w:rsidP="007459D2" w14:paraId="228CB63C" w14:textId="310DEC46">
            <w:pPr>
              <w:widowControl/>
              <w:autoSpaceDE/>
              <w:autoSpaceDN/>
              <w:jc w:val="center"/>
              <w:rPr>
                <w:b/>
                <w:bCs/>
                <w:color w:val="000000"/>
                <w:sz w:val="20"/>
                <w:szCs w:val="20"/>
              </w:rPr>
            </w:pPr>
            <w:r w:rsidRPr="0092729D">
              <w:rPr>
                <w:b/>
                <w:bCs/>
                <w:color w:val="000000"/>
                <w:sz w:val="20"/>
                <w:szCs w:val="20"/>
              </w:rPr>
              <w:t>Wage Cost</w:t>
            </w:r>
          </w:p>
          <w:p w:rsidR="00CF3B0C" w:rsidP="0019334A" w14:paraId="3958DB75" w14:textId="77777777">
            <w:pPr>
              <w:widowControl/>
              <w:autoSpaceDE/>
              <w:autoSpaceDN/>
              <w:jc w:val="center"/>
              <w:rPr>
                <w:i/>
                <w:iCs/>
                <w:color w:val="000000"/>
                <w:sz w:val="20"/>
                <w:szCs w:val="20"/>
              </w:rPr>
            </w:pPr>
          </w:p>
          <w:p w:rsidR="00FA5203" w:rsidRPr="00BF7E6B" w:rsidP="0019334A" w14:paraId="10AF9DBB" w14:textId="6BF1E130">
            <w:pPr>
              <w:widowControl/>
              <w:autoSpaceDE/>
              <w:autoSpaceDN/>
              <w:jc w:val="center"/>
              <w:rPr>
                <w:i/>
                <w:iCs/>
                <w:color w:val="000000"/>
                <w:sz w:val="20"/>
                <w:szCs w:val="20"/>
              </w:rPr>
            </w:pPr>
            <w:r w:rsidRPr="00BF7E6B">
              <w:rPr>
                <w:i/>
                <w:iCs/>
                <w:color w:val="000000"/>
                <w:sz w:val="20"/>
                <w:szCs w:val="20"/>
              </w:rPr>
              <w:t>(a)</w:t>
            </w:r>
          </w:p>
        </w:tc>
        <w:tc>
          <w:tcPr>
            <w:tcW w:w="117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92729D" w:rsidP="0019334A" w14:paraId="2D13184D" w14:textId="77777777">
            <w:pPr>
              <w:widowControl/>
              <w:autoSpaceDE/>
              <w:autoSpaceDN/>
              <w:jc w:val="center"/>
              <w:rPr>
                <w:b/>
                <w:bCs/>
                <w:color w:val="000000"/>
                <w:sz w:val="20"/>
                <w:szCs w:val="20"/>
              </w:rPr>
            </w:pPr>
          </w:p>
          <w:p w:rsidR="00CF3B0C" w:rsidP="00CF3B0C" w14:paraId="5B21F0CC" w14:textId="77777777">
            <w:pPr>
              <w:widowControl/>
              <w:autoSpaceDE/>
              <w:autoSpaceDN/>
              <w:jc w:val="center"/>
              <w:rPr>
                <w:b/>
                <w:bCs/>
                <w:color w:val="000000"/>
                <w:sz w:val="20"/>
                <w:szCs w:val="20"/>
              </w:rPr>
            </w:pPr>
          </w:p>
          <w:p w:rsidR="00CF3B0C" w:rsidRPr="00CF3B0C" w:rsidP="00CF3B0C" w14:paraId="40638F54" w14:textId="46C6FE98">
            <w:pPr>
              <w:widowControl/>
              <w:autoSpaceDE/>
              <w:autoSpaceDN/>
              <w:jc w:val="center"/>
              <w:rPr>
                <w:b/>
                <w:bCs/>
                <w:color w:val="000000"/>
                <w:sz w:val="20"/>
                <w:szCs w:val="20"/>
              </w:rPr>
            </w:pPr>
            <w:r w:rsidRPr="0092729D">
              <w:rPr>
                <w:b/>
                <w:bCs/>
                <w:color w:val="000000"/>
                <w:sz w:val="20"/>
                <w:szCs w:val="20"/>
              </w:rPr>
              <w:t>Wages w/Benefits</w:t>
            </w:r>
          </w:p>
          <w:p w:rsidR="00CF3B0C" w:rsidP="00CF3B0C" w14:paraId="798C85B1" w14:textId="77777777">
            <w:pPr>
              <w:widowControl/>
              <w:autoSpaceDE/>
              <w:autoSpaceDN/>
              <w:rPr>
                <w:i/>
                <w:iCs/>
                <w:color w:val="000000"/>
                <w:sz w:val="20"/>
                <w:szCs w:val="20"/>
              </w:rPr>
            </w:pPr>
          </w:p>
          <w:p w:rsidR="00CF3B0C" w:rsidP="00CF3B0C" w14:paraId="3FA8B8D1" w14:textId="77777777">
            <w:pPr>
              <w:widowControl/>
              <w:autoSpaceDE/>
              <w:autoSpaceDN/>
              <w:rPr>
                <w:i/>
                <w:iCs/>
                <w:color w:val="000000"/>
                <w:sz w:val="20"/>
                <w:szCs w:val="20"/>
              </w:rPr>
            </w:pPr>
          </w:p>
          <w:p w:rsidR="00FA5203" w:rsidRPr="00BF7E6B" w:rsidP="0092729D" w14:paraId="55287F77" w14:textId="0E5A7C69">
            <w:pPr>
              <w:widowControl/>
              <w:autoSpaceDE/>
              <w:autoSpaceDN/>
              <w:jc w:val="center"/>
              <w:rPr>
                <w:i/>
                <w:iCs/>
                <w:color w:val="000000"/>
                <w:sz w:val="20"/>
                <w:szCs w:val="20"/>
              </w:rPr>
            </w:pPr>
            <w:r w:rsidRPr="00BF7E6B">
              <w:rPr>
                <w:i/>
                <w:iCs/>
                <w:color w:val="000000"/>
                <w:sz w:val="20"/>
                <w:szCs w:val="20"/>
              </w:rPr>
              <w:t>(b =</w:t>
            </w:r>
            <w:r w:rsidRPr="00BF7E6B" w:rsidR="0092729D">
              <w:rPr>
                <w:i/>
                <w:iCs/>
                <w:color w:val="000000"/>
                <w:sz w:val="20"/>
                <w:szCs w:val="20"/>
              </w:rPr>
              <w:t xml:space="preserve"> </w:t>
            </w:r>
            <w:r w:rsidRPr="00BF7E6B">
              <w:rPr>
                <w:i/>
                <w:iCs/>
                <w:color w:val="000000"/>
                <w:sz w:val="20"/>
                <w:szCs w:val="20"/>
              </w:rPr>
              <w:t>a</w:t>
            </w:r>
            <w:r w:rsidRPr="00BF7E6B" w:rsidR="000775A7">
              <w:rPr>
                <w:i/>
                <w:iCs/>
                <w:color w:val="000000"/>
                <w:sz w:val="20"/>
                <w:szCs w:val="20"/>
              </w:rPr>
              <w:t xml:space="preserve"> </w:t>
            </w:r>
            <w:r w:rsidRPr="00BF7E6B" w:rsidR="00DD237F">
              <w:rPr>
                <w:rFonts w:ascii="Calibri" w:hAnsi="Calibri" w:cs="Calibri"/>
                <w:i/>
                <w:iCs/>
                <w:color w:val="000000"/>
                <w:sz w:val="20"/>
                <w:szCs w:val="20"/>
              </w:rPr>
              <w:t>x</w:t>
            </w:r>
            <w:r w:rsidRPr="00BF7E6B" w:rsidR="000775A7">
              <w:rPr>
                <w:i/>
                <w:iCs/>
                <w:color w:val="000000"/>
                <w:sz w:val="20"/>
                <w:szCs w:val="20"/>
              </w:rPr>
              <w:t xml:space="preserve"> 2</w:t>
            </w:r>
            <w:r w:rsidRPr="00BF7E6B" w:rsidR="00DD237F">
              <w:rPr>
                <w:i/>
                <w:iCs/>
                <w:color w:val="000000"/>
                <w:sz w:val="20"/>
                <w:szCs w:val="20"/>
              </w:rPr>
              <w:t>)</w:t>
            </w:r>
          </w:p>
        </w:tc>
      </w:tr>
      <w:tr w14:paraId="345DFC6A" w14:textId="77777777" w:rsidTr="00CF3B0C">
        <w:tblPrEx>
          <w:tblW w:w="8370" w:type="dxa"/>
          <w:tblInd w:w="265" w:type="dxa"/>
          <w:tblLayout w:type="fixed"/>
          <w:tblLook w:val="04A0"/>
        </w:tblPrEx>
        <w:trPr>
          <w:trHeight w:val="504"/>
        </w:trPr>
        <w:tc>
          <w:tcPr>
            <w:tcW w:w="2515" w:type="dxa"/>
            <w:tcBorders>
              <w:top w:val="nil"/>
              <w:left w:val="single" w:sz="4" w:space="0" w:color="auto"/>
              <w:bottom w:val="single" w:sz="4" w:space="0" w:color="auto"/>
              <w:right w:val="single" w:sz="4" w:space="0" w:color="auto"/>
            </w:tcBorders>
            <w:noWrap/>
            <w:vAlign w:val="center"/>
          </w:tcPr>
          <w:p w:rsidR="00792FC2" w:rsidP="00792FC2" w14:paraId="5DC69A18" w14:textId="01A405E3">
            <w:pPr>
              <w:widowControl/>
              <w:autoSpaceDE/>
              <w:autoSpaceDN/>
              <w:rPr>
                <w:sz w:val="20"/>
                <w:szCs w:val="20"/>
              </w:rPr>
            </w:pPr>
            <w:r w:rsidRPr="0092729D">
              <w:rPr>
                <w:sz w:val="20"/>
                <w:szCs w:val="20"/>
              </w:rPr>
              <w:t>General Counsel</w:t>
            </w:r>
          </w:p>
        </w:tc>
        <w:tc>
          <w:tcPr>
            <w:tcW w:w="2345" w:type="dxa"/>
            <w:tcBorders>
              <w:top w:val="single" w:sz="4" w:space="0" w:color="auto"/>
              <w:left w:val="nil"/>
              <w:bottom w:val="single" w:sz="4" w:space="0" w:color="auto"/>
              <w:right w:val="single" w:sz="4" w:space="0" w:color="auto"/>
            </w:tcBorders>
            <w:vAlign w:val="center"/>
          </w:tcPr>
          <w:p w:rsidR="00792FC2" w:rsidRPr="0092729D" w:rsidP="00792FC2" w14:paraId="2712604A" w14:textId="0C828306">
            <w:pPr>
              <w:widowControl/>
              <w:autoSpaceDE/>
              <w:autoSpaceDN/>
              <w:rPr>
                <w:sz w:val="20"/>
                <w:szCs w:val="20"/>
              </w:rPr>
            </w:pPr>
            <w:r w:rsidRPr="0092729D">
              <w:rPr>
                <w:sz w:val="20"/>
                <w:szCs w:val="20"/>
              </w:rPr>
              <w:t>Lawyer</w:t>
            </w:r>
          </w:p>
        </w:tc>
        <w:tc>
          <w:tcPr>
            <w:tcW w:w="990" w:type="dxa"/>
            <w:tcBorders>
              <w:top w:val="nil"/>
              <w:left w:val="single" w:sz="4" w:space="0" w:color="auto"/>
              <w:bottom w:val="single" w:sz="4" w:space="0" w:color="auto"/>
              <w:right w:val="single" w:sz="4" w:space="0" w:color="auto"/>
            </w:tcBorders>
            <w:noWrap/>
            <w:vAlign w:val="center"/>
          </w:tcPr>
          <w:p w:rsidR="00792FC2" w:rsidRPr="0092729D" w:rsidP="00792FC2" w14:paraId="0704BAFF" w14:textId="2229FE89">
            <w:pPr>
              <w:widowControl/>
              <w:autoSpaceDE/>
              <w:autoSpaceDN/>
              <w:jc w:val="center"/>
              <w:rPr>
                <w:sz w:val="20"/>
                <w:szCs w:val="20"/>
              </w:rPr>
            </w:pPr>
            <w:r w:rsidRPr="0092729D">
              <w:rPr>
                <w:sz w:val="20"/>
                <w:szCs w:val="20"/>
              </w:rPr>
              <w:t>23-1011</w:t>
            </w:r>
          </w:p>
        </w:tc>
        <w:tc>
          <w:tcPr>
            <w:tcW w:w="1350" w:type="dxa"/>
            <w:tcBorders>
              <w:top w:val="nil"/>
              <w:left w:val="nil"/>
              <w:bottom w:val="single" w:sz="4" w:space="0" w:color="auto"/>
              <w:right w:val="single" w:sz="4" w:space="0" w:color="auto"/>
            </w:tcBorders>
            <w:noWrap/>
            <w:vAlign w:val="center"/>
          </w:tcPr>
          <w:p w:rsidR="00792FC2" w:rsidRPr="00792FC2" w:rsidP="00792FC2" w14:paraId="5B868062" w14:textId="256929A6">
            <w:pPr>
              <w:widowControl/>
              <w:autoSpaceDE/>
              <w:autoSpaceDN/>
              <w:jc w:val="center"/>
              <w:rPr>
                <w:sz w:val="20"/>
                <w:szCs w:val="20"/>
              </w:rPr>
            </w:pPr>
            <w:r w:rsidRPr="007D79F4">
              <w:rPr>
                <w:sz w:val="20"/>
                <w:szCs w:val="20"/>
              </w:rPr>
              <w:t xml:space="preserve">$122.86 </w:t>
            </w:r>
          </w:p>
        </w:tc>
        <w:tc>
          <w:tcPr>
            <w:tcW w:w="1170" w:type="dxa"/>
            <w:tcBorders>
              <w:top w:val="nil"/>
              <w:left w:val="nil"/>
              <w:bottom w:val="single" w:sz="4" w:space="0" w:color="auto"/>
              <w:right w:val="single" w:sz="4" w:space="0" w:color="auto"/>
            </w:tcBorders>
            <w:noWrap/>
            <w:vAlign w:val="center"/>
          </w:tcPr>
          <w:p w:rsidR="00792FC2" w:rsidRPr="007D79F4" w:rsidP="00792FC2" w14:paraId="51F80ED6" w14:textId="4E6F7EA0">
            <w:pPr>
              <w:widowControl/>
              <w:autoSpaceDE/>
              <w:autoSpaceDN/>
              <w:jc w:val="center"/>
              <w:rPr>
                <w:sz w:val="20"/>
                <w:szCs w:val="20"/>
              </w:rPr>
            </w:pPr>
            <w:r w:rsidRPr="007D79F4">
              <w:rPr>
                <w:sz w:val="20"/>
                <w:szCs w:val="20"/>
              </w:rPr>
              <w:t>$246</w:t>
            </w:r>
          </w:p>
        </w:tc>
      </w:tr>
      <w:tr w14:paraId="4CAFE85A" w14:textId="77777777" w:rsidTr="00CF3B0C">
        <w:tblPrEx>
          <w:tblW w:w="8370" w:type="dxa"/>
          <w:tblInd w:w="265" w:type="dxa"/>
          <w:tblLayout w:type="fixed"/>
          <w:tblLook w:val="04A0"/>
        </w:tblPrEx>
        <w:trPr>
          <w:trHeight w:val="504"/>
        </w:trPr>
        <w:tc>
          <w:tcPr>
            <w:tcW w:w="2515" w:type="dxa"/>
            <w:tcBorders>
              <w:top w:val="nil"/>
              <w:left w:val="single" w:sz="4" w:space="0" w:color="auto"/>
              <w:bottom w:val="single" w:sz="4" w:space="0" w:color="auto"/>
              <w:right w:val="single" w:sz="4" w:space="0" w:color="auto"/>
            </w:tcBorders>
            <w:noWrap/>
            <w:vAlign w:val="center"/>
          </w:tcPr>
          <w:p w:rsidR="00CF3478" w:rsidP="00CF3478" w14:paraId="64A73C76" w14:textId="5C8072AD">
            <w:pPr>
              <w:widowControl/>
              <w:autoSpaceDE/>
              <w:autoSpaceDN/>
              <w:rPr>
                <w:sz w:val="20"/>
                <w:szCs w:val="20"/>
              </w:rPr>
            </w:pPr>
            <w:r w:rsidRPr="0092729D">
              <w:rPr>
                <w:sz w:val="20"/>
                <w:szCs w:val="20"/>
              </w:rPr>
              <w:t>Medical</w:t>
            </w:r>
            <w:r w:rsidR="00AD6667">
              <w:rPr>
                <w:sz w:val="20"/>
                <w:szCs w:val="20"/>
              </w:rPr>
              <w:t xml:space="preserve"> </w:t>
            </w:r>
            <w:r w:rsidRPr="0092729D">
              <w:rPr>
                <w:sz w:val="20"/>
                <w:szCs w:val="20"/>
              </w:rPr>
              <w:t>Director</w:t>
            </w:r>
          </w:p>
        </w:tc>
        <w:tc>
          <w:tcPr>
            <w:tcW w:w="2345" w:type="dxa"/>
            <w:tcBorders>
              <w:top w:val="single" w:sz="4" w:space="0" w:color="auto"/>
              <w:left w:val="nil"/>
              <w:bottom w:val="single" w:sz="4" w:space="0" w:color="auto"/>
              <w:right w:val="single" w:sz="4" w:space="0" w:color="auto"/>
            </w:tcBorders>
            <w:vAlign w:val="center"/>
          </w:tcPr>
          <w:p w:rsidR="00CF3478" w:rsidRPr="0092729D" w:rsidP="00CF3478" w14:paraId="7EC75514" w14:textId="79F3283A">
            <w:pPr>
              <w:widowControl/>
              <w:autoSpaceDE/>
              <w:autoSpaceDN/>
              <w:rPr>
                <w:sz w:val="20"/>
                <w:szCs w:val="20"/>
              </w:rPr>
            </w:pPr>
            <w:r w:rsidRPr="0092729D">
              <w:rPr>
                <w:sz w:val="20"/>
                <w:szCs w:val="20"/>
              </w:rPr>
              <w:t>Physician</w:t>
            </w:r>
          </w:p>
        </w:tc>
        <w:tc>
          <w:tcPr>
            <w:tcW w:w="990" w:type="dxa"/>
            <w:tcBorders>
              <w:top w:val="nil"/>
              <w:left w:val="single" w:sz="4" w:space="0" w:color="auto"/>
              <w:bottom w:val="single" w:sz="4" w:space="0" w:color="auto"/>
              <w:right w:val="single" w:sz="4" w:space="0" w:color="auto"/>
            </w:tcBorders>
            <w:noWrap/>
            <w:vAlign w:val="center"/>
          </w:tcPr>
          <w:p w:rsidR="00CF3478" w:rsidRPr="0092729D" w:rsidP="00CF3478" w14:paraId="4017D4C8" w14:textId="005B408B">
            <w:pPr>
              <w:widowControl/>
              <w:autoSpaceDE/>
              <w:autoSpaceDN/>
              <w:jc w:val="center"/>
              <w:rPr>
                <w:sz w:val="20"/>
                <w:szCs w:val="20"/>
              </w:rPr>
            </w:pPr>
            <w:r w:rsidRPr="0092729D">
              <w:rPr>
                <w:sz w:val="20"/>
                <w:szCs w:val="20"/>
              </w:rPr>
              <w:t>29-1210</w:t>
            </w:r>
          </w:p>
        </w:tc>
        <w:tc>
          <w:tcPr>
            <w:tcW w:w="1350" w:type="dxa"/>
            <w:tcBorders>
              <w:top w:val="nil"/>
              <w:left w:val="nil"/>
              <w:bottom w:val="single" w:sz="4" w:space="0" w:color="auto"/>
              <w:right w:val="single" w:sz="4" w:space="0" w:color="auto"/>
            </w:tcBorders>
            <w:noWrap/>
            <w:vAlign w:val="center"/>
          </w:tcPr>
          <w:p w:rsidR="00CF3478" w:rsidRPr="00792FC2" w:rsidP="00CF3478" w14:paraId="6D4AC183" w14:textId="47C7D78F">
            <w:pPr>
              <w:widowControl/>
              <w:autoSpaceDE/>
              <w:autoSpaceDN/>
              <w:jc w:val="center"/>
              <w:rPr>
                <w:sz w:val="20"/>
                <w:szCs w:val="20"/>
              </w:rPr>
            </w:pPr>
            <w:r w:rsidRPr="007D79F4">
              <w:rPr>
                <w:sz w:val="20"/>
                <w:szCs w:val="20"/>
              </w:rPr>
              <w:t xml:space="preserve">$129.44 </w:t>
            </w:r>
          </w:p>
        </w:tc>
        <w:tc>
          <w:tcPr>
            <w:tcW w:w="1170" w:type="dxa"/>
            <w:tcBorders>
              <w:top w:val="nil"/>
              <w:left w:val="nil"/>
              <w:bottom w:val="single" w:sz="4" w:space="0" w:color="auto"/>
              <w:right w:val="single" w:sz="4" w:space="0" w:color="auto"/>
            </w:tcBorders>
            <w:noWrap/>
            <w:vAlign w:val="center"/>
          </w:tcPr>
          <w:p w:rsidR="00CF3478" w:rsidRPr="007D79F4" w:rsidP="00CF3478" w14:paraId="67EEBC05" w14:textId="58A5523B">
            <w:pPr>
              <w:widowControl/>
              <w:autoSpaceDE/>
              <w:autoSpaceDN/>
              <w:jc w:val="center"/>
              <w:rPr>
                <w:sz w:val="20"/>
                <w:szCs w:val="20"/>
              </w:rPr>
            </w:pPr>
            <w:r w:rsidRPr="007D79F4">
              <w:rPr>
                <w:sz w:val="20"/>
                <w:szCs w:val="20"/>
              </w:rPr>
              <w:t>$259</w:t>
            </w:r>
          </w:p>
        </w:tc>
      </w:tr>
      <w:tr w14:paraId="52850EAE" w14:textId="77777777" w:rsidTr="00CF3B0C">
        <w:tblPrEx>
          <w:tblW w:w="8370" w:type="dxa"/>
          <w:tblInd w:w="265" w:type="dxa"/>
          <w:tblLayout w:type="fixed"/>
          <w:tblLook w:val="04A0"/>
        </w:tblPrEx>
        <w:trPr>
          <w:trHeight w:val="504"/>
        </w:trPr>
        <w:tc>
          <w:tcPr>
            <w:tcW w:w="2515" w:type="dxa"/>
            <w:tcBorders>
              <w:top w:val="nil"/>
              <w:left w:val="single" w:sz="4" w:space="0" w:color="auto"/>
              <w:bottom w:val="single" w:sz="4" w:space="0" w:color="auto"/>
              <w:right w:val="single" w:sz="4" w:space="0" w:color="auto"/>
            </w:tcBorders>
            <w:noWrap/>
            <w:vAlign w:val="center"/>
            <w:hideMark/>
          </w:tcPr>
          <w:p w:rsidR="00CF3478" w:rsidRPr="0092729D" w:rsidP="00AD6667" w14:paraId="09756EEB" w14:textId="660E6521">
            <w:pPr>
              <w:widowControl/>
              <w:autoSpaceDE/>
              <w:autoSpaceDN/>
              <w:rPr>
                <w:sz w:val="20"/>
                <w:szCs w:val="20"/>
              </w:rPr>
            </w:pPr>
            <w:r>
              <w:rPr>
                <w:sz w:val="20"/>
                <w:szCs w:val="20"/>
              </w:rPr>
              <w:t xml:space="preserve">Senior </w:t>
            </w:r>
            <w:r w:rsidRPr="0092729D">
              <w:rPr>
                <w:sz w:val="20"/>
                <w:szCs w:val="20"/>
              </w:rPr>
              <w:t>Administrator</w:t>
            </w:r>
          </w:p>
        </w:tc>
        <w:tc>
          <w:tcPr>
            <w:tcW w:w="2345" w:type="dxa"/>
            <w:tcBorders>
              <w:top w:val="single" w:sz="4" w:space="0" w:color="auto"/>
              <w:left w:val="nil"/>
              <w:bottom w:val="single" w:sz="4" w:space="0" w:color="auto"/>
              <w:right w:val="single" w:sz="4" w:space="0" w:color="auto"/>
            </w:tcBorders>
            <w:vAlign w:val="center"/>
          </w:tcPr>
          <w:p w:rsidR="00CF3478" w:rsidRPr="0092729D" w:rsidP="00CF3478" w14:paraId="792CE08B" w14:textId="77777777">
            <w:pPr>
              <w:widowControl/>
              <w:autoSpaceDE/>
              <w:autoSpaceDN/>
              <w:rPr>
                <w:sz w:val="20"/>
                <w:szCs w:val="20"/>
              </w:rPr>
            </w:pPr>
            <w:r w:rsidRPr="0092729D">
              <w:rPr>
                <w:sz w:val="20"/>
                <w:szCs w:val="20"/>
              </w:rPr>
              <w:t>Medical and Health Services Manager</w:t>
            </w:r>
          </w:p>
        </w:tc>
        <w:tc>
          <w:tcPr>
            <w:tcW w:w="990" w:type="dxa"/>
            <w:tcBorders>
              <w:top w:val="nil"/>
              <w:left w:val="single" w:sz="4" w:space="0" w:color="auto"/>
              <w:bottom w:val="single" w:sz="4" w:space="0" w:color="auto"/>
              <w:right w:val="single" w:sz="4" w:space="0" w:color="auto"/>
            </w:tcBorders>
            <w:noWrap/>
            <w:vAlign w:val="center"/>
            <w:hideMark/>
          </w:tcPr>
          <w:p w:rsidR="00CF3478" w:rsidRPr="0092729D" w:rsidP="00CF3478" w14:paraId="61DEA4D7" w14:textId="53AEDC15">
            <w:pPr>
              <w:widowControl/>
              <w:autoSpaceDE/>
              <w:autoSpaceDN/>
              <w:jc w:val="center"/>
              <w:rPr>
                <w:sz w:val="20"/>
                <w:szCs w:val="20"/>
              </w:rPr>
            </w:pPr>
            <w:r w:rsidRPr="0092729D">
              <w:rPr>
                <w:sz w:val="20"/>
                <w:szCs w:val="20"/>
              </w:rPr>
              <w:t>11-9111</w:t>
            </w:r>
          </w:p>
        </w:tc>
        <w:tc>
          <w:tcPr>
            <w:tcW w:w="1350" w:type="dxa"/>
            <w:tcBorders>
              <w:top w:val="nil"/>
              <w:left w:val="nil"/>
              <w:bottom w:val="single" w:sz="4" w:space="0" w:color="auto"/>
              <w:right w:val="single" w:sz="4" w:space="0" w:color="auto"/>
            </w:tcBorders>
            <w:noWrap/>
            <w:vAlign w:val="center"/>
            <w:hideMark/>
          </w:tcPr>
          <w:p w:rsidR="00CF3478" w:rsidRPr="0092729D" w:rsidP="00CF3478" w14:paraId="3566A6C5" w14:textId="1435B0EF">
            <w:pPr>
              <w:widowControl/>
              <w:autoSpaceDE/>
              <w:autoSpaceDN/>
              <w:jc w:val="center"/>
              <w:rPr>
                <w:sz w:val="20"/>
                <w:szCs w:val="20"/>
              </w:rPr>
            </w:pPr>
            <w:r w:rsidRPr="007D79F4">
              <w:rPr>
                <w:sz w:val="20"/>
                <w:szCs w:val="20"/>
              </w:rPr>
              <w:t xml:space="preserve">$71.93 </w:t>
            </w:r>
          </w:p>
        </w:tc>
        <w:tc>
          <w:tcPr>
            <w:tcW w:w="1170" w:type="dxa"/>
            <w:tcBorders>
              <w:top w:val="nil"/>
              <w:left w:val="nil"/>
              <w:bottom w:val="single" w:sz="4" w:space="0" w:color="auto"/>
              <w:right w:val="single" w:sz="4" w:space="0" w:color="auto"/>
            </w:tcBorders>
            <w:noWrap/>
            <w:vAlign w:val="center"/>
            <w:hideMark/>
          </w:tcPr>
          <w:p w:rsidR="00CF3478" w:rsidRPr="00DD237F" w:rsidP="00CF3478" w14:paraId="3E18A52A" w14:textId="02FCA1E7">
            <w:pPr>
              <w:widowControl/>
              <w:autoSpaceDE/>
              <w:autoSpaceDN/>
              <w:jc w:val="center"/>
              <w:rPr>
                <w:sz w:val="20"/>
                <w:szCs w:val="20"/>
              </w:rPr>
            </w:pPr>
            <w:r w:rsidRPr="007D79F4">
              <w:rPr>
                <w:sz w:val="20"/>
                <w:szCs w:val="20"/>
              </w:rPr>
              <w:t>$144</w:t>
            </w:r>
          </w:p>
        </w:tc>
      </w:tr>
      <w:tr w14:paraId="16F6A781" w14:textId="77777777" w:rsidTr="00CF3B0C">
        <w:tblPrEx>
          <w:tblW w:w="8370" w:type="dxa"/>
          <w:tblInd w:w="265" w:type="dxa"/>
          <w:tblLayout w:type="fixed"/>
          <w:tblLook w:val="04A0"/>
        </w:tblPrEx>
        <w:trPr>
          <w:trHeight w:val="504"/>
        </w:trPr>
        <w:tc>
          <w:tcPr>
            <w:tcW w:w="2515" w:type="dxa"/>
            <w:tcBorders>
              <w:top w:val="nil"/>
              <w:left w:val="single" w:sz="4" w:space="0" w:color="auto"/>
              <w:bottom w:val="single" w:sz="4" w:space="0" w:color="auto"/>
              <w:right w:val="single" w:sz="4" w:space="0" w:color="auto"/>
            </w:tcBorders>
            <w:noWrap/>
            <w:vAlign w:val="center"/>
            <w:hideMark/>
          </w:tcPr>
          <w:p w:rsidR="00CF3478" w:rsidRPr="0092729D" w:rsidP="002E64AD" w14:paraId="371CD512" w14:textId="77777777">
            <w:pPr>
              <w:widowControl/>
              <w:autoSpaceDE/>
              <w:autoSpaceDN/>
              <w:rPr>
                <w:color w:val="000000"/>
                <w:sz w:val="20"/>
                <w:szCs w:val="20"/>
              </w:rPr>
            </w:pPr>
            <w:r w:rsidRPr="0092729D">
              <w:rPr>
                <w:color w:val="000000"/>
                <w:sz w:val="20"/>
                <w:szCs w:val="20"/>
              </w:rPr>
              <w:t>Transplant Coordinator</w:t>
            </w:r>
          </w:p>
        </w:tc>
        <w:tc>
          <w:tcPr>
            <w:tcW w:w="2345" w:type="dxa"/>
            <w:tcBorders>
              <w:top w:val="single" w:sz="4" w:space="0" w:color="auto"/>
              <w:left w:val="nil"/>
              <w:bottom w:val="single" w:sz="4" w:space="0" w:color="auto"/>
              <w:right w:val="single" w:sz="4" w:space="0" w:color="auto"/>
            </w:tcBorders>
            <w:vAlign w:val="center"/>
          </w:tcPr>
          <w:p w:rsidR="00CF3478" w:rsidRPr="0092729D" w:rsidP="00CF3478" w14:paraId="6826E429" w14:textId="77777777">
            <w:pPr>
              <w:widowControl/>
              <w:autoSpaceDE/>
              <w:autoSpaceDN/>
              <w:rPr>
                <w:sz w:val="20"/>
                <w:szCs w:val="20"/>
              </w:rPr>
            </w:pPr>
            <w:r w:rsidRPr="0092729D">
              <w:rPr>
                <w:sz w:val="20"/>
                <w:szCs w:val="20"/>
              </w:rPr>
              <w:t>Registered Nurse</w:t>
            </w:r>
          </w:p>
        </w:tc>
        <w:tc>
          <w:tcPr>
            <w:tcW w:w="990" w:type="dxa"/>
            <w:tcBorders>
              <w:top w:val="nil"/>
              <w:left w:val="single" w:sz="4" w:space="0" w:color="auto"/>
              <w:bottom w:val="single" w:sz="4" w:space="0" w:color="auto"/>
              <w:right w:val="single" w:sz="4" w:space="0" w:color="auto"/>
            </w:tcBorders>
            <w:noWrap/>
            <w:vAlign w:val="center"/>
            <w:hideMark/>
          </w:tcPr>
          <w:p w:rsidR="00CF3478" w:rsidRPr="0092729D" w:rsidP="00CF3478" w14:paraId="370BE3D1" w14:textId="77777777">
            <w:pPr>
              <w:widowControl/>
              <w:autoSpaceDE/>
              <w:autoSpaceDN/>
              <w:jc w:val="center"/>
              <w:rPr>
                <w:sz w:val="20"/>
                <w:szCs w:val="20"/>
              </w:rPr>
            </w:pPr>
            <w:r w:rsidRPr="0092729D">
              <w:rPr>
                <w:sz w:val="20"/>
                <w:szCs w:val="20"/>
              </w:rPr>
              <w:t>29-1141</w:t>
            </w:r>
          </w:p>
        </w:tc>
        <w:tc>
          <w:tcPr>
            <w:tcW w:w="1350" w:type="dxa"/>
            <w:tcBorders>
              <w:top w:val="nil"/>
              <w:left w:val="nil"/>
              <w:bottom w:val="single" w:sz="4" w:space="0" w:color="auto"/>
              <w:right w:val="single" w:sz="4" w:space="0" w:color="auto"/>
            </w:tcBorders>
            <w:noWrap/>
            <w:vAlign w:val="center"/>
            <w:hideMark/>
          </w:tcPr>
          <w:p w:rsidR="00CF3478" w:rsidRPr="0092729D" w:rsidP="00CF3478" w14:paraId="5E2FAA7B" w14:textId="201EE529">
            <w:pPr>
              <w:widowControl/>
              <w:autoSpaceDE/>
              <w:autoSpaceDN/>
              <w:jc w:val="center"/>
              <w:rPr>
                <w:sz w:val="20"/>
                <w:szCs w:val="20"/>
              </w:rPr>
            </w:pPr>
            <w:r w:rsidRPr="007D79F4">
              <w:rPr>
                <w:sz w:val="20"/>
                <w:szCs w:val="20"/>
              </w:rPr>
              <w:t xml:space="preserve">$49.76 </w:t>
            </w:r>
          </w:p>
        </w:tc>
        <w:tc>
          <w:tcPr>
            <w:tcW w:w="1170" w:type="dxa"/>
            <w:tcBorders>
              <w:top w:val="nil"/>
              <w:left w:val="nil"/>
              <w:bottom w:val="single" w:sz="4" w:space="0" w:color="auto"/>
              <w:right w:val="single" w:sz="4" w:space="0" w:color="auto"/>
            </w:tcBorders>
            <w:noWrap/>
            <w:vAlign w:val="center"/>
            <w:hideMark/>
          </w:tcPr>
          <w:p w:rsidR="00CF3478" w:rsidRPr="00DD237F" w:rsidP="00CF3478" w14:paraId="65AC1D8D" w14:textId="1EE9181A">
            <w:pPr>
              <w:widowControl/>
              <w:autoSpaceDE/>
              <w:autoSpaceDN/>
              <w:jc w:val="center"/>
              <w:rPr>
                <w:sz w:val="20"/>
                <w:szCs w:val="20"/>
              </w:rPr>
            </w:pPr>
            <w:r w:rsidRPr="007D79F4">
              <w:rPr>
                <w:sz w:val="20"/>
                <w:szCs w:val="20"/>
              </w:rPr>
              <w:t>$100</w:t>
            </w:r>
          </w:p>
        </w:tc>
      </w:tr>
      <w:tr w14:paraId="692060C1" w14:textId="77777777" w:rsidTr="00CF3B0C">
        <w:tblPrEx>
          <w:tblW w:w="8370" w:type="dxa"/>
          <w:tblInd w:w="265" w:type="dxa"/>
          <w:tblLayout w:type="fixed"/>
          <w:tblLook w:val="04A0"/>
        </w:tblPrEx>
        <w:trPr>
          <w:trHeight w:val="504"/>
        </w:trPr>
        <w:tc>
          <w:tcPr>
            <w:tcW w:w="2515" w:type="dxa"/>
            <w:tcBorders>
              <w:top w:val="nil"/>
              <w:left w:val="single" w:sz="4" w:space="0" w:color="auto"/>
              <w:bottom w:val="single" w:sz="4" w:space="0" w:color="auto"/>
              <w:right w:val="single" w:sz="4" w:space="0" w:color="auto"/>
            </w:tcBorders>
            <w:noWrap/>
            <w:vAlign w:val="center"/>
            <w:hideMark/>
          </w:tcPr>
          <w:p w:rsidR="00CF3478" w:rsidRPr="0092729D" w:rsidP="002E64AD" w14:paraId="0F84CE51" w14:textId="541D8B68">
            <w:pPr>
              <w:widowControl/>
              <w:autoSpaceDE/>
              <w:autoSpaceDN/>
              <w:rPr>
                <w:sz w:val="20"/>
                <w:szCs w:val="20"/>
              </w:rPr>
            </w:pPr>
            <w:r>
              <w:rPr>
                <w:sz w:val="20"/>
                <w:szCs w:val="20"/>
              </w:rPr>
              <w:t>Administrative Assistant</w:t>
            </w:r>
          </w:p>
        </w:tc>
        <w:tc>
          <w:tcPr>
            <w:tcW w:w="2345" w:type="dxa"/>
            <w:tcBorders>
              <w:top w:val="single" w:sz="4" w:space="0" w:color="auto"/>
              <w:left w:val="nil"/>
              <w:bottom w:val="single" w:sz="4" w:space="0" w:color="auto"/>
              <w:right w:val="single" w:sz="4" w:space="0" w:color="auto"/>
            </w:tcBorders>
            <w:vAlign w:val="center"/>
          </w:tcPr>
          <w:p w:rsidR="00CF3478" w:rsidRPr="0092729D" w:rsidP="00CF3478" w14:paraId="74EBB3B8" w14:textId="77777777">
            <w:pPr>
              <w:widowControl/>
              <w:autoSpaceDE/>
              <w:autoSpaceDN/>
              <w:rPr>
                <w:sz w:val="20"/>
                <w:szCs w:val="20"/>
              </w:rPr>
            </w:pPr>
            <w:r w:rsidRPr="0092729D">
              <w:rPr>
                <w:sz w:val="20"/>
                <w:szCs w:val="20"/>
              </w:rPr>
              <w:t>Medical Secretaries &amp; Administrative Assistants</w:t>
            </w:r>
          </w:p>
        </w:tc>
        <w:tc>
          <w:tcPr>
            <w:tcW w:w="990" w:type="dxa"/>
            <w:tcBorders>
              <w:top w:val="nil"/>
              <w:left w:val="single" w:sz="4" w:space="0" w:color="auto"/>
              <w:bottom w:val="single" w:sz="4" w:space="0" w:color="auto"/>
              <w:right w:val="single" w:sz="4" w:space="0" w:color="auto"/>
            </w:tcBorders>
            <w:noWrap/>
            <w:vAlign w:val="center"/>
            <w:hideMark/>
          </w:tcPr>
          <w:p w:rsidR="00CF3478" w:rsidRPr="0092729D" w:rsidP="00CF3478" w14:paraId="115A7FD3" w14:textId="77777777">
            <w:pPr>
              <w:widowControl/>
              <w:autoSpaceDE/>
              <w:autoSpaceDN/>
              <w:jc w:val="center"/>
              <w:rPr>
                <w:sz w:val="20"/>
                <w:szCs w:val="20"/>
              </w:rPr>
            </w:pPr>
            <w:r w:rsidRPr="0092729D">
              <w:rPr>
                <w:sz w:val="20"/>
                <w:szCs w:val="20"/>
              </w:rPr>
              <w:t>43-6013</w:t>
            </w:r>
          </w:p>
        </w:tc>
        <w:tc>
          <w:tcPr>
            <w:tcW w:w="1350" w:type="dxa"/>
            <w:tcBorders>
              <w:top w:val="nil"/>
              <w:left w:val="nil"/>
              <w:bottom w:val="single" w:sz="4" w:space="0" w:color="auto"/>
              <w:right w:val="single" w:sz="4" w:space="0" w:color="auto"/>
            </w:tcBorders>
            <w:noWrap/>
            <w:vAlign w:val="center"/>
          </w:tcPr>
          <w:p w:rsidR="00CF3478" w:rsidRPr="0092729D" w:rsidP="00CF3478" w14:paraId="57E67D5E" w14:textId="38F25552">
            <w:pPr>
              <w:widowControl/>
              <w:autoSpaceDE/>
              <w:autoSpaceDN/>
              <w:jc w:val="center"/>
              <w:rPr>
                <w:sz w:val="20"/>
                <w:szCs w:val="20"/>
              </w:rPr>
            </w:pPr>
            <w:r w:rsidRPr="007D79F4">
              <w:rPr>
                <w:sz w:val="20"/>
                <w:szCs w:val="20"/>
              </w:rPr>
              <w:t xml:space="preserve">$23.16 </w:t>
            </w:r>
          </w:p>
        </w:tc>
        <w:tc>
          <w:tcPr>
            <w:tcW w:w="1170" w:type="dxa"/>
            <w:tcBorders>
              <w:top w:val="nil"/>
              <w:left w:val="nil"/>
              <w:bottom w:val="single" w:sz="4" w:space="0" w:color="auto"/>
              <w:right w:val="single" w:sz="4" w:space="0" w:color="auto"/>
            </w:tcBorders>
            <w:noWrap/>
            <w:vAlign w:val="center"/>
          </w:tcPr>
          <w:p w:rsidR="00CF3478" w:rsidRPr="00DD237F" w:rsidP="00CF3478" w14:paraId="4064766F" w14:textId="43BFFAF6">
            <w:pPr>
              <w:widowControl/>
              <w:autoSpaceDE/>
              <w:autoSpaceDN/>
              <w:jc w:val="center"/>
              <w:rPr>
                <w:sz w:val="20"/>
                <w:szCs w:val="20"/>
              </w:rPr>
            </w:pPr>
            <w:r w:rsidRPr="007D79F4">
              <w:rPr>
                <w:sz w:val="20"/>
                <w:szCs w:val="20"/>
              </w:rPr>
              <w:t>$46</w:t>
            </w:r>
          </w:p>
        </w:tc>
      </w:tr>
      <w:tr w14:paraId="63A96E0C" w14:textId="77777777" w:rsidTr="00CF3B0C">
        <w:tblPrEx>
          <w:tblW w:w="8370" w:type="dxa"/>
          <w:tblInd w:w="265" w:type="dxa"/>
          <w:tblLayout w:type="fixed"/>
          <w:tblLook w:val="04A0"/>
        </w:tblPrEx>
        <w:trPr>
          <w:trHeight w:val="504"/>
        </w:trPr>
        <w:tc>
          <w:tcPr>
            <w:tcW w:w="2515" w:type="dxa"/>
            <w:tcBorders>
              <w:top w:val="single" w:sz="4" w:space="0" w:color="auto"/>
              <w:left w:val="single" w:sz="4" w:space="0" w:color="auto"/>
              <w:bottom w:val="single" w:sz="4" w:space="0" w:color="auto"/>
              <w:right w:val="single" w:sz="4" w:space="0" w:color="auto"/>
            </w:tcBorders>
            <w:noWrap/>
            <w:vAlign w:val="center"/>
          </w:tcPr>
          <w:p w:rsidR="00AD6667" w14:paraId="4D8E6AF3" w14:textId="4DF144FA">
            <w:pPr>
              <w:widowControl/>
              <w:autoSpaceDE/>
              <w:autoSpaceDN/>
              <w:rPr>
                <w:sz w:val="20"/>
                <w:szCs w:val="20"/>
              </w:rPr>
            </w:pPr>
            <w:r>
              <w:rPr>
                <w:sz w:val="20"/>
                <w:szCs w:val="20"/>
              </w:rPr>
              <w:t>Transplant Hospital Administrator</w:t>
            </w:r>
          </w:p>
        </w:tc>
        <w:tc>
          <w:tcPr>
            <w:tcW w:w="2345" w:type="dxa"/>
            <w:tcBorders>
              <w:top w:val="single" w:sz="4" w:space="0" w:color="auto"/>
              <w:left w:val="nil"/>
              <w:bottom w:val="single" w:sz="4" w:space="0" w:color="auto"/>
              <w:right w:val="single" w:sz="4" w:space="0" w:color="auto"/>
            </w:tcBorders>
            <w:vAlign w:val="center"/>
          </w:tcPr>
          <w:p w:rsidR="00AD6667" w:rsidRPr="0092729D" w:rsidP="00CF3478" w14:paraId="6BA9DD0B" w14:textId="4D72CBEE">
            <w:pPr>
              <w:widowControl/>
              <w:autoSpaceDE/>
              <w:autoSpaceDN/>
              <w:rPr>
                <w:sz w:val="20"/>
                <w:szCs w:val="20"/>
              </w:rPr>
            </w:pPr>
            <w:r w:rsidRPr="00AD6667">
              <w:rPr>
                <w:sz w:val="20"/>
                <w:szCs w:val="20"/>
              </w:rPr>
              <w:t>General and Operations Manager</w:t>
            </w:r>
            <w:r w:rsidRPr="00AD6667">
              <w:rPr>
                <w:sz w:val="20"/>
                <w:szCs w:val="20"/>
              </w:rPr>
              <w:tab/>
            </w:r>
          </w:p>
        </w:tc>
        <w:tc>
          <w:tcPr>
            <w:tcW w:w="990" w:type="dxa"/>
            <w:tcBorders>
              <w:top w:val="single" w:sz="4" w:space="0" w:color="auto"/>
              <w:left w:val="single" w:sz="4" w:space="0" w:color="auto"/>
              <w:bottom w:val="single" w:sz="4" w:space="0" w:color="auto"/>
              <w:right w:val="single" w:sz="4" w:space="0" w:color="auto"/>
            </w:tcBorders>
            <w:noWrap/>
            <w:vAlign w:val="center"/>
          </w:tcPr>
          <w:p w:rsidR="00AD6667" w:rsidRPr="0092729D" w:rsidP="00CF3478" w14:paraId="6E91D6FE" w14:textId="4E925F71">
            <w:pPr>
              <w:widowControl/>
              <w:autoSpaceDE/>
              <w:autoSpaceDN/>
              <w:jc w:val="center"/>
              <w:rPr>
                <w:sz w:val="20"/>
                <w:szCs w:val="20"/>
              </w:rPr>
            </w:pPr>
            <w:r>
              <w:rPr>
                <w:sz w:val="20"/>
                <w:szCs w:val="20"/>
              </w:rPr>
              <w:t>11-2020</w:t>
            </w:r>
          </w:p>
        </w:tc>
        <w:tc>
          <w:tcPr>
            <w:tcW w:w="1350" w:type="dxa"/>
            <w:tcBorders>
              <w:top w:val="single" w:sz="4" w:space="0" w:color="auto"/>
              <w:left w:val="nil"/>
              <w:bottom w:val="single" w:sz="4" w:space="0" w:color="auto"/>
              <w:right w:val="single" w:sz="4" w:space="0" w:color="auto"/>
            </w:tcBorders>
            <w:noWrap/>
            <w:vAlign w:val="center"/>
          </w:tcPr>
          <w:p w:rsidR="00AD6667" w:rsidRPr="00AD6667" w:rsidP="00CF3478" w14:paraId="6BF1D2F8" w14:textId="502DE382">
            <w:pPr>
              <w:widowControl/>
              <w:autoSpaceDE/>
              <w:autoSpaceDN/>
              <w:jc w:val="center"/>
              <w:rPr>
                <w:sz w:val="20"/>
                <w:szCs w:val="20"/>
              </w:rPr>
            </w:pPr>
            <w:r>
              <w:rPr>
                <w:sz w:val="20"/>
                <w:szCs w:val="20"/>
              </w:rPr>
              <w:t>$88.80</w:t>
            </w:r>
          </w:p>
        </w:tc>
        <w:tc>
          <w:tcPr>
            <w:tcW w:w="1170" w:type="dxa"/>
            <w:tcBorders>
              <w:top w:val="single" w:sz="4" w:space="0" w:color="auto"/>
              <w:left w:val="nil"/>
              <w:bottom w:val="single" w:sz="4" w:space="0" w:color="auto"/>
              <w:right w:val="single" w:sz="4" w:space="0" w:color="auto"/>
            </w:tcBorders>
            <w:noWrap/>
            <w:vAlign w:val="center"/>
          </w:tcPr>
          <w:p w:rsidR="00AD6667" w:rsidRPr="00AD6667" w:rsidP="00CF3478" w14:paraId="3737684F" w14:textId="54C0ECA0">
            <w:pPr>
              <w:widowControl/>
              <w:autoSpaceDE/>
              <w:autoSpaceDN/>
              <w:jc w:val="center"/>
              <w:rPr>
                <w:sz w:val="20"/>
                <w:szCs w:val="20"/>
              </w:rPr>
            </w:pPr>
            <w:r>
              <w:rPr>
                <w:sz w:val="20"/>
                <w:szCs w:val="20"/>
              </w:rPr>
              <w:t>$178</w:t>
            </w:r>
          </w:p>
        </w:tc>
      </w:tr>
      <w:bookmarkEnd w:id="25"/>
    </w:tbl>
    <w:p w:rsidR="003479D8" w:rsidRPr="00F17155" w:rsidP="00F474C4" w14:paraId="14CF0B0D" w14:textId="77777777">
      <w:pPr>
        <w:pStyle w:val="BodyText"/>
        <w:spacing w:before="5"/>
        <w:ind w:left="990"/>
      </w:pPr>
    </w:p>
    <w:p w:rsidR="12046A50" w:rsidRPr="007D79F4" w:rsidP="00F474C4" w14:paraId="2BB42FB1" w14:textId="2353CA17">
      <w:pPr>
        <w:pStyle w:val="Heading3"/>
        <w:ind w:left="0"/>
      </w:pPr>
      <w:r w:rsidRPr="007D79F4">
        <w:t>Part 12-B: Burden Estimates</w:t>
      </w:r>
    </w:p>
    <w:p w:rsidR="009B4C8F" w:rsidP="00F474C4" w14:paraId="44958DD8" w14:textId="594B372F">
      <w:pPr>
        <w:pStyle w:val="BodyText"/>
      </w:pPr>
      <w:r>
        <w:t xml:space="preserve">This section discusses the burden estimates for the ICs embedded in </w:t>
      </w:r>
      <w:r w:rsidRPr="00C50F86">
        <w:rPr>
          <w:i/>
          <w:iCs/>
        </w:rPr>
        <w:t xml:space="preserve">the </w:t>
      </w:r>
      <w:r w:rsidRPr="00C50F86" w:rsidR="00C765F7">
        <w:rPr>
          <w:i/>
          <w:iCs/>
        </w:rPr>
        <w:t>g</w:t>
      </w:r>
      <w:r w:rsidRPr="00C50F86" w:rsidR="00485894">
        <w:rPr>
          <w:i/>
          <w:iCs/>
        </w:rPr>
        <w:t xml:space="preserve">eneral requirements </w:t>
      </w:r>
      <w:r w:rsidRPr="00C50F86" w:rsidR="12046A50">
        <w:rPr>
          <w:i/>
          <w:iCs/>
        </w:rPr>
        <w:t xml:space="preserve">for </w:t>
      </w:r>
      <w:r w:rsidRPr="00C50F86" w:rsidR="00C765F7">
        <w:rPr>
          <w:i/>
          <w:iCs/>
        </w:rPr>
        <w:t>t</w:t>
      </w:r>
      <w:r w:rsidRPr="00C50F86" w:rsidR="12046A50">
        <w:rPr>
          <w:i/>
          <w:iCs/>
        </w:rPr>
        <w:t xml:space="preserve">ransplant </w:t>
      </w:r>
      <w:r w:rsidRPr="00C50F86" w:rsidR="00C765F7">
        <w:rPr>
          <w:i/>
          <w:iCs/>
        </w:rPr>
        <w:t>p</w:t>
      </w:r>
      <w:r w:rsidRPr="00C50F86" w:rsidR="12046A50">
        <w:rPr>
          <w:i/>
          <w:iCs/>
        </w:rPr>
        <w:t>rograms</w:t>
      </w:r>
      <w:r w:rsidR="00485894">
        <w:t xml:space="preserve"> in</w:t>
      </w:r>
      <w:r w:rsidRPr="00485894" w:rsidR="00485894">
        <w:t xml:space="preserve"> </w:t>
      </w:r>
      <w:r w:rsidR="00485894">
        <w:t xml:space="preserve">Title 42 </w:t>
      </w:r>
      <w:r w:rsidRPr="00485894" w:rsidR="00485894">
        <w:t xml:space="preserve">CFR at </w:t>
      </w:r>
      <w:r w:rsidRPr="0034673F" w:rsidR="00485894">
        <w:t>§§</w:t>
      </w:r>
      <w:r w:rsidRPr="00485894" w:rsidR="00485894">
        <w:t xml:space="preserve"> 482.</w:t>
      </w:r>
      <w:r w:rsidR="00485894">
        <w:t xml:space="preserve">72 through </w:t>
      </w:r>
      <w:r w:rsidRPr="00485894" w:rsidR="00485894">
        <w:t>482.</w:t>
      </w:r>
      <w:r w:rsidR="00485894">
        <w:t>78</w:t>
      </w:r>
      <w:r w:rsidR="00C765F7">
        <w:t>,</w:t>
      </w:r>
      <w:r w:rsidR="00485894">
        <w:t xml:space="preserve"> and </w:t>
      </w:r>
      <w:r w:rsidR="12046A50">
        <w:t xml:space="preserve">the </w:t>
      </w:r>
      <w:r w:rsidR="00C765F7">
        <w:rPr>
          <w:i/>
          <w:iCs/>
        </w:rPr>
        <w:t>r</w:t>
      </w:r>
      <w:r>
        <w:rPr>
          <w:i/>
          <w:iCs/>
        </w:rPr>
        <w:t xml:space="preserve">equirements for </w:t>
      </w:r>
      <w:r w:rsidR="00C765F7">
        <w:rPr>
          <w:i/>
          <w:iCs/>
        </w:rPr>
        <w:t>t</w:t>
      </w:r>
      <w:r>
        <w:rPr>
          <w:i/>
          <w:iCs/>
        </w:rPr>
        <w:t xml:space="preserve">ransplant </w:t>
      </w:r>
      <w:r w:rsidR="00C765F7">
        <w:rPr>
          <w:i/>
          <w:iCs/>
        </w:rPr>
        <w:t>p</w:t>
      </w:r>
      <w:r>
        <w:rPr>
          <w:i/>
          <w:iCs/>
        </w:rPr>
        <w:t xml:space="preserve">rograms within </w:t>
      </w:r>
      <w:r w:rsidR="00C765F7">
        <w:rPr>
          <w:i/>
          <w:iCs/>
        </w:rPr>
        <w:t>s</w:t>
      </w:r>
      <w:r>
        <w:rPr>
          <w:i/>
          <w:iCs/>
        </w:rPr>
        <w:t xml:space="preserve">pecialty </w:t>
      </w:r>
      <w:r w:rsidR="00C765F7">
        <w:rPr>
          <w:i/>
          <w:iCs/>
        </w:rPr>
        <w:t>h</w:t>
      </w:r>
      <w:r>
        <w:rPr>
          <w:i/>
          <w:iCs/>
        </w:rPr>
        <w:t>ospitals</w:t>
      </w:r>
      <w:r w:rsidRPr="00C50F86" w:rsidR="00C765F7">
        <w:t>, located</w:t>
      </w:r>
      <w:r w:rsidRPr="00C50F86">
        <w:t xml:space="preserve"> </w:t>
      </w:r>
      <w:r w:rsidRPr="00C50F86" w:rsidR="12046A50">
        <w:t xml:space="preserve">in </w:t>
      </w:r>
      <w:r w:rsidR="12046A50">
        <w:t xml:space="preserve">Title 42 </w:t>
      </w:r>
      <w:r w:rsidRPr="00485894" w:rsidR="12046A50">
        <w:t xml:space="preserve">CFR </w:t>
      </w:r>
      <w:r w:rsidRPr="00485894" w:rsidR="00A2780F">
        <w:t xml:space="preserve">at </w:t>
      </w:r>
      <w:r w:rsidRPr="007D79F4" w:rsidR="00A2780F">
        <w:t>§</w:t>
      </w:r>
      <w:r w:rsidRPr="0034673F">
        <w:t>§</w:t>
      </w:r>
      <w:r w:rsidRPr="00485894" w:rsidR="12046A50">
        <w:t xml:space="preserve"> 482.68</w:t>
      </w:r>
      <w:r>
        <w:t xml:space="preserve"> </w:t>
      </w:r>
      <w:r w:rsidR="00C765F7">
        <w:t xml:space="preserve">through </w:t>
      </w:r>
      <w:r>
        <w:t>482.104</w:t>
      </w:r>
      <w:r w:rsidRPr="00485894" w:rsidR="00A2780F">
        <w:t xml:space="preserve">. </w:t>
      </w:r>
      <w:r w:rsidR="007D4C66">
        <w:t xml:space="preserve">There are also </w:t>
      </w:r>
      <w:r w:rsidR="003304ED">
        <w:t xml:space="preserve">ICs </w:t>
      </w:r>
      <w:r w:rsidR="007D4C66">
        <w:t xml:space="preserve">for transplants programs applying for Medicare certification, located at </w:t>
      </w:r>
      <w:r w:rsidR="003304ED">
        <w:t xml:space="preserve">42 CFR § 488.61 - </w:t>
      </w:r>
      <w:r w:rsidRPr="007D79F4" w:rsidR="007D4C66">
        <w:rPr>
          <w:i/>
          <w:iCs/>
        </w:rPr>
        <w:t>Special procedures for approval and re-approval of organ transplant programs</w:t>
      </w:r>
      <w:r w:rsidRPr="007D4C66" w:rsidR="007D4C66">
        <w:t>.</w:t>
      </w:r>
    </w:p>
    <w:p w:rsidR="009B4C8F" w:rsidP="00F474C4" w14:paraId="7FFBB276" w14:textId="77777777">
      <w:pPr>
        <w:pStyle w:val="BodyText"/>
      </w:pPr>
    </w:p>
    <w:p w:rsidR="12046A50" w:rsidP="00F474C4" w14:paraId="5D4AF0B4" w14:textId="55367E6B">
      <w:pPr>
        <w:pStyle w:val="BodyText"/>
      </w:pPr>
      <w:r w:rsidRPr="00C006CC">
        <w:t xml:space="preserve">Section 482.68 </w:t>
      </w:r>
      <w:r w:rsidRPr="00C006CC" w:rsidR="00485894">
        <w:t>specifies that</w:t>
      </w:r>
      <w:r w:rsidRPr="00C006CC" w:rsidR="00461033">
        <w:t xml:space="preserve"> </w:t>
      </w:r>
      <w:r w:rsidRPr="00C006CC">
        <w:t>transplant programs within hospita</w:t>
      </w:r>
      <w:r w:rsidRPr="00C006CC" w:rsidR="009B4C8F">
        <w:t>l</w:t>
      </w:r>
      <w:r w:rsidRPr="00C006CC" w:rsidR="00C765F7">
        <w:t xml:space="preserve">s holding </w:t>
      </w:r>
      <w:r w:rsidRPr="00C006CC">
        <w:t>Medicare provider agreement</w:t>
      </w:r>
      <w:r w:rsidRPr="00C006CC" w:rsidR="00C765F7">
        <w:t>s</w:t>
      </w:r>
      <w:r w:rsidRPr="00C006CC">
        <w:t xml:space="preserve"> </w:t>
      </w:r>
      <w:r w:rsidRPr="00C006CC" w:rsidR="00C765F7">
        <w:t xml:space="preserve">comply with </w:t>
      </w:r>
      <w:r w:rsidRPr="00C006CC">
        <w:t xml:space="preserve">the CoPs </w:t>
      </w:r>
      <w:r w:rsidRPr="00C006CC" w:rsidR="00C765F7">
        <w:t>outlined</w:t>
      </w:r>
      <w:r w:rsidRPr="00C006CC">
        <w:t xml:space="preserve"> at </w:t>
      </w:r>
      <w:hyperlink r:id="rId10" w:history="1">
        <w:r w:rsidRPr="007D79F4">
          <w:rPr>
            <w:rStyle w:val="Hyperlink"/>
            <w:color w:val="auto"/>
            <w:u w:val="none"/>
          </w:rPr>
          <w:t>§§ 482.72</w:t>
        </w:r>
      </w:hyperlink>
      <w:r w:rsidRPr="00C006CC">
        <w:t xml:space="preserve"> through </w:t>
      </w:r>
      <w:hyperlink r:id="rId11" w:history="1">
        <w:r w:rsidRPr="007D79F4">
          <w:rPr>
            <w:rStyle w:val="Hyperlink"/>
            <w:color w:val="auto"/>
            <w:u w:val="none"/>
          </w:rPr>
          <w:t>482.104</w:t>
        </w:r>
      </w:hyperlink>
      <w:r w:rsidRPr="00C006CC">
        <w:t xml:space="preserve"> </w:t>
      </w:r>
      <w:r w:rsidRPr="00C006CC" w:rsidR="00C765F7">
        <w:t>to obtain CMS approval to provide transplant services</w:t>
      </w:r>
      <w:r w:rsidRPr="00C006CC">
        <w:t>.</w:t>
      </w:r>
      <w:r w:rsidRPr="00C006CC">
        <w:t xml:space="preserve"> </w:t>
      </w:r>
      <w:r w:rsidRPr="00C006CC" w:rsidR="002B6C0D">
        <w:t xml:space="preserve">The </w:t>
      </w:r>
      <w:r w:rsidRPr="00C006CC">
        <w:t xml:space="preserve">requirements at </w:t>
      </w:r>
      <w:r w:rsidRPr="00C006CC" w:rsidR="00C765F7">
        <w:t xml:space="preserve">§§ </w:t>
      </w:r>
      <w:r w:rsidRPr="00C006CC">
        <w:t>482.74(a)</w:t>
      </w:r>
      <w:r w:rsidRPr="00C006CC" w:rsidR="001807A3">
        <w:t>,</w:t>
      </w:r>
      <w:r w:rsidRPr="00C006CC">
        <w:t xml:space="preserve"> 482.94(c)(1) </w:t>
      </w:r>
      <w:r w:rsidRPr="00C006CC" w:rsidR="00C765F7">
        <w:t xml:space="preserve">and </w:t>
      </w:r>
      <w:r w:rsidRPr="00C006CC">
        <w:t>(2)</w:t>
      </w:r>
      <w:r w:rsidR="00A70FFA">
        <w:t xml:space="preserve">, </w:t>
      </w:r>
      <w:r w:rsidR="006802E4">
        <w:t xml:space="preserve">and </w:t>
      </w:r>
      <w:r w:rsidR="00A70FFA">
        <w:t xml:space="preserve">482.100 </w:t>
      </w:r>
      <w:r w:rsidRPr="00C006CC" w:rsidR="001807A3">
        <w:t xml:space="preserve">are the only </w:t>
      </w:r>
      <w:r w:rsidRPr="00C006CC" w:rsidR="00C765F7">
        <w:t>provisions</w:t>
      </w:r>
      <w:r w:rsidRPr="00C006CC" w:rsidR="001807A3">
        <w:t xml:space="preserve"> currently </w:t>
      </w:r>
      <w:r w:rsidRPr="00C006CC">
        <w:t xml:space="preserve">associated </w:t>
      </w:r>
      <w:r w:rsidRPr="00C006CC" w:rsidR="00C765F7">
        <w:t xml:space="preserve">with </w:t>
      </w:r>
      <w:r w:rsidRPr="00C006CC">
        <w:t>burden</w:t>
      </w:r>
      <w:r w:rsidRPr="00C006CC" w:rsidR="00C765F7">
        <w:t xml:space="preserve"> estimates</w:t>
      </w:r>
      <w:r w:rsidRPr="00C006CC">
        <w:t xml:space="preserve">. </w:t>
      </w:r>
      <w:r w:rsidRPr="00C006CC" w:rsidR="00C765F7">
        <w:t xml:space="preserve">These are designated </w:t>
      </w:r>
      <w:r w:rsidRPr="00C006CC">
        <w:t xml:space="preserve">as </w:t>
      </w:r>
      <w:r w:rsidRPr="006802E4">
        <w:t>IC-1</w:t>
      </w:r>
      <w:r w:rsidRPr="006802E4" w:rsidR="00A70FFA">
        <w:t xml:space="preserve"> through </w:t>
      </w:r>
      <w:r w:rsidRPr="006802E4" w:rsidR="001807A3">
        <w:t>IC-</w:t>
      </w:r>
      <w:r w:rsidRPr="006802E4" w:rsidR="006802E4">
        <w:t>3</w:t>
      </w:r>
      <w:r w:rsidRPr="006802E4" w:rsidR="00C765F7">
        <w:t>,</w:t>
      </w:r>
      <w:r w:rsidRPr="006802E4" w:rsidR="001807A3">
        <w:t xml:space="preserve"> </w:t>
      </w:r>
      <w:r w:rsidRPr="006802E4" w:rsidR="00E0074E">
        <w:t>respectively</w:t>
      </w:r>
      <w:r w:rsidRPr="006802E4">
        <w:t>.</w:t>
      </w:r>
      <w:r w:rsidR="00C50F86">
        <w:t xml:space="preserve"> </w:t>
      </w:r>
      <w:r w:rsidRPr="00C006CC" w:rsidR="00E0074E">
        <w:t>For completeness</w:t>
      </w:r>
      <w:r w:rsidRPr="00C006CC" w:rsidR="00C765F7">
        <w:t>,</w:t>
      </w:r>
      <w:r w:rsidRPr="00C006CC" w:rsidR="00E0074E">
        <w:t xml:space="preserve"> all requirements </w:t>
      </w:r>
      <w:r w:rsidRPr="00C006CC" w:rsidR="00C765F7">
        <w:t>containing</w:t>
      </w:r>
      <w:r w:rsidRPr="00C006CC" w:rsidR="00E0074E">
        <w:t xml:space="preserve"> information collections</w:t>
      </w:r>
      <w:r w:rsidRPr="00C006CC" w:rsidR="00C765F7">
        <w:t xml:space="preserve"> are listed</w:t>
      </w:r>
      <w:r w:rsidRPr="00C006CC" w:rsidR="00E0074E">
        <w:t>,</w:t>
      </w:r>
      <w:r w:rsidRPr="00C006CC" w:rsidR="00C765F7">
        <w:t xml:space="preserve"> including those </w:t>
      </w:r>
      <w:r w:rsidRPr="00C006CC" w:rsidR="00E0074E">
        <w:t xml:space="preserve">exempt from </w:t>
      </w:r>
      <w:r w:rsidRPr="00C006CC" w:rsidR="00C765F7">
        <w:t>burden estimation under the Paperwork Reduction Act pursuant to</w:t>
      </w:r>
      <w:r w:rsidR="006802E4">
        <w:t xml:space="preserve"> </w:t>
      </w:r>
      <w:r w:rsidRPr="00C006CC" w:rsidR="00E0074E">
        <w:t>5 CFR §1320.3(b)(2)</w:t>
      </w:r>
      <w:r w:rsidR="006802E4">
        <w:t xml:space="preserve"> for activities that are considered usual and customary business practice and per </w:t>
      </w:r>
      <w:r w:rsidRPr="00C006CC" w:rsidR="006802E4">
        <w:t>5 CFR §1320.3(</w:t>
      </w:r>
      <w:r w:rsidR="006802E4">
        <w:t>c</w:t>
      </w:r>
      <w:r w:rsidRPr="00C006CC" w:rsidR="006802E4">
        <w:t>)(</w:t>
      </w:r>
      <w:r w:rsidR="006802E4">
        <w:t>4</w:t>
      </w:r>
      <w:r w:rsidRPr="00C006CC" w:rsidR="006802E4">
        <w:t>)</w:t>
      </w:r>
      <w:r w:rsidR="006802E4">
        <w:t xml:space="preserve"> for activities that affect less than 10 entities</w:t>
      </w:r>
      <w:r w:rsidRPr="00C006CC" w:rsidR="00E0074E">
        <w:t>.</w:t>
      </w:r>
    </w:p>
    <w:p w:rsidR="003A20F2" w:rsidP="00F474C4" w14:paraId="73B1C249" w14:textId="77777777">
      <w:pPr>
        <w:pStyle w:val="BodyText"/>
      </w:pPr>
    </w:p>
    <w:p w:rsidR="00FB442C" w:rsidRPr="004E5C29" w:rsidP="00F474C4" w14:paraId="5D2DC462" w14:textId="55D3A70D">
      <w:pPr>
        <w:pStyle w:val="Heading5"/>
      </w:pPr>
      <w:r w:rsidRPr="004E5C29">
        <w:t xml:space="preserve">IC-1: </w:t>
      </w:r>
      <w:r w:rsidRPr="004E5C29" w:rsidR="00085F26">
        <w:t xml:space="preserve">§ </w:t>
      </w:r>
      <w:r w:rsidRPr="004E5C29">
        <w:t>482.74(a) – Notification of Significant Changes</w:t>
      </w:r>
    </w:p>
    <w:p w:rsidR="001D2182" w:rsidRPr="00C006CC" w:rsidP="00F474C4" w14:paraId="583E9419" w14:textId="716929E5">
      <w:pPr>
        <w:pStyle w:val="BodyText"/>
        <w:spacing w:before="1"/>
      </w:pPr>
      <w:r w:rsidRPr="00C006CC">
        <w:t xml:space="preserve">Section 482.74(a) </w:t>
      </w:r>
      <w:r w:rsidRPr="00C006CC" w:rsidR="00851F42">
        <w:t>require</w:t>
      </w:r>
      <w:r w:rsidRPr="00C006CC">
        <w:t>s</w:t>
      </w:r>
      <w:r w:rsidRPr="00C006CC" w:rsidR="00851F42">
        <w:t xml:space="preserve"> </w:t>
      </w:r>
      <w:r w:rsidRPr="00C006CC">
        <w:t xml:space="preserve">transplant </w:t>
      </w:r>
      <w:r w:rsidRPr="00C006CC" w:rsidR="00672C4D">
        <w:t>programs</w:t>
      </w:r>
      <w:r w:rsidRPr="00C006CC">
        <w:t xml:space="preserve"> to immediately notify CMS of any </w:t>
      </w:r>
      <w:r w:rsidRPr="00C006CC">
        <w:t xml:space="preserve">significant changes that could affect </w:t>
      </w:r>
      <w:r w:rsidRPr="00C006CC" w:rsidR="002B0ECE">
        <w:t>their</w:t>
      </w:r>
      <w:r w:rsidRPr="00C006CC" w:rsidR="002B0ECE">
        <w:t xml:space="preserve"> </w:t>
      </w:r>
      <w:r w:rsidRPr="00C006CC">
        <w:t xml:space="preserve">compliance with the CoPs. </w:t>
      </w:r>
      <w:r w:rsidRPr="00C006CC" w:rsidR="00C765F7">
        <w:t>Examples of such significant changes include</w:t>
      </w:r>
      <w:r w:rsidR="003A20F2">
        <w:t xml:space="preserve"> </w:t>
      </w:r>
      <w:r w:rsidRPr="00C006CC">
        <w:t xml:space="preserve">but are not limited </w:t>
      </w:r>
      <w:r w:rsidRPr="00C006CC" w:rsidR="00782240">
        <w:t>to</w:t>
      </w:r>
      <w:r w:rsidR="002C3BE9">
        <w:t xml:space="preserve"> </w:t>
      </w:r>
      <w:r w:rsidRPr="00C006CC">
        <w:t xml:space="preserve">changes </w:t>
      </w:r>
      <w:r w:rsidRPr="00C006CC" w:rsidR="00A635BE">
        <w:t>to</w:t>
      </w:r>
      <w:r w:rsidRPr="00C006CC">
        <w:t xml:space="preserve"> key</w:t>
      </w:r>
      <w:r w:rsidRPr="00C006CC" w:rsidR="00C765F7">
        <w:t xml:space="preserve"> transplant team</w:t>
      </w:r>
      <w:r w:rsidRPr="00C006CC">
        <w:t xml:space="preserve"> staff members</w:t>
      </w:r>
      <w:r w:rsidRPr="00C006CC" w:rsidR="00C765F7">
        <w:t xml:space="preserve">, </w:t>
      </w:r>
      <w:r w:rsidRPr="00C006CC">
        <w:t>termination of agreement</w:t>
      </w:r>
      <w:r w:rsidRPr="00C006CC" w:rsidR="00A635BE">
        <w:t>s</w:t>
      </w:r>
      <w:r w:rsidRPr="00C006CC">
        <w:t xml:space="preserve"> </w:t>
      </w:r>
      <w:r w:rsidRPr="00C006CC" w:rsidR="008746C7">
        <w:t xml:space="preserve">with Organ Procurement Organizations (OPOs) responsible for organ recovery and </w:t>
      </w:r>
      <w:r w:rsidRPr="00C006CC" w:rsidR="00DE415A">
        <w:t>receipt,</w:t>
      </w:r>
      <w:r w:rsidRPr="00C006CC" w:rsidR="008746C7">
        <w:t xml:space="preserve"> </w:t>
      </w:r>
      <w:r w:rsidRPr="00C006CC">
        <w:t xml:space="preserve">and inactivation of transplant </w:t>
      </w:r>
      <w:r w:rsidRPr="00C006CC" w:rsidR="003E0804">
        <w:t>program</w:t>
      </w:r>
      <w:r w:rsidRPr="00C006CC" w:rsidR="00A635BE">
        <w:t>s</w:t>
      </w:r>
      <w:r w:rsidRPr="00C006CC" w:rsidR="00782240">
        <w:t xml:space="preserve">. </w:t>
      </w:r>
    </w:p>
    <w:p w:rsidR="00C63703" w:rsidRPr="00C006CC" w:rsidP="00F474C4" w14:paraId="58F2CEB1" w14:textId="14676DB1">
      <w:pPr>
        <w:pStyle w:val="BodyText"/>
        <w:spacing w:before="1"/>
      </w:pPr>
    </w:p>
    <w:p w:rsidR="00D307A6" w:rsidP="00F474C4" w14:paraId="0E4188DA" w14:textId="46E6556F">
      <w:pPr>
        <w:pStyle w:val="BodyText"/>
        <w:ind w:right="64"/>
      </w:pPr>
      <w:r w:rsidRPr="00C006CC">
        <w:t>The burden for IC-1 consists of the time required to notify CMS of these significant changes.</w:t>
      </w:r>
      <w:r w:rsidR="0053544C">
        <w:t xml:space="preserve"> </w:t>
      </w:r>
      <w:r>
        <w:t>W</w:t>
      </w:r>
      <w:r w:rsidRPr="00C006CC" w:rsidR="0052602B">
        <w:t>e</w:t>
      </w:r>
      <w:r>
        <w:t xml:space="preserve"> </w:t>
      </w:r>
      <w:r w:rsidRPr="00C006CC">
        <w:t>assume</w:t>
      </w:r>
      <w:r w:rsidRPr="00C006CC" w:rsidR="0052602B">
        <w:t xml:space="preserve"> that </w:t>
      </w:r>
      <w:r w:rsidRPr="00C006CC">
        <w:t xml:space="preserve">each </w:t>
      </w:r>
      <w:r w:rsidRPr="00C006CC" w:rsidR="0052602B">
        <w:t xml:space="preserve">transplant </w:t>
      </w:r>
      <w:r w:rsidRPr="00C006CC">
        <w:t>program</w:t>
      </w:r>
      <w:r w:rsidRPr="00C006CC" w:rsidR="0052602B">
        <w:t xml:space="preserve"> </w:t>
      </w:r>
      <w:r w:rsidRPr="00C006CC" w:rsidR="008746C7">
        <w:t xml:space="preserve">will </w:t>
      </w:r>
      <w:r w:rsidRPr="00C006CC" w:rsidR="0052602B">
        <w:t xml:space="preserve">notify CMS </w:t>
      </w:r>
      <w:r w:rsidRPr="00C006CC" w:rsidR="0081373D">
        <w:t xml:space="preserve">on average </w:t>
      </w:r>
      <w:r w:rsidRPr="00C006CC">
        <w:t>twice</w:t>
      </w:r>
      <w:r w:rsidR="003A20F2">
        <w:t xml:space="preserve"> (2)</w:t>
      </w:r>
      <w:r w:rsidRPr="00C006CC">
        <w:t xml:space="preserve"> per </w:t>
      </w:r>
      <w:r w:rsidRPr="00C006CC" w:rsidR="0052602B">
        <w:t xml:space="preserve">year </w:t>
      </w:r>
      <w:r w:rsidRPr="00C006CC" w:rsidR="008746C7">
        <w:t xml:space="preserve">regarding </w:t>
      </w:r>
      <w:r w:rsidRPr="00C006CC" w:rsidR="0052602B">
        <w:t>significant changes</w:t>
      </w:r>
      <w:r w:rsidRPr="00C006CC" w:rsidR="008746C7">
        <w:t>,</w:t>
      </w:r>
      <w:r w:rsidRPr="00C006CC" w:rsidR="0052602B">
        <w:t xml:space="preserve"> </w:t>
      </w:r>
      <w:r w:rsidRPr="00C006CC" w:rsidR="008746C7">
        <w:t>with</w:t>
      </w:r>
      <w:r w:rsidRPr="00C006CC" w:rsidR="0052602B">
        <w:t xml:space="preserve"> each notification requir</w:t>
      </w:r>
      <w:r>
        <w:t>ing</w:t>
      </w:r>
      <w:r w:rsidRPr="00C006CC" w:rsidR="001F1094">
        <w:t xml:space="preserve"> the </w:t>
      </w:r>
      <w:r w:rsidR="003A20F2">
        <w:t>following</w:t>
      </w:r>
      <w:r w:rsidRPr="00C006CC" w:rsidR="001F1094">
        <w:t xml:space="preserve"> staff and estimated time to complete</w:t>
      </w:r>
      <w:r w:rsidR="003A20F2">
        <w:t>:</w:t>
      </w:r>
    </w:p>
    <w:p w:rsidR="00722241" w:rsidP="00F474C4" w14:paraId="3B029BA3" w14:textId="6EF48A8A">
      <w:pPr>
        <w:pStyle w:val="BodyText"/>
        <w:numPr>
          <w:ilvl w:val="0"/>
          <w:numId w:val="15"/>
        </w:numPr>
        <w:spacing w:before="240"/>
        <w:ind w:right="64"/>
      </w:pPr>
      <w:r>
        <w:t>M</w:t>
      </w:r>
      <w:r w:rsidRPr="00F17155">
        <w:t xml:space="preserve">edical </w:t>
      </w:r>
      <w:r>
        <w:t>D</w:t>
      </w:r>
      <w:r w:rsidRPr="00F17155">
        <w:t>irector</w:t>
      </w:r>
      <w:r>
        <w:t xml:space="preserve">: 0.5 </w:t>
      </w:r>
      <w:r w:rsidR="00782240">
        <w:t>hours</w:t>
      </w:r>
      <w:r w:rsidRPr="00116DBB">
        <w:t xml:space="preserve"> (30 minutes)</w:t>
      </w:r>
    </w:p>
    <w:p w:rsidR="00722241" w:rsidP="00F474C4" w14:paraId="38949495" w14:textId="405CD86C">
      <w:pPr>
        <w:pStyle w:val="BodyText"/>
        <w:numPr>
          <w:ilvl w:val="0"/>
          <w:numId w:val="15"/>
        </w:numPr>
        <w:ind w:right="64"/>
      </w:pPr>
      <w:r>
        <w:t>A</w:t>
      </w:r>
      <w:r w:rsidRPr="00F17155">
        <w:t>dministrator</w:t>
      </w:r>
      <w:r>
        <w:t>:</w:t>
      </w:r>
      <w:r w:rsidRPr="00F17155">
        <w:t xml:space="preserve"> </w:t>
      </w:r>
      <w:r>
        <w:t xml:space="preserve">0.5 </w:t>
      </w:r>
      <w:r w:rsidR="00782240">
        <w:t>hours</w:t>
      </w:r>
      <w:r>
        <w:t xml:space="preserve"> (30 minutes)</w:t>
      </w:r>
    </w:p>
    <w:p w:rsidR="00F73985" w:rsidP="00F474C4" w14:paraId="42370A58" w14:textId="640F4422">
      <w:pPr>
        <w:pStyle w:val="BodyText"/>
        <w:numPr>
          <w:ilvl w:val="0"/>
          <w:numId w:val="15"/>
        </w:numPr>
        <w:ind w:right="64"/>
      </w:pPr>
      <w:r>
        <w:t>T</w:t>
      </w:r>
      <w:r w:rsidRPr="00F17155">
        <w:t xml:space="preserve">ransplant </w:t>
      </w:r>
      <w:r>
        <w:t>C</w:t>
      </w:r>
      <w:r w:rsidRPr="00F17155">
        <w:t>oordinator</w:t>
      </w:r>
      <w:r>
        <w:t xml:space="preserve">: 0.75 </w:t>
      </w:r>
      <w:r w:rsidR="00782240">
        <w:t>hours</w:t>
      </w:r>
      <w:r w:rsidR="003A20F2">
        <w:t xml:space="preserve"> </w:t>
      </w:r>
      <w:r>
        <w:t>(45 minutes)</w:t>
      </w:r>
      <w:r>
        <w:rPr>
          <w:rStyle w:val="FootnoteReference"/>
        </w:rPr>
        <w:footnoteReference w:id="9"/>
      </w:r>
      <w:r>
        <w:t xml:space="preserve"> </w:t>
      </w:r>
    </w:p>
    <w:p w:rsidR="00F73985" w:rsidRPr="0053544C" w:rsidP="00F474C4" w14:paraId="48765459" w14:textId="35FD9221">
      <w:pPr>
        <w:pStyle w:val="BodyText"/>
        <w:numPr>
          <w:ilvl w:val="0"/>
          <w:numId w:val="15"/>
        </w:numPr>
        <w:ind w:right="64"/>
      </w:pPr>
      <w:r>
        <w:t>A</w:t>
      </w:r>
      <w:r w:rsidRPr="00F17155">
        <w:t xml:space="preserve">dministrative </w:t>
      </w:r>
      <w:r>
        <w:t xml:space="preserve">Assistant: 0.25 </w:t>
      </w:r>
      <w:r w:rsidR="00782240">
        <w:t>hours</w:t>
      </w:r>
      <w:r>
        <w:t xml:space="preserve"> (15 minutes) </w:t>
      </w:r>
    </w:p>
    <w:p w:rsidR="00F73985" w:rsidP="00F474C4" w14:paraId="3E11CE49" w14:textId="77777777">
      <w:pPr>
        <w:pStyle w:val="ListBullet"/>
        <w:rPr>
          <w:sz w:val="24"/>
          <w:szCs w:val="24"/>
        </w:rPr>
      </w:pPr>
    </w:p>
    <w:p w:rsidR="00D307A6" w:rsidRPr="003A20F2" w:rsidP="00F474C4" w14:paraId="144E3229" w14:textId="6E3D6FEA">
      <w:pPr>
        <w:pStyle w:val="ListBullet"/>
        <w:rPr>
          <w:sz w:val="24"/>
          <w:szCs w:val="24"/>
        </w:rPr>
      </w:pPr>
      <w:r w:rsidRPr="00C006CC">
        <w:rPr>
          <w:sz w:val="24"/>
          <w:szCs w:val="24"/>
        </w:rPr>
        <w:t xml:space="preserve">This results in </w:t>
      </w:r>
      <w:r w:rsidRPr="00C006CC">
        <w:rPr>
          <w:sz w:val="24"/>
          <w:szCs w:val="24"/>
        </w:rPr>
        <w:t xml:space="preserve">a total of </w:t>
      </w:r>
      <w:r w:rsidRPr="00C006CC" w:rsidR="003B0EF4">
        <w:rPr>
          <w:sz w:val="24"/>
          <w:szCs w:val="24"/>
        </w:rPr>
        <w:t xml:space="preserve">2 </w:t>
      </w:r>
      <w:r w:rsidRPr="003B0EF4" w:rsidR="003B0EF4">
        <w:rPr>
          <w:sz w:val="24"/>
          <w:szCs w:val="24"/>
        </w:rPr>
        <w:t xml:space="preserve">hours </w:t>
      </w:r>
      <w:r w:rsidRPr="00C006CC" w:rsidR="008746C7">
        <w:rPr>
          <w:sz w:val="24"/>
          <w:szCs w:val="24"/>
        </w:rPr>
        <w:t>per notification,</w:t>
      </w:r>
      <w:r w:rsidRPr="00C006CC">
        <w:rPr>
          <w:sz w:val="24"/>
          <w:szCs w:val="24"/>
        </w:rPr>
        <w:t xml:space="preserve"> at a weighted average cost of $289</w:t>
      </w:r>
      <w:r w:rsidRPr="00C006CC" w:rsidR="008746C7">
        <w:rPr>
          <w:sz w:val="24"/>
          <w:szCs w:val="24"/>
        </w:rPr>
        <w:t>.</w:t>
      </w:r>
      <w:r w:rsidR="00CF3B0C">
        <w:rPr>
          <w:sz w:val="24"/>
          <w:szCs w:val="24"/>
        </w:rPr>
        <w:t xml:space="preserve"> A</w:t>
      </w:r>
      <w:r w:rsidR="003A20F2">
        <w:rPr>
          <w:sz w:val="24"/>
          <w:szCs w:val="24"/>
        </w:rPr>
        <w:t>ssuming each transplant program will submit two (2) notifications per year</w:t>
      </w:r>
      <w:r w:rsidRPr="003A20F2">
        <w:rPr>
          <w:sz w:val="24"/>
          <w:szCs w:val="24"/>
        </w:rPr>
        <w:t xml:space="preserve">, the annual burden </w:t>
      </w:r>
      <w:r w:rsidR="003A20F2">
        <w:rPr>
          <w:sz w:val="24"/>
          <w:szCs w:val="24"/>
        </w:rPr>
        <w:t xml:space="preserve">for each transplant program </w:t>
      </w:r>
      <w:r w:rsidRPr="003A20F2" w:rsidR="008746C7">
        <w:rPr>
          <w:sz w:val="24"/>
          <w:szCs w:val="24"/>
        </w:rPr>
        <w:t xml:space="preserve">is </w:t>
      </w:r>
      <w:r w:rsidRPr="003A20F2">
        <w:rPr>
          <w:sz w:val="24"/>
          <w:szCs w:val="24"/>
        </w:rPr>
        <w:t>4 hours (2 hours x 2 notifications) at a cost of $578 ($289 x 2)</w:t>
      </w:r>
      <w:r w:rsidRPr="003A20F2" w:rsidR="008746C7">
        <w:rPr>
          <w:sz w:val="24"/>
          <w:szCs w:val="24"/>
        </w:rPr>
        <w:t xml:space="preserve">. </w:t>
      </w:r>
      <w:r w:rsidRPr="003A20F2">
        <w:rPr>
          <w:sz w:val="24"/>
          <w:szCs w:val="24"/>
        </w:rPr>
        <w:t>For all 23</w:t>
      </w:r>
      <w:r w:rsidRPr="003A20F2" w:rsidR="001F3874">
        <w:rPr>
          <w:sz w:val="24"/>
          <w:szCs w:val="24"/>
        </w:rPr>
        <w:t>7</w:t>
      </w:r>
      <w:r w:rsidRPr="003A20F2">
        <w:rPr>
          <w:sz w:val="24"/>
          <w:szCs w:val="24"/>
        </w:rPr>
        <w:t xml:space="preserve"> existing transplant programs, the total </w:t>
      </w:r>
      <w:r w:rsidRPr="003A20F2" w:rsidR="003B0EF4">
        <w:rPr>
          <w:sz w:val="24"/>
          <w:szCs w:val="24"/>
        </w:rPr>
        <w:t xml:space="preserve">estimated </w:t>
      </w:r>
      <w:r w:rsidRPr="003A20F2">
        <w:rPr>
          <w:sz w:val="24"/>
          <w:szCs w:val="24"/>
        </w:rPr>
        <w:t>annual burden</w:t>
      </w:r>
      <w:r w:rsidRPr="003A20F2" w:rsidR="008746C7">
        <w:rPr>
          <w:sz w:val="24"/>
          <w:szCs w:val="24"/>
        </w:rPr>
        <w:t xml:space="preserve"> is </w:t>
      </w:r>
      <w:r w:rsidRPr="003A20F2">
        <w:rPr>
          <w:sz w:val="24"/>
          <w:szCs w:val="24"/>
        </w:rPr>
        <w:t>9</w:t>
      </w:r>
      <w:r w:rsidRPr="003A20F2" w:rsidR="001F3874">
        <w:rPr>
          <w:sz w:val="24"/>
          <w:szCs w:val="24"/>
        </w:rPr>
        <w:t>48</w:t>
      </w:r>
      <w:r w:rsidRPr="003A20F2">
        <w:rPr>
          <w:sz w:val="24"/>
          <w:szCs w:val="24"/>
        </w:rPr>
        <w:t xml:space="preserve"> hours (4 hours x 23</w:t>
      </w:r>
      <w:r w:rsidRPr="003A20F2" w:rsidR="001F3874">
        <w:rPr>
          <w:sz w:val="24"/>
          <w:szCs w:val="24"/>
        </w:rPr>
        <w:t>7</w:t>
      </w:r>
      <w:r w:rsidRPr="003A20F2">
        <w:rPr>
          <w:sz w:val="24"/>
          <w:szCs w:val="24"/>
        </w:rPr>
        <w:t xml:space="preserve"> programs) at a </w:t>
      </w:r>
      <w:r w:rsidRPr="003A20F2" w:rsidR="008746C7">
        <w:rPr>
          <w:sz w:val="24"/>
          <w:szCs w:val="24"/>
        </w:rPr>
        <w:t xml:space="preserve">total </w:t>
      </w:r>
      <w:r w:rsidRPr="003A20F2">
        <w:rPr>
          <w:sz w:val="24"/>
          <w:szCs w:val="24"/>
        </w:rPr>
        <w:t>cost of $13</w:t>
      </w:r>
      <w:r w:rsidRPr="003A20F2" w:rsidR="001F3874">
        <w:rPr>
          <w:sz w:val="24"/>
          <w:szCs w:val="24"/>
        </w:rPr>
        <w:t>6,986</w:t>
      </w:r>
      <w:r w:rsidRPr="003A20F2">
        <w:rPr>
          <w:sz w:val="24"/>
          <w:szCs w:val="24"/>
        </w:rPr>
        <w:t xml:space="preserve"> ($578 x 23</w:t>
      </w:r>
      <w:r w:rsidRPr="003A20F2" w:rsidR="001F3874">
        <w:rPr>
          <w:sz w:val="24"/>
          <w:szCs w:val="24"/>
        </w:rPr>
        <w:t>7</w:t>
      </w:r>
      <w:r w:rsidRPr="003A20F2">
        <w:rPr>
          <w:sz w:val="24"/>
          <w:szCs w:val="24"/>
        </w:rPr>
        <w:t xml:space="preserve"> programs).</w:t>
      </w:r>
    </w:p>
    <w:p w:rsidR="00002982" w:rsidP="00F474C4" w14:paraId="669B717C" w14:textId="77777777">
      <w:pPr>
        <w:pStyle w:val="BodyText"/>
        <w:ind w:left="600" w:right="110"/>
      </w:pPr>
    </w:p>
    <w:p w:rsidR="00C63703" w:rsidP="00F474C4" w14:paraId="4D48FCB3" w14:textId="2BDCCBE9">
      <w:pPr>
        <w:pStyle w:val="BodyText"/>
        <w:ind w:right="70"/>
        <w:jc w:val="center"/>
        <w:rPr>
          <w:b/>
          <w:bCs/>
        </w:rPr>
      </w:pPr>
      <w:r w:rsidRPr="003A20F2">
        <w:rPr>
          <w:b/>
          <w:bCs/>
        </w:rPr>
        <w:t xml:space="preserve">Table </w:t>
      </w:r>
      <w:r w:rsidRPr="003A20F2" w:rsidR="00CD6D1C">
        <w:rPr>
          <w:b/>
          <w:bCs/>
        </w:rPr>
        <w:t>3</w:t>
      </w:r>
      <w:r w:rsidR="00685069">
        <w:rPr>
          <w:b/>
          <w:bCs/>
        </w:rPr>
        <w:t>.</w:t>
      </w:r>
      <w:r w:rsidRPr="003A20F2">
        <w:rPr>
          <w:b/>
          <w:bCs/>
        </w:rPr>
        <w:t xml:space="preserve"> IC-1</w:t>
      </w:r>
      <w:r w:rsidRPr="001E71CE" w:rsidR="00642ED4">
        <w:rPr>
          <w:b/>
          <w:bCs/>
        </w:rPr>
        <w:t>,</w:t>
      </w:r>
      <w:r w:rsidRPr="00C50F86">
        <w:rPr>
          <w:b/>
          <w:bCs/>
        </w:rPr>
        <w:t xml:space="preserve"> </w:t>
      </w:r>
      <w:r w:rsidRPr="00C50F86" w:rsidR="00085F26">
        <w:t xml:space="preserve">§ </w:t>
      </w:r>
      <w:r w:rsidRPr="00C50F86" w:rsidR="00642ED4">
        <w:rPr>
          <w:b/>
          <w:bCs/>
        </w:rPr>
        <w:t xml:space="preserve">482.74(a) </w:t>
      </w:r>
      <w:r w:rsidRPr="003A20F2">
        <w:rPr>
          <w:b/>
          <w:bCs/>
        </w:rPr>
        <w:t xml:space="preserve">- </w:t>
      </w:r>
      <w:r w:rsidRPr="003A20F2" w:rsidR="0052602B">
        <w:rPr>
          <w:b/>
          <w:bCs/>
        </w:rPr>
        <w:t xml:space="preserve">Notifications of Significant </w:t>
      </w:r>
      <w:r w:rsidR="003A20F2">
        <w:rPr>
          <w:b/>
          <w:bCs/>
        </w:rPr>
        <w:t>C</w:t>
      </w:r>
      <w:r w:rsidRPr="003A20F2" w:rsidR="0052602B">
        <w:rPr>
          <w:b/>
          <w:bCs/>
        </w:rPr>
        <w:t>hanges to CMS</w:t>
      </w:r>
    </w:p>
    <w:tbl>
      <w:tblPr>
        <w:tblW w:w="4861" w:type="pct"/>
        <w:jc w:val="center"/>
        <w:tblLayout w:type="fixed"/>
        <w:tblLook w:val="04A0"/>
      </w:tblPr>
      <w:tblGrid>
        <w:gridCol w:w="4483"/>
        <w:gridCol w:w="1229"/>
        <w:gridCol w:w="1234"/>
        <w:gridCol w:w="1600"/>
      </w:tblGrid>
      <w:tr w14:paraId="012E766C" w14:textId="77777777" w:rsidTr="00CF3B0C">
        <w:tblPrEx>
          <w:tblW w:w="4861" w:type="pct"/>
          <w:jc w:val="center"/>
          <w:tblLayout w:type="fixed"/>
          <w:tblLook w:val="04A0"/>
        </w:tblPrEx>
        <w:trPr>
          <w:trHeight w:hRule="exact" w:val="1231"/>
          <w:jc w:val="center"/>
        </w:trPr>
        <w:tc>
          <w:tcPr>
            <w:tcW w:w="2623"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D13FC5" w:rsidRPr="00C74752" w:rsidP="002E64AD" w14:paraId="3E2216A8" w14:textId="77777777">
            <w:pPr>
              <w:pStyle w:val="TableParagraph"/>
              <w:jc w:val="center"/>
              <w:rPr>
                <w:b/>
                <w:bCs/>
                <w:sz w:val="20"/>
                <w:szCs w:val="20"/>
              </w:rPr>
            </w:pPr>
          </w:p>
          <w:p w:rsidR="00D13FC5" w:rsidRPr="00C74752" w:rsidP="002E64AD" w14:paraId="565E0146" w14:textId="77777777">
            <w:pPr>
              <w:pStyle w:val="TableParagraph"/>
              <w:jc w:val="center"/>
              <w:rPr>
                <w:b/>
                <w:bCs/>
                <w:sz w:val="20"/>
                <w:szCs w:val="20"/>
              </w:rPr>
            </w:pPr>
          </w:p>
          <w:p w:rsidR="00F52C02" w:rsidP="002E64AD" w14:paraId="3DBCEDD9" w14:textId="77777777">
            <w:pPr>
              <w:pStyle w:val="TableParagraph"/>
              <w:jc w:val="center"/>
              <w:rPr>
                <w:b/>
                <w:bCs/>
                <w:sz w:val="20"/>
                <w:szCs w:val="20"/>
              </w:rPr>
            </w:pPr>
            <w:r>
              <w:rPr>
                <w:b/>
                <w:bCs/>
                <w:sz w:val="20"/>
                <w:szCs w:val="20"/>
              </w:rPr>
              <w:t>Burden to Notify CMS of Significant Changes</w:t>
            </w:r>
          </w:p>
          <w:p w:rsidR="00D13FC5" w:rsidRPr="003A20F2" w:rsidP="002E64AD" w14:paraId="70513B98" w14:textId="4905DFDC">
            <w:pPr>
              <w:pStyle w:val="TableParagraph"/>
              <w:jc w:val="center"/>
              <w:rPr>
                <w:sz w:val="20"/>
                <w:szCs w:val="20"/>
              </w:rPr>
            </w:pPr>
          </w:p>
        </w:tc>
        <w:tc>
          <w:tcPr>
            <w:tcW w:w="719" w:type="pct"/>
            <w:tcBorders>
              <w:top w:val="single" w:sz="4" w:space="0" w:color="auto"/>
              <w:left w:val="single" w:sz="4" w:space="0" w:color="auto"/>
              <w:right w:val="single" w:sz="4" w:space="0" w:color="auto"/>
            </w:tcBorders>
            <w:shd w:val="clear" w:color="auto" w:fill="F2F2F2" w:themeFill="background1" w:themeFillShade="F2"/>
            <w:vAlign w:val="center"/>
          </w:tcPr>
          <w:p w:rsidR="00D13FC5" w:rsidRPr="003A20F2" w:rsidP="002E64AD" w14:paraId="49E008F8" w14:textId="77777777">
            <w:pPr>
              <w:pStyle w:val="TableParagraph"/>
              <w:ind w:left="162"/>
              <w:jc w:val="center"/>
              <w:rPr>
                <w:b/>
                <w:bCs/>
                <w:sz w:val="20"/>
                <w:szCs w:val="20"/>
              </w:rPr>
            </w:pPr>
            <w:r w:rsidRPr="003A20F2">
              <w:rPr>
                <w:b/>
                <w:bCs/>
                <w:sz w:val="20"/>
                <w:szCs w:val="20"/>
              </w:rPr>
              <w:t>Loaded</w:t>
            </w:r>
          </w:p>
          <w:p w:rsidR="00D13FC5" w:rsidRPr="003A20F2" w:rsidP="002E64AD" w14:paraId="77681AEB" w14:textId="4D31AA74">
            <w:pPr>
              <w:pStyle w:val="TableParagraph"/>
              <w:ind w:left="162"/>
              <w:jc w:val="center"/>
              <w:rPr>
                <w:b/>
                <w:bCs/>
                <w:sz w:val="20"/>
                <w:szCs w:val="20"/>
              </w:rPr>
            </w:pPr>
            <w:r w:rsidRPr="003A20F2">
              <w:rPr>
                <w:b/>
                <w:bCs/>
                <w:sz w:val="20"/>
                <w:szCs w:val="20"/>
              </w:rPr>
              <w:t>Hourly Mean</w:t>
            </w:r>
          </w:p>
          <w:p w:rsidR="00D13FC5" w:rsidRPr="003A20F2" w:rsidP="002E64AD" w14:paraId="6FDDAE5E" w14:textId="175A883C">
            <w:pPr>
              <w:pStyle w:val="TableParagraph"/>
              <w:spacing w:before="6"/>
              <w:ind w:left="162"/>
              <w:jc w:val="center"/>
              <w:rPr>
                <w:b/>
                <w:bCs/>
                <w:sz w:val="20"/>
                <w:szCs w:val="20"/>
              </w:rPr>
            </w:pPr>
            <w:r w:rsidRPr="003A20F2">
              <w:rPr>
                <w:b/>
                <w:bCs/>
                <w:sz w:val="20"/>
                <w:szCs w:val="20"/>
              </w:rPr>
              <w:t xml:space="preserve">Wage </w:t>
            </w:r>
          </w:p>
        </w:tc>
        <w:tc>
          <w:tcPr>
            <w:tcW w:w="722" w:type="pct"/>
            <w:tcBorders>
              <w:top w:val="single" w:sz="4" w:space="0" w:color="auto"/>
              <w:left w:val="single" w:sz="4" w:space="0" w:color="auto"/>
              <w:right w:val="single" w:sz="4" w:space="0" w:color="auto"/>
            </w:tcBorders>
            <w:shd w:val="clear" w:color="auto" w:fill="F2F2F2" w:themeFill="background1" w:themeFillShade="F2"/>
            <w:vAlign w:val="center"/>
          </w:tcPr>
          <w:p w:rsidR="00D13FC5" w:rsidP="002E64AD" w14:paraId="267735E0" w14:textId="3B519394">
            <w:pPr>
              <w:pStyle w:val="TableParagraph"/>
              <w:ind w:left="162"/>
              <w:jc w:val="center"/>
              <w:rPr>
                <w:b/>
                <w:bCs/>
                <w:sz w:val="20"/>
                <w:szCs w:val="20"/>
              </w:rPr>
            </w:pPr>
            <w:r w:rsidRPr="003A20F2">
              <w:rPr>
                <w:b/>
                <w:bCs/>
                <w:sz w:val="20"/>
                <w:szCs w:val="20"/>
              </w:rPr>
              <w:t>Burden Hours/</w:t>
            </w:r>
          </w:p>
          <w:p w:rsidR="00D13FC5" w:rsidRPr="003A20F2" w:rsidP="002E64AD" w14:paraId="445CD18F" w14:textId="42FF1F9A">
            <w:pPr>
              <w:pStyle w:val="TableParagraph"/>
              <w:ind w:left="162"/>
              <w:jc w:val="center"/>
              <w:rPr>
                <w:b/>
                <w:bCs/>
                <w:sz w:val="20"/>
                <w:szCs w:val="20"/>
              </w:rPr>
            </w:pPr>
            <w:r>
              <w:rPr>
                <w:b/>
                <w:bCs/>
                <w:sz w:val="20"/>
                <w:szCs w:val="20"/>
              </w:rPr>
              <w:t>Notification</w:t>
            </w:r>
          </w:p>
          <w:p w:rsidR="00D13FC5" w:rsidRPr="003A20F2" w:rsidP="002E64AD" w14:paraId="465A913D" w14:textId="4784FD02">
            <w:pPr>
              <w:pStyle w:val="TableParagraph"/>
              <w:spacing w:before="6"/>
              <w:ind w:left="162"/>
              <w:jc w:val="center"/>
              <w:rPr>
                <w:sz w:val="20"/>
                <w:szCs w:val="20"/>
              </w:rPr>
            </w:pPr>
            <w:r w:rsidRPr="003A20F2">
              <w:rPr>
                <w:sz w:val="20"/>
                <w:szCs w:val="20"/>
              </w:rPr>
              <w:t xml:space="preserve"> </w:t>
            </w:r>
          </w:p>
        </w:tc>
        <w:tc>
          <w:tcPr>
            <w:tcW w:w="936" w:type="pct"/>
            <w:tcBorders>
              <w:top w:val="single" w:sz="4" w:space="0" w:color="auto"/>
              <w:left w:val="single" w:sz="4" w:space="0" w:color="auto"/>
              <w:right w:val="single" w:sz="4" w:space="0" w:color="auto"/>
            </w:tcBorders>
            <w:shd w:val="clear" w:color="auto" w:fill="F2F2F2" w:themeFill="background1" w:themeFillShade="F2"/>
            <w:vAlign w:val="center"/>
          </w:tcPr>
          <w:p w:rsidR="003B0EF4" w:rsidP="002E64AD" w14:paraId="3F5A1C9A" w14:textId="0732B58E">
            <w:pPr>
              <w:pStyle w:val="TableParagraph"/>
              <w:spacing w:line="247" w:lineRule="auto"/>
              <w:ind w:left="162" w:right="36"/>
              <w:jc w:val="center"/>
              <w:rPr>
                <w:b/>
                <w:bCs/>
                <w:sz w:val="20"/>
                <w:szCs w:val="20"/>
              </w:rPr>
            </w:pPr>
            <w:r w:rsidRPr="003A20F2">
              <w:rPr>
                <w:b/>
                <w:bCs/>
                <w:sz w:val="20"/>
                <w:szCs w:val="20"/>
              </w:rPr>
              <w:t>Burden Cost</w:t>
            </w:r>
            <w:r w:rsidR="00F52C02">
              <w:rPr>
                <w:b/>
                <w:bCs/>
                <w:sz w:val="20"/>
                <w:szCs w:val="20"/>
              </w:rPr>
              <w:t>/</w:t>
            </w:r>
          </w:p>
          <w:p w:rsidR="00D13FC5" w:rsidP="002E64AD" w14:paraId="0E065924" w14:textId="77777777">
            <w:pPr>
              <w:pStyle w:val="TableParagraph"/>
              <w:spacing w:line="247" w:lineRule="auto"/>
              <w:ind w:left="162" w:right="36"/>
              <w:jc w:val="center"/>
              <w:rPr>
                <w:b/>
                <w:bCs/>
                <w:sz w:val="20"/>
                <w:szCs w:val="20"/>
              </w:rPr>
            </w:pPr>
            <w:r>
              <w:rPr>
                <w:b/>
                <w:bCs/>
                <w:sz w:val="20"/>
                <w:szCs w:val="20"/>
              </w:rPr>
              <w:t>Notification</w:t>
            </w:r>
          </w:p>
          <w:p w:rsidR="00F52C02" w:rsidRPr="003A20F2" w:rsidP="002E64AD" w14:paraId="1B82BA36" w14:textId="6EE8D8DF">
            <w:pPr>
              <w:pStyle w:val="TableParagraph"/>
              <w:spacing w:line="247" w:lineRule="auto"/>
              <w:ind w:left="162" w:right="36"/>
              <w:jc w:val="center"/>
              <w:rPr>
                <w:sz w:val="20"/>
                <w:szCs w:val="20"/>
              </w:rPr>
            </w:pPr>
          </w:p>
        </w:tc>
      </w:tr>
      <w:tr w14:paraId="7F7ECB59" w14:textId="77777777" w:rsidTr="00CF3B0C">
        <w:tblPrEx>
          <w:tblW w:w="4861" w:type="pct"/>
          <w:jc w:val="center"/>
          <w:tblLayout w:type="fixed"/>
          <w:tblLook w:val="04A0"/>
        </w:tblPrEx>
        <w:trPr>
          <w:trHeight w:hRule="exact" w:val="276"/>
          <w:jc w:val="center"/>
        </w:trPr>
        <w:tc>
          <w:tcPr>
            <w:tcW w:w="2623" w:type="pct"/>
            <w:vMerge/>
            <w:tcBorders>
              <w:left w:val="single" w:sz="4" w:space="0" w:color="auto"/>
              <w:bottom w:val="single" w:sz="4" w:space="0" w:color="auto"/>
              <w:right w:val="single" w:sz="4" w:space="0" w:color="auto"/>
            </w:tcBorders>
            <w:shd w:val="clear" w:color="auto" w:fill="F2F2F2" w:themeFill="background1" w:themeFillShade="F2"/>
            <w:vAlign w:val="center"/>
          </w:tcPr>
          <w:p w:rsidR="00D13FC5" w:rsidRPr="00C74752" w:rsidP="002E64AD" w14:paraId="59BC5F74" w14:textId="77777777">
            <w:pPr>
              <w:pStyle w:val="TableParagraph"/>
              <w:jc w:val="center"/>
              <w:rPr>
                <w:b/>
                <w:bCs/>
                <w:sz w:val="20"/>
                <w:szCs w:val="20"/>
              </w:rPr>
            </w:pPr>
          </w:p>
        </w:tc>
        <w:tc>
          <w:tcPr>
            <w:tcW w:w="719" w:type="pct"/>
            <w:tcBorders>
              <w:left w:val="single" w:sz="4" w:space="0" w:color="auto"/>
              <w:bottom w:val="single" w:sz="4" w:space="0" w:color="auto"/>
              <w:right w:val="single" w:sz="4" w:space="0" w:color="auto"/>
            </w:tcBorders>
            <w:shd w:val="clear" w:color="auto" w:fill="F2F2F2" w:themeFill="background1" w:themeFillShade="F2"/>
            <w:vAlign w:val="center"/>
          </w:tcPr>
          <w:p w:rsidR="00D13FC5" w:rsidRPr="003A20F2" w:rsidP="002E64AD" w14:paraId="2AA6DB61" w14:textId="59A8A5C4">
            <w:pPr>
              <w:pStyle w:val="TableParagraph"/>
              <w:ind w:left="162"/>
              <w:jc w:val="center"/>
              <w:rPr>
                <w:i/>
                <w:iCs/>
                <w:sz w:val="20"/>
                <w:szCs w:val="20"/>
              </w:rPr>
            </w:pPr>
            <w:r w:rsidRPr="003A20F2">
              <w:rPr>
                <w:i/>
                <w:iCs/>
                <w:sz w:val="20"/>
                <w:szCs w:val="20"/>
              </w:rPr>
              <w:t>(a)</w:t>
            </w:r>
          </w:p>
        </w:tc>
        <w:tc>
          <w:tcPr>
            <w:tcW w:w="722" w:type="pct"/>
            <w:tcBorders>
              <w:left w:val="single" w:sz="4" w:space="0" w:color="auto"/>
              <w:bottom w:val="single" w:sz="4" w:space="0" w:color="auto"/>
              <w:right w:val="single" w:sz="4" w:space="0" w:color="auto"/>
            </w:tcBorders>
            <w:shd w:val="clear" w:color="auto" w:fill="F2F2F2" w:themeFill="background1" w:themeFillShade="F2"/>
            <w:vAlign w:val="center"/>
          </w:tcPr>
          <w:p w:rsidR="00D13FC5" w:rsidRPr="003A20F2" w:rsidP="002E64AD" w14:paraId="5E3AE3D7" w14:textId="3B1FE61A">
            <w:pPr>
              <w:pStyle w:val="TableParagraph"/>
              <w:ind w:left="162"/>
              <w:jc w:val="center"/>
              <w:rPr>
                <w:i/>
                <w:iCs/>
                <w:sz w:val="20"/>
                <w:szCs w:val="20"/>
              </w:rPr>
            </w:pPr>
            <w:r w:rsidRPr="003A20F2">
              <w:rPr>
                <w:i/>
                <w:iCs/>
                <w:sz w:val="20"/>
                <w:szCs w:val="20"/>
              </w:rPr>
              <w:t>(b)</w:t>
            </w:r>
          </w:p>
        </w:tc>
        <w:tc>
          <w:tcPr>
            <w:tcW w:w="936" w:type="pct"/>
            <w:tcBorders>
              <w:left w:val="single" w:sz="4" w:space="0" w:color="auto"/>
              <w:bottom w:val="single" w:sz="4" w:space="0" w:color="auto"/>
              <w:right w:val="single" w:sz="4" w:space="0" w:color="auto"/>
            </w:tcBorders>
            <w:shd w:val="clear" w:color="auto" w:fill="F2F2F2" w:themeFill="background1" w:themeFillShade="F2"/>
            <w:vAlign w:val="center"/>
          </w:tcPr>
          <w:p w:rsidR="00D13FC5" w:rsidRPr="003A20F2" w:rsidP="002E64AD" w14:paraId="14439383" w14:textId="7D9DE48F">
            <w:pPr>
              <w:pStyle w:val="TableParagraph"/>
              <w:spacing w:line="247" w:lineRule="auto"/>
              <w:ind w:left="162" w:right="36"/>
              <w:jc w:val="center"/>
              <w:rPr>
                <w:i/>
                <w:iCs/>
                <w:sz w:val="20"/>
                <w:szCs w:val="20"/>
              </w:rPr>
            </w:pPr>
            <w:r w:rsidRPr="003A20F2">
              <w:rPr>
                <w:i/>
                <w:iCs/>
                <w:sz w:val="20"/>
                <w:szCs w:val="20"/>
              </w:rPr>
              <w:t>(c = a x b)</w:t>
            </w:r>
          </w:p>
        </w:tc>
      </w:tr>
      <w:tr w14:paraId="7EEFE4B8" w14:textId="77777777" w:rsidTr="00CF3B0C">
        <w:tblPrEx>
          <w:tblW w:w="4861" w:type="pct"/>
          <w:jc w:val="center"/>
          <w:tblLayout w:type="fixed"/>
          <w:tblLook w:val="04A0"/>
        </w:tblPrEx>
        <w:trPr>
          <w:trHeight w:hRule="exact" w:val="504"/>
          <w:jc w:val="center"/>
        </w:trPr>
        <w:tc>
          <w:tcPr>
            <w:tcW w:w="2623" w:type="pct"/>
            <w:tcBorders>
              <w:top w:val="single" w:sz="4" w:space="0" w:color="auto"/>
              <w:left w:val="single" w:sz="4" w:space="0" w:color="auto"/>
              <w:bottom w:val="single" w:sz="4" w:space="0" w:color="auto"/>
              <w:right w:val="single" w:sz="4" w:space="0" w:color="auto"/>
            </w:tcBorders>
            <w:vAlign w:val="center"/>
          </w:tcPr>
          <w:p w:rsidR="00C63703" w:rsidRPr="003A20F2" w:rsidP="003A20F2" w14:paraId="6E81C7AD" w14:textId="733B7091">
            <w:pPr>
              <w:pStyle w:val="TableParagraph"/>
              <w:spacing w:line="247" w:lineRule="auto"/>
              <w:rPr>
                <w:sz w:val="20"/>
                <w:szCs w:val="20"/>
              </w:rPr>
            </w:pPr>
            <w:r w:rsidRPr="003A20F2">
              <w:rPr>
                <w:sz w:val="20"/>
                <w:szCs w:val="20"/>
              </w:rPr>
              <w:t>Medical Director</w:t>
            </w:r>
            <w:r w:rsidRPr="003A20F2" w:rsidR="00143AC8">
              <w:rPr>
                <w:sz w:val="20"/>
                <w:szCs w:val="20"/>
              </w:rPr>
              <w:t xml:space="preserve"> (BLS Occ. Code: 29-1210)</w:t>
            </w:r>
          </w:p>
        </w:tc>
        <w:tc>
          <w:tcPr>
            <w:tcW w:w="719" w:type="pct"/>
            <w:tcBorders>
              <w:top w:val="single" w:sz="4" w:space="0" w:color="auto"/>
              <w:left w:val="single" w:sz="4" w:space="0" w:color="auto"/>
              <w:bottom w:val="single" w:sz="4" w:space="0" w:color="auto"/>
              <w:right w:val="single" w:sz="4" w:space="0" w:color="auto"/>
            </w:tcBorders>
            <w:vAlign w:val="center"/>
          </w:tcPr>
          <w:p w:rsidR="00C63703" w:rsidRPr="003A20F2" w:rsidP="002E64AD" w14:paraId="4A59BD38" w14:textId="048BE3B2">
            <w:pPr>
              <w:pStyle w:val="TableParagraph"/>
              <w:spacing w:before="0"/>
              <w:ind w:left="162" w:right="101"/>
              <w:jc w:val="center"/>
              <w:rPr>
                <w:sz w:val="20"/>
                <w:szCs w:val="20"/>
              </w:rPr>
            </w:pPr>
            <w:r w:rsidRPr="003A20F2">
              <w:rPr>
                <w:sz w:val="20"/>
                <w:szCs w:val="20"/>
              </w:rPr>
              <w:t>$</w:t>
            </w:r>
            <w:r w:rsidRPr="003A20F2" w:rsidR="00385343">
              <w:rPr>
                <w:sz w:val="20"/>
                <w:szCs w:val="20"/>
              </w:rPr>
              <w:t>2</w:t>
            </w:r>
            <w:r w:rsidRPr="00C74752" w:rsidR="00CA201D">
              <w:rPr>
                <w:sz w:val="20"/>
                <w:szCs w:val="20"/>
              </w:rPr>
              <w:t>59</w:t>
            </w:r>
          </w:p>
        </w:tc>
        <w:tc>
          <w:tcPr>
            <w:tcW w:w="722" w:type="pct"/>
            <w:tcBorders>
              <w:top w:val="single" w:sz="4" w:space="0" w:color="auto"/>
              <w:left w:val="single" w:sz="4" w:space="0" w:color="auto"/>
              <w:bottom w:val="single" w:sz="4" w:space="0" w:color="auto"/>
              <w:right w:val="single" w:sz="4" w:space="0" w:color="auto"/>
            </w:tcBorders>
            <w:vAlign w:val="center"/>
          </w:tcPr>
          <w:p w:rsidR="00C63703" w:rsidRPr="003A20F2" w:rsidP="002E64AD" w14:paraId="3B9C37A7" w14:textId="6F879354">
            <w:pPr>
              <w:pStyle w:val="TableParagraph"/>
              <w:spacing w:before="0"/>
              <w:ind w:left="162" w:right="103"/>
              <w:jc w:val="center"/>
              <w:rPr>
                <w:sz w:val="20"/>
                <w:szCs w:val="20"/>
              </w:rPr>
            </w:pPr>
            <w:r w:rsidRPr="003A20F2">
              <w:rPr>
                <w:sz w:val="20"/>
                <w:szCs w:val="20"/>
              </w:rPr>
              <w:t>0</w:t>
            </w:r>
            <w:r w:rsidRPr="003A20F2" w:rsidR="0052602B">
              <w:rPr>
                <w:sz w:val="20"/>
                <w:szCs w:val="20"/>
              </w:rPr>
              <w:t>.5</w:t>
            </w:r>
            <w:r w:rsidRPr="003A20F2" w:rsidR="00973BB3">
              <w:rPr>
                <w:sz w:val="20"/>
                <w:szCs w:val="20"/>
              </w:rPr>
              <w:t>0</w:t>
            </w:r>
          </w:p>
        </w:tc>
        <w:tc>
          <w:tcPr>
            <w:tcW w:w="936" w:type="pct"/>
            <w:tcBorders>
              <w:top w:val="single" w:sz="4" w:space="0" w:color="auto"/>
              <w:left w:val="single" w:sz="4" w:space="0" w:color="auto"/>
              <w:bottom w:val="single" w:sz="4" w:space="0" w:color="auto"/>
              <w:right w:val="single" w:sz="4" w:space="0" w:color="auto"/>
            </w:tcBorders>
            <w:vAlign w:val="center"/>
          </w:tcPr>
          <w:p w:rsidR="00C63703" w:rsidRPr="003A20F2" w:rsidP="002E64AD" w14:paraId="438FCE73" w14:textId="42FC3504">
            <w:pPr>
              <w:pStyle w:val="TableParagraph"/>
              <w:spacing w:before="0"/>
              <w:ind w:left="162" w:right="101"/>
              <w:jc w:val="center"/>
              <w:rPr>
                <w:sz w:val="20"/>
                <w:szCs w:val="20"/>
              </w:rPr>
            </w:pPr>
            <w:r w:rsidRPr="003A20F2">
              <w:rPr>
                <w:sz w:val="20"/>
                <w:szCs w:val="20"/>
              </w:rPr>
              <w:t>$</w:t>
            </w:r>
            <w:r w:rsidRPr="00C74752" w:rsidR="00CA201D">
              <w:rPr>
                <w:sz w:val="20"/>
                <w:szCs w:val="20"/>
              </w:rPr>
              <w:t>130</w:t>
            </w:r>
          </w:p>
        </w:tc>
      </w:tr>
      <w:tr w14:paraId="57BDB34A" w14:textId="77777777" w:rsidTr="00CF3B0C">
        <w:tblPrEx>
          <w:tblW w:w="4861" w:type="pct"/>
          <w:jc w:val="center"/>
          <w:tblLayout w:type="fixed"/>
          <w:tblLook w:val="04A0"/>
        </w:tblPrEx>
        <w:trPr>
          <w:trHeight w:hRule="exact" w:val="504"/>
          <w:jc w:val="center"/>
        </w:trPr>
        <w:tc>
          <w:tcPr>
            <w:tcW w:w="2623" w:type="pct"/>
            <w:tcBorders>
              <w:top w:val="single" w:sz="4" w:space="0" w:color="auto"/>
              <w:left w:val="single" w:sz="4" w:space="0" w:color="auto"/>
              <w:bottom w:val="single" w:sz="4" w:space="0" w:color="auto"/>
              <w:right w:val="single" w:sz="4" w:space="0" w:color="auto"/>
            </w:tcBorders>
            <w:vAlign w:val="center"/>
          </w:tcPr>
          <w:p w:rsidR="00C63703" w:rsidRPr="003A20F2" w:rsidP="002E64AD" w14:paraId="542669F8" w14:textId="4ED7DCA5">
            <w:pPr>
              <w:pStyle w:val="TableParagraph"/>
              <w:rPr>
                <w:sz w:val="20"/>
                <w:szCs w:val="20"/>
              </w:rPr>
            </w:pPr>
            <w:r w:rsidRPr="00C74752">
              <w:rPr>
                <w:sz w:val="20"/>
                <w:szCs w:val="20"/>
              </w:rPr>
              <w:t xml:space="preserve">Senior </w:t>
            </w:r>
            <w:r w:rsidRPr="003A20F2" w:rsidR="0052602B">
              <w:rPr>
                <w:sz w:val="20"/>
                <w:szCs w:val="20"/>
              </w:rPr>
              <w:t>Administrator</w:t>
            </w:r>
            <w:r w:rsidRPr="003A20F2" w:rsidR="00143AC8">
              <w:rPr>
                <w:sz w:val="20"/>
                <w:szCs w:val="20"/>
              </w:rPr>
              <w:t xml:space="preserve"> (BLS Occ. Code: 11-9111)</w:t>
            </w:r>
          </w:p>
        </w:tc>
        <w:tc>
          <w:tcPr>
            <w:tcW w:w="719" w:type="pct"/>
            <w:tcBorders>
              <w:top w:val="single" w:sz="4" w:space="0" w:color="auto"/>
              <w:left w:val="single" w:sz="4" w:space="0" w:color="auto"/>
              <w:bottom w:val="single" w:sz="4" w:space="0" w:color="auto"/>
              <w:right w:val="single" w:sz="4" w:space="0" w:color="auto"/>
            </w:tcBorders>
            <w:vAlign w:val="center"/>
          </w:tcPr>
          <w:p w:rsidR="00C63703" w:rsidRPr="003A20F2" w:rsidP="002E64AD" w14:paraId="60BC2423" w14:textId="2B774F4D">
            <w:pPr>
              <w:pStyle w:val="TableParagraph"/>
              <w:ind w:left="162" w:right="101"/>
              <w:jc w:val="center"/>
              <w:rPr>
                <w:sz w:val="20"/>
                <w:szCs w:val="20"/>
              </w:rPr>
            </w:pPr>
            <w:r w:rsidRPr="003A20F2">
              <w:rPr>
                <w:sz w:val="20"/>
                <w:szCs w:val="20"/>
              </w:rPr>
              <w:t>$</w:t>
            </w:r>
            <w:r w:rsidRPr="003A20F2" w:rsidR="00385343">
              <w:rPr>
                <w:sz w:val="20"/>
                <w:szCs w:val="20"/>
              </w:rPr>
              <w:t>1</w:t>
            </w:r>
            <w:r w:rsidRPr="00C74752" w:rsidR="00CA201D">
              <w:rPr>
                <w:sz w:val="20"/>
                <w:szCs w:val="20"/>
              </w:rPr>
              <w:t>44</w:t>
            </w:r>
          </w:p>
        </w:tc>
        <w:tc>
          <w:tcPr>
            <w:tcW w:w="722" w:type="pct"/>
            <w:tcBorders>
              <w:top w:val="single" w:sz="4" w:space="0" w:color="auto"/>
              <w:left w:val="single" w:sz="4" w:space="0" w:color="auto"/>
              <w:bottom w:val="single" w:sz="4" w:space="0" w:color="auto"/>
              <w:right w:val="single" w:sz="4" w:space="0" w:color="auto"/>
            </w:tcBorders>
            <w:vAlign w:val="center"/>
          </w:tcPr>
          <w:p w:rsidR="00C63703" w:rsidRPr="003A20F2" w:rsidP="002E64AD" w14:paraId="2CC332C6" w14:textId="74CCCB85">
            <w:pPr>
              <w:pStyle w:val="TableParagraph"/>
              <w:ind w:left="162" w:right="103"/>
              <w:jc w:val="center"/>
              <w:rPr>
                <w:sz w:val="20"/>
                <w:szCs w:val="20"/>
              </w:rPr>
            </w:pPr>
            <w:r w:rsidRPr="003A20F2">
              <w:rPr>
                <w:sz w:val="20"/>
                <w:szCs w:val="20"/>
              </w:rPr>
              <w:t>0</w:t>
            </w:r>
            <w:r w:rsidRPr="003A20F2" w:rsidR="0052602B">
              <w:rPr>
                <w:sz w:val="20"/>
                <w:szCs w:val="20"/>
              </w:rPr>
              <w:t>.50</w:t>
            </w:r>
          </w:p>
        </w:tc>
        <w:tc>
          <w:tcPr>
            <w:tcW w:w="936" w:type="pct"/>
            <w:tcBorders>
              <w:top w:val="single" w:sz="4" w:space="0" w:color="auto"/>
              <w:left w:val="single" w:sz="4" w:space="0" w:color="auto"/>
              <w:bottom w:val="single" w:sz="4" w:space="0" w:color="auto"/>
              <w:right w:val="single" w:sz="4" w:space="0" w:color="auto"/>
            </w:tcBorders>
            <w:vAlign w:val="center"/>
          </w:tcPr>
          <w:p w:rsidR="00C63703" w:rsidRPr="003A20F2" w:rsidP="002E64AD" w14:paraId="577FAA86" w14:textId="3A899965">
            <w:pPr>
              <w:pStyle w:val="TableParagraph"/>
              <w:ind w:left="162" w:right="101"/>
              <w:jc w:val="center"/>
              <w:rPr>
                <w:sz w:val="20"/>
                <w:szCs w:val="20"/>
              </w:rPr>
            </w:pPr>
            <w:r w:rsidRPr="003A20F2">
              <w:rPr>
                <w:sz w:val="20"/>
                <w:szCs w:val="20"/>
              </w:rPr>
              <w:t>$</w:t>
            </w:r>
            <w:r w:rsidRPr="00C74752" w:rsidR="00CA201D">
              <w:rPr>
                <w:sz w:val="20"/>
                <w:szCs w:val="20"/>
              </w:rPr>
              <w:t>72</w:t>
            </w:r>
          </w:p>
        </w:tc>
      </w:tr>
      <w:tr w14:paraId="5F2E38CB" w14:textId="77777777" w:rsidTr="00CF3B0C">
        <w:tblPrEx>
          <w:tblW w:w="4861" w:type="pct"/>
          <w:jc w:val="center"/>
          <w:tblLayout w:type="fixed"/>
          <w:tblLook w:val="04A0"/>
        </w:tblPrEx>
        <w:trPr>
          <w:trHeight w:hRule="exact" w:val="504"/>
          <w:jc w:val="center"/>
        </w:trPr>
        <w:tc>
          <w:tcPr>
            <w:tcW w:w="2623" w:type="pct"/>
            <w:tcBorders>
              <w:top w:val="single" w:sz="4" w:space="0" w:color="auto"/>
              <w:left w:val="single" w:sz="4" w:space="0" w:color="auto"/>
              <w:bottom w:val="single" w:sz="4" w:space="0" w:color="auto"/>
              <w:right w:val="single" w:sz="4" w:space="0" w:color="auto"/>
            </w:tcBorders>
            <w:vAlign w:val="center"/>
          </w:tcPr>
          <w:p w:rsidR="00FD370E" w:rsidRPr="003A20F2" w:rsidP="002E64AD" w14:paraId="29E9D682" w14:textId="563C37A3">
            <w:pPr>
              <w:pStyle w:val="TableParagraph"/>
              <w:rPr>
                <w:sz w:val="20"/>
                <w:szCs w:val="20"/>
              </w:rPr>
            </w:pPr>
            <w:r w:rsidRPr="003A20F2">
              <w:rPr>
                <w:sz w:val="20"/>
                <w:szCs w:val="20"/>
              </w:rPr>
              <w:t>Transplant Coordinator</w:t>
            </w:r>
            <w:r w:rsidRPr="003A20F2" w:rsidR="00143AC8">
              <w:rPr>
                <w:sz w:val="20"/>
                <w:szCs w:val="20"/>
              </w:rPr>
              <w:t xml:space="preserve"> (BLS Occ. Code: 29-1141)</w:t>
            </w:r>
          </w:p>
        </w:tc>
        <w:tc>
          <w:tcPr>
            <w:tcW w:w="719" w:type="pct"/>
            <w:tcBorders>
              <w:top w:val="single" w:sz="4" w:space="0" w:color="auto"/>
              <w:left w:val="single" w:sz="4" w:space="0" w:color="auto"/>
              <w:bottom w:val="single" w:sz="4" w:space="0" w:color="auto"/>
              <w:right w:val="single" w:sz="4" w:space="0" w:color="auto"/>
            </w:tcBorders>
            <w:vAlign w:val="center"/>
          </w:tcPr>
          <w:p w:rsidR="00FD370E" w:rsidRPr="003A20F2" w:rsidP="002E64AD" w14:paraId="0AD6F7A5" w14:textId="64EB457F">
            <w:pPr>
              <w:pStyle w:val="TableParagraph"/>
              <w:ind w:left="162" w:right="101"/>
              <w:jc w:val="center"/>
              <w:rPr>
                <w:sz w:val="20"/>
                <w:szCs w:val="20"/>
              </w:rPr>
            </w:pPr>
            <w:r w:rsidRPr="003A20F2">
              <w:rPr>
                <w:sz w:val="20"/>
                <w:szCs w:val="20"/>
              </w:rPr>
              <w:t>$</w:t>
            </w:r>
            <w:r w:rsidRPr="00C74752" w:rsidR="00CA201D">
              <w:rPr>
                <w:sz w:val="20"/>
                <w:szCs w:val="20"/>
              </w:rPr>
              <w:t>100</w:t>
            </w:r>
          </w:p>
        </w:tc>
        <w:tc>
          <w:tcPr>
            <w:tcW w:w="722" w:type="pct"/>
            <w:tcBorders>
              <w:top w:val="single" w:sz="4" w:space="0" w:color="auto"/>
              <w:left w:val="single" w:sz="4" w:space="0" w:color="auto"/>
              <w:bottom w:val="single" w:sz="4" w:space="0" w:color="auto"/>
              <w:right w:val="single" w:sz="4" w:space="0" w:color="auto"/>
            </w:tcBorders>
            <w:vAlign w:val="center"/>
          </w:tcPr>
          <w:p w:rsidR="00FD370E" w:rsidRPr="003A20F2" w:rsidP="002E64AD" w14:paraId="73E7342E" w14:textId="7D1945E6">
            <w:pPr>
              <w:pStyle w:val="TableParagraph"/>
              <w:ind w:left="162" w:right="103"/>
              <w:jc w:val="center"/>
              <w:rPr>
                <w:sz w:val="20"/>
                <w:szCs w:val="20"/>
              </w:rPr>
            </w:pPr>
            <w:r w:rsidRPr="003A20F2">
              <w:rPr>
                <w:sz w:val="20"/>
                <w:szCs w:val="20"/>
              </w:rPr>
              <w:t>0</w:t>
            </w:r>
            <w:r w:rsidRPr="003A20F2" w:rsidR="00516E83">
              <w:rPr>
                <w:sz w:val="20"/>
                <w:szCs w:val="20"/>
              </w:rPr>
              <w:t>.75</w:t>
            </w:r>
          </w:p>
        </w:tc>
        <w:tc>
          <w:tcPr>
            <w:tcW w:w="936" w:type="pct"/>
            <w:tcBorders>
              <w:top w:val="single" w:sz="4" w:space="0" w:color="auto"/>
              <w:left w:val="single" w:sz="4" w:space="0" w:color="auto"/>
              <w:bottom w:val="single" w:sz="4" w:space="0" w:color="auto"/>
              <w:right w:val="single" w:sz="4" w:space="0" w:color="auto"/>
            </w:tcBorders>
            <w:vAlign w:val="center"/>
          </w:tcPr>
          <w:p w:rsidR="00FD370E" w:rsidRPr="003A20F2" w:rsidP="002E64AD" w14:paraId="07C9AE3E" w14:textId="3B0BB3F1">
            <w:pPr>
              <w:pStyle w:val="TableParagraph"/>
              <w:ind w:left="162" w:right="101"/>
              <w:jc w:val="center"/>
              <w:rPr>
                <w:sz w:val="20"/>
                <w:szCs w:val="20"/>
              </w:rPr>
            </w:pPr>
            <w:r w:rsidRPr="003A20F2">
              <w:rPr>
                <w:sz w:val="20"/>
                <w:szCs w:val="20"/>
              </w:rPr>
              <w:t>$</w:t>
            </w:r>
            <w:r w:rsidRPr="00C74752" w:rsidR="00CA201D">
              <w:rPr>
                <w:sz w:val="20"/>
                <w:szCs w:val="20"/>
              </w:rPr>
              <w:t>75</w:t>
            </w:r>
          </w:p>
        </w:tc>
      </w:tr>
      <w:tr w14:paraId="5998C708" w14:textId="77777777" w:rsidTr="00CF3B0C">
        <w:tblPrEx>
          <w:tblW w:w="4861" w:type="pct"/>
          <w:jc w:val="center"/>
          <w:tblLayout w:type="fixed"/>
          <w:tblLook w:val="04A0"/>
        </w:tblPrEx>
        <w:trPr>
          <w:trHeight w:hRule="exact" w:val="504"/>
          <w:jc w:val="center"/>
        </w:trPr>
        <w:tc>
          <w:tcPr>
            <w:tcW w:w="2623" w:type="pct"/>
            <w:tcBorders>
              <w:top w:val="single" w:sz="4" w:space="0" w:color="auto"/>
              <w:left w:val="single" w:sz="4" w:space="0" w:color="auto"/>
              <w:bottom w:val="single" w:sz="4" w:space="0" w:color="auto"/>
              <w:right w:val="single" w:sz="4" w:space="0" w:color="auto"/>
            </w:tcBorders>
            <w:vAlign w:val="center"/>
          </w:tcPr>
          <w:p w:rsidR="00D13FC5" w:rsidRPr="003A20F2" w:rsidP="002E64AD" w14:paraId="017EA442" w14:textId="388F5C66">
            <w:pPr>
              <w:pStyle w:val="TableParagraph"/>
              <w:rPr>
                <w:sz w:val="20"/>
                <w:szCs w:val="20"/>
              </w:rPr>
            </w:pPr>
            <w:r w:rsidRPr="00D13FC5">
              <w:rPr>
                <w:sz w:val="20"/>
                <w:szCs w:val="18"/>
              </w:rPr>
              <w:t>Administrative Assistant</w:t>
            </w:r>
            <w:r w:rsidR="00F52C02">
              <w:rPr>
                <w:sz w:val="20"/>
                <w:szCs w:val="18"/>
              </w:rPr>
              <w:t xml:space="preserve"> </w:t>
            </w:r>
            <w:r w:rsidRPr="003A20F2" w:rsidR="00F52C02">
              <w:rPr>
                <w:sz w:val="20"/>
                <w:szCs w:val="20"/>
              </w:rPr>
              <w:t>(BLS Occ. Code: 43-6013)</w:t>
            </w:r>
          </w:p>
        </w:tc>
        <w:tc>
          <w:tcPr>
            <w:tcW w:w="719" w:type="pct"/>
            <w:tcBorders>
              <w:top w:val="single" w:sz="4" w:space="0" w:color="auto"/>
              <w:left w:val="single" w:sz="4" w:space="0" w:color="auto"/>
              <w:bottom w:val="single" w:sz="4" w:space="0" w:color="auto"/>
              <w:right w:val="single" w:sz="4" w:space="0" w:color="auto"/>
            </w:tcBorders>
            <w:vAlign w:val="center"/>
          </w:tcPr>
          <w:p w:rsidR="0081373D" w:rsidRPr="003A20F2" w:rsidP="002E64AD" w14:paraId="72702DB3" w14:textId="4BE20F10">
            <w:pPr>
              <w:pStyle w:val="TableParagraph"/>
              <w:ind w:left="162" w:right="101"/>
              <w:jc w:val="center"/>
              <w:rPr>
                <w:sz w:val="20"/>
                <w:szCs w:val="20"/>
              </w:rPr>
            </w:pPr>
            <w:r w:rsidRPr="003A20F2">
              <w:rPr>
                <w:sz w:val="20"/>
                <w:szCs w:val="20"/>
              </w:rPr>
              <w:t>$</w:t>
            </w:r>
            <w:r w:rsidRPr="00C74752" w:rsidR="00CA201D">
              <w:rPr>
                <w:sz w:val="20"/>
                <w:szCs w:val="20"/>
              </w:rPr>
              <w:t>4</w:t>
            </w:r>
            <w:r w:rsidRPr="003A20F2">
              <w:rPr>
                <w:sz w:val="20"/>
                <w:szCs w:val="20"/>
              </w:rPr>
              <w:t>6</w:t>
            </w:r>
          </w:p>
        </w:tc>
        <w:tc>
          <w:tcPr>
            <w:tcW w:w="722" w:type="pct"/>
            <w:tcBorders>
              <w:top w:val="single" w:sz="4" w:space="0" w:color="auto"/>
              <w:left w:val="single" w:sz="4" w:space="0" w:color="auto"/>
              <w:bottom w:val="single" w:sz="4" w:space="0" w:color="auto"/>
              <w:right w:val="single" w:sz="4" w:space="0" w:color="auto"/>
            </w:tcBorders>
            <w:vAlign w:val="center"/>
          </w:tcPr>
          <w:p w:rsidR="0081373D" w:rsidRPr="00D25949" w:rsidP="002E64AD" w14:paraId="54960EEF" w14:textId="2762B9FC">
            <w:pPr>
              <w:pStyle w:val="TableParagraph"/>
              <w:ind w:left="162" w:right="103"/>
              <w:jc w:val="center"/>
              <w:rPr>
                <w:sz w:val="20"/>
                <w:szCs w:val="20"/>
                <w:u w:val="single"/>
              </w:rPr>
            </w:pPr>
            <w:r w:rsidRPr="00D25949">
              <w:rPr>
                <w:sz w:val="20"/>
                <w:szCs w:val="20"/>
                <w:u w:val="single"/>
              </w:rPr>
              <w:t>0</w:t>
            </w:r>
            <w:r w:rsidRPr="00D25949">
              <w:rPr>
                <w:sz w:val="20"/>
                <w:szCs w:val="20"/>
                <w:u w:val="single"/>
              </w:rPr>
              <w:t>.</w:t>
            </w:r>
            <w:r w:rsidRPr="00D25949" w:rsidR="00516E83">
              <w:rPr>
                <w:sz w:val="20"/>
                <w:szCs w:val="20"/>
                <w:u w:val="single"/>
              </w:rPr>
              <w:t>2</w:t>
            </w:r>
            <w:r w:rsidRPr="00D25949">
              <w:rPr>
                <w:sz w:val="20"/>
                <w:szCs w:val="20"/>
                <w:u w:val="single"/>
              </w:rPr>
              <w:t>5</w:t>
            </w:r>
          </w:p>
        </w:tc>
        <w:tc>
          <w:tcPr>
            <w:tcW w:w="936" w:type="pct"/>
            <w:tcBorders>
              <w:top w:val="single" w:sz="4" w:space="0" w:color="auto"/>
              <w:left w:val="single" w:sz="4" w:space="0" w:color="auto"/>
              <w:bottom w:val="single" w:sz="4" w:space="0" w:color="auto"/>
              <w:right w:val="single" w:sz="4" w:space="0" w:color="auto"/>
            </w:tcBorders>
            <w:vAlign w:val="center"/>
          </w:tcPr>
          <w:p w:rsidR="0081373D" w:rsidRPr="00D25949" w:rsidP="002E64AD" w14:paraId="1BC7C337" w14:textId="3D2D9FB4">
            <w:pPr>
              <w:pStyle w:val="TableParagraph"/>
              <w:ind w:left="162" w:right="101"/>
              <w:jc w:val="center"/>
              <w:rPr>
                <w:sz w:val="20"/>
                <w:szCs w:val="20"/>
                <w:u w:val="single"/>
              </w:rPr>
            </w:pPr>
            <w:r w:rsidRPr="00D25949">
              <w:rPr>
                <w:sz w:val="20"/>
                <w:szCs w:val="20"/>
                <w:u w:val="single"/>
              </w:rPr>
              <w:t>$1</w:t>
            </w:r>
            <w:r w:rsidRPr="00D25949" w:rsidR="00CA201D">
              <w:rPr>
                <w:sz w:val="20"/>
                <w:szCs w:val="20"/>
                <w:u w:val="single"/>
              </w:rPr>
              <w:t>2</w:t>
            </w:r>
          </w:p>
        </w:tc>
      </w:tr>
      <w:tr w14:paraId="17F27E1A" w14:textId="77777777" w:rsidTr="00D25949">
        <w:tblPrEx>
          <w:tblW w:w="4861" w:type="pct"/>
          <w:jc w:val="center"/>
          <w:tblLayout w:type="fixed"/>
          <w:tblLook w:val="04A0"/>
        </w:tblPrEx>
        <w:trPr>
          <w:trHeight w:hRule="exact" w:val="504"/>
          <w:jc w:val="center"/>
        </w:trPr>
        <w:tc>
          <w:tcPr>
            <w:tcW w:w="2623" w:type="pct"/>
            <w:tcBorders>
              <w:top w:val="single" w:sz="4" w:space="0" w:color="auto"/>
              <w:left w:val="single" w:sz="4" w:space="0" w:color="auto"/>
              <w:bottom w:val="single" w:sz="4" w:space="0" w:color="auto"/>
              <w:right w:val="single" w:sz="4" w:space="0" w:color="auto"/>
            </w:tcBorders>
            <w:vAlign w:val="center"/>
          </w:tcPr>
          <w:p w:rsidR="00C63703" w:rsidRPr="00D25949" w:rsidP="002E64AD" w14:paraId="551864A2" w14:textId="17AF9BB4">
            <w:pPr>
              <w:pStyle w:val="TableParagraph"/>
              <w:rPr>
                <w:b/>
                <w:bCs/>
                <w:sz w:val="20"/>
                <w:szCs w:val="20"/>
              </w:rPr>
            </w:pPr>
            <w:r w:rsidRPr="00D25949">
              <w:rPr>
                <w:b/>
                <w:bCs/>
                <w:sz w:val="20"/>
                <w:szCs w:val="20"/>
              </w:rPr>
              <w:t>B</w:t>
            </w:r>
            <w:r w:rsidRPr="00D25949" w:rsidR="00312964">
              <w:rPr>
                <w:b/>
                <w:bCs/>
                <w:sz w:val="20"/>
                <w:szCs w:val="20"/>
              </w:rPr>
              <w:t>urden</w:t>
            </w:r>
            <w:r w:rsidRPr="00D25949">
              <w:rPr>
                <w:b/>
                <w:bCs/>
                <w:sz w:val="20"/>
                <w:szCs w:val="20"/>
              </w:rPr>
              <w:t xml:space="preserve"> Hours</w:t>
            </w:r>
            <w:r w:rsidRPr="00D25949" w:rsidR="00312964">
              <w:rPr>
                <w:b/>
                <w:bCs/>
                <w:sz w:val="20"/>
                <w:szCs w:val="20"/>
              </w:rPr>
              <w:t xml:space="preserve"> and cost per </w:t>
            </w:r>
            <w:r w:rsidRPr="00D25949" w:rsidR="00D25949">
              <w:rPr>
                <w:b/>
                <w:bCs/>
                <w:sz w:val="20"/>
                <w:szCs w:val="20"/>
              </w:rPr>
              <w:t>notification</w:t>
            </w:r>
          </w:p>
        </w:tc>
        <w:tc>
          <w:tcPr>
            <w:tcW w:w="719" w:type="pct"/>
            <w:tcBorders>
              <w:top w:val="single" w:sz="4" w:space="0" w:color="auto"/>
              <w:left w:val="single" w:sz="4" w:space="0" w:color="auto"/>
              <w:bottom w:val="single" w:sz="4" w:space="0" w:color="auto"/>
              <w:right w:val="single" w:sz="4" w:space="0" w:color="auto"/>
            </w:tcBorders>
            <w:vAlign w:val="center"/>
          </w:tcPr>
          <w:p w:rsidR="00C63703" w:rsidRPr="002C3BE9" w:rsidP="002C3BE9" w14:paraId="23D975D1" w14:textId="73729F75">
            <w:pPr>
              <w:jc w:val="center"/>
              <w:rPr>
                <w:b/>
                <w:bCs/>
                <w:sz w:val="20"/>
                <w:szCs w:val="20"/>
              </w:rPr>
            </w:pPr>
            <w:r w:rsidRPr="002C3BE9">
              <w:rPr>
                <w:b/>
                <w:bCs/>
                <w:sz w:val="20"/>
                <w:szCs w:val="20"/>
              </w:rPr>
              <w:t>-</w:t>
            </w:r>
          </w:p>
        </w:tc>
        <w:tc>
          <w:tcPr>
            <w:tcW w:w="722" w:type="pct"/>
            <w:tcBorders>
              <w:top w:val="single" w:sz="4" w:space="0" w:color="auto"/>
              <w:left w:val="single" w:sz="4" w:space="0" w:color="auto"/>
              <w:bottom w:val="single" w:sz="4" w:space="0" w:color="auto"/>
              <w:right w:val="single" w:sz="4" w:space="0" w:color="auto"/>
            </w:tcBorders>
            <w:vAlign w:val="center"/>
          </w:tcPr>
          <w:p w:rsidR="00C63703" w:rsidRPr="002C3BE9" w:rsidP="002E64AD" w14:paraId="68899A08" w14:textId="6E477369">
            <w:pPr>
              <w:pStyle w:val="TableParagraph"/>
              <w:ind w:left="162" w:right="103"/>
              <w:jc w:val="center"/>
              <w:rPr>
                <w:b/>
                <w:bCs/>
                <w:sz w:val="20"/>
                <w:szCs w:val="20"/>
              </w:rPr>
            </w:pPr>
            <w:r w:rsidRPr="002C3BE9">
              <w:rPr>
                <w:b/>
                <w:bCs/>
                <w:sz w:val="20"/>
                <w:szCs w:val="20"/>
              </w:rPr>
              <w:t>2</w:t>
            </w:r>
          </w:p>
        </w:tc>
        <w:tc>
          <w:tcPr>
            <w:tcW w:w="936" w:type="pct"/>
            <w:tcBorders>
              <w:top w:val="single" w:sz="4" w:space="0" w:color="auto"/>
              <w:left w:val="single" w:sz="4" w:space="0" w:color="auto"/>
              <w:bottom w:val="single" w:sz="4" w:space="0" w:color="auto"/>
              <w:right w:val="single" w:sz="4" w:space="0" w:color="auto"/>
            </w:tcBorders>
            <w:vAlign w:val="center"/>
          </w:tcPr>
          <w:p w:rsidR="00C63703" w:rsidRPr="002C3BE9" w:rsidP="002E64AD" w14:paraId="01E70D36" w14:textId="0A8A7640">
            <w:pPr>
              <w:pStyle w:val="TableParagraph"/>
              <w:ind w:left="162" w:right="101"/>
              <w:jc w:val="center"/>
              <w:rPr>
                <w:b/>
                <w:bCs/>
                <w:sz w:val="20"/>
                <w:szCs w:val="20"/>
              </w:rPr>
            </w:pPr>
            <w:r w:rsidRPr="002C3BE9">
              <w:rPr>
                <w:b/>
                <w:bCs/>
                <w:sz w:val="20"/>
                <w:szCs w:val="20"/>
              </w:rPr>
              <w:t>$</w:t>
            </w:r>
            <w:r w:rsidRPr="002C3BE9" w:rsidR="00CA201D">
              <w:rPr>
                <w:b/>
                <w:bCs/>
                <w:sz w:val="20"/>
                <w:szCs w:val="20"/>
              </w:rPr>
              <w:t>289</w:t>
            </w:r>
          </w:p>
        </w:tc>
      </w:tr>
      <w:tr w14:paraId="5319BC8E" w14:textId="77777777" w:rsidTr="00CF3B0C">
        <w:tblPrEx>
          <w:tblW w:w="4861" w:type="pct"/>
          <w:jc w:val="center"/>
          <w:tblLayout w:type="fixed"/>
          <w:tblLook w:val="04A0"/>
        </w:tblPrEx>
        <w:trPr>
          <w:trHeight w:hRule="exact" w:val="504"/>
          <w:jc w:val="center"/>
        </w:trPr>
        <w:tc>
          <w:tcPr>
            <w:tcW w:w="26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25949" w:rsidRPr="002C3BE9" w:rsidP="002E64AD" w14:paraId="5D110559" w14:textId="2FA5818E">
            <w:pPr>
              <w:pStyle w:val="TableParagraph"/>
              <w:rPr>
                <w:b/>
                <w:bCs/>
                <w:sz w:val="20"/>
                <w:szCs w:val="20"/>
              </w:rPr>
            </w:pPr>
            <w:r>
              <w:rPr>
                <w:b/>
                <w:bCs/>
                <w:sz w:val="20"/>
                <w:szCs w:val="20"/>
              </w:rPr>
              <w:t>Burden Hours and cost per transplant program (2 notifications/year)</w:t>
            </w:r>
          </w:p>
        </w:tc>
        <w:tc>
          <w:tcPr>
            <w:tcW w:w="7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25949" w:rsidRPr="002C3BE9" w:rsidP="002C3BE9" w14:paraId="71071CF7" w14:textId="6C4D3AD2">
            <w:pPr>
              <w:jc w:val="center"/>
              <w:rPr>
                <w:b/>
                <w:bCs/>
                <w:sz w:val="20"/>
                <w:szCs w:val="20"/>
              </w:rPr>
            </w:pPr>
            <w:r>
              <w:rPr>
                <w:b/>
                <w:bCs/>
                <w:sz w:val="20"/>
                <w:szCs w:val="20"/>
              </w:rPr>
              <w:t>-</w:t>
            </w:r>
          </w:p>
        </w:tc>
        <w:tc>
          <w:tcPr>
            <w:tcW w:w="7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25949" w:rsidRPr="002C3BE9" w:rsidP="002E64AD" w14:paraId="38EF36AD" w14:textId="7B67E9E4">
            <w:pPr>
              <w:pStyle w:val="TableParagraph"/>
              <w:ind w:left="162" w:right="103"/>
              <w:jc w:val="center"/>
              <w:rPr>
                <w:b/>
                <w:bCs/>
                <w:sz w:val="20"/>
                <w:szCs w:val="20"/>
              </w:rPr>
            </w:pPr>
            <w:r>
              <w:rPr>
                <w:b/>
                <w:bCs/>
                <w:sz w:val="20"/>
                <w:szCs w:val="20"/>
              </w:rPr>
              <w:t>4</w:t>
            </w:r>
          </w:p>
        </w:tc>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25949" w:rsidRPr="002C3BE9" w:rsidP="002E64AD" w14:paraId="4C1169EE" w14:textId="62AB9A59">
            <w:pPr>
              <w:pStyle w:val="TableParagraph"/>
              <w:ind w:left="162" w:right="101"/>
              <w:jc w:val="center"/>
              <w:rPr>
                <w:b/>
                <w:bCs/>
                <w:sz w:val="20"/>
                <w:szCs w:val="20"/>
              </w:rPr>
            </w:pPr>
            <w:r>
              <w:rPr>
                <w:b/>
                <w:bCs/>
                <w:sz w:val="20"/>
                <w:szCs w:val="20"/>
              </w:rPr>
              <w:t>$578</w:t>
            </w:r>
          </w:p>
        </w:tc>
      </w:tr>
    </w:tbl>
    <w:p w:rsidR="00595B10" w:rsidP="00595B10" w14:paraId="109730DC" w14:textId="77777777">
      <w:pPr>
        <w:pStyle w:val="Heading6"/>
        <w:spacing w:before="0"/>
      </w:pPr>
    </w:p>
    <w:p w:rsidR="00595B10" w:rsidP="00595B10" w14:paraId="36CF8E83" w14:textId="77777777">
      <w:pPr>
        <w:pStyle w:val="Heading6"/>
        <w:spacing w:before="0"/>
      </w:pPr>
    </w:p>
    <w:p w:rsidR="00230F46" w:rsidRPr="004E5C29" w:rsidP="00595B10" w14:paraId="4FF96236" w14:textId="133A18A1">
      <w:pPr>
        <w:pStyle w:val="Heading6"/>
        <w:spacing w:before="0"/>
      </w:pPr>
      <w:r w:rsidRPr="004E5C29">
        <w:t xml:space="preserve">§ </w:t>
      </w:r>
      <w:r w:rsidRPr="004E5C29" w:rsidR="00280BFB">
        <w:t>482.76 - Pediatric Transplants</w:t>
      </w:r>
    </w:p>
    <w:p w:rsidR="00024890" w:rsidP="00F474C4" w14:paraId="641191A4" w14:textId="2CD9124A">
      <w:pPr>
        <w:pStyle w:val="BodyText"/>
        <w:ind w:right="129"/>
      </w:pPr>
      <w:r w:rsidRPr="00C50F86">
        <w:t xml:space="preserve">Section </w:t>
      </w:r>
      <w:r w:rsidRPr="00024890" w:rsidR="0069792C">
        <w:t>482</w:t>
      </w:r>
      <w:r w:rsidR="0069792C">
        <w:t>.76 requires</w:t>
      </w:r>
      <w:r w:rsidRPr="00280BFB" w:rsidR="00280BFB">
        <w:t xml:space="preserve"> </w:t>
      </w:r>
      <w:r>
        <w:t xml:space="preserve">that </w:t>
      </w:r>
      <w:r w:rsidRPr="00280BFB" w:rsidR="00280BFB">
        <w:t xml:space="preserve">transplant </w:t>
      </w:r>
      <w:r w:rsidR="00280BFB">
        <w:t>program</w:t>
      </w:r>
      <w:r>
        <w:t>s</w:t>
      </w:r>
      <w:r w:rsidRPr="00280BFB" w:rsidR="00280BFB">
        <w:t xml:space="preserve"> seek</w:t>
      </w:r>
      <w:r>
        <w:t>ing</w:t>
      </w:r>
      <w:r w:rsidRPr="00280BFB" w:rsidR="00280BFB">
        <w:t xml:space="preserve"> Medicare approval to provide </w:t>
      </w:r>
      <w:r w:rsidRPr="00280BFB" w:rsidR="00280BFB">
        <w:t xml:space="preserve">transplantation services to pediatric patients </w:t>
      </w:r>
      <w:r>
        <w:t xml:space="preserve">obtain specific approval from CMS by following the </w:t>
      </w:r>
      <w:r w:rsidR="00351C2D">
        <w:t xml:space="preserve">approval </w:t>
      </w:r>
      <w:r w:rsidRPr="00280BFB" w:rsidR="00280BFB">
        <w:t xml:space="preserve">procedures </w:t>
      </w:r>
      <w:r>
        <w:t xml:space="preserve">outlined </w:t>
      </w:r>
      <w:r w:rsidR="00F52C02">
        <w:t xml:space="preserve">in </w:t>
      </w:r>
      <w:r w:rsidRPr="0034673F">
        <w:t>§</w:t>
      </w:r>
      <w:r w:rsidRPr="0069792C" w:rsidR="00280BFB">
        <w:t>488.61</w:t>
      </w:r>
      <w:r w:rsidR="00351C2D">
        <w:t xml:space="preserve">. </w:t>
      </w:r>
    </w:p>
    <w:p w:rsidR="00024890" w:rsidP="00F474C4" w14:paraId="0C01913B" w14:textId="77777777">
      <w:pPr>
        <w:pStyle w:val="BodyText"/>
        <w:ind w:right="129"/>
      </w:pPr>
    </w:p>
    <w:p w:rsidR="00230F46" w:rsidP="00595B10" w14:paraId="32BFF672" w14:textId="41E520B8">
      <w:pPr>
        <w:pStyle w:val="BodyText"/>
        <w:ind w:right="129"/>
      </w:pPr>
      <w:r>
        <w:t>We assume t</w:t>
      </w:r>
      <w:r w:rsidRPr="002949B7" w:rsidR="002949B7">
        <w:t xml:space="preserve">he </w:t>
      </w:r>
      <w:r w:rsidR="00567082">
        <w:t xml:space="preserve">burden </w:t>
      </w:r>
      <w:r w:rsidR="00024890">
        <w:t xml:space="preserve">associated with this </w:t>
      </w:r>
      <w:r w:rsidR="0069792C">
        <w:t>requirement</w:t>
      </w:r>
      <w:r w:rsidR="00567082">
        <w:t xml:space="preserve"> </w:t>
      </w:r>
      <w:r w:rsidR="00024890">
        <w:t xml:space="preserve">is the </w:t>
      </w:r>
      <w:r w:rsidRPr="002949B7" w:rsidR="002949B7">
        <w:t>time</w:t>
      </w:r>
      <w:r w:rsidR="00F52C02">
        <w:t xml:space="preserve"> necessary to </w:t>
      </w:r>
      <w:r w:rsidRPr="002949B7" w:rsidR="002949B7">
        <w:t xml:space="preserve">prepare and submit the required information </w:t>
      </w:r>
      <w:r w:rsidR="0069792C">
        <w:t>to</w:t>
      </w:r>
      <w:r w:rsidRPr="002949B7" w:rsidR="002949B7">
        <w:t xml:space="preserve"> </w:t>
      </w:r>
      <w:r w:rsidR="00151991">
        <w:t>CMS</w:t>
      </w:r>
      <w:r w:rsidRPr="002949B7" w:rsidR="002949B7">
        <w:t xml:space="preserve">. </w:t>
      </w:r>
      <w:r w:rsidR="00024890">
        <w:t>Because</w:t>
      </w:r>
      <w:r w:rsidRPr="002949B7" w:rsidR="002949B7">
        <w:t xml:space="preserve"> </w:t>
      </w:r>
      <w:r w:rsidR="002949B7">
        <w:t>transplant programs must</w:t>
      </w:r>
      <w:r w:rsidRPr="002949B7" w:rsidR="002949B7">
        <w:t xml:space="preserve"> comply with the procedures </w:t>
      </w:r>
      <w:r w:rsidR="00151991">
        <w:t xml:space="preserve">described </w:t>
      </w:r>
      <w:r w:rsidRPr="002C3BE9" w:rsidR="00151991">
        <w:t>in</w:t>
      </w:r>
      <w:r w:rsidRPr="002C3BE9" w:rsidR="002949B7">
        <w:t xml:space="preserve"> </w:t>
      </w:r>
      <w:r w:rsidRPr="002C3BE9" w:rsidR="00C50F86">
        <w:t xml:space="preserve">section </w:t>
      </w:r>
      <w:r w:rsidRPr="002C3BE9" w:rsidR="002949B7">
        <w:t>488.61, the burden for seeking pediatric transplant</w:t>
      </w:r>
      <w:r w:rsidRPr="002C3BE9" w:rsidR="00024890">
        <w:t xml:space="preserve"> approval</w:t>
      </w:r>
      <w:r w:rsidRPr="002C3BE9" w:rsidR="002949B7">
        <w:t xml:space="preserve"> is </w:t>
      </w:r>
      <w:r w:rsidRPr="002C3BE9" w:rsidR="00024890">
        <w:t xml:space="preserve">accounted for </w:t>
      </w:r>
      <w:r w:rsidRPr="002C3BE9" w:rsidR="00F52C02">
        <w:t xml:space="preserve">under </w:t>
      </w:r>
      <w:r w:rsidRPr="002C3BE9" w:rsidR="00C50F86">
        <w:t xml:space="preserve">section </w:t>
      </w:r>
      <w:r w:rsidRPr="002C3BE9" w:rsidR="00151991">
        <w:t xml:space="preserve">488.61, </w:t>
      </w:r>
      <w:r w:rsidRPr="002C3BE9" w:rsidR="00024890">
        <w:t>discussed</w:t>
      </w:r>
      <w:r w:rsidRPr="002C3BE9" w:rsidR="00151991">
        <w:t xml:space="preserve"> below.</w:t>
      </w:r>
    </w:p>
    <w:p w:rsidR="00D113B3" w:rsidP="00595B10" w14:paraId="558A3724" w14:textId="77777777">
      <w:pPr>
        <w:pStyle w:val="BodyText"/>
        <w:ind w:right="129"/>
      </w:pPr>
    </w:p>
    <w:p w:rsidR="00E54F39" w:rsidRPr="00C50F86" w:rsidP="00595B10" w14:paraId="4740E472" w14:textId="0F38575D">
      <w:pPr>
        <w:pStyle w:val="Heading6"/>
        <w:spacing w:before="0"/>
      </w:pPr>
      <w:r w:rsidRPr="00C50F86">
        <w:t xml:space="preserve">§ </w:t>
      </w:r>
      <w:r w:rsidRPr="00C50F86" w:rsidR="00280BFB">
        <w:t xml:space="preserve">482.78 - </w:t>
      </w:r>
      <w:hyperlink r:id="rId12" w:history="1">
        <w:r w:rsidRPr="00C50F86" w:rsidR="00280BFB">
          <w:t>Emergency preparedness for transplant programs</w:t>
        </w:r>
      </w:hyperlink>
    </w:p>
    <w:p w:rsidR="006B3278" w:rsidP="00595B10" w14:paraId="17DBB656" w14:textId="10DC8456">
      <w:pPr>
        <w:rPr>
          <w:sz w:val="24"/>
          <w:szCs w:val="24"/>
        </w:rPr>
      </w:pPr>
      <w:r w:rsidRPr="00573C36">
        <w:rPr>
          <w:sz w:val="24"/>
          <w:szCs w:val="24"/>
        </w:rPr>
        <w:t>Section</w:t>
      </w:r>
      <w:r w:rsidRPr="00573C36" w:rsidR="00593646">
        <w:rPr>
          <w:sz w:val="24"/>
          <w:szCs w:val="24"/>
        </w:rPr>
        <w:t xml:space="preserve"> 482.78 requires transplant programs</w:t>
      </w:r>
      <w:r w:rsidRPr="00266286" w:rsidR="00593646">
        <w:rPr>
          <w:sz w:val="24"/>
          <w:szCs w:val="24"/>
        </w:rPr>
        <w:t xml:space="preserve"> </w:t>
      </w:r>
      <w:r w:rsidR="00266286">
        <w:rPr>
          <w:sz w:val="24"/>
          <w:szCs w:val="24"/>
        </w:rPr>
        <w:t xml:space="preserve">to </w:t>
      </w:r>
      <w:r w:rsidR="00024890">
        <w:rPr>
          <w:sz w:val="24"/>
          <w:szCs w:val="24"/>
        </w:rPr>
        <w:t xml:space="preserve">develop and maintain an </w:t>
      </w:r>
      <w:r w:rsidRPr="00266286" w:rsidR="00593646">
        <w:rPr>
          <w:sz w:val="24"/>
          <w:szCs w:val="24"/>
        </w:rPr>
        <w:t>emergency preparedness</w:t>
      </w:r>
      <w:r w:rsidR="00024890">
        <w:rPr>
          <w:sz w:val="24"/>
          <w:szCs w:val="24"/>
        </w:rPr>
        <w:t xml:space="preserve"> plan</w:t>
      </w:r>
      <w:r w:rsidRPr="00266286" w:rsidR="00593646">
        <w:rPr>
          <w:sz w:val="24"/>
          <w:szCs w:val="24"/>
        </w:rPr>
        <w:t xml:space="preserve">. </w:t>
      </w:r>
      <w:r w:rsidRPr="00266286">
        <w:rPr>
          <w:sz w:val="24"/>
          <w:szCs w:val="24"/>
        </w:rPr>
        <w:t>The burden</w:t>
      </w:r>
      <w:r w:rsidR="00E54F39">
        <w:rPr>
          <w:sz w:val="24"/>
          <w:szCs w:val="24"/>
        </w:rPr>
        <w:t xml:space="preserve"> associated with this requirement </w:t>
      </w:r>
      <w:r w:rsidRPr="00266286">
        <w:rPr>
          <w:sz w:val="24"/>
          <w:szCs w:val="24"/>
        </w:rPr>
        <w:t xml:space="preserve">is </w:t>
      </w:r>
      <w:r w:rsidRPr="00266286" w:rsidR="00576A57">
        <w:rPr>
          <w:sz w:val="24"/>
          <w:szCs w:val="24"/>
        </w:rPr>
        <w:t xml:space="preserve">a subset of the </w:t>
      </w:r>
      <w:r w:rsidR="00E54F39">
        <w:rPr>
          <w:sz w:val="24"/>
          <w:szCs w:val="24"/>
        </w:rPr>
        <w:t xml:space="preserve">overall </w:t>
      </w:r>
      <w:r w:rsidRPr="00266286">
        <w:rPr>
          <w:sz w:val="24"/>
          <w:szCs w:val="24"/>
        </w:rPr>
        <w:t xml:space="preserve">burden hospitals </w:t>
      </w:r>
      <w:r w:rsidR="00E54F39">
        <w:rPr>
          <w:sz w:val="24"/>
          <w:szCs w:val="24"/>
        </w:rPr>
        <w:t xml:space="preserve">incur to comply with </w:t>
      </w:r>
      <w:r w:rsidRPr="00266286">
        <w:rPr>
          <w:sz w:val="24"/>
          <w:szCs w:val="24"/>
        </w:rPr>
        <w:t xml:space="preserve">emergency preparedness </w:t>
      </w:r>
      <w:r w:rsidRPr="00266286" w:rsidR="00576A57">
        <w:rPr>
          <w:sz w:val="24"/>
          <w:szCs w:val="24"/>
        </w:rPr>
        <w:t>requirements</w:t>
      </w:r>
      <w:r w:rsidRPr="00266286">
        <w:rPr>
          <w:sz w:val="24"/>
          <w:szCs w:val="24"/>
        </w:rPr>
        <w:t xml:space="preserve"> at </w:t>
      </w:r>
      <w:r w:rsidR="00C50F86">
        <w:rPr>
          <w:sz w:val="24"/>
          <w:szCs w:val="24"/>
        </w:rPr>
        <w:t xml:space="preserve">section </w:t>
      </w:r>
      <w:r w:rsidRPr="00266286">
        <w:rPr>
          <w:sz w:val="24"/>
          <w:szCs w:val="24"/>
        </w:rPr>
        <w:t>482.15</w:t>
      </w:r>
      <w:r w:rsidRPr="00266286" w:rsidR="00576A57">
        <w:rPr>
          <w:sz w:val="24"/>
          <w:szCs w:val="24"/>
        </w:rPr>
        <w:t xml:space="preserve">. </w:t>
      </w:r>
      <w:r w:rsidRPr="00266286" w:rsidR="00593646">
        <w:rPr>
          <w:sz w:val="24"/>
          <w:szCs w:val="24"/>
        </w:rPr>
        <w:t>H</w:t>
      </w:r>
      <w:r w:rsidRPr="00266286">
        <w:rPr>
          <w:sz w:val="24"/>
          <w:szCs w:val="24"/>
        </w:rPr>
        <w:t xml:space="preserve">ospitals </w:t>
      </w:r>
      <w:r w:rsidRPr="00266286" w:rsidR="00576A57">
        <w:rPr>
          <w:sz w:val="24"/>
          <w:szCs w:val="24"/>
        </w:rPr>
        <w:t xml:space="preserve">that </w:t>
      </w:r>
      <w:r w:rsidR="00E54F39">
        <w:rPr>
          <w:sz w:val="24"/>
          <w:szCs w:val="24"/>
        </w:rPr>
        <w:t xml:space="preserve">include </w:t>
      </w:r>
      <w:r w:rsidRPr="00266286">
        <w:rPr>
          <w:sz w:val="24"/>
          <w:szCs w:val="24"/>
        </w:rPr>
        <w:t>transplant program</w:t>
      </w:r>
      <w:r w:rsidRPr="00266286" w:rsidR="00576A57">
        <w:rPr>
          <w:sz w:val="24"/>
          <w:szCs w:val="24"/>
        </w:rPr>
        <w:t>s</w:t>
      </w:r>
      <w:r w:rsidRPr="00266286">
        <w:rPr>
          <w:sz w:val="24"/>
          <w:szCs w:val="24"/>
        </w:rPr>
        <w:t xml:space="preserve"> must </w:t>
      </w:r>
      <w:r w:rsidR="00E54F39">
        <w:rPr>
          <w:sz w:val="24"/>
          <w:szCs w:val="24"/>
        </w:rPr>
        <w:t xml:space="preserve">incorporate those programs into </w:t>
      </w:r>
      <w:r w:rsidRPr="00266286">
        <w:rPr>
          <w:sz w:val="24"/>
          <w:szCs w:val="24"/>
        </w:rPr>
        <w:t xml:space="preserve">their emergency preparedness </w:t>
      </w:r>
      <w:r w:rsidRPr="00266286" w:rsidR="00576A57">
        <w:rPr>
          <w:sz w:val="24"/>
          <w:szCs w:val="24"/>
        </w:rPr>
        <w:t>response planning.</w:t>
      </w:r>
      <w:r w:rsidRPr="00266286" w:rsidR="005616E7">
        <w:rPr>
          <w:sz w:val="24"/>
          <w:szCs w:val="24"/>
        </w:rPr>
        <w:t xml:space="preserve"> </w:t>
      </w:r>
      <w:r w:rsidRPr="00266286" w:rsidR="00576A57">
        <w:rPr>
          <w:sz w:val="24"/>
          <w:szCs w:val="24"/>
        </w:rPr>
        <w:t xml:space="preserve">The burden </w:t>
      </w:r>
      <w:r w:rsidR="00E54F39">
        <w:rPr>
          <w:sz w:val="24"/>
          <w:szCs w:val="24"/>
        </w:rPr>
        <w:t>for</w:t>
      </w:r>
      <w:r w:rsidRPr="00266286" w:rsidR="00576A57">
        <w:rPr>
          <w:sz w:val="24"/>
          <w:szCs w:val="24"/>
        </w:rPr>
        <w:t xml:space="preserve"> transplant programs </w:t>
      </w:r>
      <w:r w:rsidR="00E54F39">
        <w:rPr>
          <w:sz w:val="24"/>
          <w:szCs w:val="24"/>
        </w:rPr>
        <w:t xml:space="preserve">related to </w:t>
      </w:r>
      <w:r w:rsidRPr="00266286" w:rsidR="00576A57">
        <w:rPr>
          <w:sz w:val="24"/>
          <w:szCs w:val="24"/>
        </w:rPr>
        <w:t xml:space="preserve">emergency preparedness planning </w:t>
      </w:r>
      <w:r w:rsidR="00E54F39">
        <w:rPr>
          <w:sz w:val="24"/>
          <w:szCs w:val="24"/>
        </w:rPr>
        <w:t xml:space="preserve">is addressed within </w:t>
      </w:r>
      <w:r w:rsidRPr="00266286" w:rsidR="00576A57">
        <w:rPr>
          <w:sz w:val="24"/>
          <w:szCs w:val="24"/>
        </w:rPr>
        <w:t>the “</w:t>
      </w:r>
      <w:r w:rsidRPr="00573C36" w:rsidR="00576A57">
        <w:rPr>
          <w:sz w:val="24"/>
          <w:szCs w:val="24"/>
        </w:rPr>
        <w:t xml:space="preserve">Emergency Preparedness Requirements for Medicare and Medicaid Participating Providers and Suppliers” PRA package </w:t>
      </w:r>
      <w:r w:rsidR="00E54F39">
        <w:rPr>
          <w:sz w:val="24"/>
          <w:szCs w:val="24"/>
        </w:rPr>
        <w:t>(</w:t>
      </w:r>
      <w:r w:rsidRPr="00266286">
        <w:rPr>
          <w:sz w:val="24"/>
          <w:szCs w:val="24"/>
        </w:rPr>
        <w:t>OMB</w:t>
      </w:r>
      <w:r w:rsidRPr="00266286" w:rsidR="00576A57">
        <w:rPr>
          <w:sz w:val="24"/>
          <w:szCs w:val="24"/>
        </w:rPr>
        <w:t xml:space="preserve"> </w:t>
      </w:r>
      <w:r w:rsidR="00E54F39">
        <w:rPr>
          <w:sz w:val="24"/>
          <w:szCs w:val="24"/>
        </w:rPr>
        <w:t>Control N</w:t>
      </w:r>
      <w:r w:rsidRPr="00266286" w:rsidR="00576A57">
        <w:rPr>
          <w:sz w:val="24"/>
          <w:szCs w:val="24"/>
        </w:rPr>
        <w:t>umber</w:t>
      </w:r>
      <w:r w:rsidRPr="00266286">
        <w:rPr>
          <w:sz w:val="24"/>
          <w:szCs w:val="24"/>
        </w:rPr>
        <w:t xml:space="preserve"> 0938-1325</w:t>
      </w:r>
      <w:r w:rsidR="00E54F39">
        <w:rPr>
          <w:sz w:val="24"/>
          <w:szCs w:val="24"/>
        </w:rPr>
        <w:t>)</w:t>
      </w:r>
      <w:r w:rsidRPr="00266286" w:rsidR="00576A57">
        <w:rPr>
          <w:sz w:val="24"/>
          <w:szCs w:val="24"/>
        </w:rPr>
        <w:t>.</w:t>
      </w:r>
    </w:p>
    <w:p w:rsidR="00C50F86" w:rsidRPr="00266286" w:rsidP="00595B10" w14:paraId="199DE060" w14:textId="77777777">
      <w:pPr>
        <w:rPr>
          <w:sz w:val="24"/>
          <w:szCs w:val="24"/>
        </w:rPr>
      </w:pPr>
    </w:p>
    <w:p w:rsidR="00E54F39" w:rsidP="00595B10" w14:paraId="249BB1FC" w14:textId="04FCB7E7">
      <w:pPr>
        <w:pStyle w:val="Heading6"/>
        <w:spacing w:before="0"/>
      </w:pPr>
      <w:bookmarkStart w:id="26" w:name="Section_482.94_(c)(1)_and_(2)_–_Standard"/>
      <w:bookmarkEnd w:id="26"/>
      <w:r w:rsidRPr="00E71336">
        <w:t>§</w:t>
      </w:r>
      <w:r w:rsidR="002C3BE9">
        <w:t xml:space="preserve"> </w:t>
      </w:r>
      <w:r w:rsidR="00372933">
        <w:t>482.8</w:t>
      </w:r>
      <w:r w:rsidR="00D113B3">
        <w:t>0</w:t>
      </w:r>
      <w:r w:rsidR="00372933">
        <w:t xml:space="preserve"> –</w:t>
      </w:r>
      <w:r w:rsidRPr="00372933" w:rsidR="00372933">
        <w:t xml:space="preserve">Data submission, clinical experience, and outcome requirements for </w:t>
      </w:r>
      <w:r w:rsidR="00336402">
        <w:t xml:space="preserve">initial </w:t>
      </w:r>
      <w:r w:rsidR="00372933">
        <w:t xml:space="preserve">approval of transplant </w:t>
      </w:r>
      <w:r w:rsidR="00672C4D">
        <w:t>programs</w:t>
      </w:r>
    </w:p>
    <w:p w:rsidR="00E54F39" w:rsidP="00595B10" w14:paraId="6CF7FB7F" w14:textId="34AB1473">
      <w:pPr>
        <w:pStyle w:val="BodyText"/>
        <w:ind w:right="144"/>
      </w:pPr>
      <w:r w:rsidRPr="00C40EC0">
        <w:t>Section 482.8</w:t>
      </w:r>
      <w:r w:rsidR="00D113B3">
        <w:t>0</w:t>
      </w:r>
      <w:r w:rsidR="006B4CE8">
        <w:t xml:space="preserve"> </w:t>
      </w:r>
      <w:r w:rsidRPr="00C40EC0">
        <w:t xml:space="preserve">requires that, except as specified in </w:t>
      </w:r>
      <w:r w:rsidR="00C50F86">
        <w:t>section</w:t>
      </w:r>
      <w:r w:rsidRPr="00C40EC0">
        <w:t xml:space="preserve"> 488.61, transplant </w:t>
      </w:r>
      <w:r w:rsidR="00672C4D">
        <w:t>programs</w:t>
      </w:r>
      <w:r w:rsidRPr="00C40EC0">
        <w:t xml:space="preserve"> must meet all data submission, clinical experience, and outcome requirements to</w:t>
      </w:r>
      <w:r w:rsidR="006B4CE8">
        <w:t xml:space="preserve"> obtain </w:t>
      </w:r>
      <w:r w:rsidR="00336402">
        <w:t>initial approv</w:t>
      </w:r>
      <w:r w:rsidR="006B4CE8">
        <w:t xml:space="preserve">al from </w:t>
      </w:r>
      <w:r w:rsidR="00336402">
        <w:t xml:space="preserve">CMS </w:t>
      </w:r>
      <w:r w:rsidRPr="00C40EC0">
        <w:t>for Medicare participation.</w:t>
      </w:r>
      <w:r>
        <w:rPr>
          <w:rStyle w:val="FootnoteReference"/>
        </w:rPr>
        <w:footnoteReference w:id="10"/>
      </w:r>
      <w:r w:rsidR="00E56E88">
        <w:t xml:space="preserve"> </w:t>
      </w:r>
      <w:r w:rsidRPr="00C40EC0">
        <w:t>The burden associated with this requiremen</w:t>
      </w:r>
      <w:r w:rsidR="002211F7">
        <w:t>t</w:t>
      </w:r>
      <w:r w:rsidR="00457FF2">
        <w:t xml:space="preserve"> </w:t>
      </w:r>
      <w:r w:rsidRPr="00C40EC0">
        <w:t>would be the time</w:t>
      </w:r>
      <w:r>
        <w:t xml:space="preserve"> necessary for </w:t>
      </w:r>
      <w:r w:rsidRPr="00C40EC0">
        <w:t>transplant program</w:t>
      </w:r>
      <w:r>
        <w:t>s</w:t>
      </w:r>
      <w:r w:rsidRPr="00C40EC0">
        <w:t xml:space="preserve"> to submit the required informatio</w:t>
      </w:r>
      <w:r w:rsidRPr="00372933">
        <w:t>n</w:t>
      </w:r>
      <w:r w:rsidRPr="00C40EC0">
        <w:t xml:space="preserve">. However, </w:t>
      </w:r>
      <w:r>
        <w:t>under</w:t>
      </w:r>
      <w:r w:rsidRPr="00C40EC0">
        <w:t xml:space="preserve"> </w:t>
      </w:r>
      <w:r w:rsidR="00C50F86">
        <w:t xml:space="preserve">sections </w:t>
      </w:r>
      <w:r w:rsidRPr="00C40EC0">
        <w:t>482.72 and 482.45(b), transplant program</w:t>
      </w:r>
      <w:r w:rsidR="005B7452">
        <w:t>s</w:t>
      </w:r>
      <w:r w:rsidRPr="00C40EC0">
        <w:t xml:space="preserve"> located</w:t>
      </w:r>
      <w:r w:rsidR="006B3278">
        <w:t xml:space="preserve"> </w:t>
      </w:r>
      <w:r w:rsidR="005B7452">
        <w:t xml:space="preserve">within </w:t>
      </w:r>
      <w:r w:rsidR="00457FF2">
        <w:t>t</w:t>
      </w:r>
      <w:r w:rsidR="006B3278">
        <w:t>ransplant hospital</w:t>
      </w:r>
      <w:r w:rsidR="005B7452">
        <w:t>s</w:t>
      </w:r>
      <w:r w:rsidRPr="00C40EC0">
        <w:t xml:space="preserve"> must </w:t>
      </w:r>
      <w:r w:rsidR="005B7452">
        <w:t>be member</w:t>
      </w:r>
      <w:r w:rsidR="002211F7">
        <w:t>s</w:t>
      </w:r>
      <w:r w:rsidR="005B7452">
        <w:t xml:space="preserve"> of</w:t>
      </w:r>
      <w:r w:rsidRPr="00C40EC0">
        <w:t xml:space="preserve"> the </w:t>
      </w:r>
      <w:r w:rsidR="005B7452">
        <w:t>Organ Procurement and Transplantation Network</w:t>
      </w:r>
      <w:r w:rsidR="002C3BE9">
        <w:t xml:space="preserve"> </w:t>
      </w:r>
      <w:r w:rsidR="005B7452">
        <w:t>(</w:t>
      </w:r>
      <w:r w:rsidRPr="00C40EC0">
        <w:t>OPTN</w:t>
      </w:r>
      <w:r w:rsidR="005B7452">
        <w:t>)</w:t>
      </w:r>
      <w:r w:rsidR="002C3BE9">
        <w:t xml:space="preserve">, which </w:t>
      </w:r>
      <w:r w:rsidRPr="00C40EC0">
        <w:t>require</w:t>
      </w:r>
      <w:r w:rsidR="002C3BE9">
        <w:t>s</w:t>
      </w:r>
      <w:r w:rsidR="00BC6509">
        <w:t xml:space="preserve"> </w:t>
      </w:r>
      <w:r w:rsidR="00C16433">
        <w:t>transplant</w:t>
      </w:r>
      <w:r w:rsidRPr="00C40EC0">
        <w:t xml:space="preserve"> </w:t>
      </w:r>
      <w:r w:rsidR="005B7452">
        <w:t xml:space="preserve">programs </w:t>
      </w:r>
      <w:r>
        <w:t xml:space="preserve">to </w:t>
      </w:r>
      <w:r w:rsidRPr="00C40EC0">
        <w:t>submit th</w:t>
      </w:r>
      <w:r w:rsidR="006B3278">
        <w:t xml:space="preserve">e same </w:t>
      </w:r>
      <w:r w:rsidRPr="00C40EC0">
        <w:t xml:space="preserve">data </w:t>
      </w:r>
      <w:r w:rsidR="006B3278">
        <w:t xml:space="preserve">required under </w:t>
      </w:r>
      <w:r w:rsidRPr="00C40EC0">
        <w:t>§482.8</w:t>
      </w:r>
      <w:r>
        <w:t>0</w:t>
      </w:r>
      <w:r w:rsidRPr="00C40EC0">
        <w:t>.</w:t>
      </w:r>
    </w:p>
    <w:p w:rsidR="00E54F39" w:rsidP="00595B10" w14:paraId="43B79607" w14:textId="77777777">
      <w:pPr>
        <w:pStyle w:val="BodyText"/>
        <w:ind w:right="144"/>
      </w:pPr>
    </w:p>
    <w:p w:rsidR="00C0194D" w:rsidP="00595B10" w14:paraId="3299D69B" w14:textId="06FC18CD">
      <w:pPr>
        <w:pStyle w:val="BodyText"/>
        <w:ind w:right="144"/>
      </w:pPr>
      <w:r w:rsidRPr="00C40EC0">
        <w:t>Therefore, the requirements under §482.8</w:t>
      </w:r>
      <w:r w:rsidR="00BC6509">
        <w:t>0</w:t>
      </w:r>
      <w:r w:rsidRPr="00C40EC0">
        <w:t xml:space="preserve"> do not impose an additional burden on transplant programs</w:t>
      </w:r>
      <w:r w:rsidR="00E54F39">
        <w:t xml:space="preserve">, </w:t>
      </w:r>
      <w:r w:rsidR="002C3BE9">
        <w:t xml:space="preserve">because as members of OPTN, all </w:t>
      </w:r>
      <w:r w:rsidRPr="00C40EC0">
        <w:t>Medicare</w:t>
      </w:r>
      <w:r w:rsidR="00E54F39">
        <w:t>-</w:t>
      </w:r>
      <w:r w:rsidRPr="00C40EC0">
        <w:t>participating transplant program</w:t>
      </w:r>
      <w:r w:rsidR="002C3BE9">
        <w:t xml:space="preserve">s would need to </w:t>
      </w:r>
      <w:r w:rsidRPr="00C40EC0">
        <w:t>submit th</w:t>
      </w:r>
      <w:r w:rsidR="002C3BE9">
        <w:t>e</w:t>
      </w:r>
      <w:r w:rsidRPr="00C40EC0">
        <w:t xml:space="preserve"> </w:t>
      </w:r>
      <w:r w:rsidR="002C3BE9">
        <w:t xml:space="preserve">information specified under §482.80 </w:t>
      </w:r>
      <w:r w:rsidRPr="00C40EC0">
        <w:t>to the OPTN.</w:t>
      </w:r>
      <w:r>
        <w:t xml:space="preserve"> Because </w:t>
      </w:r>
      <w:r w:rsidR="002C3BE9">
        <w:t xml:space="preserve">submission of the required data </w:t>
      </w:r>
      <w:r>
        <w:t xml:space="preserve">is a </w:t>
      </w:r>
      <w:r w:rsidRPr="00F17155">
        <w:t>usual and customary business practice</w:t>
      </w:r>
      <w:r>
        <w:t xml:space="preserve">, this CoP is </w:t>
      </w:r>
      <w:r w:rsidRPr="00F17155">
        <w:t>exempt from the</w:t>
      </w:r>
      <w:r w:rsidR="001A747B">
        <w:t xml:space="preserve"> Paperwork Reduction Act</w:t>
      </w:r>
      <w:r w:rsidRPr="00F17155">
        <w:t xml:space="preserve"> </w:t>
      </w:r>
      <w:r w:rsidR="001A747B">
        <w:t>(</w:t>
      </w:r>
      <w:r w:rsidRPr="00F17155">
        <w:t>PRA</w:t>
      </w:r>
      <w:r w:rsidR="001A747B">
        <w:t>)</w:t>
      </w:r>
      <w:r w:rsidR="00E54F39">
        <w:t xml:space="preserve"> under </w:t>
      </w:r>
      <w:r w:rsidRPr="00F17155">
        <w:t xml:space="preserve">5 CFR </w:t>
      </w:r>
      <w:r>
        <w:t>§</w:t>
      </w:r>
      <w:r w:rsidRPr="00F17155">
        <w:t>1320</w:t>
      </w:r>
      <w:r>
        <w:t>.3</w:t>
      </w:r>
      <w:r w:rsidRPr="00F17155">
        <w:t>(b)(2)</w:t>
      </w:r>
      <w:r>
        <w:t>.</w:t>
      </w:r>
    </w:p>
    <w:p w:rsidR="00C0194D" w:rsidP="00595B10" w14:paraId="694D3B54" w14:textId="77777777">
      <w:pPr>
        <w:pStyle w:val="BodyText"/>
        <w:ind w:right="144"/>
      </w:pPr>
    </w:p>
    <w:p w:rsidR="00C23BA6" w:rsidRPr="00C50F86" w:rsidP="00595B10" w14:paraId="2B5CD748" w14:textId="2D852EC7">
      <w:pPr>
        <w:pStyle w:val="Heading6"/>
        <w:spacing w:before="0"/>
      </w:pPr>
      <w:r w:rsidRPr="00527FB9">
        <w:t xml:space="preserve">§ </w:t>
      </w:r>
      <w:r w:rsidRPr="00527FB9" w:rsidR="00230F46">
        <w:t xml:space="preserve">482.90 - </w:t>
      </w:r>
      <w:r w:rsidRPr="00C50F86" w:rsidR="00230F46">
        <w:t>Patient and living donor selection</w:t>
      </w:r>
      <w:r w:rsidRPr="00C50F86">
        <w:t xml:space="preserve"> </w:t>
      </w:r>
    </w:p>
    <w:p w:rsidR="007B5F0B" w:rsidP="00595B10" w14:paraId="02BBFCB9" w14:textId="1394CB58">
      <w:pPr>
        <w:pStyle w:val="BodyText"/>
        <w:ind w:right="144"/>
      </w:pPr>
      <w:r>
        <w:t xml:space="preserve">Section 482.90 requires transplant programs to use written patient selection criteria </w:t>
      </w:r>
      <w:r w:rsidR="00AA2ECE">
        <w:t>whe</w:t>
      </w:r>
      <w:r>
        <w:t>n determining a patient's suitability for placement on the</w:t>
      </w:r>
      <w:r w:rsidR="00AA2ECE">
        <w:t xml:space="preserve"> transplant</w:t>
      </w:r>
      <w:r>
        <w:t xml:space="preserve"> waiting list or </w:t>
      </w:r>
      <w:r w:rsidR="00AA2ECE">
        <w:t>for receiving a transplant</w:t>
      </w:r>
      <w:r>
        <w:t xml:space="preserve">. If a </w:t>
      </w:r>
      <w:r w:rsidR="00AA2ECE">
        <w:t>program</w:t>
      </w:r>
      <w:r>
        <w:t xml:space="preserve"> performs living donor transplants, </w:t>
      </w:r>
      <w:r w:rsidR="00AA2ECE">
        <w:t xml:space="preserve">it </w:t>
      </w:r>
      <w:r>
        <w:t xml:space="preserve">must also use written donor selection criteria </w:t>
      </w:r>
      <w:r w:rsidR="00AA2ECE">
        <w:t>to evaluate</w:t>
      </w:r>
      <w:r>
        <w:t xml:space="preserve"> the suitability of candidates for donation. </w:t>
      </w:r>
    </w:p>
    <w:p w:rsidR="007B5F0B" w:rsidP="00595B10" w14:paraId="4AA074D6" w14:textId="77777777">
      <w:pPr>
        <w:pStyle w:val="BodyText"/>
        <w:ind w:right="144"/>
      </w:pPr>
    </w:p>
    <w:p w:rsidR="00AA2ECE" w:rsidP="00595B10" w14:paraId="5523756A" w14:textId="22DB2A99">
      <w:pPr>
        <w:pStyle w:val="BodyText"/>
        <w:ind w:right="144"/>
      </w:pPr>
      <w:r>
        <w:t>Specifically</w:t>
      </w:r>
      <w:r w:rsidRPr="00AA2ECE">
        <w:t>,</w:t>
      </w:r>
      <w:r w:rsidRPr="00AA2ECE">
        <w:t xml:space="preserve"> </w:t>
      </w:r>
      <w:r w:rsidR="00615C97">
        <w:t>section</w:t>
      </w:r>
      <w:r w:rsidRPr="00AA2ECE">
        <w:t xml:space="preserve"> </w:t>
      </w:r>
      <w:r w:rsidRPr="00AA2ECE" w:rsidR="007B5F0B">
        <w:t>482.90</w:t>
      </w:r>
      <w:r w:rsidR="007B5F0B">
        <w:t xml:space="preserve">(a) states that before </w:t>
      </w:r>
      <w:r>
        <w:t xml:space="preserve">placing </w:t>
      </w:r>
      <w:r w:rsidR="007B5F0B">
        <w:t xml:space="preserve">a transplant candidate on its </w:t>
      </w:r>
      <w:r w:rsidR="007B5F0B">
        <w:t>waiting list, the</w:t>
      </w:r>
      <w:r>
        <w:t xml:space="preserve"> transplant program </w:t>
      </w:r>
      <w:r w:rsidR="007B5F0B">
        <w:t>must document</w:t>
      </w:r>
      <w:r>
        <w:t xml:space="preserve"> </w:t>
      </w:r>
      <w:r w:rsidR="007B5F0B">
        <w:t xml:space="preserve">the candidate's blood type </w:t>
      </w:r>
      <w:r>
        <w:t xml:space="preserve">in the medical record. </w:t>
      </w:r>
      <w:r w:rsidR="007B5F0B">
        <w:t xml:space="preserve">When a patient is </w:t>
      </w:r>
      <w:r w:rsidR="001A747B">
        <w:t xml:space="preserve">either </w:t>
      </w:r>
      <w:r w:rsidR="007B5F0B">
        <w:t xml:space="preserve">placed on </w:t>
      </w:r>
      <w:r>
        <w:t>the</w:t>
      </w:r>
      <w:r w:rsidR="007B5F0B">
        <w:t xml:space="preserve"> waiting list or selected to receive a transplant, the </w:t>
      </w:r>
      <w:r>
        <w:t>program</w:t>
      </w:r>
      <w:r w:rsidR="007B5F0B">
        <w:t xml:space="preserve"> must document in the patient's medical record the </w:t>
      </w:r>
      <w:r>
        <w:t xml:space="preserve">specific </w:t>
      </w:r>
      <w:r w:rsidR="007B5F0B">
        <w:t>selection criteria used</w:t>
      </w:r>
      <w:r>
        <w:t xml:space="preserve">. Upon request, the transplant program must provide a copy of its patient selection criteria to the transplant patient or the referring dialysis facility. </w:t>
      </w:r>
    </w:p>
    <w:p w:rsidR="00A91A8C" w:rsidP="00F474C4" w14:paraId="1A6AF9A9" w14:textId="6AA06D71">
      <w:pPr>
        <w:pStyle w:val="BodyText"/>
        <w:ind w:right="144"/>
      </w:pPr>
      <w:r>
        <w:t>Section 482.90(b)</w:t>
      </w:r>
      <w:r w:rsidR="00AA2ECE">
        <w:t xml:space="preserve"> requires </w:t>
      </w:r>
      <w:r>
        <w:t xml:space="preserve">that transplant </w:t>
      </w:r>
      <w:r w:rsidR="00FB53AD">
        <w:t>program</w:t>
      </w:r>
      <w:r w:rsidR="00AA2ECE">
        <w:t>s</w:t>
      </w:r>
      <w:r>
        <w:t xml:space="preserve"> </w:t>
      </w:r>
      <w:r w:rsidR="00FB53AD">
        <w:t xml:space="preserve">also </w:t>
      </w:r>
      <w:r>
        <w:t xml:space="preserve">document </w:t>
      </w:r>
      <w:r w:rsidR="00AA2ECE">
        <w:t>the</w:t>
      </w:r>
      <w:r w:rsidR="00615C97">
        <w:t xml:space="preserve"> living</w:t>
      </w:r>
      <w:r w:rsidR="00AA2ECE">
        <w:t xml:space="preserve"> donor’s medical suitability and confirmation of informed consent</w:t>
      </w:r>
      <w:r w:rsidR="00615C97">
        <w:t xml:space="preserve"> in their medical record</w:t>
      </w:r>
      <w:r w:rsidR="00AA2ECE">
        <w:t>, as required by</w:t>
      </w:r>
      <w:r w:rsidR="00615C97">
        <w:t xml:space="preserve"> </w:t>
      </w:r>
      <w:r>
        <w:t>§ 482.102(b).</w:t>
      </w:r>
      <w:r w:rsidR="008D6D82">
        <w:t xml:space="preserve"> </w:t>
      </w:r>
      <w:r>
        <w:t>T</w:t>
      </w:r>
      <w:r w:rsidRPr="00FB53AD" w:rsidR="00FB53AD">
        <w:t xml:space="preserve">he burden associated with </w:t>
      </w:r>
      <w:r w:rsidR="00311C7F">
        <w:t xml:space="preserve">this </w:t>
      </w:r>
      <w:r w:rsidR="009F6C7F">
        <w:t>requirement</w:t>
      </w:r>
      <w:r w:rsidRPr="00A91A8C">
        <w:t xml:space="preserve"> </w:t>
      </w:r>
      <w:r w:rsidRPr="00722007">
        <w:t xml:space="preserve">is the time required for: </w:t>
      </w:r>
    </w:p>
    <w:p w:rsidR="00AA2ECE" w:rsidP="00F474C4" w14:paraId="32378E19" w14:textId="19EEAAFD">
      <w:pPr>
        <w:pStyle w:val="BodyText"/>
        <w:numPr>
          <w:ilvl w:val="0"/>
          <w:numId w:val="41"/>
        </w:numPr>
        <w:ind w:right="144"/>
      </w:pPr>
      <w:r>
        <w:t xml:space="preserve">For </w:t>
      </w:r>
      <w:r w:rsidRPr="00A91A8C">
        <w:rPr>
          <w:b/>
          <w:bCs/>
          <w:i/>
          <w:iCs/>
        </w:rPr>
        <w:t>new</w:t>
      </w:r>
      <w:r>
        <w:t xml:space="preserve"> transplant programs </w:t>
      </w:r>
      <w:r w:rsidRPr="00FB53AD" w:rsidR="00FB53AD">
        <w:t>to develop</w:t>
      </w:r>
      <w:r>
        <w:t xml:space="preserve"> written selection criteria for transplant recipients and living </w:t>
      </w:r>
      <w:r>
        <w:t>donors</w:t>
      </w:r>
      <w:r w:rsidR="00615C97">
        <w:t>;</w:t>
      </w:r>
    </w:p>
    <w:p w:rsidR="007B5F0B" w:rsidP="00F474C4" w14:paraId="7CAE1B54" w14:textId="6A6B10EB">
      <w:pPr>
        <w:pStyle w:val="BodyText"/>
        <w:numPr>
          <w:ilvl w:val="0"/>
          <w:numId w:val="41"/>
        </w:numPr>
        <w:ind w:right="144"/>
      </w:pPr>
      <w:r>
        <w:t xml:space="preserve">For </w:t>
      </w:r>
      <w:r w:rsidRPr="00A91A8C">
        <w:rPr>
          <w:b/>
          <w:bCs/>
          <w:i/>
          <w:iCs/>
        </w:rPr>
        <w:t xml:space="preserve">existing </w:t>
      </w:r>
      <w:r>
        <w:t>transplant programs to document patient and donor information in the medical record in accordance with the selection criteria.</w:t>
      </w:r>
    </w:p>
    <w:p w:rsidR="00AA2ECE" w:rsidP="00F474C4" w14:paraId="1160CEA3" w14:textId="77777777">
      <w:pPr>
        <w:pStyle w:val="BodyText"/>
        <w:ind w:right="144"/>
      </w:pPr>
    </w:p>
    <w:p w:rsidR="00FB53AD" w:rsidRPr="00FB53AD" w:rsidP="00595B10" w14:paraId="201ACC21" w14:textId="74EDAF30">
      <w:pPr>
        <w:pStyle w:val="BodyText"/>
        <w:ind w:right="144"/>
      </w:pPr>
      <w:r w:rsidRPr="00FB53AD">
        <w:t xml:space="preserve">We continue to </w:t>
      </w:r>
      <w:r w:rsidR="00AA2ECE">
        <w:t>assume</w:t>
      </w:r>
      <w:r w:rsidRPr="00FB53AD">
        <w:t xml:space="preserve"> that all transplant </w:t>
      </w:r>
      <w:r w:rsidR="00311C7F">
        <w:t>programs</w:t>
      </w:r>
      <w:r w:rsidRPr="00FB53AD">
        <w:t xml:space="preserve"> </w:t>
      </w:r>
      <w:r w:rsidR="00AA2ECE">
        <w:t xml:space="preserve">already </w:t>
      </w:r>
      <w:r w:rsidR="00FC310A">
        <w:t>maintain written</w:t>
      </w:r>
      <w:r w:rsidR="00615C97">
        <w:t xml:space="preserve"> </w:t>
      </w:r>
      <w:r w:rsidRPr="00FB53AD">
        <w:t>selection criteria for transplant recipients and living donors (</w:t>
      </w:r>
      <w:r w:rsidR="00FC310A">
        <w:t>where applicable) and that</w:t>
      </w:r>
      <w:r w:rsidR="00615C97">
        <w:t xml:space="preserve"> </w:t>
      </w:r>
      <w:r w:rsidRPr="00FB53AD">
        <w:t>document</w:t>
      </w:r>
      <w:r w:rsidR="00FC310A">
        <w:t xml:space="preserve">ing such information </w:t>
      </w:r>
      <w:r w:rsidRPr="00FB53AD">
        <w:t>in the medical record</w:t>
      </w:r>
      <w:r w:rsidR="00615C97">
        <w:t xml:space="preserve"> </w:t>
      </w:r>
      <w:r w:rsidR="00FC310A">
        <w:t xml:space="preserve">is standard medical practice. Recording whether patients meet selection criteria prior to surgery is considered a usual </w:t>
      </w:r>
      <w:r w:rsidRPr="009231C6" w:rsidR="00FC310A">
        <w:t xml:space="preserve">and customary business practice for hospitals. </w:t>
      </w:r>
      <w:r w:rsidRPr="009231C6">
        <w:t xml:space="preserve">Therefore, pursuant to </w:t>
      </w:r>
      <w:hyperlink r:id="rId13" w:anchor="p-1320.3(b)(2)" w:history="1">
        <w:r w:rsidRPr="002C3BE9">
          <w:rPr>
            <w:rStyle w:val="Hyperlink"/>
            <w:color w:val="auto"/>
            <w:u w:val="none"/>
          </w:rPr>
          <w:t xml:space="preserve">5 CFR </w:t>
        </w:r>
        <w:r w:rsidRPr="002C3BE9" w:rsidR="00311C7F">
          <w:rPr>
            <w:rStyle w:val="Hyperlink"/>
            <w:color w:val="auto"/>
            <w:u w:val="none"/>
          </w:rPr>
          <w:t xml:space="preserve">§ </w:t>
        </w:r>
        <w:r w:rsidRPr="002C3BE9">
          <w:rPr>
            <w:rStyle w:val="Hyperlink"/>
            <w:color w:val="auto"/>
            <w:u w:val="none"/>
          </w:rPr>
          <w:t>1320.3(b)(2)</w:t>
        </w:r>
      </w:hyperlink>
      <w:r w:rsidRPr="009231C6">
        <w:t xml:space="preserve">, </w:t>
      </w:r>
      <w:r w:rsidRPr="009231C6" w:rsidR="00FC310A">
        <w:t>the burden associated with these activities is excluded from PRA consideration.</w:t>
      </w:r>
    </w:p>
    <w:p w:rsidR="007B5F0B" w:rsidP="00595B10" w14:paraId="6D1CDD47" w14:textId="77777777">
      <w:pPr>
        <w:pStyle w:val="BodyText"/>
        <w:ind w:right="144"/>
      </w:pPr>
    </w:p>
    <w:p w:rsidR="00280BFB" w:rsidRPr="002C3BE9" w:rsidP="00595B10" w14:paraId="66903063" w14:textId="69E83FA4">
      <w:pPr>
        <w:pStyle w:val="Heading6"/>
        <w:spacing w:before="0"/>
      </w:pPr>
      <w:r w:rsidRPr="009231C6">
        <w:t xml:space="preserve">§ </w:t>
      </w:r>
      <w:r w:rsidRPr="009231C6">
        <w:t xml:space="preserve">482.92 - </w:t>
      </w:r>
      <w:r w:rsidRPr="002C3BE9">
        <w:t>Organ recovery and receipt</w:t>
      </w:r>
    </w:p>
    <w:p w:rsidR="00FC310A" w:rsidP="00595B10" w14:paraId="028AEE71" w14:textId="52B2B00A">
      <w:pPr>
        <w:pStyle w:val="BodyText"/>
        <w:ind w:right="144"/>
      </w:pPr>
      <w:r w:rsidRPr="00722007">
        <w:t xml:space="preserve">Section 482.92 requires </w:t>
      </w:r>
      <w:r w:rsidRPr="00722007" w:rsidR="009F6C7F">
        <w:t>new and existing t</w:t>
      </w:r>
      <w:r w:rsidRPr="00722007" w:rsidR="00230F46">
        <w:t xml:space="preserve">ransplant programs </w:t>
      </w:r>
      <w:r w:rsidRPr="00722007">
        <w:t xml:space="preserve">to </w:t>
      </w:r>
      <w:r w:rsidRPr="00722007" w:rsidR="00230F46">
        <w:t xml:space="preserve">have written protocols </w:t>
      </w:r>
      <w:r w:rsidRPr="00722007" w:rsidR="009F6C7F">
        <w:t xml:space="preserve">to validate donor-recipient matching of blood types and other vital data for deceased </w:t>
      </w:r>
      <w:r w:rsidRPr="00722007">
        <w:t xml:space="preserve">donor </w:t>
      </w:r>
      <w:r w:rsidRPr="00722007" w:rsidR="009F6C7F">
        <w:t>organ recovery, organ receipt, and</w:t>
      </w:r>
      <w:r w:rsidRPr="00722007">
        <w:t xml:space="preserve"> the</w:t>
      </w:r>
      <w:r w:rsidRPr="00722007" w:rsidR="009F6C7F">
        <w:t xml:space="preserve"> living donor transplantation process.</w:t>
      </w:r>
      <w:r w:rsidR="008D6D82">
        <w:t xml:space="preserve"> </w:t>
      </w:r>
      <w:r w:rsidRPr="00722007" w:rsidR="002C5859">
        <w:t xml:space="preserve">The burden </w:t>
      </w:r>
      <w:r w:rsidRPr="00722007" w:rsidR="007A7AA3">
        <w:t>associated with this requirement</w:t>
      </w:r>
      <w:r w:rsidR="008D0E74">
        <w:t xml:space="preserve"> </w:t>
      </w:r>
      <w:r w:rsidRPr="00722007" w:rsidR="002C5859">
        <w:t xml:space="preserve">is the time required </w:t>
      </w:r>
      <w:r w:rsidRPr="00722007" w:rsidR="007A7AA3">
        <w:t xml:space="preserve">for: </w:t>
      </w:r>
    </w:p>
    <w:p w:rsidR="008D0E74" w:rsidP="00595B10" w14:paraId="0656FA9F" w14:textId="36EA52F7">
      <w:pPr>
        <w:pStyle w:val="ListBullet"/>
        <w:numPr>
          <w:ilvl w:val="0"/>
          <w:numId w:val="39"/>
        </w:numPr>
        <w:rPr>
          <w:sz w:val="24"/>
          <w:szCs w:val="24"/>
        </w:rPr>
      </w:pPr>
      <w:r w:rsidRPr="002C3BE9">
        <w:rPr>
          <w:sz w:val="24"/>
          <w:szCs w:val="24"/>
        </w:rPr>
        <w:t xml:space="preserve">For </w:t>
      </w:r>
      <w:r w:rsidRPr="002C3BE9" w:rsidR="007A7AA3">
        <w:rPr>
          <w:b/>
          <w:bCs/>
          <w:i/>
          <w:iCs/>
          <w:sz w:val="24"/>
          <w:szCs w:val="24"/>
        </w:rPr>
        <w:t xml:space="preserve">new </w:t>
      </w:r>
      <w:r w:rsidRPr="002C3BE9" w:rsidR="007A7AA3">
        <w:rPr>
          <w:sz w:val="24"/>
          <w:szCs w:val="24"/>
        </w:rPr>
        <w:t xml:space="preserve">transplant programs </w:t>
      </w:r>
      <w:r w:rsidRPr="002C3BE9" w:rsidR="002C5859">
        <w:rPr>
          <w:sz w:val="24"/>
          <w:szCs w:val="24"/>
        </w:rPr>
        <w:t xml:space="preserve">to develop written </w:t>
      </w:r>
      <w:r w:rsidRPr="002C3BE9" w:rsidR="002C5859">
        <w:rPr>
          <w:sz w:val="24"/>
          <w:szCs w:val="24"/>
        </w:rPr>
        <w:t>protocols</w:t>
      </w:r>
      <w:r w:rsidRPr="002C3BE9" w:rsidR="00722584">
        <w:rPr>
          <w:sz w:val="24"/>
          <w:szCs w:val="24"/>
        </w:rPr>
        <w:t>;</w:t>
      </w:r>
      <w:r w:rsidRPr="002C3BE9" w:rsidR="009F6C7F">
        <w:rPr>
          <w:sz w:val="24"/>
          <w:szCs w:val="24"/>
        </w:rPr>
        <w:t xml:space="preserve"> </w:t>
      </w:r>
    </w:p>
    <w:p w:rsidR="00FC310A" w:rsidP="00595B10" w14:paraId="55AB0F9A" w14:textId="312227A0">
      <w:pPr>
        <w:pStyle w:val="ListBullet"/>
        <w:numPr>
          <w:ilvl w:val="0"/>
          <w:numId w:val="39"/>
        </w:numPr>
        <w:rPr>
          <w:sz w:val="24"/>
          <w:szCs w:val="24"/>
        </w:rPr>
      </w:pPr>
      <w:r w:rsidRPr="008D0E74">
        <w:rPr>
          <w:sz w:val="24"/>
          <w:szCs w:val="24"/>
        </w:rPr>
        <w:t xml:space="preserve">For </w:t>
      </w:r>
      <w:r w:rsidRPr="002C3BE9" w:rsidR="009F6C7F">
        <w:rPr>
          <w:b/>
          <w:bCs/>
          <w:i/>
          <w:iCs/>
          <w:sz w:val="24"/>
          <w:szCs w:val="24"/>
        </w:rPr>
        <w:t xml:space="preserve">existing </w:t>
      </w:r>
      <w:r w:rsidRPr="002C3BE9" w:rsidR="009F6C7F">
        <w:rPr>
          <w:sz w:val="24"/>
          <w:szCs w:val="24"/>
        </w:rPr>
        <w:t xml:space="preserve">transplant programs to maintain written protocols. </w:t>
      </w:r>
    </w:p>
    <w:p w:rsidR="008D0E74" w:rsidRPr="00A91A8C" w:rsidP="00F474C4" w14:paraId="6010564D" w14:textId="77777777">
      <w:pPr>
        <w:pStyle w:val="ListBullet"/>
        <w:ind w:left="360"/>
        <w:rPr>
          <w:sz w:val="24"/>
          <w:szCs w:val="24"/>
        </w:rPr>
      </w:pPr>
    </w:p>
    <w:p w:rsidR="00FC310A" w:rsidRPr="002C3BE9" w:rsidP="00F474C4" w14:paraId="4178D087" w14:textId="785CD8D6">
      <w:pPr>
        <w:pStyle w:val="ListBullet"/>
        <w:rPr>
          <w:sz w:val="24"/>
          <w:szCs w:val="24"/>
        </w:rPr>
      </w:pPr>
      <w:r w:rsidRPr="002C3BE9">
        <w:rPr>
          <w:sz w:val="24"/>
          <w:szCs w:val="24"/>
        </w:rPr>
        <w:t xml:space="preserve">We continue to assume that </w:t>
      </w:r>
      <w:r w:rsidRPr="002C3BE9" w:rsidR="00C23BA6">
        <w:rPr>
          <w:sz w:val="24"/>
          <w:szCs w:val="24"/>
        </w:rPr>
        <w:t>it is usual and customary business practice for</w:t>
      </w:r>
      <w:r w:rsidR="005674A4">
        <w:rPr>
          <w:sz w:val="24"/>
          <w:szCs w:val="24"/>
        </w:rPr>
        <w:t xml:space="preserve">: a) </w:t>
      </w:r>
      <w:r w:rsidRPr="002C3BE9" w:rsidR="00C23BA6">
        <w:rPr>
          <w:sz w:val="24"/>
          <w:szCs w:val="24"/>
        </w:rPr>
        <w:t xml:space="preserve">new transplant programs to </w:t>
      </w:r>
      <w:r w:rsidRPr="002C3BE9">
        <w:rPr>
          <w:sz w:val="24"/>
          <w:szCs w:val="24"/>
        </w:rPr>
        <w:t>develop written protocols for critical functions such as those required by this CoP</w:t>
      </w:r>
      <w:r w:rsidR="005674A4">
        <w:rPr>
          <w:sz w:val="24"/>
          <w:szCs w:val="24"/>
        </w:rPr>
        <w:t xml:space="preserve">; and b) </w:t>
      </w:r>
      <w:r w:rsidRPr="002C3BE9" w:rsidR="00C23BA6">
        <w:rPr>
          <w:sz w:val="24"/>
          <w:szCs w:val="24"/>
        </w:rPr>
        <w:t>existing transplant programs to</w:t>
      </w:r>
      <w:r w:rsidRPr="002C3BE9">
        <w:rPr>
          <w:sz w:val="24"/>
          <w:szCs w:val="24"/>
        </w:rPr>
        <w:t xml:space="preserve"> </w:t>
      </w:r>
      <w:r w:rsidRPr="002C3BE9" w:rsidR="00C23BA6">
        <w:rPr>
          <w:sz w:val="24"/>
          <w:szCs w:val="24"/>
        </w:rPr>
        <w:t>maintain the writt</w:t>
      </w:r>
      <w:r w:rsidRPr="002C3BE9">
        <w:rPr>
          <w:sz w:val="24"/>
          <w:szCs w:val="24"/>
        </w:rPr>
        <w:t xml:space="preserve">en protocols. </w:t>
      </w:r>
    </w:p>
    <w:p w:rsidR="009F6C7F" w:rsidRPr="00722007" w:rsidP="00F474C4" w14:paraId="7582E7F9" w14:textId="5A25692F">
      <w:pPr>
        <w:pStyle w:val="BodyText"/>
        <w:ind w:right="144"/>
      </w:pPr>
      <w:r w:rsidRPr="00722007">
        <w:t>Therefore, w</w:t>
      </w:r>
      <w:r w:rsidRPr="00722007">
        <w:t xml:space="preserve">e continue to exclude burden for these requirements </w:t>
      </w:r>
      <w:r w:rsidRPr="00722007">
        <w:t>pursuant to</w:t>
      </w:r>
      <w:r w:rsidRPr="00722007">
        <w:t xml:space="preserve"> </w:t>
      </w:r>
      <w:hyperlink r:id="rId13" w:anchor="p-1320.3(b)(2)" w:history="1">
        <w:r w:rsidRPr="002C3BE9">
          <w:t xml:space="preserve">5 CFR </w:t>
        </w:r>
        <w:r w:rsidRPr="002C3BE9">
          <w:t xml:space="preserve">§ </w:t>
        </w:r>
        <w:r w:rsidRPr="002C3BE9">
          <w:t>1320.3(b)(2)</w:t>
        </w:r>
      </w:hyperlink>
      <w:r w:rsidRPr="00722007">
        <w:t>.</w:t>
      </w:r>
    </w:p>
    <w:p w:rsidR="002C5859" w:rsidP="00F474C4" w14:paraId="0895230D" w14:textId="39E181B8">
      <w:pPr>
        <w:pStyle w:val="BodyText"/>
        <w:ind w:right="144"/>
      </w:pPr>
    </w:p>
    <w:p w:rsidR="00C63703" w:rsidRPr="00527FB9" w:rsidP="00595B10" w14:paraId="407DF825" w14:textId="705119C0">
      <w:pPr>
        <w:pStyle w:val="Heading6"/>
        <w:spacing w:before="0"/>
      </w:pPr>
      <w:r w:rsidRPr="00527FB9">
        <w:t xml:space="preserve">§ </w:t>
      </w:r>
      <w:r w:rsidRPr="00527FB9" w:rsidR="0052602B">
        <w:t>482.94</w:t>
      </w:r>
      <w:r w:rsidRPr="002C3BE9" w:rsidR="005674A4">
        <w:rPr>
          <w:szCs w:val="20"/>
        </w:rPr>
        <w:t xml:space="preserve">(a) </w:t>
      </w:r>
      <w:r w:rsidRPr="002C3BE9" w:rsidR="00DF660D">
        <w:rPr>
          <w:szCs w:val="20"/>
        </w:rPr>
        <w:t>-</w:t>
      </w:r>
      <w:r w:rsidR="00A91A8C">
        <w:rPr>
          <w:szCs w:val="20"/>
        </w:rPr>
        <w:t xml:space="preserve"> </w:t>
      </w:r>
      <w:r w:rsidRPr="00527FB9" w:rsidR="0052602B">
        <w:t xml:space="preserve">Patient and living donor </w:t>
      </w:r>
      <w:r w:rsidRPr="00A91A8C" w:rsidR="005674A4">
        <w:t xml:space="preserve">care </w:t>
      </w:r>
    </w:p>
    <w:p w:rsidR="007018E1" w:rsidP="00F474C4" w14:paraId="2B460A43" w14:textId="03E14638">
      <w:pPr>
        <w:pStyle w:val="BodyText"/>
        <w:spacing w:before="5"/>
        <w:rPr>
          <w:szCs w:val="20"/>
        </w:rPr>
      </w:pPr>
      <w:r w:rsidRPr="00234079">
        <w:rPr>
          <w:szCs w:val="20"/>
        </w:rPr>
        <w:t>Section</w:t>
      </w:r>
      <w:r>
        <w:rPr>
          <w:szCs w:val="20"/>
        </w:rPr>
        <w:t xml:space="preserve"> 482.94</w:t>
      </w:r>
      <w:r>
        <w:rPr>
          <w:szCs w:val="20"/>
        </w:rPr>
        <w:t>(a)</w:t>
      </w:r>
      <w:r>
        <w:rPr>
          <w:szCs w:val="20"/>
        </w:rPr>
        <w:t xml:space="preserve"> requires t</w:t>
      </w:r>
      <w:r w:rsidRPr="002F0B9A">
        <w:rPr>
          <w:szCs w:val="20"/>
        </w:rPr>
        <w:t xml:space="preserve">ransplant </w:t>
      </w:r>
      <w:r>
        <w:rPr>
          <w:szCs w:val="20"/>
        </w:rPr>
        <w:t>programs</w:t>
      </w:r>
      <w:r w:rsidRPr="002F0B9A">
        <w:rPr>
          <w:szCs w:val="20"/>
        </w:rPr>
        <w:t xml:space="preserve"> </w:t>
      </w:r>
      <w:r>
        <w:rPr>
          <w:szCs w:val="20"/>
        </w:rPr>
        <w:t>to have</w:t>
      </w:r>
      <w:r w:rsidRPr="002F0B9A">
        <w:rPr>
          <w:szCs w:val="20"/>
        </w:rPr>
        <w:t xml:space="preserve"> written patient management policies </w:t>
      </w:r>
      <w:r w:rsidRPr="00C23BA6" w:rsidR="00C23BA6">
        <w:rPr>
          <w:szCs w:val="20"/>
        </w:rPr>
        <w:t>for the transplant and discharge phases of transplantation.</w:t>
      </w:r>
      <w:r w:rsidR="00C23BA6">
        <w:rPr>
          <w:szCs w:val="20"/>
        </w:rPr>
        <w:t xml:space="preserve"> </w:t>
      </w:r>
      <w:r>
        <w:rPr>
          <w:szCs w:val="20"/>
        </w:rPr>
        <w:t>In addition, i</w:t>
      </w:r>
      <w:r w:rsidRPr="007018E1">
        <w:rPr>
          <w:szCs w:val="20"/>
        </w:rPr>
        <w:t xml:space="preserve">f a transplant </w:t>
      </w:r>
      <w:r>
        <w:rPr>
          <w:szCs w:val="20"/>
        </w:rPr>
        <w:t>program</w:t>
      </w:r>
      <w:r w:rsidRPr="007018E1">
        <w:rPr>
          <w:szCs w:val="20"/>
        </w:rPr>
        <w:t xml:space="preserve"> performs living donor transplants, </w:t>
      </w:r>
      <w:r>
        <w:rPr>
          <w:szCs w:val="20"/>
        </w:rPr>
        <w:t>it</w:t>
      </w:r>
      <w:r w:rsidRPr="007018E1">
        <w:rPr>
          <w:szCs w:val="20"/>
        </w:rPr>
        <w:t xml:space="preserve"> must </w:t>
      </w:r>
      <w:r>
        <w:rPr>
          <w:szCs w:val="20"/>
        </w:rPr>
        <w:t xml:space="preserve">also </w:t>
      </w:r>
      <w:r w:rsidRPr="007018E1">
        <w:rPr>
          <w:szCs w:val="20"/>
        </w:rPr>
        <w:t>have written donor management policies for the donor evaluation, donation, and discharge phases of living organ donation</w:t>
      </w:r>
      <w:r w:rsidRPr="002F0B9A">
        <w:rPr>
          <w:szCs w:val="20"/>
        </w:rPr>
        <w:t xml:space="preserve">. </w:t>
      </w:r>
    </w:p>
    <w:p w:rsidR="007018E1" w:rsidP="00417BD1" w14:paraId="0BC82AD3" w14:textId="77777777">
      <w:pPr>
        <w:pStyle w:val="BodyText"/>
        <w:spacing w:before="5"/>
        <w:rPr>
          <w:szCs w:val="20"/>
        </w:rPr>
      </w:pPr>
    </w:p>
    <w:p w:rsidR="007018E1" w:rsidRPr="00FB53AD" w:rsidP="00595B10" w14:paraId="567EBB85" w14:textId="4D548805">
      <w:pPr>
        <w:pStyle w:val="BodyText"/>
      </w:pPr>
      <w:r w:rsidRPr="002F0B9A">
        <w:rPr>
          <w:szCs w:val="20"/>
        </w:rPr>
        <w:t>The burden associated with these requirement</w:t>
      </w:r>
      <w:r w:rsidR="007A7AA3">
        <w:rPr>
          <w:szCs w:val="20"/>
        </w:rPr>
        <w:t>s</w:t>
      </w:r>
      <w:r w:rsidRPr="002F0B9A">
        <w:rPr>
          <w:szCs w:val="20"/>
        </w:rPr>
        <w:t xml:space="preserve"> is the time to develop written patient</w:t>
      </w:r>
      <w:r w:rsidR="00722584">
        <w:rPr>
          <w:szCs w:val="20"/>
        </w:rPr>
        <w:t xml:space="preserve"> and donor</w:t>
      </w:r>
      <w:r w:rsidRPr="002F0B9A">
        <w:rPr>
          <w:szCs w:val="20"/>
        </w:rPr>
        <w:t xml:space="preserve"> management policies.</w:t>
      </w:r>
      <w:r>
        <w:rPr>
          <w:szCs w:val="20"/>
        </w:rPr>
        <w:t xml:space="preserve"> </w:t>
      </w:r>
      <w:r w:rsidR="00234079">
        <w:rPr>
          <w:szCs w:val="20"/>
        </w:rPr>
        <w:t xml:space="preserve">However, we </w:t>
      </w:r>
      <w:r w:rsidRPr="007018E1">
        <w:rPr>
          <w:szCs w:val="20"/>
        </w:rPr>
        <w:t xml:space="preserve">believe </w:t>
      </w:r>
      <w:r w:rsidR="00234079">
        <w:rPr>
          <w:szCs w:val="20"/>
        </w:rPr>
        <w:t>this</w:t>
      </w:r>
      <w:r w:rsidRPr="007018E1">
        <w:rPr>
          <w:szCs w:val="20"/>
        </w:rPr>
        <w:t xml:space="preserve"> is</w:t>
      </w:r>
      <w:r w:rsidR="00234079">
        <w:rPr>
          <w:szCs w:val="20"/>
        </w:rPr>
        <w:t xml:space="preserve"> a</w:t>
      </w:r>
      <w:r w:rsidRPr="007018E1">
        <w:rPr>
          <w:szCs w:val="20"/>
        </w:rPr>
        <w:t xml:space="preserve"> usual and customary business </w:t>
      </w:r>
      <w:r w:rsidRPr="007018E1">
        <w:rPr>
          <w:szCs w:val="20"/>
        </w:rPr>
        <w:t xml:space="preserve">practice for transplant </w:t>
      </w:r>
      <w:r>
        <w:rPr>
          <w:szCs w:val="20"/>
        </w:rPr>
        <w:t>programs</w:t>
      </w:r>
      <w:r w:rsidRPr="007018E1">
        <w:rPr>
          <w:szCs w:val="20"/>
        </w:rPr>
        <w:t>, as it would be for any major health care facility</w:t>
      </w:r>
      <w:r w:rsidR="00234079">
        <w:rPr>
          <w:szCs w:val="20"/>
        </w:rPr>
        <w:t xml:space="preserve">. Therefore, in accordance </w:t>
      </w:r>
      <w:r w:rsidRPr="00234079" w:rsidR="00234079">
        <w:rPr>
          <w:szCs w:val="20"/>
        </w:rPr>
        <w:t xml:space="preserve">with </w:t>
      </w:r>
      <w:hyperlink r:id="rId13" w:anchor="p-1320.3(b)(2)" w:history="1">
        <w:r w:rsidRPr="002C3BE9">
          <w:rPr>
            <w:rStyle w:val="Hyperlink"/>
            <w:color w:val="auto"/>
            <w:u w:val="none"/>
          </w:rPr>
          <w:t>5 CFR § 1320.3(b)(2)</w:t>
        </w:r>
      </w:hyperlink>
      <w:r w:rsidRPr="00234079">
        <w:t xml:space="preserve">, we </w:t>
      </w:r>
      <w:r w:rsidRPr="00234079" w:rsidR="00234079">
        <w:t xml:space="preserve">do not estimate a burden </w:t>
      </w:r>
      <w:r w:rsidRPr="00234079">
        <w:t xml:space="preserve">for these activities. </w:t>
      </w:r>
    </w:p>
    <w:p w:rsidR="002C3BE9" w:rsidRPr="004E5C29" w:rsidP="00595B10" w14:paraId="34419CEE" w14:textId="77777777">
      <w:pPr>
        <w:pStyle w:val="Heading6"/>
        <w:spacing w:before="0"/>
      </w:pPr>
      <w:r w:rsidRPr="004E5C29">
        <w:t>§</w:t>
      </w:r>
      <w:r w:rsidRPr="004E5C29" w:rsidR="00B2756E">
        <w:t xml:space="preserve"> </w:t>
      </w:r>
      <w:r w:rsidRPr="004E5C29" w:rsidR="00234079">
        <w:t>482.94</w:t>
      </w:r>
      <w:r w:rsidRPr="004E5C29" w:rsidR="008C68D2">
        <w:t>(b)</w:t>
      </w:r>
      <w:r w:rsidRPr="004E5C29" w:rsidR="009231C6">
        <w:t xml:space="preserve"> </w:t>
      </w:r>
      <w:r w:rsidRPr="004E5C29">
        <w:t xml:space="preserve">- </w:t>
      </w:r>
      <w:r w:rsidRPr="004E5C29" w:rsidR="007018E1">
        <w:t xml:space="preserve">Waiting </w:t>
      </w:r>
      <w:r w:rsidRPr="004E5C29" w:rsidR="00234079">
        <w:t>L</w:t>
      </w:r>
      <w:r w:rsidRPr="004E5C29" w:rsidR="007018E1">
        <w:t xml:space="preserve">ist </w:t>
      </w:r>
      <w:r w:rsidRPr="004E5C29" w:rsidR="00234079">
        <w:t>M</w:t>
      </w:r>
      <w:r w:rsidRPr="004E5C29" w:rsidR="007018E1">
        <w:t>anagement</w:t>
      </w:r>
    </w:p>
    <w:p w:rsidR="00234079" w:rsidP="00595B10" w14:paraId="13773BE2" w14:textId="6B1C359C">
      <w:pPr>
        <w:pStyle w:val="BodyText"/>
        <w:spacing w:before="5"/>
      </w:pPr>
      <w:r w:rsidRPr="00234079">
        <w:t>Section 482.94(b) requires t</w:t>
      </w:r>
      <w:r w:rsidRPr="00234079" w:rsidR="00887F0F">
        <w:t xml:space="preserve">ransplant programs </w:t>
      </w:r>
      <w:r w:rsidRPr="00234079">
        <w:t xml:space="preserve">to </w:t>
      </w:r>
      <w:r w:rsidRPr="00234079">
        <w:t xml:space="preserve">maintain an up-to-date waiting list by: </w:t>
      </w:r>
    </w:p>
    <w:p w:rsidR="00845832" w:rsidP="00595B10" w14:paraId="597C1FC1" w14:textId="77777777">
      <w:pPr>
        <w:pStyle w:val="ListBullet"/>
        <w:numPr>
          <w:ilvl w:val="0"/>
          <w:numId w:val="21"/>
        </w:numPr>
        <w:rPr>
          <w:sz w:val="24"/>
          <w:szCs w:val="24"/>
        </w:rPr>
      </w:pPr>
      <w:r w:rsidRPr="00234079">
        <w:rPr>
          <w:sz w:val="24"/>
          <w:szCs w:val="24"/>
        </w:rPr>
        <w:t xml:space="preserve">Updating clinical information </w:t>
      </w:r>
      <w:r>
        <w:rPr>
          <w:sz w:val="24"/>
          <w:szCs w:val="24"/>
        </w:rPr>
        <w:t>for patients on the</w:t>
      </w:r>
      <w:r w:rsidRPr="004207EF">
        <w:rPr>
          <w:sz w:val="24"/>
          <w:szCs w:val="24"/>
        </w:rPr>
        <w:t xml:space="preserve"> waiting </w:t>
      </w:r>
      <w:r w:rsidRPr="004207EF">
        <w:rPr>
          <w:sz w:val="24"/>
          <w:szCs w:val="24"/>
        </w:rPr>
        <w:t>list</w:t>
      </w:r>
      <w:r>
        <w:rPr>
          <w:sz w:val="24"/>
          <w:szCs w:val="24"/>
        </w:rPr>
        <w:t>;</w:t>
      </w:r>
    </w:p>
    <w:p w:rsidR="00234079" w:rsidP="00595B10" w14:paraId="63A6D6AE" w14:textId="13A689CE">
      <w:pPr>
        <w:pStyle w:val="ListBullet"/>
        <w:numPr>
          <w:ilvl w:val="0"/>
          <w:numId w:val="21"/>
        </w:numPr>
        <w:rPr>
          <w:sz w:val="24"/>
          <w:szCs w:val="24"/>
        </w:rPr>
      </w:pPr>
      <w:r w:rsidRPr="00845832">
        <w:rPr>
          <w:sz w:val="24"/>
          <w:szCs w:val="24"/>
        </w:rPr>
        <w:t xml:space="preserve">Removing patients </w:t>
      </w:r>
      <w:r w:rsidRPr="00845832" w:rsidR="00521A6A">
        <w:rPr>
          <w:sz w:val="24"/>
          <w:szCs w:val="24"/>
        </w:rPr>
        <w:t>who have received a transplant, died, or otherwise no longer qualify for the list;</w:t>
      </w:r>
      <w:r w:rsidRPr="00845832">
        <w:rPr>
          <w:sz w:val="24"/>
          <w:szCs w:val="24"/>
        </w:rPr>
        <w:t xml:space="preserve"> a</w:t>
      </w:r>
      <w:r w:rsidR="00845832">
        <w:rPr>
          <w:sz w:val="24"/>
          <w:szCs w:val="24"/>
        </w:rPr>
        <w:t>nd</w:t>
      </w:r>
    </w:p>
    <w:p w:rsidR="007018E1" w:rsidRPr="00845832" w:rsidP="00595B10" w14:paraId="0272FD34" w14:textId="0F814815">
      <w:pPr>
        <w:pStyle w:val="ListBullet"/>
        <w:numPr>
          <w:ilvl w:val="0"/>
          <w:numId w:val="21"/>
        </w:numPr>
      </w:pPr>
      <w:r w:rsidRPr="00845832">
        <w:rPr>
          <w:sz w:val="24"/>
          <w:szCs w:val="24"/>
        </w:rPr>
        <w:t xml:space="preserve">Notifying the OPTN </w:t>
      </w:r>
      <w:r w:rsidRPr="00845832" w:rsidR="00521A6A">
        <w:rPr>
          <w:sz w:val="24"/>
          <w:szCs w:val="24"/>
        </w:rPr>
        <w:t>within</w:t>
      </w:r>
      <w:r w:rsidRPr="00845832">
        <w:rPr>
          <w:sz w:val="24"/>
          <w:szCs w:val="24"/>
        </w:rPr>
        <w:t xml:space="preserve"> 24 hours </w:t>
      </w:r>
      <w:r w:rsidRPr="00845832" w:rsidR="00521A6A">
        <w:rPr>
          <w:sz w:val="24"/>
          <w:szCs w:val="24"/>
        </w:rPr>
        <w:t>of</w:t>
      </w:r>
      <w:r w:rsidRPr="00845832">
        <w:rPr>
          <w:sz w:val="24"/>
          <w:szCs w:val="24"/>
        </w:rPr>
        <w:t xml:space="preserve"> a patient's removal from the list.</w:t>
      </w:r>
    </w:p>
    <w:p w:rsidR="007018E1" w:rsidP="00595B10" w14:paraId="268C9204" w14:textId="77777777">
      <w:pPr>
        <w:pStyle w:val="BodyText"/>
        <w:spacing w:before="5"/>
        <w:rPr>
          <w:szCs w:val="20"/>
        </w:rPr>
      </w:pPr>
    </w:p>
    <w:p w:rsidR="009231C6" w:rsidRPr="00414E6F" w:rsidP="00595B10" w14:paraId="2C62CEF8" w14:textId="24F05E68">
      <w:pPr>
        <w:pStyle w:val="BodyText"/>
      </w:pPr>
      <w:r w:rsidRPr="00887F0F">
        <w:t xml:space="preserve">The burden associated with </w:t>
      </w:r>
      <w:r>
        <w:t xml:space="preserve">these provisions </w:t>
      </w:r>
      <w:r w:rsidRPr="00887F0F">
        <w:t xml:space="preserve">is the time </w:t>
      </w:r>
      <w:r>
        <w:t xml:space="preserve">required to </w:t>
      </w:r>
      <w:r w:rsidRPr="00887F0F">
        <w:t xml:space="preserve">document </w:t>
      </w:r>
      <w:r>
        <w:t>required information and maintain information. However, transplant programs are subject to similar requirements under OPTN polices, including notification procedures and recordkeeping. Therefore, we believe that most, if not all, programs already follow these practices as part of usual and customary business operations. Consequently, consistent with</w:t>
      </w:r>
      <w:r w:rsidRPr="00F17155">
        <w:t xml:space="preserve"> 5 CFR </w:t>
      </w:r>
      <w:r w:rsidRPr="00414E6F">
        <w:t>§1320.3(b)(2), we do not estimate a burden for these activities.</w:t>
      </w:r>
    </w:p>
    <w:p w:rsidR="00255460" w:rsidRPr="00414E6F" w:rsidP="00F474C4" w14:paraId="6C19F303" w14:textId="77777777">
      <w:pPr>
        <w:pStyle w:val="ListBullet"/>
        <w:ind w:left="360" w:hanging="360"/>
        <w:rPr>
          <w:sz w:val="24"/>
          <w:szCs w:val="24"/>
        </w:rPr>
      </w:pPr>
    </w:p>
    <w:p w:rsidR="00D13FC5" w:rsidRPr="00414E6F" w:rsidP="00595B10" w14:paraId="049F05D7" w14:textId="27D2015D">
      <w:pPr>
        <w:pStyle w:val="Heading5"/>
        <w:spacing w:before="0"/>
      </w:pPr>
      <w:r w:rsidRPr="00414E6F">
        <w:t xml:space="preserve">IC-2: § 482.94(c)(1) </w:t>
      </w:r>
      <w:r w:rsidRPr="00414E6F" w:rsidR="00527FB9">
        <w:t xml:space="preserve">- </w:t>
      </w:r>
      <w:r w:rsidRPr="00414E6F">
        <w:t xml:space="preserve">(2) </w:t>
      </w:r>
      <w:r w:rsidRPr="00414E6F" w:rsidR="00845832">
        <w:t>–</w:t>
      </w:r>
      <w:r w:rsidRPr="00414E6F">
        <w:t xml:space="preserve"> Notification</w:t>
      </w:r>
      <w:r w:rsidRPr="00414E6F" w:rsidR="00845832">
        <w:t xml:space="preserve"> of Transplant Status</w:t>
      </w:r>
      <w:r w:rsidRPr="00414E6F">
        <w:t xml:space="preserve"> to </w:t>
      </w:r>
      <w:r w:rsidRPr="00414E6F" w:rsidR="00845832">
        <w:t xml:space="preserve">Patients and </w:t>
      </w:r>
      <w:r w:rsidRPr="00414E6F">
        <w:t>Dialysis Centers</w:t>
      </w:r>
    </w:p>
    <w:p w:rsidR="00D13FC5" w:rsidP="00595B10" w14:paraId="50ACB430" w14:textId="738B5A52">
      <w:pPr>
        <w:pStyle w:val="BodyText"/>
      </w:pPr>
      <w:r>
        <w:t xml:space="preserve">Section 482.94(c)(1) requires </w:t>
      </w:r>
      <w:r w:rsidR="001359AE">
        <w:t xml:space="preserve">kidney </w:t>
      </w:r>
      <w:r>
        <w:t xml:space="preserve">transplant </w:t>
      </w:r>
      <w:r w:rsidR="002429D9">
        <w:t>programs</w:t>
      </w:r>
      <w:r>
        <w:t xml:space="preserve"> to </w:t>
      </w:r>
      <w:r w:rsidR="002429D9">
        <w:t xml:space="preserve">notify </w:t>
      </w:r>
      <w:r>
        <w:t xml:space="preserve">patients </w:t>
      </w:r>
      <w:r w:rsidR="0048098B">
        <w:t xml:space="preserve">and their dialysis center </w:t>
      </w:r>
      <w:r>
        <w:t xml:space="preserve">of </w:t>
      </w:r>
      <w:r w:rsidR="00527FB9">
        <w:t xml:space="preserve">the </w:t>
      </w:r>
      <w:r w:rsidR="00C12D07">
        <w:t xml:space="preserve">patient’s </w:t>
      </w:r>
      <w:r>
        <w:t>status</w:t>
      </w:r>
      <w:r w:rsidR="00527FB9">
        <w:t xml:space="preserve"> </w:t>
      </w:r>
      <w:r w:rsidR="002429D9">
        <w:t>on the waiting list</w:t>
      </w:r>
      <w:r w:rsidR="00C12D07">
        <w:t>,</w:t>
      </w:r>
      <w:r w:rsidR="0048098B">
        <w:t xml:space="preserve"> and to document </w:t>
      </w:r>
      <w:r w:rsidR="00C12D07">
        <w:t>this</w:t>
      </w:r>
      <w:r w:rsidR="0048098B">
        <w:t xml:space="preserve"> notification in the patient</w:t>
      </w:r>
      <w:r w:rsidR="00C12D07">
        <w:t xml:space="preserve">’s medical </w:t>
      </w:r>
      <w:r w:rsidR="0048098B">
        <w:t>record</w:t>
      </w:r>
      <w:r>
        <w:t xml:space="preserve">. </w:t>
      </w:r>
      <w:r w:rsidR="00A91A8C">
        <w:t>In addition, s</w:t>
      </w:r>
      <w:r w:rsidR="002429D9">
        <w:t xml:space="preserve">ection </w:t>
      </w:r>
      <w:r>
        <w:t>482.94(c)(2) requires</w:t>
      </w:r>
      <w:r w:rsidR="002429D9">
        <w:t xml:space="preserve"> kidney</w:t>
      </w:r>
      <w:r>
        <w:t xml:space="preserve"> transplant </w:t>
      </w:r>
      <w:r w:rsidR="002429D9">
        <w:t>programs</w:t>
      </w:r>
      <w:r>
        <w:t xml:space="preserve"> to notify patients and </w:t>
      </w:r>
      <w:r w:rsidR="0048098B">
        <w:t xml:space="preserve">their </w:t>
      </w:r>
      <w:r>
        <w:t xml:space="preserve">dialysis center </w:t>
      </w:r>
      <w:r w:rsidR="00527FB9">
        <w:t xml:space="preserve">within 10 days if </w:t>
      </w:r>
      <w:r>
        <w:t>a patient is removed from</w:t>
      </w:r>
      <w:r w:rsidR="00FE56AA">
        <w:t xml:space="preserve"> </w:t>
      </w:r>
      <w:r w:rsidR="002429D9">
        <w:t>the</w:t>
      </w:r>
      <w:r w:rsidR="00FE56AA">
        <w:t xml:space="preserve"> </w:t>
      </w:r>
      <w:r>
        <w:t xml:space="preserve">waiting list for any reason other than death or transplantation. </w:t>
      </w:r>
    </w:p>
    <w:p w:rsidR="00A91A8C" w:rsidP="00F474C4" w14:paraId="39F4E6E1" w14:textId="77777777">
      <w:pPr>
        <w:pStyle w:val="BodyText"/>
        <w:spacing w:before="8"/>
      </w:pPr>
    </w:p>
    <w:p w:rsidR="00D13FC5" w:rsidP="00595B10" w14:paraId="0C89848F" w14:textId="54ECE408">
      <w:pPr>
        <w:pStyle w:val="BodyText"/>
      </w:pPr>
      <w:r>
        <w:t xml:space="preserve">Although </w:t>
      </w:r>
      <w:r>
        <w:t>OPTN Polic</w:t>
      </w:r>
      <w:r w:rsidR="00C12D07">
        <w:t xml:space="preserve">y 3.2.07 </w:t>
      </w:r>
      <w:r>
        <w:t>already require</w:t>
      </w:r>
      <w:r w:rsidR="00C12D07">
        <w:t>s</w:t>
      </w:r>
      <w:r>
        <w:t xml:space="preserve"> transplant </w:t>
      </w:r>
      <w:r>
        <w:t xml:space="preserve">programs </w:t>
      </w:r>
      <w:r>
        <w:t>to notify patient</w:t>
      </w:r>
      <w:r>
        <w:t>s</w:t>
      </w:r>
      <w:r>
        <w:t xml:space="preserve"> of </w:t>
      </w:r>
      <w:r>
        <w:t xml:space="preserve">their </w:t>
      </w:r>
      <w:r>
        <w:t>waiting list</w:t>
      </w:r>
      <w:r>
        <w:t xml:space="preserve"> status</w:t>
      </w:r>
      <w:r w:rsidR="00C12D07">
        <w:t xml:space="preserve">, </w:t>
      </w:r>
      <w:r>
        <w:t xml:space="preserve">OPTN policy does not require kidney transplant </w:t>
      </w:r>
      <w:r>
        <w:t>program</w:t>
      </w:r>
      <w:r w:rsidR="00014271">
        <w:t>s</w:t>
      </w:r>
      <w:r w:rsidR="001D5AAD">
        <w:t xml:space="preserve"> </w:t>
      </w:r>
      <w:r>
        <w:t>to</w:t>
      </w:r>
      <w:r>
        <w:t xml:space="preserve"> notify the</w:t>
      </w:r>
      <w:r w:rsidR="00014271">
        <w:t>ir</w:t>
      </w:r>
      <w:r>
        <w:t xml:space="preserve"> patients</w:t>
      </w:r>
      <w:r w:rsidR="00014271">
        <w:t>’</w:t>
      </w:r>
      <w:r>
        <w:t xml:space="preserve"> dialysis center</w:t>
      </w:r>
      <w:r w:rsidR="00014271">
        <w:t>s</w:t>
      </w:r>
      <w:r>
        <w:t xml:space="preserve">. Therefore, </w:t>
      </w:r>
      <w:r>
        <w:t xml:space="preserve">we continue to estimate </w:t>
      </w:r>
      <w:r w:rsidR="001D5AAD">
        <w:t xml:space="preserve">a </w:t>
      </w:r>
      <w:r>
        <w:t xml:space="preserve">burden for </w:t>
      </w:r>
      <w:r w:rsidR="00C12D07">
        <w:t xml:space="preserve">this activity </w:t>
      </w:r>
      <w:r w:rsidR="001D5AAD">
        <w:t>as required under § 482.94(c)(2)</w:t>
      </w:r>
      <w:r>
        <w:t>.</w:t>
      </w:r>
    </w:p>
    <w:p w:rsidR="00DA3A83" w:rsidP="00F474C4" w14:paraId="31295493" w14:textId="77777777">
      <w:pPr>
        <w:pStyle w:val="BodyText"/>
        <w:ind w:right="144"/>
      </w:pPr>
    </w:p>
    <w:p w:rsidR="008D6D82" w:rsidP="00F474C4" w14:paraId="10803626" w14:textId="77777777">
      <w:pPr>
        <w:pStyle w:val="BodyText"/>
        <w:ind w:right="64"/>
      </w:pPr>
      <w:r>
        <w:t>As shown, in Table 4, w</w:t>
      </w:r>
      <w:r w:rsidRPr="005F2CB5" w:rsidR="00C12D07">
        <w:t>e estimate that each notification requires</w:t>
      </w:r>
      <w:r>
        <w:t xml:space="preserve"> </w:t>
      </w:r>
      <w:r w:rsidRPr="00C006CC">
        <w:t xml:space="preserve">the </w:t>
      </w:r>
      <w:r>
        <w:t>following</w:t>
      </w:r>
      <w:r w:rsidRPr="00C006CC">
        <w:t xml:space="preserve"> staff and estimated time to complete</w:t>
      </w:r>
      <w:r>
        <w:t>:</w:t>
      </w:r>
    </w:p>
    <w:p w:rsidR="00C12D07" w:rsidP="00F474C4" w14:paraId="0298A3F8" w14:textId="01840F89">
      <w:pPr>
        <w:pStyle w:val="ListBullet"/>
        <w:numPr>
          <w:ilvl w:val="0"/>
          <w:numId w:val="22"/>
        </w:numPr>
        <w:rPr>
          <w:sz w:val="24"/>
          <w:szCs w:val="24"/>
        </w:rPr>
      </w:pPr>
      <w:r w:rsidRPr="00A91A8C">
        <w:rPr>
          <w:sz w:val="24"/>
          <w:szCs w:val="24"/>
        </w:rPr>
        <w:t>2 hours for a Transplant Coordinator</w:t>
      </w:r>
      <w:r w:rsidR="00E60627">
        <w:rPr>
          <w:sz w:val="24"/>
          <w:szCs w:val="24"/>
        </w:rPr>
        <w:t xml:space="preserve"> at a weighted hourly wage of $100</w:t>
      </w:r>
      <w:r w:rsidRPr="00A91A8C">
        <w:rPr>
          <w:sz w:val="24"/>
          <w:szCs w:val="24"/>
        </w:rPr>
        <w:t xml:space="preserve"> to compile patient data and prepare the content</w:t>
      </w:r>
      <w:r w:rsidR="00E60627">
        <w:rPr>
          <w:sz w:val="24"/>
          <w:szCs w:val="24"/>
        </w:rPr>
        <w:t xml:space="preserve"> for the </w:t>
      </w:r>
      <w:r w:rsidR="00E60627">
        <w:rPr>
          <w:sz w:val="24"/>
          <w:szCs w:val="24"/>
        </w:rPr>
        <w:t>notification;</w:t>
      </w:r>
    </w:p>
    <w:p w:rsidR="00C12D07" w:rsidRPr="00414E6F" w:rsidP="00F474C4" w14:paraId="72C9AA25" w14:textId="11AF52C7">
      <w:pPr>
        <w:pStyle w:val="ListBullet"/>
        <w:numPr>
          <w:ilvl w:val="0"/>
          <w:numId w:val="22"/>
        </w:numPr>
      </w:pPr>
      <w:r w:rsidRPr="001D5AAD">
        <w:rPr>
          <w:sz w:val="24"/>
          <w:szCs w:val="24"/>
        </w:rPr>
        <w:t>0</w:t>
      </w:r>
      <w:r w:rsidRPr="00414E6F">
        <w:rPr>
          <w:sz w:val="24"/>
          <w:szCs w:val="24"/>
        </w:rPr>
        <w:t>.5 hours (30 minutes</w:t>
      </w:r>
      <w:r w:rsidRPr="00414E6F" w:rsidR="00DA3A83">
        <w:rPr>
          <w:sz w:val="24"/>
          <w:szCs w:val="24"/>
        </w:rPr>
        <w:t>)</w:t>
      </w:r>
      <w:r w:rsidRPr="00414E6F">
        <w:rPr>
          <w:sz w:val="24"/>
          <w:szCs w:val="24"/>
        </w:rPr>
        <w:t xml:space="preserve"> for a</w:t>
      </w:r>
      <w:r w:rsidRPr="00414E6F" w:rsidR="00157C1D">
        <w:rPr>
          <w:sz w:val="24"/>
          <w:szCs w:val="24"/>
        </w:rPr>
        <w:t>n Administrative Assistant</w:t>
      </w:r>
      <w:r w:rsidRPr="00414E6F">
        <w:rPr>
          <w:sz w:val="24"/>
          <w:szCs w:val="24"/>
        </w:rPr>
        <w:t xml:space="preserve"> </w:t>
      </w:r>
      <w:r w:rsidRPr="00414E6F" w:rsidR="00E60627">
        <w:rPr>
          <w:sz w:val="24"/>
          <w:szCs w:val="24"/>
        </w:rPr>
        <w:t xml:space="preserve">at a weighted hourly wage of $46 </w:t>
      </w:r>
      <w:r w:rsidRPr="00414E6F">
        <w:rPr>
          <w:sz w:val="24"/>
          <w:szCs w:val="24"/>
        </w:rPr>
        <w:t>to send the notifications</w:t>
      </w:r>
      <w:r w:rsidRPr="00414E6F" w:rsidR="00E60627">
        <w:rPr>
          <w:sz w:val="24"/>
          <w:szCs w:val="24"/>
        </w:rPr>
        <w:t>.</w:t>
      </w:r>
    </w:p>
    <w:p w:rsidR="005F2CB5" w:rsidRPr="00414E6F" w:rsidP="00F474C4" w14:paraId="528BC2FA" w14:textId="77777777">
      <w:pPr>
        <w:pStyle w:val="ListBullet"/>
        <w:ind w:left="360"/>
        <w:rPr>
          <w:sz w:val="24"/>
          <w:szCs w:val="24"/>
        </w:rPr>
      </w:pPr>
    </w:p>
    <w:p w:rsidR="003E743D" w:rsidRPr="00414E6F" w:rsidP="00F474C4" w14:paraId="6CB5FBFC" w14:textId="245C4DBE">
      <w:pPr>
        <w:pStyle w:val="BodyText"/>
        <w:ind w:right="64"/>
      </w:pPr>
      <w:r w:rsidRPr="00414E6F">
        <w:t>This results in a total of 2.5 hours per notification, at a weighted average loaded hourly cost of $</w:t>
      </w:r>
      <w:r w:rsidRPr="00414E6F">
        <w:t>223 (</w:t>
      </w:r>
      <w:r w:rsidRPr="00414E6F" w:rsidR="005F2CB5">
        <w:t>(</w:t>
      </w:r>
      <w:r w:rsidRPr="00414E6F" w:rsidR="005F2CB5">
        <w:t xml:space="preserve">$100 x 2 hours) + ($46 x 0.5 </w:t>
      </w:r>
      <w:r w:rsidRPr="00414E6F" w:rsidR="005F2CB5">
        <w:t>hours)</w:t>
      </w:r>
      <w:r w:rsidRPr="00414E6F" w:rsidR="00DA3A83">
        <w:t>)</w:t>
      </w:r>
      <w:r w:rsidRPr="00414E6F" w:rsidR="00DA3A83">
        <w:t>.</w:t>
      </w:r>
      <w:r w:rsidRPr="00414E6F">
        <w:t xml:space="preserve"> </w:t>
      </w:r>
      <w:r w:rsidRPr="00414E6F">
        <w:t xml:space="preserve">Based on </w:t>
      </w:r>
      <w:r w:rsidRPr="00414E6F" w:rsidR="005F2CB5">
        <w:t>four</w:t>
      </w:r>
      <w:r w:rsidRPr="00414E6F">
        <w:t xml:space="preserve"> </w:t>
      </w:r>
      <w:r w:rsidRPr="00414E6F">
        <w:t>notifications</w:t>
      </w:r>
      <w:r w:rsidRPr="00414E6F" w:rsidR="005F2CB5">
        <w:t xml:space="preserve"> per year</w:t>
      </w:r>
      <w:r w:rsidRPr="00414E6F">
        <w:t>, the annual burden per kidney transplant program</w:t>
      </w:r>
      <w:r w:rsidRPr="00414E6F" w:rsidR="00DA3A83">
        <w:t xml:space="preserve"> </w:t>
      </w:r>
      <w:r w:rsidRPr="00414E6F" w:rsidR="005F2CB5">
        <w:t>is</w:t>
      </w:r>
      <w:r w:rsidRPr="00414E6F" w:rsidR="001E6A01">
        <w:t xml:space="preserve"> </w:t>
      </w:r>
      <w:r w:rsidRPr="00414E6F" w:rsidR="00782240">
        <w:t>ten</w:t>
      </w:r>
      <w:r w:rsidRPr="00414E6F" w:rsidR="005F2CB5">
        <w:t xml:space="preserve"> </w:t>
      </w:r>
      <w:r w:rsidRPr="00414E6F" w:rsidR="006D09DE">
        <w:t xml:space="preserve">(10) </w:t>
      </w:r>
      <w:r w:rsidRPr="00414E6F" w:rsidR="005F2CB5">
        <w:t xml:space="preserve">burden </w:t>
      </w:r>
      <w:r w:rsidRPr="00414E6F">
        <w:t>hours (2.5 hours x 4 notifications</w:t>
      </w:r>
      <w:r w:rsidRPr="00414E6F" w:rsidR="0098466D">
        <w:t>/year</w:t>
      </w:r>
      <w:r w:rsidRPr="00414E6F">
        <w:t xml:space="preserve">) </w:t>
      </w:r>
      <w:r w:rsidRPr="00414E6F" w:rsidR="001E6A01">
        <w:t xml:space="preserve">with an associated </w:t>
      </w:r>
      <w:r w:rsidRPr="00414E6F">
        <w:t xml:space="preserve">cost </w:t>
      </w:r>
      <w:r w:rsidRPr="00414E6F" w:rsidR="001E6A01">
        <w:t xml:space="preserve">of </w:t>
      </w:r>
      <w:r w:rsidRPr="00414E6F">
        <w:t>$892 ($223 x 4 notifications</w:t>
      </w:r>
      <w:r w:rsidRPr="00414E6F" w:rsidR="0098466D">
        <w:t>/year</w:t>
      </w:r>
      <w:r w:rsidRPr="00414E6F">
        <w:t xml:space="preserve">). </w:t>
      </w:r>
    </w:p>
    <w:p w:rsidR="00AF48E4" w:rsidRPr="00414E6F" w:rsidP="00F474C4" w14:paraId="396A0F17" w14:textId="77777777">
      <w:pPr>
        <w:pStyle w:val="BodyText"/>
        <w:ind w:right="64"/>
      </w:pPr>
    </w:p>
    <w:p w:rsidR="00AF48E4" w:rsidP="00F474C4" w14:paraId="6B001119" w14:textId="77777777">
      <w:pPr>
        <w:pStyle w:val="BodyText"/>
        <w:ind w:right="64"/>
      </w:pPr>
    </w:p>
    <w:p w:rsidR="00AF48E4" w:rsidP="00F474C4" w14:paraId="2619B835" w14:textId="77777777">
      <w:pPr>
        <w:pStyle w:val="BodyText"/>
        <w:ind w:right="64"/>
      </w:pPr>
    </w:p>
    <w:p w:rsidR="00AF48E4" w:rsidP="00F474C4" w14:paraId="32BECFF3" w14:textId="77777777">
      <w:pPr>
        <w:pStyle w:val="BodyText"/>
        <w:ind w:right="64"/>
      </w:pPr>
    </w:p>
    <w:p w:rsidR="004E3E54" w:rsidP="00F474C4" w14:paraId="65AB841A" w14:textId="77777777">
      <w:pPr>
        <w:pStyle w:val="BodyText"/>
        <w:ind w:right="64"/>
      </w:pPr>
    </w:p>
    <w:p w:rsidR="00AF48E4" w:rsidP="00F474C4" w14:paraId="71BE6212" w14:textId="77777777">
      <w:pPr>
        <w:pStyle w:val="BodyText"/>
        <w:ind w:right="64"/>
      </w:pPr>
    </w:p>
    <w:p w:rsidR="00AF48E4" w:rsidP="00F474C4" w14:paraId="3D467BFB" w14:textId="77777777">
      <w:pPr>
        <w:pStyle w:val="BodyText"/>
        <w:ind w:right="64"/>
      </w:pPr>
    </w:p>
    <w:p w:rsidR="00F474C4" w:rsidRPr="005F2CB5" w:rsidP="001E6A01" w14:paraId="72AF83D6" w14:textId="77777777">
      <w:pPr>
        <w:pStyle w:val="BodyText"/>
        <w:spacing w:line="247" w:lineRule="auto"/>
        <w:ind w:right="64"/>
      </w:pPr>
    </w:p>
    <w:p w:rsidR="001E6A01" w:rsidP="00F474C4" w14:paraId="00BEF394" w14:textId="2F229D5C">
      <w:pPr>
        <w:pStyle w:val="BodyText"/>
        <w:ind w:right="-20"/>
        <w:jc w:val="center"/>
        <w:rPr>
          <w:b/>
          <w:bCs/>
        </w:rPr>
      </w:pPr>
      <w:r w:rsidRPr="00A91A8C">
        <w:rPr>
          <w:b/>
          <w:bCs/>
        </w:rPr>
        <w:t>Table 4. IC-2, §482.94(c)(1) &amp; (2)</w:t>
      </w:r>
      <w:r>
        <w:rPr>
          <w:b/>
          <w:bCs/>
        </w:rPr>
        <w:t xml:space="preserve"> -</w:t>
      </w:r>
      <w:r w:rsidRPr="00A91A8C">
        <w:rPr>
          <w:b/>
          <w:bCs/>
        </w:rPr>
        <w:t xml:space="preserve"> </w:t>
      </w:r>
    </w:p>
    <w:p w:rsidR="00B872E8" w:rsidRPr="00157C1D" w:rsidP="00F474C4" w14:paraId="239602B4" w14:textId="7757DCCF">
      <w:pPr>
        <w:pStyle w:val="BodyText"/>
        <w:ind w:right="-20"/>
        <w:jc w:val="center"/>
        <w:rPr>
          <w:b/>
          <w:bCs/>
        </w:rPr>
      </w:pPr>
      <w:r w:rsidRPr="00A91A8C">
        <w:rPr>
          <w:b/>
          <w:bCs/>
        </w:rPr>
        <w:t>Notif</w:t>
      </w:r>
      <w:r w:rsidRPr="00A91A8C" w:rsidR="002C6F4F">
        <w:rPr>
          <w:b/>
          <w:bCs/>
        </w:rPr>
        <w:t>ication</w:t>
      </w:r>
      <w:r w:rsidRPr="00A91A8C">
        <w:rPr>
          <w:b/>
          <w:bCs/>
        </w:rPr>
        <w:t xml:space="preserve"> </w:t>
      </w:r>
      <w:r w:rsidRPr="00A91A8C" w:rsidR="00D70D41">
        <w:rPr>
          <w:b/>
          <w:bCs/>
        </w:rPr>
        <w:t>to</w:t>
      </w:r>
      <w:r w:rsidRPr="00A91A8C" w:rsidR="002C6F4F">
        <w:rPr>
          <w:b/>
          <w:bCs/>
        </w:rPr>
        <w:t xml:space="preserve"> </w:t>
      </w:r>
      <w:r w:rsidRPr="00A91A8C">
        <w:rPr>
          <w:b/>
          <w:bCs/>
        </w:rPr>
        <w:t>Dialysis Facilities of Patients’ Status</w:t>
      </w:r>
    </w:p>
    <w:tbl>
      <w:tblPr>
        <w:tblW w:w="885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690"/>
        <w:gridCol w:w="990"/>
        <w:gridCol w:w="1225"/>
        <w:gridCol w:w="1251"/>
        <w:gridCol w:w="1350"/>
        <w:gridCol w:w="1350"/>
      </w:tblGrid>
      <w:tr w14:paraId="47B369D5" w14:textId="77777777" w:rsidTr="00D25949">
        <w:tblPrEx>
          <w:tblW w:w="885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1916"/>
          <w:jc w:val="center"/>
        </w:trPr>
        <w:tc>
          <w:tcPr>
            <w:tcW w:w="2690" w:type="dxa"/>
            <w:vMerge w:val="restart"/>
            <w:shd w:val="clear" w:color="auto" w:fill="F2F2F2" w:themeFill="background1" w:themeFillShade="F2"/>
            <w:vAlign w:val="center"/>
          </w:tcPr>
          <w:p w:rsidR="008D6D82" w:rsidP="00ED5B64" w14:paraId="3059D092" w14:textId="77777777">
            <w:pPr>
              <w:pStyle w:val="TableParagraph"/>
              <w:ind w:left="98"/>
              <w:jc w:val="center"/>
              <w:rPr>
                <w:b/>
                <w:bCs/>
                <w:sz w:val="20"/>
                <w:szCs w:val="20"/>
              </w:rPr>
            </w:pPr>
          </w:p>
          <w:p w:rsidR="00D25949" w:rsidP="00D25949" w14:paraId="1064C505" w14:textId="02BCA9D5">
            <w:pPr>
              <w:pStyle w:val="TableParagraph"/>
              <w:jc w:val="center"/>
              <w:rPr>
                <w:b/>
                <w:bCs/>
                <w:sz w:val="20"/>
                <w:szCs w:val="20"/>
              </w:rPr>
            </w:pPr>
            <w:r>
              <w:rPr>
                <w:b/>
                <w:bCs/>
                <w:sz w:val="20"/>
                <w:szCs w:val="20"/>
              </w:rPr>
              <w:t>Burden to Notify Dialysis Facilities</w:t>
            </w:r>
          </w:p>
          <w:p w:rsidR="00ED5B64" w:rsidRPr="00A91A8C" w:rsidP="00ED5B64" w14:paraId="4CF28104" w14:textId="079CF5CE">
            <w:pPr>
              <w:pStyle w:val="TableParagraph"/>
              <w:ind w:left="98"/>
              <w:jc w:val="center"/>
              <w:rPr>
                <w:b/>
                <w:bCs/>
                <w:sz w:val="20"/>
                <w:szCs w:val="20"/>
              </w:rPr>
            </w:pPr>
          </w:p>
        </w:tc>
        <w:tc>
          <w:tcPr>
            <w:tcW w:w="990" w:type="dxa"/>
            <w:tcBorders>
              <w:bottom w:val="nil"/>
            </w:tcBorders>
            <w:shd w:val="clear" w:color="auto" w:fill="F2F2F2" w:themeFill="background1" w:themeFillShade="F2"/>
            <w:vAlign w:val="center"/>
          </w:tcPr>
          <w:p w:rsidR="0098466D" w:rsidRPr="00A91A8C" w:rsidP="0019334A" w14:paraId="6EE146E0" w14:textId="77777777">
            <w:pPr>
              <w:pStyle w:val="TableParagraph"/>
              <w:spacing w:line="247" w:lineRule="auto"/>
              <w:ind w:left="98" w:right="82"/>
              <w:jc w:val="center"/>
              <w:rPr>
                <w:b/>
                <w:bCs/>
                <w:sz w:val="20"/>
                <w:szCs w:val="20"/>
              </w:rPr>
            </w:pPr>
            <w:r w:rsidRPr="00A91A8C">
              <w:rPr>
                <w:b/>
                <w:bCs/>
                <w:sz w:val="20"/>
                <w:szCs w:val="20"/>
              </w:rPr>
              <w:t>Loaded</w:t>
            </w:r>
          </w:p>
          <w:p w:rsidR="0098466D" w:rsidRPr="00A91A8C" w:rsidP="0019334A" w14:paraId="0A7E4623" w14:textId="77777777">
            <w:pPr>
              <w:pStyle w:val="TableParagraph"/>
              <w:spacing w:line="247" w:lineRule="auto"/>
              <w:ind w:left="98" w:right="82"/>
              <w:jc w:val="center"/>
              <w:rPr>
                <w:b/>
                <w:bCs/>
                <w:sz w:val="20"/>
                <w:szCs w:val="20"/>
              </w:rPr>
            </w:pPr>
            <w:r w:rsidRPr="00A91A8C">
              <w:rPr>
                <w:b/>
                <w:bCs/>
                <w:sz w:val="20"/>
                <w:szCs w:val="20"/>
              </w:rPr>
              <w:t>Hourly Mean</w:t>
            </w:r>
          </w:p>
          <w:p w:rsidR="0098466D" w:rsidRPr="00A91A8C" w:rsidP="0019334A" w14:paraId="0E4C5730" w14:textId="7E833467">
            <w:pPr>
              <w:pStyle w:val="TableParagraph"/>
              <w:spacing w:line="247" w:lineRule="auto"/>
              <w:ind w:left="98" w:right="82"/>
              <w:jc w:val="center"/>
              <w:rPr>
                <w:b/>
                <w:bCs/>
                <w:sz w:val="20"/>
                <w:szCs w:val="20"/>
              </w:rPr>
            </w:pPr>
            <w:r w:rsidRPr="00A91A8C">
              <w:rPr>
                <w:b/>
                <w:bCs/>
                <w:sz w:val="20"/>
                <w:szCs w:val="20"/>
              </w:rPr>
              <w:t>Wage</w:t>
            </w:r>
          </w:p>
        </w:tc>
        <w:tc>
          <w:tcPr>
            <w:tcW w:w="1225" w:type="dxa"/>
            <w:tcBorders>
              <w:bottom w:val="nil"/>
            </w:tcBorders>
            <w:shd w:val="clear" w:color="auto" w:fill="F2F2F2" w:themeFill="background1" w:themeFillShade="F2"/>
            <w:vAlign w:val="center"/>
          </w:tcPr>
          <w:p w:rsidR="0098466D" w:rsidRPr="00A91A8C" w:rsidP="001E6A01" w14:paraId="21B99306" w14:textId="4BF4769B">
            <w:pPr>
              <w:pStyle w:val="TableParagraph"/>
              <w:spacing w:line="247" w:lineRule="auto"/>
              <w:ind w:left="98" w:right="76"/>
              <w:jc w:val="center"/>
              <w:rPr>
                <w:b/>
                <w:bCs/>
                <w:sz w:val="20"/>
                <w:szCs w:val="20"/>
              </w:rPr>
            </w:pPr>
            <w:r w:rsidRPr="00A91A8C">
              <w:rPr>
                <w:b/>
                <w:bCs/>
                <w:sz w:val="20"/>
                <w:szCs w:val="20"/>
              </w:rPr>
              <w:t>Burden Hours</w:t>
            </w:r>
            <w:r>
              <w:rPr>
                <w:b/>
                <w:bCs/>
                <w:sz w:val="20"/>
                <w:szCs w:val="20"/>
              </w:rPr>
              <w:t>/</w:t>
            </w:r>
            <w:r w:rsidRPr="00DA3A83" w:rsidR="00DA3A83">
              <w:rPr>
                <w:b/>
                <w:bCs/>
                <w:sz w:val="20"/>
                <w:szCs w:val="20"/>
              </w:rPr>
              <w:t xml:space="preserve"> </w:t>
            </w:r>
            <w:r w:rsidRPr="00A91A8C" w:rsidR="00DA3A83">
              <w:rPr>
                <w:b/>
                <w:bCs/>
                <w:sz w:val="20"/>
                <w:szCs w:val="20"/>
              </w:rPr>
              <w:t>Notification</w:t>
            </w:r>
          </w:p>
        </w:tc>
        <w:tc>
          <w:tcPr>
            <w:tcW w:w="1251" w:type="dxa"/>
            <w:tcBorders>
              <w:bottom w:val="nil"/>
            </w:tcBorders>
            <w:shd w:val="clear" w:color="auto" w:fill="F2F2F2" w:themeFill="background1" w:themeFillShade="F2"/>
            <w:vAlign w:val="center"/>
          </w:tcPr>
          <w:p w:rsidR="0098466D" w:rsidRPr="00A91A8C" w:rsidP="0019334A" w14:paraId="6C243CFF" w14:textId="77777777">
            <w:pPr>
              <w:pStyle w:val="TableParagraph"/>
              <w:spacing w:line="247" w:lineRule="auto"/>
              <w:ind w:left="98" w:right="83"/>
              <w:jc w:val="center"/>
              <w:rPr>
                <w:b/>
                <w:bCs/>
                <w:sz w:val="20"/>
                <w:szCs w:val="20"/>
              </w:rPr>
            </w:pPr>
            <w:r w:rsidRPr="00A91A8C">
              <w:rPr>
                <w:b/>
                <w:bCs/>
                <w:sz w:val="20"/>
                <w:szCs w:val="20"/>
              </w:rPr>
              <w:t>Burden</w:t>
            </w:r>
          </w:p>
          <w:p w:rsidR="00AD1F0C" w:rsidP="0019334A" w14:paraId="5AFC4126" w14:textId="77777777">
            <w:pPr>
              <w:pStyle w:val="TableParagraph"/>
              <w:spacing w:line="247" w:lineRule="auto"/>
              <w:ind w:left="98" w:right="83"/>
              <w:jc w:val="center"/>
              <w:rPr>
                <w:b/>
                <w:bCs/>
                <w:sz w:val="20"/>
                <w:szCs w:val="20"/>
              </w:rPr>
            </w:pPr>
            <w:r w:rsidRPr="00A91A8C">
              <w:rPr>
                <w:b/>
                <w:bCs/>
                <w:sz w:val="20"/>
                <w:szCs w:val="20"/>
              </w:rPr>
              <w:t>Cost</w:t>
            </w:r>
            <w:r>
              <w:rPr>
                <w:b/>
                <w:bCs/>
                <w:sz w:val="20"/>
                <w:szCs w:val="20"/>
              </w:rPr>
              <w:t>/</w:t>
            </w:r>
          </w:p>
          <w:p w:rsidR="0098466D" w:rsidRPr="00A91A8C" w:rsidP="001E6A01" w14:paraId="674A04B3" w14:textId="08A436B3">
            <w:pPr>
              <w:pStyle w:val="TableParagraph"/>
              <w:spacing w:line="247" w:lineRule="auto"/>
              <w:ind w:left="98" w:right="83"/>
              <w:jc w:val="center"/>
              <w:rPr>
                <w:b/>
                <w:bCs/>
                <w:sz w:val="20"/>
                <w:szCs w:val="20"/>
              </w:rPr>
            </w:pPr>
            <w:r w:rsidRPr="00E759DD">
              <w:rPr>
                <w:b/>
                <w:bCs/>
                <w:sz w:val="20"/>
                <w:szCs w:val="20"/>
              </w:rPr>
              <w:t>Notification</w:t>
            </w:r>
            <w:r w:rsidRPr="00A91A8C">
              <w:rPr>
                <w:b/>
                <w:bCs/>
                <w:sz w:val="20"/>
                <w:szCs w:val="20"/>
              </w:rPr>
              <w:t xml:space="preserve"> </w:t>
            </w:r>
          </w:p>
        </w:tc>
        <w:tc>
          <w:tcPr>
            <w:tcW w:w="1350" w:type="dxa"/>
            <w:tcBorders>
              <w:bottom w:val="nil"/>
            </w:tcBorders>
            <w:shd w:val="clear" w:color="auto" w:fill="F2F2F2" w:themeFill="background1" w:themeFillShade="F2"/>
            <w:vAlign w:val="center"/>
          </w:tcPr>
          <w:p w:rsidR="00D25949" w:rsidP="001E6A01" w14:paraId="54BD344C" w14:textId="77777777">
            <w:pPr>
              <w:pStyle w:val="TableParagraph"/>
              <w:spacing w:line="247" w:lineRule="auto"/>
              <w:ind w:left="98" w:right="84"/>
              <w:jc w:val="center"/>
              <w:rPr>
                <w:b/>
                <w:bCs/>
                <w:sz w:val="20"/>
                <w:szCs w:val="20"/>
              </w:rPr>
            </w:pPr>
            <w:r w:rsidRPr="00A91A8C">
              <w:rPr>
                <w:b/>
                <w:bCs/>
                <w:sz w:val="20"/>
                <w:szCs w:val="20"/>
              </w:rPr>
              <w:t>Annual Burden Hours</w:t>
            </w:r>
            <w:r>
              <w:rPr>
                <w:b/>
                <w:bCs/>
                <w:sz w:val="20"/>
                <w:szCs w:val="20"/>
              </w:rPr>
              <w:t xml:space="preserve"> </w:t>
            </w:r>
          </w:p>
          <w:p w:rsidR="001E6A01" w:rsidP="001E6A01" w14:paraId="24AC9868" w14:textId="7E45BEFF">
            <w:pPr>
              <w:pStyle w:val="TableParagraph"/>
              <w:spacing w:line="247" w:lineRule="auto"/>
              <w:ind w:left="98" w:right="84"/>
              <w:jc w:val="center"/>
              <w:rPr>
                <w:b/>
                <w:bCs/>
                <w:sz w:val="20"/>
                <w:szCs w:val="20"/>
              </w:rPr>
            </w:pPr>
            <w:r>
              <w:rPr>
                <w:b/>
                <w:bCs/>
                <w:sz w:val="20"/>
                <w:szCs w:val="20"/>
              </w:rPr>
              <w:t>per Transplant Program</w:t>
            </w:r>
            <w:r w:rsidRPr="00A91A8C" w:rsidR="0098466D">
              <w:rPr>
                <w:b/>
                <w:bCs/>
                <w:sz w:val="20"/>
                <w:szCs w:val="20"/>
              </w:rPr>
              <w:t xml:space="preserve"> </w:t>
            </w:r>
          </w:p>
          <w:p w:rsidR="0098466D" w:rsidRPr="001E6A01" w:rsidP="001E6A01" w14:paraId="1DA337B9" w14:textId="0313ABA5">
            <w:pPr>
              <w:pStyle w:val="TableParagraph"/>
              <w:spacing w:line="247" w:lineRule="auto"/>
              <w:ind w:left="98" w:right="84"/>
              <w:jc w:val="center"/>
              <w:rPr>
                <w:sz w:val="20"/>
                <w:szCs w:val="20"/>
              </w:rPr>
            </w:pPr>
            <w:r w:rsidRPr="001E6A01">
              <w:rPr>
                <w:sz w:val="20"/>
                <w:szCs w:val="20"/>
              </w:rPr>
              <w:t>(for Quarterly Notification</w:t>
            </w:r>
            <w:r w:rsidRPr="001E6A01" w:rsidR="00AD1F0C">
              <w:rPr>
                <w:sz w:val="20"/>
                <w:szCs w:val="20"/>
              </w:rPr>
              <w:t>s</w:t>
            </w:r>
            <w:r w:rsidRPr="001E6A01">
              <w:rPr>
                <w:sz w:val="20"/>
                <w:szCs w:val="20"/>
              </w:rPr>
              <w:t>)</w:t>
            </w:r>
          </w:p>
        </w:tc>
        <w:tc>
          <w:tcPr>
            <w:tcW w:w="1350" w:type="dxa"/>
            <w:tcBorders>
              <w:bottom w:val="nil"/>
            </w:tcBorders>
            <w:shd w:val="clear" w:color="auto" w:fill="F2F2F2" w:themeFill="background1" w:themeFillShade="F2"/>
            <w:vAlign w:val="center"/>
          </w:tcPr>
          <w:p w:rsidR="00D25949" w:rsidP="00D25949" w14:paraId="3E844B99" w14:textId="77777777">
            <w:pPr>
              <w:pStyle w:val="TableParagraph"/>
              <w:spacing w:line="247" w:lineRule="auto"/>
              <w:ind w:left="98" w:right="84"/>
              <w:jc w:val="center"/>
              <w:rPr>
                <w:b/>
                <w:bCs/>
                <w:sz w:val="20"/>
                <w:szCs w:val="20"/>
              </w:rPr>
            </w:pPr>
            <w:r w:rsidRPr="00A91A8C">
              <w:rPr>
                <w:b/>
                <w:bCs/>
                <w:sz w:val="20"/>
                <w:szCs w:val="20"/>
              </w:rPr>
              <w:t xml:space="preserve">Annual Cost </w:t>
            </w:r>
            <w:r>
              <w:rPr>
                <w:b/>
                <w:bCs/>
                <w:sz w:val="20"/>
                <w:szCs w:val="20"/>
              </w:rPr>
              <w:t>per Transplant Program</w:t>
            </w:r>
            <w:r w:rsidRPr="00A91A8C">
              <w:rPr>
                <w:b/>
                <w:bCs/>
                <w:sz w:val="20"/>
                <w:szCs w:val="20"/>
              </w:rPr>
              <w:t xml:space="preserve"> </w:t>
            </w:r>
          </w:p>
          <w:p w:rsidR="001E6A01" w:rsidP="00ED5B64" w14:paraId="6724BCAB" w14:textId="74550FA2">
            <w:pPr>
              <w:pStyle w:val="TableParagraph"/>
              <w:spacing w:line="247" w:lineRule="auto"/>
              <w:ind w:left="98" w:right="78"/>
              <w:jc w:val="center"/>
              <w:rPr>
                <w:b/>
                <w:bCs/>
                <w:sz w:val="20"/>
                <w:szCs w:val="20"/>
              </w:rPr>
            </w:pPr>
          </w:p>
          <w:p w:rsidR="0098466D" w:rsidRPr="001E6A01" w:rsidP="001E6A01" w14:paraId="199D6EE1" w14:textId="62EE8674">
            <w:pPr>
              <w:pStyle w:val="TableParagraph"/>
              <w:spacing w:line="247" w:lineRule="auto"/>
              <w:ind w:left="98" w:right="78"/>
              <w:jc w:val="center"/>
              <w:rPr>
                <w:sz w:val="20"/>
                <w:szCs w:val="20"/>
              </w:rPr>
            </w:pPr>
            <w:r w:rsidRPr="001E6A01">
              <w:rPr>
                <w:sz w:val="20"/>
                <w:szCs w:val="20"/>
              </w:rPr>
              <w:t>(for</w:t>
            </w:r>
            <w:r w:rsidRPr="001E6A01" w:rsidR="00ED5B64">
              <w:rPr>
                <w:sz w:val="20"/>
                <w:szCs w:val="20"/>
              </w:rPr>
              <w:t xml:space="preserve"> </w:t>
            </w:r>
            <w:r w:rsidRPr="001E6A01">
              <w:rPr>
                <w:sz w:val="20"/>
                <w:szCs w:val="20"/>
              </w:rPr>
              <w:t>Quarterly Notifications)</w:t>
            </w:r>
          </w:p>
        </w:tc>
      </w:tr>
      <w:tr w14:paraId="79B1C379" w14:textId="77777777" w:rsidTr="00D25949">
        <w:tblPrEx>
          <w:tblW w:w="8856" w:type="dxa"/>
          <w:jc w:val="center"/>
          <w:tblLayout w:type="fixed"/>
          <w:tblCellMar>
            <w:left w:w="0" w:type="dxa"/>
            <w:right w:w="0" w:type="dxa"/>
          </w:tblCellMar>
          <w:tblLook w:val="01E0"/>
        </w:tblPrEx>
        <w:trPr>
          <w:trHeight w:hRule="exact" w:val="458"/>
          <w:jc w:val="center"/>
        </w:trPr>
        <w:tc>
          <w:tcPr>
            <w:tcW w:w="2690" w:type="dxa"/>
            <w:vMerge/>
            <w:shd w:val="clear" w:color="auto" w:fill="F2F2F2" w:themeFill="background1" w:themeFillShade="F2"/>
            <w:vAlign w:val="center"/>
          </w:tcPr>
          <w:p w:rsidR="0098466D" w:rsidRPr="00A91A8C" w:rsidP="002C6F4F" w14:paraId="148B8151" w14:textId="77777777">
            <w:pPr>
              <w:pStyle w:val="TableParagraph"/>
              <w:ind w:left="98"/>
              <w:rPr>
                <w:b/>
                <w:bCs/>
                <w:sz w:val="20"/>
                <w:szCs w:val="20"/>
              </w:rPr>
            </w:pPr>
          </w:p>
        </w:tc>
        <w:tc>
          <w:tcPr>
            <w:tcW w:w="990" w:type="dxa"/>
            <w:tcBorders>
              <w:top w:val="nil"/>
            </w:tcBorders>
            <w:shd w:val="clear" w:color="auto" w:fill="F2F2F2" w:themeFill="background1" w:themeFillShade="F2"/>
            <w:vAlign w:val="center"/>
          </w:tcPr>
          <w:p w:rsidR="0098466D" w:rsidRPr="001E6A01" w:rsidP="002C6F4F" w14:paraId="46ECCC7A" w14:textId="6DDB98FA">
            <w:pPr>
              <w:pStyle w:val="TableParagraph"/>
              <w:spacing w:before="0"/>
              <w:ind w:right="96"/>
              <w:jc w:val="center"/>
              <w:rPr>
                <w:i/>
                <w:iCs/>
                <w:sz w:val="20"/>
                <w:szCs w:val="20"/>
              </w:rPr>
            </w:pPr>
            <w:r w:rsidRPr="001E6A01">
              <w:rPr>
                <w:i/>
                <w:iCs/>
                <w:sz w:val="20"/>
                <w:szCs w:val="20"/>
              </w:rPr>
              <w:t>(a)</w:t>
            </w:r>
          </w:p>
        </w:tc>
        <w:tc>
          <w:tcPr>
            <w:tcW w:w="1225" w:type="dxa"/>
            <w:tcBorders>
              <w:top w:val="nil"/>
            </w:tcBorders>
            <w:shd w:val="clear" w:color="auto" w:fill="F2F2F2" w:themeFill="background1" w:themeFillShade="F2"/>
            <w:vAlign w:val="center"/>
          </w:tcPr>
          <w:p w:rsidR="0098466D" w:rsidRPr="001E6A01" w:rsidP="002C6F4F" w14:paraId="056D4C2D" w14:textId="1C88A596">
            <w:pPr>
              <w:pStyle w:val="TableParagraph"/>
              <w:spacing w:before="0"/>
              <w:ind w:right="96"/>
              <w:jc w:val="center"/>
              <w:rPr>
                <w:i/>
                <w:iCs/>
                <w:sz w:val="20"/>
                <w:szCs w:val="20"/>
              </w:rPr>
            </w:pPr>
            <w:r w:rsidRPr="001E6A01">
              <w:rPr>
                <w:i/>
                <w:iCs/>
                <w:sz w:val="20"/>
                <w:szCs w:val="20"/>
              </w:rPr>
              <w:t>(b)</w:t>
            </w:r>
          </w:p>
        </w:tc>
        <w:tc>
          <w:tcPr>
            <w:tcW w:w="1251" w:type="dxa"/>
            <w:tcBorders>
              <w:top w:val="nil"/>
            </w:tcBorders>
            <w:shd w:val="clear" w:color="auto" w:fill="F2F2F2" w:themeFill="background1" w:themeFillShade="F2"/>
            <w:vAlign w:val="center"/>
          </w:tcPr>
          <w:p w:rsidR="0098466D" w:rsidRPr="001E6A01" w:rsidP="002C6F4F" w14:paraId="4D100462" w14:textId="41451B39">
            <w:pPr>
              <w:pStyle w:val="TableParagraph"/>
              <w:spacing w:before="0"/>
              <w:ind w:right="96"/>
              <w:jc w:val="center"/>
              <w:rPr>
                <w:i/>
                <w:iCs/>
                <w:sz w:val="20"/>
                <w:szCs w:val="20"/>
              </w:rPr>
            </w:pPr>
            <w:r w:rsidRPr="001E6A01">
              <w:rPr>
                <w:i/>
                <w:iCs/>
                <w:sz w:val="20"/>
                <w:szCs w:val="20"/>
              </w:rPr>
              <w:t>(c = a x b)</w:t>
            </w:r>
          </w:p>
        </w:tc>
        <w:tc>
          <w:tcPr>
            <w:tcW w:w="1350" w:type="dxa"/>
            <w:tcBorders>
              <w:top w:val="nil"/>
            </w:tcBorders>
            <w:shd w:val="clear" w:color="auto" w:fill="F2F2F2" w:themeFill="background1" w:themeFillShade="F2"/>
            <w:vAlign w:val="center"/>
          </w:tcPr>
          <w:p w:rsidR="0098466D" w:rsidRPr="001E6A01" w:rsidP="002C6F4F" w14:paraId="7A84F99E" w14:textId="28AEADF8">
            <w:pPr>
              <w:pStyle w:val="TableParagraph"/>
              <w:spacing w:before="0"/>
              <w:ind w:right="96"/>
              <w:jc w:val="center"/>
              <w:rPr>
                <w:i/>
                <w:iCs/>
                <w:sz w:val="20"/>
                <w:szCs w:val="20"/>
              </w:rPr>
            </w:pPr>
            <w:r w:rsidRPr="001E6A01">
              <w:rPr>
                <w:i/>
                <w:iCs/>
                <w:sz w:val="20"/>
                <w:szCs w:val="20"/>
              </w:rPr>
              <w:t>(d = b x 4)</w:t>
            </w:r>
          </w:p>
        </w:tc>
        <w:tc>
          <w:tcPr>
            <w:tcW w:w="1350" w:type="dxa"/>
            <w:tcBorders>
              <w:top w:val="nil"/>
            </w:tcBorders>
            <w:shd w:val="clear" w:color="auto" w:fill="F2F2F2" w:themeFill="background1" w:themeFillShade="F2"/>
            <w:vAlign w:val="center"/>
          </w:tcPr>
          <w:p w:rsidR="0098466D" w:rsidRPr="001E6A01" w:rsidP="002C6F4F" w14:paraId="5A691051" w14:textId="35FF2F86">
            <w:pPr>
              <w:pStyle w:val="TableParagraph"/>
              <w:spacing w:before="0"/>
              <w:ind w:right="96"/>
              <w:jc w:val="center"/>
              <w:rPr>
                <w:i/>
                <w:iCs/>
                <w:sz w:val="20"/>
                <w:szCs w:val="20"/>
              </w:rPr>
            </w:pPr>
            <w:r w:rsidRPr="001E6A01">
              <w:rPr>
                <w:i/>
                <w:iCs/>
                <w:sz w:val="20"/>
                <w:szCs w:val="20"/>
              </w:rPr>
              <w:t>(e = c x 4)</w:t>
            </w:r>
          </w:p>
        </w:tc>
      </w:tr>
      <w:tr w14:paraId="46BB8AC4" w14:textId="77777777" w:rsidTr="00D25949">
        <w:tblPrEx>
          <w:tblW w:w="8856" w:type="dxa"/>
          <w:jc w:val="center"/>
          <w:tblLayout w:type="fixed"/>
          <w:tblCellMar>
            <w:left w:w="0" w:type="dxa"/>
            <w:right w:w="0" w:type="dxa"/>
          </w:tblCellMar>
          <w:tblLook w:val="01E0"/>
        </w:tblPrEx>
        <w:trPr>
          <w:trHeight w:hRule="exact" w:val="800"/>
          <w:jc w:val="center"/>
        </w:trPr>
        <w:tc>
          <w:tcPr>
            <w:tcW w:w="2690" w:type="dxa"/>
            <w:vAlign w:val="center"/>
          </w:tcPr>
          <w:p w:rsidR="002C6F4F" w:rsidRPr="00A91A8C" w:rsidP="002C6F4F" w14:paraId="48EFDDC8" w14:textId="77777777">
            <w:pPr>
              <w:pStyle w:val="TableParagraph"/>
              <w:ind w:left="98"/>
              <w:rPr>
                <w:sz w:val="20"/>
                <w:szCs w:val="20"/>
              </w:rPr>
            </w:pPr>
            <w:r w:rsidRPr="00A91A8C">
              <w:rPr>
                <w:sz w:val="20"/>
                <w:szCs w:val="20"/>
              </w:rPr>
              <w:t>Transplant</w:t>
            </w:r>
          </w:p>
          <w:p w:rsidR="002C6F4F" w:rsidRPr="00A91A8C" w:rsidP="002C6F4F" w14:paraId="12F32E88" w14:textId="77777777">
            <w:pPr>
              <w:pStyle w:val="TableParagraph"/>
              <w:spacing w:before="3"/>
              <w:ind w:left="98"/>
              <w:rPr>
                <w:sz w:val="20"/>
                <w:szCs w:val="20"/>
              </w:rPr>
            </w:pPr>
            <w:r w:rsidRPr="00A91A8C">
              <w:rPr>
                <w:sz w:val="20"/>
                <w:szCs w:val="20"/>
              </w:rPr>
              <w:t>Coordinator</w:t>
            </w:r>
          </w:p>
          <w:p w:rsidR="002C6F4F" w:rsidRPr="00A91A8C" w:rsidP="002C6F4F" w14:paraId="351C0D7C" w14:textId="16CD74A5">
            <w:pPr>
              <w:pStyle w:val="TableParagraph"/>
              <w:spacing w:before="3"/>
              <w:ind w:left="98"/>
              <w:rPr>
                <w:sz w:val="20"/>
                <w:szCs w:val="20"/>
              </w:rPr>
            </w:pPr>
            <w:r w:rsidRPr="002C6F4F">
              <w:rPr>
                <w:sz w:val="20"/>
                <w:szCs w:val="20"/>
              </w:rPr>
              <w:t>(BLS Occ. Code: 29-1141)</w:t>
            </w:r>
          </w:p>
        </w:tc>
        <w:tc>
          <w:tcPr>
            <w:tcW w:w="990" w:type="dxa"/>
            <w:vAlign w:val="center"/>
          </w:tcPr>
          <w:p w:rsidR="002C6F4F" w:rsidRPr="00A91A8C" w:rsidP="002C6F4F" w14:paraId="103E20FF" w14:textId="718307D2">
            <w:pPr>
              <w:pStyle w:val="TableParagraph"/>
              <w:spacing w:before="0"/>
              <w:ind w:right="96"/>
              <w:jc w:val="center"/>
              <w:rPr>
                <w:sz w:val="20"/>
                <w:szCs w:val="20"/>
              </w:rPr>
            </w:pPr>
            <w:r w:rsidRPr="00A91A8C">
              <w:rPr>
                <w:sz w:val="20"/>
                <w:szCs w:val="20"/>
              </w:rPr>
              <w:t>$</w:t>
            </w:r>
            <w:r>
              <w:rPr>
                <w:sz w:val="20"/>
                <w:szCs w:val="20"/>
              </w:rPr>
              <w:t>100</w:t>
            </w:r>
          </w:p>
        </w:tc>
        <w:tc>
          <w:tcPr>
            <w:tcW w:w="1225" w:type="dxa"/>
            <w:vAlign w:val="center"/>
          </w:tcPr>
          <w:p w:rsidR="002C6F4F" w:rsidRPr="00A91A8C" w:rsidP="002C6F4F" w14:paraId="3A848D09" w14:textId="530CC550">
            <w:pPr>
              <w:pStyle w:val="TableParagraph"/>
              <w:spacing w:before="0"/>
              <w:ind w:right="96"/>
              <w:jc w:val="center"/>
              <w:rPr>
                <w:sz w:val="20"/>
                <w:szCs w:val="20"/>
              </w:rPr>
            </w:pPr>
            <w:r w:rsidRPr="00A91A8C">
              <w:rPr>
                <w:sz w:val="20"/>
                <w:szCs w:val="20"/>
              </w:rPr>
              <w:t>2.0</w:t>
            </w:r>
          </w:p>
        </w:tc>
        <w:tc>
          <w:tcPr>
            <w:tcW w:w="1251" w:type="dxa"/>
            <w:vAlign w:val="center"/>
          </w:tcPr>
          <w:p w:rsidR="002C6F4F" w:rsidRPr="00A91A8C" w:rsidP="002C6F4F" w14:paraId="0A23672B" w14:textId="41600E0E">
            <w:pPr>
              <w:pStyle w:val="TableParagraph"/>
              <w:spacing w:before="0"/>
              <w:ind w:right="96"/>
              <w:jc w:val="center"/>
              <w:rPr>
                <w:sz w:val="20"/>
                <w:szCs w:val="20"/>
              </w:rPr>
            </w:pPr>
            <w:r w:rsidRPr="00A91A8C">
              <w:rPr>
                <w:sz w:val="20"/>
                <w:szCs w:val="20"/>
              </w:rPr>
              <w:t>$</w:t>
            </w:r>
            <w:r>
              <w:rPr>
                <w:sz w:val="20"/>
                <w:szCs w:val="20"/>
              </w:rPr>
              <w:t>200</w:t>
            </w:r>
          </w:p>
        </w:tc>
        <w:tc>
          <w:tcPr>
            <w:tcW w:w="1350" w:type="dxa"/>
            <w:vAlign w:val="center"/>
          </w:tcPr>
          <w:p w:rsidR="002C6F4F" w:rsidRPr="00A91A8C" w:rsidP="002C6F4F" w14:paraId="0B398862" w14:textId="3DA2E583">
            <w:pPr>
              <w:pStyle w:val="TableParagraph"/>
              <w:spacing w:before="0"/>
              <w:ind w:right="96"/>
              <w:jc w:val="center"/>
              <w:rPr>
                <w:sz w:val="20"/>
                <w:szCs w:val="20"/>
              </w:rPr>
            </w:pPr>
            <w:r w:rsidRPr="00A91A8C">
              <w:rPr>
                <w:sz w:val="20"/>
                <w:szCs w:val="20"/>
              </w:rPr>
              <w:t>8</w:t>
            </w:r>
          </w:p>
        </w:tc>
        <w:tc>
          <w:tcPr>
            <w:tcW w:w="1350" w:type="dxa"/>
            <w:vAlign w:val="center"/>
          </w:tcPr>
          <w:p w:rsidR="002C6F4F" w:rsidRPr="00A91A8C" w:rsidP="002C6F4F" w14:paraId="3931CE13" w14:textId="22301104">
            <w:pPr>
              <w:pStyle w:val="TableParagraph"/>
              <w:spacing w:before="0"/>
              <w:ind w:right="96"/>
              <w:jc w:val="center"/>
              <w:rPr>
                <w:sz w:val="20"/>
                <w:szCs w:val="20"/>
              </w:rPr>
            </w:pPr>
            <w:r w:rsidRPr="00A91A8C">
              <w:rPr>
                <w:sz w:val="20"/>
                <w:szCs w:val="20"/>
              </w:rPr>
              <w:t>$</w:t>
            </w:r>
            <w:r w:rsidR="00682AB8">
              <w:rPr>
                <w:sz w:val="20"/>
                <w:szCs w:val="20"/>
              </w:rPr>
              <w:t>800</w:t>
            </w:r>
          </w:p>
        </w:tc>
      </w:tr>
      <w:tr w14:paraId="7EAA2460" w14:textId="77777777" w:rsidTr="00D25949">
        <w:tblPrEx>
          <w:tblW w:w="8856" w:type="dxa"/>
          <w:jc w:val="center"/>
          <w:tblLayout w:type="fixed"/>
          <w:tblCellMar>
            <w:left w:w="0" w:type="dxa"/>
            <w:right w:w="0" w:type="dxa"/>
          </w:tblCellMar>
          <w:tblLook w:val="01E0"/>
        </w:tblPrEx>
        <w:trPr>
          <w:trHeight w:hRule="exact" w:val="827"/>
          <w:jc w:val="center"/>
        </w:trPr>
        <w:tc>
          <w:tcPr>
            <w:tcW w:w="2690" w:type="dxa"/>
            <w:vAlign w:val="center"/>
          </w:tcPr>
          <w:p w:rsidR="002C6F4F" w:rsidRPr="00A91A8C" w:rsidP="002C6F4F" w14:paraId="23C74F35" w14:textId="4281F6DB">
            <w:pPr>
              <w:pStyle w:val="TableParagraph"/>
              <w:ind w:left="98"/>
              <w:rPr>
                <w:sz w:val="20"/>
                <w:szCs w:val="20"/>
              </w:rPr>
            </w:pPr>
            <w:r w:rsidRPr="00A91A8C">
              <w:rPr>
                <w:sz w:val="20"/>
                <w:szCs w:val="20"/>
              </w:rPr>
              <w:t xml:space="preserve">Administrative </w:t>
            </w:r>
          </w:p>
          <w:p w:rsidR="002C6F4F" w:rsidRPr="00A91A8C" w:rsidP="008D6D82" w14:paraId="30365B1A" w14:textId="78569DE8">
            <w:pPr>
              <w:pStyle w:val="TableParagraph"/>
              <w:ind w:left="98"/>
              <w:rPr>
                <w:sz w:val="20"/>
                <w:szCs w:val="20"/>
              </w:rPr>
            </w:pPr>
            <w:r w:rsidRPr="00A91A8C">
              <w:rPr>
                <w:sz w:val="20"/>
                <w:szCs w:val="20"/>
              </w:rPr>
              <w:t>Assistant</w:t>
            </w:r>
            <w:r w:rsidR="00AD1F0C">
              <w:rPr>
                <w:sz w:val="20"/>
                <w:szCs w:val="20"/>
              </w:rPr>
              <w:t xml:space="preserve"> </w:t>
            </w:r>
            <w:r w:rsidRPr="00913142" w:rsidR="00AD1F0C">
              <w:rPr>
                <w:sz w:val="20"/>
                <w:szCs w:val="20"/>
              </w:rPr>
              <w:t>(BLS Occ. Code: 43-6013)</w:t>
            </w:r>
          </w:p>
          <w:p w:rsidR="002C6F4F" w:rsidRPr="00A91A8C" w:rsidP="002C6F4F" w14:paraId="3051CCC9" w14:textId="77777777">
            <w:pPr>
              <w:pStyle w:val="TableParagraph"/>
              <w:ind w:left="98"/>
              <w:rPr>
                <w:sz w:val="20"/>
                <w:szCs w:val="20"/>
              </w:rPr>
            </w:pPr>
          </w:p>
          <w:p w:rsidR="002C6F4F" w:rsidRPr="00A91A8C" w:rsidP="002C6F4F" w14:paraId="63522360" w14:textId="5AB127F8">
            <w:pPr>
              <w:pStyle w:val="TableParagraph"/>
              <w:ind w:left="98"/>
              <w:rPr>
                <w:sz w:val="20"/>
                <w:szCs w:val="20"/>
              </w:rPr>
            </w:pPr>
            <w:r w:rsidRPr="00D70D41">
              <w:rPr>
                <w:sz w:val="20"/>
                <w:szCs w:val="20"/>
              </w:rPr>
              <w:t>Assistant</w:t>
            </w:r>
          </w:p>
        </w:tc>
        <w:tc>
          <w:tcPr>
            <w:tcW w:w="990" w:type="dxa"/>
            <w:vAlign w:val="center"/>
          </w:tcPr>
          <w:p w:rsidR="002C6F4F" w:rsidRPr="00A91A8C" w:rsidP="002C6F4F" w14:paraId="612406F8" w14:textId="612D52DB">
            <w:pPr>
              <w:pStyle w:val="TableParagraph"/>
              <w:ind w:right="96"/>
              <w:jc w:val="center"/>
              <w:rPr>
                <w:sz w:val="20"/>
                <w:szCs w:val="20"/>
              </w:rPr>
            </w:pPr>
            <w:r w:rsidRPr="00A91A8C">
              <w:rPr>
                <w:sz w:val="20"/>
                <w:szCs w:val="20"/>
              </w:rPr>
              <w:t>$</w:t>
            </w:r>
            <w:r>
              <w:rPr>
                <w:sz w:val="20"/>
                <w:szCs w:val="20"/>
              </w:rPr>
              <w:t>4</w:t>
            </w:r>
            <w:r w:rsidRPr="00A91A8C">
              <w:rPr>
                <w:sz w:val="20"/>
                <w:szCs w:val="20"/>
              </w:rPr>
              <w:t>6</w:t>
            </w:r>
          </w:p>
        </w:tc>
        <w:tc>
          <w:tcPr>
            <w:tcW w:w="1225" w:type="dxa"/>
            <w:vAlign w:val="center"/>
          </w:tcPr>
          <w:p w:rsidR="002C6F4F" w:rsidRPr="006D09DE" w:rsidP="002C6F4F" w14:paraId="3E2C43EA" w14:textId="03A710B7">
            <w:pPr>
              <w:pStyle w:val="TableParagraph"/>
              <w:ind w:right="96"/>
              <w:jc w:val="center"/>
              <w:rPr>
                <w:sz w:val="20"/>
                <w:szCs w:val="20"/>
              </w:rPr>
            </w:pPr>
            <w:r w:rsidRPr="006D09DE">
              <w:rPr>
                <w:sz w:val="20"/>
                <w:szCs w:val="20"/>
              </w:rPr>
              <w:t>0.5</w:t>
            </w:r>
          </w:p>
        </w:tc>
        <w:tc>
          <w:tcPr>
            <w:tcW w:w="1251" w:type="dxa"/>
            <w:vAlign w:val="center"/>
          </w:tcPr>
          <w:p w:rsidR="002C6F4F" w:rsidRPr="006D09DE" w:rsidP="002C6F4F" w14:paraId="43365075" w14:textId="3B49A9FE">
            <w:pPr>
              <w:pStyle w:val="TableParagraph"/>
              <w:ind w:right="96"/>
              <w:jc w:val="center"/>
              <w:rPr>
                <w:sz w:val="20"/>
                <w:szCs w:val="20"/>
              </w:rPr>
            </w:pPr>
            <w:r w:rsidRPr="006D09DE">
              <w:rPr>
                <w:sz w:val="20"/>
                <w:szCs w:val="20"/>
              </w:rPr>
              <w:t>$23</w:t>
            </w:r>
          </w:p>
        </w:tc>
        <w:tc>
          <w:tcPr>
            <w:tcW w:w="1350" w:type="dxa"/>
            <w:vAlign w:val="center"/>
          </w:tcPr>
          <w:p w:rsidR="002C6F4F" w:rsidRPr="006D09DE" w:rsidP="002C6F4F" w14:paraId="15B97A4A" w14:textId="7D7BF6A8">
            <w:pPr>
              <w:pStyle w:val="TableParagraph"/>
              <w:ind w:right="96"/>
              <w:jc w:val="center"/>
              <w:rPr>
                <w:sz w:val="20"/>
                <w:szCs w:val="20"/>
              </w:rPr>
            </w:pPr>
            <w:r w:rsidRPr="006D09DE">
              <w:rPr>
                <w:sz w:val="20"/>
                <w:szCs w:val="20"/>
              </w:rPr>
              <w:t>2</w:t>
            </w:r>
          </w:p>
        </w:tc>
        <w:tc>
          <w:tcPr>
            <w:tcW w:w="1350" w:type="dxa"/>
            <w:vAlign w:val="center"/>
          </w:tcPr>
          <w:p w:rsidR="002C6F4F" w:rsidRPr="006D09DE" w:rsidP="002C6F4F" w14:paraId="07951DF0" w14:textId="20E53578">
            <w:pPr>
              <w:pStyle w:val="TableParagraph"/>
              <w:ind w:right="96"/>
              <w:jc w:val="center"/>
              <w:rPr>
                <w:sz w:val="20"/>
                <w:szCs w:val="20"/>
              </w:rPr>
            </w:pPr>
            <w:r w:rsidRPr="006D09DE">
              <w:rPr>
                <w:sz w:val="20"/>
                <w:szCs w:val="20"/>
              </w:rPr>
              <w:t>$</w:t>
            </w:r>
            <w:r w:rsidRPr="006D09DE" w:rsidR="00682AB8">
              <w:rPr>
                <w:sz w:val="20"/>
                <w:szCs w:val="20"/>
              </w:rPr>
              <w:t>92</w:t>
            </w:r>
          </w:p>
        </w:tc>
      </w:tr>
      <w:tr w14:paraId="19BF3A42" w14:textId="77777777" w:rsidTr="00D25949">
        <w:tblPrEx>
          <w:tblW w:w="8856" w:type="dxa"/>
          <w:jc w:val="center"/>
          <w:tblLayout w:type="fixed"/>
          <w:tblCellMar>
            <w:left w:w="0" w:type="dxa"/>
            <w:right w:w="0" w:type="dxa"/>
          </w:tblCellMar>
          <w:tblLook w:val="01E0"/>
        </w:tblPrEx>
        <w:trPr>
          <w:trHeight w:hRule="exact" w:val="719"/>
          <w:jc w:val="center"/>
        </w:trPr>
        <w:tc>
          <w:tcPr>
            <w:tcW w:w="2690" w:type="dxa"/>
            <w:shd w:val="clear" w:color="auto" w:fill="F2F2F2" w:themeFill="background1" w:themeFillShade="F2"/>
            <w:vAlign w:val="center"/>
          </w:tcPr>
          <w:p w:rsidR="002C6F4F" w:rsidRPr="001E6A01" w:rsidP="001E6A01" w14:paraId="60426CCF" w14:textId="2271E634">
            <w:pPr>
              <w:pStyle w:val="TableParagraph"/>
              <w:ind w:left="98"/>
              <w:rPr>
                <w:b/>
                <w:bCs/>
                <w:sz w:val="20"/>
                <w:szCs w:val="20"/>
              </w:rPr>
            </w:pPr>
            <w:r w:rsidRPr="001E6A01">
              <w:rPr>
                <w:b/>
                <w:bCs/>
                <w:sz w:val="20"/>
                <w:szCs w:val="20"/>
              </w:rPr>
              <w:t>Burden Hours/Cost</w:t>
            </w:r>
          </w:p>
        </w:tc>
        <w:tc>
          <w:tcPr>
            <w:tcW w:w="990" w:type="dxa"/>
            <w:shd w:val="clear" w:color="auto" w:fill="F2F2F2" w:themeFill="background1" w:themeFillShade="F2"/>
            <w:vAlign w:val="center"/>
          </w:tcPr>
          <w:p w:rsidR="002C6F4F" w:rsidRPr="001E6A01" w:rsidP="006D09DE" w14:paraId="6F553DCD" w14:textId="6371709E">
            <w:pPr>
              <w:jc w:val="center"/>
              <w:rPr>
                <w:b/>
                <w:bCs/>
                <w:sz w:val="20"/>
                <w:szCs w:val="20"/>
              </w:rPr>
            </w:pPr>
            <w:r>
              <w:rPr>
                <w:b/>
                <w:bCs/>
                <w:sz w:val="20"/>
                <w:szCs w:val="20"/>
              </w:rPr>
              <w:t>-</w:t>
            </w:r>
          </w:p>
        </w:tc>
        <w:tc>
          <w:tcPr>
            <w:tcW w:w="1225" w:type="dxa"/>
            <w:shd w:val="clear" w:color="auto" w:fill="F2F2F2" w:themeFill="background1" w:themeFillShade="F2"/>
            <w:vAlign w:val="center"/>
          </w:tcPr>
          <w:p w:rsidR="002C6F4F" w:rsidRPr="001E6A01" w:rsidP="002C6F4F" w14:paraId="3430E44C" w14:textId="57058C86">
            <w:pPr>
              <w:pStyle w:val="TableParagraph"/>
              <w:ind w:right="96"/>
              <w:jc w:val="center"/>
              <w:rPr>
                <w:b/>
                <w:bCs/>
                <w:sz w:val="20"/>
                <w:szCs w:val="20"/>
              </w:rPr>
            </w:pPr>
            <w:r w:rsidRPr="001E6A01">
              <w:rPr>
                <w:b/>
                <w:bCs/>
                <w:sz w:val="20"/>
                <w:szCs w:val="20"/>
              </w:rPr>
              <w:t>2.5</w:t>
            </w:r>
          </w:p>
        </w:tc>
        <w:tc>
          <w:tcPr>
            <w:tcW w:w="1251" w:type="dxa"/>
            <w:shd w:val="clear" w:color="auto" w:fill="F2F2F2" w:themeFill="background1" w:themeFillShade="F2"/>
            <w:vAlign w:val="center"/>
          </w:tcPr>
          <w:p w:rsidR="002C6F4F" w:rsidRPr="001E6A01" w:rsidP="002C6F4F" w14:paraId="52B31724" w14:textId="286A7A66">
            <w:pPr>
              <w:pStyle w:val="TableParagraph"/>
              <w:ind w:right="96"/>
              <w:jc w:val="center"/>
              <w:rPr>
                <w:b/>
                <w:bCs/>
                <w:sz w:val="20"/>
                <w:szCs w:val="20"/>
              </w:rPr>
            </w:pPr>
            <w:r w:rsidRPr="001E6A01">
              <w:rPr>
                <w:b/>
                <w:bCs/>
                <w:sz w:val="20"/>
                <w:szCs w:val="20"/>
              </w:rPr>
              <w:t>$223</w:t>
            </w:r>
          </w:p>
        </w:tc>
        <w:tc>
          <w:tcPr>
            <w:tcW w:w="1350" w:type="dxa"/>
            <w:shd w:val="clear" w:color="auto" w:fill="F2F2F2" w:themeFill="background1" w:themeFillShade="F2"/>
            <w:vAlign w:val="center"/>
          </w:tcPr>
          <w:p w:rsidR="002C6F4F" w:rsidRPr="001E6A01" w:rsidP="002C6F4F" w14:paraId="3B8BB09F" w14:textId="1DF032DA">
            <w:pPr>
              <w:pStyle w:val="TableParagraph"/>
              <w:ind w:right="96"/>
              <w:jc w:val="center"/>
              <w:rPr>
                <w:b/>
                <w:bCs/>
                <w:sz w:val="20"/>
                <w:szCs w:val="20"/>
              </w:rPr>
            </w:pPr>
            <w:r w:rsidRPr="001E6A01">
              <w:rPr>
                <w:b/>
                <w:bCs/>
                <w:sz w:val="20"/>
                <w:szCs w:val="20"/>
              </w:rPr>
              <w:t>10</w:t>
            </w:r>
          </w:p>
        </w:tc>
        <w:tc>
          <w:tcPr>
            <w:tcW w:w="1350" w:type="dxa"/>
            <w:shd w:val="clear" w:color="auto" w:fill="F2F2F2" w:themeFill="background1" w:themeFillShade="F2"/>
            <w:vAlign w:val="center"/>
          </w:tcPr>
          <w:p w:rsidR="002C6F4F" w:rsidRPr="001E6A01" w:rsidP="002C6F4F" w14:paraId="790396DB" w14:textId="1BAEA4AB">
            <w:pPr>
              <w:pStyle w:val="TableParagraph"/>
              <w:ind w:right="96"/>
              <w:jc w:val="center"/>
              <w:rPr>
                <w:b/>
                <w:bCs/>
                <w:sz w:val="20"/>
                <w:szCs w:val="20"/>
              </w:rPr>
            </w:pPr>
            <w:r w:rsidRPr="001E6A01">
              <w:rPr>
                <w:b/>
                <w:bCs/>
                <w:sz w:val="20"/>
                <w:szCs w:val="20"/>
              </w:rPr>
              <w:t>$</w:t>
            </w:r>
            <w:r w:rsidRPr="001E6A01" w:rsidR="00682AB8">
              <w:rPr>
                <w:b/>
                <w:bCs/>
                <w:sz w:val="20"/>
                <w:szCs w:val="20"/>
              </w:rPr>
              <w:t>892</w:t>
            </w:r>
          </w:p>
        </w:tc>
      </w:tr>
    </w:tbl>
    <w:p w:rsidR="00B872E8" w14:paraId="3A83A16D" w14:textId="77777777">
      <w:pPr>
        <w:pStyle w:val="BodyText"/>
        <w:spacing w:before="8"/>
      </w:pPr>
    </w:p>
    <w:p w:rsidR="00311799" w:rsidRPr="00722007" w:rsidP="00F474C4" w14:paraId="2AA8FAE4" w14:textId="01E1D43C">
      <w:pPr>
        <w:pStyle w:val="BodyText"/>
        <w:ind w:right="144"/>
      </w:pPr>
      <w:bookmarkStart w:id="27" w:name="_Hlk198828549"/>
      <w:r w:rsidRPr="004274BC">
        <w:t xml:space="preserve">Based on a 5-year average as shown in Table 1, </w:t>
      </w:r>
      <w:r w:rsidR="001F3874">
        <w:t>w</w:t>
      </w:r>
      <w:r w:rsidRPr="00722007" w:rsidR="0098466D">
        <w:t>e estimate t</w:t>
      </w:r>
      <w:r w:rsidRPr="00722007" w:rsidR="0052602B">
        <w:t xml:space="preserve">here </w:t>
      </w:r>
      <w:r w:rsidRPr="00722007" w:rsidR="0098466D">
        <w:t xml:space="preserve">will be </w:t>
      </w:r>
      <w:r w:rsidRPr="00722007" w:rsidR="0052602B">
        <w:t>2</w:t>
      </w:r>
      <w:r w:rsidRPr="00722007" w:rsidR="00472921">
        <w:t>3</w:t>
      </w:r>
      <w:r w:rsidR="009231C6">
        <w:t>7</w:t>
      </w:r>
      <w:r w:rsidRPr="00722007" w:rsidR="0052602B">
        <w:t xml:space="preserve"> kidney transplant </w:t>
      </w:r>
      <w:r w:rsidRPr="00722007" w:rsidR="0098466D">
        <w:t>programs over the next three-year period</w:t>
      </w:r>
      <w:r w:rsidRPr="00722007" w:rsidR="00014271">
        <w:t xml:space="preserve"> that must comply with this requirement</w:t>
      </w:r>
      <w:r w:rsidRPr="00722007" w:rsidR="0052602B">
        <w:t xml:space="preserve">. Thus, for all kidney transplant </w:t>
      </w:r>
      <w:r w:rsidRPr="00722007" w:rsidR="00163D1D">
        <w:t>programs to provide quarterly notifications</w:t>
      </w:r>
      <w:r w:rsidR="001E6A01">
        <w:t xml:space="preserve"> of </w:t>
      </w:r>
      <w:r w:rsidRPr="00722007" w:rsidR="001E6A01">
        <w:t>their patients’ waiting list status</w:t>
      </w:r>
      <w:r w:rsidRPr="00722007" w:rsidR="00163D1D">
        <w:t xml:space="preserve"> to dialysis centers</w:t>
      </w:r>
      <w:r w:rsidR="001E6A01">
        <w:t xml:space="preserve"> every year</w:t>
      </w:r>
      <w:r w:rsidRPr="00722007" w:rsidR="0052602B">
        <w:t xml:space="preserve">, </w:t>
      </w:r>
      <w:r w:rsidR="001E6A01">
        <w:t>the t</w:t>
      </w:r>
      <w:r w:rsidRPr="00C45073" w:rsidR="001F3874">
        <w:t>otal annual burden</w:t>
      </w:r>
      <w:r w:rsidR="001E6A01">
        <w:t xml:space="preserve"> for all transplant programs</w:t>
      </w:r>
      <w:r w:rsidRPr="00AD1F0C" w:rsidR="001F3874">
        <w:t xml:space="preserve"> </w:t>
      </w:r>
      <w:r w:rsidRPr="00C45073" w:rsidR="001F3874">
        <w:t xml:space="preserve">is </w:t>
      </w:r>
      <w:r w:rsidRPr="00C45073" w:rsidR="0052602B">
        <w:t>2,</w:t>
      </w:r>
      <w:r w:rsidRPr="00C45073" w:rsidR="00450BBC">
        <w:t>3</w:t>
      </w:r>
      <w:r w:rsidR="001F3874">
        <w:t>7</w:t>
      </w:r>
      <w:r w:rsidRPr="00C45073" w:rsidR="00450BBC">
        <w:t xml:space="preserve">0 </w:t>
      </w:r>
      <w:r w:rsidR="00C45073">
        <w:t xml:space="preserve">hours </w:t>
      </w:r>
      <w:r w:rsidRPr="00C45073" w:rsidR="0052602B">
        <w:t>(10 hour</w:t>
      </w:r>
      <w:r w:rsidR="001E6A01">
        <w:t>s/</w:t>
      </w:r>
      <w:r w:rsidRPr="00C45073" w:rsidR="00682AB8">
        <w:t>program</w:t>
      </w:r>
      <w:r w:rsidRPr="00AD1F0C" w:rsidR="0052602B">
        <w:t xml:space="preserve"> x</w:t>
      </w:r>
      <w:r w:rsidRPr="00C45073" w:rsidR="0052602B">
        <w:t xml:space="preserve"> 2</w:t>
      </w:r>
      <w:r w:rsidRPr="00C45073" w:rsidR="00472921">
        <w:t>3</w:t>
      </w:r>
      <w:r w:rsidR="00AD1F0C">
        <w:t>7</w:t>
      </w:r>
      <w:r w:rsidR="001E6A01">
        <w:t xml:space="preserve"> programs</w:t>
      </w:r>
      <w:r w:rsidR="00C45073">
        <w:t>)</w:t>
      </w:r>
      <w:r w:rsidRPr="00C45073" w:rsidR="0052602B">
        <w:t xml:space="preserve"> </w:t>
      </w:r>
      <w:r w:rsidR="001E6A01">
        <w:t xml:space="preserve">with an associated </w:t>
      </w:r>
      <w:r w:rsidRPr="00AD1F0C" w:rsidR="00A05DA8">
        <w:t xml:space="preserve">annual cost </w:t>
      </w:r>
      <w:r w:rsidR="001E6A01">
        <w:t xml:space="preserve">of </w:t>
      </w:r>
      <w:r w:rsidRPr="00AD1F0C" w:rsidR="0052602B">
        <w:t>$</w:t>
      </w:r>
      <w:r w:rsidRPr="00AD1F0C" w:rsidR="00682AB8">
        <w:t>2</w:t>
      </w:r>
      <w:r w:rsidR="001F3874">
        <w:t>11,404</w:t>
      </w:r>
      <w:r w:rsidR="00C45073">
        <w:t xml:space="preserve"> </w:t>
      </w:r>
      <w:r w:rsidRPr="00AD1F0C" w:rsidR="0052602B">
        <w:t>($</w:t>
      </w:r>
      <w:r w:rsidRPr="00AD1F0C" w:rsidR="00163D1D">
        <w:t>892</w:t>
      </w:r>
      <w:r w:rsidR="001E6A01">
        <w:t>/</w:t>
      </w:r>
      <w:r w:rsidRPr="00722007" w:rsidR="00163D1D">
        <w:t>program</w:t>
      </w:r>
      <w:r w:rsidRPr="00722007" w:rsidR="0052602B">
        <w:t xml:space="preserve"> x 2</w:t>
      </w:r>
      <w:r w:rsidRPr="00722007" w:rsidR="00472921">
        <w:t>3</w:t>
      </w:r>
      <w:r w:rsidR="001F3874">
        <w:t>7</w:t>
      </w:r>
      <w:r w:rsidRPr="00722007" w:rsidR="0052602B">
        <w:t xml:space="preserve"> </w:t>
      </w:r>
      <w:r w:rsidRPr="00722007" w:rsidR="00163D1D">
        <w:t>programs</w:t>
      </w:r>
      <w:r w:rsidRPr="00722007" w:rsidR="0052602B">
        <w:t>).</w:t>
      </w:r>
    </w:p>
    <w:bookmarkEnd w:id="27"/>
    <w:p w:rsidR="00311799" w:rsidP="00F474C4" w14:paraId="5C290AF3" w14:textId="77777777">
      <w:pPr>
        <w:pStyle w:val="BodyText"/>
        <w:ind w:left="450" w:right="144"/>
      </w:pPr>
    </w:p>
    <w:p w:rsidR="00280BFB" w:rsidRPr="001E6A01" w:rsidP="00595B10" w14:paraId="55152FD6" w14:textId="583CEDE0">
      <w:pPr>
        <w:pStyle w:val="Heading6"/>
        <w:spacing w:before="0"/>
      </w:pPr>
      <w:r w:rsidRPr="001E6A01">
        <w:t>§</w:t>
      </w:r>
      <w:r w:rsidRPr="001E6A01">
        <w:t>482.96 - Quality assessment and performance improvement (QAPI)</w:t>
      </w:r>
    </w:p>
    <w:p w:rsidR="00350183" w:rsidRPr="00E60627" w:rsidP="00F474C4" w14:paraId="1C9757C1" w14:textId="15675B9C">
      <w:pPr>
        <w:pStyle w:val="BodyText"/>
        <w:ind w:right="144"/>
      </w:pPr>
      <w:r w:rsidRPr="001E6A01">
        <w:t xml:space="preserve">Section 482.96 requires transplant programs to develop, implement, and maintain a written, comprehensive, </w:t>
      </w:r>
      <w:r w:rsidR="00C706AD">
        <w:t xml:space="preserve">and </w:t>
      </w:r>
      <w:r w:rsidRPr="00E60627">
        <w:t>data-driven Q</w:t>
      </w:r>
      <w:r w:rsidR="00C706AD">
        <w:t>uality Assessment and Performance Improvement (QAPI) Program. The Q</w:t>
      </w:r>
      <w:r w:rsidRPr="00E60627">
        <w:t xml:space="preserve">API program </w:t>
      </w:r>
      <w:r w:rsidR="00C706AD">
        <w:t xml:space="preserve">must be </w:t>
      </w:r>
      <w:r w:rsidRPr="00E60627">
        <w:t xml:space="preserve">designed to monitor and evaluate </w:t>
      </w:r>
      <w:r w:rsidR="00C706AD">
        <w:t xml:space="preserve">the </w:t>
      </w:r>
      <w:r w:rsidRPr="00E60627">
        <w:t xml:space="preserve">performance of all transplantation services, including services provided under contract or arrangement. </w:t>
      </w:r>
    </w:p>
    <w:p w:rsidR="00350183" w:rsidRPr="00E60627" w:rsidP="00F474C4" w14:paraId="1A30A89A" w14:textId="77777777">
      <w:pPr>
        <w:pStyle w:val="BodyText"/>
        <w:ind w:right="144"/>
      </w:pPr>
    </w:p>
    <w:p w:rsidR="00C706AD" w:rsidRPr="00C45073" w:rsidP="00F474C4" w14:paraId="32FA5EAB" w14:textId="77777777">
      <w:pPr>
        <w:pStyle w:val="BodyText"/>
        <w:ind w:right="144"/>
      </w:pPr>
      <w:r w:rsidRPr="00E60627">
        <w:t>Specifically,</w:t>
      </w:r>
      <w:r w:rsidRPr="00E60627" w:rsidR="00350183">
        <w:t xml:space="preserve"> section 482.96(b) requires newly certified transplant programs to </w:t>
      </w:r>
      <w:r w:rsidRPr="00E60627" w:rsidR="001D4BE1">
        <w:t xml:space="preserve">establish and implement written policies to address and document adverse events that occur during any phase of an organ transplantation case. These policies must </w:t>
      </w:r>
      <w:r>
        <w:t xml:space="preserve">include, </w:t>
      </w:r>
      <w:r>
        <w:t>at</w:t>
      </w:r>
      <w:r>
        <w:t xml:space="preserve"> a minimum, </w:t>
      </w:r>
      <w:r w:rsidRPr="00C45073">
        <w:t xml:space="preserve">procedures for: </w:t>
      </w:r>
    </w:p>
    <w:p w:rsidR="00C706AD" w:rsidRPr="00E60627" w:rsidP="00F474C4" w14:paraId="4844D61D" w14:textId="0A7B425D">
      <w:pPr>
        <w:pStyle w:val="ListBullet"/>
        <w:numPr>
          <w:ilvl w:val="0"/>
          <w:numId w:val="25"/>
        </w:numPr>
        <w:rPr>
          <w:sz w:val="24"/>
          <w:szCs w:val="24"/>
        </w:rPr>
      </w:pPr>
      <w:r w:rsidRPr="001E6A01">
        <w:rPr>
          <w:sz w:val="24"/>
          <w:szCs w:val="24"/>
        </w:rPr>
        <w:t xml:space="preserve">Identifying adverse </w:t>
      </w:r>
      <w:r w:rsidRPr="001E6A01">
        <w:rPr>
          <w:sz w:val="24"/>
          <w:szCs w:val="24"/>
        </w:rPr>
        <w:t>events</w:t>
      </w:r>
      <w:r w:rsidR="00C45073">
        <w:rPr>
          <w:sz w:val="24"/>
          <w:szCs w:val="24"/>
        </w:rPr>
        <w:t>;</w:t>
      </w:r>
    </w:p>
    <w:p w:rsidR="00C706AD" w:rsidRPr="00E60627" w:rsidP="00F474C4" w14:paraId="62808F0F" w14:textId="4C094958">
      <w:pPr>
        <w:pStyle w:val="ListBullet"/>
        <w:numPr>
          <w:ilvl w:val="0"/>
          <w:numId w:val="25"/>
        </w:numPr>
        <w:rPr>
          <w:sz w:val="24"/>
          <w:szCs w:val="24"/>
        </w:rPr>
      </w:pPr>
      <w:r w:rsidRPr="00E60627">
        <w:rPr>
          <w:sz w:val="24"/>
          <w:szCs w:val="24"/>
        </w:rPr>
        <w:t xml:space="preserve">Reporting adverse </w:t>
      </w:r>
      <w:r w:rsidRPr="00E60627">
        <w:rPr>
          <w:sz w:val="24"/>
          <w:szCs w:val="24"/>
        </w:rPr>
        <w:t>events</w:t>
      </w:r>
      <w:r w:rsidR="00C45073">
        <w:rPr>
          <w:sz w:val="24"/>
          <w:szCs w:val="24"/>
        </w:rPr>
        <w:t>;</w:t>
      </w:r>
    </w:p>
    <w:p w:rsidR="00C706AD" w:rsidRPr="00E60627" w:rsidP="00F474C4" w14:paraId="6AAB9A87" w14:textId="413BF3B2">
      <w:pPr>
        <w:pStyle w:val="ListBullet"/>
        <w:numPr>
          <w:ilvl w:val="0"/>
          <w:numId w:val="25"/>
        </w:numPr>
        <w:rPr>
          <w:sz w:val="24"/>
          <w:szCs w:val="24"/>
        </w:rPr>
      </w:pPr>
      <w:r w:rsidRPr="00E60627">
        <w:rPr>
          <w:sz w:val="24"/>
          <w:szCs w:val="24"/>
        </w:rPr>
        <w:t>Analy</w:t>
      </w:r>
      <w:r w:rsidR="00C45073">
        <w:rPr>
          <w:sz w:val="24"/>
          <w:szCs w:val="24"/>
        </w:rPr>
        <w:t>zing</w:t>
      </w:r>
      <w:r w:rsidRPr="00E60627">
        <w:rPr>
          <w:sz w:val="24"/>
          <w:szCs w:val="24"/>
        </w:rPr>
        <w:t xml:space="preserve"> adverse events</w:t>
      </w:r>
      <w:r w:rsidR="00C45073">
        <w:rPr>
          <w:sz w:val="24"/>
          <w:szCs w:val="24"/>
        </w:rPr>
        <w:t>; and</w:t>
      </w:r>
    </w:p>
    <w:p w:rsidR="00C706AD" w:rsidRPr="00414E6F" w:rsidP="00F474C4" w14:paraId="45F97130" w14:textId="783B967F">
      <w:pPr>
        <w:pStyle w:val="ListBullet"/>
        <w:numPr>
          <w:ilvl w:val="0"/>
          <w:numId w:val="25"/>
        </w:numPr>
        <w:rPr>
          <w:sz w:val="24"/>
          <w:szCs w:val="24"/>
        </w:rPr>
      </w:pPr>
      <w:r w:rsidRPr="00414E6F">
        <w:rPr>
          <w:sz w:val="24"/>
          <w:szCs w:val="24"/>
        </w:rPr>
        <w:t>Preventing recurrence of adverse events</w:t>
      </w:r>
      <w:r w:rsidRPr="00414E6F" w:rsidR="00C45073">
        <w:rPr>
          <w:sz w:val="24"/>
          <w:szCs w:val="24"/>
        </w:rPr>
        <w:t>.</w:t>
      </w:r>
    </w:p>
    <w:p w:rsidR="00C706AD" w:rsidRPr="00414E6F" w:rsidP="00F474C4" w14:paraId="49C533C1" w14:textId="77777777">
      <w:pPr>
        <w:pStyle w:val="ListBullet"/>
        <w:ind w:left="360"/>
        <w:rPr>
          <w:sz w:val="24"/>
          <w:szCs w:val="24"/>
        </w:rPr>
      </w:pPr>
    </w:p>
    <w:p w:rsidR="00E60627" w:rsidRPr="00414E6F" w:rsidP="00F474C4" w14:paraId="04AA70EE" w14:textId="77777777">
      <w:pPr>
        <w:pStyle w:val="BodyText"/>
        <w:ind w:right="144"/>
      </w:pPr>
      <w:r w:rsidRPr="00414E6F">
        <w:t xml:space="preserve">When an adverse event is identified, the transplant </w:t>
      </w:r>
      <w:r w:rsidRPr="00414E6F" w:rsidR="00C45073">
        <w:t xml:space="preserve">program </w:t>
      </w:r>
      <w:r w:rsidRPr="00414E6F">
        <w:t xml:space="preserve">must conduct a thorough analysis and document </w:t>
      </w:r>
      <w:r w:rsidRPr="00414E6F" w:rsidR="00C706AD">
        <w:t>the findings.</w:t>
      </w:r>
      <w:r w:rsidRPr="00414E6F">
        <w:t xml:space="preserve"> </w:t>
      </w:r>
    </w:p>
    <w:p w:rsidR="00414E6F" w:rsidP="00414E6F" w14:paraId="7E58DC51" w14:textId="77777777">
      <w:pPr>
        <w:pStyle w:val="BodyText"/>
        <w:ind w:right="144"/>
      </w:pPr>
      <w:r w:rsidRPr="00E60627">
        <w:t>For newly certified transplant programs, t</w:t>
      </w:r>
      <w:r w:rsidRPr="00E60627" w:rsidR="00350183">
        <w:t xml:space="preserve">he </w:t>
      </w:r>
      <w:r w:rsidRPr="00E60627" w:rsidR="00A33491">
        <w:t xml:space="preserve">one-time </w:t>
      </w:r>
      <w:r w:rsidRPr="00E60627" w:rsidR="00350183">
        <w:t xml:space="preserve">burden </w:t>
      </w:r>
      <w:r w:rsidRPr="00E60627">
        <w:t xml:space="preserve">under </w:t>
      </w:r>
      <w:r w:rsidRPr="004207EF" w:rsidR="00C706AD">
        <w:t>§</w:t>
      </w:r>
      <w:r w:rsidR="00C706AD">
        <w:t xml:space="preserve"> </w:t>
      </w:r>
      <w:r w:rsidRPr="00E60627" w:rsidR="00A33491">
        <w:t xml:space="preserve">482.96(b) </w:t>
      </w:r>
      <w:r w:rsidRPr="00E60627" w:rsidR="00350183">
        <w:t xml:space="preserve">is </w:t>
      </w:r>
      <w:r w:rsidRPr="00E60627">
        <w:t xml:space="preserve">to </w:t>
      </w:r>
      <w:r w:rsidRPr="00E60627" w:rsidR="00350183">
        <w:t xml:space="preserve">develop and implement a QAPI program. </w:t>
      </w:r>
      <w:r w:rsidRPr="00E60627" w:rsidR="005151C8">
        <w:t xml:space="preserve">We </w:t>
      </w:r>
      <w:r w:rsidRPr="00E60627" w:rsidR="00ED62B3">
        <w:t>c</w:t>
      </w:r>
      <w:r w:rsidRPr="00E60627" w:rsidR="005151C8">
        <w:t>ontinue to believe that</w:t>
      </w:r>
      <w:r w:rsidR="00C706AD">
        <w:t xml:space="preserve"> such programs </w:t>
      </w:r>
      <w:r w:rsidRPr="00E60627" w:rsidR="005151C8">
        <w:t xml:space="preserve">would likely </w:t>
      </w:r>
      <w:r w:rsidRPr="00E60627" w:rsidR="004A57E1">
        <w:t>rely on an</w:t>
      </w:r>
      <w:r w:rsidRPr="00E60627" w:rsidR="005151C8">
        <w:t xml:space="preserve"> experienced </w:t>
      </w:r>
      <w:r w:rsidR="00C706AD">
        <w:t xml:space="preserve">member of the hospital’s </w:t>
      </w:r>
      <w:r w:rsidRPr="00E60627" w:rsidR="005151C8">
        <w:t>QAPI staff</w:t>
      </w:r>
      <w:r w:rsidR="00C706AD">
        <w:t xml:space="preserve"> to assist in developing the transplant program’s QAPI system. </w:t>
      </w:r>
      <w:r w:rsidR="00C45073">
        <w:t>H</w:t>
      </w:r>
      <w:r w:rsidRPr="001E6A01" w:rsidR="004A57E1">
        <w:t xml:space="preserve">ospitals are </w:t>
      </w:r>
      <w:r w:rsidR="00C706AD">
        <w:t xml:space="preserve">already </w:t>
      </w:r>
      <w:r w:rsidRPr="00E60627" w:rsidR="004A57E1">
        <w:t xml:space="preserve">required </w:t>
      </w:r>
      <w:r w:rsidR="00C706AD">
        <w:t>under</w:t>
      </w:r>
      <w:r w:rsidRPr="00E60627" w:rsidR="004A57E1">
        <w:t xml:space="preserve"> 42 CFR § 482.2</w:t>
      </w:r>
      <w:r w:rsidRPr="00E60627" w:rsidR="00A33491">
        <w:t>1</w:t>
      </w:r>
      <w:r w:rsidRPr="00E60627" w:rsidR="004A57E1">
        <w:t xml:space="preserve"> to</w:t>
      </w:r>
      <w:r w:rsidR="00C706AD">
        <w:t xml:space="preserve"> maintain a </w:t>
      </w:r>
      <w:r w:rsidRPr="00E60627" w:rsidR="004A57E1">
        <w:t>hospital-wide QAPI program that involve</w:t>
      </w:r>
      <w:r w:rsidR="00C706AD">
        <w:t>s</w:t>
      </w:r>
      <w:r w:rsidRPr="00E60627" w:rsidR="004A57E1">
        <w:t xml:space="preserve"> all departments</w:t>
      </w:r>
      <w:r w:rsidR="00C706AD">
        <w:t>. Therefore</w:t>
      </w:r>
      <w:r w:rsidRPr="00E60627" w:rsidR="004A57E1">
        <w:t xml:space="preserve">, </w:t>
      </w:r>
      <w:r w:rsidR="00C706AD">
        <w:t xml:space="preserve">the </w:t>
      </w:r>
      <w:r w:rsidRPr="00E60627" w:rsidR="005151C8">
        <w:t>transplant program</w:t>
      </w:r>
      <w:r w:rsidR="00C706AD">
        <w:t xml:space="preserve"> can </w:t>
      </w:r>
      <w:r w:rsidRPr="004207EF" w:rsidR="00C706AD">
        <w:t xml:space="preserve">draw </w:t>
      </w:r>
      <w:r w:rsidR="0009389C">
        <w:t>on</w:t>
      </w:r>
      <w:r w:rsidRPr="004207EF" w:rsidR="00C706AD">
        <w:t xml:space="preserve"> </w:t>
      </w:r>
      <w:r w:rsidR="00C706AD">
        <w:t>the hospital’s ex</w:t>
      </w:r>
      <w:r w:rsidR="0009389C">
        <w:t>i</w:t>
      </w:r>
      <w:r w:rsidR="00C706AD">
        <w:t>st</w:t>
      </w:r>
      <w:r w:rsidR="0009389C">
        <w:t>ing</w:t>
      </w:r>
      <w:r w:rsidR="00C706AD">
        <w:t xml:space="preserve"> QAPI staff as a substantial resource.</w:t>
      </w:r>
      <w:r w:rsidR="00C45073">
        <w:t xml:space="preserve"> </w:t>
      </w:r>
      <w:r w:rsidR="0009389C">
        <w:t>As a result, we continue to estimate that any newly certified transplant program would incur only a minimal one-time burden to develop its QAPI program.</w:t>
      </w:r>
      <w:r w:rsidR="00C45073">
        <w:t xml:space="preserve"> </w:t>
      </w:r>
      <w:r>
        <w:t xml:space="preserve"> </w:t>
      </w:r>
    </w:p>
    <w:p w:rsidR="00414E6F" w:rsidP="00414E6F" w14:paraId="1DC6A68D" w14:textId="77777777">
      <w:pPr>
        <w:pStyle w:val="BodyText"/>
        <w:ind w:right="144"/>
      </w:pPr>
    </w:p>
    <w:p w:rsidR="0009389C" w:rsidRPr="0009389C" w:rsidP="00414E6F" w14:paraId="5C59C347" w14:textId="3208FC5F">
      <w:pPr>
        <w:pStyle w:val="BodyText"/>
        <w:ind w:right="144"/>
      </w:pPr>
      <w:r w:rsidRPr="00E60627">
        <w:t>For existing transplant programs,</w:t>
      </w:r>
      <w:r w:rsidRPr="00E60627" w:rsidR="00A33491">
        <w:t xml:space="preserve"> the ongoing </w:t>
      </w:r>
      <w:r w:rsidRPr="00E60627" w:rsidR="00350183">
        <w:t xml:space="preserve">burden </w:t>
      </w:r>
      <w:r w:rsidRPr="00E60627">
        <w:t xml:space="preserve">under </w:t>
      </w:r>
      <w:r w:rsidRPr="0009389C">
        <w:t xml:space="preserve">§ </w:t>
      </w:r>
      <w:r w:rsidRPr="00E60627">
        <w:t xml:space="preserve">482.96 </w:t>
      </w:r>
      <w:r w:rsidRPr="00E60627" w:rsidR="00350183">
        <w:t>is to</w:t>
      </w:r>
      <w:r w:rsidRPr="0009389C">
        <w:t>:</w:t>
      </w:r>
    </w:p>
    <w:p w:rsidR="00C45073" w:rsidP="00414E6F" w14:paraId="6BE9267F" w14:textId="77777777">
      <w:pPr>
        <w:pStyle w:val="ListBullet"/>
        <w:numPr>
          <w:ilvl w:val="0"/>
          <w:numId w:val="26"/>
        </w:numPr>
        <w:rPr>
          <w:sz w:val="24"/>
          <w:szCs w:val="24"/>
        </w:rPr>
      </w:pPr>
      <w:r w:rsidRPr="001E6A01">
        <w:rPr>
          <w:sz w:val="24"/>
          <w:szCs w:val="24"/>
        </w:rPr>
        <w:t>maintain their QAPI programs</w:t>
      </w:r>
    </w:p>
    <w:p w:rsidR="0009389C" w:rsidP="00414E6F" w14:paraId="12BC4BEA" w14:textId="32FCE217">
      <w:pPr>
        <w:pStyle w:val="ListBullet"/>
        <w:numPr>
          <w:ilvl w:val="0"/>
          <w:numId w:val="26"/>
        </w:numPr>
        <w:rPr>
          <w:sz w:val="24"/>
          <w:szCs w:val="24"/>
        </w:rPr>
      </w:pPr>
      <w:r w:rsidRPr="001E6A01">
        <w:rPr>
          <w:sz w:val="24"/>
          <w:szCs w:val="24"/>
        </w:rPr>
        <w:t>document each adverse event</w:t>
      </w:r>
      <w:r w:rsidRPr="001E6A01" w:rsidR="00350183">
        <w:rPr>
          <w:sz w:val="24"/>
          <w:szCs w:val="24"/>
        </w:rPr>
        <w:t xml:space="preserve">. </w:t>
      </w:r>
    </w:p>
    <w:p w:rsidR="001D4BE1" w:rsidRPr="001E6A01" w:rsidP="00414E6F" w14:paraId="46E1ACD0" w14:textId="6321607C">
      <w:pPr>
        <w:pStyle w:val="ListBullet"/>
        <w:spacing w:before="120"/>
        <w:contextualSpacing w:val="0"/>
      </w:pPr>
      <w:r w:rsidRPr="001E6A01">
        <w:rPr>
          <w:sz w:val="24"/>
          <w:szCs w:val="24"/>
        </w:rPr>
        <w:t>We continue to believe that</w:t>
      </w:r>
      <w:r w:rsidR="0009389C">
        <w:rPr>
          <w:sz w:val="24"/>
          <w:szCs w:val="24"/>
        </w:rPr>
        <w:t xml:space="preserve"> developing and </w:t>
      </w:r>
      <w:r w:rsidRPr="00E60627">
        <w:rPr>
          <w:sz w:val="24"/>
          <w:szCs w:val="24"/>
        </w:rPr>
        <w:t xml:space="preserve">maintaining a QAPI program </w:t>
      </w:r>
      <w:r w:rsidR="0009389C">
        <w:rPr>
          <w:sz w:val="24"/>
          <w:szCs w:val="24"/>
        </w:rPr>
        <w:t>is standard and customary business</w:t>
      </w:r>
      <w:r w:rsidRPr="00E60627">
        <w:rPr>
          <w:sz w:val="24"/>
          <w:szCs w:val="24"/>
        </w:rPr>
        <w:t xml:space="preserve"> practice </w:t>
      </w:r>
      <w:r w:rsidR="0009389C">
        <w:rPr>
          <w:sz w:val="24"/>
          <w:szCs w:val="24"/>
        </w:rPr>
        <w:t>among</w:t>
      </w:r>
      <w:r w:rsidRPr="00E60627">
        <w:rPr>
          <w:sz w:val="24"/>
          <w:szCs w:val="24"/>
        </w:rPr>
        <w:t xml:space="preserve"> transplant programs. </w:t>
      </w:r>
      <w:r w:rsidRPr="00E60627">
        <w:rPr>
          <w:sz w:val="24"/>
          <w:szCs w:val="24"/>
        </w:rPr>
        <w:t xml:space="preserve">Therefore, </w:t>
      </w:r>
      <w:r w:rsidRPr="0009389C" w:rsidR="0009389C">
        <w:rPr>
          <w:sz w:val="24"/>
          <w:szCs w:val="24"/>
        </w:rPr>
        <w:t xml:space="preserve">under </w:t>
      </w:r>
      <w:hyperlink r:id="rId13" w:anchor="p-1320.3(b)(2)" w:tgtFrame="_blank" w:history="1">
        <w:r w:rsidRPr="001E6A01" w:rsidR="0009389C">
          <w:rPr>
            <w:rStyle w:val="Hyperlink"/>
            <w:color w:val="auto"/>
            <w:sz w:val="24"/>
            <w:szCs w:val="24"/>
            <w:u w:val="none"/>
          </w:rPr>
          <w:t>5 CFR § 1320.3(b)(2)</w:t>
        </w:r>
      </w:hyperlink>
      <w:r w:rsidR="0009389C">
        <w:rPr>
          <w:sz w:val="24"/>
          <w:szCs w:val="24"/>
        </w:rPr>
        <w:t xml:space="preserve">, </w:t>
      </w:r>
      <w:r w:rsidRPr="00E60627">
        <w:rPr>
          <w:sz w:val="24"/>
          <w:szCs w:val="24"/>
        </w:rPr>
        <w:t>the burden associated with th</w:t>
      </w:r>
      <w:r w:rsidR="0009389C">
        <w:rPr>
          <w:sz w:val="24"/>
          <w:szCs w:val="24"/>
        </w:rPr>
        <w:t>e</w:t>
      </w:r>
      <w:r w:rsidRPr="00E60627">
        <w:rPr>
          <w:sz w:val="24"/>
          <w:szCs w:val="24"/>
        </w:rPr>
        <w:t xml:space="preserve"> </w:t>
      </w:r>
      <w:r w:rsidR="0009389C">
        <w:rPr>
          <w:sz w:val="24"/>
          <w:szCs w:val="24"/>
        </w:rPr>
        <w:t xml:space="preserve">ongoing </w:t>
      </w:r>
      <w:r w:rsidRPr="00E60627">
        <w:rPr>
          <w:sz w:val="24"/>
          <w:szCs w:val="24"/>
        </w:rPr>
        <w:t>requirement</w:t>
      </w:r>
      <w:r w:rsidR="0009389C">
        <w:rPr>
          <w:sz w:val="24"/>
          <w:szCs w:val="24"/>
        </w:rPr>
        <w:t xml:space="preserve">s is </w:t>
      </w:r>
      <w:r w:rsidRPr="001E6A01">
        <w:rPr>
          <w:sz w:val="24"/>
          <w:szCs w:val="24"/>
        </w:rPr>
        <w:t>ex</w:t>
      </w:r>
      <w:r w:rsidR="0009389C">
        <w:rPr>
          <w:sz w:val="24"/>
          <w:szCs w:val="24"/>
        </w:rPr>
        <w:t>empt from PRA review, as these activities constitute usual and customary business practices.</w:t>
      </w:r>
    </w:p>
    <w:p w:rsidR="001D4BE1" w:rsidP="00F474C4" w14:paraId="616057D9" w14:textId="77777777">
      <w:pPr>
        <w:pStyle w:val="BodyText"/>
        <w:ind w:right="144"/>
        <w:rPr>
          <w:u w:val="single"/>
        </w:rPr>
      </w:pPr>
    </w:p>
    <w:p w:rsidR="00D113B3" w:rsidRPr="001E6A01" w:rsidP="00F474C4" w14:paraId="11329FF1" w14:textId="3A3F6306">
      <w:pPr>
        <w:pStyle w:val="Heading6"/>
      </w:pPr>
      <w:r w:rsidRPr="00F970C1">
        <w:t>§</w:t>
      </w:r>
      <w:r w:rsidR="00863E7C">
        <w:t xml:space="preserve"> </w:t>
      </w:r>
      <w:r w:rsidRPr="00F970C1">
        <w:t>4</w:t>
      </w:r>
      <w:r w:rsidRPr="001E6A01">
        <w:t xml:space="preserve">82.98 </w:t>
      </w:r>
      <w:r w:rsidRPr="00F970C1">
        <w:t>–</w:t>
      </w:r>
      <w:r w:rsidRPr="001E6A01">
        <w:t xml:space="preserve"> </w:t>
      </w:r>
      <w:r w:rsidRPr="00F970C1" w:rsidR="00713270">
        <w:t xml:space="preserve">Required notification to </w:t>
      </w:r>
      <w:r w:rsidRPr="00F970C1">
        <w:t>OPTN</w:t>
      </w:r>
    </w:p>
    <w:p w:rsidR="00D402A6" w:rsidP="00F474C4" w14:paraId="68FD4810" w14:textId="5DDFCC04">
      <w:pPr>
        <w:pStyle w:val="BodyText"/>
        <w:ind w:right="144"/>
      </w:pPr>
      <w:r>
        <w:t>Section 482.98(b) requires transplant programs to identify to the O</w:t>
      </w:r>
      <w:r w:rsidR="0009389C">
        <w:t xml:space="preserve">rgan </w:t>
      </w:r>
      <w:r>
        <w:t>P</w:t>
      </w:r>
      <w:r w:rsidR="0009389C">
        <w:t>rocurement and Transplantation Network (OP</w:t>
      </w:r>
      <w:r>
        <w:t>TN</w:t>
      </w:r>
      <w:r w:rsidR="0009389C">
        <w:t>)</w:t>
      </w:r>
      <w:r>
        <w:t xml:space="preserve"> a primary transplant surgeon and a transplant physician </w:t>
      </w:r>
      <w:r w:rsidR="00312DA3">
        <w:t xml:space="preserve">who possess </w:t>
      </w:r>
      <w:r>
        <w:t xml:space="preserve">the appropriate training and experience to provide transplantation services </w:t>
      </w:r>
      <w:r w:rsidR="00532391">
        <w:t xml:space="preserve">and </w:t>
      </w:r>
      <w:r>
        <w:t xml:space="preserve">who are immediately available when an organ is offered for transplantation. </w:t>
      </w:r>
    </w:p>
    <w:p w:rsidR="00D402A6" w:rsidP="00F474C4" w14:paraId="3A2DCF38" w14:textId="77777777">
      <w:pPr>
        <w:pStyle w:val="BodyText"/>
        <w:ind w:right="144"/>
      </w:pPr>
    </w:p>
    <w:p w:rsidR="00532391" w:rsidP="00F474C4" w14:paraId="3CC34BCD" w14:textId="7F3660EC">
      <w:pPr>
        <w:pStyle w:val="BodyText"/>
        <w:ind w:right="144"/>
      </w:pPr>
      <w:r>
        <w:t>For newly certified transplant programs, t</w:t>
      </w:r>
      <w:r w:rsidR="00D402A6">
        <w:t>he</w:t>
      </w:r>
      <w:r>
        <w:t xml:space="preserve"> one-time </w:t>
      </w:r>
      <w:r w:rsidR="00D402A6">
        <w:t xml:space="preserve">burden associated with this requirement is the time </w:t>
      </w:r>
      <w:r w:rsidR="00312DA3">
        <w:t xml:space="preserve">needed </w:t>
      </w:r>
      <w:r w:rsidR="00D402A6">
        <w:t>to compile</w:t>
      </w:r>
      <w:r>
        <w:t xml:space="preserve"> and submit</w:t>
      </w:r>
      <w:r w:rsidR="00D402A6">
        <w:t xml:space="preserve"> this information </w:t>
      </w:r>
      <w:r>
        <w:t xml:space="preserve">to </w:t>
      </w:r>
      <w:r>
        <w:t>the OPTN</w:t>
      </w:r>
      <w:r>
        <w:t xml:space="preserve">. </w:t>
      </w:r>
    </w:p>
    <w:p w:rsidR="00D402A6" w:rsidP="00F474C4" w14:paraId="5EE1EB38" w14:textId="786848A4">
      <w:pPr>
        <w:pStyle w:val="BodyText"/>
        <w:ind w:right="144"/>
      </w:pPr>
      <w:r>
        <w:t xml:space="preserve">Because </w:t>
      </w:r>
      <w:r>
        <w:t xml:space="preserve">this is the same information that is </w:t>
      </w:r>
      <w:r>
        <w:t xml:space="preserve">already </w:t>
      </w:r>
      <w:r>
        <w:t xml:space="preserve">required </w:t>
      </w:r>
      <w:r>
        <w:t xml:space="preserve">when </w:t>
      </w:r>
      <w:r>
        <w:t>a transplant program initially seeks Medicare certification</w:t>
      </w:r>
      <w:r>
        <w:t xml:space="preserve"> or </w:t>
      </w:r>
      <w:r>
        <w:t xml:space="preserve">approval </w:t>
      </w:r>
      <w:r>
        <w:t>under</w:t>
      </w:r>
      <w:r>
        <w:t xml:space="preserve"> </w:t>
      </w:r>
      <w:r w:rsidRPr="00532391">
        <w:t>§</w:t>
      </w:r>
      <w:r>
        <w:t xml:space="preserve"> </w:t>
      </w:r>
      <w:r>
        <w:t xml:space="preserve">488.61(a), </w:t>
      </w:r>
      <w:r w:rsidR="00BF5A4C">
        <w:t xml:space="preserve">a newly certified </w:t>
      </w:r>
      <w:r>
        <w:t xml:space="preserve">transplant program </w:t>
      </w:r>
      <w:r w:rsidR="00BF5A4C">
        <w:t xml:space="preserve">can </w:t>
      </w:r>
      <w:r w:rsidR="00EF494B">
        <w:t xml:space="preserve">simply </w:t>
      </w:r>
      <w:r>
        <w:t xml:space="preserve">notify the OPTN of the two individuals </w:t>
      </w:r>
      <w:r w:rsidR="00EF494B">
        <w:t xml:space="preserve">who </w:t>
      </w:r>
      <w:r w:rsidR="00EF494B">
        <w:t xml:space="preserve">were </w:t>
      </w:r>
      <w:r>
        <w:t xml:space="preserve"> design</w:t>
      </w:r>
      <w:r w:rsidR="00EF494B">
        <w:t>ated</w:t>
      </w:r>
      <w:r w:rsidR="00EF494B">
        <w:t xml:space="preserve"> </w:t>
      </w:r>
      <w:r>
        <w:t xml:space="preserve">as </w:t>
      </w:r>
      <w:r>
        <w:t>the</w:t>
      </w:r>
      <w:r>
        <w:t xml:space="preserve"> primary transplant surgeon and transplant physician</w:t>
      </w:r>
      <w:r w:rsidR="00EF494B">
        <w:t xml:space="preserve"> </w:t>
      </w:r>
      <w:r>
        <w:t xml:space="preserve">at </w:t>
      </w:r>
      <w:r w:rsidR="00EF494B">
        <w:t xml:space="preserve">the </w:t>
      </w:r>
      <w:r>
        <w:t xml:space="preserve">time of </w:t>
      </w:r>
      <w:r w:rsidR="00EF494B">
        <w:t>Medicare certification</w:t>
      </w:r>
      <w:r>
        <w:t>. This</w:t>
      </w:r>
      <w:r>
        <w:t xml:space="preserve"> notification can be completed </w:t>
      </w:r>
      <w:r>
        <w:t>electronically or</w:t>
      </w:r>
      <w:r>
        <w:t xml:space="preserve"> through </w:t>
      </w:r>
      <w:r>
        <w:t xml:space="preserve">a simple form, depending </w:t>
      </w:r>
      <w:r w:rsidR="00312DA3">
        <w:t>on</w:t>
      </w:r>
      <w:r>
        <w:t xml:space="preserve"> OPTN </w:t>
      </w:r>
      <w:r>
        <w:t>procedures</w:t>
      </w:r>
      <w:r>
        <w:t xml:space="preserve">. </w:t>
      </w:r>
      <w:r>
        <w:t>Therefore</w:t>
      </w:r>
      <w:r>
        <w:t xml:space="preserve">, </w:t>
      </w:r>
      <w:r w:rsidR="00661E0D">
        <w:t>we</w:t>
      </w:r>
      <w:r w:rsidR="003549C5">
        <w:t xml:space="preserve"> </w:t>
      </w:r>
      <w:r w:rsidR="00661E0D">
        <w:t xml:space="preserve">continue to believe that </w:t>
      </w:r>
      <w:r>
        <w:t>notifying the OPTN of information</w:t>
      </w:r>
      <w:r>
        <w:t xml:space="preserve"> already</w:t>
      </w:r>
      <w:r w:rsidR="003549C5">
        <w:t xml:space="preserve"> </w:t>
      </w:r>
      <w:r>
        <w:t xml:space="preserve">provided for Medicare certification should not result in any additional </w:t>
      </w:r>
      <w:r>
        <w:t xml:space="preserve">or </w:t>
      </w:r>
      <w:r>
        <w:t>appreciable burden to</w:t>
      </w:r>
      <w:r w:rsidR="00EF494B">
        <w:t xml:space="preserve"> newly certified </w:t>
      </w:r>
      <w:r>
        <w:t>transplant programs.</w:t>
      </w:r>
    </w:p>
    <w:p w:rsidR="00BD5C74" w:rsidRPr="00FA34BC" w:rsidP="00F474C4" w14:paraId="51F94B08" w14:textId="77777777">
      <w:pPr>
        <w:pStyle w:val="BodyText"/>
        <w:ind w:right="144"/>
      </w:pPr>
    </w:p>
    <w:p w:rsidR="00CC2E8A" w:rsidRPr="00713270" w:rsidP="00595B10" w14:paraId="0F2209DE" w14:textId="71E8E2F1">
      <w:pPr>
        <w:pStyle w:val="Heading5"/>
        <w:spacing w:before="0"/>
      </w:pPr>
      <w:r w:rsidRPr="00713270">
        <w:t xml:space="preserve">IC-3: § 482.100 </w:t>
      </w:r>
      <w:r w:rsidR="00734475">
        <w:t>-</w:t>
      </w:r>
      <w:r w:rsidRPr="00713270">
        <w:t xml:space="preserve"> Drafting agreement between Transplant Program and OPO</w:t>
      </w:r>
    </w:p>
    <w:p w:rsidR="00763E66" w:rsidRPr="004274BC" w:rsidP="00F474C4" w14:paraId="41147671" w14:textId="777EA7F7">
      <w:pPr>
        <w:pStyle w:val="BodyText"/>
        <w:ind w:right="144"/>
      </w:pPr>
      <w:r w:rsidRPr="004274BC">
        <w:t>Section 482.100 requires a transplant program to ensure that the hospital in which it operates has a written agreement with an organ procurement organization (OPO)</w:t>
      </w:r>
      <w:r w:rsidRPr="004274BC" w:rsidR="00077F9A">
        <w:t xml:space="preserve"> </w:t>
      </w:r>
      <w:r w:rsidRPr="004274BC">
        <w:t xml:space="preserve">designated by the </w:t>
      </w:r>
      <w:r w:rsidRPr="004274BC" w:rsidR="00077F9A">
        <w:t xml:space="preserve">Secretary of the </w:t>
      </w:r>
      <w:r w:rsidRPr="004274BC">
        <w:t>U.S. Department of Health and Human Services</w:t>
      </w:r>
      <w:r w:rsidRPr="004274BC" w:rsidR="00077F9A">
        <w:t>.</w:t>
      </w:r>
      <w:r w:rsidR="00734475">
        <w:t xml:space="preserve"> </w:t>
      </w:r>
      <w:r w:rsidRPr="004274BC" w:rsidR="00077F9A">
        <w:t xml:space="preserve">This agreement must outline the </w:t>
      </w:r>
      <w:r w:rsidRPr="004274BC">
        <w:t>specific responsibilities</w:t>
      </w:r>
      <w:r w:rsidRPr="004274BC" w:rsidR="00077F9A">
        <w:t xml:space="preserve"> of both </w:t>
      </w:r>
      <w:r w:rsidRPr="004274BC">
        <w:t xml:space="preserve">the hospital and the OPO </w:t>
      </w:r>
      <w:r w:rsidRPr="004274BC" w:rsidR="00077F9A">
        <w:t xml:space="preserve">regarding </w:t>
      </w:r>
      <w:r w:rsidRPr="004274BC">
        <w:t>organ recovery and organ allocation.</w:t>
      </w:r>
    </w:p>
    <w:p w:rsidR="00763E66" w:rsidP="00F474C4" w14:paraId="696F130A" w14:textId="77777777">
      <w:pPr>
        <w:pStyle w:val="BodyText"/>
        <w:ind w:right="144"/>
      </w:pPr>
    </w:p>
    <w:p w:rsidR="00FE7ECE" w:rsidRPr="004274BC" w:rsidP="00F474C4" w14:paraId="3FA85852" w14:textId="0EE709C4">
      <w:pPr>
        <w:pStyle w:val="BodyText"/>
        <w:ind w:right="144"/>
      </w:pPr>
      <w:r w:rsidRPr="004274BC">
        <w:t xml:space="preserve">We assume </w:t>
      </w:r>
      <w:r w:rsidRPr="004274BC" w:rsidR="00077F9A">
        <w:t>this</w:t>
      </w:r>
      <w:r w:rsidRPr="004274BC">
        <w:t xml:space="preserve"> requirement </w:t>
      </w:r>
      <w:r w:rsidRPr="004274BC" w:rsidR="00077F9A">
        <w:t xml:space="preserve">represents a </w:t>
      </w:r>
      <w:r w:rsidRPr="00D25949" w:rsidR="00077F9A">
        <w:rPr>
          <w:b/>
          <w:bCs/>
          <w:i/>
          <w:iCs/>
        </w:rPr>
        <w:t>one-time burden</w:t>
      </w:r>
      <w:r w:rsidRPr="004274BC" w:rsidR="00077F9A">
        <w:t xml:space="preserve"> for newly certified transplant programs, as they must </w:t>
      </w:r>
      <w:r w:rsidRPr="004274BC">
        <w:t>draft a mutually acceptable agreement</w:t>
      </w:r>
      <w:r w:rsidRPr="004274BC" w:rsidR="00077F9A">
        <w:t xml:space="preserve"> with </w:t>
      </w:r>
      <w:r w:rsidRPr="004274BC">
        <w:t>the designated OPO for the receipt of organs.</w:t>
      </w:r>
    </w:p>
    <w:p w:rsidR="00077F9A" w:rsidRPr="004274BC" w:rsidP="00F474C4" w14:paraId="4AF15CA6" w14:textId="5BA3F792">
      <w:pPr>
        <w:pStyle w:val="BodyText"/>
        <w:ind w:right="144"/>
      </w:pPr>
      <w:r w:rsidRPr="004274BC">
        <w:t xml:space="preserve">As shown in Table </w:t>
      </w:r>
      <w:r w:rsidRPr="004274BC" w:rsidR="0030507E">
        <w:t>5</w:t>
      </w:r>
      <w:r w:rsidRPr="004274BC">
        <w:t>, we continue to estimate</w:t>
      </w:r>
      <w:r w:rsidRPr="004274BC">
        <w:t xml:space="preserve"> that</w:t>
      </w:r>
      <w:r w:rsidRPr="004274BC" w:rsidR="002208B2">
        <w:t xml:space="preserve"> </w:t>
      </w:r>
      <w:r w:rsidRPr="004274BC">
        <w:t xml:space="preserve">the following staff time </w:t>
      </w:r>
      <w:r w:rsidR="00923AA4">
        <w:t xml:space="preserve">is required </w:t>
      </w:r>
      <w:r w:rsidRPr="004274BC">
        <w:t xml:space="preserve">to </w:t>
      </w:r>
      <w:r w:rsidRPr="004274BC" w:rsidR="0030507E">
        <w:t xml:space="preserve">negotiate and draft </w:t>
      </w:r>
      <w:r w:rsidRPr="004274BC">
        <w:t xml:space="preserve">the </w:t>
      </w:r>
      <w:r w:rsidRPr="004274BC" w:rsidR="0030507E">
        <w:t>agreement</w:t>
      </w:r>
      <w:r w:rsidRPr="004274BC">
        <w:t xml:space="preserve">, which must </w:t>
      </w:r>
      <w:r w:rsidRPr="004274BC" w:rsidR="0030507E">
        <w:t xml:space="preserve">be signed by both the transplant program and the OPO: </w:t>
      </w:r>
    </w:p>
    <w:p w:rsidR="00077F9A" w:rsidRPr="004274BC" w:rsidP="00F474C4" w14:paraId="509806DD" w14:textId="68ADE3C7">
      <w:pPr>
        <w:pStyle w:val="ListBullet"/>
        <w:numPr>
          <w:ilvl w:val="0"/>
          <w:numId w:val="27"/>
        </w:numPr>
      </w:pPr>
      <w:r w:rsidRPr="004274BC">
        <w:rPr>
          <w:sz w:val="24"/>
          <w:szCs w:val="24"/>
        </w:rPr>
        <w:t xml:space="preserve">4 hours </w:t>
      </w:r>
      <w:r w:rsidRPr="004274BC">
        <w:rPr>
          <w:sz w:val="24"/>
          <w:szCs w:val="24"/>
        </w:rPr>
        <w:t xml:space="preserve">- </w:t>
      </w:r>
      <w:r w:rsidRPr="004274BC">
        <w:rPr>
          <w:sz w:val="24"/>
          <w:szCs w:val="24"/>
        </w:rPr>
        <w:t>General Counsel</w:t>
      </w:r>
    </w:p>
    <w:p w:rsidR="00077F9A" w:rsidRPr="004274BC" w:rsidP="00F474C4" w14:paraId="136D99C9" w14:textId="4F7C2421">
      <w:pPr>
        <w:pStyle w:val="ListBullet"/>
        <w:numPr>
          <w:ilvl w:val="0"/>
          <w:numId w:val="27"/>
        </w:numPr>
      </w:pPr>
      <w:r w:rsidRPr="004274BC">
        <w:rPr>
          <w:sz w:val="24"/>
          <w:szCs w:val="24"/>
        </w:rPr>
        <w:t xml:space="preserve">2 hours </w:t>
      </w:r>
      <w:r w:rsidRPr="004274BC">
        <w:rPr>
          <w:sz w:val="24"/>
          <w:szCs w:val="24"/>
        </w:rPr>
        <w:t>-</w:t>
      </w:r>
      <w:r w:rsidR="00923AA4">
        <w:rPr>
          <w:sz w:val="24"/>
          <w:szCs w:val="24"/>
        </w:rPr>
        <w:t xml:space="preserve"> </w:t>
      </w:r>
      <w:r w:rsidRPr="004274BC">
        <w:rPr>
          <w:sz w:val="24"/>
          <w:szCs w:val="24"/>
        </w:rPr>
        <w:t>Medical Director</w:t>
      </w:r>
    </w:p>
    <w:p w:rsidR="00077F9A" w:rsidRPr="004274BC" w:rsidP="00F474C4" w14:paraId="3903032E" w14:textId="1C50B004">
      <w:pPr>
        <w:pStyle w:val="ListBullet"/>
        <w:numPr>
          <w:ilvl w:val="0"/>
          <w:numId w:val="27"/>
        </w:numPr>
      </w:pPr>
      <w:r w:rsidRPr="004274BC">
        <w:rPr>
          <w:sz w:val="24"/>
          <w:szCs w:val="24"/>
        </w:rPr>
        <w:t xml:space="preserve">2 hours </w:t>
      </w:r>
      <w:r w:rsidRPr="004274BC">
        <w:rPr>
          <w:sz w:val="24"/>
          <w:szCs w:val="24"/>
        </w:rPr>
        <w:t xml:space="preserve">- </w:t>
      </w:r>
      <w:r w:rsidRPr="004274BC">
        <w:rPr>
          <w:sz w:val="24"/>
          <w:szCs w:val="24"/>
        </w:rPr>
        <w:t>Senior Administrator</w:t>
      </w:r>
    </w:p>
    <w:p w:rsidR="00077F9A" w:rsidRPr="004274BC" w:rsidP="00F474C4" w14:paraId="32B2815C" w14:textId="70CF1662">
      <w:pPr>
        <w:pStyle w:val="ListBullet"/>
        <w:numPr>
          <w:ilvl w:val="0"/>
          <w:numId w:val="27"/>
        </w:numPr>
      </w:pPr>
      <w:r w:rsidRPr="004274BC">
        <w:rPr>
          <w:sz w:val="24"/>
          <w:szCs w:val="24"/>
        </w:rPr>
        <w:t xml:space="preserve">2 hours </w:t>
      </w:r>
      <w:r w:rsidRPr="004274BC">
        <w:rPr>
          <w:sz w:val="24"/>
          <w:szCs w:val="24"/>
        </w:rPr>
        <w:t xml:space="preserve">- </w:t>
      </w:r>
      <w:r w:rsidRPr="004274BC">
        <w:rPr>
          <w:sz w:val="24"/>
          <w:szCs w:val="24"/>
        </w:rPr>
        <w:t>Transplant Coordinator</w:t>
      </w:r>
    </w:p>
    <w:p w:rsidR="00077F9A" w:rsidRPr="00595B10" w:rsidP="00F474C4" w14:paraId="2BA00210" w14:textId="5B7D7187">
      <w:pPr>
        <w:pStyle w:val="ListBullet"/>
        <w:numPr>
          <w:ilvl w:val="0"/>
          <w:numId w:val="27"/>
        </w:numPr>
      </w:pPr>
      <w:r w:rsidRPr="004274BC">
        <w:rPr>
          <w:sz w:val="24"/>
          <w:szCs w:val="24"/>
        </w:rPr>
        <w:t xml:space="preserve">1 hour </w:t>
      </w:r>
      <w:r w:rsidR="00713270">
        <w:rPr>
          <w:sz w:val="24"/>
          <w:szCs w:val="24"/>
        </w:rPr>
        <w:t>–</w:t>
      </w:r>
      <w:r w:rsidRPr="004274BC">
        <w:rPr>
          <w:sz w:val="24"/>
          <w:szCs w:val="24"/>
        </w:rPr>
        <w:t xml:space="preserve"> </w:t>
      </w:r>
      <w:r w:rsidR="00713270">
        <w:rPr>
          <w:sz w:val="24"/>
          <w:szCs w:val="24"/>
        </w:rPr>
        <w:t>Administrative Assistant</w:t>
      </w:r>
    </w:p>
    <w:p w:rsidR="00923AA4" w:rsidP="00595B10" w14:paraId="3902A58C" w14:textId="1E8E42C2">
      <w:pPr>
        <w:pStyle w:val="BodyText"/>
        <w:spacing w:before="120"/>
        <w:ind w:right="144"/>
      </w:pPr>
      <w:r w:rsidRPr="004274BC">
        <w:t xml:space="preserve">This results in </w:t>
      </w:r>
      <w:r w:rsidRPr="004274BC">
        <w:t xml:space="preserve">a total of </w:t>
      </w:r>
      <w:r w:rsidRPr="004274BC" w:rsidR="00782240">
        <w:t>eleven</w:t>
      </w:r>
      <w:r w:rsidR="00DE415A">
        <w:t xml:space="preserve"> (11)</w:t>
      </w:r>
      <w:r w:rsidRPr="004274BC">
        <w:t xml:space="preserve"> burden hours per newly certified transplant program.</w:t>
      </w:r>
    </w:p>
    <w:p w:rsidR="00077F9A" w:rsidRPr="004274BC" w:rsidP="00F474C4" w14:paraId="0979F554" w14:textId="69937DFE">
      <w:pPr>
        <w:pStyle w:val="BodyText"/>
        <w:ind w:right="144"/>
      </w:pPr>
      <w:r w:rsidRPr="004274BC">
        <w:t xml:space="preserve">at a weighted average cost of $2,036 </w:t>
      </w:r>
      <w:r w:rsidRPr="004274BC">
        <w:t>per program.</w:t>
      </w:r>
      <w:r w:rsidRPr="004274BC" w:rsidR="004274BC">
        <w:t xml:space="preserve"> </w:t>
      </w:r>
    </w:p>
    <w:p w:rsidR="00077F9A" w:rsidRPr="004274BC" w:rsidP="00595B10" w14:paraId="66F57653" w14:textId="6347B24D">
      <w:pPr>
        <w:pStyle w:val="BodyText"/>
        <w:spacing w:before="120"/>
        <w:ind w:right="144"/>
      </w:pPr>
      <w:r w:rsidRPr="004274BC">
        <w:t xml:space="preserve">Based on a 5-year average as shown in Table 1, we expect two </w:t>
      </w:r>
      <w:r w:rsidR="00734475">
        <w:t xml:space="preserve">(2) </w:t>
      </w:r>
      <w:r w:rsidRPr="004274BC">
        <w:t xml:space="preserve">newly certified transplant programs over the next three-year period. Therefore, the total </w:t>
      </w:r>
      <w:r w:rsidR="00FF5B7E">
        <w:t xml:space="preserve">one-time </w:t>
      </w:r>
      <w:r w:rsidRPr="004274BC">
        <w:t xml:space="preserve">burden </w:t>
      </w:r>
      <w:r w:rsidR="00FF5B7E">
        <w:t xml:space="preserve">per year for newly certified program </w:t>
      </w:r>
      <w:r w:rsidRPr="004274BC">
        <w:t xml:space="preserve">is estimated to be: </w:t>
      </w:r>
    </w:p>
    <w:p w:rsidR="004274BC" w:rsidRPr="009C2348" w:rsidP="00595B10" w14:paraId="064DC6E5" w14:textId="51E7169B">
      <w:pPr>
        <w:pStyle w:val="ListBullet"/>
        <w:numPr>
          <w:ilvl w:val="0"/>
          <w:numId w:val="28"/>
        </w:numPr>
        <w:contextualSpacing w:val="0"/>
        <w:rPr>
          <w:sz w:val="24"/>
          <w:szCs w:val="24"/>
        </w:rPr>
      </w:pPr>
      <w:r w:rsidRPr="009C2348">
        <w:rPr>
          <w:sz w:val="24"/>
          <w:szCs w:val="24"/>
        </w:rPr>
        <w:t>22 hours annually (11 hours x 2 programs)</w:t>
      </w:r>
    </w:p>
    <w:p w:rsidR="00734475" w:rsidRPr="00F474C4" w:rsidP="00595B10" w14:paraId="68DBFAE5" w14:textId="4F60D5AE">
      <w:pPr>
        <w:pStyle w:val="ListBullet"/>
        <w:numPr>
          <w:ilvl w:val="0"/>
          <w:numId w:val="28"/>
        </w:numPr>
        <w:contextualSpacing w:val="0"/>
        <w:rPr>
          <w:sz w:val="24"/>
          <w:szCs w:val="24"/>
        </w:rPr>
      </w:pPr>
      <w:r w:rsidRPr="009C2348">
        <w:rPr>
          <w:sz w:val="24"/>
          <w:szCs w:val="24"/>
        </w:rPr>
        <w:t>$4,072 in annual cost (</w:t>
      </w:r>
      <w:r w:rsidRPr="004274BC">
        <w:rPr>
          <w:sz w:val="24"/>
          <w:szCs w:val="24"/>
        </w:rPr>
        <w:t xml:space="preserve">$2,036 </w:t>
      </w:r>
      <w:r w:rsidRPr="009C2348">
        <w:rPr>
          <w:sz w:val="24"/>
          <w:szCs w:val="24"/>
        </w:rPr>
        <w:t>x 2 programs)</w:t>
      </w:r>
    </w:p>
    <w:p w:rsidR="00A7591C" w:rsidP="00F474C4" w14:paraId="0EC8353F" w14:textId="77777777">
      <w:pPr>
        <w:pStyle w:val="ListBullet"/>
        <w:ind w:left="720"/>
        <w:rPr>
          <w:sz w:val="24"/>
          <w:szCs w:val="24"/>
        </w:rPr>
      </w:pPr>
    </w:p>
    <w:p w:rsidR="000F3116" w:rsidRPr="000F3116" w:rsidP="00F474C4" w14:paraId="2BA0D70A" w14:textId="2D32327A">
      <w:pPr>
        <w:pStyle w:val="BodyText"/>
        <w:ind w:right="-20"/>
        <w:jc w:val="center"/>
        <w:rPr>
          <w:b/>
          <w:bCs/>
        </w:rPr>
      </w:pPr>
      <w:r w:rsidRPr="000F3116">
        <w:rPr>
          <w:b/>
          <w:bCs/>
        </w:rPr>
        <w:t>Table 5. IC-3, §482.100</w:t>
      </w:r>
      <w:r w:rsidR="00734475">
        <w:rPr>
          <w:b/>
          <w:bCs/>
        </w:rPr>
        <w:t xml:space="preserve"> -</w:t>
      </w:r>
      <w:r w:rsidRPr="000F3116">
        <w:rPr>
          <w:b/>
          <w:bCs/>
        </w:rPr>
        <w:t xml:space="preserve"> Draft Agreement between Transplant Program and OPO</w:t>
      </w:r>
    </w:p>
    <w:tbl>
      <w:tblPr>
        <w:tblW w:w="8500" w:type="dxa"/>
        <w:jc w:val="center"/>
        <w:tblLook w:val="04A0"/>
      </w:tblPr>
      <w:tblGrid>
        <w:gridCol w:w="4495"/>
        <w:gridCol w:w="1145"/>
        <w:gridCol w:w="1255"/>
        <w:gridCol w:w="1605"/>
      </w:tblGrid>
      <w:tr w14:paraId="45A5C6E1" w14:textId="77777777" w:rsidTr="00734475">
        <w:tblPrEx>
          <w:tblW w:w="8500" w:type="dxa"/>
          <w:jc w:val="center"/>
          <w:tblLook w:val="04A0"/>
        </w:tblPrEx>
        <w:trPr>
          <w:trHeight w:val="1147"/>
          <w:jc w:val="center"/>
        </w:trPr>
        <w:tc>
          <w:tcPr>
            <w:tcW w:w="4495" w:type="dxa"/>
            <w:vMerge w:val="restart"/>
            <w:tcBorders>
              <w:top w:val="single" w:sz="4" w:space="0" w:color="auto"/>
              <w:left w:val="single" w:sz="4" w:space="0" w:color="auto"/>
              <w:right w:val="single" w:sz="4" w:space="0" w:color="auto"/>
            </w:tcBorders>
            <w:shd w:val="clear" w:color="CCCCCC" w:fill="F2F2F2"/>
            <w:vAlign w:val="center"/>
            <w:hideMark/>
          </w:tcPr>
          <w:p w:rsidR="00FE7ECE" w:rsidRPr="00CF3478" w:rsidP="00D25949" w14:paraId="2D6AB55B" w14:textId="321EE1E2">
            <w:pPr>
              <w:widowControl/>
              <w:autoSpaceDE/>
              <w:autoSpaceDN/>
              <w:jc w:val="center"/>
              <w:rPr>
                <w:b/>
                <w:bCs/>
                <w:color w:val="000000"/>
                <w:sz w:val="20"/>
                <w:szCs w:val="20"/>
              </w:rPr>
            </w:pPr>
            <w:r>
              <w:rPr>
                <w:b/>
                <w:bCs/>
                <w:color w:val="000000"/>
                <w:sz w:val="20"/>
                <w:szCs w:val="20"/>
              </w:rPr>
              <w:t xml:space="preserve">Burden to </w:t>
            </w:r>
            <w:r>
              <w:rPr>
                <w:b/>
                <w:bCs/>
                <w:color w:val="000000"/>
                <w:sz w:val="20"/>
                <w:szCs w:val="20"/>
              </w:rPr>
              <w:t>Draft Agreement</w:t>
            </w:r>
            <w:r>
              <w:rPr>
                <w:b/>
                <w:bCs/>
                <w:color w:val="000000"/>
                <w:sz w:val="20"/>
                <w:szCs w:val="20"/>
              </w:rPr>
              <w:t xml:space="preserve"> with OPO</w:t>
            </w:r>
          </w:p>
        </w:tc>
        <w:tc>
          <w:tcPr>
            <w:tcW w:w="1145" w:type="dxa"/>
            <w:tcBorders>
              <w:top w:val="single" w:sz="4" w:space="0" w:color="auto"/>
              <w:left w:val="nil"/>
              <w:right w:val="single" w:sz="8" w:space="0" w:color="000000"/>
            </w:tcBorders>
            <w:shd w:val="clear" w:color="CCCCCC" w:fill="F2F2F2"/>
            <w:vAlign w:val="center"/>
            <w:hideMark/>
          </w:tcPr>
          <w:p w:rsidR="00FE7ECE" w:rsidRPr="00CF3478" w:rsidP="00FE7ECE" w14:paraId="71BC344E" w14:textId="77777777">
            <w:pPr>
              <w:widowControl/>
              <w:autoSpaceDE/>
              <w:autoSpaceDN/>
              <w:jc w:val="center"/>
              <w:rPr>
                <w:b/>
                <w:bCs/>
                <w:color w:val="000000"/>
                <w:sz w:val="20"/>
                <w:szCs w:val="20"/>
              </w:rPr>
            </w:pPr>
            <w:r w:rsidRPr="00CF3478">
              <w:rPr>
                <w:b/>
                <w:bCs/>
                <w:color w:val="000000"/>
                <w:sz w:val="20"/>
                <w:szCs w:val="20"/>
              </w:rPr>
              <w:t>Loaded Hourly Mean Wage</w:t>
            </w:r>
          </w:p>
        </w:tc>
        <w:tc>
          <w:tcPr>
            <w:tcW w:w="1255" w:type="dxa"/>
            <w:tcBorders>
              <w:top w:val="single" w:sz="8" w:space="0" w:color="000000"/>
              <w:left w:val="single" w:sz="8" w:space="0" w:color="000000"/>
              <w:right w:val="single" w:sz="8" w:space="0" w:color="000000"/>
            </w:tcBorders>
            <w:shd w:val="clear" w:color="CCCCCC" w:fill="F2F2F2"/>
            <w:vAlign w:val="center"/>
          </w:tcPr>
          <w:p w:rsidR="00FE7ECE" w:rsidRPr="00FE7ECE" w:rsidP="00FE7ECE" w14:paraId="4135535E" w14:textId="77777777">
            <w:pPr>
              <w:widowControl/>
              <w:autoSpaceDE/>
              <w:autoSpaceDN/>
              <w:jc w:val="center"/>
              <w:rPr>
                <w:b/>
                <w:bCs/>
                <w:sz w:val="20"/>
                <w:szCs w:val="20"/>
              </w:rPr>
            </w:pPr>
            <w:r w:rsidRPr="00FE7ECE">
              <w:rPr>
                <w:b/>
                <w:bCs/>
                <w:sz w:val="20"/>
                <w:szCs w:val="20"/>
              </w:rPr>
              <w:t>Burden Hours/</w:t>
            </w:r>
          </w:p>
          <w:p w:rsidR="00FE7ECE" w:rsidRPr="00FE7ECE" w:rsidP="00FE7ECE" w14:paraId="5F3902EB" w14:textId="177520B3">
            <w:pPr>
              <w:widowControl/>
              <w:autoSpaceDE/>
              <w:autoSpaceDN/>
              <w:jc w:val="center"/>
              <w:rPr>
                <w:b/>
                <w:bCs/>
                <w:color w:val="000000"/>
                <w:sz w:val="20"/>
                <w:szCs w:val="20"/>
              </w:rPr>
            </w:pPr>
            <w:r>
              <w:rPr>
                <w:b/>
                <w:bCs/>
                <w:color w:val="000000"/>
                <w:sz w:val="20"/>
                <w:szCs w:val="20"/>
              </w:rPr>
              <w:t>Program</w:t>
            </w:r>
          </w:p>
        </w:tc>
        <w:tc>
          <w:tcPr>
            <w:tcW w:w="1605" w:type="dxa"/>
            <w:tcBorders>
              <w:top w:val="single" w:sz="4" w:space="0" w:color="auto"/>
              <w:left w:val="single" w:sz="8" w:space="0" w:color="000000"/>
              <w:right w:val="single" w:sz="4" w:space="0" w:color="auto"/>
            </w:tcBorders>
            <w:shd w:val="clear" w:color="CCCCCC" w:fill="F2F2F2"/>
            <w:vAlign w:val="center"/>
          </w:tcPr>
          <w:p w:rsidR="00FE7ECE" w:rsidRPr="00FE7ECE" w:rsidP="00FE7ECE" w14:paraId="604B1144" w14:textId="77777777">
            <w:pPr>
              <w:widowControl/>
              <w:autoSpaceDE/>
              <w:autoSpaceDN/>
              <w:jc w:val="center"/>
              <w:rPr>
                <w:b/>
                <w:bCs/>
                <w:color w:val="000000"/>
                <w:sz w:val="20"/>
                <w:szCs w:val="20"/>
              </w:rPr>
            </w:pPr>
            <w:r w:rsidRPr="00FE7ECE">
              <w:rPr>
                <w:b/>
                <w:bCs/>
                <w:color w:val="000000"/>
                <w:sz w:val="20"/>
                <w:szCs w:val="20"/>
              </w:rPr>
              <w:t>Burden Cost/</w:t>
            </w:r>
          </w:p>
          <w:p w:rsidR="00FE7ECE" w:rsidRPr="00CF3478" w:rsidP="00FE7ECE" w14:paraId="25B9029B" w14:textId="45BF6F05">
            <w:pPr>
              <w:widowControl/>
              <w:autoSpaceDE/>
              <w:autoSpaceDN/>
              <w:jc w:val="center"/>
              <w:rPr>
                <w:b/>
                <w:bCs/>
                <w:color w:val="000000"/>
                <w:sz w:val="20"/>
                <w:szCs w:val="20"/>
              </w:rPr>
            </w:pPr>
            <w:r>
              <w:rPr>
                <w:b/>
                <w:bCs/>
                <w:color w:val="000000"/>
                <w:sz w:val="20"/>
                <w:szCs w:val="20"/>
              </w:rPr>
              <w:t>Program</w:t>
            </w:r>
          </w:p>
        </w:tc>
      </w:tr>
      <w:tr w14:paraId="70545C42" w14:textId="77777777" w:rsidTr="002E64AD">
        <w:tblPrEx>
          <w:tblW w:w="8500" w:type="dxa"/>
          <w:jc w:val="center"/>
          <w:tblLook w:val="04A0"/>
        </w:tblPrEx>
        <w:trPr>
          <w:trHeight w:val="159"/>
          <w:jc w:val="center"/>
        </w:trPr>
        <w:tc>
          <w:tcPr>
            <w:tcW w:w="4495" w:type="dxa"/>
            <w:vMerge/>
            <w:tcBorders>
              <w:left w:val="single" w:sz="4" w:space="0" w:color="auto"/>
              <w:bottom w:val="single" w:sz="4" w:space="0" w:color="auto"/>
              <w:right w:val="single" w:sz="4" w:space="0" w:color="auto"/>
            </w:tcBorders>
            <w:shd w:val="clear" w:color="CCCCCC" w:fill="F2F2F2"/>
            <w:vAlign w:val="center"/>
            <w:hideMark/>
          </w:tcPr>
          <w:p w:rsidR="00FE7ECE" w:rsidRPr="00CF3478" w:rsidP="00FE7ECE" w14:paraId="03CB8606" w14:textId="77777777">
            <w:pPr>
              <w:widowControl/>
              <w:autoSpaceDE/>
              <w:autoSpaceDN/>
              <w:jc w:val="center"/>
              <w:rPr>
                <w:b/>
                <w:bCs/>
                <w:color w:val="000000"/>
                <w:sz w:val="20"/>
                <w:szCs w:val="20"/>
              </w:rPr>
            </w:pPr>
          </w:p>
        </w:tc>
        <w:tc>
          <w:tcPr>
            <w:tcW w:w="1145" w:type="dxa"/>
            <w:tcBorders>
              <w:left w:val="nil"/>
              <w:bottom w:val="single" w:sz="4" w:space="0" w:color="auto"/>
              <w:right w:val="single" w:sz="8" w:space="0" w:color="000000"/>
            </w:tcBorders>
            <w:shd w:val="clear" w:color="CCCCCC" w:fill="F2F2F2"/>
            <w:vAlign w:val="center"/>
            <w:hideMark/>
          </w:tcPr>
          <w:p w:rsidR="00FE7ECE" w:rsidRPr="00734475" w:rsidP="00FE7ECE" w14:paraId="31E15751" w14:textId="77777777">
            <w:pPr>
              <w:widowControl/>
              <w:autoSpaceDE/>
              <w:autoSpaceDN/>
              <w:jc w:val="center"/>
              <w:rPr>
                <w:i/>
                <w:iCs/>
                <w:color w:val="000000"/>
                <w:sz w:val="20"/>
                <w:szCs w:val="20"/>
              </w:rPr>
            </w:pPr>
            <w:r w:rsidRPr="00734475">
              <w:rPr>
                <w:i/>
                <w:iCs/>
                <w:color w:val="000000"/>
                <w:sz w:val="20"/>
                <w:szCs w:val="20"/>
              </w:rPr>
              <w:t>(a)</w:t>
            </w:r>
          </w:p>
        </w:tc>
        <w:tc>
          <w:tcPr>
            <w:tcW w:w="1255" w:type="dxa"/>
            <w:tcBorders>
              <w:left w:val="single" w:sz="8" w:space="0" w:color="000000"/>
              <w:bottom w:val="single" w:sz="8" w:space="0" w:color="000000"/>
              <w:right w:val="single" w:sz="8" w:space="0" w:color="000000"/>
            </w:tcBorders>
            <w:shd w:val="clear" w:color="CCCCCC" w:fill="F2F2F2"/>
          </w:tcPr>
          <w:p w:rsidR="00FE7ECE" w:rsidRPr="00734475" w:rsidP="00FE7ECE" w14:paraId="7B470EFF" w14:textId="0DDEE9C5">
            <w:pPr>
              <w:widowControl/>
              <w:autoSpaceDE/>
              <w:autoSpaceDN/>
              <w:jc w:val="center"/>
              <w:rPr>
                <w:i/>
                <w:iCs/>
                <w:color w:val="000000"/>
                <w:sz w:val="20"/>
                <w:szCs w:val="20"/>
              </w:rPr>
            </w:pPr>
            <w:r w:rsidRPr="00734475">
              <w:rPr>
                <w:i/>
                <w:iCs/>
                <w:sz w:val="20"/>
                <w:szCs w:val="20"/>
              </w:rPr>
              <w:t xml:space="preserve">(b) </w:t>
            </w:r>
          </w:p>
        </w:tc>
        <w:tc>
          <w:tcPr>
            <w:tcW w:w="1605" w:type="dxa"/>
            <w:tcBorders>
              <w:left w:val="single" w:sz="8" w:space="0" w:color="000000"/>
              <w:bottom w:val="single" w:sz="4" w:space="0" w:color="auto"/>
              <w:right w:val="single" w:sz="4" w:space="0" w:color="auto"/>
            </w:tcBorders>
            <w:shd w:val="clear" w:color="CCCCCC" w:fill="F2F2F2"/>
            <w:vAlign w:val="center"/>
            <w:hideMark/>
          </w:tcPr>
          <w:p w:rsidR="00FE7ECE" w:rsidRPr="00734475" w:rsidP="00FE7ECE" w14:paraId="17714AEE" w14:textId="77777777">
            <w:pPr>
              <w:widowControl/>
              <w:autoSpaceDE/>
              <w:autoSpaceDN/>
              <w:jc w:val="center"/>
              <w:rPr>
                <w:i/>
                <w:iCs/>
                <w:color w:val="000000"/>
                <w:sz w:val="20"/>
                <w:szCs w:val="20"/>
              </w:rPr>
            </w:pPr>
            <w:r w:rsidRPr="00734475">
              <w:rPr>
                <w:i/>
                <w:iCs/>
                <w:color w:val="000000"/>
                <w:sz w:val="20"/>
                <w:szCs w:val="20"/>
              </w:rPr>
              <w:t>(c = a x b)</w:t>
            </w:r>
          </w:p>
        </w:tc>
      </w:tr>
      <w:tr w14:paraId="5F782655" w14:textId="77777777" w:rsidTr="00734475">
        <w:tblPrEx>
          <w:tblW w:w="8500" w:type="dxa"/>
          <w:jc w:val="center"/>
          <w:tblLook w:val="04A0"/>
        </w:tblPrEx>
        <w:trPr>
          <w:trHeight w:val="475"/>
          <w:jc w:val="center"/>
        </w:trPr>
        <w:tc>
          <w:tcPr>
            <w:tcW w:w="4495" w:type="dxa"/>
            <w:tcBorders>
              <w:top w:val="nil"/>
              <w:left w:val="single" w:sz="4" w:space="0" w:color="auto"/>
              <w:bottom w:val="single" w:sz="4" w:space="0" w:color="auto"/>
              <w:right w:val="single" w:sz="4" w:space="0" w:color="auto"/>
            </w:tcBorders>
            <w:vAlign w:val="center"/>
            <w:hideMark/>
          </w:tcPr>
          <w:p w:rsidR="00FE7ECE" w:rsidRPr="00734475" w:rsidP="00FE7ECE" w14:paraId="174050E8" w14:textId="1508FACE">
            <w:pPr>
              <w:widowControl/>
              <w:autoSpaceDE/>
              <w:autoSpaceDN/>
              <w:rPr>
                <w:color w:val="000000"/>
                <w:sz w:val="20"/>
                <w:szCs w:val="20"/>
              </w:rPr>
            </w:pPr>
            <w:r w:rsidRPr="00734475">
              <w:rPr>
                <w:color w:val="000000"/>
                <w:sz w:val="20"/>
                <w:szCs w:val="20"/>
              </w:rPr>
              <w:t>General Counsel (</w:t>
            </w:r>
            <w:r w:rsidRPr="00734475" w:rsidR="001D762D">
              <w:rPr>
                <w:color w:val="000000"/>
                <w:sz w:val="20"/>
                <w:szCs w:val="20"/>
              </w:rPr>
              <w:t xml:space="preserve">BLS Occ. Code </w:t>
            </w:r>
            <w:r w:rsidRPr="00734475">
              <w:rPr>
                <w:color w:val="000000"/>
                <w:sz w:val="20"/>
                <w:szCs w:val="20"/>
              </w:rPr>
              <w:t>23-1101)</w:t>
            </w:r>
          </w:p>
        </w:tc>
        <w:tc>
          <w:tcPr>
            <w:tcW w:w="1145" w:type="dxa"/>
            <w:tcBorders>
              <w:top w:val="nil"/>
              <w:left w:val="nil"/>
              <w:bottom w:val="single" w:sz="4" w:space="0" w:color="auto"/>
              <w:right w:val="single" w:sz="8" w:space="0" w:color="000000"/>
            </w:tcBorders>
            <w:vAlign w:val="center"/>
            <w:hideMark/>
          </w:tcPr>
          <w:p w:rsidR="00FE7ECE" w:rsidRPr="00734475" w:rsidP="00FE7ECE" w14:paraId="196C8F1A" w14:textId="77777777">
            <w:pPr>
              <w:widowControl/>
              <w:autoSpaceDE/>
              <w:autoSpaceDN/>
              <w:jc w:val="center"/>
              <w:rPr>
                <w:color w:val="000000"/>
                <w:sz w:val="20"/>
                <w:szCs w:val="20"/>
              </w:rPr>
            </w:pPr>
            <w:r w:rsidRPr="00734475">
              <w:rPr>
                <w:color w:val="000000"/>
                <w:sz w:val="20"/>
                <w:szCs w:val="20"/>
              </w:rPr>
              <w:t>$246</w:t>
            </w:r>
          </w:p>
        </w:tc>
        <w:tc>
          <w:tcPr>
            <w:tcW w:w="1255" w:type="dxa"/>
            <w:tcBorders>
              <w:top w:val="single" w:sz="8" w:space="0" w:color="000000"/>
              <w:left w:val="single" w:sz="8" w:space="0" w:color="000000"/>
              <w:bottom w:val="single" w:sz="8" w:space="0" w:color="000000"/>
              <w:right w:val="single" w:sz="8" w:space="0" w:color="000000"/>
            </w:tcBorders>
            <w:vAlign w:val="center"/>
          </w:tcPr>
          <w:p w:rsidR="00FE7ECE" w:rsidRPr="00734475" w:rsidP="00FE7ECE" w14:paraId="45792D7B" w14:textId="3BBAE0E4">
            <w:pPr>
              <w:widowControl/>
              <w:autoSpaceDE/>
              <w:autoSpaceDN/>
              <w:jc w:val="center"/>
              <w:rPr>
                <w:color w:val="000000"/>
                <w:sz w:val="20"/>
                <w:szCs w:val="20"/>
              </w:rPr>
            </w:pPr>
            <w:r w:rsidRPr="00734475">
              <w:rPr>
                <w:sz w:val="20"/>
                <w:szCs w:val="20"/>
              </w:rPr>
              <w:t>4</w:t>
            </w:r>
          </w:p>
        </w:tc>
        <w:tc>
          <w:tcPr>
            <w:tcW w:w="1605" w:type="dxa"/>
            <w:tcBorders>
              <w:top w:val="nil"/>
              <w:left w:val="single" w:sz="8" w:space="0" w:color="000000"/>
              <w:bottom w:val="single" w:sz="4" w:space="0" w:color="auto"/>
              <w:right w:val="single" w:sz="4" w:space="0" w:color="auto"/>
            </w:tcBorders>
            <w:vAlign w:val="center"/>
            <w:hideMark/>
          </w:tcPr>
          <w:p w:rsidR="00FE7ECE" w:rsidRPr="00734475" w:rsidP="00FE7ECE" w14:paraId="36F7E77B" w14:textId="77777777">
            <w:pPr>
              <w:widowControl/>
              <w:autoSpaceDE/>
              <w:autoSpaceDN/>
              <w:jc w:val="center"/>
              <w:rPr>
                <w:color w:val="000000"/>
                <w:sz w:val="20"/>
                <w:szCs w:val="20"/>
              </w:rPr>
            </w:pPr>
            <w:r w:rsidRPr="00734475">
              <w:rPr>
                <w:color w:val="000000"/>
                <w:sz w:val="20"/>
                <w:szCs w:val="20"/>
              </w:rPr>
              <w:t>$984</w:t>
            </w:r>
          </w:p>
        </w:tc>
      </w:tr>
      <w:tr w14:paraId="4A401087" w14:textId="77777777" w:rsidTr="00734475">
        <w:tblPrEx>
          <w:tblW w:w="8500" w:type="dxa"/>
          <w:jc w:val="center"/>
          <w:tblLook w:val="04A0"/>
        </w:tblPrEx>
        <w:trPr>
          <w:trHeight w:val="475"/>
          <w:jc w:val="center"/>
        </w:trPr>
        <w:tc>
          <w:tcPr>
            <w:tcW w:w="4495" w:type="dxa"/>
            <w:tcBorders>
              <w:top w:val="nil"/>
              <w:left w:val="single" w:sz="4" w:space="0" w:color="auto"/>
              <w:bottom w:val="single" w:sz="4" w:space="0" w:color="auto"/>
              <w:right w:val="single" w:sz="4" w:space="0" w:color="auto"/>
            </w:tcBorders>
            <w:noWrap/>
            <w:vAlign w:val="center"/>
            <w:hideMark/>
          </w:tcPr>
          <w:p w:rsidR="00FE7ECE" w:rsidRPr="00734475" w:rsidP="00FE7ECE" w14:paraId="1F63841D" w14:textId="418798E6">
            <w:pPr>
              <w:widowControl/>
              <w:autoSpaceDE/>
              <w:autoSpaceDN/>
              <w:rPr>
                <w:color w:val="000000"/>
                <w:sz w:val="20"/>
                <w:szCs w:val="20"/>
              </w:rPr>
            </w:pPr>
            <w:r w:rsidRPr="00734475">
              <w:rPr>
                <w:color w:val="000000"/>
                <w:sz w:val="20"/>
                <w:szCs w:val="20"/>
              </w:rPr>
              <w:t>Medical Director (</w:t>
            </w:r>
            <w:r w:rsidRPr="00734475" w:rsidR="001D762D">
              <w:rPr>
                <w:sz w:val="20"/>
                <w:szCs w:val="20"/>
              </w:rPr>
              <w:t xml:space="preserve">BLS Occ. Code </w:t>
            </w:r>
            <w:r w:rsidRPr="00734475">
              <w:rPr>
                <w:color w:val="000000"/>
                <w:sz w:val="20"/>
                <w:szCs w:val="20"/>
              </w:rPr>
              <w:t>29-1210)</w:t>
            </w:r>
          </w:p>
        </w:tc>
        <w:tc>
          <w:tcPr>
            <w:tcW w:w="1145" w:type="dxa"/>
            <w:tcBorders>
              <w:top w:val="nil"/>
              <w:left w:val="nil"/>
              <w:bottom w:val="single" w:sz="4" w:space="0" w:color="auto"/>
              <w:right w:val="single" w:sz="8" w:space="0" w:color="000000"/>
            </w:tcBorders>
            <w:vAlign w:val="center"/>
            <w:hideMark/>
          </w:tcPr>
          <w:p w:rsidR="00FE7ECE" w:rsidRPr="00734475" w:rsidP="00FE7ECE" w14:paraId="47D02254" w14:textId="77777777">
            <w:pPr>
              <w:widowControl/>
              <w:autoSpaceDE/>
              <w:autoSpaceDN/>
              <w:jc w:val="center"/>
              <w:rPr>
                <w:color w:val="000000"/>
                <w:sz w:val="20"/>
                <w:szCs w:val="20"/>
              </w:rPr>
            </w:pPr>
            <w:r w:rsidRPr="00734475">
              <w:rPr>
                <w:color w:val="000000"/>
                <w:sz w:val="20"/>
                <w:szCs w:val="20"/>
              </w:rPr>
              <w:t>$259</w:t>
            </w:r>
          </w:p>
        </w:tc>
        <w:tc>
          <w:tcPr>
            <w:tcW w:w="1255" w:type="dxa"/>
            <w:tcBorders>
              <w:top w:val="single" w:sz="8" w:space="0" w:color="000000"/>
              <w:left w:val="single" w:sz="8" w:space="0" w:color="000000"/>
              <w:bottom w:val="single" w:sz="8" w:space="0" w:color="000000"/>
              <w:right w:val="single" w:sz="8" w:space="0" w:color="000000"/>
            </w:tcBorders>
            <w:vAlign w:val="center"/>
          </w:tcPr>
          <w:p w:rsidR="00FE7ECE" w:rsidRPr="00734475" w:rsidP="00FE7ECE" w14:paraId="2F5D656C" w14:textId="0B5258C2">
            <w:pPr>
              <w:widowControl/>
              <w:autoSpaceDE/>
              <w:autoSpaceDN/>
              <w:jc w:val="center"/>
              <w:rPr>
                <w:color w:val="000000"/>
                <w:sz w:val="20"/>
                <w:szCs w:val="20"/>
              </w:rPr>
            </w:pPr>
            <w:r w:rsidRPr="00734475">
              <w:rPr>
                <w:sz w:val="20"/>
                <w:szCs w:val="20"/>
              </w:rPr>
              <w:t>2</w:t>
            </w:r>
          </w:p>
        </w:tc>
        <w:tc>
          <w:tcPr>
            <w:tcW w:w="1605" w:type="dxa"/>
            <w:tcBorders>
              <w:top w:val="nil"/>
              <w:left w:val="single" w:sz="8" w:space="0" w:color="000000"/>
              <w:bottom w:val="single" w:sz="4" w:space="0" w:color="auto"/>
              <w:right w:val="single" w:sz="4" w:space="0" w:color="auto"/>
            </w:tcBorders>
            <w:vAlign w:val="center"/>
            <w:hideMark/>
          </w:tcPr>
          <w:p w:rsidR="00FE7ECE" w:rsidRPr="00734475" w:rsidP="00FE7ECE" w14:paraId="235D3828" w14:textId="77777777">
            <w:pPr>
              <w:widowControl/>
              <w:autoSpaceDE/>
              <w:autoSpaceDN/>
              <w:jc w:val="center"/>
              <w:rPr>
                <w:color w:val="000000"/>
                <w:sz w:val="20"/>
                <w:szCs w:val="20"/>
              </w:rPr>
            </w:pPr>
            <w:r w:rsidRPr="00734475">
              <w:rPr>
                <w:color w:val="000000"/>
                <w:sz w:val="20"/>
                <w:szCs w:val="20"/>
              </w:rPr>
              <w:t>$518</w:t>
            </w:r>
          </w:p>
        </w:tc>
      </w:tr>
      <w:tr w14:paraId="0C1B6DB8" w14:textId="77777777" w:rsidTr="00734475">
        <w:tblPrEx>
          <w:tblW w:w="8500" w:type="dxa"/>
          <w:jc w:val="center"/>
          <w:tblLook w:val="04A0"/>
        </w:tblPrEx>
        <w:trPr>
          <w:trHeight w:val="475"/>
          <w:jc w:val="center"/>
        </w:trPr>
        <w:tc>
          <w:tcPr>
            <w:tcW w:w="4495" w:type="dxa"/>
            <w:tcBorders>
              <w:top w:val="nil"/>
              <w:left w:val="single" w:sz="4" w:space="0" w:color="auto"/>
              <w:bottom w:val="single" w:sz="4" w:space="0" w:color="auto"/>
              <w:right w:val="single" w:sz="4" w:space="0" w:color="auto"/>
            </w:tcBorders>
            <w:noWrap/>
            <w:vAlign w:val="center"/>
            <w:hideMark/>
          </w:tcPr>
          <w:p w:rsidR="00FE7ECE" w:rsidRPr="00734475" w:rsidP="00FE7ECE" w14:paraId="16C6D526" w14:textId="370381D1">
            <w:pPr>
              <w:widowControl/>
              <w:autoSpaceDE/>
              <w:autoSpaceDN/>
              <w:rPr>
                <w:color w:val="000000"/>
                <w:sz w:val="20"/>
                <w:szCs w:val="20"/>
              </w:rPr>
            </w:pPr>
            <w:r w:rsidRPr="00734475">
              <w:rPr>
                <w:color w:val="000000"/>
                <w:sz w:val="20"/>
                <w:szCs w:val="20"/>
              </w:rPr>
              <w:t>Senior Administrator (</w:t>
            </w:r>
            <w:r w:rsidRPr="00734475" w:rsidR="001D762D">
              <w:rPr>
                <w:sz w:val="20"/>
                <w:szCs w:val="20"/>
              </w:rPr>
              <w:t xml:space="preserve">BLS Occ. Code </w:t>
            </w:r>
            <w:r w:rsidRPr="00734475">
              <w:rPr>
                <w:color w:val="000000"/>
                <w:sz w:val="20"/>
                <w:szCs w:val="20"/>
              </w:rPr>
              <w:t>11-9111)</w:t>
            </w:r>
          </w:p>
        </w:tc>
        <w:tc>
          <w:tcPr>
            <w:tcW w:w="1145" w:type="dxa"/>
            <w:tcBorders>
              <w:top w:val="nil"/>
              <w:left w:val="nil"/>
              <w:bottom w:val="single" w:sz="4" w:space="0" w:color="auto"/>
              <w:right w:val="single" w:sz="8" w:space="0" w:color="000000"/>
            </w:tcBorders>
            <w:vAlign w:val="center"/>
            <w:hideMark/>
          </w:tcPr>
          <w:p w:rsidR="00FE7ECE" w:rsidRPr="00734475" w:rsidP="00FE7ECE" w14:paraId="64EBDEEE" w14:textId="77777777">
            <w:pPr>
              <w:widowControl/>
              <w:autoSpaceDE/>
              <w:autoSpaceDN/>
              <w:jc w:val="center"/>
              <w:rPr>
                <w:color w:val="000000"/>
                <w:sz w:val="20"/>
                <w:szCs w:val="20"/>
              </w:rPr>
            </w:pPr>
            <w:r w:rsidRPr="00734475">
              <w:rPr>
                <w:color w:val="000000"/>
                <w:sz w:val="20"/>
                <w:szCs w:val="20"/>
              </w:rPr>
              <w:t>$144</w:t>
            </w:r>
          </w:p>
        </w:tc>
        <w:tc>
          <w:tcPr>
            <w:tcW w:w="1255" w:type="dxa"/>
            <w:tcBorders>
              <w:top w:val="single" w:sz="8" w:space="0" w:color="000000"/>
              <w:left w:val="single" w:sz="8" w:space="0" w:color="000000"/>
              <w:bottom w:val="single" w:sz="8" w:space="0" w:color="000000"/>
              <w:right w:val="single" w:sz="8" w:space="0" w:color="000000"/>
            </w:tcBorders>
            <w:vAlign w:val="center"/>
          </w:tcPr>
          <w:p w:rsidR="00FE7ECE" w:rsidRPr="00734475" w:rsidP="00FE7ECE" w14:paraId="41280FF9" w14:textId="7123BA5A">
            <w:pPr>
              <w:widowControl/>
              <w:autoSpaceDE/>
              <w:autoSpaceDN/>
              <w:jc w:val="center"/>
              <w:rPr>
                <w:color w:val="000000"/>
                <w:sz w:val="20"/>
                <w:szCs w:val="20"/>
              </w:rPr>
            </w:pPr>
            <w:r w:rsidRPr="00734475">
              <w:rPr>
                <w:sz w:val="20"/>
                <w:szCs w:val="20"/>
              </w:rPr>
              <w:t>2</w:t>
            </w:r>
          </w:p>
        </w:tc>
        <w:tc>
          <w:tcPr>
            <w:tcW w:w="1605" w:type="dxa"/>
            <w:tcBorders>
              <w:top w:val="nil"/>
              <w:left w:val="single" w:sz="8" w:space="0" w:color="000000"/>
              <w:bottom w:val="single" w:sz="4" w:space="0" w:color="auto"/>
              <w:right w:val="single" w:sz="4" w:space="0" w:color="auto"/>
            </w:tcBorders>
            <w:vAlign w:val="center"/>
            <w:hideMark/>
          </w:tcPr>
          <w:p w:rsidR="00FE7ECE" w:rsidRPr="00734475" w:rsidP="00FE7ECE" w14:paraId="348C796F" w14:textId="77777777">
            <w:pPr>
              <w:widowControl/>
              <w:autoSpaceDE/>
              <w:autoSpaceDN/>
              <w:jc w:val="center"/>
              <w:rPr>
                <w:color w:val="000000"/>
                <w:sz w:val="20"/>
                <w:szCs w:val="20"/>
              </w:rPr>
            </w:pPr>
            <w:r w:rsidRPr="00734475">
              <w:rPr>
                <w:color w:val="000000"/>
                <w:sz w:val="20"/>
                <w:szCs w:val="20"/>
              </w:rPr>
              <w:t>$288</w:t>
            </w:r>
          </w:p>
        </w:tc>
      </w:tr>
      <w:tr w14:paraId="4C0A8B31" w14:textId="77777777" w:rsidTr="00734475">
        <w:tblPrEx>
          <w:tblW w:w="8500" w:type="dxa"/>
          <w:jc w:val="center"/>
          <w:tblLook w:val="04A0"/>
        </w:tblPrEx>
        <w:trPr>
          <w:trHeight w:val="475"/>
          <w:jc w:val="center"/>
        </w:trPr>
        <w:tc>
          <w:tcPr>
            <w:tcW w:w="4495" w:type="dxa"/>
            <w:tcBorders>
              <w:top w:val="nil"/>
              <w:left w:val="single" w:sz="4" w:space="0" w:color="auto"/>
              <w:bottom w:val="single" w:sz="4" w:space="0" w:color="auto"/>
              <w:right w:val="single" w:sz="4" w:space="0" w:color="auto"/>
            </w:tcBorders>
            <w:noWrap/>
            <w:vAlign w:val="center"/>
            <w:hideMark/>
          </w:tcPr>
          <w:p w:rsidR="00FE7ECE" w:rsidRPr="00734475" w:rsidP="00FE7ECE" w14:paraId="134CEFE2" w14:textId="51EF9883">
            <w:pPr>
              <w:widowControl/>
              <w:autoSpaceDE/>
              <w:autoSpaceDN/>
              <w:rPr>
                <w:color w:val="000000"/>
                <w:sz w:val="20"/>
                <w:szCs w:val="20"/>
              </w:rPr>
            </w:pPr>
            <w:r w:rsidRPr="00734475">
              <w:rPr>
                <w:color w:val="000000"/>
                <w:sz w:val="20"/>
                <w:szCs w:val="20"/>
              </w:rPr>
              <w:t>Transplant Coordinator (</w:t>
            </w:r>
            <w:r w:rsidRPr="00734475" w:rsidR="001D762D">
              <w:rPr>
                <w:sz w:val="20"/>
                <w:szCs w:val="20"/>
              </w:rPr>
              <w:t xml:space="preserve">BLS Occ. Code </w:t>
            </w:r>
            <w:r w:rsidRPr="00734475">
              <w:rPr>
                <w:color w:val="000000"/>
                <w:sz w:val="20"/>
                <w:szCs w:val="20"/>
              </w:rPr>
              <w:t>29-1141)</w:t>
            </w:r>
          </w:p>
        </w:tc>
        <w:tc>
          <w:tcPr>
            <w:tcW w:w="1145" w:type="dxa"/>
            <w:tcBorders>
              <w:top w:val="nil"/>
              <w:left w:val="nil"/>
              <w:bottom w:val="single" w:sz="4" w:space="0" w:color="auto"/>
              <w:right w:val="single" w:sz="8" w:space="0" w:color="000000"/>
            </w:tcBorders>
            <w:vAlign w:val="center"/>
            <w:hideMark/>
          </w:tcPr>
          <w:p w:rsidR="00FE7ECE" w:rsidRPr="00734475" w:rsidP="00FE7ECE" w14:paraId="099B61E2" w14:textId="77777777">
            <w:pPr>
              <w:widowControl/>
              <w:autoSpaceDE/>
              <w:autoSpaceDN/>
              <w:jc w:val="center"/>
              <w:rPr>
                <w:color w:val="000000"/>
                <w:sz w:val="20"/>
                <w:szCs w:val="20"/>
              </w:rPr>
            </w:pPr>
            <w:r w:rsidRPr="00734475">
              <w:rPr>
                <w:color w:val="000000"/>
                <w:sz w:val="20"/>
                <w:szCs w:val="20"/>
              </w:rPr>
              <w:t>$100</w:t>
            </w:r>
          </w:p>
        </w:tc>
        <w:tc>
          <w:tcPr>
            <w:tcW w:w="1255" w:type="dxa"/>
            <w:tcBorders>
              <w:top w:val="single" w:sz="8" w:space="0" w:color="000000"/>
              <w:left w:val="single" w:sz="8" w:space="0" w:color="000000"/>
              <w:bottom w:val="single" w:sz="8" w:space="0" w:color="000000"/>
              <w:right w:val="single" w:sz="8" w:space="0" w:color="000000"/>
            </w:tcBorders>
            <w:vAlign w:val="center"/>
          </w:tcPr>
          <w:p w:rsidR="00FE7ECE" w:rsidRPr="00734475" w:rsidP="00FE7ECE" w14:paraId="5BA9B78E" w14:textId="02B11186">
            <w:pPr>
              <w:widowControl/>
              <w:autoSpaceDE/>
              <w:autoSpaceDN/>
              <w:jc w:val="center"/>
              <w:rPr>
                <w:color w:val="000000"/>
                <w:sz w:val="20"/>
                <w:szCs w:val="20"/>
              </w:rPr>
            </w:pPr>
            <w:r w:rsidRPr="00734475">
              <w:rPr>
                <w:sz w:val="20"/>
                <w:szCs w:val="20"/>
              </w:rPr>
              <w:t>2</w:t>
            </w:r>
          </w:p>
        </w:tc>
        <w:tc>
          <w:tcPr>
            <w:tcW w:w="1605" w:type="dxa"/>
            <w:tcBorders>
              <w:top w:val="nil"/>
              <w:left w:val="single" w:sz="8" w:space="0" w:color="000000"/>
              <w:bottom w:val="single" w:sz="4" w:space="0" w:color="auto"/>
              <w:right w:val="single" w:sz="4" w:space="0" w:color="auto"/>
            </w:tcBorders>
            <w:vAlign w:val="center"/>
            <w:hideMark/>
          </w:tcPr>
          <w:p w:rsidR="00FE7ECE" w:rsidRPr="00734475" w:rsidP="00FE7ECE" w14:paraId="069CE504" w14:textId="77777777">
            <w:pPr>
              <w:widowControl/>
              <w:autoSpaceDE/>
              <w:autoSpaceDN/>
              <w:jc w:val="center"/>
              <w:rPr>
                <w:color w:val="000000"/>
                <w:sz w:val="20"/>
                <w:szCs w:val="20"/>
              </w:rPr>
            </w:pPr>
            <w:r w:rsidRPr="00734475">
              <w:rPr>
                <w:color w:val="000000"/>
                <w:sz w:val="20"/>
                <w:szCs w:val="20"/>
              </w:rPr>
              <w:t>$200</w:t>
            </w:r>
          </w:p>
        </w:tc>
      </w:tr>
      <w:tr w14:paraId="0C0594C9" w14:textId="77777777" w:rsidTr="00734475">
        <w:tblPrEx>
          <w:tblW w:w="8500" w:type="dxa"/>
          <w:jc w:val="center"/>
          <w:tblLook w:val="04A0"/>
        </w:tblPrEx>
        <w:trPr>
          <w:trHeight w:val="475"/>
          <w:jc w:val="center"/>
        </w:trPr>
        <w:tc>
          <w:tcPr>
            <w:tcW w:w="4495" w:type="dxa"/>
            <w:tcBorders>
              <w:top w:val="nil"/>
              <w:left w:val="single" w:sz="4" w:space="0" w:color="auto"/>
              <w:bottom w:val="single" w:sz="4" w:space="0" w:color="auto"/>
              <w:right w:val="single" w:sz="4" w:space="0" w:color="auto"/>
            </w:tcBorders>
            <w:vAlign w:val="center"/>
            <w:hideMark/>
          </w:tcPr>
          <w:p w:rsidR="00FE7ECE" w:rsidRPr="00734475" w:rsidP="00FE7ECE" w14:paraId="4B8AAE3E" w14:textId="0041E15A">
            <w:pPr>
              <w:widowControl/>
              <w:autoSpaceDE/>
              <w:autoSpaceDN/>
              <w:rPr>
                <w:color w:val="000000"/>
                <w:sz w:val="20"/>
                <w:szCs w:val="20"/>
              </w:rPr>
            </w:pPr>
            <w:r w:rsidRPr="00734475">
              <w:rPr>
                <w:color w:val="000000"/>
                <w:sz w:val="20"/>
                <w:szCs w:val="20"/>
              </w:rPr>
              <w:t>Administrative Assistant</w:t>
            </w:r>
            <w:r w:rsidRPr="00734475">
              <w:rPr>
                <w:color w:val="000000"/>
                <w:sz w:val="20"/>
                <w:szCs w:val="20"/>
              </w:rPr>
              <w:t xml:space="preserve"> (</w:t>
            </w:r>
            <w:r w:rsidRPr="00734475" w:rsidR="001D762D">
              <w:rPr>
                <w:sz w:val="20"/>
                <w:szCs w:val="20"/>
              </w:rPr>
              <w:t xml:space="preserve">BLS Occ. Code </w:t>
            </w:r>
            <w:r w:rsidRPr="00734475">
              <w:rPr>
                <w:color w:val="000000"/>
                <w:sz w:val="20"/>
                <w:szCs w:val="20"/>
              </w:rPr>
              <w:t>43-6013)</w:t>
            </w:r>
          </w:p>
        </w:tc>
        <w:tc>
          <w:tcPr>
            <w:tcW w:w="1145" w:type="dxa"/>
            <w:tcBorders>
              <w:top w:val="nil"/>
              <w:left w:val="nil"/>
              <w:bottom w:val="single" w:sz="4" w:space="0" w:color="auto"/>
              <w:right w:val="single" w:sz="8" w:space="0" w:color="000000"/>
            </w:tcBorders>
            <w:vAlign w:val="center"/>
            <w:hideMark/>
          </w:tcPr>
          <w:p w:rsidR="00FE7ECE" w:rsidRPr="00734475" w:rsidP="00FE7ECE" w14:paraId="224B5964" w14:textId="77777777">
            <w:pPr>
              <w:widowControl/>
              <w:autoSpaceDE/>
              <w:autoSpaceDN/>
              <w:jc w:val="center"/>
              <w:rPr>
                <w:color w:val="000000"/>
                <w:sz w:val="20"/>
                <w:szCs w:val="20"/>
              </w:rPr>
            </w:pPr>
            <w:r w:rsidRPr="00734475">
              <w:rPr>
                <w:color w:val="000000"/>
                <w:sz w:val="20"/>
                <w:szCs w:val="20"/>
              </w:rPr>
              <w:t>$46</w:t>
            </w:r>
          </w:p>
        </w:tc>
        <w:tc>
          <w:tcPr>
            <w:tcW w:w="1255" w:type="dxa"/>
            <w:tcBorders>
              <w:top w:val="single" w:sz="8" w:space="0" w:color="000000"/>
              <w:left w:val="single" w:sz="8" w:space="0" w:color="000000"/>
              <w:bottom w:val="single" w:sz="8" w:space="0" w:color="000000"/>
              <w:right w:val="single" w:sz="8" w:space="0" w:color="000000"/>
            </w:tcBorders>
            <w:vAlign w:val="center"/>
          </w:tcPr>
          <w:p w:rsidR="00FE7ECE" w:rsidRPr="00D25949" w:rsidP="00FE7ECE" w14:paraId="5714F8A1" w14:textId="5DF9FAD9">
            <w:pPr>
              <w:widowControl/>
              <w:autoSpaceDE/>
              <w:autoSpaceDN/>
              <w:jc w:val="center"/>
              <w:rPr>
                <w:color w:val="000000"/>
                <w:sz w:val="20"/>
                <w:szCs w:val="20"/>
                <w:u w:val="single"/>
              </w:rPr>
            </w:pPr>
            <w:r w:rsidRPr="00D25949">
              <w:rPr>
                <w:sz w:val="20"/>
                <w:szCs w:val="20"/>
                <w:u w:val="single"/>
              </w:rPr>
              <w:t>1</w:t>
            </w:r>
          </w:p>
        </w:tc>
        <w:tc>
          <w:tcPr>
            <w:tcW w:w="1605" w:type="dxa"/>
            <w:tcBorders>
              <w:top w:val="nil"/>
              <w:left w:val="single" w:sz="8" w:space="0" w:color="000000"/>
              <w:bottom w:val="single" w:sz="4" w:space="0" w:color="auto"/>
              <w:right w:val="single" w:sz="4" w:space="0" w:color="auto"/>
            </w:tcBorders>
            <w:vAlign w:val="center"/>
            <w:hideMark/>
          </w:tcPr>
          <w:p w:rsidR="00FE7ECE" w:rsidRPr="00D25949" w:rsidP="00FE7ECE" w14:paraId="0784C852" w14:textId="77777777">
            <w:pPr>
              <w:widowControl/>
              <w:autoSpaceDE/>
              <w:autoSpaceDN/>
              <w:jc w:val="center"/>
              <w:rPr>
                <w:color w:val="000000"/>
                <w:sz w:val="20"/>
                <w:szCs w:val="20"/>
                <w:u w:val="single"/>
              </w:rPr>
            </w:pPr>
            <w:r w:rsidRPr="00D25949">
              <w:rPr>
                <w:color w:val="000000"/>
                <w:sz w:val="20"/>
                <w:szCs w:val="20"/>
                <w:u w:val="single"/>
              </w:rPr>
              <w:t>$46</w:t>
            </w:r>
          </w:p>
        </w:tc>
      </w:tr>
      <w:tr w14:paraId="044A658B" w14:textId="77777777" w:rsidTr="00734475">
        <w:tblPrEx>
          <w:tblW w:w="8500" w:type="dxa"/>
          <w:jc w:val="center"/>
          <w:tblLook w:val="04A0"/>
        </w:tblPrEx>
        <w:trPr>
          <w:trHeight w:val="475"/>
          <w:jc w:val="center"/>
        </w:trPr>
        <w:tc>
          <w:tcPr>
            <w:tcW w:w="449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FE7ECE" w:rsidRPr="00734475" w:rsidP="00FE7ECE" w14:paraId="4D298FD4" w14:textId="2922ABA0">
            <w:pPr>
              <w:widowControl/>
              <w:autoSpaceDE/>
              <w:autoSpaceDN/>
              <w:rPr>
                <w:b/>
                <w:bCs/>
                <w:color w:val="000000"/>
                <w:sz w:val="20"/>
                <w:szCs w:val="20"/>
              </w:rPr>
            </w:pPr>
            <w:r>
              <w:rPr>
                <w:b/>
                <w:bCs/>
                <w:color w:val="000000"/>
                <w:sz w:val="20"/>
                <w:szCs w:val="20"/>
              </w:rPr>
              <w:t xml:space="preserve">One-time </w:t>
            </w:r>
            <w:r w:rsidRPr="00734475">
              <w:rPr>
                <w:b/>
                <w:bCs/>
                <w:color w:val="000000"/>
                <w:sz w:val="20"/>
                <w:szCs w:val="20"/>
              </w:rPr>
              <w:t xml:space="preserve">Burden Hours/Costs per </w:t>
            </w:r>
            <w:r>
              <w:rPr>
                <w:b/>
                <w:bCs/>
                <w:color w:val="000000"/>
                <w:sz w:val="20"/>
                <w:szCs w:val="20"/>
              </w:rPr>
              <w:t xml:space="preserve">newly certified </w:t>
            </w:r>
            <w:r w:rsidRPr="00734475">
              <w:rPr>
                <w:b/>
                <w:bCs/>
                <w:color w:val="000000"/>
                <w:sz w:val="20"/>
                <w:szCs w:val="20"/>
              </w:rPr>
              <w:t>transplant program</w:t>
            </w:r>
          </w:p>
        </w:tc>
        <w:tc>
          <w:tcPr>
            <w:tcW w:w="1145" w:type="dxa"/>
            <w:tcBorders>
              <w:top w:val="nil"/>
              <w:left w:val="nil"/>
              <w:bottom w:val="single" w:sz="4" w:space="0" w:color="auto"/>
              <w:right w:val="single" w:sz="8" w:space="0" w:color="000000"/>
            </w:tcBorders>
            <w:shd w:val="clear" w:color="auto" w:fill="F2F2F2" w:themeFill="background1" w:themeFillShade="F2"/>
            <w:vAlign w:val="center"/>
            <w:hideMark/>
          </w:tcPr>
          <w:p w:rsidR="00FE7ECE" w:rsidRPr="00734475" w:rsidP="00FE7ECE" w14:paraId="4E7F8351" w14:textId="77777777">
            <w:pPr>
              <w:widowControl/>
              <w:autoSpaceDE/>
              <w:autoSpaceDN/>
              <w:jc w:val="center"/>
              <w:rPr>
                <w:b/>
                <w:bCs/>
                <w:color w:val="000000"/>
                <w:sz w:val="20"/>
                <w:szCs w:val="20"/>
              </w:rPr>
            </w:pPr>
            <w:r w:rsidRPr="00734475">
              <w:rPr>
                <w:b/>
                <w:bCs/>
                <w:color w:val="000000"/>
                <w:sz w:val="20"/>
                <w:szCs w:val="20"/>
              </w:rPr>
              <w:t> </w:t>
            </w:r>
          </w:p>
        </w:tc>
        <w:tc>
          <w:tcPr>
            <w:tcW w:w="125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FE7ECE" w:rsidRPr="00734475" w:rsidP="00FE7ECE" w14:paraId="5663FB7F" w14:textId="5A194760">
            <w:pPr>
              <w:widowControl/>
              <w:autoSpaceDE/>
              <w:autoSpaceDN/>
              <w:jc w:val="center"/>
              <w:rPr>
                <w:b/>
                <w:bCs/>
                <w:color w:val="000000"/>
                <w:sz w:val="20"/>
                <w:szCs w:val="20"/>
              </w:rPr>
            </w:pPr>
            <w:r w:rsidRPr="00734475">
              <w:rPr>
                <w:b/>
                <w:bCs/>
                <w:sz w:val="20"/>
                <w:szCs w:val="20"/>
              </w:rPr>
              <w:t>11</w:t>
            </w:r>
          </w:p>
        </w:tc>
        <w:tc>
          <w:tcPr>
            <w:tcW w:w="1605" w:type="dxa"/>
            <w:tcBorders>
              <w:top w:val="nil"/>
              <w:left w:val="single" w:sz="8" w:space="0" w:color="000000"/>
              <w:bottom w:val="single" w:sz="4" w:space="0" w:color="auto"/>
              <w:right w:val="single" w:sz="4" w:space="0" w:color="auto"/>
            </w:tcBorders>
            <w:shd w:val="clear" w:color="auto" w:fill="F2F2F2" w:themeFill="background1" w:themeFillShade="F2"/>
            <w:vAlign w:val="center"/>
            <w:hideMark/>
          </w:tcPr>
          <w:p w:rsidR="00FE7ECE" w:rsidRPr="00734475" w:rsidP="00FE7ECE" w14:paraId="2EB58209" w14:textId="0B176A00">
            <w:pPr>
              <w:widowControl/>
              <w:autoSpaceDE/>
              <w:autoSpaceDN/>
              <w:jc w:val="center"/>
              <w:rPr>
                <w:b/>
                <w:bCs/>
                <w:color w:val="000000"/>
                <w:sz w:val="20"/>
                <w:szCs w:val="20"/>
              </w:rPr>
            </w:pPr>
            <w:r w:rsidRPr="00734475">
              <w:rPr>
                <w:b/>
                <w:bCs/>
                <w:color w:val="000000"/>
                <w:sz w:val="20"/>
                <w:szCs w:val="20"/>
              </w:rPr>
              <w:t xml:space="preserve">$2,036 </w:t>
            </w:r>
          </w:p>
        </w:tc>
      </w:tr>
    </w:tbl>
    <w:p w:rsidR="00F474C4" w:rsidP="004E5C29" w14:paraId="6178C9F7" w14:textId="77777777">
      <w:pPr>
        <w:pStyle w:val="Heading6"/>
      </w:pPr>
      <w:bookmarkStart w:id="28" w:name="Section_482.102_(c)(2)_and_(3)_Patient_a"/>
      <w:bookmarkEnd w:id="28"/>
    </w:p>
    <w:p w:rsidR="00C63703" w:rsidRPr="00F970C1" w:rsidP="00595B10" w14:paraId="17E80576" w14:textId="2865B90C">
      <w:pPr>
        <w:pStyle w:val="Heading6"/>
        <w:spacing w:before="0"/>
      </w:pPr>
      <w:r w:rsidRPr="00F970C1">
        <w:t>§</w:t>
      </w:r>
      <w:r w:rsidR="00734475">
        <w:t xml:space="preserve">§ </w:t>
      </w:r>
      <w:r w:rsidRPr="00F970C1" w:rsidR="0052602B">
        <w:t>482.102</w:t>
      </w:r>
      <w:r w:rsidRPr="00F970C1">
        <w:t xml:space="preserve">(a) and (b) - Written </w:t>
      </w:r>
      <w:r w:rsidRPr="00F970C1" w:rsidR="004274BC">
        <w:t>C</w:t>
      </w:r>
      <w:r w:rsidRPr="00F970C1">
        <w:t xml:space="preserve">onsent </w:t>
      </w:r>
      <w:r w:rsidRPr="00F970C1" w:rsidR="004274BC">
        <w:t>P</w:t>
      </w:r>
      <w:r w:rsidRPr="00F970C1">
        <w:t xml:space="preserve">olicies </w:t>
      </w:r>
    </w:p>
    <w:p w:rsidR="002208B2" w:rsidP="00F474C4" w14:paraId="497CF822" w14:textId="7569F157">
      <w:pPr>
        <w:pStyle w:val="BodyText"/>
        <w:ind w:right="144"/>
      </w:pPr>
      <w:r>
        <w:t>Section</w:t>
      </w:r>
      <w:r w:rsidR="004274BC">
        <w:t>s</w:t>
      </w:r>
      <w:r>
        <w:t xml:space="preserve"> 482.102(a)</w:t>
      </w:r>
      <w:r w:rsidR="00E34F2D">
        <w:t xml:space="preserve"> and (b)</w:t>
      </w:r>
      <w:r>
        <w:t xml:space="preserve"> require t</w:t>
      </w:r>
      <w:r w:rsidRPr="00B76F77">
        <w:t xml:space="preserve">ransplant programs </w:t>
      </w:r>
      <w:r>
        <w:t xml:space="preserve">to </w:t>
      </w:r>
      <w:r w:rsidR="004274BC">
        <w:t xml:space="preserve">maintain </w:t>
      </w:r>
      <w:r>
        <w:t>wr</w:t>
      </w:r>
      <w:r w:rsidRPr="00B76F77">
        <w:t>itten informed consent</w:t>
      </w:r>
      <w:r>
        <w:t xml:space="preserve"> policies</w:t>
      </w:r>
      <w:r w:rsidR="00E34F2D">
        <w:t xml:space="preserve"> for </w:t>
      </w:r>
      <w:r w:rsidR="004274BC">
        <w:t xml:space="preserve">both transplant </w:t>
      </w:r>
      <w:r w:rsidR="00E34F2D">
        <w:t>patients and living donors</w:t>
      </w:r>
      <w:r>
        <w:t>.</w:t>
      </w:r>
      <w:r w:rsidRPr="00B76F77">
        <w:t xml:space="preserve"> </w:t>
      </w:r>
      <w:r w:rsidRPr="002208B2">
        <w:t xml:space="preserve">We </w:t>
      </w:r>
      <w:r>
        <w:t xml:space="preserve">continue to </w:t>
      </w:r>
      <w:r w:rsidRPr="002208B2">
        <w:t xml:space="preserve">expect that nearly all transplant </w:t>
      </w:r>
      <w:r>
        <w:t>programs</w:t>
      </w:r>
      <w:r w:rsidRPr="002208B2">
        <w:t xml:space="preserve"> </w:t>
      </w:r>
      <w:r w:rsidR="004274BC">
        <w:t xml:space="preserve">already </w:t>
      </w:r>
      <w:r w:rsidRPr="002208B2">
        <w:t xml:space="preserve">have written policies </w:t>
      </w:r>
      <w:r w:rsidR="004274BC">
        <w:t xml:space="preserve">in place, as these are considered </w:t>
      </w:r>
      <w:r w:rsidRPr="002208B2">
        <w:t xml:space="preserve">usual and customary business practices. Therefore, the burden </w:t>
      </w:r>
      <w:r w:rsidR="004274BC">
        <w:t xml:space="preserve">associated with </w:t>
      </w:r>
      <w:r w:rsidRPr="002208B2">
        <w:t xml:space="preserve">these requirements is exempt </w:t>
      </w:r>
      <w:r>
        <w:t xml:space="preserve">from the </w:t>
      </w:r>
      <w:r w:rsidR="004274BC">
        <w:t>Paperwork Reduction Act (</w:t>
      </w:r>
      <w:r>
        <w:t>PRA</w:t>
      </w:r>
      <w:r w:rsidR="004274BC">
        <w:t>) under</w:t>
      </w:r>
      <w:r>
        <w:t xml:space="preserve"> 5</w:t>
      </w:r>
      <w:r w:rsidRPr="002208B2">
        <w:t xml:space="preserve"> CFR </w:t>
      </w:r>
      <w:r>
        <w:t>§</w:t>
      </w:r>
      <w:r w:rsidRPr="002208B2">
        <w:t>1320.3(b)(2)</w:t>
      </w:r>
      <w:r>
        <w:t>.</w:t>
      </w:r>
      <w:r w:rsidRPr="002208B2">
        <w:t xml:space="preserve"> </w:t>
      </w:r>
    </w:p>
    <w:p w:rsidR="00E34F2D" w:rsidP="00F474C4" w14:paraId="6DD8733C" w14:textId="77777777">
      <w:pPr>
        <w:pStyle w:val="BodyText"/>
        <w:ind w:left="450" w:right="144"/>
      </w:pPr>
    </w:p>
    <w:p w:rsidR="004E3E54" w:rsidP="00F474C4" w14:paraId="1BDC2964" w14:textId="77777777">
      <w:pPr>
        <w:pStyle w:val="BodyText"/>
        <w:ind w:left="450" w:right="144"/>
      </w:pPr>
    </w:p>
    <w:p w:rsidR="004E3E54" w:rsidP="00F474C4" w14:paraId="1457D1DA" w14:textId="77777777">
      <w:pPr>
        <w:pStyle w:val="BodyText"/>
        <w:ind w:left="450" w:right="144"/>
      </w:pPr>
    </w:p>
    <w:p w:rsidR="00414E6F" w:rsidP="00F474C4" w14:paraId="07ADF10F" w14:textId="77777777">
      <w:pPr>
        <w:pStyle w:val="BodyText"/>
        <w:ind w:left="450" w:right="144"/>
      </w:pPr>
    </w:p>
    <w:p w:rsidR="00FA34BC" w:rsidRPr="009C2348" w:rsidP="00595B10" w14:paraId="61E446B6" w14:textId="3E5FE40E">
      <w:pPr>
        <w:pStyle w:val="Heading6"/>
        <w:spacing w:before="0"/>
      </w:pPr>
      <w:r w:rsidRPr="00FF5B7E">
        <w:t>§§</w:t>
      </w:r>
      <w:r w:rsidRPr="00FF5B7E" w:rsidR="00D20021">
        <w:t xml:space="preserve"> </w:t>
      </w:r>
      <w:r w:rsidRPr="00FF5B7E">
        <w:t>482.102(c)(</w:t>
      </w:r>
      <w:r w:rsidRPr="00FF5B7E" w:rsidR="001A1D3C">
        <w:t>2</w:t>
      </w:r>
      <w:r w:rsidRPr="00FF5B7E">
        <w:t xml:space="preserve">) </w:t>
      </w:r>
      <w:r w:rsidRPr="00FF5B7E" w:rsidR="001D65B9">
        <w:t>&amp;</w:t>
      </w:r>
      <w:r w:rsidRPr="00FF5B7E">
        <w:t xml:space="preserve"> (c)(3) – Notification of termination</w:t>
      </w:r>
      <w:r w:rsidRPr="00FF5B7E" w:rsidR="001D65B9">
        <w:t xml:space="preserve"> of Medicare certification to patients on waiting status</w:t>
      </w:r>
    </w:p>
    <w:p w:rsidR="00544DE7" w:rsidRPr="00544DE7" w:rsidP="00F474C4" w14:paraId="3C81CDB8" w14:textId="398654B4">
      <w:pPr>
        <w:pStyle w:val="BodyText"/>
        <w:ind w:right="176"/>
      </w:pPr>
      <w:r w:rsidRPr="00544DE7">
        <w:t xml:space="preserve">Section 482.102(c)(2) requires transplant </w:t>
      </w:r>
      <w:r w:rsidRPr="00544DE7" w:rsidR="003E0804">
        <w:t>program</w:t>
      </w:r>
      <w:r w:rsidRPr="00544DE7" w:rsidR="00E34F2D">
        <w:t xml:space="preserve">s whose Medicare approval has been </w:t>
      </w:r>
      <w:r w:rsidRPr="00544DE7" w:rsidR="002927DD">
        <w:t xml:space="preserve">voluntarily or involuntarily </w:t>
      </w:r>
      <w:r w:rsidRPr="00544DE7" w:rsidR="00E34F2D">
        <w:t>terminated</w:t>
      </w:r>
      <w:r w:rsidRPr="00544DE7">
        <w:t xml:space="preserve"> to </w:t>
      </w:r>
      <w:r w:rsidRPr="00544DE7">
        <w:t xml:space="preserve">notify </w:t>
      </w:r>
      <w:r w:rsidRPr="00544DE7">
        <w:t>patients on their waiting list at least 30 days prior to termination</w:t>
      </w:r>
      <w:r w:rsidRPr="00544DE7" w:rsidR="00782240">
        <w:t>.</w:t>
      </w:r>
      <w:r w:rsidR="00782240">
        <w:t xml:space="preserve"> </w:t>
      </w:r>
      <w:r w:rsidRPr="00544DE7">
        <w:t xml:space="preserve">The notice must inform patients that: </w:t>
      </w:r>
    </w:p>
    <w:p w:rsidR="00544DE7" w:rsidP="00F474C4" w14:paraId="333D2939" w14:textId="6DF29553">
      <w:pPr>
        <w:pStyle w:val="ListBullet"/>
        <w:numPr>
          <w:ilvl w:val="0"/>
          <w:numId w:val="29"/>
        </w:numPr>
        <w:rPr>
          <w:sz w:val="24"/>
          <w:szCs w:val="24"/>
        </w:rPr>
      </w:pPr>
      <w:r>
        <w:rPr>
          <w:sz w:val="24"/>
          <w:szCs w:val="24"/>
        </w:rPr>
        <w:t>The program’s</w:t>
      </w:r>
      <w:r w:rsidRPr="009C2348" w:rsidR="0052602B">
        <w:rPr>
          <w:sz w:val="24"/>
          <w:szCs w:val="24"/>
        </w:rPr>
        <w:t xml:space="preserve"> Medicare approval</w:t>
      </w:r>
      <w:r w:rsidR="00F970C1">
        <w:rPr>
          <w:sz w:val="24"/>
          <w:szCs w:val="24"/>
        </w:rPr>
        <w:t xml:space="preserve"> </w:t>
      </w:r>
      <w:r w:rsidRPr="009C2348" w:rsidR="00E34F2D">
        <w:rPr>
          <w:sz w:val="24"/>
          <w:szCs w:val="24"/>
        </w:rPr>
        <w:t xml:space="preserve">was </w:t>
      </w:r>
      <w:r w:rsidRPr="009C2348" w:rsidR="00E34F2D">
        <w:rPr>
          <w:sz w:val="24"/>
          <w:szCs w:val="24"/>
        </w:rPr>
        <w:t>terminated;</w:t>
      </w:r>
    </w:p>
    <w:p w:rsidR="00544DE7" w:rsidP="00F474C4" w14:paraId="47F79586" w14:textId="0C005D76">
      <w:pPr>
        <w:pStyle w:val="ListBullet"/>
        <w:numPr>
          <w:ilvl w:val="0"/>
          <w:numId w:val="29"/>
        </w:numPr>
        <w:rPr>
          <w:sz w:val="24"/>
          <w:szCs w:val="24"/>
        </w:rPr>
      </w:pPr>
      <w:r w:rsidRPr="009C2348">
        <w:rPr>
          <w:sz w:val="24"/>
          <w:szCs w:val="24"/>
        </w:rPr>
        <w:t>W</w:t>
      </w:r>
      <w:r w:rsidRPr="009C2348" w:rsidR="0052602B">
        <w:rPr>
          <w:sz w:val="24"/>
          <w:szCs w:val="24"/>
        </w:rPr>
        <w:t xml:space="preserve">hether </w:t>
      </w:r>
      <w:r w:rsidRPr="009C2348">
        <w:rPr>
          <w:sz w:val="24"/>
          <w:szCs w:val="24"/>
        </w:rPr>
        <w:t xml:space="preserve">the </w:t>
      </w:r>
      <w:r w:rsidRPr="009C2348" w:rsidR="0052602B">
        <w:rPr>
          <w:sz w:val="24"/>
          <w:szCs w:val="24"/>
        </w:rPr>
        <w:t xml:space="preserve">termination </w:t>
      </w:r>
      <w:r w:rsidRPr="009C2348">
        <w:rPr>
          <w:sz w:val="24"/>
          <w:szCs w:val="24"/>
        </w:rPr>
        <w:t>was</w:t>
      </w:r>
      <w:r w:rsidRPr="009C2348" w:rsidR="0052602B">
        <w:rPr>
          <w:sz w:val="24"/>
          <w:szCs w:val="24"/>
        </w:rPr>
        <w:t xml:space="preserve"> voluntary or involuntary</w:t>
      </w:r>
      <w:r w:rsidRPr="009C2348" w:rsidR="00E34F2D">
        <w:rPr>
          <w:sz w:val="24"/>
          <w:szCs w:val="24"/>
        </w:rPr>
        <w:t>;</w:t>
      </w:r>
      <w:r w:rsidRPr="009C2348" w:rsidR="008A6745">
        <w:rPr>
          <w:sz w:val="24"/>
          <w:szCs w:val="24"/>
        </w:rPr>
        <w:t xml:space="preserve"> and</w:t>
      </w:r>
    </w:p>
    <w:p w:rsidR="00544DE7" w:rsidRPr="009C2348" w:rsidP="00F474C4" w14:paraId="54646314" w14:textId="302E43EC">
      <w:pPr>
        <w:pStyle w:val="ListBullet"/>
        <w:numPr>
          <w:ilvl w:val="0"/>
          <w:numId w:val="29"/>
        </w:numPr>
        <w:rPr>
          <w:sz w:val="24"/>
          <w:szCs w:val="24"/>
        </w:rPr>
      </w:pPr>
      <w:r w:rsidRPr="009C2348">
        <w:rPr>
          <w:sz w:val="24"/>
          <w:szCs w:val="24"/>
        </w:rPr>
        <w:t xml:space="preserve">Medicare will no longer </w:t>
      </w:r>
      <w:r w:rsidRPr="009C2348" w:rsidR="00E34F2D">
        <w:rPr>
          <w:sz w:val="24"/>
          <w:szCs w:val="24"/>
        </w:rPr>
        <w:t xml:space="preserve">cover the cost of </w:t>
      </w:r>
      <w:r w:rsidRPr="009C2348">
        <w:rPr>
          <w:sz w:val="24"/>
          <w:szCs w:val="24"/>
        </w:rPr>
        <w:t xml:space="preserve">transplants performed after the </w:t>
      </w:r>
      <w:r w:rsidRPr="009C2348" w:rsidR="00E34F2D">
        <w:rPr>
          <w:sz w:val="24"/>
          <w:szCs w:val="24"/>
        </w:rPr>
        <w:t xml:space="preserve">termination </w:t>
      </w:r>
      <w:r w:rsidRPr="009C2348">
        <w:rPr>
          <w:sz w:val="24"/>
          <w:szCs w:val="24"/>
        </w:rPr>
        <w:t>date</w:t>
      </w:r>
      <w:r w:rsidRPr="008A6745">
        <w:t xml:space="preserve">. </w:t>
      </w:r>
    </w:p>
    <w:p w:rsidR="00544DE7" w:rsidRPr="009C2348" w:rsidP="00F474C4" w14:paraId="0A52A68F" w14:textId="77777777">
      <w:pPr>
        <w:pStyle w:val="ListBullet"/>
        <w:rPr>
          <w:sz w:val="24"/>
          <w:szCs w:val="24"/>
        </w:rPr>
      </w:pPr>
    </w:p>
    <w:p w:rsidR="008F7CA5" w:rsidP="00F474C4" w14:paraId="061F3DDF" w14:textId="2BF8C702">
      <w:pPr>
        <w:pStyle w:val="BodyText"/>
        <w:ind w:right="176"/>
      </w:pPr>
      <w:r w:rsidRPr="00544DE7">
        <w:t xml:space="preserve">Section </w:t>
      </w:r>
      <w:r w:rsidRPr="00544DE7" w:rsidR="00242A12">
        <w:t>482.</w:t>
      </w:r>
      <w:r w:rsidRPr="00544DE7">
        <w:t xml:space="preserve">102(c)(3) </w:t>
      </w:r>
      <w:r w:rsidRPr="00544DE7" w:rsidR="00242A12">
        <w:t xml:space="preserve">also </w:t>
      </w:r>
      <w:r w:rsidRPr="00544DE7">
        <w:t xml:space="preserve">requires transplant </w:t>
      </w:r>
      <w:r w:rsidRPr="00544DE7" w:rsidR="00672C4D">
        <w:t>programs</w:t>
      </w:r>
      <w:r w:rsidRPr="00544DE7">
        <w:t xml:space="preserve"> that voluntarily inactivate</w:t>
      </w:r>
      <w:r w:rsidRPr="00544DE7">
        <w:t xml:space="preserve"> to</w:t>
      </w:r>
      <w:r w:rsidR="008A6745">
        <w:t xml:space="preserve"> </w:t>
      </w:r>
      <w:r w:rsidRPr="00544DE7" w:rsidR="008A6745">
        <w:t xml:space="preserve">notify </w:t>
      </w:r>
      <w:r w:rsidRPr="00544DE7">
        <w:t xml:space="preserve">patients on the waiting list </w:t>
      </w:r>
      <w:r w:rsidRPr="00544DE7" w:rsidR="00242A12">
        <w:t>as soon as possible prior to inactivation</w:t>
      </w:r>
      <w:r w:rsidRPr="00544DE7" w:rsidR="00544DE7">
        <w:t xml:space="preserve">. The program </w:t>
      </w:r>
      <w:r w:rsidRPr="00544DE7" w:rsidR="00242A12">
        <w:t xml:space="preserve">must </w:t>
      </w:r>
      <w:r w:rsidRPr="00544DE7" w:rsidR="00544DE7">
        <w:t xml:space="preserve">also </w:t>
      </w:r>
      <w:r w:rsidRPr="00544DE7" w:rsidR="00E85370">
        <w:t>assist</w:t>
      </w:r>
      <w:r w:rsidRPr="00544DE7" w:rsidR="00544DE7">
        <w:t xml:space="preserve"> patients </w:t>
      </w:r>
      <w:r w:rsidRPr="00544DE7" w:rsidR="00242A12">
        <w:t xml:space="preserve">transferring to another Medicare-approved transplant program without loss of </w:t>
      </w:r>
      <w:r w:rsidRPr="00544DE7" w:rsidR="00042F38">
        <w:t>accrued</w:t>
      </w:r>
      <w:r w:rsidRPr="00544DE7" w:rsidR="00242A12">
        <w:t xml:space="preserve"> time on the waiting list. </w:t>
      </w:r>
    </w:p>
    <w:p w:rsidR="001D762D" w:rsidRPr="00544DE7" w:rsidP="00F474C4" w14:paraId="6F1B6C21" w14:textId="77777777">
      <w:pPr>
        <w:pStyle w:val="BodyText"/>
        <w:ind w:right="176"/>
      </w:pPr>
    </w:p>
    <w:p w:rsidR="003172C7" w:rsidP="00F474C4" w14:paraId="1A389F46" w14:textId="202E5E6F">
      <w:pPr>
        <w:pStyle w:val="BodyText"/>
        <w:ind w:right="176"/>
      </w:pPr>
      <w:r w:rsidRPr="00F17155">
        <w:t xml:space="preserve">We </w:t>
      </w:r>
      <w:r>
        <w:t xml:space="preserve">continue to </w:t>
      </w:r>
      <w:r w:rsidRPr="00F17155">
        <w:t>believe</w:t>
      </w:r>
      <w:r w:rsidR="00D7080F">
        <w:t xml:space="preserve"> th</w:t>
      </w:r>
      <w:r w:rsidRPr="00D7080F" w:rsidR="00D7080F">
        <w:t xml:space="preserve">e burden associated with </w:t>
      </w:r>
      <w:r w:rsidR="00544DE7">
        <w:t xml:space="preserve">these requirements is limited to the time needed </w:t>
      </w:r>
      <w:r w:rsidRPr="00D7080F">
        <w:t>to draft</w:t>
      </w:r>
      <w:r>
        <w:t xml:space="preserve"> </w:t>
      </w:r>
      <w:r w:rsidRPr="00D7080F">
        <w:t>and</w:t>
      </w:r>
      <w:r>
        <w:t xml:space="preserve"> send </w:t>
      </w:r>
      <w:r w:rsidR="00544DE7">
        <w:t xml:space="preserve">notification letters – </w:t>
      </w:r>
      <w:r>
        <w:t xml:space="preserve">by mail and electronically </w:t>
      </w:r>
      <w:r w:rsidR="00544DE7">
        <w:t xml:space="preserve">– </w:t>
      </w:r>
      <w:r w:rsidRPr="00D7080F">
        <w:t xml:space="preserve">to patients on </w:t>
      </w:r>
      <w:r>
        <w:t>the transplant program’s</w:t>
      </w:r>
      <w:r w:rsidRPr="00D7080F">
        <w:t xml:space="preserve"> waiting list.</w:t>
      </w:r>
      <w:r w:rsidR="003A5E98">
        <w:t xml:space="preserve"> </w:t>
      </w:r>
    </w:p>
    <w:p w:rsidR="00863E7C" w:rsidP="00F474C4" w14:paraId="4F0CA384" w14:textId="77777777">
      <w:pPr>
        <w:pStyle w:val="BodyText"/>
        <w:ind w:right="176"/>
      </w:pPr>
    </w:p>
    <w:p w:rsidR="003172C7" w:rsidP="00F474C4" w14:paraId="0181315A" w14:textId="3E3198B2">
      <w:pPr>
        <w:pStyle w:val="BodyText"/>
        <w:ind w:right="29"/>
      </w:pPr>
      <w:r w:rsidRPr="009231C6">
        <w:t xml:space="preserve">As shown in </w:t>
      </w:r>
      <w:r w:rsidRPr="009231C6" w:rsidR="003E0AC1">
        <w:t>Table</w:t>
      </w:r>
      <w:r w:rsidRPr="009231C6" w:rsidR="001D65B9">
        <w:t xml:space="preserve"> 6, w</w:t>
      </w:r>
      <w:r w:rsidRPr="009231C6" w:rsidR="0052602B">
        <w:t xml:space="preserve">e estimate </w:t>
      </w:r>
      <w:r w:rsidRPr="009231C6" w:rsidR="00544DE7">
        <w:t>the following staff time is required to complete these notifications</w:t>
      </w:r>
      <w:r>
        <w:t xml:space="preserve">: </w:t>
      </w:r>
    </w:p>
    <w:p w:rsidR="003172C7" w:rsidP="00F474C4" w14:paraId="3B5EFC04" w14:textId="16A2ADCA">
      <w:pPr>
        <w:pStyle w:val="ListBullet"/>
        <w:numPr>
          <w:ilvl w:val="0"/>
          <w:numId w:val="30"/>
        </w:numPr>
        <w:ind w:left="360"/>
        <w:rPr>
          <w:sz w:val="24"/>
          <w:szCs w:val="24"/>
        </w:rPr>
      </w:pPr>
      <w:r w:rsidRPr="009C2348">
        <w:rPr>
          <w:sz w:val="24"/>
          <w:szCs w:val="24"/>
        </w:rPr>
        <w:t xml:space="preserve">0.5 hours </w:t>
      </w:r>
      <w:r>
        <w:rPr>
          <w:sz w:val="24"/>
          <w:szCs w:val="24"/>
        </w:rPr>
        <w:t xml:space="preserve">- </w:t>
      </w:r>
      <w:r w:rsidRPr="009C2348">
        <w:rPr>
          <w:sz w:val="24"/>
          <w:szCs w:val="24"/>
        </w:rPr>
        <w:t xml:space="preserve">Senior </w:t>
      </w:r>
      <w:r w:rsidRPr="009C2348" w:rsidR="00242A12">
        <w:rPr>
          <w:sz w:val="24"/>
          <w:szCs w:val="24"/>
        </w:rPr>
        <w:t>A</w:t>
      </w:r>
      <w:r w:rsidRPr="009C2348" w:rsidR="0052602B">
        <w:rPr>
          <w:sz w:val="24"/>
          <w:szCs w:val="24"/>
        </w:rPr>
        <w:t xml:space="preserve">dministrator to draft </w:t>
      </w:r>
      <w:r w:rsidRPr="009C2348" w:rsidR="00A3003D">
        <w:rPr>
          <w:sz w:val="24"/>
          <w:szCs w:val="24"/>
        </w:rPr>
        <w:t>the notification</w:t>
      </w:r>
      <w:r w:rsidRPr="003172C7">
        <w:rPr>
          <w:sz w:val="24"/>
          <w:szCs w:val="24"/>
        </w:rPr>
        <w:t xml:space="preserve"> </w:t>
      </w:r>
      <w:r w:rsidRPr="009C2348" w:rsidR="0052602B">
        <w:rPr>
          <w:sz w:val="24"/>
          <w:szCs w:val="24"/>
        </w:rPr>
        <w:t xml:space="preserve"> </w:t>
      </w:r>
    </w:p>
    <w:p w:rsidR="00544DE7" w:rsidRPr="00E60627" w:rsidP="00F474C4" w14:paraId="2E580B02" w14:textId="6707C2CF">
      <w:pPr>
        <w:pStyle w:val="ListBullet"/>
        <w:numPr>
          <w:ilvl w:val="0"/>
          <w:numId w:val="30"/>
        </w:numPr>
        <w:ind w:left="360"/>
        <w:rPr>
          <w:sz w:val="24"/>
          <w:szCs w:val="24"/>
        </w:rPr>
      </w:pPr>
      <w:r w:rsidRPr="009C2348">
        <w:rPr>
          <w:sz w:val="24"/>
          <w:szCs w:val="24"/>
        </w:rPr>
        <w:t xml:space="preserve">2.5 hours </w:t>
      </w:r>
      <w:r w:rsidRPr="009C2348">
        <w:rPr>
          <w:sz w:val="24"/>
          <w:szCs w:val="24"/>
        </w:rPr>
        <w:t xml:space="preserve">- </w:t>
      </w:r>
      <w:r w:rsidRPr="003172C7" w:rsidR="003172C7">
        <w:rPr>
          <w:sz w:val="24"/>
          <w:szCs w:val="24"/>
        </w:rPr>
        <w:t>an</w:t>
      </w:r>
      <w:r w:rsidRPr="009C2348" w:rsidR="0052602B">
        <w:rPr>
          <w:sz w:val="24"/>
          <w:szCs w:val="24"/>
        </w:rPr>
        <w:t xml:space="preserve"> </w:t>
      </w:r>
      <w:r w:rsidR="003172C7">
        <w:rPr>
          <w:sz w:val="24"/>
          <w:szCs w:val="24"/>
        </w:rPr>
        <w:t>A</w:t>
      </w:r>
      <w:r w:rsidRPr="009C2348" w:rsidR="0052602B">
        <w:rPr>
          <w:sz w:val="24"/>
          <w:szCs w:val="24"/>
        </w:rPr>
        <w:t xml:space="preserve">dministrative </w:t>
      </w:r>
      <w:r w:rsidR="003172C7">
        <w:rPr>
          <w:sz w:val="24"/>
          <w:szCs w:val="24"/>
        </w:rPr>
        <w:t>A</w:t>
      </w:r>
      <w:r w:rsidRPr="009C2348" w:rsidR="00450BBC">
        <w:rPr>
          <w:sz w:val="24"/>
          <w:szCs w:val="24"/>
        </w:rPr>
        <w:t xml:space="preserve">ssistant </w:t>
      </w:r>
      <w:r w:rsidRPr="009C2348" w:rsidR="0052602B">
        <w:rPr>
          <w:sz w:val="24"/>
          <w:szCs w:val="24"/>
        </w:rPr>
        <w:t>to</w:t>
      </w:r>
      <w:r w:rsidR="00521B1A">
        <w:rPr>
          <w:sz w:val="24"/>
          <w:szCs w:val="24"/>
        </w:rPr>
        <w:t xml:space="preserve"> </w:t>
      </w:r>
      <w:r w:rsidRPr="009C2348" w:rsidR="00521B1A">
        <w:rPr>
          <w:sz w:val="24"/>
          <w:szCs w:val="24"/>
        </w:rPr>
        <w:t>prepare and send</w:t>
      </w:r>
      <w:r w:rsidR="00521B1A">
        <w:rPr>
          <w:sz w:val="24"/>
          <w:szCs w:val="24"/>
        </w:rPr>
        <w:t xml:space="preserve"> </w:t>
      </w:r>
      <w:r w:rsidRPr="009C2348" w:rsidR="00521B1A">
        <w:rPr>
          <w:sz w:val="24"/>
          <w:szCs w:val="24"/>
        </w:rPr>
        <w:t>the required notifications to the affected patients</w:t>
      </w:r>
    </w:p>
    <w:p w:rsidR="00521B1A" w:rsidP="002E0114" w14:paraId="2D8005CC" w14:textId="57EA5B3E">
      <w:pPr>
        <w:pStyle w:val="ListBullet"/>
        <w:spacing w:before="120"/>
        <w:contextualSpacing w:val="0"/>
        <w:rPr>
          <w:sz w:val="24"/>
          <w:szCs w:val="24"/>
        </w:rPr>
      </w:pPr>
      <w:r>
        <w:rPr>
          <w:sz w:val="24"/>
          <w:szCs w:val="24"/>
        </w:rPr>
        <w:t>Th</w:t>
      </w:r>
      <w:r w:rsidR="0073506B">
        <w:rPr>
          <w:sz w:val="24"/>
          <w:szCs w:val="24"/>
        </w:rPr>
        <w:t xml:space="preserve">is results in a total of </w:t>
      </w:r>
      <w:r w:rsidRPr="009C2348" w:rsidR="00544DE7">
        <w:rPr>
          <w:sz w:val="24"/>
          <w:szCs w:val="24"/>
        </w:rPr>
        <w:t xml:space="preserve">3 </w:t>
      </w:r>
      <w:r w:rsidRPr="00521B1A">
        <w:rPr>
          <w:sz w:val="24"/>
          <w:szCs w:val="24"/>
        </w:rPr>
        <w:t xml:space="preserve">hours </w:t>
      </w:r>
      <w:r w:rsidRPr="009C2348" w:rsidR="00544DE7">
        <w:rPr>
          <w:sz w:val="24"/>
          <w:szCs w:val="24"/>
        </w:rPr>
        <w:t>(</w:t>
      </w:r>
      <w:r w:rsidR="006D09DE">
        <w:rPr>
          <w:sz w:val="24"/>
          <w:szCs w:val="24"/>
        </w:rPr>
        <w:t>0</w:t>
      </w:r>
      <w:r w:rsidRPr="009C2348" w:rsidR="00544DE7">
        <w:rPr>
          <w:sz w:val="24"/>
          <w:szCs w:val="24"/>
        </w:rPr>
        <w:t xml:space="preserve">.5 + 2.5) </w:t>
      </w:r>
      <w:r w:rsidR="0073506B">
        <w:rPr>
          <w:sz w:val="24"/>
          <w:szCs w:val="24"/>
        </w:rPr>
        <w:t xml:space="preserve">per </w:t>
      </w:r>
      <w:r w:rsidR="006D599A">
        <w:rPr>
          <w:sz w:val="24"/>
          <w:szCs w:val="24"/>
        </w:rPr>
        <w:t xml:space="preserve">terminated </w:t>
      </w:r>
      <w:r w:rsidR="0073506B">
        <w:rPr>
          <w:sz w:val="24"/>
          <w:szCs w:val="24"/>
        </w:rPr>
        <w:t xml:space="preserve">transplant program </w:t>
      </w:r>
      <w:r w:rsidRPr="00521B1A">
        <w:rPr>
          <w:sz w:val="24"/>
          <w:szCs w:val="24"/>
        </w:rPr>
        <w:t>at a</w:t>
      </w:r>
      <w:r w:rsidR="0073506B">
        <w:rPr>
          <w:sz w:val="24"/>
          <w:szCs w:val="24"/>
        </w:rPr>
        <w:t xml:space="preserve"> weighted average </w:t>
      </w:r>
      <w:r w:rsidRPr="00521B1A">
        <w:rPr>
          <w:sz w:val="24"/>
          <w:szCs w:val="24"/>
        </w:rPr>
        <w:t xml:space="preserve">cost </w:t>
      </w:r>
      <w:r w:rsidR="00734475">
        <w:rPr>
          <w:sz w:val="24"/>
          <w:szCs w:val="24"/>
        </w:rPr>
        <w:t xml:space="preserve">of </w:t>
      </w:r>
      <w:r w:rsidRPr="00521B1A">
        <w:rPr>
          <w:sz w:val="24"/>
          <w:szCs w:val="24"/>
        </w:rPr>
        <w:t>$18</w:t>
      </w:r>
      <w:r w:rsidRPr="009C2348">
        <w:rPr>
          <w:sz w:val="24"/>
          <w:szCs w:val="24"/>
        </w:rPr>
        <w:t>7</w:t>
      </w:r>
      <w:r>
        <w:rPr>
          <w:sz w:val="24"/>
          <w:szCs w:val="24"/>
        </w:rPr>
        <w:t xml:space="preserve"> </w:t>
      </w:r>
      <w:r w:rsidRPr="009C2348">
        <w:rPr>
          <w:sz w:val="24"/>
          <w:szCs w:val="24"/>
        </w:rPr>
        <w:t>($72 + $115)</w:t>
      </w:r>
      <w:r w:rsidR="0073506B">
        <w:rPr>
          <w:sz w:val="24"/>
          <w:szCs w:val="24"/>
        </w:rPr>
        <w:t xml:space="preserve"> per program.</w:t>
      </w:r>
    </w:p>
    <w:p w:rsidR="003A5E98" w:rsidRPr="009C2348" w:rsidP="00F474C4" w14:paraId="54F40518" w14:textId="77777777">
      <w:pPr>
        <w:pStyle w:val="ListBullet"/>
        <w:ind w:left="360" w:hanging="360"/>
        <w:rPr>
          <w:b/>
          <w:bCs/>
          <w:sz w:val="24"/>
          <w:szCs w:val="24"/>
        </w:rPr>
      </w:pPr>
    </w:p>
    <w:p w:rsidR="00C63703" w:rsidRPr="009551AF" w:rsidP="00F474C4" w14:paraId="5D341F4D" w14:textId="013F0F48">
      <w:pPr>
        <w:pStyle w:val="BodyText"/>
        <w:ind w:right="29"/>
        <w:jc w:val="center"/>
      </w:pPr>
      <w:r w:rsidRPr="009C2348">
        <w:rPr>
          <w:b/>
          <w:bCs/>
        </w:rPr>
        <w:t>Table 6. §</w:t>
      </w:r>
      <w:r w:rsidRPr="009C2348" w:rsidR="004C41F7">
        <w:rPr>
          <w:b/>
          <w:bCs/>
        </w:rPr>
        <w:t>482.102(c)(2) &amp; (c)(3) -</w:t>
      </w:r>
      <w:r w:rsidRPr="009C2348">
        <w:rPr>
          <w:b/>
          <w:bCs/>
        </w:rPr>
        <w:t xml:space="preserve"> </w:t>
      </w:r>
      <w:r w:rsidRPr="009C2348" w:rsidR="0052602B">
        <w:rPr>
          <w:b/>
          <w:bCs/>
        </w:rPr>
        <w:t>Notif</w:t>
      </w:r>
      <w:r w:rsidRPr="009C2348" w:rsidR="004C41F7">
        <w:rPr>
          <w:b/>
          <w:bCs/>
        </w:rPr>
        <w:t>ications to</w:t>
      </w:r>
      <w:r w:rsidRPr="009C2348" w:rsidR="0052602B">
        <w:rPr>
          <w:b/>
          <w:bCs/>
        </w:rPr>
        <w:t xml:space="preserve"> Patients on Waiting List of a Transplant </w:t>
      </w:r>
      <w:r w:rsidRPr="009C2348" w:rsidR="004C41F7">
        <w:rPr>
          <w:b/>
          <w:bCs/>
        </w:rPr>
        <w:t xml:space="preserve">Program’s Termination </w:t>
      </w:r>
      <w:r w:rsidRPr="009551AF" w:rsidR="00D70D41">
        <w:rPr>
          <w:b/>
          <w:bCs/>
        </w:rPr>
        <w:t>of Medicare</w:t>
      </w:r>
      <w:r w:rsidRPr="009C2348" w:rsidR="0052602B">
        <w:rPr>
          <w:b/>
          <w:bCs/>
        </w:rPr>
        <w:t xml:space="preserve"> </w:t>
      </w:r>
      <w:r w:rsidRPr="009C2348" w:rsidR="004C41F7">
        <w:rPr>
          <w:b/>
          <w:bCs/>
        </w:rPr>
        <w:t>Certification</w:t>
      </w:r>
    </w:p>
    <w:tbl>
      <w:tblPr>
        <w:tblW w:w="76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230"/>
        <w:gridCol w:w="1350"/>
        <w:gridCol w:w="1499"/>
        <w:gridCol w:w="1561"/>
      </w:tblGrid>
      <w:tr w14:paraId="4FE20F2A" w14:textId="198C80B2" w:rsidTr="006D599A">
        <w:tblPrEx>
          <w:tblW w:w="76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1079"/>
          <w:jc w:val="center"/>
        </w:trPr>
        <w:tc>
          <w:tcPr>
            <w:tcW w:w="3230" w:type="dxa"/>
            <w:vMerge w:val="restart"/>
            <w:shd w:val="clear" w:color="auto" w:fill="F2F2F2" w:themeFill="background1" w:themeFillShade="F2"/>
            <w:vAlign w:val="center"/>
          </w:tcPr>
          <w:p w:rsidR="00521B1A" w:rsidRPr="001224BF" w:rsidP="004C41F7" w14:paraId="33A1A7F0" w14:textId="28EBD28A">
            <w:pPr>
              <w:pStyle w:val="TableParagraph"/>
              <w:ind w:left="98"/>
              <w:jc w:val="center"/>
              <w:rPr>
                <w:b/>
                <w:bCs/>
                <w:sz w:val="20"/>
                <w:szCs w:val="20"/>
              </w:rPr>
            </w:pPr>
            <w:r w:rsidRPr="009C2348">
              <w:rPr>
                <w:b/>
                <w:bCs/>
                <w:sz w:val="20"/>
                <w:szCs w:val="20"/>
              </w:rPr>
              <w:t>Burden</w:t>
            </w:r>
            <w:r w:rsidR="001224BF">
              <w:rPr>
                <w:b/>
                <w:bCs/>
                <w:sz w:val="20"/>
                <w:szCs w:val="20"/>
              </w:rPr>
              <w:t xml:space="preserve"> for Terminated Programs </w:t>
            </w:r>
            <w:r w:rsidRPr="009C2348">
              <w:rPr>
                <w:b/>
                <w:bCs/>
                <w:sz w:val="20"/>
                <w:szCs w:val="20"/>
              </w:rPr>
              <w:t>to Notify Patients</w:t>
            </w:r>
          </w:p>
        </w:tc>
        <w:tc>
          <w:tcPr>
            <w:tcW w:w="1350" w:type="dxa"/>
            <w:tcBorders>
              <w:bottom w:val="nil"/>
              <w:right w:val="single" w:sz="8" w:space="0" w:color="000000"/>
            </w:tcBorders>
            <w:shd w:val="clear" w:color="auto" w:fill="F2F2F2" w:themeFill="background1" w:themeFillShade="F2"/>
            <w:vAlign w:val="center"/>
          </w:tcPr>
          <w:p w:rsidR="004C41F7" w:rsidRPr="001224BF" w:rsidP="009231C6" w14:paraId="4186F95A" w14:textId="1894B1F8">
            <w:pPr>
              <w:pStyle w:val="TableParagraph"/>
              <w:spacing w:line="247" w:lineRule="auto"/>
              <w:ind w:right="9"/>
              <w:jc w:val="center"/>
              <w:rPr>
                <w:b/>
                <w:bCs/>
                <w:sz w:val="20"/>
                <w:szCs w:val="20"/>
              </w:rPr>
            </w:pPr>
            <w:r w:rsidRPr="001224BF">
              <w:rPr>
                <w:b/>
                <w:bCs/>
                <w:sz w:val="20"/>
                <w:szCs w:val="20"/>
              </w:rPr>
              <w:t>Loaded</w:t>
            </w:r>
          </w:p>
          <w:p w:rsidR="004C41F7" w:rsidRPr="001224BF" w:rsidP="009231C6" w14:paraId="781FF57C" w14:textId="77777777">
            <w:pPr>
              <w:pStyle w:val="TableParagraph"/>
              <w:spacing w:line="247" w:lineRule="auto"/>
              <w:ind w:right="9"/>
              <w:jc w:val="center"/>
              <w:rPr>
                <w:b/>
                <w:bCs/>
                <w:sz w:val="20"/>
                <w:szCs w:val="20"/>
              </w:rPr>
            </w:pPr>
            <w:r w:rsidRPr="001224BF">
              <w:rPr>
                <w:b/>
                <w:bCs/>
                <w:sz w:val="20"/>
                <w:szCs w:val="20"/>
              </w:rPr>
              <w:t>Hourly Mean</w:t>
            </w:r>
          </w:p>
          <w:p w:rsidR="004C41F7" w:rsidRPr="001224BF" w:rsidP="009C2348" w14:paraId="5BB4694B" w14:textId="2A46E458">
            <w:pPr>
              <w:pStyle w:val="TableParagraph"/>
              <w:spacing w:line="247" w:lineRule="auto"/>
              <w:ind w:right="9"/>
              <w:jc w:val="center"/>
              <w:rPr>
                <w:b/>
                <w:bCs/>
                <w:sz w:val="20"/>
                <w:szCs w:val="20"/>
              </w:rPr>
            </w:pPr>
            <w:r w:rsidRPr="001224BF">
              <w:rPr>
                <w:b/>
                <w:bCs/>
                <w:sz w:val="20"/>
                <w:szCs w:val="20"/>
              </w:rPr>
              <w:t>Wage</w:t>
            </w:r>
          </w:p>
        </w:tc>
        <w:tc>
          <w:tcPr>
            <w:tcW w:w="1499" w:type="dxa"/>
            <w:tcBorders>
              <w:left w:val="single" w:sz="8" w:space="0" w:color="000000"/>
              <w:bottom w:val="nil"/>
              <w:right w:val="single" w:sz="8" w:space="0" w:color="000000"/>
            </w:tcBorders>
            <w:shd w:val="clear" w:color="auto" w:fill="F2F2F2" w:themeFill="background1" w:themeFillShade="F2"/>
            <w:vAlign w:val="center"/>
          </w:tcPr>
          <w:p w:rsidR="004C41F7" w:rsidRPr="001224BF" w:rsidP="009231C6" w14:paraId="5ECD0B6A" w14:textId="77727BAB">
            <w:pPr>
              <w:pStyle w:val="TableParagraph"/>
              <w:spacing w:line="247" w:lineRule="auto"/>
              <w:ind w:left="98"/>
              <w:jc w:val="center"/>
              <w:rPr>
                <w:b/>
                <w:bCs/>
                <w:sz w:val="20"/>
                <w:szCs w:val="20"/>
              </w:rPr>
            </w:pPr>
            <w:r w:rsidRPr="001224BF">
              <w:rPr>
                <w:b/>
                <w:bCs/>
                <w:sz w:val="20"/>
                <w:szCs w:val="20"/>
              </w:rPr>
              <w:t>Burden</w:t>
            </w:r>
          </w:p>
          <w:p w:rsidR="004C41F7" w:rsidRPr="001224BF" w:rsidP="009231C6" w14:paraId="33384A8C" w14:textId="5A4FDD78">
            <w:pPr>
              <w:pStyle w:val="TableParagraph"/>
              <w:spacing w:line="247" w:lineRule="auto"/>
              <w:ind w:left="98"/>
              <w:jc w:val="center"/>
              <w:rPr>
                <w:b/>
                <w:bCs/>
                <w:sz w:val="20"/>
                <w:szCs w:val="20"/>
              </w:rPr>
            </w:pPr>
            <w:r w:rsidRPr="001224BF">
              <w:rPr>
                <w:b/>
                <w:bCs/>
                <w:sz w:val="20"/>
                <w:szCs w:val="20"/>
              </w:rPr>
              <w:t>Hours/</w:t>
            </w:r>
            <w:r w:rsidR="001224BF">
              <w:rPr>
                <w:b/>
                <w:bCs/>
                <w:sz w:val="20"/>
                <w:szCs w:val="20"/>
              </w:rPr>
              <w:t>Program</w:t>
            </w:r>
          </w:p>
        </w:tc>
        <w:tc>
          <w:tcPr>
            <w:tcW w:w="1561" w:type="dxa"/>
            <w:tcBorders>
              <w:left w:val="single" w:sz="8" w:space="0" w:color="000000"/>
              <w:bottom w:val="nil"/>
            </w:tcBorders>
            <w:shd w:val="clear" w:color="auto" w:fill="F2F2F2" w:themeFill="background1" w:themeFillShade="F2"/>
            <w:vAlign w:val="center"/>
          </w:tcPr>
          <w:p w:rsidR="004C41F7" w:rsidRPr="001224BF" w:rsidP="009C2348" w14:paraId="76D7CD0B" w14:textId="3090BCF9">
            <w:pPr>
              <w:pStyle w:val="TableParagraph"/>
              <w:spacing w:before="6"/>
              <w:jc w:val="center"/>
              <w:rPr>
                <w:b/>
                <w:bCs/>
                <w:sz w:val="20"/>
                <w:szCs w:val="20"/>
              </w:rPr>
            </w:pPr>
            <w:r w:rsidRPr="001224BF">
              <w:rPr>
                <w:b/>
                <w:bCs/>
                <w:sz w:val="20"/>
                <w:szCs w:val="20"/>
              </w:rPr>
              <w:t>Burden Cost</w:t>
            </w:r>
            <w:r w:rsidR="001224BF">
              <w:rPr>
                <w:b/>
                <w:bCs/>
                <w:sz w:val="20"/>
                <w:szCs w:val="20"/>
              </w:rPr>
              <w:t>/Program</w:t>
            </w:r>
            <w:r w:rsidRPr="001224BF">
              <w:rPr>
                <w:b/>
                <w:bCs/>
                <w:sz w:val="20"/>
                <w:szCs w:val="20"/>
              </w:rPr>
              <w:t xml:space="preserve"> </w:t>
            </w:r>
          </w:p>
        </w:tc>
      </w:tr>
      <w:tr w14:paraId="777948A5" w14:textId="77777777" w:rsidTr="006D599A">
        <w:tblPrEx>
          <w:tblW w:w="7640" w:type="dxa"/>
          <w:jc w:val="center"/>
          <w:tblLayout w:type="fixed"/>
          <w:tblCellMar>
            <w:left w:w="0" w:type="dxa"/>
            <w:right w:w="0" w:type="dxa"/>
          </w:tblCellMar>
          <w:tblLook w:val="01E0"/>
        </w:tblPrEx>
        <w:trPr>
          <w:trHeight w:hRule="exact" w:val="368"/>
          <w:jc w:val="center"/>
        </w:trPr>
        <w:tc>
          <w:tcPr>
            <w:tcW w:w="3230" w:type="dxa"/>
            <w:vMerge/>
            <w:shd w:val="clear" w:color="auto" w:fill="F2F2F2" w:themeFill="background1" w:themeFillShade="F2"/>
            <w:vAlign w:val="center"/>
          </w:tcPr>
          <w:p w:rsidR="004C41F7" w:rsidRPr="001224BF" w:rsidP="004C41F7" w14:paraId="313D5749" w14:textId="77777777">
            <w:pPr>
              <w:pStyle w:val="TableParagraph"/>
              <w:spacing w:line="247" w:lineRule="auto"/>
              <w:ind w:left="98" w:right="585"/>
              <w:jc w:val="center"/>
              <w:rPr>
                <w:sz w:val="20"/>
                <w:szCs w:val="20"/>
              </w:rPr>
            </w:pPr>
          </w:p>
        </w:tc>
        <w:tc>
          <w:tcPr>
            <w:tcW w:w="1350" w:type="dxa"/>
            <w:tcBorders>
              <w:top w:val="nil"/>
              <w:right w:val="single" w:sz="8" w:space="0" w:color="000000"/>
            </w:tcBorders>
            <w:shd w:val="clear" w:color="auto" w:fill="F2F2F2" w:themeFill="background1" w:themeFillShade="F2"/>
            <w:vAlign w:val="center"/>
          </w:tcPr>
          <w:p w:rsidR="004C41F7" w:rsidRPr="00734475" w:rsidP="004C41F7" w14:paraId="194A6C1B" w14:textId="12600971">
            <w:pPr>
              <w:pStyle w:val="TableParagraph"/>
              <w:spacing w:before="0"/>
              <w:ind w:right="96"/>
              <w:jc w:val="center"/>
              <w:rPr>
                <w:i/>
                <w:iCs/>
                <w:sz w:val="20"/>
                <w:szCs w:val="20"/>
              </w:rPr>
            </w:pPr>
            <w:r w:rsidRPr="00734475">
              <w:rPr>
                <w:i/>
                <w:iCs/>
                <w:sz w:val="20"/>
                <w:szCs w:val="20"/>
              </w:rPr>
              <w:t>(a)</w:t>
            </w:r>
          </w:p>
        </w:tc>
        <w:tc>
          <w:tcPr>
            <w:tcW w:w="1499" w:type="dxa"/>
            <w:tcBorders>
              <w:top w:val="nil"/>
              <w:left w:val="single" w:sz="8" w:space="0" w:color="000000"/>
              <w:right w:val="single" w:sz="8" w:space="0" w:color="000000"/>
            </w:tcBorders>
            <w:shd w:val="clear" w:color="auto" w:fill="F2F2F2" w:themeFill="background1" w:themeFillShade="F2"/>
            <w:vAlign w:val="center"/>
          </w:tcPr>
          <w:p w:rsidR="004C41F7" w:rsidRPr="00734475" w:rsidP="004C41F7" w14:paraId="57220074" w14:textId="0956EC8D">
            <w:pPr>
              <w:pStyle w:val="TableParagraph"/>
              <w:spacing w:before="0"/>
              <w:ind w:right="96"/>
              <w:jc w:val="center"/>
              <w:rPr>
                <w:i/>
                <w:iCs/>
                <w:sz w:val="20"/>
                <w:szCs w:val="20"/>
              </w:rPr>
            </w:pPr>
            <w:r w:rsidRPr="00734475">
              <w:rPr>
                <w:i/>
                <w:iCs/>
                <w:sz w:val="20"/>
                <w:szCs w:val="20"/>
              </w:rPr>
              <w:t>(b)</w:t>
            </w:r>
          </w:p>
        </w:tc>
        <w:tc>
          <w:tcPr>
            <w:tcW w:w="1561" w:type="dxa"/>
            <w:tcBorders>
              <w:top w:val="nil"/>
              <w:left w:val="single" w:sz="8" w:space="0" w:color="000000"/>
            </w:tcBorders>
            <w:shd w:val="clear" w:color="auto" w:fill="F2F2F2" w:themeFill="background1" w:themeFillShade="F2"/>
            <w:vAlign w:val="center"/>
          </w:tcPr>
          <w:p w:rsidR="004C41F7" w:rsidRPr="00734475" w:rsidP="004C41F7" w14:paraId="4E784844" w14:textId="66BD8F0C">
            <w:pPr>
              <w:pStyle w:val="TableParagraph"/>
              <w:spacing w:before="0"/>
              <w:ind w:right="96"/>
              <w:jc w:val="center"/>
              <w:rPr>
                <w:i/>
                <w:iCs/>
                <w:sz w:val="20"/>
                <w:szCs w:val="20"/>
              </w:rPr>
            </w:pPr>
            <w:r w:rsidRPr="00734475">
              <w:rPr>
                <w:i/>
                <w:iCs/>
                <w:sz w:val="20"/>
                <w:szCs w:val="20"/>
              </w:rPr>
              <w:t>(c = a x b)</w:t>
            </w:r>
          </w:p>
        </w:tc>
      </w:tr>
      <w:tr w14:paraId="68B5FFC2" w14:textId="16E6FE48" w:rsidTr="006D599A">
        <w:tblPrEx>
          <w:tblW w:w="7640" w:type="dxa"/>
          <w:jc w:val="center"/>
          <w:tblLayout w:type="fixed"/>
          <w:tblCellMar>
            <w:left w:w="0" w:type="dxa"/>
            <w:right w:w="0" w:type="dxa"/>
          </w:tblCellMar>
          <w:tblLook w:val="01E0"/>
        </w:tblPrEx>
        <w:trPr>
          <w:trHeight w:hRule="exact" w:val="620"/>
          <w:jc w:val="center"/>
        </w:trPr>
        <w:tc>
          <w:tcPr>
            <w:tcW w:w="3230" w:type="dxa"/>
            <w:vAlign w:val="center"/>
          </w:tcPr>
          <w:p w:rsidR="004C41F7" w:rsidRPr="001224BF" w:rsidP="009C2348" w14:paraId="2E6C94F4" w14:textId="64CADFB8">
            <w:pPr>
              <w:pStyle w:val="TableParagraph"/>
              <w:spacing w:line="247" w:lineRule="auto"/>
              <w:ind w:left="98" w:right="585"/>
              <w:rPr>
                <w:sz w:val="20"/>
                <w:szCs w:val="20"/>
              </w:rPr>
            </w:pPr>
            <w:r w:rsidRPr="001224BF">
              <w:rPr>
                <w:sz w:val="20"/>
                <w:szCs w:val="20"/>
              </w:rPr>
              <w:t xml:space="preserve">Senior </w:t>
            </w:r>
            <w:r w:rsidRPr="001224BF">
              <w:rPr>
                <w:sz w:val="20"/>
                <w:szCs w:val="20"/>
              </w:rPr>
              <w:t xml:space="preserve">Administrator (BLS </w:t>
            </w:r>
            <w:r w:rsidRPr="001224BF" w:rsidR="001D762D">
              <w:rPr>
                <w:sz w:val="20"/>
                <w:szCs w:val="20"/>
              </w:rPr>
              <w:t xml:space="preserve">Occ. </w:t>
            </w:r>
            <w:r w:rsidRPr="001224BF">
              <w:rPr>
                <w:sz w:val="20"/>
                <w:szCs w:val="20"/>
              </w:rPr>
              <w:t>Code 11-9111)</w:t>
            </w:r>
          </w:p>
        </w:tc>
        <w:tc>
          <w:tcPr>
            <w:tcW w:w="1350" w:type="dxa"/>
            <w:vAlign w:val="center"/>
          </w:tcPr>
          <w:p w:rsidR="004C41F7" w:rsidRPr="001224BF" w:rsidP="004C41F7" w14:paraId="557C0E18" w14:textId="57F229B9">
            <w:pPr>
              <w:pStyle w:val="TableParagraph"/>
              <w:spacing w:before="0"/>
              <w:ind w:right="96"/>
              <w:jc w:val="center"/>
              <w:rPr>
                <w:sz w:val="20"/>
                <w:szCs w:val="20"/>
              </w:rPr>
            </w:pPr>
            <w:r w:rsidRPr="001224BF">
              <w:rPr>
                <w:sz w:val="20"/>
                <w:szCs w:val="20"/>
              </w:rPr>
              <w:t>$144</w:t>
            </w:r>
          </w:p>
        </w:tc>
        <w:tc>
          <w:tcPr>
            <w:tcW w:w="1499" w:type="dxa"/>
            <w:vAlign w:val="center"/>
          </w:tcPr>
          <w:p w:rsidR="004C41F7" w:rsidRPr="001224BF" w:rsidP="004C41F7" w14:paraId="096B349D" w14:textId="3D553904">
            <w:pPr>
              <w:pStyle w:val="TableParagraph"/>
              <w:spacing w:before="0"/>
              <w:ind w:right="96"/>
              <w:jc w:val="center"/>
              <w:rPr>
                <w:sz w:val="20"/>
                <w:szCs w:val="20"/>
              </w:rPr>
            </w:pPr>
            <w:r w:rsidRPr="001224BF">
              <w:rPr>
                <w:sz w:val="20"/>
                <w:szCs w:val="20"/>
              </w:rPr>
              <w:t>0.5</w:t>
            </w:r>
          </w:p>
        </w:tc>
        <w:tc>
          <w:tcPr>
            <w:tcW w:w="1561" w:type="dxa"/>
            <w:vAlign w:val="center"/>
          </w:tcPr>
          <w:p w:rsidR="004C41F7" w:rsidRPr="001224BF" w:rsidP="004C41F7" w14:paraId="2F97AC33" w14:textId="29A5887F">
            <w:pPr>
              <w:pStyle w:val="TableParagraph"/>
              <w:spacing w:before="0"/>
              <w:ind w:right="96"/>
              <w:jc w:val="center"/>
              <w:rPr>
                <w:sz w:val="20"/>
                <w:szCs w:val="20"/>
              </w:rPr>
            </w:pPr>
            <w:r w:rsidRPr="001224BF">
              <w:rPr>
                <w:sz w:val="20"/>
                <w:szCs w:val="20"/>
              </w:rPr>
              <w:t>$72</w:t>
            </w:r>
          </w:p>
        </w:tc>
      </w:tr>
      <w:tr w14:paraId="5858974A" w14:textId="1B639ABF" w:rsidTr="006D599A">
        <w:tblPrEx>
          <w:tblW w:w="7640" w:type="dxa"/>
          <w:jc w:val="center"/>
          <w:tblLayout w:type="fixed"/>
          <w:tblCellMar>
            <w:left w:w="0" w:type="dxa"/>
            <w:right w:w="0" w:type="dxa"/>
          </w:tblCellMar>
          <w:tblLook w:val="01E0"/>
        </w:tblPrEx>
        <w:trPr>
          <w:trHeight w:hRule="exact" w:val="593"/>
          <w:jc w:val="center"/>
        </w:trPr>
        <w:tc>
          <w:tcPr>
            <w:tcW w:w="3230" w:type="dxa"/>
            <w:vAlign w:val="center"/>
          </w:tcPr>
          <w:p w:rsidR="002F604F" w:rsidRPr="001224BF" w:rsidP="009C2348" w14:paraId="2921B083" w14:textId="2488319D">
            <w:pPr>
              <w:pStyle w:val="TableParagraph"/>
              <w:ind w:left="98"/>
              <w:rPr>
                <w:sz w:val="20"/>
                <w:szCs w:val="20"/>
              </w:rPr>
            </w:pPr>
            <w:r w:rsidRPr="001224BF">
              <w:rPr>
                <w:sz w:val="20"/>
                <w:szCs w:val="20"/>
              </w:rPr>
              <w:t>Administrative Assistan</w:t>
            </w:r>
            <w:r w:rsidRPr="001224BF" w:rsidR="001D762D">
              <w:rPr>
                <w:sz w:val="20"/>
                <w:szCs w:val="20"/>
              </w:rPr>
              <w:t>t (BLS Occ. Code 43-6013)</w:t>
            </w:r>
          </w:p>
        </w:tc>
        <w:tc>
          <w:tcPr>
            <w:tcW w:w="1350" w:type="dxa"/>
            <w:vAlign w:val="center"/>
          </w:tcPr>
          <w:p w:rsidR="004C41F7" w:rsidRPr="001224BF" w:rsidP="004C41F7" w14:paraId="0C7D4ECF" w14:textId="6F36D59F">
            <w:pPr>
              <w:pStyle w:val="TableParagraph"/>
              <w:ind w:right="96"/>
              <w:jc w:val="center"/>
              <w:rPr>
                <w:sz w:val="20"/>
                <w:szCs w:val="20"/>
              </w:rPr>
            </w:pPr>
            <w:r w:rsidRPr="001224BF">
              <w:rPr>
                <w:sz w:val="20"/>
                <w:szCs w:val="20"/>
              </w:rPr>
              <w:t>$46</w:t>
            </w:r>
          </w:p>
        </w:tc>
        <w:tc>
          <w:tcPr>
            <w:tcW w:w="1499" w:type="dxa"/>
            <w:vAlign w:val="center"/>
          </w:tcPr>
          <w:p w:rsidR="004C41F7" w:rsidRPr="006D09DE" w:rsidP="004C41F7" w14:paraId="3E451E09" w14:textId="519063B4">
            <w:pPr>
              <w:pStyle w:val="TableParagraph"/>
              <w:ind w:right="96"/>
              <w:jc w:val="center"/>
              <w:rPr>
                <w:sz w:val="20"/>
                <w:szCs w:val="20"/>
              </w:rPr>
            </w:pPr>
            <w:r w:rsidRPr="006D09DE">
              <w:rPr>
                <w:sz w:val="20"/>
                <w:szCs w:val="20"/>
              </w:rPr>
              <w:t>2.5</w:t>
            </w:r>
          </w:p>
        </w:tc>
        <w:tc>
          <w:tcPr>
            <w:tcW w:w="1561" w:type="dxa"/>
            <w:vAlign w:val="center"/>
          </w:tcPr>
          <w:p w:rsidR="004C41F7" w:rsidRPr="006D09DE" w:rsidP="004C41F7" w14:paraId="7C9E1A01" w14:textId="2AF1FF51">
            <w:pPr>
              <w:pStyle w:val="TableParagraph"/>
              <w:ind w:right="96"/>
              <w:jc w:val="center"/>
              <w:rPr>
                <w:sz w:val="20"/>
                <w:szCs w:val="20"/>
              </w:rPr>
            </w:pPr>
            <w:r w:rsidRPr="006D09DE">
              <w:rPr>
                <w:sz w:val="20"/>
                <w:szCs w:val="20"/>
              </w:rPr>
              <w:t>$115</w:t>
            </w:r>
          </w:p>
        </w:tc>
      </w:tr>
      <w:tr w14:paraId="7973CC84" w14:textId="3AA49064" w:rsidTr="006D599A">
        <w:tblPrEx>
          <w:tblW w:w="7640" w:type="dxa"/>
          <w:jc w:val="center"/>
          <w:tblLayout w:type="fixed"/>
          <w:tblCellMar>
            <w:left w:w="0" w:type="dxa"/>
            <w:right w:w="0" w:type="dxa"/>
          </w:tblCellMar>
          <w:tblLook w:val="01E0"/>
        </w:tblPrEx>
        <w:trPr>
          <w:trHeight w:hRule="exact" w:val="575"/>
          <w:jc w:val="center"/>
        </w:trPr>
        <w:tc>
          <w:tcPr>
            <w:tcW w:w="3230" w:type="dxa"/>
            <w:shd w:val="clear" w:color="auto" w:fill="F2F2F2" w:themeFill="background1" w:themeFillShade="F2"/>
            <w:vAlign w:val="center"/>
          </w:tcPr>
          <w:p w:rsidR="004C41F7" w:rsidRPr="00734475" w:rsidP="009C2348" w14:paraId="59B0E6B2" w14:textId="60BE818E">
            <w:pPr>
              <w:pStyle w:val="TableParagraph"/>
              <w:ind w:left="98"/>
              <w:rPr>
                <w:b/>
                <w:bCs/>
                <w:sz w:val="20"/>
                <w:szCs w:val="20"/>
              </w:rPr>
            </w:pPr>
            <w:r w:rsidRPr="00734475">
              <w:rPr>
                <w:b/>
                <w:bCs/>
                <w:sz w:val="20"/>
                <w:szCs w:val="20"/>
              </w:rPr>
              <w:t xml:space="preserve">Burden hours and cost per </w:t>
            </w:r>
            <w:r w:rsidR="006D599A">
              <w:rPr>
                <w:b/>
                <w:bCs/>
                <w:sz w:val="20"/>
                <w:szCs w:val="20"/>
              </w:rPr>
              <w:t xml:space="preserve">terminated </w:t>
            </w:r>
            <w:r w:rsidRPr="00734475">
              <w:rPr>
                <w:b/>
                <w:bCs/>
                <w:sz w:val="20"/>
                <w:szCs w:val="20"/>
              </w:rPr>
              <w:t>transplant program</w:t>
            </w:r>
          </w:p>
        </w:tc>
        <w:tc>
          <w:tcPr>
            <w:tcW w:w="1350" w:type="dxa"/>
            <w:shd w:val="clear" w:color="auto" w:fill="F2F2F2" w:themeFill="background1" w:themeFillShade="F2"/>
            <w:vAlign w:val="center"/>
          </w:tcPr>
          <w:p w:rsidR="004C41F7" w:rsidRPr="00734475" w:rsidP="004C41F7" w14:paraId="728F1B52" w14:textId="08CC1686">
            <w:pPr>
              <w:jc w:val="center"/>
              <w:rPr>
                <w:b/>
                <w:bCs/>
                <w:sz w:val="20"/>
                <w:szCs w:val="20"/>
              </w:rPr>
            </w:pPr>
          </w:p>
        </w:tc>
        <w:tc>
          <w:tcPr>
            <w:tcW w:w="1499" w:type="dxa"/>
            <w:shd w:val="clear" w:color="auto" w:fill="F2F2F2" w:themeFill="background1" w:themeFillShade="F2"/>
            <w:vAlign w:val="center"/>
          </w:tcPr>
          <w:p w:rsidR="004C41F7" w:rsidRPr="00734475" w:rsidP="004C41F7" w14:paraId="7717FEC3" w14:textId="6113D3DF">
            <w:pPr>
              <w:pStyle w:val="TableParagraph"/>
              <w:ind w:right="96"/>
              <w:jc w:val="center"/>
              <w:rPr>
                <w:b/>
                <w:bCs/>
                <w:sz w:val="20"/>
                <w:szCs w:val="20"/>
              </w:rPr>
            </w:pPr>
            <w:r w:rsidRPr="00734475">
              <w:rPr>
                <w:b/>
                <w:bCs/>
                <w:sz w:val="20"/>
                <w:szCs w:val="20"/>
              </w:rPr>
              <w:t>3</w:t>
            </w:r>
          </w:p>
        </w:tc>
        <w:tc>
          <w:tcPr>
            <w:tcW w:w="1561" w:type="dxa"/>
            <w:shd w:val="clear" w:color="auto" w:fill="F2F2F2" w:themeFill="background1" w:themeFillShade="F2"/>
            <w:vAlign w:val="center"/>
          </w:tcPr>
          <w:p w:rsidR="004C41F7" w:rsidRPr="00734475" w:rsidP="004C41F7" w14:paraId="6E958748" w14:textId="1CE6C845">
            <w:pPr>
              <w:pStyle w:val="TableParagraph"/>
              <w:ind w:right="96"/>
              <w:jc w:val="center"/>
              <w:rPr>
                <w:b/>
                <w:bCs/>
                <w:sz w:val="20"/>
                <w:szCs w:val="20"/>
              </w:rPr>
            </w:pPr>
            <w:r w:rsidRPr="00734475">
              <w:rPr>
                <w:b/>
                <w:bCs/>
                <w:sz w:val="20"/>
                <w:szCs w:val="20"/>
              </w:rPr>
              <w:t>$187</w:t>
            </w:r>
          </w:p>
        </w:tc>
      </w:tr>
    </w:tbl>
    <w:p w:rsidR="00521B1A" w:rsidP="002E0114" w14:paraId="0A9C4C56" w14:textId="77777777">
      <w:pPr>
        <w:pStyle w:val="BodyText"/>
        <w:ind w:right="176"/>
      </w:pPr>
    </w:p>
    <w:p w:rsidR="007D39B3" w:rsidP="00F474C4" w14:paraId="0CC6EA64" w14:textId="6A791845">
      <w:pPr>
        <w:pStyle w:val="BodyText"/>
        <w:ind w:right="176"/>
      </w:pPr>
      <w:r w:rsidRPr="009231C6">
        <w:t>Based on five-year historical data (see Table 1)</w:t>
      </w:r>
      <w:r w:rsidR="001D762D">
        <w:t>,</w:t>
      </w:r>
      <w:r w:rsidRPr="009231C6">
        <w:t xml:space="preserve"> </w:t>
      </w:r>
      <w:r w:rsidRPr="009231C6">
        <w:t>we estimate that two</w:t>
      </w:r>
      <w:r w:rsidR="00D20021">
        <w:t xml:space="preserve"> (2)</w:t>
      </w:r>
      <w:r w:rsidRPr="009231C6">
        <w:t xml:space="preserve"> </w:t>
      </w:r>
      <w:r w:rsidRPr="009231C6">
        <w:t>transplant</w:t>
      </w:r>
      <w:r>
        <w:t xml:space="preserve"> programs per year will lose their Medicare certification over the next three years. </w:t>
      </w:r>
      <w:r w:rsidRPr="00CC03EB">
        <w:t>Because fewer than ten</w:t>
      </w:r>
      <w:r>
        <w:t xml:space="preserve"> (10)</w:t>
      </w:r>
      <w:r w:rsidRPr="00CC03EB">
        <w:t xml:space="preserve"> transplant programs annually </w:t>
      </w:r>
      <w:r>
        <w:t>m</w:t>
      </w:r>
      <w:r w:rsidR="00D20021">
        <w:t xml:space="preserve">ay need to </w:t>
      </w:r>
      <w:r>
        <w:t>comply with the requirements under §§ 482.102(c)(2) and (c)(3) to notify patients on their waiting list of the program’s termination of Medicare certification</w:t>
      </w:r>
      <w:r w:rsidRPr="00CC03EB">
        <w:t xml:space="preserve">, the burden </w:t>
      </w:r>
      <w:r w:rsidR="00D20021">
        <w:t>associated with</w:t>
      </w:r>
      <w:r>
        <w:t xml:space="preserve"> </w:t>
      </w:r>
      <w:r w:rsidR="00D20021">
        <w:t>this activity</w:t>
      </w:r>
      <w:r>
        <w:t xml:space="preserve"> </w:t>
      </w:r>
      <w:r w:rsidRPr="00CC03EB">
        <w:t xml:space="preserve">is exempt from the PRA under </w:t>
      </w:r>
      <w:hyperlink r:id="rId13" w:anchor="p-1320.3(c)" w:tgtFrame="_blank" w:history="1">
        <w:r w:rsidRPr="009C2348">
          <w:t>5 CFR §1320.3(c)</w:t>
        </w:r>
      </w:hyperlink>
      <w:r w:rsidRPr="00CC03EB">
        <w:t>(4).</w:t>
      </w:r>
    </w:p>
    <w:p w:rsidR="00A7591C" w:rsidRPr="00CC03EB" w:rsidP="00F474C4" w14:paraId="32E9704B" w14:textId="77777777">
      <w:pPr>
        <w:pStyle w:val="BodyText"/>
        <w:ind w:right="176"/>
      </w:pPr>
    </w:p>
    <w:p w:rsidR="004716A7" w:rsidRPr="009C2348" w:rsidP="002E0114" w14:paraId="53E72949" w14:textId="27589C35">
      <w:pPr>
        <w:pStyle w:val="Heading6"/>
        <w:spacing w:before="0"/>
      </w:pPr>
      <w:bookmarkStart w:id="29" w:name="Section_488.61(a)_and_(b)_Special_proced"/>
      <w:bookmarkEnd w:id="29"/>
      <w:r w:rsidRPr="009C2348">
        <w:t xml:space="preserve">§ </w:t>
      </w:r>
      <w:r w:rsidRPr="009C2348">
        <w:t>482.104 –</w:t>
      </w:r>
      <w:r w:rsidRPr="009C2348" w:rsidR="001224BF">
        <w:t xml:space="preserve"> </w:t>
      </w:r>
      <w:r w:rsidRPr="009C2348">
        <w:t xml:space="preserve">Additional </w:t>
      </w:r>
      <w:r w:rsidRPr="009C2348" w:rsidR="00810DD8">
        <w:t>R</w:t>
      </w:r>
      <w:r w:rsidRPr="009C2348">
        <w:t xml:space="preserve">equirements for </w:t>
      </w:r>
      <w:r w:rsidRPr="009C2348" w:rsidR="00810DD8">
        <w:t>K</w:t>
      </w:r>
      <w:r w:rsidRPr="009C2348">
        <w:t xml:space="preserve">idney </w:t>
      </w:r>
      <w:r w:rsidRPr="009C2348" w:rsidR="00810DD8">
        <w:t>T</w:t>
      </w:r>
      <w:r w:rsidRPr="009C2348">
        <w:t xml:space="preserve">ransplant </w:t>
      </w:r>
      <w:r w:rsidRPr="009C2348" w:rsidR="00810DD8">
        <w:t>P</w:t>
      </w:r>
      <w:r w:rsidRPr="009C2348">
        <w:t>rograms</w:t>
      </w:r>
    </w:p>
    <w:p w:rsidR="00810DD8" w:rsidP="00F474C4" w14:paraId="1853DE42" w14:textId="3218F4A0">
      <w:pPr>
        <w:pStyle w:val="BodyText"/>
        <w:ind w:right="176"/>
        <w:rPr>
          <w:szCs w:val="20"/>
        </w:rPr>
      </w:pPr>
      <w:r>
        <w:rPr>
          <w:szCs w:val="20"/>
        </w:rPr>
        <w:t>S</w:t>
      </w:r>
      <w:r w:rsidRPr="00D557B4">
        <w:rPr>
          <w:szCs w:val="20"/>
        </w:rPr>
        <w:t xml:space="preserve">ection 482.104(a) </w:t>
      </w:r>
      <w:r>
        <w:rPr>
          <w:szCs w:val="20"/>
        </w:rPr>
        <w:t>requires k</w:t>
      </w:r>
      <w:r w:rsidRPr="00D557B4">
        <w:rPr>
          <w:szCs w:val="20"/>
        </w:rPr>
        <w:t xml:space="preserve">idney transplant </w:t>
      </w:r>
      <w:r>
        <w:rPr>
          <w:szCs w:val="20"/>
        </w:rPr>
        <w:t>programs to</w:t>
      </w:r>
      <w:r w:rsidRPr="00D557B4">
        <w:rPr>
          <w:szCs w:val="20"/>
        </w:rPr>
        <w:t xml:space="preserve"> have written policies and procedures for ongoing communications with patients' local dialysis facilities. </w:t>
      </w:r>
      <w:r>
        <w:rPr>
          <w:szCs w:val="20"/>
        </w:rPr>
        <w:t>We continue to assume t</w:t>
      </w:r>
      <w:r w:rsidRPr="00D557B4">
        <w:rPr>
          <w:szCs w:val="20"/>
        </w:rPr>
        <w:t>he burden is</w:t>
      </w:r>
      <w:r>
        <w:rPr>
          <w:szCs w:val="20"/>
        </w:rPr>
        <w:t xml:space="preserve"> limited to</w:t>
      </w:r>
      <w:r w:rsidRPr="00D557B4">
        <w:rPr>
          <w:szCs w:val="20"/>
        </w:rPr>
        <w:t xml:space="preserve"> the time and effort</w:t>
      </w:r>
      <w:r>
        <w:rPr>
          <w:szCs w:val="20"/>
        </w:rPr>
        <w:t xml:space="preserve"> needed</w:t>
      </w:r>
      <w:r w:rsidR="001224BF">
        <w:rPr>
          <w:szCs w:val="20"/>
        </w:rPr>
        <w:t xml:space="preserve"> </w:t>
      </w:r>
      <w:r w:rsidRPr="00D557B4">
        <w:rPr>
          <w:szCs w:val="20"/>
        </w:rPr>
        <w:t xml:space="preserve">to develop written </w:t>
      </w:r>
      <w:r w:rsidRPr="00D557B4">
        <w:rPr>
          <w:szCs w:val="20"/>
        </w:rPr>
        <w:t xml:space="preserve">communication </w:t>
      </w:r>
      <w:r w:rsidRPr="00D557B4">
        <w:rPr>
          <w:szCs w:val="20"/>
        </w:rPr>
        <w:t xml:space="preserve">policies and procedures. We believe most </w:t>
      </w:r>
      <w:r>
        <w:rPr>
          <w:szCs w:val="20"/>
        </w:rPr>
        <w:t xml:space="preserve">kidney transplant programs </w:t>
      </w:r>
      <w:r>
        <w:rPr>
          <w:szCs w:val="20"/>
        </w:rPr>
        <w:t>will</w:t>
      </w:r>
      <w:r>
        <w:rPr>
          <w:szCs w:val="20"/>
        </w:rPr>
        <w:t xml:space="preserve"> rely on</w:t>
      </w:r>
      <w:r w:rsidRPr="00D557B4">
        <w:rPr>
          <w:szCs w:val="20"/>
        </w:rPr>
        <w:t xml:space="preserve"> their clinical </w:t>
      </w:r>
      <w:r>
        <w:rPr>
          <w:szCs w:val="20"/>
        </w:rPr>
        <w:t>Transplant</w:t>
      </w:r>
      <w:r w:rsidRPr="00D557B4">
        <w:rPr>
          <w:szCs w:val="20"/>
        </w:rPr>
        <w:t xml:space="preserve"> </w:t>
      </w:r>
      <w:r>
        <w:rPr>
          <w:szCs w:val="20"/>
        </w:rPr>
        <w:t>C</w:t>
      </w:r>
      <w:r w:rsidRPr="00D557B4">
        <w:rPr>
          <w:szCs w:val="20"/>
        </w:rPr>
        <w:t>oordinator</w:t>
      </w:r>
      <w:r>
        <w:rPr>
          <w:szCs w:val="20"/>
        </w:rPr>
        <w:t xml:space="preserve"> </w:t>
      </w:r>
      <w:r w:rsidRPr="00D557B4">
        <w:rPr>
          <w:szCs w:val="20"/>
        </w:rPr>
        <w:t xml:space="preserve">to </w:t>
      </w:r>
      <w:r>
        <w:rPr>
          <w:szCs w:val="20"/>
        </w:rPr>
        <w:t xml:space="preserve">serve </w:t>
      </w:r>
      <w:r w:rsidRPr="00D557B4">
        <w:rPr>
          <w:szCs w:val="20"/>
        </w:rPr>
        <w:t xml:space="preserve">as a liaison between </w:t>
      </w:r>
      <w:r>
        <w:rPr>
          <w:szCs w:val="20"/>
        </w:rPr>
        <w:t>the program</w:t>
      </w:r>
      <w:r w:rsidRPr="00D557B4">
        <w:rPr>
          <w:szCs w:val="20"/>
        </w:rPr>
        <w:t xml:space="preserve"> and dialysis facilities</w:t>
      </w:r>
      <w:r w:rsidR="009231C6">
        <w:rPr>
          <w:szCs w:val="20"/>
        </w:rPr>
        <w:t xml:space="preserve"> and are therefore exempt </w:t>
      </w:r>
      <w:r>
        <w:rPr>
          <w:szCs w:val="20"/>
        </w:rPr>
        <w:t xml:space="preserve">under </w:t>
      </w:r>
      <w:r>
        <w:rPr>
          <w:szCs w:val="20"/>
        </w:rPr>
        <w:t xml:space="preserve">42 CFR </w:t>
      </w:r>
      <w:r w:rsidRPr="00D557B4">
        <w:rPr>
          <w:szCs w:val="20"/>
        </w:rPr>
        <w:t>§ 482.98(c)(2</w:t>
      </w:r>
      <w:r>
        <w:rPr>
          <w:szCs w:val="20"/>
        </w:rPr>
        <w:t xml:space="preserve">). </w:t>
      </w:r>
    </w:p>
    <w:p w:rsidR="00810DD8" w:rsidP="00F474C4" w14:paraId="6A2DE995" w14:textId="77777777">
      <w:pPr>
        <w:pStyle w:val="BodyText"/>
        <w:ind w:right="176"/>
        <w:rPr>
          <w:szCs w:val="20"/>
        </w:rPr>
      </w:pPr>
    </w:p>
    <w:p w:rsidR="001224BF" w:rsidP="00F474C4" w14:paraId="02EE13E1" w14:textId="27E41162">
      <w:pPr>
        <w:pStyle w:val="BodyText"/>
        <w:ind w:right="176"/>
        <w:rPr>
          <w:szCs w:val="20"/>
        </w:rPr>
      </w:pPr>
      <w:r w:rsidRPr="00D557B4">
        <w:rPr>
          <w:szCs w:val="20"/>
        </w:rPr>
        <w:t xml:space="preserve">We </w:t>
      </w:r>
      <w:r w:rsidR="00810DD8">
        <w:rPr>
          <w:szCs w:val="20"/>
        </w:rPr>
        <w:t xml:space="preserve">also </w:t>
      </w:r>
      <w:r w:rsidRPr="00D557B4">
        <w:rPr>
          <w:szCs w:val="20"/>
        </w:rPr>
        <w:t>believe</w:t>
      </w:r>
      <w:r w:rsidR="00810DD8">
        <w:rPr>
          <w:szCs w:val="20"/>
        </w:rPr>
        <w:t xml:space="preserve"> these </w:t>
      </w:r>
      <w:r w:rsidRPr="00D557B4">
        <w:rPr>
          <w:szCs w:val="20"/>
        </w:rPr>
        <w:t>polic</w:t>
      </w:r>
      <w:r w:rsidR="00810DD8">
        <w:rPr>
          <w:szCs w:val="20"/>
        </w:rPr>
        <w:t>ies</w:t>
      </w:r>
      <w:r w:rsidRPr="00D557B4">
        <w:rPr>
          <w:szCs w:val="20"/>
        </w:rPr>
        <w:t xml:space="preserve"> and procedures will be </w:t>
      </w:r>
      <w:r w:rsidR="00810DD8">
        <w:rPr>
          <w:szCs w:val="20"/>
        </w:rPr>
        <w:t xml:space="preserve">relatively simple and that </w:t>
      </w:r>
      <w:r w:rsidRPr="00D557B4">
        <w:rPr>
          <w:szCs w:val="20"/>
        </w:rPr>
        <w:t xml:space="preserve">the </w:t>
      </w:r>
      <w:r>
        <w:rPr>
          <w:szCs w:val="20"/>
        </w:rPr>
        <w:t>Transplant C</w:t>
      </w:r>
      <w:r w:rsidRPr="00D557B4">
        <w:rPr>
          <w:szCs w:val="20"/>
        </w:rPr>
        <w:t>oordinator</w:t>
      </w:r>
      <w:r>
        <w:rPr>
          <w:szCs w:val="20"/>
        </w:rPr>
        <w:t xml:space="preserve"> </w:t>
      </w:r>
      <w:r w:rsidR="00810DD8">
        <w:rPr>
          <w:szCs w:val="20"/>
        </w:rPr>
        <w:t>can quickly document existing practices in written form.</w:t>
      </w:r>
      <w:r w:rsidR="00863E7C">
        <w:rPr>
          <w:szCs w:val="20"/>
        </w:rPr>
        <w:t xml:space="preserve"> </w:t>
      </w:r>
      <w:r w:rsidR="00810DD8">
        <w:rPr>
          <w:szCs w:val="20"/>
        </w:rPr>
        <w:t xml:space="preserve">In addition, many kidney transplant programs may already have </w:t>
      </w:r>
      <w:r w:rsidRPr="00D557B4">
        <w:rPr>
          <w:szCs w:val="20"/>
        </w:rPr>
        <w:t xml:space="preserve">such </w:t>
      </w:r>
      <w:r w:rsidR="00810DD8">
        <w:rPr>
          <w:szCs w:val="20"/>
        </w:rPr>
        <w:t xml:space="preserve">communication procedures documented. Therefore, </w:t>
      </w:r>
      <w:r>
        <w:rPr>
          <w:szCs w:val="20"/>
        </w:rPr>
        <w:t xml:space="preserve">we continue to assume that </w:t>
      </w:r>
      <w:r w:rsidRPr="00D557B4">
        <w:rPr>
          <w:szCs w:val="20"/>
        </w:rPr>
        <w:t xml:space="preserve">complying with this requirement </w:t>
      </w:r>
      <w:r w:rsidR="00B2756E">
        <w:rPr>
          <w:szCs w:val="20"/>
        </w:rPr>
        <w:t xml:space="preserve">imposes </w:t>
      </w:r>
      <w:r w:rsidRPr="00D557B4">
        <w:rPr>
          <w:szCs w:val="20"/>
        </w:rPr>
        <w:t xml:space="preserve">minimal burden </w:t>
      </w:r>
      <w:r w:rsidR="00B2756E">
        <w:rPr>
          <w:szCs w:val="20"/>
        </w:rPr>
        <w:t xml:space="preserve">on both </w:t>
      </w:r>
      <w:r>
        <w:rPr>
          <w:szCs w:val="20"/>
        </w:rPr>
        <w:t>new and existing kidney transplant programs</w:t>
      </w:r>
      <w:r w:rsidRPr="00D557B4">
        <w:rPr>
          <w:szCs w:val="20"/>
        </w:rPr>
        <w:t>.</w:t>
      </w:r>
    </w:p>
    <w:p w:rsidR="008D6D82" w:rsidP="00F474C4" w14:paraId="5527D0A3" w14:textId="77777777">
      <w:pPr>
        <w:pStyle w:val="BodyText"/>
        <w:ind w:right="176"/>
        <w:rPr>
          <w:szCs w:val="20"/>
        </w:rPr>
      </w:pPr>
    </w:p>
    <w:p w:rsidR="00B50C3D" w:rsidRPr="00FF5B7E" w:rsidP="002E0114" w14:paraId="5B5B1E27" w14:textId="18D79B53">
      <w:pPr>
        <w:pStyle w:val="Heading6"/>
        <w:spacing w:before="0"/>
      </w:pPr>
      <w:r w:rsidRPr="00FF5B7E">
        <w:t>§§</w:t>
      </w:r>
      <w:r w:rsidR="00AB098A">
        <w:t xml:space="preserve"> </w:t>
      </w:r>
      <w:r w:rsidRPr="00FF5B7E">
        <w:t xml:space="preserve">488.61(a) &amp; (b) – </w:t>
      </w:r>
      <w:r w:rsidRPr="00FF5B7E" w:rsidR="00B85251">
        <w:t>Request</w:t>
      </w:r>
      <w:r w:rsidRPr="00FF5B7E" w:rsidR="00D764F5">
        <w:t xml:space="preserve"> for</w:t>
      </w:r>
      <w:r w:rsidRPr="00FF5B7E" w:rsidR="00B85251">
        <w:t xml:space="preserve"> </w:t>
      </w:r>
      <w:r w:rsidRPr="00FF5B7E" w:rsidR="00D764F5">
        <w:t>I</w:t>
      </w:r>
      <w:r w:rsidRPr="00FF5B7E" w:rsidR="00B85251">
        <w:t>nitial</w:t>
      </w:r>
      <w:r w:rsidRPr="00FF5B7E" w:rsidR="00863E7C">
        <w:t xml:space="preserve"> </w:t>
      </w:r>
      <w:r w:rsidRPr="00FF5B7E">
        <w:t xml:space="preserve">Medicare </w:t>
      </w:r>
      <w:r w:rsidRPr="00FF5B7E" w:rsidR="00D764F5">
        <w:t>C</w:t>
      </w:r>
      <w:r w:rsidRPr="00FF5B7E" w:rsidR="00B85251">
        <w:t>ertification</w:t>
      </w:r>
      <w:r w:rsidRPr="00FF5B7E" w:rsidR="00D764F5">
        <w:t xml:space="preserve"> Approval</w:t>
      </w:r>
    </w:p>
    <w:p w:rsidR="008C259A" w:rsidRPr="00661D15" w:rsidP="00F474C4" w14:paraId="78FF1C3E" w14:textId="68541A44">
      <w:pPr>
        <w:pStyle w:val="BodyText"/>
        <w:ind w:right="176"/>
      </w:pPr>
      <w:r w:rsidRPr="009C2348">
        <w:t>Section</w:t>
      </w:r>
      <w:r w:rsidRPr="009C2348" w:rsidR="00B50C3D">
        <w:t>s</w:t>
      </w:r>
      <w:r w:rsidRPr="009C2348">
        <w:t xml:space="preserve"> 488.61(a) and (b) </w:t>
      </w:r>
      <w:r w:rsidRPr="009C2348" w:rsidR="00E56E88">
        <w:t>specif</w:t>
      </w:r>
      <w:r w:rsidRPr="009C2348" w:rsidR="00B50C3D">
        <w:t>y</w:t>
      </w:r>
      <w:r w:rsidRPr="009C2348" w:rsidR="00E56E88">
        <w:t xml:space="preserve"> </w:t>
      </w:r>
      <w:r w:rsidRPr="009C2348" w:rsidR="00D764F5">
        <w:t xml:space="preserve">the requirements </w:t>
      </w:r>
      <w:r w:rsidRPr="009C2348" w:rsidR="00E56E88">
        <w:t xml:space="preserve">for </w:t>
      </w:r>
      <w:r w:rsidRPr="009C2348">
        <w:t xml:space="preserve">transplant </w:t>
      </w:r>
      <w:r w:rsidRPr="009C2348" w:rsidR="00672C4D">
        <w:t>programs</w:t>
      </w:r>
      <w:r w:rsidR="006210EC">
        <w:t xml:space="preserve"> </w:t>
      </w:r>
      <w:r w:rsidRPr="009C2348">
        <w:t>that</w:t>
      </w:r>
      <w:r w:rsidR="00863E7C">
        <w:t xml:space="preserve"> </w:t>
      </w:r>
      <w:r w:rsidRPr="00661D15" w:rsidR="00AB098A">
        <w:t>wish</w:t>
      </w:r>
      <w:r w:rsidRPr="009C2348" w:rsidR="00AB098A">
        <w:t xml:space="preserve"> to </w:t>
      </w:r>
      <w:r w:rsidRPr="00661D15" w:rsidR="00AB098A">
        <w:t>submit a request to CMS for Medicare approval</w:t>
      </w:r>
      <w:r w:rsidR="00AB098A">
        <w:t xml:space="preserve"> and </w:t>
      </w:r>
      <w:r w:rsidRPr="00661D15" w:rsidR="00863E7C">
        <w:t>were</w:t>
      </w:r>
      <w:r w:rsidRPr="009C2348" w:rsidR="00092EAF">
        <w:t xml:space="preserve"> not</w:t>
      </w:r>
      <w:r w:rsidRPr="00661D15" w:rsidR="00D764F5">
        <w:t xml:space="preserve"> </w:t>
      </w:r>
      <w:r w:rsidRPr="009C2348" w:rsidR="00092EAF">
        <w:t>Medicare</w:t>
      </w:r>
      <w:r w:rsidRPr="00661D15" w:rsidR="00D764F5">
        <w:t xml:space="preserve"> </w:t>
      </w:r>
      <w:r w:rsidRPr="009C2348" w:rsidR="00092EAF">
        <w:t>approved as of June 28, 2007</w:t>
      </w:r>
      <w:r w:rsidR="00AB098A">
        <w:t xml:space="preserve">. </w:t>
      </w:r>
      <w:r w:rsidRPr="00661D15">
        <w:t xml:space="preserve">The burden associated with this </w:t>
      </w:r>
      <w:r w:rsidRPr="00661D15" w:rsidR="00D764F5">
        <w:t xml:space="preserve">requirement is </w:t>
      </w:r>
      <w:r w:rsidRPr="00661D15">
        <w:t>the time</w:t>
      </w:r>
      <w:r w:rsidRPr="00661D15" w:rsidR="00D764F5">
        <w:t xml:space="preserve"> needed </w:t>
      </w:r>
      <w:r w:rsidRPr="00661D15">
        <w:t>to</w:t>
      </w:r>
      <w:r w:rsidR="006210EC">
        <w:t xml:space="preserve"> </w:t>
      </w:r>
      <w:r w:rsidRPr="00661D15">
        <w:t xml:space="preserve">prepare and submit </w:t>
      </w:r>
      <w:r w:rsidRPr="00661D15" w:rsidR="00D764F5">
        <w:t xml:space="preserve">a written request </w:t>
      </w:r>
      <w:r w:rsidRPr="00661D15">
        <w:t>to CMS</w:t>
      </w:r>
      <w:r w:rsidRPr="00661D15" w:rsidR="00D764F5">
        <w:t>, including</w:t>
      </w:r>
      <w:r w:rsidR="006210EC">
        <w:t xml:space="preserve"> </w:t>
      </w:r>
      <w:r w:rsidRPr="00661D15">
        <w:t>a statement from the O</w:t>
      </w:r>
      <w:r w:rsidRPr="00661D15" w:rsidR="00D764F5">
        <w:t xml:space="preserve">rgan Procurement and Transplantation </w:t>
      </w:r>
      <w:r w:rsidRPr="00661D15">
        <w:t>N</w:t>
      </w:r>
      <w:r w:rsidRPr="00661D15" w:rsidR="00D764F5">
        <w:t xml:space="preserve">etwork (OPTN) confirming </w:t>
      </w:r>
      <w:r w:rsidRPr="00661D15">
        <w:t xml:space="preserve">that the transplant program had complied with all </w:t>
      </w:r>
      <w:r w:rsidRPr="00661D15" w:rsidR="00D764F5">
        <w:t xml:space="preserve">applicable </w:t>
      </w:r>
      <w:r w:rsidRPr="00661D15">
        <w:t>data submission requirements.</w:t>
      </w:r>
    </w:p>
    <w:p w:rsidR="008C259A" w:rsidRPr="00661D15" w:rsidP="00F474C4" w14:paraId="414040AA" w14:textId="77777777">
      <w:pPr>
        <w:pStyle w:val="BodyText"/>
        <w:ind w:right="176"/>
      </w:pPr>
    </w:p>
    <w:p w:rsidR="006210EC" w:rsidP="00F474C4" w14:paraId="309B7466" w14:textId="3535018C">
      <w:pPr>
        <w:pStyle w:val="BodyText"/>
        <w:ind w:right="176"/>
      </w:pPr>
      <w:r>
        <w:t>As shown in Table 7, w</w:t>
      </w:r>
      <w:r w:rsidRPr="00661D15" w:rsidR="0052602B">
        <w:t xml:space="preserve">e </w:t>
      </w:r>
      <w:r w:rsidRPr="00661D15" w:rsidR="00271F53">
        <w:t xml:space="preserve">continue to </w:t>
      </w:r>
      <w:r w:rsidRPr="00661D15" w:rsidR="0052602B">
        <w:t xml:space="preserve">estimate that </w:t>
      </w:r>
      <w:r w:rsidRPr="00661D15" w:rsidR="00D764F5">
        <w:t>completing this request will require the following staff time:</w:t>
      </w:r>
      <w:r>
        <w:t xml:space="preserve"> </w:t>
      </w:r>
    </w:p>
    <w:p w:rsidR="006210EC" w:rsidP="00F474C4" w14:paraId="1F7B14A2" w14:textId="33B5CEC0">
      <w:pPr>
        <w:pStyle w:val="ListBullet"/>
        <w:numPr>
          <w:ilvl w:val="0"/>
          <w:numId w:val="32"/>
        </w:numPr>
        <w:rPr>
          <w:sz w:val="24"/>
          <w:szCs w:val="24"/>
        </w:rPr>
      </w:pPr>
      <w:r w:rsidRPr="00E60627">
        <w:rPr>
          <w:sz w:val="24"/>
          <w:szCs w:val="24"/>
        </w:rPr>
        <w:t>0</w:t>
      </w:r>
      <w:r w:rsidRPr="00E60627" w:rsidR="007D00CD">
        <w:rPr>
          <w:sz w:val="24"/>
          <w:szCs w:val="24"/>
        </w:rPr>
        <w:t>.5 hours</w:t>
      </w:r>
      <w:r w:rsidRPr="00E60627" w:rsidR="00271F53">
        <w:rPr>
          <w:sz w:val="24"/>
          <w:szCs w:val="24"/>
        </w:rPr>
        <w:t xml:space="preserve"> (30 minutes) </w:t>
      </w:r>
      <w:r w:rsidRPr="00E60627" w:rsidR="00D764F5">
        <w:rPr>
          <w:sz w:val="24"/>
          <w:szCs w:val="24"/>
        </w:rPr>
        <w:t>-</w:t>
      </w:r>
      <w:r w:rsidRPr="00E60627" w:rsidR="00271F53">
        <w:rPr>
          <w:sz w:val="24"/>
          <w:szCs w:val="24"/>
        </w:rPr>
        <w:t xml:space="preserve"> </w:t>
      </w:r>
      <w:r w:rsidRPr="00E60627" w:rsidR="007D00CD">
        <w:rPr>
          <w:sz w:val="24"/>
          <w:szCs w:val="24"/>
        </w:rPr>
        <w:t>M</w:t>
      </w:r>
      <w:r w:rsidRPr="00E60627" w:rsidR="0052602B">
        <w:rPr>
          <w:sz w:val="24"/>
          <w:szCs w:val="24"/>
        </w:rPr>
        <w:t xml:space="preserve">edical </w:t>
      </w:r>
      <w:r w:rsidRPr="00E60627" w:rsidR="007D00CD">
        <w:rPr>
          <w:sz w:val="24"/>
          <w:szCs w:val="24"/>
        </w:rPr>
        <w:t>D</w:t>
      </w:r>
      <w:r w:rsidRPr="00E60627" w:rsidR="0052602B">
        <w:rPr>
          <w:sz w:val="24"/>
          <w:szCs w:val="24"/>
        </w:rPr>
        <w:t>irector</w:t>
      </w:r>
    </w:p>
    <w:p w:rsidR="006210EC" w:rsidP="00F474C4" w14:paraId="2CE8E68B" w14:textId="7EAF6614">
      <w:pPr>
        <w:pStyle w:val="ListBullet"/>
        <w:numPr>
          <w:ilvl w:val="0"/>
          <w:numId w:val="32"/>
        </w:numPr>
        <w:rPr>
          <w:sz w:val="24"/>
          <w:szCs w:val="24"/>
        </w:rPr>
      </w:pPr>
      <w:r w:rsidRPr="00E60627">
        <w:rPr>
          <w:sz w:val="24"/>
          <w:szCs w:val="24"/>
        </w:rPr>
        <w:t>0.5</w:t>
      </w:r>
      <w:r w:rsidRPr="00E60627" w:rsidR="00827AF6">
        <w:rPr>
          <w:sz w:val="24"/>
          <w:szCs w:val="24"/>
        </w:rPr>
        <w:t xml:space="preserve"> </w:t>
      </w:r>
      <w:r w:rsidRPr="00E60627" w:rsidR="00271F53">
        <w:rPr>
          <w:sz w:val="24"/>
          <w:szCs w:val="24"/>
        </w:rPr>
        <w:t xml:space="preserve">hours </w:t>
      </w:r>
      <w:r w:rsidRPr="00E60627" w:rsidR="00827AF6">
        <w:rPr>
          <w:sz w:val="24"/>
          <w:szCs w:val="24"/>
        </w:rPr>
        <w:t>(30 minutes)</w:t>
      </w:r>
      <w:r w:rsidRPr="00E60627" w:rsidR="00D764F5">
        <w:rPr>
          <w:sz w:val="24"/>
          <w:szCs w:val="24"/>
        </w:rPr>
        <w:t xml:space="preserve"> </w:t>
      </w:r>
      <w:r w:rsidR="00AB098A">
        <w:rPr>
          <w:sz w:val="24"/>
          <w:szCs w:val="24"/>
        </w:rPr>
        <w:t xml:space="preserve">- </w:t>
      </w:r>
      <w:r w:rsidRPr="00E60627" w:rsidR="00271F53">
        <w:rPr>
          <w:sz w:val="24"/>
          <w:szCs w:val="24"/>
        </w:rPr>
        <w:t xml:space="preserve">Senior </w:t>
      </w:r>
      <w:r w:rsidRPr="00E60627" w:rsidR="007D00CD">
        <w:rPr>
          <w:sz w:val="24"/>
          <w:szCs w:val="24"/>
        </w:rPr>
        <w:t>A</w:t>
      </w:r>
      <w:r w:rsidRPr="00E60627" w:rsidR="0052602B">
        <w:rPr>
          <w:sz w:val="24"/>
          <w:szCs w:val="24"/>
        </w:rPr>
        <w:t>dministrator</w:t>
      </w:r>
      <w:r w:rsidRPr="006210EC">
        <w:rPr>
          <w:sz w:val="24"/>
          <w:szCs w:val="24"/>
        </w:rPr>
        <w:t xml:space="preserve"> </w:t>
      </w:r>
      <w:r w:rsidR="006D32B3">
        <w:rPr>
          <w:sz w:val="24"/>
          <w:szCs w:val="24"/>
        </w:rPr>
        <w:t xml:space="preserve"> </w:t>
      </w:r>
    </w:p>
    <w:p w:rsidR="006210EC" w:rsidP="00F474C4" w14:paraId="3B93D280" w14:textId="0B13997C">
      <w:pPr>
        <w:pStyle w:val="ListBullet"/>
        <w:numPr>
          <w:ilvl w:val="0"/>
          <w:numId w:val="32"/>
        </w:numPr>
        <w:rPr>
          <w:sz w:val="24"/>
          <w:szCs w:val="24"/>
        </w:rPr>
      </w:pPr>
      <w:r w:rsidRPr="00E60627">
        <w:rPr>
          <w:sz w:val="24"/>
          <w:szCs w:val="24"/>
        </w:rPr>
        <w:t>0</w:t>
      </w:r>
      <w:r w:rsidRPr="00E60627" w:rsidR="007D00CD">
        <w:rPr>
          <w:sz w:val="24"/>
          <w:szCs w:val="24"/>
        </w:rPr>
        <w:t xml:space="preserve">.75 hours </w:t>
      </w:r>
      <w:r w:rsidRPr="00E60627" w:rsidR="00271F53">
        <w:rPr>
          <w:sz w:val="24"/>
          <w:szCs w:val="24"/>
        </w:rPr>
        <w:t xml:space="preserve">(45 minutes) </w:t>
      </w:r>
      <w:r w:rsidRPr="00E60627" w:rsidR="00D764F5">
        <w:rPr>
          <w:sz w:val="24"/>
          <w:szCs w:val="24"/>
        </w:rPr>
        <w:t xml:space="preserve">- </w:t>
      </w:r>
      <w:r w:rsidRPr="00E60627" w:rsidR="007D00CD">
        <w:rPr>
          <w:sz w:val="24"/>
          <w:szCs w:val="24"/>
        </w:rPr>
        <w:t xml:space="preserve">Transplant </w:t>
      </w:r>
      <w:r w:rsidRPr="00E60627" w:rsidR="00E56E88">
        <w:rPr>
          <w:sz w:val="24"/>
          <w:szCs w:val="24"/>
        </w:rPr>
        <w:t>Coordinator</w:t>
      </w:r>
      <w:r w:rsidRPr="006210EC">
        <w:rPr>
          <w:sz w:val="24"/>
          <w:szCs w:val="24"/>
        </w:rPr>
        <w:t xml:space="preserve"> </w:t>
      </w:r>
    </w:p>
    <w:p w:rsidR="00D764F5" w:rsidRPr="00E60627" w:rsidP="00F474C4" w14:paraId="1AD15814" w14:textId="63E9D46D">
      <w:pPr>
        <w:pStyle w:val="ListBullet"/>
        <w:numPr>
          <w:ilvl w:val="0"/>
          <w:numId w:val="32"/>
        </w:numPr>
        <w:rPr>
          <w:sz w:val="24"/>
          <w:szCs w:val="24"/>
        </w:rPr>
      </w:pPr>
      <w:r w:rsidRPr="00E60627">
        <w:rPr>
          <w:sz w:val="24"/>
          <w:szCs w:val="24"/>
        </w:rPr>
        <w:t>0</w:t>
      </w:r>
      <w:r w:rsidRPr="00E60627" w:rsidR="007D00CD">
        <w:rPr>
          <w:sz w:val="24"/>
          <w:szCs w:val="24"/>
        </w:rPr>
        <w:t xml:space="preserve">.25 hours </w:t>
      </w:r>
      <w:r w:rsidRPr="00E60627" w:rsidR="00271F53">
        <w:rPr>
          <w:sz w:val="24"/>
          <w:szCs w:val="24"/>
        </w:rPr>
        <w:t xml:space="preserve">(15 minutes) </w:t>
      </w:r>
      <w:r w:rsidR="00AB098A">
        <w:rPr>
          <w:sz w:val="24"/>
          <w:szCs w:val="24"/>
        </w:rPr>
        <w:t>-</w:t>
      </w:r>
      <w:r w:rsidRPr="00E60627">
        <w:rPr>
          <w:sz w:val="24"/>
          <w:szCs w:val="24"/>
        </w:rPr>
        <w:t xml:space="preserve"> </w:t>
      </w:r>
      <w:r w:rsidR="006210EC">
        <w:rPr>
          <w:sz w:val="24"/>
          <w:szCs w:val="24"/>
        </w:rPr>
        <w:t xml:space="preserve">Administrative Assistant </w:t>
      </w:r>
    </w:p>
    <w:p w:rsidR="00AB098A" w:rsidP="002E0114" w14:paraId="7115838F" w14:textId="54BB4F03">
      <w:pPr>
        <w:pStyle w:val="ListBullet"/>
        <w:spacing w:before="120"/>
        <w:contextualSpacing w:val="0"/>
        <w:rPr>
          <w:sz w:val="24"/>
          <w:szCs w:val="24"/>
        </w:rPr>
      </w:pPr>
      <w:r w:rsidRPr="00661D15">
        <w:rPr>
          <w:sz w:val="24"/>
          <w:szCs w:val="24"/>
        </w:rPr>
        <w:t>This results in a</w:t>
      </w:r>
      <w:r w:rsidR="003A1342">
        <w:rPr>
          <w:sz w:val="24"/>
          <w:szCs w:val="24"/>
        </w:rPr>
        <w:t xml:space="preserve"> total of </w:t>
      </w:r>
      <w:r w:rsidRPr="00661D15" w:rsidR="008C259A">
        <w:rPr>
          <w:sz w:val="24"/>
          <w:szCs w:val="24"/>
        </w:rPr>
        <w:t>2</w:t>
      </w:r>
      <w:r w:rsidR="006D32B3">
        <w:rPr>
          <w:sz w:val="24"/>
          <w:szCs w:val="24"/>
        </w:rPr>
        <w:t xml:space="preserve"> </w:t>
      </w:r>
      <w:r w:rsidRPr="00661D15" w:rsidR="0052602B">
        <w:rPr>
          <w:sz w:val="24"/>
          <w:szCs w:val="24"/>
        </w:rPr>
        <w:t>hour</w:t>
      </w:r>
      <w:r w:rsidRPr="00661D15" w:rsidR="007D00CD">
        <w:rPr>
          <w:sz w:val="24"/>
          <w:szCs w:val="24"/>
        </w:rPr>
        <w:t>s</w:t>
      </w:r>
      <w:r w:rsidRPr="00661D15" w:rsidR="0052602B">
        <w:rPr>
          <w:sz w:val="24"/>
          <w:szCs w:val="24"/>
        </w:rPr>
        <w:t xml:space="preserve"> </w:t>
      </w:r>
      <w:r w:rsidRPr="00661D15">
        <w:rPr>
          <w:sz w:val="24"/>
          <w:szCs w:val="24"/>
        </w:rPr>
        <w:t xml:space="preserve">(0.5 + 0.5 + 0.75 + 0.25) </w:t>
      </w:r>
      <w:r w:rsidR="0073506B">
        <w:rPr>
          <w:sz w:val="24"/>
          <w:szCs w:val="24"/>
        </w:rPr>
        <w:t xml:space="preserve">per transplant program </w:t>
      </w:r>
      <w:r w:rsidRPr="00661D15" w:rsidR="0052602B">
        <w:rPr>
          <w:sz w:val="24"/>
          <w:szCs w:val="24"/>
        </w:rPr>
        <w:t xml:space="preserve">at a </w:t>
      </w:r>
      <w:r w:rsidRPr="00661D15" w:rsidR="00271F53">
        <w:rPr>
          <w:sz w:val="24"/>
          <w:szCs w:val="24"/>
        </w:rPr>
        <w:t xml:space="preserve">weighted average </w:t>
      </w:r>
      <w:r w:rsidRPr="00661D15" w:rsidR="0052602B">
        <w:rPr>
          <w:sz w:val="24"/>
          <w:szCs w:val="24"/>
        </w:rPr>
        <w:t>cost of $</w:t>
      </w:r>
      <w:r w:rsidRPr="00661D15" w:rsidR="006930AA">
        <w:rPr>
          <w:sz w:val="24"/>
          <w:szCs w:val="24"/>
        </w:rPr>
        <w:t>289</w:t>
      </w:r>
      <w:r w:rsidRPr="00661D15">
        <w:rPr>
          <w:sz w:val="24"/>
          <w:szCs w:val="24"/>
        </w:rPr>
        <w:t xml:space="preserve"> </w:t>
      </w:r>
      <w:r w:rsidRPr="00661D15" w:rsidR="006D32B3">
        <w:rPr>
          <w:sz w:val="24"/>
          <w:szCs w:val="24"/>
        </w:rPr>
        <w:t>($130 +$72+$75+$12)</w:t>
      </w:r>
      <w:r w:rsidR="0073506B">
        <w:rPr>
          <w:sz w:val="24"/>
          <w:szCs w:val="24"/>
        </w:rPr>
        <w:t xml:space="preserve"> per program</w:t>
      </w:r>
      <w:r w:rsidRPr="00661D15" w:rsidR="0052602B">
        <w:rPr>
          <w:sz w:val="24"/>
          <w:szCs w:val="24"/>
        </w:rPr>
        <w:t>.</w:t>
      </w:r>
    </w:p>
    <w:p w:rsidR="00A7591C" w:rsidP="002E0114" w14:paraId="66ADBEAD" w14:textId="77777777">
      <w:pPr>
        <w:pStyle w:val="ListBullet"/>
        <w:spacing w:before="120"/>
        <w:contextualSpacing w:val="0"/>
        <w:rPr>
          <w:sz w:val="24"/>
          <w:szCs w:val="24"/>
        </w:rPr>
      </w:pPr>
    </w:p>
    <w:p w:rsidR="004E3E54" w:rsidP="002E0114" w14:paraId="24AE7C49" w14:textId="77777777">
      <w:pPr>
        <w:pStyle w:val="ListBullet"/>
        <w:spacing w:before="120"/>
        <w:contextualSpacing w:val="0"/>
        <w:rPr>
          <w:sz w:val="24"/>
          <w:szCs w:val="24"/>
        </w:rPr>
      </w:pPr>
    </w:p>
    <w:p w:rsidR="00A7591C" w:rsidP="002E0114" w14:paraId="56241D1F" w14:textId="77777777">
      <w:pPr>
        <w:pStyle w:val="ListBullet"/>
        <w:spacing w:before="120"/>
        <w:contextualSpacing w:val="0"/>
        <w:rPr>
          <w:sz w:val="24"/>
          <w:szCs w:val="24"/>
        </w:rPr>
      </w:pPr>
    </w:p>
    <w:p w:rsidR="00A7591C" w:rsidP="002E0114" w14:paraId="77CD41D4" w14:textId="77777777">
      <w:pPr>
        <w:pStyle w:val="ListBullet"/>
        <w:spacing w:before="120"/>
        <w:contextualSpacing w:val="0"/>
        <w:rPr>
          <w:sz w:val="24"/>
          <w:szCs w:val="24"/>
        </w:rPr>
      </w:pPr>
    </w:p>
    <w:p w:rsidR="00A7591C" w:rsidP="002E0114" w14:paraId="39231FDA" w14:textId="77777777">
      <w:pPr>
        <w:pStyle w:val="ListBullet"/>
        <w:spacing w:before="120"/>
        <w:contextualSpacing w:val="0"/>
        <w:rPr>
          <w:sz w:val="24"/>
          <w:szCs w:val="24"/>
        </w:rPr>
      </w:pPr>
    </w:p>
    <w:p w:rsidR="00A7591C" w:rsidP="002E0114" w14:paraId="2545100B" w14:textId="77777777">
      <w:pPr>
        <w:pStyle w:val="ListBullet"/>
        <w:spacing w:before="120"/>
        <w:contextualSpacing w:val="0"/>
        <w:rPr>
          <w:sz w:val="24"/>
          <w:szCs w:val="24"/>
        </w:rPr>
      </w:pPr>
    </w:p>
    <w:p w:rsidR="00AB098A" w:rsidP="002E0114" w14:paraId="2EAB6023" w14:textId="77777777">
      <w:pPr>
        <w:pStyle w:val="BodyText"/>
        <w:spacing w:before="21"/>
        <w:ind w:right="1893"/>
        <w:jc w:val="both"/>
        <w:rPr>
          <w:b/>
          <w:bCs/>
        </w:rPr>
      </w:pPr>
    </w:p>
    <w:p w:rsidR="00C63703" w:rsidRPr="00E60627" w:rsidP="002E0114" w14:paraId="23896017" w14:textId="5F4D2ADA">
      <w:pPr>
        <w:pStyle w:val="BodyText"/>
        <w:ind w:right="70"/>
        <w:jc w:val="center"/>
        <w:rPr>
          <w:b/>
          <w:bCs/>
        </w:rPr>
      </w:pPr>
      <w:r w:rsidRPr="00645052">
        <w:rPr>
          <w:b/>
          <w:bCs/>
        </w:rPr>
        <w:t xml:space="preserve">Table 7. </w:t>
      </w:r>
      <w:r w:rsidRPr="00E60627">
        <w:rPr>
          <w:b/>
          <w:bCs/>
        </w:rPr>
        <w:t>§§</w:t>
      </w:r>
      <w:r w:rsidR="006D32B3">
        <w:rPr>
          <w:b/>
          <w:bCs/>
        </w:rPr>
        <w:t xml:space="preserve"> </w:t>
      </w:r>
      <w:r w:rsidRPr="00E60627">
        <w:rPr>
          <w:b/>
          <w:bCs/>
        </w:rPr>
        <w:t xml:space="preserve">488.61(a) &amp; (b) </w:t>
      </w:r>
      <w:r w:rsidR="006D32B3">
        <w:rPr>
          <w:b/>
          <w:bCs/>
        </w:rPr>
        <w:t>-</w:t>
      </w:r>
      <w:r w:rsidRPr="00645052">
        <w:rPr>
          <w:b/>
          <w:bCs/>
        </w:rPr>
        <w:t xml:space="preserve"> </w:t>
      </w:r>
      <w:r w:rsidRPr="00645052" w:rsidR="006D32B3">
        <w:rPr>
          <w:b/>
          <w:bCs/>
        </w:rPr>
        <w:t xml:space="preserve">Request </w:t>
      </w:r>
      <w:r w:rsidRPr="00645052" w:rsidR="0052602B">
        <w:rPr>
          <w:b/>
          <w:bCs/>
        </w:rPr>
        <w:t>for</w:t>
      </w:r>
      <w:r w:rsidRPr="00645052" w:rsidR="00645052">
        <w:rPr>
          <w:b/>
          <w:bCs/>
        </w:rPr>
        <w:t xml:space="preserve"> </w:t>
      </w:r>
      <w:r w:rsidRPr="00645052" w:rsidR="00B85251">
        <w:rPr>
          <w:b/>
          <w:bCs/>
        </w:rPr>
        <w:t xml:space="preserve">Initial </w:t>
      </w:r>
      <w:r w:rsidRPr="00645052" w:rsidR="0052602B">
        <w:rPr>
          <w:b/>
          <w:bCs/>
        </w:rPr>
        <w:t>Medicare</w:t>
      </w:r>
      <w:r w:rsidRPr="00645052" w:rsidR="00B85251">
        <w:rPr>
          <w:b/>
          <w:bCs/>
        </w:rPr>
        <w:t xml:space="preserve"> Certification</w:t>
      </w:r>
      <w:r w:rsidRPr="00645052" w:rsidR="0052602B">
        <w:rPr>
          <w:b/>
          <w:bCs/>
        </w:rPr>
        <w:t xml:space="preserve"> Approval</w:t>
      </w:r>
    </w:p>
    <w:tbl>
      <w:tblPr>
        <w:tblW w:w="7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870"/>
        <w:gridCol w:w="1260"/>
        <w:gridCol w:w="1090"/>
        <w:gridCol w:w="1180"/>
      </w:tblGrid>
      <w:tr w14:paraId="7141C7B3" w14:textId="50676ED7" w:rsidTr="00AB098A">
        <w:tblPrEx>
          <w:tblW w:w="7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1151"/>
          <w:jc w:val="center"/>
        </w:trPr>
        <w:tc>
          <w:tcPr>
            <w:tcW w:w="3870" w:type="dxa"/>
            <w:vMerge w:val="restart"/>
            <w:shd w:val="clear" w:color="auto" w:fill="F2F2F2" w:themeFill="background1" w:themeFillShade="F2"/>
            <w:vAlign w:val="center"/>
          </w:tcPr>
          <w:p w:rsidR="00B50C3D" w:rsidRPr="00DE2EE5" w:rsidP="00E60627" w14:paraId="4A6C7538" w14:textId="359804B4">
            <w:pPr>
              <w:pStyle w:val="TableParagraph"/>
              <w:ind w:left="98"/>
              <w:jc w:val="center"/>
              <w:rPr>
                <w:b/>
                <w:bCs/>
                <w:sz w:val="20"/>
                <w:szCs w:val="20"/>
              </w:rPr>
            </w:pPr>
            <w:r>
              <w:rPr>
                <w:b/>
                <w:bCs/>
                <w:sz w:val="20"/>
                <w:szCs w:val="20"/>
              </w:rPr>
              <w:t xml:space="preserve">Burden to Request Initial </w:t>
            </w:r>
            <w:r w:rsidRPr="00DE2EE5">
              <w:rPr>
                <w:b/>
                <w:bCs/>
                <w:sz w:val="20"/>
                <w:szCs w:val="20"/>
              </w:rPr>
              <w:t xml:space="preserve">Medicare </w:t>
            </w:r>
            <w:r>
              <w:rPr>
                <w:b/>
                <w:bCs/>
                <w:sz w:val="20"/>
                <w:szCs w:val="20"/>
              </w:rPr>
              <w:t>C</w:t>
            </w:r>
            <w:r w:rsidRPr="00DE2EE5">
              <w:rPr>
                <w:b/>
                <w:bCs/>
                <w:sz w:val="20"/>
                <w:szCs w:val="20"/>
              </w:rPr>
              <w:t>ertification</w:t>
            </w:r>
            <w:r>
              <w:rPr>
                <w:b/>
                <w:bCs/>
                <w:sz w:val="20"/>
                <w:szCs w:val="20"/>
              </w:rPr>
              <w:t xml:space="preserve"> Approval</w:t>
            </w:r>
          </w:p>
        </w:tc>
        <w:tc>
          <w:tcPr>
            <w:tcW w:w="1260" w:type="dxa"/>
            <w:tcBorders>
              <w:bottom w:val="nil"/>
            </w:tcBorders>
            <w:shd w:val="clear" w:color="auto" w:fill="F2F2F2" w:themeFill="background1" w:themeFillShade="F2"/>
            <w:vAlign w:val="center"/>
          </w:tcPr>
          <w:p w:rsidR="00B50C3D" w:rsidRPr="00DE2EE5" w:rsidP="00BF1C5C" w14:paraId="443C478C" w14:textId="77777777">
            <w:pPr>
              <w:pStyle w:val="TableParagraph"/>
              <w:spacing w:line="247" w:lineRule="auto"/>
              <w:ind w:left="98" w:right="10"/>
              <w:jc w:val="center"/>
              <w:rPr>
                <w:b/>
                <w:bCs/>
                <w:sz w:val="20"/>
                <w:szCs w:val="20"/>
              </w:rPr>
            </w:pPr>
            <w:r w:rsidRPr="00DE2EE5">
              <w:rPr>
                <w:b/>
                <w:bCs/>
                <w:sz w:val="20"/>
                <w:szCs w:val="20"/>
              </w:rPr>
              <w:t>Loaded Hourly Mean</w:t>
            </w:r>
          </w:p>
          <w:p w:rsidR="00B50C3D" w:rsidRPr="00DE2EE5" w:rsidP="00BF1C5C" w14:paraId="3DD9CD1F" w14:textId="53BE3D23">
            <w:pPr>
              <w:pStyle w:val="TableParagraph"/>
              <w:spacing w:line="247" w:lineRule="auto"/>
              <w:ind w:left="98" w:right="10"/>
              <w:jc w:val="center"/>
              <w:rPr>
                <w:b/>
                <w:bCs/>
                <w:sz w:val="20"/>
                <w:szCs w:val="20"/>
              </w:rPr>
            </w:pPr>
            <w:r w:rsidRPr="00DE2EE5">
              <w:rPr>
                <w:b/>
                <w:bCs/>
                <w:sz w:val="20"/>
                <w:szCs w:val="20"/>
              </w:rPr>
              <w:t>Wage</w:t>
            </w:r>
          </w:p>
        </w:tc>
        <w:tc>
          <w:tcPr>
            <w:tcW w:w="1090" w:type="dxa"/>
            <w:tcBorders>
              <w:bottom w:val="nil"/>
            </w:tcBorders>
            <w:shd w:val="clear" w:color="auto" w:fill="F2F2F2" w:themeFill="background1" w:themeFillShade="F2"/>
            <w:vAlign w:val="center"/>
          </w:tcPr>
          <w:p w:rsidR="006D32B3" w:rsidP="00BF1C5C" w14:paraId="44FA9D2C" w14:textId="77777777">
            <w:pPr>
              <w:pStyle w:val="TableParagraph"/>
              <w:spacing w:line="247" w:lineRule="auto"/>
              <w:ind w:left="98"/>
              <w:jc w:val="center"/>
              <w:rPr>
                <w:b/>
                <w:bCs/>
                <w:sz w:val="20"/>
                <w:szCs w:val="20"/>
              </w:rPr>
            </w:pPr>
            <w:r w:rsidRPr="00DE2EE5">
              <w:rPr>
                <w:b/>
                <w:bCs/>
                <w:sz w:val="20"/>
                <w:szCs w:val="20"/>
              </w:rPr>
              <w:t>Burden Hours/</w:t>
            </w:r>
          </w:p>
          <w:p w:rsidR="00B50C3D" w:rsidRPr="00DE2EE5" w:rsidP="00BF1C5C" w14:paraId="679EE7B0" w14:textId="5C76C2EC">
            <w:pPr>
              <w:pStyle w:val="TableParagraph"/>
              <w:spacing w:line="247" w:lineRule="auto"/>
              <w:ind w:left="98"/>
              <w:jc w:val="center"/>
              <w:rPr>
                <w:b/>
                <w:bCs/>
                <w:sz w:val="20"/>
                <w:szCs w:val="20"/>
              </w:rPr>
            </w:pPr>
            <w:r>
              <w:rPr>
                <w:b/>
                <w:bCs/>
                <w:sz w:val="20"/>
                <w:szCs w:val="20"/>
              </w:rPr>
              <w:t>Program</w:t>
            </w:r>
            <w:r w:rsidRPr="00DE2EE5">
              <w:rPr>
                <w:b/>
                <w:bCs/>
                <w:sz w:val="20"/>
                <w:szCs w:val="20"/>
              </w:rPr>
              <w:t xml:space="preserve"> </w:t>
            </w:r>
          </w:p>
        </w:tc>
        <w:tc>
          <w:tcPr>
            <w:tcW w:w="1180" w:type="dxa"/>
            <w:tcBorders>
              <w:bottom w:val="nil"/>
            </w:tcBorders>
            <w:shd w:val="clear" w:color="auto" w:fill="F2F2F2" w:themeFill="background1" w:themeFillShade="F2"/>
            <w:vAlign w:val="center"/>
          </w:tcPr>
          <w:p w:rsidR="00B50C3D" w:rsidRPr="00DE2EE5" w:rsidP="00BF1C5C" w14:paraId="562B4B70" w14:textId="7614E322">
            <w:pPr>
              <w:pStyle w:val="TableParagraph"/>
              <w:ind w:left="98"/>
              <w:jc w:val="center"/>
              <w:rPr>
                <w:b/>
                <w:bCs/>
                <w:sz w:val="20"/>
                <w:szCs w:val="20"/>
              </w:rPr>
            </w:pPr>
            <w:r w:rsidRPr="00DE2EE5">
              <w:rPr>
                <w:b/>
                <w:bCs/>
                <w:sz w:val="20"/>
                <w:szCs w:val="20"/>
              </w:rPr>
              <w:t>Burden</w:t>
            </w:r>
          </w:p>
          <w:p w:rsidR="00B50C3D" w:rsidRPr="00DE2EE5" w:rsidP="00BF1C5C" w14:paraId="7E5094A5" w14:textId="5092ED86">
            <w:pPr>
              <w:pStyle w:val="TableParagraph"/>
              <w:spacing w:before="6"/>
              <w:ind w:left="98"/>
              <w:jc w:val="center"/>
              <w:rPr>
                <w:b/>
                <w:bCs/>
                <w:sz w:val="20"/>
                <w:szCs w:val="20"/>
              </w:rPr>
            </w:pPr>
            <w:r w:rsidRPr="00DE2EE5">
              <w:rPr>
                <w:b/>
                <w:bCs/>
                <w:sz w:val="20"/>
                <w:szCs w:val="20"/>
              </w:rPr>
              <w:t>Cost/</w:t>
            </w:r>
            <w:r w:rsidR="00AB098A">
              <w:rPr>
                <w:b/>
                <w:bCs/>
                <w:sz w:val="20"/>
                <w:szCs w:val="20"/>
              </w:rPr>
              <w:t xml:space="preserve"> </w:t>
            </w:r>
            <w:r w:rsidR="006D32B3">
              <w:rPr>
                <w:b/>
                <w:bCs/>
                <w:sz w:val="20"/>
                <w:szCs w:val="20"/>
              </w:rPr>
              <w:t>Program</w:t>
            </w:r>
          </w:p>
          <w:p w:rsidR="00B50C3D" w:rsidRPr="00DE2EE5" w:rsidP="00BF1C5C" w14:paraId="55F9F53B" w14:textId="7F6C55A4">
            <w:pPr>
              <w:pStyle w:val="TableParagraph"/>
              <w:spacing w:before="6"/>
              <w:ind w:left="98"/>
              <w:jc w:val="center"/>
              <w:rPr>
                <w:b/>
                <w:bCs/>
                <w:sz w:val="20"/>
                <w:szCs w:val="20"/>
              </w:rPr>
            </w:pPr>
          </w:p>
        </w:tc>
      </w:tr>
      <w:tr w14:paraId="72907D66" w14:textId="77777777" w:rsidTr="00AB098A">
        <w:tblPrEx>
          <w:tblW w:w="7400" w:type="dxa"/>
          <w:jc w:val="center"/>
          <w:tblLayout w:type="fixed"/>
          <w:tblCellMar>
            <w:left w:w="0" w:type="dxa"/>
            <w:right w:w="0" w:type="dxa"/>
          </w:tblCellMar>
          <w:tblLook w:val="01E0"/>
        </w:tblPrEx>
        <w:trPr>
          <w:trHeight w:hRule="exact" w:val="302"/>
          <w:jc w:val="center"/>
        </w:trPr>
        <w:tc>
          <w:tcPr>
            <w:tcW w:w="3870" w:type="dxa"/>
            <w:vMerge/>
            <w:shd w:val="clear" w:color="auto" w:fill="F2F2F2" w:themeFill="background1" w:themeFillShade="F2"/>
            <w:vAlign w:val="center"/>
          </w:tcPr>
          <w:p w:rsidR="00B50C3D" w:rsidRPr="00DE2EE5" w14:paraId="723B80E2" w14:textId="77777777">
            <w:pPr>
              <w:pStyle w:val="TableParagraph"/>
              <w:ind w:left="98"/>
              <w:rPr>
                <w:sz w:val="20"/>
                <w:szCs w:val="20"/>
              </w:rPr>
            </w:pPr>
          </w:p>
        </w:tc>
        <w:tc>
          <w:tcPr>
            <w:tcW w:w="1260" w:type="dxa"/>
            <w:tcBorders>
              <w:top w:val="nil"/>
            </w:tcBorders>
            <w:shd w:val="clear" w:color="auto" w:fill="F2F2F2" w:themeFill="background1" w:themeFillShade="F2"/>
            <w:vAlign w:val="center"/>
          </w:tcPr>
          <w:p w:rsidR="00B50C3D" w:rsidRPr="00AB098A" w:rsidP="00BF1C5C" w14:paraId="6FCC40EE" w14:textId="6D5D02ED">
            <w:pPr>
              <w:pStyle w:val="TableParagraph"/>
              <w:ind w:right="96"/>
              <w:jc w:val="center"/>
              <w:rPr>
                <w:i/>
                <w:iCs/>
                <w:sz w:val="20"/>
                <w:szCs w:val="20"/>
              </w:rPr>
            </w:pPr>
            <w:r w:rsidRPr="00AB098A">
              <w:rPr>
                <w:i/>
                <w:iCs/>
                <w:sz w:val="20"/>
                <w:szCs w:val="20"/>
              </w:rPr>
              <w:t>(a)</w:t>
            </w:r>
          </w:p>
        </w:tc>
        <w:tc>
          <w:tcPr>
            <w:tcW w:w="1090" w:type="dxa"/>
            <w:tcBorders>
              <w:top w:val="nil"/>
            </w:tcBorders>
            <w:shd w:val="clear" w:color="auto" w:fill="F2F2F2" w:themeFill="background1" w:themeFillShade="F2"/>
            <w:vAlign w:val="center"/>
          </w:tcPr>
          <w:p w:rsidR="00B50C3D" w:rsidRPr="00AB098A" w:rsidP="00BF1C5C" w14:paraId="09E3DAC8" w14:textId="1D7CB6E0">
            <w:pPr>
              <w:pStyle w:val="TableParagraph"/>
              <w:ind w:right="96"/>
              <w:jc w:val="center"/>
              <w:rPr>
                <w:i/>
                <w:iCs/>
                <w:sz w:val="20"/>
                <w:szCs w:val="20"/>
              </w:rPr>
            </w:pPr>
            <w:r w:rsidRPr="00AB098A">
              <w:rPr>
                <w:i/>
                <w:iCs/>
                <w:sz w:val="20"/>
                <w:szCs w:val="20"/>
              </w:rPr>
              <w:t>(b)</w:t>
            </w:r>
          </w:p>
        </w:tc>
        <w:tc>
          <w:tcPr>
            <w:tcW w:w="1180" w:type="dxa"/>
            <w:tcBorders>
              <w:top w:val="nil"/>
            </w:tcBorders>
            <w:shd w:val="clear" w:color="auto" w:fill="F2F2F2" w:themeFill="background1" w:themeFillShade="F2"/>
            <w:vAlign w:val="center"/>
          </w:tcPr>
          <w:p w:rsidR="00B50C3D" w:rsidRPr="00AB098A" w:rsidP="00BF1C5C" w14:paraId="054CE8ED" w14:textId="6C8AEF86">
            <w:pPr>
              <w:pStyle w:val="TableParagraph"/>
              <w:ind w:right="96"/>
              <w:jc w:val="center"/>
              <w:rPr>
                <w:i/>
                <w:iCs/>
                <w:sz w:val="20"/>
                <w:szCs w:val="20"/>
              </w:rPr>
            </w:pPr>
            <w:r w:rsidRPr="00AB098A">
              <w:rPr>
                <w:i/>
                <w:iCs/>
                <w:sz w:val="20"/>
                <w:szCs w:val="20"/>
              </w:rPr>
              <w:t>(c = a x b)</w:t>
            </w:r>
          </w:p>
        </w:tc>
      </w:tr>
      <w:tr w14:paraId="49EC270D" w14:textId="3B25E2C2" w:rsidTr="00AB098A">
        <w:tblPrEx>
          <w:tblW w:w="7400" w:type="dxa"/>
          <w:jc w:val="center"/>
          <w:tblLayout w:type="fixed"/>
          <w:tblCellMar>
            <w:left w:w="0" w:type="dxa"/>
            <w:right w:w="0" w:type="dxa"/>
          </w:tblCellMar>
          <w:tblLook w:val="01E0"/>
        </w:tblPrEx>
        <w:trPr>
          <w:trHeight w:hRule="exact" w:val="576"/>
          <w:jc w:val="center"/>
        </w:trPr>
        <w:tc>
          <w:tcPr>
            <w:tcW w:w="3870" w:type="dxa"/>
            <w:vAlign w:val="center"/>
          </w:tcPr>
          <w:p w:rsidR="00C63703" w:rsidRPr="00AB098A" w14:paraId="0397141E" w14:textId="723E77D7">
            <w:pPr>
              <w:pStyle w:val="TableParagraph"/>
              <w:ind w:left="98"/>
              <w:rPr>
                <w:sz w:val="20"/>
                <w:szCs w:val="20"/>
              </w:rPr>
            </w:pPr>
            <w:r w:rsidRPr="00AB098A">
              <w:rPr>
                <w:sz w:val="20"/>
                <w:szCs w:val="20"/>
              </w:rPr>
              <w:t>Medical Director</w:t>
            </w:r>
            <w:r w:rsidRPr="00AB098A" w:rsidR="006D32B3">
              <w:rPr>
                <w:sz w:val="20"/>
                <w:szCs w:val="20"/>
              </w:rPr>
              <w:t xml:space="preserve"> </w:t>
            </w:r>
            <w:r w:rsidRPr="00AB098A" w:rsidR="006D32B3">
              <w:rPr>
                <w:color w:val="000000"/>
                <w:sz w:val="20"/>
                <w:szCs w:val="20"/>
              </w:rPr>
              <w:t>(</w:t>
            </w:r>
            <w:r w:rsidRPr="00AB098A" w:rsidR="006D32B3">
              <w:rPr>
                <w:sz w:val="20"/>
                <w:szCs w:val="20"/>
              </w:rPr>
              <w:t xml:space="preserve">BLS Occ. Code </w:t>
            </w:r>
            <w:r w:rsidRPr="00AB098A" w:rsidR="006D32B3">
              <w:rPr>
                <w:color w:val="000000"/>
                <w:sz w:val="20"/>
                <w:szCs w:val="20"/>
              </w:rPr>
              <w:t>29-1210)</w:t>
            </w:r>
          </w:p>
        </w:tc>
        <w:tc>
          <w:tcPr>
            <w:tcW w:w="1260" w:type="dxa"/>
            <w:vAlign w:val="center"/>
          </w:tcPr>
          <w:p w:rsidR="00C63703" w:rsidRPr="00AB098A" w:rsidP="00BF1C5C" w14:paraId="55EB8090" w14:textId="64FD6661">
            <w:pPr>
              <w:pStyle w:val="TableParagraph"/>
              <w:ind w:right="96"/>
              <w:jc w:val="center"/>
              <w:rPr>
                <w:sz w:val="20"/>
                <w:szCs w:val="20"/>
              </w:rPr>
            </w:pPr>
            <w:r w:rsidRPr="00AB098A">
              <w:rPr>
                <w:sz w:val="20"/>
                <w:szCs w:val="20"/>
              </w:rPr>
              <w:t>$</w:t>
            </w:r>
            <w:r w:rsidRPr="00AB098A" w:rsidR="00B4497B">
              <w:rPr>
                <w:sz w:val="20"/>
                <w:szCs w:val="20"/>
              </w:rPr>
              <w:t>2</w:t>
            </w:r>
            <w:r w:rsidRPr="00AB098A" w:rsidR="006930AA">
              <w:rPr>
                <w:sz w:val="20"/>
                <w:szCs w:val="20"/>
              </w:rPr>
              <w:t>59</w:t>
            </w:r>
          </w:p>
        </w:tc>
        <w:tc>
          <w:tcPr>
            <w:tcW w:w="1090" w:type="dxa"/>
            <w:vAlign w:val="center"/>
          </w:tcPr>
          <w:p w:rsidR="00C63703" w:rsidRPr="00AB098A" w:rsidP="00BF1C5C" w14:paraId="46B000F5" w14:textId="7639E975">
            <w:pPr>
              <w:pStyle w:val="TableParagraph"/>
              <w:ind w:right="96"/>
              <w:jc w:val="center"/>
              <w:rPr>
                <w:sz w:val="20"/>
                <w:szCs w:val="20"/>
              </w:rPr>
            </w:pPr>
            <w:r w:rsidRPr="00AB098A">
              <w:rPr>
                <w:sz w:val="20"/>
                <w:szCs w:val="20"/>
              </w:rPr>
              <w:t>0</w:t>
            </w:r>
            <w:r w:rsidRPr="00AB098A" w:rsidR="0052602B">
              <w:rPr>
                <w:sz w:val="20"/>
                <w:szCs w:val="20"/>
              </w:rPr>
              <w:t>.5</w:t>
            </w:r>
          </w:p>
        </w:tc>
        <w:tc>
          <w:tcPr>
            <w:tcW w:w="1180" w:type="dxa"/>
            <w:vAlign w:val="center"/>
          </w:tcPr>
          <w:p w:rsidR="00C63703" w:rsidRPr="00AB098A" w:rsidP="00BF1C5C" w14:paraId="69219F60" w14:textId="34AB9E3E">
            <w:pPr>
              <w:pStyle w:val="TableParagraph"/>
              <w:ind w:right="96"/>
              <w:jc w:val="center"/>
              <w:rPr>
                <w:sz w:val="20"/>
                <w:szCs w:val="20"/>
              </w:rPr>
            </w:pPr>
            <w:r w:rsidRPr="00AB098A">
              <w:rPr>
                <w:sz w:val="20"/>
                <w:szCs w:val="20"/>
              </w:rPr>
              <w:t>$</w:t>
            </w:r>
            <w:r w:rsidRPr="00AB098A" w:rsidR="00B4497B">
              <w:rPr>
                <w:sz w:val="20"/>
                <w:szCs w:val="20"/>
              </w:rPr>
              <w:t>1</w:t>
            </w:r>
            <w:r w:rsidRPr="00AB098A" w:rsidR="006930AA">
              <w:rPr>
                <w:sz w:val="20"/>
                <w:szCs w:val="20"/>
              </w:rPr>
              <w:t>30</w:t>
            </w:r>
          </w:p>
        </w:tc>
      </w:tr>
      <w:tr w14:paraId="1383298C" w14:textId="12959262" w:rsidTr="00AB098A">
        <w:tblPrEx>
          <w:tblW w:w="7400" w:type="dxa"/>
          <w:jc w:val="center"/>
          <w:tblLayout w:type="fixed"/>
          <w:tblCellMar>
            <w:left w:w="0" w:type="dxa"/>
            <w:right w:w="0" w:type="dxa"/>
          </w:tblCellMar>
          <w:tblLook w:val="01E0"/>
        </w:tblPrEx>
        <w:trPr>
          <w:trHeight w:hRule="exact" w:val="576"/>
          <w:jc w:val="center"/>
        </w:trPr>
        <w:tc>
          <w:tcPr>
            <w:tcW w:w="3870" w:type="dxa"/>
            <w:vAlign w:val="center"/>
          </w:tcPr>
          <w:p w:rsidR="00C63703" w:rsidRPr="00AB098A" w14:paraId="03A2FD43" w14:textId="07B15E8B">
            <w:pPr>
              <w:pStyle w:val="TableParagraph"/>
              <w:spacing w:line="247" w:lineRule="auto"/>
              <w:ind w:left="98" w:right="496"/>
              <w:rPr>
                <w:sz w:val="20"/>
                <w:szCs w:val="20"/>
              </w:rPr>
            </w:pPr>
            <w:r w:rsidRPr="00AB098A">
              <w:rPr>
                <w:sz w:val="20"/>
                <w:szCs w:val="20"/>
              </w:rPr>
              <w:t>Senior Administrator</w:t>
            </w:r>
            <w:r w:rsidRPr="00AB098A" w:rsidR="006D32B3">
              <w:rPr>
                <w:sz w:val="20"/>
                <w:szCs w:val="20"/>
              </w:rPr>
              <w:t xml:space="preserve"> (BLS Occ. Code 11-9111)</w:t>
            </w:r>
          </w:p>
        </w:tc>
        <w:tc>
          <w:tcPr>
            <w:tcW w:w="1260" w:type="dxa"/>
            <w:vAlign w:val="center"/>
          </w:tcPr>
          <w:p w:rsidR="00C63703" w:rsidRPr="00AB098A" w:rsidP="00BF1C5C" w14:paraId="42E5ACA0" w14:textId="785AC6EA">
            <w:pPr>
              <w:pStyle w:val="TableParagraph"/>
              <w:spacing w:before="0"/>
              <w:ind w:right="96"/>
              <w:jc w:val="center"/>
              <w:rPr>
                <w:sz w:val="20"/>
                <w:szCs w:val="20"/>
              </w:rPr>
            </w:pPr>
            <w:r w:rsidRPr="00AB098A">
              <w:rPr>
                <w:sz w:val="20"/>
                <w:szCs w:val="20"/>
              </w:rPr>
              <w:t>$</w:t>
            </w:r>
            <w:r w:rsidRPr="00AB098A" w:rsidR="00B4497B">
              <w:rPr>
                <w:sz w:val="20"/>
                <w:szCs w:val="20"/>
              </w:rPr>
              <w:t>1</w:t>
            </w:r>
            <w:r w:rsidRPr="00AB098A" w:rsidR="006930AA">
              <w:rPr>
                <w:sz w:val="20"/>
                <w:szCs w:val="20"/>
              </w:rPr>
              <w:t>44</w:t>
            </w:r>
          </w:p>
        </w:tc>
        <w:tc>
          <w:tcPr>
            <w:tcW w:w="1090" w:type="dxa"/>
            <w:vAlign w:val="center"/>
          </w:tcPr>
          <w:p w:rsidR="00C63703" w:rsidRPr="00AB098A" w:rsidP="00BF1C5C" w14:paraId="5BBB4B4D" w14:textId="5ED02314">
            <w:pPr>
              <w:pStyle w:val="TableParagraph"/>
              <w:spacing w:before="0"/>
              <w:ind w:right="96"/>
              <w:jc w:val="center"/>
              <w:rPr>
                <w:sz w:val="20"/>
                <w:szCs w:val="20"/>
              </w:rPr>
            </w:pPr>
            <w:r w:rsidRPr="00AB098A">
              <w:rPr>
                <w:sz w:val="20"/>
                <w:szCs w:val="20"/>
              </w:rPr>
              <w:t>0</w:t>
            </w:r>
            <w:r w:rsidRPr="00AB098A" w:rsidR="0052602B">
              <w:rPr>
                <w:sz w:val="20"/>
                <w:szCs w:val="20"/>
              </w:rPr>
              <w:t>.5</w:t>
            </w:r>
          </w:p>
        </w:tc>
        <w:tc>
          <w:tcPr>
            <w:tcW w:w="1180" w:type="dxa"/>
            <w:vAlign w:val="center"/>
          </w:tcPr>
          <w:p w:rsidR="00C63703" w:rsidRPr="00AB098A" w:rsidP="00BF1C5C" w14:paraId="57DB4F6F" w14:textId="63750859">
            <w:pPr>
              <w:pStyle w:val="TableParagraph"/>
              <w:spacing w:before="0"/>
              <w:ind w:right="96"/>
              <w:jc w:val="center"/>
              <w:rPr>
                <w:sz w:val="20"/>
                <w:szCs w:val="20"/>
              </w:rPr>
            </w:pPr>
            <w:r w:rsidRPr="00AB098A">
              <w:rPr>
                <w:sz w:val="20"/>
                <w:szCs w:val="20"/>
              </w:rPr>
              <w:t>$</w:t>
            </w:r>
            <w:r w:rsidRPr="00AB098A" w:rsidR="006930AA">
              <w:rPr>
                <w:sz w:val="20"/>
                <w:szCs w:val="20"/>
              </w:rPr>
              <w:t>72</w:t>
            </w:r>
          </w:p>
        </w:tc>
      </w:tr>
      <w:tr w14:paraId="4509A788" w14:textId="77777777" w:rsidTr="00AB098A">
        <w:tblPrEx>
          <w:tblW w:w="7400" w:type="dxa"/>
          <w:jc w:val="center"/>
          <w:tblLayout w:type="fixed"/>
          <w:tblCellMar>
            <w:left w:w="0" w:type="dxa"/>
            <w:right w:w="0" w:type="dxa"/>
          </w:tblCellMar>
          <w:tblLook w:val="01E0"/>
        </w:tblPrEx>
        <w:trPr>
          <w:trHeight w:hRule="exact" w:val="576"/>
          <w:jc w:val="center"/>
        </w:trPr>
        <w:tc>
          <w:tcPr>
            <w:tcW w:w="3870" w:type="dxa"/>
            <w:vAlign w:val="center"/>
          </w:tcPr>
          <w:p w:rsidR="006930AA" w:rsidRPr="00AB098A" w:rsidP="006930AA" w14:paraId="2B20ED7C" w14:textId="0E24D8AD">
            <w:pPr>
              <w:pStyle w:val="TableParagraph"/>
              <w:spacing w:line="247" w:lineRule="auto"/>
              <w:ind w:left="98" w:right="496"/>
              <w:rPr>
                <w:sz w:val="20"/>
                <w:szCs w:val="20"/>
              </w:rPr>
            </w:pPr>
            <w:r w:rsidRPr="00AB098A">
              <w:rPr>
                <w:color w:val="000000"/>
                <w:sz w:val="20"/>
                <w:szCs w:val="20"/>
              </w:rPr>
              <w:t>Transplant Coordinator (</w:t>
            </w:r>
            <w:r w:rsidRPr="00AB098A" w:rsidR="006D32B3">
              <w:rPr>
                <w:sz w:val="20"/>
                <w:szCs w:val="20"/>
              </w:rPr>
              <w:t xml:space="preserve">BLS Occ. Code </w:t>
            </w:r>
            <w:r w:rsidRPr="00AB098A">
              <w:rPr>
                <w:color w:val="000000"/>
                <w:sz w:val="20"/>
                <w:szCs w:val="20"/>
              </w:rPr>
              <w:t>29-1141)</w:t>
            </w:r>
          </w:p>
        </w:tc>
        <w:tc>
          <w:tcPr>
            <w:tcW w:w="1260" w:type="dxa"/>
            <w:vAlign w:val="center"/>
          </w:tcPr>
          <w:p w:rsidR="006930AA" w:rsidRPr="00AB098A" w:rsidP="006930AA" w14:paraId="294374DB" w14:textId="78057FEB">
            <w:pPr>
              <w:pStyle w:val="TableParagraph"/>
              <w:spacing w:before="0"/>
              <w:ind w:right="96"/>
              <w:jc w:val="center"/>
              <w:rPr>
                <w:sz w:val="20"/>
                <w:szCs w:val="20"/>
              </w:rPr>
            </w:pPr>
            <w:r w:rsidRPr="00AB098A">
              <w:rPr>
                <w:sz w:val="20"/>
                <w:szCs w:val="20"/>
              </w:rPr>
              <w:t>$100</w:t>
            </w:r>
          </w:p>
        </w:tc>
        <w:tc>
          <w:tcPr>
            <w:tcW w:w="1090" w:type="dxa"/>
            <w:vAlign w:val="center"/>
          </w:tcPr>
          <w:p w:rsidR="006930AA" w:rsidRPr="00AB098A" w:rsidP="006930AA" w14:paraId="1BE6C1FD" w14:textId="06095269">
            <w:pPr>
              <w:pStyle w:val="TableParagraph"/>
              <w:spacing w:before="0"/>
              <w:ind w:right="96"/>
              <w:jc w:val="center"/>
              <w:rPr>
                <w:sz w:val="20"/>
                <w:szCs w:val="20"/>
              </w:rPr>
            </w:pPr>
            <w:r w:rsidRPr="00AB098A">
              <w:rPr>
                <w:sz w:val="20"/>
                <w:szCs w:val="20"/>
              </w:rPr>
              <w:t>0.75</w:t>
            </w:r>
          </w:p>
        </w:tc>
        <w:tc>
          <w:tcPr>
            <w:tcW w:w="1180" w:type="dxa"/>
            <w:vAlign w:val="center"/>
          </w:tcPr>
          <w:p w:rsidR="006930AA" w:rsidRPr="00AB098A" w:rsidP="006930AA" w14:paraId="7EACC4DF" w14:textId="2EAB3952">
            <w:pPr>
              <w:pStyle w:val="TableParagraph"/>
              <w:spacing w:before="0"/>
              <w:ind w:right="96"/>
              <w:jc w:val="center"/>
              <w:rPr>
                <w:sz w:val="20"/>
                <w:szCs w:val="20"/>
              </w:rPr>
            </w:pPr>
            <w:r w:rsidRPr="00AB098A">
              <w:rPr>
                <w:sz w:val="20"/>
                <w:szCs w:val="20"/>
              </w:rPr>
              <w:t>$75</w:t>
            </w:r>
          </w:p>
        </w:tc>
      </w:tr>
      <w:tr w14:paraId="5FDF2D4D" w14:textId="77777777" w:rsidTr="00AB098A">
        <w:tblPrEx>
          <w:tblW w:w="7400" w:type="dxa"/>
          <w:jc w:val="center"/>
          <w:tblLayout w:type="fixed"/>
          <w:tblCellMar>
            <w:left w:w="0" w:type="dxa"/>
            <w:right w:w="0" w:type="dxa"/>
          </w:tblCellMar>
          <w:tblLook w:val="01E0"/>
        </w:tblPrEx>
        <w:trPr>
          <w:trHeight w:hRule="exact" w:val="576"/>
          <w:jc w:val="center"/>
        </w:trPr>
        <w:tc>
          <w:tcPr>
            <w:tcW w:w="3870" w:type="dxa"/>
            <w:vAlign w:val="center"/>
          </w:tcPr>
          <w:p w:rsidR="006930AA" w:rsidRPr="00AB098A" w:rsidP="006930AA" w14:paraId="2BDA96F4" w14:textId="7F6A9EA0">
            <w:pPr>
              <w:pStyle w:val="TableParagraph"/>
              <w:spacing w:line="247" w:lineRule="auto"/>
              <w:ind w:left="98" w:right="496"/>
              <w:rPr>
                <w:sz w:val="20"/>
                <w:szCs w:val="20"/>
              </w:rPr>
            </w:pPr>
            <w:r w:rsidRPr="00AB098A">
              <w:rPr>
                <w:color w:val="000000"/>
                <w:sz w:val="20"/>
                <w:szCs w:val="20"/>
              </w:rPr>
              <w:t xml:space="preserve">Administrative Assistant </w:t>
            </w:r>
            <w:r w:rsidRPr="00AB098A">
              <w:rPr>
                <w:color w:val="000000"/>
                <w:sz w:val="20"/>
                <w:szCs w:val="20"/>
              </w:rPr>
              <w:t>(</w:t>
            </w:r>
            <w:r w:rsidRPr="00AB098A">
              <w:rPr>
                <w:sz w:val="20"/>
                <w:szCs w:val="20"/>
              </w:rPr>
              <w:t xml:space="preserve">BLS Occ. Code </w:t>
            </w:r>
            <w:r w:rsidRPr="00AB098A">
              <w:rPr>
                <w:color w:val="000000"/>
                <w:sz w:val="20"/>
                <w:szCs w:val="20"/>
              </w:rPr>
              <w:t>43-6013)</w:t>
            </w:r>
          </w:p>
        </w:tc>
        <w:tc>
          <w:tcPr>
            <w:tcW w:w="1260" w:type="dxa"/>
            <w:vAlign w:val="center"/>
          </w:tcPr>
          <w:p w:rsidR="006930AA" w:rsidRPr="00AB098A" w:rsidP="006930AA" w14:paraId="7BDDCAA8" w14:textId="79C2DAF3">
            <w:pPr>
              <w:pStyle w:val="TableParagraph"/>
              <w:spacing w:before="0"/>
              <w:ind w:right="96"/>
              <w:jc w:val="center"/>
              <w:rPr>
                <w:sz w:val="20"/>
                <w:szCs w:val="20"/>
              </w:rPr>
            </w:pPr>
            <w:r w:rsidRPr="00AB098A">
              <w:rPr>
                <w:sz w:val="20"/>
                <w:szCs w:val="20"/>
              </w:rPr>
              <w:t>$46</w:t>
            </w:r>
          </w:p>
        </w:tc>
        <w:tc>
          <w:tcPr>
            <w:tcW w:w="1090" w:type="dxa"/>
            <w:vAlign w:val="center"/>
          </w:tcPr>
          <w:p w:rsidR="006930AA" w:rsidRPr="006D09DE" w:rsidP="006930AA" w14:paraId="06B47BD5" w14:textId="43568627">
            <w:pPr>
              <w:pStyle w:val="TableParagraph"/>
              <w:spacing w:before="0"/>
              <w:ind w:right="96"/>
              <w:jc w:val="center"/>
              <w:rPr>
                <w:sz w:val="20"/>
                <w:szCs w:val="20"/>
              </w:rPr>
            </w:pPr>
            <w:r w:rsidRPr="006D09DE">
              <w:rPr>
                <w:sz w:val="20"/>
                <w:szCs w:val="20"/>
              </w:rPr>
              <w:t>0.25</w:t>
            </w:r>
          </w:p>
        </w:tc>
        <w:tc>
          <w:tcPr>
            <w:tcW w:w="1180" w:type="dxa"/>
            <w:vAlign w:val="center"/>
          </w:tcPr>
          <w:p w:rsidR="006930AA" w:rsidRPr="006D09DE" w:rsidP="006930AA" w14:paraId="54FF43F7" w14:textId="696552F8">
            <w:pPr>
              <w:pStyle w:val="TableParagraph"/>
              <w:spacing w:before="0"/>
              <w:ind w:right="96"/>
              <w:jc w:val="center"/>
              <w:rPr>
                <w:sz w:val="20"/>
                <w:szCs w:val="20"/>
              </w:rPr>
            </w:pPr>
            <w:r w:rsidRPr="006D09DE">
              <w:rPr>
                <w:sz w:val="20"/>
                <w:szCs w:val="20"/>
              </w:rPr>
              <w:t>$12</w:t>
            </w:r>
          </w:p>
        </w:tc>
      </w:tr>
      <w:tr w14:paraId="4707DCE7" w14:textId="77777777" w:rsidTr="00AB098A">
        <w:tblPrEx>
          <w:tblW w:w="7400" w:type="dxa"/>
          <w:jc w:val="center"/>
          <w:tblLayout w:type="fixed"/>
          <w:tblCellMar>
            <w:left w:w="0" w:type="dxa"/>
            <w:right w:w="0" w:type="dxa"/>
          </w:tblCellMar>
          <w:tblLook w:val="01E0"/>
        </w:tblPrEx>
        <w:trPr>
          <w:trHeight w:hRule="exact" w:val="576"/>
          <w:jc w:val="center"/>
        </w:trPr>
        <w:tc>
          <w:tcPr>
            <w:tcW w:w="3870" w:type="dxa"/>
            <w:shd w:val="clear" w:color="auto" w:fill="F2F2F2" w:themeFill="background1" w:themeFillShade="F2"/>
            <w:vAlign w:val="center"/>
          </w:tcPr>
          <w:p w:rsidR="00C63703" w:rsidRPr="00AB098A" w14:paraId="29DD99A1" w14:textId="407ED9ED">
            <w:pPr>
              <w:pStyle w:val="TableParagraph"/>
              <w:ind w:left="98"/>
              <w:rPr>
                <w:sz w:val="20"/>
                <w:szCs w:val="20"/>
              </w:rPr>
            </w:pPr>
            <w:r w:rsidRPr="00AB098A">
              <w:rPr>
                <w:b/>
                <w:bCs/>
                <w:sz w:val="20"/>
                <w:szCs w:val="20"/>
              </w:rPr>
              <w:t>Burden hours and cost per transplant program</w:t>
            </w:r>
          </w:p>
        </w:tc>
        <w:tc>
          <w:tcPr>
            <w:tcW w:w="1260" w:type="dxa"/>
            <w:shd w:val="clear" w:color="auto" w:fill="F2F2F2" w:themeFill="background1" w:themeFillShade="F2"/>
            <w:vAlign w:val="center"/>
          </w:tcPr>
          <w:p w:rsidR="00C63703" w:rsidRPr="00AB098A" w:rsidP="00BF1C5C" w14:paraId="355B910D" w14:textId="77777777">
            <w:pPr>
              <w:jc w:val="center"/>
              <w:rPr>
                <w:sz w:val="20"/>
                <w:szCs w:val="20"/>
              </w:rPr>
            </w:pPr>
          </w:p>
        </w:tc>
        <w:tc>
          <w:tcPr>
            <w:tcW w:w="1090" w:type="dxa"/>
            <w:shd w:val="clear" w:color="auto" w:fill="F2F2F2" w:themeFill="background1" w:themeFillShade="F2"/>
            <w:vAlign w:val="center"/>
          </w:tcPr>
          <w:p w:rsidR="00C63703" w:rsidRPr="00AB098A" w:rsidP="00BF1C5C" w14:paraId="14D87837" w14:textId="57D42525">
            <w:pPr>
              <w:pStyle w:val="TableParagraph"/>
              <w:ind w:right="96"/>
              <w:jc w:val="center"/>
              <w:rPr>
                <w:b/>
                <w:bCs/>
                <w:sz w:val="20"/>
                <w:szCs w:val="20"/>
              </w:rPr>
            </w:pPr>
            <w:r w:rsidRPr="00AB098A">
              <w:rPr>
                <w:b/>
                <w:bCs/>
                <w:sz w:val="20"/>
                <w:szCs w:val="20"/>
              </w:rPr>
              <w:t>2</w:t>
            </w:r>
          </w:p>
        </w:tc>
        <w:tc>
          <w:tcPr>
            <w:tcW w:w="1180" w:type="dxa"/>
            <w:shd w:val="clear" w:color="auto" w:fill="F2F2F2" w:themeFill="background1" w:themeFillShade="F2"/>
            <w:vAlign w:val="center"/>
          </w:tcPr>
          <w:p w:rsidR="00C63703" w:rsidRPr="00AB098A" w:rsidP="00BF1C5C" w14:paraId="4F889D50" w14:textId="59AE8339">
            <w:pPr>
              <w:pStyle w:val="TableParagraph"/>
              <w:ind w:right="96"/>
              <w:jc w:val="center"/>
              <w:rPr>
                <w:b/>
                <w:bCs/>
                <w:sz w:val="20"/>
                <w:szCs w:val="20"/>
              </w:rPr>
            </w:pPr>
            <w:r w:rsidRPr="00AB098A">
              <w:rPr>
                <w:b/>
                <w:bCs/>
                <w:sz w:val="20"/>
                <w:szCs w:val="20"/>
              </w:rPr>
              <w:t>$</w:t>
            </w:r>
            <w:r w:rsidRPr="00AB098A" w:rsidR="006930AA">
              <w:rPr>
                <w:b/>
                <w:bCs/>
                <w:sz w:val="20"/>
                <w:szCs w:val="20"/>
              </w:rPr>
              <w:t>289</w:t>
            </w:r>
          </w:p>
        </w:tc>
      </w:tr>
    </w:tbl>
    <w:p w:rsidR="00760D67" w:rsidP="00F474C4" w14:paraId="4F402068" w14:textId="77777777">
      <w:pPr>
        <w:pStyle w:val="BodyText"/>
        <w:ind w:right="176"/>
      </w:pPr>
    </w:p>
    <w:p w:rsidR="00760D67" w:rsidRPr="00F17155" w:rsidP="00F474C4" w14:paraId="75427490" w14:textId="5C7F5748">
      <w:pPr>
        <w:pStyle w:val="BodyText"/>
        <w:ind w:right="176"/>
      </w:pPr>
      <w:r w:rsidRPr="00661D15">
        <w:t>Based on the five-year historical average (see</w:t>
      </w:r>
      <w:r w:rsidRPr="00661D15" w:rsidR="006930AA">
        <w:t xml:space="preserve"> Table 1</w:t>
      </w:r>
      <w:r w:rsidRPr="00661D15">
        <w:t xml:space="preserve">), we estimate that </w:t>
      </w:r>
      <w:r w:rsidRPr="00661D15" w:rsidR="006930AA">
        <w:t xml:space="preserve">two (2) transplant programs per year </w:t>
      </w:r>
      <w:r w:rsidRPr="00661D15">
        <w:t xml:space="preserve">will apply for Medicare certification. </w:t>
      </w:r>
      <w:r w:rsidRPr="00CC03EB" w:rsidR="00981848">
        <w:t>Because fewer than ten</w:t>
      </w:r>
      <w:r w:rsidR="00981848">
        <w:t xml:space="preserve"> (10)</w:t>
      </w:r>
      <w:r w:rsidRPr="00CC03EB" w:rsidR="00981848">
        <w:t xml:space="preserve"> transplant programs annually </w:t>
      </w:r>
      <w:r w:rsidR="00981848">
        <w:t>will</w:t>
      </w:r>
      <w:r w:rsidRPr="00CC03EB" w:rsidR="00981848">
        <w:t xml:space="preserve"> </w:t>
      </w:r>
      <w:r w:rsidR="00981848">
        <w:t>request initial Medicare approval under §§ 488.61(a) and (b)</w:t>
      </w:r>
      <w:r w:rsidRPr="00CC03EB" w:rsidR="00981848">
        <w:t>, the burden</w:t>
      </w:r>
      <w:r w:rsidR="00981848">
        <w:t xml:space="preserve"> associated with</w:t>
      </w:r>
      <w:r w:rsidRPr="00CC03EB" w:rsidR="00981848">
        <w:t xml:space="preserve"> </w:t>
      </w:r>
      <w:r w:rsidR="00981848">
        <w:t>thi</w:t>
      </w:r>
      <w:r w:rsidRPr="00CC03EB" w:rsidR="00981848">
        <w:t>s</w:t>
      </w:r>
      <w:r w:rsidR="00981848">
        <w:t xml:space="preserve"> activity</w:t>
      </w:r>
      <w:r w:rsidRPr="00CC03EB" w:rsidR="00981848">
        <w:t xml:space="preserve"> is exempt from the PRA under </w:t>
      </w:r>
      <w:hyperlink r:id="rId13" w:anchor="p-1320.3(c)" w:tgtFrame="_blank" w:history="1">
        <w:r w:rsidRPr="00391414" w:rsidR="00981848">
          <w:t>5 CFR §1320.3(c)</w:t>
        </w:r>
      </w:hyperlink>
      <w:r w:rsidRPr="00CC03EB" w:rsidR="00981848">
        <w:t>(4).</w:t>
      </w:r>
    </w:p>
    <w:p w:rsidR="00760D67" w:rsidP="00F474C4" w14:paraId="5F61A80E" w14:textId="77777777">
      <w:pPr>
        <w:pStyle w:val="BodyText"/>
        <w:ind w:right="144"/>
        <w:rPr>
          <w:u w:val="single"/>
        </w:rPr>
      </w:pPr>
    </w:p>
    <w:p w:rsidR="00B85251" w:rsidRPr="00FF5B7E" w:rsidP="002E0114" w14:paraId="0CBF9FB3" w14:textId="1EFB0094">
      <w:pPr>
        <w:pStyle w:val="Heading6"/>
        <w:spacing w:before="0"/>
      </w:pPr>
      <w:r w:rsidRPr="00FF5B7E">
        <w:t xml:space="preserve">§488.61(c) - Request re-approval for Medicare </w:t>
      </w:r>
      <w:r w:rsidRPr="00FF5B7E" w:rsidR="008468DA">
        <w:t>C</w:t>
      </w:r>
      <w:r w:rsidRPr="00FF5B7E">
        <w:t>ertification</w:t>
      </w:r>
    </w:p>
    <w:p w:rsidR="00BE650C" w:rsidRPr="00E60627" w:rsidP="00F474C4" w14:paraId="5BF790BD" w14:textId="1531CC03">
      <w:pPr>
        <w:pStyle w:val="BodyText"/>
      </w:pPr>
      <w:r w:rsidRPr="00E60627">
        <w:t>Section 488.61(</w:t>
      </w:r>
      <w:r w:rsidRPr="00E60627" w:rsidR="004911AB">
        <w:t>c</w:t>
      </w:r>
      <w:r w:rsidRPr="00E60627">
        <w:t xml:space="preserve">) sets forth the requirements for transplant </w:t>
      </w:r>
      <w:r w:rsidRPr="00E60627" w:rsidR="00672C4D">
        <w:t>programs</w:t>
      </w:r>
      <w:r w:rsidRPr="00E60627">
        <w:t xml:space="preserve"> that have lost their Medicare approval </w:t>
      </w:r>
      <w:r w:rsidRPr="005F284B" w:rsidR="008E4B26">
        <w:t xml:space="preserve">and wish </w:t>
      </w:r>
      <w:r w:rsidRPr="00E60627">
        <w:t xml:space="preserve">to request re-entry into the Medicare Program. </w:t>
      </w:r>
      <w:r w:rsidRPr="00E60627" w:rsidR="004911AB">
        <w:t>The</w:t>
      </w:r>
      <w:r w:rsidRPr="005F284B" w:rsidR="004911AB">
        <w:t xml:space="preserve"> burden </w:t>
      </w:r>
      <w:r w:rsidRPr="005F284B" w:rsidR="008E4B26">
        <w:t xml:space="preserve">associated with </w:t>
      </w:r>
      <w:r w:rsidRPr="005F284B" w:rsidR="004911AB">
        <w:t xml:space="preserve">this requirement </w:t>
      </w:r>
      <w:r w:rsidRPr="005F284B" w:rsidR="008E4B26">
        <w:t xml:space="preserve">is </w:t>
      </w:r>
      <w:r w:rsidRPr="005F284B" w:rsidR="004911AB">
        <w:t xml:space="preserve">the time </w:t>
      </w:r>
      <w:r w:rsidRPr="005F284B" w:rsidR="008E4B26">
        <w:t xml:space="preserve">needed </w:t>
      </w:r>
      <w:r w:rsidRPr="005F284B" w:rsidR="004911AB">
        <w:t xml:space="preserve">to prepare and submit the </w:t>
      </w:r>
      <w:r w:rsidRPr="005F284B" w:rsidR="008E4B26">
        <w:t>re-</w:t>
      </w:r>
      <w:r w:rsidRPr="005F284B" w:rsidR="004911AB">
        <w:t xml:space="preserve">approval </w:t>
      </w:r>
      <w:r w:rsidRPr="005F284B" w:rsidR="00D408A7">
        <w:t xml:space="preserve">request </w:t>
      </w:r>
      <w:r w:rsidRPr="005F284B" w:rsidR="004911AB">
        <w:t xml:space="preserve">to </w:t>
      </w:r>
      <w:r w:rsidRPr="005F284B" w:rsidR="00D408A7">
        <w:t>CMS</w:t>
      </w:r>
      <w:r w:rsidR="00D408A7">
        <w:t xml:space="preserve"> </w:t>
      </w:r>
      <w:r w:rsidRPr="005F284B" w:rsidR="004911AB">
        <w:t>pursuant to §488.61(a)</w:t>
      </w:r>
      <w:r w:rsidRPr="005F284B" w:rsidR="008E4B26">
        <w:t>,</w:t>
      </w:r>
      <w:r w:rsidRPr="005F284B" w:rsidR="004911AB">
        <w:t xml:space="preserve"> and to prepare and submit a report</w:t>
      </w:r>
      <w:r w:rsidR="00D408A7">
        <w:t xml:space="preserve"> </w:t>
      </w:r>
      <w:r w:rsidRPr="005F284B" w:rsidR="004911AB">
        <w:t xml:space="preserve">documenting any changes or corrective actions taken by the transplant program </w:t>
      </w:r>
      <w:r w:rsidRPr="005F284B" w:rsidR="004911AB">
        <w:t>as a result of</w:t>
      </w:r>
      <w:r w:rsidRPr="005F284B" w:rsidR="004911AB">
        <w:t xml:space="preserve"> the loss of its Medicare approval status.</w:t>
      </w:r>
      <w:r w:rsidRPr="00E60627" w:rsidR="004911AB">
        <w:t xml:space="preserve"> </w:t>
      </w:r>
    </w:p>
    <w:p w:rsidR="00BE650C" w:rsidRPr="00E60627" w:rsidP="00F474C4" w14:paraId="1C84248B" w14:textId="77777777">
      <w:pPr>
        <w:pStyle w:val="BodyText"/>
      </w:pPr>
    </w:p>
    <w:p w:rsidR="00BE650C" w:rsidRPr="005F284B" w:rsidP="00F474C4" w14:paraId="6C3B46E5" w14:textId="2EF47FA4">
      <w:pPr>
        <w:pStyle w:val="BodyText"/>
      </w:pPr>
      <w:r w:rsidRPr="005F284B">
        <w:t xml:space="preserve">We continue to </w:t>
      </w:r>
      <w:r w:rsidRPr="00E60627">
        <w:t xml:space="preserve">believe that </w:t>
      </w:r>
      <w:r w:rsidRPr="005F284B" w:rsidR="00043C18">
        <w:t xml:space="preserve">the same staff </w:t>
      </w:r>
      <w:r w:rsidRPr="005F284B" w:rsidR="008E4B26">
        <w:t xml:space="preserve">who </w:t>
      </w:r>
      <w:r w:rsidRPr="005F284B" w:rsidR="00AB098A">
        <w:t>completed</w:t>
      </w:r>
      <w:r w:rsidRPr="005F284B" w:rsidR="00043C18">
        <w:t xml:space="preserve"> the initial approval request </w:t>
      </w:r>
      <w:r w:rsidRPr="005F284B" w:rsidR="008E4B26">
        <w:t>under §§</w:t>
      </w:r>
      <w:r w:rsidRPr="005F284B" w:rsidR="00043C18">
        <w:t xml:space="preserve">488.61(a) and (b) would also </w:t>
      </w:r>
      <w:r w:rsidRPr="005F284B" w:rsidR="008E4B26">
        <w:t xml:space="preserve">prepare </w:t>
      </w:r>
      <w:r w:rsidRPr="00E60627">
        <w:t>and submit</w:t>
      </w:r>
      <w:r w:rsidRPr="005F284B" w:rsidR="00043C18">
        <w:t xml:space="preserve"> </w:t>
      </w:r>
      <w:r w:rsidRPr="005F284B">
        <w:t>th</w:t>
      </w:r>
      <w:r w:rsidRPr="005F284B" w:rsidR="00043C18">
        <w:t>e</w:t>
      </w:r>
      <w:r w:rsidRPr="005F284B">
        <w:t xml:space="preserve"> </w:t>
      </w:r>
      <w:r w:rsidRPr="005F284B" w:rsidR="00D408A7">
        <w:t xml:space="preserve">re-approval </w:t>
      </w:r>
      <w:r w:rsidRPr="005F284B">
        <w:t>request</w:t>
      </w:r>
      <w:r w:rsidRPr="005F284B" w:rsidR="008E4B26">
        <w:t xml:space="preserve"> under </w:t>
      </w:r>
      <w:r w:rsidR="00D408A7">
        <w:t>§</w:t>
      </w:r>
      <w:r w:rsidRPr="005F284B" w:rsidR="00043C18">
        <w:t>488.61</w:t>
      </w:r>
      <w:r w:rsidRPr="005F284B" w:rsidR="00D408A7">
        <w:t>(</w:t>
      </w:r>
      <w:r w:rsidR="00D408A7">
        <w:t>c</w:t>
      </w:r>
      <w:r w:rsidRPr="005F284B" w:rsidR="00D408A7">
        <w:t>)</w:t>
      </w:r>
      <w:r w:rsidRPr="005F284B" w:rsidR="00043C18">
        <w:t xml:space="preserve">. However, we continue to assume that the re-approval request </w:t>
      </w:r>
      <w:r w:rsidRPr="005F284B">
        <w:t>require</w:t>
      </w:r>
      <w:r w:rsidRPr="005F284B" w:rsidR="008E4B26">
        <w:t>s</w:t>
      </w:r>
      <w:r w:rsidRPr="005F284B">
        <w:t xml:space="preserve"> more time than </w:t>
      </w:r>
      <w:r w:rsidRPr="005F284B" w:rsidR="008E4B26">
        <w:t xml:space="preserve">the </w:t>
      </w:r>
      <w:r w:rsidRPr="005F284B">
        <w:t xml:space="preserve">initial approval because </w:t>
      </w:r>
      <w:r w:rsidRPr="005F284B" w:rsidR="008E4B26">
        <w:t xml:space="preserve">it must include </w:t>
      </w:r>
      <w:r w:rsidRPr="005F284B">
        <w:t>document</w:t>
      </w:r>
      <w:r w:rsidRPr="005F284B" w:rsidR="008E4B26">
        <w:t>ation of</w:t>
      </w:r>
      <w:r w:rsidRPr="005F284B">
        <w:t xml:space="preserve"> any changes or corrective action taken </w:t>
      </w:r>
      <w:r w:rsidRPr="005F284B" w:rsidR="008E4B26">
        <w:t xml:space="preserve">following </w:t>
      </w:r>
      <w:r w:rsidRPr="005F284B">
        <w:t xml:space="preserve">the loss of Medicare approval status. </w:t>
      </w:r>
    </w:p>
    <w:p w:rsidR="00BE650C" w:rsidRPr="005F284B" w:rsidP="00F474C4" w14:paraId="5A36878F" w14:textId="77777777">
      <w:pPr>
        <w:pStyle w:val="BodyText"/>
      </w:pPr>
    </w:p>
    <w:p w:rsidR="00AB098A" w:rsidP="00F474C4" w14:paraId="742C0B7F" w14:textId="07EB1B36">
      <w:pPr>
        <w:pStyle w:val="BodyText"/>
        <w:ind w:right="176"/>
      </w:pPr>
      <w:r w:rsidRPr="005F284B">
        <w:t>Therefore, as shown in Table 8, for each transplant program that loses its Medicare certification and seeks to re</w:t>
      </w:r>
      <w:r w:rsidRPr="005F284B" w:rsidR="008E4B26">
        <w:t>-approval</w:t>
      </w:r>
      <w:r w:rsidRPr="005F284B">
        <w:t xml:space="preserve">, </w:t>
      </w:r>
      <w:r w:rsidRPr="00C07317" w:rsidR="00043C18">
        <w:t xml:space="preserve">we </w:t>
      </w:r>
      <w:r w:rsidRPr="005F284B" w:rsidR="004911AB">
        <w:t xml:space="preserve">estimate </w:t>
      </w:r>
      <w:r>
        <w:t>the following staff time is required to</w:t>
      </w:r>
      <w:r w:rsidRPr="005F284B">
        <w:t xml:space="preserve"> prepare and submit the</w:t>
      </w:r>
      <w:r>
        <w:t xml:space="preserve"> re-approval</w:t>
      </w:r>
      <w:r w:rsidRPr="005F284B">
        <w:t xml:space="preserve"> request</w:t>
      </w:r>
      <w:r w:rsidRPr="005F284B" w:rsidR="008E4B26">
        <w:t>:</w:t>
      </w:r>
    </w:p>
    <w:p w:rsidR="008E4B26" w:rsidP="00F474C4" w14:paraId="43D750C4" w14:textId="43D597C4">
      <w:pPr>
        <w:pStyle w:val="BodyText"/>
        <w:numPr>
          <w:ilvl w:val="0"/>
          <w:numId w:val="43"/>
        </w:numPr>
        <w:ind w:right="176"/>
      </w:pPr>
      <w:r w:rsidRPr="0030246A">
        <w:t xml:space="preserve">1 hour </w:t>
      </w:r>
      <w:r w:rsidR="0030246A">
        <w:t xml:space="preserve">- </w:t>
      </w:r>
      <w:r w:rsidRPr="0030246A" w:rsidR="004911AB">
        <w:t>Medical Director</w:t>
      </w:r>
    </w:p>
    <w:p w:rsidR="008E4B26" w:rsidP="00F474C4" w14:paraId="3E3B0DD0" w14:textId="636062CB">
      <w:pPr>
        <w:pStyle w:val="BodyText"/>
        <w:numPr>
          <w:ilvl w:val="0"/>
          <w:numId w:val="34"/>
        </w:numPr>
        <w:ind w:right="176"/>
      </w:pPr>
      <w:r w:rsidRPr="0030246A">
        <w:t>1 hour</w:t>
      </w:r>
      <w:r w:rsidRPr="0030246A" w:rsidR="004911AB">
        <w:t xml:space="preserve"> </w:t>
      </w:r>
      <w:r w:rsidRPr="0030246A">
        <w:t xml:space="preserve">- </w:t>
      </w:r>
      <w:r w:rsidRPr="0030246A">
        <w:t xml:space="preserve">Senior </w:t>
      </w:r>
      <w:r w:rsidRPr="0030246A" w:rsidR="004911AB">
        <w:t>Administrator</w:t>
      </w:r>
    </w:p>
    <w:p w:rsidR="008E4B26" w:rsidP="00F474C4" w14:paraId="5712B8C3" w14:textId="7692D561">
      <w:pPr>
        <w:pStyle w:val="BodyText"/>
        <w:numPr>
          <w:ilvl w:val="0"/>
          <w:numId w:val="34"/>
        </w:numPr>
        <w:ind w:right="176"/>
      </w:pPr>
      <w:r w:rsidRPr="0030246A">
        <w:t>2.5</w:t>
      </w:r>
      <w:r w:rsidRPr="0030246A" w:rsidR="0030246A">
        <w:t xml:space="preserve"> </w:t>
      </w:r>
      <w:r w:rsidRPr="0030246A">
        <w:t xml:space="preserve">hours </w:t>
      </w:r>
      <w:r w:rsidRPr="0030246A">
        <w:t xml:space="preserve">- </w:t>
      </w:r>
      <w:r w:rsidRPr="0030246A">
        <w:t>Transplant Coordinator</w:t>
      </w:r>
    </w:p>
    <w:p w:rsidR="008E4B26" w:rsidRPr="0030246A" w:rsidP="00F474C4" w14:paraId="4B2D6034" w14:textId="24987DC8">
      <w:pPr>
        <w:pStyle w:val="BodyText"/>
        <w:numPr>
          <w:ilvl w:val="0"/>
          <w:numId w:val="34"/>
        </w:numPr>
        <w:ind w:right="176"/>
      </w:pPr>
      <w:r w:rsidRPr="0030246A">
        <w:t>0</w:t>
      </w:r>
      <w:r w:rsidRPr="0030246A" w:rsidR="004911AB">
        <w:t xml:space="preserve">.5 hours </w:t>
      </w:r>
      <w:r w:rsidRPr="0030246A" w:rsidR="0030246A">
        <w:t>-</w:t>
      </w:r>
      <w:r w:rsidRPr="0030246A" w:rsidR="00043C18">
        <w:t xml:space="preserve"> </w:t>
      </w:r>
      <w:r w:rsidRPr="0030246A" w:rsidR="0030246A">
        <w:t>Administrative Assistant</w:t>
      </w:r>
    </w:p>
    <w:p w:rsidR="008E4B26" w:rsidRPr="00E60627" w:rsidP="00F474C4" w14:paraId="27391A5A" w14:textId="77777777">
      <w:pPr>
        <w:pStyle w:val="ListBullet"/>
        <w:rPr>
          <w:sz w:val="24"/>
          <w:szCs w:val="24"/>
        </w:rPr>
      </w:pPr>
    </w:p>
    <w:p w:rsidR="0044713E" w:rsidRPr="00E60627" w:rsidP="00F474C4" w14:paraId="278B9481" w14:textId="3E4AD05B">
      <w:pPr>
        <w:pStyle w:val="ListBullet"/>
        <w:rPr>
          <w:sz w:val="24"/>
          <w:szCs w:val="24"/>
        </w:rPr>
      </w:pPr>
      <w:r>
        <w:rPr>
          <w:sz w:val="24"/>
          <w:szCs w:val="24"/>
        </w:rPr>
        <w:t xml:space="preserve">This results in a total of </w:t>
      </w:r>
      <w:r w:rsidRPr="00E60627" w:rsidR="004911AB">
        <w:rPr>
          <w:sz w:val="24"/>
          <w:szCs w:val="24"/>
        </w:rPr>
        <w:t>5</w:t>
      </w:r>
      <w:r w:rsidRPr="00E60627">
        <w:rPr>
          <w:sz w:val="24"/>
          <w:szCs w:val="24"/>
        </w:rPr>
        <w:t xml:space="preserve"> </w:t>
      </w:r>
      <w:r w:rsidRPr="00E60627" w:rsidR="004911AB">
        <w:rPr>
          <w:sz w:val="24"/>
          <w:szCs w:val="24"/>
        </w:rPr>
        <w:t>hours</w:t>
      </w:r>
      <w:r w:rsidRPr="00E60627" w:rsidR="00043C18">
        <w:rPr>
          <w:sz w:val="24"/>
          <w:szCs w:val="24"/>
        </w:rPr>
        <w:t xml:space="preserve"> </w:t>
      </w:r>
      <w:r w:rsidRPr="00E60627" w:rsidR="008E4B26">
        <w:rPr>
          <w:sz w:val="24"/>
          <w:szCs w:val="24"/>
        </w:rPr>
        <w:t xml:space="preserve">(1 + 1 + 2.5 +0.5) </w:t>
      </w:r>
      <w:r>
        <w:rPr>
          <w:sz w:val="24"/>
          <w:szCs w:val="24"/>
        </w:rPr>
        <w:t xml:space="preserve">per transplant program </w:t>
      </w:r>
      <w:r w:rsidRPr="00E60627" w:rsidR="00043C18">
        <w:rPr>
          <w:sz w:val="24"/>
          <w:szCs w:val="24"/>
        </w:rPr>
        <w:t xml:space="preserve">at a </w:t>
      </w:r>
      <w:r w:rsidRPr="00E60627">
        <w:rPr>
          <w:sz w:val="24"/>
          <w:szCs w:val="24"/>
        </w:rPr>
        <w:t>weighted average cost of $676</w:t>
      </w:r>
      <w:r w:rsidRPr="00E60627" w:rsidR="008E4B26">
        <w:rPr>
          <w:sz w:val="24"/>
          <w:szCs w:val="24"/>
        </w:rPr>
        <w:t xml:space="preserve"> ($259 + $144 + $250 + $23)</w:t>
      </w:r>
      <w:r w:rsidR="0073506B">
        <w:rPr>
          <w:sz w:val="24"/>
          <w:szCs w:val="24"/>
        </w:rPr>
        <w:t xml:space="preserve"> per program</w:t>
      </w:r>
      <w:r>
        <w:rPr>
          <w:sz w:val="24"/>
          <w:szCs w:val="24"/>
        </w:rPr>
        <w:t>. See Table 8 below.</w:t>
      </w:r>
    </w:p>
    <w:p w:rsidR="006802E4" w:rsidP="002E0114" w14:paraId="1610887F" w14:textId="77777777">
      <w:pPr>
        <w:pStyle w:val="BodyText"/>
        <w:spacing w:before="21"/>
        <w:ind w:right="1893"/>
      </w:pPr>
    </w:p>
    <w:p w:rsidR="00043C18" w:rsidRPr="008E4B26" w:rsidP="002E0114" w14:paraId="335740D7" w14:textId="2B47DB84">
      <w:pPr>
        <w:pStyle w:val="BodyText"/>
        <w:ind w:left="360" w:right="70"/>
        <w:jc w:val="center"/>
        <w:rPr>
          <w:b/>
          <w:bCs/>
          <w:sz w:val="16"/>
        </w:rPr>
      </w:pPr>
      <w:r w:rsidRPr="008E4B26">
        <w:rPr>
          <w:b/>
          <w:bCs/>
        </w:rPr>
        <w:t xml:space="preserve">Table 8. </w:t>
      </w:r>
      <w:r w:rsidRPr="00E60627">
        <w:rPr>
          <w:b/>
          <w:bCs/>
        </w:rPr>
        <w:t>§488.61(c) –</w:t>
      </w:r>
      <w:r w:rsidRPr="008E4B26">
        <w:rPr>
          <w:b/>
          <w:bCs/>
        </w:rPr>
        <w:t xml:space="preserve"> Request re-approval for Medicare </w:t>
      </w:r>
      <w:r w:rsidR="008468DA">
        <w:rPr>
          <w:b/>
          <w:bCs/>
        </w:rPr>
        <w:t>C</w:t>
      </w:r>
      <w:r w:rsidRPr="008E4B26">
        <w:rPr>
          <w:b/>
          <w:bCs/>
        </w:rPr>
        <w:t>ertification</w:t>
      </w:r>
    </w:p>
    <w:tbl>
      <w:tblPr>
        <w:tblW w:w="7915" w:type="dxa"/>
        <w:jc w:val="center"/>
        <w:tblLook w:val="04A0"/>
      </w:tblPr>
      <w:tblGrid>
        <w:gridCol w:w="4225"/>
        <w:gridCol w:w="1145"/>
        <w:gridCol w:w="1255"/>
        <w:gridCol w:w="1290"/>
      </w:tblGrid>
      <w:tr w14:paraId="7249FE20" w14:textId="77777777" w:rsidTr="003A1342">
        <w:tblPrEx>
          <w:tblW w:w="7915" w:type="dxa"/>
          <w:jc w:val="center"/>
          <w:tblLook w:val="04A0"/>
        </w:tblPrEx>
        <w:trPr>
          <w:trHeight w:val="1030"/>
          <w:jc w:val="center"/>
        </w:trPr>
        <w:tc>
          <w:tcPr>
            <w:tcW w:w="4225" w:type="dxa"/>
            <w:vMerge w:val="restart"/>
            <w:tcBorders>
              <w:top w:val="single" w:sz="4" w:space="0" w:color="auto"/>
              <w:left w:val="single" w:sz="4" w:space="0" w:color="auto"/>
              <w:right w:val="single" w:sz="4" w:space="0" w:color="auto"/>
            </w:tcBorders>
            <w:shd w:val="clear" w:color="CCCCCC" w:fill="F2F2F2"/>
            <w:vAlign w:val="center"/>
            <w:hideMark/>
          </w:tcPr>
          <w:p w:rsidR="008468DA" w:rsidP="0019334A" w14:paraId="52D1F15F" w14:textId="77777777">
            <w:pPr>
              <w:widowControl/>
              <w:autoSpaceDE/>
              <w:autoSpaceDN/>
              <w:jc w:val="center"/>
              <w:rPr>
                <w:b/>
                <w:bCs/>
                <w:color w:val="000000"/>
                <w:sz w:val="20"/>
                <w:szCs w:val="20"/>
              </w:rPr>
            </w:pPr>
            <w:r>
              <w:rPr>
                <w:b/>
                <w:bCs/>
                <w:color w:val="000000"/>
                <w:sz w:val="20"/>
                <w:szCs w:val="20"/>
              </w:rPr>
              <w:t xml:space="preserve">Burden to Request </w:t>
            </w:r>
          </w:p>
          <w:p w:rsidR="0044713E" w:rsidRPr="00CF3478" w:rsidP="002E64AD" w14:paraId="4AC452DD" w14:textId="4F42DAD5">
            <w:pPr>
              <w:widowControl/>
              <w:autoSpaceDE/>
              <w:autoSpaceDN/>
              <w:ind w:left="252"/>
              <w:jc w:val="center"/>
              <w:rPr>
                <w:b/>
                <w:bCs/>
                <w:color w:val="000000"/>
                <w:sz w:val="20"/>
                <w:szCs w:val="20"/>
              </w:rPr>
            </w:pPr>
            <w:r>
              <w:rPr>
                <w:b/>
                <w:bCs/>
                <w:color w:val="000000"/>
                <w:sz w:val="20"/>
                <w:szCs w:val="20"/>
              </w:rPr>
              <w:t>Re-Approval for Medicare Certification</w:t>
            </w:r>
          </w:p>
        </w:tc>
        <w:tc>
          <w:tcPr>
            <w:tcW w:w="1145" w:type="dxa"/>
            <w:tcBorders>
              <w:top w:val="single" w:sz="4" w:space="0" w:color="auto"/>
              <w:left w:val="nil"/>
              <w:right w:val="single" w:sz="8" w:space="0" w:color="000000"/>
            </w:tcBorders>
            <w:shd w:val="clear" w:color="CCCCCC" w:fill="F2F2F2"/>
            <w:vAlign w:val="center"/>
            <w:hideMark/>
          </w:tcPr>
          <w:p w:rsidR="0044713E" w:rsidRPr="00CF3478" w:rsidP="0019334A" w14:paraId="68ABC0EC" w14:textId="77777777">
            <w:pPr>
              <w:widowControl/>
              <w:autoSpaceDE/>
              <w:autoSpaceDN/>
              <w:jc w:val="center"/>
              <w:rPr>
                <w:b/>
                <w:bCs/>
                <w:color w:val="000000"/>
                <w:sz w:val="20"/>
                <w:szCs w:val="20"/>
              </w:rPr>
            </w:pPr>
            <w:r w:rsidRPr="00CF3478">
              <w:rPr>
                <w:b/>
                <w:bCs/>
                <w:color w:val="000000"/>
                <w:sz w:val="20"/>
                <w:szCs w:val="20"/>
              </w:rPr>
              <w:t>Loaded Hourly Mean Wage</w:t>
            </w:r>
          </w:p>
        </w:tc>
        <w:tc>
          <w:tcPr>
            <w:tcW w:w="1255" w:type="dxa"/>
            <w:tcBorders>
              <w:top w:val="single" w:sz="8" w:space="0" w:color="000000"/>
              <w:left w:val="single" w:sz="8" w:space="0" w:color="000000"/>
              <w:right w:val="single" w:sz="8" w:space="0" w:color="000000"/>
            </w:tcBorders>
            <w:shd w:val="clear" w:color="CCCCCC" w:fill="F2F2F2"/>
            <w:vAlign w:val="center"/>
          </w:tcPr>
          <w:p w:rsidR="0044713E" w:rsidRPr="00FE7ECE" w:rsidP="0019334A" w14:paraId="2015195E" w14:textId="77777777">
            <w:pPr>
              <w:widowControl/>
              <w:autoSpaceDE/>
              <w:autoSpaceDN/>
              <w:jc w:val="center"/>
              <w:rPr>
                <w:b/>
                <w:bCs/>
                <w:sz w:val="20"/>
                <w:szCs w:val="20"/>
              </w:rPr>
            </w:pPr>
            <w:r w:rsidRPr="00FE7ECE">
              <w:rPr>
                <w:b/>
                <w:bCs/>
                <w:sz w:val="20"/>
                <w:szCs w:val="20"/>
              </w:rPr>
              <w:t>Burden Hours/</w:t>
            </w:r>
          </w:p>
          <w:p w:rsidR="0044713E" w:rsidRPr="00FE7ECE" w:rsidP="0019334A" w14:paraId="647AF9BF" w14:textId="1541E5EC">
            <w:pPr>
              <w:widowControl/>
              <w:autoSpaceDE/>
              <w:autoSpaceDN/>
              <w:jc w:val="center"/>
              <w:rPr>
                <w:b/>
                <w:bCs/>
                <w:color w:val="000000"/>
                <w:sz w:val="20"/>
                <w:szCs w:val="20"/>
              </w:rPr>
            </w:pPr>
            <w:r>
              <w:rPr>
                <w:b/>
                <w:bCs/>
                <w:sz w:val="20"/>
                <w:szCs w:val="20"/>
              </w:rPr>
              <w:t>Program</w:t>
            </w:r>
          </w:p>
        </w:tc>
        <w:tc>
          <w:tcPr>
            <w:tcW w:w="1290" w:type="dxa"/>
            <w:tcBorders>
              <w:top w:val="single" w:sz="4" w:space="0" w:color="auto"/>
              <w:left w:val="single" w:sz="8" w:space="0" w:color="000000"/>
              <w:right w:val="single" w:sz="4" w:space="0" w:color="auto"/>
            </w:tcBorders>
            <w:shd w:val="clear" w:color="CCCCCC" w:fill="F2F2F2"/>
            <w:vAlign w:val="center"/>
          </w:tcPr>
          <w:p w:rsidR="0044713E" w:rsidRPr="00FE7ECE" w:rsidP="0019334A" w14:paraId="5CCC02FB" w14:textId="77777777">
            <w:pPr>
              <w:widowControl/>
              <w:autoSpaceDE/>
              <w:autoSpaceDN/>
              <w:jc w:val="center"/>
              <w:rPr>
                <w:b/>
                <w:bCs/>
                <w:color w:val="000000"/>
                <w:sz w:val="20"/>
                <w:szCs w:val="20"/>
              </w:rPr>
            </w:pPr>
            <w:r w:rsidRPr="00FE7ECE">
              <w:rPr>
                <w:b/>
                <w:bCs/>
                <w:color w:val="000000"/>
                <w:sz w:val="20"/>
                <w:szCs w:val="20"/>
              </w:rPr>
              <w:t>Burden Cost/</w:t>
            </w:r>
          </w:p>
          <w:p w:rsidR="0044713E" w:rsidRPr="00CF3478" w:rsidP="0019334A" w14:paraId="199B34EC" w14:textId="411D4075">
            <w:pPr>
              <w:widowControl/>
              <w:autoSpaceDE/>
              <w:autoSpaceDN/>
              <w:jc w:val="center"/>
              <w:rPr>
                <w:b/>
                <w:bCs/>
                <w:color w:val="000000"/>
                <w:sz w:val="20"/>
                <w:szCs w:val="20"/>
              </w:rPr>
            </w:pPr>
            <w:r>
              <w:rPr>
                <w:b/>
                <w:bCs/>
                <w:color w:val="000000"/>
                <w:sz w:val="20"/>
                <w:szCs w:val="20"/>
              </w:rPr>
              <w:t>Program</w:t>
            </w:r>
          </w:p>
        </w:tc>
      </w:tr>
      <w:tr w14:paraId="07710A12" w14:textId="77777777" w:rsidTr="002E64AD">
        <w:tblPrEx>
          <w:tblW w:w="7915" w:type="dxa"/>
          <w:jc w:val="center"/>
          <w:tblLook w:val="04A0"/>
        </w:tblPrEx>
        <w:trPr>
          <w:trHeight w:val="159"/>
          <w:jc w:val="center"/>
        </w:trPr>
        <w:tc>
          <w:tcPr>
            <w:tcW w:w="4225" w:type="dxa"/>
            <w:vMerge/>
            <w:tcBorders>
              <w:left w:val="single" w:sz="4" w:space="0" w:color="auto"/>
              <w:bottom w:val="single" w:sz="4" w:space="0" w:color="auto"/>
              <w:right w:val="single" w:sz="4" w:space="0" w:color="auto"/>
            </w:tcBorders>
            <w:shd w:val="clear" w:color="CCCCCC" w:fill="F2F2F2"/>
            <w:vAlign w:val="center"/>
            <w:hideMark/>
          </w:tcPr>
          <w:p w:rsidR="0044713E" w:rsidRPr="00CF3478" w:rsidP="0019334A" w14:paraId="1BA6FAE7" w14:textId="77777777">
            <w:pPr>
              <w:widowControl/>
              <w:autoSpaceDE/>
              <w:autoSpaceDN/>
              <w:jc w:val="center"/>
              <w:rPr>
                <w:b/>
                <w:bCs/>
                <w:color w:val="000000"/>
                <w:sz w:val="20"/>
                <w:szCs w:val="20"/>
              </w:rPr>
            </w:pPr>
          </w:p>
        </w:tc>
        <w:tc>
          <w:tcPr>
            <w:tcW w:w="1145" w:type="dxa"/>
            <w:tcBorders>
              <w:left w:val="nil"/>
              <w:bottom w:val="single" w:sz="4" w:space="0" w:color="auto"/>
              <w:right w:val="single" w:sz="8" w:space="0" w:color="000000"/>
            </w:tcBorders>
            <w:shd w:val="clear" w:color="CCCCCC" w:fill="F2F2F2"/>
            <w:vAlign w:val="center"/>
            <w:hideMark/>
          </w:tcPr>
          <w:p w:rsidR="0044713E" w:rsidRPr="003A1342" w:rsidP="0019334A" w14:paraId="6FF42B55" w14:textId="77777777">
            <w:pPr>
              <w:widowControl/>
              <w:autoSpaceDE/>
              <w:autoSpaceDN/>
              <w:jc w:val="center"/>
              <w:rPr>
                <w:i/>
                <w:iCs/>
                <w:color w:val="000000"/>
                <w:sz w:val="20"/>
                <w:szCs w:val="20"/>
              </w:rPr>
            </w:pPr>
            <w:r w:rsidRPr="003A1342">
              <w:rPr>
                <w:i/>
                <w:iCs/>
                <w:color w:val="000000"/>
                <w:sz w:val="20"/>
                <w:szCs w:val="20"/>
              </w:rPr>
              <w:t>(a)</w:t>
            </w:r>
          </w:p>
        </w:tc>
        <w:tc>
          <w:tcPr>
            <w:tcW w:w="1255" w:type="dxa"/>
            <w:tcBorders>
              <w:left w:val="single" w:sz="8" w:space="0" w:color="000000"/>
              <w:bottom w:val="single" w:sz="8" w:space="0" w:color="000000"/>
              <w:right w:val="single" w:sz="8" w:space="0" w:color="000000"/>
            </w:tcBorders>
            <w:shd w:val="clear" w:color="CCCCCC" w:fill="F2F2F2"/>
            <w:vAlign w:val="center"/>
          </w:tcPr>
          <w:p w:rsidR="0044713E" w:rsidRPr="003A1342" w:rsidP="0019334A" w14:paraId="052F5DA9" w14:textId="77777777">
            <w:pPr>
              <w:widowControl/>
              <w:autoSpaceDE/>
              <w:autoSpaceDN/>
              <w:jc w:val="center"/>
              <w:rPr>
                <w:i/>
                <w:iCs/>
                <w:color w:val="000000"/>
                <w:sz w:val="20"/>
                <w:szCs w:val="20"/>
              </w:rPr>
            </w:pPr>
            <w:r w:rsidRPr="003A1342">
              <w:rPr>
                <w:i/>
                <w:iCs/>
                <w:sz w:val="20"/>
                <w:szCs w:val="20"/>
              </w:rPr>
              <w:t xml:space="preserve">(b) </w:t>
            </w:r>
          </w:p>
        </w:tc>
        <w:tc>
          <w:tcPr>
            <w:tcW w:w="1290" w:type="dxa"/>
            <w:tcBorders>
              <w:left w:val="single" w:sz="8" w:space="0" w:color="000000"/>
              <w:bottom w:val="single" w:sz="4" w:space="0" w:color="auto"/>
              <w:right w:val="single" w:sz="4" w:space="0" w:color="auto"/>
            </w:tcBorders>
            <w:shd w:val="clear" w:color="CCCCCC" w:fill="F2F2F2"/>
            <w:vAlign w:val="center"/>
            <w:hideMark/>
          </w:tcPr>
          <w:p w:rsidR="0044713E" w:rsidRPr="003A1342" w:rsidP="0019334A" w14:paraId="0528C097" w14:textId="77777777">
            <w:pPr>
              <w:widowControl/>
              <w:autoSpaceDE/>
              <w:autoSpaceDN/>
              <w:jc w:val="center"/>
              <w:rPr>
                <w:i/>
                <w:iCs/>
                <w:color w:val="000000"/>
                <w:sz w:val="20"/>
                <w:szCs w:val="20"/>
              </w:rPr>
            </w:pPr>
            <w:r w:rsidRPr="003A1342">
              <w:rPr>
                <w:i/>
                <w:iCs/>
                <w:color w:val="000000"/>
                <w:sz w:val="20"/>
                <w:szCs w:val="20"/>
              </w:rPr>
              <w:t>(c = a x b)</w:t>
            </w:r>
          </w:p>
        </w:tc>
      </w:tr>
      <w:tr w14:paraId="19AFBF38" w14:textId="77777777" w:rsidTr="003A1342">
        <w:tblPrEx>
          <w:tblW w:w="7915" w:type="dxa"/>
          <w:jc w:val="center"/>
          <w:tblLook w:val="04A0"/>
        </w:tblPrEx>
        <w:trPr>
          <w:trHeight w:val="432"/>
          <w:jc w:val="center"/>
        </w:trPr>
        <w:tc>
          <w:tcPr>
            <w:tcW w:w="4225" w:type="dxa"/>
            <w:tcBorders>
              <w:top w:val="nil"/>
              <w:left w:val="single" w:sz="4" w:space="0" w:color="auto"/>
              <w:bottom w:val="single" w:sz="4" w:space="0" w:color="auto"/>
              <w:right w:val="single" w:sz="4" w:space="0" w:color="auto"/>
            </w:tcBorders>
            <w:noWrap/>
            <w:vAlign w:val="center"/>
            <w:hideMark/>
          </w:tcPr>
          <w:p w:rsidR="008468DA" w:rsidRPr="003A1342" w:rsidP="008468DA" w14:paraId="22B7A947" w14:textId="74CD2C31">
            <w:pPr>
              <w:widowControl/>
              <w:autoSpaceDE/>
              <w:autoSpaceDN/>
              <w:rPr>
                <w:color w:val="000000"/>
                <w:sz w:val="20"/>
                <w:szCs w:val="20"/>
              </w:rPr>
            </w:pPr>
            <w:r w:rsidRPr="003A1342">
              <w:rPr>
                <w:color w:val="000000"/>
                <w:sz w:val="20"/>
                <w:szCs w:val="20"/>
              </w:rPr>
              <w:t>Medical Director (</w:t>
            </w:r>
            <w:r w:rsidRPr="003A1342">
              <w:rPr>
                <w:sz w:val="20"/>
                <w:szCs w:val="20"/>
              </w:rPr>
              <w:t xml:space="preserve">BLS Occ. Code </w:t>
            </w:r>
            <w:r w:rsidRPr="003A1342">
              <w:rPr>
                <w:color w:val="000000"/>
                <w:sz w:val="20"/>
                <w:szCs w:val="20"/>
              </w:rPr>
              <w:t>29-1210)</w:t>
            </w:r>
          </w:p>
        </w:tc>
        <w:tc>
          <w:tcPr>
            <w:tcW w:w="1145" w:type="dxa"/>
            <w:tcBorders>
              <w:top w:val="nil"/>
              <w:left w:val="nil"/>
              <w:bottom w:val="single" w:sz="4" w:space="0" w:color="auto"/>
              <w:right w:val="single" w:sz="8" w:space="0" w:color="000000"/>
            </w:tcBorders>
            <w:vAlign w:val="center"/>
            <w:hideMark/>
          </w:tcPr>
          <w:p w:rsidR="008468DA" w:rsidRPr="003A1342" w:rsidP="008468DA" w14:paraId="7AE5D930" w14:textId="77777777">
            <w:pPr>
              <w:widowControl/>
              <w:autoSpaceDE/>
              <w:autoSpaceDN/>
              <w:jc w:val="center"/>
              <w:rPr>
                <w:color w:val="000000"/>
                <w:sz w:val="20"/>
                <w:szCs w:val="20"/>
              </w:rPr>
            </w:pPr>
            <w:r w:rsidRPr="003A1342">
              <w:rPr>
                <w:color w:val="000000"/>
                <w:sz w:val="20"/>
                <w:szCs w:val="20"/>
              </w:rPr>
              <w:t>$259</w:t>
            </w:r>
          </w:p>
        </w:tc>
        <w:tc>
          <w:tcPr>
            <w:tcW w:w="1255" w:type="dxa"/>
            <w:tcBorders>
              <w:top w:val="single" w:sz="8" w:space="0" w:color="000000"/>
              <w:left w:val="single" w:sz="8" w:space="0" w:color="000000"/>
              <w:bottom w:val="single" w:sz="8" w:space="0" w:color="000000"/>
              <w:right w:val="single" w:sz="8" w:space="0" w:color="000000"/>
            </w:tcBorders>
            <w:vAlign w:val="center"/>
          </w:tcPr>
          <w:p w:rsidR="008468DA" w:rsidRPr="003A1342" w:rsidP="008468DA" w14:paraId="5ECA02D1" w14:textId="5CB0CF0F">
            <w:pPr>
              <w:widowControl/>
              <w:autoSpaceDE/>
              <w:autoSpaceDN/>
              <w:jc w:val="center"/>
              <w:rPr>
                <w:color w:val="000000"/>
                <w:sz w:val="20"/>
                <w:szCs w:val="20"/>
              </w:rPr>
            </w:pPr>
            <w:r w:rsidRPr="003A1342">
              <w:rPr>
                <w:sz w:val="20"/>
                <w:szCs w:val="20"/>
              </w:rPr>
              <w:t>1.0</w:t>
            </w:r>
          </w:p>
        </w:tc>
        <w:tc>
          <w:tcPr>
            <w:tcW w:w="1290" w:type="dxa"/>
            <w:tcBorders>
              <w:top w:val="nil"/>
              <w:left w:val="single" w:sz="8" w:space="0" w:color="000000"/>
              <w:bottom w:val="single" w:sz="4" w:space="0" w:color="auto"/>
              <w:right w:val="single" w:sz="4" w:space="0" w:color="auto"/>
            </w:tcBorders>
            <w:vAlign w:val="center"/>
            <w:hideMark/>
          </w:tcPr>
          <w:p w:rsidR="008468DA" w:rsidRPr="003A1342" w:rsidP="008468DA" w14:paraId="06DAF9D9" w14:textId="7065083B">
            <w:pPr>
              <w:widowControl/>
              <w:autoSpaceDE/>
              <w:autoSpaceDN/>
              <w:jc w:val="center"/>
              <w:rPr>
                <w:color w:val="000000"/>
                <w:sz w:val="20"/>
                <w:szCs w:val="20"/>
              </w:rPr>
            </w:pPr>
            <w:r w:rsidRPr="003A1342">
              <w:rPr>
                <w:sz w:val="20"/>
                <w:szCs w:val="20"/>
              </w:rPr>
              <w:t>$259</w:t>
            </w:r>
          </w:p>
        </w:tc>
      </w:tr>
      <w:tr w14:paraId="1A6FF02B" w14:textId="77777777" w:rsidTr="003A1342">
        <w:tblPrEx>
          <w:tblW w:w="7915" w:type="dxa"/>
          <w:jc w:val="center"/>
          <w:tblLook w:val="04A0"/>
        </w:tblPrEx>
        <w:trPr>
          <w:trHeight w:val="432"/>
          <w:jc w:val="center"/>
        </w:trPr>
        <w:tc>
          <w:tcPr>
            <w:tcW w:w="4225" w:type="dxa"/>
            <w:tcBorders>
              <w:top w:val="nil"/>
              <w:left w:val="single" w:sz="4" w:space="0" w:color="auto"/>
              <w:bottom w:val="single" w:sz="4" w:space="0" w:color="auto"/>
              <w:right w:val="single" w:sz="4" w:space="0" w:color="auto"/>
            </w:tcBorders>
            <w:noWrap/>
            <w:vAlign w:val="center"/>
            <w:hideMark/>
          </w:tcPr>
          <w:p w:rsidR="008468DA" w:rsidRPr="003A1342" w:rsidP="008468DA" w14:paraId="06478277" w14:textId="76DB55B7">
            <w:pPr>
              <w:widowControl/>
              <w:autoSpaceDE/>
              <w:autoSpaceDN/>
              <w:rPr>
                <w:color w:val="000000"/>
                <w:sz w:val="20"/>
                <w:szCs w:val="20"/>
              </w:rPr>
            </w:pPr>
            <w:r w:rsidRPr="003A1342">
              <w:rPr>
                <w:color w:val="000000"/>
                <w:sz w:val="20"/>
                <w:szCs w:val="20"/>
              </w:rPr>
              <w:t>Senior Administrator (</w:t>
            </w:r>
            <w:r w:rsidRPr="003A1342">
              <w:rPr>
                <w:sz w:val="20"/>
                <w:szCs w:val="20"/>
              </w:rPr>
              <w:t xml:space="preserve">BLS Occ. Code </w:t>
            </w:r>
            <w:r w:rsidRPr="003A1342">
              <w:rPr>
                <w:color w:val="000000"/>
                <w:sz w:val="20"/>
                <w:szCs w:val="20"/>
              </w:rPr>
              <w:t>11-9111)</w:t>
            </w:r>
          </w:p>
        </w:tc>
        <w:tc>
          <w:tcPr>
            <w:tcW w:w="1145" w:type="dxa"/>
            <w:tcBorders>
              <w:top w:val="nil"/>
              <w:left w:val="nil"/>
              <w:bottom w:val="single" w:sz="4" w:space="0" w:color="auto"/>
              <w:right w:val="single" w:sz="8" w:space="0" w:color="000000"/>
            </w:tcBorders>
            <w:vAlign w:val="center"/>
            <w:hideMark/>
          </w:tcPr>
          <w:p w:rsidR="008468DA" w:rsidRPr="003A1342" w:rsidP="008468DA" w14:paraId="0064CEC6" w14:textId="77777777">
            <w:pPr>
              <w:widowControl/>
              <w:autoSpaceDE/>
              <w:autoSpaceDN/>
              <w:jc w:val="center"/>
              <w:rPr>
                <w:color w:val="000000"/>
                <w:sz w:val="20"/>
                <w:szCs w:val="20"/>
              </w:rPr>
            </w:pPr>
            <w:r w:rsidRPr="003A1342">
              <w:rPr>
                <w:color w:val="000000"/>
                <w:sz w:val="20"/>
                <w:szCs w:val="20"/>
              </w:rPr>
              <w:t>$144</w:t>
            </w:r>
          </w:p>
        </w:tc>
        <w:tc>
          <w:tcPr>
            <w:tcW w:w="1255" w:type="dxa"/>
            <w:tcBorders>
              <w:top w:val="single" w:sz="8" w:space="0" w:color="000000"/>
              <w:left w:val="single" w:sz="8" w:space="0" w:color="000000"/>
              <w:bottom w:val="single" w:sz="8" w:space="0" w:color="000000"/>
              <w:right w:val="single" w:sz="8" w:space="0" w:color="000000"/>
            </w:tcBorders>
            <w:vAlign w:val="center"/>
          </w:tcPr>
          <w:p w:rsidR="008468DA" w:rsidRPr="003A1342" w:rsidP="008468DA" w14:paraId="365D369B" w14:textId="7B232573">
            <w:pPr>
              <w:widowControl/>
              <w:autoSpaceDE/>
              <w:autoSpaceDN/>
              <w:jc w:val="center"/>
              <w:rPr>
                <w:color w:val="000000"/>
                <w:sz w:val="20"/>
                <w:szCs w:val="20"/>
              </w:rPr>
            </w:pPr>
            <w:r w:rsidRPr="003A1342">
              <w:rPr>
                <w:sz w:val="20"/>
                <w:szCs w:val="20"/>
              </w:rPr>
              <w:t>1.0</w:t>
            </w:r>
          </w:p>
        </w:tc>
        <w:tc>
          <w:tcPr>
            <w:tcW w:w="1290" w:type="dxa"/>
            <w:tcBorders>
              <w:top w:val="nil"/>
              <w:left w:val="single" w:sz="8" w:space="0" w:color="000000"/>
              <w:bottom w:val="single" w:sz="4" w:space="0" w:color="auto"/>
              <w:right w:val="single" w:sz="4" w:space="0" w:color="auto"/>
            </w:tcBorders>
            <w:vAlign w:val="center"/>
            <w:hideMark/>
          </w:tcPr>
          <w:p w:rsidR="008468DA" w:rsidRPr="003A1342" w:rsidP="008468DA" w14:paraId="3104A663" w14:textId="2B2709F8">
            <w:pPr>
              <w:widowControl/>
              <w:autoSpaceDE/>
              <w:autoSpaceDN/>
              <w:jc w:val="center"/>
              <w:rPr>
                <w:color w:val="000000"/>
                <w:sz w:val="20"/>
                <w:szCs w:val="20"/>
              </w:rPr>
            </w:pPr>
            <w:r w:rsidRPr="003A1342">
              <w:rPr>
                <w:sz w:val="20"/>
                <w:szCs w:val="20"/>
              </w:rPr>
              <w:t>$144</w:t>
            </w:r>
          </w:p>
        </w:tc>
      </w:tr>
      <w:tr w14:paraId="6CBDA3BE" w14:textId="77777777" w:rsidTr="003A1342">
        <w:tblPrEx>
          <w:tblW w:w="7915" w:type="dxa"/>
          <w:jc w:val="center"/>
          <w:tblLook w:val="04A0"/>
        </w:tblPrEx>
        <w:trPr>
          <w:trHeight w:val="432"/>
          <w:jc w:val="center"/>
        </w:trPr>
        <w:tc>
          <w:tcPr>
            <w:tcW w:w="4225" w:type="dxa"/>
            <w:tcBorders>
              <w:top w:val="nil"/>
              <w:left w:val="single" w:sz="4" w:space="0" w:color="auto"/>
              <w:bottom w:val="single" w:sz="4" w:space="0" w:color="auto"/>
              <w:right w:val="single" w:sz="4" w:space="0" w:color="auto"/>
            </w:tcBorders>
            <w:noWrap/>
            <w:vAlign w:val="center"/>
            <w:hideMark/>
          </w:tcPr>
          <w:p w:rsidR="008468DA" w:rsidRPr="003A1342" w:rsidP="008468DA" w14:paraId="535D710B" w14:textId="209EE94F">
            <w:pPr>
              <w:widowControl/>
              <w:autoSpaceDE/>
              <w:autoSpaceDN/>
              <w:rPr>
                <w:color w:val="000000"/>
                <w:sz w:val="20"/>
                <w:szCs w:val="20"/>
              </w:rPr>
            </w:pPr>
            <w:r w:rsidRPr="003A1342">
              <w:rPr>
                <w:color w:val="000000"/>
                <w:sz w:val="20"/>
                <w:szCs w:val="20"/>
              </w:rPr>
              <w:t>Transplant Coordinator (</w:t>
            </w:r>
            <w:r w:rsidRPr="003A1342">
              <w:rPr>
                <w:sz w:val="20"/>
                <w:szCs w:val="20"/>
              </w:rPr>
              <w:t xml:space="preserve">BLS Occ. Code </w:t>
            </w:r>
            <w:r w:rsidRPr="003A1342">
              <w:rPr>
                <w:color w:val="000000"/>
                <w:sz w:val="20"/>
                <w:szCs w:val="20"/>
              </w:rPr>
              <w:t>29-1141)</w:t>
            </w:r>
          </w:p>
        </w:tc>
        <w:tc>
          <w:tcPr>
            <w:tcW w:w="1145" w:type="dxa"/>
            <w:tcBorders>
              <w:top w:val="nil"/>
              <w:left w:val="nil"/>
              <w:bottom w:val="single" w:sz="4" w:space="0" w:color="auto"/>
              <w:right w:val="single" w:sz="8" w:space="0" w:color="000000"/>
            </w:tcBorders>
            <w:vAlign w:val="center"/>
            <w:hideMark/>
          </w:tcPr>
          <w:p w:rsidR="008468DA" w:rsidRPr="003A1342" w:rsidP="008468DA" w14:paraId="42C6A184" w14:textId="77777777">
            <w:pPr>
              <w:widowControl/>
              <w:autoSpaceDE/>
              <w:autoSpaceDN/>
              <w:jc w:val="center"/>
              <w:rPr>
                <w:color w:val="000000"/>
                <w:sz w:val="20"/>
                <w:szCs w:val="20"/>
              </w:rPr>
            </w:pPr>
            <w:r w:rsidRPr="003A1342">
              <w:rPr>
                <w:color w:val="000000"/>
                <w:sz w:val="20"/>
                <w:szCs w:val="20"/>
              </w:rPr>
              <w:t>$100</w:t>
            </w:r>
          </w:p>
        </w:tc>
        <w:tc>
          <w:tcPr>
            <w:tcW w:w="1255" w:type="dxa"/>
            <w:tcBorders>
              <w:top w:val="single" w:sz="8" w:space="0" w:color="000000"/>
              <w:left w:val="single" w:sz="8" w:space="0" w:color="000000"/>
              <w:bottom w:val="single" w:sz="8" w:space="0" w:color="000000"/>
              <w:right w:val="single" w:sz="8" w:space="0" w:color="000000"/>
            </w:tcBorders>
            <w:vAlign w:val="center"/>
          </w:tcPr>
          <w:p w:rsidR="008468DA" w:rsidRPr="003A1342" w:rsidP="008468DA" w14:paraId="592F1BB8" w14:textId="52D0EDBA">
            <w:pPr>
              <w:widowControl/>
              <w:autoSpaceDE/>
              <w:autoSpaceDN/>
              <w:jc w:val="center"/>
              <w:rPr>
                <w:color w:val="000000"/>
                <w:sz w:val="20"/>
                <w:szCs w:val="20"/>
              </w:rPr>
            </w:pPr>
            <w:r w:rsidRPr="003A1342">
              <w:rPr>
                <w:sz w:val="20"/>
                <w:szCs w:val="20"/>
              </w:rPr>
              <w:t>2.5</w:t>
            </w:r>
          </w:p>
        </w:tc>
        <w:tc>
          <w:tcPr>
            <w:tcW w:w="1290" w:type="dxa"/>
            <w:tcBorders>
              <w:top w:val="nil"/>
              <w:left w:val="single" w:sz="8" w:space="0" w:color="000000"/>
              <w:bottom w:val="single" w:sz="4" w:space="0" w:color="auto"/>
              <w:right w:val="single" w:sz="4" w:space="0" w:color="auto"/>
            </w:tcBorders>
            <w:vAlign w:val="center"/>
            <w:hideMark/>
          </w:tcPr>
          <w:p w:rsidR="008468DA" w:rsidRPr="003A1342" w:rsidP="008468DA" w14:paraId="7F4748B7" w14:textId="20408B34">
            <w:pPr>
              <w:widowControl/>
              <w:autoSpaceDE/>
              <w:autoSpaceDN/>
              <w:jc w:val="center"/>
              <w:rPr>
                <w:color w:val="000000"/>
                <w:sz w:val="20"/>
                <w:szCs w:val="20"/>
              </w:rPr>
            </w:pPr>
            <w:r w:rsidRPr="003A1342">
              <w:rPr>
                <w:sz w:val="20"/>
                <w:szCs w:val="20"/>
              </w:rPr>
              <w:t>$250</w:t>
            </w:r>
          </w:p>
        </w:tc>
      </w:tr>
      <w:tr w14:paraId="1B97F76B" w14:textId="77777777" w:rsidTr="003A1342">
        <w:tblPrEx>
          <w:tblW w:w="7915" w:type="dxa"/>
          <w:jc w:val="center"/>
          <w:tblLook w:val="04A0"/>
        </w:tblPrEx>
        <w:trPr>
          <w:trHeight w:val="432"/>
          <w:jc w:val="center"/>
        </w:trPr>
        <w:tc>
          <w:tcPr>
            <w:tcW w:w="4225" w:type="dxa"/>
            <w:tcBorders>
              <w:top w:val="nil"/>
              <w:left w:val="single" w:sz="4" w:space="0" w:color="auto"/>
              <w:bottom w:val="single" w:sz="4" w:space="0" w:color="auto"/>
              <w:right w:val="single" w:sz="4" w:space="0" w:color="auto"/>
            </w:tcBorders>
            <w:vAlign w:val="center"/>
            <w:hideMark/>
          </w:tcPr>
          <w:p w:rsidR="008468DA" w:rsidRPr="003A1342" w:rsidP="008468DA" w14:paraId="423F9540" w14:textId="626547EA">
            <w:pPr>
              <w:widowControl/>
              <w:autoSpaceDE/>
              <w:autoSpaceDN/>
              <w:rPr>
                <w:color w:val="000000"/>
                <w:sz w:val="20"/>
                <w:szCs w:val="20"/>
              </w:rPr>
            </w:pPr>
            <w:r w:rsidRPr="003A1342">
              <w:rPr>
                <w:color w:val="000000"/>
                <w:sz w:val="20"/>
                <w:szCs w:val="20"/>
              </w:rPr>
              <w:t>Administrative Assistant (</w:t>
            </w:r>
            <w:r w:rsidRPr="003A1342">
              <w:rPr>
                <w:sz w:val="20"/>
                <w:szCs w:val="20"/>
              </w:rPr>
              <w:t xml:space="preserve">BLS Occ. Code </w:t>
            </w:r>
            <w:r w:rsidRPr="003A1342">
              <w:rPr>
                <w:color w:val="000000"/>
                <w:sz w:val="20"/>
                <w:szCs w:val="20"/>
              </w:rPr>
              <w:t>43-6013)</w:t>
            </w:r>
          </w:p>
        </w:tc>
        <w:tc>
          <w:tcPr>
            <w:tcW w:w="1145" w:type="dxa"/>
            <w:tcBorders>
              <w:top w:val="nil"/>
              <w:left w:val="nil"/>
              <w:bottom w:val="single" w:sz="4" w:space="0" w:color="auto"/>
              <w:right w:val="single" w:sz="8" w:space="0" w:color="000000"/>
            </w:tcBorders>
            <w:vAlign w:val="center"/>
            <w:hideMark/>
          </w:tcPr>
          <w:p w:rsidR="008468DA" w:rsidRPr="003A1342" w:rsidP="008468DA" w14:paraId="1C4DA160" w14:textId="77777777">
            <w:pPr>
              <w:widowControl/>
              <w:autoSpaceDE/>
              <w:autoSpaceDN/>
              <w:jc w:val="center"/>
              <w:rPr>
                <w:color w:val="000000"/>
                <w:sz w:val="20"/>
                <w:szCs w:val="20"/>
              </w:rPr>
            </w:pPr>
            <w:r w:rsidRPr="003A1342">
              <w:rPr>
                <w:color w:val="000000"/>
                <w:sz w:val="20"/>
                <w:szCs w:val="20"/>
              </w:rPr>
              <w:t>$46</w:t>
            </w:r>
          </w:p>
        </w:tc>
        <w:tc>
          <w:tcPr>
            <w:tcW w:w="1255" w:type="dxa"/>
            <w:tcBorders>
              <w:top w:val="single" w:sz="8" w:space="0" w:color="000000"/>
              <w:left w:val="single" w:sz="8" w:space="0" w:color="000000"/>
              <w:bottom w:val="single" w:sz="8" w:space="0" w:color="000000"/>
              <w:right w:val="single" w:sz="8" w:space="0" w:color="000000"/>
            </w:tcBorders>
            <w:vAlign w:val="center"/>
          </w:tcPr>
          <w:p w:rsidR="008468DA" w:rsidRPr="003A1342" w:rsidP="008468DA" w14:paraId="6934B3A5" w14:textId="2A22759B">
            <w:pPr>
              <w:widowControl/>
              <w:autoSpaceDE/>
              <w:autoSpaceDN/>
              <w:jc w:val="center"/>
              <w:rPr>
                <w:color w:val="000000"/>
                <w:sz w:val="20"/>
                <w:szCs w:val="20"/>
                <w:u w:val="single"/>
              </w:rPr>
            </w:pPr>
            <w:r w:rsidRPr="003A1342">
              <w:rPr>
                <w:sz w:val="20"/>
                <w:szCs w:val="20"/>
              </w:rPr>
              <w:t>0.5</w:t>
            </w:r>
          </w:p>
        </w:tc>
        <w:tc>
          <w:tcPr>
            <w:tcW w:w="1290" w:type="dxa"/>
            <w:tcBorders>
              <w:top w:val="nil"/>
              <w:left w:val="single" w:sz="8" w:space="0" w:color="000000"/>
              <w:bottom w:val="single" w:sz="4" w:space="0" w:color="auto"/>
              <w:right w:val="single" w:sz="4" w:space="0" w:color="auto"/>
            </w:tcBorders>
            <w:vAlign w:val="center"/>
            <w:hideMark/>
          </w:tcPr>
          <w:p w:rsidR="008468DA" w:rsidRPr="003A1342" w:rsidP="008468DA" w14:paraId="25DC9DA1" w14:textId="225E06F0">
            <w:pPr>
              <w:widowControl/>
              <w:autoSpaceDE/>
              <w:autoSpaceDN/>
              <w:jc w:val="center"/>
              <w:rPr>
                <w:color w:val="000000"/>
                <w:sz w:val="20"/>
                <w:szCs w:val="20"/>
              </w:rPr>
            </w:pPr>
            <w:r w:rsidRPr="003A1342">
              <w:rPr>
                <w:sz w:val="20"/>
                <w:szCs w:val="20"/>
              </w:rPr>
              <w:t>$23</w:t>
            </w:r>
          </w:p>
        </w:tc>
      </w:tr>
      <w:tr w14:paraId="2B1D2BA6" w14:textId="77777777" w:rsidTr="003A1342">
        <w:tblPrEx>
          <w:tblW w:w="7915" w:type="dxa"/>
          <w:jc w:val="center"/>
          <w:tblLook w:val="04A0"/>
        </w:tblPrEx>
        <w:trPr>
          <w:trHeight w:val="432"/>
          <w:jc w:val="center"/>
        </w:trPr>
        <w:tc>
          <w:tcPr>
            <w:tcW w:w="422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44713E" w:rsidRPr="003A1342" w:rsidP="0019334A" w14:paraId="2FFB73C0" w14:textId="77777777">
            <w:pPr>
              <w:widowControl/>
              <w:autoSpaceDE/>
              <w:autoSpaceDN/>
              <w:rPr>
                <w:b/>
                <w:bCs/>
                <w:color w:val="000000"/>
                <w:sz w:val="20"/>
                <w:szCs w:val="20"/>
              </w:rPr>
            </w:pPr>
            <w:r w:rsidRPr="003A1342">
              <w:rPr>
                <w:b/>
                <w:bCs/>
                <w:color w:val="000000"/>
                <w:sz w:val="20"/>
                <w:szCs w:val="20"/>
              </w:rPr>
              <w:t>Burden Hours/Costs per transplant program</w:t>
            </w:r>
          </w:p>
        </w:tc>
        <w:tc>
          <w:tcPr>
            <w:tcW w:w="1145" w:type="dxa"/>
            <w:tcBorders>
              <w:top w:val="nil"/>
              <w:left w:val="nil"/>
              <w:bottom w:val="single" w:sz="4" w:space="0" w:color="auto"/>
              <w:right w:val="single" w:sz="8" w:space="0" w:color="000000"/>
            </w:tcBorders>
            <w:shd w:val="clear" w:color="auto" w:fill="F2F2F2" w:themeFill="background1" w:themeFillShade="F2"/>
            <w:vAlign w:val="center"/>
            <w:hideMark/>
          </w:tcPr>
          <w:p w:rsidR="0044713E" w:rsidRPr="003A1342" w:rsidP="0019334A" w14:paraId="5C946936" w14:textId="77777777">
            <w:pPr>
              <w:widowControl/>
              <w:autoSpaceDE/>
              <w:autoSpaceDN/>
              <w:jc w:val="center"/>
              <w:rPr>
                <w:b/>
                <w:bCs/>
                <w:color w:val="000000"/>
                <w:sz w:val="20"/>
                <w:szCs w:val="20"/>
              </w:rPr>
            </w:pPr>
            <w:r w:rsidRPr="003A1342">
              <w:rPr>
                <w:b/>
                <w:bCs/>
                <w:color w:val="000000"/>
                <w:sz w:val="20"/>
                <w:szCs w:val="20"/>
              </w:rPr>
              <w:t> </w:t>
            </w:r>
          </w:p>
        </w:tc>
        <w:tc>
          <w:tcPr>
            <w:tcW w:w="125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44713E" w:rsidRPr="003A1342" w:rsidP="0019334A" w14:paraId="44951C00" w14:textId="39F586F5">
            <w:pPr>
              <w:widowControl/>
              <w:autoSpaceDE/>
              <w:autoSpaceDN/>
              <w:jc w:val="center"/>
              <w:rPr>
                <w:b/>
                <w:bCs/>
                <w:color w:val="000000"/>
                <w:sz w:val="20"/>
                <w:szCs w:val="20"/>
              </w:rPr>
            </w:pPr>
            <w:r w:rsidRPr="003A1342">
              <w:rPr>
                <w:b/>
                <w:bCs/>
                <w:color w:val="000000"/>
                <w:sz w:val="20"/>
                <w:szCs w:val="20"/>
              </w:rPr>
              <w:t>5</w:t>
            </w:r>
          </w:p>
        </w:tc>
        <w:tc>
          <w:tcPr>
            <w:tcW w:w="1290" w:type="dxa"/>
            <w:tcBorders>
              <w:top w:val="nil"/>
              <w:left w:val="single" w:sz="8" w:space="0" w:color="000000"/>
              <w:bottom w:val="single" w:sz="4" w:space="0" w:color="auto"/>
              <w:right w:val="single" w:sz="4" w:space="0" w:color="auto"/>
            </w:tcBorders>
            <w:shd w:val="clear" w:color="auto" w:fill="F2F2F2" w:themeFill="background1" w:themeFillShade="F2"/>
            <w:vAlign w:val="center"/>
            <w:hideMark/>
          </w:tcPr>
          <w:p w:rsidR="0044713E" w:rsidRPr="003A1342" w:rsidP="0019334A" w14:paraId="27600E9C" w14:textId="3C8BEA08">
            <w:pPr>
              <w:widowControl/>
              <w:autoSpaceDE/>
              <w:autoSpaceDN/>
              <w:jc w:val="center"/>
              <w:rPr>
                <w:b/>
                <w:bCs/>
                <w:color w:val="000000"/>
                <w:sz w:val="20"/>
                <w:szCs w:val="20"/>
              </w:rPr>
            </w:pPr>
            <w:r w:rsidRPr="003A1342">
              <w:rPr>
                <w:b/>
                <w:bCs/>
                <w:color w:val="000000"/>
                <w:sz w:val="20"/>
                <w:szCs w:val="20"/>
              </w:rPr>
              <w:t xml:space="preserve">$676 </w:t>
            </w:r>
          </w:p>
        </w:tc>
      </w:tr>
    </w:tbl>
    <w:p w:rsidR="00EB4066" w:rsidP="00F474C4" w14:paraId="6A6C3102" w14:textId="77777777">
      <w:pPr>
        <w:pStyle w:val="BodyText"/>
        <w:ind w:right="29"/>
      </w:pPr>
    </w:p>
    <w:p w:rsidR="00D20021" w:rsidRPr="0038163D" w:rsidP="00F474C4" w14:paraId="021A71C5" w14:textId="3CF1ED91">
      <w:pPr>
        <w:pStyle w:val="BodyText"/>
        <w:ind w:right="176"/>
      </w:pPr>
      <w:r w:rsidRPr="009231C6">
        <w:t>Based on five-year historical data (see Table 1)</w:t>
      </w:r>
      <w:r>
        <w:t>,</w:t>
      </w:r>
      <w:r w:rsidRPr="009231C6">
        <w:t xml:space="preserve"> we </w:t>
      </w:r>
      <w:r>
        <w:t>estimate that</w:t>
      </w:r>
      <w:r w:rsidRPr="009231C6">
        <w:t xml:space="preserve"> two</w:t>
      </w:r>
      <w:r>
        <w:t xml:space="preserve"> </w:t>
      </w:r>
      <w:r w:rsidRPr="005F284B">
        <w:t xml:space="preserve">(2) </w:t>
      </w:r>
      <w:r w:rsidRPr="009231C6">
        <w:t>transplant</w:t>
      </w:r>
      <w:r>
        <w:t xml:space="preserve"> programs per year will lose their Medicare certification over the next three years and</w:t>
      </w:r>
      <w:r w:rsidRPr="005F284B">
        <w:t xml:space="preserve"> </w:t>
      </w:r>
      <w:r>
        <w:t xml:space="preserve">may </w:t>
      </w:r>
      <w:r w:rsidRPr="005F284B">
        <w:t xml:space="preserve">subsequently request re-approval </w:t>
      </w:r>
      <w:r>
        <w:t xml:space="preserve">of their certification </w:t>
      </w:r>
      <w:r w:rsidRPr="005F284B">
        <w:t>from CMS</w:t>
      </w:r>
      <w:r>
        <w:t xml:space="preserve"> per § 488.61(c)</w:t>
      </w:r>
      <w:r w:rsidRPr="005F284B">
        <w:t>.</w:t>
      </w:r>
      <w:r>
        <w:t xml:space="preserve"> </w:t>
      </w:r>
      <w:r w:rsidRPr="0038163D">
        <w:t xml:space="preserve">Because fewer than ten </w:t>
      </w:r>
      <w:r>
        <w:t xml:space="preserve">(10) </w:t>
      </w:r>
      <w:r w:rsidRPr="0038163D">
        <w:t xml:space="preserve">transplant programs per year </w:t>
      </w:r>
      <w:r>
        <w:t>may lose their certification and request re-approval</w:t>
      </w:r>
      <w:r w:rsidRPr="0038163D">
        <w:t xml:space="preserve">, the burden associated with </w:t>
      </w:r>
      <w:r>
        <w:t>t</w:t>
      </w:r>
      <w:r w:rsidRPr="0038163D">
        <w:t xml:space="preserve">his activity is exempt from the PRA under </w:t>
      </w:r>
      <w:hyperlink r:id="rId13" w:anchor="p-1320.3(c)" w:tgtFrame="_blank" w:history="1">
        <w:r w:rsidRPr="00391414">
          <w:rPr>
            <w:rStyle w:val="Hyperlink"/>
            <w:color w:val="auto"/>
            <w:u w:val="none"/>
          </w:rPr>
          <w:t>5 CFR §1320.3(c)</w:t>
        </w:r>
      </w:hyperlink>
      <w:r w:rsidRPr="0038163D">
        <w:t>(4).</w:t>
      </w:r>
    </w:p>
    <w:p w:rsidR="00D20021" w:rsidP="00F474C4" w14:paraId="4FAE6DF2" w14:textId="77777777">
      <w:pPr>
        <w:pStyle w:val="ListBullet"/>
        <w:rPr>
          <w:sz w:val="24"/>
          <w:szCs w:val="24"/>
        </w:rPr>
      </w:pPr>
    </w:p>
    <w:p w:rsidR="00037FEF" w:rsidRPr="009113CC" w:rsidP="002E0114" w14:paraId="69CB0110" w14:textId="5C9367A2">
      <w:pPr>
        <w:pStyle w:val="Heading6"/>
        <w:spacing w:before="0"/>
      </w:pPr>
      <w:r w:rsidRPr="00E60627">
        <w:t xml:space="preserve">§ </w:t>
      </w:r>
      <w:r w:rsidRPr="00E60627">
        <w:t>488.61(</w:t>
      </w:r>
      <w:r w:rsidRPr="009113CC">
        <w:t>e</w:t>
      </w:r>
      <w:r w:rsidRPr="00E60627">
        <w:t>)</w:t>
      </w:r>
      <w:r w:rsidR="003A1342">
        <w:t xml:space="preserve"> -</w:t>
      </w:r>
      <w:r w:rsidRPr="00E60627" w:rsidR="008037EF">
        <w:t xml:space="preserve"> </w:t>
      </w:r>
      <w:r w:rsidRPr="009113CC">
        <w:t xml:space="preserve">Consideration of </w:t>
      </w:r>
      <w:r w:rsidRPr="00E60627" w:rsidR="005F284B">
        <w:t>M</w:t>
      </w:r>
      <w:r w:rsidRPr="009113CC">
        <w:t xml:space="preserve">itigating </w:t>
      </w:r>
      <w:r w:rsidRPr="00E60627" w:rsidR="005F284B">
        <w:t>F</w:t>
      </w:r>
      <w:r w:rsidRPr="009113CC">
        <w:t xml:space="preserve">actors in </w:t>
      </w:r>
      <w:r w:rsidRPr="00E60627" w:rsidR="005F284B">
        <w:t>I</w:t>
      </w:r>
      <w:r w:rsidRPr="009113CC">
        <w:t xml:space="preserve">nitial </w:t>
      </w:r>
      <w:r w:rsidRPr="00E60627" w:rsidR="005F284B">
        <w:t>A</w:t>
      </w:r>
      <w:r w:rsidRPr="009113CC">
        <w:t>pproval</w:t>
      </w:r>
      <w:r w:rsidRPr="00E60627" w:rsidR="005F284B">
        <w:t xml:space="preserve">, Certification, </w:t>
      </w:r>
      <w:r w:rsidRPr="009113CC">
        <w:t xml:space="preserve">and </w:t>
      </w:r>
      <w:r w:rsidRPr="00E60627" w:rsidR="005F284B">
        <w:t>E</w:t>
      </w:r>
      <w:r w:rsidRPr="009113CC">
        <w:t xml:space="preserve">nforcement actions for </w:t>
      </w:r>
      <w:r w:rsidRPr="00E60627" w:rsidR="005F284B">
        <w:t>T</w:t>
      </w:r>
      <w:r w:rsidRPr="009113CC">
        <w:t xml:space="preserve">ransplant </w:t>
      </w:r>
      <w:r w:rsidRPr="00E60627" w:rsidR="005F284B">
        <w:t>P</w:t>
      </w:r>
      <w:r w:rsidRPr="009113CC">
        <w:t xml:space="preserve">rograms </w:t>
      </w:r>
    </w:p>
    <w:p w:rsidR="009113CC" w:rsidP="00F474C4" w14:paraId="16344C50" w14:textId="41F2ED53">
      <w:pPr>
        <w:pStyle w:val="BodyText"/>
      </w:pPr>
      <w:r>
        <w:t>Section 488.61(e) allows t</w:t>
      </w:r>
      <w:r w:rsidRPr="00CC03EB" w:rsidR="00037FEF">
        <w:t>ran</w:t>
      </w:r>
      <w:r w:rsidRPr="00CC03EB" w:rsidR="00C56CF4">
        <w:t>s</w:t>
      </w:r>
      <w:r w:rsidRPr="00CC03EB" w:rsidR="00037FEF">
        <w:t>plant programs</w:t>
      </w:r>
      <w:r w:rsidRPr="00D3634D" w:rsidR="00D3634D">
        <w:t xml:space="preserve"> </w:t>
      </w:r>
      <w:r w:rsidR="00D3634D">
        <w:t xml:space="preserve">to request </w:t>
      </w:r>
      <w:r w:rsidRPr="00CC03EB" w:rsidR="00D3634D">
        <w:t xml:space="preserve">reconsideration </w:t>
      </w:r>
      <w:r w:rsidR="00EB66AA">
        <w:t>of</w:t>
      </w:r>
      <w:r w:rsidRPr="00CC03EB" w:rsidR="00D3634D">
        <w:t xml:space="preserve"> mitigating factors</w:t>
      </w:r>
      <w:r w:rsidR="00D3634D">
        <w:t xml:space="preserve"> if CMS finds</w:t>
      </w:r>
      <w:r w:rsidR="00EB66AA">
        <w:t xml:space="preserve"> at the time of initial approval that a program has condition-level</w:t>
      </w:r>
      <w:r w:rsidR="00D3634D">
        <w:t xml:space="preserve"> </w:t>
      </w:r>
      <w:r w:rsidRPr="009113CC" w:rsidR="00D3634D">
        <w:t>deficienc</w:t>
      </w:r>
      <w:r w:rsidR="00EB66AA">
        <w:t>ies</w:t>
      </w:r>
      <w:r w:rsidRPr="009113CC" w:rsidR="00D3634D">
        <w:t xml:space="preserve"> </w:t>
      </w:r>
      <w:r w:rsidRPr="009113CC">
        <w:t xml:space="preserve">due to data submission, clinical experience or outcomes </w:t>
      </w:r>
      <w:r w:rsidR="00EB66AA">
        <w:t>per § 482.80</w:t>
      </w:r>
      <w:r w:rsidR="00D3634D">
        <w:t>. The transplant program’s request for reconsideration must be received by CMS within 14 days of the deficiency notice.</w:t>
      </w:r>
      <w:r w:rsidR="00EB66AA">
        <w:t xml:space="preserve"> Reconsideration of mitigating factors is not permitted if the deficiencies are beyond the requirements under § 482.80 or are related to “situations of immediate jeopardy.”</w:t>
      </w:r>
    </w:p>
    <w:p w:rsidR="009113CC" w:rsidRPr="00CC03EB" w:rsidP="00F474C4" w14:paraId="09C270EE" w14:textId="77777777">
      <w:pPr>
        <w:pStyle w:val="BodyText"/>
      </w:pPr>
    </w:p>
    <w:p w:rsidR="005F284B" w:rsidRPr="00CC03EB" w:rsidP="00F474C4" w14:paraId="4560F532" w14:textId="4F219BA9">
      <w:pPr>
        <w:pStyle w:val="BodyText"/>
      </w:pPr>
      <w:r w:rsidRPr="00CC03EB">
        <w:t>We continue to assume the requirements under § 488.61(</w:t>
      </w:r>
      <w:r w:rsidR="00EB66AA">
        <w:t>e</w:t>
      </w:r>
      <w:r w:rsidRPr="00CC03EB">
        <w:t xml:space="preserve">) would </w:t>
      </w:r>
      <w:r w:rsidRPr="00CC03EB">
        <w:t xml:space="preserve">involve the </w:t>
      </w:r>
      <w:r w:rsidRPr="00CC03EB">
        <w:t>transplant program</w:t>
      </w:r>
      <w:r w:rsidR="00EB66AA">
        <w:t xml:space="preserve"> </w:t>
      </w:r>
      <w:r w:rsidRPr="00CC03EB">
        <w:t>writ</w:t>
      </w:r>
      <w:r w:rsidRPr="00CC03EB">
        <w:t xml:space="preserve">ing and submitting: </w:t>
      </w:r>
    </w:p>
    <w:p w:rsidR="005F284B" w:rsidP="00F474C4" w14:paraId="72943607" w14:textId="24F6D311">
      <w:pPr>
        <w:pStyle w:val="ListBullet"/>
        <w:numPr>
          <w:ilvl w:val="0"/>
          <w:numId w:val="36"/>
        </w:numPr>
        <w:rPr>
          <w:sz w:val="24"/>
          <w:szCs w:val="24"/>
        </w:rPr>
      </w:pPr>
      <w:r w:rsidRPr="00E60627">
        <w:rPr>
          <w:sz w:val="24"/>
          <w:szCs w:val="24"/>
        </w:rPr>
        <w:t xml:space="preserve">A formal </w:t>
      </w:r>
      <w:r w:rsidRPr="00E60627" w:rsidR="00480A5C">
        <w:rPr>
          <w:sz w:val="24"/>
          <w:szCs w:val="24"/>
        </w:rPr>
        <w:t xml:space="preserve">notice of the program's intent to seek </w:t>
      </w:r>
      <w:r w:rsidRPr="00E60627" w:rsidR="00EB66AA">
        <w:rPr>
          <w:sz w:val="24"/>
          <w:szCs w:val="24"/>
        </w:rPr>
        <w:t>re-approval based on</w:t>
      </w:r>
      <w:r w:rsidR="00EB66AA">
        <w:rPr>
          <w:sz w:val="24"/>
          <w:szCs w:val="24"/>
        </w:rPr>
        <w:t xml:space="preserve"> </w:t>
      </w:r>
      <w:r w:rsidRPr="00E60627" w:rsidR="00480A5C">
        <w:rPr>
          <w:sz w:val="24"/>
          <w:szCs w:val="24"/>
        </w:rPr>
        <w:t>mitigating factors, and</w:t>
      </w:r>
    </w:p>
    <w:p w:rsidR="00480A5C" w:rsidRPr="00CC03EB" w:rsidP="00F474C4" w14:paraId="3DC94C0D" w14:textId="68956D9F">
      <w:pPr>
        <w:pStyle w:val="ListBullet"/>
        <w:numPr>
          <w:ilvl w:val="0"/>
          <w:numId w:val="36"/>
        </w:numPr>
      </w:pPr>
      <w:r>
        <w:rPr>
          <w:sz w:val="24"/>
          <w:szCs w:val="24"/>
        </w:rPr>
        <w:t>A</w:t>
      </w:r>
      <w:r w:rsidRPr="00EB66AA">
        <w:rPr>
          <w:sz w:val="24"/>
          <w:szCs w:val="24"/>
        </w:rPr>
        <w:t xml:space="preserve"> request for consideration of mitigating factors</w:t>
      </w:r>
      <w:r w:rsidRPr="00EB66AA" w:rsidR="005F284B">
        <w:rPr>
          <w:sz w:val="24"/>
          <w:szCs w:val="24"/>
        </w:rPr>
        <w:t>,</w:t>
      </w:r>
      <w:r w:rsidRPr="00EB66AA">
        <w:rPr>
          <w:sz w:val="24"/>
          <w:szCs w:val="24"/>
        </w:rPr>
        <w:t xml:space="preserve"> including the content </w:t>
      </w:r>
      <w:r w:rsidRPr="00EB66AA" w:rsidR="005F284B">
        <w:rPr>
          <w:sz w:val="24"/>
          <w:szCs w:val="24"/>
        </w:rPr>
        <w:t xml:space="preserve">required under </w:t>
      </w:r>
      <w:r w:rsidRPr="00EB66AA">
        <w:rPr>
          <w:sz w:val="24"/>
          <w:szCs w:val="24"/>
        </w:rPr>
        <w:t>§ 488.61(</w:t>
      </w:r>
      <w:r w:rsidR="00D528AB">
        <w:rPr>
          <w:sz w:val="24"/>
          <w:szCs w:val="24"/>
        </w:rPr>
        <w:t>e</w:t>
      </w:r>
      <w:r w:rsidRPr="00EB66AA">
        <w:rPr>
          <w:sz w:val="24"/>
          <w:szCs w:val="24"/>
        </w:rPr>
        <w:t>)(2).</w:t>
      </w:r>
    </w:p>
    <w:p w:rsidR="00480A5C" w:rsidRPr="00CC03EB" w:rsidP="00F474C4" w14:paraId="091D6435" w14:textId="77777777">
      <w:pPr>
        <w:pStyle w:val="BodyText"/>
      </w:pPr>
    </w:p>
    <w:p w:rsidR="005F284B" w:rsidRPr="00CC03EB" w:rsidP="00F474C4" w14:paraId="7B90E0D2" w14:textId="683FB31B">
      <w:pPr>
        <w:pStyle w:val="BodyText"/>
      </w:pPr>
      <w:r>
        <w:t>As shown in Table 9, w</w:t>
      </w:r>
      <w:r w:rsidRPr="00CC03EB" w:rsidR="0038516D">
        <w:t xml:space="preserve">e estimate this activity would require </w:t>
      </w:r>
      <w:r w:rsidRPr="00CC03EB">
        <w:t>the following staff time:</w:t>
      </w:r>
    </w:p>
    <w:p w:rsidR="005F284B" w:rsidRPr="00E60627" w:rsidP="00F474C4" w14:paraId="07216774" w14:textId="18E6EA9F">
      <w:pPr>
        <w:pStyle w:val="ListBullet"/>
        <w:numPr>
          <w:ilvl w:val="0"/>
          <w:numId w:val="37"/>
        </w:numPr>
        <w:rPr>
          <w:sz w:val="24"/>
          <w:szCs w:val="24"/>
        </w:rPr>
      </w:pPr>
      <w:r w:rsidRPr="00E60627">
        <w:rPr>
          <w:sz w:val="24"/>
          <w:szCs w:val="24"/>
        </w:rPr>
        <w:t xml:space="preserve">1 hour </w:t>
      </w:r>
      <w:r w:rsidR="003A1342">
        <w:rPr>
          <w:sz w:val="24"/>
          <w:szCs w:val="24"/>
        </w:rPr>
        <w:t xml:space="preserve">- </w:t>
      </w:r>
      <w:r w:rsidR="00AD6667">
        <w:rPr>
          <w:sz w:val="24"/>
          <w:szCs w:val="24"/>
        </w:rPr>
        <w:t xml:space="preserve">Transplant </w:t>
      </w:r>
      <w:r w:rsidRPr="00E60627">
        <w:rPr>
          <w:sz w:val="24"/>
          <w:szCs w:val="24"/>
        </w:rPr>
        <w:t>Hospital</w:t>
      </w:r>
      <w:r w:rsidR="00AD6667">
        <w:rPr>
          <w:sz w:val="24"/>
          <w:szCs w:val="24"/>
        </w:rPr>
        <w:t>’s</w:t>
      </w:r>
      <w:r w:rsidRPr="00E60627">
        <w:rPr>
          <w:sz w:val="24"/>
          <w:szCs w:val="24"/>
        </w:rPr>
        <w:t xml:space="preserve"> Administrator</w:t>
      </w:r>
    </w:p>
    <w:p w:rsidR="005F284B" w:rsidRPr="00E60627" w:rsidP="00F474C4" w14:paraId="039D418D" w14:textId="694CD212">
      <w:pPr>
        <w:pStyle w:val="ListBullet"/>
        <w:numPr>
          <w:ilvl w:val="0"/>
          <w:numId w:val="37"/>
        </w:numPr>
        <w:rPr>
          <w:sz w:val="24"/>
          <w:szCs w:val="24"/>
        </w:rPr>
      </w:pPr>
      <w:r w:rsidRPr="00E60627">
        <w:rPr>
          <w:sz w:val="24"/>
          <w:szCs w:val="24"/>
        </w:rPr>
        <w:t xml:space="preserve">2 hours </w:t>
      </w:r>
      <w:r w:rsidR="003A1342">
        <w:rPr>
          <w:sz w:val="24"/>
          <w:szCs w:val="24"/>
        </w:rPr>
        <w:t>-</w:t>
      </w:r>
      <w:r w:rsidRPr="00E60627">
        <w:rPr>
          <w:sz w:val="24"/>
          <w:szCs w:val="24"/>
        </w:rPr>
        <w:t xml:space="preserve"> Transplant Program</w:t>
      </w:r>
      <w:r w:rsidR="00D528AB">
        <w:rPr>
          <w:sz w:val="24"/>
          <w:szCs w:val="24"/>
        </w:rPr>
        <w:t>’s</w:t>
      </w:r>
      <w:r w:rsidRPr="00E60627" w:rsidR="00480A5C">
        <w:rPr>
          <w:sz w:val="24"/>
          <w:szCs w:val="24"/>
        </w:rPr>
        <w:t xml:space="preserve"> </w:t>
      </w:r>
      <w:r w:rsidRPr="00E60627">
        <w:rPr>
          <w:sz w:val="24"/>
          <w:szCs w:val="24"/>
        </w:rPr>
        <w:t>Medical Director</w:t>
      </w:r>
      <w:r w:rsidRPr="00E60627" w:rsidR="00480A5C">
        <w:rPr>
          <w:sz w:val="24"/>
          <w:szCs w:val="24"/>
        </w:rPr>
        <w:t xml:space="preserve"> </w:t>
      </w:r>
    </w:p>
    <w:p w:rsidR="00D528AB" w:rsidP="00F474C4" w14:paraId="381E8D96" w14:textId="2F3C6B06">
      <w:pPr>
        <w:pStyle w:val="ListBullet"/>
        <w:numPr>
          <w:ilvl w:val="0"/>
          <w:numId w:val="37"/>
        </w:numPr>
        <w:rPr>
          <w:sz w:val="24"/>
          <w:szCs w:val="24"/>
        </w:rPr>
      </w:pPr>
      <w:r w:rsidRPr="00E60627">
        <w:rPr>
          <w:sz w:val="24"/>
          <w:szCs w:val="24"/>
        </w:rPr>
        <w:t>2 hours</w:t>
      </w:r>
      <w:r w:rsidRPr="00E60627" w:rsidR="005F284B">
        <w:rPr>
          <w:sz w:val="24"/>
          <w:szCs w:val="24"/>
        </w:rPr>
        <w:t xml:space="preserve"> </w:t>
      </w:r>
      <w:r w:rsidR="003A1342">
        <w:rPr>
          <w:sz w:val="24"/>
          <w:szCs w:val="24"/>
        </w:rPr>
        <w:t>-</w:t>
      </w:r>
      <w:r w:rsidRPr="00E60627" w:rsidR="005F284B">
        <w:rPr>
          <w:sz w:val="24"/>
          <w:szCs w:val="24"/>
        </w:rPr>
        <w:t xml:space="preserve"> Transplant Program</w:t>
      </w:r>
      <w:r>
        <w:rPr>
          <w:sz w:val="24"/>
          <w:szCs w:val="24"/>
        </w:rPr>
        <w:t>’s</w:t>
      </w:r>
      <w:r w:rsidRPr="00E60627" w:rsidR="005F284B">
        <w:rPr>
          <w:sz w:val="24"/>
          <w:szCs w:val="24"/>
        </w:rPr>
        <w:t xml:space="preserve"> </w:t>
      </w:r>
      <w:r w:rsidRPr="00E60627">
        <w:rPr>
          <w:sz w:val="24"/>
          <w:szCs w:val="24"/>
        </w:rPr>
        <w:t>Senior</w:t>
      </w:r>
      <w:r w:rsidRPr="00E60627" w:rsidR="0038516D">
        <w:rPr>
          <w:sz w:val="24"/>
          <w:szCs w:val="24"/>
        </w:rPr>
        <w:t xml:space="preserve"> Administrator</w:t>
      </w:r>
      <w:r>
        <w:rPr>
          <w:sz w:val="24"/>
          <w:szCs w:val="24"/>
        </w:rPr>
        <w:t>.</w:t>
      </w:r>
    </w:p>
    <w:p w:rsidR="005F284B" w:rsidP="002E0114" w14:paraId="7E7B534A" w14:textId="2A869EE1">
      <w:pPr>
        <w:pStyle w:val="ListBullet"/>
        <w:spacing w:before="120"/>
        <w:contextualSpacing w:val="0"/>
        <w:rPr>
          <w:sz w:val="24"/>
          <w:szCs w:val="24"/>
        </w:rPr>
      </w:pPr>
      <w:r w:rsidRPr="00E60627">
        <w:rPr>
          <w:sz w:val="24"/>
          <w:szCs w:val="24"/>
        </w:rPr>
        <w:t>Th</w:t>
      </w:r>
      <w:r w:rsidR="003A1342">
        <w:rPr>
          <w:sz w:val="24"/>
          <w:szCs w:val="24"/>
        </w:rPr>
        <w:t xml:space="preserve">is results in a total of </w:t>
      </w:r>
      <w:r w:rsidRPr="00BB381E" w:rsidR="00D528AB">
        <w:rPr>
          <w:sz w:val="24"/>
          <w:szCs w:val="24"/>
        </w:rPr>
        <w:t>5 hours</w:t>
      </w:r>
      <w:r w:rsidRPr="00D528AB" w:rsidR="00D528AB">
        <w:rPr>
          <w:sz w:val="24"/>
          <w:szCs w:val="24"/>
        </w:rPr>
        <w:t xml:space="preserve"> </w:t>
      </w:r>
      <w:r w:rsidRPr="00E60627" w:rsidR="00D528AB">
        <w:rPr>
          <w:sz w:val="24"/>
          <w:szCs w:val="24"/>
        </w:rPr>
        <w:t>(1 + 2 + 2)</w:t>
      </w:r>
      <w:r w:rsidR="003A1342">
        <w:rPr>
          <w:sz w:val="24"/>
          <w:szCs w:val="24"/>
        </w:rPr>
        <w:t xml:space="preserve"> per transplant hospital and transplant program</w:t>
      </w:r>
      <w:r w:rsidR="00D528AB">
        <w:rPr>
          <w:sz w:val="24"/>
          <w:szCs w:val="24"/>
        </w:rPr>
        <w:t xml:space="preserve"> </w:t>
      </w:r>
      <w:r w:rsidRPr="00CC03EB" w:rsidR="005710D4">
        <w:rPr>
          <w:sz w:val="24"/>
          <w:szCs w:val="24"/>
        </w:rPr>
        <w:t>at a weighted average cost of $</w:t>
      </w:r>
      <w:r w:rsidR="005710D4">
        <w:rPr>
          <w:sz w:val="24"/>
          <w:szCs w:val="24"/>
        </w:rPr>
        <w:t>9</w:t>
      </w:r>
      <w:r w:rsidR="00AD6667">
        <w:rPr>
          <w:sz w:val="24"/>
          <w:szCs w:val="24"/>
        </w:rPr>
        <w:t>84</w:t>
      </w:r>
      <w:r w:rsidRPr="00CC03EB" w:rsidR="005710D4">
        <w:rPr>
          <w:sz w:val="24"/>
          <w:szCs w:val="24"/>
        </w:rPr>
        <w:t>.</w:t>
      </w:r>
      <w:r w:rsidR="003A1342">
        <w:rPr>
          <w:sz w:val="24"/>
          <w:szCs w:val="24"/>
        </w:rPr>
        <w:t xml:space="preserve"> See Table 9.</w:t>
      </w:r>
    </w:p>
    <w:p w:rsidR="003A1342" w:rsidP="00F474C4" w14:paraId="0A3D0514" w14:textId="77777777">
      <w:pPr>
        <w:pStyle w:val="ListBullet"/>
        <w:rPr>
          <w:sz w:val="24"/>
          <w:szCs w:val="24"/>
        </w:rPr>
      </w:pPr>
    </w:p>
    <w:p w:rsidR="002A645D" w:rsidRPr="00CC03EB" w:rsidP="002E0114" w14:paraId="3F89678A" w14:textId="357FEA9B">
      <w:pPr>
        <w:pStyle w:val="BodyText"/>
        <w:ind w:right="70"/>
        <w:jc w:val="center"/>
        <w:rPr>
          <w:b/>
          <w:bCs/>
          <w:sz w:val="16"/>
        </w:rPr>
      </w:pPr>
      <w:r w:rsidRPr="00CC03EB">
        <w:rPr>
          <w:b/>
          <w:bCs/>
        </w:rPr>
        <w:t xml:space="preserve">Table </w:t>
      </w:r>
      <w:r w:rsidR="005C388C">
        <w:rPr>
          <w:b/>
          <w:bCs/>
        </w:rPr>
        <w:t>9</w:t>
      </w:r>
      <w:r w:rsidRPr="00CC03EB">
        <w:rPr>
          <w:b/>
          <w:bCs/>
        </w:rPr>
        <w:t xml:space="preserve">. </w:t>
      </w:r>
      <w:r w:rsidRPr="00E60627">
        <w:rPr>
          <w:b/>
          <w:bCs/>
        </w:rPr>
        <w:t>§488.61(</w:t>
      </w:r>
      <w:r>
        <w:rPr>
          <w:b/>
          <w:bCs/>
        </w:rPr>
        <w:t>e</w:t>
      </w:r>
      <w:r w:rsidRPr="00E60627">
        <w:rPr>
          <w:b/>
          <w:bCs/>
        </w:rPr>
        <w:t>) –</w:t>
      </w:r>
      <w:r>
        <w:rPr>
          <w:b/>
          <w:bCs/>
        </w:rPr>
        <w:t xml:space="preserve"> </w:t>
      </w:r>
      <w:r w:rsidR="005C388C">
        <w:rPr>
          <w:b/>
          <w:bCs/>
        </w:rPr>
        <w:t>Requesting Reconsideration of Mitigating Factors</w:t>
      </w:r>
    </w:p>
    <w:tbl>
      <w:tblPr>
        <w:tblW w:w="8280" w:type="dxa"/>
        <w:tblInd w:w="175" w:type="dxa"/>
        <w:tblLook w:val="04A0"/>
      </w:tblPr>
      <w:tblGrid>
        <w:gridCol w:w="4495"/>
        <w:gridCol w:w="1145"/>
        <w:gridCol w:w="1255"/>
        <w:gridCol w:w="1385"/>
      </w:tblGrid>
      <w:tr w14:paraId="49C59B9A" w14:textId="77777777" w:rsidTr="003A1342">
        <w:tblPrEx>
          <w:tblW w:w="8280" w:type="dxa"/>
          <w:tblInd w:w="175" w:type="dxa"/>
          <w:tblLook w:val="04A0"/>
        </w:tblPrEx>
        <w:trPr>
          <w:trHeight w:val="1057"/>
        </w:trPr>
        <w:tc>
          <w:tcPr>
            <w:tcW w:w="4495" w:type="dxa"/>
            <w:vMerge w:val="restart"/>
            <w:tcBorders>
              <w:top w:val="single" w:sz="4" w:space="0" w:color="auto"/>
              <w:left w:val="single" w:sz="4" w:space="0" w:color="auto"/>
              <w:right w:val="single" w:sz="4" w:space="0" w:color="auto"/>
            </w:tcBorders>
            <w:shd w:val="clear" w:color="CCCCCC" w:fill="F2F2F2"/>
            <w:vAlign w:val="center"/>
            <w:hideMark/>
          </w:tcPr>
          <w:p w:rsidR="005C388C" w:rsidP="0019334A" w14:paraId="3E83C77B" w14:textId="77777777">
            <w:pPr>
              <w:widowControl/>
              <w:autoSpaceDE/>
              <w:autoSpaceDN/>
              <w:jc w:val="center"/>
              <w:rPr>
                <w:b/>
                <w:bCs/>
                <w:color w:val="000000"/>
                <w:sz w:val="20"/>
                <w:szCs w:val="20"/>
              </w:rPr>
            </w:pPr>
            <w:r>
              <w:rPr>
                <w:b/>
                <w:bCs/>
                <w:color w:val="000000"/>
                <w:sz w:val="20"/>
                <w:szCs w:val="20"/>
              </w:rPr>
              <w:t xml:space="preserve">Burden </w:t>
            </w:r>
            <w:r>
              <w:rPr>
                <w:b/>
                <w:bCs/>
                <w:color w:val="000000"/>
                <w:sz w:val="20"/>
                <w:szCs w:val="20"/>
              </w:rPr>
              <w:t xml:space="preserve">to Request </w:t>
            </w:r>
          </w:p>
          <w:p w:rsidR="002A645D" w:rsidRPr="00CF3478" w:rsidP="0019334A" w14:paraId="78FA5971" w14:textId="0BCC7A7D">
            <w:pPr>
              <w:widowControl/>
              <w:autoSpaceDE/>
              <w:autoSpaceDN/>
              <w:jc w:val="center"/>
              <w:rPr>
                <w:b/>
                <w:bCs/>
                <w:color w:val="000000"/>
                <w:sz w:val="20"/>
                <w:szCs w:val="20"/>
              </w:rPr>
            </w:pPr>
            <w:r>
              <w:rPr>
                <w:b/>
                <w:bCs/>
                <w:color w:val="000000"/>
                <w:sz w:val="20"/>
                <w:szCs w:val="20"/>
              </w:rPr>
              <w:t>Reconsideration of Mitigating Factors</w:t>
            </w:r>
          </w:p>
        </w:tc>
        <w:tc>
          <w:tcPr>
            <w:tcW w:w="1145" w:type="dxa"/>
            <w:tcBorders>
              <w:top w:val="single" w:sz="4" w:space="0" w:color="auto"/>
              <w:left w:val="nil"/>
              <w:right w:val="single" w:sz="8" w:space="0" w:color="000000"/>
            </w:tcBorders>
            <w:shd w:val="clear" w:color="CCCCCC" w:fill="F2F2F2"/>
            <w:vAlign w:val="center"/>
            <w:hideMark/>
          </w:tcPr>
          <w:p w:rsidR="002A645D" w:rsidRPr="00CF3478" w:rsidP="0019334A" w14:paraId="37464035" w14:textId="77777777">
            <w:pPr>
              <w:widowControl/>
              <w:autoSpaceDE/>
              <w:autoSpaceDN/>
              <w:jc w:val="center"/>
              <w:rPr>
                <w:b/>
                <w:bCs/>
                <w:color w:val="000000"/>
                <w:sz w:val="20"/>
                <w:szCs w:val="20"/>
              </w:rPr>
            </w:pPr>
            <w:r w:rsidRPr="00CF3478">
              <w:rPr>
                <w:b/>
                <w:bCs/>
                <w:color w:val="000000"/>
                <w:sz w:val="20"/>
                <w:szCs w:val="20"/>
              </w:rPr>
              <w:t>Loaded Hourly Mean Wage</w:t>
            </w:r>
          </w:p>
        </w:tc>
        <w:tc>
          <w:tcPr>
            <w:tcW w:w="1255" w:type="dxa"/>
            <w:tcBorders>
              <w:top w:val="single" w:sz="8" w:space="0" w:color="000000"/>
              <w:left w:val="single" w:sz="8" w:space="0" w:color="000000"/>
              <w:right w:val="single" w:sz="8" w:space="0" w:color="000000"/>
            </w:tcBorders>
            <w:shd w:val="clear" w:color="CCCCCC" w:fill="F2F2F2"/>
            <w:vAlign w:val="center"/>
          </w:tcPr>
          <w:p w:rsidR="002A645D" w:rsidRPr="00FE7ECE" w:rsidP="0019334A" w14:paraId="1D1A0A59" w14:textId="77777777">
            <w:pPr>
              <w:widowControl/>
              <w:autoSpaceDE/>
              <w:autoSpaceDN/>
              <w:jc w:val="center"/>
              <w:rPr>
                <w:b/>
                <w:bCs/>
                <w:sz w:val="20"/>
                <w:szCs w:val="20"/>
              </w:rPr>
            </w:pPr>
            <w:r w:rsidRPr="00FE7ECE">
              <w:rPr>
                <w:b/>
                <w:bCs/>
                <w:sz w:val="20"/>
                <w:szCs w:val="20"/>
              </w:rPr>
              <w:t>Burden Hours/</w:t>
            </w:r>
          </w:p>
          <w:p w:rsidR="002A645D" w:rsidRPr="00FE7ECE" w:rsidP="0019334A" w14:paraId="0B0BAAB0" w14:textId="77777777">
            <w:pPr>
              <w:widowControl/>
              <w:autoSpaceDE/>
              <w:autoSpaceDN/>
              <w:jc w:val="center"/>
              <w:rPr>
                <w:b/>
                <w:bCs/>
                <w:color w:val="000000"/>
                <w:sz w:val="20"/>
                <w:szCs w:val="20"/>
              </w:rPr>
            </w:pPr>
            <w:r>
              <w:rPr>
                <w:b/>
                <w:bCs/>
                <w:sz w:val="20"/>
                <w:szCs w:val="20"/>
              </w:rPr>
              <w:t>Program</w:t>
            </w:r>
          </w:p>
        </w:tc>
        <w:tc>
          <w:tcPr>
            <w:tcW w:w="1385" w:type="dxa"/>
            <w:tcBorders>
              <w:top w:val="single" w:sz="4" w:space="0" w:color="auto"/>
              <w:left w:val="single" w:sz="8" w:space="0" w:color="000000"/>
              <w:right w:val="single" w:sz="4" w:space="0" w:color="auto"/>
            </w:tcBorders>
            <w:shd w:val="clear" w:color="CCCCCC" w:fill="F2F2F2"/>
            <w:vAlign w:val="center"/>
          </w:tcPr>
          <w:p w:rsidR="002A645D" w:rsidRPr="00FE7ECE" w:rsidP="0019334A" w14:paraId="599FD7CF" w14:textId="77777777">
            <w:pPr>
              <w:widowControl/>
              <w:autoSpaceDE/>
              <w:autoSpaceDN/>
              <w:jc w:val="center"/>
              <w:rPr>
                <w:b/>
                <w:bCs/>
                <w:color w:val="000000"/>
                <w:sz w:val="20"/>
                <w:szCs w:val="20"/>
              </w:rPr>
            </w:pPr>
            <w:r w:rsidRPr="00FE7ECE">
              <w:rPr>
                <w:b/>
                <w:bCs/>
                <w:color w:val="000000"/>
                <w:sz w:val="20"/>
                <w:szCs w:val="20"/>
              </w:rPr>
              <w:t>Burden Cost/</w:t>
            </w:r>
          </w:p>
          <w:p w:rsidR="002A645D" w:rsidRPr="00CF3478" w:rsidP="0019334A" w14:paraId="6427110A" w14:textId="77777777">
            <w:pPr>
              <w:widowControl/>
              <w:autoSpaceDE/>
              <w:autoSpaceDN/>
              <w:jc w:val="center"/>
              <w:rPr>
                <w:b/>
                <w:bCs/>
                <w:color w:val="000000"/>
                <w:sz w:val="20"/>
                <w:szCs w:val="20"/>
              </w:rPr>
            </w:pPr>
            <w:r>
              <w:rPr>
                <w:b/>
                <w:bCs/>
                <w:color w:val="000000"/>
                <w:sz w:val="20"/>
                <w:szCs w:val="20"/>
              </w:rPr>
              <w:t>Program</w:t>
            </w:r>
          </w:p>
        </w:tc>
      </w:tr>
      <w:tr w14:paraId="17DE02A5" w14:textId="77777777" w:rsidTr="003A1342">
        <w:tblPrEx>
          <w:tblW w:w="8280" w:type="dxa"/>
          <w:tblInd w:w="175" w:type="dxa"/>
          <w:tblLook w:val="04A0"/>
        </w:tblPrEx>
        <w:trPr>
          <w:trHeight w:val="321"/>
        </w:trPr>
        <w:tc>
          <w:tcPr>
            <w:tcW w:w="4495" w:type="dxa"/>
            <w:vMerge/>
            <w:tcBorders>
              <w:left w:val="single" w:sz="4" w:space="0" w:color="auto"/>
              <w:bottom w:val="single" w:sz="4" w:space="0" w:color="auto"/>
              <w:right w:val="single" w:sz="4" w:space="0" w:color="auto"/>
            </w:tcBorders>
            <w:shd w:val="clear" w:color="CCCCCC" w:fill="F2F2F2"/>
            <w:vAlign w:val="center"/>
            <w:hideMark/>
          </w:tcPr>
          <w:p w:rsidR="002A645D" w:rsidRPr="00CF3478" w:rsidP="0019334A" w14:paraId="3CEF3D29" w14:textId="77777777">
            <w:pPr>
              <w:widowControl/>
              <w:autoSpaceDE/>
              <w:autoSpaceDN/>
              <w:jc w:val="center"/>
              <w:rPr>
                <w:b/>
                <w:bCs/>
                <w:color w:val="000000"/>
                <w:sz w:val="20"/>
                <w:szCs w:val="20"/>
              </w:rPr>
            </w:pPr>
          </w:p>
        </w:tc>
        <w:tc>
          <w:tcPr>
            <w:tcW w:w="1145" w:type="dxa"/>
            <w:tcBorders>
              <w:left w:val="nil"/>
              <w:bottom w:val="single" w:sz="4" w:space="0" w:color="auto"/>
              <w:right w:val="single" w:sz="8" w:space="0" w:color="000000"/>
            </w:tcBorders>
            <w:shd w:val="clear" w:color="CCCCCC" w:fill="F2F2F2"/>
            <w:vAlign w:val="center"/>
            <w:hideMark/>
          </w:tcPr>
          <w:p w:rsidR="002A645D" w:rsidRPr="003A1342" w:rsidP="0019334A" w14:paraId="410A1C0C" w14:textId="77777777">
            <w:pPr>
              <w:widowControl/>
              <w:autoSpaceDE/>
              <w:autoSpaceDN/>
              <w:jc w:val="center"/>
              <w:rPr>
                <w:i/>
                <w:iCs/>
                <w:color w:val="000000"/>
                <w:sz w:val="20"/>
                <w:szCs w:val="20"/>
              </w:rPr>
            </w:pPr>
            <w:r w:rsidRPr="003A1342">
              <w:rPr>
                <w:i/>
                <w:iCs/>
                <w:color w:val="000000"/>
                <w:sz w:val="20"/>
                <w:szCs w:val="20"/>
              </w:rPr>
              <w:t>(a)</w:t>
            </w:r>
          </w:p>
        </w:tc>
        <w:tc>
          <w:tcPr>
            <w:tcW w:w="1255" w:type="dxa"/>
            <w:tcBorders>
              <w:left w:val="single" w:sz="8" w:space="0" w:color="000000"/>
              <w:bottom w:val="single" w:sz="8" w:space="0" w:color="000000"/>
              <w:right w:val="single" w:sz="8" w:space="0" w:color="000000"/>
            </w:tcBorders>
            <w:shd w:val="clear" w:color="CCCCCC" w:fill="F2F2F2"/>
            <w:vAlign w:val="center"/>
          </w:tcPr>
          <w:p w:rsidR="002A645D" w:rsidRPr="003A1342" w:rsidP="0019334A" w14:paraId="3BE2BD25" w14:textId="77777777">
            <w:pPr>
              <w:widowControl/>
              <w:autoSpaceDE/>
              <w:autoSpaceDN/>
              <w:jc w:val="center"/>
              <w:rPr>
                <w:i/>
                <w:iCs/>
                <w:color w:val="000000"/>
                <w:sz w:val="20"/>
                <w:szCs w:val="20"/>
              </w:rPr>
            </w:pPr>
            <w:r w:rsidRPr="003A1342">
              <w:rPr>
                <w:i/>
                <w:iCs/>
                <w:sz w:val="20"/>
                <w:szCs w:val="20"/>
              </w:rPr>
              <w:t xml:space="preserve">(b) </w:t>
            </w:r>
          </w:p>
        </w:tc>
        <w:tc>
          <w:tcPr>
            <w:tcW w:w="1385" w:type="dxa"/>
            <w:tcBorders>
              <w:left w:val="single" w:sz="8" w:space="0" w:color="000000"/>
              <w:bottom w:val="single" w:sz="4" w:space="0" w:color="auto"/>
              <w:right w:val="single" w:sz="4" w:space="0" w:color="auto"/>
            </w:tcBorders>
            <w:shd w:val="clear" w:color="CCCCCC" w:fill="F2F2F2"/>
            <w:vAlign w:val="center"/>
            <w:hideMark/>
          </w:tcPr>
          <w:p w:rsidR="002A645D" w:rsidRPr="003A1342" w:rsidP="0019334A" w14:paraId="047F048B" w14:textId="77777777">
            <w:pPr>
              <w:widowControl/>
              <w:autoSpaceDE/>
              <w:autoSpaceDN/>
              <w:jc w:val="center"/>
              <w:rPr>
                <w:i/>
                <w:iCs/>
                <w:color w:val="000000"/>
                <w:sz w:val="20"/>
                <w:szCs w:val="20"/>
              </w:rPr>
            </w:pPr>
            <w:r w:rsidRPr="003A1342">
              <w:rPr>
                <w:i/>
                <w:iCs/>
                <w:color w:val="000000"/>
                <w:sz w:val="20"/>
                <w:szCs w:val="20"/>
              </w:rPr>
              <w:t>(c = a x b)</w:t>
            </w:r>
          </w:p>
        </w:tc>
      </w:tr>
      <w:tr w14:paraId="22B45933" w14:textId="77777777" w:rsidTr="003A1342">
        <w:tblPrEx>
          <w:tblW w:w="8280" w:type="dxa"/>
          <w:tblInd w:w="175" w:type="dxa"/>
          <w:tblLook w:val="04A0"/>
        </w:tblPrEx>
        <w:trPr>
          <w:trHeight w:val="504"/>
        </w:trPr>
        <w:tc>
          <w:tcPr>
            <w:tcW w:w="4495" w:type="dxa"/>
            <w:tcBorders>
              <w:top w:val="nil"/>
              <w:left w:val="single" w:sz="4" w:space="0" w:color="auto"/>
              <w:bottom w:val="single" w:sz="4" w:space="0" w:color="auto"/>
              <w:right w:val="single" w:sz="4" w:space="0" w:color="auto"/>
            </w:tcBorders>
            <w:noWrap/>
            <w:vAlign w:val="center"/>
          </w:tcPr>
          <w:p w:rsidR="002A645D" w:rsidRPr="00CF3478" w:rsidP="0019334A" w14:paraId="3B18259F" w14:textId="77777777">
            <w:pPr>
              <w:widowControl/>
              <w:autoSpaceDE/>
              <w:autoSpaceDN/>
              <w:rPr>
                <w:color w:val="000000"/>
                <w:sz w:val="20"/>
                <w:szCs w:val="20"/>
              </w:rPr>
            </w:pPr>
            <w:r>
              <w:rPr>
                <w:color w:val="000000"/>
                <w:sz w:val="20"/>
                <w:szCs w:val="20"/>
              </w:rPr>
              <w:t xml:space="preserve">Transplant Hospital </w:t>
            </w:r>
            <w:r w:rsidRPr="00CF3478">
              <w:rPr>
                <w:color w:val="000000"/>
                <w:sz w:val="20"/>
                <w:szCs w:val="20"/>
              </w:rPr>
              <w:t>Administrator (</w:t>
            </w:r>
            <w:r w:rsidRPr="001D762D">
              <w:rPr>
                <w:sz w:val="18"/>
                <w:szCs w:val="16"/>
              </w:rPr>
              <w:t xml:space="preserve">BLS Occ. Code </w:t>
            </w:r>
            <w:r w:rsidRPr="00AD6667">
              <w:rPr>
                <w:color w:val="000000"/>
                <w:sz w:val="18"/>
                <w:szCs w:val="18"/>
              </w:rPr>
              <w:t>11-1020)</w:t>
            </w:r>
          </w:p>
        </w:tc>
        <w:tc>
          <w:tcPr>
            <w:tcW w:w="1145" w:type="dxa"/>
            <w:tcBorders>
              <w:top w:val="nil"/>
              <w:left w:val="nil"/>
              <w:bottom w:val="single" w:sz="4" w:space="0" w:color="auto"/>
              <w:right w:val="single" w:sz="8" w:space="0" w:color="000000"/>
            </w:tcBorders>
            <w:vAlign w:val="center"/>
          </w:tcPr>
          <w:p w:rsidR="002A645D" w:rsidRPr="00CF3478" w:rsidP="0019334A" w14:paraId="286808A6" w14:textId="77777777">
            <w:pPr>
              <w:widowControl/>
              <w:autoSpaceDE/>
              <w:autoSpaceDN/>
              <w:jc w:val="center"/>
              <w:rPr>
                <w:color w:val="000000"/>
                <w:sz w:val="20"/>
                <w:szCs w:val="20"/>
              </w:rPr>
            </w:pPr>
            <w:r w:rsidRPr="00CF3478">
              <w:rPr>
                <w:color w:val="000000"/>
                <w:sz w:val="20"/>
                <w:szCs w:val="20"/>
              </w:rPr>
              <w:t>$1</w:t>
            </w:r>
            <w:r>
              <w:rPr>
                <w:color w:val="000000"/>
                <w:sz w:val="20"/>
                <w:szCs w:val="20"/>
              </w:rPr>
              <w:t>78</w:t>
            </w:r>
          </w:p>
        </w:tc>
        <w:tc>
          <w:tcPr>
            <w:tcW w:w="1255" w:type="dxa"/>
            <w:tcBorders>
              <w:top w:val="single" w:sz="8" w:space="0" w:color="000000"/>
              <w:left w:val="single" w:sz="8" w:space="0" w:color="000000"/>
              <w:bottom w:val="single" w:sz="8" w:space="0" w:color="000000"/>
              <w:right w:val="single" w:sz="8" w:space="0" w:color="000000"/>
            </w:tcBorders>
            <w:vAlign w:val="center"/>
          </w:tcPr>
          <w:p w:rsidR="002A645D" w:rsidRPr="00061368" w:rsidP="0019334A" w14:paraId="3A209183" w14:textId="7ED3A493">
            <w:pPr>
              <w:widowControl/>
              <w:autoSpaceDE/>
              <w:autoSpaceDN/>
              <w:jc w:val="center"/>
              <w:rPr>
                <w:sz w:val="20"/>
                <w:szCs w:val="20"/>
              </w:rPr>
            </w:pPr>
            <w:r>
              <w:rPr>
                <w:sz w:val="20"/>
                <w:szCs w:val="20"/>
              </w:rPr>
              <w:t>1</w:t>
            </w:r>
            <w:r w:rsidRPr="00061368">
              <w:rPr>
                <w:sz w:val="20"/>
                <w:szCs w:val="20"/>
              </w:rPr>
              <w:t>.0</w:t>
            </w:r>
          </w:p>
        </w:tc>
        <w:tc>
          <w:tcPr>
            <w:tcW w:w="1385" w:type="dxa"/>
            <w:tcBorders>
              <w:top w:val="nil"/>
              <w:left w:val="single" w:sz="8" w:space="0" w:color="000000"/>
              <w:bottom w:val="single" w:sz="4" w:space="0" w:color="auto"/>
              <w:right w:val="single" w:sz="4" w:space="0" w:color="auto"/>
            </w:tcBorders>
            <w:vAlign w:val="center"/>
          </w:tcPr>
          <w:p w:rsidR="002A645D" w:rsidRPr="00061368" w:rsidP="0019334A" w14:paraId="0E7B13D4" w14:textId="0F154151">
            <w:pPr>
              <w:widowControl/>
              <w:autoSpaceDE/>
              <w:autoSpaceDN/>
              <w:jc w:val="center"/>
              <w:rPr>
                <w:sz w:val="20"/>
                <w:szCs w:val="20"/>
              </w:rPr>
            </w:pPr>
            <w:r w:rsidRPr="00061368">
              <w:rPr>
                <w:sz w:val="20"/>
                <w:szCs w:val="20"/>
              </w:rPr>
              <w:t>$</w:t>
            </w:r>
            <w:r w:rsidR="005C388C">
              <w:rPr>
                <w:sz w:val="20"/>
                <w:szCs w:val="20"/>
              </w:rPr>
              <w:t>178</w:t>
            </w:r>
          </w:p>
        </w:tc>
      </w:tr>
      <w:tr w14:paraId="06D55A68" w14:textId="77777777" w:rsidTr="003A1342">
        <w:tblPrEx>
          <w:tblW w:w="8280" w:type="dxa"/>
          <w:tblInd w:w="175" w:type="dxa"/>
          <w:tblLook w:val="04A0"/>
        </w:tblPrEx>
        <w:trPr>
          <w:trHeight w:val="504"/>
        </w:trPr>
        <w:tc>
          <w:tcPr>
            <w:tcW w:w="4495" w:type="dxa"/>
            <w:tcBorders>
              <w:top w:val="nil"/>
              <w:left w:val="single" w:sz="4" w:space="0" w:color="auto"/>
              <w:bottom w:val="single" w:sz="4" w:space="0" w:color="auto"/>
              <w:right w:val="single" w:sz="4" w:space="0" w:color="auto"/>
            </w:tcBorders>
            <w:noWrap/>
            <w:vAlign w:val="center"/>
            <w:hideMark/>
          </w:tcPr>
          <w:p w:rsidR="002A645D" w:rsidRPr="00CF3478" w:rsidP="0019334A" w14:paraId="7BCEC14E" w14:textId="77777777">
            <w:pPr>
              <w:widowControl/>
              <w:autoSpaceDE/>
              <w:autoSpaceDN/>
              <w:rPr>
                <w:color w:val="000000"/>
                <w:sz w:val="20"/>
                <w:szCs w:val="20"/>
              </w:rPr>
            </w:pPr>
            <w:r w:rsidRPr="00CF3478">
              <w:rPr>
                <w:color w:val="000000"/>
                <w:sz w:val="20"/>
                <w:szCs w:val="20"/>
              </w:rPr>
              <w:t xml:space="preserve">Medical Director </w:t>
            </w:r>
            <w:r w:rsidRPr="001D762D">
              <w:rPr>
                <w:color w:val="000000"/>
                <w:sz w:val="18"/>
                <w:szCs w:val="18"/>
              </w:rPr>
              <w:t>(</w:t>
            </w:r>
            <w:r w:rsidRPr="001D762D">
              <w:rPr>
                <w:sz w:val="18"/>
                <w:szCs w:val="16"/>
              </w:rPr>
              <w:t xml:space="preserve">BLS Occ. Code </w:t>
            </w:r>
            <w:r w:rsidRPr="001D762D">
              <w:rPr>
                <w:color w:val="000000"/>
                <w:sz w:val="18"/>
                <w:szCs w:val="18"/>
              </w:rPr>
              <w:t>29-1210)</w:t>
            </w:r>
          </w:p>
        </w:tc>
        <w:tc>
          <w:tcPr>
            <w:tcW w:w="1145" w:type="dxa"/>
            <w:tcBorders>
              <w:top w:val="nil"/>
              <w:left w:val="nil"/>
              <w:bottom w:val="single" w:sz="4" w:space="0" w:color="auto"/>
              <w:right w:val="single" w:sz="8" w:space="0" w:color="000000"/>
            </w:tcBorders>
            <w:vAlign w:val="center"/>
            <w:hideMark/>
          </w:tcPr>
          <w:p w:rsidR="002A645D" w:rsidRPr="00CF3478" w:rsidP="0019334A" w14:paraId="45DACDFD" w14:textId="77777777">
            <w:pPr>
              <w:widowControl/>
              <w:autoSpaceDE/>
              <w:autoSpaceDN/>
              <w:jc w:val="center"/>
              <w:rPr>
                <w:color w:val="000000"/>
                <w:sz w:val="20"/>
                <w:szCs w:val="20"/>
              </w:rPr>
            </w:pPr>
            <w:r w:rsidRPr="00CF3478">
              <w:rPr>
                <w:color w:val="000000"/>
                <w:sz w:val="20"/>
                <w:szCs w:val="20"/>
              </w:rPr>
              <w:t>$259</w:t>
            </w:r>
          </w:p>
        </w:tc>
        <w:tc>
          <w:tcPr>
            <w:tcW w:w="1255" w:type="dxa"/>
            <w:tcBorders>
              <w:top w:val="single" w:sz="8" w:space="0" w:color="000000"/>
              <w:left w:val="single" w:sz="8" w:space="0" w:color="000000"/>
              <w:bottom w:val="single" w:sz="8" w:space="0" w:color="000000"/>
              <w:right w:val="single" w:sz="8" w:space="0" w:color="000000"/>
            </w:tcBorders>
            <w:vAlign w:val="center"/>
          </w:tcPr>
          <w:p w:rsidR="002A645D" w:rsidRPr="00061368" w:rsidP="0019334A" w14:paraId="761D381A" w14:textId="0E0FC053">
            <w:pPr>
              <w:widowControl/>
              <w:autoSpaceDE/>
              <w:autoSpaceDN/>
              <w:jc w:val="center"/>
              <w:rPr>
                <w:color w:val="000000"/>
                <w:sz w:val="20"/>
                <w:szCs w:val="20"/>
              </w:rPr>
            </w:pPr>
            <w:r>
              <w:rPr>
                <w:sz w:val="20"/>
                <w:szCs w:val="20"/>
              </w:rPr>
              <w:t>2</w:t>
            </w:r>
            <w:r w:rsidRPr="00061368">
              <w:rPr>
                <w:sz w:val="20"/>
                <w:szCs w:val="20"/>
              </w:rPr>
              <w:t>.0</w:t>
            </w:r>
          </w:p>
        </w:tc>
        <w:tc>
          <w:tcPr>
            <w:tcW w:w="1385" w:type="dxa"/>
            <w:tcBorders>
              <w:top w:val="nil"/>
              <w:left w:val="single" w:sz="8" w:space="0" w:color="000000"/>
              <w:bottom w:val="single" w:sz="4" w:space="0" w:color="auto"/>
              <w:right w:val="single" w:sz="4" w:space="0" w:color="auto"/>
            </w:tcBorders>
            <w:vAlign w:val="center"/>
            <w:hideMark/>
          </w:tcPr>
          <w:p w:rsidR="002A645D" w:rsidRPr="00061368" w:rsidP="0019334A" w14:paraId="59FE2B70" w14:textId="2C7102AB">
            <w:pPr>
              <w:widowControl/>
              <w:autoSpaceDE/>
              <w:autoSpaceDN/>
              <w:jc w:val="center"/>
              <w:rPr>
                <w:color w:val="000000"/>
                <w:sz w:val="20"/>
                <w:szCs w:val="20"/>
              </w:rPr>
            </w:pPr>
            <w:r w:rsidRPr="00061368">
              <w:rPr>
                <w:sz w:val="20"/>
                <w:szCs w:val="20"/>
              </w:rPr>
              <w:t>$</w:t>
            </w:r>
            <w:r w:rsidR="005C388C">
              <w:rPr>
                <w:sz w:val="20"/>
                <w:szCs w:val="20"/>
              </w:rPr>
              <w:t>518</w:t>
            </w:r>
          </w:p>
        </w:tc>
      </w:tr>
      <w:tr w14:paraId="024987ED" w14:textId="77777777" w:rsidTr="003A1342">
        <w:tblPrEx>
          <w:tblW w:w="8280" w:type="dxa"/>
          <w:tblInd w:w="175" w:type="dxa"/>
          <w:tblLook w:val="04A0"/>
        </w:tblPrEx>
        <w:trPr>
          <w:trHeight w:val="504"/>
        </w:trPr>
        <w:tc>
          <w:tcPr>
            <w:tcW w:w="4495" w:type="dxa"/>
            <w:tcBorders>
              <w:top w:val="nil"/>
              <w:left w:val="single" w:sz="4" w:space="0" w:color="auto"/>
              <w:bottom w:val="single" w:sz="4" w:space="0" w:color="auto"/>
              <w:right w:val="single" w:sz="4" w:space="0" w:color="auto"/>
            </w:tcBorders>
            <w:noWrap/>
            <w:vAlign w:val="center"/>
            <w:hideMark/>
          </w:tcPr>
          <w:p w:rsidR="002A645D" w:rsidRPr="00CF3478" w:rsidP="0019334A" w14:paraId="41F9FEC7" w14:textId="77777777">
            <w:pPr>
              <w:widowControl/>
              <w:autoSpaceDE/>
              <w:autoSpaceDN/>
              <w:rPr>
                <w:color w:val="000000"/>
                <w:sz w:val="20"/>
                <w:szCs w:val="20"/>
              </w:rPr>
            </w:pPr>
            <w:r w:rsidRPr="00CF3478">
              <w:rPr>
                <w:color w:val="000000"/>
                <w:sz w:val="20"/>
                <w:szCs w:val="20"/>
              </w:rPr>
              <w:t xml:space="preserve">Senior Administrator </w:t>
            </w:r>
            <w:r w:rsidRPr="001D762D">
              <w:rPr>
                <w:color w:val="000000"/>
                <w:sz w:val="18"/>
                <w:szCs w:val="18"/>
              </w:rPr>
              <w:t>(</w:t>
            </w:r>
            <w:r w:rsidRPr="001D762D">
              <w:rPr>
                <w:sz w:val="18"/>
                <w:szCs w:val="16"/>
              </w:rPr>
              <w:t xml:space="preserve">BLS Occ. Code </w:t>
            </w:r>
            <w:r w:rsidRPr="001D762D">
              <w:rPr>
                <w:color w:val="000000"/>
                <w:sz w:val="18"/>
                <w:szCs w:val="18"/>
              </w:rPr>
              <w:t>11-9111)</w:t>
            </w:r>
          </w:p>
        </w:tc>
        <w:tc>
          <w:tcPr>
            <w:tcW w:w="1145" w:type="dxa"/>
            <w:tcBorders>
              <w:top w:val="nil"/>
              <w:left w:val="nil"/>
              <w:bottom w:val="single" w:sz="4" w:space="0" w:color="auto"/>
              <w:right w:val="single" w:sz="8" w:space="0" w:color="000000"/>
            </w:tcBorders>
            <w:vAlign w:val="center"/>
            <w:hideMark/>
          </w:tcPr>
          <w:p w:rsidR="002A645D" w:rsidRPr="00CF3478" w:rsidP="0019334A" w14:paraId="2EAFFE92" w14:textId="77777777">
            <w:pPr>
              <w:widowControl/>
              <w:autoSpaceDE/>
              <w:autoSpaceDN/>
              <w:jc w:val="center"/>
              <w:rPr>
                <w:color w:val="000000"/>
                <w:sz w:val="20"/>
                <w:szCs w:val="20"/>
              </w:rPr>
            </w:pPr>
            <w:r w:rsidRPr="00CF3478">
              <w:rPr>
                <w:color w:val="000000"/>
                <w:sz w:val="20"/>
                <w:szCs w:val="20"/>
              </w:rPr>
              <w:t>$144</w:t>
            </w:r>
          </w:p>
        </w:tc>
        <w:tc>
          <w:tcPr>
            <w:tcW w:w="1255" w:type="dxa"/>
            <w:tcBorders>
              <w:top w:val="single" w:sz="8" w:space="0" w:color="000000"/>
              <w:left w:val="single" w:sz="8" w:space="0" w:color="000000"/>
              <w:bottom w:val="single" w:sz="8" w:space="0" w:color="000000"/>
              <w:right w:val="single" w:sz="8" w:space="0" w:color="000000"/>
            </w:tcBorders>
            <w:vAlign w:val="center"/>
          </w:tcPr>
          <w:p w:rsidR="002A645D" w:rsidRPr="00061368" w:rsidP="0019334A" w14:paraId="30C5FE8E" w14:textId="54C60A9B">
            <w:pPr>
              <w:widowControl/>
              <w:autoSpaceDE/>
              <w:autoSpaceDN/>
              <w:jc w:val="center"/>
              <w:rPr>
                <w:color w:val="000000"/>
                <w:sz w:val="20"/>
                <w:szCs w:val="20"/>
              </w:rPr>
            </w:pPr>
            <w:r>
              <w:rPr>
                <w:sz w:val="20"/>
                <w:szCs w:val="20"/>
              </w:rPr>
              <w:t>2</w:t>
            </w:r>
            <w:r w:rsidRPr="00061368">
              <w:rPr>
                <w:sz w:val="20"/>
                <w:szCs w:val="20"/>
              </w:rPr>
              <w:t>.0</w:t>
            </w:r>
          </w:p>
        </w:tc>
        <w:tc>
          <w:tcPr>
            <w:tcW w:w="1385" w:type="dxa"/>
            <w:tcBorders>
              <w:top w:val="nil"/>
              <w:left w:val="single" w:sz="8" w:space="0" w:color="000000"/>
              <w:bottom w:val="single" w:sz="4" w:space="0" w:color="auto"/>
              <w:right w:val="single" w:sz="4" w:space="0" w:color="auto"/>
            </w:tcBorders>
            <w:vAlign w:val="center"/>
            <w:hideMark/>
          </w:tcPr>
          <w:p w:rsidR="002A645D" w:rsidRPr="00061368" w:rsidP="0019334A" w14:paraId="36C36D6C" w14:textId="41AE4CDC">
            <w:pPr>
              <w:widowControl/>
              <w:autoSpaceDE/>
              <w:autoSpaceDN/>
              <w:jc w:val="center"/>
              <w:rPr>
                <w:color w:val="000000"/>
                <w:sz w:val="20"/>
                <w:szCs w:val="20"/>
              </w:rPr>
            </w:pPr>
            <w:r w:rsidRPr="00061368">
              <w:rPr>
                <w:sz w:val="20"/>
                <w:szCs w:val="20"/>
              </w:rPr>
              <w:t>$</w:t>
            </w:r>
            <w:r w:rsidR="005C388C">
              <w:rPr>
                <w:sz w:val="20"/>
                <w:szCs w:val="20"/>
              </w:rPr>
              <w:t>288</w:t>
            </w:r>
          </w:p>
        </w:tc>
      </w:tr>
      <w:tr w14:paraId="0AEF3610" w14:textId="77777777" w:rsidTr="003A1342">
        <w:tblPrEx>
          <w:tblW w:w="8280" w:type="dxa"/>
          <w:tblInd w:w="175" w:type="dxa"/>
          <w:tblLook w:val="04A0"/>
        </w:tblPrEx>
        <w:trPr>
          <w:trHeight w:val="504"/>
        </w:trPr>
        <w:tc>
          <w:tcPr>
            <w:tcW w:w="449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2A645D" w:rsidRPr="00CF3478" w:rsidP="0019334A" w14:paraId="1659583B" w14:textId="77777777">
            <w:pPr>
              <w:widowControl/>
              <w:autoSpaceDE/>
              <w:autoSpaceDN/>
              <w:rPr>
                <w:b/>
                <w:bCs/>
                <w:color w:val="000000"/>
                <w:sz w:val="20"/>
                <w:szCs w:val="20"/>
              </w:rPr>
            </w:pPr>
            <w:r w:rsidRPr="00CF3478">
              <w:rPr>
                <w:b/>
                <w:bCs/>
                <w:color w:val="000000"/>
                <w:sz w:val="20"/>
                <w:szCs w:val="20"/>
              </w:rPr>
              <w:t>Burden</w:t>
            </w:r>
            <w:r>
              <w:rPr>
                <w:b/>
                <w:bCs/>
                <w:color w:val="000000"/>
                <w:sz w:val="20"/>
                <w:szCs w:val="20"/>
              </w:rPr>
              <w:t xml:space="preserve"> Hours</w:t>
            </w:r>
            <w:r w:rsidRPr="00CF3478">
              <w:rPr>
                <w:b/>
                <w:bCs/>
                <w:color w:val="000000"/>
                <w:sz w:val="20"/>
                <w:szCs w:val="20"/>
              </w:rPr>
              <w:t xml:space="preserve">/Costs per </w:t>
            </w:r>
            <w:r>
              <w:rPr>
                <w:b/>
                <w:bCs/>
                <w:color w:val="000000"/>
                <w:sz w:val="20"/>
                <w:szCs w:val="20"/>
              </w:rPr>
              <w:t>transplant program &amp; transplant hospital</w:t>
            </w:r>
          </w:p>
        </w:tc>
        <w:tc>
          <w:tcPr>
            <w:tcW w:w="1145" w:type="dxa"/>
            <w:tcBorders>
              <w:top w:val="nil"/>
              <w:left w:val="nil"/>
              <w:bottom w:val="single" w:sz="4" w:space="0" w:color="auto"/>
              <w:right w:val="single" w:sz="8" w:space="0" w:color="000000"/>
            </w:tcBorders>
            <w:shd w:val="clear" w:color="auto" w:fill="F2F2F2" w:themeFill="background1" w:themeFillShade="F2"/>
            <w:vAlign w:val="center"/>
            <w:hideMark/>
          </w:tcPr>
          <w:p w:rsidR="002A645D" w:rsidRPr="00CF3478" w:rsidP="0019334A" w14:paraId="7C9A7E7C" w14:textId="77777777">
            <w:pPr>
              <w:widowControl/>
              <w:autoSpaceDE/>
              <w:autoSpaceDN/>
              <w:jc w:val="center"/>
              <w:rPr>
                <w:b/>
                <w:bCs/>
                <w:color w:val="000000"/>
                <w:sz w:val="20"/>
                <w:szCs w:val="20"/>
              </w:rPr>
            </w:pPr>
            <w:r w:rsidRPr="00CF3478">
              <w:rPr>
                <w:b/>
                <w:bCs/>
                <w:color w:val="000000"/>
                <w:sz w:val="20"/>
                <w:szCs w:val="20"/>
              </w:rPr>
              <w:t> </w:t>
            </w:r>
          </w:p>
        </w:tc>
        <w:tc>
          <w:tcPr>
            <w:tcW w:w="125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2A645D" w:rsidRPr="00FE7ECE" w:rsidP="0019334A" w14:paraId="4DF35DF2" w14:textId="077A134A">
            <w:pPr>
              <w:widowControl/>
              <w:autoSpaceDE/>
              <w:autoSpaceDN/>
              <w:jc w:val="center"/>
              <w:rPr>
                <w:b/>
                <w:bCs/>
                <w:color w:val="000000"/>
                <w:sz w:val="20"/>
                <w:szCs w:val="20"/>
              </w:rPr>
            </w:pPr>
            <w:r>
              <w:rPr>
                <w:b/>
                <w:bCs/>
                <w:color w:val="000000"/>
                <w:sz w:val="20"/>
                <w:szCs w:val="20"/>
              </w:rPr>
              <w:t>5</w:t>
            </w:r>
          </w:p>
        </w:tc>
        <w:tc>
          <w:tcPr>
            <w:tcW w:w="1385" w:type="dxa"/>
            <w:tcBorders>
              <w:top w:val="nil"/>
              <w:left w:val="single" w:sz="8" w:space="0" w:color="000000"/>
              <w:bottom w:val="single" w:sz="4" w:space="0" w:color="auto"/>
              <w:right w:val="single" w:sz="4" w:space="0" w:color="auto"/>
            </w:tcBorders>
            <w:shd w:val="clear" w:color="auto" w:fill="F2F2F2" w:themeFill="background1" w:themeFillShade="F2"/>
            <w:vAlign w:val="center"/>
            <w:hideMark/>
          </w:tcPr>
          <w:p w:rsidR="002A645D" w:rsidRPr="00CF3478" w:rsidP="0019334A" w14:paraId="0C67F358" w14:textId="69A9A60A">
            <w:pPr>
              <w:widowControl/>
              <w:autoSpaceDE/>
              <w:autoSpaceDN/>
              <w:jc w:val="center"/>
              <w:rPr>
                <w:b/>
                <w:bCs/>
                <w:color w:val="000000"/>
                <w:sz w:val="20"/>
                <w:szCs w:val="20"/>
              </w:rPr>
            </w:pPr>
            <w:r w:rsidRPr="00CF3478">
              <w:rPr>
                <w:b/>
                <w:bCs/>
                <w:color w:val="000000"/>
                <w:sz w:val="20"/>
                <w:szCs w:val="20"/>
              </w:rPr>
              <w:t>$</w:t>
            </w:r>
            <w:r w:rsidR="005C388C">
              <w:rPr>
                <w:b/>
                <w:bCs/>
                <w:color w:val="000000"/>
                <w:sz w:val="20"/>
                <w:szCs w:val="20"/>
              </w:rPr>
              <w:t>984</w:t>
            </w:r>
            <w:r w:rsidRPr="00CF3478">
              <w:rPr>
                <w:b/>
                <w:bCs/>
                <w:color w:val="000000"/>
                <w:sz w:val="20"/>
                <w:szCs w:val="20"/>
              </w:rPr>
              <w:t xml:space="preserve"> </w:t>
            </w:r>
          </w:p>
        </w:tc>
      </w:tr>
    </w:tbl>
    <w:p w:rsidR="002A645D" w:rsidP="00F474C4" w14:paraId="0D7327E4" w14:textId="77777777">
      <w:pPr>
        <w:pStyle w:val="ListBullet"/>
        <w:rPr>
          <w:sz w:val="24"/>
          <w:szCs w:val="24"/>
        </w:rPr>
      </w:pPr>
    </w:p>
    <w:p w:rsidR="00310AE3" w:rsidP="00F474C4" w14:paraId="29E2172C" w14:textId="1599D0B1">
      <w:pPr>
        <w:pStyle w:val="BodyText"/>
      </w:pPr>
      <w:r w:rsidRPr="00CC03EB">
        <w:t xml:space="preserve">As </w:t>
      </w:r>
      <w:r w:rsidRPr="00CC03EB">
        <w:t>discussed</w:t>
      </w:r>
      <w:r w:rsidRPr="00CC03EB" w:rsidR="006B6F12">
        <w:t xml:space="preserve"> </w:t>
      </w:r>
      <w:r w:rsidRPr="00CC03EB">
        <w:t>in Table</w:t>
      </w:r>
      <w:r w:rsidRPr="00CC03EB" w:rsidR="006B6F12">
        <w:t xml:space="preserve"> 1 above</w:t>
      </w:r>
      <w:r w:rsidRPr="00CC03EB">
        <w:t>, fewer than ten</w:t>
      </w:r>
      <w:r w:rsidR="00D528AB">
        <w:t xml:space="preserve"> (10)</w:t>
      </w:r>
      <w:r w:rsidRPr="00CC03EB">
        <w:t xml:space="preserve"> transplant programs </w:t>
      </w:r>
      <w:r w:rsidRPr="00CC03EB" w:rsidR="004851DE">
        <w:t xml:space="preserve">per year are expected to be certified. </w:t>
      </w:r>
      <w:r w:rsidRPr="00CC03EB">
        <w:t xml:space="preserve">Because fewer than ten transplant programs </w:t>
      </w:r>
      <w:r w:rsidRPr="00CC03EB" w:rsidR="004851DE">
        <w:t xml:space="preserve">annually </w:t>
      </w:r>
      <w:r w:rsidR="00981848">
        <w:t>may</w:t>
      </w:r>
      <w:r w:rsidRPr="00CC03EB" w:rsidR="004851DE">
        <w:t xml:space="preserve"> not meet the</w:t>
      </w:r>
      <w:r w:rsidRPr="00CC03EB">
        <w:t xml:space="preserve"> requirements at initial approval and </w:t>
      </w:r>
      <w:r w:rsidR="00981848">
        <w:t xml:space="preserve">may </w:t>
      </w:r>
      <w:r w:rsidRPr="00CC03EB">
        <w:t>seek reconsideration</w:t>
      </w:r>
      <w:r w:rsidR="00D528AB">
        <w:t xml:space="preserve"> of mitigating factors under § 488.61(e)</w:t>
      </w:r>
      <w:r w:rsidRPr="00CC03EB" w:rsidR="004851DE">
        <w:t>, the burden</w:t>
      </w:r>
      <w:r w:rsidR="00981848">
        <w:t xml:space="preserve"> for</w:t>
      </w:r>
      <w:r w:rsidRPr="00CC03EB" w:rsidR="004851DE">
        <w:t xml:space="preserve"> submitting mitigating factors</w:t>
      </w:r>
      <w:r w:rsidRPr="00CC03EB">
        <w:t xml:space="preserve"> is exempt from the PRA </w:t>
      </w:r>
      <w:r w:rsidRPr="00CC03EB" w:rsidR="004851DE">
        <w:t xml:space="preserve">under </w:t>
      </w:r>
      <w:hyperlink r:id="rId13" w:anchor="p-1320.3(c)" w:tgtFrame="_blank" w:history="1">
        <w:r w:rsidRPr="00E60627">
          <w:t>5 CFR §1320.3(c)</w:t>
        </w:r>
      </w:hyperlink>
      <w:r w:rsidRPr="00CC03EB">
        <w:t>(4).</w:t>
      </w:r>
    </w:p>
    <w:p w:rsidR="003A1342" w:rsidP="00F474C4" w14:paraId="7973B2FB" w14:textId="77777777">
      <w:pPr>
        <w:pStyle w:val="BodyText"/>
      </w:pPr>
    </w:p>
    <w:p w:rsidR="002A5D16" w:rsidRPr="009113CC" w:rsidP="002E0114" w14:paraId="609DD0E3" w14:textId="0F9CDBAB">
      <w:pPr>
        <w:pStyle w:val="Heading6"/>
        <w:spacing w:before="0"/>
      </w:pPr>
      <w:r w:rsidRPr="009113CC">
        <w:t xml:space="preserve">§ </w:t>
      </w:r>
      <w:r w:rsidRPr="00E60627" w:rsidR="008037EF">
        <w:t>488.61(g) -</w:t>
      </w:r>
      <w:r w:rsidRPr="009113CC" w:rsidR="008037EF">
        <w:t xml:space="preserve"> Transplant Systems Improvement Agreement</w:t>
      </w:r>
    </w:p>
    <w:p w:rsidR="0027069A" w:rsidP="00F474C4" w14:paraId="1867E158" w14:textId="187C75B4">
      <w:pPr>
        <w:pStyle w:val="BodyText"/>
      </w:pPr>
      <w:r>
        <w:t>Section 488.61(g) allows a</w:t>
      </w:r>
      <w:r w:rsidRPr="00E60627" w:rsidR="008037EF">
        <w:t xml:space="preserve"> transplant hospital</w:t>
      </w:r>
      <w:r>
        <w:t xml:space="preserve"> to</w:t>
      </w:r>
      <w:r w:rsidRPr="00E60627" w:rsidR="008037EF">
        <w:t xml:space="preserve"> voluntarily agree enter into a Systems Improvement Agreement </w:t>
      </w:r>
      <w:r w:rsidRPr="00E60627" w:rsidR="00FE02E8">
        <w:t xml:space="preserve">(“SIA”) </w:t>
      </w:r>
      <w:r w:rsidRPr="00E60627" w:rsidR="008037EF">
        <w:t>with CMS</w:t>
      </w:r>
      <w:r w:rsidR="00CC03EB">
        <w:t xml:space="preserve"> </w:t>
      </w:r>
      <w:r w:rsidRPr="00CC03EB" w:rsidR="00CC03EB">
        <w:t xml:space="preserve">for re-approval. An SIA </w:t>
      </w:r>
      <w:r w:rsidRPr="00E60627" w:rsidR="008037EF">
        <w:t>extends a</w:t>
      </w:r>
      <w:r w:rsidRPr="00CC03EB" w:rsidR="00FE02E8">
        <w:t xml:space="preserve"> prospective</w:t>
      </w:r>
      <w:r w:rsidRPr="00CC03EB" w:rsidR="00CC03EB">
        <w:t xml:space="preserve"> </w:t>
      </w:r>
      <w:r w:rsidRPr="00CC03EB" w:rsidR="008037EF">
        <w:t>Medicare</w:t>
      </w:r>
      <w:r w:rsidRPr="00CC03EB" w:rsidR="00CC03EB">
        <w:t xml:space="preserve"> </w:t>
      </w:r>
      <w:hyperlink r:id="rId14" w:history="1">
        <w:r w:rsidRPr="00E60627" w:rsidR="008037EF">
          <w:rPr>
            <w:rStyle w:val="Hyperlink"/>
            <w:color w:val="auto"/>
            <w:u w:val="none"/>
          </w:rPr>
          <w:t>termination date</w:t>
        </w:r>
      </w:hyperlink>
      <w:r w:rsidR="00CC03EB">
        <w:t xml:space="preserve"> </w:t>
      </w:r>
      <w:r w:rsidRPr="00CC03EB" w:rsidR="008037EF">
        <w:t>and</w:t>
      </w:r>
      <w:r w:rsidR="00CC03EB">
        <w:t xml:space="preserve"> allows </w:t>
      </w:r>
      <w:r w:rsidRPr="00CC03EB">
        <w:t xml:space="preserve">the </w:t>
      </w:r>
      <w:r>
        <w:t xml:space="preserve">transplant </w:t>
      </w:r>
      <w:r w:rsidRPr="00CC03EB">
        <w:t>program</w:t>
      </w:r>
      <w:r>
        <w:t xml:space="preserve"> </w:t>
      </w:r>
      <w:r w:rsidRPr="00CC03EB">
        <w:t xml:space="preserve">additional time to </w:t>
      </w:r>
      <w:r w:rsidR="00CC03EB">
        <w:t xml:space="preserve">comply </w:t>
      </w:r>
      <w:r w:rsidRPr="00CC03EB" w:rsidR="008037EF">
        <w:t xml:space="preserve">with </w:t>
      </w:r>
      <w:r w:rsidRPr="00CC03EB" w:rsidR="00FE02E8">
        <w:t>the CoPs.</w:t>
      </w:r>
      <w:r w:rsidR="00CC03EB">
        <w:t xml:space="preserve"> </w:t>
      </w:r>
      <w:r w:rsidRPr="00CC03EB">
        <w:t>W</w:t>
      </w:r>
      <w:r w:rsidRPr="00E60627">
        <w:t xml:space="preserve">e </w:t>
      </w:r>
      <w:r w:rsidRPr="00CC03EB">
        <w:t>previously assumed t</w:t>
      </w:r>
      <w:r w:rsidRPr="00E60627">
        <w:t xml:space="preserve">hat </w:t>
      </w:r>
      <w:r w:rsidR="00CC03EB">
        <w:t>a</w:t>
      </w:r>
      <w:r w:rsidRPr="00E60627">
        <w:t xml:space="preserve"> transplant hospital</w:t>
      </w:r>
      <w:r w:rsidR="00CC03EB">
        <w:t xml:space="preserve">, </w:t>
      </w:r>
      <w:r w:rsidRPr="00E60627">
        <w:t xml:space="preserve">in </w:t>
      </w:r>
      <w:r w:rsidR="00CC03EB">
        <w:t xml:space="preserve">coordination </w:t>
      </w:r>
      <w:r w:rsidRPr="00E60627">
        <w:t xml:space="preserve">with the transplant program located </w:t>
      </w:r>
      <w:r w:rsidR="00CC03EB">
        <w:t xml:space="preserve">within it, may </w:t>
      </w:r>
      <w:r>
        <w:t xml:space="preserve">annually </w:t>
      </w:r>
      <w:r>
        <w:t>enter</w:t>
      </w:r>
      <w:r w:rsidRPr="00E60627">
        <w:t xml:space="preserve"> into</w:t>
      </w:r>
      <w:r w:rsidRPr="00E60627">
        <w:t xml:space="preserve"> </w:t>
      </w:r>
      <w:r>
        <w:t xml:space="preserve">a SIA </w:t>
      </w:r>
      <w:r w:rsidRPr="00E60627">
        <w:t>as d</w:t>
      </w:r>
      <w:r>
        <w:t xml:space="preserve">escribed under </w:t>
      </w:r>
      <w:r w:rsidRPr="00E60627">
        <w:t>§488.61(</w:t>
      </w:r>
      <w:r>
        <w:t>g</w:t>
      </w:r>
      <w:r w:rsidRPr="00E60627">
        <w:t>)</w:t>
      </w:r>
      <w:r w:rsidR="00D70D41">
        <w:t xml:space="preserve">. </w:t>
      </w:r>
      <w:r>
        <w:t>T</w:t>
      </w:r>
      <w:r w:rsidRPr="0027069A">
        <w:t xml:space="preserve">his would </w:t>
      </w:r>
      <w:r w:rsidR="00CC03EB">
        <w:t xml:space="preserve">involve entering </w:t>
      </w:r>
      <w:r w:rsidRPr="0027069A">
        <w:t xml:space="preserve">into a binding agreement with CMS to allow the </w:t>
      </w:r>
      <w:r>
        <w:t xml:space="preserve">transplant </w:t>
      </w:r>
      <w:r w:rsidRPr="0027069A">
        <w:t xml:space="preserve">program </w:t>
      </w:r>
      <w:r w:rsidR="00CC03EB">
        <w:t xml:space="preserve">more </w:t>
      </w:r>
      <w:r w:rsidRPr="0027069A">
        <w:t>time to</w:t>
      </w:r>
      <w:r w:rsidR="00CC03EB">
        <w:t xml:space="preserve"> meet </w:t>
      </w:r>
      <w:r w:rsidRPr="0027069A">
        <w:t xml:space="preserve">the CoPs. </w:t>
      </w:r>
    </w:p>
    <w:p w:rsidR="0027069A" w:rsidP="00F474C4" w14:paraId="2EF7CDFE" w14:textId="77777777">
      <w:pPr>
        <w:pStyle w:val="BodyText"/>
      </w:pPr>
    </w:p>
    <w:p w:rsidR="00CC03EB" w:rsidP="00F474C4" w14:paraId="599B6ADE" w14:textId="2762B1A0">
      <w:pPr>
        <w:pStyle w:val="BodyText"/>
      </w:pPr>
      <w:r>
        <w:t xml:space="preserve">As shown in Table </w:t>
      </w:r>
      <w:r w:rsidR="005C388C">
        <w:t>10</w:t>
      </w:r>
      <w:r>
        <w:t xml:space="preserve">, </w:t>
      </w:r>
      <w:r>
        <w:t xml:space="preserve">we continue to estimate that completing all required activities under </w:t>
      </w:r>
      <w:r w:rsidRPr="004207EF">
        <w:t>§</w:t>
      </w:r>
      <w:r>
        <w:t xml:space="preserve">488.61(g) </w:t>
      </w:r>
      <w:r w:rsidRPr="0027069A" w:rsidR="0027069A">
        <w:t xml:space="preserve">would </w:t>
      </w:r>
      <w:r w:rsidR="003A1342">
        <w:t>require the following staff time</w:t>
      </w:r>
      <w:r>
        <w:t>:</w:t>
      </w:r>
    </w:p>
    <w:p w:rsidR="00CC03EB" w:rsidRPr="00E60627" w:rsidP="00F474C4" w14:paraId="02DBBEBB" w14:textId="086E144D">
      <w:pPr>
        <w:pStyle w:val="ListBullet"/>
        <w:numPr>
          <w:ilvl w:val="0"/>
          <w:numId w:val="38"/>
        </w:numPr>
        <w:rPr>
          <w:sz w:val="24"/>
          <w:szCs w:val="24"/>
        </w:rPr>
      </w:pPr>
      <w:r w:rsidRPr="00E60627">
        <w:rPr>
          <w:sz w:val="24"/>
          <w:szCs w:val="24"/>
        </w:rPr>
        <w:t xml:space="preserve">2 hours </w:t>
      </w:r>
      <w:r w:rsidR="000A45CF">
        <w:rPr>
          <w:sz w:val="24"/>
          <w:szCs w:val="24"/>
        </w:rPr>
        <w:t xml:space="preserve">- </w:t>
      </w:r>
      <w:r w:rsidR="00AD6667">
        <w:rPr>
          <w:sz w:val="24"/>
          <w:szCs w:val="24"/>
        </w:rPr>
        <w:t xml:space="preserve">Transplant </w:t>
      </w:r>
      <w:r w:rsidRPr="00E60627">
        <w:rPr>
          <w:sz w:val="24"/>
          <w:szCs w:val="24"/>
        </w:rPr>
        <w:t>Hospital</w:t>
      </w:r>
      <w:r w:rsidR="00AD6667">
        <w:rPr>
          <w:sz w:val="24"/>
          <w:szCs w:val="24"/>
        </w:rPr>
        <w:t>’s</w:t>
      </w:r>
      <w:r w:rsidRPr="00E60627">
        <w:rPr>
          <w:sz w:val="24"/>
          <w:szCs w:val="24"/>
        </w:rPr>
        <w:t xml:space="preserve"> Administrator </w:t>
      </w:r>
    </w:p>
    <w:p w:rsidR="00CC03EB" w:rsidRPr="00E60627" w:rsidP="00E60627" w14:paraId="53D7A70D" w14:textId="0ED1412D">
      <w:pPr>
        <w:pStyle w:val="ListBullet"/>
        <w:numPr>
          <w:ilvl w:val="0"/>
          <w:numId w:val="38"/>
        </w:numPr>
        <w:rPr>
          <w:sz w:val="24"/>
          <w:szCs w:val="24"/>
        </w:rPr>
      </w:pPr>
      <w:r w:rsidRPr="00E60627">
        <w:rPr>
          <w:sz w:val="24"/>
          <w:szCs w:val="24"/>
        </w:rPr>
        <w:t xml:space="preserve">4 hours </w:t>
      </w:r>
      <w:r w:rsidR="000A45CF">
        <w:rPr>
          <w:sz w:val="24"/>
          <w:szCs w:val="24"/>
        </w:rPr>
        <w:t xml:space="preserve">- </w:t>
      </w:r>
      <w:r w:rsidRPr="00E60627">
        <w:rPr>
          <w:sz w:val="24"/>
          <w:szCs w:val="24"/>
        </w:rPr>
        <w:t>Medical Director</w:t>
      </w:r>
    </w:p>
    <w:p w:rsidR="00CC03EB" w:rsidRPr="00E60627" w:rsidP="00F474C4" w14:paraId="7ECD08F9" w14:textId="15BAC8AB">
      <w:pPr>
        <w:pStyle w:val="ListBullet"/>
        <w:numPr>
          <w:ilvl w:val="0"/>
          <w:numId w:val="38"/>
        </w:numPr>
        <w:rPr>
          <w:sz w:val="24"/>
          <w:szCs w:val="24"/>
        </w:rPr>
      </w:pPr>
      <w:r w:rsidRPr="00E60627">
        <w:rPr>
          <w:sz w:val="24"/>
          <w:szCs w:val="24"/>
        </w:rPr>
        <w:t xml:space="preserve">4 hours </w:t>
      </w:r>
      <w:r w:rsidR="000A45CF">
        <w:rPr>
          <w:sz w:val="24"/>
          <w:szCs w:val="24"/>
        </w:rPr>
        <w:t xml:space="preserve">- </w:t>
      </w:r>
      <w:r w:rsidRPr="00E60627">
        <w:rPr>
          <w:sz w:val="24"/>
          <w:szCs w:val="24"/>
        </w:rPr>
        <w:t>Senior Administrator</w:t>
      </w:r>
    </w:p>
    <w:p w:rsidR="00CC03EB" w:rsidRPr="00E60627" w:rsidP="00F474C4" w14:paraId="6D48C788" w14:textId="27BA9FB6">
      <w:pPr>
        <w:pStyle w:val="ListBullet"/>
        <w:numPr>
          <w:ilvl w:val="0"/>
          <w:numId w:val="38"/>
        </w:numPr>
        <w:rPr>
          <w:sz w:val="24"/>
          <w:szCs w:val="24"/>
        </w:rPr>
      </w:pPr>
      <w:r w:rsidRPr="00E60627">
        <w:rPr>
          <w:sz w:val="24"/>
          <w:szCs w:val="24"/>
        </w:rPr>
        <w:t xml:space="preserve">4 hours </w:t>
      </w:r>
      <w:r w:rsidR="000A45CF">
        <w:rPr>
          <w:sz w:val="24"/>
          <w:szCs w:val="24"/>
        </w:rPr>
        <w:t xml:space="preserve">- </w:t>
      </w:r>
      <w:r w:rsidRPr="00E60627">
        <w:rPr>
          <w:sz w:val="24"/>
          <w:szCs w:val="24"/>
        </w:rPr>
        <w:t>Administrative Assistant</w:t>
      </w:r>
    </w:p>
    <w:p w:rsidR="005710D4" w:rsidP="002E0114" w14:paraId="5277BC76" w14:textId="497262BD">
      <w:pPr>
        <w:pStyle w:val="ListBullet"/>
        <w:spacing w:before="120"/>
        <w:contextualSpacing w:val="0"/>
        <w:rPr>
          <w:sz w:val="24"/>
          <w:szCs w:val="24"/>
        </w:rPr>
      </w:pPr>
      <w:r w:rsidRPr="00CC03EB">
        <w:rPr>
          <w:sz w:val="24"/>
          <w:szCs w:val="24"/>
        </w:rPr>
        <w:t>This results in a</w:t>
      </w:r>
      <w:r w:rsidR="003A1342">
        <w:rPr>
          <w:sz w:val="24"/>
          <w:szCs w:val="24"/>
        </w:rPr>
        <w:t xml:space="preserve"> </w:t>
      </w:r>
      <w:r w:rsidRPr="00CC03EB">
        <w:rPr>
          <w:sz w:val="24"/>
          <w:szCs w:val="24"/>
        </w:rPr>
        <w:t>total of 14 hours per transplant program and transplant hospital, at a weighted average cost of $2,</w:t>
      </w:r>
      <w:r w:rsidR="002A645D">
        <w:rPr>
          <w:sz w:val="24"/>
          <w:szCs w:val="24"/>
        </w:rPr>
        <w:t>152</w:t>
      </w:r>
      <w:r w:rsidRPr="00CC03EB">
        <w:rPr>
          <w:sz w:val="24"/>
          <w:szCs w:val="24"/>
        </w:rPr>
        <w:t>.</w:t>
      </w:r>
    </w:p>
    <w:p w:rsidR="00A7591C" w:rsidP="002E0114" w14:paraId="417DAE27" w14:textId="77777777">
      <w:pPr>
        <w:pStyle w:val="ListBullet"/>
        <w:spacing w:before="120"/>
        <w:contextualSpacing w:val="0"/>
        <w:rPr>
          <w:sz w:val="24"/>
          <w:szCs w:val="24"/>
        </w:rPr>
      </w:pPr>
    </w:p>
    <w:p w:rsidR="003A1342" w:rsidP="00F474C4" w14:paraId="1B6BB21A" w14:textId="77777777">
      <w:pPr>
        <w:pStyle w:val="ListBullet"/>
        <w:rPr>
          <w:sz w:val="24"/>
          <w:szCs w:val="24"/>
        </w:rPr>
      </w:pPr>
    </w:p>
    <w:p w:rsidR="00FE4835" w:rsidRPr="00CC03EB" w:rsidP="002E0114" w14:paraId="77A1EC72" w14:textId="300B2842">
      <w:pPr>
        <w:pStyle w:val="BodyText"/>
        <w:ind w:left="2391" w:right="1893"/>
        <w:jc w:val="center"/>
        <w:rPr>
          <w:b/>
          <w:bCs/>
          <w:sz w:val="16"/>
        </w:rPr>
      </w:pPr>
      <w:r w:rsidRPr="00CC03EB">
        <w:rPr>
          <w:b/>
          <w:bCs/>
        </w:rPr>
        <w:t xml:space="preserve">Table </w:t>
      </w:r>
      <w:r w:rsidR="005C388C">
        <w:rPr>
          <w:b/>
          <w:bCs/>
        </w:rPr>
        <w:t>10</w:t>
      </w:r>
      <w:r w:rsidRPr="00CC03EB">
        <w:rPr>
          <w:b/>
          <w:bCs/>
        </w:rPr>
        <w:t xml:space="preserve">. </w:t>
      </w:r>
      <w:r w:rsidRPr="00E60627">
        <w:rPr>
          <w:b/>
          <w:bCs/>
        </w:rPr>
        <w:t>§488.61(</w:t>
      </w:r>
      <w:r w:rsidRPr="00E60627" w:rsidR="00061368">
        <w:rPr>
          <w:b/>
          <w:bCs/>
        </w:rPr>
        <w:t>g</w:t>
      </w:r>
      <w:r w:rsidRPr="00E60627">
        <w:rPr>
          <w:b/>
          <w:bCs/>
        </w:rPr>
        <w:t>) –</w:t>
      </w:r>
      <w:r w:rsidR="002A645D">
        <w:rPr>
          <w:b/>
          <w:bCs/>
        </w:rPr>
        <w:t xml:space="preserve"> </w:t>
      </w:r>
      <w:r w:rsidRPr="00CC03EB" w:rsidR="00061368">
        <w:rPr>
          <w:b/>
          <w:bCs/>
        </w:rPr>
        <w:t>Enter</w:t>
      </w:r>
      <w:r w:rsidR="0038163D">
        <w:rPr>
          <w:b/>
          <w:bCs/>
        </w:rPr>
        <w:t>ing</w:t>
      </w:r>
      <w:r w:rsidRPr="00CC03EB" w:rsidR="00061368">
        <w:rPr>
          <w:b/>
          <w:bCs/>
        </w:rPr>
        <w:t xml:space="preserve"> into </w:t>
      </w:r>
      <w:r w:rsidR="0038163D">
        <w:rPr>
          <w:b/>
          <w:bCs/>
        </w:rPr>
        <w:t xml:space="preserve">a </w:t>
      </w:r>
      <w:r w:rsidRPr="00CC03EB" w:rsidR="00061368">
        <w:rPr>
          <w:b/>
          <w:bCs/>
        </w:rPr>
        <w:t>SIA</w:t>
      </w:r>
    </w:p>
    <w:tbl>
      <w:tblPr>
        <w:tblW w:w="7745" w:type="dxa"/>
        <w:tblInd w:w="445" w:type="dxa"/>
        <w:tblLook w:val="04A0"/>
      </w:tblPr>
      <w:tblGrid>
        <w:gridCol w:w="4140"/>
        <w:gridCol w:w="1145"/>
        <w:gridCol w:w="1255"/>
        <w:gridCol w:w="1205"/>
      </w:tblGrid>
      <w:tr w14:paraId="74BE3306" w14:textId="77777777" w:rsidTr="00E60627">
        <w:tblPrEx>
          <w:tblW w:w="7745" w:type="dxa"/>
          <w:tblInd w:w="445" w:type="dxa"/>
          <w:tblLook w:val="04A0"/>
        </w:tblPrEx>
        <w:trPr>
          <w:trHeight w:val="318"/>
        </w:trPr>
        <w:tc>
          <w:tcPr>
            <w:tcW w:w="4140" w:type="dxa"/>
            <w:vMerge w:val="restart"/>
            <w:tcBorders>
              <w:top w:val="single" w:sz="4" w:space="0" w:color="auto"/>
              <w:left w:val="single" w:sz="4" w:space="0" w:color="auto"/>
              <w:right w:val="single" w:sz="4" w:space="0" w:color="auto"/>
            </w:tcBorders>
            <w:shd w:val="clear" w:color="CCCCCC" w:fill="F2F2F2"/>
            <w:vAlign w:val="center"/>
            <w:hideMark/>
          </w:tcPr>
          <w:p w:rsidR="00FE4835" w:rsidRPr="00CF3478" w:rsidP="0019334A" w14:paraId="19F8CACD" w14:textId="7072EBBE">
            <w:pPr>
              <w:widowControl/>
              <w:autoSpaceDE/>
              <w:autoSpaceDN/>
              <w:jc w:val="center"/>
              <w:rPr>
                <w:b/>
                <w:bCs/>
                <w:color w:val="000000"/>
                <w:sz w:val="20"/>
                <w:szCs w:val="20"/>
              </w:rPr>
            </w:pPr>
            <w:r>
              <w:rPr>
                <w:b/>
                <w:bCs/>
                <w:color w:val="000000"/>
                <w:sz w:val="20"/>
                <w:szCs w:val="20"/>
              </w:rPr>
              <w:t xml:space="preserve">Burden to Enter </w:t>
            </w:r>
            <w:r w:rsidR="005C388C">
              <w:rPr>
                <w:b/>
                <w:bCs/>
                <w:color w:val="000000"/>
                <w:sz w:val="20"/>
                <w:szCs w:val="20"/>
              </w:rPr>
              <w:t xml:space="preserve">into </w:t>
            </w:r>
            <w:r w:rsidR="002A645D">
              <w:rPr>
                <w:b/>
                <w:bCs/>
                <w:color w:val="000000"/>
                <w:sz w:val="20"/>
                <w:szCs w:val="20"/>
              </w:rPr>
              <w:t>a SIA</w:t>
            </w:r>
          </w:p>
        </w:tc>
        <w:tc>
          <w:tcPr>
            <w:tcW w:w="1145" w:type="dxa"/>
            <w:tcBorders>
              <w:top w:val="single" w:sz="4" w:space="0" w:color="auto"/>
              <w:left w:val="nil"/>
              <w:right w:val="single" w:sz="8" w:space="0" w:color="000000"/>
            </w:tcBorders>
            <w:shd w:val="clear" w:color="CCCCCC" w:fill="F2F2F2"/>
            <w:vAlign w:val="center"/>
            <w:hideMark/>
          </w:tcPr>
          <w:p w:rsidR="00FE4835" w:rsidRPr="00CF3478" w:rsidP="0019334A" w14:paraId="7888D7D6" w14:textId="77777777">
            <w:pPr>
              <w:widowControl/>
              <w:autoSpaceDE/>
              <w:autoSpaceDN/>
              <w:jc w:val="center"/>
              <w:rPr>
                <w:b/>
                <w:bCs/>
                <w:color w:val="000000"/>
                <w:sz w:val="20"/>
                <w:szCs w:val="20"/>
              </w:rPr>
            </w:pPr>
            <w:r w:rsidRPr="00CF3478">
              <w:rPr>
                <w:b/>
                <w:bCs/>
                <w:color w:val="000000"/>
                <w:sz w:val="20"/>
                <w:szCs w:val="20"/>
              </w:rPr>
              <w:t>Loaded Hourly Mean Wage</w:t>
            </w:r>
          </w:p>
        </w:tc>
        <w:tc>
          <w:tcPr>
            <w:tcW w:w="1255" w:type="dxa"/>
            <w:tcBorders>
              <w:top w:val="single" w:sz="8" w:space="0" w:color="000000"/>
              <w:left w:val="single" w:sz="8" w:space="0" w:color="000000"/>
              <w:right w:val="single" w:sz="8" w:space="0" w:color="000000"/>
            </w:tcBorders>
            <w:shd w:val="clear" w:color="CCCCCC" w:fill="F2F2F2"/>
            <w:vAlign w:val="center"/>
          </w:tcPr>
          <w:p w:rsidR="00FE4835" w:rsidRPr="00FE7ECE" w:rsidP="0019334A" w14:paraId="34CD23E1" w14:textId="77777777">
            <w:pPr>
              <w:widowControl/>
              <w:autoSpaceDE/>
              <w:autoSpaceDN/>
              <w:jc w:val="center"/>
              <w:rPr>
                <w:b/>
                <w:bCs/>
                <w:sz w:val="20"/>
                <w:szCs w:val="20"/>
              </w:rPr>
            </w:pPr>
            <w:r w:rsidRPr="00FE7ECE">
              <w:rPr>
                <w:b/>
                <w:bCs/>
                <w:sz w:val="20"/>
                <w:szCs w:val="20"/>
              </w:rPr>
              <w:t>Burden Hours/</w:t>
            </w:r>
          </w:p>
          <w:p w:rsidR="00FE4835" w:rsidRPr="00FE7ECE" w:rsidP="0019334A" w14:paraId="3CE64162" w14:textId="64F22C16">
            <w:pPr>
              <w:widowControl/>
              <w:autoSpaceDE/>
              <w:autoSpaceDN/>
              <w:jc w:val="center"/>
              <w:rPr>
                <w:b/>
                <w:bCs/>
                <w:color w:val="000000"/>
                <w:sz w:val="20"/>
                <w:szCs w:val="20"/>
              </w:rPr>
            </w:pPr>
            <w:r>
              <w:rPr>
                <w:b/>
                <w:bCs/>
                <w:sz w:val="20"/>
                <w:szCs w:val="20"/>
              </w:rPr>
              <w:t>Program</w:t>
            </w:r>
          </w:p>
        </w:tc>
        <w:tc>
          <w:tcPr>
            <w:tcW w:w="1205" w:type="dxa"/>
            <w:tcBorders>
              <w:top w:val="single" w:sz="4" w:space="0" w:color="auto"/>
              <w:left w:val="single" w:sz="8" w:space="0" w:color="000000"/>
              <w:right w:val="single" w:sz="4" w:space="0" w:color="auto"/>
            </w:tcBorders>
            <w:shd w:val="clear" w:color="CCCCCC" w:fill="F2F2F2"/>
            <w:vAlign w:val="center"/>
          </w:tcPr>
          <w:p w:rsidR="00FE4835" w:rsidRPr="00FE7ECE" w:rsidP="0019334A" w14:paraId="686733DA" w14:textId="77777777">
            <w:pPr>
              <w:widowControl/>
              <w:autoSpaceDE/>
              <w:autoSpaceDN/>
              <w:jc w:val="center"/>
              <w:rPr>
                <w:b/>
                <w:bCs/>
                <w:color w:val="000000"/>
                <w:sz w:val="20"/>
                <w:szCs w:val="20"/>
              </w:rPr>
            </w:pPr>
            <w:r w:rsidRPr="00FE7ECE">
              <w:rPr>
                <w:b/>
                <w:bCs/>
                <w:color w:val="000000"/>
                <w:sz w:val="20"/>
                <w:szCs w:val="20"/>
              </w:rPr>
              <w:t>Burden Cost/</w:t>
            </w:r>
          </w:p>
          <w:p w:rsidR="00FE4835" w:rsidRPr="00CF3478" w:rsidP="0019334A" w14:paraId="5A3D1792" w14:textId="7F1C536E">
            <w:pPr>
              <w:widowControl/>
              <w:autoSpaceDE/>
              <w:autoSpaceDN/>
              <w:jc w:val="center"/>
              <w:rPr>
                <w:b/>
                <w:bCs/>
                <w:color w:val="000000"/>
                <w:sz w:val="20"/>
                <w:szCs w:val="20"/>
              </w:rPr>
            </w:pPr>
            <w:r>
              <w:rPr>
                <w:b/>
                <w:bCs/>
                <w:color w:val="000000"/>
                <w:sz w:val="20"/>
                <w:szCs w:val="20"/>
              </w:rPr>
              <w:t>Program</w:t>
            </w:r>
          </w:p>
        </w:tc>
      </w:tr>
      <w:tr w14:paraId="10056D1E" w14:textId="77777777" w:rsidTr="00E60627">
        <w:tblPrEx>
          <w:tblW w:w="7745" w:type="dxa"/>
          <w:tblInd w:w="445" w:type="dxa"/>
          <w:tblLook w:val="04A0"/>
        </w:tblPrEx>
        <w:trPr>
          <w:trHeight w:val="159"/>
        </w:trPr>
        <w:tc>
          <w:tcPr>
            <w:tcW w:w="4140" w:type="dxa"/>
            <w:vMerge/>
            <w:tcBorders>
              <w:left w:val="single" w:sz="4" w:space="0" w:color="auto"/>
              <w:bottom w:val="single" w:sz="4" w:space="0" w:color="auto"/>
              <w:right w:val="single" w:sz="4" w:space="0" w:color="auto"/>
            </w:tcBorders>
            <w:shd w:val="clear" w:color="CCCCCC" w:fill="F2F2F2"/>
            <w:vAlign w:val="center"/>
            <w:hideMark/>
          </w:tcPr>
          <w:p w:rsidR="00FE4835" w:rsidRPr="00CF3478" w:rsidP="0019334A" w14:paraId="3FB8581A" w14:textId="77777777">
            <w:pPr>
              <w:widowControl/>
              <w:autoSpaceDE/>
              <w:autoSpaceDN/>
              <w:jc w:val="center"/>
              <w:rPr>
                <w:b/>
                <w:bCs/>
                <w:color w:val="000000"/>
                <w:sz w:val="20"/>
                <w:szCs w:val="20"/>
              </w:rPr>
            </w:pPr>
          </w:p>
        </w:tc>
        <w:tc>
          <w:tcPr>
            <w:tcW w:w="1145" w:type="dxa"/>
            <w:tcBorders>
              <w:left w:val="nil"/>
              <w:bottom w:val="single" w:sz="4" w:space="0" w:color="auto"/>
              <w:right w:val="single" w:sz="8" w:space="0" w:color="000000"/>
            </w:tcBorders>
            <w:shd w:val="clear" w:color="CCCCCC" w:fill="F2F2F2"/>
            <w:vAlign w:val="center"/>
            <w:hideMark/>
          </w:tcPr>
          <w:p w:rsidR="00FE4835" w:rsidRPr="00CF3478" w:rsidP="0019334A" w14:paraId="1E18BF14" w14:textId="77777777">
            <w:pPr>
              <w:widowControl/>
              <w:autoSpaceDE/>
              <w:autoSpaceDN/>
              <w:jc w:val="center"/>
              <w:rPr>
                <w:b/>
                <w:bCs/>
                <w:color w:val="000000"/>
                <w:sz w:val="20"/>
                <w:szCs w:val="20"/>
              </w:rPr>
            </w:pPr>
            <w:r w:rsidRPr="00CF3478">
              <w:rPr>
                <w:b/>
                <w:bCs/>
                <w:color w:val="000000"/>
                <w:sz w:val="20"/>
                <w:szCs w:val="20"/>
              </w:rPr>
              <w:t>(a)</w:t>
            </w:r>
          </w:p>
        </w:tc>
        <w:tc>
          <w:tcPr>
            <w:tcW w:w="1255" w:type="dxa"/>
            <w:tcBorders>
              <w:left w:val="single" w:sz="8" w:space="0" w:color="000000"/>
              <w:bottom w:val="single" w:sz="8" w:space="0" w:color="000000"/>
              <w:right w:val="single" w:sz="8" w:space="0" w:color="000000"/>
            </w:tcBorders>
            <w:shd w:val="clear" w:color="CCCCCC" w:fill="F2F2F2"/>
            <w:vAlign w:val="center"/>
          </w:tcPr>
          <w:p w:rsidR="00FE4835" w:rsidRPr="00FE7ECE" w:rsidP="0019334A" w14:paraId="36672FBE" w14:textId="77777777">
            <w:pPr>
              <w:widowControl/>
              <w:autoSpaceDE/>
              <w:autoSpaceDN/>
              <w:jc w:val="center"/>
              <w:rPr>
                <w:b/>
                <w:bCs/>
                <w:color w:val="000000"/>
                <w:sz w:val="20"/>
                <w:szCs w:val="20"/>
              </w:rPr>
            </w:pPr>
            <w:r w:rsidRPr="00FE7ECE">
              <w:rPr>
                <w:b/>
                <w:bCs/>
                <w:sz w:val="20"/>
                <w:szCs w:val="20"/>
              </w:rPr>
              <w:t xml:space="preserve">(b) </w:t>
            </w:r>
          </w:p>
        </w:tc>
        <w:tc>
          <w:tcPr>
            <w:tcW w:w="1205" w:type="dxa"/>
            <w:tcBorders>
              <w:left w:val="single" w:sz="8" w:space="0" w:color="000000"/>
              <w:bottom w:val="single" w:sz="4" w:space="0" w:color="auto"/>
              <w:right w:val="single" w:sz="4" w:space="0" w:color="auto"/>
            </w:tcBorders>
            <w:shd w:val="clear" w:color="CCCCCC" w:fill="F2F2F2"/>
            <w:vAlign w:val="center"/>
            <w:hideMark/>
          </w:tcPr>
          <w:p w:rsidR="00FE4835" w:rsidRPr="00CF3478" w:rsidP="0019334A" w14:paraId="2F9F5ED2" w14:textId="77777777">
            <w:pPr>
              <w:widowControl/>
              <w:autoSpaceDE/>
              <w:autoSpaceDN/>
              <w:jc w:val="center"/>
              <w:rPr>
                <w:b/>
                <w:bCs/>
                <w:color w:val="000000"/>
                <w:sz w:val="20"/>
                <w:szCs w:val="20"/>
              </w:rPr>
            </w:pPr>
            <w:r w:rsidRPr="00CF3478">
              <w:rPr>
                <w:b/>
                <w:bCs/>
                <w:color w:val="000000"/>
                <w:sz w:val="20"/>
                <w:szCs w:val="20"/>
              </w:rPr>
              <w:t>(c = a x b)</w:t>
            </w:r>
          </w:p>
        </w:tc>
      </w:tr>
      <w:tr w14:paraId="4619EA7A" w14:textId="77777777" w:rsidTr="003A5E98">
        <w:tblPrEx>
          <w:tblW w:w="7745" w:type="dxa"/>
          <w:tblInd w:w="445" w:type="dxa"/>
          <w:tblLook w:val="04A0"/>
        </w:tblPrEx>
        <w:trPr>
          <w:trHeight w:val="504"/>
        </w:trPr>
        <w:tc>
          <w:tcPr>
            <w:tcW w:w="4140" w:type="dxa"/>
            <w:tcBorders>
              <w:top w:val="nil"/>
              <w:left w:val="single" w:sz="4" w:space="0" w:color="auto"/>
              <w:bottom w:val="single" w:sz="4" w:space="0" w:color="auto"/>
              <w:right w:val="single" w:sz="4" w:space="0" w:color="auto"/>
            </w:tcBorders>
            <w:noWrap/>
            <w:vAlign w:val="center"/>
          </w:tcPr>
          <w:p w:rsidR="00061368" w:rsidRPr="00CF3478" w:rsidP="00061368" w14:paraId="15F0431E" w14:textId="10E0206A">
            <w:pPr>
              <w:widowControl/>
              <w:autoSpaceDE/>
              <w:autoSpaceDN/>
              <w:rPr>
                <w:color w:val="000000"/>
                <w:sz w:val="20"/>
                <w:szCs w:val="20"/>
              </w:rPr>
            </w:pPr>
            <w:r>
              <w:rPr>
                <w:color w:val="000000"/>
                <w:sz w:val="20"/>
                <w:szCs w:val="20"/>
              </w:rPr>
              <w:t xml:space="preserve">Transplant </w:t>
            </w:r>
            <w:r>
              <w:rPr>
                <w:color w:val="000000"/>
                <w:sz w:val="20"/>
                <w:szCs w:val="20"/>
              </w:rPr>
              <w:t xml:space="preserve">Hospital </w:t>
            </w:r>
            <w:r w:rsidRPr="00CF3478">
              <w:rPr>
                <w:color w:val="000000"/>
                <w:sz w:val="20"/>
                <w:szCs w:val="20"/>
              </w:rPr>
              <w:t>Administrator (</w:t>
            </w:r>
            <w:r w:rsidRPr="001D762D">
              <w:rPr>
                <w:sz w:val="18"/>
                <w:szCs w:val="16"/>
              </w:rPr>
              <w:t xml:space="preserve">BLS Occ. Code </w:t>
            </w:r>
            <w:r w:rsidRPr="00AD6667">
              <w:rPr>
                <w:color w:val="000000"/>
                <w:sz w:val="18"/>
                <w:szCs w:val="18"/>
              </w:rPr>
              <w:t>11-</w:t>
            </w:r>
            <w:r w:rsidRPr="00AD6667">
              <w:rPr>
                <w:color w:val="000000"/>
                <w:sz w:val="18"/>
                <w:szCs w:val="18"/>
              </w:rPr>
              <w:t>1020</w:t>
            </w:r>
            <w:r w:rsidRPr="00AD6667">
              <w:rPr>
                <w:color w:val="000000"/>
                <w:sz w:val="18"/>
                <w:szCs w:val="18"/>
              </w:rPr>
              <w:t>)</w:t>
            </w:r>
          </w:p>
        </w:tc>
        <w:tc>
          <w:tcPr>
            <w:tcW w:w="1145" w:type="dxa"/>
            <w:tcBorders>
              <w:top w:val="nil"/>
              <w:left w:val="nil"/>
              <w:bottom w:val="single" w:sz="4" w:space="0" w:color="auto"/>
              <w:right w:val="single" w:sz="8" w:space="0" w:color="000000"/>
            </w:tcBorders>
            <w:vAlign w:val="center"/>
          </w:tcPr>
          <w:p w:rsidR="00061368" w:rsidRPr="00CF3478" w:rsidP="00061368" w14:paraId="3D4B8960" w14:textId="6D502A55">
            <w:pPr>
              <w:widowControl/>
              <w:autoSpaceDE/>
              <w:autoSpaceDN/>
              <w:jc w:val="center"/>
              <w:rPr>
                <w:color w:val="000000"/>
                <w:sz w:val="20"/>
                <w:szCs w:val="20"/>
              </w:rPr>
            </w:pPr>
            <w:r w:rsidRPr="00CF3478">
              <w:rPr>
                <w:color w:val="000000"/>
                <w:sz w:val="20"/>
                <w:szCs w:val="20"/>
              </w:rPr>
              <w:t>$1</w:t>
            </w:r>
            <w:r w:rsidR="00AD6667">
              <w:rPr>
                <w:color w:val="000000"/>
                <w:sz w:val="20"/>
                <w:szCs w:val="20"/>
              </w:rPr>
              <w:t>78</w:t>
            </w:r>
          </w:p>
        </w:tc>
        <w:tc>
          <w:tcPr>
            <w:tcW w:w="1255" w:type="dxa"/>
            <w:tcBorders>
              <w:top w:val="single" w:sz="8" w:space="0" w:color="000000"/>
              <w:left w:val="single" w:sz="8" w:space="0" w:color="000000"/>
              <w:bottom w:val="single" w:sz="8" w:space="0" w:color="000000"/>
              <w:right w:val="single" w:sz="8" w:space="0" w:color="000000"/>
            </w:tcBorders>
            <w:vAlign w:val="center"/>
          </w:tcPr>
          <w:p w:rsidR="00061368" w:rsidRPr="00061368" w:rsidP="00061368" w14:paraId="15E1F98D" w14:textId="785AC1AC">
            <w:pPr>
              <w:widowControl/>
              <w:autoSpaceDE/>
              <w:autoSpaceDN/>
              <w:jc w:val="center"/>
              <w:rPr>
                <w:sz w:val="20"/>
                <w:szCs w:val="20"/>
              </w:rPr>
            </w:pPr>
            <w:r w:rsidRPr="00061368">
              <w:rPr>
                <w:sz w:val="20"/>
                <w:szCs w:val="20"/>
              </w:rPr>
              <w:t>2.0</w:t>
            </w:r>
          </w:p>
        </w:tc>
        <w:tc>
          <w:tcPr>
            <w:tcW w:w="1205" w:type="dxa"/>
            <w:tcBorders>
              <w:top w:val="nil"/>
              <w:left w:val="single" w:sz="8" w:space="0" w:color="000000"/>
              <w:bottom w:val="single" w:sz="4" w:space="0" w:color="auto"/>
              <w:right w:val="single" w:sz="4" w:space="0" w:color="auto"/>
            </w:tcBorders>
            <w:vAlign w:val="center"/>
          </w:tcPr>
          <w:p w:rsidR="00061368" w:rsidRPr="00061368" w:rsidP="00061368" w14:paraId="192F4940" w14:textId="03A59F76">
            <w:pPr>
              <w:widowControl/>
              <w:autoSpaceDE/>
              <w:autoSpaceDN/>
              <w:jc w:val="center"/>
              <w:rPr>
                <w:sz w:val="20"/>
                <w:szCs w:val="20"/>
              </w:rPr>
            </w:pPr>
            <w:r w:rsidRPr="00061368">
              <w:rPr>
                <w:sz w:val="20"/>
                <w:szCs w:val="20"/>
              </w:rPr>
              <w:t>$</w:t>
            </w:r>
            <w:r w:rsidR="00AD6667">
              <w:rPr>
                <w:sz w:val="20"/>
                <w:szCs w:val="20"/>
              </w:rPr>
              <w:t>356</w:t>
            </w:r>
          </w:p>
        </w:tc>
      </w:tr>
      <w:tr w14:paraId="2B59FC4F" w14:textId="77777777" w:rsidTr="003A5E98">
        <w:tblPrEx>
          <w:tblW w:w="7745" w:type="dxa"/>
          <w:tblInd w:w="445" w:type="dxa"/>
          <w:tblLook w:val="04A0"/>
        </w:tblPrEx>
        <w:trPr>
          <w:trHeight w:val="504"/>
        </w:trPr>
        <w:tc>
          <w:tcPr>
            <w:tcW w:w="4140" w:type="dxa"/>
            <w:tcBorders>
              <w:top w:val="nil"/>
              <w:left w:val="single" w:sz="4" w:space="0" w:color="auto"/>
              <w:bottom w:val="single" w:sz="4" w:space="0" w:color="auto"/>
              <w:right w:val="single" w:sz="4" w:space="0" w:color="auto"/>
            </w:tcBorders>
            <w:noWrap/>
            <w:vAlign w:val="center"/>
            <w:hideMark/>
          </w:tcPr>
          <w:p w:rsidR="00AD6667" w:rsidRPr="00CF3478" w:rsidP="00AD6667" w14:paraId="3B37CEAC" w14:textId="08359E37">
            <w:pPr>
              <w:widowControl/>
              <w:autoSpaceDE/>
              <w:autoSpaceDN/>
              <w:rPr>
                <w:color w:val="000000"/>
                <w:sz w:val="20"/>
                <w:szCs w:val="20"/>
              </w:rPr>
            </w:pPr>
            <w:r w:rsidRPr="00CF3478">
              <w:rPr>
                <w:color w:val="000000"/>
                <w:sz w:val="20"/>
                <w:szCs w:val="20"/>
              </w:rPr>
              <w:t xml:space="preserve">Medical Director </w:t>
            </w:r>
            <w:r w:rsidRPr="001D762D">
              <w:rPr>
                <w:color w:val="000000"/>
                <w:sz w:val="18"/>
                <w:szCs w:val="18"/>
              </w:rPr>
              <w:t>(</w:t>
            </w:r>
            <w:r w:rsidRPr="001D762D">
              <w:rPr>
                <w:sz w:val="18"/>
                <w:szCs w:val="16"/>
              </w:rPr>
              <w:t xml:space="preserve">BLS Occ. Code </w:t>
            </w:r>
            <w:r w:rsidRPr="001D762D">
              <w:rPr>
                <w:color w:val="000000"/>
                <w:sz w:val="18"/>
                <w:szCs w:val="18"/>
              </w:rPr>
              <w:t>29-1210)</w:t>
            </w:r>
          </w:p>
        </w:tc>
        <w:tc>
          <w:tcPr>
            <w:tcW w:w="1145" w:type="dxa"/>
            <w:tcBorders>
              <w:top w:val="nil"/>
              <w:left w:val="nil"/>
              <w:bottom w:val="single" w:sz="4" w:space="0" w:color="auto"/>
              <w:right w:val="single" w:sz="8" w:space="0" w:color="000000"/>
            </w:tcBorders>
            <w:vAlign w:val="center"/>
            <w:hideMark/>
          </w:tcPr>
          <w:p w:rsidR="00AD6667" w:rsidRPr="00CF3478" w:rsidP="00AD6667" w14:paraId="67006DDB" w14:textId="77777777">
            <w:pPr>
              <w:widowControl/>
              <w:autoSpaceDE/>
              <w:autoSpaceDN/>
              <w:jc w:val="center"/>
              <w:rPr>
                <w:color w:val="000000"/>
                <w:sz w:val="20"/>
                <w:szCs w:val="20"/>
              </w:rPr>
            </w:pPr>
            <w:r w:rsidRPr="00CF3478">
              <w:rPr>
                <w:color w:val="000000"/>
                <w:sz w:val="20"/>
                <w:szCs w:val="20"/>
              </w:rPr>
              <w:t>$259</w:t>
            </w:r>
          </w:p>
        </w:tc>
        <w:tc>
          <w:tcPr>
            <w:tcW w:w="1255" w:type="dxa"/>
            <w:tcBorders>
              <w:top w:val="single" w:sz="8" w:space="0" w:color="000000"/>
              <w:left w:val="single" w:sz="8" w:space="0" w:color="000000"/>
              <w:bottom w:val="single" w:sz="8" w:space="0" w:color="000000"/>
              <w:right w:val="single" w:sz="8" w:space="0" w:color="000000"/>
            </w:tcBorders>
            <w:vAlign w:val="center"/>
          </w:tcPr>
          <w:p w:rsidR="00AD6667" w:rsidRPr="00061368" w:rsidP="00AD6667" w14:paraId="16834E71" w14:textId="7E23015D">
            <w:pPr>
              <w:widowControl/>
              <w:autoSpaceDE/>
              <w:autoSpaceDN/>
              <w:jc w:val="center"/>
              <w:rPr>
                <w:color w:val="000000"/>
                <w:sz w:val="20"/>
                <w:szCs w:val="20"/>
              </w:rPr>
            </w:pPr>
            <w:r w:rsidRPr="00061368">
              <w:rPr>
                <w:sz w:val="20"/>
                <w:szCs w:val="20"/>
              </w:rPr>
              <w:t>4.0</w:t>
            </w:r>
          </w:p>
        </w:tc>
        <w:tc>
          <w:tcPr>
            <w:tcW w:w="1205" w:type="dxa"/>
            <w:tcBorders>
              <w:top w:val="nil"/>
              <w:left w:val="single" w:sz="8" w:space="0" w:color="000000"/>
              <w:bottom w:val="single" w:sz="4" w:space="0" w:color="auto"/>
              <w:right w:val="single" w:sz="4" w:space="0" w:color="auto"/>
            </w:tcBorders>
            <w:vAlign w:val="center"/>
            <w:hideMark/>
          </w:tcPr>
          <w:p w:rsidR="00AD6667" w:rsidRPr="00061368" w:rsidP="00AD6667" w14:paraId="4664FD66" w14:textId="13411C93">
            <w:pPr>
              <w:widowControl/>
              <w:autoSpaceDE/>
              <w:autoSpaceDN/>
              <w:jc w:val="center"/>
              <w:rPr>
                <w:color w:val="000000"/>
                <w:sz w:val="20"/>
                <w:szCs w:val="20"/>
              </w:rPr>
            </w:pPr>
            <w:r w:rsidRPr="00061368">
              <w:rPr>
                <w:sz w:val="20"/>
                <w:szCs w:val="20"/>
              </w:rPr>
              <w:t>$1,036</w:t>
            </w:r>
          </w:p>
        </w:tc>
      </w:tr>
      <w:tr w14:paraId="0804C779" w14:textId="77777777" w:rsidTr="003A5E98">
        <w:tblPrEx>
          <w:tblW w:w="7745" w:type="dxa"/>
          <w:tblInd w:w="445" w:type="dxa"/>
          <w:tblLook w:val="04A0"/>
        </w:tblPrEx>
        <w:trPr>
          <w:trHeight w:val="504"/>
        </w:trPr>
        <w:tc>
          <w:tcPr>
            <w:tcW w:w="4140" w:type="dxa"/>
            <w:tcBorders>
              <w:top w:val="nil"/>
              <w:left w:val="single" w:sz="4" w:space="0" w:color="auto"/>
              <w:bottom w:val="single" w:sz="4" w:space="0" w:color="auto"/>
              <w:right w:val="single" w:sz="4" w:space="0" w:color="auto"/>
            </w:tcBorders>
            <w:noWrap/>
            <w:vAlign w:val="center"/>
            <w:hideMark/>
          </w:tcPr>
          <w:p w:rsidR="00AD6667" w:rsidRPr="00CF3478" w:rsidP="00AD6667" w14:paraId="36313CC4" w14:textId="76F158AA">
            <w:pPr>
              <w:widowControl/>
              <w:autoSpaceDE/>
              <w:autoSpaceDN/>
              <w:rPr>
                <w:color w:val="000000"/>
                <w:sz w:val="20"/>
                <w:szCs w:val="20"/>
              </w:rPr>
            </w:pPr>
            <w:r w:rsidRPr="00CF3478">
              <w:rPr>
                <w:color w:val="000000"/>
                <w:sz w:val="20"/>
                <w:szCs w:val="20"/>
              </w:rPr>
              <w:t xml:space="preserve">Senior Administrator </w:t>
            </w:r>
            <w:r w:rsidRPr="001D762D">
              <w:rPr>
                <w:color w:val="000000"/>
                <w:sz w:val="18"/>
                <w:szCs w:val="18"/>
              </w:rPr>
              <w:t>(</w:t>
            </w:r>
            <w:r w:rsidRPr="001D762D">
              <w:rPr>
                <w:sz w:val="18"/>
                <w:szCs w:val="16"/>
              </w:rPr>
              <w:t xml:space="preserve">BLS Occ. Code </w:t>
            </w:r>
            <w:r w:rsidRPr="001D762D">
              <w:rPr>
                <w:color w:val="000000"/>
                <w:sz w:val="18"/>
                <w:szCs w:val="18"/>
              </w:rPr>
              <w:t>11-9111)</w:t>
            </w:r>
          </w:p>
        </w:tc>
        <w:tc>
          <w:tcPr>
            <w:tcW w:w="1145" w:type="dxa"/>
            <w:tcBorders>
              <w:top w:val="nil"/>
              <w:left w:val="nil"/>
              <w:bottom w:val="single" w:sz="4" w:space="0" w:color="auto"/>
              <w:right w:val="single" w:sz="8" w:space="0" w:color="000000"/>
            </w:tcBorders>
            <w:vAlign w:val="center"/>
            <w:hideMark/>
          </w:tcPr>
          <w:p w:rsidR="00AD6667" w:rsidRPr="00CF3478" w:rsidP="00AD6667" w14:paraId="19F4EB6B" w14:textId="77777777">
            <w:pPr>
              <w:widowControl/>
              <w:autoSpaceDE/>
              <w:autoSpaceDN/>
              <w:jc w:val="center"/>
              <w:rPr>
                <w:color w:val="000000"/>
                <w:sz w:val="20"/>
                <w:szCs w:val="20"/>
              </w:rPr>
            </w:pPr>
            <w:r w:rsidRPr="00CF3478">
              <w:rPr>
                <w:color w:val="000000"/>
                <w:sz w:val="20"/>
                <w:szCs w:val="20"/>
              </w:rPr>
              <w:t>$144</w:t>
            </w:r>
          </w:p>
        </w:tc>
        <w:tc>
          <w:tcPr>
            <w:tcW w:w="1255" w:type="dxa"/>
            <w:tcBorders>
              <w:top w:val="single" w:sz="8" w:space="0" w:color="000000"/>
              <w:left w:val="single" w:sz="8" w:space="0" w:color="000000"/>
              <w:bottom w:val="single" w:sz="8" w:space="0" w:color="000000"/>
              <w:right w:val="single" w:sz="8" w:space="0" w:color="000000"/>
            </w:tcBorders>
            <w:vAlign w:val="center"/>
          </w:tcPr>
          <w:p w:rsidR="00AD6667" w:rsidRPr="00061368" w:rsidP="00AD6667" w14:paraId="63F834E5" w14:textId="33A5E6BA">
            <w:pPr>
              <w:widowControl/>
              <w:autoSpaceDE/>
              <w:autoSpaceDN/>
              <w:jc w:val="center"/>
              <w:rPr>
                <w:color w:val="000000"/>
                <w:sz w:val="20"/>
                <w:szCs w:val="20"/>
              </w:rPr>
            </w:pPr>
            <w:r w:rsidRPr="00061368">
              <w:rPr>
                <w:sz w:val="20"/>
                <w:szCs w:val="20"/>
              </w:rPr>
              <w:t>4.0</w:t>
            </w:r>
          </w:p>
        </w:tc>
        <w:tc>
          <w:tcPr>
            <w:tcW w:w="1205" w:type="dxa"/>
            <w:tcBorders>
              <w:top w:val="nil"/>
              <w:left w:val="single" w:sz="8" w:space="0" w:color="000000"/>
              <w:bottom w:val="single" w:sz="4" w:space="0" w:color="auto"/>
              <w:right w:val="single" w:sz="4" w:space="0" w:color="auto"/>
            </w:tcBorders>
            <w:vAlign w:val="center"/>
            <w:hideMark/>
          </w:tcPr>
          <w:p w:rsidR="00AD6667" w:rsidRPr="00061368" w:rsidP="00AD6667" w14:paraId="44122AE7" w14:textId="272DF027">
            <w:pPr>
              <w:widowControl/>
              <w:autoSpaceDE/>
              <w:autoSpaceDN/>
              <w:jc w:val="center"/>
              <w:rPr>
                <w:color w:val="000000"/>
                <w:sz w:val="20"/>
                <w:szCs w:val="20"/>
              </w:rPr>
            </w:pPr>
            <w:r w:rsidRPr="00061368">
              <w:rPr>
                <w:sz w:val="20"/>
                <w:szCs w:val="20"/>
              </w:rPr>
              <w:t>$576</w:t>
            </w:r>
          </w:p>
        </w:tc>
      </w:tr>
      <w:tr w14:paraId="21CB419C" w14:textId="77777777" w:rsidTr="003A5E98">
        <w:tblPrEx>
          <w:tblW w:w="7745" w:type="dxa"/>
          <w:tblInd w:w="445" w:type="dxa"/>
          <w:tblLook w:val="04A0"/>
        </w:tblPrEx>
        <w:trPr>
          <w:trHeight w:val="504"/>
        </w:trPr>
        <w:tc>
          <w:tcPr>
            <w:tcW w:w="4140" w:type="dxa"/>
            <w:tcBorders>
              <w:top w:val="nil"/>
              <w:left w:val="single" w:sz="4" w:space="0" w:color="auto"/>
              <w:bottom w:val="single" w:sz="4" w:space="0" w:color="auto"/>
              <w:right w:val="single" w:sz="4" w:space="0" w:color="auto"/>
            </w:tcBorders>
            <w:vAlign w:val="center"/>
            <w:hideMark/>
          </w:tcPr>
          <w:p w:rsidR="00061368" w:rsidRPr="00CF3478" w:rsidP="00061368" w14:paraId="60D62874" w14:textId="1458C7C0">
            <w:pPr>
              <w:widowControl/>
              <w:autoSpaceDE/>
              <w:autoSpaceDN/>
              <w:rPr>
                <w:color w:val="000000"/>
                <w:sz w:val="20"/>
                <w:szCs w:val="20"/>
              </w:rPr>
            </w:pPr>
            <w:r>
              <w:rPr>
                <w:color w:val="000000"/>
                <w:sz w:val="20"/>
                <w:szCs w:val="20"/>
              </w:rPr>
              <w:t>Administrative Assistant</w:t>
            </w:r>
            <w:r w:rsidRPr="00CF3478">
              <w:rPr>
                <w:color w:val="000000"/>
                <w:sz w:val="20"/>
                <w:szCs w:val="20"/>
              </w:rPr>
              <w:t xml:space="preserve"> </w:t>
            </w:r>
            <w:r w:rsidRPr="001D762D">
              <w:rPr>
                <w:color w:val="000000"/>
                <w:sz w:val="18"/>
                <w:szCs w:val="18"/>
              </w:rPr>
              <w:t>(</w:t>
            </w:r>
            <w:r w:rsidRPr="001D762D">
              <w:rPr>
                <w:sz w:val="18"/>
                <w:szCs w:val="16"/>
              </w:rPr>
              <w:t xml:space="preserve">BLS Occ. Code </w:t>
            </w:r>
            <w:r w:rsidRPr="001D762D">
              <w:rPr>
                <w:color w:val="000000"/>
                <w:sz w:val="18"/>
                <w:szCs w:val="18"/>
              </w:rPr>
              <w:t>43-6013)</w:t>
            </w:r>
          </w:p>
        </w:tc>
        <w:tc>
          <w:tcPr>
            <w:tcW w:w="1145" w:type="dxa"/>
            <w:tcBorders>
              <w:top w:val="nil"/>
              <w:left w:val="nil"/>
              <w:bottom w:val="single" w:sz="4" w:space="0" w:color="auto"/>
              <w:right w:val="single" w:sz="8" w:space="0" w:color="000000"/>
            </w:tcBorders>
            <w:vAlign w:val="center"/>
            <w:hideMark/>
          </w:tcPr>
          <w:p w:rsidR="00061368" w:rsidRPr="00CF3478" w:rsidP="00061368" w14:paraId="12DAE540" w14:textId="77777777">
            <w:pPr>
              <w:widowControl/>
              <w:autoSpaceDE/>
              <w:autoSpaceDN/>
              <w:jc w:val="center"/>
              <w:rPr>
                <w:color w:val="000000"/>
                <w:sz w:val="20"/>
                <w:szCs w:val="20"/>
              </w:rPr>
            </w:pPr>
            <w:r w:rsidRPr="00CF3478">
              <w:rPr>
                <w:color w:val="000000"/>
                <w:sz w:val="20"/>
                <w:szCs w:val="20"/>
              </w:rPr>
              <w:t>$46</w:t>
            </w:r>
          </w:p>
        </w:tc>
        <w:tc>
          <w:tcPr>
            <w:tcW w:w="1255" w:type="dxa"/>
            <w:tcBorders>
              <w:top w:val="single" w:sz="8" w:space="0" w:color="000000"/>
              <w:left w:val="single" w:sz="8" w:space="0" w:color="000000"/>
              <w:bottom w:val="single" w:sz="8" w:space="0" w:color="000000"/>
              <w:right w:val="single" w:sz="8" w:space="0" w:color="000000"/>
            </w:tcBorders>
            <w:vAlign w:val="center"/>
          </w:tcPr>
          <w:p w:rsidR="00061368" w:rsidRPr="00061368" w:rsidP="00061368" w14:paraId="72998C6F" w14:textId="7354861B">
            <w:pPr>
              <w:widowControl/>
              <w:autoSpaceDE/>
              <w:autoSpaceDN/>
              <w:jc w:val="center"/>
              <w:rPr>
                <w:color w:val="000000"/>
                <w:sz w:val="20"/>
                <w:szCs w:val="20"/>
                <w:u w:val="single"/>
              </w:rPr>
            </w:pPr>
            <w:r w:rsidRPr="00061368">
              <w:rPr>
                <w:sz w:val="20"/>
                <w:szCs w:val="20"/>
              </w:rPr>
              <w:t>4.0</w:t>
            </w:r>
          </w:p>
        </w:tc>
        <w:tc>
          <w:tcPr>
            <w:tcW w:w="1205" w:type="dxa"/>
            <w:tcBorders>
              <w:top w:val="nil"/>
              <w:left w:val="single" w:sz="8" w:space="0" w:color="000000"/>
              <w:bottom w:val="single" w:sz="4" w:space="0" w:color="auto"/>
              <w:right w:val="single" w:sz="4" w:space="0" w:color="auto"/>
            </w:tcBorders>
            <w:vAlign w:val="center"/>
            <w:hideMark/>
          </w:tcPr>
          <w:p w:rsidR="00061368" w:rsidRPr="00061368" w:rsidP="00061368" w14:paraId="07AD6368" w14:textId="62BA0038">
            <w:pPr>
              <w:widowControl/>
              <w:autoSpaceDE/>
              <w:autoSpaceDN/>
              <w:jc w:val="center"/>
              <w:rPr>
                <w:color w:val="000000"/>
                <w:sz w:val="20"/>
                <w:szCs w:val="20"/>
              </w:rPr>
            </w:pPr>
            <w:r w:rsidRPr="00061368">
              <w:rPr>
                <w:sz w:val="20"/>
                <w:szCs w:val="20"/>
              </w:rPr>
              <w:t>$184</w:t>
            </w:r>
          </w:p>
        </w:tc>
      </w:tr>
      <w:tr w14:paraId="6FC39E6B" w14:textId="77777777" w:rsidTr="003A5E98">
        <w:tblPrEx>
          <w:tblW w:w="7745" w:type="dxa"/>
          <w:tblInd w:w="445" w:type="dxa"/>
          <w:tblLook w:val="04A0"/>
        </w:tblPrEx>
        <w:trPr>
          <w:trHeight w:val="504"/>
        </w:trPr>
        <w:tc>
          <w:tcPr>
            <w:tcW w:w="414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FE4835" w:rsidRPr="00CF3478" w:rsidP="0019334A" w14:paraId="0DA0B353" w14:textId="3658F46F">
            <w:pPr>
              <w:widowControl/>
              <w:autoSpaceDE/>
              <w:autoSpaceDN/>
              <w:rPr>
                <w:b/>
                <w:bCs/>
                <w:color w:val="000000"/>
                <w:sz w:val="20"/>
                <w:szCs w:val="20"/>
              </w:rPr>
            </w:pPr>
            <w:r w:rsidRPr="00CF3478">
              <w:rPr>
                <w:b/>
                <w:bCs/>
                <w:color w:val="000000"/>
                <w:sz w:val="20"/>
                <w:szCs w:val="20"/>
              </w:rPr>
              <w:t>Burden</w:t>
            </w:r>
            <w:r>
              <w:rPr>
                <w:b/>
                <w:bCs/>
                <w:color w:val="000000"/>
                <w:sz w:val="20"/>
                <w:szCs w:val="20"/>
              </w:rPr>
              <w:t xml:space="preserve"> Hours</w:t>
            </w:r>
            <w:r w:rsidRPr="00CF3478">
              <w:rPr>
                <w:b/>
                <w:bCs/>
                <w:color w:val="000000"/>
                <w:sz w:val="20"/>
                <w:szCs w:val="20"/>
              </w:rPr>
              <w:t xml:space="preserve">/Costs per </w:t>
            </w:r>
            <w:r>
              <w:rPr>
                <w:b/>
                <w:bCs/>
                <w:color w:val="000000"/>
                <w:sz w:val="20"/>
                <w:szCs w:val="20"/>
              </w:rPr>
              <w:t>transplant program</w:t>
            </w:r>
            <w:r w:rsidR="00061368">
              <w:rPr>
                <w:b/>
                <w:bCs/>
                <w:color w:val="000000"/>
                <w:sz w:val="20"/>
                <w:szCs w:val="20"/>
              </w:rPr>
              <w:t xml:space="preserve"> &amp; transplant hospital</w:t>
            </w:r>
          </w:p>
        </w:tc>
        <w:tc>
          <w:tcPr>
            <w:tcW w:w="1145" w:type="dxa"/>
            <w:tcBorders>
              <w:top w:val="nil"/>
              <w:left w:val="nil"/>
              <w:bottom w:val="single" w:sz="4" w:space="0" w:color="auto"/>
              <w:right w:val="single" w:sz="8" w:space="0" w:color="000000"/>
            </w:tcBorders>
            <w:shd w:val="clear" w:color="auto" w:fill="F2F2F2" w:themeFill="background1" w:themeFillShade="F2"/>
            <w:vAlign w:val="center"/>
            <w:hideMark/>
          </w:tcPr>
          <w:p w:rsidR="00FE4835" w:rsidRPr="00CF3478" w:rsidP="0019334A" w14:paraId="690C2CB9" w14:textId="77777777">
            <w:pPr>
              <w:widowControl/>
              <w:autoSpaceDE/>
              <w:autoSpaceDN/>
              <w:jc w:val="center"/>
              <w:rPr>
                <w:b/>
                <w:bCs/>
                <w:color w:val="000000"/>
                <w:sz w:val="20"/>
                <w:szCs w:val="20"/>
              </w:rPr>
            </w:pPr>
            <w:r w:rsidRPr="00CF3478">
              <w:rPr>
                <w:b/>
                <w:bCs/>
                <w:color w:val="000000"/>
                <w:sz w:val="20"/>
                <w:szCs w:val="20"/>
              </w:rPr>
              <w:t> </w:t>
            </w:r>
          </w:p>
        </w:tc>
        <w:tc>
          <w:tcPr>
            <w:tcW w:w="125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FE4835" w:rsidRPr="00FE7ECE" w:rsidP="0019334A" w14:paraId="131CB08B" w14:textId="605F0FE8">
            <w:pPr>
              <w:widowControl/>
              <w:autoSpaceDE/>
              <w:autoSpaceDN/>
              <w:jc w:val="center"/>
              <w:rPr>
                <w:b/>
                <w:bCs/>
                <w:color w:val="000000"/>
                <w:sz w:val="20"/>
                <w:szCs w:val="20"/>
              </w:rPr>
            </w:pPr>
            <w:r>
              <w:rPr>
                <w:b/>
                <w:bCs/>
                <w:color w:val="000000"/>
                <w:sz w:val="20"/>
                <w:szCs w:val="20"/>
              </w:rPr>
              <w:t>14</w:t>
            </w:r>
          </w:p>
        </w:tc>
        <w:tc>
          <w:tcPr>
            <w:tcW w:w="1205" w:type="dxa"/>
            <w:tcBorders>
              <w:top w:val="nil"/>
              <w:left w:val="single" w:sz="8" w:space="0" w:color="000000"/>
              <w:bottom w:val="single" w:sz="4" w:space="0" w:color="auto"/>
              <w:right w:val="single" w:sz="4" w:space="0" w:color="auto"/>
            </w:tcBorders>
            <w:shd w:val="clear" w:color="auto" w:fill="F2F2F2" w:themeFill="background1" w:themeFillShade="F2"/>
            <w:vAlign w:val="center"/>
            <w:hideMark/>
          </w:tcPr>
          <w:p w:rsidR="00FE4835" w:rsidRPr="00CF3478" w:rsidP="0019334A" w14:paraId="4EAD7739" w14:textId="4FD9DC4B">
            <w:pPr>
              <w:widowControl/>
              <w:autoSpaceDE/>
              <w:autoSpaceDN/>
              <w:jc w:val="center"/>
              <w:rPr>
                <w:b/>
                <w:bCs/>
                <w:color w:val="000000"/>
                <w:sz w:val="20"/>
                <w:szCs w:val="20"/>
              </w:rPr>
            </w:pPr>
            <w:r w:rsidRPr="00CF3478">
              <w:rPr>
                <w:b/>
                <w:bCs/>
                <w:color w:val="000000"/>
                <w:sz w:val="20"/>
                <w:szCs w:val="20"/>
              </w:rPr>
              <w:t>$</w:t>
            </w:r>
            <w:r w:rsidR="00061368">
              <w:rPr>
                <w:b/>
                <w:bCs/>
                <w:color w:val="000000"/>
                <w:sz w:val="20"/>
                <w:szCs w:val="20"/>
              </w:rPr>
              <w:t>2,</w:t>
            </w:r>
            <w:r w:rsidR="002A645D">
              <w:rPr>
                <w:b/>
                <w:bCs/>
                <w:color w:val="000000"/>
                <w:sz w:val="20"/>
                <w:szCs w:val="20"/>
              </w:rPr>
              <w:t>152</w:t>
            </w:r>
            <w:r w:rsidRPr="00CF3478">
              <w:rPr>
                <w:b/>
                <w:bCs/>
                <w:color w:val="000000"/>
                <w:sz w:val="20"/>
                <w:szCs w:val="20"/>
              </w:rPr>
              <w:t xml:space="preserve"> </w:t>
            </w:r>
          </w:p>
        </w:tc>
      </w:tr>
    </w:tbl>
    <w:p w:rsidR="00305D48" w:rsidP="00E60627" w14:paraId="792D7459" w14:textId="77777777">
      <w:pPr>
        <w:pStyle w:val="BodyText"/>
        <w:spacing w:line="247" w:lineRule="auto"/>
      </w:pPr>
    </w:p>
    <w:p w:rsidR="00FE02E8" w:rsidRPr="0038163D" w:rsidP="00F474C4" w14:paraId="6872B797" w14:textId="77BD364F">
      <w:pPr>
        <w:pStyle w:val="BodyText"/>
        <w:ind w:right="176"/>
      </w:pPr>
      <w:r w:rsidRPr="009231C6">
        <w:t>Based on five-year historical data (see Table 1)</w:t>
      </w:r>
      <w:r>
        <w:t>,</w:t>
      </w:r>
      <w:r w:rsidRPr="009231C6">
        <w:t xml:space="preserve"> we </w:t>
      </w:r>
      <w:r w:rsidR="00D20021">
        <w:t>estimate</w:t>
      </w:r>
      <w:r w:rsidRPr="009231C6">
        <w:t xml:space="preserve"> two</w:t>
      </w:r>
      <w:r>
        <w:t xml:space="preserve"> </w:t>
      </w:r>
      <w:r w:rsidRPr="005F284B">
        <w:t xml:space="preserve">(2) </w:t>
      </w:r>
      <w:r w:rsidRPr="009231C6">
        <w:t>transplant</w:t>
      </w:r>
      <w:r>
        <w:t xml:space="preserve"> programs per year will lose their Medicare certification over the next three years and may seek to </w:t>
      </w:r>
      <w:r>
        <w:t>enter into</w:t>
      </w:r>
      <w:r>
        <w:t xml:space="preserve"> a SIA per </w:t>
      </w:r>
      <w:r w:rsidR="005C388C">
        <w:t xml:space="preserve">§ </w:t>
      </w:r>
      <w:r>
        <w:t xml:space="preserve">488.61(g). </w:t>
      </w:r>
      <w:r w:rsidRPr="0038163D" w:rsidR="00061368">
        <w:t>B</w:t>
      </w:r>
      <w:r w:rsidRPr="0038163D">
        <w:t xml:space="preserve">ecause fewer than ten transplant programs per year </w:t>
      </w:r>
      <w:r w:rsidRPr="0038163D" w:rsidR="0038163D">
        <w:t xml:space="preserve">are  expected </w:t>
      </w:r>
      <w:r w:rsidRPr="0038163D">
        <w:t xml:space="preserve">to enter into a SIA, the burden </w:t>
      </w:r>
      <w:r w:rsidRPr="0038163D" w:rsidR="0038163D">
        <w:t xml:space="preserve">associated with </w:t>
      </w:r>
      <w:r>
        <w:t>t</w:t>
      </w:r>
      <w:r w:rsidRPr="0038163D">
        <w:t xml:space="preserve">his activity is exempt from the PRA </w:t>
      </w:r>
      <w:r w:rsidRPr="0038163D" w:rsidR="0038163D">
        <w:t>under</w:t>
      </w:r>
      <w:r w:rsidRPr="0038163D">
        <w:t xml:space="preserve"> </w:t>
      </w:r>
      <w:hyperlink r:id="rId13" w:anchor="p-1320.3(c)" w:tgtFrame="_blank" w:history="1">
        <w:r w:rsidRPr="00E60627">
          <w:rPr>
            <w:rStyle w:val="Hyperlink"/>
            <w:color w:val="auto"/>
            <w:u w:val="none"/>
          </w:rPr>
          <w:t>5 CFR §1320.3(c)</w:t>
        </w:r>
      </w:hyperlink>
      <w:r w:rsidRPr="0038163D">
        <w:t>(4).</w:t>
      </w:r>
    </w:p>
    <w:p w:rsidR="00874204" w:rsidP="00F474C4" w14:paraId="3F85F3F7" w14:textId="77777777">
      <w:pPr>
        <w:pStyle w:val="BodyText"/>
        <w:ind w:right="91"/>
      </w:pPr>
    </w:p>
    <w:p w:rsidR="12046A50" w:rsidRPr="0073506B" w:rsidP="00F474C4" w14:paraId="68C01649" w14:textId="1F77A41F">
      <w:pPr>
        <w:pStyle w:val="Heading3"/>
        <w:ind w:left="0"/>
      </w:pPr>
      <w:r w:rsidRPr="0073506B">
        <w:t>Part 12-C: Burden Summary</w:t>
      </w:r>
    </w:p>
    <w:p w:rsidR="00BD576D" w:rsidP="00F474C4" w14:paraId="5DE63E83" w14:textId="0A13E8B7">
      <w:pPr>
        <w:pStyle w:val="BodyText"/>
        <w:ind w:right="91"/>
      </w:pPr>
      <w:r>
        <w:t xml:space="preserve">As shown in </w:t>
      </w:r>
      <w:r w:rsidR="00E60915">
        <w:t>Table</w:t>
      </w:r>
      <w:r>
        <w:t xml:space="preserve"> 1</w:t>
      </w:r>
      <w:r w:rsidR="005C388C">
        <w:t>1</w:t>
      </w:r>
      <w:r w:rsidR="12046A50">
        <w:t>, we estimate that the total annual</w:t>
      </w:r>
      <w:r w:rsidR="0038163D">
        <w:t xml:space="preserve"> </w:t>
      </w:r>
      <w:r w:rsidR="12046A50">
        <w:t xml:space="preserve">burden to </w:t>
      </w:r>
      <w:r w:rsidR="0038163D">
        <w:t xml:space="preserve">the </w:t>
      </w:r>
      <w:r w:rsidR="12046A50">
        <w:t xml:space="preserve">industry for all ICs is </w:t>
      </w:r>
      <w:r w:rsidRPr="00E60627" w:rsidR="0056162F">
        <w:rPr>
          <w:b/>
          <w:bCs/>
        </w:rPr>
        <w:t>3,3</w:t>
      </w:r>
      <w:r w:rsidR="008559A1">
        <w:rPr>
          <w:b/>
          <w:bCs/>
        </w:rPr>
        <w:t>40</w:t>
      </w:r>
      <w:r w:rsidR="12046A50">
        <w:t xml:space="preserve"> </w:t>
      </w:r>
      <w:r w:rsidR="006E1F14">
        <w:t xml:space="preserve">hours </w:t>
      </w:r>
      <w:r w:rsidR="12046A50">
        <w:t>a</w:t>
      </w:r>
      <w:r w:rsidR="0038163D">
        <w:t>t an</w:t>
      </w:r>
      <w:r w:rsidR="12046A50">
        <w:t xml:space="preserve"> annual cost </w:t>
      </w:r>
      <w:r w:rsidR="0038163D">
        <w:t>of</w:t>
      </w:r>
      <w:r w:rsidR="12046A50">
        <w:t xml:space="preserve"> $</w:t>
      </w:r>
      <w:r w:rsidRPr="00E60627" w:rsidR="0056162F">
        <w:rPr>
          <w:b/>
          <w:bCs/>
        </w:rPr>
        <w:t>35</w:t>
      </w:r>
      <w:r w:rsidR="008559A1">
        <w:rPr>
          <w:b/>
          <w:bCs/>
        </w:rPr>
        <w:t>2</w:t>
      </w:r>
      <w:r w:rsidR="00B872EB">
        <w:rPr>
          <w:b/>
          <w:bCs/>
        </w:rPr>
        <w:t>,</w:t>
      </w:r>
      <w:r w:rsidR="008559A1">
        <w:rPr>
          <w:b/>
          <w:bCs/>
        </w:rPr>
        <w:t>462</w:t>
      </w:r>
      <w:r w:rsidR="12046A50">
        <w:t xml:space="preserve">. </w:t>
      </w:r>
    </w:p>
    <w:p w:rsidR="00BD576D" w:rsidP="00F474C4" w14:paraId="5E5F4F00" w14:textId="77777777">
      <w:pPr>
        <w:pStyle w:val="BodyText"/>
        <w:ind w:right="91"/>
      </w:pPr>
    </w:p>
    <w:p w:rsidR="00C63703" w:rsidRPr="0073506B" w:rsidP="00F474C4" w14:paraId="17DE076B" w14:textId="57AE6163">
      <w:pPr>
        <w:pStyle w:val="BodyText"/>
        <w:ind w:right="-20"/>
        <w:jc w:val="center"/>
        <w:rPr>
          <w:b/>
          <w:bCs/>
        </w:rPr>
      </w:pPr>
      <w:r w:rsidRPr="0073506B">
        <w:rPr>
          <w:b/>
          <w:bCs/>
        </w:rPr>
        <w:t>Table</w:t>
      </w:r>
      <w:r w:rsidRPr="0073506B" w:rsidR="00061368">
        <w:rPr>
          <w:b/>
          <w:bCs/>
        </w:rPr>
        <w:t xml:space="preserve"> 1</w:t>
      </w:r>
      <w:r w:rsidRPr="0073506B" w:rsidR="005C388C">
        <w:rPr>
          <w:b/>
          <w:bCs/>
        </w:rPr>
        <w:t>1</w:t>
      </w:r>
      <w:r w:rsidRPr="0073506B" w:rsidR="004D7293">
        <w:rPr>
          <w:b/>
          <w:bCs/>
        </w:rPr>
        <w:t>.</w:t>
      </w:r>
      <w:r w:rsidRPr="0073506B">
        <w:rPr>
          <w:b/>
          <w:bCs/>
        </w:rPr>
        <w:t xml:space="preserve"> </w:t>
      </w:r>
      <w:r w:rsidRPr="0073506B" w:rsidR="0052602B">
        <w:rPr>
          <w:b/>
          <w:bCs/>
        </w:rPr>
        <w:t>Total Annual Burden Hours and Cost</w:t>
      </w:r>
      <w:r w:rsidRPr="0073506B" w:rsidR="00691CB1">
        <w:rPr>
          <w:b/>
          <w:bCs/>
        </w:rPr>
        <w:t>s</w:t>
      </w:r>
      <w:r w:rsidRPr="0073506B" w:rsidR="0052602B">
        <w:rPr>
          <w:b/>
          <w:bCs/>
        </w:rPr>
        <w:t xml:space="preserve"> for </w:t>
      </w:r>
      <w:r w:rsidRPr="0073506B" w:rsidR="005C388C">
        <w:rPr>
          <w:b/>
          <w:bCs/>
        </w:rPr>
        <w:t>A</w:t>
      </w:r>
      <w:r w:rsidRPr="0073506B" w:rsidR="0052602B">
        <w:rPr>
          <w:b/>
          <w:bCs/>
        </w:rPr>
        <w:t xml:space="preserve">ll Transplant </w:t>
      </w:r>
      <w:r w:rsidRPr="0073506B" w:rsidR="00672C4D">
        <w:rPr>
          <w:b/>
          <w:bCs/>
        </w:rPr>
        <w:t>Programs</w:t>
      </w:r>
    </w:p>
    <w:tbl>
      <w:tblPr>
        <w:tblW w:w="88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960"/>
        <w:gridCol w:w="1350"/>
        <w:gridCol w:w="1270"/>
        <w:gridCol w:w="1080"/>
        <w:gridCol w:w="1080"/>
        <w:gridCol w:w="1080"/>
      </w:tblGrid>
      <w:tr w14:paraId="39D308D9" w14:textId="77777777" w:rsidTr="003A5E98">
        <w:tblPrEx>
          <w:tblW w:w="88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1070"/>
          <w:jc w:val="center"/>
        </w:trPr>
        <w:tc>
          <w:tcPr>
            <w:tcW w:w="2960" w:type="dxa"/>
            <w:shd w:val="clear" w:color="auto" w:fill="F2F2F2" w:themeFill="background1" w:themeFillShade="F2"/>
            <w:vAlign w:val="center"/>
          </w:tcPr>
          <w:p w:rsidR="00420B91" w:rsidRPr="0073506B" w:rsidP="0073506B" w14:paraId="72FB7F57" w14:textId="18C27A9A">
            <w:pPr>
              <w:pStyle w:val="TableParagraph"/>
              <w:ind w:left="98"/>
              <w:jc w:val="center"/>
              <w:rPr>
                <w:b/>
                <w:bCs/>
                <w:sz w:val="20"/>
                <w:szCs w:val="20"/>
              </w:rPr>
            </w:pPr>
            <w:r w:rsidRPr="0073506B">
              <w:rPr>
                <w:b/>
                <w:bCs/>
                <w:sz w:val="20"/>
                <w:szCs w:val="20"/>
              </w:rPr>
              <w:t>Information Collection</w:t>
            </w:r>
            <w:r w:rsidRPr="0073506B" w:rsidR="00B8511E">
              <w:rPr>
                <w:b/>
                <w:bCs/>
                <w:sz w:val="20"/>
                <w:szCs w:val="20"/>
              </w:rPr>
              <w:t xml:space="preserve"> No.</w:t>
            </w:r>
          </w:p>
        </w:tc>
        <w:tc>
          <w:tcPr>
            <w:tcW w:w="1350" w:type="dxa"/>
            <w:shd w:val="clear" w:color="auto" w:fill="F2F2F2" w:themeFill="background1" w:themeFillShade="F2"/>
            <w:vAlign w:val="center"/>
          </w:tcPr>
          <w:p w:rsidR="00420B91" w:rsidRPr="0073506B" w:rsidP="00692620" w14:paraId="3BCF5715" w14:textId="04E07C4C">
            <w:pPr>
              <w:pStyle w:val="TableParagraph"/>
              <w:ind w:left="98"/>
              <w:jc w:val="center"/>
              <w:rPr>
                <w:b/>
                <w:bCs/>
                <w:sz w:val="20"/>
                <w:szCs w:val="20"/>
              </w:rPr>
            </w:pPr>
            <w:r w:rsidRPr="0073506B">
              <w:rPr>
                <w:b/>
                <w:bCs/>
                <w:sz w:val="20"/>
                <w:szCs w:val="20"/>
              </w:rPr>
              <w:t>CFR Section</w:t>
            </w:r>
          </w:p>
        </w:tc>
        <w:tc>
          <w:tcPr>
            <w:tcW w:w="1270" w:type="dxa"/>
            <w:shd w:val="clear" w:color="auto" w:fill="F2F2F2" w:themeFill="background1" w:themeFillShade="F2"/>
            <w:vAlign w:val="center"/>
          </w:tcPr>
          <w:p w:rsidR="00420B91" w:rsidRPr="0073506B" w:rsidP="00BF1C5C" w14:paraId="1C4C97D9" w14:textId="32F4EEA9">
            <w:pPr>
              <w:pStyle w:val="TableParagraph"/>
              <w:ind w:left="98"/>
              <w:jc w:val="center"/>
              <w:rPr>
                <w:b/>
                <w:bCs/>
                <w:sz w:val="20"/>
                <w:szCs w:val="20"/>
              </w:rPr>
            </w:pPr>
            <w:r w:rsidRPr="0073506B">
              <w:rPr>
                <w:b/>
                <w:bCs/>
                <w:sz w:val="20"/>
                <w:szCs w:val="20"/>
              </w:rPr>
              <w:t>Respondents</w:t>
            </w:r>
          </w:p>
        </w:tc>
        <w:tc>
          <w:tcPr>
            <w:tcW w:w="1080" w:type="dxa"/>
            <w:shd w:val="clear" w:color="auto" w:fill="F2F2F2" w:themeFill="background1" w:themeFillShade="F2"/>
            <w:vAlign w:val="center"/>
          </w:tcPr>
          <w:p w:rsidR="00420B91" w:rsidRPr="0073506B" w:rsidP="00BF1C5C" w14:paraId="3BDBF915" w14:textId="3CCDCC04">
            <w:pPr>
              <w:pStyle w:val="TableParagraph"/>
              <w:spacing w:line="247" w:lineRule="auto"/>
              <w:ind w:left="98"/>
              <w:jc w:val="center"/>
              <w:rPr>
                <w:b/>
                <w:bCs/>
                <w:sz w:val="20"/>
                <w:szCs w:val="20"/>
              </w:rPr>
            </w:pPr>
            <w:r w:rsidRPr="0073506B">
              <w:rPr>
                <w:b/>
                <w:bCs/>
                <w:sz w:val="20"/>
                <w:szCs w:val="20"/>
              </w:rPr>
              <w:t>Responses</w:t>
            </w:r>
          </w:p>
        </w:tc>
        <w:tc>
          <w:tcPr>
            <w:tcW w:w="1080" w:type="dxa"/>
            <w:shd w:val="clear" w:color="auto" w:fill="F2F2F2" w:themeFill="background1" w:themeFillShade="F2"/>
            <w:vAlign w:val="center"/>
          </w:tcPr>
          <w:p w:rsidR="00A70FFA" w:rsidP="00BF1C5C" w14:paraId="4D27D7E8" w14:textId="77777777">
            <w:pPr>
              <w:pStyle w:val="TableParagraph"/>
              <w:spacing w:line="247" w:lineRule="auto"/>
              <w:ind w:left="98"/>
              <w:jc w:val="center"/>
              <w:rPr>
                <w:b/>
                <w:bCs/>
                <w:sz w:val="20"/>
                <w:szCs w:val="20"/>
              </w:rPr>
            </w:pPr>
            <w:r>
              <w:rPr>
                <w:b/>
                <w:bCs/>
                <w:sz w:val="20"/>
                <w:szCs w:val="20"/>
              </w:rPr>
              <w:t>Annual</w:t>
            </w:r>
          </w:p>
          <w:p w:rsidR="00420B91" w:rsidRPr="0073506B" w:rsidP="00BF1C5C" w14:paraId="416A23CB" w14:textId="2785A56C">
            <w:pPr>
              <w:pStyle w:val="TableParagraph"/>
              <w:spacing w:line="247" w:lineRule="auto"/>
              <w:ind w:left="98"/>
              <w:jc w:val="center"/>
              <w:rPr>
                <w:b/>
                <w:bCs/>
                <w:sz w:val="20"/>
                <w:szCs w:val="20"/>
              </w:rPr>
            </w:pPr>
            <w:r w:rsidRPr="0073506B">
              <w:rPr>
                <w:b/>
                <w:bCs/>
                <w:sz w:val="20"/>
                <w:szCs w:val="20"/>
              </w:rPr>
              <w:t>Burden Hours</w:t>
            </w:r>
          </w:p>
        </w:tc>
        <w:tc>
          <w:tcPr>
            <w:tcW w:w="1080" w:type="dxa"/>
            <w:shd w:val="clear" w:color="auto" w:fill="F2F2F2" w:themeFill="background1" w:themeFillShade="F2"/>
            <w:vAlign w:val="center"/>
          </w:tcPr>
          <w:p w:rsidR="00A70FFA" w:rsidP="0073506B" w14:paraId="58799B4C" w14:textId="77777777">
            <w:pPr>
              <w:pStyle w:val="TableParagraph"/>
              <w:spacing w:line="247" w:lineRule="auto"/>
              <w:ind w:left="98" w:right="66"/>
              <w:jc w:val="center"/>
              <w:rPr>
                <w:b/>
                <w:bCs/>
                <w:sz w:val="20"/>
                <w:szCs w:val="20"/>
              </w:rPr>
            </w:pPr>
            <w:r>
              <w:rPr>
                <w:b/>
                <w:bCs/>
                <w:sz w:val="20"/>
                <w:szCs w:val="20"/>
              </w:rPr>
              <w:t>Annual</w:t>
            </w:r>
          </w:p>
          <w:p w:rsidR="00420B91" w:rsidRPr="0073506B" w:rsidP="00BF1C5C" w14:paraId="1FEBF2EC" w14:textId="0B213F56">
            <w:pPr>
              <w:pStyle w:val="TableParagraph"/>
              <w:spacing w:line="247" w:lineRule="auto"/>
              <w:ind w:left="98"/>
              <w:jc w:val="center"/>
              <w:rPr>
                <w:b/>
                <w:bCs/>
                <w:sz w:val="20"/>
                <w:szCs w:val="20"/>
              </w:rPr>
            </w:pPr>
            <w:r w:rsidRPr="0073506B">
              <w:rPr>
                <w:b/>
                <w:bCs/>
                <w:sz w:val="20"/>
                <w:szCs w:val="20"/>
              </w:rPr>
              <w:t xml:space="preserve">Burden Cost </w:t>
            </w:r>
          </w:p>
        </w:tc>
      </w:tr>
      <w:tr w14:paraId="31D828DC" w14:textId="77777777" w:rsidTr="003A5E98">
        <w:tblPrEx>
          <w:tblW w:w="8820" w:type="dxa"/>
          <w:jc w:val="center"/>
          <w:tblLayout w:type="fixed"/>
          <w:tblCellMar>
            <w:left w:w="0" w:type="dxa"/>
            <w:right w:w="0" w:type="dxa"/>
          </w:tblCellMar>
          <w:tblLook w:val="01E0"/>
        </w:tblPrEx>
        <w:trPr>
          <w:trHeight w:hRule="exact" w:val="720"/>
          <w:jc w:val="center"/>
        </w:trPr>
        <w:tc>
          <w:tcPr>
            <w:tcW w:w="2960" w:type="dxa"/>
            <w:vAlign w:val="center"/>
          </w:tcPr>
          <w:p w:rsidR="00420B91" w:rsidRPr="0073506B" w14:paraId="03CC8E92" w14:textId="1BE60145">
            <w:pPr>
              <w:pStyle w:val="TableParagraph"/>
              <w:ind w:left="98"/>
              <w:rPr>
                <w:sz w:val="20"/>
                <w:szCs w:val="20"/>
              </w:rPr>
            </w:pPr>
            <w:r w:rsidRPr="0073506B">
              <w:rPr>
                <w:b/>
                <w:bCs/>
                <w:sz w:val="20"/>
                <w:szCs w:val="20"/>
              </w:rPr>
              <w:t>IC-1:</w:t>
            </w:r>
            <w:r w:rsidRPr="0073506B">
              <w:rPr>
                <w:sz w:val="20"/>
                <w:szCs w:val="20"/>
              </w:rPr>
              <w:t xml:space="preserve"> Notification of Significant Changes</w:t>
            </w:r>
          </w:p>
        </w:tc>
        <w:tc>
          <w:tcPr>
            <w:tcW w:w="1350" w:type="dxa"/>
            <w:vAlign w:val="center"/>
          </w:tcPr>
          <w:p w:rsidR="00420B91" w:rsidRPr="0073506B" w:rsidP="0073506B" w14:paraId="700740C0" w14:textId="35511CD9">
            <w:pPr>
              <w:pStyle w:val="TableParagraph"/>
              <w:ind w:left="98"/>
              <w:jc w:val="center"/>
              <w:rPr>
                <w:sz w:val="18"/>
                <w:szCs w:val="18"/>
              </w:rPr>
            </w:pPr>
            <w:r w:rsidRPr="0073506B">
              <w:rPr>
                <w:sz w:val="18"/>
                <w:szCs w:val="18"/>
              </w:rPr>
              <w:t>§482.74(a)</w:t>
            </w:r>
          </w:p>
        </w:tc>
        <w:tc>
          <w:tcPr>
            <w:tcW w:w="1270" w:type="dxa"/>
            <w:vAlign w:val="center"/>
          </w:tcPr>
          <w:p w:rsidR="00420B91" w:rsidRPr="0073506B" w:rsidP="0073506B" w14:paraId="614BF05F" w14:textId="40F4F736">
            <w:pPr>
              <w:pStyle w:val="TableParagraph"/>
              <w:ind w:right="96"/>
              <w:jc w:val="center"/>
              <w:rPr>
                <w:sz w:val="20"/>
                <w:szCs w:val="20"/>
              </w:rPr>
            </w:pPr>
            <w:r w:rsidRPr="0073506B">
              <w:rPr>
                <w:sz w:val="20"/>
                <w:szCs w:val="20"/>
              </w:rPr>
              <w:t>23</w:t>
            </w:r>
            <w:r w:rsidRPr="0073506B" w:rsidR="00174155">
              <w:rPr>
                <w:sz w:val="20"/>
                <w:szCs w:val="20"/>
              </w:rPr>
              <w:t>7</w:t>
            </w:r>
          </w:p>
        </w:tc>
        <w:tc>
          <w:tcPr>
            <w:tcW w:w="1080" w:type="dxa"/>
            <w:vAlign w:val="center"/>
          </w:tcPr>
          <w:p w:rsidR="00420B91" w:rsidRPr="0073506B" w:rsidP="00B2767E" w14:paraId="7C655BFF" w14:textId="28C74465">
            <w:pPr>
              <w:pStyle w:val="TableParagraph"/>
              <w:ind w:right="95"/>
              <w:jc w:val="center"/>
              <w:rPr>
                <w:sz w:val="20"/>
                <w:szCs w:val="20"/>
              </w:rPr>
            </w:pPr>
            <w:r w:rsidRPr="0073506B">
              <w:rPr>
                <w:sz w:val="20"/>
                <w:szCs w:val="20"/>
              </w:rPr>
              <w:t>237</w:t>
            </w:r>
          </w:p>
        </w:tc>
        <w:tc>
          <w:tcPr>
            <w:tcW w:w="1080" w:type="dxa"/>
            <w:vAlign w:val="center"/>
          </w:tcPr>
          <w:p w:rsidR="00420B91" w:rsidRPr="0073506B" w:rsidP="0073506B" w14:paraId="395158A2" w14:textId="0316D321">
            <w:pPr>
              <w:pStyle w:val="TableParagraph"/>
              <w:ind w:right="95"/>
              <w:jc w:val="center"/>
              <w:rPr>
                <w:sz w:val="20"/>
                <w:szCs w:val="20"/>
              </w:rPr>
            </w:pPr>
            <w:r w:rsidRPr="0073506B">
              <w:rPr>
                <w:sz w:val="20"/>
                <w:szCs w:val="20"/>
              </w:rPr>
              <w:t>948</w:t>
            </w:r>
          </w:p>
        </w:tc>
        <w:tc>
          <w:tcPr>
            <w:tcW w:w="1080" w:type="dxa"/>
            <w:vAlign w:val="center"/>
          </w:tcPr>
          <w:p w:rsidR="00420B91" w:rsidRPr="0073506B" w:rsidP="0073506B" w14:paraId="00C21CD1" w14:textId="5A0B6B0E">
            <w:pPr>
              <w:pStyle w:val="TableParagraph"/>
              <w:ind w:right="96"/>
              <w:jc w:val="center"/>
              <w:rPr>
                <w:sz w:val="20"/>
                <w:szCs w:val="20"/>
              </w:rPr>
            </w:pPr>
            <w:r w:rsidRPr="0073506B">
              <w:rPr>
                <w:sz w:val="20"/>
                <w:szCs w:val="20"/>
              </w:rPr>
              <w:t>$</w:t>
            </w:r>
            <w:r w:rsidRPr="0073506B" w:rsidR="00B872EB">
              <w:rPr>
                <w:sz w:val="20"/>
                <w:szCs w:val="20"/>
              </w:rPr>
              <w:t>136,986</w:t>
            </w:r>
          </w:p>
        </w:tc>
      </w:tr>
      <w:tr w14:paraId="378AC704" w14:textId="77777777" w:rsidTr="003A5E98">
        <w:tblPrEx>
          <w:tblW w:w="8820" w:type="dxa"/>
          <w:jc w:val="center"/>
          <w:tblLayout w:type="fixed"/>
          <w:tblCellMar>
            <w:left w:w="0" w:type="dxa"/>
            <w:right w:w="0" w:type="dxa"/>
          </w:tblCellMar>
          <w:tblLook w:val="01E0"/>
        </w:tblPrEx>
        <w:trPr>
          <w:trHeight w:hRule="exact" w:val="720"/>
          <w:jc w:val="center"/>
        </w:trPr>
        <w:tc>
          <w:tcPr>
            <w:tcW w:w="2960" w:type="dxa"/>
            <w:vAlign w:val="center"/>
          </w:tcPr>
          <w:p w:rsidR="00BF3995" w:rsidRPr="0073506B" w:rsidP="00BF3995" w14:paraId="53F1F9D0" w14:textId="06E0F836">
            <w:pPr>
              <w:pStyle w:val="TableParagraph"/>
              <w:ind w:left="98"/>
              <w:rPr>
                <w:sz w:val="20"/>
                <w:szCs w:val="20"/>
              </w:rPr>
            </w:pPr>
            <w:r w:rsidRPr="0073506B">
              <w:rPr>
                <w:b/>
                <w:bCs/>
                <w:sz w:val="20"/>
                <w:szCs w:val="20"/>
              </w:rPr>
              <w:t>IC-2:</w:t>
            </w:r>
            <w:r w:rsidRPr="0073506B">
              <w:rPr>
                <w:sz w:val="20"/>
                <w:szCs w:val="20"/>
              </w:rPr>
              <w:t xml:space="preserve"> Notification to </w:t>
            </w:r>
            <w:r w:rsidRPr="0073506B" w:rsidR="00174155">
              <w:rPr>
                <w:sz w:val="20"/>
                <w:szCs w:val="20"/>
              </w:rPr>
              <w:t>D</w:t>
            </w:r>
            <w:r w:rsidRPr="0073506B">
              <w:rPr>
                <w:sz w:val="20"/>
                <w:szCs w:val="20"/>
              </w:rPr>
              <w:t>ialysis centers</w:t>
            </w:r>
          </w:p>
        </w:tc>
        <w:tc>
          <w:tcPr>
            <w:tcW w:w="1350" w:type="dxa"/>
            <w:vAlign w:val="center"/>
          </w:tcPr>
          <w:p w:rsidR="00BF3995" w:rsidRPr="0073506B" w:rsidP="00BF3995" w14:paraId="050986B2" w14:textId="11BBC63F">
            <w:pPr>
              <w:pStyle w:val="TableParagraph"/>
              <w:ind w:left="98"/>
              <w:jc w:val="center"/>
              <w:rPr>
                <w:sz w:val="18"/>
                <w:szCs w:val="18"/>
              </w:rPr>
            </w:pPr>
            <w:r w:rsidRPr="0073506B">
              <w:rPr>
                <w:sz w:val="18"/>
                <w:szCs w:val="18"/>
              </w:rPr>
              <w:t>§</w:t>
            </w:r>
            <w:r w:rsidRPr="0073506B">
              <w:rPr>
                <w:sz w:val="18"/>
                <w:szCs w:val="18"/>
              </w:rPr>
              <w:t>§482.94(c)(1) &amp; (2)</w:t>
            </w:r>
          </w:p>
        </w:tc>
        <w:tc>
          <w:tcPr>
            <w:tcW w:w="1270" w:type="dxa"/>
            <w:vAlign w:val="center"/>
          </w:tcPr>
          <w:p w:rsidR="00BF3995" w:rsidRPr="0073506B" w:rsidP="00BF3995" w14:paraId="5980FDE1" w14:textId="7E880875">
            <w:pPr>
              <w:pStyle w:val="TableParagraph"/>
              <w:ind w:right="96"/>
              <w:jc w:val="center"/>
              <w:rPr>
                <w:sz w:val="20"/>
                <w:szCs w:val="20"/>
              </w:rPr>
            </w:pPr>
            <w:r w:rsidRPr="0073506B">
              <w:rPr>
                <w:sz w:val="20"/>
                <w:szCs w:val="20"/>
              </w:rPr>
              <w:t>23</w:t>
            </w:r>
            <w:r w:rsidRPr="0073506B" w:rsidR="00174155">
              <w:rPr>
                <w:sz w:val="20"/>
                <w:szCs w:val="20"/>
              </w:rPr>
              <w:t>7</w:t>
            </w:r>
          </w:p>
        </w:tc>
        <w:tc>
          <w:tcPr>
            <w:tcW w:w="1080" w:type="dxa"/>
            <w:vAlign w:val="center"/>
          </w:tcPr>
          <w:p w:rsidR="00BF3995" w:rsidRPr="0073506B" w:rsidP="00BF3995" w14:paraId="449888D0" w14:textId="0C4A7B06">
            <w:pPr>
              <w:pStyle w:val="TableParagraph"/>
              <w:ind w:right="95"/>
              <w:jc w:val="center"/>
              <w:rPr>
                <w:sz w:val="20"/>
                <w:szCs w:val="20"/>
              </w:rPr>
            </w:pPr>
            <w:r w:rsidRPr="0073506B">
              <w:rPr>
                <w:sz w:val="20"/>
                <w:szCs w:val="20"/>
              </w:rPr>
              <w:t>237</w:t>
            </w:r>
          </w:p>
        </w:tc>
        <w:tc>
          <w:tcPr>
            <w:tcW w:w="1080" w:type="dxa"/>
            <w:vAlign w:val="center"/>
          </w:tcPr>
          <w:p w:rsidR="00BF3995" w:rsidRPr="0073506B" w:rsidP="00BF3995" w14:paraId="2AC578DE" w14:textId="62E4BCDF">
            <w:pPr>
              <w:pStyle w:val="TableParagraph"/>
              <w:ind w:right="95"/>
              <w:jc w:val="center"/>
              <w:rPr>
                <w:sz w:val="20"/>
                <w:szCs w:val="20"/>
              </w:rPr>
            </w:pPr>
            <w:r w:rsidRPr="0073506B">
              <w:rPr>
                <w:sz w:val="20"/>
                <w:szCs w:val="20"/>
              </w:rPr>
              <w:t>2,3</w:t>
            </w:r>
            <w:r w:rsidRPr="0073506B" w:rsidR="00174155">
              <w:rPr>
                <w:sz w:val="20"/>
                <w:szCs w:val="20"/>
              </w:rPr>
              <w:t>7</w:t>
            </w:r>
            <w:r w:rsidRPr="0073506B">
              <w:rPr>
                <w:sz w:val="20"/>
                <w:szCs w:val="20"/>
              </w:rPr>
              <w:t>0</w:t>
            </w:r>
          </w:p>
        </w:tc>
        <w:tc>
          <w:tcPr>
            <w:tcW w:w="1080" w:type="dxa"/>
            <w:vAlign w:val="center"/>
          </w:tcPr>
          <w:p w:rsidR="00BF3995" w:rsidRPr="0073506B" w:rsidP="0073506B" w14:paraId="74BAA64D" w14:textId="1DAE40B4">
            <w:pPr>
              <w:pStyle w:val="TableParagraph"/>
              <w:ind w:right="96"/>
              <w:jc w:val="center"/>
              <w:rPr>
                <w:sz w:val="20"/>
                <w:szCs w:val="20"/>
              </w:rPr>
            </w:pPr>
            <w:r w:rsidRPr="0073506B">
              <w:rPr>
                <w:sz w:val="20"/>
                <w:szCs w:val="20"/>
              </w:rPr>
              <w:t>$2</w:t>
            </w:r>
            <w:r w:rsidRPr="0073506B" w:rsidR="00B872EB">
              <w:rPr>
                <w:sz w:val="20"/>
                <w:szCs w:val="20"/>
              </w:rPr>
              <w:t>11</w:t>
            </w:r>
            <w:r w:rsidRPr="0073506B">
              <w:rPr>
                <w:sz w:val="20"/>
                <w:szCs w:val="20"/>
              </w:rPr>
              <w:t>,</w:t>
            </w:r>
            <w:r w:rsidRPr="0073506B" w:rsidR="00B872EB">
              <w:rPr>
                <w:sz w:val="20"/>
                <w:szCs w:val="20"/>
              </w:rPr>
              <w:t>404</w:t>
            </w:r>
          </w:p>
        </w:tc>
      </w:tr>
      <w:tr w14:paraId="0CE7B618" w14:textId="77777777" w:rsidTr="003A5E98">
        <w:tblPrEx>
          <w:tblW w:w="8820" w:type="dxa"/>
          <w:jc w:val="center"/>
          <w:tblLayout w:type="fixed"/>
          <w:tblCellMar>
            <w:left w:w="0" w:type="dxa"/>
            <w:right w:w="0" w:type="dxa"/>
          </w:tblCellMar>
          <w:tblLook w:val="01E0"/>
        </w:tblPrEx>
        <w:trPr>
          <w:trHeight w:hRule="exact" w:val="720"/>
          <w:jc w:val="center"/>
        </w:trPr>
        <w:tc>
          <w:tcPr>
            <w:tcW w:w="2960" w:type="dxa"/>
            <w:vAlign w:val="center"/>
          </w:tcPr>
          <w:p w:rsidR="00BF3995" w:rsidRPr="0073506B" w:rsidP="00BF3995" w14:paraId="535EBF1C" w14:textId="2960B447">
            <w:pPr>
              <w:pStyle w:val="TableParagraph"/>
              <w:ind w:left="98"/>
              <w:rPr>
                <w:b/>
                <w:bCs/>
                <w:sz w:val="20"/>
                <w:szCs w:val="20"/>
              </w:rPr>
            </w:pPr>
            <w:r w:rsidRPr="0073506B">
              <w:rPr>
                <w:b/>
                <w:bCs/>
                <w:sz w:val="20"/>
                <w:szCs w:val="20"/>
              </w:rPr>
              <w:t>IC-3</w:t>
            </w:r>
            <w:r w:rsidRPr="0073506B">
              <w:rPr>
                <w:sz w:val="20"/>
                <w:szCs w:val="20"/>
              </w:rPr>
              <w:t xml:space="preserve">: Draft </w:t>
            </w:r>
            <w:r w:rsidRPr="0073506B" w:rsidR="00174155">
              <w:rPr>
                <w:sz w:val="20"/>
                <w:szCs w:val="20"/>
              </w:rPr>
              <w:t>A</w:t>
            </w:r>
            <w:r w:rsidRPr="0073506B">
              <w:rPr>
                <w:sz w:val="20"/>
                <w:szCs w:val="20"/>
              </w:rPr>
              <w:t xml:space="preserve">greement </w:t>
            </w:r>
            <w:r w:rsidRPr="0073506B" w:rsidR="00174155">
              <w:rPr>
                <w:sz w:val="20"/>
                <w:szCs w:val="20"/>
              </w:rPr>
              <w:t>B</w:t>
            </w:r>
            <w:r w:rsidRPr="0073506B">
              <w:rPr>
                <w:sz w:val="20"/>
                <w:szCs w:val="20"/>
              </w:rPr>
              <w:t xml:space="preserve">etween </w:t>
            </w:r>
            <w:r w:rsidRPr="0073506B" w:rsidR="00174155">
              <w:rPr>
                <w:sz w:val="20"/>
                <w:szCs w:val="20"/>
              </w:rPr>
              <w:t>T</w:t>
            </w:r>
            <w:r w:rsidRPr="0073506B">
              <w:rPr>
                <w:sz w:val="20"/>
                <w:szCs w:val="20"/>
              </w:rPr>
              <w:t xml:space="preserve">ransplant </w:t>
            </w:r>
            <w:r w:rsidRPr="0073506B" w:rsidR="00174155">
              <w:rPr>
                <w:sz w:val="20"/>
                <w:szCs w:val="20"/>
              </w:rPr>
              <w:t>P</w:t>
            </w:r>
            <w:r w:rsidRPr="0073506B">
              <w:rPr>
                <w:sz w:val="20"/>
                <w:szCs w:val="20"/>
              </w:rPr>
              <w:t>rogram and OPO</w:t>
            </w:r>
          </w:p>
        </w:tc>
        <w:tc>
          <w:tcPr>
            <w:tcW w:w="1350" w:type="dxa"/>
            <w:vAlign w:val="center"/>
          </w:tcPr>
          <w:p w:rsidR="00BF3995" w:rsidRPr="0073506B" w:rsidP="00BF3995" w14:paraId="74D673BA" w14:textId="4D60A08C">
            <w:pPr>
              <w:pStyle w:val="TableParagraph"/>
              <w:ind w:left="98"/>
              <w:jc w:val="center"/>
              <w:rPr>
                <w:sz w:val="18"/>
                <w:szCs w:val="18"/>
              </w:rPr>
            </w:pPr>
            <w:r w:rsidRPr="0073506B">
              <w:rPr>
                <w:sz w:val="18"/>
                <w:szCs w:val="18"/>
              </w:rPr>
              <w:t>§482.100</w:t>
            </w:r>
          </w:p>
        </w:tc>
        <w:tc>
          <w:tcPr>
            <w:tcW w:w="1270" w:type="dxa"/>
            <w:tcBorders>
              <w:bottom w:val="single" w:sz="8" w:space="0" w:color="000000"/>
            </w:tcBorders>
            <w:vAlign w:val="center"/>
          </w:tcPr>
          <w:p w:rsidR="00BF3995" w:rsidRPr="0073506B" w:rsidP="00BF3995" w14:paraId="6222AF9D" w14:textId="50AD65E3">
            <w:pPr>
              <w:pStyle w:val="TableParagraph"/>
              <w:ind w:right="96"/>
              <w:jc w:val="center"/>
              <w:rPr>
                <w:sz w:val="20"/>
                <w:szCs w:val="20"/>
              </w:rPr>
            </w:pPr>
            <w:r w:rsidRPr="0073506B">
              <w:rPr>
                <w:sz w:val="20"/>
                <w:szCs w:val="20"/>
              </w:rPr>
              <w:t>2</w:t>
            </w:r>
          </w:p>
        </w:tc>
        <w:tc>
          <w:tcPr>
            <w:tcW w:w="1080" w:type="dxa"/>
            <w:tcBorders>
              <w:bottom w:val="single" w:sz="8" w:space="0" w:color="000000"/>
            </w:tcBorders>
            <w:vAlign w:val="center"/>
          </w:tcPr>
          <w:p w:rsidR="00BF3995" w:rsidRPr="0073506B" w:rsidP="00BF3995" w14:paraId="67B7FC6A" w14:textId="7C68EC27">
            <w:pPr>
              <w:pStyle w:val="TableParagraph"/>
              <w:ind w:right="95"/>
              <w:jc w:val="center"/>
              <w:rPr>
                <w:sz w:val="20"/>
                <w:szCs w:val="20"/>
              </w:rPr>
            </w:pPr>
            <w:r w:rsidRPr="0073506B">
              <w:rPr>
                <w:sz w:val="20"/>
                <w:szCs w:val="20"/>
              </w:rPr>
              <w:t>2</w:t>
            </w:r>
          </w:p>
        </w:tc>
        <w:tc>
          <w:tcPr>
            <w:tcW w:w="1080" w:type="dxa"/>
            <w:tcBorders>
              <w:bottom w:val="single" w:sz="8" w:space="0" w:color="000000"/>
            </w:tcBorders>
            <w:vAlign w:val="center"/>
          </w:tcPr>
          <w:p w:rsidR="00BF3995" w:rsidRPr="0073506B" w:rsidP="00BF3995" w14:paraId="185B5B4E" w14:textId="17E85635">
            <w:pPr>
              <w:pStyle w:val="TableParagraph"/>
              <w:ind w:right="95"/>
              <w:jc w:val="center"/>
              <w:rPr>
                <w:sz w:val="20"/>
                <w:szCs w:val="20"/>
              </w:rPr>
            </w:pPr>
            <w:r w:rsidRPr="0073506B">
              <w:rPr>
                <w:sz w:val="20"/>
                <w:szCs w:val="20"/>
              </w:rPr>
              <w:t>22</w:t>
            </w:r>
          </w:p>
        </w:tc>
        <w:tc>
          <w:tcPr>
            <w:tcW w:w="1080" w:type="dxa"/>
            <w:tcBorders>
              <w:bottom w:val="single" w:sz="8" w:space="0" w:color="000000"/>
            </w:tcBorders>
            <w:vAlign w:val="center"/>
          </w:tcPr>
          <w:p w:rsidR="00BF3995" w:rsidRPr="0073506B" w:rsidP="00BF3995" w14:paraId="03CA8F4A" w14:textId="2826F5BE">
            <w:pPr>
              <w:pStyle w:val="TableParagraph"/>
              <w:tabs>
                <w:tab w:val="left" w:pos="359"/>
              </w:tabs>
              <w:ind w:right="96"/>
              <w:jc w:val="center"/>
              <w:rPr>
                <w:sz w:val="20"/>
                <w:szCs w:val="20"/>
              </w:rPr>
            </w:pPr>
            <w:r w:rsidRPr="0073506B">
              <w:rPr>
                <w:sz w:val="20"/>
                <w:szCs w:val="20"/>
              </w:rPr>
              <w:t>$4,072</w:t>
            </w:r>
          </w:p>
        </w:tc>
      </w:tr>
      <w:tr w14:paraId="7E5DB27D" w14:textId="77777777" w:rsidTr="003A5E98">
        <w:tblPrEx>
          <w:tblW w:w="8820" w:type="dxa"/>
          <w:jc w:val="left"/>
          <w:tblLayout w:type="fixed"/>
          <w:tblCellMar>
            <w:left w:w="0" w:type="dxa"/>
            <w:right w:w="0" w:type="dxa"/>
          </w:tblCellMar>
          <w:tblLook w:val="01E0"/>
        </w:tblPrEx>
        <w:trPr>
          <w:trHeight w:hRule="exact" w:val="720"/>
          <w:jc w:val="left"/>
        </w:trPr>
        <w:tc>
          <w:tcPr>
            <w:tcW w:w="2960" w:type="dxa"/>
            <w:vAlign w:val="center"/>
          </w:tcPr>
          <w:p w:rsidR="0073506B" w:rsidRPr="0073506B" w:rsidP="00BF3995" w14:paraId="2A48784F" w14:textId="0D2FF979">
            <w:pPr>
              <w:pStyle w:val="TableParagraph"/>
              <w:ind w:left="98"/>
              <w:rPr>
                <w:sz w:val="20"/>
                <w:szCs w:val="20"/>
              </w:rPr>
            </w:pPr>
            <w:r w:rsidRPr="0073506B">
              <w:rPr>
                <w:sz w:val="20"/>
                <w:szCs w:val="20"/>
              </w:rPr>
              <w:t>Notification to Patients of Termination of Medicare Certification</w:t>
            </w:r>
          </w:p>
        </w:tc>
        <w:tc>
          <w:tcPr>
            <w:tcW w:w="1350" w:type="dxa"/>
            <w:vAlign w:val="center"/>
          </w:tcPr>
          <w:p w:rsidR="0073506B" w:rsidRPr="0073506B" w:rsidP="0073506B" w14:paraId="5C7044F0" w14:textId="5846DDCE">
            <w:pPr>
              <w:pStyle w:val="TableParagraph"/>
              <w:ind w:left="98"/>
              <w:jc w:val="center"/>
              <w:rPr>
                <w:sz w:val="18"/>
                <w:szCs w:val="18"/>
              </w:rPr>
            </w:pPr>
            <w:r w:rsidRPr="0073506B">
              <w:rPr>
                <w:sz w:val="18"/>
                <w:szCs w:val="18"/>
              </w:rPr>
              <w:t>§§482.102(c)(2) &amp; (3)</w:t>
            </w:r>
          </w:p>
        </w:tc>
        <w:tc>
          <w:tcPr>
            <w:tcW w:w="4510" w:type="dxa"/>
            <w:gridSpan w:val="4"/>
            <w:tcBorders>
              <w:bottom w:val="single" w:sz="4" w:space="0" w:color="auto"/>
            </w:tcBorders>
            <w:vAlign w:val="center"/>
          </w:tcPr>
          <w:p w:rsidR="0073506B" w:rsidRPr="0073506B" w:rsidP="001D7CDA" w14:paraId="43B119FB" w14:textId="2ECF1954">
            <w:pPr>
              <w:pStyle w:val="TableParagraph"/>
              <w:tabs>
                <w:tab w:val="left" w:pos="359"/>
              </w:tabs>
              <w:ind w:right="96"/>
              <w:jc w:val="center"/>
              <w:rPr>
                <w:sz w:val="20"/>
                <w:szCs w:val="20"/>
              </w:rPr>
            </w:pPr>
            <w:r w:rsidRPr="0073506B">
              <w:rPr>
                <w:sz w:val="20"/>
                <w:szCs w:val="20"/>
                <w:shd w:val="clear" w:color="auto" w:fill="FFFFFF" w:themeFill="background1"/>
              </w:rPr>
              <w:t>Exempt per 5 CFR §1320.3(c)(</w:t>
            </w:r>
            <w:r w:rsidRPr="0073506B">
              <w:rPr>
                <w:sz w:val="20"/>
                <w:szCs w:val="20"/>
              </w:rPr>
              <w:t>4</w:t>
            </w:r>
            <w:r>
              <w:rPr>
                <w:sz w:val="20"/>
                <w:szCs w:val="20"/>
              </w:rPr>
              <w:t>)</w:t>
            </w:r>
          </w:p>
        </w:tc>
      </w:tr>
      <w:tr w14:paraId="130EAD15" w14:textId="77777777" w:rsidTr="003A5E98">
        <w:tblPrEx>
          <w:tblW w:w="8820" w:type="dxa"/>
          <w:jc w:val="left"/>
          <w:tblLayout w:type="fixed"/>
          <w:tblCellMar>
            <w:left w:w="0" w:type="dxa"/>
            <w:right w:w="0" w:type="dxa"/>
          </w:tblCellMar>
          <w:tblLook w:val="01E0"/>
        </w:tblPrEx>
        <w:trPr>
          <w:trHeight w:hRule="exact" w:val="720"/>
          <w:jc w:val="left"/>
        </w:trPr>
        <w:tc>
          <w:tcPr>
            <w:tcW w:w="2960" w:type="dxa"/>
            <w:vAlign w:val="center"/>
          </w:tcPr>
          <w:p w:rsidR="0073506B" w:rsidRPr="0073506B" w:rsidP="0056162F" w14:paraId="570B5B13" w14:textId="056EE62C">
            <w:pPr>
              <w:pStyle w:val="TableParagraph"/>
              <w:ind w:left="98"/>
              <w:rPr>
                <w:sz w:val="20"/>
                <w:szCs w:val="20"/>
              </w:rPr>
            </w:pPr>
            <w:r w:rsidRPr="0073506B">
              <w:rPr>
                <w:sz w:val="20"/>
                <w:szCs w:val="20"/>
              </w:rPr>
              <w:t>Request Initial Approval for Certification</w:t>
            </w:r>
          </w:p>
        </w:tc>
        <w:tc>
          <w:tcPr>
            <w:tcW w:w="1350" w:type="dxa"/>
            <w:tcBorders>
              <w:right w:val="single" w:sz="4" w:space="0" w:color="auto"/>
            </w:tcBorders>
            <w:vAlign w:val="center"/>
          </w:tcPr>
          <w:p w:rsidR="0073506B" w:rsidRPr="0073506B" w:rsidP="0073506B" w14:paraId="04A02A19" w14:textId="57920D25">
            <w:pPr>
              <w:pStyle w:val="TableParagraph"/>
              <w:ind w:left="98"/>
              <w:jc w:val="center"/>
              <w:rPr>
                <w:sz w:val="20"/>
                <w:szCs w:val="20"/>
              </w:rPr>
            </w:pPr>
            <w:r w:rsidRPr="00A70FFA">
              <w:rPr>
                <w:sz w:val="20"/>
                <w:szCs w:val="20"/>
              </w:rPr>
              <w:t>§</w:t>
            </w:r>
            <w:r w:rsidRPr="0073506B">
              <w:rPr>
                <w:sz w:val="20"/>
                <w:szCs w:val="20"/>
              </w:rPr>
              <w:t>§488.61(a) &amp; (b)</w:t>
            </w:r>
          </w:p>
        </w:tc>
        <w:tc>
          <w:tcPr>
            <w:tcW w:w="4510" w:type="dxa"/>
            <w:gridSpan w:val="4"/>
            <w:tcBorders>
              <w:top w:val="single" w:sz="4" w:space="0" w:color="auto"/>
              <w:left w:val="single" w:sz="4" w:space="0" w:color="auto"/>
              <w:bottom w:val="single" w:sz="4" w:space="0" w:color="auto"/>
              <w:right w:val="single" w:sz="4" w:space="0" w:color="auto"/>
            </w:tcBorders>
            <w:vAlign w:val="center"/>
          </w:tcPr>
          <w:p w:rsidR="0073506B" w:rsidRPr="0073506B" w:rsidP="008559A1" w14:paraId="35F729E9" w14:textId="2FAB97AA">
            <w:pPr>
              <w:pStyle w:val="TableParagraph"/>
              <w:tabs>
                <w:tab w:val="left" w:pos="359"/>
              </w:tabs>
              <w:ind w:right="96"/>
              <w:jc w:val="center"/>
              <w:rPr>
                <w:sz w:val="20"/>
                <w:szCs w:val="20"/>
              </w:rPr>
            </w:pPr>
            <w:r>
              <w:rPr>
                <w:sz w:val="20"/>
                <w:szCs w:val="20"/>
              </w:rPr>
              <w:t xml:space="preserve">Exempt per </w:t>
            </w:r>
            <w:r w:rsidRPr="008559A1">
              <w:rPr>
                <w:sz w:val="20"/>
                <w:szCs w:val="20"/>
              </w:rPr>
              <w:t>5 CFR §1320.3(c)(4</w:t>
            </w:r>
            <w:r>
              <w:rPr>
                <w:sz w:val="20"/>
                <w:szCs w:val="20"/>
              </w:rPr>
              <w:t>)</w:t>
            </w:r>
          </w:p>
        </w:tc>
      </w:tr>
      <w:tr w14:paraId="77EFFB99" w14:textId="77777777" w:rsidTr="003A5E98">
        <w:tblPrEx>
          <w:tblW w:w="8820" w:type="dxa"/>
          <w:jc w:val="left"/>
          <w:tblLayout w:type="fixed"/>
          <w:tblCellMar>
            <w:left w:w="0" w:type="dxa"/>
            <w:right w:w="0" w:type="dxa"/>
          </w:tblCellMar>
          <w:tblLook w:val="01E0"/>
        </w:tblPrEx>
        <w:trPr>
          <w:trHeight w:hRule="exact" w:val="720"/>
          <w:jc w:val="left"/>
        </w:trPr>
        <w:tc>
          <w:tcPr>
            <w:tcW w:w="2960" w:type="dxa"/>
            <w:vAlign w:val="center"/>
          </w:tcPr>
          <w:p w:rsidR="008559A1" w:rsidRPr="0073506B" w:rsidP="00174155" w14:paraId="0DFB679F" w14:textId="3DB30AB3">
            <w:pPr>
              <w:pStyle w:val="TableParagraph"/>
              <w:ind w:left="98"/>
              <w:rPr>
                <w:sz w:val="20"/>
                <w:szCs w:val="20"/>
              </w:rPr>
            </w:pPr>
            <w:r w:rsidRPr="0073506B">
              <w:rPr>
                <w:sz w:val="20"/>
                <w:szCs w:val="20"/>
              </w:rPr>
              <w:t>Request Re-approval for Medicare Certification</w:t>
            </w:r>
          </w:p>
        </w:tc>
        <w:tc>
          <w:tcPr>
            <w:tcW w:w="1350" w:type="dxa"/>
            <w:vAlign w:val="center"/>
          </w:tcPr>
          <w:p w:rsidR="008559A1" w:rsidRPr="0073506B" w:rsidP="00174155" w14:paraId="00C2E98D" w14:textId="556D3D1C">
            <w:pPr>
              <w:pStyle w:val="TableParagraph"/>
              <w:ind w:left="98"/>
              <w:jc w:val="center"/>
              <w:rPr>
                <w:sz w:val="18"/>
                <w:szCs w:val="18"/>
              </w:rPr>
            </w:pPr>
            <w:r w:rsidRPr="0073506B">
              <w:rPr>
                <w:sz w:val="18"/>
                <w:szCs w:val="18"/>
              </w:rPr>
              <w:t>§488.61(c)</w:t>
            </w:r>
          </w:p>
        </w:tc>
        <w:tc>
          <w:tcPr>
            <w:tcW w:w="4510" w:type="dxa"/>
            <w:gridSpan w:val="4"/>
            <w:tcBorders>
              <w:top w:val="single" w:sz="4" w:space="0" w:color="auto"/>
            </w:tcBorders>
            <w:vAlign w:val="center"/>
          </w:tcPr>
          <w:p w:rsidR="008559A1" w:rsidRPr="0073506B" w:rsidP="00174155" w14:paraId="4DE8D2E8" w14:textId="47FE36F4">
            <w:pPr>
              <w:pStyle w:val="TableParagraph"/>
              <w:ind w:right="96"/>
              <w:jc w:val="center"/>
              <w:rPr>
                <w:sz w:val="20"/>
                <w:szCs w:val="20"/>
              </w:rPr>
            </w:pPr>
            <w:r>
              <w:rPr>
                <w:sz w:val="20"/>
                <w:szCs w:val="20"/>
              </w:rPr>
              <w:t xml:space="preserve">Exempt per </w:t>
            </w:r>
            <w:r w:rsidRPr="008559A1">
              <w:rPr>
                <w:sz w:val="20"/>
                <w:szCs w:val="20"/>
              </w:rPr>
              <w:t>5 CFR §1320.3(c)(4)</w:t>
            </w:r>
            <w:r>
              <w:rPr>
                <w:sz w:val="20"/>
                <w:szCs w:val="20"/>
              </w:rPr>
              <w:t xml:space="preserve"> </w:t>
            </w:r>
          </w:p>
        </w:tc>
      </w:tr>
      <w:tr w14:paraId="60DFF63E" w14:textId="77777777" w:rsidTr="003A5E98">
        <w:tblPrEx>
          <w:tblW w:w="8820" w:type="dxa"/>
          <w:jc w:val="left"/>
          <w:tblLayout w:type="fixed"/>
          <w:tblCellMar>
            <w:left w:w="0" w:type="dxa"/>
            <w:right w:w="0" w:type="dxa"/>
          </w:tblCellMar>
          <w:tblLook w:val="01E0"/>
        </w:tblPrEx>
        <w:trPr>
          <w:trHeight w:hRule="exact" w:val="720"/>
          <w:jc w:val="left"/>
        </w:trPr>
        <w:tc>
          <w:tcPr>
            <w:tcW w:w="2960" w:type="dxa"/>
            <w:vAlign w:val="center"/>
          </w:tcPr>
          <w:p w:rsidR="008559A1" w:rsidRPr="001D7CDA" w:rsidP="001D7CDA" w14:paraId="6075CF53" w14:textId="23993232">
            <w:pPr>
              <w:pStyle w:val="TableParagraph"/>
              <w:ind w:left="98"/>
              <w:rPr>
                <w:sz w:val="20"/>
                <w:szCs w:val="20"/>
              </w:rPr>
            </w:pPr>
            <w:r w:rsidRPr="001D7CDA">
              <w:rPr>
                <w:sz w:val="20"/>
                <w:szCs w:val="20"/>
              </w:rPr>
              <w:t>Requesting Reconsideration of Mitigating Factor</w:t>
            </w:r>
          </w:p>
        </w:tc>
        <w:tc>
          <w:tcPr>
            <w:tcW w:w="1350" w:type="dxa"/>
            <w:vAlign w:val="center"/>
          </w:tcPr>
          <w:p w:rsidR="008559A1" w:rsidRPr="0073506B" w:rsidP="001D7CDA" w14:paraId="229F9425" w14:textId="10A12D60">
            <w:pPr>
              <w:pStyle w:val="TableParagraph"/>
              <w:ind w:left="98"/>
              <w:jc w:val="center"/>
              <w:rPr>
                <w:sz w:val="18"/>
                <w:szCs w:val="18"/>
              </w:rPr>
            </w:pPr>
            <w:r w:rsidRPr="0073506B">
              <w:rPr>
                <w:sz w:val="18"/>
                <w:szCs w:val="18"/>
              </w:rPr>
              <w:t>§488.61(e)</w:t>
            </w:r>
          </w:p>
        </w:tc>
        <w:tc>
          <w:tcPr>
            <w:tcW w:w="4510" w:type="dxa"/>
            <w:gridSpan w:val="4"/>
            <w:vAlign w:val="center"/>
          </w:tcPr>
          <w:p w:rsidR="008559A1" w:rsidRPr="001D7CDA" w:rsidP="001D7CDA" w14:paraId="7EB78115" w14:textId="385D8AE6">
            <w:pPr>
              <w:pStyle w:val="TableParagraph"/>
              <w:ind w:right="96"/>
              <w:jc w:val="center"/>
              <w:rPr>
                <w:sz w:val="20"/>
                <w:szCs w:val="20"/>
              </w:rPr>
            </w:pPr>
            <w:r>
              <w:rPr>
                <w:sz w:val="20"/>
                <w:szCs w:val="20"/>
              </w:rPr>
              <w:t xml:space="preserve">Exempt per </w:t>
            </w:r>
            <w:r w:rsidRPr="008559A1">
              <w:rPr>
                <w:sz w:val="20"/>
                <w:szCs w:val="20"/>
              </w:rPr>
              <w:t>5 CFR §1320.3(c)(4)</w:t>
            </w:r>
          </w:p>
        </w:tc>
      </w:tr>
      <w:tr w14:paraId="7915CFDA" w14:textId="77777777" w:rsidTr="003A5E98">
        <w:tblPrEx>
          <w:tblW w:w="8820" w:type="dxa"/>
          <w:jc w:val="left"/>
          <w:tblLayout w:type="fixed"/>
          <w:tblCellMar>
            <w:left w:w="0" w:type="dxa"/>
            <w:right w:w="0" w:type="dxa"/>
          </w:tblCellMar>
          <w:tblLook w:val="01E0"/>
        </w:tblPrEx>
        <w:trPr>
          <w:trHeight w:hRule="exact" w:val="720"/>
          <w:jc w:val="left"/>
        </w:trPr>
        <w:tc>
          <w:tcPr>
            <w:tcW w:w="2960" w:type="dxa"/>
            <w:vAlign w:val="center"/>
          </w:tcPr>
          <w:p w:rsidR="008559A1" w:rsidRPr="001D7CDA" w:rsidP="001D7CDA" w14:paraId="28F5E98C" w14:textId="31F4419F">
            <w:pPr>
              <w:pStyle w:val="TableParagraph"/>
              <w:ind w:left="98"/>
              <w:rPr>
                <w:sz w:val="20"/>
                <w:szCs w:val="20"/>
              </w:rPr>
            </w:pPr>
            <w:r>
              <w:rPr>
                <w:sz w:val="20"/>
                <w:szCs w:val="20"/>
              </w:rPr>
              <w:t>Entering into</w:t>
            </w:r>
            <w:r>
              <w:rPr>
                <w:sz w:val="20"/>
                <w:szCs w:val="20"/>
              </w:rPr>
              <w:t xml:space="preserve"> SIA</w:t>
            </w:r>
          </w:p>
        </w:tc>
        <w:tc>
          <w:tcPr>
            <w:tcW w:w="1350" w:type="dxa"/>
            <w:vAlign w:val="center"/>
          </w:tcPr>
          <w:p w:rsidR="008559A1" w:rsidRPr="0073506B" w:rsidP="001D7CDA" w14:paraId="7D0D69BC" w14:textId="7B150500">
            <w:pPr>
              <w:pStyle w:val="TableParagraph"/>
              <w:ind w:left="98"/>
              <w:jc w:val="center"/>
              <w:rPr>
                <w:sz w:val="18"/>
                <w:szCs w:val="18"/>
              </w:rPr>
            </w:pPr>
            <w:r w:rsidRPr="0073506B">
              <w:rPr>
                <w:sz w:val="18"/>
                <w:szCs w:val="18"/>
              </w:rPr>
              <w:t>§488.61(g)</w:t>
            </w:r>
          </w:p>
        </w:tc>
        <w:tc>
          <w:tcPr>
            <w:tcW w:w="4510" w:type="dxa"/>
            <w:gridSpan w:val="4"/>
            <w:vAlign w:val="center"/>
          </w:tcPr>
          <w:p w:rsidR="008559A1" w:rsidRPr="001D7CDA" w:rsidP="001D7CDA" w14:paraId="669EE721" w14:textId="145339F6">
            <w:pPr>
              <w:pStyle w:val="TableParagraph"/>
              <w:ind w:right="96"/>
              <w:jc w:val="center"/>
              <w:rPr>
                <w:sz w:val="20"/>
                <w:szCs w:val="20"/>
              </w:rPr>
            </w:pPr>
            <w:r>
              <w:rPr>
                <w:sz w:val="20"/>
                <w:szCs w:val="20"/>
              </w:rPr>
              <w:t xml:space="preserve">Exempt per </w:t>
            </w:r>
            <w:r w:rsidRPr="008559A1">
              <w:rPr>
                <w:sz w:val="20"/>
                <w:szCs w:val="20"/>
              </w:rPr>
              <w:t>5 CFR §1320.3(c)(4)</w:t>
            </w:r>
          </w:p>
        </w:tc>
      </w:tr>
      <w:tr w14:paraId="7C70E221" w14:textId="77777777" w:rsidTr="003A5E98">
        <w:tblPrEx>
          <w:tblW w:w="8820" w:type="dxa"/>
          <w:jc w:val="left"/>
          <w:tblLayout w:type="fixed"/>
          <w:tblCellMar>
            <w:left w:w="0" w:type="dxa"/>
            <w:right w:w="0" w:type="dxa"/>
          </w:tblCellMar>
          <w:tblLook w:val="01E0"/>
        </w:tblPrEx>
        <w:trPr>
          <w:trHeight w:hRule="exact" w:val="720"/>
          <w:jc w:val="left"/>
        </w:trPr>
        <w:tc>
          <w:tcPr>
            <w:tcW w:w="2960" w:type="dxa"/>
            <w:shd w:val="clear" w:color="auto" w:fill="F2F2F2" w:themeFill="background1" w:themeFillShade="F2"/>
            <w:vAlign w:val="center"/>
          </w:tcPr>
          <w:p w:rsidR="001D7CDA" w:rsidRPr="0073506B" w:rsidP="00BD5C74" w14:paraId="6359C815" w14:textId="2FECE9B9">
            <w:pPr>
              <w:pStyle w:val="TableParagraph"/>
              <w:ind w:left="98"/>
              <w:rPr>
                <w:b/>
                <w:bCs/>
                <w:sz w:val="20"/>
                <w:szCs w:val="20"/>
              </w:rPr>
            </w:pPr>
            <w:r w:rsidRPr="0073506B">
              <w:rPr>
                <w:b/>
                <w:bCs/>
                <w:sz w:val="20"/>
                <w:szCs w:val="20"/>
              </w:rPr>
              <w:t>Burden Hours and Costs for all Impacted Transplant Programs</w:t>
            </w:r>
          </w:p>
        </w:tc>
        <w:tc>
          <w:tcPr>
            <w:tcW w:w="1350" w:type="dxa"/>
            <w:shd w:val="clear" w:color="auto" w:fill="F2F2F2" w:themeFill="background1" w:themeFillShade="F2"/>
            <w:vAlign w:val="center"/>
          </w:tcPr>
          <w:p w:rsidR="001D7CDA" w:rsidRPr="0073506B" w:rsidP="0073506B" w14:paraId="02222902" w14:textId="0EAEEB58">
            <w:pPr>
              <w:pStyle w:val="TableParagraph"/>
              <w:ind w:left="98"/>
              <w:jc w:val="center"/>
              <w:rPr>
                <w:b/>
                <w:bCs/>
                <w:sz w:val="20"/>
                <w:szCs w:val="20"/>
              </w:rPr>
            </w:pPr>
            <w:r w:rsidRPr="0073506B">
              <w:rPr>
                <w:b/>
                <w:bCs/>
                <w:sz w:val="20"/>
                <w:szCs w:val="20"/>
              </w:rPr>
              <w:t>-</w:t>
            </w:r>
          </w:p>
        </w:tc>
        <w:tc>
          <w:tcPr>
            <w:tcW w:w="1270" w:type="dxa"/>
            <w:shd w:val="clear" w:color="auto" w:fill="F2F2F2" w:themeFill="background1" w:themeFillShade="F2"/>
            <w:vAlign w:val="center"/>
          </w:tcPr>
          <w:p w:rsidR="001D7CDA" w:rsidRPr="0073506B" w:rsidP="006E1F14" w14:paraId="738BDAEF" w14:textId="2CBF3BB7">
            <w:pPr>
              <w:pStyle w:val="TableParagraph"/>
              <w:ind w:right="96"/>
              <w:jc w:val="center"/>
              <w:rPr>
                <w:b/>
                <w:bCs/>
                <w:sz w:val="20"/>
                <w:szCs w:val="20"/>
              </w:rPr>
            </w:pPr>
            <w:r w:rsidRPr="0073506B">
              <w:rPr>
                <w:b/>
                <w:bCs/>
                <w:sz w:val="20"/>
                <w:szCs w:val="20"/>
              </w:rPr>
              <w:t>4</w:t>
            </w:r>
            <w:r w:rsidR="008559A1">
              <w:rPr>
                <w:b/>
                <w:bCs/>
                <w:sz w:val="20"/>
                <w:szCs w:val="20"/>
              </w:rPr>
              <w:t>76</w:t>
            </w:r>
          </w:p>
        </w:tc>
        <w:tc>
          <w:tcPr>
            <w:tcW w:w="1080" w:type="dxa"/>
            <w:shd w:val="clear" w:color="auto" w:fill="F2F2F2" w:themeFill="background1" w:themeFillShade="F2"/>
            <w:vAlign w:val="center"/>
          </w:tcPr>
          <w:p w:rsidR="001D7CDA" w:rsidRPr="0073506B" w:rsidP="006E1F14" w14:paraId="5AD36E55" w14:textId="7B3A9E1E">
            <w:pPr>
              <w:pStyle w:val="TableParagraph"/>
              <w:ind w:right="95"/>
              <w:jc w:val="center"/>
              <w:rPr>
                <w:b/>
                <w:bCs/>
                <w:sz w:val="20"/>
                <w:szCs w:val="20"/>
              </w:rPr>
            </w:pPr>
            <w:r w:rsidRPr="0073506B">
              <w:rPr>
                <w:b/>
                <w:bCs/>
                <w:sz w:val="20"/>
                <w:szCs w:val="20"/>
              </w:rPr>
              <w:t>4</w:t>
            </w:r>
            <w:r w:rsidR="008559A1">
              <w:rPr>
                <w:b/>
                <w:bCs/>
                <w:sz w:val="20"/>
                <w:szCs w:val="20"/>
              </w:rPr>
              <w:t>76</w:t>
            </w:r>
          </w:p>
        </w:tc>
        <w:tc>
          <w:tcPr>
            <w:tcW w:w="1080" w:type="dxa"/>
            <w:shd w:val="clear" w:color="auto" w:fill="F2F2F2" w:themeFill="background1" w:themeFillShade="F2"/>
            <w:vAlign w:val="center"/>
          </w:tcPr>
          <w:p w:rsidR="001D7CDA" w:rsidRPr="0073506B" w:rsidP="006E1F14" w14:paraId="575AFF48" w14:textId="3F629CF8">
            <w:pPr>
              <w:pStyle w:val="TableParagraph"/>
              <w:ind w:right="95"/>
              <w:jc w:val="center"/>
              <w:rPr>
                <w:b/>
                <w:bCs/>
                <w:sz w:val="20"/>
                <w:szCs w:val="20"/>
              </w:rPr>
            </w:pPr>
            <w:r w:rsidRPr="0073506B">
              <w:rPr>
                <w:b/>
                <w:bCs/>
                <w:sz w:val="20"/>
                <w:szCs w:val="20"/>
              </w:rPr>
              <w:t>3,3</w:t>
            </w:r>
            <w:r w:rsidR="008559A1">
              <w:rPr>
                <w:b/>
                <w:bCs/>
                <w:sz w:val="20"/>
                <w:szCs w:val="20"/>
              </w:rPr>
              <w:t>4</w:t>
            </w:r>
            <w:r w:rsidRPr="0073506B">
              <w:rPr>
                <w:b/>
                <w:bCs/>
                <w:sz w:val="20"/>
                <w:szCs w:val="20"/>
              </w:rPr>
              <w:t>0</w:t>
            </w:r>
          </w:p>
        </w:tc>
        <w:tc>
          <w:tcPr>
            <w:tcW w:w="1080" w:type="dxa"/>
            <w:shd w:val="clear" w:color="auto" w:fill="F2F2F2" w:themeFill="background1" w:themeFillShade="F2"/>
            <w:vAlign w:val="center"/>
          </w:tcPr>
          <w:p w:rsidR="001D7CDA" w:rsidRPr="0073506B" w:rsidP="006E1F14" w14:paraId="590052AF" w14:textId="4B77044D">
            <w:pPr>
              <w:pStyle w:val="TableParagraph"/>
              <w:ind w:right="96"/>
              <w:jc w:val="center"/>
              <w:rPr>
                <w:b/>
                <w:bCs/>
                <w:sz w:val="20"/>
                <w:szCs w:val="20"/>
              </w:rPr>
            </w:pPr>
            <w:r w:rsidRPr="0073506B">
              <w:rPr>
                <w:b/>
                <w:bCs/>
                <w:sz w:val="20"/>
                <w:szCs w:val="20"/>
              </w:rPr>
              <w:t>$35</w:t>
            </w:r>
            <w:r w:rsidR="008559A1">
              <w:rPr>
                <w:b/>
                <w:bCs/>
                <w:sz w:val="20"/>
                <w:szCs w:val="20"/>
              </w:rPr>
              <w:t>2</w:t>
            </w:r>
            <w:r w:rsidRPr="0073506B">
              <w:rPr>
                <w:b/>
                <w:bCs/>
                <w:sz w:val="20"/>
                <w:szCs w:val="20"/>
              </w:rPr>
              <w:t>,</w:t>
            </w:r>
            <w:r w:rsidR="008559A1">
              <w:rPr>
                <w:b/>
                <w:bCs/>
                <w:sz w:val="20"/>
                <w:szCs w:val="20"/>
              </w:rPr>
              <w:t>4</w:t>
            </w:r>
            <w:r w:rsidRPr="0073506B">
              <w:rPr>
                <w:b/>
                <w:bCs/>
                <w:sz w:val="20"/>
                <w:szCs w:val="20"/>
              </w:rPr>
              <w:t>6</w:t>
            </w:r>
            <w:r w:rsidR="008559A1">
              <w:rPr>
                <w:b/>
                <w:bCs/>
                <w:sz w:val="20"/>
                <w:szCs w:val="20"/>
              </w:rPr>
              <w:t>2</w:t>
            </w:r>
          </w:p>
        </w:tc>
      </w:tr>
    </w:tbl>
    <w:p w:rsidR="002E0114" w:rsidRPr="00414E6F" w:rsidP="00F474C4" w14:paraId="786CA568" w14:textId="77777777">
      <w:pPr>
        <w:pStyle w:val="BodyText"/>
      </w:pPr>
    </w:p>
    <w:p w:rsidR="00C63703" w:rsidRPr="00414E6F" w:rsidP="00F474C4" w14:paraId="4553B649" w14:textId="77777777">
      <w:pPr>
        <w:pStyle w:val="Heading2"/>
        <w:rPr>
          <w:szCs w:val="24"/>
        </w:rPr>
      </w:pPr>
      <w:bookmarkStart w:id="30" w:name="13._Capital_Costs"/>
      <w:bookmarkEnd w:id="30"/>
      <w:r w:rsidRPr="00414E6F">
        <w:rPr>
          <w:szCs w:val="24"/>
        </w:rPr>
        <w:t>Capital</w:t>
      </w:r>
      <w:r w:rsidRPr="00414E6F">
        <w:rPr>
          <w:spacing w:val="1"/>
          <w:szCs w:val="24"/>
        </w:rPr>
        <w:t xml:space="preserve"> </w:t>
      </w:r>
      <w:r w:rsidRPr="00414E6F">
        <w:rPr>
          <w:szCs w:val="24"/>
        </w:rPr>
        <w:t>Costs</w:t>
      </w:r>
    </w:p>
    <w:p w:rsidR="00C63703" w:rsidRPr="00414E6F" w:rsidP="00F474C4" w14:paraId="3784FB51" w14:textId="77777777">
      <w:pPr>
        <w:pStyle w:val="BodyText"/>
        <w:spacing w:before="2"/>
      </w:pPr>
    </w:p>
    <w:p w:rsidR="00E739A3" w:rsidP="00F474C4" w14:paraId="06B36F48" w14:textId="72CBFAEB">
      <w:pPr>
        <w:pStyle w:val="BodyText"/>
        <w:ind w:left="450"/>
      </w:pPr>
      <w:r w:rsidRPr="00414E6F">
        <w:t xml:space="preserve">There </w:t>
      </w:r>
      <w:r w:rsidRPr="00414E6F">
        <w:t>are</w:t>
      </w:r>
      <w:r w:rsidRPr="00414E6F">
        <w:t xml:space="preserve"> no capital</w:t>
      </w:r>
      <w:r w:rsidRPr="00F17155">
        <w:t xml:space="preserve"> costs</w:t>
      </w:r>
      <w:r w:rsidR="00A505C5">
        <w:t xml:space="preserve"> associated with these information collections</w:t>
      </w:r>
      <w:r w:rsidRPr="00F17155">
        <w:t>.</w:t>
      </w:r>
    </w:p>
    <w:p w:rsidR="006802E4" w:rsidRPr="00F17155" w:rsidP="00F474C4" w14:paraId="05E797C1" w14:textId="77777777">
      <w:pPr>
        <w:pStyle w:val="BodyText"/>
        <w:ind w:left="450"/>
      </w:pPr>
    </w:p>
    <w:p w:rsidR="00C63703" w:rsidRPr="003A5E98" w:rsidP="00F474C4" w14:paraId="30F58F72" w14:textId="77777777">
      <w:pPr>
        <w:pStyle w:val="Heading2"/>
      </w:pPr>
      <w:bookmarkStart w:id="31" w:name="14._Cost_to_Federal_Government"/>
      <w:bookmarkEnd w:id="31"/>
      <w:r w:rsidRPr="003A5E98">
        <w:t>Cost to Federal</w:t>
      </w:r>
      <w:r w:rsidRPr="003A5E98">
        <w:rPr>
          <w:spacing w:val="3"/>
        </w:rPr>
        <w:t xml:space="preserve"> </w:t>
      </w:r>
      <w:r w:rsidRPr="003A5E98">
        <w:t>Government</w:t>
      </w:r>
    </w:p>
    <w:p w:rsidR="006E1F14" w:rsidP="00F474C4" w14:paraId="37735DBC" w14:textId="77777777">
      <w:pPr>
        <w:pStyle w:val="BodyText"/>
        <w:ind w:left="450" w:right="110"/>
      </w:pPr>
    </w:p>
    <w:p w:rsidR="006E1F14" w:rsidP="00F474C4" w14:paraId="36F331A6" w14:textId="4856727F">
      <w:pPr>
        <w:pStyle w:val="BodyText"/>
        <w:ind w:left="450" w:right="110"/>
      </w:pPr>
      <w:r w:rsidRPr="00817427">
        <w:t xml:space="preserve">The </w:t>
      </w:r>
      <w:r w:rsidR="007416F3">
        <w:t xml:space="preserve">estimated </w:t>
      </w:r>
      <w:r w:rsidRPr="00817427">
        <w:t>burden and costs to the federal government for th</w:t>
      </w:r>
      <w:r>
        <w:t xml:space="preserve">ese ICs </w:t>
      </w:r>
      <w:r w:rsidRPr="00817427">
        <w:t>include the time spent by</w:t>
      </w:r>
      <w:r w:rsidR="00174155">
        <w:t xml:space="preserve"> </w:t>
      </w:r>
      <w:r>
        <w:t>s</w:t>
      </w:r>
      <w:r w:rsidRPr="00817427">
        <w:t>urveyors, employed by State Survey Agencies under contract with CMS</w:t>
      </w:r>
      <w:r>
        <w:t>,</w:t>
      </w:r>
      <w:r w:rsidRPr="00817427">
        <w:t xml:space="preserve"> to complete </w:t>
      </w:r>
      <w:r>
        <w:t xml:space="preserve">in-person </w:t>
      </w:r>
      <w:r w:rsidRPr="00817427">
        <w:t>compliance evaluations for</w:t>
      </w:r>
      <w:r>
        <w:t xml:space="preserve"> transplant programs</w:t>
      </w:r>
      <w:r w:rsidRPr="00817427">
        <w:t>.</w:t>
      </w:r>
      <w:r>
        <w:t xml:space="preserve"> </w:t>
      </w:r>
      <w:r>
        <w:t>Facilities</w:t>
      </w:r>
      <w:r w:rsidRPr="00817427">
        <w:t xml:space="preserve"> undergo</w:t>
      </w:r>
      <w:r>
        <w:t xml:space="preserve"> </w:t>
      </w:r>
      <w:r w:rsidRPr="00817427">
        <w:t>compliance review</w:t>
      </w:r>
      <w:r w:rsidR="007416F3">
        <w:t>s</w:t>
      </w:r>
      <w:r w:rsidRPr="00817427">
        <w:t xml:space="preserve"> at the time of initial application for Medicare approval</w:t>
      </w:r>
      <w:r>
        <w:t xml:space="preserve"> and are surveyed every </w:t>
      </w:r>
      <w:r w:rsidRPr="00817427">
        <w:t xml:space="preserve">3 </w:t>
      </w:r>
      <w:r>
        <w:t>to</w:t>
      </w:r>
      <w:r w:rsidRPr="00817427">
        <w:t xml:space="preserve"> 6 years</w:t>
      </w:r>
      <w:r>
        <w:t xml:space="preserve"> </w:t>
      </w:r>
      <w:r w:rsidR="007416F3">
        <w:t xml:space="preserve">to assess </w:t>
      </w:r>
      <w:r>
        <w:t>ongoing compliance.</w:t>
      </w:r>
    </w:p>
    <w:p w:rsidR="006E1F14" w:rsidP="00F474C4" w14:paraId="1B22E72F" w14:textId="77777777">
      <w:pPr>
        <w:pStyle w:val="BodyText"/>
        <w:spacing w:before="61"/>
        <w:ind w:left="450" w:right="110"/>
      </w:pPr>
    </w:p>
    <w:p w:rsidR="00A427E3" w:rsidP="00F474C4" w14:paraId="7ABBBAA8" w14:textId="62C31678">
      <w:pPr>
        <w:pStyle w:val="BodyText"/>
        <w:ind w:left="450" w:right="110"/>
      </w:pPr>
      <w:r w:rsidRPr="008B6BAC">
        <w:t xml:space="preserve">For the initial compliance review, we estimate </w:t>
      </w:r>
      <w:r w:rsidR="007416F3">
        <w:t xml:space="preserve">that it takes </w:t>
      </w:r>
      <w:r w:rsidRPr="008B6BAC">
        <w:t>4 hours,</w:t>
      </w:r>
      <w:r w:rsidR="007416F3">
        <w:t xml:space="preserve"> resulting in </w:t>
      </w:r>
      <w:r w:rsidRPr="008B6BAC">
        <w:t>a cost of $2</w:t>
      </w:r>
      <w:r>
        <w:t>8</w:t>
      </w:r>
      <w:r w:rsidR="0092729D">
        <w:t>4</w:t>
      </w:r>
      <w:r w:rsidRPr="008B6BAC">
        <w:t xml:space="preserve"> per facility (4 hours x $</w:t>
      </w:r>
      <w:r>
        <w:t>7</w:t>
      </w:r>
      <w:r w:rsidR="0092729D">
        <w:t>1</w:t>
      </w:r>
      <w:r w:rsidRPr="008B6BAC">
        <w:t>). For ongoing compliance</w:t>
      </w:r>
      <w:r w:rsidR="007416F3">
        <w:t xml:space="preserve"> reviews</w:t>
      </w:r>
      <w:r w:rsidRPr="008B6BAC">
        <w:t xml:space="preserve">, we estimate </w:t>
      </w:r>
      <w:r w:rsidR="007416F3">
        <w:t xml:space="preserve">that it takes 1 hour, resulting in </w:t>
      </w:r>
      <w:r w:rsidR="00174155">
        <w:t xml:space="preserve">a </w:t>
      </w:r>
      <w:r w:rsidRPr="008B6BAC" w:rsidR="00174155">
        <w:t>cost of $</w:t>
      </w:r>
      <w:r w:rsidR="00174155">
        <w:t>71</w:t>
      </w:r>
      <w:r w:rsidRPr="008B6BAC" w:rsidR="00174155">
        <w:t xml:space="preserve"> per facility (1 hour x $</w:t>
      </w:r>
      <w:r w:rsidR="00174155">
        <w:t>71</w:t>
      </w:r>
      <w:r w:rsidRPr="008B6BAC" w:rsidR="00174155">
        <w:t>)</w:t>
      </w:r>
      <w:r w:rsidRPr="008B6BAC" w:rsidR="00782240">
        <w:t xml:space="preserve">. </w:t>
      </w:r>
      <w:r w:rsidRPr="008B6BAC">
        <w:t>The burden for</w:t>
      </w:r>
      <w:r>
        <w:t xml:space="preserve"> these activities </w:t>
      </w:r>
      <w:r w:rsidRPr="008B6BAC">
        <w:t>was calculated using a loaded hourly wage of $</w:t>
      </w:r>
      <w:r>
        <w:t>71</w:t>
      </w:r>
      <w:r w:rsidRPr="008B6BAC">
        <w:t xml:space="preserve"> per hour for </w:t>
      </w:r>
      <w:r>
        <w:t>a surveyor</w:t>
      </w:r>
      <w:r w:rsidRPr="008B6BAC">
        <w:t xml:space="preserve"> (BLS</w:t>
      </w:r>
      <w:r>
        <w:t>,</w:t>
      </w:r>
      <w:r w:rsidRPr="008B6BAC">
        <w:t xml:space="preserve"> </w:t>
      </w:r>
      <w:r>
        <w:t xml:space="preserve">Occupation Title: “Survey Researcher,” BLS </w:t>
      </w:r>
      <w:r w:rsidRPr="008B6BAC">
        <w:t>Occupation Code</w:t>
      </w:r>
      <w:r>
        <w:t>:</w:t>
      </w:r>
      <w:r w:rsidRPr="008B6BAC">
        <w:t xml:space="preserve"> 19-3022).</w:t>
      </w:r>
      <w:r>
        <w:rPr>
          <w:rStyle w:val="FootnoteReference"/>
        </w:rPr>
        <w:footnoteReference w:id="11"/>
      </w:r>
      <w:r w:rsidRPr="008B6BAC">
        <w:t xml:space="preserve"> </w:t>
      </w:r>
    </w:p>
    <w:p w:rsidR="00A427E3" w:rsidP="00F474C4" w14:paraId="08DFD626" w14:textId="77777777">
      <w:pPr>
        <w:pStyle w:val="BodyText"/>
        <w:ind w:left="450" w:right="91"/>
      </w:pPr>
    </w:p>
    <w:p w:rsidR="00817427" w:rsidP="00F474C4" w14:paraId="00F93AE7" w14:textId="00966152">
      <w:pPr>
        <w:pStyle w:val="BodyText"/>
        <w:ind w:left="450" w:right="91"/>
      </w:pPr>
      <w:r>
        <w:t>As shown in</w:t>
      </w:r>
      <w:r w:rsidR="00B8511E">
        <w:t xml:space="preserve"> Table </w:t>
      </w:r>
      <w:r w:rsidR="006B4D55">
        <w:t>1</w:t>
      </w:r>
      <w:r w:rsidR="00A427E3">
        <w:t>2</w:t>
      </w:r>
      <w:r w:rsidR="008C5BB5">
        <w:t>,</w:t>
      </w:r>
      <w:r w:rsidR="00B8511E">
        <w:t xml:space="preserve"> t</w:t>
      </w:r>
      <w:r w:rsidRPr="008B6BAC" w:rsidR="008B6BAC">
        <w:t xml:space="preserve">he burden to the </w:t>
      </w:r>
      <w:r>
        <w:t>f</w:t>
      </w:r>
      <w:r w:rsidRPr="008B6BAC" w:rsidR="008B6BAC">
        <w:t>ederal government for each applicable IC</w:t>
      </w:r>
      <w:r w:rsidR="006E1F14">
        <w:t xml:space="preserve"> </w:t>
      </w:r>
      <w:r w:rsidRPr="008B6BAC" w:rsidR="008B6BAC">
        <w:t xml:space="preserve">is calculated </w:t>
      </w:r>
      <w:r>
        <w:t xml:space="preserve">based on </w:t>
      </w:r>
      <w:r w:rsidRPr="008B6BAC" w:rsidR="008B6BAC">
        <w:t>those facilities impacted by each IC.</w:t>
      </w:r>
      <w:r w:rsidR="009962EC">
        <w:t xml:space="preserve"> </w:t>
      </w:r>
      <w:r w:rsidR="00EE231F">
        <w:t>T</w:t>
      </w:r>
      <w:r>
        <w:t xml:space="preserve">he </w:t>
      </w:r>
      <w:r>
        <w:t xml:space="preserve">total </w:t>
      </w:r>
      <w:r w:rsidR="00EE231F">
        <w:t>annual</w:t>
      </w:r>
      <w:r>
        <w:t xml:space="preserve"> burden for the federal government to conduct the required compliance review</w:t>
      </w:r>
      <w:r>
        <w:t>s</w:t>
      </w:r>
      <w:r>
        <w:t xml:space="preserve"> </w:t>
      </w:r>
      <w:r w:rsidR="00EE231F">
        <w:t xml:space="preserve">for IC-1 </w:t>
      </w:r>
      <w:r>
        <w:t>through</w:t>
      </w:r>
      <w:r w:rsidR="00EE231F">
        <w:t xml:space="preserve"> IC-</w:t>
      </w:r>
      <w:r w:rsidR="002E64AD">
        <w:t>3</w:t>
      </w:r>
      <w:r>
        <w:t xml:space="preserve"> </w:t>
      </w:r>
      <w:r>
        <w:t xml:space="preserve">is </w:t>
      </w:r>
      <w:r w:rsidR="002E64AD">
        <w:t>482</w:t>
      </w:r>
      <w:r w:rsidRPr="0073506B" w:rsidR="00C07317">
        <w:t xml:space="preserve"> </w:t>
      </w:r>
      <w:r w:rsidRPr="0073506B">
        <w:t>hours</w:t>
      </w:r>
      <w:r w:rsidRPr="0073506B">
        <w:t>,</w:t>
      </w:r>
      <w:r w:rsidRPr="0073506B">
        <w:t xml:space="preserve"> </w:t>
      </w:r>
      <w:r w:rsidRPr="0073506B" w:rsidR="00EE231F">
        <w:t>at a cost of $3</w:t>
      </w:r>
      <w:r w:rsidR="002E64AD">
        <w:t>4,222</w:t>
      </w:r>
      <w:r w:rsidRPr="0073506B" w:rsidR="00EE231F">
        <w:t>.</w:t>
      </w:r>
    </w:p>
    <w:p w:rsidR="00A7591C" w:rsidP="00F474C4" w14:paraId="75B16171" w14:textId="77777777">
      <w:pPr>
        <w:pStyle w:val="BodyText"/>
        <w:ind w:left="450" w:right="91"/>
      </w:pPr>
    </w:p>
    <w:p w:rsidR="00A7591C" w:rsidP="00F474C4" w14:paraId="2321820D" w14:textId="77777777">
      <w:pPr>
        <w:pStyle w:val="BodyText"/>
        <w:ind w:left="450" w:right="91"/>
      </w:pPr>
    </w:p>
    <w:p w:rsidR="00A7591C" w:rsidP="00F474C4" w14:paraId="6ED4D95B" w14:textId="77777777">
      <w:pPr>
        <w:pStyle w:val="BodyText"/>
        <w:ind w:left="450" w:right="91"/>
      </w:pPr>
    </w:p>
    <w:p w:rsidR="00A7591C" w:rsidP="00F474C4" w14:paraId="787A51CF" w14:textId="77777777">
      <w:pPr>
        <w:pStyle w:val="BodyText"/>
        <w:ind w:left="450" w:right="91"/>
      </w:pPr>
    </w:p>
    <w:p w:rsidR="00A7591C" w:rsidP="00F474C4" w14:paraId="58A0204D" w14:textId="77777777">
      <w:pPr>
        <w:pStyle w:val="BodyText"/>
        <w:ind w:left="450" w:right="91"/>
      </w:pPr>
    </w:p>
    <w:p w:rsidR="00A7591C" w:rsidP="00F474C4" w14:paraId="3FEAAA89" w14:textId="77777777">
      <w:pPr>
        <w:pStyle w:val="BodyText"/>
        <w:ind w:left="450" w:right="91"/>
      </w:pPr>
    </w:p>
    <w:p w:rsidR="00A7591C" w:rsidRPr="008B6BAC" w:rsidP="00F474C4" w14:paraId="2F074DDF" w14:textId="77777777">
      <w:pPr>
        <w:pStyle w:val="BodyText"/>
        <w:ind w:left="450" w:right="91"/>
      </w:pPr>
    </w:p>
    <w:p w:rsidR="006E1F14" w:rsidP="00F474C4" w14:paraId="5E949D30" w14:textId="77777777">
      <w:pPr>
        <w:pStyle w:val="BodyText"/>
        <w:ind w:left="450" w:right="91"/>
        <w:jc w:val="center"/>
        <w:rPr>
          <w:b/>
          <w:bCs/>
        </w:rPr>
      </w:pPr>
    </w:p>
    <w:p w:rsidR="00B8511E" w:rsidRPr="00EE231F" w:rsidP="00F474C4" w14:paraId="5E1AD02A" w14:textId="5976CBBF">
      <w:pPr>
        <w:pStyle w:val="BodyText"/>
        <w:ind w:left="450" w:right="91"/>
        <w:jc w:val="center"/>
        <w:rPr>
          <w:b/>
          <w:bCs/>
        </w:rPr>
      </w:pPr>
      <w:r w:rsidRPr="00EE231F">
        <w:rPr>
          <w:b/>
          <w:bCs/>
        </w:rPr>
        <w:t xml:space="preserve">Table </w:t>
      </w:r>
      <w:r w:rsidR="006B4D55">
        <w:rPr>
          <w:b/>
          <w:bCs/>
        </w:rPr>
        <w:t>1</w:t>
      </w:r>
      <w:r w:rsidR="005C388C">
        <w:rPr>
          <w:b/>
          <w:bCs/>
        </w:rPr>
        <w:t>2</w:t>
      </w:r>
      <w:r w:rsidRPr="00EE231F" w:rsidR="004D7293">
        <w:rPr>
          <w:b/>
          <w:bCs/>
        </w:rPr>
        <w:t>.</w:t>
      </w:r>
      <w:r w:rsidRPr="00EE231F">
        <w:rPr>
          <w:b/>
          <w:bCs/>
        </w:rPr>
        <w:t xml:space="preserve"> Total Burden and Cost Estimates for Federal Government</w:t>
      </w:r>
    </w:p>
    <w:tbl>
      <w:tblPr>
        <w:tblW w:w="90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30"/>
        <w:gridCol w:w="990"/>
        <w:gridCol w:w="990"/>
        <w:gridCol w:w="990"/>
        <w:gridCol w:w="810"/>
        <w:gridCol w:w="990"/>
        <w:gridCol w:w="990"/>
      </w:tblGrid>
      <w:tr w14:paraId="76EA98D6" w14:textId="77777777" w:rsidTr="006E1F14">
        <w:tblPrEx>
          <w:tblW w:w="90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09"/>
        </w:trPr>
        <w:tc>
          <w:tcPr>
            <w:tcW w:w="3330" w:type="dxa"/>
            <w:vMerge w:val="restart"/>
            <w:shd w:val="clear" w:color="000000" w:fill="F2F2F2"/>
            <w:noWrap/>
            <w:vAlign w:val="center"/>
            <w:hideMark/>
          </w:tcPr>
          <w:p w:rsidR="00EE231F" w:rsidRPr="00EE231F" w:rsidP="009962EC" w14:paraId="75116740" w14:textId="07F7607B">
            <w:pPr>
              <w:widowControl/>
              <w:autoSpaceDE/>
              <w:autoSpaceDN/>
              <w:jc w:val="center"/>
              <w:rPr>
                <w:b/>
                <w:bCs/>
                <w:color w:val="000000"/>
                <w:sz w:val="20"/>
                <w:szCs w:val="20"/>
              </w:rPr>
            </w:pPr>
            <w:r w:rsidRPr="00A427E3">
              <w:rPr>
                <w:b/>
                <w:bCs/>
                <w:color w:val="000000"/>
                <w:sz w:val="20"/>
                <w:szCs w:val="20"/>
              </w:rPr>
              <w:t>Information Collection No.</w:t>
            </w:r>
          </w:p>
        </w:tc>
        <w:tc>
          <w:tcPr>
            <w:tcW w:w="990" w:type="dxa"/>
            <w:vMerge w:val="restart"/>
            <w:shd w:val="clear" w:color="000000" w:fill="F2F2F2"/>
            <w:vAlign w:val="center"/>
          </w:tcPr>
          <w:p w:rsidR="00EE231F" w:rsidP="009962EC" w14:paraId="31032CE0" w14:textId="77777777">
            <w:pPr>
              <w:widowControl/>
              <w:autoSpaceDE/>
              <w:autoSpaceDN/>
              <w:jc w:val="center"/>
              <w:rPr>
                <w:b/>
                <w:bCs/>
                <w:color w:val="000000"/>
                <w:sz w:val="20"/>
                <w:szCs w:val="20"/>
              </w:rPr>
            </w:pPr>
            <w:r w:rsidRPr="00EE231F">
              <w:rPr>
                <w:b/>
                <w:bCs/>
                <w:color w:val="000000"/>
                <w:sz w:val="20"/>
                <w:szCs w:val="20"/>
              </w:rPr>
              <w:t>CFR</w:t>
            </w:r>
          </w:p>
          <w:p w:rsidR="002E64AD" w:rsidRPr="00EE231F" w:rsidP="009962EC" w14:paraId="5B242259" w14:textId="3D9F225F">
            <w:pPr>
              <w:widowControl/>
              <w:autoSpaceDE/>
              <w:autoSpaceDN/>
              <w:jc w:val="center"/>
              <w:rPr>
                <w:b/>
                <w:bCs/>
                <w:color w:val="000000"/>
                <w:sz w:val="20"/>
                <w:szCs w:val="20"/>
              </w:rPr>
            </w:pPr>
            <w:r>
              <w:rPr>
                <w:b/>
                <w:bCs/>
                <w:color w:val="000000"/>
                <w:sz w:val="20"/>
                <w:szCs w:val="20"/>
              </w:rPr>
              <w:t>Section</w:t>
            </w:r>
          </w:p>
        </w:tc>
        <w:tc>
          <w:tcPr>
            <w:tcW w:w="990" w:type="dxa"/>
            <w:tcBorders>
              <w:bottom w:val="nil"/>
            </w:tcBorders>
            <w:shd w:val="clear" w:color="auto" w:fill="F2F2F2" w:themeFill="background1" w:themeFillShade="F2"/>
            <w:vAlign w:val="center"/>
            <w:hideMark/>
          </w:tcPr>
          <w:p w:rsidR="00EE231F" w:rsidRPr="00EE231F" w:rsidP="009962EC" w14:paraId="0C3C965D" w14:textId="77777777">
            <w:pPr>
              <w:widowControl/>
              <w:autoSpaceDE/>
              <w:autoSpaceDN/>
              <w:jc w:val="center"/>
              <w:rPr>
                <w:b/>
                <w:bCs/>
                <w:color w:val="000000"/>
                <w:sz w:val="20"/>
                <w:szCs w:val="20"/>
              </w:rPr>
            </w:pPr>
          </w:p>
          <w:p w:rsidR="00EE231F" w:rsidRPr="00EE231F" w:rsidP="00EE231F" w14:paraId="37B307FF" w14:textId="0803B4E6">
            <w:pPr>
              <w:widowControl/>
              <w:autoSpaceDE/>
              <w:autoSpaceDN/>
              <w:jc w:val="center"/>
              <w:rPr>
                <w:b/>
                <w:bCs/>
                <w:color w:val="000000"/>
                <w:sz w:val="20"/>
                <w:szCs w:val="20"/>
              </w:rPr>
            </w:pPr>
            <w:r w:rsidRPr="00EE231F">
              <w:rPr>
                <w:b/>
                <w:bCs/>
                <w:color w:val="000000"/>
                <w:sz w:val="20"/>
                <w:szCs w:val="20"/>
              </w:rPr>
              <w:t># of Facilities</w:t>
            </w:r>
          </w:p>
        </w:tc>
        <w:tc>
          <w:tcPr>
            <w:tcW w:w="990" w:type="dxa"/>
            <w:tcBorders>
              <w:bottom w:val="nil"/>
            </w:tcBorders>
            <w:shd w:val="clear" w:color="auto" w:fill="F2F2F2" w:themeFill="background1" w:themeFillShade="F2"/>
            <w:vAlign w:val="center"/>
            <w:hideMark/>
          </w:tcPr>
          <w:p w:rsidR="00EE231F" w:rsidRPr="00EE231F" w:rsidP="009962EC" w14:paraId="0D2D51C8" w14:textId="77777777">
            <w:pPr>
              <w:widowControl/>
              <w:autoSpaceDE/>
              <w:autoSpaceDN/>
              <w:jc w:val="center"/>
              <w:rPr>
                <w:b/>
                <w:bCs/>
                <w:color w:val="000000"/>
                <w:sz w:val="20"/>
                <w:szCs w:val="20"/>
              </w:rPr>
            </w:pPr>
          </w:p>
          <w:p w:rsidR="00EE231F" w:rsidRPr="00EE231F" w:rsidP="009962EC" w14:paraId="38937CA1" w14:textId="77777777">
            <w:pPr>
              <w:widowControl/>
              <w:autoSpaceDE/>
              <w:autoSpaceDN/>
              <w:jc w:val="center"/>
              <w:rPr>
                <w:b/>
                <w:bCs/>
                <w:color w:val="000000"/>
                <w:sz w:val="20"/>
                <w:szCs w:val="20"/>
              </w:rPr>
            </w:pPr>
            <w:r w:rsidRPr="00EE231F">
              <w:rPr>
                <w:b/>
                <w:bCs/>
                <w:color w:val="000000"/>
                <w:sz w:val="20"/>
                <w:szCs w:val="20"/>
              </w:rPr>
              <w:t>Loaded</w:t>
            </w:r>
          </w:p>
          <w:p w:rsidR="00EE231F" w:rsidRPr="00EE231F" w:rsidP="009962EC" w14:paraId="49799F4A" w14:textId="77777777">
            <w:pPr>
              <w:widowControl/>
              <w:autoSpaceDE/>
              <w:autoSpaceDN/>
              <w:jc w:val="center"/>
              <w:rPr>
                <w:b/>
                <w:bCs/>
                <w:color w:val="000000"/>
                <w:sz w:val="20"/>
                <w:szCs w:val="20"/>
              </w:rPr>
            </w:pPr>
            <w:r w:rsidRPr="00EE231F">
              <w:rPr>
                <w:b/>
                <w:bCs/>
                <w:color w:val="000000"/>
                <w:sz w:val="20"/>
                <w:szCs w:val="20"/>
              </w:rPr>
              <w:t>Hourly Mean</w:t>
            </w:r>
          </w:p>
          <w:p w:rsidR="00EE231F" w:rsidRPr="00EE231F" w:rsidP="00EE231F" w14:paraId="6A46A451" w14:textId="0445EA12">
            <w:pPr>
              <w:widowControl/>
              <w:autoSpaceDE/>
              <w:autoSpaceDN/>
              <w:jc w:val="center"/>
              <w:rPr>
                <w:b/>
                <w:bCs/>
                <w:color w:val="000000"/>
                <w:sz w:val="20"/>
                <w:szCs w:val="20"/>
              </w:rPr>
            </w:pPr>
            <w:r w:rsidRPr="00EE231F">
              <w:rPr>
                <w:b/>
                <w:bCs/>
                <w:color w:val="000000"/>
                <w:sz w:val="20"/>
                <w:szCs w:val="20"/>
              </w:rPr>
              <w:t>Wage</w:t>
            </w:r>
            <w:r>
              <w:rPr>
                <w:rStyle w:val="FootnoteReference"/>
                <w:b/>
                <w:bCs/>
                <w:color w:val="000000"/>
                <w:sz w:val="20"/>
                <w:szCs w:val="20"/>
              </w:rPr>
              <w:footnoteReference w:id="12"/>
            </w:r>
          </w:p>
        </w:tc>
        <w:tc>
          <w:tcPr>
            <w:tcW w:w="810" w:type="dxa"/>
            <w:tcBorders>
              <w:bottom w:val="nil"/>
            </w:tcBorders>
            <w:shd w:val="clear" w:color="auto" w:fill="F2F2F2" w:themeFill="background1" w:themeFillShade="F2"/>
            <w:vAlign w:val="center"/>
            <w:hideMark/>
          </w:tcPr>
          <w:p w:rsidR="00EE231F" w:rsidRPr="00EE231F" w:rsidP="009962EC" w14:paraId="6EF0CFD9" w14:textId="77777777">
            <w:pPr>
              <w:widowControl/>
              <w:autoSpaceDE/>
              <w:autoSpaceDN/>
              <w:jc w:val="center"/>
              <w:rPr>
                <w:b/>
                <w:bCs/>
                <w:color w:val="000000"/>
                <w:sz w:val="20"/>
                <w:szCs w:val="20"/>
              </w:rPr>
            </w:pPr>
          </w:p>
          <w:p w:rsidR="00EE231F" w:rsidRPr="00EE231F" w:rsidP="00EE231F" w14:paraId="331A99BC" w14:textId="027467B7">
            <w:pPr>
              <w:widowControl/>
              <w:autoSpaceDE/>
              <w:autoSpaceDN/>
              <w:jc w:val="center"/>
              <w:rPr>
                <w:b/>
                <w:bCs/>
                <w:color w:val="000000"/>
                <w:sz w:val="20"/>
                <w:szCs w:val="20"/>
              </w:rPr>
            </w:pPr>
            <w:r w:rsidRPr="00EE231F">
              <w:rPr>
                <w:b/>
                <w:bCs/>
                <w:color w:val="000000"/>
                <w:sz w:val="20"/>
                <w:szCs w:val="20"/>
              </w:rPr>
              <w:t>Burden Hrs./ Task</w:t>
            </w:r>
          </w:p>
        </w:tc>
        <w:tc>
          <w:tcPr>
            <w:tcW w:w="990" w:type="dxa"/>
            <w:tcBorders>
              <w:bottom w:val="nil"/>
            </w:tcBorders>
            <w:shd w:val="clear" w:color="auto" w:fill="F2F2F2" w:themeFill="background1" w:themeFillShade="F2"/>
            <w:vAlign w:val="center"/>
            <w:hideMark/>
          </w:tcPr>
          <w:p w:rsidR="00EE231F" w:rsidRPr="00EE231F" w:rsidP="009962EC" w14:paraId="1E62B437" w14:textId="77777777">
            <w:pPr>
              <w:widowControl/>
              <w:autoSpaceDE/>
              <w:autoSpaceDN/>
              <w:jc w:val="center"/>
              <w:rPr>
                <w:b/>
                <w:bCs/>
                <w:color w:val="000000"/>
                <w:sz w:val="20"/>
                <w:szCs w:val="20"/>
              </w:rPr>
            </w:pPr>
          </w:p>
          <w:p w:rsidR="00EE231F" w:rsidRPr="00EE231F" w:rsidP="00EE231F" w14:paraId="1E8880C3" w14:textId="5D40935D">
            <w:pPr>
              <w:widowControl/>
              <w:autoSpaceDE/>
              <w:autoSpaceDN/>
              <w:jc w:val="center"/>
              <w:rPr>
                <w:b/>
                <w:bCs/>
                <w:color w:val="000000"/>
                <w:sz w:val="20"/>
                <w:szCs w:val="20"/>
              </w:rPr>
            </w:pPr>
            <w:r w:rsidRPr="00EE231F">
              <w:rPr>
                <w:b/>
                <w:bCs/>
                <w:color w:val="000000"/>
                <w:sz w:val="20"/>
                <w:szCs w:val="20"/>
              </w:rPr>
              <w:t>Total Burden Hrs.</w:t>
            </w:r>
          </w:p>
        </w:tc>
        <w:tc>
          <w:tcPr>
            <w:tcW w:w="990" w:type="dxa"/>
            <w:tcBorders>
              <w:bottom w:val="nil"/>
            </w:tcBorders>
            <w:shd w:val="clear" w:color="auto" w:fill="F2F2F2" w:themeFill="background1" w:themeFillShade="F2"/>
            <w:vAlign w:val="center"/>
            <w:hideMark/>
          </w:tcPr>
          <w:p w:rsidR="00EE231F" w:rsidRPr="00EE231F" w:rsidP="009962EC" w14:paraId="7D8F4A8F" w14:textId="77777777">
            <w:pPr>
              <w:widowControl/>
              <w:autoSpaceDE/>
              <w:autoSpaceDN/>
              <w:jc w:val="center"/>
              <w:rPr>
                <w:b/>
                <w:bCs/>
                <w:color w:val="000000"/>
                <w:sz w:val="20"/>
                <w:szCs w:val="20"/>
              </w:rPr>
            </w:pPr>
          </w:p>
          <w:p w:rsidR="00EE231F" w:rsidRPr="00EE231F" w:rsidP="00EE231F" w14:paraId="75C08CE8" w14:textId="659A5B4B">
            <w:pPr>
              <w:widowControl/>
              <w:autoSpaceDE/>
              <w:autoSpaceDN/>
              <w:jc w:val="center"/>
              <w:rPr>
                <w:b/>
                <w:bCs/>
                <w:color w:val="000000"/>
                <w:sz w:val="20"/>
                <w:szCs w:val="20"/>
              </w:rPr>
            </w:pPr>
            <w:r w:rsidRPr="00EE231F">
              <w:rPr>
                <w:b/>
                <w:bCs/>
                <w:color w:val="000000"/>
                <w:sz w:val="20"/>
                <w:szCs w:val="20"/>
              </w:rPr>
              <w:t>Total Burden</w:t>
            </w:r>
            <w:r w:rsidRPr="00EE231F">
              <w:rPr>
                <w:b/>
                <w:bCs/>
                <w:color w:val="000000"/>
                <w:sz w:val="20"/>
                <w:szCs w:val="20"/>
              </w:rPr>
              <w:t xml:space="preserve"> Costs</w:t>
            </w:r>
          </w:p>
        </w:tc>
      </w:tr>
      <w:tr w14:paraId="6AFFF9F1" w14:textId="77777777" w:rsidTr="006E1F14">
        <w:tblPrEx>
          <w:tblW w:w="9090" w:type="dxa"/>
          <w:tblInd w:w="85" w:type="dxa"/>
          <w:tblLayout w:type="fixed"/>
          <w:tblLook w:val="04A0"/>
        </w:tblPrEx>
        <w:trPr>
          <w:trHeight w:val="248"/>
        </w:trPr>
        <w:tc>
          <w:tcPr>
            <w:tcW w:w="3330" w:type="dxa"/>
            <w:vMerge/>
            <w:noWrap/>
            <w:vAlign w:val="center"/>
          </w:tcPr>
          <w:p w:rsidR="00EE231F" w:rsidRPr="00EE231F" w:rsidP="00EE231F" w14:paraId="4C6D6C37" w14:textId="77777777">
            <w:pPr>
              <w:widowControl/>
              <w:autoSpaceDE/>
              <w:autoSpaceDN/>
              <w:rPr>
                <w:color w:val="000000"/>
                <w:sz w:val="20"/>
                <w:szCs w:val="20"/>
              </w:rPr>
            </w:pPr>
          </w:p>
        </w:tc>
        <w:tc>
          <w:tcPr>
            <w:tcW w:w="990" w:type="dxa"/>
            <w:vMerge/>
            <w:vAlign w:val="center"/>
          </w:tcPr>
          <w:p w:rsidR="00EE231F" w:rsidRPr="00EE231F" w:rsidP="00EE231F" w14:paraId="1CDD455C" w14:textId="77777777">
            <w:pPr>
              <w:widowControl/>
              <w:autoSpaceDE/>
              <w:autoSpaceDN/>
              <w:jc w:val="center"/>
              <w:rPr>
                <w:color w:val="000000"/>
                <w:sz w:val="20"/>
                <w:szCs w:val="20"/>
              </w:rPr>
            </w:pPr>
          </w:p>
        </w:tc>
        <w:tc>
          <w:tcPr>
            <w:tcW w:w="990" w:type="dxa"/>
            <w:tcBorders>
              <w:top w:val="nil"/>
            </w:tcBorders>
            <w:shd w:val="clear" w:color="auto" w:fill="F2F2F2" w:themeFill="background1" w:themeFillShade="F2"/>
            <w:vAlign w:val="center"/>
          </w:tcPr>
          <w:p w:rsidR="00EE231F" w:rsidRPr="006E1F14" w:rsidP="00EE231F" w14:paraId="6FBAA9EB" w14:textId="16D88AEE">
            <w:pPr>
              <w:widowControl/>
              <w:autoSpaceDE/>
              <w:autoSpaceDN/>
              <w:jc w:val="center"/>
              <w:rPr>
                <w:i/>
                <w:iCs/>
                <w:color w:val="000000"/>
                <w:sz w:val="18"/>
                <w:szCs w:val="18"/>
              </w:rPr>
            </w:pPr>
            <w:r w:rsidRPr="006E1F14">
              <w:rPr>
                <w:i/>
                <w:iCs/>
                <w:sz w:val="18"/>
                <w:szCs w:val="18"/>
              </w:rPr>
              <w:t>(a)</w:t>
            </w:r>
          </w:p>
        </w:tc>
        <w:tc>
          <w:tcPr>
            <w:tcW w:w="990" w:type="dxa"/>
            <w:tcBorders>
              <w:top w:val="nil"/>
            </w:tcBorders>
            <w:shd w:val="clear" w:color="auto" w:fill="F2F2F2" w:themeFill="background1" w:themeFillShade="F2"/>
            <w:vAlign w:val="center"/>
          </w:tcPr>
          <w:p w:rsidR="00EE231F" w:rsidRPr="006E1F14" w:rsidP="00EE231F" w14:paraId="671591DB" w14:textId="0C5680C4">
            <w:pPr>
              <w:widowControl/>
              <w:autoSpaceDE/>
              <w:autoSpaceDN/>
              <w:jc w:val="center"/>
              <w:rPr>
                <w:i/>
                <w:iCs/>
                <w:color w:val="000000"/>
                <w:sz w:val="18"/>
                <w:szCs w:val="18"/>
              </w:rPr>
            </w:pPr>
            <w:r w:rsidRPr="006E1F14">
              <w:rPr>
                <w:i/>
                <w:iCs/>
                <w:sz w:val="18"/>
                <w:szCs w:val="18"/>
              </w:rPr>
              <w:t>(b)</w:t>
            </w:r>
          </w:p>
        </w:tc>
        <w:tc>
          <w:tcPr>
            <w:tcW w:w="810" w:type="dxa"/>
            <w:tcBorders>
              <w:top w:val="nil"/>
            </w:tcBorders>
            <w:shd w:val="clear" w:color="auto" w:fill="F2F2F2" w:themeFill="background1" w:themeFillShade="F2"/>
            <w:vAlign w:val="center"/>
          </w:tcPr>
          <w:p w:rsidR="00EE231F" w:rsidRPr="006E1F14" w:rsidP="00EE231F" w14:paraId="41897791" w14:textId="6D968A6F">
            <w:pPr>
              <w:widowControl/>
              <w:autoSpaceDE/>
              <w:autoSpaceDN/>
              <w:jc w:val="center"/>
              <w:rPr>
                <w:i/>
                <w:iCs/>
                <w:color w:val="000000"/>
                <w:sz w:val="18"/>
                <w:szCs w:val="18"/>
              </w:rPr>
            </w:pPr>
            <w:r w:rsidRPr="006E1F14">
              <w:rPr>
                <w:i/>
                <w:iCs/>
                <w:sz w:val="18"/>
                <w:szCs w:val="18"/>
              </w:rPr>
              <w:t>(c)</w:t>
            </w:r>
          </w:p>
        </w:tc>
        <w:tc>
          <w:tcPr>
            <w:tcW w:w="990" w:type="dxa"/>
            <w:tcBorders>
              <w:top w:val="nil"/>
            </w:tcBorders>
            <w:shd w:val="clear" w:color="auto" w:fill="F2F2F2" w:themeFill="background1" w:themeFillShade="F2"/>
            <w:noWrap/>
            <w:vAlign w:val="center"/>
          </w:tcPr>
          <w:p w:rsidR="00EE231F" w:rsidRPr="006E1F14" w:rsidP="00EE231F" w14:paraId="51BCDCED" w14:textId="18C902F4">
            <w:pPr>
              <w:widowControl/>
              <w:autoSpaceDE/>
              <w:autoSpaceDN/>
              <w:jc w:val="center"/>
              <w:rPr>
                <w:i/>
                <w:iCs/>
                <w:color w:val="000000"/>
                <w:sz w:val="18"/>
                <w:szCs w:val="18"/>
              </w:rPr>
            </w:pPr>
            <w:r w:rsidRPr="006E1F14">
              <w:rPr>
                <w:i/>
                <w:iCs/>
                <w:sz w:val="18"/>
                <w:szCs w:val="18"/>
              </w:rPr>
              <w:t xml:space="preserve">(d = a x c)  </w:t>
            </w:r>
          </w:p>
        </w:tc>
        <w:tc>
          <w:tcPr>
            <w:tcW w:w="990" w:type="dxa"/>
            <w:tcBorders>
              <w:top w:val="nil"/>
            </w:tcBorders>
            <w:shd w:val="clear" w:color="auto" w:fill="F2F2F2" w:themeFill="background1" w:themeFillShade="F2"/>
            <w:noWrap/>
            <w:vAlign w:val="center"/>
          </w:tcPr>
          <w:p w:rsidR="00EE231F" w:rsidRPr="006E1F14" w:rsidP="00EE231F" w14:paraId="5574557A" w14:textId="7806A53E">
            <w:pPr>
              <w:widowControl/>
              <w:autoSpaceDE/>
              <w:autoSpaceDN/>
              <w:jc w:val="center"/>
              <w:rPr>
                <w:i/>
                <w:iCs/>
                <w:color w:val="000000"/>
                <w:sz w:val="18"/>
                <w:szCs w:val="18"/>
              </w:rPr>
            </w:pPr>
            <w:r w:rsidRPr="006E1F14">
              <w:rPr>
                <w:i/>
                <w:iCs/>
                <w:sz w:val="18"/>
                <w:szCs w:val="18"/>
              </w:rPr>
              <w:t>(e = b x d)</w:t>
            </w:r>
          </w:p>
        </w:tc>
      </w:tr>
      <w:tr w14:paraId="77F1B87B" w14:textId="77777777" w:rsidTr="00DE415A">
        <w:tblPrEx>
          <w:tblW w:w="9090" w:type="dxa"/>
          <w:tblInd w:w="85" w:type="dxa"/>
          <w:tblLayout w:type="fixed"/>
          <w:tblLook w:val="04A0"/>
        </w:tblPrEx>
        <w:trPr>
          <w:trHeight w:val="648"/>
        </w:trPr>
        <w:tc>
          <w:tcPr>
            <w:tcW w:w="3330" w:type="dxa"/>
            <w:noWrap/>
            <w:vAlign w:val="center"/>
            <w:hideMark/>
          </w:tcPr>
          <w:p w:rsidR="00A427E3" w:rsidRPr="00A427E3" w:rsidP="00A427E3" w14:paraId="20F653FD" w14:textId="22AC7179">
            <w:pPr>
              <w:widowControl/>
              <w:autoSpaceDE/>
              <w:autoSpaceDN/>
              <w:rPr>
                <w:color w:val="000000"/>
                <w:sz w:val="20"/>
                <w:szCs w:val="20"/>
              </w:rPr>
            </w:pPr>
            <w:r w:rsidRPr="00A427E3">
              <w:rPr>
                <w:sz w:val="20"/>
                <w:szCs w:val="20"/>
              </w:rPr>
              <w:t>IC-1: Notification of Significant Changes</w:t>
            </w:r>
          </w:p>
        </w:tc>
        <w:tc>
          <w:tcPr>
            <w:tcW w:w="990" w:type="dxa"/>
            <w:vAlign w:val="center"/>
          </w:tcPr>
          <w:p w:rsidR="00A427E3" w:rsidRPr="002E64AD" w:rsidP="00A427E3" w14:paraId="71662932" w14:textId="4AEEA760">
            <w:pPr>
              <w:widowControl/>
              <w:autoSpaceDE/>
              <w:autoSpaceDN/>
              <w:jc w:val="center"/>
              <w:rPr>
                <w:color w:val="000000"/>
                <w:sz w:val="16"/>
                <w:szCs w:val="16"/>
              </w:rPr>
            </w:pPr>
            <w:r w:rsidRPr="002E64AD">
              <w:rPr>
                <w:color w:val="000000"/>
                <w:sz w:val="16"/>
                <w:szCs w:val="16"/>
              </w:rPr>
              <w:t>§482.74(a)</w:t>
            </w:r>
          </w:p>
        </w:tc>
        <w:tc>
          <w:tcPr>
            <w:tcW w:w="990" w:type="dxa"/>
            <w:vAlign w:val="center"/>
            <w:hideMark/>
          </w:tcPr>
          <w:p w:rsidR="00A427E3" w:rsidRPr="00EE231F" w:rsidP="00A427E3" w14:paraId="2500C955" w14:textId="0E304BBB">
            <w:pPr>
              <w:widowControl/>
              <w:autoSpaceDE/>
              <w:autoSpaceDN/>
              <w:jc w:val="center"/>
              <w:rPr>
                <w:color w:val="000000"/>
                <w:sz w:val="20"/>
                <w:szCs w:val="20"/>
              </w:rPr>
            </w:pPr>
            <w:r w:rsidRPr="00EE231F">
              <w:rPr>
                <w:color w:val="000000"/>
                <w:sz w:val="20"/>
                <w:szCs w:val="20"/>
              </w:rPr>
              <w:t>23</w:t>
            </w:r>
            <w:r>
              <w:rPr>
                <w:color w:val="000000"/>
                <w:sz w:val="20"/>
                <w:szCs w:val="20"/>
              </w:rPr>
              <w:t>7</w:t>
            </w:r>
          </w:p>
        </w:tc>
        <w:tc>
          <w:tcPr>
            <w:tcW w:w="990" w:type="dxa"/>
            <w:vAlign w:val="center"/>
            <w:hideMark/>
          </w:tcPr>
          <w:p w:rsidR="00A427E3" w:rsidRPr="00EE231F" w:rsidP="00A427E3" w14:paraId="2A38931A" w14:textId="7D9968A6">
            <w:pPr>
              <w:widowControl/>
              <w:autoSpaceDE/>
              <w:autoSpaceDN/>
              <w:jc w:val="center"/>
              <w:rPr>
                <w:color w:val="000000"/>
                <w:sz w:val="20"/>
                <w:szCs w:val="20"/>
              </w:rPr>
            </w:pPr>
            <w:r w:rsidRPr="00EE231F">
              <w:rPr>
                <w:color w:val="000000"/>
                <w:sz w:val="20"/>
                <w:szCs w:val="20"/>
              </w:rPr>
              <w:t>$71</w:t>
            </w:r>
          </w:p>
        </w:tc>
        <w:tc>
          <w:tcPr>
            <w:tcW w:w="810" w:type="dxa"/>
            <w:vAlign w:val="center"/>
            <w:hideMark/>
          </w:tcPr>
          <w:p w:rsidR="00A427E3" w:rsidRPr="00EE231F" w:rsidP="00A427E3" w14:paraId="57702263" w14:textId="77777777">
            <w:pPr>
              <w:widowControl/>
              <w:autoSpaceDE/>
              <w:autoSpaceDN/>
              <w:jc w:val="center"/>
              <w:rPr>
                <w:color w:val="000000"/>
                <w:sz w:val="20"/>
                <w:szCs w:val="20"/>
              </w:rPr>
            </w:pPr>
            <w:r w:rsidRPr="00EE231F">
              <w:rPr>
                <w:color w:val="000000"/>
                <w:sz w:val="20"/>
                <w:szCs w:val="20"/>
              </w:rPr>
              <w:t>1</w:t>
            </w:r>
          </w:p>
        </w:tc>
        <w:tc>
          <w:tcPr>
            <w:tcW w:w="990" w:type="dxa"/>
            <w:noWrap/>
            <w:vAlign w:val="center"/>
            <w:hideMark/>
          </w:tcPr>
          <w:p w:rsidR="00A427E3" w:rsidRPr="00EE231F" w:rsidP="00A427E3" w14:paraId="03E416EC" w14:textId="7059963D">
            <w:pPr>
              <w:widowControl/>
              <w:autoSpaceDE/>
              <w:autoSpaceDN/>
              <w:jc w:val="center"/>
              <w:rPr>
                <w:color w:val="000000"/>
                <w:sz w:val="20"/>
                <w:szCs w:val="20"/>
              </w:rPr>
            </w:pPr>
            <w:r w:rsidRPr="00EE231F">
              <w:rPr>
                <w:color w:val="000000"/>
                <w:sz w:val="20"/>
                <w:szCs w:val="20"/>
              </w:rPr>
              <w:t>23</w:t>
            </w:r>
            <w:r>
              <w:rPr>
                <w:color w:val="000000"/>
                <w:sz w:val="20"/>
                <w:szCs w:val="20"/>
              </w:rPr>
              <w:t>7</w:t>
            </w:r>
          </w:p>
        </w:tc>
        <w:tc>
          <w:tcPr>
            <w:tcW w:w="990" w:type="dxa"/>
            <w:noWrap/>
            <w:vAlign w:val="center"/>
            <w:hideMark/>
          </w:tcPr>
          <w:p w:rsidR="00A427E3" w:rsidRPr="00EE231F" w:rsidP="00A427E3" w14:paraId="604FFEE0" w14:textId="71E36F72">
            <w:pPr>
              <w:widowControl/>
              <w:autoSpaceDE/>
              <w:autoSpaceDN/>
              <w:jc w:val="center"/>
              <w:rPr>
                <w:color w:val="000000"/>
                <w:sz w:val="20"/>
                <w:szCs w:val="20"/>
              </w:rPr>
            </w:pPr>
            <w:r w:rsidRPr="00EE231F">
              <w:rPr>
                <w:color w:val="000000"/>
                <w:sz w:val="20"/>
                <w:szCs w:val="20"/>
              </w:rPr>
              <w:t>$16,</w:t>
            </w:r>
            <w:r>
              <w:rPr>
                <w:color w:val="000000"/>
                <w:sz w:val="20"/>
                <w:szCs w:val="20"/>
              </w:rPr>
              <w:t>827</w:t>
            </w:r>
            <w:r w:rsidRPr="00EE231F">
              <w:rPr>
                <w:color w:val="000000"/>
                <w:sz w:val="20"/>
                <w:szCs w:val="20"/>
              </w:rPr>
              <w:t xml:space="preserve"> </w:t>
            </w:r>
          </w:p>
        </w:tc>
      </w:tr>
      <w:tr w14:paraId="6A4A785D" w14:textId="77777777" w:rsidTr="00DE415A">
        <w:tblPrEx>
          <w:tblW w:w="9090" w:type="dxa"/>
          <w:tblInd w:w="85" w:type="dxa"/>
          <w:tblLayout w:type="fixed"/>
          <w:tblLook w:val="04A0"/>
        </w:tblPrEx>
        <w:trPr>
          <w:trHeight w:val="648"/>
        </w:trPr>
        <w:tc>
          <w:tcPr>
            <w:tcW w:w="3330" w:type="dxa"/>
            <w:noWrap/>
            <w:vAlign w:val="center"/>
            <w:hideMark/>
          </w:tcPr>
          <w:p w:rsidR="00A427E3" w:rsidRPr="00A427E3" w:rsidP="00A427E3" w14:paraId="0F3F301C" w14:textId="616D063C">
            <w:pPr>
              <w:widowControl/>
              <w:autoSpaceDE/>
              <w:autoSpaceDN/>
              <w:rPr>
                <w:color w:val="000000"/>
                <w:sz w:val="20"/>
                <w:szCs w:val="20"/>
              </w:rPr>
            </w:pPr>
            <w:r w:rsidRPr="00A427E3">
              <w:rPr>
                <w:sz w:val="20"/>
                <w:szCs w:val="20"/>
              </w:rPr>
              <w:t>IC-2: Notification to Dialysis centers</w:t>
            </w:r>
          </w:p>
        </w:tc>
        <w:tc>
          <w:tcPr>
            <w:tcW w:w="990" w:type="dxa"/>
            <w:vAlign w:val="center"/>
          </w:tcPr>
          <w:p w:rsidR="00A427E3" w:rsidRPr="002E64AD" w:rsidP="00A427E3" w14:paraId="086E4251" w14:textId="4334B711">
            <w:pPr>
              <w:widowControl/>
              <w:autoSpaceDE/>
              <w:autoSpaceDN/>
              <w:jc w:val="center"/>
              <w:rPr>
                <w:color w:val="000000"/>
                <w:sz w:val="16"/>
                <w:szCs w:val="16"/>
              </w:rPr>
            </w:pPr>
            <w:r w:rsidRPr="002E64AD">
              <w:rPr>
                <w:color w:val="000000"/>
                <w:sz w:val="16"/>
                <w:szCs w:val="16"/>
              </w:rPr>
              <w:t>§§482.94(c)(1) &amp; (2)</w:t>
            </w:r>
          </w:p>
        </w:tc>
        <w:tc>
          <w:tcPr>
            <w:tcW w:w="990" w:type="dxa"/>
            <w:noWrap/>
            <w:vAlign w:val="center"/>
            <w:hideMark/>
          </w:tcPr>
          <w:p w:rsidR="00A427E3" w:rsidRPr="00EE231F" w:rsidP="00A427E3" w14:paraId="06256B88" w14:textId="50A610CB">
            <w:pPr>
              <w:widowControl/>
              <w:autoSpaceDE/>
              <w:autoSpaceDN/>
              <w:jc w:val="center"/>
              <w:rPr>
                <w:color w:val="000000"/>
                <w:sz w:val="20"/>
                <w:szCs w:val="20"/>
              </w:rPr>
            </w:pPr>
            <w:r w:rsidRPr="00EE231F">
              <w:rPr>
                <w:color w:val="000000"/>
                <w:sz w:val="20"/>
                <w:szCs w:val="20"/>
              </w:rPr>
              <w:t>23</w:t>
            </w:r>
            <w:r>
              <w:rPr>
                <w:color w:val="000000"/>
                <w:sz w:val="20"/>
                <w:szCs w:val="20"/>
              </w:rPr>
              <w:t>7</w:t>
            </w:r>
          </w:p>
        </w:tc>
        <w:tc>
          <w:tcPr>
            <w:tcW w:w="990" w:type="dxa"/>
            <w:vAlign w:val="center"/>
            <w:hideMark/>
          </w:tcPr>
          <w:p w:rsidR="00A427E3" w:rsidRPr="00EE231F" w:rsidP="00A427E3" w14:paraId="649AED36" w14:textId="50C234DC">
            <w:pPr>
              <w:widowControl/>
              <w:autoSpaceDE/>
              <w:autoSpaceDN/>
              <w:jc w:val="center"/>
              <w:rPr>
                <w:color w:val="000000"/>
                <w:sz w:val="20"/>
                <w:szCs w:val="20"/>
              </w:rPr>
            </w:pPr>
            <w:r w:rsidRPr="00EE231F">
              <w:rPr>
                <w:color w:val="000000"/>
                <w:sz w:val="20"/>
                <w:szCs w:val="20"/>
              </w:rPr>
              <w:t>$71</w:t>
            </w:r>
          </w:p>
        </w:tc>
        <w:tc>
          <w:tcPr>
            <w:tcW w:w="810" w:type="dxa"/>
            <w:vAlign w:val="center"/>
            <w:hideMark/>
          </w:tcPr>
          <w:p w:rsidR="00A427E3" w:rsidRPr="00EE231F" w:rsidP="00A427E3" w14:paraId="268B2249" w14:textId="77777777">
            <w:pPr>
              <w:widowControl/>
              <w:autoSpaceDE/>
              <w:autoSpaceDN/>
              <w:jc w:val="center"/>
              <w:rPr>
                <w:color w:val="000000"/>
                <w:sz w:val="20"/>
                <w:szCs w:val="20"/>
              </w:rPr>
            </w:pPr>
            <w:r w:rsidRPr="00EE231F">
              <w:rPr>
                <w:color w:val="000000"/>
                <w:sz w:val="20"/>
                <w:szCs w:val="20"/>
              </w:rPr>
              <w:t>1</w:t>
            </w:r>
          </w:p>
        </w:tc>
        <w:tc>
          <w:tcPr>
            <w:tcW w:w="990" w:type="dxa"/>
            <w:noWrap/>
            <w:vAlign w:val="center"/>
            <w:hideMark/>
          </w:tcPr>
          <w:p w:rsidR="00A427E3" w:rsidRPr="00EE231F" w:rsidP="00A427E3" w14:paraId="42AF130D" w14:textId="61A6BC1F">
            <w:pPr>
              <w:widowControl/>
              <w:autoSpaceDE/>
              <w:autoSpaceDN/>
              <w:jc w:val="center"/>
              <w:rPr>
                <w:color w:val="000000"/>
                <w:sz w:val="20"/>
                <w:szCs w:val="20"/>
              </w:rPr>
            </w:pPr>
            <w:r w:rsidRPr="00EE231F">
              <w:rPr>
                <w:color w:val="000000"/>
                <w:sz w:val="20"/>
                <w:szCs w:val="20"/>
              </w:rPr>
              <w:t>23</w:t>
            </w:r>
            <w:r>
              <w:rPr>
                <w:color w:val="000000"/>
                <w:sz w:val="20"/>
                <w:szCs w:val="20"/>
              </w:rPr>
              <w:t>7</w:t>
            </w:r>
          </w:p>
        </w:tc>
        <w:tc>
          <w:tcPr>
            <w:tcW w:w="990" w:type="dxa"/>
            <w:noWrap/>
            <w:vAlign w:val="center"/>
            <w:hideMark/>
          </w:tcPr>
          <w:p w:rsidR="00A427E3" w:rsidRPr="00EE231F" w:rsidP="00A427E3" w14:paraId="517AACF8" w14:textId="09DBC7B5">
            <w:pPr>
              <w:widowControl/>
              <w:autoSpaceDE/>
              <w:autoSpaceDN/>
              <w:jc w:val="center"/>
              <w:rPr>
                <w:color w:val="000000"/>
                <w:sz w:val="20"/>
                <w:szCs w:val="20"/>
              </w:rPr>
            </w:pPr>
            <w:r w:rsidRPr="00EE231F">
              <w:rPr>
                <w:color w:val="000000"/>
                <w:sz w:val="20"/>
                <w:szCs w:val="20"/>
              </w:rPr>
              <w:t>$16,</w:t>
            </w:r>
            <w:r>
              <w:rPr>
                <w:color w:val="000000"/>
                <w:sz w:val="20"/>
                <w:szCs w:val="20"/>
              </w:rPr>
              <w:t>827</w:t>
            </w:r>
            <w:r w:rsidRPr="00EE231F">
              <w:rPr>
                <w:color w:val="000000"/>
                <w:sz w:val="20"/>
                <w:szCs w:val="20"/>
              </w:rPr>
              <w:t xml:space="preserve"> </w:t>
            </w:r>
          </w:p>
        </w:tc>
      </w:tr>
      <w:tr w14:paraId="79A818D5" w14:textId="77777777" w:rsidTr="00DE415A">
        <w:tblPrEx>
          <w:tblW w:w="9090" w:type="dxa"/>
          <w:tblInd w:w="85" w:type="dxa"/>
          <w:tblLayout w:type="fixed"/>
          <w:tblLook w:val="04A0"/>
        </w:tblPrEx>
        <w:trPr>
          <w:trHeight w:val="648"/>
        </w:trPr>
        <w:tc>
          <w:tcPr>
            <w:tcW w:w="3330" w:type="dxa"/>
            <w:noWrap/>
            <w:vAlign w:val="center"/>
          </w:tcPr>
          <w:p w:rsidR="00A427E3" w:rsidRPr="00A427E3" w:rsidP="00A427E3" w14:paraId="2F1C82EF" w14:textId="29252BF0">
            <w:pPr>
              <w:widowControl/>
              <w:autoSpaceDE/>
              <w:autoSpaceDN/>
              <w:rPr>
                <w:sz w:val="20"/>
                <w:szCs w:val="20"/>
              </w:rPr>
            </w:pPr>
            <w:r w:rsidRPr="00A427E3">
              <w:rPr>
                <w:sz w:val="20"/>
                <w:szCs w:val="20"/>
              </w:rPr>
              <w:t>IC-3: Draft Agreement Between Transplant Program and OPO</w:t>
            </w:r>
          </w:p>
        </w:tc>
        <w:tc>
          <w:tcPr>
            <w:tcW w:w="990" w:type="dxa"/>
            <w:vAlign w:val="center"/>
          </w:tcPr>
          <w:p w:rsidR="00A427E3" w:rsidRPr="002E64AD" w:rsidP="00A427E3" w14:paraId="73D7E8B5" w14:textId="542E781A">
            <w:pPr>
              <w:widowControl/>
              <w:autoSpaceDE/>
              <w:autoSpaceDN/>
              <w:jc w:val="center"/>
              <w:rPr>
                <w:sz w:val="16"/>
                <w:szCs w:val="16"/>
              </w:rPr>
            </w:pPr>
            <w:r w:rsidRPr="002E64AD">
              <w:rPr>
                <w:sz w:val="16"/>
                <w:szCs w:val="16"/>
              </w:rPr>
              <w:t>§482.100</w:t>
            </w:r>
          </w:p>
        </w:tc>
        <w:tc>
          <w:tcPr>
            <w:tcW w:w="990" w:type="dxa"/>
            <w:noWrap/>
            <w:vAlign w:val="center"/>
          </w:tcPr>
          <w:p w:rsidR="00A427E3" w:rsidRPr="00EE231F" w:rsidP="00A427E3" w14:paraId="3D076F73" w14:textId="15C256C3">
            <w:pPr>
              <w:widowControl/>
              <w:autoSpaceDE/>
              <w:autoSpaceDN/>
              <w:jc w:val="center"/>
              <w:rPr>
                <w:color w:val="000000"/>
                <w:sz w:val="20"/>
                <w:szCs w:val="20"/>
              </w:rPr>
            </w:pPr>
            <w:r w:rsidRPr="00EE231F">
              <w:rPr>
                <w:sz w:val="20"/>
                <w:szCs w:val="20"/>
              </w:rPr>
              <w:t>2</w:t>
            </w:r>
          </w:p>
        </w:tc>
        <w:tc>
          <w:tcPr>
            <w:tcW w:w="990" w:type="dxa"/>
            <w:vAlign w:val="center"/>
          </w:tcPr>
          <w:p w:rsidR="00A427E3" w:rsidRPr="00EE231F" w:rsidP="00A427E3" w14:paraId="614B66D1" w14:textId="5B873E18">
            <w:pPr>
              <w:widowControl/>
              <w:autoSpaceDE/>
              <w:autoSpaceDN/>
              <w:jc w:val="center"/>
              <w:rPr>
                <w:color w:val="000000"/>
                <w:sz w:val="20"/>
                <w:szCs w:val="20"/>
              </w:rPr>
            </w:pPr>
            <w:r w:rsidRPr="00EE231F">
              <w:rPr>
                <w:sz w:val="20"/>
                <w:szCs w:val="20"/>
              </w:rPr>
              <w:t>$71</w:t>
            </w:r>
          </w:p>
        </w:tc>
        <w:tc>
          <w:tcPr>
            <w:tcW w:w="810" w:type="dxa"/>
            <w:vAlign w:val="center"/>
          </w:tcPr>
          <w:p w:rsidR="00A427E3" w:rsidRPr="00EE231F" w:rsidP="00A427E3" w14:paraId="24B44A2D" w14:textId="6E6614F4">
            <w:pPr>
              <w:widowControl/>
              <w:autoSpaceDE/>
              <w:autoSpaceDN/>
              <w:jc w:val="center"/>
              <w:rPr>
                <w:color w:val="000000"/>
                <w:sz w:val="20"/>
                <w:szCs w:val="20"/>
              </w:rPr>
            </w:pPr>
            <w:r w:rsidRPr="00EE231F">
              <w:rPr>
                <w:sz w:val="20"/>
                <w:szCs w:val="20"/>
              </w:rPr>
              <w:t>4</w:t>
            </w:r>
          </w:p>
        </w:tc>
        <w:tc>
          <w:tcPr>
            <w:tcW w:w="990" w:type="dxa"/>
            <w:noWrap/>
            <w:vAlign w:val="center"/>
          </w:tcPr>
          <w:p w:rsidR="00A427E3" w:rsidRPr="00EE231F" w:rsidP="00A427E3" w14:paraId="338E698E" w14:textId="5D3EC69B">
            <w:pPr>
              <w:widowControl/>
              <w:autoSpaceDE/>
              <w:autoSpaceDN/>
              <w:jc w:val="center"/>
              <w:rPr>
                <w:color w:val="000000"/>
                <w:sz w:val="20"/>
                <w:szCs w:val="20"/>
              </w:rPr>
            </w:pPr>
            <w:r w:rsidRPr="00EE231F">
              <w:rPr>
                <w:sz w:val="20"/>
                <w:szCs w:val="20"/>
              </w:rPr>
              <w:t>8</w:t>
            </w:r>
          </w:p>
        </w:tc>
        <w:tc>
          <w:tcPr>
            <w:tcW w:w="990" w:type="dxa"/>
            <w:noWrap/>
            <w:vAlign w:val="center"/>
          </w:tcPr>
          <w:p w:rsidR="00A427E3" w:rsidRPr="00EE231F" w:rsidP="00A427E3" w14:paraId="797431D1" w14:textId="4C560CC9">
            <w:pPr>
              <w:widowControl/>
              <w:autoSpaceDE/>
              <w:autoSpaceDN/>
              <w:jc w:val="center"/>
              <w:rPr>
                <w:color w:val="000000"/>
                <w:sz w:val="20"/>
                <w:szCs w:val="20"/>
              </w:rPr>
            </w:pPr>
            <w:r w:rsidRPr="00EE231F">
              <w:rPr>
                <w:sz w:val="20"/>
                <w:szCs w:val="20"/>
              </w:rPr>
              <w:t xml:space="preserve">$568 </w:t>
            </w:r>
          </w:p>
        </w:tc>
      </w:tr>
      <w:tr w14:paraId="776825FC" w14:textId="77777777" w:rsidTr="00DE415A">
        <w:tblPrEx>
          <w:tblW w:w="9090" w:type="dxa"/>
          <w:tblInd w:w="85" w:type="dxa"/>
          <w:tblLayout w:type="fixed"/>
          <w:tblLook w:val="04A0"/>
        </w:tblPrEx>
        <w:trPr>
          <w:trHeight w:val="648"/>
        </w:trPr>
        <w:tc>
          <w:tcPr>
            <w:tcW w:w="3330" w:type="dxa"/>
            <w:shd w:val="clear" w:color="auto" w:fill="F2F2F2" w:themeFill="background1" w:themeFillShade="F2"/>
            <w:noWrap/>
            <w:vAlign w:val="center"/>
          </w:tcPr>
          <w:p w:rsidR="00C07317" w:rsidRPr="00EE231F" w:rsidP="00C07317" w14:paraId="18E49FE2" w14:textId="6F963AF1">
            <w:pPr>
              <w:widowControl/>
              <w:autoSpaceDE/>
              <w:autoSpaceDN/>
              <w:rPr>
                <w:b/>
                <w:bCs/>
                <w:color w:val="000000"/>
                <w:sz w:val="20"/>
                <w:szCs w:val="20"/>
              </w:rPr>
            </w:pPr>
            <w:r>
              <w:rPr>
                <w:b/>
                <w:bCs/>
                <w:color w:val="000000"/>
                <w:sz w:val="20"/>
                <w:szCs w:val="20"/>
              </w:rPr>
              <w:t>Burden Hours and Costs for Federal Government</w:t>
            </w:r>
          </w:p>
        </w:tc>
        <w:tc>
          <w:tcPr>
            <w:tcW w:w="990" w:type="dxa"/>
            <w:shd w:val="clear" w:color="auto" w:fill="F2F2F2" w:themeFill="background1" w:themeFillShade="F2"/>
            <w:vAlign w:val="center"/>
          </w:tcPr>
          <w:p w:rsidR="00C07317" w:rsidRPr="00EE231F" w:rsidP="00C07317" w14:paraId="65A406D5" w14:textId="6622F75C">
            <w:pPr>
              <w:widowControl/>
              <w:autoSpaceDE/>
              <w:autoSpaceDN/>
              <w:jc w:val="center"/>
              <w:rPr>
                <w:color w:val="000000"/>
                <w:sz w:val="20"/>
                <w:szCs w:val="20"/>
              </w:rPr>
            </w:pPr>
            <w:r w:rsidRPr="00EE231F">
              <w:rPr>
                <w:color w:val="000000"/>
                <w:sz w:val="20"/>
                <w:szCs w:val="20"/>
              </w:rPr>
              <w:t>-</w:t>
            </w:r>
          </w:p>
        </w:tc>
        <w:tc>
          <w:tcPr>
            <w:tcW w:w="990" w:type="dxa"/>
            <w:shd w:val="clear" w:color="auto" w:fill="F2F2F2" w:themeFill="background1" w:themeFillShade="F2"/>
            <w:noWrap/>
            <w:vAlign w:val="center"/>
          </w:tcPr>
          <w:p w:rsidR="00C07317" w:rsidRPr="00EE231F" w:rsidP="00C07317" w14:paraId="15D65FD2" w14:textId="7127CAC6">
            <w:pPr>
              <w:widowControl/>
              <w:autoSpaceDE/>
              <w:autoSpaceDN/>
              <w:jc w:val="center"/>
              <w:rPr>
                <w:b/>
                <w:bCs/>
                <w:color w:val="000000"/>
                <w:sz w:val="20"/>
                <w:szCs w:val="20"/>
              </w:rPr>
            </w:pPr>
            <w:r w:rsidRPr="00EE231F">
              <w:rPr>
                <w:b/>
                <w:bCs/>
                <w:color w:val="000000"/>
                <w:sz w:val="20"/>
                <w:szCs w:val="20"/>
              </w:rPr>
              <w:t>47</w:t>
            </w:r>
            <w:r w:rsidR="002E64AD">
              <w:rPr>
                <w:b/>
                <w:bCs/>
                <w:color w:val="000000"/>
                <w:sz w:val="20"/>
                <w:szCs w:val="20"/>
              </w:rPr>
              <w:t>6</w:t>
            </w:r>
          </w:p>
        </w:tc>
        <w:tc>
          <w:tcPr>
            <w:tcW w:w="990" w:type="dxa"/>
            <w:shd w:val="clear" w:color="auto" w:fill="F2F2F2" w:themeFill="background1" w:themeFillShade="F2"/>
            <w:vAlign w:val="center"/>
          </w:tcPr>
          <w:p w:rsidR="00C07317" w:rsidRPr="00EE231F" w:rsidP="00C07317" w14:paraId="5C26B00A" w14:textId="52E80412">
            <w:pPr>
              <w:widowControl/>
              <w:autoSpaceDE/>
              <w:autoSpaceDN/>
              <w:jc w:val="center"/>
              <w:rPr>
                <w:b/>
                <w:bCs/>
                <w:color w:val="000000"/>
                <w:sz w:val="20"/>
                <w:szCs w:val="20"/>
              </w:rPr>
            </w:pPr>
            <w:r w:rsidRPr="00EE231F">
              <w:rPr>
                <w:b/>
                <w:bCs/>
                <w:color w:val="000000"/>
                <w:sz w:val="20"/>
                <w:szCs w:val="20"/>
              </w:rPr>
              <w:t>-</w:t>
            </w:r>
          </w:p>
        </w:tc>
        <w:tc>
          <w:tcPr>
            <w:tcW w:w="810" w:type="dxa"/>
            <w:shd w:val="clear" w:color="auto" w:fill="F2F2F2" w:themeFill="background1" w:themeFillShade="F2"/>
            <w:vAlign w:val="center"/>
          </w:tcPr>
          <w:p w:rsidR="00C07317" w:rsidRPr="00EE231F" w:rsidP="00C07317" w14:paraId="533C44AD" w14:textId="02514D71">
            <w:pPr>
              <w:widowControl/>
              <w:autoSpaceDE/>
              <w:autoSpaceDN/>
              <w:jc w:val="center"/>
              <w:rPr>
                <w:b/>
                <w:bCs/>
                <w:color w:val="000000"/>
                <w:sz w:val="20"/>
                <w:szCs w:val="20"/>
              </w:rPr>
            </w:pPr>
            <w:r>
              <w:rPr>
                <w:b/>
                <w:bCs/>
                <w:color w:val="000000"/>
                <w:sz w:val="20"/>
                <w:szCs w:val="20"/>
              </w:rPr>
              <w:t>6</w:t>
            </w:r>
          </w:p>
        </w:tc>
        <w:tc>
          <w:tcPr>
            <w:tcW w:w="990" w:type="dxa"/>
            <w:shd w:val="clear" w:color="auto" w:fill="F2F2F2" w:themeFill="background1" w:themeFillShade="F2"/>
            <w:noWrap/>
            <w:vAlign w:val="center"/>
          </w:tcPr>
          <w:p w:rsidR="00C07317" w:rsidRPr="00EE231F" w:rsidP="00C07317" w14:paraId="4A2380E8" w14:textId="5FEC9E05">
            <w:pPr>
              <w:widowControl/>
              <w:autoSpaceDE/>
              <w:autoSpaceDN/>
              <w:jc w:val="center"/>
              <w:rPr>
                <w:b/>
                <w:bCs/>
                <w:color w:val="000000"/>
                <w:sz w:val="20"/>
                <w:szCs w:val="20"/>
              </w:rPr>
            </w:pPr>
            <w:r>
              <w:rPr>
                <w:b/>
                <w:bCs/>
                <w:color w:val="000000"/>
                <w:sz w:val="20"/>
                <w:szCs w:val="20"/>
              </w:rPr>
              <w:t>482</w:t>
            </w:r>
          </w:p>
        </w:tc>
        <w:tc>
          <w:tcPr>
            <w:tcW w:w="990" w:type="dxa"/>
            <w:shd w:val="clear" w:color="auto" w:fill="F2F2F2" w:themeFill="background1" w:themeFillShade="F2"/>
            <w:noWrap/>
            <w:vAlign w:val="center"/>
          </w:tcPr>
          <w:p w:rsidR="00C07317" w:rsidRPr="00EE231F" w:rsidP="00C07317" w14:paraId="4F1518E0" w14:textId="442C7761">
            <w:pPr>
              <w:widowControl/>
              <w:autoSpaceDE/>
              <w:autoSpaceDN/>
              <w:jc w:val="center"/>
              <w:rPr>
                <w:color w:val="000000"/>
                <w:sz w:val="20"/>
                <w:szCs w:val="20"/>
              </w:rPr>
            </w:pPr>
            <w:r w:rsidRPr="00EE231F">
              <w:rPr>
                <w:b/>
                <w:bCs/>
                <w:color w:val="000000"/>
                <w:sz w:val="20"/>
                <w:szCs w:val="20"/>
              </w:rPr>
              <w:t>$3</w:t>
            </w:r>
            <w:r w:rsidR="002E64AD">
              <w:rPr>
                <w:b/>
                <w:bCs/>
                <w:color w:val="000000"/>
                <w:sz w:val="20"/>
                <w:szCs w:val="20"/>
              </w:rPr>
              <w:t>4</w:t>
            </w:r>
            <w:r w:rsidRPr="00EE231F">
              <w:rPr>
                <w:b/>
                <w:bCs/>
                <w:color w:val="000000"/>
                <w:sz w:val="20"/>
                <w:szCs w:val="20"/>
              </w:rPr>
              <w:t>,</w:t>
            </w:r>
            <w:r w:rsidR="002E64AD">
              <w:rPr>
                <w:b/>
                <w:bCs/>
                <w:color w:val="000000"/>
                <w:sz w:val="20"/>
                <w:szCs w:val="20"/>
              </w:rPr>
              <w:t>222</w:t>
            </w:r>
          </w:p>
        </w:tc>
      </w:tr>
    </w:tbl>
    <w:p w:rsidR="00F62FD1" w:rsidRPr="00414E6F" w:rsidP="007742CD" w14:paraId="12884D67" w14:textId="77777777">
      <w:pPr>
        <w:pStyle w:val="BodyText"/>
        <w:ind w:left="450" w:right="91"/>
      </w:pPr>
    </w:p>
    <w:p w:rsidR="00C63703" w:rsidRPr="00414E6F" w:rsidP="00414E6F" w14:paraId="35A2C182" w14:textId="77777777">
      <w:pPr>
        <w:pStyle w:val="Heading2"/>
        <w:rPr>
          <w:szCs w:val="24"/>
        </w:rPr>
      </w:pPr>
      <w:bookmarkStart w:id="32" w:name="15._Changes_to_Burden"/>
      <w:bookmarkEnd w:id="32"/>
      <w:r w:rsidRPr="003A5E98">
        <w:t>Changes to</w:t>
      </w:r>
      <w:r w:rsidRPr="003A5E98">
        <w:rPr>
          <w:spacing w:val="3"/>
        </w:rPr>
        <w:t xml:space="preserve"> </w:t>
      </w:r>
      <w:r w:rsidRPr="00414E6F">
        <w:rPr>
          <w:szCs w:val="24"/>
        </w:rPr>
        <w:t>Burden</w:t>
      </w:r>
    </w:p>
    <w:p w:rsidR="00C63703" w:rsidRPr="00414E6F" w:rsidP="00414E6F" w14:paraId="3FE6604F" w14:textId="2A631F9F">
      <w:pPr>
        <w:pStyle w:val="BodyText"/>
        <w:tabs>
          <w:tab w:val="left" w:pos="1845"/>
        </w:tabs>
      </w:pPr>
      <w:r w:rsidRPr="00414E6F">
        <w:tab/>
      </w:r>
    </w:p>
    <w:p w:rsidR="008B6BAC" w:rsidP="00414E6F" w14:paraId="2E1AB747" w14:textId="3768FE12">
      <w:pPr>
        <w:pStyle w:val="BodyText"/>
        <w:ind w:left="450" w:right="91"/>
      </w:pPr>
      <w:r w:rsidRPr="00414E6F">
        <w:t>As shown in</w:t>
      </w:r>
      <w:r w:rsidRPr="00414E6F" w:rsidR="00310AE3">
        <w:t xml:space="preserve"> Table </w:t>
      </w:r>
      <w:r w:rsidRPr="00414E6F" w:rsidR="006B4D55">
        <w:t>1</w:t>
      </w:r>
      <w:r w:rsidRPr="00414E6F" w:rsidR="005C388C">
        <w:t>1</w:t>
      </w:r>
      <w:r w:rsidRPr="00414E6F" w:rsidR="00310AE3">
        <w:t xml:space="preserve"> above, t</w:t>
      </w:r>
      <w:r w:rsidRPr="00414E6F">
        <w:t>he</w:t>
      </w:r>
      <w:r w:rsidRPr="00414E6F">
        <w:t xml:space="preserve"> estimated</w:t>
      </w:r>
      <w:r w:rsidRPr="00414E6F">
        <w:t xml:space="preserve"> annual burden hours to </w:t>
      </w:r>
      <w:r w:rsidRPr="00414E6F">
        <w:t xml:space="preserve">the </w:t>
      </w:r>
      <w:r w:rsidRPr="00414E6F">
        <w:t xml:space="preserve">industry </w:t>
      </w:r>
      <w:r w:rsidRPr="00414E6F" w:rsidR="00D74408">
        <w:t>increased</w:t>
      </w:r>
      <w:r w:rsidRPr="00414E6F">
        <w:t xml:space="preserve"> from </w:t>
      </w:r>
      <w:r w:rsidRPr="00414E6F" w:rsidR="00D74408">
        <w:t>2,593</w:t>
      </w:r>
      <w:r w:rsidRPr="00414E6F">
        <w:t xml:space="preserve"> to </w:t>
      </w:r>
      <w:r w:rsidRPr="00414E6F" w:rsidR="00D74408">
        <w:t>3,</w:t>
      </w:r>
      <w:r w:rsidRPr="00414E6F" w:rsidR="00935852">
        <w:t>3</w:t>
      </w:r>
      <w:r w:rsidRPr="00414E6F" w:rsidR="008559A1">
        <w:t>40</w:t>
      </w:r>
      <w:r w:rsidRPr="00414E6F" w:rsidR="002B58CA">
        <w:t>, a</w:t>
      </w:r>
      <w:r w:rsidRPr="00414E6F">
        <w:t>n increase</w:t>
      </w:r>
      <w:r>
        <w:t xml:space="preserve"> of</w:t>
      </w:r>
      <w:r w:rsidRPr="0073506B" w:rsidR="002B58CA">
        <w:t xml:space="preserve"> </w:t>
      </w:r>
      <w:r w:rsidR="008559A1">
        <w:t>29</w:t>
      </w:r>
      <w:r w:rsidRPr="0073506B" w:rsidR="002B58CA">
        <w:t>%</w:t>
      </w:r>
      <w:r>
        <w:t>. T</w:t>
      </w:r>
      <w:r w:rsidR="00D74408">
        <w:t>he annual cost increased from $1</w:t>
      </w:r>
      <w:r w:rsidR="005E63BE">
        <w:t>81,130</w:t>
      </w:r>
      <w:r w:rsidR="00D74408">
        <w:t xml:space="preserve"> </w:t>
      </w:r>
      <w:r w:rsidRPr="000D3AF9" w:rsidR="00D74408">
        <w:t xml:space="preserve">to </w:t>
      </w:r>
      <w:r w:rsidRPr="0073506B" w:rsidR="00D74408">
        <w:t>$3</w:t>
      </w:r>
      <w:r w:rsidRPr="000D3AF9" w:rsidR="006B4D55">
        <w:t>5</w:t>
      </w:r>
      <w:r w:rsidR="005B102E">
        <w:t>2,462</w:t>
      </w:r>
      <w:r w:rsidRPr="000D3AF9" w:rsidR="002B58CA">
        <w:t>, a</w:t>
      </w:r>
      <w:r w:rsidR="005B102E">
        <w:t xml:space="preserve"> </w:t>
      </w:r>
      <w:r w:rsidR="005E63BE">
        <w:t>95</w:t>
      </w:r>
      <w:r w:rsidRPr="000D3AF9" w:rsidR="002B58CA">
        <w:t>% increase</w:t>
      </w:r>
      <w:r w:rsidRPr="000D3AF9" w:rsidR="00D74408">
        <w:t>.</w:t>
      </w:r>
    </w:p>
    <w:p w:rsidR="00D74408" w:rsidP="007742CD" w14:paraId="6CA45CC9" w14:textId="77777777">
      <w:pPr>
        <w:pStyle w:val="BodyText"/>
        <w:ind w:left="450" w:right="91"/>
      </w:pPr>
    </w:p>
    <w:p w:rsidR="004A570F" w:rsidP="007742CD" w14:paraId="215D0529" w14:textId="73805645">
      <w:pPr>
        <w:pStyle w:val="BodyText"/>
        <w:ind w:left="450" w:right="91"/>
      </w:pPr>
      <w:r w:rsidRPr="0073506B">
        <w:t>The</w:t>
      </w:r>
      <w:r w:rsidRPr="0073506B" w:rsidR="00B8511E">
        <w:t xml:space="preserve"> </w:t>
      </w:r>
      <w:r w:rsidR="005B102E">
        <w:t>29</w:t>
      </w:r>
      <w:r w:rsidRPr="0073506B" w:rsidR="002B58CA">
        <w:t>%</w:t>
      </w:r>
      <w:r w:rsidRPr="000D3AF9" w:rsidR="002B58CA">
        <w:t xml:space="preserve"> </w:t>
      </w:r>
      <w:r w:rsidRPr="000D3AF9">
        <w:t>increase in</w:t>
      </w:r>
      <w:r>
        <w:t xml:space="preserve"> </w:t>
      </w:r>
      <w:r w:rsidR="000D3AF9">
        <w:t xml:space="preserve">burden </w:t>
      </w:r>
      <w:r>
        <w:t xml:space="preserve">hours is </w:t>
      </w:r>
      <w:r w:rsidR="00B8511E">
        <w:t>primarily due to</w:t>
      </w:r>
      <w:r>
        <w:t>:</w:t>
      </w:r>
    </w:p>
    <w:p w:rsidR="004A570F" w:rsidP="007742CD" w14:paraId="61837A01" w14:textId="7424FDDC">
      <w:pPr>
        <w:pStyle w:val="BodyText"/>
        <w:numPr>
          <w:ilvl w:val="0"/>
          <w:numId w:val="8"/>
        </w:numPr>
        <w:ind w:right="91"/>
      </w:pPr>
      <w:r>
        <w:t xml:space="preserve">the </w:t>
      </w:r>
      <w:r w:rsidR="000D3AF9">
        <w:t>inclusion of</w:t>
      </w:r>
      <w:r w:rsidR="006B4D55">
        <w:t xml:space="preserve"> IC-3 </w:t>
      </w:r>
      <w:r w:rsidR="00C155E4">
        <w:t>(</w:t>
      </w:r>
      <w:r w:rsidR="006E1F14">
        <w:t>the o</w:t>
      </w:r>
      <w:r w:rsidR="005B102E">
        <w:t>ne-time b</w:t>
      </w:r>
      <w:r w:rsidR="00C155E4">
        <w:t>urden for newly certified transplant programs to draft agreement with designated OPO</w:t>
      </w:r>
      <w:r w:rsidR="005B102E">
        <w:t>)</w:t>
      </w:r>
      <w:r w:rsidR="000D3AF9">
        <w:t>,</w:t>
      </w:r>
      <w:r w:rsidR="006B4D55">
        <w:t xml:space="preserve"> which </w:t>
      </w:r>
      <w:r w:rsidR="005B102E">
        <w:t xml:space="preserve">is an </w:t>
      </w:r>
      <w:r w:rsidR="00C155E4">
        <w:t>existing</w:t>
      </w:r>
      <w:r w:rsidR="000D3AF9">
        <w:t xml:space="preserve"> regulatory</w:t>
      </w:r>
      <w:r w:rsidR="006B4D55">
        <w:t xml:space="preserve"> requirement </w:t>
      </w:r>
      <w:r w:rsidR="000D3AF9">
        <w:t>but w</w:t>
      </w:r>
      <w:r w:rsidR="005B102E">
        <w:t xml:space="preserve">as </w:t>
      </w:r>
      <w:r w:rsidR="000D3AF9">
        <w:t xml:space="preserve">inadvertently omitted in the previous </w:t>
      </w:r>
      <w:r w:rsidR="000D3AF9">
        <w:t>submission</w:t>
      </w:r>
      <w:r>
        <w:t>;</w:t>
      </w:r>
    </w:p>
    <w:p w:rsidR="000C4C46" w:rsidP="007742CD" w14:paraId="4183C154" w14:textId="1A997721">
      <w:pPr>
        <w:pStyle w:val="BodyText"/>
        <w:numPr>
          <w:ilvl w:val="0"/>
          <w:numId w:val="8"/>
        </w:numPr>
        <w:ind w:right="91"/>
      </w:pPr>
      <w:r>
        <w:t>the addition of</w:t>
      </w:r>
      <w:r w:rsidR="006B3715">
        <w:t xml:space="preserve"> </w:t>
      </w:r>
      <w:r>
        <w:t>Transplant Coordinator’s staff time and cost to prepare each notification (0.75 hours)</w:t>
      </w:r>
      <w:r w:rsidR="00973946">
        <w:t>. In the prior submission, although this staff member was included among those staff required to prepare each notification</w:t>
      </w:r>
      <w:r>
        <w:t xml:space="preserve">, </w:t>
      </w:r>
      <w:r w:rsidR="00973946">
        <w:t xml:space="preserve">this position’s hours and cost </w:t>
      </w:r>
      <w:r>
        <w:t>w</w:t>
      </w:r>
      <w:r w:rsidR="00973946">
        <w:t>ere</w:t>
      </w:r>
      <w:r>
        <w:t xml:space="preserve"> </w:t>
      </w:r>
      <w:r w:rsidR="00190B22">
        <w:t>uninten</w:t>
      </w:r>
      <w:r w:rsidR="00A7165B">
        <w:t>tionally</w:t>
      </w:r>
      <w:r w:rsidR="00E63883">
        <w:t xml:space="preserve"> </w:t>
      </w:r>
      <w:r w:rsidR="00973946">
        <w:t>omitted</w:t>
      </w:r>
      <w:r w:rsidR="00E63883">
        <w:t xml:space="preserve"> </w:t>
      </w:r>
      <w:r>
        <w:t xml:space="preserve">in the </w:t>
      </w:r>
      <w:r w:rsidR="00A7165B">
        <w:t xml:space="preserve">burden </w:t>
      </w:r>
      <w:r w:rsidR="006B3715">
        <w:t>calculation</w:t>
      </w:r>
      <w:r w:rsidR="00973946">
        <w:t xml:space="preserve"> for IC-1.</w:t>
      </w:r>
    </w:p>
    <w:p w:rsidR="00D74408" w:rsidRPr="000C4C46" w:rsidP="007742CD" w14:paraId="0738C04A" w14:textId="622E5591">
      <w:pPr>
        <w:pStyle w:val="BodyText"/>
        <w:numPr>
          <w:ilvl w:val="0"/>
          <w:numId w:val="8"/>
        </w:numPr>
        <w:ind w:right="91"/>
      </w:pPr>
      <w:r w:rsidRPr="000C4C46">
        <w:t xml:space="preserve">a change in the estimated number of notifications required per year which increased the burden hours </w:t>
      </w:r>
      <w:r w:rsidRPr="000C4C46" w:rsidR="006B4D55">
        <w:t xml:space="preserve">for IC-1. </w:t>
      </w:r>
      <w:r w:rsidRPr="000C4C46" w:rsidR="00E63883">
        <w:t xml:space="preserve">Specifically, </w:t>
      </w:r>
      <w:r w:rsidRPr="000C4C46" w:rsidR="00A7165B">
        <w:t>t</w:t>
      </w:r>
      <w:r w:rsidRPr="000C4C46" w:rsidR="006B4D55">
        <w:t xml:space="preserve">he </w:t>
      </w:r>
      <w:r w:rsidRPr="000C4C46" w:rsidR="00310AE3">
        <w:t>burden</w:t>
      </w:r>
      <w:r w:rsidRPr="000C4C46" w:rsidR="00A7165B">
        <w:t xml:space="preserve"> for</w:t>
      </w:r>
      <w:r w:rsidRPr="000C4C46" w:rsidR="00310AE3">
        <w:t xml:space="preserve"> </w:t>
      </w:r>
      <w:r w:rsidRPr="000C4C46" w:rsidR="005E63BE">
        <w:t xml:space="preserve">submitting </w:t>
      </w:r>
      <w:r w:rsidRPr="000C4C46" w:rsidR="00782240">
        <w:t>two</w:t>
      </w:r>
      <w:r w:rsidRPr="000C4C46" w:rsidR="00310AE3">
        <w:t xml:space="preserve"> </w:t>
      </w:r>
      <w:r w:rsidRPr="000C4C46">
        <w:t>notification</w:t>
      </w:r>
      <w:r w:rsidRPr="000C4C46" w:rsidR="00310AE3">
        <w:t>s</w:t>
      </w:r>
      <w:r w:rsidRPr="000C4C46">
        <w:t xml:space="preserve"> </w:t>
      </w:r>
      <w:r w:rsidRPr="000C4C46" w:rsidR="006B4D55">
        <w:t xml:space="preserve">of significant changes </w:t>
      </w:r>
      <w:r w:rsidRPr="000C4C46">
        <w:t xml:space="preserve">per year </w:t>
      </w:r>
      <w:r w:rsidRPr="000C4C46" w:rsidR="009A6909">
        <w:t xml:space="preserve">per transplant program </w:t>
      </w:r>
      <w:r w:rsidRPr="000C4C46" w:rsidR="006B4D55">
        <w:t>was</w:t>
      </w:r>
      <w:r w:rsidRPr="000C4C46" w:rsidR="00310AE3">
        <w:t xml:space="preserve"> </w:t>
      </w:r>
      <w:r w:rsidRPr="000C4C46" w:rsidR="005E63BE">
        <w:t xml:space="preserve">previously estimated to be </w:t>
      </w:r>
      <w:r w:rsidRPr="000C4C46" w:rsidR="009A6909">
        <w:t xml:space="preserve">a total of </w:t>
      </w:r>
      <w:r w:rsidRPr="000C4C46" w:rsidR="005E63BE">
        <w:t>165 per year</w:t>
      </w:r>
      <w:r w:rsidRPr="000C4C46" w:rsidR="00175CCC">
        <w:t xml:space="preserve"> </w:t>
      </w:r>
      <w:r w:rsidRPr="000C4C46" w:rsidR="005E63BE">
        <w:t xml:space="preserve">for </w:t>
      </w:r>
      <w:r w:rsidRPr="000C4C46" w:rsidR="009A6909">
        <w:t>all</w:t>
      </w:r>
      <w:r w:rsidRPr="000C4C46" w:rsidR="005E63BE">
        <w:t xml:space="preserve"> 689 transplant programs </w:t>
      </w:r>
      <w:r w:rsidRPr="000C4C46" w:rsidR="009A6909">
        <w:t>certified at t</w:t>
      </w:r>
      <w:r w:rsidRPr="000C4C46" w:rsidR="005E63BE">
        <w:t>hat time.</w:t>
      </w:r>
      <w:r w:rsidRPr="000C4C46" w:rsidR="009A6909">
        <w:t xml:space="preserve"> In this submission, we applied the original burden assumption for IC-1 that each currently certified transplant program would  submit two (2) notifications of significant changes per year which </w:t>
      </w:r>
      <w:r w:rsidRPr="000C4C46" w:rsidR="00175CCC">
        <w:t xml:space="preserve">increased </w:t>
      </w:r>
      <w:r w:rsidRPr="000C4C46" w:rsidR="009A6909">
        <w:t xml:space="preserve">the </w:t>
      </w:r>
      <w:r w:rsidR="00973946">
        <w:t xml:space="preserve">total </w:t>
      </w:r>
      <w:r w:rsidRPr="000C4C46" w:rsidR="009A6909">
        <w:t xml:space="preserve">number of notifications per year </w:t>
      </w:r>
      <w:r w:rsidR="00973946">
        <w:t xml:space="preserve">for the industry </w:t>
      </w:r>
      <w:r w:rsidRPr="000C4C46" w:rsidR="009A6909">
        <w:t>t</w:t>
      </w:r>
      <w:r w:rsidRPr="000C4C46" w:rsidR="006B4D55">
        <w:t>o</w:t>
      </w:r>
      <w:r w:rsidRPr="000C4C46" w:rsidR="00B73F89">
        <w:t xml:space="preserve"> 474 (237 transplant programs x 2 notifications/program)</w:t>
      </w:r>
      <w:r w:rsidR="00973946">
        <w:t>, and thus increased</w:t>
      </w:r>
      <w:r w:rsidRPr="000C4C46" w:rsidR="00B73F89">
        <w:t xml:space="preserve"> the associated </w:t>
      </w:r>
      <w:r w:rsidR="000C4C46">
        <w:t xml:space="preserve">annual </w:t>
      </w:r>
      <w:r w:rsidRPr="000C4C46" w:rsidR="00B73F89">
        <w:t xml:space="preserve">burden </w:t>
      </w:r>
      <w:r w:rsidR="00973946">
        <w:t xml:space="preserve">to the industry </w:t>
      </w:r>
      <w:r w:rsidR="000C4C46">
        <w:t>from 206 hours to 948 hours</w:t>
      </w:r>
      <w:r w:rsidRPr="000C4C46" w:rsidR="006B4D55">
        <w:t>.</w:t>
      </w:r>
      <w:r w:rsidRPr="000C4C46">
        <w:t xml:space="preserve"> </w:t>
      </w:r>
    </w:p>
    <w:p w:rsidR="00B8511E" w:rsidP="007742CD" w14:paraId="5697F2B8" w14:textId="77777777">
      <w:pPr>
        <w:pStyle w:val="BodyText"/>
        <w:ind w:left="450" w:right="91"/>
      </w:pPr>
    </w:p>
    <w:p w:rsidR="00DE415A" w:rsidP="00414E6F" w14:paraId="6EB9ABF3" w14:textId="32ECCAB1">
      <w:pPr>
        <w:pStyle w:val="BodyText"/>
        <w:ind w:left="450" w:right="91"/>
      </w:pPr>
      <w:r>
        <w:t>The</w:t>
      </w:r>
      <w:r w:rsidR="006B3715">
        <w:t xml:space="preserve"> </w:t>
      </w:r>
      <w:r w:rsidR="005E63BE">
        <w:t>95</w:t>
      </w:r>
      <w:r w:rsidR="006B3715">
        <w:t>%</w:t>
      </w:r>
      <w:r w:rsidR="00A7165B">
        <w:t xml:space="preserve"> increase in</w:t>
      </w:r>
      <w:r>
        <w:t xml:space="preserve"> annual costs </w:t>
      </w:r>
      <w:r w:rsidR="00E63883">
        <w:t>is</w:t>
      </w:r>
      <w:r>
        <w:t xml:space="preserve"> </w:t>
      </w:r>
      <w:r w:rsidR="003D3D50">
        <w:t xml:space="preserve">primarily </w:t>
      </w:r>
      <w:r w:rsidR="00E63883">
        <w:t xml:space="preserve">attributable </w:t>
      </w:r>
      <w:r>
        <w:t>to</w:t>
      </w:r>
      <w:r w:rsidR="006B4D55">
        <w:t xml:space="preserve"> the</w:t>
      </w:r>
      <w:r w:rsidR="003D3D50">
        <w:t xml:space="preserve"> </w:t>
      </w:r>
      <w:r w:rsidR="00E63883">
        <w:t xml:space="preserve">higher number of </w:t>
      </w:r>
      <w:r w:rsidR="003D3D50">
        <w:t>burden hours</w:t>
      </w:r>
      <w:r w:rsidR="005E63BE">
        <w:t xml:space="preserve"> and</w:t>
      </w:r>
      <w:r w:rsidR="00E63883">
        <w:t xml:space="preserve"> </w:t>
      </w:r>
      <w:r w:rsidR="006B3715">
        <w:t>the addition of staff personnel in IC-1 that w</w:t>
      </w:r>
      <w:r w:rsidR="005B102E">
        <w:t>as</w:t>
      </w:r>
      <w:r w:rsidR="006B3715">
        <w:t xml:space="preserve"> unintentionally excluded in the previous submission</w:t>
      </w:r>
      <w:r w:rsidR="005E63BE">
        <w:t xml:space="preserve"> along with increased</w:t>
      </w:r>
      <w:r w:rsidR="00943421">
        <w:t xml:space="preserve"> </w:t>
      </w:r>
      <w:r w:rsidR="005E63BE">
        <w:t xml:space="preserve">hourly </w:t>
      </w:r>
      <w:r>
        <w:t>wage</w:t>
      </w:r>
      <w:r w:rsidR="00E63883">
        <w:t xml:space="preserve"> estimates based on the most recent BLS </w:t>
      </w:r>
      <w:r w:rsidR="00943421">
        <w:t xml:space="preserve">data for </w:t>
      </w:r>
      <w:r w:rsidR="004A570F">
        <w:t>Specialty Hospitals.</w:t>
      </w:r>
    </w:p>
    <w:p w:rsidR="00DE415A" w:rsidP="007742CD" w14:paraId="673743A3" w14:textId="77777777">
      <w:pPr>
        <w:pStyle w:val="BodyText"/>
        <w:ind w:left="450" w:right="91"/>
      </w:pPr>
    </w:p>
    <w:p w:rsidR="00C63703" w:rsidRPr="003A5E98" w:rsidP="007742CD" w14:paraId="7C79A122" w14:textId="77777777">
      <w:pPr>
        <w:pStyle w:val="Heading2"/>
      </w:pPr>
      <w:bookmarkStart w:id="33" w:name="16._Publication/Tabulation_Dates"/>
      <w:bookmarkEnd w:id="33"/>
      <w:r w:rsidRPr="003A5E98">
        <w:t>Publication/Tabulation</w:t>
      </w:r>
      <w:r w:rsidRPr="003A5E98">
        <w:rPr>
          <w:spacing w:val="9"/>
        </w:rPr>
        <w:t xml:space="preserve"> </w:t>
      </w:r>
      <w:r w:rsidRPr="003A5E98">
        <w:t>Dates</w:t>
      </w:r>
    </w:p>
    <w:p w:rsidR="00C63703" w:rsidRPr="00F17155" w:rsidP="007742CD" w14:paraId="61277DE0" w14:textId="77777777">
      <w:pPr>
        <w:pStyle w:val="BodyText"/>
        <w:spacing w:before="2"/>
        <w:rPr>
          <w:sz w:val="28"/>
        </w:rPr>
      </w:pPr>
    </w:p>
    <w:p w:rsidR="00F62FD1" w:rsidP="002E0114" w14:paraId="4E18BD0B" w14:textId="282A82D5">
      <w:pPr>
        <w:pStyle w:val="BodyText"/>
        <w:ind w:left="450"/>
      </w:pPr>
      <w:r>
        <w:t xml:space="preserve">There are no plans to </w:t>
      </w:r>
      <w:r w:rsidR="38FD285E">
        <w:t>publish the information collected.</w:t>
      </w:r>
    </w:p>
    <w:p w:rsidR="00DE415A" w:rsidRPr="00F17155" w:rsidP="007742CD" w14:paraId="562ED78A" w14:textId="77777777">
      <w:pPr>
        <w:pStyle w:val="BodyText"/>
        <w:ind w:left="450"/>
      </w:pPr>
    </w:p>
    <w:p w:rsidR="00C63703" w:rsidRPr="003A5E98" w:rsidP="007742CD" w14:paraId="135CF9CA" w14:textId="77777777">
      <w:pPr>
        <w:pStyle w:val="Heading2"/>
      </w:pPr>
      <w:bookmarkStart w:id="34" w:name="17._Expiration_Date"/>
      <w:bookmarkEnd w:id="34"/>
      <w:r w:rsidRPr="003A5E98">
        <w:t>Expiration</w:t>
      </w:r>
      <w:r w:rsidRPr="003A5E98">
        <w:rPr>
          <w:spacing w:val="5"/>
        </w:rPr>
        <w:t xml:space="preserve"> </w:t>
      </w:r>
      <w:r w:rsidRPr="003A5E98">
        <w:t>Date</w:t>
      </w:r>
    </w:p>
    <w:p w:rsidR="00BB5023" w:rsidP="007742CD" w14:paraId="70E78130" w14:textId="77777777">
      <w:pPr>
        <w:rPr>
          <w:sz w:val="24"/>
          <w:szCs w:val="24"/>
        </w:rPr>
      </w:pPr>
    </w:p>
    <w:p w:rsidR="00E127A0" w:rsidP="007742CD" w14:paraId="7C540139" w14:textId="5CBDC76A">
      <w:pPr>
        <w:ind w:left="450"/>
        <w:rPr>
          <w:sz w:val="24"/>
          <w:szCs w:val="24"/>
        </w:rPr>
      </w:pPr>
      <w:r w:rsidRPr="00F17155">
        <w:rPr>
          <w:sz w:val="24"/>
          <w:szCs w:val="24"/>
        </w:rPr>
        <w:t xml:space="preserve">CMS will publish a notice in the </w:t>
      </w:r>
      <w:r w:rsidRPr="0073506B">
        <w:rPr>
          <w:i/>
          <w:iCs/>
          <w:sz w:val="24"/>
          <w:szCs w:val="24"/>
        </w:rPr>
        <w:t>Federal Register</w:t>
      </w:r>
      <w:r w:rsidRPr="00F17155">
        <w:rPr>
          <w:sz w:val="24"/>
          <w:szCs w:val="24"/>
        </w:rPr>
        <w:t xml:space="preserve"> to inform the public of both the </w:t>
      </w:r>
      <w:r w:rsidR="006632D4">
        <w:rPr>
          <w:sz w:val="24"/>
          <w:szCs w:val="24"/>
        </w:rPr>
        <w:t xml:space="preserve">OMB </w:t>
      </w:r>
      <w:r w:rsidRPr="00F17155">
        <w:rPr>
          <w:sz w:val="24"/>
          <w:szCs w:val="24"/>
        </w:rPr>
        <w:t>approval and the expiration date</w:t>
      </w:r>
      <w:r w:rsidR="006632D4">
        <w:rPr>
          <w:sz w:val="24"/>
          <w:szCs w:val="24"/>
        </w:rPr>
        <w:t xml:space="preserve"> of this information collection request</w:t>
      </w:r>
      <w:r w:rsidRPr="00F17155">
        <w:rPr>
          <w:sz w:val="24"/>
          <w:szCs w:val="24"/>
        </w:rPr>
        <w:t xml:space="preserve">. </w:t>
      </w:r>
      <w:r w:rsidR="00B872EB">
        <w:rPr>
          <w:sz w:val="24"/>
          <w:szCs w:val="24"/>
        </w:rPr>
        <w:t>T</w:t>
      </w:r>
      <w:r w:rsidRPr="00F17155">
        <w:rPr>
          <w:sz w:val="24"/>
          <w:szCs w:val="24"/>
        </w:rPr>
        <w:t xml:space="preserve">he public </w:t>
      </w:r>
      <w:r w:rsidR="006632D4">
        <w:rPr>
          <w:sz w:val="24"/>
          <w:szCs w:val="24"/>
        </w:rPr>
        <w:t>may also view the expiration date by searching for the OMB control number on OMB’s website</w:t>
      </w:r>
      <w:r w:rsidRPr="00F17155">
        <w:rPr>
          <w:sz w:val="24"/>
          <w:szCs w:val="24"/>
        </w:rPr>
        <w:t>.</w:t>
      </w:r>
    </w:p>
    <w:p w:rsidR="00F62FD1" w:rsidP="002E0114" w14:paraId="3114CAD3" w14:textId="77777777">
      <w:pPr>
        <w:rPr>
          <w:sz w:val="24"/>
          <w:szCs w:val="24"/>
        </w:rPr>
      </w:pPr>
    </w:p>
    <w:p w:rsidR="008B6BAC" w:rsidRPr="003A5E98" w:rsidP="007742CD" w14:paraId="4481B215" w14:textId="578B01C8">
      <w:pPr>
        <w:pStyle w:val="Heading2"/>
      </w:pPr>
      <w:r w:rsidRPr="003A5E98">
        <w:t>Certification Statement</w:t>
      </w:r>
    </w:p>
    <w:p w:rsidR="00175CCC" w:rsidP="007742CD" w14:paraId="600BDD0E" w14:textId="77777777">
      <w:pPr>
        <w:pStyle w:val="ListParagraph"/>
        <w:tabs>
          <w:tab w:val="left" w:pos="460"/>
        </w:tabs>
        <w:spacing w:before="0"/>
        <w:ind w:left="460" w:firstLine="0"/>
        <w:rPr>
          <w:rFonts w:ascii="Times New Roman" w:eastAsia="Times New Roman" w:hAnsi="Times New Roman" w:cs="Times New Roman"/>
          <w:sz w:val="24"/>
          <w:szCs w:val="24"/>
        </w:rPr>
      </w:pPr>
    </w:p>
    <w:p w:rsidR="008250B4" w:rsidRPr="00175CCC" w:rsidP="007742CD" w14:paraId="6C879B34" w14:textId="34454243">
      <w:pPr>
        <w:pStyle w:val="ListParagraph"/>
        <w:tabs>
          <w:tab w:val="left" w:pos="460"/>
        </w:tabs>
        <w:spacing w:before="0"/>
        <w:ind w:left="460" w:firstLine="0"/>
        <w:rPr>
          <w:rFonts w:ascii="Times New Roman" w:eastAsia="Times New Roman" w:hAnsi="Times New Roman" w:cs="Times New Roman"/>
          <w:sz w:val="24"/>
          <w:szCs w:val="24"/>
        </w:rPr>
      </w:pPr>
      <w:r w:rsidRPr="00175CCC">
        <w:rPr>
          <w:rFonts w:ascii="Times New Roman" w:eastAsia="Times New Roman" w:hAnsi="Times New Roman" w:cs="Times New Roman"/>
          <w:sz w:val="24"/>
          <w:szCs w:val="24"/>
        </w:rPr>
        <w:t xml:space="preserve">There </w:t>
      </w:r>
      <w:r w:rsidRPr="00175CCC" w:rsidR="006632D4">
        <w:rPr>
          <w:rFonts w:ascii="Times New Roman" w:eastAsia="Times New Roman" w:hAnsi="Times New Roman" w:cs="Times New Roman"/>
          <w:sz w:val="24"/>
          <w:szCs w:val="24"/>
        </w:rPr>
        <w:t>are</w:t>
      </w:r>
      <w:r w:rsidRPr="00175CCC">
        <w:rPr>
          <w:rFonts w:ascii="Times New Roman" w:eastAsia="Times New Roman" w:hAnsi="Times New Roman" w:cs="Times New Roman"/>
          <w:sz w:val="24"/>
          <w:szCs w:val="24"/>
        </w:rPr>
        <w:t xml:space="preserve"> no exception</w:t>
      </w:r>
      <w:r w:rsidRPr="00175CCC" w:rsidR="006632D4">
        <w:rPr>
          <w:rFonts w:ascii="Times New Roman" w:eastAsia="Times New Roman" w:hAnsi="Times New Roman" w:cs="Times New Roman"/>
          <w:sz w:val="24"/>
          <w:szCs w:val="24"/>
        </w:rPr>
        <w:t>s</w:t>
      </w:r>
      <w:r w:rsidRPr="00175CCC">
        <w:rPr>
          <w:rFonts w:ascii="Times New Roman" w:eastAsia="Times New Roman" w:hAnsi="Times New Roman" w:cs="Times New Roman"/>
          <w:sz w:val="24"/>
          <w:szCs w:val="24"/>
        </w:rPr>
        <w:t xml:space="preserve"> to the certification</w:t>
      </w:r>
      <w:r w:rsidRPr="00175CCC" w:rsidR="006632D4">
        <w:rPr>
          <w:rFonts w:ascii="Times New Roman" w:eastAsia="Times New Roman" w:hAnsi="Times New Roman" w:cs="Times New Roman"/>
          <w:sz w:val="24"/>
          <w:szCs w:val="24"/>
        </w:rPr>
        <w:t xml:space="preserve"> statement requirements</w:t>
      </w:r>
      <w:r w:rsidRPr="00175CCC">
        <w:rPr>
          <w:rFonts w:ascii="Times New Roman" w:eastAsia="Times New Roman" w:hAnsi="Times New Roman" w:cs="Times New Roman"/>
          <w:sz w:val="24"/>
          <w:szCs w:val="24"/>
        </w:rPr>
        <w:t>.</w:t>
      </w:r>
    </w:p>
    <w:sectPr>
      <w:footerReference w:type="default" r:id="rId15"/>
      <w:pgSz w:w="12240" w:h="15840"/>
      <w:pgMar w:top="1380" w:right="1720" w:bottom="1700" w:left="1720" w:header="0" w:footer="151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5023" w14:paraId="5FCEED37" w14:textId="77777777">
    <w:pPr>
      <w:pStyle w:val="BodyText"/>
      <w:spacing w:line="14" w:lineRule="auto"/>
      <w:rPr>
        <w:sz w:val="20"/>
      </w:rPr>
    </w:pPr>
  </w:p>
  <w:p w:rsidR="00BB5023" w14:paraId="206F2FEC"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3749040</wp:posOffset>
              </wp:positionH>
              <wp:positionV relativeFrom="page">
                <wp:posOffset>9159240</wp:posOffset>
              </wp:positionV>
              <wp:extent cx="279400" cy="304800"/>
              <wp:effectExtent l="0" t="0" r="635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94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63703" w14:textId="67F6455C">
                          <w:pPr>
                            <w:pStyle w:val="BodyText"/>
                            <w:spacing w:before="10"/>
                            <w:ind w:left="40"/>
                          </w:pPr>
                          <w:r>
                            <w:fldChar w:fldCharType="begin"/>
                          </w:r>
                          <w:r>
                            <w:instrText xml:space="preserve"> PAGE </w:instrText>
                          </w:r>
                          <w:r>
                            <w:fldChar w:fldCharType="separate"/>
                          </w:r>
                          <w:r w:rsidR="001951C9">
                            <w:rPr>
                              <w:noProof/>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22pt;height:24pt;margin-top:721.2pt;margin-left:295.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63703" w14:paraId="1E7A6AE7" w14:textId="67F6455C">
                    <w:pPr>
                      <w:pStyle w:val="BodyText"/>
                      <w:spacing w:before="10"/>
                      <w:ind w:left="40"/>
                    </w:pPr>
                    <w:r>
                      <w:fldChar w:fldCharType="begin"/>
                    </w:r>
                    <w:r>
                      <w:instrText xml:space="preserve"> PAGE </w:instrText>
                    </w:r>
                    <w:r>
                      <w:fldChar w:fldCharType="separate"/>
                    </w:r>
                    <w:r w:rsidR="001951C9">
                      <w:rPr>
                        <w:noProof/>
                      </w:rPr>
                      <w:t>1</w:t>
                    </w:r>
                    <w:r>
                      <w:fldChar w:fldCharType="end"/>
                    </w:r>
                  </w:p>
                </w:txbxContent>
              </v:textbox>
            </v:shape>
          </w:pict>
        </mc:Fallback>
      </mc:AlternateContent>
    </w:r>
  </w:p>
  <w:p w:rsidR="00C63703" w14:paraId="648E3B83" w14:textId="7777777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F41E1" w14:paraId="120B7F40" w14:textId="77777777">
      <w:r>
        <w:separator/>
      </w:r>
    </w:p>
  </w:footnote>
  <w:footnote w:type="continuationSeparator" w:id="1">
    <w:p w:rsidR="00EF41E1" w14:paraId="2CD8C9C8" w14:textId="77777777">
      <w:r>
        <w:continuationSeparator/>
      </w:r>
    </w:p>
  </w:footnote>
  <w:footnote w:id="2">
    <w:p w:rsidR="00F55466" w:rsidRPr="004C1575" w:rsidP="00F474C4" w14:paraId="4FBE78DD" w14:textId="69C04D19">
      <w:pPr>
        <w:rPr>
          <w:sz w:val="18"/>
          <w:szCs w:val="18"/>
        </w:rPr>
      </w:pPr>
      <w:r w:rsidRPr="001D6557">
        <w:rPr>
          <w:rStyle w:val="FootnoteReference"/>
          <w:sz w:val="20"/>
          <w:szCs w:val="20"/>
        </w:rPr>
        <w:footnoteRef/>
      </w:r>
      <w:r w:rsidRPr="001D6557">
        <w:rPr>
          <w:sz w:val="20"/>
          <w:szCs w:val="20"/>
        </w:rPr>
        <w:t xml:space="preserve"> </w:t>
      </w:r>
      <w:r w:rsidRPr="00593E5F">
        <w:rPr>
          <w:sz w:val="18"/>
          <w:szCs w:val="18"/>
        </w:rPr>
        <w:t xml:space="preserve">The term “transplant programs” </w:t>
      </w:r>
      <w:r w:rsidR="00DE415A">
        <w:rPr>
          <w:sz w:val="18"/>
          <w:szCs w:val="18"/>
        </w:rPr>
        <w:t>replaced the previous term of “</w:t>
      </w:r>
      <w:r w:rsidRPr="00593E5F" w:rsidR="00DE415A">
        <w:rPr>
          <w:sz w:val="18"/>
          <w:szCs w:val="18"/>
        </w:rPr>
        <w:t xml:space="preserve">transplant centers” </w:t>
      </w:r>
      <w:r w:rsidRPr="00593E5F">
        <w:rPr>
          <w:sz w:val="18"/>
          <w:szCs w:val="18"/>
        </w:rPr>
        <w:t>in 2019 to conform to the terminology that is widely used and understood within the transplant community. This change was reflected in all the relevant CoPs and will also be reflected in this reinstatement. In addition, the term for individuals receiving services from transplant programs was revised from “beneficiaries” to “recipients.” See 84 FR 51732, 51749 published on September 30, 2019.</w:t>
      </w:r>
    </w:p>
  </w:footnote>
  <w:footnote w:id="3">
    <w:p w:rsidR="001D42E3" w:rsidP="00F474C4" w14:paraId="55B64308" w14:textId="77777777">
      <w:pPr>
        <w:pStyle w:val="FootnoteText"/>
      </w:pPr>
      <w:r>
        <w:rPr>
          <w:rStyle w:val="FootnoteReference"/>
        </w:rPr>
        <w:footnoteRef/>
      </w:r>
      <w:r>
        <w:t xml:space="preserve"> </w:t>
      </w:r>
      <w:r w:rsidRPr="00593E5F">
        <w:rPr>
          <w:sz w:val="18"/>
          <w:szCs w:val="18"/>
        </w:rPr>
        <w:t>42 CFR §§ 482.1 to 482.57</w:t>
      </w:r>
    </w:p>
  </w:footnote>
  <w:footnote w:id="4">
    <w:p w:rsidR="001D42E3" w:rsidP="001D42E3" w14:paraId="4C365B94" w14:textId="77777777">
      <w:pPr>
        <w:pStyle w:val="FootnoteText"/>
      </w:pPr>
      <w:r>
        <w:rPr>
          <w:rStyle w:val="FootnoteReference"/>
        </w:rPr>
        <w:footnoteRef/>
      </w:r>
      <w:r>
        <w:t xml:space="preserve"> </w:t>
      </w:r>
      <w:r w:rsidRPr="00F62FD1">
        <w:rPr>
          <w:sz w:val="18"/>
          <w:szCs w:val="18"/>
        </w:rPr>
        <w:t>42 CFR at §§ 494.1 to 494.180</w:t>
      </w:r>
    </w:p>
  </w:footnote>
  <w:footnote w:id="5">
    <w:p w:rsidR="00F42619" w:rsidRPr="00414E6F" w:rsidP="00F474C4" w14:paraId="4106F7C2" w14:textId="2683B36F">
      <w:pPr>
        <w:pStyle w:val="FootnoteText"/>
        <w:rPr>
          <w:sz w:val="18"/>
          <w:szCs w:val="18"/>
        </w:rPr>
      </w:pPr>
      <w:r>
        <w:rPr>
          <w:rStyle w:val="FootnoteReference"/>
        </w:rPr>
        <w:footnoteRef/>
      </w:r>
      <w:r>
        <w:t xml:space="preserve"> </w:t>
      </w:r>
      <w:r w:rsidRPr="00414E6F">
        <w:rPr>
          <w:sz w:val="18"/>
          <w:szCs w:val="18"/>
        </w:rPr>
        <w:t xml:space="preserve">Certification and the Survey Provider Enhanced Reporting (CASPER), Last Date Modified: April 13, 2025,  </w:t>
      </w:r>
      <w:hyperlink r:id="rId1" w:history="1">
        <w:r w:rsidRPr="00414E6F">
          <w:rPr>
            <w:rStyle w:val="Hyperlink"/>
            <w:sz w:val="18"/>
            <w:szCs w:val="18"/>
            <w:u w:val="none"/>
          </w:rPr>
          <w:t>https://qcor.cms.gov</w:t>
        </w:r>
      </w:hyperlink>
      <w:r w:rsidRPr="00414E6F" w:rsidR="00F62FD1">
        <w:rPr>
          <w:sz w:val="18"/>
          <w:szCs w:val="18"/>
        </w:rPr>
        <w:t xml:space="preserve">. </w:t>
      </w:r>
      <w:r w:rsidRPr="00414E6F">
        <w:rPr>
          <w:sz w:val="18"/>
          <w:szCs w:val="18"/>
        </w:rPr>
        <w:t>Accessed April 16, 2025.</w:t>
      </w:r>
    </w:p>
  </w:footnote>
  <w:footnote w:id="6">
    <w:p w:rsidR="00DA3A68" w:rsidP="00F474C4" w14:paraId="53FD6397" w14:textId="2F321AEF">
      <w:pPr>
        <w:pStyle w:val="FootnoteText"/>
      </w:pPr>
      <w:r w:rsidRPr="00F62FD1">
        <w:rPr>
          <w:rStyle w:val="FootnoteReference"/>
        </w:rPr>
        <w:footnoteRef/>
      </w:r>
      <w:r w:rsidRPr="00F62FD1">
        <w:t xml:space="preserve"> </w:t>
      </w:r>
      <w:r w:rsidRPr="00F62FD1">
        <w:rPr>
          <w:sz w:val="18"/>
          <w:szCs w:val="18"/>
        </w:rPr>
        <w:t>Id.</w:t>
      </w:r>
    </w:p>
  </w:footnote>
  <w:footnote w:id="7">
    <w:p w:rsidR="00FF4583" w:rsidRPr="00FF4583" w:rsidP="00F474C4" w14:paraId="60135692" w14:textId="469D585C">
      <w:pPr>
        <w:pStyle w:val="FootnoteText"/>
        <w:rPr>
          <w:sz w:val="16"/>
          <w:szCs w:val="16"/>
        </w:rPr>
      </w:pPr>
      <w:r w:rsidRPr="00F62FD1">
        <w:rPr>
          <w:rStyle w:val="FootnoteReference"/>
          <w:szCs w:val="24"/>
        </w:rPr>
        <w:footnoteRef/>
      </w:r>
      <w:r w:rsidRPr="00F62FD1">
        <w:rPr>
          <w:szCs w:val="24"/>
          <w:vertAlign w:val="superscript"/>
        </w:rPr>
        <w:t xml:space="preserve"> </w:t>
      </w:r>
      <w:r w:rsidRPr="00F62FD1">
        <w:rPr>
          <w:sz w:val="22"/>
          <w:szCs w:val="22"/>
        </w:rPr>
        <w:t xml:space="preserve"> </w:t>
      </w:r>
      <w:r w:rsidRPr="00414E6F" w:rsidR="007764C8">
        <w:rPr>
          <w:sz w:val="18"/>
          <w:szCs w:val="18"/>
        </w:rPr>
        <w:t xml:space="preserve">U.S. Bureau of Labor Statistics </w:t>
      </w:r>
      <w:r w:rsidRPr="00414E6F">
        <w:rPr>
          <w:sz w:val="18"/>
          <w:szCs w:val="18"/>
        </w:rPr>
        <w:t xml:space="preserve">May 2024 Industry-Specific Occupational Employment and Wage Estimates for Specialty Hospitals (except Psychiatric and Substance Abuse). </w:t>
      </w:r>
      <w:r w:rsidRPr="00414E6F">
        <w:rPr>
          <w:i/>
          <w:iCs/>
          <w:sz w:val="18"/>
          <w:szCs w:val="18"/>
        </w:rPr>
        <w:t>U.S.</w:t>
      </w:r>
      <w:r w:rsidRPr="00414E6F" w:rsidR="007764C8">
        <w:rPr>
          <w:i/>
          <w:iCs/>
          <w:sz w:val="18"/>
          <w:szCs w:val="18"/>
        </w:rPr>
        <w:t xml:space="preserve"> Department of Labor</w:t>
      </w:r>
      <w:r w:rsidRPr="00414E6F" w:rsidR="007764C8">
        <w:rPr>
          <w:sz w:val="18"/>
          <w:szCs w:val="18"/>
        </w:rPr>
        <w:t>, L</w:t>
      </w:r>
      <w:r w:rsidRPr="00414E6F">
        <w:rPr>
          <w:sz w:val="18"/>
          <w:szCs w:val="18"/>
        </w:rPr>
        <w:t xml:space="preserve">ast Modified Date: </w:t>
      </w:r>
      <w:r w:rsidRPr="00414E6F" w:rsidR="008D36CB">
        <w:rPr>
          <w:sz w:val="18"/>
          <w:szCs w:val="18"/>
        </w:rPr>
        <w:t>June 12</w:t>
      </w:r>
      <w:r w:rsidRPr="00414E6F">
        <w:rPr>
          <w:sz w:val="18"/>
          <w:szCs w:val="18"/>
        </w:rPr>
        <w:t>, 2025.</w:t>
      </w:r>
      <w:r w:rsidRPr="00414E6F" w:rsidR="007764C8">
        <w:rPr>
          <w:sz w:val="18"/>
          <w:szCs w:val="18"/>
        </w:rPr>
        <w:t xml:space="preserve"> </w:t>
      </w:r>
      <w:hyperlink r:id="rId2" w:anchor="/industry/622300" w:history="1">
        <w:r w:rsidRPr="00414E6F">
          <w:rPr>
            <w:sz w:val="18"/>
            <w:szCs w:val="18"/>
          </w:rPr>
          <w:t>https://data.bls.gov/oes/#/industry/622300</w:t>
        </w:r>
      </w:hyperlink>
      <w:r w:rsidRPr="00414E6F">
        <w:rPr>
          <w:sz w:val="18"/>
          <w:szCs w:val="18"/>
        </w:rPr>
        <w:t xml:space="preserve"> Accessed on </w:t>
      </w:r>
      <w:r w:rsidRPr="00414E6F" w:rsidR="008D36CB">
        <w:rPr>
          <w:sz w:val="18"/>
          <w:szCs w:val="18"/>
        </w:rPr>
        <w:t>June 12</w:t>
      </w:r>
      <w:r w:rsidRPr="00414E6F">
        <w:rPr>
          <w:sz w:val="18"/>
          <w:szCs w:val="18"/>
        </w:rPr>
        <w:t>, 2025.</w:t>
      </w:r>
    </w:p>
  </w:footnote>
  <w:footnote w:id="8">
    <w:p w:rsidR="006A79C0" w:rsidP="007742CD" w14:paraId="166F3C02" w14:textId="25BDC590">
      <w:pPr>
        <w:pStyle w:val="FootnoteText"/>
      </w:pPr>
      <w:r>
        <w:rPr>
          <w:rStyle w:val="FootnoteReference"/>
        </w:rPr>
        <w:footnoteRef/>
      </w:r>
      <w:r>
        <w:t xml:space="preserve"> </w:t>
      </w:r>
      <w:r w:rsidRPr="00F62FD1" w:rsidR="007764C8">
        <w:rPr>
          <w:sz w:val="18"/>
          <w:szCs w:val="18"/>
        </w:rPr>
        <w:t xml:space="preserve">U.S. Bureau of Labor Statistics May 2024 Industry-Specific Occupational Employment and Wage Estimates for Specialty Hospitals (except Psychiatric and Substance Abuse). </w:t>
      </w:r>
      <w:r w:rsidRPr="00F62FD1" w:rsidR="007764C8">
        <w:rPr>
          <w:i/>
          <w:iCs/>
          <w:sz w:val="18"/>
          <w:szCs w:val="18"/>
        </w:rPr>
        <w:t>U.S. Department of Labor</w:t>
      </w:r>
      <w:r w:rsidRPr="00F62FD1" w:rsidR="007764C8">
        <w:rPr>
          <w:sz w:val="18"/>
          <w:szCs w:val="18"/>
        </w:rPr>
        <w:t xml:space="preserve">, Last Modified Date: </w:t>
      </w:r>
      <w:r w:rsidRPr="00F62FD1" w:rsidR="001D5AAD">
        <w:rPr>
          <w:sz w:val="18"/>
          <w:szCs w:val="18"/>
        </w:rPr>
        <w:t>June 12</w:t>
      </w:r>
      <w:r w:rsidRPr="00F62FD1" w:rsidR="007764C8">
        <w:rPr>
          <w:sz w:val="18"/>
          <w:szCs w:val="18"/>
        </w:rPr>
        <w:t xml:space="preserve">, 2025. </w:t>
      </w:r>
      <w:hyperlink r:id="rId2" w:anchor="/industry/622300" w:history="1">
        <w:r w:rsidRPr="00F62FD1" w:rsidR="007764C8">
          <w:rPr>
            <w:sz w:val="18"/>
            <w:szCs w:val="18"/>
          </w:rPr>
          <w:t>https://data.bls.gov/oes/#/industry/622300</w:t>
        </w:r>
      </w:hyperlink>
      <w:r w:rsidRPr="00F62FD1" w:rsidR="007764C8">
        <w:rPr>
          <w:sz w:val="18"/>
          <w:szCs w:val="18"/>
        </w:rPr>
        <w:t xml:space="preserve"> Accessed on </w:t>
      </w:r>
      <w:r w:rsidRPr="00F62FD1" w:rsidR="001D5AAD">
        <w:rPr>
          <w:sz w:val="18"/>
          <w:szCs w:val="18"/>
        </w:rPr>
        <w:t>June 12</w:t>
      </w:r>
      <w:r w:rsidRPr="00F62FD1" w:rsidR="007764C8">
        <w:rPr>
          <w:sz w:val="18"/>
          <w:szCs w:val="18"/>
        </w:rPr>
        <w:t>, 2025.</w:t>
      </w:r>
    </w:p>
  </w:footnote>
  <w:footnote w:id="9">
    <w:p w:rsidR="0071794D" w:rsidP="007742CD" w14:paraId="38B5BD45" w14:textId="512D93B8">
      <w:pPr>
        <w:pStyle w:val="FootnoteText"/>
      </w:pPr>
      <w:r>
        <w:rPr>
          <w:rStyle w:val="FootnoteReference"/>
        </w:rPr>
        <w:footnoteRef/>
      </w:r>
      <w:r>
        <w:t xml:space="preserve"> </w:t>
      </w:r>
      <w:r>
        <w:rPr>
          <w:sz w:val="18"/>
          <w:szCs w:val="18"/>
        </w:rPr>
        <w:t>No</w:t>
      </w:r>
      <w:r w:rsidRPr="0071794D">
        <w:rPr>
          <w:sz w:val="18"/>
          <w:szCs w:val="18"/>
        </w:rPr>
        <w:t xml:space="preserve">te: In the prior submission of this collection, this staff member’s time and cost to prepare each notification was mentioned but inadvertently omitted in the burden calculation for this IC. As a result, the prior estimate of burden hours per notification for IC-1 was incorrectly estimated as 1.25 hours. </w:t>
      </w:r>
    </w:p>
  </w:footnote>
  <w:footnote w:id="10">
    <w:p w:rsidR="00E56E88" w:rsidRPr="00F62FD1" w:rsidP="007742CD" w14:paraId="4C42B4EC" w14:textId="3D4BC496">
      <w:pPr>
        <w:pStyle w:val="FootnoteText"/>
        <w:rPr>
          <w:sz w:val="18"/>
          <w:szCs w:val="18"/>
        </w:rPr>
      </w:pPr>
      <w:r w:rsidRPr="00F62FD1">
        <w:rPr>
          <w:rStyle w:val="FootnoteReference"/>
        </w:rPr>
        <w:footnoteRef/>
      </w:r>
      <w:r w:rsidRPr="00F62FD1">
        <w:rPr>
          <w:sz w:val="22"/>
          <w:szCs w:val="22"/>
        </w:rPr>
        <w:t xml:space="preserve"> </w:t>
      </w:r>
      <w:r w:rsidRPr="00414E6F">
        <w:rPr>
          <w:sz w:val="18"/>
          <w:szCs w:val="18"/>
        </w:rPr>
        <w:t xml:space="preserve">This CoP was revised in 2019 to apply only when transplant programs sought initial approval for Medicare Certification </w:t>
      </w:r>
      <w:r w:rsidRPr="00414E6F">
        <w:rPr>
          <w:sz w:val="18"/>
          <w:szCs w:val="18"/>
        </w:rPr>
        <w:t>in order to</w:t>
      </w:r>
      <w:r w:rsidRPr="00414E6F">
        <w:rPr>
          <w:sz w:val="18"/>
          <w:szCs w:val="18"/>
        </w:rPr>
        <w:t xml:space="preserve"> help reduce the burden when seeking re-approval for non-compliance after enforcement actions for example. See e.g., </w:t>
      </w:r>
      <w:hyperlink r:id="rId3" w:anchor="h-70" w:history="1">
        <w:r w:rsidRPr="00414E6F">
          <w:rPr>
            <w:rStyle w:val="Hyperlink"/>
            <w:sz w:val="18"/>
            <w:szCs w:val="18"/>
          </w:rPr>
          <w:t>Medicare and Medicaid Programs; Regulatory Provisions To Promote Program Efficiency, Transparency, and Burden Reduction</w:t>
        </w:r>
      </w:hyperlink>
      <w:r w:rsidRPr="00414E6F">
        <w:rPr>
          <w:sz w:val="18"/>
          <w:szCs w:val="18"/>
        </w:rPr>
        <w:t xml:space="preserve">, 83 FR </w:t>
      </w:r>
      <w:r w:rsidRPr="00414E6F" w:rsidR="006D09DE">
        <w:rPr>
          <w:sz w:val="18"/>
          <w:szCs w:val="18"/>
        </w:rPr>
        <w:t xml:space="preserve">47686, </w:t>
      </w:r>
      <w:r w:rsidRPr="00414E6F">
        <w:rPr>
          <w:sz w:val="18"/>
          <w:szCs w:val="18"/>
        </w:rPr>
        <w:t>47706-07 (September 20, 2018).</w:t>
      </w:r>
    </w:p>
  </w:footnote>
  <w:footnote w:id="11">
    <w:p w:rsidR="00A427E3" w:rsidP="007742CD" w14:paraId="0EF4CBD3" w14:textId="5DDD66A5">
      <w:pPr>
        <w:pStyle w:val="FootnoteText"/>
      </w:pPr>
      <w:r>
        <w:rPr>
          <w:rStyle w:val="FootnoteReference"/>
        </w:rPr>
        <w:footnoteRef/>
      </w:r>
      <w:r>
        <w:t xml:space="preserve"> </w:t>
      </w:r>
      <w:r w:rsidRPr="00F62FD1">
        <w:rPr>
          <w:sz w:val="18"/>
          <w:szCs w:val="18"/>
        </w:rPr>
        <w:t xml:space="preserve">May 2024 Cross-Industry Occupational Employment and Wage Estimates, </w:t>
      </w:r>
      <w:r w:rsidRPr="00F62FD1">
        <w:rPr>
          <w:i/>
          <w:iCs/>
          <w:sz w:val="18"/>
          <w:szCs w:val="18"/>
        </w:rPr>
        <w:t>U.S. Bureau of Labor Statistics,</w:t>
      </w:r>
      <w:r w:rsidRPr="00F62FD1">
        <w:rPr>
          <w:sz w:val="18"/>
          <w:szCs w:val="18"/>
        </w:rPr>
        <w:t xml:space="preserve"> Last Modified Date: </w:t>
      </w:r>
      <w:r w:rsidRPr="00F62FD1" w:rsidR="00A7165B">
        <w:rPr>
          <w:sz w:val="18"/>
          <w:szCs w:val="18"/>
        </w:rPr>
        <w:t>June 12</w:t>
      </w:r>
      <w:r w:rsidRPr="00F62FD1">
        <w:rPr>
          <w:sz w:val="18"/>
          <w:szCs w:val="18"/>
        </w:rPr>
        <w:t xml:space="preserve">, 2025. https://data.bls.gov/oes/#/industry/000000. Accessed on </w:t>
      </w:r>
      <w:r w:rsidRPr="00F62FD1" w:rsidR="00A7165B">
        <w:rPr>
          <w:sz w:val="18"/>
          <w:szCs w:val="18"/>
        </w:rPr>
        <w:t>June 12</w:t>
      </w:r>
      <w:r w:rsidRPr="00F62FD1">
        <w:rPr>
          <w:sz w:val="18"/>
          <w:szCs w:val="18"/>
        </w:rPr>
        <w:t>, 2025.</w:t>
      </w:r>
    </w:p>
  </w:footnote>
  <w:footnote w:id="12">
    <w:p w:rsidR="00EE231F" w:rsidRPr="00F62FD1" w:rsidP="007742CD" w14:paraId="1583B6AB" w14:textId="4E7CB0A1">
      <w:pPr>
        <w:pStyle w:val="FootnoteText"/>
        <w:rPr>
          <w:sz w:val="22"/>
          <w:szCs w:val="22"/>
        </w:rPr>
      </w:pPr>
      <w:r>
        <w:rPr>
          <w:rStyle w:val="FootnoteReference"/>
        </w:rPr>
        <w:footnoteRef/>
      </w:r>
      <w:r>
        <w:t xml:space="preserve"> </w:t>
      </w:r>
      <w:r w:rsidRPr="00F62FD1">
        <w:rPr>
          <w:sz w:val="18"/>
          <w:szCs w:val="18"/>
        </w:rPr>
        <w:t>Id.</w:t>
      </w:r>
    </w:p>
    <w:p w:rsidR="00EE231F" w14:paraId="4A3557E9" w14:textId="7903848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9A3EA2E4"/>
    <w:lvl w:ilvl="0">
      <w:start w:val="1"/>
      <w:numFmt w:val="bullet"/>
      <w:lvlText w:val=""/>
      <w:lvlJc w:val="left"/>
      <w:pPr>
        <w:ind w:left="720" w:hanging="360"/>
      </w:pPr>
      <w:rPr>
        <w:rFonts w:ascii="Symbol" w:hAnsi="Symbol" w:hint="default"/>
      </w:rPr>
    </w:lvl>
  </w:abstractNum>
  <w:abstractNum w:abstractNumId="1">
    <w:nsid w:val="02A63C77"/>
    <w:multiLevelType w:val="hybridMultilevel"/>
    <w:tmpl w:val="B8F640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E53F28"/>
    <w:multiLevelType w:val="hybridMultilevel"/>
    <w:tmpl w:val="2F9CD8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1F6256"/>
    <w:multiLevelType w:val="hybridMultilevel"/>
    <w:tmpl w:val="851295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34C3981"/>
    <w:multiLevelType w:val="hybridMultilevel"/>
    <w:tmpl w:val="70500A9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A4111D"/>
    <w:multiLevelType w:val="hybridMultilevel"/>
    <w:tmpl w:val="577A574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30C6AE6"/>
    <w:multiLevelType w:val="hybridMultilevel"/>
    <w:tmpl w:val="951E19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FD1306"/>
    <w:multiLevelType w:val="hybridMultilevel"/>
    <w:tmpl w:val="33C092A6"/>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6097CB9"/>
    <w:multiLevelType w:val="hybridMultilevel"/>
    <w:tmpl w:val="357E97C8"/>
    <w:lvl w:ilvl="0">
      <w:start w:val="1"/>
      <w:numFmt w:val="bullet"/>
      <w:lvlText w:val=""/>
      <w:lvlJc w:val="left"/>
      <w:pPr>
        <w:ind w:left="1166" w:hanging="360"/>
      </w:pPr>
      <w:rPr>
        <w:rFonts w:ascii="Symbol" w:hAnsi="Symbol" w:hint="default"/>
      </w:rPr>
    </w:lvl>
    <w:lvl w:ilvl="1">
      <w:start w:val="1"/>
      <w:numFmt w:val="bullet"/>
      <w:lvlText w:val="o"/>
      <w:lvlJc w:val="left"/>
      <w:pPr>
        <w:ind w:left="1886" w:hanging="360"/>
      </w:pPr>
      <w:rPr>
        <w:rFonts w:ascii="Courier New" w:hAnsi="Courier New" w:cs="Courier New" w:hint="default"/>
      </w:rPr>
    </w:lvl>
    <w:lvl w:ilvl="2" w:tentative="1">
      <w:start w:val="1"/>
      <w:numFmt w:val="bullet"/>
      <w:lvlText w:val=""/>
      <w:lvlJc w:val="left"/>
      <w:pPr>
        <w:ind w:left="2606" w:hanging="360"/>
      </w:pPr>
      <w:rPr>
        <w:rFonts w:ascii="Wingdings" w:hAnsi="Wingdings" w:hint="default"/>
      </w:rPr>
    </w:lvl>
    <w:lvl w:ilvl="3" w:tentative="1">
      <w:start w:val="1"/>
      <w:numFmt w:val="bullet"/>
      <w:lvlText w:val=""/>
      <w:lvlJc w:val="left"/>
      <w:pPr>
        <w:ind w:left="3326" w:hanging="360"/>
      </w:pPr>
      <w:rPr>
        <w:rFonts w:ascii="Symbol" w:hAnsi="Symbol" w:hint="default"/>
      </w:rPr>
    </w:lvl>
    <w:lvl w:ilvl="4" w:tentative="1">
      <w:start w:val="1"/>
      <w:numFmt w:val="bullet"/>
      <w:lvlText w:val="o"/>
      <w:lvlJc w:val="left"/>
      <w:pPr>
        <w:ind w:left="4046" w:hanging="360"/>
      </w:pPr>
      <w:rPr>
        <w:rFonts w:ascii="Courier New" w:hAnsi="Courier New" w:cs="Courier New" w:hint="default"/>
      </w:rPr>
    </w:lvl>
    <w:lvl w:ilvl="5" w:tentative="1">
      <w:start w:val="1"/>
      <w:numFmt w:val="bullet"/>
      <w:lvlText w:val=""/>
      <w:lvlJc w:val="left"/>
      <w:pPr>
        <w:ind w:left="4766" w:hanging="360"/>
      </w:pPr>
      <w:rPr>
        <w:rFonts w:ascii="Wingdings" w:hAnsi="Wingdings" w:hint="default"/>
      </w:rPr>
    </w:lvl>
    <w:lvl w:ilvl="6" w:tentative="1">
      <w:start w:val="1"/>
      <w:numFmt w:val="bullet"/>
      <w:lvlText w:val=""/>
      <w:lvlJc w:val="left"/>
      <w:pPr>
        <w:ind w:left="5486" w:hanging="360"/>
      </w:pPr>
      <w:rPr>
        <w:rFonts w:ascii="Symbol" w:hAnsi="Symbol" w:hint="default"/>
      </w:rPr>
    </w:lvl>
    <w:lvl w:ilvl="7" w:tentative="1">
      <w:start w:val="1"/>
      <w:numFmt w:val="bullet"/>
      <w:lvlText w:val="o"/>
      <w:lvlJc w:val="left"/>
      <w:pPr>
        <w:ind w:left="6206" w:hanging="360"/>
      </w:pPr>
      <w:rPr>
        <w:rFonts w:ascii="Courier New" w:hAnsi="Courier New" w:cs="Courier New" w:hint="default"/>
      </w:rPr>
    </w:lvl>
    <w:lvl w:ilvl="8" w:tentative="1">
      <w:start w:val="1"/>
      <w:numFmt w:val="bullet"/>
      <w:lvlText w:val=""/>
      <w:lvlJc w:val="left"/>
      <w:pPr>
        <w:ind w:left="6926" w:hanging="360"/>
      </w:pPr>
      <w:rPr>
        <w:rFonts w:ascii="Wingdings" w:hAnsi="Wingdings" w:hint="default"/>
      </w:rPr>
    </w:lvl>
  </w:abstractNum>
  <w:abstractNum w:abstractNumId="9">
    <w:nsid w:val="16E20860"/>
    <w:multiLevelType w:val="hybridMultilevel"/>
    <w:tmpl w:val="EC2041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6E61A5B"/>
    <w:multiLevelType w:val="hybridMultilevel"/>
    <w:tmpl w:val="9F24A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8E117FB"/>
    <w:multiLevelType w:val="hybridMultilevel"/>
    <w:tmpl w:val="564E48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1003889"/>
    <w:multiLevelType w:val="hybridMultilevel"/>
    <w:tmpl w:val="25D02736"/>
    <w:lvl w:ilvl="0">
      <w:start w:val="1"/>
      <w:numFmt w:val="lowerLetter"/>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3">
    <w:nsid w:val="22A016A1"/>
    <w:multiLevelType w:val="hybridMultilevel"/>
    <w:tmpl w:val="A96624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7CD0EF0"/>
    <w:multiLevelType w:val="hybridMultilevel"/>
    <w:tmpl w:val="5D12ED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BBF03C7"/>
    <w:multiLevelType w:val="hybridMultilevel"/>
    <w:tmpl w:val="55ECB3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C6D1285"/>
    <w:multiLevelType w:val="hybridMultilevel"/>
    <w:tmpl w:val="8CDA237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89F638C"/>
    <w:multiLevelType w:val="hybridMultilevel"/>
    <w:tmpl w:val="8DB4A880"/>
    <w:lvl w:ilvl="0">
      <w:start w:val="1"/>
      <w:numFmt w:val="bullet"/>
      <w:lvlText w:val=""/>
      <w:lvlJc w:val="left"/>
      <w:pPr>
        <w:ind w:left="820" w:hanging="360"/>
      </w:pPr>
      <w:rPr>
        <w:rFonts w:ascii="Symbol" w:hAnsi="Symbol"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18">
    <w:nsid w:val="3AA47466"/>
    <w:multiLevelType w:val="hybridMultilevel"/>
    <w:tmpl w:val="6D2817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AC5585B"/>
    <w:multiLevelType w:val="hybridMultilevel"/>
    <w:tmpl w:val="CADCF952"/>
    <w:lvl w:ilvl="0">
      <w:start w:val="1"/>
      <w:numFmt w:val="lowerLetter"/>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0">
    <w:nsid w:val="3CF71898"/>
    <w:multiLevelType w:val="hybridMultilevel"/>
    <w:tmpl w:val="78B42F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F21D45"/>
    <w:multiLevelType w:val="hybridMultilevel"/>
    <w:tmpl w:val="0F4C57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E312E78"/>
    <w:multiLevelType w:val="hybridMultilevel"/>
    <w:tmpl w:val="CC2C5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E6745C3"/>
    <w:multiLevelType w:val="hybridMultilevel"/>
    <w:tmpl w:val="D68899AE"/>
    <w:lvl w:ilvl="0">
      <w:start w:val="1"/>
      <w:numFmt w:val="upperLetter"/>
      <w:pStyle w:val="Heading1"/>
      <w:lvlText w:val="%1."/>
      <w:lvlJc w:val="left"/>
      <w:pPr>
        <w:tabs>
          <w:tab w:val="num" w:pos="2246"/>
        </w:tabs>
        <w:ind w:left="2250" w:hanging="360"/>
      </w:pPr>
      <w:rPr>
        <w:rFonts w:ascii="Times New Roman" w:eastAsia="Arial" w:hAnsi="Times New Roman" w:cs="Times New Roman" w:hint="default"/>
        <w:w w:val="100"/>
        <w:sz w:val="24"/>
        <w:szCs w:val="24"/>
      </w:rPr>
    </w:lvl>
    <w:lvl w:ilvl="1">
      <w:start w:val="1"/>
      <w:numFmt w:val="decimal"/>
      <w:pStyle w:val="Heading2"/>
      <w:lvlText w:val="%2."/>
      <w:lvlJc w:val="left"/>
      <w:pPr>
        <w:ind w:left="2260" w:hanging="360"/>
      </w:pPr>
      <w:rPr>
        <w:rFonts w:ascii="Times New Roman" w:eastAsia="Calibri" w:hAnsi="Times New Roman" w:cs="Times New Roman" w:hint="default"/>
        <w:spacing w:val="-1"/>
        <w:w w:val="100"/>
        <w:sz w:val="24"/>
        <w:szCs w:val="24"/>
      </w:rPr>
    </w:lvl>
    <w:lvl w:ilvl="2">
      <w:start w:val="0"/>
      <w:numFmt w:val="bullet"/>
      <w:lvlText w:val="•"/>
      <w:lvlJc w:val="left"/>
      <w:pPr>
        <w:ind w:left="3566" w:hanging="360"/>
      </w:pPr>
      <w:rPr>
        <w:rFonts w:hint="default"/>
      </w:rPr>
    </w:lvl>
    <w:lvl w:ilvl="3">
      <w:start w:val="0"/>
      <w:numFmt w:val="bullet"/>
      <w:lvlText w:val="•"/>
      <w:lvlJc w:val="left"/>
      <w:pPr>
        <w:ind w:left="4513" w:hanging="360"/>
      </w:pPr>
      <w:rPr>
        <w:rFonts w:hint="default"/>
      </w:rPr>
    </w:lvl>
    <w:lvl w:ilvl="4">
      <w:start w:val="0"/>
      <w:numFmt w:val="bullet"/>
      <w:lvlText w:val="•"/>
      <w:lvlJc w:val="left"/>
      <w:pPr>
        <w:ind w:left="5460" w:hanging="360"/>
      </w:pPr>
      <w:rPr>
        <w:rFonts w:hint="default"/>
      </w:rPr>
    </w:lvl>
    <w:lvl w:ilvl="5">
      <w:start w:val="0"/>
      <w:numFmt w:val="bullet"/>
      <w:lvlText w:val="•"/>
      <w:lvlJc w:val="left"/>
      <w:pPr>
        <w:ind w:left="6406" w:hanging="360"/>
      </w:pPr>
      <w:rPr>
        <w:rFonts w:hint="default"/>
      </w:rPr>
    </w:lvl>
    <w:lvl w:ilvl="6">
      <w:start w:val="0"/>
      <w:numFmt w:val="bullet"/>
      <w:lvlText w:val="•"/>
      <w:lvlJc w:val="left"/>
      <w:pPr>
        <w:ind w:left="7353" w:hanging="360"/>
      </w:pPr>
      <w:rPr>
        <w:rFonts w:hint="default"/>
      </w:rPr>
    </w:lvl>
    <w:lvl w:ilvl="7">
      <w:start w:val="0"/>
      <w:numFmt w:val="bullet"/>
      <w:lvlText w:val="•"/>
      <w:lvlJc w:val="left"/>
      <w:pPr>
        <w:ind w:left="8300" w:hanging="360"/>
      </w:pPr>
      <w:rPr>
        <w:rFonts w:hint="default"/>
      </w:rPr>
    </w:lvl>
    <w:lvl w:ilvl="8">
      <w:start w:val="0"/>
      <w:numFmt w:val="bullet"/>
      <w:lvlText w:val="•"/>
      <w:lvlJc w:val="left"/>
      <w:pPr>
        <w:ind w:left="9246" w:hanging="360"/>
      </w:pPr>
      <w:rPr>
        <w:rFonts w:hint="default"/>
      </w:rPr>
    </w:lvl>
  </w:abstractNum>
  <w:abstractNum w:abstractNumId="24">
    <w:nsid w:val="4C28688E"/>
    <w:multiLevelType w:val="hybridMultilevel"/>
    <w:tmpl w:val="BAA620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E3334F9"/>
    <w:multiLevelType w:val="hybridMultilevel"/>
    <w:tmpl w:val="ECD2DE4E"/>
    <w:lvl w:ilvl="0">
      <w:start w:val="1"/>
      <w:numFmt w:val="lowerLetter"/>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6">
    <w:nsid w:val="58712C0C"/>
    <w:multiLevelType w:val="hybridMultilevel"/>
    <w:tmpl w:val="0706D1EA"/>
    <w:lvl w:ilvl="0">
      <w:start w:val="1"/>
      <w:numFmt w:val="bullet"/>
      <w:lvlText w:val=""/>
      <w:lvlJc w:val="left"/>
      <w:pPr>
        <w:ind w:left="1236" w:hanging="360"/>
      </w:pPr>
      <w:rPr>
        <w:rFonts w:ascii="Symbol" w:hAnsi="Symbol" w:hint="default"/>
      </w:rPr>
    </w:lvl>
    <w:lvl w:ilvl="1" w:tentative="1">
      <w:start w:val="1"/>
      <w:numFmt w:val="bullet"/>
      <w:lvlText w:val="o"/>
      <w:lvlJc w:val="left"/>
      <w:pPr>
        <w:ind w:left="1956" w:hanging="360"/>
      </w:pPr>
      <w:rPr>
        <w:rFonts w:ascii="Courier New" w:hAnsi="Courier New" w:cs="Courier New" w:hint="default"/>
      </w:rPr>
    </w:lvl>
    <w:lvl w:ilvl="2" w:tentative="1">
      <w:start w:val="1"/>
      <w:numFmt w:val="bullet"/>
      <w:lvlText w:val=""/>
      <w:lvlJc w:val="left"/>
      <w:pPr>
        <w:ind w:left="2676" w:hanging="360"/>
      </w:pPr>
      <w:rPr>
        <w:rFonts w:ascii="Wingdings" w:hAnsi="Wingdings" w:hint="default"/>
      </w:rPr>
    </w:lvl>
    <w:lvl w:ilvl="3" w:tentative="1">
      <w:start w:val="1"/>
      <w:numFmt w:val="bullet"/>
      <w:lvlText w:val=""/>
      <w:lvlJc w:val="left"/>
      <w:pPr>
        <w:ind w:left="3396" w:hanging="360"/>
      </w:pPr>
      <w:rPr>
        <w:rFonts w:ascii="Symbol" w:hAnsi="Symbol" w:hint="default"/>
      </w:rPr>
    </w:lvl>
    <w:lvl w:ilvl="4" w:tentative="1">
      <w:start w:val="1"/>
      <w:numFmt w:val="bullet"/>
      <w:lvlText w:val="o"/>
      <w:lvlJc w:val="left"/>
      <w:pPr>
        <w:ind w:left="4116" w:hanging="360"/>
      </w:pPr>
      <w:rPr>
        <w:rFonts w:ascii="Courier New" w:hAnsi="Courier New" w:cs="Courier New" w:hint="default"/>
      </w:rPr>
    </w:lvl>
    <w:lvl w:ilvl="5" w:tentative="1">
      <w:start w:val="1"/>
      <w:numFmt w:val="bullet"/>
      <w:lvlText w:val=""/>
      <w:lvlJc w:val="left"/>
      <w:pPr>
        <w:ind w:left="4836" w:hanging="360"/>
      </w:pPr>
      <w:rPr>
        <w:rFonts w:ascii="Wingdings" w:hAnsi="Wingdings" w:hint="default"/>
      </w:rPr>
    </w:lvl>
    <w:lvl w:ilvl="6" w:tentative="1">
      <w:start w:val="1"/>
      <w:numFmt w:val="bullet"/>
      <w:lvlText w:val=""/>
      <w:lvlJc w:val="left"/>
      <w:pPr>
        <w:ind w:left="5556" w:hanging="360"/>
      </w:pPr>
      <w:rPr>
        <w:rFonts w:ascii="Symbol" w:hAnsi="Symbol" w:hint="default"/>
      </w:rPr>
    </w:lvl>
    <w:lvl w:ilvl="7" w:tentative="1">
      <w:start w:val="1"/>
      <w:numFmt w:val="bullet"/>
      <w:lvlText w:val="o"/>
      <w:lvlJc w:val="left"/>
      <w:pPr>
        <w:ind w:left="6276" w:hanging="360"/>
      </w:pPr>
      <w:rPr>
        <w:rFonts w:ascii="Courier New" w:hAnsi="Courier New" w:cs="Courier New" w:hint="default"/>
      </w:rPr>
    </w:lvl>
    <w:lvl w:ilvl="8" w:tentative="1">
      <w:start w:val="1"/>
      <w:numFmt w:val="bullet"/>
      <w:lvlText w:val=""/>
      <w:lvlJc w:val="left"/>
      <w:pPr>
        <w:ind w:left="6996" w:hanging="360"/>
      </w:pPr>
      <w:rPr>
        <w:rFonts w:ascii="Wingdings" w:hAnsi="Wingdings" w:hint="default"/>
      </w:rPr>
    </w:lvl>
  </w:abstractNum>
  <w:abstractNum w:abstractNumId="27">
    <w:nsid w:val="587A07C1"/>
    <w:multiLevelType w:val="hybridMultilevel"/>
    <w:tmpl w:val="692AE4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309287C"/>
    <w:multiLevelType w:val="hybridMultilevel"/>
    <w:tmpl w:val="935EE7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6C147C4"/>
    <w:multiLevelType w:val="hybridMultilevel"/>
    <w:tmpl w:val="C68A56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8B3681A"/>
    <w:multiLevelType w:val="hybridMultilevel"/>
    <w:tmpl w:val="14C889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B392BBB"/>
    <w:multiLevelType w:val="hybridMultilevel"/>
    <w:tmpl w:val="A45C09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BDF063B"/>
    <w:multiLevelType w:val="hybridMultilevel"/>
    <w:tmpl w:val="7A186F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D7C7917"/>
    <w:multiLevelType w:val="hybridMultilevel"/>
    <w:tmpl w:val="848424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EDF36C5"/>
    <w:multiLevelType w:val="hybridMultilevel"/>
    <w:tmpl w:val="BD8631D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5">
    <w:nsid w:val="732407AE"/>
    <w:multiLevelType w:val="hybridMultilevel"/>
    <w:tmpl w:val="6D0A88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5CE3070"/>
    <w:multiLevelType w:val="hybridMultilevel"/>
    <w:tmpl w:val="FCDC1BA6"/>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37">
    <w:nsid w:val="7B2A41AD"/>
    <w:multiLevelType w:val="hybridMultilevel"/>
    <w:tmpl w:val="9FDE73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E0672BE"/>
    <w:multiLevelType w:val="hybridMultilevel"/>
    <w:tmpl w:val="4FC81A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7303271">
    <w:abstractNumId w:val="23"/>
  </w:num>
  <w:num w:numId="2" w16cid:durableId="594173727">
    <w:abstractNumId w:val="36"/>
  </w:num>
  <w:num w:numId="3" w16cid:durableId="1803032524">
    <w:abstractNumId w:val="12"/>
  </w:num>
  <w:num w:numId="4" w16cid:durableId="927664573">
    <w:abstractNumId w:val="26"/>
  </w:num>
  <w:num w:numId="5" w16cid:durableId="1345015129">
    <w:abstractNumId w:val="8"/>
  </w:num>
  <w:num w:numId="6" w16cid:durableId="1263149599">
    <w:abstractNumId w:val="7"/>
  </w:num>
  <w:num w:numId="7" w16cid:durableId="786853212">
    <w:abstractNumId w:val="25"/>
  </w:num>
  <w:num w:numId="8" w16cid:durableId="1021203939">
    <w:abstractNumId w:val="19"/>
  </w:num>
  <w:num w:numId="9" w16cid:durableId="268245164">
    <w:abstractNumId w:val="0"/>
  </w:num>
  <w:num w:numId="10" w16cid:durableId="998269188">
    <w:abstractNumId w:val="14"/>
  </w:num>
  <w:num w:numId="11" w16cid:durableId="1283923588">
    <w:abstractNumId w:val="0"/>
  </w:num>
  <w:num w:numId="12" w16cid:durableId="568073238">
    <w:abstractNumId w:val="0"/>
  </w:num>
  <w:num w:numId="13" w16cid:durableId="330840447">
    <w:abstractNumId w:val="0"/>
  </w:num>
  <w:num w:numId="14" w16cid:durableId="1333413441">
    <w:abstractNumId w:val="0"/>
  </w:num>
  <w:num w:numId="15" w16cid:durableId="591822701">
    <w:abstractNumId w:val="24"/>
  </w:num>
  <w:num w:numId="16" w16cid:durableId="1122646751">
    <w:abstractNumId w:val="21"/>
  </w:num>
  <w:num w:numId="17" w16cid:durableId="1366249499">
    <w:abstractNumId w:val="29"/>
  </w:num>
  <w:num w:numId="18" w16cid:durableId="866792178">
    <w:abstractNumId w:val="22"/>
  </w:num>
  <w:num w:numId="19" w16cid:durableId="994725338">
    <w:abstractNumId w:val="35"/>
  </w:num>
  <w:num w:numId="20" w16cid:durableId="288513484">
    <w:abstractNumId w:val="13"/>
  </w:num>
  <w:num w:numId="21" w16cid:durableId="1193687567">
    <w:abstractNumId w:val="38"/>
  </w:num>
  <w:num w:numId="22" w16cid:durableId="772431891">
    <w:abstractNumId w:val="5"/>
  </w:num>
  <w:num w:numId="23" w16cid:durableId="1917084883">
    <w:abstractNumId w:val="16"/>
  </w:num>
  <w:num w:numId="24" w16cid:durableId="1766922822">
    <w:abstractNumId w:val="15"/>
  </w:num>
  <w:num w:numId="25" w16cid:durableId="363941552">
    <w:abstractNumId w:val="1"/>
  </w:num>
  <w:num w:numId="26" w16cid:durableId="240407527">
    <w:abstractNumId w:val="9"/>
  </w:num>
  <w:num w:numId="27" w16cid:durableId="1447233552">
    <w:abstractNumId w:val="3"/>
  </w:num>
  <w:num w:numId="28" w16cid:durableId="1012955653">
    <w:abstractNumId w:val="33"/>
  </w:num>
  <w:num w:numId="29" w16cid:durableId="309751134">
    <w:abstractNumId w:val="4"/>
  </w:num>
  <w:num w:numId="30" w16cid:durableId="697699574">
    <w:abstractNumId w:val="32"/>
  </w:num>
  <w:num w:numId="31" w16cid:durableId="1180269021">
    <w:abstractNumId w:val="28"/>
  </w:num>
  <w:num w:numId="32" w16cid:durableId="210387802">
    <w:abstractNumId w:val="6"/>
  </w:num>
  <w:num w:numId="33" w16cid:durableId="1578519679">
    <w:abstractNumId w:val="27"/>
  </w:num>
  <w:num w:numId="34" w16cid:durableId="589702312">
    <w:abstractNumId w:val="37"/>
  </w:num>
  <w:num w:numId="35" w16cid:durableId="1573853315">
    <w:abstractNumId w:val="10"/>
  </w:num>
  <w:num w:numId="36" w16cid:durableId="453409117">
    <w:abstractNumId w:val="20"/>
  </w:num>
  <w:num w:numId="37" w16cid:durableId="1486776613">
    <w:abstractNumId w:val="31"/>
  </w:num>
  <w:num w:numId="38" w16cid:durableId="1719209437">
    <w:abstractNumId w:val="11"/>
  </w:num>
  <w:num w:numId="39" w16cid:durableId="472600355">
    <w:abstractNumId w:val="18"/>
  </w:num>
  <w:num w:numId="40" w16cid:durableId="1108233602">
    <w:abstractNumId w:val="17"/>
  </w:num>
  <w:num w:numId="41" w16cid:durableId="273367874">
    <w:abstractNumId w:val="2"/>
  </w:num>
  <w:num w:numId="42" w16cid:durableId="2054696238">
    <w:abstractNumId w:val="34"/>
  </w:num>
  <w:num w:numId="43" w16cid:durableId="10864591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03"/>
    <w:rsid w:val="00002982"/>
    <w:rsid w:val="00014271"/>
    <w:rsid w:val="000144FE"/>
    <w:rsid w:val="0002300B"/>
    <w:rsid w:val="00024890"/>
    <w:rsid w:val="00032812"/>
    <w:rsid w:val="000342A4"/>
    <w:rsid w:val="000348AE"/>
    <w:rsid w:val="00036408"/>
    <w:rsid w:val="00037FEF"/>
    <w:rsid w:val="00042F38"/>
    <w:rsid w:val="00043BE9"/>
    <w:rsid w:val="00043C18"/>
    <w:rsid w:val="00046C9B"/>
    <w:rsid w:val="000502A0"/>
    <w:rsid w:val="000517B5"/>
    <w:rsid w:val="00057E07"/>
    <w:rsid w:val="00061368"/>
    <w:rsid w:val="00064710"/>
    <w:rsid w:val="000668FE"/>
    <w:rsid w:val="00070B07"/>
    <w:rsid w:val="00070E0E"/>
    <w:rsid w:val="000775A7"/>
    <w:rsid w:val="00077F9A"/>
    <w:rsid w:val="00081C8B"/>
    <w:rsid w:val="00083DB2"/>
    <w:rsid w:val="00085F26"/>
    <w:rsid w:val="000867ED"/>
    <w:rsid w:val="000918BC"/>
    <w:rsid w:val="00092EAF"/>
    <w:rsid w:val="0009389C"/>
    <w:rsid w:val="000A265D"/>
    <w:rsid w:val="000A3589"/>
    <w:rsid w:val="000A45CF"/>
    <w:rsid w:val="000B51F6"/>
    <w:rsid w:val="000B6A01"/>
    <w:rsid w:val="000C4C46"/>
    <w:rsid w:val="000C51A6"/>
    <w:rsid w:val="000C6228"/>
    <w:rsid w:val="000C7B3A"/>
    <w:rsid w:val="000D05B8"/>
    <w:rsid w:val="000D1011"/>
    <w:rsid w:val="000D1FF5"/>
    <w:rsid w:val="000D2DA5"/>
    <w:rsid w:val="000D3AF9"/>
    <w:rsid w:val="000D40DF"/>
    <w:rsid w:val="000D7FC9"/>
    <w:rsid w:val="000E25AD"/>
    <w:rsid w:val="000E46F8"/>
    <w:rsid w:val="000E6F5B"/>
    <w:rsid w:val="000F27B7"/>
    <w:rsid w:val="000F3116"/>
    <w:rsid w:val="00103333"/>
    <w:rsid w:val="0010388F"/>
    <w:rsid w:val="00104574"/>
    <w:rsid w:val="0011058B"/>
    <w:rsid w:val="00112451"/>
    <w:rsid w:val="001163D6"/>
    <w:rsid w:val="00116DBB"/>
    <w:rsid w:val="001224BF"/>
    <w:rsid w:val="001224EF"/>
    <w:rsid w:val="00126E7E"/>
    <w:rsid w:val="0013489D"/>
    <w:rsid w:val="001359AE"/>
    <w:rsid w:val="0013644E"/>
    <w:rsid w:val="00143AC8"/>
    <w:rsid w:val="00151991"/>
    <w:rsid w:val="001526FC"/>
    <w:rsid w:val="00156C0B"/>
    <w:rsid w:val="0015797D"/>
    <w:rsid w:val="00157C1D"/>
    <w:rsid w:val="00160769"/>
    <w:rsid w:val="00163D1D"/>
    <w:rsid w:val="00172860"/>
    <w:rsid w:val="00174155"/>
    <w:rsid w:val="00175CCC"/>
    <w:rsid w:val="00177C35"/>
    <w:rsid w:val="001807A3"/>
    <w:rsid w:val="00183295"/>
    <w:rsid w:val="00190B22"/>
    <w:rsid w:val="00192417"/>
    <w:rsid w:val="0019334A"/>
    <w:rsid w:val="001951C9"/>
    <w:rsid w:val="001A03F0"/>
    <w:rsid w:val="001A1329"/>
    <w:rsid w:val="001A1D3C"/>
    <w:rsid w:val="001A2CC5"/>
    <w:rsid w:val="001A52A6"/>
    <w:rsid w:val="001A71C1"/>
    <w:rsid w:val="001A747B"/>
    <w:rsid w:val="001B0ED2"/>
    <w:rsid w:val="001B3681"/>
    <w:rsid w:val="001B3F8C"/>
    <w:rsid w:val="001C1167"/>
    <w:rsid w:val="001C1BE5"/>
    <w:rsid w:val="001C76E3"/>
    <w:rsid w:val="001D2182"/>
    <w:rsid w:val="001D4149"/>
    <w:rsid w:val="001D42E3"/>
    <w:rsid w:val="001D4BE1"/>
    <w:rsid w:val="001D5AAD"/>
    <w:rsid w:val="001D6557"/>
    <w:rsid w:val="001D65B9"/>
    <w:rsid w:val="001D762D"/>
    <w:rsid w:val="001D7CDA"/>
    <w:rsid w:val="001E6A01"/>
    <w:rsid w:val="001E71CE"/>
    <w:rsid w:val="001E742C"/>
    <w:rsid w:val="001F1094"/>
    <w:rsid w:val="001F2A49"/>
    <w:rsid w:val="001F3874"/>
    <w:rsid w:val="00201175"/>
    <w:rsid w:val="0020293B"/>
    <w:rsid w:val="0020493E"/>
    <w:rsid w:val="00211936"/>
    <w:rsid w:val="00211F96"/>
    <w:rsid w:val="00214D9A"/>
    <w:rsid w:val="002208B2"/>
    <w:rsid w:val="002211F7"/>
    <w:rsid w:val="00221F5E"/>
    <w:rsid w:val="00230F46"/>
    <w:rsid w:val="00231327"/>
    <w:rsid w:val="00232DCE"/>
    <w:rsid w:val="00233CC9"/>
    <w:rsid w:val="00234079"/>
    <w:rsid w:val="0023590E"/>
    <w:rsid w:val="00237579"/>
    <w:rsid w:val="00237899"/>
    <w:rsid w:val="002411B5"/>
    <w:rsid w:val="002429D9"/>
    <w:rsid w:val="00242A12"/>
    <w:rsid w:val="0024596F"/>
    <w:rsid w:val="00250B9A"/>
    <w:rsid w:val="00255460"/>
    <w:rsid w:val="002606AC"/>
    <w:rsid w:val="002619AE"/>
    <w:rsid w:val="00266286"/>
    <w:rsid w:val="00267F88"/>
    <w:rsid w:val="0027069A"/>
    <w:rsid w:val="00271224"/>
    <w:rsid w:val="00271F53"/>
    <w:rsid w:val="00273C7F"/>
    <w:rsid w:val="00280BFB"/>
    <w:rsid w:val="00284C0A"/>
    <w:rsid w:val="002906C5"/>
    <w:rsid w:val="002927DD"/>
    <w:rsid w:val="002938E3"/>
    <w:rsid w:val="002949B7"/>
    <w:rsid w:val="00295C24"/>
    <w:rsid w:val="00296084"/>
    <w:rsid w:val="002A08EF"/>
    <w:rsid w:val="002A2CAF"/>
    <w:rsid w:val="002A397C"/>
    <w:rsid w:val="002A5D16"/>
    <w:rsid w:val="002A5F79"/>
    <w:rsid w:val="002A645D"/>
    <w:rsid w:val="002B0ECE"/>
    <w:rsid w:val="002B282C"/>
    <w:rsid w:val="002B3C38"/>
    <w:rsid w:val="002B58CA"/>
    <w:rsid w:val="002B6C0D"/>
    <w:rsid w:val="002C3BE9"/>
    <w:rsid w:val="002C5859"/>
    <w:rsid w:val="002C6F4F"/>
    <w:rsid w:val="002C7BFC"/>
    <w:rsid w:val="002D4D40"/>
    <w:rsid w:val="002E0114"/>
    <w:rsid w:val="002E64AD"/>
    <w:rsid w:val="002E692E"/>
    <w:rsid w:val="002F0B9A"/>
    <w:rsid w:val="002F604F"/>
    <w:rsid w:val="002F678F"/>
    <w:rsid w:val="0030246A"/>
    <w:rsid w:val="003026E7"/>
    <w:rsid w:val="0030507E"/>
    <w:rsid w:val="00305D48"/>
    <w:rsid w:val="00306F1E"/>
    <w:rsid w:val="00310AE3"/>
    <w:rsid w:val="00311799"/>
    <w:rsid w:val="00311C7F"/>
    <w:rsid w:val="00312964"/>
    <w:rsid w:val="00312DA3"/>
    <w:rsid w:val="003172C7"/>
    <w:rsid w:val="0032483E"/>
    <w:rsid w:val="00324B11"/>
    <w:rsid w:val="00324E4F"/>
    <w:rsid w:val="003304ED"/>
    <w:rsid w:val="0033456E"/>
    <w:rsid w:val="00335CF0"/>
    <w:rsid w:val="00336402"/>
    <w:rsid w:val="0034460D"/>
    <w:rsid w:val="0034673F"/>
    <w:rsid w:val="0034767B"/>
    <w:rsid w:val="003479D8"/>
    <w:rsid w:val="00350183"/>
    <w:rsid w:val="00351C2D"/>
    <w:rsid w:val="003549C5"/>
    <w:rsid w:val="003553B8"/>
    <w:rsid w:val="00356DBC"/>
    <w:rsid w:val="00356F34"/>
    <w:rsid w:val="00371929"/>
    <w:rsid w:val="00372933"/>
    <w:rsid w:val="0038163D"/>
    <w:rsid w:val="00381C0A"/>
    <w:rsid w:val="00382C19"/>
    <w:rsid w:val="00384946"/>
    <w:rsid w:val="0038516D"/>
    <w:rsid w:val="00385343"/>
    <w:rsid w:val="00385FF7"/>
    <w:rsid w:val="00391414"/>
    <w:rsid w:val="00394BFB"/>
    <w:rsid w:val="00395F67"/>
    <w:rsid w:val="00396860"/>
    <w:rsid w:val="003A042E"/>
    <w:rsid w:val="003A0E3A"/>
    <w:rsid w:val="003A1342"/>
    <w:rsid w:val="003A14B2"/>
    <w:rsid w:val="003A20F2"/>
    <w:rsid w:val="003A23DE"/>
    <w:rsid w:val="003A5E98"/>
    <w:rsid w:val="003A61CA"/>
    <w:rsid w:val="003B01EE"/>
    <w:rsid w:val="003B0EF4"/>
    <w:rsid w:val="003B104E"/>
    <w:rsid w:val="003B68E3"/>
    <w:rsid w:val="003C10F2"/>
    <w:rsid w:val="003C5655"/>
    <w:rsid w:val="003C5B80"/>
    <w:rsid w:val="003C7CBE"/>
    <w:rsid w:val="003D3D50"/>
    <w:rsid w:val="003E0804"/>
    <w:rsid w:val="003E0AC1"/>
    <w:rsid w:val="003E188B"/>
    <w:rsid w:val="003E4462"/>
    <w:rsid w:val="003E54C5"/>
    <w:rsid w:val="003E743D"/>
    <w:rsid w:val="003E7B24"/>
    <w:rsid w:val="003F65F5"/>
    <w:rsid w:val="003F7482"/>
    <w:rsid w:val="00402E97"/>
    <w:rsid w:val="004055DF"/>
    <w:rsid w:val="004064C8"/>
    <w:rsid w:val="0040656E"/>
    <w:rsid w:val="00414946"/>
    <w:rsid w:val="00414E6F"/>
    <w:rsid w:val="00415A3D"/>
    <w:rsid w:val="00417BD1"/>
    <w:rsid w:val="004207EF"/>
    <w:rsid w:val="00420B91"/>
    <w:rsid w:val="00421FDE"/>
    <w:rsid w:val="004274BC"/>
    <w:rsid w:val="0043187E"/>
    <w:rsid w:val="00440E87"/>
    <w:rsid w:val="00442545"/>
    <w:rsid w:val="004456C1"/>
    <w:rsid w:val="00447023"/>
    <w:rsid w:val="0044713E"/>
    <w:rsid w:val="00450BBC"/>
    <w:rsid w:val="00450C20"/>
    <w:rsid w:val="004512B6"/>
    <w:rsid w:val="00452275"/>
    <w:rsid w:val="0045530B"/>
    <w:rsid w:val="00457FF2"/>
    <w:rsid w:val="00461033"/>
    <w:rsid w:val="004637BB"/>
    <w:rsid w:val="00465112"/>
    <w:rsid w:val="004716A7"/>
    <w:rsid w:val="00472921"/>
    <w:rsid w:val="00476E9F"/>
    <w:rsid w:val="0048098B"/>
    <w:rsid w:val="00480A5C"/>
    <w:rsid w:val="00482CF3"/>
    <w:rsid w:val="004842F7"/>
    <w:rsid w:val="004851DE"/>
    <w:rsid w:val="00485894"/>
    <w:rsid w:val="004911AB"/>
    <w:rsid w:val="00492F86"/>
    <w:rsid w:val="0049395C"/>
    <w:rsid w:val="00495A28"/>
    <w:rsid w:val="004A0E91"/>
    <w:rsid w:val="004A570F"/>
    <w:rsid w:val="004A57E1"/>
    <w:rsid w:val="004A6F7A"/>
    <w:rsid w:val="004B1751"/>
    <w:rsid w:val="004B3400"/>
    <w:rsid w:val="004C0BC8"/>
    <w:rsid w:val="004C1575"/>
    <w:rsid w:val="004C41F7"/>
    <w:rsid w:val="004C5A47"/>
    <w:rsid w:val="004D4138"/>
    <w:rsid w:val="004D7293"/>
    <w:rsid w:val="004E3E54"/>
    <w:rsid w:val="004E3F27"/>
    <w:rsid w:val="004E5C29"/>
    <w:rsid w:val="004F3BD0"/>
    <w:rsid w:val="004F6B98"/>
    <w:rsid w:val="005105EB"/>
    <w:rsid w:val="005117C0"/>
    <w:rsid w:val="005151C8"/>
    <w:rsid w:val="00516E83"/>
    <w:rsid w:val="00517C61"/>
    <w:rsid w:val="00521A6A"/>
    <w:rsid w:val="00521B1A"/>
    <w:rsid w:val="00523B4D"/>
    <w:rsid w:val="00525552"/>
    <w:rsid w:val="00525FE3"/>
    <w:rsid w:val="0052602B"/>
    <w:rsid w:val="00527FB9"/>
    <w:rsid w:val="00531386"/>
    <w:rsid w:val="00532391"/>
    <w:rsid w:val="00534EAF"/>
    <w:rsid w:val="0053544C"/>
    <w:rsid w:val="005418C3"/>
    <w:rsid w:val="00543D54"/>
    <w:rsid w:val="00544DE7"/>
    <w:rsid w:val="005467A3"/>
    <w:rsid w:val="00546B35"/>
    <w:rsid w:val="00552103"/>
    <w:rsid w:val="0055786D"/>
    <w:rsid w:val="0056162F"/>
    <w:rsid w:val="005616E7"/>
    <w:rsid w:val="00563201"/>
    <w:rsid w:val="00566586"/>
    <w:rsid w:val="00566BA1"/>
    <w:rsid w:val="00567082"/>
    <w:rsid w:val="005674A4"/>
    <w:rsid w:val="005710D4"/>
    <w:rsid w:val="00572022"/>
    <w:rsid w:val="00573C36"/>
    <w:rsid w:val="00573D22"/>
    <w:rsid w:val="00574A5F"/>
    <w:rsid w:val="00576A57"/>
    <w:rsid w:val="00584720"/>
    <w:rsid w:val="0058485C"/>
    <w:rsid w:val="00593646"/>
    <w:rsid w:val="00593A14"/>
    <w:rsid w:val="00593DC9"/>
    <w:rsid w:val="00593E5F"/>
    <w:rsid w:val="00595B10"/>
    <w:rsid w:val="005A2B98"/>
    <w:rsid w:val="005A3B99"/>
    <w:rsid w:val="005A6C06"/>
    <w:rsid w:val="005B06C6"/>
    <w:rsid w:val="005B102E"/>
    <w:rsid w:val="005B6501"/>
    <w:rsid w:val="005B7452"/>
    <w:rsid w:val="005C388C"/>
    <w:rsid w:val="005C5898"/>
    <w:rsid w:val="005E0ED9"/>
    <w:rsid w:val="005E3252"/>
    <w:rsid w:val="005E63BE"/>
    <w:rsid w:val="005F284B"/>
    <w:rsid w:val="005F2CB5"/>
    <w:rsid w:val="005F709E"/>
    <w:rsid w:val="006070AD"/>
    <w:rsid w:val="00615C97"/>
    <w:rsid w:val="006168B9"/>
    <w:rsid w:val="006210EC"/>
    <w:rsid w:val="00621A24"/>
    <w:rsid w:val="006234EA"/>
    <w:rsid w:val="00625801"/>
    <w:rsid w:val="0062606F"/>
    <w:rsid w:val="00626789"/>
    <w:rsid w:val="00631ACD"/>
    <w:rsid w:val="0063412B"/>
    <w:rsid w:val="00642ED4"/>
    <w:rsid w:val="00645052"/>
    <w:rsid w:val="00651A07"/>
    <w:rsid w:val="00660E00"/>
    <w:rsid w:val="00661ACB"/>
    <w:rsid w:val="00661D15"/>
    <w:rsid w:val="00661E0D"/>
    <w:rsid w:val="006632D4"/>
    <w:rsid w:val="0066598D"/>
    <w:rsid w:val="00672C4D"/>
    <w:rsid w:val="006744BF"/>
    <w:rsid w:val="0067500C"/>
    <w:rsid w:val="00676C66"/>
    <w:rsid w:val="006802E4"/>
    <w:rsid w:val="00682AB8"/>
    <w:rsid w:val="00683F00"/>
    <w:rsid w:val="00684D58"/>
    <w:rsid w:val="00685069"/>
    <w:rsid w:val="0068606F"/>
    <w:rsid w:val="006860E1"/>
    <w:rsid w:val="006872DB"/>
    <w:rsid w:val="00687762"/>
    <w:rsid w:val="00687D23"/>
    <w:rsid w:val="00690A30"/>
    <w:rsid w:val="00691CB1"/>
    <w:rsid w:val="00692620"/>
    <w:rsid w:val="006930AA"/>
    <w:rsid w:val="00696139"/>
    <w:rsid w:val="0069792C"/>
    <w:rsid w:val="006A0391"/>
    <w:rsid w:val="006A79C0"/>
    <w:rsid w:val="006B1CFF"/>
    <w:rsid w:val="006B3278"/>
    <w:rsid w:val="006B3715"/>
    <w:rsid w:val="006B4CE8"/>
    <w:rsid w:val="006B4D0E"/>
    <w:rsid w:val="006B4D55"/>
    <w:rsid w:val="006B59ED"/>
    <w:rsid w:val="006B6F12"/>
    <w:rsid w:val="006C0AA7"/>
    <w:rsid w:val="006C24C4"/>
    <w:rsid w:val="006C5231"/>
    <w:rsid w:val="006C6700"/>
    <w:rsid w:val="006D09DE"/>
    <w:rsid w:val="006D1ED8"/>
    <w:rsid w:val="006D32B3"/>
    <w:rsid w:val="006D599A"/>
    <w:rsid w:val="006E1F14"/>
    <w:rsid w:val="006E45BC"/>
    <w:rsid w:val="006E78B3"/>
    <w:rsid w:val="006E7975"/>
    <w:rsid w:val="006F77CB"/>
    <w:rsid w:val="006F7FA0"/>
    <w:rsid w:val="007009E2"/>
    <w:rsid w:val="00700FBB"/>
    <w:rsid w:val="0070139B"/>
    <w:rsid w:val="007018E1"/>
    <w:rsid w:val="00702E00"/>
    <w:rsid w:val="00704E58"/>
    <w:rsid w:val="00710E1E"/>
    <w:rsid w:val="00713270"/>
    <w:rsid w:val="00716785"/>
    <w:rsid w:val="00717708"/>
    <w:rsid w:val="0071794D"/>
    <w:rsid w:val="00722007"/>
    <w:rsid w:val="00722241"/>
    <w:rsid w:val="00722584"/>
    <w:rsid w:val="007247EE"/>
    <w:rsid w:val="00732D1D"/>
    <w:rsid w:val="00734475"/>
    <w:rsid w:val="0073506B"/>
    <w:rsid w:val="00737084"/>
    <w:rsid w:val="007416F3"/>
    <w:rsid w:val="00741C9C"/>
    <w:rsid w:val="00742A4D"/>
    <w:rsid w:val="00742D9C"/>
    <w:rsid w:val="007430BE"/>
    <w:rsid w:val="00744B1F"/>
    <w:rsid w:val="007459C2"/>
    <w:rsid w:val="007459D2"/>
    <w:rsid w:val="0075527D"/>
    <w:rsid w:val="00760D67"/>
    <w:rsid w:val="00762C0E"/>
    <w:rsid w:val="00763D44"/>
    <w:rsid w:val="00763E66"/>
    <w:rsid w:val="00765EA7"/>
    <w:rsid w:val="007742CD"/>
    <w:rsid w:val="007764C8"/>
    <w:rsid w:val="0078081F"/>
    <w:rsid w:val="00782240"/>
    <w:rsid w:val="00783A15"/>
    <w:rsid w:val="0078680A"/>
    <w:rsid w:val="00790140"/>
    <w:rsid w:val="00792FC2"/>
    <w:rsid w:val="00797CA0"/>
    <w:rsid w:val="007A7AA3"/>
    <w:rsid w:val="007B5F0B"/>
    <w:rsid w:val="007C1CAF"/>
    <w:rsid w:val="007C6ED2"/>
    <w:rsid w:val="007D00CD"/>
    <w:rsid w:val="007D0F46"/>
    <w:rsid w:val="007D18AE"/>
    <w:rsid w:val="007D39B3"/>
    <w:rsid w:val="007D4C66"/>
    <w:rsid w:val="007D79F4"/>
    <w:rsid w:val="007E43DE"/>
    <w:rsid w:val="007E4BF2"/>
    <w:rsid w:val="007E5778"/>
    <w:rsid w:val="007E6F36"/>
    <w:rsid w:val="007F0790"/>
    <w:rsid w:val="007F4351"/>
    <w:rsid w:val="007F4DAB"/>
    <w:rsid w:val="007F6F39"/>
    <w:rsid w:val="008006FD"/>
    <w:rsid w:val="00801599"/>
    <w:rsid w:val="008037EF"/>
    <w:rsid w:val="00804220"/>
    <w:rsid w:val="00810DD8"/>
    <w:rsid w:val="0081373D"/>
    <w:rsid w:val="00817427"/>
    <w:rsid w:val="00820CD7"/>
    <w:rsid w:val="008238FA"/>
    <w:rsid w:val="008250B4"/>
    <w:rsid w:val="00826011"/>
    <w:rsid w:val="00826110"/>
    <w:rsid w:val="00827AF6"/>
    <w:rsid w:val="00827BBC"/>
    <w:rsid w:val="00835962"/>
    <w:rsid w:val="0083784D"/>
    <w:rsid w:val="00842081"/>
    <w:rsid w:val="00842240"/>
    <w:rsid w:val="00843FC5"/>
    <w:rsid w:val="00845832"/>
    <w:rsid w:val="00846578"/>
    <w:rsid w:val="008468DA"/>
    <w:rsid w:val="00851F42"/>
    <w:rsid w:val="008557B8"/>
    <w:rsid w:val="008559A1"/>
    <w:rsid w:val="00863E7C"/>
    <w:rsid w:val="0086681B"/>
    <w:rsid w:val="00867D32"/>
    <w:rsid w:val="00874204"/>
    <w:rsid w:val="008743F9"/>
    <w:rsid w:val="008746C7"/>
    <w:rsid w:val="008805A3"/>
    <w:rsid w:val="00882D5D"/>
    <w:rsid w:val="00887F0F"/>
    <w:rsid w:val="00895D56"/>
    <w:rsid w:val="008A4B6B"/>
    <w:rsid w:val="008A5094"/>
    <w:rsid w:val="008A6745"/>
    <w:rsid w:val="008B6B52"/>
    <w:rsid w:val="008B6BAC"/>
    <w:rsid w:val="008C259A"/>
    <w:rsid w:val="008C3F48"/>
    <w:rsid w:val="008C5BB5"/>
    <w:rsid w:val="008C6206"/>
    <w:rsid w:val="008C68D2"/>
    <w:rsid w:val="008D02A4"/>
    <w:rsid w:val="008D036E"/>
    <w:rsid w:val="008D0E74"/>
    <w:rsid w:val="008D36CB"/>
    <w:rsid w:val="008D47CA"/>
    <w:rsid w:val="008D660F"/>
    <w:rsid w:val="008D6D82"/>
    <w:rsid w:val="008E4B26"/>
    <w:rsid w:val="008E54A5"/>
    <w:rsid w:val="008E6A3F"/>
    <w:rsid w:val="008F06B0"/>
    <w:rsid w:val="008F19F0"/>
    <w:rsid w:val="008F2772"/>
    <w:rsid w:val="008F5B5A"/>
    <w:rsid w:val="008F70E4"/>
    <w:rsid w:val="008F7773"/>
    <w:rsid w:val="008F7CA5"/>
    <w:rsid w:val="00905263"/>
    <w:rsid w:val="0090727E"/>
    <w:rsid w:val="009113CC"/>
    <w:rsid w:val="00913142"/>
    <w:rsid w:val="009177E5"/>
    <w:rsid w:val="009231C6"/>
    <w:rsid w:val="00923AA4"/>
    <w:rsid w:val="00924644"/>
    <w:rsid w:val="00925DF0"/>
    <w:rsid w:val="0092729D"/>
    <w:rsid w:val="00931433"/>
    <w:rsid w:val="00934CA9"/>
    <w:rsid w:val="00935852"/>
    <w:rsid w:val="00940FA3"/>
    <w:rsid w:val="009432A0"/>
    <w:rsid w:val="00943421"/>
    <w:rsid w:val="00950A04"/>
    <w:rsid w:val="0095173B"/>
    <w:rsid w:val="009530BE"/>
    <w:rsid w:val="0095437C"/>
    <w:rsid w:val="009551AF"/>
    <w:rsid w:val="00960A30"/>
    <w:rsid w:val="0096107F"/>
    <w:rsid w:val="009668D7"/>
    <w:rsid w:val="00967179"/>
    <w:rsid w:val="0097012A"/>
    <w:rsid w:val="00973946"/>
    <w:rsid w:val="00973BB3"/>
    <w:rsid w:val="009744F0"/>
    <w:rsid w:val="00981848"/>
    <w:rsid w:val="0098466D"/>
    <w:rsid w:val="009861E7"/>
    <w:rsid w:val="00987592"/>
    <w:rsid w:val="009921BE"/>
    <w:rsid w:val="009936DF"/>
    <w:rsid w:val="009962EC"/>
    <w:rsid w:val="00996AEE"/>
    <w:rsid w:val="00997572"/>
    <w:rsid w:val="009979DB"/>
    <w:rsid w:val="009A1441"/>
    <w:rsid w:val="009A6909"/>
    <w:rsid w:val="009B3D49"/>
    <w:rsid w:val="009B46DD"/>
    <w:rsid w:val="009B4C8F"/>
    <w:rsid w:val="009B55FC"/>
    <w:rsid w:val="009C1AA9"/>
    <w:rsid w:val="009C2348"/>
    <w:rsid w:val="009C39AA"/>
    <w:rsid w:val="009C3A5A"/>
    <w:rsid w:val="009C46E9"/>
    <w:rsid w:val="009D4BE9"/>
    <w:rsid w:val="009E4EF5"/>
    <w:rsid w:val="009F6C7F"/>
    <w:rsid w:val="009F72F8"/>
    <w:rsid w:val="00A05DA8"/>
    <w:rsid w:val="00A16341"/>
    <w:rsid w:val="00A20FDE"/>
    <w:rsid w:val="00A22981"/>
    <w:rsid w:val="00A234D9"/>
    <w:rsid w:val="00A24400"/>
    <w:rsid w:val="00A244F5"/>
    <w:rsid w:val="00A24AB8"/>
    <w:rsid w:val="00A2780F"/>
    <w:rsid w:val="00A3003D"/>
    <w:rsid w:val="00A32AF8"/>
    <w:rsid w:val="00A33491"/>
    <w:rsid w:val="00A369CA"/>
    <w:rsid w:val="00A40DDE"/>
    <w:rsid w:val="00A427E3"/>
    <w:rsid w:val="00A505C5"/>
    <w:rsid w:val="00A53788"/>
    <w:rsid w:val="00A635BE"/>
    <w:rsid w:val="00A644C2"/>
    <w:rsid w:val="00A64DDD"/>
    <w:rsid w:val="00A6583F"/>
    <w:rsid w:val="00A70FFA"/>
    <w:rsid w:val="00A7165B"/>
    <w:rsid w:val="00A72978"/>
    <w:rsid w:val="00A7591C"/>
    <w:rsid w:val="00A80748"/>
    <w:rsid w:val="00A84BC9"/>
    <w:rsid w:val="00A84CFC"/>
    <w:rsid w:val="00A915DD"/>
    <w:rsid w:val="00A91A8C"/>
    <w:rsid w:val="00A93E99"/>
    <w:rsid w:val="00A94150"/>
    <w:rsid w:val="00AA2ECE"/>
    <w:rsid w:val="00AA54BE"/>
    <w:rsid w:val="00AB0957"/>
    <w:rsid w:val="00AB098A"/>
    <w:rsid w:val="00AB31D7"/>
    <w:rsid w:val="00AB4F00"/>
    <w:rsid w:val="00AC53E7"/>
    <w:rsid w:val="00AC64B4"/>
    <w:rsid w:val="00AD01F6"/>
    <w:rsid w:val="00AD1F0C"/>
    <w:rsid w:val="00AD6500"/>
    <w:rsid w:val="00AD6667"/>
    <w:rsid w:val="00AD7D61"/>
    <w:rsid w:val="00AE1F12"/>
    <w:rsid w:val="00AE235D"/>
    <w:rsid w:val="00AE270B"/>
    <w:rsid w:val="00AE2F67"/>
    <w:rsid w:val="00AE77F8"/>
    <w:rsid w:val="00AE7868"/>
    <w:rsid w:val="00AF48E4"/>
    <w:rsid w:val="00B01FAD"/>
    <w:rsid w:val="00B035F9"/>
    <w:rsid w:val="00B04282"/>
    <w:rsid w:val="00B064F9"/>
    <w:rsid w:val="00B0659D"/>
    <w:rsid w:val="00B10A7D"/>
    <w:rsid w:val="00B11CEA"/>
    <w:rsid w:val="00B158D6"/>
    <w:rsid w:val="00B16948"/>
    <w:rsid w:val="00B231D1"/>
    <w:rsid w:val="00B2435C"/>
    <w:rsid w:val="00B2617E"/>
    <w:rsid w:val="00B26E0F"/>
    <w:rsid w:val="00B270C7"/>
    <w:rsid w:val="00B2756E"/>
    <w:rsid w:val="00B2767E"/>
    <w:rsid w:val="00B27C4F"/>
    <w:rsid w:val="00B300C3"/>
    <w:rsid w:val="00B30E99"/>
    <w:rsid w:val="00B332FB"/>
    <w:rsid w:val="00B33477"/>
    <w:rsid w:val="00B40300"/>
    <w:rsid w:val="00B43DDD"/>
    <w:rsid w:val="00B4438A"/>
    <w:rsid w:val="00B4497B"/>
    <w:rsid w:val="00B467DE"/>
    <w:rsid w:val="00B47B8B"/>
    <w:rsid w:val="00B506F6"/>
    <w:rsid w:val="00B50C3D"/>
    <w:rsid w:val="00B517B7"/>
    <w:rsid w:val="00B565F2"/>
    <w:rsid w:val="00B62E72"/>
    <w:rsid w:val="00B73F89"/>
    <w:rsid w:val="00B76F77"/>
    <w:rsid w:val="00B82B75"/>
    <w:rsid w:val="00B8442F"/>
    <w:rsid w:val="00B8511E"/>
    <w:rsid w:val="00B85251"/>
    <w:rsid w:val="00B8692A"/>
    <w:rsid w:val="00B872E8"/>
    <w:rsid w:val="00B872EB"/>
    <w:rsid w:val="00B909D2"/>
    <w:rsid w:val="00B90B1C"/>
    <w:rsid w:val="00B95980"/>
    <w:rsid w:val="00BA19C7"/>
    <w:rsid w:val="00BA45C9"/>
    <w:rsid w:val="00BA4D8B"/>
    <w:rsid w:val="00BA72BD"/>
    <w:rsid w:val="00BB2866"/>
    <w:rsid w:val="00BB381E"/>
    <w:rsid w:val="00BB5023"/>
    <w:rsid w:val="00BB7869"/>
    <w:rsid w:val="00BC267C"/>
    <w:rsid w:val="00BC5968"/>
    <w:rsid w:val="00BC6509"/>
    <w:rsid w:val="00BD2AF3"/>
    <w:rsid w:val="00BD2E8B"/>
    <w:rsid w:val="00BD43F2"/>
    <w:rsid w:val="00BD576D"/>
    <w:rsid w:val="00BD5C74"/>
    <w:rsid w:val="00BE650C"/>
    <w:rsid w:val="00BF0842"/>
    <w:rsid w:val="00BF1C5C"/>
    <w:rsid w:val="00BF3995"/>
    <w:rsid w:val="00BF5A4C"/>
    <w:rsid w:val="00BF7E6B"/>
    <w:rsid w:val="00C004F8"/>
    <w:rsid w:val="00C006CC"/>
    <w:rsid w:val="00C0194D"/>
    <w:rsid w:val="00C07317"/>
    <w:rsid w:val="00C1158A"/>
    <w:rsid w:val="00C1289F"/>
    <w:rsid w:val="00C12D07"/>
    <w:rsid w:val="00C14BB1"/>
    <w:rsid w:val="00C155E4"/>
    <w:rsid w:val="00C16433"/>
    <w:rsid w:val="00C223D1"/>
    <w:rsid w:val="00C23BA6"/>
    <w:rsid w:val="00C263BF"/>
    <w:rsid w:val="00C27DBF"/>
    <w:rsid w:val="00C310DC"/>
    <w:rsid w:val="00C346EC"/>
    <w:rsid w:val="00C40EC0"/>
    <w:rsid w:val="00C4314D"/>
    <w:rsid w:val="00C43734"/>
    <w:rsid w:val="00C437DE"/>
    <w:rsid w:val="00C43EAE"/>
    <w:rsid w:val="00C44F02"/>
    <w:rsid w:val="00C45073"/>
    <w:rsid w:val="00C479E8"/>
    <w:rsid w:val="00C50266"/>
    <w:rsid w:val="00C50F86"/>
    <w:rsid w:val="00C5108D"/>
    <w:rsid w:val="00C538F0"/>
    <w:rsid w:val="00C55606"/>
    <w:rsid w:val="00C568B2"/>
    <w:rsid w:val="00C56CF4"/>
    <w:rsid w:val="00C63703"/>
    <w:rsid w:val="00C706AD"/>
    <w:rsid w:val="00C70752"/>
    <w:rsid w:val="00C715FA"/>
    <w:rsid w:val="00C74752"/>
    <w:rsid w:val="00C765F7"/>
    <w:rsid w:val="00C8339F"/>
    <w:rsid w:val="00C834EC"/>
    <w:rsid w:val="00C86AC6"/>
    <w:rsid w:val="00CA1575"/>
    <w:rsid w:val="00CA1679"/>
    <w:rsid w:val="00CA201D"/>
    <w:rsid w:val="00CA4699"/>
    <w:rsid w:val="00CC03EB"/>
    <w:rsid w:val="00CC0586"/>
    <w:rsid w:val="00CC2E8A"/>
    <w:rsid w:val="00CD3049"/>
    <w:rsid w:val="00CD6D1C"/>
    <w:rsid w:val="00CD71E8"/>
    <w:rsid w:val="00CE3F51"/>
    <w:rsid w:val="00CF3478"/>
    <w:rsid w:val="00CF3B0C"/>
    <w:rsid w:val="00CF586A"/>
    <w:rsid w:val="00CF6BE5"/>
    <w:rsid w:val="00CF6DD4"/>
    <w:rsid w:val="00D00015"/>
    <w:rsid w:val="00D068CF"/>
    <w:rsid w:val="00D113B3"/>
    <w:rsid w:val="00D1359D"/>
    <w:rsid w:val="00D13FC5"/>
    <w:rsid w:val="00D14E02"/>
    <w:rsid w:val="00D20021"/>
    <w:rsid w:val="00D25870"/>
    <w:rsid w:val="00D25949"/>
    <w:rsid w:val="00D307A6"/>
    <w:rsid w:val="00D35040"/>
    <w:rsid w:val="00D358F7"/>
    <w:rsid w:val="00D3634D"/>
    <w:rsid w:val="00D402A6"/>
    <w:rsid w:val="00D408A7"/>
    <w:rsid w:val="00D42DE4"/>
    <w:rsid w:val="00D45B4E"/>
    <w:rsid w:val="00D47F05"/>
    <w:rsid w:val="00D528AB"/>
    <w:rsid w:val="00D557B4"/>
    <w:rsid w:val="00D62250"/>
    <w:rsid w:val="00D6258D"/>
    <w:rsid w:val="00D70372"/>
    <w:rsid w:val="00D7080F"/>
    <w:rsid w:val="00D70D41"/>
    <w:rsid w:val="00D71064"/>
    <w:rsid w:val="00D74408"/>
    <w:rsid w:val="00D764F5"/>
    <w:rsid w:val="00D8589B"/>
    <w:rsid w:val="00D91054"/>
    <w:rsid w:val="00D9143A"/>
    <w:rsid w:val="00D933D0"/>
    <w:rsid w:val="00D979E6"/>
    <w:rsid w:val="00DA2827"/>
    <w:rsid w:val="00DA3A68"/>
    <w:rsid w:val="00DA3A83"/>
    <w:rsid w:val="00DB7072"/>
    <w:rsid w:val="00DC0417"/>
    <w:rsid w:val="00DC23F5"/>
    <w:rsid w:val="00DC5DA3"/>
    <w:rsid w:val="00DC6880"/>
    <w:rsid w:val="00DD237F"/>
    <w:rsid w:val="00DD603B"/>
    <w:rsid w:val="00DE2EE5"/>
    <w:rsid w:val="00DE310B"/>
    <w:rsid w:val="00DE415A"/>
    <w:rsid w:val="00DE50B9"/>
    <w:rsid w:val="00DF0228"/>
    <w:rsid w:val="00DF1DEE"/>
    <w:rsid w:val="00DF576B"/>
    <w:rsid w:val="00DF660D"/>
    <w:rsid w:val="00E0074E"/>
    <w:rsid w:val="00E04DBA"/>
    <w:rsid w:val="00E0563A"/>
    <w:rsid w:val="00E075A3"/>
    <w:rsid w:val="00E10A0F"/>
    <w:rsid w:val="00E127A0"/>
    <w:rsid w:val="00E30A48"/>
    <w:rsid w:val="00E32AC9"/>
    <w:rsid w:val="00E34F2D"/>
    <w:rsid w:val="00E37357"/>
    <w:rsid w:val="00E4532B"/>
    <w:rsid w:val="00E46905"/>
    <w:rsid w:val="00E4728C"/>
    <w:rsid w:val="00E53EAB"/>
    <w:rsid w:val="00E54F1B"/>
    <w:rsid w:val="00E54F39"/>
    <w:rsid w:val="00E56E88"/>
    <w:rsid w:val="00E57BD3"/>
    <w:rsid w:val="00E60627"/>
    <w:rsid w:val="00E60915"/>
    <w:rsid w:val="00E63883"/>
    <w:rsid w:val="00E66161"/>
    <w:rsid w:val="00E71336"/>
    <w:rsid w:val="00E739A3"/>
    <w:rsid w:val="00E743AC"/>
    <w:rsid w:val="00E759DD"/>
    <w:rsid w:val="00E85370"/>
    <w:rsid w:val="00E862C9"/>
    <w:rsid w:val="00EA199B"/>
    <w:rsid w:val="00EA7B4F"/>
    <w:rsid w:val="00EB26AD"/>
    <w:rsid w:val="00EB4066"/>
    <w:rsid w:val="00EB66AA"/>
    <w:rsid w:val="00EB7D5A"/>
    <w:rsid w:val="00EC0AF3"/>
    <w:rsid w:val="00EC12E6"/>
    <w:rsid w:val="00EC31D7"/>
    <w:rsid w:val="00ED5B64"/>
    <w:rsid w:val="00ED62B3"/>
    <w:rsid w:val="00EE0AF7"/>
    <w:rsid w:val="00EE1592"/>
    <w:rsid w:val="00EE231F"/>
    <w:rsid w:val="00EE41F3"/>
    <w:rsid w:val="00EE5EB9"/>
    <w:rsid w:val="00EF3345"/>
    <w:rsid w:val="00EF41E1"/>
    <w:rsid w:val="00EF494B"/>
    <w:rsid w:val="00EF51B7"/>
    <w:rsid w:val="00EF625E"/>
    <w:rsid w:val="00EF7D5B"/>
    <w:rsid w:val="00F03F54"/>
    <w:rsid w:val="00F07F01"/>
    <w:rsid w:val="00F133FA"/>
    <w:rsid w:val="00F17155"/>
    <w:rsid w:val="00F21CBA"/>
    <w:rsid w:val="00F23070"/>
    <w:rsid w:val="00F314DB"/>
    <w:rsid w:val="00F37721"/>
    <w:rsid w:val="00F42619"/>
    <w:rsid w:val="00F42DB8"/>
    <w:rsid w:val="00F42EC3"/>
    <w:rsid w:val="00F43435"/>
    <w:rsid w:val="00F474C4"/>
    <w:rsid w:val="00F47F4C"/>
    <w:rsid w:val="00F52C02"/>
    <w:rsid w:val="00F55466"/>
    <w:rsid w:val="00F57326"/>
    <w:rsid w:val="00F62FD1"/>
    <w:rsid w:val="00F707D2"/>
    <w:rsid w:val="00F73985"/>
    <w:rsid w:val="00F75F1B"/>
    <w:rsid w:val="00F83EFE"/>
    <w:rsid w:val="00F84D86"/>
    <w:rsid w:val="00F859BB"/>
    <w:rsid w:val="00F96412"/>
    <w:rsid w:val="00F970C1"/>
    <w:rsid w:val="00FA34BC"/>
    <w:rsid w:val="00FA506B"/>
    <w:rsid w:val="00FA5203"/>
    <w:rsid w:val="00FA5FD4"/>
    <w:rsid w:val="00FA6A10"/>
    <w:rsid w:val="00FA6FF1"/>
    <w:rsid w:val="00FA7A5D"/>
    <w:rsid w:val="00FB13F6"/>
    <w:rsid w:val="00FB1F9F"/>
    <w:rsid w:val="00FB442C"/>
    <w:rsid w:val="00FB5234"/>
    <w:rsid w:val="00FB53AD"/>
    <w:rsid w:val="00FB76F0"/>
    <w:rsid w:val="00FC310A"/>
    <w:rsid w:val="00FC7FEE"/>
    <w:rsid w:val="00FD1F27"/>
    <w:rsid w:val="00FD370E"/>
    <w:rsid w:val="00FD48A9"/>
    <w:rsid w:val="00FE02E8"/>
    <w:rsid w:val="00FE07B2"/>
    <w:rsid w:val="00FE0C0E"/>
    <w:rsid w:val="00FE2085"/>
    <w:rsid w:val="00FE4382"/>
    <w:rsid w:val="00FE479B"/>
    <w:rsid w:val="00FE4835"/>
    <w:rsid w:val="00FE56AA"/>
    <w:rsid w:val="00FE7ECE"/>
    <w:rsid w:val="00FF392D"/>
    <w:rsid w:val="00FF4583"/>
    <w:rsid w:val="00FF5B7E"/>
    <w:rsid w:val="00FF641D"/>
    <w:rsid w:val="00FF786E"/>
    <w:rsid w:val="12046A50"/>
    <w:rsid w:val="38FD285E"/>
    <w:rsid w:val="616C7B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CBD7DE"/>
  <w15:docId w15:val="{5E22AE2F-D958-4159-B822-EB797C5D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ListParagraph"/>
    <w:next w:val="Normal"/>
    <w:link w:val="Heading1Char"/>
    <w:uiPriority w:val="9"/>
    <w:qFormat/>
    <w:rsid w:val="009B55FC"/>
    <w:pPr>
      <w:numPr>
        <w:numId w:val="1"/>
      </w:numPr>
      <w:tabs>
        <w:tab w:val="left" w:pos="460"/>
      </w:tabs>
      <w:spacing w:before="240" w:after="240"/>
      <w:ind w:left="0" w:firstLine="0"/>
      <w:outlineLvl w:val="0"/>
    </w:pPr>
    <w:rPr>
      <w:rFonts w:ascii="Times New Roman" w:hAnsi="Times New Roman" w:cs="Times New Roman"/>
      <w:b/>
      <w:bCs/>
      <w:sz w:val="24"/>
    </w:rPr>
  </w:style>
  <w:style w:type="paragraph" w:styleId="Heading2">
    <w:name w:val="heading 2"/>
    <w:basedOn w:val="ListParagraph"/>
    <w:next w:val="Normal"/>
    <w:link w:val="Heading2Char"/>
    <w:uiPriority w:val="9"/>
    <w:unhideWhenUsed/>
    <w:qFormat/>
    <w:rsid w:val="009B55FC"/>
    <w:pPr>
      <w:numPr>
        <w:ilvl w:val="1"/>
        <w:numId w:val="1"/>
      </w:numPr>
      <w:spacing w:before="0"/>
      <w:ind w:left="446" w:hanging="446"/>
      <w:outlineLvl w:val="1"/>
    </w:pPr>
    <w:rPr>
      <w:rFonts w:ascii="Times New Roman" w:hAnsi="Times New Roman" w:cs="Times New Roman"/>
      <w:sz w:val="24"/>
      <w:u w:val="single"/>
    </w:rPr>
  </w:style>
  <w:style w:type="paragraph" w:styleId="Heading3">
    <w:name w:val="heading 3"/>
    <w:basedOn w:val="Normal"/>
    <w:next w:val="Normal"/>
    <w:link w:val="Heading3Char"/>
    <w:uiPriority w:val="9"/>
    <w:unhideWhenUsed/>
    <w:qFormat/>
    <w:rsid w:val="009B55FC"/>
    <w:pPr>
      <w:tabs>
        <w:tab w:val="left" w:pos="540"/>
        <w:tab w:val="left" w:pos="5760"/>
        <w:tab w:val="left" w:pos="6480"/>
        <w:tab w:val="left" w:pos="7200"/>
        <w:tab w:val="left" w:pos="7920"/>
        <w:tab w:val="left" w:pos="8640"/>
        <w:tab w:val="left" w:pos="9360"/>
      </w:tabs>
      <w:ind w:left="360"/>
      <w:outlineLvl w:val="2"/>
    </w:pPr>
    <w:rPr>
      <w:b/>
      <w:bCs/>
      <w:sz w:val="24"/>
      <w:szCs w:val="24"/>
      <w:u w:val="single"/>
    </w:rPr>
  </w:style>
  <w:style w:type="paragraph" w:styleId="Heading4">
    <w:name w:val="heading 4"/>
    <w:basedOn w:val="BodyText"/>
    <w:next w:val="Normal"/>
    <w:link w:val="Heading4Char"/>
    <w:uiPriority w:val="9"/>
    <w:unhideWhenUsed/>
    <w:qFormat/>
    <w:rsid w:val="009B55FC"/>
    <w:pPr>
      <w:tabs>
        <w:tab w:val="left" w:pos="540"/>
      </w:tabs>
      <w:spacing w:line="247" w:lineRule="auto"/>
      <w:ind w:left="360"/>
      <w:outlineLvl w:val="3"/>
    </w:pPr>
    <w:rPr>
      <w:u w:val="single"/>
    </w:rPr>
  </w:style>
  <w:style w:type="paragraph" w:styleId="Heading5">
    <w:name w:val="heading 5"/>
    <w:basedOn w:val="BodyText"/>
    <w:next w:val="Normal"/>
    <w:link w:val="Heading5Char"/>
    <w:uiPriority w:val="9"/>
    <w:unhideWhenUsed/>
    <w:qFormat/>
    <w:rsid w:val="004E5C29"/>
    <w:pPr>
      <w:spacing w:before="1"/>
      <w:ind w:left="720"/>
      <w:outlineLvl w:val="4"/>
    </w:pPr>
    <w:rPr>
      <w:b/>
      <w:bCs/>
      <w:u w:val="single"/>
    </w:rPr>
  </w:style>
  <w:style w:type="paragraph" w:styleId="Heading6">
    <w:name w:val="heading 6"/>
    <w:basedOn w:val="BodyText"/>
    <w:next w:val="Normal"/>
    <w:link w:val="Heading6Char"/>
    <w:uiPriority w:val="9"/>
    <w:unhideWhenUsed/>
    <w:qFormat/>
    <w:rsid w:val="004E5C29"/>
    <w:pPr>
      <w:spacing w:before="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221"/>
      <w:ind w:left="480" w:hanging="360"/>
    </w:pPr>
    <w:rPr>
      <w:rFonts w:ascii="Calibri" w:eastAsia="Calibri" w:hAnsi="Calibri" w:cs="Calibri"/>
    </w:rPr>
  </w:style>
  <w:style w:type="paragraph" w:customStyle="1" w:styleId="TableParagraph">
    <w:name w:val="Table Paragraph"/>
    <w:basedOn w:val="Normal"/>
    <w:uiPriority w:val="1"/>
    <w:qFormat/>
    <w:pPr>
      <w:spacing w:before="1"/>
    </w:pPr>
  </w:style>
  <w:style w:type="paragraph" w:styleId="BalloonText">
    <w:name w:val="Balloon Text"/>
    <w:basedOn w:val="Normal"/>
    <w:link w:val="BalloonTextChar"/>
    <w:uiPriority w:val="99"/>
    <w:semiHidden/>
    <w:unhideWhenUsed/>
    <w:rsid w:val="00046C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C9B"/>
    <w:rPr>
      <w:rFonts w:ascii="Segoe UI" w:eastAsia="Times New Roman" w:hAnsi="Segoe UI" w:cs="Segoe UI"/>
      <w:sz w:val="18"/>
      <w:szCs w:val="18"/>
    </w:rPr>
  </w:style>
  <w:style w:type="paragraph" w:styleId="Revision">
    <w:name w:val="Revision"/>
    <w:hidden/>
    <w:uiPriority w:val="99"/>
    <w:semiHidden/>
    <w:rsid w:val="001B0ED2"/>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BB5023"/>
    <w:pPr>
      <w:tabs>
        <w:tab w:val="center" w:pos="4680"/>
        <w:tab w:val="right" w:pos="9360"/>
      </w:tabs>
    </w:pPr>
  </w:style>
  <w:style w:type="character" w:customStyle="1" w:styleId="HeaderChar">
    <w:name w:val="Header Char"/>
    <w:basedOn w:val="DefaultParagraphFont"/>
    <w:link w:val="Header"/>
    <w:uiPriority w:val="99"/>
    <w:rsid w:val="00BB5023"/>
    <w:rPr>
      <w:rFonts w:ascii="Times New Roman" w:eastAsia="Times New Roman" w:hAnsi="Times New Roman" w:cs="Times New Roman"/>
    </w:rPr>
  </w:style>
  <w:style w:type="paragraph" w:styleId="Footer">
    <w:name w:val="footer"/>
    <w:basedOn w:val="Normal"/>
    <w:link w:val="FooterChar"/>
    <w:uiPriority w:val="99"/>
    <w:unhideWhenUsed/>
    <w:rsid w:val="00BB5023"/>
    <w:pPr>
      <w:tabs>
        <w:tab w:val="center" w:pos="4680"/>
        <w:tab w:val="right" w:pos="9360"/>
      </w:tabs>
    </w:pPr>
  </w:style>
  <w:style w:type="character" w:customStyle="1" w:styleId="FooterChar">
    <w:name w:val="Footer Char"/>
    <w:basedOn w:val="DefaultParagraphFont"/>
    <w:link w:val="Footer"/>
    <w:uiPriority w:val="99"/>
    <w:rsid w:val="00BB5023"/>
    <w:rPr>
      <w:rFonts w:ascii="Times New Roman" w:eastAsia="Times New Roman" w:hAnsi="Times New Roman" w:cs="Times New Roman"/>
    </w:rPr>
  </w:style>
  <w:style w:type="character" w:styleId="CommentReference">
    <w:name w:val="annotation reference"/>
    <w:basedOn w:val="DefaultParagraphFont"/>
    <w:unhideWhenUsed/>
    <w:qFormat/>
    <w:rsid w:val="00DF576B"/>
    <w:rPr>
      <w:sz w:val="16"/>
      <w:szCs w:val="16"/>
    </w:rPr>
  </w:style>
  <w:style w:type="paragraph" w:styleId="CommentText">
    <w:name w:val="annotation text"/>
    <w:basedOn w:val="Normal"/>
    <w:link w:val="CommentTextChar"/>
    <w:unhideWhenUsed/>
    <w:qFormat/>
    <w:rsid w:val="00DF576B"/>
    <w:rPr>
      <w:sz w:val="20"/>
      <w:szCs w:val="20"/>
    </w:rPr>
  </w:style>
  <w:style w:type="character" w:customStyle="1" w:styleId="CommentTextChar">
    <w:name w:val="Comment Text Char"/>
    <w:basedOn w:val="DefaultParagraphFont"/>
    <w:link w:val="CommentText"/>
    <w:rsid w:val="00DF57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576B"/>
    <w:rPr>
      <w:b/>
      <w:bCs/>
    </w:rPr>
  </w:style>
  <w:style w:type="character" w:customStyle="1" w:styleId="CommentSubjectChar">
    <w:name w:val="Comment Subject Char"/>
    <w:basedOn w:val="CommentTextChar"/>
    <w:link w:val="CommentSubject"/>
    <w:uiPriority w:val="99"/>
    <w:semiHidden/>
    <w:rsid w:val="00DF576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933D0"/>
    <w:rPr>
      <w:color w:val="0000FF" w:themeColor="hyperlink"/>
      <w:u w:val="single"/>
    </w:rPr>
  </w:style>
  <w:style w:type="character" w:styleId="UnresolvedMention">
    <w:name w:val="Unresolved Mention"/>
    <w:basedOn w:val="DefaultParagraphFont"/>
    <w:uiPriority w:val="99"/>
    <w:semiHidden/>
    <w:unhideWhenUsed/>
    <w:rsid w:val="00D113B3"/>
    <w:rPr>
      <w:color w:val="605E5C"/>
      <w:shd w:val="clear" w:color="auto" w:fill="E1DFDD"/>
    </w:rPr>
  </w:style>
  <w:style w:type="paragraph" w:styleId="FootnoteText">
    <w:name w:val="footnote text"/>
    <w:basedOn w:val="Normal"/>
    <w:link w:val="FootnoteTextChar"/>
    <w:uiPriority w:val="99"/>
    <w:unhideWhenUsed/>
    <w:qFormat/>
    <w:rsid w:val="007E4BF2"/>
    <w:rPr>
      <w:sz w:val="20"/>
      <w:szCs w:val="20"/>
    </w:rPr>
  </w:style>
  <w:style w:type="character" w:customStyle="1" w:styleId="FootnoteTextChar">
    <w:name w:val="Footnote Text Char"/>
    <w:basedOn w:val="DefaultParagraphFont"/>
    <w:link w:val="FootnoteText"/>
    <w:uiPriority w:val="99"/>
    <w:rsid w:val="007E4BF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E4BF2"/>
    <w:rPr>
      <w:vertAlign w:val="superscript"/>
    </w:rPr>
  </w:style>
  <w:style w:type="character" w:customStyle="1" w:styleId="BodyTextChar">
    <w:name w:val="Body Text Char"/>
    <w:basedOn w:val="DefaultParagraphFont"/>
    <w:link w:val="BodyText"/>
    <w:uiPriority w:val="1"/>
    <w:rsid w:val="00C0194D"/>
    <w:rPr>
      <w:rFonts w:ascii="Times New Roman" w:eastAsia="Times New Roman" w:hAnsi="Times New Roman" w:cs="Times New Roman"/>
      <w:sz w:val="24"/>
      <w:szCs w:val="24"/>
    </w:rPr>
  </w:style>
  <w:style w:type="table" w:styleId="TableGrid">
    <w:name w:val="Table Grid"/>
    <w:basedOn w:val="TableNormal"/>
    <w:uiPriority w:val="39"/>
    <w:rsid w:val="00744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FE208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85F2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ListBullet">
    <w:name w:val="List Bullet"/>
    <w:basedOn w:val="Normal"/>
    <w:uiPriority w:val="99"/>
    <w:unhideWhenUsed/>
    <w:rsid w:val="008746C7"/>
    <w:pPr>
      <w:contextualSpacing/>
    </w:pPr>
  </w:style>
  <w:style w:type="paragraph" w:customStyle="1" w:styleId="Style0">
    <w:name w:val="Style0"/>
    <w:rsid w:val="0097012A"/>
    <w:pPr>
      <w:widowControl/>
      <w:autoSpaceDE/>
      <w:autoSpaceDN/>
    </w:pPr>
    <w:rPr>
      <w:rFonts w:ascii="Times New Roman" w:eastAsia="Times New Roman" w:hAnsi="Times New Roman" w:cs="Times New Roman"/>
      <w:snapToGrid w:val="0"/>
      <w:sz w:val="24"/>
      <w:szCs w:val="20"/>
    </w:rPr>
  </w:style>
  <w:style w:type="character" w:customStyle="1" w:styleId="Heading1Char">
    <w:name w:val="Heading 1 Char"/>
    <w:basedOn w:val="DefaultParagraphFont"/>
    <w:link w:val="Heading1"/>
    <w:uiPriority w:val="9"/>
    <w:rsid w:val="009B55FC"/>
    <w:rPr>
      <w:rFonts w:ascii="Times New Roman" w:eastAsia="Calibri" w:hAnsi="Times New Roman" w:cs="Times New Roman"/>
      <w:b/>
      <w:bCs/>
      <w:sz w:val="24"/>
    </w:rPr>
  </w:style>
  <w:style w:type="character" w:customStyle="1" w:styleId="Heading2Char">
    <w:name w:val="Heading 2 Char"/>
    <w:basedOn w:val="DefaultParagraphFont"/>
    <w:link w:val="Heading2"/>
    <w:uiPriority w:val="9"/>
    <w:rsid w:val="009B55FC"/>
    <w:rPr>
      <w:rFonts w:ascii="Times New Roman" w:eastAsia="Calibri" w:hAnsi="Times New Roman" w:cs="Times New Roman"/>
      <w:sz w:val="24"/>
      <w:u w:val="single"/>
    </w:rPr>
  </w:style>
  <w:style w:type="character" w:customStyle="1" w:styleId="Heading3Char">
    <w:name w:val="Heading 3 Char"/>
    <w:basedOn w:val="DefaultParagraphFont"/>
    <w:link w:val="Heading3"/>
    <w:uiPriority w:val="9"/>
    <w:rsid w:val="009B55FC"/>
    <w:rPr>
      <w:rFonts w:ascii="Times New Roman" w:eastAsia="Times New Roman" w:hAnsi="Times New Roman" w:cs="Times New Roman"/>
      <w:b/>
      <w:bCs/>
      <w:sz w:val="24"/>
      <w:szCs w:val="24"/>
      <w:u w:val="single"/>
    </w:rPr>
  </w:style>
  <w:style w:type="character" w:customStyle="1" w:styleId="Heading4Char">
    <w:name w:val="Heading 4 Char"/>
    <w:basedOn w:val="DefaultParagraphFont"/>
    <w:link w:val="Heading4"/>
    <w:uiPriority w:val="9"/>
    <w:rsid w:val="009B55FC"/>
    <w:rPr>
      <w:rFonts w:ascii="Times New Roman" w:eastAsia="Times New Roman" w:hAnsi="Times New Roman" w:cs="Times New Roman"/>
      <w:sz w:val="24"/>
      <w:szCs w:val="24"/>
      <w:u w:val="single"/>
    </w:rPr>
  </w:style>
  <w:style w:type="character" w:customStyle="1" w:styleId="Heading5Char">
    <w:name w:val="Heading 5 Char"/>
    <w:basedOn w:val="DefaultParagraphFont"/>
    <w:link w:val="Heading5"/>
    <w:uiPriority w:val="9"/>
    <w:rsid w:val="004E5C29"/>
    <w:rPr>
      <w:rFonts w:ascii="Times New Roman" w:eastAsia="Times New Roman" w:hAnsi="Times New Roman" w:cs="Times New Roman"/>
      <w:b/>
      <w:bCs/>
      <w:sz w:val="24"/>
      <w:szCs w:val="24"/>
      <w:u w:val="single"/>
    </w:rPr>
  </w:style>
  <w:style w:type="character" w:customStyle="1" w:styleId="Heading6Char">
    <w:name w:val="Heading 6 Char"/>
    <w:basedOn w:val="DefaultParagraphFont"/>
    <w:link w:val="Heading6"/>
    <w:uiPriority w:val="9"/>
    <w:rsid w:val="004E5C29"/>
    <w:rPr>
      <w:rFonts w:ascii="Times New Roman" w:eastAsia="Times New Roman" w:hAnsi="Times New Roman" w:cs="Times New Roman"/>
      <w:sz w:val="24"/>
      <w:szCs w:val="24"/>
      <w:u w:val="single"/>
    </w:rPr>
  </w:style>
  <w:style w:type="paragraph" w:styleId="Title">
    <w:name w:val="Title"/>
    <w:basedOn w:val="CommentText"/>
    <w:next w:val="Normal"/>
    <w:link w:val="TitleChar"/>
    <w:uiPriority w:val="10"/>
    <w:qFormat/>
    <w:rsid w:val="00B270C7"/>
    <w:pPr>
      <w:jc w:val="center"/>
    </w:pPr>
    <w:rPr>
      <w:b/>
      <w:bCs/>
      <w:sz w:val="24"/>
      <w:szCs w:val="28"/>
    </w:rPr>
  </w:style>
  <w:style w:type="character" w:customStyle="1" w:styleId="TitleChar">
    <w:name w:val="Title Char"/>
    <w:basedOn w:val="DefaultParagraphFont"/>
    <w:link w:val="Title"/>
    <w:uiPriority w:val="10"/>
    <w:rsid w:val="00B270C7"/>
    <w:rPr>
      <w:rFonts w:ascii="Times New Roman" w:eastAsia="Times New Roman" w:hAnsi="Times New Roman" w:cs="Times New Roman"/>
      <w:b/>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42/section-482.72" TargetMode="External" /><Relationship Id="rId11" Type="http://schemas.openxmlformats.org/officeDocument/2006/relationships/hyperlink" Target="https://www.ecfr.gov/current/title-42/section-482.104" TargetMode="External" /><Relationship Id="rId12" Type="http://schemas.openxmlformats.org/officeDocument/2006/relationships/hyperlink" Target="https://www.ecfr.gov/current/title-42/chapter-IV/subchapter-G/part-482/subpart-E/subject-group-ECFRb0d219cb5783819/section-482.78" TargetMode="External" /><Relationship Id="rId13" Type="http://schemas.openxmlformats.org/officeDocument/2006/relationships/hyperlink" Target="https://www.ecfr.gov/current/title-5/section-1320.3" TargetMode="External" /><Relationship Id="rId14" Type="http://schemas.openxmlformats.org/officeDocument/2006/relationships/hyperlink" Target="https://www.law.cornell.edu/definitions/index.php?width=840&amp;height=800&amp;iframe=true&amp;def_id=b89f7cb63fa431f3e6cc840c567ca558&amp;term_occur=999&amp;term_src=Title:42:Chapter:IV:Subchapter:G:Part:488:Subpart:B:488.61"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qcor.cms.gov" TargetMode="External" /><Relationship Id="rId2" Type="http://schemas.openxmlformats.org/officeDocument/2006/relationships/hyperlink" Target="https://data.bls.gov/oes/" TargetMode="External" /><Relationship Id="rId3" Type="http://schemas.openxmlformats.org/officeDocument/2006/relationships/hyperlink" Target="https://www.federalregister.gov/documents/2018/09/20/2018-19599/medicare-and-medicaid-programs-regulatory-provisions-to-promote-program-efficiency-transparency-an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61EF2C577E97F43A6F1E68A7AD4EB13" ma:contentTypeVersion="8" ma:contentTypeDescription="Create a new document." ma:contentTypeScope="" ma:versionID="45588580317207e4958e19a428337bba">
  <xsd:schema xmlns:xsd="http://www.w3.org/2001/XMLSchema" xmlns:xs="http://www.w3.org/2001/XMLSchema" xmlns:p="http://schemas.microsoft.com/office/2006/metadata/properties" xmlns:ns2="a2b5d05b-e785-4026-bcf1-aa182d8efbf4" targetNamespace="http://schemas.microsoft.com/office/2006/metadata/properties" ma:root="true" ma:fieldsID="de71dba51bfd584a1945fe8476005a7e" ns2:_="">
    <xsd:import namespace="a2b5d05b-e785-4026-bcf1-aa182d8efbf4"/>
    <xsd:element name="properties">
      <xsd:complexType>
        <xsd:sequence>
          <xsd:element name="documentManagement">
            <xsd:complexType>
              <xsd:all>
                <xsd:element ref="ns2:Providers_x0020__x0026__x0020_Suppli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5d05b-e785-4026-bcf1-aa182d8efbf4" elementFormDefault="qualified">
    <xsd:import namespace="http://schemas.microsoft.com/office/2006/documentManagement/types"/>
    <xsd:import namespace="http://schemas.microsoft.com/office/infopath/2007/PartnerControls"/>
    <xsd:element name="Providers_x0020__x0026__x0020_Suppliers" ma:index="8" nillable="true" ma:displayName="Providers &amp; Suppliers" ma:default="Hospitals" ma:format="Dropdown" ma:internalName="Providers_x0020__x0026__x0020_Suppliers">
      <xsd:simpleType>
        <xsd:restriction base="dms:Choice">
          <xsd:enumeration value="Hospitals"/>
          <xsd:enumeration value="LTC Facilities"/>
          <xsd:enumeration value="OPO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viders_x0020__x0026__x0020_Suppliers xmlns="a2b5d05b-e785-4026-bcf1-aa182d8efbf4">Hospitals</Providers_x0020__x0026__x0020_Suppli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ED33A5-9093-4455-97D8-F8227FD3DE1B}">
  <ds:schemaRefs>
    <ds:schemaRef ds:uri="Microsoft.SharePoint.Taxonomy.ContentTypeSync"/>
  </ds:schemaRefs>
</ds:datastoreItem>
</file>

<file path=customXml/itemProps2.xml><?xml version="1.0" encoding="utf-8"?>
<ds:datastoreItem xmlns:ds="http://schemas.openxmlformats.org/officeDocument/2006/customXml" ds:itemID="{5C319CDD-554A-4299-88B3-BA9B59FF1FAB}">
  <ds:schemaRefs>
    <ds:schemaRef ds:uri="http://schemas.openxmlformats.org/officeDocument/2006/bibliography"/>
  </ds:schemaRefs>
</ds:datastoreItem>
</file>

<file path=customXml/itemProps3.xml><?xml version="1.0" encoding="utf-8"?>
<ds:datastoreItem xmlns:ds="http://schemas.openxmlformats.org/officeDocument/2006/customXml" ds:itemID="{8B752239-CFB9-4448-9E80-8254FE358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5d05b-e785-4026-bcf1-aa182d8ef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8E7351-F209-4C70-9415-B49A7B1EF2DD}">
  <ds:schemaRefs>
    <ds:schemaRef ds:uri="http://schemas.microsoft.com/office/2006/metadata/properties"/>
    <ds:schemaRef ds:uri="http://schemas.microsoft.com/office/infopath/2007/PartnerControls"/>
    <ds:schemaRef ds:uri="a2b5d05b-e785-4026-bcf1-aa182d8efbf4"/>
  </ds:schemaRefs>
</ds:datastoreItem>
</file>

<file path=customXml/itemProps5.xml><?xml version="1.0" encoding="utf-8"?>
<ds:datastoreItem xmlns:ds="http://schemas.openxmlformats.org/officeDocument/2006/customXml" ds:itemID="{9458BB80-04DF-44D4-876F-E202280741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7382</Words>
  <Characters>41640</Characters>
  <Application>Microsoft Office Word</Application>
  <DocSecurity>0</DocSecurity>
  <Lines>1343</Lines>
  <Paragraphs>742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CMS</Company>
  <LinksUpToDate>false</LinksUpToDate>
  <CharactersWithSpaces>48280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King, Denise (CMS/OSORA)</cp:lastModifiedBy>
  <cp:revision>4</cp:revision>
  <cp:lastPrinted>2017-07-06T15:00:00Z</cp:lastPrinted>
  <dcterms:created xsi:type="dcterms:W3CDTF">2026-03-25T00:32:00Z</dcterms:created>
  <dcterms:modified xsi:type="dcterms:W3CDTF">2026-04-16T20:42:00Z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0x010100D61EF2C577E97F43A6F1E68A7AD4EB13</vt:lpwstr>
  </property>
  <property fmtid="{D5CDD505-2E9C-101B-9397-08002B2CF9AE}" pid="3" name="Created">
    <vt:filetime>2013-06-21T00:00:00Z</vt:filetime>
  </property>
  <property fmtid="{D5CDD505-2E9C-101B-9397-08002B2CF9AE}" pid="4" name="Creator">
    <vt:lpwstr>Acrobat PDFMaker 10.1 for Word</vt:lpwstr>
  </property>
  <property fmtid="{D5CDD505-2E9C-101B-9397-08002B2CF9AE}" pid="5" name="LastSaved">
    <vt:filetime>2016-12-22T00:00:00Z</vt:filetime>
  </property>
  <property fmtid="{D5CDD505-2E9C-101B-9397-08002B2CF9AE}" pid="6" name="_NewReviewCycle">
    <vt:lpwstr/>
  </property>
</Properties>
</file>