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486F" w:rsidRPr="003A4A83" w:rsidP="003B486F" w14:paraId="09F11DE3" w14:textId="47F5FFAC">
      <w:pPr>
        <w:spacing w:before="800"/>
        <w:jc w:val="center"/>
        <w:rPr>
          <w:b/>
          <w:color w:val="000000" w:themeColor="text1"/>
          <w:sz w:val="22"/>
          <w:szCs w:val="22"/>
        </w:rPr>
      </w:pPr>
      <w:r>
        <w:rPr>
          <w:b/>
          <w:sz w:val="22"/>
          <w:szCs w:val="22"/>
        </w:rPr>
        <w:t xml:space="preserve"> </w:t>
      </w:r>
      <w:r w:rsidR="007A662F">
        <w:rPr>
          <w:b/>
          <w:sz w:val="22"/>
          <w:szCs w:val="22"/>
        </w:rPr>
        <w:t xml:space="preserve">  </w:t>
      </w:r>
      <w:r w:rsidR="00F6309A">
        <w:rPr>
          <w:b/>
          <w:sz w:val="22"/>
          <w:szCs w:val="22"/>
        </w:rPr>
        <w:t xml:space="preserve"> </w:t>
      </w:r>
      <w:r w:rsidRPr="003A4A83">
        <w:rPr>
          <w:b/>
          <w:sz w:val="22"/>
          <w:szCs w:val="22"/>
        </w:rPr>
        <w:t>U</w:t>
      </w:r>
      <w:r w:rsidRPr="003A4A83">
        <w:rPr>
          <w:b/>
          <w:color w:val="000000" w:themeColor="text1"/>
          <w:sz w:val="22"/>
          <w:szCs w:val="22"/>
        </w:rPr>
        <w:t>.S. DEPARTMENT OF HEALTH AND HUMAN SERVICES</w:t>
      </w:r>
    </w:p>
    <w:p w:rsidR="003B486F" w:rsidRPr="003A4A83" w:rsidP="003B486F" w14:paraId="02143375" w14:textId="77777777">
      <w:pPr>
        <w:jc w:val="center"/>
        <w:rPr>
          <w:b/>
          <w:color w:val="000000" w:themeColor="text1"/>
          <w:sz w:val="22"/>
          <w:szCs w:val="22"/>
        </w:rPr>
      </w:pPr>
      <w:r w:rsidRPr="003A4A83">
        <w:rPr>
          <w:b/>
          <w:color w:val="000000" w:themeColor="text1"/>
          <w:sz w:val="22"/>
          <w:szCs w:val="22"/>
        </w:rPr>
        <w:t>CENTERS FOR MEDICARE &amp; MEDICAID SERVICES</w:t>
      </w:r>
    </w:p>
    <w:p w:rsidR="003B486F" w:rsidRPr="003A4A83" w:rsidP="003B486F" w14:paraId="5C06C680" w14:textId="77777777">
      <w:pPr>
        <w:spacing w:before="800"/>
        <w:jc w:val="center"/>
        <w:rPr>
          <w:b/>
          <w:color w:val="000000" w:themeColor="text1"/>
          <w:sz w:val="22"/>
          <w:szCs w:val="22"/>
        </w:rPr>
      </w:pPr>
      <w:r w:rsidRPr="003A4A83">
        <w:rPr>
          <w:b/>
          <w:color w:val="000000" w:themeColor="text1"/>
          <w:sz w:val="22"/>
          <w:szCs w:val="22"/>
        </w:rPr>
        <w:t>OFFICE OF MANAGEMENT AND BUDGET</w:t>
      </w:r>
    </w:p>
    <w:p w:rsidR="003B486F" w:rsidRPr="003A4A83" w:rsidP="003B486F" w14:paraId="0AFA02C8" w14:textId="77777777">
      <w:pPr>
        <w:jc w:val="center"/>
        <w:rPr>
          <w:b/>
          <w:color w:val="000000" w:themeColor="text1"/>
          <w:sz w:val="22"/>
          <w:szCs w:val="22"/>
        </w:rPr>
      </w:pPr>
      <w:r w:rsidRPr="003A4A83">
        <w:rPr>
          <w:b/>
          <w:color w:val="000000" w:themeColor="text1"/>
          <w:sz w:val="22"/>
          <w:szCs w:val="22"/>
        </w:rPr>
        <w:t>PAPERWORK REDUCTION ACT</w:t>
      </w:r>
    </w:p>
    <w:p w:rsidR="003B486F" w:rsidRPr="003A4A83" w:rsidP="003B486F" w14:paraId="34497AD0" w14:textId="77777777">
      <w:pPr>
        <w:jc w:val="center"/>
        <w:rPr>
          <w:b/>
          <w:color w:val="000000" w:themeColor="text1"/>
          <w:sz w:val="22"/>
          <w:szCs w:val="22"/>
        </w:rPr>
      </w:pPr>
      <w:r w:rsidRPr="003A4A83">
        <w:rPr>
          <w:b/>
          <w:color w:val="000000" w:themeColor="text1"/>
          <w:sz w:val="22"/>
          <w:szCs w:val="22"/>
        </w:rPr>
        <w:t xml:space="preserve">CLEARANCE PACKAGE </w:t>
      </w:r>
    </w:p>
    <w:p w:rsidR="003B486F" w:rsidRPr="003A4A83" w:rsidP="003B486F" w14:paraId="01F95455" w14:textId="77777777">
      <w:pPr>
        <w:pStyle w:val="Title"/>
        <w:spacing w:before="1200" w:after="0"/>
        <w:rPr>
          <w:rFonts w:ascii="Times New Roman" w:hAnsi="Times New Roman" w:cs="Times New Roman"/>
          <w:i/>
          <w:color w:val="000000" w:themeColor="text1"/>
          <w:sz w:val="22"/>
          <w:szCs w:val="22"/>
          <w:u w:val="single"/>
        </w:rPr>
      </w:pPr>
      <w:bookmarkStart w:id="0" w:name="_Toc94773725"/>
      <w:bookmarkStart w:id="1" w:name="_Toc226541971"/>
      <w:r w:rsidRPr="003A4A83">
        <w:rPr>
          <w:rFonts w:ascii="Times New Roman" w:hAnsi="Times New Roman" w:cs="Times New Roman"/>
          <w:i/>
          <w:color w:val="000000" w:themeColor="text1"/>
          <w:sz w:val="22"/>
          <w:szCs w:val="22"/>
          <w:u w:val="single"/>
        </w:rPr>
        <w:t>SUPPORTING STATEMENT-PART A</w:t>
      </w:r>
      <w:bookmarkEnd w:id="0"/>
      <w:bookmarkEnd w:id="1"/>
    </w:p>
    <w:p w:rsidR="003B486F" w:rsidRPr="003A4A83" w:rsidP="003B486F" w14:paraId="55250164" w14:textId="78EE4779">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3A4A83">
        <w:rPr>
          <w:color w:val="000000" w:themeColor="text1"/>
          <w:sz w:val="22"/>
          <w:szCs w:val="22"/>
        </w:rPr>
        <w:t>E</w:t>
      </w:r>
      <w:r w:rsidRPr="003A4A83" w:rsidR="003C2CF0">
        <w:rPr>
          <w:color w:val="000000" w:themeColor="text1"/>
          <w:sz w:val="22"/>
          <w:szCs w:val="22"/>
        </w:rPr>
        <w:t>XTENSION</w:t>
      </w:r>
      <w:r w:rsidRPr="003A4A83">
        <w:rPr>
          <w:color w:val="000000" w:themeColor="text1"/>
          <w:sz w:val="22"/>
          <w:szCs w:val="22"/>
        </w:rPr>
        <w:t xml:space="preserve"> </w:t>
      </w:r>
      <w:r w:rsidRPr="003A4A83">
        <w:rPr>
          <w:color w:val="000000" w:themeColor="text1"/>
          <w:sz w:val="22"/>
          <w:szCs w:val="22"/>
        </w:rPr>
        <w:t>TO THE IRF-PAI (V4.</w:t>
      </w:r>
      <w:r w:rsidRPr="003A4A83" w:rsidR="00C64E51">
        <w:rPr>
          <w:color w:val="000000" w:themeColor="text1"/>
          <w:sz w:val="22"/>
          <w:szCs w:val="22"/>
        </w:rPr>
        <w:t>4</w:t>
      </w:r>
      <w:r w:rsidRPr="003A4A83">
        <w:rPr>
          <w:color w:val="000000" w:themeColor="text1"/>
          <w:sz w:val="22"/>
          <w:szCs w:val="22"/>
        </w:rPr>
        <w:t xml:space="preserve">) </w:t>
      </w:r>
    </w:p>
    <w:p w:rsidR="003B486F" w:rsidRPr="003A4A83" w:rsidP="003B486F" w14:paraId="07B3423C"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 xml:space="preserve">FOR THE COLLECTION OF DATA </w:t>
      </w:r>
    </w:p>
    <w:p w:rsidR="003B486F" w:rsidRPr="003A4A83" w:rsidP="003B486F" w14:paraId="0300A74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 xml:space="preserve">PERTAINING TO </w:t>
      </w:r>
    </w:p>
    <w:p w:rsidR="003B486F" w:rsidRPr="003A4A83" w:rsidP="003B486F" w14:paraId="4B1F14F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INPATIENT REHABILITATION FACILITY (IRF) PROSPECTIVE PAYMENT SYSTEM (PPS) &amp; QUALITY REPORTING PROGRAM (QRP)</w:t>
      </w:r>
    </w:p>
    <w:p w:rsidR="00D45B27" w:rsidRPr="003A4A83" w:rsidP="003B486F" w14:paraId="382CF2E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p>
    <w:p w:rsidR="00D45B27" w:rsidRPr="003A4A83" w:rsidP="003B486F" w14:paraId="17663ACC" w14:textId="312A874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OMB Control Number 0938-0842</w:t>
      </w:r>
    </w:p>
    <w:p w:rsidR="00D45B27" w:rsidRPr="003A4A83" w:rsidP="003B486F" w14:paraId="2C8BE6D1" w14:textId="163D8A5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CMS-10036</w:t>
      </w:r>
    </w:p>
    <w:p w:rsidR="003B486F" w:rsidRPr="003A4A83" w:rsidP="003B486F" w14:paraId="0273C8A3" w14:textId="77777777">
      <w:pPr>
        <w:jc w:val="center"/>
        <w:rPr>
          <w:b/>
          <w:i/>
          <w:color w:val="000000" w:themeColor="text1"/>
          <w:sz w:val="22"/>
          <w:szCs w:val="22"/>
          <w:u w:val="single"/>
        </w:rPr>
      </w:pPr>
      <w:bookmarkStart w:id="2" w:name="_Toc102544731"/>
      <w:bookmarkStart w:id="3" w:name="_Toc102544816"/>
      <w:bookmarkStart w:id="4" w:name="_Toc102549691"/>
      <w:r w:rsidRPr="003A4A83">
        <w:rPr>
          <w:b/>
          <w:i/>
          <w:color w:val="000000" w:themeColor="text1"/>
          <w:sz w:val="22"/>
          <w:szCs w:val="22"/>
          <w:u w:val="single"/>
        </w:rPr>
        <w:br w:type="page"/>
      </w:r>
    </w:p>
    <w:p w:rsidR="003B486F" w:rsidRPr="003A4A83" w:rsidP="003B486F" w14:paraId="2EE4C03A" w14:textId="77777777">
      <w:pPr>
        <w:jc w:val="center"/>
        <w:rPr>
          <w:i/>
          <w:color w:val="000000" w:themeColor="text1"/>
          <w:sz w:val="22"/>
          <w:szCs w:val="22"/>
          <w:u w:val="single"/>
        </w:rPr>
      </w:pPr>
      <w:r w:rsidRPr="003A4A83">
        <w:rPr>
          <w:b/>
          <w:i/>
          <w:color w:val="000000" w:themeColor="text1"/>
          <w:sz w:val="22"/>
          <w:szCs w:val="22"/>
          <w:u w:val="single"/>
        </w:rPr>
        <w:t>SUPPORTING STATEMENT-PART A</w:t>
      </w:r>
    </w:p>
    <w:p w:rsidR="003B486F" w:rsidRPr="003A4A83" w:rsidP="003B486F" w14:paraId="18AF2E97"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IRF-PAI</w:t>
      </w:r>
    </w:p>
    <w:p w:rsidR="003B486F" w:rsidRPr="003A4A83" w:rsidP="003B486F" w14:paraId="139B263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 xml:space="preserve">FOR THE COLLECTION OF DATA PERTAINING TO </w:t>
      </w:r>
    </w:p>
    <w:p w:rsidR="003B486F" w:rsidRPr="003A4A83" w:rsidP="003B486F" w14:paraId="42158071"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3A4A83">
        <w:rPr>
          <w:color w:val="000000" w:themeColor="text1"/>
          <w:sz w:val="22"/>
          <w:szCs w:val="22"/>
        </w:rPr>
        <w:t xml:space="preserve">THE IRF PPS and QRP </w:t>
      </w:r>
    </w:p>
    <w:p w:rsidR="003B486F" w:rsidRPr="003A4A83" w:rsidP="3D5317AF" w14:paraId="4DED49F0" w14:textId="108609C2">
      <w:pPr>
        <w:pStyle w:val="TOC0"/>
        <w:rPr>
          <w:i/>
          <w:iCs/>
          <w:color w:val="000000" w:themeColor="text1"/>
          <w:sz w:val="22"/>
          <w:szCs w:val="22"/>
          <w:u w:val="single"/>
        </w:rPr>
      </w:pPr>
      <w:r w:rsidRPr="003A4A83">
        <w:rPr>
          <w:i/>
          <w:iCs/>
          <w:color w:val="000000" w:themeColor="text1"/>
          <w:sz w:val="22"/>
          <w:szCs w:val="22"/>
          <w:u w:val="single"/>
        </w:rPr>
        <w:t>TABLE OF CONTENTS</w:t>
      </w:r>
    </w:p>
    <w:sdt>
      <w:sdtPr>
        <w:rPr>
          <w:rFonts w:ascii="Times New Roman" w:eastAsia="Times New Roman" w:hAnsi="Times New Roman" w:cs="Times New Roman"/>
          <w:color w:val="auto"/>
          <w:sz w:val="24"/>
          <w:szCs w:val="24"/>
        </w:rPr>
        <w:id w:val="1631435785"/>
        <w:docPartObj>
          <w:docPartGallery w:val="Table of Contents"/>
          <w:docPartUnique/>
        </w:docPartObj>
      </w:sdtPr>
      <w:sdtEndPr>
        <w:rPr>
          <w:b/>
          <w:bCs/>
          <w:noProof/>
        </w:rPr>
      </w:sdtEndPr>
      <w:sdtContent>
        <w:p w:rsidR="003B486F" w:rsidRPr="003A4A83" w:rsidP="003B486F" w14:paraId="233A62B1" w14:textId="77777777">
          <w:pPr>
            <w:pStyle w:val="TOCHeading"/>
            <w:rPr>
              <w:rFonts w:ascii="Times New Roman" w:hAnsi="Times New Roman" w:cs="Times New Roman"/>
              <w:sz w:val="2"/>
            </w:rPr>
          </w:pPr>
        </w:p>
        <w:p w:rsidR="003A4A83" w:rsidRPr="00CB4F9C" w14:paraId="6524CCAF" w14:textId="0F5574A5">
          <w:pPr>
            <w:pStyle w:val="TOC1"/>
            <w:rPr>
              <w:rFonts w:asciiTheme="minorHAnsi" w:eastAsiaTheme="minorEastAsia" w:hAnsiTheme="minorHAnsi" w:cstheme="minorBidi"/>
              <w:i w:val="0"/>
              <w:kern w:val="2"/>
              <w:u w:val="none"/>
              <w:lang w:eastAsia="ja-JP"/>
              <w14:ligatures w14:val="standardContextual"/>
            </w:rPr>
          </w:pPr>
          <w:r w:rsidRPr="00CB4F9C">
            <w:rPr>
              <w:i w:val="0"/>
            </w:rPr>
            <w:fldChar w:fldCharType="begin"/>
          </w:r>
          <w:r w:rsidRPr="00CB4F9C">
            <w:rPr>
              <w:i w:val="0"/>
            </w:rPr>
            <w:instrText xml:space="preserve"> TOC \o "1-3" \h \z \u </w:instrText>
          </w:r>
          <w:r w:rsidRPr="00CB4F9C">
            <w:rPr>
              <w:i w:val="0"/>
            </w:rPr>
            <w:fldChar w:fldCharType="separate"/>
          </w:r>
          <w:hyperlink w:anchor="_Toc226541971" w:history="1">
            <w:r w:rsidRPr="00CB4F9C">
              <w:rPr>
                <w:rStyle w:val="Hyperlink"/>
              </w:rPr>
              <w:t>SUPPORTING STATEMENT-PART A</w:t>
            </w:r>
            <w:r w:rsidRPr="00CB4F9C">
              <w:rPr>
                <w:webHidden/>
              </w:rPr>
              <w:tab/>
            </w:r>
            <w:r w:rsidRPr="00CB4F9C">
              <w:rPr>
                <w:webHidden/>
              </w:rPr>
              <w:fldChar w:fldCharType="begin"/>
            </w:r>
            <w:r w:rsidRPr="00CB4F9C">
              <w:rPr>
                <w:webHidden/>
              </w:rPr>
              <w:instrText xml:space="preserve"> PAGEREF _Toc226541971 \h </w:instrText>
            </w:r>
            <w:r w:rsidRPr="00CB4F9C">
              <w:rPr>
                <w:webHidden/>
              </w:rPr>
              <w:fldChar w:fldCharType="separate"/>
            </w:r>
            <w:r w:rsidR="00F00F74">
              <w:rPr>
                <w:webHidden/>
              </w:rPr>
              <w:t>1</w:t>
            </w:r>
            <w:r w:rsidRPr="00CB4F9C">
              <w:rPr>
                <w:webHidden/>
              </w:rPr>
              <w:fldChar w:fldCharType="end"/>
            </w:r>
          </w:hyperlink>
        </w:p>
        <w:p w:rsidR="003A4A83" w:rsidRPr="00CB4F9C" w14:paraId="4FCD4C69" w14:textId="399B6EF6">
          <w:pPr>
            <w:pStyle w:val="TOC1"/>
            <w:rPr>
              <w:rFonts w:asciiTheme="minorHAnsi" w:eastAsiaTheme="minorEastAsia" w:hAnsiTheme="minorHAnsi" w:cstheme="minorBidi"/>
              <w:i w:val="0"/>
              <w:kern w:val="2"/>
              <w:u w:val="none"/>
              <w:lang w:eastAsia="ja-JP"/>
              <w14:ligatures w14:val="standardContextual"/>
            </w:rPr>
          </w:pPr>
          <w:hyperlink w:anchor="_Toc226541972" w:history="1">
            <w:r w:rsidRPr="00CB4F9C">
              <w:rPr>
                <w:rStyle w:val="Hyperlink"/>
              </w:rPr>
              <w:t>A.</w:t>
            </w:r>
            <w:r w:rsidRPr="00CB4F9C">
              <w:rPr>
                <w:rFonts w:asciiTheme="minorHAnsi" w:eastAsiaTheme="minorEastAsia" w:hAnsiTheme="minorHAnsi" w:cstheme="minorBidi"/>
                <w:i w:val="0"/>
                <w:kern w:val="2"/>
                <w:u w:val="none"/>
                <w:lang w:eastAsia="ja-JP"/>
                <w14:ligatures w14:val="standardContextual"/>
              </w:rPr>
              <w:tab/>
            </w:r>
            <w:r w:rsidRPr="00CB4F9C">
              <w:rPr>
                <w:rStyle w:val="Hyperlink"/>
              </w:rPr>
              <w:t>Background</w:t>
            </w:r>
            <w:r w:rsidRPr="00CB4F9C">
              <w:rPr>
                <w:webHidden/>
              </w:rPr>
              <w:tab/>
            </w:r>
            <w:r w:rsidRPr="00CB4F9C">
              <w:rPr>
                <w:webHidden/>
              </w:rPr>
              <w:fldChar w:fldCharType="begin"/>
            </w:r>
            <w:r w:rsidRPr="00CB4F9C">
              <w:rPr>
                <w:webHidden/>
              </w:rPr>
              <w:instrText xml:space="preserve"> PAGEREF _Toc226541972 \h </w:instrText>
            </w:r>
            <w:r w:rsidRPr="00CB4F9C">
              <w:rPr>
                <w:webHidden/>
              </w:rPr>
              <w:fldChar w:fldCharType="separate"/>
            </w:r>
            <w:r w:rsidR="00F00F74">
              <w:rPr>
                <w:webHidden/>
              </w:rPr>
              <w:t>3</w:t>
            </w:r>
            <w:r w:rsidRPr="00CB4F9C">
              <w:rPr>
                <w:webHidden/>
              </w:rPr>
              <w:fldChar w:fldCharType="end"/>
            </w:r>
          </w:hyperlink>
        </w:p>
        <w:p w:rsidR="003A4A83" w:rsidRPr="00CB4F9C" w14:paraId="11F93522" w14:textId="66B0C869">
          <w:pPr>
            <w:pStyle w:val="TOC1"/>
            <w:rPr>
              <w:rFonts w:asciiTheme="minorHAnsi" w:eastAsiaTheme="minorEastAsia" w:hAnsiTheme="minorHAnsi" w:cstheme="minorBidi"/>
              <w:i w:val="0"/>
              <w:kern w:val="2"/>
              <w:u w:val="none"/>
              <w:lang w:eastAsia="ja-JP"/>
              <w14:ligatures w14:val="standardContextual"/>
            </w:rPr>
          </w:pPr>
          <w:hyperlink w:anchor="_Toc226541973" w:history="1">
            <w:r w:rsidRPr="00CB4F9C">
              <w:rPr>
                <w:rStyle w:val="Hyperlink"/>
              </w:rPr>
              <w:t>B.</w:t>
            </w:r>
            <w:r w:rsidRPr="00CB4F9C">
              <w:rPr>
                <w:rFonts w:asciiTheme="minorHAnsi" w:eastAsiaTheme="minorEastAsia" w:hAnsiTheme="minorHAnsi" w:cstheme="minorBidi"/>
                <w:i w:val="0"/>
                <w:kern w:val="2"/>
                <w:u w:val="none"/>
                <w:lang w:eastAsia="ja-JP"/>
                <w14:ligatures w14:val="standardContextual"/>
              </w:rPr>
              <w:tab/>
            </w:r>
            <w:r w:rsidRPr="00CB4F9C">
              <w:rPr>
                <w:rStyle w:val="Hyperlink"/>
              </w:rPr>
              <w:t>Justification</w:t>
            </w:r>
            <w:r w:rsidRPr="00CB4F9C">
              <w:rPr>
                <w:webHidden/>
              </w:rPr>
              <w:tab/>
            </w:r>
            <w:r w:rsidRPr="00CB4F9C">
              <w:rPr>
                <w:webHidden/>
              </w:rPr>
              <w:fldChar w:fldCharType="begin"/>
            </w:r>
            <w:r w:rsidRPr="00CB4F9C">
              <w:rPr>
                <w:webHidden/>
              </w:rPr>
              <w:instrText xml:space="preserve"> PAGEREF _Toc226541973 \h </w:instrText>
            </w:r>
            <w:r w:rsidRPr="00CB4F9C">
              <w:rPr>
                <w:webHidden/>
              </w:rPr>
              <w:fldChar w:fldCharType="separate"/>
            </w:r>
            <w:r w:rsidR="00F00F74">
              <w:rPr>
                <w:webHidden/>
              </w:rPr>
              <w:t>3</w:t>
            </w:r>
            <w:r w:rsidRPr="00CB4F9C">
              <w:rPr>
                <w:webHidden/>
              </w:rPr>
              <w:fldChar w:fldCharType="end"/>
            </w:r>
          </w:hyperlink>
        </w:p>
        <w:p w:rsidR="003A4A83" w:rsidRPr="00CB4F9C" w14:paraId="20781CCA" w14:textId="14913FE3">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4" w:history="1">
            <w:r w:rsidRPr="00CB4F9C">
              <w:rPr>
                <w:rStyle w:val="Hyperlink"/>
              </w:rPr>
              <w:t>1.</w:t>
            </w:r>
            <w:r w:rsidRPr="00CB4F9C">
              <w:rPr>
                <w:rFonts w:asciiTheme="minorHAnsi" w:eastAsiaTheme="minorEastAsia" w:hAnsiTheme="minorHAnsi" w:cstheme="minorBidi"/>
                <w:kern w:val="2"/>
                <w:u w:val="none"/>
                <w:lang w:eastAsia="ja-JP"/>
                <w14:ligatures w14:val="standardContextual"/>
              </w:rPr>
              <w:tab/>
            </w:r>
            <w:r w:rsidRPr="00CB4F9C">
              <w:rPr>
                <w:rStyle w:val="Hyperlink"/>
              </w:rPr>
              <w:t>Need and Legal Basis</w:t>
            </w:r>
            <w:r w:rsidRPr="00CB4F9C">
              <w:rPr>
                <w:webHidden/>
              </w:rPr>
              <w:tab/>
            </w:r>
            <w:r w:rsidRPr="00CB4F9C">
              <w:rPr>
                <w:webHidden/>
              </w:rPr>
              <w:fldChar w:fldCharType="begin"/>
            </w:r>
            <w:r w:rsidRPr="00CB4F9C">
              <w:rPr>
                <w:webHidden/>
              </w:rPr>
              <w:instrText xml:space="preserve"> PAGEREF _Toc226541974 \h </w:instrText>
            </w:r>
            <w:r w:rsidRPr="00CB4F9C">
              <w:rPr>
                <w:webHidden/>
              </w:rPr>
              <w:fldChar w:fldCharType="separate"/>
            </w:r>
            <w:r w:rsidR="00F00F74">
              <w:rPr>
                <w:webHidden/>
              </w:rPr>
              <w:t>3</w:t>
            </w:r>
            <w:r w:rsidRPr="00CB4F9C">
              <w:rPr>
                <w:webHidden/>
              </w:rPr>
              <w:fldChar w:fldCharType="end"/>
            </w:r>
          </w:hyperlink>
        </w:p>
        <w:p w:rsidR="003A4A83" w:rsidRPr="00CB4F9C" w14:paraId="3AF53724" w14:textId="4E175341">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5" w:history="1">
            <w:r w:rsidRPr="00CB4F9C">
              <w:rPr>
                <w:rStyle w:val="Hyperlink"/>
              </w:rPr>
              <w:t>2.</w:t>
            </w:r>
            <w:r w:rsidRPr="00CB4F9C">
              <w:rPr>
                <w:rFonts w:asciiTheme="minorHAnsi" w:eastAsiaTheme="minorEastAsia" w:hAnsiTheme="minorHAnsi" w:cstheme="minorBidi"/>
                <w:kern w:val="2"/>
                <w:u w:val="none"/>
                <w:lang w:eastAsia="ja-JP"/>
                <w14:ligatures w14:val="standardContextual"/>
              </w:rPr>
              <w:tab/>
            </w:r>
            <w:r w:rsidRPr="00CB4F9C">
              <w:rPr>
                <w:rStyle w:val="Hyperlink"/>
              </w:rPr>
              <w:t>Information Users</w:t>
            </w:r>
            <w:r w:rsidRPr="00CB4F9C">
              <w:rPr>
                <w:webHidden/>
              </w:rPr>
              <w:tab/>
            </w:r>
            <w:r w:rsidRPr="00CB4F9C">
              <w:rPr>
                <w:webHidden/>
              </w:rPr>
              <w:fldChar w:fldCharType="begin"/>
            </w:r>
            <w:r w:rsidRPr="00CB4F9C">
              <w:rPr>
                <w:webHidden/>
              </w:rPr>
              <w:instrText xml:space="preserve"> PAGEREF _Toc226541975 \h </w:instrText>
            </w:r>
            <w:r w:rsidRPr="00CB4F9C">
              <w:rPr>
                <w:webHidden/>
              </w:rPr>
              <w:fldChar w:fldCharType="separate"/>
            </w:r>
            <w:r w:rsidR="00F00F74">
              <w:rPr>
                <w:webHidden/>
              </w:rPr>
              <w:t>4</w:t>
            </w:r>
            <w:r w:rsidRPr="00CB4F9C">
              <w:rPr>
                <w:webHidden/>
              </w:rPr>
              <w:fldChar w:fldCharType="end"/>
            </w:r>
          </w:hyperlink>
        </w:p>
        <w:p w:rsidR="003A4A83" w:rsidRPr="00CB4F9C" w14:paraId="6C513E09" w14:textId="448D6035">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6" w:history="1">
            <w:r w:rsidRPr="00CB4F9C">
              <w:rPr>
                <w:rStyle w:val="Hyperlink"/>
              </w:rPr>
              <w:t>3.</w:t>
            </w:r>
            <w:r w:rsidRPr="00CB4F9C">
              <w:rPr>
                <w:rFonts w:asciiTheme="minorHAnsi" w:eastAsiaTheme="minorEastAsia" w:hAnsiTheme="minorHAnsi" w:cstheme="minorBidi"/>
                <w:kern w:val="2"/>
                <w:u w:val="none"/>
                <w:lang w:eastAsia="ja-JP"/>
                <w14:ligatures w14:val="standardContextual"/>
              </w:rPr>
              <w:tab/>
            </w:r>
            <w:r w:rsidRPr="00CB4F9C">
              <w:rPr>
                <w:rStyle w:val="Hyperlink"/>
              </w:rPr>
              <w:t>Use of Information Technology</w:t>
            </w:r>
            <w:r w:rsidRPr="00CB4F9C">
              <w:rPr>
                <w:webHidden/>
              </w:rPr>
              <w:tab/>
            </w:r>
            <w:r w:rsidRPr="00CB4F9C">
              <w:rPr>
                <w:webHidden/>
              </w:rPr>
              <w:fldChar w:fldCharType="begin"/>
            </w:r>
            <w:r w:rsidRPr="00CB4F9C">
              <w:rPr>
                <w:webHidden/>
              </w:rPr>
              <w:instrText xml:space="preserve"> PAGEREF _Toc226541976 \h </w:instrText>
            </w:r>
            <w:r w:rsidRPr="00CB4F9C">
              <w:rPr>
                <w:webHidden/>
              </w:rPr>
              <w:fldChar w:fldCharType="separate"/>
            </w:r>
            <w:r w:rsidR="00F00F74">
              <w:rPr>
                <w:webHidden/>
              </w:rPr>
              <w:t>4</w:t>
            </w:r>
            <w:r w:rsidRPr="00CB4F9C">
              <w:rPr>
                <w:webHidden/>
              </w:rPr>
              <w:fldChar w:fldCharType="end"/>
            </w:r>
          </w:hyperlink>
        </w:p>
        <w:p w:rsidR="003A4A83" w:rsidRPr="00CB4F9C" w14:paraId="03C5D6EF" w14:textId="59029C03">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7" w:history="1">
            <w:r w:rsidRPr="00CB4F9C">
              <w:rPr>
                <w:rStyle w:val="Hyperlink"/>
              </w:rPr>
              <w:t>4.</w:t>
            </w:r>
            <w:r w:rsidRPr="00CB4F9C">
              <w:rPr>
                <w:rFonts w:asciiTheme="minorHAnsi" w:eastAsiaTheme="minorEastAsia" w:hAnsiTheme="minorHAnsi" w:cstheme="minorBidi"/>
                <w:kern w:val="2"/>
                <w:u w:val="none"/>
                <w:lang w:eastAsia="ja-JP"/>
                <w14:ligatures w14:val="standardContextual"/>
              </w:rPr>
              <w:tab/>
            </w:r>
            <w:r w:rsidRPr="00CB4F9C">
              <w:rPr>
                <w:rStyle w:val="Hyperlink"/>
              </w:rPr>
              <w:t>Duplication of Efforts</w:t>
            </w:r>
            <w:r w:rsidRPr="00CB4F9C">
              <w:rPr>
                <w:webHidden/>
              </w:rPr>
              <w:tab/>
            </w:r>
            <w:r w:rsidRPr="00CB4F9C">
              <w:rPr>
                <w:webHidden/>
              </w:rPr>
              <w:fldChar w:fldCharType="begin"/>
            </w:r>
            <w:r w:rsidRPr="00CB4F9C">
              <w:rPr>
                <w:webHidden/>
              </w:rPr>
              <w:instrText xml:space="preserve"> PAGEREF _Toc226541977 \h </w:instrText>
            </w:r>
            <w:r w:rsidRPr="00CB4F9C">
              <w:rPr>
                <w:webHidden/>
              </w:rPr>
              <w:fldChar w:fldCharType="separate"/>
            </w:r>
            <w:r w:rsidR="00F00F74">
              <w:rPr>
                <w:webHidden/>
              </w:rPr>
              <w:t>5</w:t>
            </w:r>
            <w:r w:rsidRPr="00CB4F9C">
              <w:rPr>
                <w:webHidden/>
              </w:rPr>
              <w:fldChar w:fldCharType="end"/>
            </w:r>
          </w:hyperlink>
        </w:p>
        <w:p w:rsidR="003A4A83" w:rsidRPr="00CB4F9C" w14:paraId="57D34572" w14:textId="1F2BF59D">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8" w:history="1">
            <w:r w:rsidRPr="00CB4F9C">
              <w:rPr>
                <w:rStyle w:val="Hyperlink"/>
              </w:rPr>
              <w:t>5.</w:t>
            </w:r>
            <w:r w:rsidRPr="00CB4F9C">
              <w:rPr>
                <w:rFonts w:asciiTheme="minorHAnsi" w:eastAsiaTheme="minorEastAsia" w:hAnsiTheme="minorHAnsi" w:cstheme="minorBidi"/>
                <w:kern w:val="2"/>
                <w:u w:val="none"/>
                <w:lang w:eastAsia="ja-JP"/>
                <w14:ligatures w14:val="standardContextual"/>
              </w:rPr>
              <w:tab/>
            </w:r>
            <w:r w:rsidRPr="00CB4F9C">
              <w:rPr>
                <w:rStyle w:val="Hyperlink"/>
              </w:rPr>
              <w:t>Small Businesses</w:t>
            </w:r>
            <w:r w:rsidRPr="00CB4F9C">
              <w:rPr>
                <w:webHidden/>
              </w:rPr>
              <w:tab/>
            </w:r>
            <w:r w:rsidRPr="00CB4F9C">
              <w:rPr>
                <w:webHidden/>
              </w:rPr>
              <w:fldChar w:fldCharType="begin"/>
            </w:r>
            <w:r w:rsidRPr="00CB4F9C">
              <w:rPr>
                <w:webHidden/>
              </w:rPr>
              <w:instrText xml:space="preserve"> PAGEREF _Toc226541978 \h </w:instrText>
            </w:r>
            <w:r w:rsidRPr="00CB4F9C">
              <w:rPr>
                <w:webHidden/>
              </w:rPr>
              <w:fldChar w:fldCharType="separate"/>
            </w:r>
            <w:r w:rsidR="00F00F74">
              <w:rPr>
                <w:webHidden/>
              </w:rPr>
              <w:t>5</w:t>
            </w:r>
            <w:r w:rsidRPr="00CB4F9C">
              <w:rPr>
                <w:webHidden/>
              </w:rPr>
              <w:fldChar w:fldCharType="end"/>
            </w:r>
          </w:hyperlink>
        </w:p>
        <w:p w:rsidR="003A4A83" w:rsidRPr="00CB4F9C" w14:paraId="5F1C1036" w14:textId="13F2F81B">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79" w:history="1">
            <w:r w:rsidRPr="00CB4F9C">
              <w:rPr>
                <w:rStyle w:val="Hyperlink"/>
              </w:rPr>
              <w:t>6.</w:t>
            </w:r>
            <w:r w:rsidRPr="00CB4F9C">
              <w:rPr>
                <w:rFonts w:asciiTheme="minorHAnsi" w:eastAsiaTheme="minorEastAsia" w:hAnsiTheme="minorHAnsi" w:cstheme="minorBidi"/>
                <w:kern w:val="2"/>
                <w:u w:val="none"/>
                <w:lang w:eastAsia="ja-JP"/>
                <w14:ligatures w14:val="standardContextual"/>
              </w:rPr>
              <w:tab/>
            </w:r>
            <w:r w:rsidRPr="00CB4F9C">
              <w:rPr>
                <w:rStyle w:val="Hyperlink"/>
              </w:rPr>
              <w:t>Less Frequent Collection</w:t>
            </w:r>
            <w:r w:rsidRPr="00CB4F9C">
              <w:rPr>
                <w:webHidden/>
              </w:rPr>
              <w:tab/>
            </w:r>
            <w:r w:rsidRPr="00CB4F9C">
              <w:rPr>
                <w:webHidden/>
              </w:rPr>
              <w:fldChar w:fldCharType="begin"/>
            </w:r>
            <w:r w:rsidRPr="00CB4F9C">
              <w:rPr>
                <w:webHidden/>
              </w:rPr>
              <w:instrText xml:space="preserve"> PAGEREF _Toc226541979 \h </w:instrText>
            </w:r>
            <w:r w:rsidRPr="00CB4F9C">
              <w:rPr>
                <w:webHidden/>
              </w:rPr>
              <w:fldChar w:fldCharType="separate"/>
            </w:r>
            <w:r w:rsidR="00F00F74">
              <w:rPr>
                <w:webHidden/>
              </w:rPr>
              <w:t>6</w:t>
            </w:r>
            <w:r w:rsidRPr="00CB4F9C">
              <w:rPr>
                <w:webHidden/>
              </w:rPr>
              <w:fldChar w:fldCharType="end"/>
            </w:r>
          </w:hyperlink>
        </w:p>
        <w:p w:rsidR="003A4A83" w:rsidRPr="00CB4F9C" w14:paraId="52A6D3BD" w14:textId="7F35DF42">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80" w:history="1">
            <w:r w:rsidRPr="00CB4F9C">
              <w:rPr>
                <w:rStyle w:val="Hyperlink"/>
              </w:rPr>
              <w:t>7.</w:t>
            </w:r>
            <w:r w:rsidRPr="00CB4F9C">
              <w:rPr>
                <w:rFonts w:asciiTheme="minorHAnsi" w:eastAsiaTheme="minorEastAsia" w:hAnsiTheme="minorHAnsi" w:cstheme="minorBidi"/>
                <w:kern w:val="2"/>
                <w:u w:val="none"/>
                <w:lang w:eastAsia="ja-JP"/>
                <w14:ligatures w14:val="standardContextual"/>
              </w:rPr>
              <w:tab/>
            </w:r>
            <w:r w:rsidRPr="00CB4F9C">
              <w:rPr>
                <w:rStyle w:val="Hyperlink"/>
              </w:rPr>
              <w:t>Special Circumstances</w:t>
            </w:r>
            <w:r w:rsidRPr="00CB4F9C">
              <w:rPr>
                <w:webHidden/>
              </w:rPr>
              <w:tab/>
            </w:r>
            <w:r w:rsidRPr="00CB4F9C">
              <w:rPr>
                <w:webHidden/>
              </w:rPr>
              <w:fldChar w:fldCharType="begin"/>
            </w:r>
            <w:r w:rsidRPr="00CB4F9C">
              <w:rPr>
                <w:webHidden/>
              </w:rPr>
              <w:instrText xml:space="preserve"> PAGEREF _Toc226541980 \h </w:instrText>
            </w:r>
            <w:r w:rsidRPr="00CB4F9C">
              <w:rPr>
                <w:webHidden/>
              </w:rPr>
              <w:fldChar w:fldCharType="separate"/>
            </w:r>
            <w:r w:rsidR="00F00F74">
              <w:rPr>
                <w:webHidden/>
              </w:rPr>
              <w:t>6</w:t>
            </w:r>
            <w:r w:rsidRPr="00CB4F9C">
              <w:rPr>
                <w:webHidden/>
              </w:rPr>
              <w:fldChar w:fldCharType="end"/>
            </w:r>
          </w:hyperlink>
        </w:p>
        <w:p w:rsidR="003A4A83" w:rsidRPr="00CB4F9C" w14:paraId="6515D79E" w14:textId="5E823499">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81" w:history="1">
            <w:r w:rsidRPr="00CB4F9C">
              <w:rPr>
                <w:rStyle w:val="Hyperlink"/>
              </w:rPr>
              <w:t>8.</w:t>
            </w:r>
            <w:r w:rsidRPr="00CB4F9C">
              <w:rPr>
                <w:rFonts w:asciiTheme="minorHAnsi" w:eastAsiaTheme="minorEastAsia" w:hAnsiTheme="minorHAnsi" w:cstheme="minorBidi"/>
                <w:kern w:val="2"/>
                <w:u w:val="none"/>
                <w:lang w:eastAsia="ja-JP"/>
                <w14:ligatures w14:val="standardContextual"/>
              </w:rPr>
              <w:tab/>
            </w:r>
            <w:r w:rsidRPr="00CB4F9C">
              <w:rPr>
                <w:rStyle w:val="Hyperlink"/>
              </w:rPr>
              <w:t>Federal Register/Outside Consultation</w:t>
            </w:r>
            <w:r w:rsidRPr="00CB4F9C">
              <w:rPr>
                <w:webHidden/>
              </w:rPr>
              <w:tab/>
            </w:r>
            <w:r w:rsidRPr="00CB4F9C">
              <w:rPr>
                <w:webHidden/>
              </w:rPr>
              <w:fldChar w:fldCharType="begin"/>
            </w:r>
            <w:r w:rsidRPr="00CB4F9C">
              <w:rPr>
                <w:webHidden/>
              </w:rPr>
              <w:instrText xml:space="preserve"> PAGEREF _Toc226541981 \h </w:instrText>
            </w:r>
            <w:r w:rsidRPr="00CB4F9C">
              <w:rPr>
                <w:webHidden/>
              </w:rPr>
              <w:fldChar w:fldCharType="separate"/>
            </w:r>
            <w:r w:rsidR="00F00F74">
              <w:rPr>
                <w:webHidden/>
              </w:rPr>
              <w:t>6</w:t>
            </w:r>
            <w:r w:rsidRPr="00CB4F9C">
              <w:rPr>
                <w:webHidden/>
              </w:rPr>
              <w:fldChar w:fldCharType="end"/>
            </w:r>
          </w:hyperlink>
        </w:p>
        <w:p w:rsidR="003A4A83" w:rsidRPr="00CB4F9C" w14:paraId="11FDC010" w14:textId="67A9BB61">
          <w:pPr>
            <w:pStyle w:val="TOC3"/>
            <w:tabs>
              <w:tab w:val="left" w:pos="1512"/>
            </w:tabs>
            <w:rPr>
              <w:rFonts w:asciiTheme="minorHAnsi" w:eastAsiaTheme="minorEastAsia" w:hAnsiTheme="minorHAnsi" w:cstheme="minorBidi"/>
              <w:kern w:val="2"/>
              <w:u w:val="none"/>
              <w:lang w:eastAsia="ja-JP"/>
              <w14:ligatures w14:val="standardContextual"/>
            </w:rPr>
          </w:pPr>
          <w:hyperlink w:anchor="_Toc226541982" w:history="1">
            <w:r w:rsidRPr="00CB4F9C">
              <w:rPr>
                <w:rStyle w:val="Hyperlink"/>
              </w:rPr>
              <w:t>a)</w:t>
            </w:r>
            <w:r w:rsidRPr="00CB4F9C">
              <w:rPr>
                <w:rFonts w:asciiTheme="minorHAnsi" w:eastAsiaTheme="minorEastAsia" w:hAnsiTheme="minorHAnsi" w:cstheme="minorBidi"/>
                <w:kern w:val="2"/>
                <w:u w:val="none"/>
                <w:lang w:eastAsia="ja-JP"/>
                <w14:ligatures w14:val="standardContextual"/>
              </w:rPr>
              <w:tab/>
            </w:r>
            <w:r w:rsidRPr="00CB4F9C">
              <w:rPr>
                <w:rStyle w:val="Hyperlink"/>
              </w:rPr>
              <w:t>Consideration of Burden of Information Collection Requests</w:t>
            </w:r>
            <w:r w:rsidRPr="00CB4F9C">
              <w:rPr>
                <w:webHidden/>
              </w:rPr>
              <w:tab/>
            </w:r>
            <w:r w:rsidRPr="00CB4F9C">
              <w:rPr>
                <w:webHidden/>
              </w:rPr>
              <w:fldChar w:fldCharType="begin"/>
            </w:r>
            <w:r w:rsidRPr="00CB4F9C">
              <w:rPr>
                <w:webHidden/>
              </w:rPr>
              <w:instrText xml:space="preserve"> PAGEREF _Toc226541982 \h </w:instrText>
            </w:r>
            <w:r w:rsidRPr="00CB4F9C">
              <w:rPr>
                <w:webHidden/>
              </w:rPr>
              <w:fldChar w:fldCharType="separate"/>
            </w:r>
            <w:r w:rsidR="00F00F74">
              <w:rPr>
                <w:webHidden/>
              </w:rPr>
              <w:t>7</w:t>
            </w:r>
            <w:r w:rsidRPr="00CB4F9C">
              <w:rPr>
                <w:webHidden/>
              </w:rPr>
              <w:fldChar w:fldCharType="end"/>
            </w:r>
          </w:hyperlink>
        </w:p>
        <w:p w:rsidR="003A4A83" w:rsidRPr="00CB4F9C" w14:paraId="4EBDDC5C" w14:textId="3E57EBCF">
          <w:pPr>
            <w:pStyle w:val="TOC2"/>
            <w:tabs>
              <w:tab w:val="left" w:pos="1080"/>
            </w:tabs>
            <w:rPr>
              <w:rFonts w:asciiTheme="minorHAnsi" w:eastAsiaTheme="minorEastAsia" w:hAnsiTheme="minorHAnsi" w:cstheme="minorBidi"/>
              <w:kern w:val="2"/>
              <w:u w:val="none"/>
              <w:lang w:eastAsia="ja-JP"/>
              <w14:ligatures w14:val="standardContextual"/>
            </w:rPr>
          </w:pPr>
          <w:hyperlink w:anchor="_Toc226541983" w:history="1">
            <w:r w:rsidRPr="00CB4F9C">
              <w:rPr>
                <w:rStyle w:val="Hyperlink"/>
              </w:rPr>
              <w:t>9.</w:t>
            </w:r>
            <w:r w:rsidRPr="00CB4F9C">
              <w:rPr>
                <w:rFonts w:asciiTheme="minorHAnsi" w:eastAsiaTheme="minorEastAsia" w:hAnsiTheme="minorHAnsi" w:cstheme="minorBidi"/>
                <w:kern w:val="2"/>
                <w:u w:val="none"/>
                <w:lang w:eastAsia="ja-JP"/>
                <w14:ligatures w14:val="standardContextual"/>
              </w:rPr>
              <w:tab/>
            </w:r>
            <w:r w:rsidRPr="00CB4F9C">
              <w:rPr>
                <w:rStyle w:val="Hyperlink"/>
              </w:rPr>
              <w:t>Payment/Gifts to Respondents</w:t>
            </w:r>
            <w:r w:rsidRPr="00CB4F9C">
              <w:rPr>
                <w:webHidden/>
              </w:rPr>
              <w:tab/>
            </w:r>
            <w:r w:rsidRPr="00CB4F9C">
              <w:rPr>
                <w:webHidden/>
              </w:rPr>
              <w:fldChar w:fldCharType="begin"/>
            </w:r>
            <w:r w:rsidRPr="00CB4F9C">
              <w:rPr>
                <w:webHidden/>
              </w:rPr>
              <w:instrText xml:space="preserve"> PAGEREF _Toc226541983 \h </w:instrText>
            </w:r>
            <w:r w:rsidRPr="00CB4F9C">
              <w:rPr>
                <w:webHidden/>
              </w:rPr>
              <w:fldChar w:fldCharType="separate"/>
            </w:r>
            <w:r w:rsidR="00F00F74">
              <w:rPr>
                <w:webHidden/>
              </w:rPr>
              <w:t>7</w:t>
            </w:r>
            <w:r w:rsidRPr="00CB4F9C">
              <w:rPr>
                <w:webHidden/>
              </w:rPr>
              <w:fldChar w:fldCharType="end"/>
            </w:r>
          </w:hyperlink>
        </w:p>
        <w:p w:rsidR="003A4A83" w:rsidRPr="00CB4F9C" w14:paraId="64BB9840" w14:textId="2A4BFD96">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84" w:history="1">
            <w:r w:rsidRPr="00CB4F9C">
              <w:rPr>
                <w:rStyle w:val="Hyperlink"/>
              </w:rPr>
              <w:t>10.</w:t>
            </w:r>
            <w:r w:rsidRPr="00CB4F9C">
              <w:rPr>
                <w:rFonts w:asciiTheme="minorHAnsi" w:eastAsiaTheme="minorEastAsia" w:hAnsiTheme="minorHAnsi" w:cstheme="minorBidi"/>
                <w:kern w:val="2"/>
                <w:u w:val="none"/>
                <w:lang w:eastAsia="ja-JP"/>
                <w14:ligatures w14:val="standardContextual"/>
              </w:rPr>
              <w:tab/>
            </w:r>
            <w:r w:rsidRPr="00CB4F9C">
              <w:rPr>
                <w:rStyle w:val="Hyperlink"/>
              </w:rPr>
              <w:t>Confidentiality</w:t>
            </w:r>
            <w:r w:rsidRPr="00CB4F9C">
              <w:rPr>
                <w:webHidden/>
              </w:rPr>
              <w:tab/>
            </w:r>
            <w:r w:rsidRPr="00CB4F9C">
              <w:rPr>
                <w:webHidden/>
              </w:rPr>
              <w:fldChar w:fldCharType="begin"/>
            </w:r>
            <w:r w:rsidRPr="00CB4F9C">
              <w:rPr>
                <w:webHidden/>
              </w:rPr>
              <w:instrText xml:space="preserve"> PAGEREF _Toc226541984 \h </w:instrText>
            </w:r>
            <w:r w:rsidRPr="00CB4F9C">
              <w:rPr>
                <w:webHidden/>
              </w:rPr>
              <w:fldChar w:fldCharType="separate"/>
            </w:r>
            <w:r w:rsidR="00F00F74">
              <w:rPr>
                <w:webHidden/>
              </w:rPr>
              <w:t>7</w:t>
            </w:r>
            <w:r w:rsidRPr="00CB4F9C">
              <w:rPr>
                <w:webHidden/>
              </w:rPr>
              <w:fldChar w:fldCharType="end"/>
            </w:r>
          </w:hyperlink>
        </w:p>
        <w:p w:rsidR="003A4A83" w:rsidRPr="00CB4F9C" w14:paraId="0BCCBF7F" w14:textId="469D85C7">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85" w:history="1">
            <w:r w:rsidRPr="00CB4F9C">
              <w:rPr>
                <w:rStyle w:val="Hyperlink"/>
              </w:rPr>
              <w:t>11.</w:t>
            </w:r>
            <w:r w:rsidRPr="00CB4F9C">
              <w:rPr>
                <w:rFonts w:asciiTheme="minorHAnsi" w:eastAsiaTheme="minorEastAsia" w:hAnsiTheme="minorHAnsi" w:cstheme="minorBidi"/>
                <w:kern w:val="2"/>
                <w:u w:val="none"/>
                <w:lang w:eastAsia="ja-JP"/>
                <w14:ligatures w14:val="standardContextual"/>
              </w:rPr>
              <w:tab/>
            </w:r>
            <w:r w:rsidRPr="00CB4F9C">
              <w:rPr>
                <w:rStyle w:val="Hyperlink"/>
              </w:rPr>
              <w:t>Sensitive Questions</w:t>
            </w:r>
            <w:r w:rsidRPr="00CB4F9C">
              <w:rPr>
                <w:webHidden/>
              </w:rPr>
              <w:tab/>
            </w:r>
            <w:r w:rsidRPr="00CB4F9C">
              <w:rPr>
                <w:webHidden/>
              </w:rPr>
              <w:fldChar w:fldCharType="begin"/>
            </w:r>
            <w:r w:rsidRPr="00CB4F9C">
              <w:rPr>
                <w:webHidden/>
              </w:rPr>
              <w:instrText xml:space="preserve"> PAGEREF _Toc226541985 \h </w:instrText>
            </w:r>
            <w:r w:rsidRPr="00CB4F9C">
              <w:rPr>
                <w:webHidden/>
              </w:rPr>
              <w:fldChar w:fldCharType="separate"/>
            </w:r>
            <w:r w:rsidR="00F00F74">
              <w:rPr>
                <w:webHidden/>
              </w:rPr>
              <w:t>8</w:t>
            </w:r>
            <w:r w:rsidRPr="00CB4F9C">
              <w:rPr>
                <w:webHidden/>
              </w:rPr>
              <w:fldChar w:fldCharType="end"/>
            </w:r>
          </w:hyperlink>
        </w:p>
        <w:p w:rsidR="003A4A83" w:rsidRPr="00CB4F9C" w14:paraId="48DB225C" w14:textId="45D95FF5">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86" w:history="1">
            <w:r w:rsidRPr="00CB4F9C">
              <w:rPr>
                <w:rStyle w:val="Hyperlink"/>
              </w:rPr>
              <w:t>12.</w:t>
            </w:r>
            <w:r w:rsidRPr="00CB4F9C">
              <w:rPr>
                <w:rFonts w:asciiTheme="minorHAnsi" w:eastAsiaTheme="minorEastAsia" w:hAnsiTheme="minorHAnsi" w:cstheme="minorBidi"/>
                <w:kern w:val="2"/>
                <w:u w:val="none"/>
                <w:lang w:eastAsia="ja-JP"/>
                <w14:ligatures w14:val="standardContextual"/>
              </w:rPr>
              <w:tab/>
            </w:r>
            <w:r w:rsidRPr="00CB4F9C">
              <w:rPr>
                <w:rStyle w:val="Hyperlink"/>
              </w:rPr>
              <w:t>Burden Estimates (Hours &amp; Wages)</w:t>
            </w:r>
            <w:r w:rsidRPr="00CB4F9C">
              <w:rPr>
                <w:webHidden/>
              </w:rPr>
              <w:tab/>
            </w:r>
            <w:r w:rsidRPr="00CB4F9C">
              <w:rPr>
                <w:webHidden/>
              </w:rPr>
              <w:fldChar w:fldCharType="begin"/>
            </w:r>
            <w:r w:rsidRPr="00CB4F9C">
              <w:rPr>
                <w:webHidden/>
              </w:rPr>
              <w:instrText xml:space="preserve"> PAGEREF _Toc226541986 \h </w:instrText>
            </w:r>
            <w:r w:rsidRPr="00CB4F9C">
              <w:rPr>
                <w:webHidden/>
              </w:rPr>
              <w:fldChar w:fldCharType="separate"/>
            </w:r>
            <w:r w:rsidR="00F00F74">
              <w:rPr>
                <w:webHidden/>
              </w:rPr>
              <w:t>8</w:t>
            </w:r>
            <w:r w:rsidRPr="00CB4F9C">
              <w:rPr>
                <w:webHidden/>
              </w:rPr>
              <w:fldChar w:fldCharType="end"/>
            </w:r>
          </w:hyperlink>
        </w:p>
        <w:p w:rsidR="003A4A83" w:rsidRPr="00CB4F9C" w14:paraId="19C1F83E" w14:textId="09D068FE">
          <w:pPr>
            <w:pStyle w:val="TOC3"/>
            <w:tabs>
              <w:tab w:val="left" w:pos="1512"/>
            </w:tabs>
            <w:rPr>
              <w:rFonts w:asciiTheme="minorHAnsi" w:eastAsiaTheme="minorEastAsia" w:hAnsiTheme="minorHAnsi" w:cstheme="minorBidi"/>
              <w:kern w:val="2"/>
              <w:u w:val="none"/>
              <w:lang w:eastAsia="ja-JP"/>
              <w14:ligatures w14:val="standardContextual"/>
            </w:rPr>
          </w:pPr>
          <w:hyperlink w:anchor="_Toc226541987" w:history="1">
            <w:r w:rsidRPr="00CB4F9C">
              <w:rPr>
                <w:rStyle w:val="Hyperlink"/>
              </w:rPr>
              <w:t>a)</w:t>
            </w:r>
            <w:r w:rsidRPr="00CB4F9C">
              <w:rPr>
                <w:rFonts w:asciiTheme="minorHAnsi" w:eastAsiaTheme="minorEastAsia" w:hAnsiTheme="minorHAnsi" w:cstheme="minorBidi"/>
                <w:kern w:val="2"/>
                <w:u w:val="none"/>
                <w:lang w:eastAsia="ja-JP"/>
                <w14:ligatures w14:val="standardContextual"/>
              </w:rPr>
              <w:tab/>
            </w:r>
            <w:r w:rsidRPr="00CB4F9C">
              <w:rPr>
                <w:rStyle w:val="Hyperlink"/>
              </w:rPr>
              <w:t>Assessing Burden of Information Collection</w:t>
            </w:r>
            <w:r w:rsidRPr="00CB4F9C">
              <w:rPr>
                <w:webHidden/>
              </w:rPr>
              <w:tab/>
            </w:r>
            <w:r w:rsidRPr="00CB4F9C">
              <w:rPr>
                <w:webHidden/>
              </w:rPr>
              <w:fldChar w:fldCharType="begin"/>
            </w:r>
            <w:r w:rsidRPr="00CB4F9C">
              <w:rPr>
                <w:webHidden/>
              </w:rPr>
              <w:instrText xml:space="preserve"> PAGEREF _Toc226541987 \h </w:instrText>
            </w:r>
            <w:r w:rsidRPr="00CB4F9C">
              <w:rPr>
                <w:webHidden/>
              </w:rPr>
              <w:fldChar w:fldCharType="separate"/>
            </w:r>
            <w:r w:rsidR="00F00F74">
              <w:rPr>
                <w:webHidden/>
              </w:rPr>
              <w:t>8</w:t>
            </w:r>
            <w:r w:rsidRPr="00CB4F9C">
              <w:rPr>
                <w:webHidden/>
              </w:rPr>
              <w:fldChar w:fldCharType="end"/>
            </w:r>
          </w:hyperlink>
        </w:p>
        <w:p w:rsidR="003A4A83" w:rsidRPr="00CB4F9C" w14:paraId="415D2DAD" w14:textId="2DE222D7">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88" w:history="1">
            <w:r w:rsidRPr="00CB4F9C">
              <w:rPr>
                <w:rStyle w:val="Hyperlink"/>
              </w:rPr>
              <w:t>13.</w:t>
            </w:r>
            <w:r w:rsidRPr="00CB4F9C">
              <w:rPr>
                <w:rFonts w:asciiTheme="minorHAnsi" w:eastAsiaTheme="minorEastAsia" w:hAnsiTheme="minorHAnsi" w:cstheme="minorBidi"/>
                <w:kern w:val="2"/>
                <w:u w:val="none"/>
                <w:lang w:eastAsia="ja-JP"/>
                <w14:ligatures w14:val="standardContextual"/>
              </w:rPr>
              <w:tab/>
            </w:r>
            <w:r w:rsidRPr="00CB4F9C">
              <w:rPr>
                <w:rStyle w:val="Hyperlink"/>
              </w:rPr>
              <w:t>Capital Costs</w:t>
            </w:r>
            <w:r w:rsidRPr="00CB4F9C">
              <w:rPr>
                <w:webHidden/>
              </w:rPr>
              <w:tab/>
            </w:r>
            <w:r w:rsidRPr="00CB4F9C">
              <w:rPr>
                <w:webHidden/>
              </w:rPr>
              <w:fldChar w:fldCharType="begin"/>
            </w:r>
            <w:r w:rsidRPr="00CB4F9C">
              <w:rPr>
                <w:webHidden/>
              </w:rPr>
              <w:instrText xml:space="preserve"> PAGEREF _Toc226541988 \h </w:instrText>
            </w:r>
            <w:r w:rsidRPr="00CB4F9C">
              <w:rPr>
                <w:webHidden/>
              </w:rPr>
              <w:fldChar w:fldCharType="separate"/>
            </w:r>
            <w:r w:rsidR="00F00F74">
              <w:rPr>
                <w:webHidden/>
              </w:rPr>
              <w:t>9</w:t>
            </w:r>
            <w:r w:rsidRPr="00CB4F9C">
              <w:rPr>
                <w:webHidden/>
              </w:rPr>
              <w:fldChar w:fldCharType="end"/>
            </w:r>
          </w:hyperlink>
        </w:p>
        <w:p w:rsidR="003A4A83" w:rsidRPr="00CB4F9C" w14:paraId="2EAE26CE" w14:textId="7EB7E2E2">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89" w:history="1">
            <w:r w:rsidRPr="00CB4F9C">
              <w:rPr>
                <w:rStyle w:val="Hyperlink"/>
              </w:rPr>
              <w:t>14.</w:t>
            </w:r>
            <w:r w:rsidRPr="00CB4F9C">
              <w:rPr>
                <w:rFonts w:asciiTheme="minorHAnsi" w:eastAsiaTheme="minorEastAsia" w:hAnsiTheme="minorHAnsi" w:cstheme="minorBidi"/>
                <w:kern w:val="2"/>
                <w:u w:val="none"/>
                <w:lang w:eastAsia="ja-JP"/>
                <w14:ligatures w14:val="standardContextual"/>
              </w:rPr>
              <w:tab/>
            </w:r>
            <w:r w:rsidRPr="00CB4F9C">
              <w:rPr>
                <w:rStyle w:val="Hyperlink"/>
              </w:rPr>
              <w:t>Cost to Federal Government</w:t>
            </w:r>
            <w:r w:rsidRPr="00CB4F9C">
              <w:rPr>
                <w:webHidden/>
              </w:rPr>
              <w:tab/>
            </w:r>
            <w:r w:rsidRPr="00CB4F9C">
              <w:rPr>
                <w:webHidden/>
              </w:rPr>
              <w:fldChar w:fldCharType="begin"/>
            </w:r>
            <w:r w:rsidRPr="00CB4F9C">
              <w:rPr>
                <w:webHidden/>
              </w:rPr>
              <w:instrText xml:space="preserve"> PAGEREF _Toc226541989 \h </w:instrText>
            </w:r>
            <w:r w:rsidRPr="00CB4F9C">
              <w:rPr>
                <w:webHidden/>
              </w:rPr>
              <w:fldChar w:fldCharType="separate"/>
            </w:r>
            <w:r w:rsidR="00F00F74">
              <w:rPr>
                <w:webHidden/>
              </w:rPr>
              <w:t>9</w:t>
            </w:r>
            <w:r w:rsidRPr="00CB4F9C">
              <w:rPr>
                <w:webHidden/>
              </w:rPr>
              <w:fldChar w:fldCharType="end"/>
            </w:r>
          </w:hyperlink>
        </w:p>
        <w:p w:rsidR="003A4A83" w:rsidRPr="00CB4F9C" w14:paraId="6A138852" w14:textId="4B1D3ED0">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90" w:history="1">
            <w:r w:rsidRPr="00CB4F9C">
              <w:rPr>
                <w:rStyle w:val="Hyperlink"/>
              </w:rPr>
              <w:t>15.</w:t>
            </w:r>
            <w:r w:rsidRPr="00CB4F9C">
              <w:rPr>
                <w:rFonts w:asciiTheme="minorHAnsi" w:eastAsiaTheme="minorEastAsia" w:hAnsiTheme="minorHAnsi" w:cstheme="minorBidi"/>
                <w:kern w:val="2"/>
                <w:u w:val="none"/>
                <w:lang w:eastAsia="ja-JP"/>
                <w14:ligatures w14:val="standardContextual"/>
              </w:rPr>
              <w:tab/>
            </w:r>
            <w:r w:rsidRPr="00CB4F9C">
              <w:rPr>
                <w:rStyle w:val="Hyperlink"/>
              </w:rPr>
              <w:t>Changes to Burden</w:t>
            </w:r>
            <w:r w:rsidRPr="00CB4F9C">
              <w:rPr>
                <w:webHidden/>
              </w:rPr>
              <w:tab/>
            </w:r>
            <w:r w:rsidRPr="00CB4F9C">
              <w:rPr>
                <w:webHidden/>
              </w:rPr>
              <w:fldChar w:fldCharType="begin"/>
            </w:r>
            <w:r w:rsidRPr="00CB4F9C">
              <w:rPr>
                <w:webHidden/>
              </w:rPr>
              <w:instrText xml:space="preserve"> PAGEREF _Toc226541990 \h </w:instrText>
            </w:r>
            <w:r w:rsidRPr="00CB4F9C">
              <w:rPr>
                <w:webHidden/>
              </w:rPr>
              <w:fldChar w:fldCharType="separate"/>
            </w:r>
            <w:r w:rsidR="00F00F74">
              <w:rPr>
                <w:webHidden/>
              </w:rPr>
              <w:t>10</w:t>
            </w:r>
            <w:r w:rsidRPr="00CB4F9C">
              <w:rPr>
                <w:webHidden/>
              </w:rPr>
              <w:fldChar w:fldCharType="end"/>
            </w:r>
          </w:hyperlink>
        </w:p>
        <w:p w:rsidR="003A4A83" w:rsidRPr="00CB4F9C" w14:paraId="0A61A9AE" w14:textId="53BC554C">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91" w:history="1">
            <w:r w:rsidRPr="00CB4F9C">
              <w:rPr>
                <w:rStyle w:val="Hyperlink"/>
              </w:rPr>
              <w:t>16.</w:t>
            </w:r>
            <w:r w:rsidRPr="00CB4F9C">
              <w:rPr>
                <w:rFonts w:asciiTheme="minorHAnsi" w:eastAsiaTheme="minorEastAsia" w:hAnsiTheme="minorHAnsi" w:cstheme="minorBidi"/>
                <w:kern w:val="2"/>
                <w:u w:val="none"/>
                <w:lang w:eastAsia="ja-JP"/>
                <w14:ligatures w14:val="standardContextual"/>
              </w:rPr>
              <w:tab/>
            </w:r>
            <w:r w:rsidRPr="00CB4F9C">
              <w:rPr>
                <w:rStyle w:val="Hyperlink"/>
              </w:rPr>
              <w:t>Publication/Tabulation Dates</w:t>
            </w:r>
            <w:r w:rsidRPr="00CB4F9C">
              <w:rPr>
                <w:webHidden/>
              </w:rPr>
              <w:tab/>
            </w:r>
            <w:r w:rsidRPr="00CB4F9C">
              <w:rPr>
                <w:webHidden/>
              </w:rPr>
              <w:fldChar w:fldCharType="begin"/>
            </w:r>
            <w:r w:rsidRPr="00CB4F9C">
              <w:rPr>
                <w:webHidden/>
              </w:rPr>
              <w:instrText xml:space="preserve"> PAGEREF _Toc226541991 \h </w:instrText>
            </w:r>
            <w:r w:rsidRPr="00CB4F9C">
              <w:rPr>
                <w:webHidden/>
              </w:rPr>
              <w:fldChar w:fldCharType="separate"/>
            </w:r>
            <w:r w:rsidR="00F00F74">
              <w:rPr>
                <w:webHidden/>
              </w:rPr>
              <w:t>10</w:t>
            </w:r>
            <w:r w:rsidRPr="00CB4F9C">
              <w:rPr>
                <w:webHidden/>
              </w:rPr>
              <w:fldChar w:fldCharType="end"/>
            </w:r>
          </w:hyperlink>
        </w:p>
        <w:p w:rsidR="003A4A83" w:rsidRPr="00CB4F9C" w14:paraId="5FB71D4D" w14:textId="44150B5C">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92" w:history="1">
            <w:r w:rsidRPr="00CB4F9C">
              <w:rPr>
                <w:rStyle w:val="Hyperlink"/>
              </w:rPr>
              <w:t>17.</w:t>
            </w:r>
            <w:r w:rsidRPr="00CB4F9C">
              <w:rPr>
                <w:rFonts w:asciiTheme="minorHAnsi" w:eastAsiaTheme="minorEastAsia" w:hAnsiTheme="minorHAnsi" w:cstheme="minorBidi"/>
                <w:kern w:val="2"/>
                <w:u w:val="none"/>
                <w:lang w:eastAsia="ja-JP"/>
                <w14:ligatures w14:val="standardContextual"/>
              </w:rPr>
              <w:tab/>
            </w:r>
            <w:r w:rsidRPr="00CB4F9C">
              <w:rPr>
                <w:rStyle w:val="Hyperlink"/>
              </w:rPr>
              <w:t>Expiration Date</w:t>
            </w:r>
            <w:r w:rsidRPr="00CB4F9C">
              <w:rPr>
                <w:webHidden/>
              </w:rPr>
              <w:tab/>
            </w:r>
            <w:r w:rsidRPr="00CB4F9C">
              <w:rPr>
                <w:webHidden/>
              </w:rPr>
              <w:fldChar w:fldCharType="begin"/>
            </w:r>
            <w:r w:rsidRPr="00CB4F9C">
              <w:rPr>
                <w:webHidden/>
              </w:rPr>
              <w:instrText xml:space="preserve"> PAGEREF _Toc226541992 \h </w:instrText>
            </w:r>
            <w:r w:rsidRPr="00CB4F9C">
              <w:rPr>
                <w:webHidden/>
              </w:rPr>
              <w:fldChar w:fldCharType="separate"/>
            </w:r>
            <w:r w:rsidR="00F00F74">
              <w:rPr>
                <w:webHidden/>
              </w:rPr>
              <w:t>10</w:t>
            </w:r>
            <w:r w:rsidRPr="00CB4F9C">
              <w:rPr>
                <w:webHidden/>
              </w:rPr>
              <w:fldChar w:fldCharType="end"/>
            </w:r>
          </w:hyperlink>
        </w:p>
        <w:p w:rsidR="003A4A83" w:rsidRPr="00CB4F9C" w14:paraId="0EEBE971" w14:textId="18CECAB5">
          <w:pPr>
            <w:pStyle w:val="TOC2"/>
            <w:tabs>
              <w:tab w:val="left" w:pos="1512"/>
            </w:tabs>
            <w:rPr>
              <w:rFonts w:asciiTheme="minorHAnsi" w:eastAsiaTheme="minorEastAsia" w:hAnsiTheme="minorHAnsi" w:cstheme="minorBidi"/>
              <w:kern w:val="2"/>
              <w:u w:val="none"/>
              <w:lang w:eastAsia="ja-JP"/>
              <w14:ligatures w14:val="standardContextual"/>
            </w:rPr>
          </w:pPr>
          <w:hyperlink w:anchor="_Toc226541993" w:history="1">
            <w:r w:rsidRPr="00CB4F9C">
              <w:rPr>
                <w:rStyle w:val="Hyperlink"/>
              </w:rPr>
              <w:t>18.</w:t>
            </w:r>
            <w:r w:rsidRPr="00CB4F9C">
              <w:rPr>
                <w:rFonts w:asciiTheme="minorHAnsi" w:eastAsiaTheme="minorEastAsia" w:hAnsiTheme="minorHAnsi" w:cstheme="minorBidi"/>
                <w:kern w:val="2"/>
                <w:u w:val="none"/>
                <w:lang w:eastAsia="ja-JP"/>
                <w14:ligatures w14:val="standardContextual"/>
              </w:rPr>
              <w:tab/>
            </w:r>
            <w:r w:rsidRPr="00CB4F9C">
              <w:rPr>
                <w:rStyle w:val="Hyperlink"/>
              </w:rPr>
              <w:t>Certification Statement</w:t>
            </w:r>
            <w:r w:rsidRPr="00CB4F9C">
              <w:rPr>
                <w:webHidden/>
              </w:rPr>
              <w:tab/>
            </w:r>
            <w:r w:rsidRPr="00CB4F9C">
              <w:rPr>
                <w:webHidden/>
              </w:rPr>
              <w:fldChar w:fldCharType="begin"/>
            </w:r>
            <w:r w:rsidRPr="00CB4F9C">
              <w:rPr>
                <w:webHidden/>
              </w:rPr>
              <w:instrText xml:space="preserve"> PAGEREF _Toc226541993 \h </w:instrText>
            </w:r>
            <w:r w:rsidRPr="00CB4F9C">
              <w:rPr>
                <w:webHidden/>
              </w:rPr>
              <w:fldChar w:fldCharType="separate"/>
            </w:r>
            <w:r w:rsidR="00F00F74">
              <w:rPr>
                <w:webHidden/>
              </w:rPr>
              <w:t>10</w:t>
            </w:r>
            <w:r w:rsidRPr="00CB4F9C">
              <w:rPr>
                <w:webHidden/>
              </w:rPr>
              <w:fldChar w:fldCharType="end"/>
            </w:r>
          </w:hyperlink>
        </w:p>
        <w:p w:rsidR="003B486F" w:rsidRPr="003A4A83" w:rsidP="003B486F" w14:paraId="5B8C1DB4" w14:textId="0B675F0F">
          <w:pPr>
            <w:rPr>
              <w:b/>
              <w:bCs/>
              <w:noProof/>
            </w:rPr>
          </w:pPr>
          <w:r w:rsidRPr="00CB4F9C">
            <w:rPr>
              <w:i/>
              <w:noProof/>
              <w:color w:val="3333FF"/>
              <w:u w:val="single"/>
            </w:rPr>
            <w:fldChar w:fldCharType="end"/>
          </w:r>
        </w:p>
      </w:sdtContent>
    </w:sdt>
    <w:p w:rsidR="0011499C" w:rsidRPr="003A4A83" w:rsidP="00A5741E" w14:paraId="1965B416" w14:textId="77777777">
      <w:pPr>
        <w:spacing w:after="240"/>
        <w:rPr>
          <w:b/>
          <w:color w:val="000000" w:themeColor="text1"/>
          <w:sz w:val="22"/>
          <w:u w:val="single"/>
        </w:rPr>
      </w:pPr>
    </w:p>
    <w:p w:rsidR="00302207" w:rsidRPr="003A4A83" w14:paraId="4F102B2A" w14:textId="77777777">
      <w:pPr>
        <w:spacing w:after="160" w:line="259" w:lineRule="auto"/>
        <w:rPr>
          <w:b/>
          <w:color w:val="000000" w:themeColor="text1"/>
          <w:sz w:val="22"/>
          <w:szCs w:val="22"/>
          <w:u w:val="single"/>
        </w:rPr>
      </w:pPr>
      <w:r w:rsidRPr="003A4A83">
        <w:rPr>
          <w:b/>
          <w:color w:val="000000" w:themeColor="text1"/>
          <w:sz w:val="22"/>
          <w:szCs w:val="22"/>
          <w:u w:val="single"/>
        </w:rPr>
        <w:br w:type="page"/>
      </w:r>
    </w:p>
    <w:p w:rsidR="003B486F" w:rsidRPr="003A4A83" w:rsidP="00AE7EA6" w14:paraId="295C5843" w14:textId="5818EB85">
      <w:pPr>
        <w:keepNext/>
        <w:spacing w:after="240"/>
        <w:jc w:val="center"/>
        <w:rPr>
          <w:b/>
          <w:bCs/>
          <w:noProof/>
        </w:rPr>
      </w:pPr>
      <w:r w:rsidRPr="003A4A83">
        <w:rPr>
          <w:b/>
          <w:color w:val="000000" w:themeColor="text1"/>
          <w:sz w:val="22"/>
          <w:szCs w:val="22"/>
          <w:u w:val="single"/>
        </w:rPr>
        <w:t xml:space="preserve">Supporting Statement </w:t>
      </w:r>
      <w:r w:rsidRPr="003A4A83">
        <w:rPr>
          <w:b/>
          <w:bCs/>
          <w:color w:val="000000" w:themeColor="text1"/>
          <w:sz w:val="22"/>
          <w:szCs w:val="22"/>
          <w:u w:val="single"/>
        </w:rPr>
        <w:t>PART A</w:t>
      </w:r>
    </w:p>
    <w:p w:rsidR="003B486F" w:rsidRPr="003A4A83" w:rsidP="00AE7EA6" w14:paraId="56B2BBF5" w14:textId="77777777">
      <w:pPr>
        <w:keepNext/>
        <w:jc w:val="center"/>
        <w:rPr>
          <w:b/>
          <w:color w:val="000000" w:themeColor="text1"/>
          <w:sz w:val="22"/>
          <w:szCs w:val="22"/>
        </w:rPr>
      </w:pPr>
      <w:bookmarkStart w:id="5" w:name="_Toc102549692"/>
      <w:bookmarkStart w:id="6" w:name="_Toc298168180"/>
      <w:bookmarkEnd w:id="2"/>
      <w:bookmarkEnd w:id="3"/>
      <w:bookmarkEnd w:id="4"/>
      <w:r w:rsidRPr="003A4A83">
        <w:rPr>
          <w:b/>
          <w:color w:val="000000" w:themeColor="text1"/>
          <w:sz w:val="22"/>
          <w:szCs w:val="22"/>
        </w:rPr>
        <w:t>IRF-PAI for the collection of data pertaining to the Inpatient Rehabilitation Facility Prospective Payment System and Quality Reporting Program</w:t>
      </w:r>
    </w:p>
    <w:p w:rsidR="003B486F" w:rsidRPr="003A4A83" w:rsidP="00AE7EA6" w14:paraId="21E199FF" w14:textId="4822FF58">
      <w:pPr>
        <w:pStyle w:val="Heading1"/>
        <w:keepNext/>
      </w:pPr>
      <w:bookmarkStart w:id="7" w:name="_Toc89079473"/>
      <w:bookmarkStart w:id="8" w:name="_Toc94773726"/>
      <w:bookmarkStart w:id="9" w:name="_Toc226541972"/>
      <w:r w:rsidRPr="003A4A83">
        <w:t>Background</w:t>
      </w:r>
      <w:bookmarkEnd w:id="5"/>
      <w:bookmarkEnd w:id="6"/>
      <w:bookmarkEnd w:id="7"/>
      <w:bookmarkEnd w:id="8"/>
      <w:bookmarkEnd w:id="9"/>
      <w:r w:rsidRPr="003A4A83">
        <w:t xml:space="preserve"> </w:t>
      </w:r>
    </w:p>
    <w:p w:rsidR="003B486F" w:rsidRPr="003A4A83" w:rsidP="003B486F" w14:paraId="66DD8601" w14:textId="1B8F0D77">
      <w:pPr>
        <w:pStyle w:val="ListContinue"/>
        <w:spacing w:after="240"/>
        <w:ind w:left="360"/>
      </w:pPr>
      <w:r w:rsidRPr="003A4A83">
        <w:t xml:space="preserve">The Centers for Medicare &amp; Medicaid Services (CMS) is requesting </w:t>
      </w:r>
      <w:r w:rsidRPr="003A4A83" w:rsidR="0097594C">
        <w:t xml:space="preserve">an extension </w:t>
      </w:r>
      <w:r w:rsidRPr="003A4A83" w:rsidR="00F21DD6">
        <w:t xml:space="preserve">to the </w:t>
      </w:r>
      <w:r w:rsidRPr="003A4A83">
        <w:t>approval of the Inpatient Rehabilitation Facility-Patient Assessment Instrument (IRF-PAI) Version 4.</w:t>
      </w:r>
      <w:r w:rsidRPr="003A4A83" w:rsidR="00426100">
        <w:t xml:space="preserve">4 </w:t>
      </w:r>
      <w:r w:rsidRPr="003A4A83">
        <w:t>that w</w:t>
      </w:r>
      <w:r w:rsidRPr="003A4A83" w:rsidR="008D4201">
        <w:t>ill</w:t>
      </w:r>
      <w:r w:rsidRPr="003A4A83">
        <w:t xml:space="preserve"> be effective on October 1, 202</w:t>
      </w:r>
      <w:r w:rsidRPr="003A4A83" w:rsidR="00461254">
        <w:t>6</w:t>
      </w:r>
      <w:r w:rsidRPr="003A4A83">
        <w:t xml:space="preserve">. </w:t>
      </w:r>
    </w:p>
    <w:p w:rsidR="00620FAF" w:rsidRPr="003A4A83" w:rsidP="003B486F" w14:paraId="219AF874" w14:textId="4CA0E2DB">
      <w:pPr>
        <w:pStyle w:val="ListContinue"/>
        <w:spacing w:after="240"/>
        <w:ind w:left="360"/>
        <w:rPr>
          <w:color w:val="000000"/>
          <w:shd w:val="clear" w:color="auto" w:fill="FFFFFF"/>
        </w:rPr>
      </w:pPr>
      <w:bookmarkStart w:id="10" w:name="_Hlk130474019"/>
      <w:r w:rsidRPr="003A4A83">
        <w:rPr>
          <w:color w:val="000000"/>
          <w:shd w:val="clear" w:color="auto" w:fill="FFFFFF"/>
        </w:rPr>
        <w:t xml:space="preserve">On </w:t>
      </w:r>
      <w:r w:rsidRPr="003A4A83" w:rsidR="00BA0522">
        <w:rPr>
          <w:color w:val="000000"/>
          <w:shd w:val="clear" w:color="auto" w:fill="FFFFFF"/>
        </w:rPr>
        <w:t xml:space="preserve">April </w:t>
      </w:r>
      <w:r w:rsidR="005A3837">
        <w:rPr>
          <w:color w:val="000000"/>
          <w:shd w:val="clear" w:color="auto" w:fill="FFFFFF"/>
        </w:rPr>
        <w:t>6</w:t>
      </w:r>
      <w:r w:rsidRPr="003A4A83" w:rsidR="00A6183C">
        <w:rPr>
          <w:color w:val="000000"/>
          <w:shd w:val="clear" w:color="auto" w:fill="FFFFFF"/>
        </w:rPr>
        <w:t>,</w:t>
      </w:r>
      <w:r w:rsidRPr="003A4A83" w:rsidR="00BA0522">
        <w:rPr>
          <w:color w:val="000000"/>
          <w:shd w:val="clear" w:color="auto" w:fill="FFFFFF"/>
        </w:rPr>
        <w:t xml:space="preserve"> </w:t>
      </w:r>
      <w:r w:rsidRPr="003A4A83" w:rsidR="00BA0522">
        <w:rPr>
          <w:color w:val="000000"/>
          <w:shd w:val="clear" w:color="auto" w:fill="FFFFFF"/>
        </w:rPr>
        <w:t>202</w:t>
      </w:r>
      <w:r w:rsidRPr="003A4A83" w:rsidR="00A6183C">
        <w:rPr>
          <w:color w:val="000000"/>
          <w:shd w:val="clear" w:color="auto" w:fill="FFFFFF"/>
        </w:rPr>
        <w:t>6</w:t>
      </w:r>
      <w:r w:rsidRPr="003A4A83">
        <w:rPr>
          <w:color w:val="000000"/>
          <w:shd w:val="clear" w:color="auto" w:fill="FFFFFF"/>
        </w:rPr>
        <w:t xml:space="preserve"> the Centers for Medicare &amp; Medicaid Services (CMS) </w:t>
      </w:r>
      <w:r w:rsidRPr="003A4A83" w:rsidR="003E4B4A">
        <w:rPr>
          <w:color w:val="000000"/>
          <w:shd w:val="clear" w:color="auto" w:fill="FFFFFF"/>
        </w:rPr>
        <w:t>published</w:t>
      </w:r>
      <w:r w:rsidRPr="003A4A83" w:rsidR="008D4201">
        <w:rPr>
          <w:color w:val="000000"/>
          <w:shd w:val="clear" w:color="auto" w:fill="FFFFFF"/>
        </w:rPr>
        <w:t xml:space="preserve"> the IRF Prospective Payment System (PPS) for Federal FY 202</w:t>
      </w:r>
      <w:r w:rsidRPr="003A4A83" w:rsidR="00A6183C">
        <w:rPr>
          <w:color w:val="000000"/>
          <w:shd w:val="clear" w:color="auto" w:fill="FFFFFF"/>
        </w:rPr>
        <w:t>7</w:t>
      </w:r>
      <w:r w:rsidRPr="003A4A83" w:rsidR="008D4201">
        <w:rPr>
          <w:color w:val="000000"/>
          <w:shd w:val="clear" w:color="auto" w:fill="FFFFFF"/>
        </w:rPr>
        <w:t xml:space="preserve"> and Updates to the IRF Quality Reporting Program </w:t>
      </w:r>
      <w:r w:rsidRPr="003A4A83" w:rsidR="00CB38E1">
        <w:rPr>
          <w:color w:val="000000"/>
          <w:shd w:val="clear" w:color="auto" w:fill="FFFFFF"/>
        </w:rPr>
        <w:t>proposed</w:t>
      </w:r>
      <w:r w:rsidRPr="003A4A83" w:rsidR="007A2F98">
        <w:rPr>
          <w:color w:val="000000"/>
          <w:shd w:val="clear" w:color="auto" w:fill="FFFFFF"/>
        </w:rPr>
        <w:t xml:space="preserve"> </w:t>
      </w:r>
      <w:r w:rsidRPr="003A4A83" w:rsidR="008D4201">
        <w:rPr>
          <w:color w:val="000000"/>
          <w:shd w:val="clear" w:color="auto" w:fill="FFFFFF"/>
        </w:rPr>
        <w:t>rule</w:t>
      </w:r>
      <w:r w:rsidRPr="003A4A83" w:rsidR="00106E8F">
        <w:rPr>
          <w:color w:val="000000"/>
          <w:shd w:val="clear" w:color="auto" w:fill="FFFFFF"/>
        </w:rPr>
        <w:t>. The rule</w:t>
      </w:r>
      <w:r w:rsidR="005A3837">
        <w:rPr>
          <w:color w:val="000000"/>
          <w:shd w:val="clear" w:color="auto" w:fill="FFFFFF"/>
        </w:rPr>
        <w:t xml:space="preserve"> </w:t>
      </w:r>
      <w:r w:rsidRPr="003A4A83" w:rsidR="00461254">
        <w:rPr>
          <w:color w:val="000000"/>
          <w:shd w:val="clear" w:color="auto" w:fill="FFFFFF"/>
        </w:rPr>
        <w:t>proposes</w:t>
      </w:r>
      <w:r w:rsidRPr="003A4A83" w:rsidR="008D4201">
        <w:rPr>
          <w:color w:val="000000"/>
          <w:shd w:val="clear" w:color="auto" w:fill="FFFFFF"/>
        </w:rPr>
        <w:t xml:space="preserve"> </w:t>
      </w:r>
      <w:r w:rsidRPr="003A4A83" w:rsidR="0015284C">
        <w:rPr>
          <w:color w:val="000000"/>
          <w:shd w:val="clear" w:color="auto" w:fill="FFFFFF"/>
        </w:rPr>
        <w:t xml:space="preserve">updates to the </w:t>
      </w:r>
      <w:r w:rsidRPr="003A4A83">
        <w:rPr>
          <w:color w:val="000000"/>
          <w:shd w:val="clear" w:color="auto" w:fill="FFFFFF"/>
        </w:rPr>
        <w:t>Inpatient Rehabilitation Facility Quality Reporting Program (IRF QRP).</w:t>
      </w:r>
      <w:bookmarkEnd w:id="10"/>
      <w:r w:rsidRPr="003A4A83">
        <w:rPr>
          <w:color w:val="000000"/>
          <w:shd w:val="clear" w:color="auto" w:fill="FFFFFF"/>
        </w:rPr>
        <w:t xml:space="preserve"> </w:t>
      </w:r>
      <w:r w:rsidRPr="003A4A83" w:rsidR="0043098A">
        <w:rPr>
          <w:color w:val="000000"/>
          <w:shd w:val="clear" w:color="auto" w:fill="FFFFFF"/>
        </w:rPr>
        <w:t xml:space="preserve"> </w:t>
      </w:r>
      <w:r w:rsidRPr="003A4A83" w:rsidR="00E136AD">
        <w:rPr>
          <w:color w:val="000000"/>
          <w:shd w:val="clear" w:color="auto" w:fill="FFFFFF"/>
        </w:rPr>
        <w:t xml:space="preserve">Specifically, we are proposing to change the data submission deadlines for data submitted for the purposes of the IRF QRP. If finalized as proposed, these updates would not add any additional collection burden for IRFs. </w:t>
      </w:r>
    </w:p>
    <w:p w:rsidR="003B486F" w:rsidRPr="003A4A83" w:rsidP="003B486F" w14:paraId="2986D196" w14:textId="2170DEF7">
      <w:pPr>
        <w:pStyle w:val="ListContinue"/>
        <w:spacing w:after="240"/>
        <w:ind w:left="360"/>
      </w:pPr>
      <w:r w:rsidRPr="003A4A83">
        <w:t xml:space="preserve">CMS is asking for </w:t>
      </w:r>
      <w:r w:rsidRPr="003A4A83" w:rsidR="00652FF8">
        <w:t xml:space="preserve">an extension of the </w:t>
      </w:r>
      <w:r w:rsidRPr="003A4A83">
        <w:t>approval of the IRF-PAI Version 4.</w:t>
      </w:r>
      <w:r w:rsidRPr="003A4A83" w:rsidR="00426100">
        <w:t>4</w:t>
      </w:r>
      <w:r w:rsidRPr="003A4A83">
        <w:t xml:space="preserve">, which </w:t>
      </w:r>
      <w:r w:rsidRPr="003A4A83" w:rsidR="00981FA8">
        <w:t>w</w:t>
      </w:r>
      <w:r w:rsidRPr="003A4A83" w:rsidR="007975DF">
        <w:t>ill</w:t>
      </w:r>
      <w:r w:rsidRPr="003A4A83">
        <w:t xml:space="preserve"> have an October 1, </w:t>
      </w:r>
      <w:r w:rsidRPr="003A4A83">
        <w:t>202</w:t>
      </w:r>
      <w:r w:rsidRPr="003A4A83" w:rsidR="00461254">
        <w:t>6</w:t>
      </w:r>
      <w:r w:rsidRPr="003A4A83">
        <w:t xml:space="preserve"> implementation date</w:t>
      </w:r>
      <w:r w:rsidRPr="003A4A83" w:rsidR="00962C85">
        <w:t xml:space="preserve">. </w:t>
      </w:r>
      <w:r w:rsidRPr="003A4A83" w:rsidR="000D586C">
        <w:t>The IRF</w:t>
      </w:r>
      <w:r w:rsidRPr="003A4A83" w:rsidR="000D586C">
        <w:t xml:space="preserve">-PAI Version 4.2 will have a runoff period through September 30, </w:t>
      </w:r>
      <w:r w:rsidRPr="003A4A83" w:rsidR="000D586C">
        <w:t>2026</w:t>
      </w:r>
      <w:r w:rsidRPr="003A4A83" w:rsidR="000D586C">
        <w:t xml:space="preserve"> and sunset when </w:t>
      </w:r>
      <w:r w:rsidRPr="003A4A83" w:rsidR="001F00F9">
        <w:rPr>
          <w:color w:val="000000" w:themeColor="text1"/>
        </w:rPr>
        <w:t xml:space="preserve">the IRF-PAI </w:t>
      </w:r>
      <w:r w:rsidRPr="003A4A83" w:rsidR="000D586C">
        <w:rPr>
          <w:color w:val="000000" w:themeColor="text1"/>
        </w:rPr>
        <w:t xml:space="preserve">Version </w:t>
      </w:r>
      <w:r w:rsidRPr="003A4A83" w:rsidR="00AB52B6">
        <w:t>4.</w:t>
      </w:r>
      <w:r w:rsidRPr="003A4A83" w:rsidR="00426100">
        <w:t>4</w:t>
      </w:r>
      <w:r w:rsidRPr="003A4A83" w:rsidR="007F7AE8">
        <w:t xml:space="preserve"> </w:t>
      </w:r>
      <w:r w:rsidRPr="003A4A83" w:rsidR="000D586C">
        <w:rPr>
          <w:color w:val="000000" w:themeColor="text1"/>
        </w:rPr>
        <w:t>takes effect on October 1, 2026.</w:t>
      </w:r>
      <w:r w:rsidRPr="003A4A83" w:rsidR="00C97F7C">
        <w:rPr>
          <w:color w:val="000000" w:themeColor="text1"/>
        </w:rPr>
        <w:t xml:space="preserve"> </w:t>
      </w:r>
    </w:p>
    <w:p w:rsidR="003B486F" w:rsidRPr="003A4A83" w:rsidP="003B486F" w14:paraId="342331D2" w14:textId="5AF29FF1">
      <w:pPr>
        <w:pStyle w:val="Heading1"/>
      </w:pPr>
      <w:bookmarkStart w:id="11" w:name="_Toc89079474"/>
      <w:bookmarkStart w:id="12" w:name="_Toc94773727"/>
      <w:bookmarkStart w:id="13" w:name="_Toc226541973"/>
      <w:r w:rsidRPr="003A4A83">
        <w:t>Justification</w:t>
      </w:r>
      <w:bookmarkEnd w:id="11"/>
      <w:bookmarkEnd w:id="12"/>
      <w:bookmarkEnd w:id="13"/>
      <w:r w:rsidRPr="003A4A83">
        <w:t xml:space="preserve"> </w:t>
      </w:r>
    </w:p>
    <w:p w:rsidR="003B486F" w:rsidRPr="003A4A83" w:rsidP="003B486F" w14:paraId="453B2652" w14:textId="1A177A61">
      <w:pPr>
        <w:pStyle w:val="Heading2"/>
      </w:pPr>
      <w:bookmarkStart w:id="14" w:name="_Toc89079475"/>
      <w:bookmarkStart w:id="15" w:name="_Toc94773728"/>
      <w:bookmarkStart w:id="16" w:name="_Toc226541974"/>
      <w:r w:rsidRPr="003A4A83">
        <w:t>Need and Legal Basis</w:t>
      </w:r>
      <w:bookmarkEnd w:id="14"/>
      <w:bookmarkEnd w:id="15"/>
      <w:bookmarkEnd w:id="16"/>
      <w:r w:rsidRPr="003A4A83">
        <w:t xml:space="preserve"> </w:t>
      </w:r>
    </w:p>
    <w:p w:rsidR="003B486F" w:rsidRPr="003A4A83" w:rsidP="003B486F" w14:paraId="0939FA40" w14:textId="77777777">
      <w:pPr>
        <w:pStyle w:val="ListContinue"/>
        <w:spacing w:after="240"/>
        <w:ind w:left="360"/>
        <w:rPr>
          <w:color w:val="000000" w:themeColor="text1"/>
        </w:rPr>
      </w:pPr>
      <w:r w:rsidRPr="003A4A83">
        <w:rPr>
          <w:color w:val="000000" w:themeColor="text1"/>
        </w:rPr>
        <w:t xml:space="preserve">This instrument with its supporting manual is needed to permit the Secretary of Health and Human Services, and CMS, to implement Section 1886(j) of the Social Security Act, 42 U.S.C. 1395ww(j), as enacted by §4421 of the Balanced Budget Act of 1997 (BBA), Pub. L. No. 105-33.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rsidR="003B486F" w:rsidRPr="003A4A83" w:rsidP="003B486F" w14:paraId="1042104A" w14:textId="77777777">
      <w:pPr>
        <w:pStyle w:val="ListContinue"/>
        <w:spacing w:after="240"/>
        <w:ind w:left="360"/>
        <w:rPr>
          <w:color w:val="000000" w:themeColor="text1"/>
        </w:rPr>
      </w:pPr>
      <w:r w:rsidRPr="003A4A83">
        <w:rPr>
          <w:color w:val="000000" w:themeColor="text1"/>
        </w:rPr>
        <w:t>The statute requires that the prospective payment system for each Medicare rehabilitation facility be based on patient case mix groups and directs the Secretary to “establish classes of patients of rehabilitation facilities based on such factors as the Secretary deems appropriate, which may include impairment, age, related prior hospitalization, comorbidities, and functional capability of the patient,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003B486F" w:rsidRPr="003A4A83" w:rsidP="003B486F" w14:paraId="5177B2B6" w14:textId="77777777">
      <w:pPr>
        <w:pStyle w:val="ListContinue"/>
        <w:spacing w:after="240"/>
        <w:ind w:left="360"/>
        <w:rPr>
          <w:color w:val="000000" w:themeColor="text1"/>
        </w:rPr>
      </w:pPr>
      <w:r w:rsidRPr="003A4A83">
        <w:rPr>
          <w:color w:val="000000" w:themeColor="text1"/>
        </w:rPr>
        <w:t>Since October 1, 2012, the IRF-PAI has also been used to collect quality measure data, using data items in the Quality Indicator section, as required by Section 1886(j)(7) of the Social Security Act added by section 3004 of the Patient Protection and Affordable Care Act</w:t>
      </w:r>
      <w:r>
        <w:rPr>
          <w:rStyle w:val="FootnoteReference"/>
          <w:color w:val="auto"/>
          <w:u w:val="none"/>
        </w:rPr>
        <w:footnoteReference w:id="3"/>
      </w:r>
      <w:r w:rsidRPr="003A4A83">
        <w:rPr>
          <w:color w:val="000000" w:themeColor="text1"/>
        </w:rPr>
        <w:t>. The statute requires the Secretary to establish a quality reporting program for inpatient rehabilitation facilities (IRFs), which was established in the FY 2012 IRF PPS final rule (76 FR 47873 through 47883)</w:t>
      </w:r>
      <w:r>
        <w:rPr>
          <w:rStyle w:val="FootnoteReference"/>
          <w:color w:val="auto"/>
          <w:u w:val="none"/>
        </w:rPr>
        <w:footnoteReference w:id="4"/>
      </w:r>
      <w:r w:rsidRPr="003A4A83">
        <w:rPr>
          <w:color w:val="000000" w:themeColor="text1"/>
        </w:rPr>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rsidR="003B486F" w:rsidRPr="003A4A83" w:rsidP="003B486F" w14:paraId="780FC30F" w14:textId="2C891588">
      <w:pPr>
        <w:pStyle w:val="ListContinue"/>
        <w:spacing w:after="240"/>
        <w:ind w:left="360"/>
        <w:rPr>
          <w:color w:val="000000" w:themeColor="text1"/>
        </w:rPr>
      </w:pPr>
      <w:r w:rsidRPr="003A4A83">
        <w:rPr>
          <w:color w:val="000000" w:themeColor="text1"/>
        </w:rPr>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w:t>
      </w:r>
      <w:r w:rsidRPr="003A4A83" w:rsidR="00262799">
        <w:rPr>
          <w:color w:val="000000" w:themeColor="text1"/>
        </w:rPr>
        <w:t>post-acute care (</w:t>
      </w:r>
      <w:r w:rsidRPr="003A4A83">
        <w:rPr>
          <w:color w:val="000000" w:themeColor="text1"/>
        </w:rPr>
        <w:t>PAC</w:t>
      </w:r>
      <w:r w:rsidRPr="003A4A83" w:rsidR="00262799">
        <w:rPr>
          <w:color w:val="000000" w:themeColor="text1"/>
        </w:rPr>
        <w:t>)</w:t>
      </w:r>
      <w:r w:rsidRPr="003A4A83">
        <w:rPr>
          <w:color w:val="000000" w:themeColor="text1"/>
        </w:rPr>
        <w:t xml:space="preserve"> assessment instrument and the modification of such instrument as necessary to enable such use; for IRFs, this requirement refers to the Inpatient Rehabilitation Facility – Patient Assessment Instrument (IRF-PAI).</w:t>
      </w:r>
    </w:p>
    <w:p w:rsidR="003B486F" w:rsidRPr="003A4A83" w:rsidP="003B486F" w14:paraId="45CB8279" w14:textId="1A756DEF">
      <w:pPr>
        <w:pStyle w:val="Heading2"/>
      </w:pPr>
      <w:bookmarkStart w:id="17" w:name="_Toc89079479"/>
      <w:bookmarkStart w:id="18" w:name="_Toc94773732"/>
      <w:bookmarkStart w:id="19" w:name="_Toc226541975"/>
      <w:r w:rsidRPr="003A4A83">
        <w:t>Information Users</w:t>
      </w:r>
      <w:bookmarkEnd w:id="17"/>
      <w:bookmarkEnd w:id="18"/>
      <w:bookmarkEnd w:id="19"/>
    </w:p>
    <w:p w:rsidR="003B486F" w:rsidRPr="003A4A83" w:rsidP="003B486F" w14:paraId="2B59308D" w14:textId="1AD656D2">
      <w:pPr>
        <w:pStyle w:val="ListContinue"/>
        <w:ind w:left="360"/>
        <w:rPr>
          <w:color w:val="000000" w:themeColor="text1"/>
        </w:rPr>
      </w:pPr>
      <w:r w:rsidRPr="003A4A83">
        <w:rPr>
          <w:color w:val="000000" w:themeColor="text1"/>
        </w:rPr>
        <w:t xml:space="preserve">The IRF-PAI is required by the CMS as part of the Inpatient Rehabilitation Facility Prospective Payment System (IRF PPS). CMS uses the data to determine the payment for each Medicare Part A fee-for-service patient admitted to an inpatient rehabilitation unit or hospital. </w:t>
      </w:r>
    </w:p>
    <w:p w:rsidR="003B486F" w:rsidRPr="003A4A83" w:rsidP="003B486F" w14:paraId="17A86DD6" w14:textId="49411372">
      <w:pPr>
        <w:pStyle w:val="ListContinue"/>
        <w:ind w:left="360"/>
        <w:rPr>
          <w:color w:val="000000" w:themeColor="text1"/>
        </w:rPr>
      </w:pPr>
      <w:r w:rsidRPr="003A4A83">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w:t>
      </w:r>
      <w:r w:rsidRPr="003A4A83">
        <w:rPr>
          <w:color w:val="000000" w:themeColor="text1"/>
        </w:rPr>
        <w:t>All of</w:t>
      </w:r>
      <w:r w:rsidRPr="003A4A83">
        <w:rPr>
          <w:color w:val="000000" w:themeColor="text1"/>
        </w:rPr>
        <w:t xml:space="preserve"> the data that must be reported in accordance with section 1899B(a)(1)(A) must be standardized and interoperable </w:t>
      </w:r>
      <w:r w:rsidRPr="003A4A83">
        <w:rPr>
          <w:color w:val="000000" w:themeColor="text1"/>
        </w:rPr>
        <w:t>so as to</w:t>
      </w:r>
      <w:r w:rsidRPr="003A4A83">
        <w:rPr>
          <w:color w:val="000000" w:themeColor="text1"/>
        </w:rPr>
        <w:t xml:space="preserve"> allow for the exchange of the information among PAC providers and other providers and the use of such data </w:t>
      </w:r>
      <w:r w:rsidRPr="003A4A83">
        <w:rPr>
          <w:color w:val="000000" w:themeColor="text1"/>
        </w:rPr>
        <w:t>in order to</w:t>
      </w:r>
      <w:r w:rsidRPr="003A4A83">
        <w:rPr>
          <w:color w:val="000000" w:themeColor="text1"/>
        </w:rPr>
        <w:t xml:space="preserve"> enable access to longitudinal information and to facilitate coordinated care. </w:t>
      </w:r>
      <w:r w:rsidRPr="003A4A83" w:rsidR="00262799">
        <w:t>The FY 2023 IRF PPS final rule (87 FR 47038) finalized the collection of IRF-PAI assessment data on each patient receiving care in an IRF, regardless of payer. IRFs will be required to report these data with respect to admission and discharge of all patients, regardless of payer, discharged beginning October 1, 2024.</w:t>
      </w:r>
    </w:p>
    <w:p w:rsidR="003B486F" w:rsidRPr="003A4A83" w:rsidP="003B486F" w14:paraId="338A71B3" w14:textId="1390BC54">
      <w:pPr>
        <w:pStyle w:val="ListContinue"/>
        <w:ind w:left="360"/>
        <w:rPr>
          <w:color w:val="000000" w:themeColor="text1"/>
        </w:rPr>
      </w:pPr>
      <w:r w:rsidRPr="003A4A83">
        <w:rPr>
          <w:color w:val="000000" w:themeColor="text1"/>
        </w:rPr>
        <w:t xml:space="preserve">In addition, the public/consumer is a data user, as CMS is required to make IRF QRP data available to the public after ensuring that an IRF </w:t>
      </w:r>
      <w:r w:rsidRPr="003A4A83">
        <w:rPr>
          <w:color w:val="000000" w:themeColor="text1"/>
        </w:rPr>
        <w:t>has the opportunity to</w:t>
      </w:r>
      <w:r w:rsidRPr="003A4A83">
        <w:rPr>
          <w:color w:val="000000" w:themeColor="text1"/>
        </w:rPr>
        <w:t xml:space="preserve"> review its data prior to public display. Measure data is currently displayed on the </w:t>
      </w:r>
      <w:r w:rsidRPr="003A4A83" w:rsidR="00426100">
        <w:rPr>
          <w:color w:val="000000" w:themeColor="text1"/>
        </w:rPr>
        <w:t>Inpatient Rehabilitation Facility provider type on the Care Compare tool on Medicare.gov</w:t>
      </w:r>
      <w:r w:rsidRPr="003A4A83">
        <w:rPr>
          <w:color w:val="000000" w:themeColor="text1"/>
        </w:rPr>
        <w:t xml:space="preserve">, at </w:t>
      </w:r>
      <w:hyperlink r:id="rId9" w:tooltip="Care Compare tool" w:history="1">
        <w:r w:rsidRPr="003A4A83">
          <w:rPr>
            <w:rStyle w:val="Hyperlink"/>
            <w:color w:val="000000" w:themeColor="text1"/>
          </w:rPr>
          <w:t>https://www.medicare.gov/inpatientrehabilitationfacilitycompare/</w:t>
        </w:r>
      </w:hyperlink>
      <w:r w:rsidRPr="003A4A83">
        <w:rPr>
          <w:color w:val="000000" w:themeColor="text1"/>
        </w:rPr>
        <w:t>.</w:t>
      </w:r>
    </w:p>
    <w:p w:rsidR="003B486F" w:rsidRPr="003A4A83" w:rsidP="003B486F" w14:paraId="6138BA64" w14:textId="3901A0D1">
      <w:pPr>
        <w:pStyle w:val="Heading2"/>
      </w:pPr>
      <w:bookmarkStart w:id="20" w:name="_Toc89079480"/>
      <w:bookmarkStart w:id="21" w:name="_Toc94773733"/>
      <w:bookmarkStart w:id="22" w:name="_Toc226541976"/>
      <w:r w:rsidRPr="003A4A83">
        <w:t>Use of Information Technology</w:t>
      </w:r>
      <w:bookmarkEnd w:id="20"/>
      <w:bookmarkEnd w:id="21"/>
      <w:bookmarkEnd w:id="22"/>
    </w:p>
    <w:p w:rsidR="00651D61" w:rsidRPr="003A4A83" w:rsidP="00651D61" w14:paraId="0E8CF83D" w14:textId="7986D865">
      <w:pPr>
        <w:pStyle w:val="ListContinue"/>
        <w:ind w:left="360"/>
        <w:rPr>
          <w:color w:val="000000" w:themeColor="text1"/>
        </w:rPr>
      </w:pPr>
      <w:r w:rsidRPr="003A4A83">
        <w:rPr>
          <w:color w:val="000000" w:themeColor="text1"/>
        </w:rPr>
        <w:t xml:space="preserve">CMS </w:t>
      </w:r>
      <w:r w:rsidRPr="003A4A83" w:rsidR="00E86006">
        <w:rPr>
          <w:color w:val="000000" w:themeColor="text1"/>
        </w:rPr>
        <w:t>use</w:t>
      </w:r>
      <w:r w:rsidRPr="003A4A83">
        <w:rPr>
          <w:color w:val="000000" w:themeColor="text1"/>
        </w:rPr>
        <w:t>s</w:t>
      </w:r>
      <w:r w:rsidRPr="003A4A83" w:rsidR="00E86006">
        <w:rPr>
          <w:color w:val="000000" w:themeColor="text1"/>
        </w:rPr>
        <w:t xml:space="preserve"> information technology to </w:t>
      </w:r>
      <w:r w:rsidRPr="003A4A83">
        <w:rPr>
          <w:color w:val="000000" w:themeColor="text1"/>
        </w:rPr>
        <w:t xml:space="preserve">decrease </w:t>
      </w:r>
      <w:r w:rsidRPr="003A4A83" w:rsidR="00E86006">
        <w:rPr>
          <w:color w:val="000000" w:themeColor="text1"/>
        </w:rPr>
        <w:t xml:space="preserve">the burden associated with </w:t>
      </w:r>
      <w:r w:rsidRPr="003A4A83">
        <w:rPr>
          <w:color w:val="000000" w:themeColor="text1"/>
        </w:rPr>
        <w:t>data</w:t>
      </w:r>
      <w:r w:rsidRPr="003A4A83" w:rsidR="00E86006">
        <w:rPr>
          <w:color w:val="000000" w:themeColor="text1"/>
        </w:rPr>
        <w:t xml:space="preserve"> collection of the IRF-PAI</w:t>
      </w:r>
      <w:r w:rsidRPr="003A4A83" w:rsidR="00962C85">
        <w:rPr>
          <w:color w:val="000000" w:themeColor="text1"/>
        </w:rPr>
        <w:t>.</w:t>
      </w:r>
      <w:r w:rsidRPr="003A4A83" w:rsidR="00E014D0">
        <w:rPr>
          <w:color w:val="000000" w:themeColor="text1"/>
        </w:rPr>
        <w:t xml:space="preserve"> </w:t>
      </w:r>
      <w:r w:rsidRPr="003A4A83">
        <w:rPr>
          <w:color w:val="000000" w:themeColor="text1"/>
        </w:rPr>
        <w:t xml:space="preserve">This is accomplished </w:t>
      </w:r>
      <w:r w:rsidRPr="003A4A83">
        <w:rPr>
          <w:color w:val="000000" w:themeColor="text1"/>
        </w:rPr>
        <w:t>through strategies that (</w:t>
      </w:r>
      <w:r w:rsidRPr="003A4A83" w:rsidR="00E86006">
        <w:rPr>
          <w:color w:val="000000" w:themeColor="text1"/>
        </w:rPr>
        <w:t>1</w:t>
      </w:r>
      <w:r w:rsidRPr="003A4A83">
        <w:rPr>
          <w:color w:val="000000" w:themeColor="text1"/>
        </w:rPr>
        <w:t xml:space="preserve">) streamline information and submission processes, </w:t>
      </w:r>
      <w:r w:rsidRPr="003A4A83" w:rsidR="00E86006">
        <w:rPr>
          <w:color w:val="000000" w:themeColor="text1"/>
        </w:rPr>
        <w:t xml:space="preserve">(2) minimize costly documentation requirements, </w:t>
      </w:r>
      <w:r w:rsidRPr="003A4A83">
        <w:rPr>
          <w:color w:val="000000" w:themeColor="text1"/>
        </w:rPr>
        <w:t xml:space="preserve">and (3) </w:t>
      </w:r>
      <w:r w:rsidRPr="003A4A83" w:rsidR="00E86006">
        <w:rPr>
          <w:color w:val="000000" w:themeColor="text1"/>
        </w:rPr>
        <w:t>utilize information technology for improving communication</w:t>
      </w:r>
      <w:r w:rsidRPr="003A4A83">
        <w:rPr>
          <w:color w:val="000000" w:themeColor="text1"/>
        </w:rPr>
        <w:t>.</w:t>
      </w:r>
    </w:p>
    <w:p w:rsidR="00E86006" w:rsidRPr="003A4A83" w:rsidP="003B486F" w14:paraId="49CAEDE7" w14:textId="7F1E7E4C">
      <w:pPr>
        <w:pStyle w:val="ListContinue"/>
        <w:ind w:left="360"/>
        <w:rPr>
          <w:color w:val="000000" w:themeColor="text1"/>
        </w:rPr>
      </w:pPr>
      <w:r w:rsidRPr="003A4A83">
        <w:rPr>
          <w:color w:val="000000" w:themeColor="text1"/>
        </w:rPr>
        <w:t>First,</w:t>
      </w:r>
      <w:r w:rsidRPr="003A4A83" w:rsidR="00E014D0">
        <w:rPr>
          <w:color w:val="000000" w:themeColor="text1"/>
        </w:rPr>
        <w:t xml:space="preserve"> </w:t>
      </w:r>
      <w:r w:rsidRPr="003A4A83" w:rsidR="0043098A">
        <w:rPr>
          <w:color w:val="000000" w:themeColor="text1"/>
        </w:rPr>
        <w:t>CMS creates</w:t>
      </w:r>
      <w:r w:rsidRPr="003A4A83">
        <w:rPr>
          <w:color w:val="000000" w:themeColor="text1"/>
        </w:rPr>
        <w:t xml:space="preserve"> </w:t>
      </w:r>
      <w:r w:rsidRPr="003A4A83" w:rsidR="0043098A">
        <w:rPr>
          <w:color w:val="000000" w:themeColor="text1"/>
        </w:rPr>
        <w:t>data</w:t>
      </w:r>
      <w:r w:rsidRPr="003A4A83">
        <w:rPr>
          <w:color w:val="000000" w:themeColor="text1"/>
        </w:rPr>
        <w:t xml:space="preserve"> collection </w:t>
      </w:r>
      <w:r w:rsidRPr="003A4A83" w:rsidR="0043098A">
        <w:rPr>
          <w:color w:val="000000" w:themeColor="text1"/>
        </w:rPr>
        <w:t>specifications</w:t>
      </w:r>
      <w:r w:rsidRPr="003A4A83" w:rsidR="00D32EB3">
        <w:rPr>
          <w:color w:val="000000" w:themeColor="text1"/>
        </w:rPr>
        <w:t xml:space="preserve"> for IRF </w:t>
      </w:r>
      <w:r w:rsidRPr="003A4A83" w:rsidR="006E6BE6">
        <w:rPr>
          <w:color w:val="000000" w:themeColor="text1"/>
        </w:rPr>
        <w:t>electronic health record (</w:t>
      </w:r>
      <w:r w:rsidRPr="003A4A83" w:rsidR="00262799">
        <w:rPr>
          <w:color w:val="000000" w:themeColor="text1"/>
        </w:rPr>
        <w:t>EHR</w:t>
      </w:r>
      <w:r w:rsidRPr="003A4A83" w:rsidR="006E6BE6">
        <w:rPr>
          <w:color w:val="000000" w:themeColor="text1"/>
        </w:rPr>
        <w:t>)</w:t>
      </w:r>
      <w:r w:rsidRPr="003A4A83" w:rsidR="00D32EB3">
        <w:rPr>
          <w:color w:val="000000" w:themeColor="text1"/>
        </w:rPr>
        <w:t xml:space="preserve"> software</w:t>
      </w:r>
      <w:r w:rsidRPr="003A4A83" w:rsidR="0043098A">
        <w:rPr>
          <w:color w:val="000000" w:themeColor="text1"/>
        </w:rPr>
        <w:t xml:space="preserve"> </w:t>
      </w:r>
      <w:r w:rsidRPr="003A4A83">
        <w:rPr>
          <w:color w:val="000000" w:themeColor="text1"/>
        </w:rPr>
        <w:t xml:space="preserve">with </w:t>
      </w:r>
      <w:r w:rsidRPr="003A4A83" w:rsidR="005E13DC">
        <w:rPr>
          <w:color w:val="000000" w:themeColor="text1"/>
        </w:rPr>
        <w:t xml:space="preserve">‘skip’ patterns to ensure the </w:t>
      </w:r>
      <w:r w:rsidRPr="003A4A83" w:rsidR="003C1E23">
        <w:rPr>
          <w:color w:val="000000" w:themeColor="text1"/>
        </w:rPr>
        <w:t xml:space="preserve">IRF-PAI </w:t>
      </w:r>
      <w:r w:rsidRPr="003A4A83" w:rsidR="005E13DC">
        <w:rPr>
          <w:color w:val="000000" w:themeColor="text1"/>
        </w:rPr>
        <w:t>is limited to the minimum</w:t>
      </w:r>
      <w:r w:rsidRPr="003A4A83" w:rsidR="0043098A">
        <w:rPr>
          <w:color w:val="000000" w:themeColor="text1"/>
        </w:rPr>
        <w:t xml:space="preserve"> data</w:t>
      </w:r>
      <w:r w:rsidRPr="003A4A83" w:rsidR="005E13DC">
        <w:rPr>
          <w:color w:val="000000" w:themeColor="text1"/>
        </w:rPr>
        <w:t xml:space="preserve"> required</w:t>
      </w:r>
      <w:r w:rsidRPr="003A4A83">
        <w:rPr>
          <w:color w:val="000000" w:themeColor="text1"/>
        </w:rPr>
        <w:t xml:space="preserve"> to meet</w:t>
      </w:r>
      <w:r w:rsidRPr="003A4A83" w:rsidR="00E014D0">
        <w:rPr>
          <w:color w:val="000000" w:themeColor="text1"/>
        </w:rPr>
        <w:t xml:space="preserve"> </w:t>
      </w:r>
      <w:r w:rsidRPr="003A4A83">
        <w:rPr>
          <w:color w:val="000000" w:themeColor="text1"/>
        </w:rPr>
        <w:t>quality reporting requirements and to calculate IRF payment</w:t>
      </w:r>
      <w:r w:rsidRPr="003A4A83" w:rsidR="0043098A">
        <w:rPr>
          <w:color w:val="000000" w:themeColor="text1"/>
        </w:rPr>
        <w:t>.  These specifications are available free of charge to all IRFs and their technology partners</w:t>
      </w:r>
      <w:r w:rsidRPr="003A4A83" w:rsidR="00962C85">
        <w:rPr>
          <w:color w:val="000000" w:themeColor="text1"/>
        </w:rPr>
        <w:t xml:space="preserve">. </w:t>
      </w:r>
      <w:r w:rsidRPr="003A4A83">
        <w:rPr>
          <w:color w:val="000000" w:themeColor="text1"/>
        </w:rPr>
        <w:t>Further, t</w:t>
      </w:r>
      <w:r w:rsidRPr="003A4A83" w:rsidR="005E13DC">
        <w:rPr>
          <w:color w:val="000000" w:themeColor="text1"/>
        </w:rPr>
        <w:t xml:space="preserve">hese minimum </w:t>
      </w:r>
      <w:r w:rsidRPr="003A4A83" w:rsidR="003C1E23">
        <w:rPr>
          <w:color w:val="000000" w:themeColor="text1"/>
        </w:rPr>
        <w:t xml:space="preserve">requirements </w:t>
      </w:r>
      <w:r w:rsidRPr="003A4A83" w:rsidR="005E13DC">
        <w:rPr>
          <w:color w:val="000000" w:themeColor="text1"/>
        </w:rPr>
        <w:t xml:space="preserve">are standardized for all users of the </w:t>
      </w:r>
      <w:r w:rsidRPr="003A4A83">
        <w:rPr>
          <w:color w:val="000000" w:themeColor="text1"/>
        </w:rPr>
        <w:t xml:space="preserve">IRF-PAI </w:t>
      </w:r>
      <w:r w:rsidRPr="003A4A83" w:rsidR="003C1E23">
        <w:rPr>
          <w:color w:val="000000" w:themeColor="text1"/>
        </w:rPr>
        <w:t>assessment</w:t>
      </w:r>
      <w:r w:rsidRPr="003A4A83" w:rsidR="005E13DC">
        <w:rPr>
          <w:color w:val="000000" w:themeColor="text1"/>
        </w:rPr>
        <w:t xml:space="preserve"> forms. </w:t>
      </w:r>
      <w:r w:rsidRPr="003A4A83" w:rsidR="0043098A">
        <w:rPr>
          <w:color w:val="000000" w:themeColor="text1"/>
        </w:rPr>
        <w:t xml:space="preserve"> CMS also provides flexibility to IRFs by giving them the option of recording the required data on a printed form and later transferring the data to electronic format or they can choose to directly enter the required data electronically to the </w:t>
      </w:r>
      <w:bookmarkStart w:id="23" w:name="_Hlk130391248"/>
      <w:r w:rsidRPr="003A4A83" w:rsidR="0043098A">
        <w:rPr>
          <w:color w:val="000000" w:themeColor="text1"/>
        </w:rPr>
        <w:t>CMS designated submission system</w:t>
      </w:r>
      <w:bookmarkEnd w:id="23"/>
      <w:r w:rsidRPr="003A4A83" w:rsidR="0043098A">
        <w:rPr>
          <w:color w:val="000000" w:themeColor="text1"/>
        </w:rPr>
        <w:t xml:space="preserve">, which is currently used by Inpatient Rehabilitation Facilities (IRFs), </w:t>
      </w:r>
      <w:r w:rsidRPr="003A4A83" w:rsidR="00262799">
        <w:rPr>
          <w:color w:val="000000" w:themeColor="text1"/>
        </w:rPr>
        <w:t xml:space="preserve">Skilled Nursing Facilities (SNFs), </w:t>
      </w:r>
      <w:r w:rsidRPr="003A4A83" w:rsidR="0043098A">
        <w:rPr>
          <w:color w:val="000000" w:themeColor="text1"/>
        </w:rPr>
        <w:t>Long-Term Care Hospitals</w:t>
      </w:r>
      <w:r w:rsidRPr="003A4A83" w:rsidR="00225A0E">
        <w:rPr>
          <w:color w:val="000000" w:themeColor="text1"/>
        </w:rPr>
        <w:t xml:space="preserve"> (LTCHs)</w:t>
      </w:r>
      <w:r w:rsidRPr="003A4A83" w:rsidR="0043098A">
        <w:rPr>
          <w:color w:val="000000" w:themeColor="text1"/>
        </w:rPr>
        <w:t>, and Home Health Agencies (HHAs).</w:t>
      </w:r>
    </w:p>
    <w:p w:rsidR="003B486F" w:rsidRPr="003A4A83" w:rsidP="003B486F" w14:paraId="1326476B" w14:textId="311BC6D5">
      <w:pPr>
        <w:pStyle w:val="ListContinue"/>
        <w:ind w:left="360"/>
        <w:rPr>
          <w:color w:val="000000" w:themeColor="text1"/>
        </w:rPr>
      </w:pPr>
      <w:r w:rsidRPr="003A4A83">
        <w:rPr>
          <w:color w:val="000000" w:themeColor="text1"/>
        </w:rPr>
        <w:t xml:space="preserve">Second, </w:t>
      </w:r>
      <w:r w:rsidRPr="003A4A83" w:rsidR="0043098A">
        <w:rPr>
          <w:color w:val="000000" w:themeColor="text1"/>
        </w:rPr>
        <w:t>CMS has minimized costly documentation requirements by allowing</w:t>
      </w:r>
      <w:r w:rsidRPr="003A4A83" w:rsidR="0043098A">
        <w:rPr>
          <w:color w:val="000000" w:themeColor="text1"/>
        </w:rPr>
        <w:t xml:space="preserve"> </w:t>
      </w:r>
      <w:r w:rsidRPr="003A4A83" w:rsidR="00DB58E3">
        <w:rPr>
          <w:color w:val="000000" w:themeColor="text1"/>
        </w:rPr>
        <w:t>IRF</w:t>
      </w:r>
      <w:r w:rsidRPr="003A4A83" w:rsidR="0043098A">
        <w:rPr>
          <w:color w:val="000000" w:themeColor="text1"/>
        </w:rPr>
        <w:t xml:space="preserve">s to </w:t>
      </w:r>
      <w:r w:rsidRPr="003A4A83" w:rsidR="00DB58E3">
        <w:rPr>
          <w:color w:val="000000" w:themeColor="text1"/>
        </w:rPr>
        <w:t xml:space="preserve">electronically self-attest to the accuracy of the </w:t>
      </w:r>
      <w:r w:rsidRPr="003A4A83" w:rsidR="0043098A">
        <w:rPr>
          <w:color w:val="000000" w:themeColor="text1"/>
        </w:rPr>
        <w:t>data</w:t>
      </w:r>
      <w:r w:rsidRPr="003A4A83" w:rsidR="00DB58E3">
        <w:rPr>
          <w:color w:val="000000" w:themeColor="text1"/>
        </w:rPr>
        <w:t xml:space="preserve"> in the </w:t>
      </w:r>
      <w:r w:rsidRPr="003A4A83" w:rsidR="003C1E23">
        <w:rPr>
          <w:color w:val="000000" w:themeColor="text1"/>
        </w:rPr>
        <w:t>IRF-PAI</w:t>
      </w:r>
      <w:r w:rsidRPr="003A4A83" w:rsidR="0043098A">
        <w:rPr>
          <w:color w:val="000000" w:themeColor="text1"/>
        </w:rPr>
        <w:t xml:space="preserve"> prior to transmitting the IRF-PAI, </w:t>
      </w:r>
      <w:r w:rsidRPr="003A4A83" w:rsidR="00DB58E3">
        <w:rPr>
          <w:color w:val="000000" w:themeColor="text1"/>
        </w:rPr>
        <w:t>eliminating the need for supportive documentation to be submitted with</w:t>
      </w:r>
      <w:r w:rsidRPr="003A4A83">
        <w:rPr>
          <w:color w:val="000000" w:themeColor="text1"/>
        </w:rPr>
        <w:t xml:space="preserve"> the IRF-PAI</w:t>
      </w:r>
      <w:r w:rsidRPr="003A4A83" w:rsidR="00962C85">
        <w:rPr>
          <w:color w:val="000000" w:themeColor="text1"/>
        </w:rPr>
        <w:t xml:space="preserve">. </w:t>
      </w:r>
      <w:r w:rsidRPr="003A4A83" w:rsidR="0043098A">
        <w:rPr>
          <w:color w:val="000000" w:themeColor="text1"/>
        </w:rPr>
        <w:t xml:space="preserve"> </w:t>
      </w:r>
    </w:p>
    <w:p w:rsidR="00D27AAC" w:rsidRPr="003A4A83" w:rsidP="003B486F" w14:paraId="1C407945" w14:textId="327B02EB">
      <w:pPr>
        <w:pStyle w:val="ListContinue"/>
        <w:ind w:left="360"/>
        <w:rPr>
          <w:color w:val="000000" w:themeColor="text1"/>
        </w:rPr>
      </w:pPr>
      <w:r w:rsidRPr="003A4A83">
        <w:rPr>
          <w:color w:val="000000" w:themeColor="text1"/>
        </w:rPr>
        <w:t xml:space="preserve">Third, </w:t>
      </w:r>
      <w:r w:rsidRPr="003A4A83" w:rsidR="00B43542">
        <w:rPr>
          <w:color w:val="000000" w:themeColor="text1"/>
        </w:rPr>
        <w:t>we</w:t>
      </w:r>
      <w:r w:rsidRPr="003A4A83" w:rsidR="003B486F">
        <w:rPr>
          <w:color w:val="000000" w:themeColor="text1"/>
        </w:rPr>
        <w:t xml:space="preserve"> provide customer support for transmission problems encountered by the providers. </w:t>
      </w:r>
      <w:r w:rsidRPr="003A4A83" w:rsidR="00DB58E3">
        <w:rPr>
          <w:color w:val="000000" w:themeColor="text1"/>
        </w:rPr>
        <w:t xml:space="preserve">IRFs </w:t>
      </w:r>
      <w:r w:rsidRPr="003A4A83" w:rsidR="00DB58E3">
        <w:rPr>
          <w:color w:val="000000" w:themeColor="text1"/>
        </w:rPr>
        <w:t>have the ability to</w:t>
      </w:r>
      <w:r w:rsidRPr="003A4A83" w:rsidR="00DB58E3">
        <w:rPr>
          <w:color w:val="000000" w:themeColor="text1"/>
        </w:rPr>
        <w:t xml:space="preserve"> self-select their preferred method of communication</w:t>
      </w:r>
      <w:r w:rsidRPr="003A4A83" w:rsidR="00962C85">
        <w:rPr>
          <w:color w:val="000000" w:themeColor="text1"/>
        </w:rPr>
        <w:t xml:space="preserve">. </w:t>
      </w:r>
      <w:r w:rsidRPr="003A4A83" w:rsidR="00DB58E3">
        <w:rPr>
          <w:color w:val="000000" w:themeColor="text1"/>
        </w:rPr>
        <w:t xml:space="preserve">For example, </w:t>
      </w:r>
      <w:r w:rsidRPr="003A4A83" w:rsidR="00B43542">
        <w:rPr>
          <w:color w:val="000000" w:themeColor="text1"/>
        </w:rPr>
        <w:t>we</w:t>
      </w:r>
      <w:r w:rsidRPr="003A4A83" w:rsidR="00DB58E3">
        <w:rPr>
          <w:color w:val="000000" w:themeColor="text1"/>
        </w:rPr>
        <w:t xml:space="preserve"> ha</w:t>
      </w:r>
      <w:r w:rsidRPr="003A4A83" w:rsidR="00B43542">
        <w:rPr>
          <w:color w:val="000000" w:themeColor="text1"/>
        </w:rPr>
        <w:t>ve</w:t>
      </w:r>
      <w:r w:rsidRPr="003A4A83" w:rsidR="00DB58E3">
        <w:rPr>
          <w:color w:val="000000" w:themeColor="text1"/>
        </w:rPr>
        <w:t xml:space="preserve"> dedicated help desks to respond to questions about issues IRFs may encounter with the software</w:t>
      </w:r>
      <w:r w:rsidRPr="003A4A83" w:rsidR="00962C85">
        <w:rPr>
          <w:color w:val="000000" w:themeColor="text1"/>
        </w:rPr>
        <w:t xml:space="preserve">. </w:t>
      </w:r>
      <w:r w:rsidRPr="003A4A83" w:rsidR="00B43542">
        <w:rPr>
          <w:color w:val="000000" w:themeColor="text1"/>
        </w:rPr>
        <w:t xml:space="preserve">We also </w:t>
      </w:r>
      <w:r w:rsidRPr="003A4A83" w:rsidR="00DB58E3">
        <w:rPr>
          <w:color w:val="000000" w:themeColor="text1"/>
        </w:rPr>
        <w:t>offer IRFs the ability to sign up for listservs that send out timely and important new information, reminders, and alerts via electronic mail related to the software</w:t>
      </w:r>
      <w:r w:rsidRPr="003A4A83" w:rsidR="00962C85">
        <w:rPr>
          <w:color w:val="000000" w:themeColor="text1"/>
        </w:rPr>
        <w:t xml:space="preserve">. </w:t>
      </w:r>
      <w:r w:rsidRPr="003A4A83" w:rsidR="0043098A">
        <w:rPr>
          <w:color w:val="000000" w:themeColor="text1"/>
        </w:rPr>
        <w:t xml:space="preserve">CMS has also </w:t>
      </w:r>
      <w:r w:rsidRPr="003A4A83" w:rsidR="003B486F">
        <w:rPr>
          <w:color w:val="000000" w:themeColor="text1"/>
        </w:rPr>
        <w:t xml:space="preserve">established a website to assist providers with questions regarding the IRF-PAI, at </w:t>
      </w:r>
      <w:hyperlink r:id="rId10" w:tooltip="CMS RF-PAI Website" w:history="1">
        <w:r w:rsidRPr="003A4A83" w:rsidR="006A0BF9">
          <w:rPr>
            <w:rStyle w:val="Hyperlink"/>
          </w:rPr>
          <w:t>https://www.cms.gov/medicare/payment/prospective-payment-systems/inpatient-rehabilitation/pai</w:t>
        </w:r>
      </w:hyperlink>
      <w:r w:rsidRPr="003A4A83" w:rsidR="003B486F">
        <w:rPr>
          <w:color w:val="000000" w:themeColor="text1"/>
        </w:rPr>
        <w:t xml:space="preserve">. </w:t>
      </w:r>
      <w:r w:rsidRPr="003A4A83" w:rsidR="00DB58E3">
        <w:rPr>
          <w:color w:val="000000" w:themeColor="text1"/>
        </w:rPr>
        <w:t>Th</w:t>
      </w:r>
      <w:r w:rsidRPr="003A4A83">
        <w:rPr>
          <w:color w:val="000000" w:themeColor="text1"/>
        </w:rPr>
        <w:t>is</w:t>
      </w:r>
      <w:r w:rsidRPr="003A4A83" w:rsidR="00DB58E3">
        <w:rPr>
          <w:color w:val="000000" w:themeColor="text1"/>
        </w:rPr>
        <w:t xml:space="preserve"> website </w:t>
      </w:r>
      <w:r w:rsidRPr="003A4A83">
        <w:rPr>
          <w:color w:val="000000" w:themeColor="text1"/>
        </w:rPr>
        <w:t xml:space="preserve">publishes </w:t>
      </w:r>
      <w:r w:rsidRPr="003A4A83">
        <w:rPr>
          <w:color w:val="000000" w:themeColor="text1"/>
        </w:rPr>
        <w:t xml:space="preserve">new information related to the </w:t>
      </w:r>
      <w:r w:rsidRPr="003A4A83" w:rsidR="003C1E23">
        <w:rPr>
          <w:color w:val="000000" w:themeColor="text1"/>
        </w:rPr>
        <w:t>IRF-PAI,</w:t>
      </w:r>
      <w:r w:rsidRPr="003A4A83">
        <w:rPr>
          <w:color w:val="000000" w:themeColor="text1"/>
        </w:rPr>
        <w:t xml:space="preserve"> hous</w:t>
      </w:r>
      <w:r w:rsidRPr="003A4A83">
        <w:rPr>
          <w:color w:val="000000" w:themeColor="text1"/>
        </w:rPr>
        <w:t>es</w:t>
      </w:r>
      <w:r w:rsidRPr="003A4A83">
        <w:rPr>
          <w:color w:val="000000" w:themeColor="text1"/>
        </w:rPr>
        <w:t xml:space="preserve"> archived versions of the </w:t>
      </w:r>
      <w:r w:rsidRPr="003A4A83">
        <w:rPr>
          <w:color w:val="000000" w:themeColor="text1"/>
        </w:rPr>
        <w:t>tool</w:t>
      </w:r>
      <w:r w:rsidRPr="003A4A83" w:rsidR="003C1E23">
        <w:rPr>
          <w:color w:val="000000" w:themeColor="text1"/>
        </w:rPr>
        <w:t>,</w:t>
      </w:r>
      <w:r w:rsidRPr="003A4A83">
        <w:rPr>
          <w:color w:val="000000" w:themeColor="text1"/>
        </w:rPr>
        <w:t xml:space="preserve"> and</w:t>
      </w:r>
      <w:r w:rsidRPr="003A4A83">
        <w:rPr>
          <w:color w:val="000000" w:themeColor="text1"/>
        </w:rPr>
        <w:t xml:space="preserve"> </w:t>
      </w:r>
      <w:r w:rsidRPr="003A4A83">
        <w:rPr>
          <w:color w:val="000000" w:themeColor="text1"/>
        </w:rPr>
        <w:t>is available</w:t>
      </w:r>
      <w:r w:rsidRPr="003A4A83" w:rsidR="0043098A">
        <w:rPr>
          <w:color w:val="000000" w:themeColor="text1"/>
        </w:rPr>
        <w:t xml:space="preserve"> at all times</w:t>
      </w:r>
      <w:r w:rsidRPr="003A4A83" w:rsidR="0043098A">
        <w:rPr>
          <w:color w:val="000000" w:themeColor="text1"/>
        </w:rPr>
        <w:t xml:space="preserve"> to IRFs</w:t>
      </w:r>
      <w:r w:rsidRPr="003A4A83" w:rsidR="00962C85">
        <w:rPr>
          <w:color w:val="000000" w:themeColor="text1"/>
        </w:rPr>
        <w:t xml:space="preserve">. </w:t>
      </w:r>
      <w:r w:rsidRPr="003A4A83">
        <w:rPr>
          <w:color w:val="000000" w:themeColor="text1"/>
        </w:rPr>
        <w:t xml:space="preserve"> </w:t>
      </w:r>
    </w:p>
    <w:p w:rsidR="003B486F" w:rsidRPr="003A4A83" w:rsidP="003B486F" w14:paraId="7B924285" w14:textId="330AFA9E">
      <w:pPr>
        <w:pStyle w:val="Heading2"/>
      </w:pPr>
      <w:bookmarkStart w:id="24" w:name="_Toc89079481"/>
      <w:bookmarkStart w:id="25" w:name="_Toc94773734"/>
      <w:bookmarkStart w:id="26" w:name="_Toc226541977"/>
      <w:r w:rsidRPr="003A4A83">
        <w:t>Duplication of Efforts</w:t>
      </w:r>
      <w:bookmarkEnd w:id="24"/>
      <w:bookmarkEnd w:id="25"/>
      <w:bookmarkEnd w:id="26"/>
    </w:p>
    <w:p w:rsidR="003B486F" w:rsidRPr="003A4A83" w:rsidP="006F35AE" w14:paraId="350EE3E0" w14:textId="4EEAE4A8">
      <w:pPr>
        <w:pStyle w:val="ListContinue"/>
        <w:spacing w:after="0"/>
        <w:ind w:left="360"/>
        <w:rPr>
          <w:color w:val="000000" w:themeColor="text1"/>
        </w:rPr>
      </w:pPr>
      <w:r w:rsidRPr="003A4A83">
        <w:rPr>
          <w:color w:val="000000" w:themeColor="text1"/>
        </w:rPr>
        <w:t xml:space="preserve">The data required for reimbursement and monitoring the effects of an </w:t>
      </w:r>
      <w:r w:rsidRPr="003A4A83" w:rsidR="00426100">
        <w:rPr>
          <w:color w:val="000000" w:themeColor="text1"/>
        </w:rPr>
        <w:t xml:space="preserve">IRF PPS </w:t>
      </w:r>
      <w:r w:rsidRPr="003A4A83">
        <w:rPr>
          <w:color w:val="000000" w:themeColor="text1"/>
        </w:rPr>
        <w:t>on patient care and outcomes are not available from any other source.</w:t>
      </w:r>
    </w:p>
    <w:p w:rsidR="003B486F" w:rsidRPr="003A4A83" w:rsidP="006F35AE" w14:paraId="1748D016" w14:textId="1E2DB92B">
      <w:pPr>
        <w:pStyle w:val="ListContinue"/>
        <w:spacing w:after="0"/>
        <w:ind w:left="360"/>
        <w:rPr>
          <w:color w:val="000000" w:themeColor="text1"/>
        </w:rPr>
      </w:pPr>
      <w:r w:rsidRPr="003A4A83">
        <w:rPr>
          <w:color w:val="000000" w:themeColor="text1"/>
        </w:rPr>
        <w:t xml:space="preserve">This </w:t>
      </w:r>
      <w:r w:rsidRPr="003A4A83" w:rsidR="0043098A">
        <w:rPr>
          <w:color w:val="000000" w:themeColor="text1"/>
        </w:rPr>
        <w:t>data</w:t>
      </w:r>
      <w:r w:rsidRPr="003A4A83">
        <w:rPr>
          <w:color w:val="000000" w:themeColor="text1"/>
        </w:rPr>
        <w:t xml:space="preserve"> collection for the QRP does not duplicate any other effort and the standardized </w:t>
      </w:r>
      <w:r w:rsidRPr="003A4A83" w:rsidR="0043098A">
        <w:rPr>
          <w:color w:val="000000" w:themeColor="text1"/>
        </w:rPr>
        <w:t>data</w:t>
      </w:r>
      <w:r w:rsidRPr="003A4A83">
        <w:rPr>
          <w:color w:val="000000" w:themeColor="text1"/>
        </w:rPr>
        <w:t xml:space="preserve"> cannot be obtained from any other source. There are no other data sets that will provide comparable information on patients admitted to IRFs.</w:t>
      </w:r>
      <w:bookmarkStart w:id="27" w:name="_Toc298168186"/>
    </w:p>
    <w:p w:rsidR="003B486F" w:rsidRPr="003A4A83" w:rsidP="003B486F" w14:paraId="5F6388F3" w14:textId="0E6BDA66">
      <w:pPr>
        <w:pStyle w:val="Heading2"/>
      </w:pPr>
      <w:bookmarkStart w:id="28" w:name="_Toc89079482"/>
      <w:bookmarkStart w:id="29" w:name="_Toc94773735"/>
      <w:bookmarkStart w:id="30" w:name="_Toc226541978"/>
      <w:r w:rsidRPr="003A4A83">
        <w:t>Small Businesses</w:t>
      </w:r>
      <w:bookmarkEnd w:id="27"/>
      <w:bookmarkEnd w:id="28"/>
      <w:bookmarkEnd w:id="29"/>
      <w:bookmarkEnd w:id="30"/>
    </w:p>
    <w:p w:rsidR="003B486F" w:rsidRPr="003A4A83" w:rsidP="003B486F" w14:paraId="0889AB85" w14:textId="4D9F4D18">
      <w:pPr>
        <w:pStyle w:val="ListContinue"/>
        <w:ind w:left="360"/>
        <w:rPr>
          <w:color w:val="000000" w:themeColor="text1"/>
        </w:rPr>
      </w:pPr>
      <w:r w:rsidRPr="003A4A83">
        <w:rPr>
          <w:color w:val="000000" w:themeColor="text1"/>
        </w:rPr>
        <w:t xml:space="preserve">As part of our PRA analysis for an update of our existing approval, we again considered whether the change impacts a significant number of small entities. Out of a total </w:t>
      </w:r>
      <w:r w:rsidRPr="003A4A83">
        <w:rPr>
          <w:color w:val="000000" w:themeColor="text1"/>
        </w:rPr>
        <w:t xml:space="preserve">of </w:t>
      </w:r>
      <w:r w:rsidRPr="003A4A83" w:rsidR="701EE418">
        <w:rPr>
          <w:color w:val="000000" w:themeColor="text1"/>
        </w:rPr>
        <w:t xml:space="preserve"> 1,175</w:t>
      </w:r>
      <w:r w:rsidRPr="003A4A83" w:rsidR="701EE418">
        <w:rPr>
          <w:color w:val="000000" w:themeColor="text1"/>
        </w:rPr>
        <w:t xml:space="preserve"> IRFs, only 141 or 12% are rural IRFs</w:t>
      </w:r>
      <w:r w:rsidRPr="00BE593D">
        <w:t>.</w:t>
      </w:r>
      <w:r>
        <w:rPr>
          <w:rStyle w:val="FootnoteReference"/>
          <w:color w:val="auto"/>
          <w:u w:val="none"/>
        </w:rPr>
        <w:footnoteReference w:id="5"/>
      </w:r>
      <w:r w:rsidRPr="003A4A83">
        <w:rPr>
          <w:color w:val="000000" w:themeColor="text1"/>
        </w:rPr>
        <w:t xml:space="preserve"> The average number of assessments completed </w:t>
      </w:r>
      <w:r w:rsidRPr="003A4A83" w:rsidR="0043098A">
        <w:rPr>
          <w:color w:val="000000" w:themeColor="text1"/>
        </w:rPr>
        <w:t xml:space="preserve">annually </w:t>
      </w:r>
      <w:r w:rsidRPr="003A4A83">
        <w:rPr>
          <w:color w:val="000000" w:themeColor="text1"/>
        </w:rPr>
        <w:t xml:space="preserve">is </w:t>
      </w:r>
      <w:r w:rsidRPr="003A4A83" w:rsidR="00521AD6">
        <w:rPr>
          <w:color w:val="000000" w:themeColor="text1"/>
        </w:rPr>
        <w:t xml:space="preserve">559 </w:t>
      </w:r>
      <w:r w:rsidRPr="003A4A83" w:rsidR="0043098A">
        <w:rPr>
          <w:color w:val="000000" w:themeColor="text1"/>
        </w:rPr>
        <w:t xml:space="preserve">per </w:t>
      </w:r>
      <w:r w:rsidRPr="003A4A83" w:rsidR="0043098A">
        <w:rPr>
          <w:color w:val="000000" w:themeColor="text1"/>
        </w:rPr>
        <w:t>IRF</w:t>
      </w:r>
      <w:r w:rsidRPr="003A4A83">
        <w:rPr>
          <w:color w:val="000000" w:themeColor="text1"/>
        </w:rPr>
        <w:t>, and</w:t>
      </w:r>
      <w:r w:rsidRPr="003A4A83">
        <w:rPr>
          <w:color w:val="000000" w:themeColor="text1"/>
        </w:rPr>
        <w:t xml:space="preserve"> is the same across all respondents based on the number of actual assessments completed by IRFs in </w:t>
      </w:r>
      <w:r w:rsidRPr="003A4A83" w:rsidR="00B04419">
        <w:rPr>
          <w:color w:val="000000" w:themeColor="text1"/>
        </w:rPr>
        <w:t xml:space="preserve">fiscal </w:t>
      </w:r>
      <w:r w:rsidRPr="003A4A83">
        <w:rPr>
          <w:color w:val="000000" w:themeColor="text1"/>
        </w:rPr>
        <w:t>year 202</w:t>
      </w:r>
      <w:r w:rsidRPr="003A4A83" w:rsidR="00521AD6">
        <w:rPr>
          <w:color w:val="000000" w:themeColor="text1"/>
        </w:rPr>
        <w:t>5</w:t>
      </w:r>
      <w:r w:rsidRPr="003A4A83" w:rsidR="00962C85">
        <w:rPr>
          <w:color w:val="000000" w:themeColor="text1"/>
        </w:rPr>
        <w:t xml:space="preserve">. </w:t>
      </w:r>
    </w:p>
    <w:p w:rsidR="003B486F" w:rsidRPr="003A4A83" w:rsidP="004F1BD7" w14:paraId="2485CD9B" w14:textId="735D6CAE">
      <w:pPr>
        <w:pStyle w:val="ListContinue"/>
        <w:ind w:left="360"/>
        <w:rPr>
          <w:color w:val="000000" w:themeColor="text1"/>
        </w:rPr>
      </w:pPr>
      <w:r w:rsidRPr="003A4A83">
        <w:rPr>
          <w:color w:val="000000" w:themeColor="text1"/>
        </w:rPr>
        <w:t>CMS requests authorization for IRFs to use the updated IRF-PAI</w:t>
      </w:r>
      <w:r w:rsidRPr="003A4A83" w:rsidR="000A2EE6">
        <w:rPr>
          <w:color w:val="000000" w:themeColor="text1"/>
        </w:rPr>
        <w:t xml:space="preserve"> 4</w:t>
      </w:r>
      <w:r w:rsidRPr="003A4A83" w:rsidR="00426100">
        <w:rPr>
          <w:color w:val="000000" w:themeColor="text1"/>
        </w:rPr>
        <w:t>.4</w:t>
      </w:r>
      <w:r w:rsidRPr="003A4A83" w:rsidR="00D03F10">
        <w:rPr>
          <w:color w:val="000000" w:themeColor="text1"/>
        </w:rPr>
        <w:t xml:space="preserve"> </w:t>
      </w:r>
      <w:r w:rsidRPr="003A4A83">
        <w:rPr>
          <w:color w:val="000000" w:themeColor="text1"/>
        </w:rPr>
        <w:t>for the submission of quality measure information</w:t>
      </w:r>
      <w:r w:rsidRPr="003A4A83" w:rsidR="0043098A">
        <w:rPr>
          <w:color w:val="000000" w:themeColor="text1"/>
        </w:rPr>
        <w:t xml:space="preserve"> </w:t>
      </w:r>
      <w:r w:rsidRPr="003A4A83" w:rsidR="00426100">
        <w:rPr>
          <w:color w:val="000000" w:themeColor="text1"/>
        </w:rPr>
        <w:t xml:space="preserve">proposed </w:t>
      </w:r>
      <w:r w:rsidRPr="003A4A83" w:rsidR="0043098A">
        <w:rPr>
          <w:color w:val="000000" w:themeColor="text1"/>
        </w:rPr>
        <w:t>in the FY 202</w:t>
      </w:r>
      <w:r w:rsidRPr="003A4A83" w:rsidR="00521AD6">
        <w:rPr>
          <w:color w:val="000000" w:themeColor="text1"/>
        </w:rPr>
        <w:t>7</w:t>
      </w:r>
      <w:r w:rsidRPr="003A4A83" w:rsidR="0043098A">
        <w:rPr>
          <w:color w:val="000000" w:themeColor="text1"/>
        </w:rPr>
        <w:t xml:space="preserve"> IRF PPS </w:t>
      </w:r>
      <w:r w:rsidRPr="003A4A83" w:rsidR="00792F83">
        <w:rPr>
          <w:color w:val="000000" w:themeColor="text1"/>
        </w:rPr>
        <w:t xml:space="preserve">proposed </w:t>
      </w:r>
      <w:r w:rsidRPr="003A4A83" w:rsidR="0043098A">
        <w:rPr>
          <w:color w:val="000000" w:themeColor="text1"/>
        </w:rPr>
        <w:t>rule</w:t>
      </w:r>
      <w:r w:rsidRPr="003A4A83">
        <w:rPr>
          <w:color w:val="000000" w:themeColor="text1"/>
        </w:rPr>
        <w:t xml:space="preserve">. Provider participation in the submission of quality data is mandated by Section 3004 of the Affordable Care Act and Section 1899B(c)(2)(A) of the IMPACT Act. Small business providers viewing </w:t>
      </w:r>
      <w:r w:rsidRPr="003A4A83">
        <w:rPr>
          <w:color w:val="000000" w:themeColor="text1"/>
        </w:rPr>
        <w:t>the data</w:t>
      </w:r>
      <w:r w:rsidRPr="003A4A83">
        <w:rPr>
          <w:color w:val="000000" w:themeColor="text1"/>
        </w:rPr>
        <w:t xml:space="preserve"> collection as a burden can elect not to participate. However, if an IRF does not submit the required quality data, this provider shall be subject to a 2% reduction in their payment update for the standard Federal rate for discharges from that IRF during that rate year.</w:t>
      </w:r>
    </w:p>
    <w:p w:rsidR="003B486F" w:rsidRPr="003A4A83" w:rsidP="003B486F" w14:paraId="3C2D874E" w14:textId="78EC9E1E">
      <w:pPr>
        <w:pStyle w:val="Heading2"/>
      </w:pPr>
      <w:bookmarkStart w:id="31" w:name="_Toc89079483"/>
      <w:bookmarkStart w:id="32" w:name="_Toc94773736"/>
      <w:bookmarkStart w:id="33" w:name="_Toc226541979"/>
      <w:r w:rsidRPr="003A4A83">
        <w:t>Less Frequent Collection</w:t>
      </w:r>
      <w:bookmarkEnd w:id="31"/>
      <w:bookmarkEnd w:id="32"/>
      <w:bookmarkEnd w:id="33"/>
    </w:p>
    <w:p w:rsidR="003B486F" w:rsidRPr="003A4A83" w:rsidP="003B486F" w14:paraId="39AC8691" w14:textId="6F66F80D">
      <w:pPr>
        <w:pStyle w:val="ListContinue"/>
        <w:ind w:left="360"/>
        <w:rPr>
          <w:color w:val="000000" w:themeColor="text1"/>
        </w:rPr>
      </w:pPr>
      <w:r w:rsidRPr="003A4A83">
        <w:rPr>
          <w:color w:val="000000" w:themeColor="text1"/>
        </w:rPr>
        <w:t xml:space="preserve">We need to collect the </w:t>
      </w:r>
      <w:r w:rsidRPr="003A4A83" w:rsidR="0043098A">
        <w:rPr>
          <w:color w:val="000000" w:themeColor="text1"/>
        </w:rPr>
        <w:t>data</w:t>
      </w:r>
      <w:r w:rsidRPr="003A4A83">
        <w:rPr>
          <w:color w:val="000000" w:themeColor="text1"/>
        </w:rPr>
        <w:t xml:space="preserve"> on the IRF-PAI at the required frequency (that is, at admission and at discharge from the IRF) </w:t>
      </w:r>
      <w:r w:rsidRPr="003A4A83">
        <w:rPr>
          <w:color w:val="000000" w:themeColor="text1"/>
        </w:rPr>
        <w:t>in order to</w:t>
      </w:r>
      <w:r w:rsidRPr="003A4A83">
        <w:rPr>
          <w:color w:val="000000" w:themeColor="text1"/>
        </w:rPr>
        <w:t xml:space="preserve"> calculate payment and any possible payment penalty under the IRF PPS. This data frequency is also required for the purposes of measures calculation.</w:t>
      </w:r>
    </w:p>
    <w:p w:rsidR="003B486F" w:rsidRPr="003A4A83" w:rsidP="003B486F" w14:paraId="2AB32A3D" w14:textId="57698161">
      <w:pPr>
        <w:pStyle w:val="Heading2"/>
      </w:pPr>
      <w:bookmarkStart w:id="34" w:name="_Toc89079484"/>
      <w:bookmarkStart w:id="35" w:name="_Toc94773737"/>
      <w:bookmarkStart w:id="36" w:name="_Toc226541980"/>
      <w:r w:rsidRPr="003A4A83">
        <w:t>Special Circumstances</w:t>
      </w:r>
      <w:bookmarkEnd w:id="34"/>
      <w:bookmarkEnd w:id="35"/>
      <w:bookmarkEnd w:id="36"/>
    </w:p>
    <w:p w:rsidR="003B486F" w:rsidRPr="003A4A83" w14:paraId="5CE742D6" w14:textId="608D1556">
      <w:pPr>
        <w:pStyle w:val="ListContinue"/>
        <w:ind w:left="360"/>
        <w:rPr>
          <w:b/>
          <w:bCs/>
          <w:color w:val="000000" w:themeColor="text1"/>
        </w:rPr>
      </w:pPr>
      <w:r w:rsidRPr="003A4A83">
        <w:rPr>
          <w:color w:val="000000" w:themeColor="text1"/>
        </w:rPr>
        <w:t xml:space="preserve">There are no special circumstances that </w:t>
      </w:r>
      <w:r w:rsidRPr="003A4A83" w:rsidR="00426100">
        <w:rPr>
          <w:color w:val="000000" w:themeColor="text1"/>
        </w:rPr>
        <w:t xml:space="preserve">would </w:t>
      </w:r>
      <w:r w:rsidRPr="003A4A83">
        <w:rPr>
          <w:color w:val="000000" w:themeColor="text1"/>
        </w:rPr>
        <w:t>require the IRF-PAI Admission and IRF-PAI Discharge assessments to be conducted more than once during a patient’s stay.</w:t>
      </w:r>
    </w:p>
    <w:p w:rsidR="6A7D0191" w:rsidRPr="003A4A83" w:rsidP="00D03F10" w14:paraId="04F94247" w14:textId="77777777">
      <w:pPr>
        <w:spacing w:before="240" w:after="240"/>
        <w:ind w:left="360"/>
        <w:rPr>
          <w:b/>
          <w:bCs/>
          <w:color w:val="000000" w:themeColor="text1"/>
          <w:sz w:val="22"/>
          <w:szCs w:val="22"/>
        </w:rPr>
      </w:pPr>
      <w:r w:rsidRPr="003A4A83">
        <w:rPr>
          <w:b/>
          <w:bCs/>
          <w:color w:val="000000" w:themeColor="text1"/>
          <w:sz w:val="22"/>
          <w:szCs w:val="22"/>
        </w:rPr>
        <w:t>Statistical Policy Directive No. 15 (</w:t>
      </w:r>
      <w:r w:rsidRPr="003A4A83">
        <w:rPr>
          <w:b/>
          <w:bCs/>
          <w:color w:val="000000" w:themeColor="text1"/>
          <w:sz w:val="22"/>
          <w:szCs w:val="22"/>
        </w:rPr>
        <w:t>SPD</w:t>
      </w:r>
      <w:r w:rsidRPr="003A4A83">
        <w:rPr>
          <w:b/>
          <w:bCs/>
          <w:color w:val="000000" w:themeColor="text1"/>
          <w:sz w:val="22"/>
          <w:szCs w:val="22"/>
        </w:rPr>
        <w:t>-</w:t>
      </w:r>
      <w:r w:rsidRPr="003A4A83">
        <w:rPr>
          <w:b/>
          <w:bCs/>
          <w:color w:val="000000" w:themeColor="text1"/>
          <w:sz w:val="22"/>
          <w:szCs w:val="22"/>
        </w:rPr>
        <w:t>15</w:t>
      </w:r>
      <w:r w:rsidRPr="003A4A83">
        <w:rPr>
          <w:b/>
          <w:bCs/>
          <w:color w:val="000000" w:themeColor="text1"/>
          <w:sz w:val="22"/>
          <w:szCs w:val="22"/>
        </w:rPr>
        <w:t>)</w:t>
      </w:r>
      <w:r w:rsidRPr="003A4A83">
        <w:rPr>
          <w:b/>
          <w:bCs/>
          <w:color w:val="000000" w:themeColor="text1"/>
          <w:sz w:val="22"/>
          <w:szCs w:val="22"/>
        </w:rPr>
        <w:t xml:space="preserve"> Implementation Update</w:t>
      </w:r>
    </w:p>
    <w:p w:rsidR="6A7D0191" w:rsidRPr="003A4A83" w:rsidP="00917DB3" w14:paraId="157A4F46" w14:textId="6F34D372">
      <w:pPr>
        <w:spacing w:before="240" w:after="240"/>
        <w:ind w:left="360"/>
        <w:rPr>
          <w:color w:val="000000" w:themeColor="text1"/>
          <w:sz w:val="22"/>
          <w:szCs w:val="22"/>
        </w:rPr>
      </w:pPr>
      <w:r w:rsidRPr="003A4A83">
        <w:rPr>
          <w:color w:val="000000" w:themeColor="text1"/>
          <w:sz w:val="22"/>
          <w:szCs w:val="22"/>
        </w:rPr>
        <w:t>We support implementing the latest SPD-15 directive.</w:t>
      </w:r>
      <w:r w:rsidRPr="003A4A83" w:rsidR="00917DB3">
        <w:rPr>
          <w:color w:val="000000" w:themeColor="text1"/>
          <w:sz w:val="22"/>
          <w:szCs w:val="22"/>
        </w:rPr>
        <w:t xml:space="preserve"> W</w:t>
      </w:r>
      <w:r w:rsidRPr="003A4A83" w:rsidR="3D5317AF">
        <w:rPr>
          <w:color w:val="000000" w:themeColor="text1"/>
          <w:sz w:val="22"/>
          <w:szCs w:val="22"/>
        </w:rPr>
        <w:t xml:space="preserve">e intend to implement Figure 3, the </w:t>
      </w:r>
      <w:r w:rsidRPr="003A4A83" w:rsidR="0064208E">
        <w:rPr>
          <w:color w:val="000000" w:themeColor="text1"/>
          <w:sz w:val="22"/>
          <w:szCs w:val="22"/>
        </w:rPr>
        <w:t>M</w:t>
      </w:r>
      <w:r w:rsidRPr="003A4A83" w:rsidR="3D5317AF">
        <w:rPr>
          <w:color w:val="000000" w:themeColor="text1"/>
          <w:sz w:val="22"/>
          <w:szCs w:val="22"/>
        </w:rPr>
        <w:t xml:space="preserve">inimum </w:t>
      </w:r>
      <w:r w:rsidRPr="003A4A83" w:rsidR="0064208E">
        <w:rPr>
          <w:color w:val="000000" w:themeColor="text1"/>
          <w:sz w:val="22"/>
          <w:szCs w:val="22"/>
        </w:rPr>
        <w:t>C</w:t>
      </w:r>
      <w:r w:rsidRPr="003A4A83" w:rsidR="3D5317AF">
        <w:rPr>
          <w:color w:val="000000" w:themeColor="text1"/>
          <w:sz w:val="22"/>
          <w:szCs w:val="22"/>
        </w:rPr>
        <w:t xml:space="preserve">ategories </w:t>
      </w:r>
      <w:r w:rsidRPr="003A4A83" w:rsidR="0064208E">
        <w:rPr>
          <w:color w:val="000000" w:themeColor="text1"/>
          <w:sz w:val="22"/>
          <w:szCs w:val="22"/>
        </w:rPr>
        <w:t xml:space="preserve">Only </w:t>
      </w:r>
      <w:r w:rsidRPr="003A4A83" w:rsidR="3D5317AF">
        <w:rPr>
          <w:color w:val="000000" w:themeColor="text1"/>
          <w:sz w:val="22"/>
          <w:szCs w:val="22"/>
        </w:rPr>
        <w:t xml:space="preserve">with the expectation to implement in our 5 PAC Programs </w:t>
      </w:r>
      <w:r w:rsidRPr="003A4A83" w:rsidR="00913E9C">
        <w:rPr>
          <w:color w:val="000000" w:themeColor="text1"/>
          <w:sz w:val="22"/>
          <w:szCs w:val="22"/>
        </w:rPr>
        <w:t xml:space="preserve">prior to the September </w:t>
      </w:r>
      <w:r w:rsidRPr="003A4A83" w:rsidR="007328A4">
        <w:rPr>
          <w:color w:val="000000" w:themeColor="text1"/>
          <w:sz w:val="22"/>
          <w:szCs w:val="22"/>
        </w:rPr>
        <w:t xml:space="preserve">28, </w:t>
      </w:r>
      <w:r w:rsidRPr="003A4A83" w:rsidR="007328A4">
        <w:rPr>
          <w:color w:val="000000" w:themeColor="text1"/>
          <w:sz w:val="22"/>
          <w:szCs w:val="22"/>
        </w:rPr>
        <w:t>2029</w:t>
      </w:r>
      <w:r w:rsidRPr="003A4A83" w:rsidR="007328A4">
        <w:rPr>
          <w:color w:val="000000" w:themeColor="text1"/>
          <w:sz w:val="22"/>
          <w:szCs w:val="22"/>
        </w:rPr>
        <w:t xml:space="preserve"> deadline.</w:t>
      </w:r>
      <w:r>
        <w:rPr>
          <w:rStyle w:val="FootnoteReference"/>
          <w:color w:val="auto"/>
          <w:szCs w:val="22"/>
          <w:u w:val="none"/>
        </w:rPr>
        <w:footnoteReference w:id="6"/>
      </w:r>
      <w:r w:rsidRPr="003A4A83" w:rsidR="00BA7D42">
        <w:rPr>
          <w:color w:val="000000" w:themeColor="text1"/>
          <w:sz w:val="22"/>
          <w:szCs w:val="22"/>
        </w:rPr>
        <w:t xml:space="preserve"> </w:t>
      </w:r>
      <w:r w:rsidRPr="003A4A83" w:rsidR="3D5317AF">
        <w:rPr>
          <w:color w:val="000000" w:themeColor="text1"/>
          <w:sz w:val="22"/>
          <w:szCs w:val="22"/>
        </w:rPr>
        <w:t>The implementation of this standard sooner would be a significant burden for the following reasons—</w:t>
      </w:r>
    </w:p>
    <w:p w:rsidR="6A7D0191" w:rsidRPr="003A4A83" w:rsidP="00927A6A" w14:paraId="103FFB96" w14:textId="77777777">
      <w:pPr>
        <w:pStyle w:val="ListParagraph"/>
        <w:numPr>
          <w:ilvl w:val="0"/>
          <w:numId w:val="3"/>
        </w:numPr>
        <w:spacing w:before="240" w:after="240"/>
        <w:rPr>
          <w:color w:val="000000" w:themeColor="text1"/>
          <w:sz w:val="21"/>
          <w:szCs w:val="21"/>
        </w:rPr>
      </w:pPr>
      <w:r w:rsidRPr="003A4A83">
        <w:rPr>
          <w:rFonts w:ascii="Times New Roman" w:eastAsia="Times New Roman" w:hAnsi="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w:t>
      </w:r>
      <w:r w:rsidRPr="003A4A83" w:rsidR="00F60925">
        <w:rPr>
          <w:rFonts w:ascii="Times New Roman" w:eastAsia="Times New Roman" w:hAnsi="Times New Roman" w:cs="Times New Roman"/>
          <w:color w:val="000000" w:themeColor="text1"/>
        </w:rPr>
        <w:t>-</w:t>
      </w:r>
      <w:r w:rsidRPr="003A4A83">
        <w:rPr>
          <w:rFonts w:ascii="Times New Roman" w:eastAsia="Times New Roman" w:hAnsi="Times New Roman" w:cs="Times New Roman"/>
          <w:color w:val="000000" w:themeColor="text1"/>
        </w:rPr>
        <w:t>15, we would need to propose the time, place, and manner of adding the SPD</w:t>
      </w:r>
      <w:r w:rsidRPr="003A4A83" w:rsidR="00F60925">
        <w:rPr>
          <w:rFonts w:ascii="Times New Roman" w:eastAsia="Times New Roman" w:hAnsi="Times New Roman" w:cs="Times New Roman"/>
          <w:color w:val="000000" w:themeColor="text1"/>
        </w:rPr>
        <w:t>-</w:t>
      </w:r>
      <w:r w:rsidRPr="003A4A83">
        <w:rPr>
          <w:rFonts w:ascii="Times New Roman" w:eastAsia="Times New Roman" w:hAnsi="Times New Roman" w:cs="Times New Roman"/>
          <w:color w:val="000000" w:themeColor="text1"/>
        </w:rPr>
        <w:t>15 race/ethnicity in each of its rules.</w:t>
      </w:r>
    </w:p>
    <w:p w:rsidR="6A7D0191" w:rsidRPr="003A4A83" w:rsidP="000E5EF1" w14:paraId="01A36417" w14:textId="77777777">
      <w:pPr>
        <w:pStyle w:val="ListParagraph"/>
        <w:numPr>
          <w:ilvl w:val="0"/>
          <w:numId w:val="3"/>
        </w:numPr>
        <w:spacing w:before="240" w:after="240"/>
        <w:rPr>
          <w:color w:val="000000" w:themeColor="text1"/>
          <w:sz w:val="21"/>
          <w:szCs w:val="21"/>
        </w:rPr>
      </w:pPr>
      <w:r w:rsidRPr="003A4A83">
        <w:rPr>
          <w:rFonts w:ascii="Times New Roman" w:eastAsia="Times New Roman" w:hAnsi="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0064208E" w:rsidRPr="003A4A83" w14:paraId="74437B7A" w14:textId="77777777">
      <w:pPr>
        <w:pStyle w:val="ListParagraph"/>
        <w:numPr>
          <w:ilvl w:val="0"/>
          <w:numId w:val="3"/>
        </w:numPr>
        <w:spacing w:before="240" w:after="240"/>
        <w:rPr>
          <w:rFonts w:ascii="Times New Roman" w:hAnsi="Times New Roman" w:cs="Times New Roman"/>
          <w:color w:val="000000" w:themeColor="text1"/>
        </w:rPr>
      </w:pPr>
      <w:r w:rsidRPr="003A4A83">
        <w:rPr>
          <w:rFonts w:ascii="Times New Roman" w:eastAsia="Times New Roman" w:hAnsi="Times New Roman" w:cs="Times New Roman"/>
          <w:color w:val="000000" w:themeColor="text1"/>
        </w:rPr>
        <w:t xml:space="preserve">We need to allow for the 12-month period allotted prior to implementation of any updates and related </w:t>
      </w:r>
      <w:r w:rsidRPr="003A4A83">
        <w:rPr>
          <w:rFonts w:ascii="Times New Roman" w:eastAsia="Times New Roman" w:hAnsi="Times New Roman" w:cs="Times New Roman"/>
          <w:color w:val="000000" w:themeColor="text1"/>
        </w:rPr>
        <w:t>trainings</w:t>
      </w:r>
      <w:r w:rsidRPr="003A4A83">
        <w:rPr>
          <w:rFonts w:ascii="Times New Roman" w:eastAsia="Times New Roman" w:hAnsi="Times New Roman" w:cs="Times New Roman"/>
          <w:color w:val="000000" w:themeColor="text1"/>
        </w:rPr>
        <w:t xml:space="preserve"> to the assessment tools and technical data specifications, our various </w:t>
      </w:r>
      <w:r w:rsidRPr="003A4A83">
        <w:rPr>
          <w:rFonts w:ascii="Times New Roman" w:eastAsia="Times New Roman" w:hAnsi="Times New Roman" w:cs="Times New Roman"/>
          <w:color w:val="000000" w:themeColor="text1"/>
        </w:rPr>
        <w:t>data bases</w:t>
      </w:r>
      <w:r w:rsidRPr="003A4A83">
        <w:rPr>
          <w:rFonts w:ascii="Times New Roman" w:eastAsia="Times New Roman" w:hAnsi="Times New Roman" w:cs="Times New Roman"/>
          <w:color w:val="000000" w:themeColor="text1"/>
        </w:rPr>
        <w:t xml:space="preserve">, and </w:t>
      </w:r>
      <w:r w:rsidRPr="003A4A83">
        <w:rPr>
          <w:rFonts w:ascii="Times New Roman" w:eastAsia="Times New Roman" w:hAnsi="Times New Roman" w:cs="Times New Roman"/>
          <w:color w:val="000000" w:themeColor="text1"/>
        </w:rPr>
        <w:t>impacted</w:t>
      </w:r>
      <w:r w:rsidRPr="003A4A83">
        <w:rPr>
          <w:rFonts w:ascii="Times New Roman" w:eastAsia="Times New Roman" w:hAnsi="Times New Roman" w:cs="Times New Roman"/>
          <w:color w:val="000000" w:themeColor="text1"/>
        </w:rPr>
        <w:t xml:space="preserve"> reports. We plan to incorporate </w:t>
      </w:r>
      <w:r w:rsidRPr="003A4A83">
        <w:rPr>
          <w:rFonts w:ascii="Times New Roman" w:eastAsia="Times New Roman" w:hAnsi="Times New Roman" w:cs="Times New Roman"/>
          <w:color w:val="000000" w:themeColor="text1"/>
        </w:rPr>
        <w:t>the Race</w:t>
      </w:r>
      <w:r w:rsidRPr="003A4A83">
        <w:rPr>
          <w:rFonts w:ascii="Times New Roman" w:eastAsia="Times New Roman" w:hAnsi="Times New Roman" w:cs="Times New Roman"/>
          <w:color w:val="000000" w:themeColor="text1"/>
        </w:rPr>
        <w:t xml:space="preserve"> and Ethnicity Question</w:t>
      </w:r>
      <w:r w:rsidRPr="003A4A83" w:rsidR="70248868">
        <w:rPr>
          <w:rFonts w:ascii="Times New Roman" w:eastAsia="Times New Roman" w:hAnsi="Times New Roman" w:cs="Times New Roman"/>
          <w:color w:val="000000" w:themeColor="text1"/>
        </w:rPr>
        <w:t xml:space="preserve"> </w:t>
      </w:r>
      <w:r w:rsidRPr="003A4A83">
        <w:rPr>
          <w:rFonts w:ascii="Times New Roman" w:eastAsia="Times New Roman" w:hAnsi="Times New Roman" w:cs="Times New Roman"/>
          <w:color w:val="000000" w:themeColor="text1"/>
        </w:rPr>
        <w:t>with Minimum Categories only (no examples or write-ins) (as shown in Figure 3 of the Federal Register posting)</w:t>
      </w:r>
    </w:p>
    <w:p w:rsidR="0064208E" w:rsidRPr="003A4A83" w:rsidP="0064208E" w14:paraId="5BE4EF35" w14:textId="77777777">
      <w:pPr>
        <w:pStyle w:val="ListParagraph"/>
        <w:numPr>
          <w:ilvl w:val="0"/>
          <w:numId w:val="3"/>
        </w:numPr>
        <w:spacing w:before="240" w:after="240"/>
        <w:rPr>
          <w:rFonts w:ascii="Times New Roman" w:hAnsi="Times New Roman" w:cs="Times New Roman"/>
          <w:color w:val="000000" w:themeColor="text1"/>
        </w:rPr>
      </w:pPr>
      <w:r w:rsidRPr="003A4A83">
        <w:rPr>
          <w:rFonts w:ascii="Times New Roman" w:hAnsi="Times New Roman" w:cs="Times New Roman"/>
          <w:color w:val="000000" w:themeColor="text1"/>
        </w:rPr>
        <w:t xml:space="preserve">The new Race and Ethnicity Question </w:t>
      </w:r>
      <w:r w:rsidRPr="003A4A83">
        <w:rPr>
          <w:rFonts w:ascii="Times New Roman" w:hAnsi="Times New Roman" w:cs="Times New Roman"/>
          <w:color w:val="000000" w:themeColor="text1"/>
        </w:rPr>
        <w:t>has</w:t>
      </w:r>
      <w:r w:rsidRPr="003A4A83">
        <w:rPr>
          <w:rFonts w:ascii="Times New Roman" w:hAnsi="Times New Roman" w:cs="Times New Roman"/>
          <w:color w:val="000000" w:themeColor="text1"/>
        </w:rPr>
        <w:t xml:space="preserve"> a</w:t>
      </w:r>
      <w:r w:rsidRPr="003A4A83" w:rsidR="6A7D0191">
        <w:rPr>
          <w:rFonts w:ascii="Times New Roman" w:hAnsi="Times New Roman" w:cs="Times New Roman"/>
          <w:color w:val="000000" w:themeColor="text1"/>
        </w:rPr>
        <w:t xml:space="preserve"> </w:t>
      </w:r>
      <w:r w:rsidRPr="003A4A83">
        <w:rPr>
          <w:rFonts w:ascii="Times New Roman" w:hAnsi="Times New Roman" w:cs="Times New Roman"/>
          <w:color w:val="000000" w:themeColor="text1"/>
        </w:rPr>
        <w:t>longer</w:t>
      </w:r>
      <w:r w:rsidRPr="003A4A83" w:rsidR="6A7D0191">
        <w:rPr>
          <w:rFonts w:ascii="Times New Roman" w:hAnsi="Times New Roman" w:cs="Times New Roman"/>
          <w:color w:val="000000" w:themeColor="text1"/>
        </w:rPr>
        <w:t xml:space="preserve"> list of race/ethnicity options</w:t>
      </w:r>
      <w:r w:rsidRPr="003A4A83">
        <w:rPr>
          <w:rFonts w:ascii="Times New Roman" w:hAnsi="Times New Roman" w:cs="Times New Roman"/>
          <w:color w:val="000000" w:themeColor="text1"/>
        </w:rPr>
        <w:t>, which</w:t>
      </w:r>
      <w:r w:rsidRPr="003A4A83" w:rsidR="6A7D0191">
        <w:rPr>
          <w:rFonts w:ascii="Times New Roman" w:hAnsi="Times New Roman" w:cs="Times New Roman"/>
          <w:color w:val="000000" w:themeColor="text1"/>
        </w:rPr>
        <w:t xml:space="preserve"> may be more difficult to administer </w:t>
      </w:r>
      <w:r w:rsidRPr="003A4A83">
        <w:rPr>
          <w:rFonts w:ascii="Times New Roman" w:hAnsi="Times New Roman" w:cs="Times New Roman"/>
          <w:color w:val="000000" w:themeColor="text1"/>
        </w:rPr>
        <w:t>by</w:t>
      </w:r>
      <w:r w:rsidRPr="003A4A83" w:rsidR="6A7D0191">
        <w:rPr>
          <w:rFonts w:ascii="Times New Roman" w:hAnsi="Times New Roman" w:cs="Times New Roman"/>
          <w:color w:val="000000" w:themeColor="text1"/>
        </w:rPr>
        <w:t xml:space="preserve"> PAC staff, </w:t>
      </w:r>
      <w:r w:rsidRPr="003A4A83">
        <w:rPr>
          <w:rFonts w:ascii="Times New Roman" w:hAnsi="Times New Roman" w:cs="Times New Roman"/>
          <w:color w:val="000000" w:themeColor="text1"/>
        </w:rPr>
        <w:t>due to the age</w:t>
      </w:r>
      <w:r w:rsidRPr="003A4A83" w:rsidR="6A7D0191">
        <w:rPr>
          <w:rFonts w:ascii="Times New Roman" w:hAnsi="Times New Roman" w:cs="Times New Roman"/>
          <w:color w:val="000000" w:themeColor="text1"/>
        </w:rPr>
        <w:t xml:space="preserve"> and </w:t>
      </w:r>
      <w:r w:rsidRPr="003A4A83">
        <w:rPr>
          <w:rFonts w:ascii="Times New Roman" w:hAnsi="Times New Roman" w:cs="Times New Roman"/>
          <w:color w:val="000000" w:themeColor="text1"/>
        </w:rPr>
        <w:t>comorbidities of the</w:t>
      </w:r>
      <w:r w:rsidRPr="003A4A83" w:rsidR="6A7D0191">
        <w:rPr>
          <w:rFonts w:ascii="Times New Roman" w:hAnsi="Times New Roman" w:cs="Times New Roman"/>
          <w:color w:val="000000" w:themeColor="text1"/>
        </w:rPr>
        <w:t xml:space="preserve"> Medicare-aged population. The </w:t>
      </w:r>
      <w:r w:rsidRPr="003A4A83">
        <w:rPr>
          <w:rFonts w:ascii="Times New Roman" w:hAnsi="Times New Roman" w:cs="Times New Roman"/>
          <w:color w:val="000000" w:themeColor="text1"/>
        </w:rPr>
        <w:t>M</w:t>
      </w:r>
      <w:r w:rsidRPr="003A4A83" w:rsidR="6A7D0191">
        <w:rPr>
          <w:rFonts w:ascii="Times New Roman" w:hAnsi="Times New Roman" w:cs="Times New Roman"/>
          <w:color w:val="000000" w:themeColor="text1"/>
        </w:rPr>
        <w:t xml:space="preserve">inimum </w:t>
      </w:r>
      <w:r w:rsidRPr="003A4A83">
        <w:rPr>
          <w:rFonts w:ascii="Times New Roman" w:hAnsi="Times New Roman" w:cs="Times New Roman"/>
          <w:color w:val="000000" w:themeColor="text1"/>
        </w:rPr>
        <w:t>C</w:t>
      </w:r>
      <w:r w:rsidRPr="003A4A83" w:rsidR="6A7D0191">
        <w:rPr>
          <w:rFonts w:ascii="Times New Roman" w:hAnsi="Times New Roman" w:cs="Times New Roman"/>
          <w:color w:val="000000" w:themeColor="text1"/>
        </w:rPr>
        <w:t>ategories</w:t>
      </w:r>
      <w:r w:rsidRPr="003A4A83">
        <w:rPr>
          <w:rFonts w:ascii="Times New Roman" w:hAnsi="Times New Roman" w:cs="Times New Roman"/>
          <w:color w:val="000000" w:themeColor="text1"/>
        </w:rPr>
        <w:t xml:space="preserve"> only</w:t>
      </w:r>
      <w:r w:rsidRPr="003A4A83">
        <w:rPr>
          <w:rFonts w:ascii="Times New Roman" w:hAnsi="Times New Roman" w:cs="Times New Roman"/>
          <w:color w:val="000000" w:themeColor="text1"/>
        </w:rPr>
        <w:t xml:space="preserve"> question</w:t>
      </w:r>
      <w:r w:rsidRPr="003A4A83">
        <w:rPr>
          <w:rFonts w:ascii="Times New Roman" w:hAnsi="Times New Roman" w:cs="Times New Roman"/>
          <w:color w:val="000000" w:themeColor="text1"/>
        </w:rPr>
        <w:t xml:space="preserve"> (figure 3)</w:t>
      </w:r>
      <w:r w:rsidRPr="003A4A83" w:rsidR="6A7D0191">
        <w:rPr>
          <w:rFonts w:ascii="Times New Roman" w:hAnsi="Times New Roman" w:cs="Times New Roman"/>
          <w:color w:val="000000" w:themeColor="text1"/>
        </w:rPr>
        <w:t xml:space="preserve"> reduce provider burden and patient/resident/family confusion since the staff must read the questions to the patient/resident for their response. We also consider the translations for patients who need staff to ask the questions in a language other than English. </w:t>
      </w:r>
      <w:r w:rsidRPr="003A4A83" w:rsidR="00D2627A">
        <w:rPr>
          <w:rFonts w:ascii="Times New Roman" w:hAnsi="Times New Roman" w:cs="Times New Roman"/>
          <w:color w:val="000000" w:themeColor="text1"/>
        </w:rPr>
        <w:t>CMS has tested</w:t>
      </w:r>
      <w:r w:rsidRPr="003A4A83" w:rsidR="6A7D0191">
        <w:rPr>
          <w:rFonts w:ascii="Times New Roman" w:hAnsi="Times New Roman" w:cs="Times New Roman"/>
          <w:color w:val="000000" w:themeColor="text1"/>
        </w:rPr>
        <w:t xml:space="preserve"> write-in </w:t>
      </w:r>
      <w:r w:rsidRPr="003A4A83" w:rsidR="00D2627A">
        <w:rPr>
          <w:rFonts w:ascii="Times New Roman" w:hAnsi="Times New Roman" w:cs="Times New Roman"/>
          <w:color w:val="000000" w:themeColor="text1"/>
        </w:rPr>
        <w:t xml:space="preserve">options for assessment items and </w:t>
      </w:r>
      <w:r w:rsidRPr="003A4A83">
        <w:rPr>
          <w:rFonts w:ascii="Times New Roman" w:hAnsi="Times New Roman" w:cs="Times New Roman"/>
          <w:color w:val="000000" w:themeColor="text1"/>
        </w:rPr>
        <w:t xml:space="preserve">that data </w:t>
      </w:r>
      <w:r w:rsidRPr="003A4A83" w:rsidR="6A7D0191">
        <w:rPr>
          <w:rFonts w:ascii="Times New Roman" w:hAnsi="Times New Roman" w:cs="Times New Roman"/>
          <w:color w:val="000000" w:themeColor="text1"/>
        </w:rPr>
        <w:t xml:space="preserve">cannot </w:t>
      </w:r>
      <w:r w:rsidRPr="003A4A83">
        <w:rPr>
          <w:rFonts w:ascii="Times New Roman" w:hAnsi="Times New Roman" w:cs="Times New Roman"/>
          <w:color w:val="000000" w:themeColor="text1"/>
        </w:rPr>
        <w:t>be used</w:t>
      </w:r>
      <w:r w:rsidRPr="003A4A83" w:rsidR="6A7D0191">
        <w:rPr>
          <w:rFonts w:ascii="Times New Roman" w:hAnsi="Times New Roman" w:cs="Times New Roman"/>
          <w:color w:val="000000" w:themeColor="text1"/>
        </w:rPr>
        <w:t xml:space="preserve">. Aside from spelling issues and how many write-ins should be allowed, we seek inter-operability, and write-ins do not allow for </w:t>
      </w:r>
      <w:r w:rsidRPr="003A4A83" w:rsidR="00F60925">
        <w:rPr>
          <w:rFonts w:ascii="Times New Roman" w:hAnsi="Times New Roman" w:cs="Times New Roman"/>
          <w:color w:val="000000" w:themeColor="text1"/>
        </w:rPr>
        <w:t>this</w:t>
      </w:r>
      <w:r w:rsidRPr="003A4A83" w:rsidR="6A7D0191">
        <w:rPr>
          <w:rFonts w:ascii="Times New Roman" w:hAnsi="Times New Roman" w:cs="Times New Roman"/>
          <w:color w:val="000000" w:themeColor="text1"/>
        </w:rPr>
        <w:t xml:space="preserve">. </w:t>
      </w:r>
    </w:p>
    <w:p w:rsidR="003B486F" w:rsidRPr="003A4A83" w:rsidP="003B486F" w14:paraId="0DDB267C" w14:textId="24AA0448">
      <w:pPr>
        <w:pStyle w:val="Heading2"/>
      </w:pPr>
      <w:bookmarkStart w:id="37" w:name="_Toc130395974"/>
      <w:bookmarkStart w:id="38" w:name="_Toc298168189"/>
      <w:bookmarkStart w:id="39" w:name="_Toc89079485"/>
      <w:bookmarkStart w:id="40" w:name="_Toc94773738"/>
      <w:bookmarkStart w:id="41" w:name="_Toc226541981"/>
      <w:bookmarkEnd w:id="37"/>
      <w:r w:rsidRPr="003A4A83">
        <w:t>Federal Register/Outside Consultation</w:t>
      </w:r>
      <w:bookmarkEnd w:id="38"/>
      <w:bookmarkEnd w:id="39"/>
      <w:bookmarkEnd w:id="40"/>
      <w:bookmarkEnd w:id="41"/>
    </w:p>
    <w:p w:rsidR="000C5047" w:rsidRPr="003A4A83" w14:paraId="69EEE7EB" w14:textId="5DA8DA9B">
      <w:pPr>
        <w:pStyle w:val="ListContinue"/>
        <w:ind w:left="360"/>
        <w:rPr>
          <w:color w:val="000000" w:themeColor="text1"/>
        </w:rPr>
      </w:pPr>
      <w:r w:rsidRPr="003A4A83">
        <w:rPr>
          <w:color w:val="000000" w:themeColor="text1"/>
        </w:rPr>
        <w:t>The FY 202</w:t>
      </w:r>
      <w:r w:rsidRPr="003A4A83" w:rsidR="0053647D">
        <w:rPr>
          <w:color w:val="000000" w:themeColor="text1"/>
        </w:rPr>
        <w:t>6</w:t>
      </w:r>
      <w:r w:rsidRPr="003A4A83">
        <w:rPr>
          <w:color w:val="000000" w:themeColor="text1"/>
        </w:rPr>
        <w:t xml:space="preserve"> IRF PPS Notice of Proposed Rulemaking (NPRM) was published on</w:t>
      </w:r>
      <w:r w:rsidRPr="003A4A83" w:rsidR="004B547A">
        <w:rPr>
          <w:color w:val="000000" w:themeColor="text1"/>
        </w:rPr>
        <w:t xml:space="preserve"> the Federal Register public inspection desk on </w:t>
      </w:r>
      <w:r w:rsidRPr="003A4A83" w:rsidR="0053647D">
        <w:rPr>
          <w:color w:val="000000" w:themeColor="text1"/>
        </w:rPr>
        <w:t xml:space="preserve">April </w:t>
      </w:r>
      <w:r w:rsidRPr="003A4A83" w:rsidR="008A2630">
        <w:rPr>
          <w:color w:val="000000" w:themeColor="text1"/>
        </w:rPr>
        <w:t>2</w:t>
      </w:r>
      <w:r w:rsidRPr="003A4A83" w:rsidR="0053647D">
        <w:rPr>
          <w:color w:val="000000" w:themeColor="text1"/>
        </w:rPr>
        <w:t>, 202</w:t>
      </w:r>
      <w:r w:rsidRPr="003A4A83" w:rsidR="008C6A6C">
        <w:rPr>
          <w:color w:val="000000" w:themeColor="text1"/>
        </w:rPr>
        <w:t>6</w:t>
      </w:r>
      <w:r w:rsidRPr="003A4A83" w:rsidR="004B547A">
        <w:rPr>
          <w:color w:val="000000" w:themeColor="text1"/>
        </w:rPr>
        <w:t xml:space="preserve">, and is expected to </w:t>
      </w:r>
      <w:r w:rsidRPr="003A4A83" w:rsidR="004B547A">
        <w:rPr>
          <w:color w:val="000000" w:themeColor="text1"/>
        </w:rPr>
        <w:t>publish</w:t>
      </w:r>
      <w:r w:rsidRPr="003A4A83" w:rsidR="004B547A">
        <w:rPr>
          <w:color w:val="000000" w:themeColor="text1"/>
        </w:rPr>
        <w:t xml:space="preserve"> in the Federal Register </w:t>
      </w:r>
      <w:r w:rsidRPr="003A4A83" w:rsidR="00B6743D">
        <w:rPr>
          <w:color w:val="000000" w:themeColor="text1"/>
        </w:rPr>
        <w:t>in</w:t>
      </w:r>
      <w:r w:rsidRPr="003A4A83" w:rsidR="00B6743D">
        <w:rPr>
          <w:color w:val="000000" w:themeColor="text1"/>
        </w:rPr>
        <w:t xml:space="preserve"> </w:t>
      </w:r>
      <w:r w:rsidRPr="003A4A83" w:rsidR="008C6A6C">
        <w:rPr>
          <w:color w:val="000000" w:themeColor="text1"/>
        </w:rPr>
        <w:t xml:space="preserve">April </w:t>
      </w:r>
      <w:r w:rsidRPr="003A4A83" w:rsidR="008A2630">
        <w:rPr>
          <w:color w:val="000000" w:themeColor="text1"/>
        </w:rPr>
        <w:t>6</w:t>
      </w:r>
      <w:r w:rsidRPr="003A4A83" w:rsidR="0042539D">
        <w:rPr>
          <w:color w:val="000000" w:themeColor="text1"/>
        </w:rPr>
        <w:t xml:space="preserve">, </w:t>
      </w:r>
      <w:r w:rsidRPr="003A4A83" w:rsidR="008C6A6C">
        <w:rPr>
          <w:color w:val="000000" w:themeColor="text1"/>
        </w:rPr>
        <w:t>2026</w:t>
      </w:r>
      <w:r w:rsidRPr="003A4A83">
        <w:rPr>
          <w:color w:val="000000" w:themeColor="text1"/>
        </w:rPr>
        <w:t xml:space="preserve">.  </w:t>
      </w:r>
      <w:r w:rsidRPr="003A4A83" w:rsidR="000573E7">
        <w:rPr>
          <w:color w:val="000000" w:themeColor="text1"/>
        </w:rPr>
        <w:t xml:space="preserve">CMS invited public </w:t>
      </w:r>
      <w:r w:rsidRPr="003A4A83" w:rsidR="000573E7">
        <w:rPr>
          <w:color w:val="000000" w:themeColor="text1"/>
        </w:rPr>
        <w:t>comment</w:t>
      </w:r>
      <w:r w:rsidRPr="003A4A83" w:rsidR="000573E7">
        <w:rPr>
          <w:color w:val="000000" w:themeColor="text1"/>
        </w:rPr>
        <w:t xml:space="preserve"> </w:t>
      </w:r>
      <w:r w:rsidRPr="003A4A83" w:rsidR="00D87087">
        <w:rPr>
          <w:color w:val="000000" w:themeColor="text1"/>
        </w:rPr>
        <w:t>on our proposed updates to the IRF QRP.</w:t>
      </w:r>
      <w:r w:rsidRPr="003A4A83" w:rsidR="00932659">
        <w:rPr>
          <w:color w:val="000000" w:themeColor="text1"/>
        </w:rPr>
        <w:t xml:space="preserve"> If finalized as proposed, these updates will not result in any change to data collection burden for IRFs. </w:t>
      </w:r>
      <w:r w:rsidRPr="003A4A83" w:rsidR="00D87087">
        <w:rPr>
          <w:color w:val="000000" w:themeColor="text1"/>
        </w:rPr>
        <w:t xml:space="preserve"> </w:t>
      </w:r>
      <w:r w:rsidRPr="003A4A83" w:rsidR="000573E7">
        <w:rPr>
          <w:color w:val="000000" w:themeColor="text1"/>
        </w:rPr>
        <w:t xml:space="preserve"> </w:t>
      </w:r>
      <w:r w:rsidRPr="003A4A83" w:rsidR="00A7366B">
        <w:rPr>
          <w:color w:val="000000" w:themeColor="text1"/>
        </w:rPr>
        <w:t xml:space="preserve"> </w:t>
      </w:r>
    </w:p>
    <w:p w:rsidR="003B486F" w:rsidRPr="003A4A83" w:rsidP="009F03D6" w14:paraId="75B09517" w14:textId="4F6352E7">
      <w:pPr>
        <w:pStyle w:val="ListContinue"/>
        <w:ind w:left="360"/>
        <w:rPr>
          <w:color w:val="000000" w:themeColor="text1"/>
        </w:rPr>
      </w:pPr>
      <w:r w:rsidRPr="003A4A83">
        <w:rPr>
          <w:color w:val="000000" w:themeColor="text1"/>
        </w:rPr>
        <w:t xml:space="preserve">CMS informed the provider community </w:t>
      </w:r>
      <w:r w:rsidRPr="003A4A83" w:rsidR="00EC5D2F">
        <w:rPr>
          <w:color w:val="000000" w:themeColor="text1"/>
        </w:rPr>
        <w:t>in April</w:t>
      </w:r>
      <w:r w:rsidRPr="003A4A83" w:rsidR="00D87087">
        <w:rPr>
          <w:color w:val="000000" w:themeColor="text1"/>
        </w:rPr>
        <w:t xml:space="preserve"> 2026</w:t>
      </w:r>
      <w:r w:rsidRPr="003A4A83" w:rsidR="00962C85">
        <w:rPr>
          <w:color w:val="000000" w:themeColor="text1"/>
        </w:rPr>
        <w:t xml:space="preserve">. </w:t>
      </w:r>
      <w:r w:rsidRPr="003A4A83">
        <w:rPr>
          <w:color w:val="000000" w:themeColor="text1"/>
        </w:rPr>
        <w:t>A reference to the announcement can be found on the IRF QRP webpage found here</w:t>
      </w:r>
      <w:r w:rsidRPr="003A4A83" w:rsidR="0043098A">
        <w:rPr>
          <w:color w:val="000000" w:themeColor="text1"/>
        </w:rPr>
        <w:t xml:space="preserve"> </w:t>
      </w:r>
      <w:hyperlink r:id="rId11" w:tooltip="CMS Inpatient Rehabilitation Facility (IRF) Quality Reporting Program (QRP) Spotlights &amp; Announcements" w:history="1">
        <w:r w:rsidRPr="003A4A83" w:rsidR="000E2A42">
          <w:rPr>
            <w:rStyle w:val="Hyperlink"/>
          </w:rPr>
          <w:t>https://www.cms.gov/medicare/quality-initiatives-patient-assessment-instruments/irf-quality-reporting/spotlights-announcements</w:t>
        </w:r>
      </w:hyperlink>
      <w:r w:rsidRPr="003A4A83" w:rsidR="00B74537">
        <w:rPr>
          <w:color w:val="000000" w:themeColor="text1"/>
        </w:rPr>
        <w:t xml:space="preserve">. </w:t>
      </w:r>
    </w:p>
    <w:p w:rsidR="000D586C" w:rsidRPr="003A4A83" w:rsidP="009F03D6" w14:paraId="4E22F190" w14:textId="77777777">
      <w:pPr>
        <w:pStyle w:val="Heading3"/>
        <w:numPr>
          <w:ilvl w:val="0"/>
          <w:numId w:val="10"/>
        </w:numPr>
        <w:ind w:left="720"/>
      </w:pPr>
      <w:bookmarkStart w:id="42" w:name="_Toc226541982"/>
      <w:r w:rsidRPr="003A4A83">
        <w:t>Consideration of Burden of Information Collection Requests</w:t>
      </w:r>
      <w:bookmarkEnd w:id="42"/>
    </w:p>
    <w:p w:rsidR="0006335D" w:rsidRPr="003A4A83" w:rsidP="000D586C" w14:paraId="614CB5EB" w14:textId="63905E88">
      <w:pPr>
        <w:pStyle w:val="ListContinue"/>
        <w:ind w:left="360"/>
        <w:rPr>
          <w:color w:val="000000" w:themeColor="text1"/>
        </w:rPr>
      </w:pPr>
      <w:r w:rsidRPr="003A4A83">
        <w:rPr>
          <w:color w:val="000000" w:themeColor="text1"/>
        </w:rPr>
        <w:t xml:space="preserve">In </w:t>
      </w:r>
      <w:r w:rsidRPr="003A4A83" w:rsidR="00BB05C4">
        <w:rPr>
          <w:color w:val="000000" w:themeColor="text1"/>
        </w:rPr>
        <w:t>alignment with Executive Order 14192 title "Unleashing Prosperity Through Deregulation" (January 21, 2025)</w:t>
      </w:r>
      <w:r>
        <w:rPr>
          <w:rStyle w:val="FootnoteReference"/>
          <w:color w:val="auto"/>
          <w:u w:val="none"/>
        </w:rPr>
        <w:footnoteReference w:id="7"/>
      </w:r>
      <w:r w:rsidRPr="003A4A83" w:rsidR="00BB05C4">
        <w:rPr>
          <w:color w:val="000000" w:themeColor="text1"/>
        </w:rPr>
        <w:t xml:space="preserve"> </w:t>
      </w:r>
      <w:r w:rsidRPr="003A4A83" w:rsidR="00BA0A5E">
        <w:rPr>
          <w:color w:val="000000" w:themeColor="text1"/>
        </w:rPr>
        <w:t>,</w:t>
      </w:r>
      <w:r w:rsidRPr="003A4A83" w:rsidR="00BB05C4">
        <w:rPr>
          <w:color w:val="000000" w:themeColor="text1"/>
        </w:rPr>
        <w:t>CMS</w:t>
      </w:r>
      <w:r w:rsidRPr="003A4A83">
        <w:rPr>
          <w:color w:val="000000" w:themeColor="text1"/>
        </w:rPr>
        <w:t xml:space="preserve"> continues to </w:t>
      </w:r>
      <w:r w:rsidRPr="003A4A83" w:rsidR="00473DFC">
        <w:rPr>
          <w:color w:val="000000" w:themeColor="text1"/>
        </w:rPr>
        <w:t xml:space="preserve">look for ways to balance the </w:t>
      </w:r>
      <w:r w:rsidRPr="003A4A83" w:rsidR="005B4B92">
        <w:rPr>
          <w:color w:val="000000" w:themeColor="text1"/>
        </w:rPr>
        <w:t xml:space="preserve">statutory </w:t>
      </w:r>
      <w:r w:rsidRPr="003A4A83" w:rsidR="00C038F3">
        <w:rPr>
          <w:color w:val="000000" w:themeColor="text1"/>
        </w:rPr>
        <w:t>requirement</w:t>
      </w:r>
      <w:r w:rsidRPr="003A4A83" w:rsidR="00473DFC">
        <w:rPr>
          <w:color w:val="000000" w:themeColor="text1"/>
        </w:rPr>
        <w:t xml:space="preserve"> for data collection </w:t>
      </w:r>
      <w:r w:rsidRPr="003A4A83" w:rsidR="00C038F3">
        <w:rPr>
          <w:color w:val="000000" w:themeColor="text1"/>
        </w:rPr>
        <w:t xml:space="preserve">in </w:t>
      </w:r>
      <w:r w:rsidRPr="003A4A83" w:rsidR="00473DFC">
        <w:rPr>
          <w:color w:val="000000" w:themeColor="text1"/>
        </w:rPr>
        <w:t xml:space="preserve">the </w:t>
      </w:r>
      <w:r w:rsidRPr="003A4A83" w:rsidR="005B4B92">
        <w:rPr>
          <w:color w:val="000000" w:themeColor="text1"/>
        </w:rPr>
        <w:t>IRF</w:t>
      </w:r>
      <w:r w:rsidRPr="003A4A83" w:rsidR="00473DFC">
        <w:rPr>
          <w:color w:val="000000" w:themeColor="text1"/>
        </w:rPr>
        <w:t xml:space="preserve"> QRP </w:t>
      </w:r>
      <w:r w:rsidRPr="003A4A83" w:rsidR="005B4B92">
        <w:rPr>
          <w:color w:val="000000" w:themeColor="text1"/>
        </w:rPr>
        <w:t xml:space="preserve">with </w:t>
      </w:r>
      <w:r w:rsidRPr="003A4A83" w:rsidR="00473DFC">
        <w:rPr>
          <w:color w:val="000000" w:themeColor="text1"/>
        </w:rPr>
        <w:t>the burden that such data collections may have on IRFs</w:t>
      </w:r>
      <w:r w:rsidRPr="003A4A83" w:rsidR="00C038F3">
        <w:rPr>
          <w:color w:val="000000" w:themeColor="text1"/>
        </w:rPr>
        <w:t>.</w:t>
      </w:r>
    </w:p>
    <w:p w:rsidR="000D586C" w:rsidRPr="003A4A83" w:rsidP="000D586C" w14:paraId="2D9A051E" w14:textId="598DFBC4">
      <w:pPr>
        <w:pStyle w:val="ListContinue"/>
        <w:ind w:left="360"/>
        <w:rPr>
          <w:color w:val="000000" w:themeColor="text1"/>
        </w:rPr>
      </w:pPr>
      <w:r w:rsidRPr="003A4A83">
        <w:rPr>
          <w:color w:val="000000" w:themeColor="text1"/>
        </w:rPr>
        <w:t xml:space="preserve">CMS </w:t>
      </w:r>
      <w:r w:rsidRPr="003A4A83" w:rsidR="00EF1388">
        <w:rPr>
          <w:color w:val="000000" w:themeColor="text1"/>
        </w:rPr>
        <w:t>has taken steps to</w:t>
      </w:r>
      <w:r w:rsidRPr="003A4A83">
        <w:rPr>
          <w:color w:val="000000" w:themeColor="text1"/>
        </w:rPr>
        <w:t xml:space="preserve"> minimize burden associated with collection of the IRF-PAI for information users through strategies that (1) simplify collection and submission requirements, (2) improve IRF-PAI comprehension, and (3) enhance communication, navigation, and outreach, </w:t>
      </w:r>
      <w:r w:rsidRPr="003A4A83" w:rsidR="00D02F1E">
        <w:rPr>
          <w:color w:val="000000" w:themeColor="text1"/>
        </w:rPr>
        <w:t xml:space="preserve">and </w:t>
      </w:r>
      <w:r w:rsidRPr="003A4A83">
        <w:rPr>
          <w:color w:val="000000" w:themeColor="text1"/>
        </w:rPr>
        <w:t>(4) minimize learning costs</w:t>
      </w:r>
      <w:r w:rsidRPr="003A4A83" w:rsidR="00D02F1E">
        <w:rPr>
          <w:color w:val="000000" w:themeColor="text1"/>
        </w:rPr>
        <w:t xml:space="preserve">. </w:t>
      </w:r>
    </w:p>
    <w:p w:rsidR="00BC3235" w:rsidRPr="003A4A83" w:rsidP="00CB6AF4" w14:paraId="1777A66A" w14:textId="6B41C894">
      <w:pPr>
        <w:pStyle w:val="ListContinue"/>
        <w:ind w:left="360"/>
        <w:rPr>
          <w:color w:val="000000" w:themeColor="text1"/>
        </w:rPr>
      </w:pPr>
      <w:r w:rsidRPr="003A4A83">
        <w:rPr>
          <w:color w:val="000000" w:themeColor="text1"/>
        </w:rPr>
        <w:t>First, during</w:t>
      </w:r>
      <w:r w:rsidRPr="003A4A83">
        <w:rPr>
          <w:color w:val="000000" w:themeColor="text1"/>
        </w:rPr>
        <w:t xml:space="preserve"> the measure selection process, interviews are conducted with information users before new measures or items are introduced. The interviews provide valuable evidence to ensure that any addition to the IRF PAI is  precise and results in meaningful information. </w:t>
      </w:r>
    </w:p>
    <w:p w:rsidR="000D586C" w:rsidRPr="003A4A83" w:rsidP="000D586C" w14:paraId="41D48CF4" w14:textId="77777777">
      <w:pPr>
        <w:pStyle w:val="ListContinue"/>
        <w:ind w:left="360"/>
        <w:rPr>
          <w:color w:val="000000" w:themeColor="text1"/>
        </w:rPr>
      </w:pPr>
      <w:r w:rsidRPr="003A4A83">
        <w:rPr>
          <w:color w:val="000000" w:themeColor="text1"/>
        </w:rPr>
        <w:t xml:space="preserve">Second, improving IRF-PAI comprehension is a priority.  </w:t>
      </w:r>
      <w:r w:rsidRPr="003A4A83">
        <w:rPr>
          <w:color w:val="000000" w:themeColor="text1"/>
        </w:rPr>
        <w:t>A number of</w:t>
      </w:r>
      <w:r w:rsidRPr="003A4A83">
        <w:rPr>
          <w:color w:val="000000" w:themeColor="text1"/>
        </w:rPr>
        <w:t xml:space="preserve"> strategies are used, including standardizing the collection instructions across all IRFs, ensuring that all instructions and notices are written in plain language, and by providing step-by-step examples for completing the IRF-PAI.  Human-centered design best practices are used, such as prioritizing key communication in headings, text boxes, and bold text.  Close attention is paid to the amount of information required in the forms so that only the necessary data is collected on the IRF-PAI. </w:t>
      </w:r>
    </w:p>
    <w:p w:rsidR="000D586C" w:rsidRPr="003A4A83" w:rsidP="000D586C" w14:paraId="12304655" w14:textId="501C0929">
      <w:pPr>
        <w:pStyle w:val="ListContinue"/>
        <w:ind w:left="360"/>
        <w:rPr>
          <w:color w:val="000000" w:themeColor="text1"/>
        </w:rPr>
      </w:pPr>
      <w:r w:rsidRPr="003A4A83">
        <w:rPr>
          <w:color w:val="000000" w:themeColor="text1"/>
        </w:rPr>
        <w:t xml:space="preserve">Third, CMS looks for opportunities to improve communication with users and conducts outreach.  CMS provides a dedicated help desk to support users and respond to questions about </w:t>
      </w:r>
      <w:r w:rsidRPr="003A4A83">
        <w:rPr>
          <w:color w:val="000000" w:themeColor="text1"/>
        </w:rPr>
        <w:t>the</w:t>
      </w:r>
      <w:r w:rsidRPr="003A4A83" w:rsidR="00D058F0">
        <w:rPr>
          <w:color w:val="000000" w:themeColor="text1"/>
        </w:rPr>
        <w:t xml:space="preserve"> </w:t>
      </w:r>
      <w:r w:rsidRPr="003A4A83">
        <w:rPr>
          <w:color w:val="000000" w:themeColor="text1"/>
        </w:rPr>
        <w:t>data</w:t>
      </w:r>
      <w:r w:rsidRPr="003A4A83">
        <w:rPr>
          <w:color w:val="000000" w:themeColor="text1"/>
        </w:rPr>
        <w:t xml:space="preserve"> collection.  Additionally, a dedicated IRF QRP webpage houses multiple modes of tools, such as instructional videos, case studies, user manuals, and frequently asked questions which support understanding of the IRF-</w:t>
      </w:r>
      <w:r w:rsidRPr="003A4A83">
        <w:rPr>
          <w:color w:val="000000" w:themeColor="text1"/>
        </w:rPr>
        <w:t>PAI, and</w:t>
      </w:r>
      <w:r w:rsidRPr="003A4A83">
        <w:rPr>
          <w:color w:val="000000" w:themeColor="text1"/>
        </w:rPr>
        <w:t xml:space="preserve"> can be used by current and assist new users of the IRF-PAI.  CMS utilizes a listserv to facilitate outreach to users, such as communicating timely and important new material(s), as well as reminders and alerts related to the IRF-PAI completion. Finally, CMS provides a free internet-based system through which users can access on-demand reports for feedback on the collection of the IRF-PAI associated with their facility.</w:t>
      </w:r>
    </w:p>
    <w:p w:rsidR="000D586C" w:rsidRPr="003A4A83" w:rsidP="000D586C" w14:paraId="6106EE9D" w14:textId="12DE4FCC">
      <w:pPr>
        <w:pStyle w:val="ListContinue"/>
        <w:ind w:left="360"/>
        <w:rPr>
          <w:color w:val="000000" w:themeColor="text1"/>
        </w:rPr>
      </w:pPr>
      <w:r w:rsidRPr="003A4A83">
        <w:rPr>
          <w:color w:val="000000" w:themeColor="text1"/>
        </w:rPr>
        <w:t xml:space="preserve">Fourth, CMS is aware of the learning costs that IRFs may incur when new data collection is required.  CMS provides multiple free training resources and opportunities for IRFs to use, </w:t>
      </w:r>
      <w:r w:rsidRPr="003A4A83" w:rsidR="00827D13">
        <w:rPr>
          <w:color w:val="000000" w:themeColor="text1"/>
        </w:rPr>
        <w:t xml:space="preserve">removing </w:t>
      </w:r>
      <w:r w:rsidRPr="003A4A83">
        <w:rPr>
          <w:color w:val="000000" w:themeColor="text1"/>
        </w:rPr>
        <w:t>the</w:t>
      </w:r>
      <w:r w:rsidRPr="003A4A83" w:rsidR="001C4274">
        <w:rPr>
          <w:color w:val="000000" w:themeColor="text1"/>
        </w:rPr>
        <w:t xml:space="preserve"> cost</w:t>
      </w:r>
      <w:r w:rsidRPr="003A4A83">
        <w:rPr>
          <w:color w:val="000000" w:themeColor="text1"/>
        </w:rPr>
        <w:t xml:space="preserve"> to IRFs in creating their own training resources.  These training resources include live training, online learning modules, tip sheets, and/or recorded webinars and videos.  Having the materials online and </w:t>
      </w:r>
      <w:r w:rsidRPr="003A4A83">
        <w:rPr>
          <w:color w:val="000000" w:themeColor="text1"/>
        </w:rPr>
        <w:t>on-demand</w:t>
      </w:r>
      <w:r w:rsidRPr="003A4A83">
        <w:rPr>
          <w:color w:val="000000" w:themeColor="text1"/>
        </w:rPr>
        <w:t xml:space="preserve"> gives IRFs the flexibility to use the materials in a group setting or on an individual basis at times that work for them.</w:t>
      </w:r>
    </w:p>
    <w:p w:rsidR="003B486F" w:rsidRPr="003A4A83" w:rsidP="003B486F" w14:paraId="12548327" w14:textId="3F774873">
      <w:pPr>
        <w:pStyle w:val="Heading2"/>
      </w:pPr>
      <w:bookmarkStart w:id="43" w:name="_Toc89079486"/>
      <w:bookmarkStart w:id="44" w:name="_Toc94773739"/>
      <w:bookmarkStart w:id="45" w:name="_Toc226541983"/>
      <w:r w:rsidRPr="003A4A83">
        <w:t>Payment/Gifts to Respondents</w:t>
      </w:r>
      <w:bookmarkEnd w:id="43"/>
      <w:bookmarkEnd w:id="44"/>
      <w:bookmarkEnd w:id="45"/>
    </w:p>
    <w:p w:rsidR="003B486F" w:rsidRPr="003A4A83" w:rsidP="003B486F" w14:paraId="4F3822F1" w14:textId="4DACB0A6">
      <w:pPr>
        <w:pStyle w:val="ListContinue"/>
        <w:ind w:left="360"/>
        <w:rPr>
          <w:color w:val="000000" w:themeColor="text1"/>
        </w:rPr>
      </w:pPr>
      <w:r w:rsidRPr="003A4A83">
        <w:rPr>
          <w:color w:val="000000" w:themeColor="text1"/>
        </w:rPr>
        <w:t>There will be no payments/gifts to respondents for the use of the IRF-PAI.</w:t>
      </w:r>
      <w:r w:rsidRPr="003A4A83" w:rsidR="00294AF4">
        <w:rPr>
          <w:color w:val="000000" w:themeColor="text1"/>
        </w:rPr>
        <w:t xml:space="preserve"> However, per § 412.604, IRFs must complete the IRF-PAI as a condition for payment under the IRF PPS.  If an IRF fails to comply fully, CMS may withhold (in full or in part) or reduce Medicare payment to the IRF.</w:t>
      </w:r>
    </w:p>
    <w:p w:rsidR="003B486F" w:rsidRPr="003A4A83" w:rsidP="003B486F" w14:paraId="37A16519" w14:textId="01284D68">
      <w:pPr>
        <w:pStyle w:val="Heading2"/>
      </w:pPr>
      <w:bookmarkStart w:id="46" w:name="_Toc89079487"/>
      <w:bookmarkStart w:id="47" w:name="_Toc94773740"/>
      <w:bookmarkStart w:id="48" w:name="_Toc226541984"/>
      <w:r w:rsidRPr="003A4A83">
        <w:t>Confidentiality</w:t>
      </w:r>
      <w:bookmarkEnd w:id="46"/>
      <w:bookmarkEnd w:id="47"/>
      <w:bookmarkEnd w:id="48"/>
    </w:p>
    <w:p w:rsidR="003B486F" w:rsidRPr="003A4A83" w:rsidP="003B486F" w14:paraId="45B038FD" w14:textId="0DAF634E">
      <w:pPr>
        <w:pStyle w:val="ListContinue"/>
        <w:ind w:left="360"/>
        <w:rPr>
          <w:color w:val="000000" w:themeColor="text1"/>
        </w:rPr>
      </w:pPr>
      <w:r w:rsidRPr="003A4A83">
        <w:rPr>
          <w:color w:val="000000" w:themeColor="text1"/>
        </w:rPr>
        <w:t xml:space="preserve">The system of records </w:t>
      </w:r>
      <w:r w:rsidRPr="003A4A83" w:rsidR="000573E7">
        <w:rPr>
          <w:color w:val="000000" w:themeColor="text1"/>
        </w:rPr>
        <w:t xml:space="preserve">notices </w:t>
      </w:r>
      <w:r w:rsidRPr="003A4A83">
        <w:rPr>
          <w:color w:val="000000" w:themeColor="text1"/>
        </w:rPr>
        <w:t>(SOR</w:t>
      </w:r>
      <w:r w:rsidRPr="003A4A83" w:rsidR="000573E7">
        <w:rPr>
          <w:color w:val="000000" w:themeColor="text1"/>
        </w:rPr>
        <w:t>N</w:t>
      </w:r>
      <w:r w:rsidRPr="003A4A83">
        <w:rPr>
          <w:color w:val="000000" w:themeColor="text1"/>
        </w:rPr>
        <w:t xml:space="preserve">) establishes </w:t>
      </w:r>
      <w:bookmarkStart w:id="49" w:name="_Int_xCwZpill"/>
      <w:r w:rsidRPr="003A4A83">
        <w:rPr>
          <w:color w:val="000000" w:themeColor="text1"/>
        </w:rPr>
        <w:t>privacy stringent</w:t>
      </w:r>
      <w:bookmarkEnd w:id="49"/>
      <w:r w:rsidRPr="003A4A83">
        <w:rPr>
          <w:color w:val="000000" w:themeColor="text1"/>
        </w:rPr>
        <w:t xml:space="preserve"> requirements. The IRF-PAI SOR</w:t>
      </w:r>
      <w:r w:rsidRPr="003A4A83" w:rsidR="00EB5594">
        <w:rPr>
          <w:color w:val="000000" w:themeColor="text1"/>
        </w:rPr>
        <w:t>N</w:t>
      </w:r>
      <w:r w:rsidRPr="003A4A83" w:rsidR="00082FB3">
        <w:rPr>
          <w:color w:val="000000" w:themeColor="text1"/>
        </w:rPr>
        <w:t xml:space="preserve"> (09-70-</w:t>
      </w:r>
      <w:r w:rsidRPr="003A4A83" w:rsidR="00DC6B51">
        <w:rPr>
          <w:color w:val="000000" w:themeColor="text1"/>
        </w:rPr>
        <w:t>0521</w:t>
      </w:r>
      <w:r w:rsidRPr="003A4A83" w:rsidR="00082FB3">
        <w:rPr>
          <w:color w:val="000000" w:themeColor="text1"/>
        </w:rPr>
        <w:t>)</w:t>
      </w:r>
      <w:r w:rsidRPr="003A4A83">
        <w:rPr>
          <w:color w:val="000000" w:themeColor="text1"/>
        </w:rPr>
        <w:t xml:space="preserve"> was published in the Federal Register on November 9, 2001</w:t>
      </w:r>
      <w:r w:rsidRPr="003A4A83" w:rsidR="0043098A">
        <w:rPr>
          <w:color w:val="000000" w:themeColor="text1"/>
        </w:rPr>
        <w:t xml:space="preserve"> </w:t>
      </w:r>
      <w:r w:rsidRPr="003A4A83">
        <w:rPr>
          <w:color w:val="000000" w:themeColor="text1"/>
        </w:rPr>
        <w:t>(66 FR 56681-</w:t>
      </w:r>
      <w:r w:rsidRPr="003A4A83">
        <w:rPr>
          <w:color w:val="000000" w:themeColor="text1"/>
        </w:rPr>
        <w:t>56687). A SOR</w:t>
      </w:r>
      <w:r w:rsidRPr="003A4A83" w:rsidR="000573E7">
        <w:rPr>
          <w:color w:val="000000" w:themeColor="text1"/>
        </w:rPr>
        <w:t>N</w:t>
      </w:r>
      <w:r w:rsidRPr="003A4A83">
        <w:rPr>
          <w:color w:val="000000" w:themeColor="text1"/>
        </w:rPr>
        <w:t xml:space="preserve"> modification notice was published in the Federal Register on November 20, 2006 (71 FR 67143).</w:t>
      </w:r>
    </w:p>
    <w:p w:rsidR="003B486F" w:rsidRPr="003A4A83" w:rsidP="003B486F" w14:paraId="148711A3" w14:textId="17EA49D3">
      <w:pPr>
        <w:pStyle w:val="ListContinue"/>
        <w:ind w:left="360"/>
        <w:rPr>
          <w:color w:val="000000" w:themeColor="text1"/>
        </w:rPr>
      </w:pPr>
      <w:r w:rsidRPr="003A4A83">
        <w:rPr>
          <w:color w:val="000000" w:themeColor="text1"/>
        </w:rPr>
        <w:t xml:space="preserve">CMS has also provided, as part of the current Manual, a section that addresses in writing statements of confidentiality consistent with the Privacy Act of 1974. All patient-level data is protected from public dissemination in accordance with the Privacy Act of 1974, as amended. The </w:t>
      </w:r>
      <w:r w:rsidRPr="003A4A83" w:rsidR="0043098A">
        <w:rPr>
          <w:color w:val="000000" w:themeColor="text1"/>
        </w:rPr>
        <w:t>data</w:t>
      </w:r>
      <w:r w:rsidRPr="003A4A83">
        <w:rPr>
          <w:color w:val="000000" w:themeColor="text1"/>
        </w:rPr>
        <w:t xml:space="preserve"> collected is protected and held confidential in accordance with 20 CFR 401.3. Data will be treated in a confidential manner, unless otherwise compelled by law.</w:t>
      </w:r>
    </w:p>
    <w:p w:rsidR="003B486F" w:rsidRPr="003A4A83" w:rsidP="003B486F" w14:paraId="1CBC57E2" w14:textId="183FA82C">
      <w:pPr>
        <w:pStyle w:val="Heading2"/>
      </w:pPr>
      <w:bookmarkStart w:id="50" w:name="_Toc89079488"/>
      <w:bookmarkStart w:id="51" w:name="_Toc94773741"/>
      <w:bookmarkStart w:id="52" w:name="_Toc226541985"/>
      <w:r w:rsidRPr="003A4A83">
        <w:t>Sensitive Questions</w:t>
      </w:r>
      <w:bookmarkEnd w:id="50"/>
      <w:bookmarkEnd w:id="51"/>
      <w:bookmarkEnd w:id="52"/>
    </w:p>
    <w:p w:rsidR="003B486F" w:rsidRPr="003A4A83" w:rsidP="003B486F" w14:paraId="00843F63" w14:textId="77777777">
      <w:pPr>
        <w:pStyle w:val="ListContinue"/>
        <w:ind w:left="360"/>
        <w:rPr>
          <w:color w:val="000000" w:themeColor="text1"/>
        </w:rPr>
      </w:pPr>
      <w:r w:rsidRPr="003A4A83">
        <w:rPr>
          <w:color w:val="000000" w:themeColor="text1"/>
        </w:rPr>
        <w:t xml:space="preserve">There are no sensitive questions on the IRF-PAI. </w:t>
      </w:r>
    </w:p>
    <w:p w:rsidR="003B486F" w:rsidRPr="003A4A83" w:rsidP="003B486F" w14:paraId="056468EE" w14:textId="2D5C3FF1">
      <w:pPr>
        <w:pStyle w:val="Heading2"/>
      </w:pPr>
      <w:bookmarkStart w:id="53" w:name="_Toc298168193"/>
      <w:bookmarkStart w:id="54" w:name="_Toc89079489"/>
      <w:bookmarkStart w:id="55" w:name="_Toc94773742"/>
      <w:bookmarkStart w:id="56" w:name="_Toc226541986"/>
      <w:r w:rsidRPr="003A4A83">
        <w:t>Burden Estimates (Hours &amp; Wages)</w:t>
      </w:r>
      <w:bookmarkEnd w:id="53"/>
      <w:bookmarkEnd w:id="54"/>
      <w:bookmarkEnd w:id="55"/>
      <w:bookmarkEnd w:id="56"/>
    </w:p>
    <w:p w:rsidR="00AC3A21" w:rsidRPr="003A4A83" w:rsidP="00AC3A21" w14:paraId="4A78D4A5" w14:textId="6B733CE9">
      <w:pPr>
        <w:pStyle w:val="ListContinue"/>
        <w:ind w:left="360"/>
      </w:pPr>
      <w:r w:rsidRPr="003A4A83">
        <w:t xml:space="preserve">The burden associated with the IRF QRP is the time and effort </w:t>
      </w:r>
      <w:r w:rsidRPr="003A4A83" w:rsidR="00B6790D">
        <w:t>required</w:t>
      </w:r>
      <w:r w:rsidRPr="003A4A83">
        <w:t xml:space="preserve"> </w:t>
      </w:r>
      <w:r w:rsidRPr="003A4A83" w:rsidR="00B6790D">
        <w:t xml:space="preserve">for </w:t>
      </w:r>
      <w:r w:rsidRPr="003A4A83">
        <w:t xml:space="preserve">complying </w:t>
      </w:r>
      <w:r w:rsidRPr="003A4A83" w:rsidR="00B6790D">
        <w:t xml:space="preserve">with </w:t>
      </w:r>
      <w:r w:rsidRPr="003A4A83">
        <w:t xml:space="preserve">the IRF QRP. The estimated burden </w:t>
      </w:r>
      <w:r w:rsidRPr="003A4A83" w:rsidR="006E6E3F">
        <w:t>for completing the IRF-PAI was established in the FY 2002 IRF PPS Final Rule</w:t>
      </w:r>
      <w:r w:rsidRPr="003A4A83">
        <w:t xml:space="preserve">.  </w:t>
      </w:r>
      <w:r w:rsidRPr="003A4A83" w:rsidR="00707700">
        <w:t xml:space="preserve">Since the establishment of the IRF PAI, CMS has calculated programmatic burden accounting for the time and cost it takes an IRF to encode the IRF PAI, prepare the data for electronic submission, and transmit the data to CMS. </w:t>
      </w:r>
      <w:r w:rsidRPr="003A4A83">
        <w:t xml:space="preserve"> </w:t>
      </w:r>
      <w:r w:rsidRPr="003A4A83" w:rsidR="008D071C">
        <w:t xml:space="preserve">Our estimates of time to complete new items is based on </w:t>
      </w:r>
      <w:r w:rsidRPr="003A4A83" w:rsidR="00707700">
        <w:t xml:space="preserve">past </w:t>
      </w:r>
      <w:r w:rsidRPr="003A4A83" w:rsidR="008D071C">
        <w:t>IRF burden calculations, and o</w:t>
      </w:r>
      <w:r w:rsidRPr="003A4A83">
        <w:t xml:space="preserve">ur assumptions for staff type are based on the categories generally necessary to </w:t>
      </w:r>
      <w:r w:rsidRPr="003A4A83" w:rsidR="00B870B5">
        <w:t>collect this data</w:t>
      </w:r>
      <w:r w:rsidRPr="003A4A83">
        <w:t>, and subsequently encode it.</w:t>
      </w:r>
      <w:r>
        <w:rPr>
          <w:rStyle w:val="FootnoteReference"/>
          <w:color w:val="auto"/>
          <w:u w:val="none"/>
        </w:rPr>
        <w:footnoteReference w:id="8"/>
      </w:r>
      <w:r w:rsidRPr="003A4A83">
        <w:t xml:space="preserve">  However, individual providers determine </w:t>
      </w:r>
      <w:r w:rsidRPr="003A4A83" w:rsidR="008D071C">
        <w:t xml:space="preserve">their own processes to collect the information and </w:t>
      </w:r>
      <w:r w:rsidRPr="003A4A83">
        <w:t>the staffing resources necessary</w:t>
      </w:r>
      <w:r w:rsidRPr="003A4A83" w:rsidR="008D071C">
        <w:t xml:space="preserve"> to collect it.</w:t>
      </w:r>
      <w:r w:rsidRPr="003A4A83">
        <w:t xml:space="preserve">  </w:t>
      </w:r>
      <w:r w:rsidRPr="003A4A83" w:rsidR="008D071C">
        <w:t>We acknowledge that some IRFs will incur a higher cost than was estimated, while some IRFs will incur a lower cost.</w:t>
      </w:r>
    </w:p>
    <w:p w:rsidR="00B6790D" w:rsidRPr="003A4A83" w:rsidP="4C372AC2" w14:paraId="622C06C0" w14:textId="77777777">
      <w:pPr>
        <w:pStyle w:val="Heading3"/>
      </w:pPr>
      <w:bookmarkStart w:id="58" w:name="_Toc226541987"/>
      <w:r w:rsidRPr="003A4A83">
        <w:t>Assessing Burden of Information Collection</w:t>
      </w:r>
      <w:bookmarkEnd w:id="58"/>
    </w:p>
    <w:p w:rsidR="00E40275" w:rsidRPr="003A4A83" w:rsidP="00AC3A21" w14:paraId="7B52AD13" w14:textId="3EB9631F">
      <w:pPr>
        <w:pStyle w:val="ListContinue"/>
        <w:ind w:left="360"/>
        <w:rPr>
          <w:color w:val="000000" w:themeColor="text1"/>
        </w:rPr>
      </w:pPr>
      <w:r w:rsidRPr="003A4A83">
        <w:rPr>
          <w:color w:val="000000" w:themeColor="text1"/>
        </w:rPr>
        <w:t xml:space="preserve">CMS routinely assesses data collection </w:t>
      </w:r>
      <w:r w:rsidRPr="003A4A83" w:rsidR="00F630D1">
        <w:rPr>
          <w:color w:val="000000" w:themeColor="text1"/>
        </w:rPr>
        <w:t xml:space="preserve">for </w:t>
      </w:r>
      <w:r w:rsidRPr="003A4A83">
        <w:rPr>
          <w:color w:val="000000" w:themeColor="text1"/>
        </w:rPr>
        <w:t xml:space="preserve">the IRF QRP, given the statutory requirements for quality measurement. </w:t>
      </w:r>
      <w:r w:rsidRPr="003A4A83" w:rsidR="00593B5D">
        <w:rPr>
          <w:color w:val="000000" w:themeColor="text1"/>
        </w:rPr>
        <w:t xml:space="preserve">CMS </w:t>
      </w:r>
      <w:r w:rsidRPr="003A4A83">
        <w:rPr>
          <w:color w:val="000000" w:themeColor="text1"/>
        </w:rPr>
        <w:t>continues to evaluate the assessment items to consider appropriate removal of items that are not required for quality measure calculation, risk adjustment, or other aspects of the QRP.</w:t>
      </w:r>
      <w:r w:rsidRPr="003A4A83" w:rsidR="00593B5D">
        <w:rPr>
          <w:color w:val="000000" w:themeColor="text1"/>
        </w:rPr>
        <w:t xml:space="preserve"> </w:t>
      </w:r>
      <w:r w:rsidRPr="003A4A83">
        <w:rPr>
          <w:color w:val="000000" w:themeColor="text1"/>
        </w:rPr>
        <w:t xml:space="preserve">For a detailed outline of </w:t>
      </w:r>
      <w:r w:rsidRPr="003A4A83" w:rsidR="000C16B1">
        <w:rPr>
          <w:color w:val="000000" w:themeColor="text1"/>
        </w:rPr>
        <w:t xml:space="preserve">CMS’ </w:t>
      </w:r>
      <w:r w:rsidRPr="003A4A83" w:rsidR="00F630D1">
        <w:rPr>
          <w:color w:val="000000" w:themeColor="text1"/>
        </w:rPr>
        <w:t>C</w:t>
      </w:r>
      <w:r w:rsidRPr="003A4A83" w:rsidR="000C16B1">
        <w:rPr>
          <w:color w:val="000000" w:themeColor="text1"/>
        </w:rPr>
        <w:t>onsideration of Burden of Information Collection Requests</w:t>
      </w:r>
      <w:r w:rsidRPr="003A4A83" w:rsidR="0021351B">
        <w:rPr>
          <w:color w:val="000000" w:themeColor="text1"/>
        </w:rPr>
        <w:t>, please see section 8.a. of this supporting statement.</w:t>
      </w:r>
    </w:p>
    <w:p w:rsidR="00901628" w:rsidRPr="003A4A83" w:rsidP="00AC3A21" w14:paraId="04B0706B" w14:textId="356B67C9">
      <w:pPr>
        <w:pStyle w:val="ListContinue"/>
        <w:ind w:left="360"/>
      </w:pPr>
      <w:r w:rsidRPr="003A4A83">
        <w:t>We do not believe the proposals related to the IRF QRP in the FY 2027 IRF PPS proposed rule will result in any changes to the burden collection.</w:t>
      </w:r>
      <w:r w:rsidRPr="003A4A83" w:rsidR="00890E3A">
        <w:t xml:space="preserve"> However, the number of IRFs in 2025 increased from 1,166 to 1,175</w:t>
      </w:r>
      <w:r w:rsidRPr="003A4A83" w:rsidR="00EA2D82">
        <w:t>, so we have updated the burden hours and cost for the IRF-PAI</w:t>
      </w:r>
      <w:r w:rsidRPr="003A4A83">
        <w:t xml:space="preserve">. </w:t>
      </w:r>
    </w:p>
    <w:p w:rsidR="00856739" w:rsidRPr="003A4A83" w:rsidP="00856739" w14:paraId="77A6719D" w14:textId="74794C2E">
      <w:pPr>
        <w:pStyle w:val="ListContinue"/>
        <w:ind w:left="360"/>
        <w:rPr>
          <w:color w:val="000000" w:themeColor="text1"/>
        </w:rPr>
      </w:pPr>
      <w:r w:rsidRPr="003A4A83">
        <w:rPr>
          <w:color w:val="000000" w:themeColor="text1"/>
        </w:rPr>
        <w:t xml:space="preserve">We identified the staff type based on past IRF burden calculations. We believe that the </w:t>
      </w:r>
      <w:r w:rsidRPr="003A4A83" w:rsidR="00D34462">
        <w:rPr>
          <w:color w:val="000000" w:themeColor="text1"/>
        </w:rPr>
        <w:t xml:space="preserve">IRF-PAI </w:t>
      </w:r>
      <w:r w:rsidRPr="003A4A83">
        <w:rPr>
          <w:color w:val="000000" w:themeColor="text1"/>
        </w:rPr>
        <w:t xml:space="preserve">items would be completed equally by a Registered Nurse (RN) and a Licensed Practical and Licensed Vocational Nurse (LPN/LVN). However, IRFs determine the staffing resources necessary. </w:t>
      </w:r>
    </w:p>
    <w:p w:rsidR="0095023F" w:rsidRPr="003A4A83" w:rsidP="00AC3A21" w14:paraId="7EDA01E3" w14:textId="0008241F">
      <w:pPr>
        <w:pStyle w:val="ListContinue"/>
        <w:ind w:left="360"/>
      </w:pPr>
      <w:r w:rsidRPr="003A4A83">
        <w:rPr>
          <w:color w:val="000000" w:themeColor="text1"/>
        </w:rPr>
        <w:t xml:space="preserve">For the purposes of calculating the costs associated with the collection </w:t>
      </w:r>
      <w:r w:rsidRPr="003A4A83">
        <w:t xml:space="preserve">of information </w:t>
      </w:r>
      <w:r w:rsidRPr="003A4A83">
        <w:rPr>
          <w:color w:val="000000" w:themeColor="text1"/>
        </w:rPr>
        <w:t>requirements, we obtained median hourly wages for these staff from the U.S. Bureau of Labor Statistics' (BLS) May 202</w:t>
      </w:r>
      <w:r w:rsidRPr="003A4A83" w:rsidR="00871CA9">
        <w:rPr>
          <w:color w:val="000000" w:themeColor="text1"/>
        </w:rPr>
        <w:t>4</w:t>
      </w:r>
      <w:r w:rsidRPr="003A4A83">
        <w:rPr>
          <w:color w:val="000000" w:themeColor="text1"/>
        </w:rPr>
        <w:t xml:space="preserve"> National Occupational Employment and Wage Estimates.</w:t>
      </w:r>
      <w:hyperlink w:anchor="Footnote7" w:tooltip="BLS May 2024 National Occupational Employment and Wage Estimates" w:history="1">
        <w:r>
          <w:rPr>
            <w:rStyle w:val="Hyperlink"/>
            <w:color w:val="auto"/>
            <w:u w:val="none"/>
            <w:vertAlign w:val="superscript"/>
          </w:rPr>
          <w:footnoteReference w:id="9"/>
        </w:r>
      </w:hyperlink>
      <w:r w:rsidRPr="003A4A83">
        <w:rPr>
          <w:color w:val="000000" w:themeColor="text1"/>
        </w:rPr>
        <w:t xml:space="preserve"> To account for other indirect costs and fringe benefits, we doubled the hourly wage. These amounts are detailed in Table 1. We established a composite cost estimate using our adjusted wage estimates. The composite estimate of </w:t>
      </w:r>
      <w:r w:rsidRPr="003A4A83">
        <w:rPr>
          <w:color w:val="000000" w:themeColor="text1"/>
        </w:rPr>
        <w:t>$7</w:t>
      </w:r>
      <w:r w:rsidRPr="003A4A83" w:rsidR="00251BDE">
        <w:rPr>
          <w:color w:val="000000" w:themeColor="text1"/>
        </w:rPr>
        <w:t>8</w:t>
      </w:r>
      <w:r w:rsidRPr="003A4A83">
        <w:rPr>
          <w:color w:val="000000" w:themeColor="text1"/>
        </w:rPr>
        <w:t>.1</w:t>
      </w:r>
      <w:r w:rsidRPr="003A4A83" w:rsidR="00251BDE">
        <w:rPr>
          <w:color w:val="000000" w:themeColor="text1"/>
        </w:rPr>
        <w:t>6</w:t>
      </w:r>
      <w:r w:rsidRPr="003A4A83">
        <w:rPr>
          <w:color w:val="000000" w:themeColor="text1"/>
        </w:rPr>
        <w:t>/</w:t>
      </w:r>
      <w:r w:rsidRPr="003A4A83">
        <w:rPr>
          <w:color w:val="000000" w:themeColor="text1"/>
        </w:rPr>
        <w:t>hr</w:t>
      </w:r>
      <w:r w:rsidRPr="003A4A83">
        <w:rPr>
          <w:color w:val="000000" w:themeColor="text1"/>
        </w:rPr>
        <w:t xml:space="preserve"> was calculated by </w:t>
      </w:r>
      <w:r w:rsidRPr="003A4A83">
        <w:rPr>
          <w:color w:val="000000" w:themeColor="text1"/>
        </w:rPr>
        <w:t>weighting</w:t>
      </w:r>
      <w:r w:rsidRPr="003A4A83">
        <w:rPr>
          <w:color w:val="000000" w:themeColor="text1"/>
        </w:rPr>
        <w:t xml:space="preserve"> each adjusted hourly wage equally (that is, 50 percent</w:t>
      </w:r>
      <w:r w:rsidRPr="003A4A83">
        <w:rPr>
          <w:color w:val="000000" w:themeColor="text1"/>
        </w:rPr>
        <w:t>) [(</w:t>
      </w:r>
      <w:r w:rsidRPr="003A4A83">
        <w:rPr>
          <w:color w:val="000000" w:themeColor="text1"/>
        </w:rPr>
        <w:t>$</w:t>
      </w:r>
      <w:r w:rsidRPr="003A4A83" w:rsidR="00FD0C16">
        <w:rPr>
          <w:color w:val="000000" w:themeColor="text1"/>
        </w:rPr>
        <w:t>94.64</w:t>
      </w:r>
      <w:r w:rsidRPr="003A4A83">
        <w:rPr>
          <w:color w:val="000000" w:themeColor="text1"/>
        </w:rPr>
        <w:t>/</w:t>
      </w:r>
      <w:r w:rsidRPr="003A4A83">
        <w:rPr>
          <w:color w:val="000000" w:themeColor="text1"/>
        </w:rPr>
        <w:t>hr</w:t>
      </w:r>
      <w:r w:rsidRPr="003A4A83">
        <w:rPr>
          <w:color w:val="000000" w:themeColor="text1"/>
        </w:rPr>
        <w:t xml:space="preserve"> × 0.5) + ($</w:t>
      </w:r>
      <w:r w:rsidRPr="003A4A83" w:rsidR="00FD0C16">
        <w:rPr>
          <w:color w:val="000000" w:themeColor="text1"/>
        </w:rPr>
        <w:t>61.68</w:t>
      </w:r>
      <w:r w:rsidRPr="003A4A83">
        <w:rPr>
          <w:color w:val="000000" w:themeColor="text1"/>
        </w:rPr>
        <w:t>/</w:t>
      </w:r>
      <w:r w:rsidRPr="003A4A83">
        <w:rPr>
          <w:color w:val="000000" w:themeColor="text1"/>
        </w:rPr>
        <w:t>hr</w:t>
      </w:r>
      <w:r w:rsidRPr="003A4A83">
        <w:rPr>
          <w:color w:val="000000" w:themeColor="text1"/>
        </w:rPr>
        <w:t xml:space="preserve"> × 0.5) = $7</w:t>
      </w:r>
      <w:r w:rsidRPr="003A4A83" w:rsidR="00FD0C16">
        <w:rPr>
          <w:color w:val="000000" w:themeColor="text1"/>
        </w:rPr>
        <w:t>8</w:t>
      </w:r>
      <w:r w:rsidRPr="003A4A83">
        <w:rPr>
          <w:color w:val="000000" w:themeColor="text1"/>
        </w:rPr>
        <w:t>.1</w:t>
      </w:r>
      <w:r w:rsidRPr="003A4A83" w:rsidR="00FD0C16">
        <w:rPr>
          <w:color w:val="000000" w:themeColor="text1"/>
        </w:rPr>
        <w:t>6</w:t>
      </w:r>
      <w:r w:rsidRPr="003A4A83" w:rsidR="005E1EDF">
        <w:rPr>
          <w:color w:val="000000" w:themeColor="text1"/>
        </w:rPr>
        <w:t>.</w:t>
      </w:r>
    </w:p>
    <w:p w:rsidR="00D34462" w:rsidRPr="003A4A83" w:rsidP="007B63A8" w14:paraId="3D9235E3" w14:textId="77777777">
      <w:pPr>
        <w:pStyle w:val="ListContinue"/>
        <w:ind w:left="360"/>
        <w:rPr>
          <w:color w:val="000000" w:themeColor="text1"/>
        </w:rPr>
      </w:pPr>
    </w:p>
    <w:p w:rsidR="00D34462" w:rsidRPr="003A4A83" w:rsidP="007B63A8" w14:paraId="7F1FFC54" w14:textId="77777777">
      <w:pPr>
        <w:pStyle w:val="ListContinue"/>
        <w:ind w:left="360"/>
        <w:rPr>
          <w:color w:val="000000" w:themeColor="text1"/>
        </w:rPr>
      </w:pPr>
    </w:p>
    <w:p w:rsidR="007E5662" w:rsidRPr="003A4A83" w:rsidP="007E5662" w14:paraId="7D4C267C" w14:textId="77777777">
      <w:pPr>
        <w:pStyle w:val="ListContinue"/>
        <w:spacing w:after="0"/>
        <w:rPr>
          <w:b/>
          <w:bCs/>
          <w:color w:val="000000" w:themeColor="text1"/>
        </w:rPr>
      </w:pPr>
      <w:r w:rsidRPr="003A4A83">
        <w:rPr>
          <w:b/>
          <w:bCs/>
          <w:color w:val="000000" w:themeColor="text1"/>
        </w:rPr>
        <w:t xml:space="preserve">TABLE </w:t>
      </w:r>
      <w:r w:rsidRPr="003A4A83" w:rsidR="004E5C2E">
        <w:rPr>
          <w:b/>
          <w:bCs/>
          <w:color w:val="000000" w:themeColor="text1"/>
        </w:rPr>
        <w:t>1</w:t>
      </w:r>
      <w:r w:rsidRPr="003A4A83">
        <w:rPr>
          <w:b/>
          <w:bCs/>
          <w:color w:val="000000" w:themeColor="text1"/>
        </w:rPr>
        <w:t>—U.S. Bureau of Labor and Statistics' May 2023 National Occupational Employment and Wage Estimates</w:t>
      </w:r>
    </w:p>
    <w:tbl>
      <w:tblPr>
        <w:tblCaption w:val="TABLE 1—U.S. Bureau of Labor and Statistics' May 2023 National Occupational Employment and Wage Estimates"/>
        <w:tblDescription w:val="TABLE 1—U.S. Bureau of Labor and Statistics' May 2023 National Occupational Employment and Wage Estimates; 5 columns and 3 rows including header row; from left to right: Occupation title, Occupation code, Median hourly wage ($/hr, Other indirect costs and fringe benefit ($/hr), Adjusted hourly wage ($/hr)"/>
        <w:tblW w:w="0" w:type="auto"/>
        <w:tblCellSpacing w:w="15" w:type="dxa"/>
        <w:tblInd w:w="355" w:type="dxa"/>
        <w:tblBorders>
          <w:top w:val="single" w:sz="4" w:space="0" w:color="auto"/>
          <w:left w:val="single" w:sz="4" w:space="0" w:color="auto"/>
          <w:bottom w:val="single" w:sz="4" w:space="0" w:color="auto"/>
          <w:right w:val="single" w:sz="4" w:space="0" w:color="auto"/>
        </w:tblBorders>
        <w:tblLook w:val="04A0"/>
      </w:tblPr>
      <w:tblGrid>
        <w:gridCol w:w="2070"/>
        <w:gridCol w:w="1413"/>
        <w:gridCol w:w="1762"/>
        <w:gridCol w:w="1988"/>
        <w:gridCol w:w="1767"/>
      </w:tblGrid>
      <w:tr w14:paraId="5CC9FF0F" w14:textId="77777777" w:rsidTr="002312F8">
        <w:tblPrEx>
          <w:tblW w:w="0" w:type="auto"/>
          <w:tblCellSpacing w:w="15" w:type="dxa"/>
          <w:tblInd w:w="355" w:type="dxa"/>
          <w:tblBorders>
            <w:top w:val="single" w:sz="4" w:space="0" w:color="auto"/>
            <w:left w:val="single" w:sz="4" w:space="0" w:color="auto"/>
            <w:bottom w:val="single" w:sz="4" w:space="0" w:color="auto"/>
            <w:right w:val="single" w:sz="4" w:space="0" w:color="auto"/>
          </w:tblBorders>
          <w:tblLook w:val="04A0"/>
        </w:tblPrEx>
        <w:trPr>
          <w:tblHeader/>
          <w:tblCellSpacing w:w="15" w:type="dxa"/>
        </w:trPr>
        <w:tc>
          <w:tcPr>
            <w:tcW w:w="2025"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3A4A83" w:rsidP="007B63A8" w14:paraId="6D6D5CA7" w14:textId="77777777">
            <w:pPr>
              <w:pStyle w:val="ListContinue"/>
              <w:spacing w:after="0"/>
              <w:ind w:left="0"/>
              <w:rPr>
                <w:b/>
                <w:bCs/>
                <w:color w:val="000000" w:themeColor="text1"/>
              </w:rPr>
            </w:pPr>
            <w:r w:rsidRPr="003A4A83">
              <w:rPr>
                <w:b/>
                <w:bCs/>
                <w:color w:val="000000" w:themeColor="text1"/>
              </w:rPr>
              <w:t>Occupation title</w:t>
            </w:r>
          </w:p>
        </w:tc>
        <w:tc>
          <w:tcPr>
            <w:tcW w:w="1383"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3A4A83" w:rsidP="007B63A8" w14:paraId="17886B61" w14:textId="77777777">
            <w:pPr>
              <w:pStyle w:val="ListContinue"/>
              <w:spacing w:after="0"/>
              <w:ind w:left="0"/>
              <w:rPr>
                <w:b/>
                <w:bCs/>
                <w:color w:val="000000" w:themeColor="text1"/>
              </w:rPr>
            </w:pPr>
            <w:r w:rsidRPr="003A4A83">
              <w:rPr>
                <w:b/>
                <w:bCs/>
                <w:color w:val="000000" w:themeColor="text1"/>
              </w:rPr>
              <w:t>Occupation code</w:t>
            </w:r>
          </w:p>
        </w:tc>
        <w:tc>
          <w:tcPr>
            <w:tcW w:w="1732"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3A4A83" w:rsidP="007B63A8" w14:paraId="678C33B0" w14:textId="77777777">
            <w:pPr>
              <w:pStyle w:val="ListContinue"/>
              <w:spacing w:after="0"/>
              <w:ind w:left="0"/>
              <w:rPr>
                <w:b/>
                <w:bCs/>
                <w:color w:val="000000" w:themeColor="text1"/>
              </w:rPr>
            </w:pPr>
            <w:r w:rsidRPr="003A4A83">
              <w:rPr>
                <w:b/>
                <w:bCs/>
                <w:color w:val="000000" w:themeColor="text1"/>
              </w:rPr>
              <w:t>Median hourly wage ($/</w:t>
            </w:r>
            <w:r w:rsidRPr="003A4A83">
              <w:rPr>
                <w:b/>
                <w:bCs/>
                <w:color w:val="000000" w:themeColor="text1"/>
              </w:rPr>
              <w:t>hr</w:t>
            </w:r>
            <w:r w:rsidRPr="003A4A83">
              <w:rPr>
                <w:b/>
                <w:bCs/>
                <w:color w:val="000000" w:themeColor="text1"/>
              </w:rPr>
              <w:t>)</w:t>
            </w:r>
          </w:p>
        </w:tc>
        <w:tc>
          <w:tcPr>
            <w:tcW w:w="1958"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3A4A83" w:rsidP="007B63A8" w14:paraId="08A7E3C6" w14:textId="77777777">
            <w:pPr>
              <w:pStyle w:val="ListContinue"/>
              <w:spacing w:after="0"/>
              <w:ind w:left="0"/>
              <w:rPr>
                <w:b/>
                <w:bCs/>
                <w:color w:val="000000" w:themeColor="text1"/>
              </w:rPr>
            </w:pPr>
            <w:r w:rsidRPr="003A4A83">
              <w:rPr>
                <w:b/>
                <w:bCs/>
                <w:color w:val="000000" w:themeColor="text1"/>
              </w:rPr>
              <w:t>Other indirect costs and fringe benefit ($/</w:t>
            </w:r>
            <w:r w:rsidRPr="003A4A83">
              <w:rPr>
                <w:b/>
                <w:bCs/>
                <w:color w:val="000000" w:themeColor="text1"/>
              </w:rPr>
              <w:t>hr</w:t>
            </w:r>
            <w:r w:rsidRPr="003A4A83">
              <w:rPr>
                <w:b/>
                <w:bCs/>
                <w:color w:val="000000" w:themeColor="text1"/>
              </w:rPr>
              <w:t>)</w:t>
            </w:r>
          </w:p>
        </w:tc>
        <w:tc>
          <w:tcPr>
            <w:tcW w:w="1722" w:type="dxa"/>
            <w:tcBorders>
              <w:top w:val="single" w:sz="4" w:space="0" w:color="auto"/>
              <w:bottom w:val="single" w:sz="4" w:space="0" w:color="auto"/>
              <w:right w:val="nil"/>
            </w:tcBorders>
            <w:shd w:val="clear" w:color="auto" w:fill="F9F9F9"/>
            <w:tcMar>
              <w:top w:w="15" w:type="dxa"/>
              <w:left w:w="15" w:type="dxa"/>
              <w:bottom w:w="15" w:type="dxa"/>
              <w:right w:w="15" w:type="dxa"/>
            </w:tcMar>
            <w:vAlign w:val="center"/>
            <w:hideMark/>
          </w:tcPr>
          <w:p w:rsidR="007E5662" w:rsidRPr="003A4A83" w:rsidP="007B63A8" w14:paraId="2BD9C792" w14:textId="77777777">
            <w:pPr>
              <w:pStyle w:val="ListContinue"/>
              <w:spacing w:after="0"/>
              <w:ind w:left="0"/>
              <w:rPr>
                <w:b/>
                <w:bCs/>
                <w:color w:val="000000" w:themeColor="text1"/>
              </w:rPr>
            </w:pPr>
            <w:r w:rsidRPr="003A4A83">
              <w:rPr>
                <w:b/>
                <w:bCs/>
                <w:color w:val="000000" w:themeColor="text1"/>
              </w:rPr>
              <w:t>Adjusted hourly wage ($/</w:t>
            </w:r>
            <w:r w:rsidRPr="003A4A83">
              <w:rPr>
                <w:b/>
                <w:bCs/>
                <w:color w:val="000000" w:themeColor="text1"/>
              </w:rPr>
              <w:t>hr</w:t>
            </w:r>
            <w:r w:rsidRPr="003A4A83">
              <w:rPr>
                <w:b/>
                <w:bCs/>
                <w:color w:val="000000" w:themeColor="text1"/>
              </w:rPr>
              <w:t>)</w:t>
            </w:r>
          </w:p>
        </w:tc>
      </w:tr>
      <w:tr w14:paraId="681F870D" w14:textId="77777777" w:rsidTr="00CB6AF4">
        <w:tblPrEx>
          <w:tblW w:w="0" w:type="auto"/>
          <w:tblCellSpacing w:w="15" w:type="dxa"/>
          <w:tblInd w:w="355" w:type="dxa"/>
          <w:tblLook w:val="04A0"/>
        </w:tblPrEx>
        <w:trPr>
          <w:tblCellSpacing w:w="15" w:type="dxa"/>
        </w:trPr>
        <w:tc>
          <w:tcPr>
            <w:tcW w:w="2025" w:type="dxa"/>
            <w:tcBorders>
              <w:top w:val="nil"/>
              <w:bottom w:val="nil"/>
              <w:right w:val="single" w:sz="4" w:space="0" w:color="auto"/>
            </w:tcBorders>
            <w:tcMar>
              <w:top w:w="15" w:type="dxa"/>
              <w:left w:w="15" w:type="dxa"/>
              <w:bottom w:w="15" w:type="dxa"/>
              <w:right w:w="15" w:type="dxa"/>
            </w:tcMar>
            <w:vAlign w:val="center"/>
            <w:hideMark/>
          </w:tcPr>
          <w:p w:rsidR="00A75342" w:rsidRPr="003A4A83" w:rsidP="00A75342" w14:paraId="4C4AC62E" w14:textId="77777777">
            <w:pPr>
              <w:pStyle w:val="ListContinue"/>
              <w:spacing w:after="0"/>
              <w:ind w:left="0"/>
              <w:rPr>
                <w:color w:val="000000" w:themeColor="text1"/>
              </w:rPr>
            </w:pPr>
            <w:r w:rsidRPr="003A4A83">
              <w:rPr>
                <w:color w:val="000000" w:themeColor="text1"/>
              </w:rPr>
              <w:t>Registered Nurse (RN)</w:t>
            </w:r>
          </w:p>
        </w:tc>
        <w:tc>
          <w:tcPr>
            <w:tcW w:w="1383" w:type="dxa"/>
            <w:tcBorders>
              <w:top w:val="nil"/>
              <w:bottom w:val="nil"/>
              <w:right w:val="single" w:sz="4" w:space="0" w:color="auto"/>
            </w:tcBorders>
            <w:tcMar>
              <w:top w:w="15" w:type="dxa"/>
              <w:left w:w="15" w:type="dxa"/>
              <w:bottom w:w="15" w:type="dxa"/>
              <w:right w:w="15" w:type="dxa"/>
            </w:tcMar>
            <w:vAlign w:val="center"/>
            <w:hideMark/>
          </w:tcPr>
          <w:p w:rsidR="00A75342" w:rsidRPr="003A4A83" w:rsidP="00A75342" w14:paraId="6BA1A37B" w14:textId="77777777">
            <w:pPr>
              <w:pStyle w:val="ListContinue"/>
              <w:spacing w:after="0"/>
              <w:ind w:left="0"/>
              <w:rPr>
                <w:color w:val="000000" w:themeColor="text1"/>
              </w:rPr>
            </w:pPr>
            <w:r w:rsidRPr="003A4A83">
              <w:rPr>
                <w:color w:val="000000" w:themeColor="text1"/>
              </w:rPr>
              <w:t>29-1141</w:t>
            </w:r>
          </w:p>
        </w:tc>
        <w:tc>
          <w:tcPr>
            <w:tcW w:w="1732" w:type="dxa"/>
            <w:tcBorders>
              <w:top w:val="nil"/>
              <w:bottom w:val="nil"/>
              <w:right w:val="single" w:sz="4" w:space="0" w:color="auto"/>
            </w:tcBorders>
            <w:tcMar>
              <w:top w:w="15" w:type="dxa"/>
              <w:left w:w="15" w:type="dxa"/>
              <w:bottom w:w="15" w:type="dxa"/>
              <w:right w:w="15" w:type="dxa"/>
            </w:tcMar>
            <w:vAlign w:val="center"/>
            <w:hideMark/>
          </w:tcPr>
          <w:p w:rsidR="00A75342" w:rsidRPr="003A4A83" w:rsidP="00A75342" w14:paraId="33099E8B" w14:textId="5378D26F">
            <w:pPr>
              <w:pStyle w:val="ListContinue"/>
              <w:spacing w:after="0"/>
              <w:rPr>
                <w:color w:val="000000" w:themeColor="text1"/>
              </w:rPr>
            </w:pPr>
            <w:r w:rsidRPr="003A4A83">
              <w:rPr>
                <w:sz w:val="20"/>
                <w:szCs w:val="20"/>
              </w:rPr>
              <w:t xml:space="preserve">$47.32 </w:t>
            </w:r>
          </w:p>
        </w:tc>
        <w:tc>
          <w:tcPr>
            <w:tcW w:w="1958" w:type="dxa"/>
            <w:tcBorders>
              <w:top w:val="nil"/>
              <w:bottom w:val="nil"/>
              <w:right w:val="single" w:sz="4" w:space="0" w:color="auto"/>
            </w:tcBorders>
            <w:tcMar>
              <w:top w:w="15" w:type="dxa"/>
              <w:left w:w="15" w:type="dxa"/>
              <w:bottom w:w="15" w:type="dxa"/>
              <w:right w:w="15" w:type="dxa"/>
            </w:tcMar>
            <w:vAlign w:val="center"/>
            <w:hideMark/>
          </w:tcPr>
          <w:p w:rsidR="00A75342" w:rsidRPr="003A4A83" w:rsidP="00A75342" w14:paraId="131413E3" w14:textId="5D2DD12D">
            <w:pPr>
              <w:pStyle w:val="ListContinue"/>
              <w:spacing w:after="0"/>
              <w:rPr>
                <w:color w:val="000000" w:themeColor="text1"/>
              </w:rPr>
            </w:pPr>
            <w:r w:rsidRPr="003A4A83">
              <w:rPr>
                <w:sz w:val="20"/>
                <w:szCs w:val="20"/>
              </w:rPr>
              <w:t xml:space="preserve">$47.32 </w:t>
            </w:r>
          </w:p>
        </w:tc>
        <w:tc>
          <w:tcPr>
            <w:tcW w:w="1722" w:type="dxa"/>
            <w:tcBorders>
              <w:top w:val="nil"/>
              <w:bottom w:val="nil"/>
              <w:right w:val="nil"/>
            </w:tcBorders>
            <w:tcMar>
              <w:top w:w="15" w:type="dxa"/>
              <w:left w:w="15" w:type="dxa"/>
              <w:bottom w:w="15" w:type="dxa"/>
              <w:right w:w="15" w:type="dxa"/>
            </w:tcMar>
            <w:vAlign w:val="center"/>
            <w:hideMark/>
          </w:tcPr>
          <w:p w:rsidR="00A75342" w:rsidRPr="003A4A83" w:rsidP="00A75342" w14:paraId="044BB9B2" w14:textId="41BE97EB">
            <w:pPr>
              <w:pStyle w:val="ListContinue"/>
              <w:spacing w:after="0"/>
              <w:rPr>
                <w:color w:val="000000" w:themeColor="text1"/>
              </w:rPr>
            </w:pPr>
            <w:r w:rsidRPr="003A4A83">
              <w:rPr>
                <w:sz w:val="20"/>
                <w:szCs w:val="20"/>
              </w:rPr>
              <w:t xml:space="preserve">$94.64 </w:t>
            </w:r>
          </w:p>
        </w:tc>
      </w:tr>
      <w:tr w14:paraId="488CBBB9" w14:textId="77777777" w:rsidTr="00CB6AF4">
        <w:tblPrEx>
          <w:tblW w:w="0" w:type="auto"/>
          <w:tblCellSpacing w:w="15" w:type="dxa"/>
          <w:tblInd w:w="355" w:type="dxa"/>
          <w:tblLook w:val="04A0"/>
        </w:tblPrEx>
        <w:trPr>
          <w:tblCellSpacing w:w="15" w:type="dxa"/>
        </w:trPr>
        <w:tc>
          <w:tcPr>
            <w:tcW w:w="2025" w:type="dxa"/>
            <w:tcBorders>
              <w:top w:val="nil"/>
              <w:bottom w:val="single" w:sz="4" w:space="0" w:color="auto"/>
              <w:right w:val="single" w:sz="4" w:space="0" w:color="auto"/>
            </w:tcBorders>
            <w:tcMar>
              <w:top w:w="15" w:type="dxa"/>
              <w:left w:w="15" w:type="dxa"/>
              <w:bottom w:w="15" w:type="dxa"/>
              <w:right w:w="15" w:type="dxa"/>
            </w:tcMar>
            <w:vAlign w:val="center"/>
            <w:hideMark/>
          </w:tcPr>
          <w:p w:rsidR="002312F8" w:rsidRPr="003A4A83" w:rsidP="002312F8" w14:paraId="1C8CF011" w14:textId="77777777">
            <w:pPr>
              <w:pStyle w:val="ListContinue"/>
              <w:spacing w:after="0"/>
              <w:ind w:left="0"/>
              <w:rPr>
                <w:color w:val="000000" w:themeColor="text1"/>
              </w:rPr>
            </w:pPr>
            <w:r w:rsidRPr="003A4A83">
              <w:rPr>
                <w:color w:val="000000" w:themeColor="text1"/>
              </w:rPr>
              <w:t>Licensed Practical and Licensed Vocational Nurse (LPN/LVN)</w:t>
            </w:r>
          </w:p>
        </w:tc>
        <w:tc>
          <w:tcPr>
            <w:tcW w:w="1383" w:type="dxa"/>
            <w:tcBorders>
              <w:top w:val="nil"/>
              <w:bottom w:val="single" w:sz="4" w:space="0" w:color="auto"/>
              <w:right w:val="single" w:sz="4" w:space="0" w:color="auto"/>
            </w:tcBorders>
            <w:tcMar>
              <w:top w:w="15" w:type="dxa"/>
              <w:left w:w="15" w:type="dxa"/>
              <w:bottom w:w="15" w:type="dxa"/>
              <w:right w:w="15" w:type="dxa"/>
            </w:tcMar>
            <w:vAlign w:val="center"/>
            <w:hideMark/>
          </w:tcPr>
          <w:p w:rsidR="002312F8" w:rsidRPr="003A4A83" w:rsidP="002312F8" w14:paraId="65E276B1" w14:textId="77777777">
            <w:pPr>
              <w:pStyle w:val="ListContinue"/>
              <w:spacing w:after="0"/>
              <w:ind w:left="0"/>
              <w:rPr>
                <w:color w:val="000000" w:themeColor="text1"/>
              </w:rPr>
            </w:pPr>
            <w:r w:rsidRPr="003A4A83">
              <w:rPr>
                <w:color w:val="000000" w:themeColor="text1"/>
              </w:rPr>
              <w:t>29-2061</w:t>
            </w:r>
          </w:p>
        </w:tc>
        <w:tc>
          <w:tcPr>
            <w:tcW w:w="1732" w:type="dxa"/>
            <w:tcBorders>
              <w:top w:val="nil"/>
              <w:bottom w:val="single" w:sz="4" w:space="0" w:color="auto"/>
              <w:right w:val="single" w:sz="4" w:space="0" w:color="auto"/>
            </w:tcBorders>
            <w:tcMar>
              <w:top w:w="15" w:type="dxa"/>
              <w:left w:w="15" w:type="dxa"/>
              <w:bottom w:w="15" w:type="dxa"/>
              <w:right w:w="15" w:type="dxa"/>
            </w:tcMar>
            <w:vAlign w:val="center"/>
            <w:hideMark/>
          </w:tcPr>
          <w:p w:rsidR="002312F8" w:rsidRPr="003A4A83" w:rsidP="002312F8" w14:paraId="3BF05F2F" w14:textId="43454B9B">
            <w:pPr>
              <w:pStyle w:val="ListContinue"/>
              <w:spacing w:after="0"/>
              <w:rPr>
                <w:color w:val="000000" w:themeColor="text1"/>
              </w:rPr>
            </w:pPr>
            <w:r w:rsidRPr="003A4A83">
              <w:rPr>
                <w:sz w:val="20"/>
                <w:szCs w:val="20"/>
              </w:rPr>
              <w:t xml:space="preserve">$30.84 </w:t>
            </w:r>
          </w:p>
        </w:tc>
        <w:tc>
          <w:tcPr>
            <w:tcW w:w="1958" w:type="dxa"/>
            <w:tcBorders>
              <w:top w:val="nil"/>
              <w:bottom w:val="single" w:sz="4" w:space="0" w:color="auto"/>
              <w:right w:val="single" w:sz="4" w:space="0" w:color="auto"/>
            </w:tcBorders>
            <w:tcMar>
              <w:top w:w="15" w:type="dxa"/>
              <w:left w:w="15" w:type="dxa"/>
              <w:bottom w:w="15" w:type="dxa"/>
              <w:right w:w="15" w:type="dxa"/>
            </w:tcMar>
            <w:vAlign w:val="center"/>
            <w:hideMark/>
          </w:tcPr>
          <w:p w:rsidR="002312F8" w:rsidRPr="003A4A83" w:rsidP="002312F8" w14:paraId="0F8063B8" w14:textId="54725A57">
            <w:pPr>
              <w:pStyle w:val="ListContinue"/>
              <w:spacing w:after="0"/>
              <w:rPr>
                <w:color w:val="000000" w:themeColor="text1"/>
              </w:rPr>
            </w:pPr>
            <w:r w:rsidRPr="003A4A83">
              <w:rPr>
                <w:sz w:val="20"/>
                <w:szCs w:val="20"/>
              </w:rPr>
              <w:t xml:space="preserve">$30.84 </w:t>
            </w:r>
          </w:p>
        </w:tc>
        <w:tc>
          <w:tcPr>
            <w:tcW w:w="1722" w:type="dxa"/>
            <w:tcBorders>
              <w:top w:val="nil"/>
              <w:bottom w:val="single" w:sz="4" w:space="0" w:color="auto"/>
              <w:right w:val="nil"/>
            </w:tcBorders>
            <w:tcMar>
              <w:top w:w="15" w:type="dxa"/>
              <w:left w:w="15" w:type="dxa"/>
              <w:bottom w:w="15" w:type="dxa"/>
              <w:right w:w="15" w:type="dxa"/>
            </w:tcMar>
            <w:vAlign w:val="center"/>
            <w:hideMark/>
          </w:tcPr>
          <w:p w:rsidR="002312F8" w:rsidRPr="003A4A83" w:rsidP="002312F8" w14:paraId="4B7E54EC" w14:textId="42009E10">
            <w:pPr>
              <w:pStyle w:val="ListContinue"/>
              <w:spacing w:after="0"/>
              <w:rPr>
                <w:color w:val="000000" w:themeColor="text1"/>
              </w:rPr>
            </w:pPr>
            <w:r w:rsidRPr="003A4A83">
              <w:rPr>
                <w:sz w:val="20"/>
                <w:szCs w:val="20"/>
              </w:rPr>
              <w:t xml:space="preserve">$61.68 </w:t>
            </w:r>
          </w:p>
        </w:tc>
      </w:tr>
    </w:tbl>
    <w:p w:rsidR="007E5662" w:rsidRPr="003A4A83" w:rsidP="007E5662" w14:paraId="5A0A87D0" w14:textId="77777777">
      <w:pPr>
        <w:pStyle w:val="ListContinue"/>
        <w:spacing w:after="0"/>
        <w:rPr>
          <w:color w:val="000000" w:themeColor="text1"/>
        </w:rPr>
      </w:pPr>
    </w:p>
    <w:p w:rsidR="007E5662" w:rsidRPr="003A4A83" w:rsidP="003B4B3D" w14:paraId="61092E12" w14:textId="4B5EF414">
      <w:pPr>
        <w:pStyle w:val="ListContinue"/>
        <w:spacing w:after="0"/>
        <w:ind w:left="360"/>
        <w:rPr>
          <w:color w:val="000000" w:themeColor="text1"/>
        </w:rPr>
      </w:pPr>
      <w:r w:rsidRPr="003A4A83">
        <w:rPr>
          <w:color w:val="000000" w:themeColor="text1"/>
        </w:rPr>
        <w:t xml:space="preserve">While there is no change in the time </w:t>
      </w:r>
      <w:r w:rsidRPr="003A4A83" w:rsidR="00455625">
        <w:rPr>
          <w:color w:val="000000" w:themeColor="text1"/>
        </w:rPr>
        <w:t xml:space="preserve">required </w:t>
      </w:r>
      <w:r w:rsidRPr="003A4A83">
        <w:rPr>
          <w:color w:val="000000" w:themeColor="text1"/>
        </w:rPr>
        <w:t>to complete an IRF-PAI (105.1 minutes</w:t>
      </w:r>
      <w:r w:rsidRPr="003A4A83" w:rsidR="00455625">
        <w:rPr>
          <w:color w:val="000000" w:themeColor="text1"/>
        </w:rPr>
        <w:t>,</w:t>
      </w:r>
      <w:r w:rsidRPr="003A4A83">
        <w:rPr>
          <w:color w:val="000000" w:themeColor="text1"/>
        </w:rPr>
        <w:t xml:space="preserve"> or 1.75 hours), we estimate that the increase in the number of IRFs will result in a change to the burden.  </w:t>
      </w:r>
      <w:r w:rsidRPr="003A4A83">
        <w:rPr>
          <w:color w:val="000000" w:themeColor="text1"/>
        </w:rPr>
        <w:t>Using FY 202</w:t>
      </w:r>
      <w:r w:rsidRPr="003A4A83" w:rsidR="00EA2D82">
        <w:rPr>
          <w:color w:val="000000" w:themeColor="text1"/>
        </w:rPr>
        <w:t>5</w:t>
      </w:r>
      <w:r w:rsidRPr="003A4A83">
        <w:rPr>
          <w:color w:val="000000" w:themeColor="text1"/>
        </w:rPr>
        <w:t xml:space="preserve"> data, we estimate a total of </w:t>
      </w:r>
      <w:r w:rsidRPr="003A4A83" w:rsidR="00684FE1">
        <w:rPr>
          <w:color w:val="000000" w:themeColor="text1"/>
        </w:rPr>
        <w:t>660,788</w:t>
      </w:r>
      <w:r w:rsidRPr="003A4A83">
        <w:rPr>
          <w:color w:val="000000" w:themeColor="text1"/>
        </w:rPr>
        <w:t xml:space="preserve"> assessments from 1,1</w:t>
      </w:r>
      <w:r w:rsidRPr="003A4A83" w:rsidR="00684FE1">
        <w:rPr>
          <w:color w:val="000000" w:themeColor="text1"/>
        </w:rPr>
        <w:t>75</w:t>
      </w:r>
      <w:r w:rsidRPr="003A4A83">
        <w:rPr>
          <w:color w:val="000000" w:themeColor="text1"/>
        </w:rPr>
        <w:t xml:space="preserve"> IRFs annually</w:t>
      </w:r>
      <w:r w:rsidRPr="003A4A83" w:rsidR="00A45068">
        <w:rPr>
          <w:color w:val="000000" w:themeColor="text1"/>
        </w:rPr>
        <w:t xml:space="preserve">, resulting in </w:t>
      </w:r>
      <w:r w:rsidRPr="003A4A83" w:rsidR="004E2096">
        <w:rPr>
          <w:color w:val="000000" w:themeColor="text1"/>
        </w:rPr>
        <w:t>an hourly burden of 1,15</w:t>
      </w:r>
      <w:r w:rsidRPr="003A4A83" w:rsidR="00282413">
        <w:rPr>
          <w:color w:val="000000" w:themeColor="text1"/>
        </w:rPr>
        <w:t>6</w:t>
      </w:r>
      <w:r w:rsidRPr="003A4A83" w:rsidR="00B218A4">
        <w:rPr>
          <w:color w:val="000000" w:themeColor="text1"/>
        </w:rPr>
        <w:t>,379</w:t>
      </w:r>
      <w:r w:rsidRPr="003A4A83" w:rsidR="00B7643A">
        <w:rPr>
          <w:color w:val="000000" w:themeColor="text1"/>
        </w:rPr>
        <w:t xml:space="preserve"> hours (660,788 assessments x 1.75 hours)</w:t>
      </w:r>
      <w:r w:rsidRPr="003A4A83" w:rsidR="005C2D6E">
        <w:rPr>
          <w:color w:val="000000" w:themeColor="text1"/>
        </w:rPr>
        <w:t xml:space="preserve">, or </w:t>
      </w:r>
      <w:r w:rsidRPr="003A4A83" w:rsidR="00F45E5E">
        <w:rPr>
          <w:color w:val="000000" w:themeColor="text1"/>
        </w:rPr>
        <w:t>985</w:t>
      </w:r>
      <w:r w:rsidRPr="003A4A83" w:rsidR="005C2D6E">
        <w:rPr>
          <w:color w:val="000000" w:themeColor="text1"/>
        </w:rPr>
        <w:t xml:space="preserve"> hours per IRF</w:t>
      </w:r>
      <w:r w:rsidRPr="003A4A83" w:rsidR="00455625">
        <w:rPr>
          <w:color w:val="000000" w:themeColor="text1"/>
        </w:rPr>
        <w:t>.</w:t>
      </w:r>
      <w:r w:rsidRPr="003A4A83">
        <w:rPr>
          <w:color w:val="000000" w:themeColor="text1"/>
        </w:rPr>
        <w:t xml:space="preserve"> Given </w:t>
      </w:r>
      <w:r w:rsidRPr="003A4A83" w:rsidR="00F45E5E">
        <w:rPr>
          <w:color w:val="000000" w:themeColor="text1"/>
        </w:rPr>
        <w:t xml:space="preserve">1,156,379 </w:t>
      </w:r>
      <w:r w:rsidRPr="003A4A83">
        <w:rPr>
          <w:color w:val="000000" w:themeColor="text1"/>
        </w:rPr>
        <w:t xml:space="preserve"> hours at $7</w:t>
      </w:r>
      <w:r w:rsidRPr="003A4A83" w:rsidR="00F45E5E">
        <w:rPr>
          <w:color w:val="000000" w:themeColor="text1"/>
        </w:rPr>
        <w:t>8</w:t>
      </w:r>
      <w:r w:rsidRPr="003A4A83">
        <w:rPr>
          <w:color w:val="000000" w:themeColor="text1"/>
        </w:rPr>
        <w:t>.1</w:t>
      </w:r>
      <w:r w:rsidRPr="003A4A83" w:rsidR="00397B57">
        <w:rPr>
          <w:color w:val="000000" w:themeColor="text1"/>
        </w:rPr>
        <w:t>6</w:t>
      </w:r>
      <w:r w:rsidRPr="003A4A83">
        <w:rPr>
          <w:color w:val="000000" w:themeColor="text1"/>
        </w:rPr>
        <w:t xml:space="preserve"> per hour</w:t>
      </w:r>
      <w:r w:rsidRPr="003A4A83" w:rsidR="000F75F8">
        <w:rPr>
          <w:color w:val="000000" w:themeColor="text1"/>
        </w:rPr>
        <w:t xml:space="preserve">, </w:t>
      </w:r>
      <w:r w:rsidRPr="003A4A83">
        <w:rPr>
          <w:color w:val="000000" w:themeColor="text1"/>
        </w:rPr>
        <w:t xml:space="preserve">we estimate the total cost will be </w:t>
      </w:r>
      <w:r w:rsidRPr="003A4A83" w:rsidR="003053DF">
        <w:rPr>
          <w:color w:val="000000" w:themeColor="text1"/>
        </w:rPr>
        <w:t>$90,382,582.64</w:t>
      </w:r>
      <w:r w:rsidRPr="003A4A83" w:rsidR="00AC0760">
        <w:rPr>
          <w:color w:val="000000" w:themeColor="text1"/>
        </w:rPr>
        <w:t xml:space="preserve"> for all IRFs annually, or </w:t>
      </w:r>
      <w:r w:rsidRPr="003A4A83" w:rsidR="00455625">
        <w:rPr>
          <w:color w:val="000000" w:themeColor="text1"/>
        </w:rPr>
        <w:t xml:space="preserve">$76,921.35 per IRF. </w:t>
      </w:r>
    </w:p>
    <w:p w:rsidR="002314C8" w:rsidRPr="003A4A83" w:rsidP="007E5662" w14:paraId="38395DE1" w14:textId="77777777">
      <w:pPr>
        <w:pStyle w:val="ListContinue"/>
        <w:spacing w:after="0"/>
        <w:rPr>
          <w:color w:val="000000" w:themeColor="text1"/>
        </w:rPr>
      </w:pPr>
    </w:p>
    <w:p w:rsidR="00D90BD3" w:rsidRPr="003A4A83" w:rsidP="4C372AC2" w14:paraId="0BD34573" w14:textId="77777777">
      <w:pPr>
        <w:pStyle w:val="ListContinue"/>
        <w:spacing w:after="0"/>
        <w:ind w:left="0"/>
        <w:rPr>
          <w:color w:val="000000" w:themeColor="text1"/>
        </w:rPr>
      </w:pPr>
    </w:p>
    <w:p w:rsidR="00212C61" w:rsidRPr="003A4A83" w:rsidP="009F03D6" w14:paraId="431C15E8" w14:textId="77777777">
      <w:pPr>
        <w:pStyle w:val="ListContinue"/>
        <w:keepNext/>
        <w:ind w:left="360"/>
        <w:rPr>
          <w:b/>
          <w:bCs/>
          <w:color w:val="000000" w:themeColor="text1"/>
          <w:u w:val="single"/>
        </w:rPr>
      </w:pPr>
      <w:r w:rsidRPr="003A4A83">
        <w:rPr>
          <w:b/>
          <w:bCs/>
          <w:color w:val="000000" w:themeColor="text1"/>
          <w:u w:val="single"/>
        </w:rPr>
        <w:t>Burden Hours and Cost Calculation for IRF-PAI V4.</w:t>
      </w:r>
      <w:r w:rsidRPr="003A4A83" w:rsidR="0076526A">
        <w:rPr>
          <w:b/>
          <w:bCs/>
          <w:color w:val="000000" w:themeColor="text1"/>
          <w:u w:val="single"/>
        </w:rPr>
        <w:t>4</w:t>
      </w:r>
      <w:r w:rsidRPr="003A4A83">
        <w:rPr>
          <w:b/>
          <w:bCs/>
          <w:color w:val="000000" w:themeColor="text1"/>
          <w:u w:val="single"/>
        </w:rPr>
        <w:t xml:space="preserve"> for the FY 202</w:t>
      </w:r>
      <w:r w:rsidRPr="003A4A83" w:rsidR="00001983">
        <w:rPr>
          <w:b/>
          <w:bCs/>
          <w:color w:val="000000" w:themeColor="text1"/>
          <w:u w:val="single"/>
        </w:rPr>
        <w:t>8</w:t>
      </w:r>
      <w:r w:rsidRPr="003A4A83">
        <w:rPr>
          <w:b/>
          <w:bCs/>
          <w:color w:val="000000" w:themeColor="text1"/>
          <w:u w:val="single"/>
        </w:rPr>
        <w:t xml:space="preserve"> IRF QRP:</w:t>
      </w:r>
    </w:p>
    <w:tbl>
      <w:tblPr>
        <w:tblStyle w:val="TableGrid"/>
        <w:tblCaption w:val="Burden Hours and Cost Calculation for IRF-PAI V4.4 for the FY 2028 IRF QRP"/>
        <w:tblDescription w:val="Burden Hours and Cost Calculation for IRF-PAI V4.4 for the FY 2028 IRF QRP; 2 columns and 7 rows including header row; from left to right: Average number of IRFs in U.S. in 2025, 1,175"/>
        <w:tblW w:w="0" w:type="auto"/>
        <w:tblInd w:w="445" w:type="dxa"/>
        <w:tblLook w:val="04A0"/>
      </w:tblPr>
      <w:tblGrid>
        <w:gridCol w:w="6599"/>
        <w:gridCol w:w="2306"/>
      </w:tblGrid>
      <w:tr w14:paraId="00A58F79" w14:textId="77777777" w:rsidTr="601E5EAE">
        <w:tblPrEx>
          <w:tblW w:w="0" w:type="auto"/>
          <w:tblInd w:w="445" w:type="dxa"/>
          <w:tblLook w:val="04A0"/>
        </w:tblPrEx>
        <w:trPr>
          <w:trHeight w:val="300"/>
        </w:trPr>
        <w:tc>
          <w:tcPr>
            <w:tcW w:w="6599" w:type="dxa"/>
          </w:tcPr>
          <w:p w:rsidR="00212C61" w:rsidRPr="003A4A83" w:rsidP="00212C61" w14:paraId="278149E9" w14:textId="1DB6E328">
            <w:pPr>
              <w:pStyle w:val="ListContinue"/>
              <w:spacing w:after="0"/>
              <w:ind w:left="0"/>
              <w:rPr>
                <w:color w:val="000000" w:themeColor="text1"/>
              </w:rPr>
            </w:pPr>
            <w:r w:rsidRPr="003A4A83">
              <w:rPr>
                <w:color w:val="000000" w:themeColor="text1"/>
              </w:rPr>
              <w:t>Average number of IRFs in U.S. in 202</w:t>
            </w:r>
            <w:r w:rsidRPr="003A4A83" w:rsidR="005C178E">
              <w:rPr>
                <w:color w:val="000000" w:themeColor="text1"/>
              </w:rPr>
              <w:t>5</w:t>
            </w:r>
            <w:r>
              <w:rPr>
                <w:rStyle w:val="FootnoteReference"/>
                <w:color w:val="auto"/>
                <w:u w:val="none"/>
              </w:rPr>
              <w:footnoteReference w:id="10"/>
            </w:r>
          </w:p>
        </w:tc>
        <w:tc>
          <w:tcPr>
            <w:tcW w:w="2306" w:type="dxa"/>
          </w:tcPr>
          <w:p w:rsidR="00212C61" w:rsidRPr="003A4A83" w:rsidP="00212C61" w14:paraId="25FD4750" w14:textId="7304EEC3">
            <w:pPr>
              <w:pStyle w:val="ListContinue"/>
              <w:spacing w:after="0"/>
              <w:ind w:left="0"/>
              <w:jc w:val="right"/>
              <w:rPr>
                <w:color w:val="000000" w:themeColor="text1"/>
              </w:rPr>
            </w:pPr>
            <w:r w:rsidRPr="003A4A83">
              <w:rPr>
                <w:color w:val="000000" w:themeColor="text1"/>
              </w:rPr>
              <w:t xml:space="preserve">    1,1</w:t>
            </w:r>
            <w:r w:rsidRPr="003A4A83" w:rsidR="007F76DD">
              <w:rPr>
                <w:color w:val="000000" w:themeColor="text1"/>
              </w:rPr>
              <w:t>75</w:t>
            </w:r>
          </w:p>
        </w:tc>
      </w:tr>
      <w:tr w14:paraId="59F5D6B2" w14:textId="77777777" w:rsidTr="601E5EAE">
        <w:tblPrEx>
          <w:tblW w:w="0" w:type="auto"/>
          <w:tblInd w:w="445" w:type="dxa"/>
          <w:tblLook w:val="04A0"/>
        </w:tblPrEx>
        <w:trPr>
          <w:trHeight w:val="300"/>
        </w:trPr>
        <w:tc>
          <w:tcPr>
            <w:tcW w:w="6599" w:type="dxa"/>
          </w:tcPr>
          <w:p w:rsidR="00212C61" w:rsidRPr="003A4A83" w:rsidP="00212C61" w14:paraId="6A7DCC67" w14:textId="77777777">
            <w:pPr>
              <w:pStyle w:val="ListContinue"/>
              <w:spacing w:after="0"/>
              <w:ind w:left="0"/>
              <w:rPr>
                <w:color w:val="000000" w:themeColor="text1"/>
              </w:rPr>
            </w:pPr>
            <w:r w:rsidRPr="003A4A83">
              <w:rPr>
                <w:color w:val="000000" w:themeColor="text1"/>
              </w:rPr>
              <w:t>Average number of IRF-PAI admission reports submitted per each IRF for the FY 202</w:t>
            </w:r>
            <w:r w:rsidRPr="003A4A83" w:rsidR="00001983">
              <w:rPr>
                <w:color w:val="000000" w:themeColor="text1"/>
              </w:rPr>
              <w:t>6</w:t>
            </w:r>
            <w:r w:rsidRPr="003A4A83">
              <w:rPr>
                <w:color w:val="000000" w:themeColor="text1"/>
              </w:rPr>
              <w:t xml:space="preserve"> IRF QRP</w:t>
            </w:r>
          </w:p>
        </w:tc>
        <w:tc>
          <w:tcPr>
            <w:tcW w:w="2306" w:type="dxa"/>
            <w:vAlign w:val="center"/>
          </w:tcPr>
          <w:p w:rsidR="00212C61" w:rsidRPr="003A4A83" w:rsidP="00212C61" w14:paraId="77177524" w14:textId="1F4892F2">
            <w:pPr>
              <w:pStyle w:val="ListContinue"/>
              <w:spacing w:after="0"/>
              <w:ind w:left="0"/>
              <w:jc w:val="right"/>
              <w:rPr>
                <w:color w:val="000000" w:themeColor="text1"/>
              </w:rPr>
            </w:pPr>
            <w:r w:rsidRPr="003A4A83">
              <w:rPr>
                <w:color w:val="000000" w:themeColor="text1"/>
              </w:rPr>
              <w:t>560</w:t>
            </w:r>
          </w:p>
        </w:tc>
      </w:tr>
      <w:tr w14:paraId="21803AB9" w14:textId="77777777" w:rsidTr="601E5EAE">
        <w:tblPrEx>
          <w:tblW w:w="0" w:type="auto"/>
          <w:tblInd w:w="445" w:type="dxa"/>
          <w:tblLook w:val="04A0"/>
        </w:tblPrEx>
        <w:trPr>
          <w:trHeight w:val="300"/>
        </w:trPr>
        <w:tc>
          <w:tcPr>
            <w:tcW w:w="6599" w:type="dxa"/>
          </w:tcPr>
          <w:p w:rsidR="00212C61" w:rsidRPr="003A4A83" w:rsidP="00212C61" w14:paraId="473A44CD" w14:textId="77777777">
            <w:pPr>
              <w:pStyle w:val="ListContinue"/>
              <w:spacing w:after="0"/>
              <w:ind w:left="0"/>
              <w:rPr>
                <w:color w:val="000000" w:themeColor="text1"/>
              </w:rPr>
            </w:pPr>
            <w:r w:rsidRPr="003A4A83">
              <w:rPr>
                <w:color w:val="000000" w:themeColor="text1"/>
              </w:rPr>
              <w:t>Average number of IRF-PAI admission reports submitted for all IRFs for the FY 202</w:t>
            </w:r>
            <w:r w:rsidRPr="003A4A83" w:rsidR="00001983">
              <w:rPr>
                <w:color w:val="000000" w:themeColor="text1"/>
              </w:rPr>
              <w:t>6</w:t>
            </w:r>
            <w:r w:rsidRPr="003A4A83">
              <w:rPr>
                <w:color w:val="000000" w:themeColor="text1"/>
              </w:rPr>
              <w:t xml:space="preserve"> IRF QRP</w:t>
            </w:r>
          </w:p>
        </w:tc>
        <w:tc>
          <w:tcPr>
            <w:tcW w:w="2306" w:type="dxa"/>
            <w:vAlign w:val="center"/>
          </w:tcPr>
          <w:p w:rsidR="00212C61" w:rsidRPr="003A4A83" w14:paraId="216E5A05" w14:textId="3E3A1B2A">
            <w:pPr>
              <w:pStyle w:val="ListContinue"/>
              <w:spacing w:after="0"/>
              <w:ind w:left="0"/>
              <w:jc w:val="right"/>
              <w:rPr>
                <w:color w:val="000000" w:themeColor="text1"/>
              </w:rPr>
            </w:pPr>
            <w:r w:rsidRPr="003A4A83">
              <w:rPr>
                <w:color w:val="000000" w:themeColor="text1"/>
              </w:rPr>
              <w:t>660,788</w:t>
            </w:r>
          </w:p>
        </w:tc>
      </w:tr>
      <w:tr w14:paraId="0AE3280F" w14:textId="77777777" w:rsidTr="601E5EAE">
        <w:tblPrEx>
          <w:tblW w:w="0" w:type="auto"/>
          <w:tblInd w:w="445" w:type="dxa"/>
          <w:tblLook w:val="04A0"/>
        </w:tblPrEx>
        <w:trPr>
          <w:trHeight w:val="300"/>
        </w:trPr>
        <w:tc>
          <w:tcPr>
            <w:tcW w:w="6599" w:type="dxa"/>
          </w:tcPr>
          <w:p w:rsidR="00212C61" w:rsidRPr="003A4A83" w:rsidP="00212C61" w14:paraId="4F599AEE" w14:textId="77777777">
            <w:pPr>
              <w:pStyle w:val="ListContinue"/>
              <w:spacing w:after="0"/>
              <w:ind w:left="0"/>
              <w:rPr>
                <w:color w:val="000000" w:themeColor="text1"/>
              </w:rPr>
            </w:pPr>
            <w:r w:rsidRPr="003A4A83">
              <w:rPr>
                <w:color w:val="000000" w:themeColor="text1"/>
              </w:rPr>
              <w:t>Minutes to complete each IRF-PAI</w:t>
            </w:r>
          </w:p>
        </w:tc>
        <w:tc>
          <w:tcPr>
            <w:tcW w:w="2306" w:type="dxa"/>
            <w:vAlign w:val="center"/>
          </w:tcPr>
          <w:p w:rsidR="00212C61" w:rsidRPr="003A4A83" w:rsidP="00212C61" w14:paraId="3B99807E" w14:textId="77777777">
            <w:pPr>
              <w:pStyle w:val="ListContinue"/>
              <w:spacing w:after="0"/>
              <w:ind w:left="0"/>
              <w:jc w:val="right"/>
              <w:rPr>
                <w:color w:val="000000" w:themeColor="text1"/>
              </w:rPr>
            </w:pPr>
            <w:r w:rsidRPr="003A4A83">
              <w:rPr>
                <w:color w:val="000000" w:themeColor="text1"/>
              </w:rPr>
              <w:t>10</w:t>
            </w:r>
            <w:r w:rsidRPr="003A4A83" w:rsidR="19457065">
              <w:rPr>
                <w:color w:val="000000" w:themeColor="text1"/>
              </w:rPr>
              <w:t>5</w:t>
            </w:r>
            <w:r w:rsidRPr="003A4A83" w:rsidR="25305221">
              <w:rPr>
                <w:color w:val="000000" w:themeColor="text1"/>
              </w:rPr>
              <w:t>.</w:t>
            </w:r>
            <w:r w:rsidRPr="003A4A83" w:rsidR="4974FB36">
              <w:rPr>
                <w:color w:val="000000" w:themeColor="text1"/>
              </w:rPr>
              <w:t>1</w:t>
            </w:r>
          </w:p>
        </w:tc>
      </w:tr>
      <w:tr w14:paraId="30645586" w14:textId="77777777" w:rsidTr="601E5EAE">
        <w:tblPrEx>
          <w:tblW w:w="0" w:type="auto"/>
          <w:tblInd w:w="445" w:type="dxa"/>
          <w:tblLook w:val="04A0"/>
        </w:tblPrEx>
        <w:trPr>
          <w:trHeight w:val="300"/>
        </w:trPr>
        <w:tc>
          <w:tcPr>
            <w:tcW w:w="6599" w:type="dxa"/>
            <w:shd w:val="clear" w:color="auto" w:fill="000000" w:themeFill="text1"/>
          </w:tcPr>
          <w:p w:rsidR="00212C61" w:rsidRPr="003A4A83" w:rsidP="00212C61" w14:paraId="1C917085" w14:textId="77777777">
            <w:pPr>
              <w:pStyle w:val="ListContinue"/>
              <w:spacing w:after="0"/>
              <w:ind w:left="0"/>
              <w:rPr>
                <w:color w:val="000000" w:themeColor="text1"/>
                <w:sz w:val="10"/>
              </w:rPr>
            </w:pPr>
          </w:p>
        </w:tc>
        <w:tc>
          <w:tcPr>
            <w:tcW w:w="2306" w:type="dxa"/>
            <w:shd w:val="clear" w:color="auto" w:fill="000000" w:themeFill="text1"/>
          </w:tcPr>
          <w:p w:rsidR="00212C61" w:rsidRPr="003A4A83" w:rsidP="00212C61" w14:paraId="12967071" w14:textId="77777777">
            <w:pPr>
              <w:pStyle w:val="ListContinue"/>
              <w:spacing w:after="0"/>
              <w:ind w:left="0"/>
              <w:rPr>
                <w:color w:val="000000" w:themeColor="text1"/>
                <w:sz w:val="10"/>
              </w:rPr>
            </w:pPr>
          </w:p>
        </w:tc>
      </w:tr>
      <w:tr w14:paraId="05CDD85A" w14:textId="77777777" w:rsidTr="601E5EAE">
        <w:tblPrEx>
          <w:tblW w:w="0" w:type="auto"/>
          <w:tblInd w:w="445" w:type="dxa"/>
          <w:tblLook w:val="04A0"/>
        </w:tblPrEx>
        <w:trPr>
          <w:trHeight w:val="300"/>
        </w:trPr>
        <w:tc>
          <w:tcPr>
            <w:tcW w:w="6599" w:type="dxa"/>
          </w:tcPr>
          <w:p w:rsidR="00212C61" w:rsidRPr="003A4A83" w:rsidP="00212C61" w14:paraId="1431D18B" w14:textId="77777777">
            <w:pPr>
              <w:pStyle w:val="ListContinue"/>
              <w:spacing w:after="0"/>
              <w:ind w:left="0"/>
              <w:rPr>
                <w:color w:val="000000" w:themeColor="text1"/>
              </w:rPr>
            </w:pPr>
            <w:r w:rsidRPr="003A4A83">
              <w:rPr>
                <w:color w:val="000000" w:themeColor="text1"/>
              </w:rPr>
              <w:t>Previous Cost Burden for all IRFs per year</w:t>
            </w:r>
          </w:p>
        </w:tc>
        <w:tc>
          <w:tcPr>
            <w:tcW w:w="2306" w:type="dxa"/>
          </w:tcPr>
          <w:p w:rsidR="00212C61" w:rsidRPr="003A4A83" w:rsidP="4C372AC2" w14:paraId="56408F7F" w14:textId="77777777">
            <w:pPr>
              <w:pStyle w:val="ListContinue"/>
              <w:spacing w:after="0"/>
              <w:ind w:left="0"/>
              <w:jc w:val="right"/>
              <w:rPr>
                <w:color w:val="000000" w:themeColor="text1"/>
              </w:rPr>
            </w:pPr>
            <w:r w:rsidRPr="003A4A83">
              <w:rPr>
                <w:color w:val="000000" w:themeColor="text1"/>
              </w:rPr>
              <w:t>$</w:t>
            </w:r>
            <w:r w:rsidRPr="003A4A83" w:rsidR="00B3709A">
              <w:rPr>
                <w:color w:val="000000" w:themeColor="text1"/>
              </w:rPr>
              <w:t xml:space="preserve">82,921,473.96 </w:t>
            </w:r>
          </w:p>
        </w:tc>
      </w:tr>
      <w:tr w14:paraId="6495A067" w14:textId="77777777" w:rsidTr="601E5EAE">
        <w:tblPrEx>
          <w:tblW w:w="0" w:type="auto"/>
          <w:tblInd w:w="445" w:type="dxa"/>
          <w:tblLook w:val="04A0"/>
        </w:tblPrEx>
        <w:trPr>
          <w:trHeight w:val="300"/>
        </w:trPr>
        <w:tc>
          <w:tcPr>
            <w:tcW w:w="6599" w:type="dxa"/>
          </w:tcPr>
          <w:p w:rsidR="00212C61" w:rsidRPr="003A4A83" w:rsidP="00212C61" w14:paraId="44F1A6AC" w14:textId="77777777">
            <w:pPr>
              <w:pStyle w:val="ListContinue"/>
              <w:spacing w:after="0"/>
              <w:ind w:left="0"/>
              <w:rPr>
                <w:color w:val="000000" w:themeColor="text1"/>
              </w:rPr>
            </w:pPr>
            <w:r w:rsidRPr="003A4A83">
              <w:rPr>
                <w:color w:val="000000" w:themeColor="text1"/>
              </w:rPr>
              <w:t>New Cost Burden for all IRFs beginning with the FY 2028 IRF QRP</w:t>
            </w:r>
          </w:p>
        </w:tc>
        <w:tc>
          <w:tcPr>
            <w:tcW w:w="2306" w:type="dxa"/>
          </w:tcPr>
          <w:p w:rsidR="00212C61" w:rsidRPr="003A4A83" w:rsidP="4C372AC2" w14:paraId="180DCD9C" w14:textId="7C43EDB9">
            <w:pPr>
              <w:pStyle w:val="ListContinue"/>
              <w:spacing w:after="0"/>
              <w:ind w:left="0"/>
              <w:jc w:val="right"/>
              <w:rPr>
                <w:color w:val="000000" w:themeColor="text1"/>
              </w:rPr>
            </w:pPr>
            <w:r w:rsidRPr="003A4A83">
              <w:rPr>
                <w:color w:val="000000" w:themeColor="text1"/>
              </w:rPr>
              <w:t xml:space="preserve">$90,382,582.64 </w:t>
            </w:r>
          </w:p>
        </w:tc>
      </w:tr>
    </w:tbl>
    <w:p w:rsidR="000F5372" w:rsidRPr="003A4A83" w:rsidP="003B486F" w14:paraId="5B377B3D" w14:textId="77777777">
      <w:pPr>
        <w:pStyle w:val="ListContinue"/>
        <w:ind w:left="360"/>
        <w:rPr>
          <w:color w:val="000000" w:themeColor="text1"/>
        </w:rPr>
      </w:pPr>
    </w:p>
    <w:p w:rsidR="003B486F" w:rsidRPr="003A4A83" w:rsidP="003B486F" w14:paraId="7C63D78E" w14:textId="093AD0DF">
      <w:pPr>
        <w:pStyle w:val="Heading2"/>
      </w:pPr>
      <w:bookmarkStart w:id="59" w:name="_Toc89079490"/>
      <w:bookmarkStart w:id="60" w:name="_Toc94773743"/>
      <w:bookmarkStart w:id="61" w:name="_Toc226541988"/>
      <w:r w:rsidRPr="003A4A83">
        <w:t>Capital Costs</w:t>
      </w:r>
      <w:bookmarkEnd w:id="59"/>
      <w:bookmarkEnd w:id="60"/>
      <w:bookmarkEnd w:id="61"/>
    </w:p>
    <w:p w:rsidR="003B486F" w:rsidRPr="003A4A83" w:rsidP="003B486F" w14:paraId="1D5167D0" w14:textId="77777777">
      <w:pPr>
        <w:pStyle w:val="ListContinueBody"/>
        <w:ind w:left="360"/>
        <w:rPr>
          <w:color w:val="000000" w:themeColor="text1"/>
        </w:rPr>
      </w:pPr>
      <w:r w:rsidRPr="003A4A83">
        <w:rPr>
          <w:color w:val="000000" w:themeColor="text1"/>
        </w:rPr>
        <w:t>There are no capital costs.</w:t>
      </w:r>
    </w:p>
    <w:p w:rsidR="003B486F" w:rsidRPr="003A4A83" w:rsidP="003B486F" w14:paraId="5708488A" w14:textId="52278E59">
      <w:pPr>
        <w:pStyle w:val="Heading2"/>
      </w:pPr>
      <w:bookmarkStart w:id="62" w:name="_Toc89079491"/>
      <w:bookmarkStart w:id="63" w:name="_Toc94773744"/>
      <w:bookmarkStart w:id="64" w:name="_Toc226541989"/>
      <w:r w:rsidRPr="003A4A83">
        <w:t>Cost to Federal Government</w:t>
      </w:r>
      <w:bookmarkEnd w:id="62"/>
      <w:bookmarkEnd w:id="63"/>
      <w:bookmarkEnd w:id="64"/>
    </w:p>
    <w:p w:rsidR="003B486F" w:rsidRPr="003A4A83" w:rsidP="003B486F" w14:paraId="73D3B5E3" w14:textId="5607E0E4">
      <w:pPr>
        <w:pStyle w:val="ListContinueBody"/>
        <w:ind w:left="360"/>
        <w:rPr>
          <w:color w:val="000000" w:themeColor="text1"/>
        </w:rPr>
      </w:pPr>
      <w:r w:rsidRPr="003A4A83">
        <w:rPr>
          <w:color w:val="000000" w:themeColor="text1"/>
        </w:rPr>
        <w:t xml:space="preserve">The Department of Health &amp; Human Services (DHHS) will incur costs associated with the administration of the IRF </w:t>
      </w:r>
      <w:r w:rsidRPr="003A4A83" w:rsidR="001078CD">
        <w:rPr>
          <w:color w:val="000000" w:themeColor="text1"/>
        </w:rPr>
        <w:t xml:space="preserve">QRP </w:t>
      </w:r>
      <w:r w:rsidRPr="003A4A83">
        <w:rPr>
          <w:color w:val="000000" w:themeColor="text1"/>
        </w:rPr>
        <w:t>including costs associated with the IT system used to process IRF submissions to CMS and analysis of the data received.</w:t>
      </w:r>
      <w:r w:rsidRPr="003A4A83">
        <w:rPr>
          <w:b/>
          <w:color w:val="000000" w:themeColor="text1"/>
        </w:rPr>
        <w:t xml:space="preserve"> </w:t>
      </w:r>
    </w:p>
    <w:p w:rsidR="003B486F" w:rsidRPr="003A4A83" w:rsidP="003B486F" w14:paraId="1BF5CAEA" w14:textId="5503C5F8">
      <w:pPr>
        <w:pStyle w:val="ListContinueBody"/>
        <w:ind w:left="360"/>
        <w:rPr>
          <w:color w:val="000000" w:themeColor="text1"/>
        </w:rPr>
      </w:pPr>
      <w:r w:rsidRPr="003A4A83">
        <w:rPr>
          <w:color w:val="000000" w:themeColor="text1"/>
        </w:rPr>
        <w:t xml:space="preserve">CMS has engaged the services of an in-house CMS contractor to create and manage an online reporting/IT platform for the IRF-PAI. This contractor works with the CMS Center for Clinical Standards and Quality, Division of Post-Acute and Chronic Care (DCPAC) </w:t>
      </w:r>
      <w:r w:rsidRPr="003A4A83" w:rsidR="00893843">
        <w:rPr>
          <w:color w:val="000000" w:themeColor="text1"/>
        </w:rPr>
        <w:t>to</w:t>
      </w:r>
      <w:r w:rsidRPr="003A4A83">
        <w:rPr>
          <w:color w:val="000000" w:themeColor="text1"/>
        </w:rPr>
        <w:t xml:space="preserve"> support the IT needs of multiple quality reporting programs. When IRF providers transmit the data contained within the IRF-PAI to CMS it is received by this contractor. Upon receipt of all data sets for each quarter the contractor performs some basic analysis which helps to determine each provider’s compliance with the reporting requirements of the IRF QRP. The findings are communicated to the IRF QRP lead in a report. Contractor costs include the development, testing,</w:t>
      </w:r>
      <w:r w:rsidRPr="003A4A83" w:rsidR="00AF5DF7">
        <w:rPr>
          <w:color w:val="000000" w:themeColor="text1"/>
        </w:rPr>
        <w:t xml:space="preserve"> and</w:t>
      </w:r>
      <w:r w:rsidRPr="003A4A83">
        <w:rPr>
          <w:color w:val="000000" w:themeColor="text1"/>
        </w:rPr>
        <w:t xml:space="preserve"> roll-out</w:t>
      </w:r>
      <w:r w:rsidRPr="003A4A83" w:rsidR="00AF5DF7">
        <w:rPr>
          <w:color w:val="000000" w:themeColor="text1"/>
        </w:rPr>
        <w:t xml:space="preserve"> of updates to data submission systems.</w:t>
      </w:r>
      <w:r w:rsidRPr="003A4A83">
        <w:rPr>
          <w:color w:val="000000" w:themeColor="text1"/>
        </w:rPr>
        <w:t xml:space="preserve"> </w:t>
      </w:r>
    </w:p>
    <w:p w:rsidR="003B486F" w:rsidRPr="003A4A83" w:rsidP="003B486F" w14:paraId="3F7639D1" w14:textId="77777777">
      <w:pPr>
        <w:pStyle w:val="ListContinueBody"/>
        <w:ind w:left="360"/>
        <w:rPr>
          <w:color w:val="000000" w:themeColor="text1"/>
        </w:rPr>
      </w:pPr>
      <w:r w:rsidRPr="003A4A83">
        <w:rPr>
          <w:color w:val="000000" w:themeColor="text1"/>
        </w:rPr>
        <w:t xml:space="preserve">DCPAC </w:t>
      </w:r>
      <w:r w:rsidRPr="003A4A83">
        <w:rPr>
          <w:color w:val="000000" w:themeColor="text1"/>
        </w:rPr>
        <w:t>had also retained</w:t>
      </w:r>
      <w:r w:rsidRPr="003A4A83">
        <w:rPr>
          <w:color w:val="000000" w:themeColor="text1"/>
        </w:rPr>
        <w:t xml:space="preserve"> the services of a separate contractor for the purpose of performing a more in-depth analysis of the IRF quality data, as well as the calculation of the quality measures, and future public reporting of the IRF quality data. Said </w:t>
      </w:r>
      <w:r w:rsidRPr="003A4A83">
        <w:rPr>
          <w:color w:val="000000" w:themeColor="text1"/>
        </w:rPr>
        <w:t>contractor</w:t>
      </w:r>
      <w:r w:rsidRPr="003A4A83">
        <w:rPr>
          <w:color w:val="000000" w:themeColor="text1"/>
        </w:rPr>
        <w:t xml:space="preserve"> will be responsible for obtaining the IRF quality reporting data from the in-house CMS contractor. They will perform statistical analysis on this data and prepare reports of their findings, which will be submitted to the IRF QRP lead.</w:t>
      </w:r>
    </w:p>
    <w:p w:rsidR="003B486F" w:rsidRPr="003A4A83" w:rsidP="003B486F" w14:paraId="3594D35B" w14:textId="77777777">
      <w:pPr>
        <w:pStyle w:val="ListContinueBody"/>
        <w:ind w:left="360"/>
        <w:rPr>
          <w:color w:val="000000" w:themeColor="text1"/>
        </w:rPr>
      </w:pPr>
      <w:r w:rsidRPr="003A4A83">
        <w:rPr>
          <w:color w:val="000000" w:themeColor="text1"/>
        </w:rPr>
        <w:t xml:space="preserve">DCPAC has retained the services of a third contractor to assist us with provider training and support services related to the IRF QRP. </w:t>
      </w:r>
    </w:p>
    <w:p w:rsidR="003B486F" w:rsidRPr="003A4A83" w:rsidP="00931FD1" w14:paraId="297D0807" w14:textId="6E7A0DB7">
      <w:pPr>
        <w:spacing w:after="160" w:line="259" w:lineRule="auto"/>
        <w:rPr>
          <w:color w:val="000000" w:themeColor="text1"/>
        </w:rPr>
      </w:pPr>
      <w:r w:rsidRPr="003A4A83">
        <w:rPr>
          <w:color w:val="000000" w:themeColor="text1"/>
        </w:rPr>
        <w:t>In addition to the contractor costs, the total includes the cost of the following Federal employees:</w:t>
      </w:r>
    </w:p>
    <w:p w:rsidR="00282C66" w:rsidRPr="003A4A83" w:rsidP="00282C66" w14:paraId="3B89B26C" w14:textId="0CCEAD5D">
      <w:pPr>
        <w:numPr>
          <w:ilvl w:val="0"/>
          <w:numId w:val="20"/>
        </w:numPr>
        <w:rPr>
          <w:rFonts w:eastAsia="Calibri" w:cs="Arial"/>
          <w:sz w:val="22"/>
          <w:szCs w:val="22"/>
        </w:rPr>
      </w:pPr>
      <w:bookmarkStart w:id="65" w:name="_Hlk135081455"/>
      <w:r w:rsidRPr="003A4A83">
        <w:rPr>
          <w:rFonts w:eastAsia="Calibri" w:cs="Arial"/>
          <w:sz w:val="22"/>
          <w:szCs w:val="22"/>
        </w:rPr>
        <w:t xml:space="preserve">GS-13 (locality pay area of Washington-Baltimore-Northern Virginia) at 100% effort for 3 years, or $365,355, or $121,785 annually. </w:t>
      </w:r>
    </w:p>
    <w:p w:rsidR="00282C66" w:rsidRPr="003A4A83" w:rsidP="00282C66" w14:paraId="2C8EAECE" w14:textId="1EF7C7E2">
      <w:pPr>
        <w:numPr>
          <w:ilvl w:val="0"/>
          <w:numId w:val="20"/>
        </w:numPr>
        <w:rPr>
          <w:rFonts w:eastAsia="Calibri" w:cs="Arial"/>
          <w:sz w:val="22"/>
          <w:szCs w:val="22"/>
        </w:rPr>
      </w:pPr>
      <w:r w:rsidRPr="003A4A83">
        <w:rPr>
          <w:rFonts w:eastAsia="Calibri" w:cs="Arial"/>
          <w:sz w:val="22"/>
          <w:szCs w:val="22"/>
        </w:rPr>
        <w:t xml:space="preserve">GS-14 (locality pay area of Washington-Baltimore-Northern Virginia) at 33% effort for 3 years, or $143,913, or $47,971 annually. </w:t>
      </w:r>
    </w:p>
    <w:bookmarkEnd w:id="65"/>
    <w:p w:rsidR="003B486F" w:rsidRPr="003A4A83" w:rsidP="003B486F" w14:paraId="7D5813A9" w14:textId="77777777">
      <w:pPr>
        <w:pStyle w:val="ListContinueBody"/>
        <w:spacing w:before="160"/>
        <w:ind w:left="360"/>
        <w:rPr>
          <w:color w:val="000000" w:themeColor="text1"/>
        </w:rPr>
      </w:pPr>
      <w:r w:rsidRPr="003A4A83">
        <w:rPr>
          <w:color w:val="000000" w:themeColor="text1"/>
        </w:rPr>
        <w:t>The estimated cost to the federal government for the contractor is as follows:</w:t>
      </w:r>
    </w:p>
    <w:p w:rsidR="00B063FC" w:rsidRPr="003A4A83" w:rsidP="007C6750" w14:paraId="5C4CECA4" w14:textId="77777777">
      <w:pPr>
        <w:tabs>
          <w:tab w:val="left" w:pos="720"/>
          <w:tab w:val="left" w:pos="8640"/>
        </w:tabs>
        <w:rPr>
          <w:rFonts w:eastAsia="Calibri" w:cs="Arial"/>
          <w:sz w:val="22"/>
          <w:szCs w:val="22"/>
        </w:rPr>
      </w:pPr>
    </w:p>
    <w:p w:rsidR="007C6750" w:rsidRPr="003A4A83" w:rsidP="007C6750" w14:paraId="685F0D59" w14:textId="0E1F38B5">
      <w:pPr>
        <w:tabs>
          <w:tab w:val="left" w:pos="720"/>
          <w:tab w:val="left" w:pos="8640"/>
        </w:tabs>
        <w:rPr>
          <w:rFonts w:eastAsia="Calibri" w:cs="Arial"/>
          <w:sz w:val="22"/>
          <w:szCs w:val="22"/>
        </w:rPr>
      </w:pPr>
      <w:r w:rsidRPr="003A4A83">
        <w:rPr>
          <w:rFonts w:eastAsia="Calibri" w:cs="Arial"/>
          <w:sz w:val="22"/>
          <w:szCs w:val="22"/>
        </w:rPr>
        <w:tab/>
      </w:r>
      <w:r w:rsidRPr="003A4A83">
        <w:rPr>
          <w:rFonts w:eastAsia="Calibri" w:cs="Arial"/>
          <w:sz w:val="22"/>
          <w:szCs w:val="22"/>
        </w:rPr>
        <w:t>CMS in-house contractor – Maintenance and support of IT platform that</w:t>
      </w:r>
    </w:p>
    <w:p w:rsidR="007C6750" w:rsidRPr="003A4A83" w:rsidP="007C6750" w14:paraId="218FF28A" w14:textId="2CD131F2">
      <w:pPr>
        <w:tabs>
          <w:tab w:val="left" w:pos="720"/>
          <w:tab w:val="left" w:leader="dot" w:pos="8640"/>
        </w:tabs>
        <w:rPr>
          <w:rFonts w:eastAsia="Calibri" w:cs="Arial"/>
          <w:sz w:val="22"/>
          <w:szCs w:val="22"/>
        </w:rPr>
      </w:pPr>
      <w:r w:rsidRPr="003A4A83">
        <w:rPr>
          <w:rFonts w:eastAsia="Calibri" w:cs="Arial"/>
          <w:sz w:val="22"/>
          <w:szCs w:val="22"/>
        </w:rPr>
        <w:tab/>
        <w:t xml:space="preserve">Supports the </w:t>
      </w:r>
      <w:r w:rsidRPr="003A4A83" w:rsidR="00547F1A">
        <w:rPr>
          <w:rFonts w:eastAsia="Calibri" w:cs="Arial"/>
          <w:sz w:val="22"/>
          <w:szCs w:val="22"/>
        </w:rPr>
        <w:t>IRF-PAI</w:t>
      </w:r>
      <w:r w:rsidRPr="003A4A83" w:rsidR="00B063FC">
        <w:rPr>
          <w:rFonts w:eastAsia="Calibri" w:cs="Arial"/>
          <w:sz w:val="22"/>
          <w:szCs w:val="22"/>
        </w:rPr>
        <w:t xml:space="preserve"> </w:t>
      </w:r>
      <w:r w:rsidRPr="003A4A83" w:rsidR="00547F1A">
        <w:rPr>
          <w:rFonts w:eastAsia="Calibri" w:cs="Arial"/>
          <w:sz w:val="22"/>
          <w:szCs w:val="22"/>
        </w:rPr>
        <w:t>…………………………………………………………….</w:t>
      </w:r>
      <w:r w:rsidRPr="003A4A83">
        <w:rPr>
          <w:rFonts w:eastAsia="Calibri" w:cs="Arial"/>
          <w:sz w:val="22"/>
          <w:szCs w:val="22"/>
        </w:rPr>
        <w:t>$   875,000</w:t>
      </w:r>
    </w:p>
    <w:p w:rsidR="007C6750" w:rsidRPr="003A4A83" w:rsidP="007C6750" w14:paraId="2A585E7E" w14:textId="33B15F92">
      <w:pPr>
        <w:tabs>
          <w:tab w:val="left" w:pos="720"/>
          <w:tab w:val="left" w:leader="dot" w:pos="8640"/>
        </w:tabs>
        <w:rPr>
          <w:rFonts w:eastAsia="Calibri" w:cs="Arial"/>
          <w:sz w:val="22"/>
          <w:szCs w:val="22"/>
        </w:rPr>
      </w:pPr>
      <w:r w:rsidRPr="003A4A83">
        <w:rPr>
          <w:rFonts w:eastAsia="Calibri" w:cs="Arial"/>
          <w:sz w:val="22"/>
          <w:szCs w:val="22"/>
        </w:rPr>
        <w:tab/>
      </w:r>
      <w:bookmarkStart w:id="66" w:name="_Hlk167135376"/>
      <w:r w:rsidRPr="003A4A83">
        <w:rPr>
          <w:rFonts w:eastAsia="Calibri" w:cs="Arial"/>
          <w:sz w:val="22"/>
          <w:szCs w:val="22"/>
        </w:rPr>
        <w:t>Data analysis contractor</w:t>
      </w:r>
      <w:r w:rsidRPr="003A4A83" w:rsidR="00547F1A">
        <w:rPr>
          <w:rFonts w:eastAsia="Calibri" w:cs="Arial"/>
          <w:sz w:val="22"/>
          <w:szCs w:val="22"/>
        </w:rPr>
        <w:t xml:space="preserve"> ………………………………………………………</w:t>
      </w:r>
      <w:r w:rsidRPr="003A4A83" w:rsidR="00547F1A">
        <w:rPr>
          <w:rFonts w:eastAsia="Calibri" w:cs="Arial"/>
          <w:sz w:val="22"/>
          <w:szCs w:val="22"/>
        </w:rPr>
        <w:t>….</w:t>
      </w:r>
      <w:r w:rsidRPr="003A4A83" w:rsidR="0084679D">
        <w:rPr>
          <w:rFonts w:eastAsia="Calibri" w:cs="Arial"/>
          <w:sz w:val="22"/>
          <w:szCs w:val="22"/>
        </w:rPr>
        <w:t>.</w:t>
      </w:r>
      <w:r w:rsidRPr="003A4A83">
        <w:rPr>
          <w:rFonts w:eastAsia="Calibri" w:cs="Arial"/>
          <w:sz w:val="22"/>
          <w:szCs w:val="22"/>
        </w:rPr>
        <w:t>$1,000,000</w:t>
      </w:r>
    </w:p>
    <w:p w:rsidR="007C6750" w:rsidRPr="003A4A83" w:rsidP="007C6750" w14:paraId="1B2DD0C2" w14:textId="5CFCD77E">
      <w:pPr>
        <w:tabs>
          <w:tab w:val="left" w:pos="720"/>
          <w:tab w:val="left" w:leader="dot" w:pos="8640"/>
        </w:tabs>
        <w:rPr>
          <w:rFonts w:eastAsia="Calibri" w:cs="Arial"/>
          <w:sz w:val="22"/>
          <w:szCs w:val="22"/>
        </w:rPr>
      </w:pPr>
      <w:r w:rsidRPr="003A4A83">
        <w:rPr>
          <w:rFonts w:eastAsia="Calibri" w:cs="Arial"/>
          <w:sz w:val="22"/>
          <w:szCs w:val="22"/>
        </w:rPr>
        <w:tab/>
        <w:t>Provider training &amp; help desk contractor</w:t>
      </w:r>
      <w:r w:rsidRPr="003A4A83" w:rsidR="0084679D">
        <w:rPr>
          <w:rFonts w:eastAsia="Calibri" w:cs="Arial"/>
          <w:sz w:val="22"/>
          <w:szCs w:val="22"/>
        </w:rPr>
        <w:t>………………………………………….</w:t>
      </w:r>
      <w:r w:rsidRPr="003A4A83">
        <w:rPr>
          <w:rFonts w:eastAsia="Calibri" w:cs="Arial"/>
          <w:sz w:val="22"/>
          <w:szCs w:val="22"/>
        </w:rPr>
        <w:t>$1,000,000</w:t>
      </w:r>
    </w:p>
    <w:bookmarkEnd w:id="66"/>
    <w:p w:rsidR="007C6750" w:rsidRPr="003A4A83" w:rsidP="007C6750" w14:paraId="47AE52CE" w14:textId="1C414AE1">
      <w:pPr>
        <w:tabs>
          <w:tab w:val="left" w:pos="720"/>
          <w:tab w:val="left" w:leader="dot" w:pos="8640"/>
        </w:tabs>
        <w:rPr>
          <w:rFonts w:eastAsia="Calibri" w:cs="Arial"/>
          <w:sz w:val="22"/>
          <w:szCs w:val="22"/>
        </w:rPr>
      </w:pPr>
      <w:r w:rsidRPr="003A4A83">
        <w:rPr>
          <w:rFonts w:eastAsia="Calibri" w:cs="Arial"/>
          <w:sz w:val="22"/>
          <w:szCs w:val="22"/>
        </w:rPr>
        <w:tab/>
        <w:t>GS-13 Federal Employee (100% x 3 years at $121,785 annually</w:t>
      </w:r>
      <w:r w:rsidRPr="003A4A83" w:rsidR="0084679D">
        <w:rPr>
          <w:rFonts w:eastAsia="Calibri" w:cs="Arial"/>
          <w:sz w:val="22"/>
          <w:szCs w:val="22"/>
        </w:rPr>
        <w:t xml:space="preserve"> ………………</w:t>
      </w:r>
      <w:r w:rsidRPr="003A4A83" w:rsidR="00F20FEF">
        <w:rPr>
          <w:rFonts w:eastAsia="Calibri" w:cs="Arial"/>
          <w:sz w:val="22"/>
          <w:szCs w:val="22"/>
        </w:rPr>
        <w:t>...</w:t>
      </w:r>
      <w:r w:rsidRPr="003A4A83">
        <w:rPr>
          <w:rFonts w:eastAsia="Calibri" w:cs="Arial"/>
          <w:color w:val="000000"/>
          <w:sz w:val="22"/>
          <w:szCs w:val="22"/>
        </w:rPr>
        <w:t xml:space="preserve">$   </w:t>
      </w:r>
      <w:r w:rsidRPr="003A4A83">
        <w:rPr>
          <w:rFonts w:eastAsia="Calibri" w:cs="Arial"/>
          <w:sz w:val="22"/>
          <w:szCs w:val="22"/>
        </w:rPr>
        <w:t>365,355</w:t>
      </w:r>
    </w:p>
    <w:p w:rsidR="007C6750" w:rsidRPr="003A4A83" w:rsidP="007C6750" w14:paraId="05AB88BF" w14:textId="0C2FAF22">
      <w:pPr>
        <w:tabs>
          <w:tab w:val="left" w:pos="720"/>
          <w:tab w:val="left" w:leader="dot" w:pos="8640"/>
        </w:tabs>
        <w:rPr>
          <w:rFonts w:eastAsia="Calibri" w:cs="Arial"/>
          <w:sz w:val="22"/>
          <w:szCs w:val="22"/>
        </w:rPr>
      </w:pPr>
      <w:r w:rsidRPr="003A4A83">
        <w:rPr>
          <w:rFonts w:eastAsia="Calibri" w:cs="Arial"/>
          <w:sz w:val="22"/>
          <w:szCs w:val="22"/>
        </w:rPr>
        <w:t xml:space="preserve">      </w:t>
      </w:r>
      <w:r w:rsidRPr="003A4A83">
        <w:rPr>
          <w:rFonts w:eastAsia="Calibri" w:cs="Arial"/>
          <w:sz w:val="22"/>
          <w:szCs w:val="22"/>
        </w:rPr>
        <w:tab/>
        <w:t>GS-14 Federal Employee (</w:t>
      </w:r>
      <w:r w:rsidRPr="003A4A83">
        <w:rPr>
          <w:rFonts w:eastAsia="Calibri" w:cs="Arial"/>
          <w:color w:val="000000"/>
          <w:sz w:val="22"/>
          <w:szCs w:val="22"/>
        </w:rPr>
        <w:t xml:space="preserve">33% X 3 years at </w:t>
      </w:r>
      <w:r w:rsidRPr="003A4A83">
        <w:rPr>
          <w:rFonts w:eastAsia="Calibri" w:cs="Arial"/>
          <w:sz w:val="22"/>
          <w:szCs w:val="22"/>
        </w:rPr>
        <w:t xml:space="preserve">$47,971 </w:t>
      </w:r>
      <w:r w:rsidRPr="003A4A83">
        <w:rPr>
          <w:rFonts w:eastAsia="Calibri" w:cs="Arial"/>
          <w:color w:val="000000"/>
          <w:sz w:val="22"/>
          <w:szCs w:val="22"/>
        </w:rPr>
        <w:t>annually</w:t>
      </w:r>
      <w:r w:rsidRPr="003A4A83">
        <w:rPr>
          <w:rFonts w:eastAsia="Calibri" w:cs="Arial"/>
          <w:sz w:val="22"/>
          <w:szCs w:val="22"/>
        </w:rPr>
        <w:t>)</w:t>
      </w:r>
      <w:r w:rsidRPr="003A4A83" w:rsidR="0084679D">
        <w:rPr>
          <w:rFonts w:eastAsia="Calibri" w:cs="Arial"/>
          <w:sz w:val="22"/>
          <w:szCs w:val="22"/>
        </w:rPr>
        <w:t xml:space="preserve"> ………………….</w:t>
      </w:r>
      <w:r w:rsidRPr="003A4A83">
        <w:rPr>
          <w:rFonts w:eastAsia="Calibri" w:cs="Arial"/>
          <w:color w:val="000000"/>
          <w:sz w:val="22"/>
          <w:szCs w:val="22"/>
        </w:rPr>
        <w:t xml:space="preserve">$   </w:t>
      </w:r>
      <w:r w:rsidRPr="003A4A83">
        <w:rPr>
          <w:rFonts w:eastAsia="Calibri" w:cs="Arial"/>
          <w:sz w:val="22"/>
          <w:szCs w:val="22"/>
        </w:rPr>
        <w:t>143,913</w:t>
      </w:r>
    </w:p>
    <w:p w:rsidR="007C6750" w:rsidRPr="003A4A83" w:rsidP="00931FD1" w14:paraId="073A84B3" w14:textId="4DA64430">
      <w:pPr>
        <w:pBdr>
          <w:top w:val="single" w:sz="4" w:space="1" w:color="auto"/>
        </w:pBdr>
        <w:tabs>
          <w:tab w:val="left" w:pos="720"/>
          <w:tab w:val="left" w:leader="dot" w:pos="8640"/>
        </w:tabs>
        <w:ind w:right="720"/>
        <w:rPr>
          <w:color w:val="000000" w:themeColor="text1"/>
        </w:rPr>
      </w:pPr>
      <w:r w:rsidRPr="003A4A83">
        <w:rPr>
          <w:rFonts w:eastAsia="Calibri" w:cs="Arial"/>
          <w:sz w:val="22"/>
          <w:szCs w:val="22"/>
        </w:rPr>
        <w:tab/>
      </w:r>
      <w:r w:rsidRPr="003A4A83">
        <w:rPr>
          <w:rFonts w:eastAsia="Calibri" w:cs="Arial"/>
          <w:b/>
          <w:sz w:val="22"/>
          <w:szCs w:val="22"/>
        </w:rPr>
        <w:t>Total Cost to Federal Government</w:t>
      </w:r>
      <w:r w:rsidRPr="003A4A83" w:rsidR="00F20FEF">
        <w:rPr>
          <w:rFonts w:eastAsia="Calibri" w:cs="Arial"/>
          <w:b/>
          <w:sz w:val="22"/>
          <w:szCs w:val="22"/>
        </w:rPr>
        <w:t xml:space="preserve"> …………………………………………</w:t>
      </w:r>
      <w:r w:rsidRPr="003A4A83">
        <w:rPr>
          <w:rFonts w:eastAsia="Calibri" w:cs="Arial"/>
          <w:b/>
          <w:sz w:val="22"/>
          <w:szCs w:val="22"/>
        </w:rPr>
        <w:t>$3,384,268</w:t>
      </w:r>
    </w:p>
    <w:p w:rsidR="003B486F" w:rsidRPr="003A4A83" w:rsidP="4C372AC2" w14:paraId="196C3200" w14:textId="1B783E18">
      <w:pPr>
        <w:pStyle w:val="Heading2"/>
      </w:pPr>
      <w:bookmarkStart w:id="67" w:name="_Toc298168196"/>
      <w:bookmarkStart w:id="68" w:name="_Toc89079492"/>
      <w:bookmarkStart w:id="69" w:name="_Toc94773745"/>
      <w:bookmarkStart w:id="70" w:name="_Toc226541990"/>
      <w:r w:rsidRPr="003A4A83">
        <w:t>Changes to Burden</w:t>
      </w:r>
      <w:bookmarkEnd w:id="67"/>
      <w:bookmarkEnd w:id="68"/>
      <w:bookmarkEnd w:id="69"/>
      <w:bookmarkEnd w:id="70"/>
    </w:p>
    <w:p w:rsidR="00CB7CDE" w:rsidRPr="003A4A83" w:rsidP="003B486F" w14:paraId="7592E507" w14:textId="73F735DD">
      <w:pPr>
        <w:pStyle w:val="NoSpacing"/>
        <w:ind w:left="360"/>
        <w:rPr>
          <w:rFonts w:ascii="Times New Roman" w:hAnsi="Times New Roman"/>
        </w:rPr>
      </w:pPr>
      <w:r w:rsidRPr="003A4A83">
        <w:rPr>
          <w:rFonts w:ascii="Times New Roman" w:hAnsi="Times New Roman"/>
        </w:rPr>
        <w:t xml:space="preserve">There </w:t>
      </w:r>
      <w:r w:rsidRPr="003A4A83">
        <w:rPr>
          <w:rFonts w:ascii="Times New Roman" w:hAnsi="Times New Roman"/>
        </w:rPr>
        <w:t>are</w:t>
      </w:r>
      <w:r w:rsidRPr="003A4A83">
        <w:rPr>
          <w:rFonts w:ascii="Times New Roman" w:hAnsi="Times New Roman"/>
        </w:rPr>
        <w:t xml:space="preserve"> no changes to burden since the approval of the IRF-PAI v4.4 was approved.</w:t>
      </w:r>
      <w:r w:rsidRPr="003A4A83" w:rsidR="0076526A">
        <w:rPr>
          <w:rFonts w:ascii="Times New Roman" w:hAnsi="Times New Roman"/>
        </w:rPr>
        <w:t xml:space="preserve">  Additionally</w:t>
      </w:r>
      <w:r w:rsidRPr="003A4A83" w:rsidR="00B0748B">
        <w:rPr>
          <w:rFonts w:ascii="Times New Roman" w:hAnsi="Times New Roman"/>
        </w:rPr>
        <w:t>, new information demonstrates a change in the number of IRFs</w:t>
      </w:r>
      <w:r w:rsidRPr="003A4A83">
        <w:rPr>
          <w:rFonts w:ascii="Times New Roman" w:hAnsi="Times New Roman"/>
        </w:rPr>
        <w:t xml:space="preserve">.  The number of IRFs has increased </w:t>
      </w:r>
      <w:r w:rsidRPr="003A4A83" w:rsidR="00B0748B">
        <w:rPr>
          <w:rFonts w:ascii="Times New Roman" w:hAnsi="Times New Roman"/>
        </w:rPr>
        <w:t>from 1,1</w:t>
      </w:r>
      <w:r w:rsidRPr="003A4A83" w:rsidR="00940D3B">
        <w:rPr>
          <w:rFonts w:ascii="Times New Roman" w:hAnsi="Times New Roman"/>
        </w:rPr>
        <w:t>6</w:t>
      </w:r>
      <w:r w:rsidRPr="003A4A83" w:rsidR="003C76DA">
        <w:rPr>
          <w:rFonts w:ascii="Times New Roman" w:hAnsi="Times New Roman"/>
        </w:rPr>
        <w:t>6</w:t>
      </w:r>
      <w:r w:rsidRPr="003A4A83" w:rsidR="00262D5C">
        <w:rPr>
          <w:rFonts w:ascii="Times New Roman" w:hAnsi="Times New Roman"/>
        </w:rPr>
        <w:t xml:space="preserve"> to</w:t>
      </w:r>
      <w:r w:rsidRPr="003A4A83" w:rsidR="004C5AA1">
        <w:rPr>
          <w:rFonts w:ascii="Times New Roman" w:hAnsi="Times New Roman"/>
        </w:rPr>
        <w:t xml:space="preserve"> </w:t>
      </w:r>
      <w:r w:rsidRPr="003A4A83" w:rsidR="00262D5C">
        <w:rPr>
          <w:rFonts w:ascii="Times New Roman" w:hAnsi="Times New Roman"/>
        </w:rPr>
        <w:t>1,175</w:t>
      </w:r>
      <w:r w:rsidRPr="003A4A83" w:rsidR="004925D3">
        <w:rPr>
          <w:rFonts w:ascii="Times New Roman" w:hAnsi="Times New Roman"/>
        </w:rPr>
        <w:t xml:space="preserve"> </w:t>
      </w:r>
      <w:r w:rsidRPr="003A4A83">
        <w:rPr>
          <w:rFonts w:ascii="Times New Roman" w:hAnsi="Times New Roman"/>
        </w:rPr>
        <w:t>.</w:t>
      </w:r>
    </w:p>
    <w:p w:rsidR="00BA1C81" w:rsidRPr="003A4A83" w:rsidP="00CB7CDE" w14:paraId="6E3D7778" w14:textId="77777777">
      <w:pPr>
        <w:pStyle w:val="NoSpacing"/>
        <w:ind w:left="360"/>
        <w:rPr>
          <w:rFonts w:ascii="Times New Roman" w:hAnsi="Times New Roman"/>
          <w:sz w:val="24"/>
          <w:szCs w:val="24"/>
        </w:rPr>
      </w:pPr>
    </w:p>
    <w:p w:rsidR="003B486F" w:rsidRPr="003A4A83" w:rsidP="003B486F" w14:paraId="77FA2E2B" w14:textId="44C9A918">
      <w:pPr>
        <w:pStyle w:val="Heading2"/>
      </w:pPr>
      <w:bookmarkStart w:id="71" w:name="_Toc89079493"/>
      <w:bookmarkStart w:id="72" w:name="_Toc94773746"/>
      <w:bookmarkStart w:id="73" w:name="_Toc226541991"/>
      <w:r w:rsidRPr="003A4A83">
        <w:t>Publication/Tabulation Dates</w:t>
      </w:r>
      <w:bookmarkEnd w:id="71"/>
      <w:bookmarkEnd w:id="72"/>
      <w:bookmarkEnd w:id="73"/>
    </w:p>
    <w:p w:rsidR="003B486F" w:rsidRPr="003A4A83" w:rsidP="003B486F" w14:paraId="53CA1C0F" w14:textId="63898BB0">
      <w:pPr>
        <w:pStyle w:val="ListContinueBody"/>
        <w:ind w:left="360"/>
        <w:rPr>
          <w:color w:val="000000" w:themeColor="text1"/>
        </w:rPr>
      </w:pPr>
      <w:bookmarkStart w:id="74" w:name="_Toc298168198"/>
      <w:r w:rsidRPr="003A4A83">
        <w:rPr>
          <w:color w:val="000000" w:themeColor="text1"/>
        </w:rPr>
        <w:t xml:space="preserve">For </w:t>
      </w:r>
      <w:r w:rsidRPr="003A4A83" w:rsidR="0043098A">
        <w:rPr>
          <w:color w:val="000000" w:themeColor="text1"/>
        </w:rPr>
        <w:t xml:space="preserve">the </w:t>
      </w:r>
      <w:r w:rsidRPr="003A4A83" w:rsidR="00BC6CE7">
        <w:rPr>
          <w:color w:val="000000" w:themeColor="text1"/>
        </w:rPr>
        <w:t xml:space="preserve">proposed </w:t>
      </w:r>
      <w:r w:rsidRPr="003A4A83">
        <w:rPr>
          <w:color w:val="000000" w:themeColor="text1"/>
        </w:rPr>
        <w:t xml:space="preserve">changes to the IRF QRP, the </w:t>
      </w:r>
      <w:r w:rsidRPr="003A4A83" w:rsidR="00BC6CE7">
        <w:rPr>
          <w:color w:val="000000" w:themeColor="text1"/>
        </w:rPr>
        <w:t xml:space="preserve">proposed </w:t>
      </w:r>
      <w:r w:rsidRPr="003A4A83">
        <w:rPr>
          <w:color w:val="000000" w:themeColor="text1"/>
        </w:rPr>
        <w:t xml:space="preserve">rule </w:t>
      </w:r>
      <w:r w:rsidRPr="003A4A83" w:rsidR="00FC4068">
        <w:rPr>
          <w:color w:val="000000" w:themeColor="text1"/>
        </w:rPr>
        <w:t xml:space="preserve">was published </w:t>
      </w:r>
      <w:r w:rsidRPr="003A4A83" w:rsidR="00693E43">
        <w:rPr>
          <w:color w:val="000000"/>
          <w:shd w:val="clear" w:color="auto" w:fill="FFFFFF"/>
        </w:rPr>
        <w:t xml:space="preserve">in the Federal Register on April </w:t>
      </w:r>
      <w:r w:rsidRPr="003A4A83" w:rsidR="0096616D">
        <w:rPr>
          <w:color w:val="000000"/>
          <w:shd w:val="clear" w:color="auto" w:fill="FFFFFF"/>
        </w:rPr>
        <w:t>2</w:t>
      </w:r>
      <w:r w:rsidRPr="003A4A83" w:rsidR="00693E43">
        <w:rPr>
          <w:color w:val="000000"/>
          <w:shd w:val="clear" w:color="auto" w:fill="FFFFFF"/>
        </w:rPr>
        <w:t>, 202</w:t>
      </w:r>
      <w:r w:rsidRPr="003A4A83" w:rsidR="00A46F88">
        <w:rPr>
          <w:color w:val="000000"/>
          <w:shd w:val="clear" w:color="auto" w:fill="FFFFFF"/>
        </w:rPr>
        <w:t>6</w:t>
      </w:r>
      <w:r w:rsidRPr="003A4A83" w:rsidR="00693E43">
        <w:rPr>
          <w:color w:val="000000"/>
          <w:shd w:val="clear" w:color="auto" w:fill="FFFFFF"/>
        </w:rPr>
        <w:t>.</w:t>
      </w:r>
      <w:r w:rsidRPr="003A4A83">
        <w:rPr>
          <w:color w:val="000000" w:themeColor="text1"/>
        </w:rPr>
        <w:t xml:space="preserve"> </w:t>
      </w:r>
      <w:r w:rsidRPr="003A4A83" w:rsidR="00E07022">
        <w:t>The IRF</w:t>
      </w:r>
      <w:r w:rsidRPr="003A4A83" w:rsidR="00E07022">
        <w:t xml:space="preserve">-PAI Version 4.2 will have a runoff period through September 30, </w:t>
      </w:r>
      <w:r w:rsidRPr="003A4A83" w:rsidR="00E07022">
        <w:t>2026</w:t>
      </w:r>
      <w:r w:rsidRPr="003A4A83" w:rsidR="00E07022">
        <w:t xml:space="preserve"> and sunset when </w:t>
      </w:r>
      <w:r w:rsidRPr="003A4A83" w:rsidR="00E07022">
        <w:rPr>
          <w:color w:val="000000" w:themeColor="text1"/>
        </w:rPr>
        <w:t xml:space="preserve">the </w:t>
      </w:r>
      <w:r w:rsidRPr="003A4A83" w:rsidR="001F00F9">
        <w:rPr>
          <w:color w:val="000000" w:themeColor="text1"/>
        </w:rPr>
        <w:t xml:space="preserve">IRF-PAI </w:t>
      </w:r>
      <w:r w:rsidRPr="003A4A83" w:rsidR="00E07022">
        <w:rPr>
          <w:color w:val="000000" w:themeColor="text1"/>
        </w:rPr>
        <w:t>Version 4.</w:t>
      </w:r>
      <w:r w:rsidRPr="003A4A83" w:rsidR="00AD5127">
        <w:rPr>
          <w:color w:val="000000" w:themeColor="text1"/>
        </w:rPr>
        <w:t>4</w:t>
      </w:r>
      <w:r w:rsidRPr="003A4A83" w:rsidR="00E07022">
        <w:rPr>
          <w:color w:val="000000" w:themeColor="text1"/>
        </w:rPr>
        <w:t xml:space="preserve"> takes effect on October 1, 2026</w:t>
      </w:r>
      <w:r w:rsidRPr="003A4A83" w:rsidR="00BC6CE7">
        <w:rPr>
          <w:color w:val="000000" w:themeColor="text1"/>
        </w:rPr>
        <w:t xml:space="preserve">. </w:t>
      </w:r>
      <w:r w:rsidRPr="003A4A83" w:rsidR="00D55EA2">
        <w:rPr>
          <w:color w:val="000000" w:themeColor="text1"/>
        </w:rPr>
        <w:t>The IRF-PAI Version 4.3, previously approved on 12/27/24, will not be implemented and will be superseded by IRF-PAI Version 4.4.</w:t>
      </w:r>
    </w:p>
    <w:p w:rsidR="003B486F" w:rsidRPr="003A4A83" w:rsidP="003B486F" w14:paraId="0BA34FC8" w14:textId="6ECD7F08">
      <w:pPr>
        <w:pStyle w:val="Heading2"/>
      </w:pPr>
      <w:bookmarkStart w:id="75" w:name="_Toc89079494"/>
      <w:bookmarkStart w:id="76" w:name="_Toc94773747"/>
      <w:bookmarkStart w:id="77" w:name="_Toc226541992"/>
      <w:r w:rsidRPr="003A4A83">
        <w:t>Expiration Date</w:t>
      </w:r>
      <w:bookmarkEnd w:id="74"/>
      <w:bookmarkEnd w:id="75"/>
      <w:bookmarkEnd w:id="76"/>
      <w:bookmarkEnd w:id="77"/>
    </w:p>
    <w:p w:rsidR="003B486F" w:rsidRPr="003A4A83" w:rsidP="003B486F" w14:paraId="13386774" w14:textId="77777777">
      <w:pPr>
        <w:pStyle w:val="ListContinueBody"/>
        <w:ind w:left="360"/>
        <w:rPr>
          <w:color w:val="000000" w:themeColor="text1"/>
        </w:rPr>
      </w:pPr>
      <w:r w:rsidRPr="003A4A83">
        <w:rPr>
          <w:color w:val="000000" w:themeColor="text1"/>
        </w:rPr>
        <w:t>The OMB expiration date will be displayed on all disseminated data collection materials.</w:t>
      </w:r>
    </w:p>
    <w:p w:rsidR="003B486F" w:rsidRPr="003A4A83" w:rsidP="003B486F" w14:paraId="75E57EAA" w14:textId="46B5A20E">
      <w:pPr>
        <w:pStyle w:val="Heading2"/>
      </w:pPr>
      <w:bookmarkStart w:id="78" w:name="_Toc298168199"/>
      <w:bookmarkStart w:id="79" w:name="_Toc89079495"/>
      <w:bookmarkStart w:id="80" w:name="_Toc94773748"/>
      <w:bookmarkStart w:id="81" w:name="_Toc226541993"/>
      <w:r w:rsidRPr="003A4A83">
        <w:t>Certification Statement</w:t>
      </w:r>
      <w:bookmarkStart w:id="82" w:name="_Toc102549699"/>
      <w:bookmarkStart w:id="83" w:name="_Toc168210891"/>
      <w:bookmarkEnd w:id="78"/>
      <w:bookmarkEnd w:id="79"/>
      <w:bookmarkEnd w:id="80"/>
      <w:bookmarkEnd w:id="81"/>
    </w:p>
    <w:p w:rsidR="003B486F" w:rsidRPr="00EA50E8" w:rsidP="003B486F" w14:paraId="00394270" w14:textId="77777777">
      <w:pPr>
        <w:pStyle w:val="ListContinueBody"/>
        <w:ind w:left="360"/>
        <w:rPr>
          <w:color w:val="000000" w:themeColor="text1"/>
        </w:rPr>
      </w:pPr>
      <w:r w:rsidRPr="003A4A83">
        <w:rPr>
          <w:color w:val="000000" w:themeColor="text1"/>
        </w:rPr>
        <w:t xml:space="preserve">There are no exceptions to the </w:t>
      </w:r>
      <w:r w:rsidRPr="003A4A83">
        <w:rPr>
          <w:color w:val="000000" w:themeColor="text1"/>
        </w:rPr>
        <w:t>certifications statement</w:t>
      </w:r>
      <w:r w:rsidRPr="003A4A83">
        <w:rPr>
          <w:color w:val="000000" w:themeColor="text1"/>
        </w:rPr>
        <w:t>.</w:t>
      </w:r>
      <w:r w:rsidRPr="00EA50E8">
        <w:rPr>
          <w:color w:val="000000" w:themeColor="text1"/>
        </w:rPr>
        <w:t xml:space="preserve"> </w:t>
      </w:r>
    </w:p>
    <w:bookmarkEnd w:id="82"/>
    <w:bookmarkEnd w:id="83"/>
    <w:p w:rsidR="00161E1F" w14:paraId="3E712AE1" w14:textId="77777777"/>
    <w:sectPr w:rsidSect="009F03D6">
      <w:footerReference w:type="default" r:id="rId1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1212"/>
      <w:docPartObj>
        <w:docPartGallery w:val="Page Numbers (Bottom of Page)"/>
        <w:docPartUnique/>
      </w:docPartObj>
    </w:sdtPr>
    <w:sdtEndPr>
      <w:rPr>
        <w:noProof/>
      </w:rPr>
    </w:sdtEndPr>
    <w:sdtContent>
      <w:p w:rsidR="00FA3811" w:rsidRPr="0042499B" w:rsidP="006C49C1" w14:paraId="32086A4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53C" w:rsidP="003B486F" w14:paraId="48793F51" w14:textId="77777777">
      <w:r>
        <w:separator/>
      </w:r>
    </w:p>
  </w:footnote>
  <w:footnote w:type="continuationSeparator" w:id="1">
    <w:p w:rsidR="00D2153C" w:rsidP="003B486F" w14:paraId="11E1DFBC" w14:textId="77777777">
      <w:r>
        <w:continuationSeparator/>
      </w:r>
    </w:p>
  </w:footnote>
  <w:footnote w:type="continuationNotice" w:id="2">
    <w:p w:rsidR="00D2153C" w14:paraId="39407EC6" w14:textId="77777777"/>
  </w:footnote>
  <w:footnote w:id="3">
    <w:p w:rsidR="00FA3811" w:rsidP="00C26774" w14:paraId="7AE941A5" w14:textId="46B753E2">
      <w:pPr>
        <w:pStyle w:val="FootnoteText"/>
        <w:spacing w:after="0"/>
      </w:pPr>
      <w:r w:rsidRPr="00F6109B">
        <w:rPr>
          <w:rStyle w:val="FootnoteReference"/>
          <w:color w:val="auto"/>
          <w:sz w:val="14"/>
          <w:u w:val="none"/>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tooltip="Patient Protection and Affordable Care Act" w:history="1">
        <w:r w:rsidRPr="00070CA2">
          <w:rPr>
            <w:rStyle w:val="Hyperlink"/>
            <w:sz w:val="16"/>
          </w:rPr>
          <w:t>http://www.gpo.gov/fdsys/pkg/PLAW-111publ148/pdf/PLAW-111publ148.pdf</w:t>
        </w:r>
      </w:hyperlink>
      <w:r w:rsidRPr="00070CA2">
        <w:rPr>
          <w:sz w:val="16"/>
        </w:rPr>
        <w:t>.</w:t>
      </w:r>
      <w:r>
        <w:rPr>
          <w:sz w:val="16"/>
        </w:rPr>
        <w:t xml:space="preserve"> </w:t>
      </w:r>
    </w:p>
  </w:footnote>
  <w:footnote w:id="4">
    <w:p w:rsidR="00FA3811" w:rsidRPr="00070CA2" w:rsidP="003B486F" w14:paraId="6188495B" w14:textId="3BA5EAD7">
      <w:pPr>
        <w:pStyle w:val="FootnoteText"/>
        <w:spacing w:after="0"/>
        <w:rPr>
          <w:sz w:val="16"/>
        </w:rPr>
      </w:pPr>
      <w:r w:rsidRPr="00F6109B">
        <w:rPr>
          <w:rStyle w:val="FootnoteReference"/>
          <w:color w:val="auto"/>
          <w:sz w:val="14"/>
          <w:u w:val="none"/>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tooltip="Inpatient Rehabilitation Facility Prospective Payment System for Federal Fiscal Year 2012" w:history="1">
        <w:r w:rsidRPr="00070CA2">
          <w:rPr>
            <w:rStyle w:val="Hyperlink"/>
            <w:sz w:val="16"/>
          </w:rPr>
          <w:t>https://www.gpo.gov/fdsys/pkg/FR-2011-08-05/pdf/2011-19516.pdf</w:t>
        </w:r>
      </w:hyperlink>
    </w:p>
  </w:footnote>
  <w:footnote w:id="5">
    <w:p w:rsidR="000D586C" w14:paraId="52F184D8" w14:textId="457BC2A2">
      <w:pPr>
        <w:pStyle w:val="FootnoteText"/>
      </w:pPr>
      <w:r w:rsidRPr="00F6109B">
        <w:rPr>
          <w:rStyle w:val="FootnoteReference"/>
          <w:color w:val="auto"/>
          <w:u w:val="none"/>
        </w:rPr>
        <w:footnoteRef/>
      </w:r>
      <w:r w:rsidRPr="00F6109B">
        <w:t xml:space="preserve"> </w:t>
      </w:r>
      <w:r w:rsidR="0050608C">
        <w:t>FY 202</w:t>
      </w:r>
      <w:r w:rsidR="00731723">
        <w:t>7</w:t>
      </w:r>
      <w:r w:rsidR="0050608C">
        <w:t xml:space="preserve"> IRF PPS proposed rule: </w:t>
      </w:r>
      <w:hyperlink r:id="rId3" w:tooltip="FY 2027 IRF PPS proposed rule" w:history="1">
        <w:r w:rsidRPr="0078607A" w:rsidR="005A3837">
          <w:rPr>
            <w:rStyle w:val="Hyperlink"/>
          </w:rPr>
          <w:t>https://www.federalregister.gov/documents/2026/04/06/2026-06642/medicare-program-inpatient-rehabilitation-facility-prospective-payment-system-for-federal-fiscal</w:t>
        </w:r>
      </w:hyperlink>
      <w:r w:rsidR="005A3837">
        <w:t xml:space="preserve"> </w:t>
      </w:r>
    </w:p>
  </w:footnote>
  <w:footnote w:id="6">
    <w:p w:rsidR="007328A4" w14:paraId="676DDAE8" w14:textId="37E6924D">
      <w:pPr>
        <w:pStyle w:val="FootnoteText"/>
      </w:pPr>
      <w:r w:rsidRPr="00507B76">
        <w:rPr>
          <w:rStyle w:val="FootnoteReference"/>
          <w:i/>
          <w:iCs/>
          <w:color w:val="auto"/>
          <w:u w:val="none"/>
        </w:rPr>
        <w:footnoteRef/>
      </w:r>
      <w:r>
        <w:t xml:space="preserve"> </w:t>
      </w:r>
      <w:r w:rsidRPr="0052157D" w:rsidR="0052157D">
        <w:t>OMB Announcing Timeline Extensions for SPD 15 Implementation</w:t>
      </w:r>
      <w:r w:rsidR="0052157D">
        <w:t xml:space="preserve">. Accessed March 22, 2026. </w:t>
      </w:r>
      <w:hyperlink r:id="rId4" w:tooltip="OMB Announcing Timeline Extensions for SPD 15 Implementation" w:history="1">
        <w:r w:rsidRPr="0078607A" w:rsidR="005A3837">
          <w:rPr>
            <w:rStyle w:val="Hyperlink"/>
          </w:rPr>
          <w:t>https://spd15revision.gov/content/spd15revision/en/news/2025-09-26-bulletin.html</w:t>
        </w:r>
      </w:hyperlink>
      <w:r w:rsidR="005A3837">
        <w:t xml:space="preserve"> </w:t>
      </w:r>
    </w:p>
  </w:footnote>
  <w:footnote w:id="7">
    <w:p w:rsidR="00BB05C4" w14:paraId="3795F613" w14:textId="03B72B56">
      <w:pPr>
        <w:pStyle w:val="FootnoteText"/>
      </w:pPr>
      <w:r w:rsidRPr="00CB4F9C">
        <w:rPr>
          <w:rStyle w:val="FootnoteReference"/>
          <w:color w:val="auto"/>
          <w:u w:val="none"/>
        </w:rPr>
        <w:footnoteRef/>
      </w:r>
      <w:r>
        <w:t xml:space="preserve"> </w:t>
      </w:r>
      <w:r w:rsidRPr="004E4299">
        <w:rPr>
          <w:color w:val="000000" w:themeColor="text1"/>
        </w:rPr>
        <w:t>Executive Order 14192 title "Unleashing Prosperity Through Deregulation" (January 21, 2025)</w:t>
      </w:r>
      <w:r>
        <w:rPr>
          <w:color w:val="000000" w:themeColor="text1"/>
        </w:rPr>
        <w:t xml:space="preserve"> </w:t>
      </w:r>
      <w:hyperlink r:id="rId5" w:tooltip="Executive Order 14192 title " w:history="1">
        <w:r w:rsidRPr="00BB05C4">
          <w:rPr>
            <w:rStyle w:val="Hyperlink"/>
          </w:rPr>
          <w:t>https://www.whitehouse.gov/presidential-actions/2025/01/unleashing-prosperity-through-deregulation/</w:t>
        </w:r>
      </w:hyperlink>
    </w:p>
  </w:footnote>
  <w:footnote w:id="8">
    <w:p w:rsidR="006E6E3F" w14:paraId="5EF6E55F" w14:textId="0183C93F">
      <w:pPr>
        <w:pStyle w:val="FootnoteText"/>
      </w:pPr>
      <w:r w:rsidRPr="00CB4F9C">
        <w:rPr>
          <w:rStyle w:val="FootnoteReference"/>
          <w:color w:val="auto"/>
          <w:u w:val="none"/>
        </w:rPr>
        <w:footnoteRef/>
      </w:r>
      <w:r>
        <w:t xml:space="preserve"> FY 2002 Final Rule</w:t>
      </w:r>
      <w:r w:rsidR="00AF1CF0">
        <w:t xml:space="preserve"> (66 FR 41316)</w:t>
      </w:r>
      <w:r>
        <w:t>, FY 2015 Final Rule</w:t>
      </w:r>
      <w:r w:rsidR="00AF1CF0">
        <w:t xml:space="preserve"> (79 FR 45872)</w:t>
      </w:r>
      <w:r>
        <w:t>, FY 2016 Final Rule</w:t>
      </w:r>
      <w:r w:rsidR="00AF1CF0">
        <w:t xml:space="preserve"> (80 FR 47036)</w:t>
      </w:r>
      <w:r>
        <w:t>, FY 2020 Final Rule</w:t>
      </w:r>
      <w:r w:rsidR="00AF1CF0">
        <w:t xml:space="preserve"> (84 FR 39054)</w:t>
      </w:r>
      <w:r>
        <w:t>, FY 2023 Final Rule</w:t>
      </w:r>
      <w:r w:rsidR="00AF1CF0">
        <w:t xml:space="preserve"> (87 FR 47038)</w:t>
      </w:r>
      <w:r>
        <w:t>, FY 2024 Final Rule</w:t>
      </w:r>
      <w:r w:rsidR="00AF1CF0">
        <w:t xml:space="preserve"> (88 FR 50956)</w:t>
      </w:r>
    </w:p>
    <w:p w:rsidR="00036A57" w:rsidRPr="00036A57" w:rsidP="00036A57" w14:paraId="1C5885A5" w14:textId="5162C2AC">
      <w:pPr>
        <w:pStyle w:val="FootnoteText"/>
      </w:pPr>
      <w:bookmarkStart w:id="57" w:name="Footnote7"/>
      <w:r w:rsidRPr="005B5B21">
        <w:rPr>
          <w:sz w:val="28"/>
          <w:szCs w:val="28"/>
          <w:vertAlign w:val="superscript"/>
        </w:rPr>
        <w:t>7</w:t>
      </w:r>
      <w:bookmarkEnd w:id="57"/>
      <w:r w:rsidRPr="00036A57">
        <w:t xml:space="preserve"> BLS May 2024 National Occupational Employment and Wage Estimates. Accessed at: </w:t>
      </w:r>
      <w:hyperlink r:id="rId6" w:tooltip="BLS May 2024 National Occupational Employment and Wage Estimates" w:history="1">
        <w:r w:rsidRPr="00036A57">
          <w:rPr>
            <w:rStyle w:val="Hyperlink"/>
          </w:rPr>
          <w:t>https://www.bls.gov/oes/current/oessrcst.htm</w:t>
        </w:r>
      </w:hyperlink>
    </w:p>
    <w:p w:rsidR="00036A57" w14:paraId="134E9F5A" w14:textId="0B0BDA4B">
      <w:pPr>
        <w:pStyle w:val="FootnoteText"/>
      </w:pPr>
    </w:p>
  </w:footnote>
  <w:footnote w:id="9">
    <w:p w:rsidR="00901628" w:rsidP="00901628" w14:paraId="74EFA94C" w14:textId="77777777">
      <w:pPr>
        <w:pStyle w:val="FootnoteText"/>
      </w:pPr>
    </w:p>
  </w:footnote>
  <w:footnote w:id="10">
    <w:p w:rsidR="006B70B9" w:rsidP="00F00F74" w14:paraId="2EC2C92C" w14:textId="23875876">
      <w:pPr>
        <w:pStyle w:val="FootnoteText"/>
        <w:ind w:left="0" w:firstLine="0"/>
      </w:pPr>
      <w:r>
        <w:rPr>
          <w:rStyle w:val="FootnoteReference"/>
          <w:color w:val="auto"/>
          <w:u w:val="none"/>
        </w:rPr>
        <w:t>8</w:t>
      </w:r>
      <w:r>
        <w:t xml:space="preserve"> FY 2027 IRF PPS proposed rule: </w:t>
      </w:r>
      <w:hyperlink r:id="rId3" w:tooltip="FY 2027 IRF PPS proposed rule" w:history="1">
        <w:r w:rsidRPr="0078607A" w:rsidR="005A3837">
          <w:rPr>
            <w:rStyle w:val="Hyperlink"/>
          </w:rPr>
          <w:t>https://www.federalregister.gov/documents/2026/04/06/2026-06642/medicare-program-inpatient-rehabilitation-facility-prospective-payment-system-for-federal-fiscal</w:t>
        </w:r>
      </w:hyperlink>
      <w:r w:rsidR="005A3837">
        <w:t xml:space="preserve"> </w:t>
      </w:r>
      <w:r w:rsidRPr="005A3837" w:rsidR="005A383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D88E66"/>
    <w:lvl w:ilvl="0">
      <w:start w:val="1"/>
      <w:numFmt w:val="bullet"/>
      <w:pStyle w:val="ListBullet"/>
      <w:lvlText w:val="•"/>
      <w:lvlJc w:val="left"/>
      <w:pPr>
        <w:tabs>
          <w:tab w:val="num" w:pos="0"/>
        </w:tabs>
        <w:ind w:left="0" w:hanging="360"/>
      </w:pPr>
      <w:rPr>
        <w:rFonts w:ascii="Times New Roman" w:hAnsi="Times New Roman" w:cs="Times New Roman" w:hint="default"/>
      </w:rPr>
    </w:lvl>
  </w:abstractNum>
  <w:abstractNum w:abstractNumId="1">
    <w:nsid w:val="08DA3170"/>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EF0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E6FC14"/>
    <w:multiLevelType w:val="hybridMultilevel"/>
    <w:tmpl w:val="2A74E7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B084627"/>
    <w:multiLevelType w:val="hybridMultilevel"/>
    <w:tmpl w:val="3E2A23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C2039EB"/>
    <w:multiLevelType w:val="hybridMultilevel"/>
    <w:tmpl w:val="3C5A9ACE"/>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9F1F0F"/>
    <w:multiLevelType w:val="hybridMultilevel"/>
    <w:tmpl w:val="5B589C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AAE6E20"/>
    <w:multiLevelType w:val="hybridMultilevel"/>
    <w:tmpl w:val="065431DE"/>
    <w:lvl w:ilvl="0">
      <w:start w:val="1"/>
      <w:numFmt w:val="bullet"/>
      <w:lvlText w:val="o"/>
      <w:lvlJc w:val="left"/>
      <w:pPr>
        <w:ind w:left="1245" w:hanging="360"/>
      </w:pPr>
      <w:rPr>
        <w:rFonts w:ascii="Courier New" w:hAnsi="Courier New" w:cs="Courier New" w:hint="default"/>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9">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760265A"/>
    <w:multiLevelType w:val="hybridMultilevel"/>
    <w:tmpl w:val="BECC24EC"/>
    <w:lvl w:ilvl="0">
      <w:start w:val="1"/>
      <w:numFmt w:val="decimal"/>
      <w:pStyle w:val="Heading2"/>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A040FA"/>
    <w:multiLevelType w:val="hybridMultilevel"/>
    <w:tmpl w:val="072A2928"/>
    <w:lvl w:ilvl="0">
      <w:start w:val="1"/>
      <w:numFmt w:val="lowerLetter"/>
      <w:pStyle w:val="Heading3"/>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D121B0"/>
    <w:multiLevelType w:val="hybridMultilevel"/>
    <w:tmpl w:val="3A1466B4"/>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4">
    <w:nsid w:val="6C530AE4"/>
    <w:multiLevelType w:val="hybridMultilevel"/>
    <w:tmpl w:val="62689288"/>
    <w:lvl w:ilvl="0">
      <w:start w:val="1"/>
      <w:numFmt w:val="lowerLetter"/>
      <w:pStyle w:val="Heading4"/>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904644"/>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246948"/>
    <w:multiLevelType w:val="hybridMultilevel"/>
    <w:tmpl w:val="E998F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859670">
    <w:abstractNumId w:val="2"/>
  </w:num>
  <w:num w:numId="2" w16cid:durableId="652871177">
    <w:abstractNumId w:val="3"/>
  </w:num>
  <w:num w:numId="3" w16cid:durableId="1500926621">
    <w:abstractNumId w:val="4"/>
  </w:num>
  <w:num w:numId="4" w16cid:durableId="738016260">
    <w:abstractNumId w:val="11"/>
  </w:num>
  <w:num w:numId="5" w16cid:durableId="399908990">
    <w:abstractNumId w:val="0"/>
  </w:num>
  <w:num w:numId="6" w16cid:durableId="253898992">
    <w:abstractNumId w:val="14"/>
  </w:num>
  <w:num w:numId="7" w16cid:durableId="1131442101">
    <w:abstractNumId w:val="5"/>
  </w:num>
  <w:num w:numId="8" w16cid:durableId="990216180">
    <w:abstractNumId w:val="1"/>
  </w:num>
  <w:num w:numId="9" w16cid:durableId="107823253">
    <w:abstractNumId w:val="15"/>
  </w:num>
  <w:num w:numId="10" w16cid:durableId="1613318175">
    <w:abstractNumId w:val="14"/>
    <w:lvlOverride w:ilvl="0">
      <w:startOverride w:val="1"/>
    </w:lvlOverride>
  </w:num>
  <w:num w:numId="11" w16cid:durableId="1658725632">
    <w:abstractNumId w:val="6"/>
  </w:num>
  <w:num w:numId="12" w16cid:durableId="1739327572">
    <w:abstractNumId w:val="14"/>
  </w:num>
  <w:num w:numId="13" w16cid:durableId="1276400633">
    <w:abstractNumId w:val="16"/>
  </w:num>
  <w:num w:numId="14" w16cid:durableId="709839344">
    <w:abstractNumId w:val="7"/>
  </w:num>
  <w:num w:numId="15" w16cid:durableId="950169575">
    <w:abstractNumId w:val="14"/>
    <w:lvlOverride w:ilvl="0">
      <w:startOverride w:val="1"/>
    </w:lvlOverride>
  </w:num>
  <w:num w:numId="16" w16cid:durableId="1017657514">
    <w:abstractNumId w:val="12"/>
  </w:num>
  <w:num w:numId="17" w16cid:durableId="757947046">
    <w:abstractNumId w:val="13"/>
  </w:num>
  <w:num w:numId="18" w16cid:durableId="1468472089">
    <w:abstractNumId w:val="8"/>
  </w:num>
  <w:num w:numId="19" w16cid:durableId="417213160">
    <w:abstractNumId w:val="10"/>
  </w:num>
  <w:num w:numId="20" w16cid:durableId="308093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F"/>
    <w:rsid w:val="00000FFE"/>
    <w:rsid w:val="00001983"/>
    <w:rsid w:val="00004F35"/>
    <w:rsid w:val="000076DF"/>
    <w:rsid w:val="00013813"/>
    <w:rsid w:val="00014AB2"/>
    <w:rsid w:val="00022F43"/>
    <w:rsid w:val="000232E0"/>
    <w:rsid w:val="0002631E"/>
    <w:rsid w:val="00030551"/>
    <w:rsid w:val="00031228"/>
    <w:rsid w:val="00031C63"/>
    <w:rsid w:val="00036A57"/>
    <w:rsid w:val="000573E7"/>
    <w:rsid w:val="0006335D"/>
    <w:rsid w:val="00066048"/>
    <w:rsid w:val="00070CA2"/>
    <w:rsid w:val="00073621"/>
    <w:rsid w:val="00075EA1"/>
    <w:rsid w:val="00082FB3"/>
    <w:rsid w:val="00092428"/>
    <w:rsid w:val="000A22B4"/>
    <w:rsid w:val="000A2EE6"/>
    <w:rsid w:val="000A6775"/>
    <w:rsid w:val="000A77BE"/>
    <w:rsid w:val="000B05F3"/>
    <w:rsid w:val="000B4387"/>
    <w:rsid w:val="000C020F"/>
    <w:rsid w:val="000C0B27"/>
    <w:rsid w:val="000C16B1"/>
    <w:rsid w:val="000C4BCA"/>
    <w:rsid w:val="000C5047"/>
    <w:rsid w:val="000C5E10"/>
    <w:rsid w:val="000D143F"/>
    <w:rsid w:val="000D2C45"/>
    <w:rsid w:val="000D53B7"/>
    <w:rsid w:val="000D5856"/>
    <w:rsid w:val="000D586C"/>
    <w:rsid w:val="000D60E9"/>
    <w:rsid w:val="000D6557"/>
    <w:rsid w:val="000E14E8"/>
    <w:rsid w:val="000E2A42"/>
    <w:rsid w:val="000E5EF1"/>
    <w:rsid w:val="000F4085"/>
    <w:rsid w:val="000F5372"/>
    <w:rsid w:val="000F5594"/>
    <w:rsid w:val="000F75F8"/>
    <w:rsid w:val="000F7ECE"/>
    <w:rsid w:val="001014BC"/>
    <w:rsid w:val="00106E8F"/>
    <w:rsid w:val="00107021"/>
    <w:rsid w:val="001078CD"/>
    <w:rsid w:val="0011499C"/>
    <w:rsid w:val="00116E8F"/>
    <w:rsid w:val="001250B2"/>
    <w:rsid w:val="00133A35"/>
    <w:rsid w:val="0015284C"/>
    <w:rsid w:val="00153A19"/>
    <w:rsid w:val="00160DD6"/>
    <w:rsid w:val="00161E1F"/>
    <w:rsid w:val="00177C40"/>
    <w:rsid w:val="00190A6E"/>
    <w:rsid w:val="001A00C7"/>
    <w:rsid w:val="001A0611"/>
    <w:rsid w:val="001A4BBC"/>
    <w:rsid w:val="001A5237"/>
    <w:rsid w:val="001A6CD7"/>
    <w:rsid w:val="001B7481"/>
    <w:rsid w:val="001C0B76"/>
    <w:rsid w:val="001C117B"/>
    <w:rsid w:val="001C1D51"/>
    <w:rsid w:val="001C4274"/>
    <w:rsid w:val="001C50AA"/>
    <w:rsid w:val="001D5BA5"/>
    <w:rsid w:val="001D5E27"/>
    <w:rsid w:val="001D6197"/>
    <w:rsid w:val="001D64F2"/>
    <w:rsid w:val="001E41D1"/>
    <w:rsid w:val="001E741E"/>
    <w:rsid w:val="001F00F9"/>
    <w:rsid w:val="001F5816"/>
    <w:rsid w:val="001F7A66"/>
    <w:rsid w:val="00212C61"/>
    <w:rsid w:val="0021351B"/>
    <w:rsid w:val="0021364B"/>
    <w:rsid w:val="002149B1"/>
    <w:rsid w:val="00225A0E"/>
    <w:rsid w:val="002307AD"/>
    <w:rsid w:val="002312F8"/>
    <w:rsid w:val="002314C8"/>
    <w:rsid w:val="00236661"/>
    <w:rsid w:val="002408AC"/>
    <w:rsid w:val="00242146"/>
    <w:rsid w:val="0024246C"/>
    <w:rsid w:val="0024255A"/>
    <w:rsid w:val="00251BDE"/>
    <w:rsid w:val="00252315"/>
    <w:rsid w:val="0025367E"/>
    <w:rsid w:val="0025435B"/>
    <w:rsid w:val="0025610F"/>
    <w:rsid w:val="002623C9"/>
    <w:rsid w:val="00262799"/>
    <w:rsid w:val="00262D5C"/>
    <w:rsid w:val="002818BF"/>
    <w:rsid w:val="00282283"/>
    <w:rsid w:val="00282413"/>
    <w:rsid w:val="00282C66"/>
    <w:rsid w:val="002831DC"/>
    <w:rsid w:val="00290345"/>
    <w:rsid w:val="002938A6"/>
    <w:rsid w:val="00294AF4"/>
    <w:rsid w:val="0029512E"/>
    <w:rsid w:val="002B34EF"/>
    <w:rsid w:val="002C6B5F"/>
    <w:rsid w:val="002D019C"/>
    <w:rsid w:val="002D0929"/>
    <w:rsid w:val="002D1909"/>
    <w:rsid w:val="002D1FB2"/>
    <w:rsid w:val="002D282E"/>
    <w:rsid w:val="002D33DF"/>
    <w:rsid w:val="002D52E1"/>
    <w:rsid w:val="002D7A16"/>
    <w:rsid w:val="002E0392"/>
    <w:rsid w:val="002E1CD7"/>
    <w:rsid w:val="002E277D"/>
    <w:rsid w:val="002E71A0"/>
    <w:rsid w:val="002F68AC"/>
    <w:rsid w:val="002F6D51"/>
    <w:rsid w:val="00301173"/>
    <w:rsid w:val="00302207"/>
    <w:rsid w:val="00302CBB"/>
    <w:rsid w:val="00302DB1"/>
    <w:rsid w:val="003053DF"/>
    <w:rsid w:val="00306129"/>
    <w:rsid w:val="00311EA8"/>
    <w:rsid w:val="003125A8"/>
    <w:rsid w:val="00313D22"/>
    <w:rsid w:val="00314E78"/>
    <w:rsid w:val="00327325"/>
    <w:rsid w:val="00334868"/>
    <w:rsid w:val="00334ADE"/>
    <w:rsid w:val="00334F1F"/>
    <w:rsid w:val="003406B6"/>
    <w:rsid w:val="00344E19"/>
    <w:rsid w:val="0034513E"/>
    <w:rsid w:val="003465EA"/>
    <w:rsid w:val="00346D70"/>
    <w:rsid w:val="003521E3"/>
    <w:rsid w:val="00352D59"/>
    <w:rsid w:val="00353F41"/>
    <w:rsid w:val="00354D48"/>
    <w:rsid w:val="00363E39"/>
    <w:rsid w:val="003744A4"/>
    <w:rsid w:val="003748E5"/>
    <w:rsid w:val="00381BAC"/>
    <w:rsid w:val="00386CD5"/>
    <w:rsid w:val="00395200"/>
    <w:rsid w:val="00397A83"/>
    <w:rsid w:val="00397B57"/>
    <w:rsid w:val="003A4A83"/>
    <w:rsid w:val="003A4CA5"/>
    <w:rsid w:val="003B226E"/>
    <w:rsid w:val="003B2674"/>
    <w:rsid w:val="003B486F"/>
    <w:rsid w:val="003B4B3D"/>
    <w:rsid w:val="003B71F9"/>
    <w:rsid w:val="003B7B0E"/>
    <w:rsid w:val="003C1E23"/>
    <w:rsid w:val="003C2CF0"/>
    <w:rsid w:val="003C5608"/>
    <w:rsid w:val="003C5D1F"/>
    <w:rsid w:val="003C76DA"/>
    <w:rsid w:val="003D3737"/>
    <w:rsid w:val="003E37FE"/>
    <w:rsid w:val="003E3D0D"/>
    <w:rsid w:val="003E4B4A"/>
    <w:rsid w:val="003F0672"/>
    <w:rsid w:val="003F45C8"/>
    <w:rsid w:val="003F7CD8"/>
    <w:rsid w:val="00400BCB"/>
    <w:rsid w:val="004117E6"/>
    <w:rsid w:val="00422154"/>
    <w:rsid w:val="0042499B"/>
    <w:rsid w:val="00425281"/>
    <w:rsid w:val="0042539D"/>
    <w:rsid w:val="00425658"/>
    <w:rsid w:val="00426100"/>
    <w:rsid w:val="00426892"/>
    <w:rsid w:val="00426A15"/>
    <w:rsid w:val="0043098A"/>
    <w:rsid w:val="00436410"/>
    <w:rsid w:val="004373E1"/>
    <w:rsid w:val="0044310A"/>
    <w:rsid w:val="00453082"/>
    <w:rsid w:val="00455625"/>
    <w:rsid w:val="00461254"/>
    <w:rsid w:val="00461CBB"/>
    <w:rsid w:val="00467352"/>
    <w:rsid w:val="00470690"/>
    <w:rsid w:val="00473DFC"/>
    <w:rsid w:val="004744EC"/>
    <w:rsid w:val="00475B10"/>
    <w:rsid w:val="00487F0F"/>
    <w:rsid w:val="004925D3"/>
    <w:rsid w:val="00494990"/>
    <w:rsid w:val="00495D34"/>
    <w:rsid w:val="004A6F44"/>
    <w:rsid w:val="004B1E98"/>
    <w:rsid w:val="004B340F"/>
    <w:rsid w:val="004B547A"/>
    <w:rsid w:val="004C5AA1"/>
    <w:rsid w:val="004D3751"/>
    <w:rsid w:val="004D5431"/>
    <w:rsid w:val="004E105D"/>
    <w:rsid w:val="004E2096"/>
    <w:rsid w:val="004E4299"/>
    <w:rsid w:val="004E4B64"/>
    <w:rsid w:val="004E5C2E"/>
    <w:rsid w:val="004E6C67"/>
    <w:rsid w:val="004F1BD7"/>
    <w:rsid w:val="004F578B"/>
    <w:rsid w:val="004F7538"/>
    <w:rsid w:val="005027C4"/>
    <w:rsid w:val="0050529C"/>
    <w:rsid w:val="0050608C"/>
    <w:rsid w:val="00507B76"/>
    <w:rsid w:val="0051252D"/>
    <w:rsid w:val="0052157D"/>
    <w:rsid w:val="00521AD6"/>
    <w:rsid w:val="005279B2"/>
    <w:rsid w:val="00527B46"/>
    <w:rsid w:val="00533AA1"/>
    <w:rsid w:val="0053647D"/>
    <w:rsid w:val="00545074"/>
    <w:rsid w:val="005471D8"/>
    <w:rsid w:val="00547F1A"/>
    <w:rsid w:val="00554654"/>
    <w:rsid w:val="00563052"/>
    <w:rsid w:val="005650A3"/>
    <w:rsid w:val="0056527A"/>
    <w:rsid w:val="00567536"/>
    <w:rsid w:val="00571267"/>
    <w:rsid w:val="005721DD"/>
    <w:rsid w:val="005823CC"/>
    <w:rsid w:val="00582B50"/>
    <w:rsid w:val="0058346F"/>
    <w:rsid w:val="005851E8"/>
    <w:rsid w:val="00593B5D"/>
    <w:rsid w:val="00593EFD"/>
    <w:rsid w:val="00596A8C"/>
    <w:rsid w:val="005A33E8"/>
    <w:rsid w:val="005A3837"/>
    <w:rsid w:val="005A6B53"/>
    <w:rsid w:val="005B34EC"/>
    <w:rsid w:val="005B4B92"/>
    <w:rsid w:val="005B5B21"/>
    <w:rsid w:val="005C0136"/>
    <w:rsid w:val="005C02A7"/>
    <w:rsid w:val="005C178E"/>
    <w:rsid w:val="005C2D6E"/>
    <w:rsid w:val="005C3D23"/>
    <w:rsid w:val="005C5DEE"/>
    <w:rsid w:val="005C6D62"/>
    <w:rsid w:val="005D149C"/>
    <w:rsid w:val="005D31F9"/>
    <w:rsid w:val="005D3457"/>
    <w:rsid w:val="005D57DE"/>
    <w:rsid w:val="005D785D"/>
    <w:rsid w:val="005E0B49"/>
    <w:rsid w:val="005E13DC"/>
    <w:rsid w:val="005E1EDF"/>
    <w:rsid w:val="005E43A2"/>
    <w:rsid w:val="005E46EE"/>
    <w:rsid w:val="005E7367"/>
    <w:rsid w:val="005F2AB5"/>
    <w:rsid w:val="005F63A5"/>
    <w:rsid w:val="005F7116"/>
    <w:rsid w:val="005F7A89"/>
    <w:rsid w:val="00600563"/>
    <w:rsid w:val="00602359"/>
    <w:rsid w:val="00604B6B"/>
    <w:rsid w:val="00612100"/>
    <w:rsid w:val="00617387"/>
    <w:rsid w:val="00617457"/>
    <w:rsid w:val="00620FAF"/>
    <w:rsid w:val="00624423"/>
    <w:rsid w:val="0064208E"/>
    <w:rsid w:val="00644B28"/>
    <w:rsid w:val="00645B91"/>
    <w:rsid w:val="00651D61"/>
    <w:rsid w:val="006523B5"/>
    <w:rsid w:val="00652FF8"/>
    <w:rsid w:val="00655936"/>
    <w:rsid w:val="006631C3"/>
    <w:rsid w:val="00663B8F"/>
    <w:rsid w:val="00667943"/>
    <w:rsid w:val="00667AFD"/>
    <w:rsid w:val="006729AF"/>
    <w:rsid w:val="00675ABA"/>
    <w:rsid w:val="00677DD3"/>
    <w:rsid w:val="0068460A"/>
    <w:rsid w:val="00684FE1"/>
    <w:rsid w:val="00693E43"/>
    <w:rsid w:val="0069440A"/>
    <w:rsid w:val="006A0BF9"/>
    <w:rsid w:val="006A1AA0"/>
    <w:rsid w:val="006A315A"/>
    <w:rsid w:val="006A4E5C"/>
    <w:rsid w:val="006B5F46"/>
    <w:rsid w:val="006B70B9"/>
    <w:rsid w:val="006C49C1"/>
    <w:rsid w:val="006C57DA"/>
    <w:rsid w:val="006D1FD5"/>
    <w:rsid w:val="006D3C50"/>
    <w:rsid w:val="006E01DE"/>
    <w:rsid w:val="006E1ADA"/>
    <w:rsid w:val="006E6BE6"/>
    <w:rsid w:val="006E6E3F"/>
    <w:rsid w:val="006F25F6"/>
    <w:rsid w:val="006F35AE"/>
    <w:rsid w:val="006F35F5"/>
    <w:rsid w:val="006F6FC7"/>
    <w:rsid w:val="00702785"/>
    <w:rsid w:val="00702DC4"/>
    <w:rsid w:val="00707700"/>
    <w:rsid w:val="00710553"/>
    <w:rsid w:val="00731723"/>
    <w:rsid w:val="007328A4"/>
    <w:rsid w:val="00733506"/>
    <w:rsid w:val="00740434"/>
    <w:rsid w:val="0074045B"/>
    <w:rsid w:val="007421BC"/>
    <w:rsid w:val="00744166"/>
    <w:rsid w:val="00750B05"/>
    <w:rsid w:val="007513E4"/>
    <w:rsid w:val="00757B5E"/>
    <w:rsid w:val="00760C5B"/>
    <w:rsid w:val="007649B1"/>
    <w:rsid w:val="0076526A"/>
    <w:rsid w:val="00765D15"/>
    <w:rsid w:val="0076607A"/>
    <w:rsid w:val="00770099"/>
    <w:rsid w:val="0078367B"/>
    <w:rsid w:val="00783691"/>
    <w:rsid w:val="00784CAE"/>
    <w:rsid w:val="0078607A"/>
    <w:rsid w:val="00792F83"/>
    <w:rsid w:val="00793765"/>
    <w:rsid w:val="00795B06"/>
    <w:rsid w:val="007975DF"/>
    <w:rsid w:val="007A1D2C"/>
    <w:rsid w:val="007A2F98"/>
    <w:rsid w:val="007A662F"/>
    <w:rsid w:val="007A6AA4"/>
    <w:rsid w:val="007B40B5"/>
    <w:rsid w:val="007B50E1"/>
    <w:rsid w:val="007B63A8"/>
    <w:rsid w:val="007B749F"/>
    <w:rsid w:val="007C0CCB"/>
    <w:rsid w:val="007C6750"/>
    <w:rsid w:val="007D1348"/>
    <w:rsid w:val="007D300E"/>
    <w:rsid w:val="007E5662"/>
    <w:rsid w:val="007F1857"/>
    <w:rsid w:val="007F4A80"/>
    <w:rsid w:val="007F76DD"/>
    <w:rsid w:val="007F7AE8"/>
    <w:rsid w:val="008108E4"/>
    <w:rsid w:val="00812F76"/>
    <w:rsid w:val="0081537A"/>
    <w:rsid w:val="0082451C"/>
    <w:rsid w:val="00827D13"/>
    <w:rsid w:val="008334BE"/>
    <w:rsid w:val="008372D3"/>
    <w:rsid w:val="0084206A"/>
    <w:rsid w:val="00844077"/>
    <w:rsid w:val="008447CE"/>
    <w:rsid w:val="0084679D"/>
    <w:rsid w:val="008537D4"/>
    <w:rsid w:val="00856739"/>
    <w:rsid w:val="00856C1F"/>
    <w:rsid w:val="008570D5"/>
    <w:rsid w:val="008609C3"/>
    <w:rsid w:val="00871CA9"/>
    <w:rsid w:val="00874F95"/>
    <w:rsid w:val="0088587D"/>
    <w:rsid w:val="00890C45"/>
    <w:rsid w:val="00890E3A"/>
    <w:rsid w:val="00893843"/>
    <w:rsid w:val="008942E5"/>
    <w:rsid w:val="008964DB"/>
    <w:rsid w:val="0089698A"/>
    <w:rsid w:val="008A2630"/>
    <w:rsid w:val="008A41E6"/>
    <w:rsid w:val="008A682F"/>
    <w:rsid w:val="008B44A9"/>
    <w:rsid w:val="008C16B4"/>
    <w:rsid w:val="008C3958"/>
    <w:rsid w:val="008C6A6C"/>
    <w:rsid w:val="008D0679"/>
    <w:rsid w:val="008D071C"/>
    <w:rsid w:val="008D4201"/>
    <w:rsid w:val="008D42DC"/>
    <w:rsid w:val="008E0C25"/>
    <w:rsid w:val="008E0DAF"/>
    <w:rsid w:val="008E3270"/>
    <w:rsid w:val="008F1E46"/>
    <w:rsid w:val="008F571B"/>
    <w:rsid w:val="008F7E04"/>
    <w:rsid w:val="008F7F0F"/>
    <w:rsid w:val="00901458"/>
    <w:rsid w:val="00901628"/>
    <w:rsid w:val="009024C4"/>
    <w:rsid w:val="009028B6"/>
    <w:rsid w:val="00912BD0"/>
    <w:rsid w:val="00913E9C"/>
    <w:rsid w:val="00916A18"/>
    <w:rsid w:val="00917DB3"/>
    <w:rsid w:val="00920B37"/>
    <w:rsid w:val="00922C23"/>
    <w:rsid w:val="00922D9C"/>
    <w:rsid w:val="00925DCC"/>
    <w:rsid w:val="00927A6A"/>
    <w:rsid w:val="00930246"/>
    <w:rsid w:val="009309FB"/>
    <w:rsid w:val="00931FD1"/>
    <w:rsid w:val="00932659"/>
    <w:rsid w:val="0093277A"/>
    <w:rsid w:val="009408A3"/>
    <w:rsid w:val="00940D3B"/>
    <w:rsid w:val="0095023F"/>
    <w:rsid w:val="00951F28"/>
    <w:rsid w:val="00953435"/>
    <w:rsid w:val="00954809"/>
    <w:rsid w:val="00962C85"/>
    <w:rsid w:val="0096616D"/>
    <w:rsid w:val="00967C6F"/>
    <w:rsid w:val="0097248B"/>
    <w:rsid w:val="009729AF"/>
    <w:rsid w:val="009730EE"/>
    <w:rsid w:val="009741A4"/>
    <w:rsid w:val="0097594C"/>
    <w:rsid w:val="00980AD2"/>
    <w:rsid w:val="00981FA8"/>
    <w:rsid w:val="00987CC8"/>
    <w:rsid w:val="009A184F"/>
    <w:rsid w:val="009A338C"/>
    <w:rsid w:val="009A40A9"/>
    <w:rsid w:val="009A4232"/>
    <w:rsid w:val="009A57AA"/>
    <w:rsid w:val="009B5E61"/>
    <w:rsid w:val="009B755F"/>
    <w:rsid w:val="009C1020"/>
    <w:rsid w:val="009C6B35"/>
    <w:rsid w:val="009D6D35"/>
    <w:rsid w:val="009D7A2E"/>
    <w:rsid w:val="009E271A"/>
    <w:rsid w:val="009E4411"/>
    <w:rsid w:val="009E7489"/>
    <w:rsid w:val="009F03D6"/>
    <w:rsid w:val="009F35BB"/>
    <w:rsid w:val="009F5DA9"/>
    <w:rsid w:val="009F759B"/>
    <w:rsid w:val="00A07472"/>
    <w:rsid w:val="00A234DD"/>
    <w:rsid w:val="00A254C3"/>
    <w:rsid w:val="00A315DE"/>
    <w:rsid w:val="00A33E4B"/>
    <w:rsid w:val="00A34377"/>
    <w:rsid w:val="00A3740E"/>
    <w:rsid w:val="00A37748"/>
    <w:rsid w:val="00A412F3"/>
    <w:rsid w:val="00A4451A"/>
    <w:rsid w:val="00A45068"/>
    <w:rsid w:val="00A46F88"/>
    <w:rsid w:val="00A546C8"/>
    <w:rsid w:val="00A5741E"/>
    <w:rsid w:val="00A6183C"/>
    <w:rsid w:val="00A65022"/>
    <w:rsid w:val="00A66E93"/>
    <w:rsid w:val="00A7366B"/>
    <w:rsid w:val="00A75342"/>
    <w:rsid w:val="00A8095E"/>
    <w:rsid w:val="00A81059"/>
    <w:rsid w:val="00A84D3B"/>
    <w:rsid w:val="00A90E58"/>
    <w:rsid w:val="00A96166"/>
    <w:rsid w:val="00A966B0"/>
    <w:rsid w:val="00A979A3"/>
    <w:rsid w:val="00AA0536"/>
    <w:rsid w:val="00AA4A5C"/>
    <w:rsid w:val="00AA73E5"/>
    <w:rsid w:val="00AB25DD"/>
    <w:rsid w:val="00AB52B6"/>
    <w:rsid w:val="00AB5D51"/>
    <w:rsid w:val="00AC0760"/>
    <w:rsid w:val="00AC387E"/>
    <w:rsid w:val="00AC3A21"/>
    <w:rsid w:val="00AD5127"/>
    <w:rsid w:val="00AE0E0A"/>
    <w:rsid w:val="00AE3E37"/>
    <w:rsid w:val="00AE649F"/>
    <w:rsid w:val="00AE7EA6"/>
    <w:rsid w:val="00AF1CF0"/>
    <w:rsid w:val="00AF5DF7"/>
    <w:rsid w:val="00AF6FA7"/>
    <w:rsid w:val="00B01538"/>
    <w:rsid w:val="00B04419"/>
    <w:rsid w:val="00B063FC"/>
    <w:rsid w:val="00B0748B"/>
    <w:rsid w:val="00B07494"/>
    <w:rsid w:val="00B218A4"/>
    <w:rsid w:val="00B313E6"/>
    <w:rsid w:val="00B328EB"/>
    <w:rsid w:val="00B33E05"/>
    <w:rsid w:val="00B37093"/>
    <w:rsid w:val="00B3709A"/>
    <w:rsid w:val="00B40615"/>
    <w:rsid w:val="00B43542"/>
    <w:rsid w:val="00B54F71"/>
    <w:rsid w:val="00B61CCE"/>
    <w:rsid w:val="00B639C0"/>
    <w:rsid w:val="00B6743D"/>
    <w:rsid w:val="00B674E8"/>
    <w:rsid w:val="00B6790D"/>
    <w:rsid w:val="00B706C9"/>
    <w:rsid w:val="00B71D27"/>
    <w:rsid w:val="00B73E8B"/>
    <w:rsid w:val="00B743AC"/>
    <w:rsid w:val="00B74537"/>
    <w:rsid w:val="00B7643A"/>
    <w:rsid w:val="00B81977"/>
    <w:rsid w:val="00B83E5F"/>
    <w:rsid w:val="00B8689A"/>
    <w:rsid w:val="00B870B5"/>
    <w:rsid w:val="00B908BD"/>
    <w:rsid w:val="00B9330D"/>
    <w:rsid w:val="00B94EAD"/>
    <w:rsid w:val="00B99B92"/>
    <w:rsid w:val="00BA0522"/>
    <w:rsid w:val="00BA0A5E"/>
    <w:rsid w:val="00BA1C81"/>
    <w:rsid w:val="00BA7D42"/>
    <w:rsid w:val="00BB05C4"/>
    <w:rsid w:val="00BB1450"/>
    <w:rsid w:val="00BB271A"/>
    <w:rsid w:val="00BB2C68"/>
    <w:rsid w:val="00BB31B4"/>
    <w:rsid w:val="00BC0FF3"/>
    <w:rsid w:val="00BC3235"/>
    <w:rsid w:val="00BC4ABE"/>
    <w:rsid w:val="00BC6CE7"/>
    <w:rsid w:val="00BC7C2A"/>
    <w:rsid w:val="00BE593D"/>
    <w:rsid w:val="00BF0644"/>
    <w:rsid w:val="00BF6C21"/>
    <w:rsid w:val="00C038F3"/>
    <w:rsid w:val="00C07042"/>
    <w:rsid w:val="00C0705A"/>
    <w:rsid w:val="00C10846"/>
    <w:rsid w:val="00C21133"/>
    <w:rsid w:val="00C22C69"/>
    <w:rsid w:val="00C236F7"/>
    <w:rsid w:val="00C24275"/>
    <w:rsid w:val="00C26774"/>
    <w:rsid w:val="00C270F0"/>
    <w:rsid w:val="00C36116"/>
    <w:rsid w:val="00C4099C"/>
    <w:rsid w:val="00C4159E"/>
    <w:rsid w:val="00C42F40"/>
    <w:rsid w:val="00C46EE3"/>
    <w:rsid w:val="00C51160"/>
    <w:rsid w:val="00C63B57"/>
    <w:rsid w:val="00C64E51"/>
    <w:rsid w:val="00C70528"/>
    <w:rsid w:val="00C71452"/>
    <w:rsid w:val="00C93E16"/>
    <w:rsid w:val="00C9650F"/>
    <w:rsid w:val="00C97F7C"/>
    <w:rsid w:val="00CB38E1"/>
    <w:rsid w:val="00CB4292"/>
    <w:rsid w:val="00CB4F9C"/>
    <w:rsid w:val="00CB6AF4"/>
    <w:rsid w:val="00CB6C40"/>
    <w:rsid w:val="00CB7CDE"/>
    <w:rsid w:val="00CC50FA"/>
    <w:rsid w:val="00CC79E4"/>
    <w:rsid w:val="00CE2445"/>
    <w:rsid w:val="00CE47ED"/>
    <w:rsid w:val="00CE6DFC"/>
    <w:rsid w:val="00CF3DD5"/>
    <w:rsid w:val="00CF6CB0"/>
    <w:rsid w:val="00D02F1E"/>
    <w:rsid w:val="00D0300D"/>
    <w:rsid w:val="00D03F10"/>
    <w:rsid w:val="00D058F0"/>
    <w:rsid w:val="00D10B12"/>
    <w:rsid w:val="00D15735"/>
    <w:rsid w:val="00D15FB1"/>
    <w:rsid w:val="00D20205"/>
    <w:rsid w:val="00D202DA"/>
    <w:rsid w:val="00D2153C"/>
    <w:rsid w:val="00D2627A"/>
    <w:rsid w:val="00D27AAC"/>
    <w:rsid w:val="00D30902"/>
    <w:rsid w:val="00D31F15"/>
    <w:rsid w:val="00D32EB3"/>
    <w:rsid w:val="00D3363B"/>
    <w:rsid w:val="00D34462"/>
    <w:rsid w:val="00D34EFD"/>
    <w:rsid w:val="00D45B27"/>
    <w:rsid w:val="00D46849"/>
    <w:rsid w:val="00D53723"/>
    <w:rsid w:val="00D53A94"/>
    <w:rsid w:val="00D55EA2"/>
    <w:rsid w:val="00D60CED"/>
    <w:rsid w:val="00D60E2C"/>
    <w:rsid w:val="00D61404"/>
    <w:rsid w:val="00D71E99"/>
    <w:rsid w:val="00D7339F"/>
    <w:rsid w:val="00D862B8"/>
    <w:rsid w:val="00D87087"/>
    <w:rsid w:val="00D905A8"/>
    <w:rsid w:val="00D90BD3"/>
    <w:rsid w:val="00D90F19"/>
    <w:rsid w:val="00D958CB"/>
    <w:rsid w:val="00D964B6"/>
    <w:rsid w:val="00D96748"/>
    <w:rsid w:val="00DB03A0"/>
    <w:rsid w:val="00DB37A7"/>
    <w:rsid w:val="00DB3C1E"/>
    <w:rsid w:val="00DB4682"/>
    <w:rsid w:val="00DB4D50"/>
    <w:rsid w:val="00DB58E3"/>
    <w:rsid w:val="00DC420C"/>
    <w:rsid w:val="00DC6B51"/>
    <w:rsid w:val="00DD1EA2"/>
    <w:rsid w:val="00DE5D6A"/>
    <w:rsid w:val="00DE7CDB"/>
    <w:rsid w:val="00DF1EEC"/>
    <w:rsid w:val="00DF36AF"/>
    <w:rsid w:val="00DF4905"/>
    <w:rsid w:val="00E00D93"/>
    <w:rsid w:val="00E014D0"/>
    <w:rsid w:val="00E05D38"/>
    <w:rsid w:val="00E0673D"/>
    <w:rsid w:val="00E06BA0"/>
    <w:rsid w:val="00E07022"/>
    <w:rsid w:val="00E136AD"/>
    <w:rsid w:val="00E17523"/>
    <w:rsid w:val="00E217C0"/>
    <w:rsid w:val="00E21EBE"/>
    <w:rsid w:val="00E3095B"/>
    <w:rsid w:val="00E31855"/>
    <w:rsid w:val="00E34D92"/>
    <w:rsid w:val="00E35439"/>
    <w:rsid w:val="00E40275"/>
    <w:rsid w:val="00E4262A"/>
    <w:rsid w:val="00E470F3"/>
    <w:rsid w:val="00E56BB0"/>
    <w:rsid w:val="00E5739D"/>
    <w:rsid w:val="00E72754"/>
    <w:rsid w:val="00E736DF"/>
    <w:rsid w:val="00E76473"/>
    <w:rsid w:val="00E8279C"/>
    <w:rsid w:val="00E82B9C"/>
    <w:rsid w:val="00E86006"/>
    <w:rsid w:val="00E92CDC"/>
    <w:rsid w:val="00EA29C1"/>
    <w:rsid w:val="00EA2D82"/>
    <w:rsid w:val="00EA3ACF"/>
    <w:rsid w:val="00EA50E8"/>
    <w:rsid w:val="00EB05B7"/>
    <w:rsid w:val="00EB5594"/>
    <w:rsid w:val="00EB7D41"/>
    <w:rsid w:val="00EC101E"/>
    <w:rsid w:val="00EC4736"/>
    <w:rsid w:val="00EC4FBA"/>
    <w:rsid w:val="00EC5D2F"/>
    <w:rsid w:val="00ED0226"/>
    <w:rsid w:val="00ED52DF"/>
    <w:rsid w:val="00ED5E9F"/>
    <w:rsid w:val="00EE3325"/>
    <w:rsid w:val="00EE3DD2"/>
    <w:rsid w:val="00EE4EDC"/>
    <w:rsid w:val="00EE7715"/>
    <w:rsid w:val="00EF027D"/>
    <w:rsid w:val="00EF0799"/>
    <w:rsid w:val="00EF1388"/>
    <w:rsid w:val="00EF54D7"/>
    <w:rsid w:val="00F00F74"/>
    <w:rsid w:val="00F01C99"/>
    <w:rsid w:val="00F02FFA"/>
    <w:rsid w:val="00F03178"/>
    <w:rsid w:val="00F04312"/>
    <w:rsid w:val="00F10AED"/>
    <w:rsid w:val="00F11B8C"/>
    <w:rsid w:val="00F1534B"/>
    <w:rsid w:val="00F20FEF"/>
    <w:rsid w:val="00F21DD6"/>
    <w:rsid w:val="00F24C86"/>
    <w:rsid w:val="00F26F58"/>
    <w:rsid w:val="00F31F34"/>
    <w:rsid w:val="00F340C9"/>
    <w:rsid w:val="00F341B8"/>
    <w:rsid w:val="00F34F63"/>
    <w:rsid w:val="00F35566"/>
    <w:rsid w:val="00F37B12"/>
    <w:rsid w:val="00F40AE2"/>
    <w:rsid w:val="00F438BC"/>
    <w:rsid w:val="00F45E5E"/>
    <w:rsid w:val="00F50EF0"/>
    <w:rsid w:val="00F52A0A"/>
    <w:rsid w:val="00F53EA5"/>
    <w:rsid w:val="00F57A97"/>
    <w:rsid w:val="00F57BB7"/>
    <w:rsid w:val="00F60925"/>
    <w:rsid w:val="00F6109B"/>
    <w:rsid w:val="00F6309A"/>
    <w:rsid w:val="00F630D1"/>
    <w:rsid w:val="00F63C89"/>
    <w:rsid w:val="00F66E3F"/>
    <w:rsid w:val="00F70759"/>
    <w:rsid w:val="00F74629"/>
    <w:rsid w:val="00F75EA0"/>
    <w:rsid w:val="00F77BF8"/>
    <w:rsid w:val="00F859F9"/>
    <w:rsid w:val="00F87861"/>
    <w:rsid w:val="00F91017"/>
    <w:rsid w:val="00F9375A"/>
    <w:rsid w:val="00F96F12"/>
    <w:rsid w:val="00FA3811"/>
    <w:rsid w:val="00FA4FC1"/>
    <w:rsid w:val="00FB0297"/>
    <w:rsid w:val="00FB61EF"/>
    <w:rsid w:val="00FB7211"/>
    <w:rsid w:val="00FC36A8"/>
    <w:rsid w:val="00FC4068"/>
    <w:rsid w:val="00FC79F6"/>
    <w:rsid w:val="00FC7D09"/>
    <w:rsid w:val="00FD0C16"/>
    <w:rsid w:val="00FD56D0"/>
    <w:rsid w:val="00FD5997"/>
    <w:rsid w:val="00FD5B6E"/>
    <w:rsid w:val="00FE46A8"/>
    <w:rsid w:val="00FF509E"/>
    <w:rsid w:val="00FF78F6"/>
    <w:rsid w:val="00FF7D11"/>
    <w:rsid w:val="00FF7F0C"/>
    <w:rsid w:val="01362999"/>
    <w:rsid w:val="02F2326E"/>
    <w:rsid w:val="0441CB71"/>
    <w:rsid w:val="04AF820F"/>
    <w:rsid w:val="04CB6583"/>
    <w:rsid w:val="04F55C8A"/>
    <w:rsid w:val="056FD9E3"/>
    <w:rsid w:val="05CB4E42"/>
    <w:rsid w:val="0689193B"/>
    <w:rsid w:val="073013B1"/>
    <w:rsid w:val="0815D986"/>
    <w:rsid w:val="087A9A59"/>
    <w:rsid w:val="08B243C6"/>
    <w:rsid w:val="0919E88B"/>
    <w:rsid w:val="09331534"/>
    <w:rsid w:val="09B7FC3C"/>
    <w:rsid w:val="09C87DBC"/>
    <w:rsid w:val="09DD5D8F"/>
    <w:rsid w:val="09E6D629"/>
    <w:rsid w:val="09EFF3B0"/>
    <w:rsid w:val="0AC90F87"/>
    <w:rsid w:val="0AD0BF5C"/>
    <w:rsid w:val="0B337E0A"/>
    <w:rsid w:val="0B4FCBB8"/>
    <w:rsid w:val="0C15A955"/>
    <w:rsid w:val="0C53BA6B"/>
    <w:rsid w:val="0C554ECF"/>
    <w:rsid w:val="0C61B636"/>
    <w:rsid w:val="0C7FD4F0"/>
    <w:rsid w:val="0CCDF352"/>
    <w:rsid w:val="0E27460C"/>
    <w:rsid w:val="0E93639B"/>
    <w:rsid w:val="0F2A92FE"/>
    <w:rsid w:val="0FA22671"/>
    <w:rsid w:val="0FDDFCA8"/>
    <w:rsid w:val="1054680C"/>
    <w:rsid w:val="110EAB10"/>
    <w:rsid w:val="11603265"/>
    <w:rsid w:val="120A1B79"/>
    <w:rsid w:val="126C4E5C"/>
    <w:rsid w:val="12D41052"/>
    <w:rsid w:val="12FF0D1D"/>
    <w:rsid w:val="1307A42A"/>
    <w:rsid w:val="13FE13EF"/>
    <w:rsid w:val="1443CDB0"/>
    <w:rsid w:val="1479C142"/>
    <w:rsid w:val="15496AAA"/>
    <w:rsid w:val="15594FDF"/>
    <w:rsid w:val="15604436"/>
    <w:rsid w:val="15FF9AAF"/>
    <w:rsid w:val="16CB1E53"/>
    <w:rsid w:val="1736FF8B"/>
    <w:rsid w:val="17EAC733"/>
    <w:rsid w:val="186B5F23"/>
    <w:rsid w:val="18A6792D"/>
    <w:rsid w:val="19150CA0"/>
    <w:rsid w:val="19355D2F"/>
    <w:rsid w:val="19457065"/>
    <w:rsid w:val="197E1535"/>
    <w:rsid w:val="19853539"/>
    <w:rsid w:val="1AB99E96"/>
    <w:rsid w:val="1B3626B3"/>
    <w:rsid w:val="1B52CA52"/>
    <w:rsid w:val="1C46391B"/>
    <w:rsid w:val="1D2AAFD4"/>
    <w:rsid w:val="1D598F99"/>
    <w:rsid w:val="1DA659F7"/>
    <w:rsid w:val="1E93AD45"/>
    <w:rsid w:val="1E9CFCCD"/>
    <w:rsid w:val="1ECAD602"/>
    <w:rsid w:val="1FA488CA"/>
    <w:rsid w:val="21568602"/>
    <w:rsid w:val="21665442"/>
    <w:rsid w:val="216F7E89"/>
    <w:rsid w:val="22B8AC7F"/>
    <w:rsid w:val="22CAA301"/>
    <w:rsid w:val="240D9393"/>
    <w:rsid w:val="241A44BF"/>
    <w:rsid w:val="24698A41"/>
    <w:rsid w:val="24F56BC9"/>
    <w:rsid w:val="252243CC"/>
    <w:rsid w:val="25305221"/>
    <w:rsid w:val="25B2548D"/>
    <w:rsid w:val="2607C0EF"/>
    <w:rsid w:val="2685B7EE"/>
    <w:rsid w:val="27B241D5"/>
    <w:rsid w:val="27D2E867"/>
    <w:rsid w:val="2845D40A"/>
    <w:rsid w:val="2882F012"/>
    <w:rsid w:val="29AC86FB"/>
    <w:rsid w:val="2A00D42B"/>
    <w:rsid w:val="2A10DF2A"/>
    <w:rsid w:val="2ABF781A"/>
    <w:rsid w:val="2AF752DF"/>
    <w:rsid w:val="2BC2A37C"/>
    <w:rsid w:val="2BF51180"/>
    <w:rsid w:val="2C3275FA"/>
    <w:rsid w:val="2C3CD6DA"/>
    <w:rsid w:val="2DC3F886"/>
    <w:rsid w:val="2DE47159"/>
    <w:rsid w:val="2E4240A2"/>
    <w:rsid w:val="2FD3BD4D"/>
    <w:rsid w:val="307B39E7"/>
    <w:rsid w:val="31A48044"/>
    <w:rsid w:val="320565D1"/>
    <w:rsid w:val="321F5DC5"/>
    <w:rsid w:val="32325D30"/>
    <w:rsid w:val="32FD0B34"/>
    <w:rsid w:val="340C4961"/>
    <w:rsid w:val="3463A633"/>
    <w:rsid w:val="35F00EC6"/>
    <w:rsid w:val="360665B1"/>
    <w:rsid w:val="3797068C"/>
    <w:rsid w:val="37D6A5EE"/>
    <w:rsid w:val="381D9F4D"/>
    <w:rsid w:val="38AF1953"/>
    <w:rsid w:val="38FE4B34"/>
    <w:rsid w:val="39534E47"/>
    <w:rsid w:val="396BA8EA"/>
    <w:rsid w:val="3A4837E2"/>
    <w:rsid w:val="3BCC838B"/>
    <w:rsid w:val="3C38CAEE"/>
    <w:rsid w:val="3CAE868B"/>
    <w:rsid w:val="3CBDF760"/>
    <w:rsid w:val="3CD4AA21"/>
    <w:rsid w:val="3CE4044D"/>
    <w:rsid w:val="3D5317AF"/>
    <w:rsid w:val="3DA44E3E"/>
    <w:rsid w:val="3ED01FC9"/>
    <w:rsid w:val="3F1255C6"/>
    <w:rsid w:val="3F2AE5CA"/>
    <w:rsid w:val="40317A9F"/>
    <w:rsid w:val="4069D041"/>
    <w:rsid w:val="4086EDFC"/>
    <w:rsid w:val="40BD5070"/>
    <w:rsid w:val="414F32C9"/>
    <w:rsid w:val="4270DEB8"/>
    <w:rsid w:val="4303177A"/>
    <w:rsid w:val="43128820"/>
    <w:rsid w:val="4351B1D3"/>
    <w:rsid w:val="43A16B92"/>
    <w:rsid w:val="4488596E"/>
    <w:rsid w:val="4521FDEC"/>
    <w:rsid w:val="45264742"/>
    <w:rsid w:val="4578779F"/>
    <w:rsid w:val="45F2936F"/>
    <w:rsid w:val="46461624"/>
    <w:rsid w:val="474DCB57"/>
    <w:rsid w:val="475A76F9"/>
    <w:rsid w:val="4827E0CB"/>
    <w:rsid w:val="488BEDD8"/>
    <w:rsid w:val="48A58E9B"/>
    <w:rsid w:val="48BD8E1E"/>
    <w:rsid w:val="48DDB095"/>
    <w:rsid w:val="493F8606"/>
    <w:rsid w:val="4958DEFD"/>
    <w:rsid w:val="4974FB36"/>
    <w:rsid w:val="49E25235"/>
    <w:rsid w:val="4BBAEBEB"/>
    <w:rsid w:val="4BDEFF67"/>
    <w:rsid w:val="4C372AC2"/>
    <w:rsid w:val="4CCDD908"/>
    <w:rsid w:val="4DB8CCC9"/>
    <w:rsid w:val="4E1B7FC0"/>
    <w:rsid w:val="4FF2D747"/>
    <w:rsid w:val="501BEE22"/>
    <w:rsid w:val="507F80D8"/>
    <w:rsid w:val="512A9E7B"/>
    <w:rsid w:val="51CA0723"/>
    <w:rsid w:val="53209DD4"/>
    <w:rsid w:val="543586D2"/>
    <w:rsid w:val="54BF98E0"/>
    <w:rsid w:val="55369175"/>
    <w:rsid w:val="553C477B"/>
    <w:rsid w:val="55F73B5C"/>
    <w:rsid w:val="56909327"/>
    <w:rsid w:val="57C6AE0A"/>
    <w:rsid w:val="57D3C053"/>
    <w:rsid w:val="57F2020B"/>
    <w:rsid w:val="58739315"/>
    <w:rsid w:val="598B6F51"/>
    <w:rsid w:val="599BBAEC"/>
    <w:rsid w:val="59C50A01"/>
    <w:rsid w:val="5A28051E"/>
    <w:rsid w:val="5ACEC1E6"/>
    <w:rsid w:val="5B17BFF9"/>
    <w:rsid w:val="5B29242A"/>
    <w:rsid w:val="5B8E550D"/>
    <w:rsid w:val="5CAF07D3"/>
    <w:rsid w:val="5D24A9E9"/>
    <w:rsid w:val="5EC80EC2"/>
    <w:rsid w:val="5EE224BC"/>
    <w:rsid w:val="5FA67B2E"/>
    <w:rsid w:val="5FCBAA46"/>
    <w:rsid w:val="5FFFA747"/>
    <w:rsid w:val="601E5EAE"/>
    <w:rsid w:val="6021BF61"/>
    <w:rsid w:val="60E6B9EA"/>
    <w:rsid w:val="6264014D"/>
    <w:rsid w:val="634CE9E8"/>
    <w:rsid w:val="6368B130"/>
    <w:rsid w:val="64627419"/>
    <w:rsid w:val="646EC1F1"/>
    <w:rsid w:val="64DC446C"/>
    <w:rsid w:val="651690B2"/>
    <w:rsid w:val="65244020"/>
    <w:rsid w:val="66A927C0"/>
    <w:rsid w:val="6701AC17"/>
    <w:rsid w:val="673DC1DB"/>
    <w:rsid w:val="67B0FC9C"/>
    <w:rsid w:val="68093C24"/>
    <w:rsid w:val="6827C016"/>
    <w:rsid w:val="684E0F25"/>
    <w:rsid w:val="68742831"/>
    <w:rsid w:val="6A0B0276"/>
    <w:rsid w:val="6A7685BD"/>
    <w:rsid w:val="6A7D0191"/>
    <w:rsid w:val="6A872C80"/>
    <w:rsid w:val="6A9F63E7"/>
    <w:rsid w:val="6AC603E6"/>
    <w:rsid w:val="6ADB9A2E"/>
    <w:rsid w:val="6B421EE9"/>
    <w:rsid w:val="6C0885E5"/>
    <w:rsid w:val="6CCAC3C4"/>
    <w:rsid w:val="6CCB746B"/>
    <w:rsid w:val="6D3DEFD4"/>
    <w:rsid w:val="6D598549"/>
    <w:rsid w:val="6D61BAC9"/>
    <w:rsid w:val="6DE942FC"/>
    <w:rsid w:val="6F1A8116"/>
    <w:rsid w:val="6FF0F460"/>
    <w:rsid w:val="701EE418"/>
    <w:rsid w:val="70248868"/>
    <w:rsid w:val="70AA8DF8"/>
    <w:rsid w:val="7104E65A"/>
    <w:rsid w:val="72807ED8"/>
    <w:rsid w:val="7298C061"/>
    <w:rsid w:val="73F32E18"/>
    <w:rsid w:val="741898E2"/>
    <w:rsid w:val="74376C1E"/>
    <w:rsid w:val="74DA23F8"/>
    <w:rsid w:val="764826C9"/>
    <w:rsid w:val="76902CF5"/>
    <w:rsid w:val="76C38C16"/>
    <w:rsid w:val="76D40E63"/>
    <w:rsid w:val="77966F04"/>
    <w:rsid w:val="77CF8DF0"/>
    <w:rsid w:val="7885A2A5"/>
    <w:rsid w:val="78EA1F68"/>
    <w:rsid w:val="79225145"/>
    <w:rsid w:val="7AFED934"/>
    <w:rsid w:val="7B92248B"/>
    <w:rsid w:val="7C02EA2C"/>
    <w:rsid w:val="7CDF1B5D"/>
    <w:rsid w:val="7D14469B"/>
    <w:rsid w:val="7D3C2BA8"/>
    <w:rsid w:val="7EDCFE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D79BE7"/>
  <w15:chartTrackingRefBased/>
  <w15:docId w15:val="{62ABCEFA-67A6-4B8D-85EB-5CE8AAFC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7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86F"/>
    <w:pPr>
      <w:numPr>
        <w:numId w:val="7"/>
      </w:numPr>
      <w:spacing w:before="240" w:after="180"/>
      <w:ind w:left="0" w:firstLine="0"/>
      <w:outlineLvl w:val="0"/>
    </w:pPr>
    <w:rPr>
      <w:b/>
      <w:caps/>
    </w:rPr>
  </w:style>
  <w:style w:type="paragraph" w:styleId="Heading2">
    <w:name w:val="heading 2"/>
    <w:basedOn w:val="Normal"/>
    <w:next w:val="Normal"/>
    <w:link w:val="Heading2Char"/>
    <w:qFormat/>
    <w:rsid w:val="003B486F"/>
    <w:pPr>
      <w:keepNext/>
      <w:numPr>
        <w:numId w:val="4"/>
      </w:numPr>
      <w:spacing w:before="240" w:after="180"/>
      <w:ind w:left="720"/>
      <w:outlineLvl w:val="1"/>
    </w:pPr>
    <w:rPr>
      <w:b/>
      <w:sz w:val="22"/>
      <w:szCs w:val="22"/>
    </w:rPr>
  </w:style>
  <w:style w:type="paragraph" w:styleId="Heading3">
    <w:name w:val="heading 3"/>
    <w:basedOn w:val="Heading4"/>
    <w:next w:val="BodyText1"/>
    <w:link w:val="Heading3Char"/>
    <w:qFormat/>
    <w:rsid w:val="009F03D6"/>
    <w:pPr>
      <w:numPr>
        <w:numId w:val="16"/>
      </w:numPr>
      <w:ind w:left="720"/>
      <w:outlineLvl w:val="2"/>
    </w:pPr>
    <w:rPr>
      <w:sz w:val="22"/>
      <w:szCs w:val="22"/>
    </w:rPr>
  </w:style>
  <w:style w:type="paragraph" w:styleId="Heading4">
    <w:name w:val="heading 4"/>
    <w:aliases w:val="l4"/>
    <w:basedOn w:val="Normal"/>
    <w:next w:val="BodyText1"/>
    <w:link w:val="Heading4Char"/>
    <w:qFormat/>
    <w:rsid w:val="003B486F"/>
    <w:pPr>
      <w:keepNext/>
      <w:numPr>
        <w:numId w:val="12"/>
      </w:numPr>
      <w:spacing w:before="240" w:after="18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86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B486F"/>
    <w:rPr>
      <w:rFonts w:ascii="Times New Roman" w:eastAsia="Times New Roman" w:hAnsi="Times New Roman" w:cs="Times New Roman"/>
      <w:b/>
    </w:rPr>
  </w:style>
  <w:style w:type="character" w:customStyle="1" w:styleId="Heading3Char">
    <w:name w:val="Heading 3 Char"/>
    <w:basedOn w:val="DefaultParagraphFont"/>
    <w:link w:val="Heading3"/>
    <w:rsid w:val="009F03D6"/>
    <w:rPr>
      <w:rFonts w:ascii="Times New Roman" w:eastAsia="Times New Roman" w:hAnsi="Times New Roman" w:cs="Times New Roman"/>
      <w:u w:val="single"/>
    </w:rPr>
  </w:style>
  <w:style w:type="character" w:customStyle="1" w:styleId="Heading4Char">
    <w:name w:val="Heading 4 Char"/>
    <w:aliases w:val="l4 Char"/>
    <w:basedOn w:val="DefaultParagraphFont"/>
    <w:link w:val="Heading4"/>
    <w:rsid w:val="003B486F"/>
    <w:rPr>
      <w:rFonts w:ascii="Times New Roman" w:eastAsia="Times New Roman" w:hAnsi="Times New Roman" w:cs="Times New Roman"/>
      <w:sz w:val="24"/>
      <w:szCs w:val="24"/>
      <w:u w:val="single"/>
    </w:rPr>
  </w:style>
  <w:style w:type="paragraph" w:styleId="Header">
    <w:name w:val="header"/>
    <w:basedOn w:val="Normal"/>
    <w:link w:val="HeaderChar"/>
    <w:uiPriority w:val="99"/>
    <w:rsid w:val="003B486F"/>
    <w:pPr>
      <w:tabs>
        <w:tab w:val="center" w:pos="4320"/>
        <w:tab w:val="right" w:pos="8640"/>
      </w:tabs>
    </w:pPr>
  </w:style>
  <w:style w:type="character" w:customStyle="1" w:styleId="HeaderChar">
    <w:name w:val="Header Char"/>
    <w:basedOn w:val="DefaultParagraphFont"/>
    <w:link w:val="Header"/>
    <w:uiPriority w:val="99"/>
    <w:rsid w:val="003B486F"/>
    <w:rPr>
      <w:rFonts w:ascii="Times New Roman" w:eastAsia="Times New Roman" w:hAnsi="Times New Roman" w:cs="Times New Roman"/>
      <w:sz w:val="24"/>
      <w:szCs w:val="24"/>
    </w:rPr>
  </w:style>
  <w:style w:type="table" w:styleId="TableGrid">
    <w:name w:val="Table Grid"/>
    <w:aliases w:val="AcuSPHERE,Acumen,Table Grid-A"/>
    <w:basedOn w:val="TableNormal"/>
    <w:uiPriority w:val="39"/>
    <w:rsid w:val="003B486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3B486F"/>
    <w:pPr>
      <w:spacing w:after="240"/>
    </w:pPr>
    <w:rPr>
      <w:sz w:val="22"/>
      <w:szCs w:val="22"/>
    </w:rPr>
  </w:style>
  <w:style w:type="character" w:customStyle="1" w:styleId="bodytextChar">
    <w:name w:val="body text Char"/>
    <w:basedOn w:val="DefaultParagraphFont"/>
    <w:link w:val="BodyText1"/>
    <w:rsid w:val="003B486F"/>
    <w:rPr>
      <w:rFonts w:ascii="Times New Roman" w:eastAsia="Times New Roman" w:hAnsi="Times New Roman" w:cs="Times New Roman"/>
    </w:rPr>
  </w:style>
  <w:style w:type="paragraph" w:styleId="Footer">
    <w:name w:val="footer"/>
    <w:basedOn w:val="Normal"/>
    <w:link w:val="FooterChar"/>
    <w:autoRedefine/>
    <w:uiPriority w:val="99"/>
    <w:rsid w:val="003B486F"/>
    <w:pPr>
      <w:tabs>
        <w:tab w:val="center" w:pos="4320"/>
        <w:tab w:val="right" w:pos="8640"/>
      </w:tabs>
    </w:pPr>
    <w:rPr>
      <w:sz w:val="22"/>
    </w:rPr>
  </w:style>
  <w:style w:type="character" w:customStyle="1" w:styleId="FooterChar">
    <w:name w:val="Footer Char"/>
    <w:basedOn w:val="DefaultParagraphFont"/>
    <w:link w:val="Footer"/>
    <w:uiPriority w:val="99"/>
    <w:rsid w:val="003B486F"/>
    <w:rPr>
      <w:rFonts w:ascii="Times New Roman" w:eastAsia="Times New Roman" w:hAnsi="Times New Roman" w:cs="Times New Roman"/>
      <w:szCs w:val="24"/>
    </w:rPr>
  </w:style>
  <w:style w:type="paragraph" w:styleId="TOC1">
    <w:name w:val="toc 1"/>
    <w:basedOn w:val="Normal"/>
    <w:next w:val="Normal"/>
    <w:uiPriority w:val="39"/>
    <w:rsid w:val="003B486F"/>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3B486F"/>
    <w:pPr>
      <w:tabs>
        <w:tab w:val="right" w:leader="dot" w:pos="9360"/>
      </w:tabs>
      <w:ind w:left="1080" w:right="720" w:hanging="540"/>
    </w:pPr>
    <w:rPr>
      <w:noProof/>
      <w:color w:val="3333FF"/>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467352"/>
    <w:pPr>
      <w:spacing w:after="120"/>
      <w:ind w:left="274" w:hanging="274"/>
    </w:pPr>
    <w:rPr>
      <w:sz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3B486F"/>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467352"/>
    <w:rPr>
      <w:rFonts w:ascii="Times New Roman" w:hAnsi="Times New Roman"/>
      <w:color w:val="3333FF"/>
      <w:position w:val="6"/>
      <w:sz w:val="16"/>
      <w:u w:val="single"/>
    </w:rPr>
  </w:style>
  <w:style w:type="character" w:styleId="CommentReference">
    <w:name w:val="annotation reference"/>
    <w:basedOn w:val="DefaultParagraphFont"/>
    <w:uiPriority w:val="99"/>
    <w:semiHidden/>
    <w:qFormat/>
    <w:rsid w:val="003B486F"/>
    <w:rPr>
      <w:sz w:val="16"/>
      <w:szCs w:val="16"/>
    </w:rPr>
  </w:style>
  <w:style w:type="paragraph" w:styleId="CommentText">
    <w:name w:val="annotation text"/>
    <w:basedOn w:val="Normal"/>
    <w:link w:val="CommentTextChar"/>
    <w:uiPriority w:val="99"/>
    <w:semiHidden/>
    <w:rsid w:val="003B486F"/>
    <w:rPr>
      <w:sz w:val="20"/>
    </w:rPr>
  </w:style>
  <w:style w:type="character" w:customStyle="1" w:styleId="CommentTextChar">
    <w:name w:val="Comment Text Char"/>
    <w:basedOn w:val="DefaultParagraphFont"/>
    <w:link w:val="CommentText"/>
    <w:uiPriority w:val="99"/>
    <w:semiHidden/>
    <w:rsid w:val="003B486F"/>
    <w:rPr>
      <w:rFonts w:ascii="Times New Roman" w:eastAsia="Times New Roman" w:hAnsi="Times New Roman" w:cs="Times New Roman"/>
      <w:sz w:val="20"/>
      <w:szCs w:val="24"/>
    </w:rPr>
  </w:style>
  <w:style w:type="character" w:styleId="Hyperlink">
    <w:name w:val="Hyperlink"/>
    <w:basedOn w:val="DefaultParagraphFont"/>
    <w:uiPriority w:val="99"/>
    <w:rsid w:val="003B486F"/>
    <w:rPr>
      <w:color w:val="3333FF"/>
      <w:u w:val="single"/>
    </w:rPr>
  </w:style>
  <w:style w:type="paragraph" w:styleId="TOC3">
    <w:name w:val="toc 3"/>
    <w:basedOn w:val="Normal"/>
    <w:next w:val="Normal"/>
    <w:uiPriority w:val="39"/>
    <w:rsid w:val="00CF3DD5"/>
    <w:pPr>
      <w:tabs>
        <w:tab w:val="right" w:leader="dot" w:pos="9360"/>
      </w:tabs>
      <w:ind w:left="1512" w:right="720" w:hanging="432"/>
    </w:pPr>
    <w:rPr>
      <w:noProof/>
      <w:color w:val="3333FF"/>
      <w:u w:val="single"/>
    </w:rPr>
  </w:style>
  <w:style w:type="paragraph" w:customStyle="1" w:styleId="TOC0">
    <w:name w:val="TOC 0"/>
    <w:basedOn w:val="Normal"/>
    <w:rsid w:val="003B486F"/>
    <w:pPr>
      <w:spacing w:before="240" w:after="240"/>
      <w:jc w:val="center"/>
    </w:pPr>
    <w:rPr>
      <w:b/>
      <w:caps/>
    </w:rPr>
  </w:style>
  <w:style w:type="paragraph" w:styleId="Title">
    <w:name w:val="Title"/>
    <w:basedOn w:val="Normal"/>
    <w:link w:val="TitleChar"/>
    <w:qFormat/>
    <w:rsid w:val="003B48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486F"/>
    <w:rPr>
      <w:rFonts w:ascii="Arial" w:eastAsia="Times New Roman" w:hAnsi="Arial" w:cs="Arial"/>
      <w:b/>
      <w:bCs/>
      <w:kern w:val="28"/>
      <w:sz w:val="32"/>
      <w:szCs w:val="32"/>
    </w:rPr>
  </w:style>
  <w:style w:type="paragraph" w:styleId="NoSpacing">
    <w:name w:val="No Spacing"/>
    <w:uiPriority w:val="1"/>
    <w:qFormat/>
    <w:rsid w:val="003B486F"/>
    <w:pPr>
      <w:spacing w:after="0" w:line="240" w:lineRule="auto"/>
    </w:pPr>
    <w:rPr>
      <w:rFonts w:ascii="Calibri" w:eastAsia="Calibri" w:hAnsi="Calibri" w:cs="Times New Roman"/>
    </w:rPr>
  </w:style>
  <w:style w:type="paragraph" w:styleId="ListContinue">
    <w:name w:val="List Continue"/>
    <w:basedOn w:val="Normal"/>
    <w:unhideWhenUsed/>
    <w:rsid w:val="003B486F"/>
    <w:pPr>
      <w:spacing w:after="120"/>
      <w:ind w:left="1080"/>
    </w:pPr>
    <w:rPr>
      <w:sz w:val="22"/>
      <w:szCs w:val="22"/>
    </w:rPr>
  </w:style>
  <w:style w:type="paragraph" w:styleId="ListBullet">
    <w:name w:val="List Bullet"/>
    <w:basedOn w:val="Normal"/>
    <w:unhideWhenUsed/>
    <w:rsid w:val="003B486F"/>
    <w:pPr>
      <w:numPr>
        <w:numId w:val="5"/>
      </w:numPr>
      <w:tabs>
        <w:tab w:val="num" w:pos="720"/>
      </w:tabs>
      <w:ind w:left="720"/>
      <w:contextualSpacing/>
    </w:pPr>
    <w:rPr>
      <w:sz w:val="22"/>
      <w:szCs w:val="22"/>
    </w:rPr>
  </w:style>
  <w:style w:type="paragraph" w:customStyle="1" w:styleId="ListContinueBody">
    <w:name w:val="List Continue Body"/>
    <w:basedOn w:val="ListContinue"/>
    <w:qFormat/>
    <w:rsid w:val="003B486F"/>
    <w:pPr>
      <w:spacing w:before="120"/>
      <w:ind w:left="720"/>
    </w:pPr>
  </w:style>
  <w:style w:type="paragraph" w:styleId="TOCHeading">
    <w:name w:val="TOC Heading"/>
    <w:basedOn w:val="Heading1"/>
    <w:next w:val="Normal"/>
    <w:uiPriority w:val="39"/>
    <w:unhideWhenUsed/>
    <w:qFormat/>
    <w:rsid w:val="003B486F"/>
    <w:pPr>
      <w:keepNext/>
      <w:keepLines/>
      <w:numPr>
        <w:numId w:val="0"/>
      </w:numPr>
      <w:spacing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BalloonText">
    <w:name w:val="Balloon Text"/>
    <w:basedOn w:val="Normal"/>
    <w:link w:val="BalloonTextChar"/>
    <w:uiPriority w:val="99"/>
    <w:semiHidden/>
    <w:unhideWhenUsed/>
    <w:rsid w:val="003B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6F"/>
    <w:rPr>
      <w:rFonts w:ascii="Segoe UI" w:eastAsia="Times New Roman" w:hAnsi="Segoe UI" w:cs="Segoe UI"/>
      <w:sz w:val="18"/>
      <w:szCs w:val="18"/>
    </w:rPr>
  </w:style>
  <w:style w:type="paragraph" w:styleId="Revision">
    <w:name w:val="Revision"/>
    <w:hidden/>
    <w:uiPriority w:val="99"/>
    <w:semiHidden/>
    <w:rsid w:val="003B48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4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098A"/>
    <w:rPr>
      <w:b/>
      <w:bCs/>
      <w:szCs w:val="20"/>
    </w:rPr>
  </w:style>
  <w:style w:type="character" w:customStyle="1" w:styleId="CommentSubjectChar">
    <w:name w:val="Comment Subject Char"/>
    <w:basedOn w:val="CommentTextChar"/>
    <w:link w:val="CommentSubject"/>
    <w:uiPriority w:val="99"/>
    <w:semiHidden/>
    <w:rsid w:val="004309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74537"/>
    <w:rPr>
      <w:color w:val="954F72" w:themeColor="followedHyperlink"/>
      <w:u w:val="single"/>
    </w:rPr>
  </w:style>
  <w:style w:type="character" w:styleId="Emphasis">
    <w:name w:val="Emphasis"/>
    <w:basedOn w:val="DefaultParagraphFont"/>
    <w:uiPriority w:val="20"/>
    <w:qFormat/>
    <w:rsid w:val="00CC50FA"/>
    <w:rPr>
      <w:i/>
      <w:iCs/>
    </w:rPr>
  </w:style>
  <w:style w:type="paragraph" w:customStyle="1" w:styleId="Body125">
    <w:name w:val="Body 1.25"/>
    <w:basedOn w:val="BodyText"/>
    <w:link w:val="Body125Char"/>
    <w:uiPriority w:val="6"/>
    <w:qFormat/>
    <w:rsid w:val="00BF0644"/>
    <w:pPr>
      <w:spacing w:before="120" w:line="300" w:lineRule="auto"/>
      <w:ind w:firstLine="720"/>
    </w:pPr>
  </w:style>
  <w:style w:type="character" w:customStyle="1" w:styleId="Body125Char">
    <w:name w:val="Body 1.25 Char"/>
    <w:basedOn w:val="BodyTextChar0"/>
    <w:link w:val="Body125"/>
    <w:uiPriority w:val="6"/>
    <w:rsid w:val="00BF0644"/>
    <w:rPr>
      <w:rFonts w:ascii="Times New Roman" w:eastAsia="Times New Roman" w:hAnsi="Times New Roman" w:cs="Times New Roman"/>
      <w:sz w:val="24"/>
      <w:szCs w:val="24"/>
    </w:rPr>
  </w:style>
  <w:style w:type="paragraph" w:styleId="BodyText">
    <w:name w:val="Body Text"/>
    <w:basedOn w:val="Normal"/>
    <w:link w:val="BodyTextChar0"/>
    <w:uiPriority w:val="99"/>
    <w:semiHidden/>
    <w:unhideWhenUsed/>
    <w:rsid w:val="00BF0644"/>
    <w:pPr>
      <w:spacing w:after="120"/>
    </w:pPr>
  </w:style>
  <w:style w:type="character" w:customStyle="1" w:styleId="BodyTextChar0">
    <w:name w:val="Body Text Char"/>
    <w:basedOn w:val="DefaultParagraphFont"/>
    <w:link w:val="BodyText"/>
    <w:uiPriority w:val="99"/>
    <w:semiHidden/>
    <w:rsid w:val="00BF0644"/>
    <w:rPr>
      <w:rFonts w:ascii="Times New Roman" w:eastAsia="Times New Roman" w:hAnsi="Times New Roman" w:cs="Times New Roman"/>
      <w:sz w:val="24"/>
      <w:szCs w:val="24"/>
    </w:rPr>
  </w:style>
  <w:style w:type="paragraph" w:styleId="ListParagraph">
    <w:name w:val="List Paragraph"/>
    <w:basedOn w:val="Normal"/>
    <w:uiPriority w:val="34"/>
    <w:qFormat/>
    <w:rsid w:val="00856C1F"/>
    <w:pPr>
      <w:ind w:left="720"/>
    </w:pPr>
    <w:rPr>
      <w:rFonts w:ascii="Calibri" w:hAnsi="Calibri" w:eastAsiaTheme="minorHAnsi" w:cs="Calibri"/>
      <w:sz w:val="22"/>
      <w:szCs w:val="22"/>
      <w14:ligatures w14:val="standardContextual"/>
    </w:rPr>
  </w:style>
  <w:style w:type="table" w:styleId="PlainTable2">
    <w:name w:val="Plain Table 2"/>
    <w:basedOn w:val="TableNormal"/>
    <w:uiPriority w:val="42"/>
    <w:rsid w:val="007E56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payment/prospective-payment-systems/inpatient-rehabilitation/pai" TargetMode="External" /><Relationship Id="rId11" Type="http://schemas.openxmlformats.org/officeDocument/2006/relationships/hyperlink" Target="https://www.cms.gov/medicare/quality-initiatives-patient-assessment-instruments/irf-quality-reporting/spotlights-announcement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inpatientrehabilitationfacility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s://www.gpo.gov/fdsys/pkg/FR-2011-08-05/pdf/2011-19516.pdf" TargetMode="External" /><Relationship Id="rId3" Type="http://schemas.openxmlformats.org/officeDocument/2006/relationships/hyperlink" Target="https://www.federalregister.gov/documents/2026/04/06/2026-06642/medicare-program-inpatient-rehabilitation-facility-prospective-payment-system-for-federal-fiscal" TargetMode="External" /><Relationship Id="rId4" Type="http://schemas.openxmlformats.org/officeDocument/2006/relationships/hyperlink" Target="https://spd15revision.gov/content/spd15revision/en/news/2025-09-26-bulletin.html" TargetMode="External" /><Relationship Id="rId5" Type="http://schemas.openxmlformats.org/officeDocument/2006/relationships/hyperlink" Target="https://www.whitehouse.gov/presidential-actions/2025/01/unleashing-prosperity-through-deregulation/" TargetMode="External" /><Relationship Id="rId6" Type="http://schemas.openxmlformats.org/officeDocument/2006/relationships/hyperlink" Target="https://www.bls.gov/oes/current/oessrcs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31329B7D7A3458C7A432FDAD86A59" ma:contentTypeVersion="14" ma:contentTypeDescription="Create a new document." ma:contentTypeScope="" ma:versionID="40241c0dff7a02581210206cae5662b5">
  <xsd:schema xmlns:xsd="http://www.w3.org/2001/XMLSchema" xmlns:xs="http://www.w3.org/2001/XMLSchema" xmlns:p="http://schemas.microsoft.com/office/2006/metadata/properties" xmlns:ns2="db12b8b9-2344-4b39-99c2-0525e50075b8" xmlns:ns3="6daab2f0-397d-4ea2-8d4f-ab7bd17e40ee" xmlns:ns4="e4beccc8-b906-461d-84bc-7307f1b04b29" targetNamespace="http://schemas.microsoft.com/office/2006/metadata/properties" ma:root="true" ma:fieldsID="f84ed59d090bc22336b6d0b515ccdd01" ns2:_="" ns3:_="" ns4:_="">
    <xsd:import namespace="db12b8b9-2344-4b39-99c2-0525e50075b8"/>
    <xsd:import namespace="6daab2f0-397d-4ea2-8d4f-ab7bd17e40ee"/>
    <xsd:import namespace="e4beccc8-b906-461d-84bc-7307f1b04b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2b8b9-2344-4b39-99c2-0525e5007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c8d884-b9d6-4270-bb74-2ecbd22f12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ab2f0-397d-4ea2-8d4f-ab7bd17e4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f3ed8-c630-4be6-8593-6d85a94c126e}" ma:internalName="TaxCatchAll" ma:showField="CatchAllData" ma:web="6daab2f0-397d-4ea2-8d4f-ab7bd17e4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eccc8-b906-461d-84bc-7307f1b04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12b8b9-2344-4b39-99c2-0525e50075b8">
      <Terms xmlns="http://schemas.microsoft.com/office/infopath/2007/PartnerControls"/>
    </lcf76f155ced4ddcb4097134ff3c332f>
    <TaxCatchAll xmlns="6daab2f0-397d-4ea2-8d4f-ab7bd17e40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7EF7-DD13-444E-89F1-B76BAB23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2b8b9-2344-4b39-99c2-0525e50075b8"/>
    <ds:schemaRef ds:uri="6daab2f0-397d-4ea2-8d4f-ab7bd17e40ee"/>
    <ds:schemaRef ds:uri="e4beccc8-b906-461d-84bc-7307f1b04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33B46-F8C8-4A93-9642-6226CE9C0541}">
  <ds:schemaRefs>
    <ds:schemaRef ds:uri="http://schemas.microsoft.com/office/2006/metadata/properties"/>
    <ds:schemaRef ds:uri="http://schemas.microsoft.com/office/infopath/2007/PartnerControls"/>
    <ds:schemaRef ds:uri="db12b8b9-2344-4b39-99c2-0525e50075b8"/>
    <ds:schemaRef ds:uri="6daab2f0-397d-4ea2-8d4f-ab7bd17e40ee"/>
  </ds:schemaRefs>
</ds:datastoreItem>
</file>

<file path=customXml/itemProps3.xml><?xml version="1.0" encoding="utf-8"?>
<ds:datastoreItem xmlns:ds="http://schemas.openxmlformats.org/officeDocument/2006/customXml" ds:itemID="{6FF7DD5A-BF6F-4849-ABFD-C14804EBC542}">
  <ds:schemaRefs>
    <ds:schemaRef ds:uri="http://schemas.microsoft.com/sharepoint/v3/contenttype/forms"/>
  </ds:schemaRefs>
</ds:datastoreItem>
</file>

<file path=customXml/itemProps4.xml><?xml version="1.0" encoding="utf-8"?>
<ds:datastoreItem xmlns:ds="http://schemas.openxmlformats.org/officeDocument/2006/customXml" ds:itemID="{7620FB79-2970-4185-9486-E7A65A87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4487</Words>
  <Characters>24681</Characters>
  <Application>Microsoft Office Word</Application>
  <DocSecurity>0</DocSecurity>
  <Lines>433</Lines>
  <Paragraphs>199</Paragraphs>
  <ScaleCrop>false</ScaleCrop>
  <HeadingPairs>
    <vt:vector size="2" baseType="variant">
      <vt:variant>
        <vt:lpstr>Title</vt:lpstr>
      </vt:variant>
      <vt:variant>
        <vt:i4>1</vt:i4>
      </vt:variant>
    </vt:vector>
  </HeadingPairs>
  <TitlesOfParts>
    <vt:vector size="1" baseType="lpstr">
      <vt:lpstr>Supporting Statement-Part A Extension to the IRF-PAI v4.4</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 Extension to the IRF-PAI v4.4</dc:title>
  <dc:subject>PRA Package Supporting Statement 4.4</dc:subject>
  <dc:creator>Centers for Medicare &amp; Medicaid Services (CMS)</dc:creator>
  <cp:keywords>Supporting, Statement, Part A, Extension, IRF-PAI, v4.4</cp:keywords>
  <cp:lastModifiedBy>Parham, William (CMS/OSORA)</cp:lastModifiedBy>
  <cp:revision>2</cp:revision>
  <cp:lastPrinted>2026-04-08T17:58:00Z</cp:lastPrinted>
  <dcterms:created xsi:type="dcterms:W3CDTF">2026-04-13T15:46:00Z</dcterms:created>
  <dcterms:modified xsi:type="dcterms:W3CDTF">2026-04-13T15:46:00Z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0x0101000F731329B7D7A3458C7A432FDAD86A59</vt:lpwstr>
  </property>
  <property fmtid="{D5CDD505-2E9C-101B-9397-08002B2CF9AE}" pid="3" name="docLang">
    <vt:lpwstr>en</vt:lpwstr>
  </property>
  <property fmtid="{D5CDD505-2E9C-101B-9397-08002B2CF9AE}" pid="4" name="Language">
    <vt:lpwstr>English</vt:lpwstr>
  </property>
  <property fmtid="{D5CDD505-2E9C-101B-9397-08002B2CF9AE}" pid="5" name="MediaServiceImageTags">
    <vt:lpwstr/>
  </property>
</Properties>
</file>