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04BBB" w:rsidP="009A79E1" w14:paraId="55FE1770" w14:textId="77777777">
      <w:bookmarkStart w:id="0" w:name="_Toc473880015"/>
    </w:p>
    <w:p w:rsidR="00304BBB" w:rsidP="009A79E1" w14:paraId="55FE1771" w14:textId="77777777"/>
    <w:p w:rsidR="004A13E8" w:rsidRPr="004A13E8" w:rsidP="004A13E8" w14:paraId="55FE1772" w14:textId="1B155968">
      <w:pPr>
        <w:pStyle w:val="Heading2"/>
      </w:pPr>
      <w:bookmarkStart w:id="1" w:name="_Hlk108173060"/>
      <w:bookmarkStart w:id="2" w:name="_Toc34311146"/>
      <w:bookmarkStart w:id="3" w:name="_Hlk104470349"/>
      <w:bookmarkEnd w:id="0"/>
      <w:r>
        <w:t xml:space="preserve">School-Based </w:t>
      </w:r>
      <w:r w:rsidR="00903F5A">
        <w:t xml:space="preserve">Active Surveillance </w:t>
      </w:r>
      <w:r>
        <w:t xml:space="preserve">(SBAS) </w:t>
      </w:r>
      <w:r w:rsidR="0013169E">
        <w:t>o</w:t>
      </w:r>
      <w:r w:rsidR="0095054C">
        <w:t xml:space="preserve">f Myalgic </w:t>
      </w:r>
      <w:r w:rsidR="001F4A76">
        <w:t>Encephalomyelitis</w:t>
      </w:r>
      <w:r w:rsidR="0095054C">
        <w:t xml:space="preserve">/Chronic Fatigue Syndrome </w:t>
      </w:r>
      <w:r w:rsidR="00903F5A">
        <w:t>Among School</w:t>
      </w:r>
      <w:r w:rsidR="003D2EC5">
        <w:t>c</w:t>
      </w:r>
      <w:r w:rsidR="00903F5A">
        <w:t>hildren</w:t>
      </w:r>
      <w:bookmarkEnd w:id="1"/>
      <w:bookmarkEnd w:id="2"/>
    </w:p>
    <w:bookmarkEnd w:id="3"/>
    <w:p w:rsidR="004A13E8" w:rsidP="004A13E8" w14:paraId="55FE1773" w14:textId="77777777">
      <w:pPr>
        <w:spacing w:after="0" w:line="240" w:lineRule="auto"/>
        <w:jc w:val="center"/>
        <w:rPr>
          <w:b/>
        </w:rPr>
      </w:pPr>
    </w:p>
    <w:p w:rsidR="004A13E8" w:rsidP="004A13E8" w14:paraId="55FE1775" w14:textId="77777777">
      <w:pPr>
        <w:spacing w:after="0" w:line="240" w:lineRule="auto"/>
        <w:jc w:val="center"/>
        <w:rPr>
          <w:b/>
        </w:rPr>
      </w:pPr>
    </w:p>
    <w:p w:rsidR="004A13E8" w:rsidP="004A13E8" w14:paraId="55FE1777" w14:textId="174850A9">
      <w:pPr>
        <w:spacing w:after="0" w:line="240" w:lineRule="auto"/>
        <w:jc w:val="center"/>
        <w:rPr>
          <w:b/>
        </w:rPr>
      </w:pPr>
      <w:r>
        <w:t>April 1</w:t>
      </w:r>
      <w:r w:rsidR="007B4861">
        <w:t>7</w:t>
      </w:r>
      <w:r>
        <w:t>, 2026</w:t>
      </w: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0E2BB0" w:rsidP="009A79E1" w14:paraId="5F2AAAF5" w14:textId="59A73879">
      <w:pPr>
        <w:pStyle w:val="NoSpacing"/>
      </w:pPr>
      <w:r w:rsidRPr="00365D73">
        <w:t>Thomas</w:t>
      </w:r>
      <w:r>
        <w:t xml:space="preserve"> </w:t>
      </w:r>
      <w:r w:rsidRPr="00365D73">
        <w:t>Daymude</w:t>
      </w:r>
    </w:p>
    <w:p w:rsidR="004A13E8" w:rsidRPr="004A13E8" w:rsidP="009A79E1" w14:paraId="55FE1795" w14:textId="25AFAA72">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F2E5BBC">
      <w:pPr>
        <w:pStyle w:val="NoSpacing"/>
      </w:pPr>
      <w:r w:rsidRPr="004A13E8">
        <w:t>Atlanta, Georgia 303</w:t>
      </w:r>
      <w:r w:rsidR="003D4ED6">
        <w:t>29</w:t>
      </w:r>
      <w:r w:rsidRPr="004A13E8">
        <w:t xml:space="preserve"> </w:t>
      </w:r>
    </w:p>
    <w:p w:rsidR="004A13E8" w:rsidRPr="004A13E8" w:rsidP="009A79E1" w14:paraId="55FE1799" w14:textId="30823D13">
      <w:pPr>
        <w:pStyle w:val="NoSpacing"/>
      </w:pPr>
      <w:r w:rsidRPr="004A13E8">
        <w:t>Phone: (</w:t>
      </w:r>
      <w:r w:rsidR="00A16208">
        <w:t xml:space="preserve">404) </w:t>
      </w:r>
      <w:r w:rsidR="00D2466D">
        <w:t>553-3567</w:t>
      </w:r>
      <w:r w:rsidRPr="004A13E8">
        <w:t xml:space="preserve"> </w:t>
      </w:r>
    </w:p>
    <w:p w:rsidR="00A16208" w:rsidP="009A79E1" w14:paraId="3AB895FC" w14:textId="4C4B1419">
      <w:pPr>
        <w:pStyle w:val="NoSpacing"/>
      </w:pPr>
      <w:r w:rsidRPr="004A6DE8">
        <w:t xml:space="preserve">Email: </w:t>
      </w:r>
      <w:hyperlink r:id="rId8" w:history="1">
        <w:r w:rsidRPr="003D4ED6" w:rsidR="003D4ED6">
          <w:rPr>
            <w:rStyle w:val="Hyperlink"/>
          </w:rPr>
          <w:t>qkh7@cdc.gov</w:t>
        </w:r>
      </w:hyperlink>
    </w:p>
    <w:p w:rsidR="004A13E8" w:rsidP="009A79E1" w14:paraId="55FE179A" w14:textId="5773EBEC">
      <w:pPr>
        <w:pStyle w:val="NoSpacing"/>
      </w:pPr>
      <w:r>
        <w:br w:type="page"/>
      </w:r>
    </w:p>
    <w:p w:rsidR="00C458C0" w:rsidRPr="00C458C0" w:rsidP="002019D0" w14:paraId="4F0746DF" w14:textId="02AA16B1">
      <w:pPr>
        <w:spacing w:after="0" w:line="240" w:lineRule="auto"/>
        <w:contextualSpacing/>
        <w:rPr>
          <w:b/>
          <w:bCs/>
        </w:rPr>
      </w:pPr>
      <w:r w:rsidRPr="00C458C0">
        <w:rPr>
          <w:b/>
          <w:bCs/>
          <w:noProof/>
          <w:webHidden/>
        </w:rPr>
        <w:t>Table of Contents</w:t>
      </w:r>
    </w:p>
    <w:p w:rsidR="00C458C0" w:rsidP="002019D0" w14:paraId="7C89BD1C" w14:textId="77777777">
      <w:pPr>
        <w:spacing w:after="0" w:line="240" w:lineRule="auto"/>
        <w:contextualSpacing/>
      </w:pPr>
    </w:p>
    <w:p w:rsidR="00C458C0" w:rsidRPr="00C458C0" w:rsidP="00C458C0" w14:paraId="4B28C6D8" w14:textId="28F46165">
      <w:pPr>
        <w:pStyle w:val="TOC1"/>
        <w:tabs>
          <w:tab w:val="left" w:pos="480"/>
          <w:tab w:val="right" w:leader="dot" w:pos="10070"/>
        </w:tabs>
        <w:rPr>
          <w:rFonts w:asciiTheme="minorHAnsi" w:eastAsiaTheme="minorEastAsia" w:hAnsiTheme="minorHAnsi"/>
          <w:noProof/>
          <w:sz w:val="22"/>
        </w:rPr>
      </w:pPr>
      <w:r w:rsidRPr="00C458C0">
        <w:rPr>
          <w:rStyle w:val="Hyperlink"/>
          <w:noProof/>
          <w:color w:val="auto"/>
          <w:u w:val="none"/>
        </w:rPr>
        <w:t>1.</w:t>
      </w:r>
      <w:r w:rsidRPr="00C458C0">
        <w:rPr>
          <w:rFonts w:asciiTheme="minorHAnsi" w:eastAsiaTheme="minorEastAsia" w:hAnsiTheme="minorHAnsi"/>
          <w:noProof/>
          <w:sz w:val="22"/>
        </w:rPr>
        <w:tab/>
      </w:r>
      <w:r w:rsidRPr="00C458C0">
        <w:rPr>
          <w:rStyle w:val="Hyperlink"/>
          <w:noProof/>
          <w:color w:val="auto"/>
          <w:u w:val="none"/>
        </w:rPr>
        <w:t>Circumstances Making the Collection of Information Necessary</w:t>
      </w:r>
      <w:r w:rsidRPr="00C458C0">
        <w:rPr>
          <w:noProof/>
          <w:webHidden/>
        </w:rPr>
        <w:tab/>
      </w:r>
      <w:r w:rsidR="006479D7">
        <w:rPr>
          <w:noProof/>
          <w:webHidden/>
        </w:rPr>
        <w:t>5</w:t>
      </w:r>
    </w:p>
    <w:p w:rsidR="00C458C0" w:rsidRPr="00C458C0" w:rsidP="00C458C0" w14:paraId="7661270E" w14:textId="5916B6CB">
      <w:pPr>
        <w:pStyle w:val="TOC1"/>
        <w:tabs>
          <w:tab w:val="left" w:pos="480"/>
          <w:tab w:val="right" w:leader="dot" w:pos="10070"/>
        </w:tabs>
        <w:rPr>
          <w:rFonts w:asciiTheme="minorHAnsi" w:eastAsiaTheme="minorEastAsia" w:hAnsiTheme="minorHAnsi"/>
          <w:noProof/>
          <w:sz w:val="22"/>
        </w:rPr>
      </w:pPr>
      <w:r w:rsidRPr="00C458C0">
        <w:rPr>
          <w:rStyle w:val="Hyperlink"/>
          <w:noProof/>
          <w:color w:val="auto"/>
          <w:u w:val="none"/>
        </w:rPr>
        <w:t>2.</w:t>
      </w:r>
      <w:r w:rsidRPr="00C458C0">
        <w:rPr>
          <w:rFonts w:asciiTheme="minorHAnsi" w:eastAsiaTheme="minorEastAsia" w:hAnsiTheme="minorHAnsi"/>
          <w:noProof/>
          <w:sz w:val="22"/>
        </w:rPr>
        <w:tab/>
      </w:r>
      <w:r w:rsidRPr="00C458C0">
        <w:rPr>
          <w:rStyle w:val="Hyperlink"/>
          <w:noProof/>
          <w:color w:val="auto"/>
          <w:u w:val="none"/>
        </w:rPr>
        <w:t>Purpose and Use of Information Collection</w:t>
      </w:r>
      <w:r w:rsidRPr="00C458C0">
        <w:rPr>
          <w:noProof/>
          <w:webHidden/>
        </w:rPr>
        <w:tab/>
      </w:r>
      <w:r w:rsidR="006479D7">
        <w:rPr>
          <w:noProof/>
          <w:webHidden/>
        </w:rPr>
        <w:t>6</w:t>
      </w:r>
    </w:p>
    <w:p w:rsidR="00C458C0" w:rsidRPr="00F97253" w:rsidP="00C458C0" w14:paraId="08243515" w14:textId="5397A321">
      <w:pPr>
        <w:pStyle w:val="TOC1"/>
        <w:tabs>
          <w:tab w:val="left" w:pos="480"/>
          <w:tab w:val="right" w:leader="dot" w:pos="10070"/>
        </w:tabs>
        <w:rPr>
          <w:rFonts w:asciiTheme="minorHAnsi" w:eastAsiaTheme="minorEastAsia" w:hAnsiTheme="minorHAnsi"/>
          <w:noProof/>
          <w:sz w:val="22"/>
        </w:rPr>
      </w:pPr>
      <w:r w:rsidRPr="00F97253">
        <w:rPr>
          <w:rStyle w:val="Hyperlink"/>
          <w:noProof/>
          <w:color w:val="auto"/>
          <w:u w:val="none"/>
        </w:rPr>
        <w:t>3.</w:t>
      </w:r>
      <w:r w:rsidRPr="00F97253">
        <w:rPr>
          <w:rFonts w:asciiTheme="minorHAnsi" w:eastAsiaTheme="minorEastAsia" w:hAnsiTheme="minorHAnsi"/>
          <w:noProof/>
          <w:sz w:val="22"/>
        </w:rPr>
        <w:tab/>
      </w:r>
      <w:r w:rsidRPr="00F97253">
        <w:rPr>
          <w:rStyle w:val="Hyperlink"/>
          <w:noProof/>
          <w:color w:val="auto"/>
          <w:u w:val="none"/>
        </w:rPr>
        <w:t>Use of Improved Information Technology and Burden Reduction</w:t>
      </w:r>
      <w:r w:rsidRPr="00F97253">
        <w:rPr>
          <w:noProof/>
          <w:webHidden/>
        </w:rPr>
        <w:tab/>
      </w:r>
      <w:r w:rsidR="006479D7">
        <w:rPr>
          <w:noProof/>
          <w:webHidden/>
        </w:rPr>
        <w:t>9</w:t>
      </w:r>
    </w:p>
    <w:p w:rsidR="00C458C0" w:rsidRPr="00F97253" w:rsidP="00C458C0" w14:paraId="701516CE" w14:textId="464303AA">
      <w:pPr>
        <w:pStyle w:val="TOC1"/>
        <w:tabs>
          <w:tab w:val="left" w:pos="480"/>
          <w:tab w:val="right" w:leader="dot" w:pos="10070"/>
        </w:tabs>
        <w:rPr>
          <w:rFonts w:asciiTheme="minorHAnsi" w:eastAsiaTheme="minorEastAsia" w:hAnsiTheme="minorHAnsi"/>
          <w:noProof/>
          <w:sz w:val="22"/>
        </w:rPr>
      </w:pPr>
      <w:r w:rsidRPr="00F97253">
        <w:rPr>
          <w:rStyle w:val="Hyperlink"/>
          <w:rFonts w:cs="Times New Roman"/>
          <w:noProof/>
          <w:color w:val="auto"/>
          <w:u w:val="none"/>
        </w:rPr>
        <w:t>4.</w:t>
      </w:r>
      <w:r w:rsidRPr="00F97253">
        <w:rPr>
          <w:rFonts w:asciiTheme="minorHAnsi" w:eastAsiaTheme="minorEastAsia" w:hAnsiTheme="minorHAnsi"/>
          <w:noProof/>
          <w:sz w:val="22"/>
        </w:rPr>
        <w:tab/>
      </w:r>
      <w:r w:rsidRPr="00F97253">
        <w:rPr>
          <w:rStyle w:val="Hyperlink"/>
          <w:rFonts w:cs="Times New Roman"/>
          <w:noProof/>
          <w:color w:val="auto"/>
          <w:u w:val="none"/>
        </w:rPr>
        <w:t>Efforts to Identify Duplication and Use of Similar Information</w:t>
      </w:r>
      <w:r w:rsidRPr="00F97253">
        <w:rPr>
          <w:noProof/>
          <w:webHidden/>
        </w:rPr>
        <w:tab/>
      </w:r>
      <w:r w:rsidR="006479D7">
        <w:rPr>
          <w:noProof/>
          <w:webHidden/>
        </w:rPr>
        <w:t>9</w:t>
      </w:r>
    </w:p>
    <w:p w:rsidR="00C458C0" w:rsidRPr="00F97253" w:rsidP="00C458C0" w14:paraId="7418D52B" w14:textId="4877A98C">
      <w:pPr>
        <w:pStyle w:val="TOC1"/>
        <w:tabs>
          <w:tab w:val="left" w:pos="480"/>
          <w:tab w:val="right" w:leader="dot" w:pos="10070"/>
        </w:tabs>
        <w:rPr>
          <w:rFonts w:asciiTheme="minorHAnsi" w:eastAsiaTheme="minorEastAsia" w:hAnsiTheme="minorHAnsi"/>
          <w:noProof/>
          <w:sz w:val="22"/>
        </w:rPr>
      </w:pPr>
      <w:r w:rsidRPr="00F97253">
        <w:rPr>
          <w:rStyle w:val="Hyperlink"/>
          <w:rFonts w:cs="Times New Roman"/>
          <w:noProof/>
          <w:color w:val="auto"/>
          <w:u w:val="none"/>
        </w:rPr>
        <w:t>5.</w:t>
      </w:r>
      <w:r w:rsidRPr="00F97253">
        <w:rPr>
          <w:rFonts w:asciiTheme="minorHAnsi" w:eastAsiaTheme="minorEastAsia" w:hAnsiTheme="minorHAnsi"/>
          <w:noProof/>
          <w:sz w:val="22"/>
        </w:rPr>
        <w:tab/>
      </w:r>
      <w:r w:rsidRPr="00F97253">
        <w:rPr>
          <w:rStyle w:val="Hyperlink"/>
          <w:rFonts w:cs="Times New Roman"/>
          <w:noProof/>
          <w:color w:val="auto"/>
          <w:u w:val="none"/>
        </w:rPr>
        <w:t>Impact on Small Businesses or Other Small Entities</w:t>
      </w:r>
      <w:r w:rsidRPr="00F97253">
        <w:rPr>
          <w:noProof/>
          <w:webHidden/>
        </w:rPr>
        <w:tab/>
      </w:r>
      <w:r w:rsidR="006479D7">
        <w:rPr>
          <w:noProof/>
          <w:webHidden/>
        </w:rPr>
        <w:t>9</w:t>
      </w:r>
    </w:p>
    <w:p w:rsidR="00C458C0" w:rsidRPr="00F97253" w:rsidP="00C458C0" w14:paraId="77B6C808" w14:textId="2AA4F81B">
      <w:pPr>
        <w:pStyle w:val="TOC1"/>
        <w:tabs>
          <w:tab w:val="left" w:pos="480"/>
          <w:tab w:val="right" w:leader="dot" w:pos="10070"/>
        </w:tabs>
        <w:rPr>
          <w:rFonts w:asciiTheme="minorHAnsi" w:eastAsiaTheme="minorEastAsia" w:hAnsiTheme="minorHAnsi"/>
          <w:noProof/>
          <w:sz w:val="22"/>
        </w:rPr>
      </w:pPr>
      <w:r w:rsidRPr="00F97253">
        <w:rPr>
          <w:rStyle w:val="Hyperlink"/>
          <w:noProof/>
          <w:color w:val="auto"/>
          <w:u w:val="none"/>
        </w:rPr>
        <w:t>6.</w:t>
      </w:r>
      <w:r w:rsidRPr="00F97253">
        <w:rPr>
          <w:rFonts w:asciiTheme="minorHAnsi" w:eastAsiaTheme="minorEastAsia" w:hAnsiTheme="minorHAnsi"/>
          <w:noProof/>
          <w:sz w:val="22"/>
        </w:rPr>
        <w:tab/>
      </w:r>
      <w:r w:rsidRPr="00F97253">
        <w:rPr>
          <w:rStyle w:val="Hyperlink"/>
          <w:noProof/>
          <w:color w:val="auto"/>
          <w:u w:val="none"/>
        </w:rPr>
        <w:t>Consequences of Collecting the Information Less Frequently</w:t>
      </w:r>
      <w:r w:rsidRPr="00F97253">
        <w:rPr>
          <w:noProof/>
          <w:webHidden/>
        </w:rPr>
        <w:tab/>
      </w:r>
      <w:r w:rsidR="006479D7">
        <w:rPr>
          <w:noProof/>
          <w:webHidden/>
        </w:rPr>
        <w:t>9</w:t>
      </w:r>
    </w:p>
    <w:p w:rsidR="00C458C0" w:rsidRPr="00F97253" w:rsidP="00C458C0" w14:paraId="3A24CD06" w14:textId="67C940D7">
      <w:pPr>
        <w:pStyle w:val="TOC1"/>
        <w:tabs>
          <w:tab w:val="left" w:pos="480"/>
          <w:tab w:val="right" w:leader="dot" w:pos="10070"/>
        </w:tabs>
        <w:rPr>
          <w:rFonts w:asciiTheme="minorHAnsi" w:eastAsiaTheme="minorEastAsia" w:hAnsiTheme="minorHAnsi"/>
          <w:noProof/>
          <w:sz w:val="22"/>
        </w:rPr>
      </w:pPr>
      <w:r w:rsidRPr="00F97253">
        <w:rPr>
          <w:rStyle w:val="Hyperlink"/>
          <w:noProof/>
          <w:color w:val="auto"/>
          <w:u w:val="none"/>
        </w:rPr>
        <w:t>7.</w:t>
      </w:r>
      <w:r w:rsidRPr="00F97253">
        <w:rPr>
          <w:rFonts w:asciiTheme="minorHAnsi" w:eastAsiaTheme="minorEastAsia" w:hAnsiTheme="minorHAnsi"/>
          <w:noProof/>
          <w:sz w:val="22"/>
        </w:rPr>
        <w:tab/>
      </w:r>
      <w:r w:rsidRPr="00F97253">
        <w:rPr>
          <w:rStyle w:val="Hyperlink"/>
          <w:noProof/>
          <w:color w:val="auto"/>
          <w:u w:val="none"/>
        </w:rPr>
        <w:t>Special Circumstances Relating to the Guidelines of 5 CFR 1320.5</w:t>
      </w:r>
      <w:r w:rsidRPr="00F97253">
        <w:rPr>
          <w:noProof/>
          <w:webHidden/>
        </w:rPr>
        <w:tab/>
      </w:r>
      <w:r w:rsidR="00A72C5A">
        <w:rPr>
          <w:noProof/>
          <w:webHidden/>
        </w:rPr>
        <w:t>9</w:t>
      </w:r>
    </w:p>
    <w:p w:rsidR="00C458C0" w:rsidRPr="00F97253" w:rsidP="00C458C0" w14:paraId="30DA2B3C" w14:textId="17E21C95">
      <w:pPr>
        <w:pStyle w:val="TOC1"/>
        <w:tabs>
          <w:tab w:val="left" w:pos="480"/>
          <w:tab w:val="right" w:leader="dot" w:pos="10070"/>
        </w:tabs>
        <w:rPr>
          <w:rFonts w:asciiTheme="minorHAnsi" w:eastAsiaTheme="minorEastAsia" w:hAnsiTheme="minorHAnsi"/>
          <w:noProof/>
          <w:sz w:val="22"/>
        </w:rPr>
      </w:pPr>
      <w:r w:rsidRPr="00F97253">
        <w:rPr>
          <w:rStyle w:val="Hyperlink"/>
          <w:noProof/>
          <w:color w:val="auto"/>
          <w:u w:val="none"/>
        </w:rPr>
        <w:t>8.</w:t>
      </w:r>
      <w:r w:rsidRPr="00F97253">
        <w:rPr>
          <w:rFonts w:asciiTheme="minorHAnsi" w:eastAsiaTheme="minorEastAsia" w:hAnsiTheme="minorHAnsi"/>
          <w:noProof/>
          <w:sz w:val="22"/>
        </w:rPr>
        <w:tab/>
      </w:r>
      <w:r w:rsidRPr="00F97253">
        <w:rPr>
          <w:rStyle w:val="Hyperlink"/>
          <w:noProof/>
          <w:color w:val="auto"/>
          <w:u w:val="none"/>
        </w:rPr>
        <w:t>Comments in Response to the Federal Register Notice and Efforts to Consult Outside the Agency</w:t>
      </w:r>
      <w:r w:rsidRPr="00F97253">
        <w:rPr>
          <w:noProof/>
          <w:webHidden/>
        </w:rPr>
        <w:tab/>
      </w:r>
      <w:r w:rsidR="00F97253">
        <w:rPr>
          <w:noProof/>
          <w:webHidden/>
        </w:rPr>
        <w:t>1</w:t>
      </w:r>
      <w:r w:rsidR="006479D7">
        <w:rPr>
          <w:noProof/>
          <w:webHidden/>
        </w:rPr>
        <w:t>0</w:t>
      </w:r>
    </w:p>
    <w:p w:rsidR="00C458C0" w:rsidRPr="00F97253" w:rsidP="00C458C0" w14:paraId="3CB95E49" w14:textId="01BA64A5">
      <w:pPr>
        <w:pStyle w:val="TOC1"/>
        <w:tabs>
          <w:tab w:val="left" w:pos="480"/>
          <w:tab w:val="right" w:leader="dot" w:pos="10070"/>
        </w:tabs>
        <w:rPr>
          <w:rFonts w:asciiTheme="minorHAnsi" w:eastAsiaTheme="minorEastAsia" w:hAnsiTheme="minorHAnsi"/>
          <w:noProof/>
          <w:sz w:val="22"/>
        </w:rPr>
      </w:pPr>
      <w:r w:rsidRPr="00F97253">
        <w:rPr>
          <w:rStyle w:val="Hyperlink"/>
          <w:noProof/>
          <w:color w:val="auto"/>
          <w:u w:val="none"/>
        </w:rPr>
        <w:t>9.</w:t>
      </w:r>
      <w:r w:rsidRPr="00F97253">
        <w:rPr>
          <w:rFonts w:asciiTheme="minorHAnsi" w:eastAsiaTheme="minorEastAsia" w:hAnsiTheme="minorHAnsi"/>
          <w:noProof/>
          <w:sz w:val="22"/>
        </w:rPr>
        <w:tab/>
      </w:r>
      <w:r w:rsidRPr="00F97253">
        <w:rPr>
          <w:rStyle w:val="Hyperlink"/>
          <w:noProof/>
          <w:color w:val="auto"/>
          <w:u w:val="none"/>
        </w:rPr>
        <w:t>Explanation of Any Payment or Gift to Respondents</w:t>
      </w:r>
      <w:r w:rsidRPr="00F97253">
        <w:rPr>
          <w:noProof/>
          <w:webHidden/>
        </w:rPr>
        <w:tab/>
      </w:r>
      <w:r w:rsidR="00F97253">
        <w:rPr>
          <w:noProof/>
          <w:webHidden/>
        </w:rPr>
        <w:t>1</w:t>
      </w:r>
      <w:r w:rsidR="00A72C5A">
        <w:rPr>
          <w:noProof/>
          <w:webHidden/>
        </w:rPr>
        <w:t>0</w:t>
      </w:r>
    </w:p>
    <w:p w:rsidR="00C458C0" w:rsidRPr="00F97253" w:rsidP="00C458C0" w14:paraId="2E62E6EB" w14:textId="12600A55">
      <w:pPr>
        <w:pStyle w:val="TOC1"/>
        <w:tabs>
          <w:tab w:val="left" w:pos="660"/>
          <w:tab w:val="right" w:leader="dot" w:pos="10070"/>
        </w:tabs>
        <w:rPr>
          <w:rFonts w:asciiTheme="minorHAnsi" w:eastAsiaTheme="minorEastAsia" w:hAnsiTheme="minorHAnsi"/>
          <w:noProof/>
          <w:sz w:val="22"/>
        </w:rPr>
      </w:pPr>
      <w:r w:rsidRPr="00F97253">
        <w:rPr>
          <w:rStyle w:val="Hyperlink"/>
          <w:noProof/>
          <w:color w:val="auto"/>
          <w:u w:val="none"/>
        </w:rPr>
        <w:t>10.   Protection of the Privacy and Confidentiality of Information Provided by Respondents</w:t>
      </w:r>
      <w:r w:rsidRPr="00F97253">
        <w:rPr>
          <w:noProof/>
          <w:webHidden/>
        </w:rPr>
        <w:tab/>
      </w:r>
      <w:r w:rsidR="00F97253">
        <w:rPr>
          <w:noProof/>
          <w:webHidden/>
        </w:rPr>
        <w:t>1</w:t>
      </w:r>
      <w:r w:rsidR="006479D7">
        <w:rPr>
          <w:noProof/>
          <w:webHidden/>
        </w:rPr>
        <w:t>1</w:t>
      </w:r>
    </w:p>
    <w:p w:rsidR="00C458C0" w:rsidRPr="00F97253" w:rsidP="00C458C0" w14:paraId="23419B64" w14:textId="1660F675">
      <w:pPr>
        <w:pStyle w:val="TOC1"/>
        <w:tabs>
          <w:tab w:val="left" w:pos="660"/>
          <w:tab w:val="right" w:leader="dot" w:pos="10070"/>
        </w:tabs>
        <w:rPr>
          <w:rFonts w:asciiTheme="minorHAnsi" w:eastAsiaTheme="minorEastAsia" w:hAnsiTheme="minorHAnsi"/>
          <w:noProof/>
          <w:sz w:val="22"/>
        </w:rPr>
      </w:pPr>
      <w:r w:rsidRPr="00F97253">
        <w:rPr>
          <w:rStyle w:val="Hyperlink"/>
          <w:noProof/>
          <w:color w:val="auto"/>
          <w:u w:val="none"/>
        </w:rPr>
        <w:t>11.</w:t>
      </w:r>
      <w:r w:rsidRPr="00F97253">
        <w:rPr>
          <w:rFonts w:asciiTheme="minorHAnsi" w:eastAsiaTheme="minorEastAsia" w:hAnsiTheme="minorHAnsi"/>
          <w:noProof/>
          <w:sz w:val="22"/>
        </w:rPr>
        <w:t xml:space="preserve">   </w:t>
      </w:r>
      <w:r w:rsidRPr="00F97253">
        <w:rPr>
          <w:rStyle w:val="Hyperlink"/>
          <w:noProof/>
          <w:color w:val="auto"/>
          <w:u w:val="none"/>
        </w:rPr>
        <w:t>Institutional Review Board (IRB) and Justification for Sensitive Questions</w:t>
      </w:r>
      <w:r w:rsidRPr="00F97253">
        <w:rPr>
          <w:noProof/>
          <w:webHidden/>
        </w:rPr>
        <w:tab/>
      </w:r>
      <w:r w:rsidR="00F97253">
        <w:rPr>
          <w:noProof/>
          <w:webHidden/>
        </w:rPr>
        <w:t>1</w:t>
      </w:r>
      <w:r w:rsidR="00A72C5A">
        <w:rPr>
          <w:noProof/>
          <w:webHidden/>
        </w:rPr>
        <w:t>1</w:t>
      </w:r>
    </w:p>
    <w:p w:rsidR="00C458C0" w:rsidRPr="00F97253" w:rsidP="00C458C0" w14:paraId="26F312E3" w14:textId="34E6AEAD">
      <w:pPr>
        <w:pStyle w:val="TOC1"/>
        <w:tabs>
          <w:tab w:val="left" w:pos="660"/>
          <w:tab w:val="right" w:leader="dot" w:pos="10070"/>
        </w:tabs>
        <w:rPr>
          <w:rFonts w:asciiTheme="minorHAnsi" w:eastAsiaTheme="minorEastAsia" w:hAnsiTheme="minorHAnsi"/>
          <w:noProof/>
          <w:sz w:val="22"/>
        </w:rPr>
      </w:pPr>
      <w:r w:rsidRPr="00F97253">
        <w:rPr>
          <w:rStyle w:val="Hyperlink"/>
          <w:noProof/>
          <w:color w:val="auto"/>
          <w:u w:val="none"/>
        </w:rPr>
        <w:t>12.</w:t>
      </w:r>
      <w:r w:rsidRPr="00F97253">
        <w:rPr>
          <w:rFonts w:asciiTheme="minorHAnsi" w:eastAsiaTheme="minorEastAsia" w:hAnsiTheme="minorHAnsi"/>
          <w:noProof/>
          <w:sz w:val="22"/>
        </w:rPr>
        <w:t xml:space="preserve">   </w:t>
      </w:r>
      <w:r w:rsidRPr="00F97253">
        <w:rPr>
          <w:rStyle w:val="Hyperlink"/>
          <w:noProof/>
          <w:color w:val="auto"/>
          <w:u w:val="none"/>
        </w:rPr>
        <w:t>Estimates of Annualized Burden Hours and Costs</w:t>
      </w:r>
      <w:r w:rsidRPr="00F97253">
        <w:rPr>
          <w:noProof/>
          <w:webHidden/>
        </w:rPr>
        <w:tab/>
      </w:r>
      <w:r w:rsidR="00F97253">
        <w:rPr>
          <w:noProof/>
          <w:webHidden/>
        </w:rPr>
        <w:t>1</w:t>
      </w:r>
      <w:r w:rsidR="00067A04">
        <w:rPr>
          <w:noProof/>
          <w:webHidden/>
        </w:rPr>
        <w:t>2</w:t>
      </w:r>
    </w:p>
    <w:p w:rsidR="00C458C0" w:rsidRPr="00F97253" w:rsidP="00C458C0" w14:paraId="562853D9" w14:textId="2087AC0F">
      <w:pPr>
        <w:pStyle w:val="TOC1"/>
        <w:tabs>
          <w:tab w:val="left" w:pos="660"/>
          <w:tab w:val="right" w:leader="dot" w:pos="10070"/>
        </w:tabs>
        <w:rPr>
          <w:rFonts w:asciiTheme="minorHAnsi" w:eastAsiaTheme="minorEastAsia" w:hAnsiTheme="minorHAnsi"/>
          <w:noProof/>
          <w:sz w:val="22"/>
        </w:rPr>
      </w:pPr>
      <w:r w:rsidRPr="00F97253">
        <w:rPr>
          <w:rStyle w:val="Hyperlink"/>
          <w:noProof/>
          <w:color w:val="auto"/>
          <w:u w:val="none"/>
        </w:rPr>
        <w:t>13.</w:t>
      </w:r>
      <w:r w:rsidRPr="00F97253">
        <w:rPr>
          <w:rFonts w:asciiTheme="minorHAnsi" w:eastAsiaTheme="minorEastAsia" w:hAnsiTheme="minorHAnsi"/>
          <w:noProof/>
          <w:sz w:val="22"/>
        </w:rPr>
        <w:t xml:space="preserve">   </w:t>
      </w:r>
      <w:r w:rsidRPr="0013169E" w:rsidR="0013169E">
        <w:rPr>
          <w:rStyle w:val="Hyperlink"/>
          <w:noProof/>
          <w:color w:val="auto"/>
          <w:u w:val="none"/>
        </w:rPr>
        <w:t>Estimates of Other Total Annual Cost Burden to Respondents or Record Keepers</w:t>
      </w:r>
      <w:r w:rsidRPr="00F97253">
        <w:rPr>
          <w:noProof/>
          <w:webHidden/>
        </w:rPr>
        <w:tab/>
      </w:r>
      <w:r w:rsidR="00F97253">
        <w:rPr>
          <w:noProof/>
          <w:webHidden/>
        </w:rPr>
        <w:t>1</w:t>
      </w:r>
      <w:r w:rsidR="006479D7">
        <w:rPr>
          <w:noProof/>
          <w:webHidden/>
        </w:rPr>
        <w:t>3</w:t>
      </w:r>
    </w:p>
    <w:p w:rsidR="00C458C0" w:rsidRPr="00F97253" w:rsidP="00C458C0" w14:paraId="64258D50" w14:textId="6E73B818">
      <w:pPr>
        <w:pStyle w:val="TOC1"/>
        <w:tabs>
          <w:tab w:val="left" w:pos="660"/>
          <w:tab w:val="right" w:leader="dot" w:pos="10070"/>
        </w:tabs>
        <w:rPr>
          <w:rFonts w:asciiTheme="minorHAnsi" w:eastAsiaTheme="minorEastAsia" w:hAnsiTheme="minorHAnsi"/>
          <w:noProof/>
          <w:sz w:val="22"/>
        </w:rPr>
      </w:pPr>
      <w:r w:rsidRPr="00F97253">
        <w:rPr>
          <w:rStyle w:val="Hyperlink"/>
          <w:noProof/>
          <w:color w:val="auto"/>
          <w:u w:val="none"/>
        </w:rPr>
        <w:t>14.</w:t>
      </w:r>
      <w:r w:rsidRPr="00F97253">
        <w:rPr>
          <w:rFonts w:asciiTheme="minorHAnsi" w:eastAsiaTheme="minorEastAsia" w:hAnsiTheme="minorHAnsi"/>
          <w:noProof/>
          <w:sz w:val="22"/>
        </w:rPr>
        <w:t xml:space="preserve">   </w:t>
      </w:r>
      <w:r w:rsidRPr="0013169E" w:rsidR="0013169E">
        <w:rPr>
          <w:rStyle w:val="Hyperlink"/>
          <w:noProof/>
          <w:color w:val="auto"/>
          <w:u w:val="none"/>
        </w:rPr>
        <w:t>Annualized Cost to the Government</w:t>
      </w:r>
      <w:r w:rsidRPr="00F97253">
        <w:rPr>
          <w:noProof/>
          <w:webHidden/>
        </w:rPr>
        <w:tab/>
      </w:r>
      <w:r w:rsidR="00F97253">
        <w:rPr>
          <w:noProof/>
          <w:webHidden/>
        </w:rPr>
        <w:t>1</w:t>
      </w:r>
      <w:r w:rsidR="006479D7">
        <w:rPr>
          <w:noProof/>
          <w:webHidden/>
        </w:rPr>
        <w:t>3</w:t>
      </w:r>
    </w:p>
    <w:p w:rsidR="00C458C0" w:rsidRPr="00F97253" w:rsidP="00C458C0" w14:paraId="0FAB1BF8" w14:textId="10C7F619">
      <w:pPr>
        <w:pStyle w:val="TOC1"/>
        <w:tabs>
          <w:tab w:val="left" w:pos="660"/>
          <w:tab w:val="right" w:leader="dot" w:pos="10070"/>
        </w:tabs>
        <w:rPr>
          <w:rFonts w:asciiTheme="minorHAnsi" w:eastAsiaTheme="minorEastAsia" w:hAnsiTheme="minorHAnsi"/>
          <w:noProof/>
          <w:sz w:val="22"/>
        </w:rPr>
      </w:pPr>
      <w:r w:rsidRPr="00F97253">
        <w:rPr>
          <w:rStyle w:val="Hyperlink"/>
          <w:noProof/>
          <w:color w:val="auto"/>
          <w:u w:val="none"/>
        </w:rPr>
        <w:t>15.</w:t>
      </w:r>
      <w:r w:rsidRPr="00F97253">
        <w:rPr>
          <w:rFonts w:asciiTheme="minorHAnsi" w:eastAsiaTheme="minorEastAsia" w:hAnsiTheme="minorHAnsi"/>
          <w:noProof/>
          <w:sz w:val="22"/>
        </w:rPr>
        <w:t xml:space="preserve">   </w:t>
      </w:r>
      <w:r w:rsidRPr="0013169E" w:rsidR="0013169E">
        <w:rPr>
          <w:rStyle w:val="Hyperlink"/>
          <w:noProof/>
          <w:color w:val="auto"/>
          <w:u w:val="none"/>
        </w:rPr>
        <w:t>Explanation for Program Changes or Adjustments</w:t>
      </w:r>
      <w:r w:rsidRPr="00F97253">
        <w:rPr>
          <w:noProof/>
          <w:webHidden/>
        </w:rPr>
        <w:tab/>
      </w:r>
      <w:r w:rsidR="00F97253">
        <w:rPr>
          <w:noProof/>
          <w:webHidden/>
        </w:rPr>
        <w:t>1</w:t>
      </w:r>
      <w:r w:rsidR="00067A04">
        <w:rPr>
          <w:noProof/>
          <w:webHidden/>
        </w:rPr>
        <w:t>4</w:t>
      </w:r>
    </w:p>
    <w:p w:rsidR="00C458C0" w:rsidRPr="00F97253" w:rsidP="00C458C0" w14:paraId="325CADC5" w14:textId="3828F5F6">
      <w:pPr>
        <w:pStyle w:val="TOC1"/>
        <w:tabs>
          <w:tab w:val="left" w:pos="660"/>
          <w:tab w:val="right" w:leader="dot" w:pos="10070"/>
        </w:tabs>
        <w:rPr>
          <w:rFonts w:asciiTheme="minorHAnsi" w:eastAsiaTheme="minorEastAsia" w:hAnsiTheme="minorHAnsi"/>
          <w:noProof/>
          <w:sz w:val="22"/>
        </w:rPr>
      </w:pPr>
      <w:r w:rsidRPr="00F97253">
        <w:rPr>
          <w:rStyle w:val="Hyperlink"/>
          <w:noProof/>
          <w:color w:val="auto"/>
          <w:u w:val="none"/>
        </w:rPr>
        <w:t>16.</w:t>
      </w:r>
      <w:r w:rsidRPr="00F97253">
        <w:rPr>
          <w:rFonts w:asciiTheme="minorHAnsi" w:eastAsiaTheme="minorEastAsia" w:hAnsiTheme="minorHAnsi"/>
          <w:noProof/>
          <w:sz w:val="22"/>
        </w:rPr>
        <w:t xml:space="preserve">    </w:t>
      </w:r>
      <w:r w:rsidRPr="0013169E" w:rsidR="0013169E">
        <w:rPr>
          <w:rStyle w:val="Hyperlink"/>
          <w:noProof/>
          <w:color w:val="auto"/>
          <w:u w:val="none"/>
        </w:rPr>
        <w:t>Plans for Tabulation and Publication and Project Time Schedule</w:t>
      </w:r>
      <w:r w:rsidRPr="00F97253" w:rsidR="0013169E">
        <w:rPr>
          <w:noProof/>
          <w:webHidden/>
        </w:rPr>
        <w:tab/>
      </w:r>
      <w:r w:rsidR="00F97253">
        <w:rPr>
          <w:noProof/>
          <w:webHidden/>
        </w:rPr>
        <w:t>1</w:t>
      </w:r>
      <w:r w:rsidR="006479D7">
        <w:rPr>
          <w:noProof/>
          <w:webHidden/>
        </w:rPr>
        <w:t>4</w:t>
      </w:r>
    </w:p>
    <w:p w:rsidR="00C458C0" w:rsidRPr="00F97253" w:rsidP="00C458C0" w14:paraId="28832CA5" w14:textId="66EA2460">
      <w:pPr>
        <w:pStyle w:val="TOC1"/>
        <w:tabs>
          <w:tab w:val="left" w:pos="660"/>
          <w:tab w:val="right" w:leader="dot" w:pos="10070"/>
        </w:tabs>
        <w:rPr>
          <w:rFonts w:asciiTheme="minorHAnsi" w:eastAsiaTheme="minorEastAsia" w:hAnsiTheme="minorHAnsi"/>
          <w:noProof/>
          <w:sz w:val="22"/>
        </w:rPr>
      </w:pPr>
      <w:r w:rsidRPr="00F97253">
        <w:rPr>
          <w:rStyle w:val="Hyperlink"/>
          <w:noProof/>
          <w:color w:val="auto"/>
          <w:u w:val="none"/>
        </w:rPr>
        <w:t>17.</w:t>
      </w:r>
      <w:r w:rsidRPr="00F97253">
        <w:rPr>
          <w:rFonts w:asciiTheme="minorHAnsi" w:eastAsiaTheme="minorEastAsia" w:hAnsiTheme="minorHAnsi"/>
          <w:noProof/>
          <w:sz w:val="22"/>
        </w:rPr>
        <w:t xml:space="preserve">   </w:t>
      </w:r>
      <w:r w:rsidRPr="0013169E" w:rsidR="0013169E">
        <w:rPr>
          <w:rStyle w:val="Hyperlink"/>
          <w:noProof/>
          <w:color w:val="auto"/>
          <w:u w:val="none"/>
        </w:rPr>
        <w:t>Reason(s) Display of OMB Expiration Date is Inappropriate</w:t>
      </w:r>
      <w:r w:rsidRPr="00F97253">
        <w:rPr>
          <w:noProof/>
          <w:webHidden/>
        </w:rPr>
        <w:tab/>
      </w:r>
      <w:r w:rsidR="00F97253">
        <w:rPr>
          <w:noProof/>
          <w:webHidden/>
        </w:rPr>
        <w:t>1</w:t>
      </w:r>
      <w:r w:rsidR="006479D7">
        <w:rPr>
          <w:noProof/>
          <w:webHidden/>
        </w:rPr>
        <w:t>4</w:t>
      </w:r>
    </w:p>
    <w:p w:rsidR="00C458C0" w:rsidP="00C458C0" w14:paraId="4B5473C2" w14:textId="626DFE80">
      <w:pPr>
        <w:pStyle w:val="TOC1"/>
        <w:tabs>
          <w:tab w:val="left" w:pos="660"/>
          <w:tab w:val="right" w:leader="dot" w:pos="10070"/>
        </w:tabs>
        <w:rPr>
          <w:noProof/>
          <w:webHidden/>
        </w:rPr>
      </w:pPr>
      <w:r w:rsidRPr="00F97253">
        <w:rPr>
          <w:rStyle w:val="Hyperlink"/>
          <w:noProof/>
          <w:color w:val="auto"/>
          <w:u w:val="none"/>
        </w:rPr>
        <w:t>18.</w:t>
      </w:r>
      <w:r w:rsidRPr="00F97253">
        <w:rPr>
          <w:rFonts w:asciiTheme="minorHAnsi" w:eastAsiaTheme="minorEastAsia" w:hAnsiTheme="minorHAnsi"/>
          <w:noProof/>
          <w:sz w:val="22"/>
        </w:rPr>
        <w:t xml:space="preserve">   </w:t>
      </w:r>
      <w:r w:rsidRPr="0013169E" w:rsidR="0013169E">
        <w:rPr>
          <w:rStyle w:val="Hyperlink"/>
          <w:noProof/>
          <w:color w:val="auto"/>
          <w:u w:val="none"/>
        </w:rPr>
        <w:t>Exceptions to Certification for Paperwork Reduction Act Submissions</w:t>
      </w:r>
      <w:r w:rsidRPr="00F97253">
        <w:rPr>
          <w:noProof/>
          <w:webHidden/>
        </w:rPr>
        <w:tab/>
      </w:r>
      <w:r w:rsidR="00F97253">
        <w:rPr>
          <w:noProof/>
          <w:webHidden/>
        </w:rPr>
        <w:t>1</w:t>
      </w:r>
      <w:r w:rsidR="00A72C5A">
        <w:rPr>
          <w:noProof/>
          <w:webHidden/>
        </w:rPr>
        <w:t>4</w:t>
      </w:r>
    </w:p>
    <w:p w:rsidR="0013169E" w:rsidRPr="0013169E" w:rsidP="0013169E" w14:paraId="30C9632C" w14:textId="09878510">
      <w:pPr>
        <w:pStyle w:val="TOC1"/>
        <w:tabs>
          <w:tab w:val="left" w:pos="660"/>
          <w:tab w:val="right" w:leader="dot" w:pos="10070"/>
        </w:tabs>
        <w:rPr>
          <w:noProof/>
        </w:rPr>
      </w:pPr>
      <w:r>
        <w:t>19.  References</w:t>
      </w:r>
      <w:r w:rsidRPr="00F97253">
        <w:rPr>
          <w:noProof/>
          <w:webHidden/>
        </w:rPr>
        <w:tab/>
      </w:r>
      <w:r>
        <w:rPr>
          <w:noProof/>
          <w:webHidden/>
        </w:rPr>
        <w:t>14</w:t>
      </w:r>
    </w:p>
    <w:p w:rsidR="00C458C0" w:rsidP="00C458C0" w14:paraId="7CB965CB" w14:textId="3FBB2CF1"/>
    <w:p w:rsidR="002019D0" w:rsidP="002019D0" w14:paraId="42ED2C23" w14:textId="43D2C69C">
      <w:pPr>
        <w:spacing w:after="0" w:line="240" w:lineRule="auto"/>
        <w:contextualSpacing/>
        <w:rPr>
          <w:b/>
          <w:bCs/>
        </w:rPr>
      </w:pPr>
      <w:r w:rsidRPr="00C458C0">
        <w:rPr>
          <w:b/>
          <w:bCs/>
        </w:rPr>
        <w:t>Exhibits</w:t>
      </w:r>
    </w:p>
    <w:p w:rsidR="00C458C0" w:rsidRPr="00C458C0" w:rsidP="002019D0" w14:paraId="081A2631" w14:textId="77777777">
      <w:pPr>
        <w:spacing w:after="0" w:line="240" w:lineRule="auto"/>
        <w:contextualSpacing/>
        <w:rPr>
          <w:b/>
          <w:bCs/>
        </w:rPr>
      </w:pPr>
    </w:p>
    <w:p w:rsidR="002019D0" w:rsidP="002019D0" w14:paraId="1FC31083" w14:textId="71414649">
      <w:pPr>
        <w:spacing w:after="0" w:line="240" w:lineRule="auto"/>
        <w:contextualSpacing/>
      </w:pPr>
      <w:r>
        <w:t>Exhibit 1</w:t>
      </w:r>
      <w:r w:rsidR="0013169E">
        <w:t>2</w:t>
      </w:r>
      <w:r>
        <w:t>.A</w:t>
      </w:r>
      <w:r>
        <w:tab/>
        <w:t>Estimated Annualized Burden Hours</w:t>
      </w:r>
    </w:p>
    <w:p w:rsidR="002019D0" w:rsidP="002019D0" w14:paraId="195D243E" w14:textId="543575E3">
      <w:pPr>
        <w:spacing w:after="0" w:line="240" w:lineRule="auto"/>
        <w:contextualSpacing/>
      </w:pPr>
      <w:r>
        <w:t>Exhibit 1</w:t>
      </w:r>
      <w:r w:rsidR="0013169E">
        <w:t>2</w:t>
      </w:r>
      <w:r>
        <w:t>.B</w:t>
      </w:r>
      <w:r>
        <w:tab/>
        <w:t>Estimated Annualized Burden Costs</w:t>
      </w:r>
    </w:p>
    <w:p w:rsidR="002019D0" w:rsidP="002019D0" w14:paraId="25443046" w14:textId="503F0714">
      <w:pPr>
        <w:spacing w:after="0" w:line="240" w:lineRule="auto"/>
        <w:contextualSpacing/>
      </w:pPr>
      <w:r>
        <w:t>Exhibit 1</w:t>
      </w:r>
      <w:r w:rsidR="0013169E">
        <w:t>4</w:t>
      </w:r>
      <w:r>
        <w:t>.A</w:t>
      </w:r>
      <w:r>
        <w:tab/>
        <w:t xml:space="preserve">Estimated Cost to the Government </w:t>
      </w:r>
    </w:p>
    <w:p w:rsidR="002019D0" w:rsidP="002019D0" w14:paraId="61CA8F31" w14:textId="0B0104E2">
      <w:pPr>
        <w:spacing w:after="0" w:line="240" w:lineRule="auto"/>
        <w:contextualSpacing/>
      </w:pPr>
      <w:r>
        <w:t>Exhibit 1</w:t>
      </w:r>
      <w:r w:rsidR="0013169E">
        <w:t>6</w:t>
      </w:r>
      <w:r>
        <w:t>.A</w:t>
      </w:r>
      <w:r>
        <w:tab/>
        <w:t>Project Time Schedule</w:t>
      </w:r>
    </w:p>
    <w:p w:rsidR="002019D0" w14:paraId="781EB990" w14:textId="47A05EDF">
      <w:r>
        <w:br w:type="page"/>
      </w:r>
    </w:p>
    <w:p w:rsidR="002019D0" w:rsidP="002019D0" w14:paraId="6E647DCE" w14:textId="484187EB">
      <w:pPr>
        <w:spacing w:after="0" w:line="240" w:lineRule="auto"/>
        <w:contextualSpacing/>
      </w:pPr>
    </w:p>
    <w:p w:rsidR="002019D0" w:rsidRPr="00B91C6B" w:rsidP="002019D0" w14:paraId="28A431CE" w14:textId="1E8D12FF">
      <w:pPr>
        <w:spacing w:after="0" w:line="240" w:lineRule="auto"/>
        <w:contextualSpacing/>
        <w:rPr>
          <w:b/>
          <w:bCs/>
          <w:u w:val="single"/>
        </w:rPr>
      </w:pPr>
      <w:r w:rsidRPr="00B91C6B">
        <w:rPr>
          <w:b/>
          <w:bCs/>
          <w:u w:val="single"/>
        </w:rPr>
        <w:t>Attachments</w:t>
      </w:r>
    </w:p>
    <w:tbl>
      <w:tblPr>
        <w:tblW w:w="9540" w:type="dxa"/>
        <w:tblInd w:w="198" w:type="dxa"/>
        <w:tblLook w:val="0000"/>
      </w:tblPr>
      <w:tblGrid>
        <w:gridCol w:w="2052"/>
        <w:gridCol w:w="7488"/>
      </w:tblGrid>
      <w:tr w14:paraId="417B5F06" w14:textId="77777777" w:rsidTr="004C0BCD">
        <w:tblPrEx>
          <w:tblW w:w="9540" w:type="dxa"/>
          <w:tblInd w:w="198" w:type="dxa"/>
          <w:tblLook w:val="0000"/>
        </w:tblPrEx>
        <w:trPr>
          <w:trHeight w:val="255"/>
        </w:trPr>
        <w:tc>
          <w:tcPr>
            <w:tcW w:w="2052" w:type="dxa"/>
            <w:tcBorders>
              <w:top w:val="nil"/>
              <w:left w:val="nil"/>
              <w:bottom w:val="nil"/>
              <w:right w:val="nil"/>
            </w:tcBorders>
          </w:tcPr>
          <w:p w:rsidR="004C0BCD" w:rsidRPr="002019D0" w:rsidP="000E2BB0" w14:paraId="44C583AC" w14:textId="77777777">
            <w:pPr>
              <w:spacing w:after="0" w:line="240" w:lineRule="auto"/>
              <w:jc w:val="center"/>
              <w:rPr>
                <w:rFonts w:eastAsia="SimSun" w:cs="Times New Roman"/>
                <w:b/>
                <w:bCs/>
                <w:szCs w:val="24"/>
                <w:lang w:eastAsia="zh-CN"/>
              </w:rPr>
            </w:pPr>
            <w:r>
              <w:rPr>
                <w:rFonts w:eastAsia="SimSun" w:cs="Times New Roman"/>
                <w:b/>
                <w:bCs/>
                <w:szCs w:val="24"/>
                <w:lang w:eastAsia="zh-CN"/>
              </w:rPr>
              <w:t>Attachment Designation</w:t>
            </w:r>
          </w:p>
        </w:tc>
        <w:tc>
          <w:tcPr>
            <w:tcW w:w="7488" w:type="dxa"/>
            <w:tcBorders>
              <w:top w:val="nil"/>
              <w:left w:val="nil"/>
              <w:bottom w:val="nil"/>
              <w:right w:val="nil"/>
            </w:tcBorders>
            <w:noWrap/>
            <w:vAlign w:val="bottom"/>
          </w:tcPr>
          <w:p w:rsidR="004C0BCD" w:rsidRPr="002019D0" w:rsidP="000E2BB0" w14:paraId="6859360C" w14:textId="77777777">
            <w:pPr>
              <w:spacing w:after="0" w:line="240" w:lineRule="auto"/>
              <w:rPr>
                <w:rFonts w:eastAsia="SimSun" w:cs="Times New Roman"/>
                <w:b/>
                <w:bCs/>
                <w:szCs w:val="24"/>
                <w:lang w:eastAsia="zh-CN"/>
              </w:rPr>
            </w:pPr>
            <w:r w:rsidRPr="002019D0">
              <w:rPr>
                <w:rFonts w:eastAsia="SimSun" w:cs="Times New Roman"/>
                <w:b/>
                <w:bCs/>
                <w:szCs w:val="24"/>
                <w:lang w:eastAsia="zh-CN"/>
              </w:rPr>
              <w:t>Document Description</w:t>
            </w:r>
          </w:p>
        </w:tc>
      </w:tr>
      <w:tr w14:paraId="219E9130" w14:textId="77777777" w:rsidTr="004C0BCD">
        <w:tblPrEx>
          <w:tblW w:w="9540" w:type="dxa"/>
          <w:tblInd w:w="198" w:type="dxa"/>
          <w:tblLook w:val="0000"/>
        </w:tblPrEx>
        <w:trPr>
          <w:trHeight w:val="255"/>
        </w:trPr>
        <w:tc>
          <w:tcPr>
            <w:tcW w:w="2052" w:type="dxa"/>
            <w:tcBorders>
              <w:top w:val="single" w:sz="4" w:space="0" w:color="auto"/>
              <w:left w:val="single" w:sz="4" w:space="0" w:color="auto"/>
              <w:bottom w:val="single" w:sz="4" w:space="0" w:color="auto"/>
              <w:right w:val="single" w:sz="4" w:space="0" w:color="auto"/>
            </w:tcBorders>
          </w:tcPr>
          <w:p w:rsidR="004C0BCD" w:rsidP="000E2BB0" w14:paraId="34F93BE7" w14:textId="77777777">
            <w:pPr>
              <w:spacing w:line="240" w:lineRule="auto"/>
              <w:jc w:val="center"/>
            </w:pPr>
            <w:r>
              <w:t>A</w:t>
            </w:r>
          </w:p>
        </w:tc>
        <w:tc>
          <w:tcPr>
            <w:tcW w:w="7488" w:type="dxa"/>
            <w:tcBorders>
              <w:top w:val="single" w:sz="4" w:space="0" w:color="auto"/>
              <w:left w:val="single" w:sz="4" w:space="0" w:color="auto"/>
              <w:bottom w:val="single" w:sz="4" w:space="0" w:color="auto"/>
              <w:right w:val="single" w:sz="4" w:space="0" w:color="auto"/>
            </w:tcBorders>
            <w:noWrap/>
            <w:vAlign w:val="bottom"/>
          </w:tcPr>
          <w:p w:rsidR="004C0BCD" w:rsidRPr="002019D0" w:rsidP="000E2BB0" w14:paraId="587BD4C6" w14:textId="02ED6727">
            <w:pPr>
              <w:spacing w:line="240" w:lineRule="auto"/>
              <w:rPr>
                <w:rFonts w:cs="Times New Roman"/>
                <w:szCs w:val="24"/>
              </w:rPr>
            </w:pPr>
            <w:r>
              <w:t>Electronic Platform: Quarterly Chronic Absenteeism Data Reporting Form</w:t>
            </w:r>
          </w:p>
        </w:tc>
      </w:tr>
      <w:tr w14:paraId="41C9D774" w14:textId="77777777" w:rsidTr="004C0BCD">
        <w:tblPrEx>
          <w:tblW w:w="9540" w:type="dxa"/>
          <w:tblInd w:w="198" w:type="dxa"/>
          <w:tblLook w:val="0000"/>
        </w:tblPrEx>
        <w:trPr>
          <w:trHeight w:val="255"/>
        </w:trPr>
        <w:tc>
          <w:tcPr>
            <w:tcW w:w="2052" w:type="dxa"/>
            <w:tcBorders>
              <w:top w:val="single" w:sz="4" w:space="0" w:color="auto"/>
              <w:left w:val="single" w:sz="4" w:space="0" w:color="auto"/>
              <w:bottom w:val="single" w:sz="4" w:space="0" w:color="auto"/>
              <w:right w:val="single" w:sz="4" w:space="0" w:color="auto"/>
            </w:tcBorders>
          </w:tcPr>
          <w:p w:rsidR="00E67F27" w:rsidP="000E2BB0" w14:paraId="02C73EC4" w14:textId="10ADEFDB">
            <w:pPr>
              <w:spacing w:line="240" w:lineRule="auto"/>
              <w:jc w:val="center"/>
            </w:pPr>
            <w:r>
              <w:t>B</w:t>
            </w:r>
          </w:p>
        </w:tc>
        <w:tc>
          <w:tcPr>
            <w:tcW w:w="7488" w:type="dxa"/>
            <w:tcBorders>
              <w:top w:val="single" w:sz="4" w:space="0" w:color="auto"/>
              <w:left w:val="single" w:sz="4" w:space="0" w:color="auto"/>
              <w:bottom w:val="single" w:sz="4" w:space="0" w:color="auto"/>
              <w:right w:val="single" w:sz="4" w:space="0" w:color="auto"/>
            </w:tcBorders>
            <w:noWrap/>
            <w:vAlign w:val="bottom"/>
          </w:tcPr>
          <w:p w:rsidR="00E67F27" w:rsidP="000E2BB0" w14:paraId="30BF9BD4" w14:textId="6B6ABAE0">
            <w:pPr>
              <w:spacing w:line="240" w:lineRule="auto"/>
            </w:pPr>
            <w:r>
              <w:t>Demographic Data Collection Points</w:t>
            </w:r>
          </w:p>
        </w:tc>
      </w:tr>
      <w:tr w14:paraId="6C9DDBD9" w14:textId="77777777" w:rsidTr="004C0BCD">
        <w:tblPrEx>
          <w:tblW w:w="9540" w:type="dxa"/>
          <w:tblInd w:w="198" w:type="dxa"/>
          <w:tblLook w:val="0000"/>
        </w:tblPrEx>
        <w:trPr>
          <w:trHeight w:val="255"/>
        </w:trPr>
        <w:tc>
          <w:tcPr>
            <w:tcW w:w="2052" w:type="dxa"/>
            <w:tcBorders>
              <w:top w:val="single" w:sz="4" w:space="0" w:color="auto"/>
              <w:left w:val="single" w:sz="4" w:space="0" w:color="auto"/>
              <w:bottom w:val="single" w:sz="4" w:space="0" w:color="auto"/>
              <w:right w:val="single" w:sz="4" w:space="0" w:color="auto"/>
            </w:tcBorders>
          </w:tcPr>
          <w:p w:rsidR="004C0BCD" w:rsidP="000E2BB0" w14:paraId="7F84550F" w14:textId="77777777">
            <w:pPr>
              <w:tabs>
                <w:tab w:val="left" w:pos="120"/>
              </w:tabs>
              <w:spacing w:line="240" w:lineRule="auto"/>
              <w:jc w:val="center"/>
            </w:pPr>
            <w:r>
              <w:t>C</w:t>
            </w:r>
          </w:p>
        </w:tc>
        <w:tc>
          <w:tcPr>
            <w:tcW w:w="7488" w:type="dxa"/>
            <w:tcBorders>
              <w:top w:val="single" w:sz="4" w:space="0" w:color="auto"/>
              <w:left w:val="single" w:sz="4" w:space="0" w:color="auto"/>
              <w:bottom w:val="single" w:sz="4" w:space="0" w:color="auto"/>
              <w:right w:val="single" w:sz="4" w:space="0" w:color="auto"/>
            </w:tcBorders>
            <w:noWrap/>
            <w:vAlign w:val="bottom"/>
          </w:tcPr>
          <w:p w:rsidR="004C0BCD" w:rsidRPr="00A3065F" w:rsidP="000E2BB0" w14:paraId="12C00C20" w14:textId="77777777">
            <w:pPr>
              <w:tabs>
                <w:tab w:val="left" w:pos="120"/>
              </w:tabs>
              <w:spacing w:line="240" w:lineRule="auto"/>
              <w:rPr>
                <w:rFonts w:cs="Times New Roman"/>
                <w:szCs w:val="24"/>
              </w:rPr>
            </w:pPr>
            <w:r>
              <w:t xml:space="preserve"> </w:t>
            </w:r>
            <w:r w:rsidRPr="00D8334A">
              <w:t>Pilot Site Baseline Survey</w:t>
            </w:r>
          </w:p>
        </w:tc>
      </w:tr>
      <w:tr w14:paraId="37D7F536" w14:textId="77777777" w:rsidTr="004C0BCD">
        <w:tblPrEx>
          <w:tblW w:w="9540" w:type="dxa"/>
          <w:tblInd w:w="198" w:type="dxa"/>
          <w:tblLook w:val="0000"/>
        </w:tblPrEx>
        <w:trPr>
          <w:trHeight w:val="255"/>
        </w:trPr>
        <w:tc>
          <w:tcPr>
            <w:tcW w:w="2052" w:type="dxa"/>
            <w:tcBorders>
              <w:top w:val="single" w:sz="4" w:space="0" w:color="auto"/>
              <w:left w:val="single" w:sz="4" w:space="0" w:color="auto"/>
              <w:bottom w:val="single" w:sz="4" w:space="0" w:color="auto"/>
              <w:right w:val="single" w:sz="4" w:space="0" w:color="auto"/>
            </w:tcBorders>
          </w:tcPr>
          <w:p w:rsidR="004C0BCD" w:rsidP="000E2BB0" w14:paraId="7F0804D2" w14:textId="77777777">
            <w:pPr>
              <w:tabs>
                <w:tab w:val="left" w:pos="120"/>
              </w:tabs>
              <w:spacing w:line="240" w:lineRule="auto"/>
              <w:jc w:val="center"/>
            </w:pPr>
            <w:r>
              <w:t>D</w:t>
            </w:r>
          </w:p>
        </w:tc>
        <w:tc>
          <w:tcPr>
            <w:tcW w:w="7488" w:type="dxa"/>
            <w:tcBorders>
              <w:top w:val="single" w:sz="4" w:space="0" w:color="auto"/>
              <w:left w:val="single" w:sz="4" w:space="0" w:color="auto"/>
              <w:bottom w:val="single" w:sz="4" w:space="0" w:color="auto"/>
              <w:right w:val="single" w:sz="4" w:space="0" w:color="auto"/>
            </w:tcBorders>
            <w:noWrap/>
            <w:vAlign w:val="bottom"/>
          </w:tcPr>
          <w:p w:rsidR="004C0BCD" w:rsidP="000E2BB0" w14:paraId="71ADE931" w14:textId="77777777">
            <w:pPr>
              <w:tabs>
                <w:tab w:val="left" w:pos="120"/>
              </w:tabs>
              <w:spacing w:line="240" w:lineRule="auto"/>
            </w:pPr>
            <w:r>
              <w:t>Webinar 1 Feedback Form</w:t>
            </w:r>
          </w:p>
        </w:tc>
      </w:tr>
      <w:tr w14:paraId="5626C992" w14:textId="77777777" w:rsidTr="004C0BCD">
        <w:tblPrEx>
          <w:tblW w:w="9540" w:type="dxa"/>
          <w:tblInd w:w="198" w:type="dxa"/>
          <w:tblLook w:val="0000"/>
        </w:tblPrEx>
        <w:trPr>
          <w:trHeight w:val="255"/>
        </w:trPr>
        <w:tc>
          <w:tcPr>
            <w:tcW w:w="2052" w:type="dxa"/>
            <w:tcBorders>
              <w:top w:val="single" w:sz="4" w:space="0" w:color="auto"/>
              <w:left w:val="single" w:sz="4" w:space="0" w:color="auto"/>
              <w:bottom w:val="single" w:sz="4" w:space="0" w:color="auto"/>
              <w:right w:val="single" w:sz="4" w:space="0" w:color="auto"/>
            </w:tcBorders>
          </w:tcPr>
          <w:p w:rsidR="004C0BCD" w:rsidP="000E2BB0" w14:paraId="72E6EE8F" w14:textId="77777777">
            <w:pPr>
              <w:tabs>
                <w:tab w:val="left" w:pos="120"/>
              </w:tabs>
              <w:spacing w:line="240" w:lineRule="auto"/>
              <w:jc w:val="center"/>
              <w:rPr>
                <w:szCs w:val="24"/>
              </w:rPr>
            </w:pPr>
            <w:r>
              <w:rPr>
                <w:szCs w:val="24"/>
              </w:rPr>
              <w:t>E</w:t>
            </w:r>
          </w:p>
        </w:tc>
        <w:tc>
          <w:tcPr>
            <w:tcW w:w="7488" w:type="dxa"/>
            <w:tcBorders>
              <w:top w:val="single" w:sz="4" w:space="0" w:color="auto"/>
              <w:left w:val="single" w:sz="4" w:space="0" w:color="auto"/>
              <w:bottom w:val="single" w:sz="4" w:space="0" w:color="auto"/>
              <w:right w:val="single" w:sz="4" w:space="0" w:color="auto"/>
            </w:tcBorders>
            <w:noWrap/>
            <w:vAlign w:val="bottom"/>
          </w:tcPr>
          <w:p w:rsidR="004C0BCD" w:rsidP="000E2BB0" w14:paraId="205ACAE7" w14:textId="77777777">
            <w:pPr>
              <w:tabs>
                <w:tab w:val="left" w:pos="120"/>
              </w:tabs>
              <w:spacing w:line="240" w:lineRule="auto"/>
            </w:pPr>
            <w:r>
              <w:rPr>
                <w:szCs w:val="24"/>
              </w:rPr>
              <w:t>Question Guide</w:t>
            </w:r>
            <w:r>
              <w:rPr>
                <w:szCs w:val="24"/>
              </w:rPr>
              <w:t xml:space="preserve"> </w:t>
            </w:r>
            <w:r>
              <w:rPr>
                <w:szCs w:val="24"/>
              </w:rPr>
              <w:t>for</w:t>
            </w:r>
            <w:r>
              <w:rPr>
                <w:szCs w:val="24"/>
              </w:rPr>
              <w:t xml:space="preserve"> </w:t>
            </w:r>
            <w:r>
              <w:rPr>
                <w:szCs w:val="24"/>
              </w:rPr>
              <w:t>Face to Face</w:t>
            </w:r>
            <w:r>
              <w:rPr>
                <w:szCs w:val="24"/>
              </w:rPr>
              <w:t xml:space="preserve"> Evaluation Interviews</w:t>
            </w:r>
          </w:p>
        </w:tc>
      </w:tr>
      <w:tr w14:paraId="29916098" w14:textId="77777777" w:rsidTr="004C0BCD">
        <w:tblPrEx>
          <w:tblW w:w="9540" w:type="dxa"/>
          <w:tblInd w:w="198" w:type="dxa"/>
          <w:tblLook w:val="0000"/>
        </w:tblPrEx>
        <w:trPr>
          <w:trHeight w:val="255"/>
        </w:trPr>
        <w:tc>
          <w:tcPr>
            <w:tcW w:w="2052" w:type="dxa"/>
            <w:tcBorders>
              <w:top w:val="single" w:sz="4" w:space="0" w:color="auto"/>
              <w:left w:val="single" w:sz="4" w:space="0" w:color="auto"/>
              <w:bottom w:val="single" w:sz="4" w:space="0" w:color="auto"/>
              <w:right w:val="single" w:sz="4" w:space="0" w:color="auto"/>
            </w:tcBorders>
          </w:tcPr>
          <w:p w:rsidR="004C0BCD" w:rsidP="000E2BB0" w14:paraId="290FD516" w14:textId="77777777">
            <w:pPr>
              <w:tabs>
                <w:tab w:val="left" w:pos="120"/>
              </w:tabs>
              <w:spacing w:line="240" w:lineRule="auto"/>
              <w:jc w:val="center"/>
            </w:pPr>
            <w:r>
              <w:t>F</w:t>
            </w:r>
          </w:p>
        </w:tc>
        <w:tc>
          <w:tcPr>
            <w:tcW w:w="7488" w:type="dxa"/>
            <w:tcBorders>
              <w:top w:val="single" w:sz="4" w:space="0" w:color="auto"/>
              <w:left w:val="single" w:sz="4" w:space="0" w:color="auto"/>
              <w:bottom w:val="single" w:sz="4" w:space="0" w:color="auto"/>
              <w:right w:val="single" w:sz="4" w:space="0" w:color="auto"/>
            </w:tcBorders>
            <w:noWrap/>
            <w:vAlign w:val="bottom"/>
          </w:tcPr>
          <w:p w:rsidR="004C0BCD" w:rsidRPr="00A3065F" w:rsidP="000E2BB0" w14:paraId="5F6E67CF" w14:textId="77777777">
            <w:pPr>
              <w:tabs>
                <w:tab w:val="left" w:pos="120"/>
              </w:tabs>
              <w:spacing w:line="240" w:lineRule="auto"/>
              <w:rPr>
                <w:rFonts w:cs="Times New Roman"/>
                <w:szCs w:val="24"/>
              </w:rPr>
            </w:pPr>
            <w:r>
              <w:t>School District Feedback Form</w:t>
            </w:r>
          </w:p>
        </w:tc>
      </w:tr>
    </w:tbl>
    <w:p w:rsidR="002019D0" w14:paraId="6D3FC944" w14:textId="77777777"/>
    <w:p w:rsidR="002019D0" w14:paraId="37C5E795" w14:textId="77777777">
      <w:r>
        <w:br w:type="page"/>
      </w:r>
    </w:p>
    <w:p w:rsidR="002019D0" w14:paraId="304A9203" w14:textId="0D25C1E3"/>
    <w:p w:rsidR="00D54F46" w:rsidP="004A13E8" w14:paraId="1EB378AC" w14:textId="3175D558">
      <w:pPr>
        <w:pStyle w:val="Subtitle"/>
      </w:pPr>
    </w:p>
    <w:p w:rsidR="004C0BCD" w14:paraId="1EB486D4" w14:textId="7C8BE74B">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posOffset>800100</wp:posOffset>
                </wp:positionV>
                <wp:extent cx="6477000" cy="5683250"/>
                <wp:effectExtent l="0" t="0" r="19050" b="12700"/>
                <wp:wrapTight wrapText="bothSides">
                  <wp:wrapPolygon>
                    <wp:start x="0" y="0"/>
                    <wp:lineTo x="0" y="21576"/>
                    <wp:lineTo x="21600" y="21576"/>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5683250"/>
                        </a:xfrm>
                        <a:prstGeom prst="rect">
                          <a:avLst/>
                        </a:prstGeom>
                        <a:solidFill>
                          <a:srgbClr val="FFFFFF"/>
                        </a:solidFill>
                        <a:ln w="9525">
                          <a:solidFill>
                            <a:srgbClr val="000000"/>
                          </a:solidFill>
                          <a:miter lim="800000"/>
                          <a:headEnd/>
                          <a:tailEnd/>
                        </a:ln>
                      </wps:spPr>
                      <wps:txbx>
                        <w:txbxContent>
                          <w:p w:rsidR="00D1390E" w:rsidRPr="00216C1E" w:rsidP="003E2A39" w14:textId="133F9C52">
                            <w:pPr>
                              <w:pStyle w:val="Bullets"/>
                              <w:rPr>
                                <w:b/>
                              </w:rPr>
                            </w:pPr>
                            <w:r w:rsidRPr="001A58BE">
                              <w:rPr>
                                <w:b/>
                              </w:rPr>
                              <w:t>Goal of the study:</w:t>
                            </w:r>
                            <w:r>
                              <w:rPr>
                                <w:b/>
                              </w:rPr>
                              <w:t xml:space="preserve"> </w:t>
                            </w:r>
                            <w:r w:rsidRPr="009E3DE0" w:rsidR="00951A59">
                              <w:rPr>
                                <w:bCs/>
                              </w:rPr>
                              <w:t>The goal of this phase (termed Phase 4) is to increase the number of states, school districts, and school nurses involved in this project compared to the prior phases of the School-Based Active Surveillance (SBAS) project. Phase-4 continues to further expand the approach for surveillance of myalgic encephalomyelitis/chronic fatigue syndrome (ME/CFS) by building on and improving ongoing active surveillance of chronic conditions associated with absenteeism and school withdrawal among US schoolchildren, (grades kindergarten through twelve, K-12)</w:t>
                            </w:r>
                            <w:r w:rsidR="00951A59">
                              <w:rPr>
                                <w:bCs/>
                              </w:rPr>
                              <w:t>.</w:t>
                            </w:r>
                          </w:p>
                          <w:p w:rsidR="00D1390E" w:rsidRPr="006F6BC3" w:rsidP="003E2A39" w14:textId="0A5CB149">
                            <w:pPr>
                              <w:pStyle w:val="Bullets"/>
                              <w:rPr>
                                <w:bCs/>
                              </w:rPr>
                            </w:pPr>
                            <w:r w:rsidRPr="001A58BE">
                              <w:rPr>
                                <w:b/>
                              </w:rPr>
                              <w:t>Int</w:t>
                            </w:r>
                            <w:r>
                              <w:rPr>
                                <w:b/>
                              </w:rPr>
                              <w:t xml:space="preserve">ended use of the resulting data: </w:t>
                            </w:r>
                            <w:r w:rsidRPr="009E3DE0" w:rsidR="00E25E6F">
                              <w:rPr>
                                <w:bCs/>
                              </w:rPr>
                              <w:t>The data from the proposed project will be used 1) to fine-tune a new electronic data collection tool and active surveillance methods for school-level surveillance of chronic conditions, including ME/CFS; 2) to enhance technical assistance and training to support this surveillance activity; 3) to identify considerations for further scaling up the approach.</w:t>
                            </w:r>
                            <w:r w:rsidRPr="00E25E6F">
                              <w:rPr>
                                <w:bCs/>
                              </w:rPr>
                              <w:t xml:space="preserve"> </w:t>
                            </w:r>
                          </w:p>
                          <w:p w:rsidR="00D1390E" w:rsidRPr="009E3DE0" w:rsidP="004A13E8" w14:textId="498F6853">
                            <w:pPr>
                              <w:pStyle w:val="Bullets"/>
                              <w:rPr>
                                <w:bCs/>
                              </w:rPr>
                            </w:pPr>
                            <w:r w:rsidRPr="001A58BE">
                              <w:rPr>
                                <w:b/>
                              </w:rPr>
                              <w:t>Methods to be used to collect</w:t>
                            </w:r>
                            <w:r>
                              <w:rPr>
                                <w:b/>
                              </w:rPr>
                              <w:t xml:space="preserve"> data</w:t>
                            </w:r>
                            <w:r w:rsidRPr="001A58BE">
                              <w:rPr>
                                <w:b/>
                              </w:rPr>
                              <w:t>:</w:t>
                            </w:r>
                            <w:r>
                              <w:rPr>
                                <w:b/>
                              </w:rPr>
                              <w:t xml:space="preserve"> </w:t>
                            </w:r>
                            <w:r w:rsidRPr="009E3DE0" w:rsidR="001F6094">
                              <w:rPr>
                                <w:bCs/>
                              </w:rPr>
                              <w:t>The methods will include usability testing of a new electronic surveillance data collection tool, field testing of the surveillance tool after modification guided by usability testing results, and online surveys and focus groups of users and potential users of the tool.</w:t>
                            </w:r>
                          </w:p>
                          <w:p w:rsidR="00D1390E" w:rsidRPr="001A58BE" w:rsidP="004A13E8" w14:textId="707EAD94">
                            <w:pPr>
                              <w:pStyle w:val="Bullets"/>
                              <w:rPr>
                                <w:b/>
                              </w:rPr>
                            </w:pPr>
                            <w:r w:rsidRPr="001A58BE">
                              <w:rPr>
                                <w:b/>
                              </w:rPr>
                              <w:t>The subpopulation to be studied:</w:t>
                            </w:r>
                            <w:r>
                              <w:rPr>
                                <w:b/>
                              </w:rPr>
                              <w:t xml:space="preserve"> </w:t>
                            </w:r>
                            <w:r w:rsidRPr="009E3DE0" w:rsidR="004C79D2">
                              <w:rPr>
                                <w:bCs/>
                              </w:rPr>
                              <w:t>Respondents for the proposed data collection will be from U.S. school districts in states where physicians are interested or experienced in caring for patients with ME/CFS practice. School districts have been chosen to include urban, suburban, and rural areas. The respondents will be school nurses in the selected school districts, who will test the developed data collection tool and describe their needs and experiences related to this activity; administrators in the same school districts, who will describe the impact of the activity on their district; and school data coordinators in all 50 states, who will report on training and technical assistance needs relevant to school surveillance of chronic health conditions, including ME/CFS</w:t>
                            </w:r>
                            <w:r w:rsidRPr="004C79D2">
                              <w:rPr>
                                <w:bCs/>
                              </w:rPr>
                              <w:t>.</w:t>
                            </w:r>
                          </w:p>
                          <w:p w:rsidR="00D1390E" w:rsidP="009E3DE0" w14:textId="6F96FCE7">
                            <w:pPr>
                              <w:pStyle w:val="Bullets"/>
                            </w:pPr>
                            <w:r w:rsidRPr="001A58BE">
                              <w:rPr>
                                <w:b/>
                              </w:rPr>
                              <w:t>How data will be analyzed:</w:t>
                            </w:r>
                            <w:r>
                              <w:rPr>
                                <w:b/>
                              </w:rPr>
                              <w:t xml:space="preserve"> </w:t>
                            </w:r>
                            <w:r w:rsidRPr="009E3DE0" w:rsidR="00873920">
                              <w:rPr>
                                <w:bCs/>
                              </w:rPr>
                              <w:t>The data from the surveillance tool and online surveys will be analyzed using descriptive statistics; qualitative analysis methods will be used to identify themes from focus group interviews</w:t>
                            </w:r>
                            <w:r w:rsidRPr="002643C1">
                              <w:rPr>
                                <w:bCs/>
                              </w:rPr>
                              <w:t>.</w:t>
                            </w:r>
                            <w:r>
                              <w:t xml:space="preserve"> </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447.5pt;margin-top:63pt;margin-left:0;mso-height-percent:0;mso-height-relative:page;mso-position-horizontal:left;mso-position-horizontal-relative:margin;mso-position-vertical-relative:margin;mso-width-percent:0;mso-width-relative:page;mso-wrap-distance-bottom:0;mso-wrap-distance-left:9pt;mso-wrap-distance-right:9pt;mso-wrap-distance-top:0;mso-wrap-style:square;position:absolute;visibility:visible;v-text-anchor:top;z-index:-251657216">
                <v:textbox>
                  <w:txbxContent>
                    <w:p w:rsidR="00D1390E" w:rsidRPr="00216C1E" w:rsidP="003E2A39" w14:paraId="6A883CFD" w14:textId="133F9C52">
                      <w:pPr>
                        <w:pStyle w:val="Bullets"/>
                        <w:rPr>
                          <w:b/>
                        </w:rPr>
                      </w:pPr>
                      <w:r w:rsidRPr="001A58BE">
                        <w:rPr>
                          <w:b/>
                        </w:rPr>
                        <w:t>Goal of the study:</w:t>
                      </w:r>
                      <w:r>
                        <w:rPr>
                          <w:b/>
                        </w:rPr>
                        <w:t xml:space="preserve"> </w:t>
                      </w:r>
                      <w:r w:rsidRPr="009E3DE0" w:rsidR="00951A59">
                        <w:rPr>
                          <w:bCs/>
                        </w:rPr>
                        <w:t>The goal of this phase (termed Phase 4) is to increase the number of states, school districts, and school nurses involved in this project compared to the prior phases of the School-Based Active Surveillance (SBAS) project. Phase-4 continues to further expand the approach for surveillance of myalgic encephalomyelitis/chronic fatigue syndrome (ME/CFS) by building on and improving ongoing active surveillance of chronic conditions associated with absenteeism and school withdrawal among US schoolchildren, (grades kindergarten through twelve, K-12)</w:t>
                      </w:r>
                      <w:r w:rsidR="00951A59">
                        <w:rPr>
                          <w:bCs/>
                        </w:rPr>
                        <w:t>.</w:t>
                      </w:r>
                    </w:p>
                    <w:p w:rsidR="00D1390E" w:rsidRPr="006F6BC3" w:rsidP="003E2A39" w14:paraId="0798AA21" w14:textId="0A5CB149">
                      <w:pPr>
                        <w:pStyle w:val="Bullets"/>
                        <w:rPr>
                          <w:bCs/>
                        </w:rPr>
                      </w:pPr>
                      <w:r w:rsidRPr="001A58BE">
                        <w:rPr>
                          <w:b/>
                        </w:rPr>
                        <w:t>Int</w:t>
                      </w:r>
                      <w:r>
                        <w:rPr>
                          <w:b/>
                        </w:rPr>
                        <w:t xml:space="preserve">ended use of the resulting data: </w:t>
                      </w:r>
                      <w:r w:rsidRPr="009E3DE0" w:rsidR="00E25E6F">
                        <w:rPr>
                          <w:bCs/>
                        </w:rPr>
                        <w:t>The data from the proposed project will be used 1) to fine-tune a new electronic data collection tool and active surveillance methods for school-level surveillance of chronic conditions, including ME/CFS; 2) to enhance technical assistance and training to support this surveillance activity; 3) to identify considerations for further scaling up the approach.</w:t>
                      </w:r>
                      <w:r w:rsidRPr="00E25E6F">
                        <w:rPr>
                          <w:bCs/>
                        </w:rPr>
                        <w:t xml:space="preserve"> </w:t>
                      </w:r>
                    </w:p>
                    <w:p w:rsidR="00D1390E" w:rsidRPr="009E3DE0" w:rsidP="004A13E8" w14:paraId="55FE1839" w14:textId="498F6853">
                      <w:pPr>
                        <w:pStyle w:val="Bullets"/>
                        <w:rPr>
                          <w:bCs/>
                        </w:rPr>
                      </w:pPr>
                      <w:r w:rsidRPr="001A58BE">
                        <w:rPr>
                          <w:b/>
                        </w:rPr>
                        <w:t>Methods to be used to collect</w:t>
                      </w:r>
                      <w:r>
                        <w:rPr>
                          <w:b/>
                        </w:rPr>
                        <w:t xml:space="preserve"> data</w:t>
                      </w:r>
                      <w:r w:rsidRPr="001A58BE">
                        <w:rPr>
                          <w:b/>
                        </w:rPr>
                        <w:t>:</w:t>
                      </w:r>
                      <w:r>
                        <w:rPr>
                          <w:b/>
                        </w:rPr>
                        <w:t xml:space="preserve"> </w:t>
                      </w:r>
                      <w:r w:rsidRPr="009E3DE0" w:rsidR="001F6094">
                        <w:rPr>
                          <w:bCs/>
                        </w:rPr>
                        <w:t>The methods will include usability testing of a new electronic surveillance data collection tool, field testing of the surveillance tool after modification guided by usability testing results, and online surveys and focus groups of users and potential users of the tool.</w:t>
                      </w:r>
                    </w:p>
                    <w:p w:rsidR="00D1390E" w:rsidRPr="001A58BE" w:rsidP="004A13E8" w14:paraId="55FE183A" w14:textId="707EAD94">
                      <w:pPr>
                        <w:pStyle w:val="Bullets"/>
                        <w:rPr>
                          <w:b/>
                        </w:rPr>
                      </w:pPr>
                      <w:r w:rsidRPr="001A58BE">
                        <w:rPr>
                          <w:b/>
                        </w:rPr>
                        <w:t>The subpopulation to be studied:</w:t>
                      </w:r>
                      <w:r>
                        <w:rPr>
                          <w:b/>
                        </w:rPr>
                        <w:t xml:space="preserve"> </w:t>
                      </w:r>
                      <w:r w:rsidRPr="009E3DE0" w:rsidR="004C79D2">
                        <w:rPr>
                          <w:bCs/>
                        </w:rPr>
                        <w:t>Respondents for the proposed data collection will be from U.S. school districts in states where physicians are interested or experienced in caring for patients with ME/CFS practice. School districts have been chosen to include urban, suburban, and rural areas. The respondents will be school nurses in the selected school districts, who will test the developed data collection tool and describe their needs and experiences related to this activity; administrators in the same school districts, who will describe the impact of the activity on their district; and school data coordinators in all 50 states, who will report on training and technical assistance needs relevant to school surveillance of chronic health conditions, including ME/CFS</w:t>
                      </w:r>
                      <w:r w:rsidRPr="004C79D2">
                        <w:rPr>
                          <w:bCs/>
                        </w:rPr>
                        <w:t>.</w:t>
                      </w:r>
                    </w:p>
                    <w:p w:rsidR="00D1390E" w:rsidP="009E3DE0" w14:paraId="55FE183D" w14:textId="6F96FCE7">
                      <w:pPr>
                        <w:pStyle w:val="Bullets"/>
                      </w:pPr>
                      <w:r w:rsidRPr="001A58BE">
                        <w:rPr>
                          <w:b/>
                        </w:rPr>
                        <w:t>How data will be analyzed:</w:t>
                      </w:r>
                      <w:r>
                        <w:rPr>
                          <w:b/>
                        </w:rPr>
                        <w:t xml:space="preserve"> </w:t>
                      </w:r>
                      <w:r w:rsidRPr="009E3DE0" w:rsidR="00873920">
                        <w:rPr>
                          <w:bCs/>
                        </w:rPr>
                        <w:t>The data from the surveillance tool and online surveys will be analyzed using descriptive statistics; qualitative analysis methods will be used to identify themes from focus group interviews</w:t>
                      </w:r>
                      <w:r w:rsidRPr="002643C1">
                        <w:rPr>
                          <w:bCs/>
                        </w:rPr>
                        <w:t>.</w:t>
                      </w:r>
                      <w:r>
                        <w:t xml:space="preserve"> </w:t>
                      </w:r>
                    </w:p>
                  </w:txbxContent>
                </v:textbox>
                <w10:wrap type="tight"/>
              </v:shape>
            </w:pict>
          </mc:Fallback>
        </mc:AlternateContent>
      </w:r>
      <w:r w:rsidR="004C0BCD">
        <w:br w:type="page"/>
      </w:r>
    </w:p>
    <w:p w:rsidR="00E40046" w:rsidP="001A70C2" w14:paraId="6DFE836C" w14:textId="6CE5163A">
      <w:pPr>
        <w:pStyle w:val="Subtitle"/>
        <w:numPr>
          <w:ilvl w:val="0"/>
          <w:numId w:val="6"/>
        </w:numPr>
      </w:pPr>
      <w:r>
        <w:t>JUSTIFICATION</w:t>
      </w:r>
    </w:p>
    <w:p w:rsidR="00E40046" w:rsidRPr="00E40046" w:rsidP="001A70C2" w14:paraId="4D73844E" w14:textId="77777777"/>
    <w:p w:rsidR="004A13E8" w:rsidP="004A13E8" w14:paraId="55FE17B3" w14:textId="40695621">
      <w:pPr>
        <w:pStyle w:val="Heading1"/>
      </w:pPr>
      <w:r w:rsidRPr="004A13E8">
        <w:t>Circumstances Making the Collection of Information Necessary</w:t>
      </w:r>
    </w:p>
    <w:p w:rsidR="00C372EC" w:rsidRPr="00C372EC" w:rsidP="009E3DE0" w14:paraId="1A80D0CC" w14:textId="77777777">
      <w:pPr>
        <w:pStyle w:val="Heading1"/>
        <w:numPr>
          <w:ilvl w:val="0"/>
          <w:numId w:val="0"/>
        </w:numPr>
        <w:ind w:firstLine="360"/>
        <w:rPr>
          <w:b w:val="0"/>
        </w:rPr>
      </w:pPr>
      <w:r w:rsidRPr="00C372EC">
        <w:rPr>
          <w:b w:val="0"/>
        </w:rPr>
        <w:t>The purpose of this submission is to request OMB authorization for extending the information collection, “School-Based Active Surveillance (SBAS) of Myalgic Encephalomyelitis/Chronic Fatigue Syndrome Among Schoolchildren.” We are requesting three years to complete the information/data collection. This request is to extend the prior phases that were under OMB Control No. 0920-1396.</w:t>
      </w:r>
    </w:p>
    <w:p w:rsidR="00C372EC" w:rsidRPr="00C372EC" w:rsidP="009E3DE0" w14:paraId="5AD6E4A5" w14:textId="77777777">
      <w:pPr>
        <w:pStyle w:val="Heading1"/>
        <w:numPr>
          <w:ilvl w:val="0"/>
          <w:numId w:val="0"/>
        </w:numPr>
        <w:ind w:firstLine="360"/>
        <w:rPr>
          <w:b w:val="0"/>
        </w:rPr>
      </w:pPr>
      <w:r w:rsidRPr="00C372EC">
        <w:rPr>
          <w:b w:val="0"/>
        </w:rPr>
        <w:t>The request is to involve more schools and refine data collection tools and methods for determining the frequency of ME/CFS among other currently monitored chronic health conditions associated with school absenteeism and school withdrawal among US schoolchildren (grades kindergarten through twelve, K-12). Collection of information on better-known conditions that school nurses have already been tracking, in addition to ME/CFS, will allow assessment of the quality of this surveillance approach.</w:t>
      </w:r>
    </w:p>
    <w:p w:rsidR="00C372EC" w:rsidRPr="00C372EC" w:rsidP="009E3DE0" w14:paraId="010E732C" w14:textId="77777777">
      <w:pPr>
        <w:pStyle w:val="Heading1"/>
        <w:numPr>
          <w:ilvl w:val="0"/>
          <w:numId w:val="0"/>
        </w:numPr>
        <w:ind w:firstLine="360"/>
        <w:rPr>
          <w:b w:val="0"/>
        </w:rPr>
      </w:pPr>
      <w:r w:rsidRPr="00C372EC">
        <w:rPr>
          <w:b w:val="0"/>
        </w:rPr>
        <w:t xml:space="preserve">ME/CFS is a complex, debilitating, chronic disease that involves several body systems and is hypothesized to contribute to chronic school absenteeism. The condition is characterized by reduced ability to perform pre-illness activities that </w:t>
      </w:r>
      <w:r w:rsidRPr="00C372EC">
        <w:rPr>
          <w:b w:val="0"/>
        </w:rPr>
        <w:t>lasts</w:t>
      </w:r>
      <w:r w:rsidRPr="00C372EC">
        <w:rPr>
          <w:b w:val="0"/>
        </w:rPr>
        <w:t xml:space="preserve"> for more than six months and is accompanied by profound fatigue, which is not improved by rest. Additional symptoms include post-exertional malaise, cognitive impairment, dizziness, and lightheadedness. ME/CFS affects children and adolescents as well as adults. Less is known about the condition in children and youth because less research has been focused on this age group. A few studies have estimated the number of children affected by ME/CFS, but these estimates vary, and the studies have limitations. Information on how many children are affected by ME/CFS and the impact of their condition on school attendance is needed to raise awareness of ME/CFS and to plan for children’s health care needs. Recognizing this need, in January 2017, the Chronic Fatigue Syndrome Advisory Committee (CFSAC) of the U.S. Department of Health and Human Services (HHS) recommended that HHS educate educators and school nurses on how ME/CFS affects children and adolescents.</w:t>
      </w:r>
    </w:p>
    <w:p w:rsidR="00B022E2" w:rsidP="009E3DE0" w14:paraId="27C61F65" w14:textId="3A952505">
      <w:pPr>
        <w:pStyle w:val="Heading1"/>
        <w:numPr>
          <w:ilvl w:val="0"/>
          <w:numId w:val="0"/>
        </w:numPr>
        <w:ind w:firstLine="360"/>
      </w:pPr>
      <w:r w:rsidRPr="00C372EC">
        <w:rPr>
          <w:b w:val="0"/>
        </w:rPr>
        <w:t xml:space="preserve">The National Association of School Nurses (NASN) has long promoted surveillance of health conditions affecting schoolchildren; however, ME/CFS was not included among the tracked conditions until 2018, when the SBAS project began. Although efforts to standardize data collection have been underway since then, there is still no nationwide electronic platform that enables school-level data entry. As a result, information on chronic conditions, absenteeism, and health concerns remains inadequate. This proposed project aims to address these gaps by implementing an electronic platform for school-based surveillance of chronic conditions linked to absenteeism and school withdrawal, including ME/CFS. Trained school nurses at participating sites have piloted an </w:t>
      </w:r>
      <w:r w:rsidRPr="00C372EC">
        <w:rPr>
          <w:b w:val="0"/>
        </w:rPr>
        <w:t>approach, and</w:t>
      </w:r>
      <w:r w:rsidRPr="00C372EC">
        <w:rPr>
          <w:b w:val="0"/>
        </w:rPr>
        <w:t xml:space="preserve"> will continue refining it to proactively identify students affected by ME/CFS and other chronic conditions, while using the new tool to report aggregate, de-identified data to NASN. The project will evaluate active surveillance methods, the data collection tool, and associated training and technical assistance to inform considerations for national </w:t>
      </w:r>
      <w:r w:rsidRPr="00C372EC">
        <w:rPr>
          <w:b w:val="0"/>
        </w:rPr>
        <w:t>rollout.</w:t>
      </w:r>
      <w:r w:rsidRPr="00B07F07">
        <w:t>.</w:t>
      </w:r>
      <w:r w:rsidRPr="00B07F07">
        <w:t xml:space="preserve"> </w:t>
      </w:r>
      <w:r>
        <w:t xml:space="preserve">  </w:t>
      </w:r>
    </w:p>
    <w:p w:rsidR="00B95118" w:rsidP="00B95118" w14:paraId="6185AE36" w14:textId="77777777">
      <w:pPr>
        <w:pStyle w:val="Heading1"/>
      </w:pPr>
      <w:r>
        <w:t>Purpose and Use of Information Collection</w:t>
      </w:r>
    </w:p>
    <w:p w:rsidR="00622884" w:rsidRPr="009E3DE0" w:rsidP="009E3DE0" w14:paraId="4982425D" w14:textId="77777777">
      <w:pPr>
        <w:ind w:firstLine="360"/>
        <w:rPr>
          <w:rFonts w:cs="Times New Roman"/>
          <w:bCs/>
          <w:iCs/>
        </w:rPr>
      </w:pPr>
      <w:r w:rsidRPr="009E3DE0">
        <w:rPr>
          <w:rFonts w:cs="Times New Roman"/>
          <w:bCs/>
          <w:iCs/>
        </w:rPr>
        <w:t xml:space="preserve">The purpose of this project is to test and refine an approach for school-based active surveillance (SBAS) of </w:t>
      </w:r>
      <w:r w:rsidRPr="009E3DE0">
        <w:rPr>
          <w:rFonts w:cs="Times New Roman"/>
          <w:bCs/>
          <w:iCs/>
        </w:rPr>
        <w:t>myalgic</w:t>
      </w:r>
      <w:r w:rsidRPr="009E3DE0">
        <w:rPr>
          <w:rFonts w:cs="Times New Roman"/>
          <w:bCs/>
          <w:iCs/>
        </w:rPr>
        <w:t xml:space="preserve"> encephalomyelitis/chronic fatigue syndrome (ME/CFS) by building on and improving ongoing active surveillance of chronic conditions associated with absenteeism and school withdrawal among US schoolchildren (grades kindergarten through twelve, K-12). Thus far, the project </w:t>
      </w:r>
      <w:r w:rsidRPr="009E3DE0">
        <w:rPr>
          <w:rFonts w:cs="Times New Roman"/>
          <w:bCs/>
          <w:iCs/>
        </w:rPr>
        <w:t xml:space="preserve">has four phases. The pilot began in </w:t>
      </w:r>
      <w:r w:rsidRPr="009E3DE0">
        <w:rPr>
          <w:rFonts w:cs="Times New Roman"/>
          <w:bCs/>
          <w:iCs/>
        </w:rPr>
        <w:t>2018</w:t>
      </w:r>
      <w:r w:rsidRPr="009E3DE0">
        <w:rPr>
          <w:rFonts w:cs="Times New Roman"/>
          <w:bCs/>
          <w:iCs/>
        </w:rPr>
        <w:t xml:space="preserve"> and Phase-3 </w:t>
      </w:r>
      <w:r w:rsidRPr="009E3DE0">
        <w:rPr>
          <w:rFonts w:cs="Times New Roman"/>
          <w:bCs/>
          <w:iCs/>
        </w:rPr>
        <w:t>was  completed</w:t>
      </w:r>
      <w:r w:rsidRPr="009E3DE0">
        <w:rPr>
          <w:rFonts w:cs="Times New Roman"/>
          <w:bCs/>
          <w:iCs/>
        </w:rPr>
        <w:t xml:space="preserve"> in 2025. During this period, an electronic data platform for the SBAS process was developed and pilot-tested on several schools for the SBAS process. The four phase (Phase-4) will focus on refining the SBAS process established in earlier phases and evaluating it across a larger number of schools to inform a potential national rollout. The Phase-4 consists of four main components: 1) </w:t>
      </w:r>
      <w:r w:rsidRPr="009E3DE0">
        <w:rPr>
          <w:rFonts w:cs="Times New Roman"/>
          <w:b/>
          <w:iCs/>
        </w:rPr>
        <w:t>engage and educate nursing professionals</w:t>
      </w:r>
      <w:r w:rsidRPr="009E3DE0">
        <w:rPr>
          <w:rFonts w:cs="Times New Roman"/>
          <w:bCs/>
          <w:iCs/>
        </w:rPr>
        <w:t xml:space="preserve"> including school nurses, 2) </w:t>
      </w:r>
      <w:r w:rsidRPr="009E3DE0">
        <w:rPr>
          <w:rFonts w:cs="Times New Roman"/>
          <w:b/>
          <w:iCs/>
        </w:rPr>
        <w:t>maintain and enhance the electronic data platform</w:t>
      </w:r>
      <w:r w:rsidRPr="009E3DE0">
        <w:rPr>
          <w:rFonts w:cs="Times New Roman"/>
          <w:bCs/>
          <w:iCs/>
        </w:rPr>
        <w:t xml:space="preserve"> for the active surveillance, 3) </w:t>
      </w:r>
      <w:r w:rsidRPr="009E3DE0">
        <w:rPr>
          <w:rFonts w:cs="Times New Roman"/>
          <w:b/>
          <w:iCs/>
        </w:rPr>
        <w:t>increase nurse workforce</w:t>
      </w:r>
      <w:r w:rsidRPr="009E3DE0">
        <w:rPr>
          <w:rFonts w:cs="Times New Roman"/>
          <w:bCs/>
          <w:iCs/>
        </w:rPr>
        <w:t xml:space="preserve"> to help ensure students’ health and data collection for the surveillance, and 4) </w:t>
      </w:r>
      <w:r w:rsidRPr="009E3DE0">
        <w:rPr>
          <w:rFonts w:cs="Times New Roman"/>
          <w:b/>
          <w:iCs/>
        </w:rPr>
        <w:t>assess burden of ME/CFS</w:t>
      </w:r>
      <w:r w:rsidRPr="009E3DE0">
        <w:rPr>
          <w:rFonts w:cs="Times New Roman"/>
          <w:bCs/>
          <w:iCs/>
        </w:rPr>
        <w:t xml:space="preserve"> using data from  Phase-4 for the school-based active surveillance. Data collection will be led by school nurses in participating districts. Information collection will include but not limited </w:t>
      </w:r>
      <w:r w:rsidRPr="009E3DE0">
        <w:rPr>
          <w:rFonts w:cs="Times New Roman"/>
          <w:bCs/>
          <w:iCs/>
        </w:rPr>
        <w:t>to:</w:t>
      </w:r>
      <w:r w:rsidRPr="009E3DE0">
        <w:rPr>
          <w:rFonts w:cs="Times New Roman"/>
          <w:bCs/>
          <w:iCs/>
        </w:rPr>
        <w:t xml:space="preserve"> chronic conditions (e.g. asthma, diabetes, respiratory problems) as well as less-recognized conditions like ME/CFS, Long COVID, and other infection-associated chronic conditions and illnesses (IACCs). Additional data will capture characteristics associated with these conditions, including school absenteeism, withdrawal, and activity participation. </w:t>
      </w:r>
    </w:p>
    <w:p w:rsidR="00622884" w:rsidRPr="009E3DE0" w:rsidP="009E3DE0" w14:paraId="2538CDBE" w14:textId="77777777">
      <w:pPr>
        <w:ind w:firstLine="360"/>
        <w:rPr>
          <w:rFonts w:cs="Times New Roman"/>
          <w:bCs/>
          <w:iCs/>
        </w:rPr>
      </w:pPr>
      <w:r w:rsidRPr="009E3DE0">
        <w:rPr>
          <w:rFonts w:cs="Times New Roman"/>
          <w:bCs/>
          <w:iCs/>
        </w:rPr>
        <w:t>Several states already track data on chronically absent students, and many school districts have school nurses monitoring chronic conditions such as asthma, diabetes, and seizure disorders. However, this data collection is not standardized at school level. Adding ME/CFS to the list of chronic conditions tracked by school nurses could provide a more accurate estimate of how many schoolchildren have ME/CFS while also increasing awareness and knowledge of ME/CFS among school nursing professionals. Active surveillance could help communities identify students at risk of ME/CFS earlier, monitor trends, and proactively address the health needs of students and their families.</w:t>
      </w:r>
    </w:p>
    <w:p w:rsidR="00622884" w:rsidRPr="009E3DE0" w:rsidP="009E3DE0" w14:paraId="0F39B157" w14:textId="77777777">
      <w:pPr>
        <w:ind w:firstLine="360"/>
        <w:rPr>
          <w:rFonts w:cs="Times New Roman"/>
          <w:bCs/>
          <w:iCs/>
        </w:rPr>
      </w:pPr>
      <w:r w:rsidRPr="009E3DE0">
        <w:rPr>
          <w:rFonts w:cs="Times New Roman"/>
          <w:bCs/>
          <w:iCs/>
        </w:rPr>
        <w:t xml:space="preserve">An environmental scan conducted by NASN found that the presence of school electronic health records, dedicated school health data coordinators, and data training significantly improved active surveillance outcomes. For this project, CDC will use an electronic data collection tool to enable standardized school-level data entry by trained school nurses at the participating sites. Standardizing data collection at the school level will allow data to be aggregated more easily at state and national levels, ensuring greater consistency compared to the current system, where data points are not consistently defined, collected, or reported across states. The results of this project will inform key considerations for scaling up the approach nationwide.   </w:t>
      </w:r>
    </w:p>
    <w:p w:rsidR="00622884" w:rsidRPr="009E3DE0" w:rsidP="009E3DE0" w14:paraId="33551CBD" w14:textId="77777777">
      <w:pPr>
        <w:ind w:firstLine="360"/>
        <w:rPr>
          <w:rFonts w:cs="Times New Roman"/>
          <w:bCs/>
          <w:iCs/>
        </w:rPr>
      </w:pPr>
      <w:r w:rsidRPr="009E3DE0">
        <w:rPr>
          <w:rFonts w:cs="Times New Roman"/>
          <w:bCs/>
          <w:iCs/>
        </w:rPr>
        <w:t>Over the next three years, school district sites from at least 24 states will participate in Phase-4 of this project. These states include some that were involved in earlier phases, as well as others that expressed interest after learning about this project through NASN members and publications. Several participating states have  physicians that have experienced caring for patients with ME/CFS. School districts include urban, suburban, and rural areas. At least one frontline school nurse at each site will identify children who are chronically absent or have withdrawn from school, as well as children with ME/CFS and other chronic conditions by reviewing school records, including health records. Approximately 80 frontline school nurses are expected to participate during this phase. To date, 17 states have participated in previous SBAS phases: Alaska, Arizona, Delaware, Florida, Georgia, Illinois, Iowa, Kentucky, Maine, Massachusetts, Michigan, Montana, New Jersey, New York, Utah, Washington, and Wisconsin.</w:t>
      </w:r>
    </w:p>
    <w:p w:rsidR="00E40046" w:rsidP="00E40046" w14:paraId="4DC3EFDC" w14:textId="5C9BB5BD">
      <w:r w:rsidRPr="009E3DE0">
        <w:rPr>
          <w:rFonts w:cs="Times New Roman"/>
          <w:bCs/>
          <w:iCs/>
        </w:rPr>
        <w:t xml:space="preserve">Three types of data will be collected during Phase-4 of the project, using six forms:  1) </w:t>
      </w:r>
      <w:r w:rsidRPr="009E3DE0">
        <w:rPr>
          <w:rFonts w:cs="Times New Roman"/>
          <w:b/>
          <w:iCs/>
        </w:rPr>
        <w:t>health-related chronic absenteeism data</w:t>
      </w:r>
      <w:r w:rsidRPr="009E3DE0">
        <w:rPr>
          <w:rFonts w:cs="Times New Roman"/>
          <w:bCs/>
          <w:iCs/>
        </w:rPr>
        <w:t xml:space="preserve"> (2 forms — Attachments A and B), 2) </w:t>
      </w:r>
      <w:r w:rsidRPr="009E3DE0">
        <w:rPr>
          <w:rFonts w:cs="Times New Roman"/>
          <w:b/>
          <w:iCs/>
        </w:rPr>
        <w:t>technical assistance and training needs data</w:t>
      </w:r>
      <w:r w:rsidRPr="009E3DE0">
        <w:rPr>
          <w:rFonts w:cs="Times New Roman"/>
          <w:bCs/>
          <w:iCs/>
        </w:rPr>
        <w:t xml:space="preserve"> (2 forms</w:t>
      </w:r>
      <w:r w:rsidRPr="00622884">
        <w:rPr>
          <w:rFonts w:cs="Times New Roman"/>
        </w:rPr>
        <w:t xml:space="preserve"> </w:t>
      </w:r>
      <w:r w:rsidRPr="009E3DE0">
        <w:rPr>
          <w:rFonts w:cs="Times New Roman"/>
          <w:bCs/>
          <w:iCs/>
        </w:rPr>
        <w:t xml:space="preserve">— Attachments C and D), and 3) </w:t>
      </w:r>
      <w:r w:rsidRPr="009E3DE0">
        <w:rPr>
          <w:rFonts w:cs="Times New Roman"/>
          <w:b/>
          <w:iCs/>
        </w:rPr>
        <w:t>feasibility and usability data</w:t>
      </w:r>
      <w:r w:rsidRPr="009E3DE0">
        <w:rPr>
          <w:rFonts w:cs="Times New Roman"/>
          <w:bCs/>
          <w:iCs/>
        </w:rPr>
        <w:t xml:space="preserve"> for the active surveillance process and electronic data collection tool (2 forms</w:t>
      </w:r>
      <w:r w:rsidRPr="00622884">
        <w:rPr>
          <w:rFonts w:cs="Times New Roman"/>
        </w:rPr>
        <w:t xml:space="preserve"> </w:t>
      </w:r>
      <w:r w:rsidRPr="009E3DE0">
        <w:rPr>
          <w:rFonts w:cs="Times New Roman"/>
          <w:bCs/>
          <w:iCs/>
        </w:rPr>
        <w:t xml:space="preserve">— Attachments E and F). </w:t>
      </w:r>
    </w:p>
    <w:p w:rsidR="00E40046" w:rsidRPr="00784CD6" w:rsidP="00E40046" w14:paraId="70D5B039" w14:textId="77777777">
      <w:pPr>
        <w:rPr>
          <w:b/>
          <w:bCs/>
          <w:i/>
          <w:iCs/>
        </w:rPr>
      </w:pPr>
      <w:r w:rsidRPr="00784CD6">
        <w:rPr>
          <w:b/>
          <w:bCs/>
          <w:i/>
          <w:iCs/>
        </w:rPr>
        <w:t>Data on Health-related Chronic Absenteeism and School Withdrawal</w:t>
      </w:r>
    </w:p>
    <w:p w:rsidR="002512C1" w:rsidP="001A4A68" w14:paraId="062F3E4B" w14:textId="2EFD1725">
      <w:r>
        <w:t>S</w:t>
      </w:r>
      <w:r w:rsidRPr="00CB5E20">
        <w:t>chool nurse respondents</w:t>
      </w:r>
      <w:r>
        <w:t xml:space="preserve"> will collect</w:t>
      </w:r>
      <w:r w:rsidRPr="00CB5E20">
        <w:t xml:space="preserve"> </w:t>
      </w:r>
      <w:r>
        <w:t>d</w:t>
      </w:r>
      <w:r w:rsidRPr="002512C1">
        <w:t xml:space="preserve">ata on health-related </w:t>
      </w:r>
      <w:r>
        <w:t xml:space="preserve">school withdrawal and </w:t>
      </w:r>
      <w:r w:rsidRPr="002512C1">
        <w:t>chronic absenteeism</w:t>
      </w:r>
      <w:r w:rsidR="00751C65">
        <w:t>,</w:t>
      </w:r>
      <w:r w:rsidRPr="002512C1">
        <w:t xml:space="preserve"> </w:t>
      </w:r>
      <w:r w:rsidRPr="00751C65" w:rsidR="00751C65">
        <w:t xml:space="preserve">which </w:t>
      </w:r>
      <w:r w:rsidR="00742B94">
        <w:t xml:space="preserve">has been </w:t>
      </w:r>
      <w:r w:rsidRPr="00751C65" w:rsidR="00751C65">
        <w:t>defined as miss</w:t>
      </w:r>
      <w:r w:rsidR="002609F3">
        <w:t>ing</w:t>
      </w:r>
      <w:r w:rsidRPr="00751C65" w:rsidR="00751C65">
        <w:t xml:space="preserve"> more than 10% of a school year, or more than three days per month</w:t>
      </w:r>
      <w:r w:rsidR="00CC2431">
        <w:t>.</w:t>
      </w:r>
      <w:r w:rsidRPr="00751C65" w:rsidR="00751C65">
        <w:t xml:space="preserve"> </w:t>
      </w:r>
      <w:r w:rsidR="00742B94">
        <w:t xml:space="preserve">This definition has been modified slightly because of operational changes related to the coronavirus pandemic. </w:t>
      </w:r>
      <w:r w:rsidRPr="00742B94" w:rsidR="00742B94">
        <w:t xml:space="preserve">For this surveillance project, </w:t>
      </w:r>
      <w:r w:rsidR="00742B94">
        <w:t xml:space="preserve">chronic absenteeism is defined as </w:t>
      </w:r>
      <w:r w:rsidRPr="00742B94" w:rsidR="00742B94">
        <w:t>miss</w:t>
      </w:r>
      <w:r w:rsidR="00742B94">
        <w:t>ing</w:t>
      </w:r>
      <w:r w:rsidRPr="00742B94" w:rsidR="00742B94">
        <w:t xml:space="preserve"> 10% or more of virtual </w:t>
      </w:r>
      <w:r w:rsidR="00742B94">
        <w:t>and/</w:t>
      </w:r>
      <w:r w:rsidRPr="00742B94" w:rsidR="00742B94">
        <w:t>or traditional learning opportunities</w:t>
      </w:r>
      <w:r w:rsidR="00742B94">
        <w:t>.</w:t>
      </w:r>
      <w:r w:rsidRPr="00742B94" w:rsidR="00742B94">
        <w:t xml:space="preserve"> </w:t>
      </w:r>
      <w:r w:rsidRPr="002512C1">
        <w:t xml:space="preserve">The data from this component of the project will be used to assess whether school nurses can provide accurate, useful information to track ME/CFS and other </w:t>
      </w:r>
      <w:r w:rsidR="00341A92">
        <w:t xml:space="preserve">chronic </w:t>
      </w:r>
      <w:r w:rsidRPr="002512C1">
        <w:t>health conditions associated with absenteeism and school withdrawal</w:t>
      </w:r>
      <w:r w:rsidR="00802AED">
        <w:t xml:space="preserve"> in schoolchildren</w:t>
      </w:r>
      <w:r w:rsidRPr="002512C1">
        <w:t xml:space="preserve">, and </w:t>
      </w:r>
      <w:r w:rsidR="00EB76C9">
        <w:t xml:space="preserve">to identify considerations for implementing this approach </w:t>
      </w:r>
      <w:r w:rsidRPr="002512C1">
        <w:t xml:space="preserve">on a larger scale in the U.S. The surveillance information to be collected includes both data from the school health record and follow-up data from outreach to students who have ME/CFS symptoms. </w:t>
      </w:r>
      <w:r w:rsidRPr="0060732A" w:rsidR="0060732A">
        <w:t xml:space="preserve">Collecting data on additional chronic conditions—including, but not limited to, asthma, diabetes, seizures, </w:t>
      </w:r>
      <w:r w:rsidRPr="00717886" w:rsidR="00717886">
        <w:t xml:space="preserve">as well as less-recognized conditions like ME/CFS, Long COVID, and other </w:t>
      </w:r>
      <w:r w:rsidR="00717886">
        <w:t>IACCIs</w:t>
      </w:r>
      <w:r w:rsidRPr="0060732A" w:rsidR="0060732A">
        <w:t>—will support assessment of data quality within the system. As more is known about these conditions, such information will also help establish benchmarks and improve the accuracy of surveillance estimates.</w:t>
      </w:r>
      <w:r w:rsidR="0060732A">
        <w:t xml:space="preserve"> </w:t>
      </w:r>
      <w:r w:rsidRPr="002362CC" w:rsidR="002362CC">
        <w:t>Without standardized data entry at the school level--the approach that the proposed project is intended to test--information on ME/CFS and other chronic conditions in schoolchildren will continue to be limited, and the patchwork approach to current school surveillance will continue to be a barrier to a coordinated system that provides national data.</w:t>
      </w:r>
    </w:p>
    <w:p w:rsidR="003621DA" w:rsidP="00E40046" w14:paraId="0E481E89" w14:textId="52F5660D">
      <w:pPr>
        <w:rPr>
          <w:b/>
          <w:bCs/>
          <w:i/>
          <w:iCs/>
        </w:rPr>
      </w:pPr>
      <w:r>
        <w:t xml:space="preserve">School nurses will </w:t>
      </w:r>
      <w:r w:rsidR="00E86858">
        <w:t xml:space="preserve">enter and submit </w:t>
      </w:r>
      <w:r>
        <w:t>d</w:t>
      </w:r>
      <w:r w:rsidR="001A4A68">
        <w:t xml:space="preserve">ata related to chronic absenteeism and school withdrawal surveillance </w:t>
      </w:r>
      <w:r w:rsidRPr="00E86858" w:rsidR="00E86858">
        <w:t>in an</w:t>
      </w:r>
      <w:r w:rsidR="00422508">
        <w:t xml:space="preserve"> online data collection tool</w:t>
      </w:r>
      <w:r w:rsidR="00D575CE">
        <w:t xml:space="preserve"> </w:t>
      </w:r>
      <w:r w:rsidR="004C0CCF">
        <w:t>(</w:t>
      </w:r>
      <w:r w:rsidRPr="00E86858" w:rsidR="00E86858">
        <w:t>Attachment A</w:t>
      </w:r>
      <w:r w:rsidR="004C0CCF">
        <w:t>)</w:t>
      </w:r>
      <w:r w:rsidRPr="00E86858" w:rsidR="00E86858">
        <w:t>.</w:t>
      </w:r>
      <w:r w:rsidR="00E86858">
        <w:t xml:space="preserve"> </w:t>
      </w:r>
      <w:r w:rsidR="001A4A68">
        <w:t xml:space="preserve">This form includes the following aggregate data elements from each site: number of students chronically absent or withdrawn for any reason and for health reasons, number of families contacted for students with chronic absenteeism, number of undiagnosed students with symptoms related to ME/CFS, number of students referred to a provider for possible ME/CFS, types of nursing interventions, and nursing diagnoses for students who are chronically absent. Additionally, the school nurses will note the time needed to complete parts of this data collection tool. </w:t>
      </w:r>
      <w:r w:rsidRPr="008E1367" w:rsidR="008E1367">
        <w:t xml:space="preserve"> In addition, school nurses will</w:t>
      </w:r>
      <w:r w:rsidR="00156D7F">
        <w:t xml:space="preserve"> electronically</w:t>
      </w:r>
      <w:r w:rsidRPr="008E1367" w:rsidR="008E1367">
        <w:t xml:space="preserve"> enter </w:t>
      </w:r>
      <w:r w:rsidR="00AB6674">
        <w:t xml:space="preserve">the number of enrolled students in the school, </w:t>
      </w:r>
      <w:r w:rsidRPr="008E1367" w:rsidR="008E1367">
        <w:t xml:space="preserve">school level demographics, </w:t>
      </w:r>
      <w:r w:rsidR="00AB6674">
        <w:t xml:space="preserve">and </w:t>
      </w:r>
      <w:r w:rsidRPr="008E1367" w:rsidR="008E1367">
        <w:t>school nurse workforce data</w:t>
      </w:r>
      <w:r w:rsidR="00AB6674">
        <w:t xml:space="preserve"> </w:t>
      </w:r>
      <w:r w:rsidR="00156D7F">
        <w:t xml:space="preserve">as </w:t>
      </w:r>
      <w:r w:rsidR="00132D92">
        <w:t>listed</w:t>
      </w:r>
      <w:r w:rsidR="00156D7F">
        <w:t xml:space="preserve"> </w:t>
      </w:r>
      <w:r w:rsidR="008E1367">
        <w:t>in the “</w:t>
      </w:r>
      <w:r w:rsidR="00156D7F">
        <w:t>Demographic Data Collection Points</w:t>
      </w:r>
      <w:r w:rsidR="008E1367">
        <w:t xml:space="preserve">” </w:t>
      </w:r>
      <w:r w:rsidR="00156D7F">
        <w:t xml:space="preserve">document </w:t>
      </w:r>
      <w:r w:rsidR="008E1367">
        <w:t>(</w:t>
      </w:r>
      <w:r w:rsidRPr="008E1367" w:rsidR="008E1367">
        <w:t>Attachment B</w:t>
      </w:r>
      <w:r w:rsidR="008E1367">
        <w:t xml:space="preserve">). </w:t>
      </w:r>
      <w:r w:rsidR="00151C51">
        <w:t xml:space="preserve">The data entered in the platform will be reported by the school nurses to NASN quarterly, and NASN will send a summary to CDC at the end of the school year. </w:t>
      </w:r>
      <w:r w:rsidR="009050C6">
        <w:t xml:space="preserve">The quarters are defined as follows: Quarter 1 (beginning of school year to November 30), Quarter 2 (December 1 to February 28), and Quarter 3 (March 1 to end of school year). </w:t>
      </w:r>
    </w:p>
    <w:p w:rsidR="00E40046" w:rsidRPr="00784CD6" w:rsidP="00E40046" w14:paraId="5A51683E" w14:textId="50CAC72E">
      <w:pPr>
        <w:rPr>
          <w:b/>
          <w:bCs/>
          <w:i/>
          <w:iCs/>
        </w:rPr>
      </w:pPr>
      <w:r w:rsidRPr="00784CD6">
        <w:rPr>
          <w:b/>
          <w:bCs/>
          <w:i/>
          <w:iCs/>
        </w:rPr>
        <w:t>Data on Technical Assistance and Training Needs</w:t>
      </w:r>
    </w:p>
    <w:p w:rsidR="00E03C92" w:rsidRPr="009050C6" w:rsidP="00E03C92" w14:paraId="5C22FA01" w14:textId="43DAAF02">
      <w:r w:rsidRPr="00587C06">
        <w:t>Considering the variability between states in data collection infrastructure and practices</w:t>
      </w:r>
      <w:r w:rsidR="001F0F27">
        <w:t xml:space="preserve"> </w:t>
      </w:r>
      <w:r w:rsidRPr="00587C06">
        <w:t xml:space="preserve">and knowledge about ME/CFS, </w:t>
      </w:r>
      <w:r w:rsidR="001F0F27">
        <w:t xml:space="preserve">school nurses in the </w:t>
      </w:r>
      <w:r w:rsidR="003F335E">
        <w:t>s</w:t>
      </w:r>
      <w:r w:rsidR="00B3128D">
        <w:t>chool district</w:t>
      </w:r>
      <w:r w:rsidR="003F335E">
        <w:t xml:space="preserve"> </w:t>
      </w:r>
      <w:r w:rsidR="001F0F27">
        <w:t>sites will be asked to complete an online survey</w:t>
      </w:r>
      <w:r w:rsidR="009D66BF">
        <w:t xml:space="preserve"> </w:t>
      </w:r>
      <w:r w:rsidR="009D66BF">
        <w:t>(Attachment C)</w:t>
      </w:r>
      <w:r w:rsidR="001F0F27">
        <w:t xml:space="preserve"> </w:t>
      </w:r>
      <w:r w:rsidRPr="00587C06">
        <w:t>on technical assistance and training needs</w:t>
      </w:r>
      <w:r w:rsidR="00D575CE">
        <w:t xml:space="preserve"> </w:t>
      </w:r>
      <w:r w:rsidRPr="00587C06">
        <w:t xml:space="preserve">before </w:t>
      </w:r>
      <w:r w:rsidR="001F0F27">
        <w:t xml:space="preserve">the sites start </w:t>
      </w:r>
      <w:r w:rsidRPr="00587C06">
        <w:t xml:space="preserve">data collection on health-related chronic absenteeism and school withdrawal. </w:t>
      </w:r>
      <w:r w:rsidRPr="001F0F27" w:rsidR="001F0F27">
        <w:t>The questionnaire is designed to provide a baseline understanding of the ME/CFS knowledge and information technology status and needs of each</w:t>
      </w:r>
      <w:r w:rsidR="00B3128D">
        <w:t xml:space="preserve"> </w:t>
      </w:r>
      <w:r w:rsidRPr="001F0F27" w:rsidR="001F0F27">
        <w:t xml:space="preserve"> site</w:t>
      </w:r>
      <w:r w:rsidR="00BD3C43">
        <w:t>.</w:t>
      </w:r>
      <w:r w:rsidRPr="001F0F27" w:rsidR="001F0F27">
        <w:t xml:space="preserve"> </w:t>
      </w:r>
      <w:r w:rsidRPr="00587C06">
        <w:t xml:space="preserve">This information will be used by NASN to provide continued nursing education and technical assistance for school nurses and leaders to improve </w:t>
      </w:r>
      <w:r w:rsidR="008551F8">
        <w:t xml:space="preserve">critical </w:t>
      </w:r>
      <w:r w:rsidRPr="00587C06">
        <w:t xml:space="preserve">skills </w:t>
      </w:r>
      <w:r w:rsidR="008551F8">
        <w:t xml:space="preserve">related to </w:t>
      </w:r>
      <w:r w:rsidRPr="00587C06">
        <w:t>data collection and use.</w:t>
      </w:r>
      <w:r w:rsidRPr="001F0F27" w:rsidR="001F0F27">
        <w:t xml:space="preserve"> Without this information, NASN would not be able to provide appropriate support for the sites throughout the surveillance process.</w:t>
      </w:r>
    </w:p>
    <w:p w:rsidR="00E03C92" w:rsidRPr="00784CD6" w:rsidP="00E03C92" w14:paraId="2FBAA0F5" w14:textId="09E28234">
      <w:pPr>
        <w:rPr>
          <w:i/>
          <w:iCs/>
          <w:u w:val="single"/>
        </w:rPr>
      </w:pPr>
      <w:r>
        <w:rPr>
          <w:iCs/>
          <w:szCs w:val="24"/>
        </w:rPr>
        <w:t xml:space="preserve">The state data coordinator in </w:t>
      </w:r>
      <w:r w:rsidR="003621DA">
        <w:rPr>
          <w:iCs/>
          <w:szCs w:val="24"/>
        </w:rPr>
        <w:t xml:space="preserve">each of the </w:t>
      </w:r>
      <w:r w:rsidR="00CB11AA">
        <w:rPr>
          <w:iCs/>
          <w:szCs w:val="24"/>
        </w:rPr>
        <w:t>50</w:t>
      </w:r>
      <w:r>
        <w:rPr>
          <w:iCs/>
          <w:szCs w:val="24"/>
        </w:rPr>
        <w:t xml:space="preserve"> states will be asked to complete a</w:t>
      </w:r>
      <w:r w:rsidR="001F0F27">
        <w:rPr>
          <w:iCs/>
          <w:szCs w:val="24"/>
        </w:rPr>
        <w:t xml:space="preserve"> s</w:t>
      </w:r>
      <w:r w:rsidR="00E40046">
        <w:rPr>
          <w:iCs/>
          <w:szCs w:val="24"/>
        </w:rPr>
        <w:t xml:space="preserve">econd </w:t>
      </w:r>
      <w:r w:rsidR="006B4F47">
        <w:rPr>
          <w:iCs/>
          <w:szCs w:val="24"/>
        </w:rPr>
        <w:t xml:space="preserve">online </w:t>
      </w:r>
      <w:r w:rsidR="00E40046">
        <w:rPr>
          <w:iCs/>
          <w:szCs w:val="24"/>
        </w:rPr>
        <w:t>survey</w:t>
      </w:r>
      <w:r w:rsidR="00D575CE">
        <w:rPr>
          <w:iCs/>
          <w:szCs w:val="24"/>
        </w:rPr>
        <w:t xml:space="preserve"> </w:t>
      </w:r>
      <w:r w:rsidR="00E40046">
        <w:t xml:space="preserve">(Attachment </w:t>
      </w:r>
      <w:r>
        <w:t>D</w:t>
      </w:r>
      <w:r w:rsidR="00E40046">
        <w:t>)</w:t>
      </w:r>
      <w:r w:rsidRPr="00E03C92">
        <w:t>. Th</w:t>
      </w:r>
      <w:r w:rsidR="00DA24F5">
        <w:t xml:space="preserve">is survey gathers feedback </w:t>
      </w:r>
      <w:r w:rsidR="00AC3110">
        <w:t xml:space="preserve">on </w:t>
      </w:r>
      <w:r w:rsidR="00C42CB1">
        <w:t>the status of</w:t>
      </w:r>
      <w:r w:rsidR="009C5450">
        <w:t xml:space="preserve"> </w:t>
      </w:r>
      <w:r w:rsidR="00AC3110">
        <w:t xml:space="preserve">training and technical assistance needs </w:t>
      </w:r>
      <w:r w:rsidR="00DA24F5">
        <w:t xml:space="preserve">relevant to the ongoing school surveillance of chronic health conditions, as well as </w:t>
      </w:r>
      <w:r w:rsidRPr="00E03C92">
        <w:t xml:space="preserve">the level of ME/CFS knowledge, awareness of activities related to ME/CFS and chronic absenteeism, and availability to participate in webinars. </w:t>
      </w:r>
      <w:r w:rsidR="00B6098E">
        <w:t xml:space="preserve">The data will be used </w:t>
      </w:r>
      <w:r w:rsidR="00BD3C43">
        <w:t xml:space="preserve">to identify planning considerations for </w:t>
      </w:r>
      <w:r w:rsidR="00ED3565">
        <w:t xml:space="preserve">further </w:t>
      </w:r>
      <w:r w:rsidR="00B6098E">
        <w:t>scal</w:t>
      </w:r>
      <w:r w:rsidR="00BD3C43">
        <w:t>ing</w:t>
      </w:r>
      <w:r w:rsidR="00B6098E">
        <w:t xml:space="preserve"> up the </w:t>
      </w:r>
      <w:r w:rsidR="00CB11AA">
        <w:t>SBAS</w:t>
      </w:r>
      <w:r w:rsidR="00F4359E">
        <w:t xml:space="preserve"> </w:t>
      </w:r>
      <w:r w:rsidR="00B6098E">
        <w:t xml:space="preserve">approach nationally, should the </w:t>
      </w:r>
      <w:r w:rsidR="00ED3565">
        <w:t xml:space="preserve">current phase </w:t>
      </w:r>
      <w:r w:rsidR="00B6098E">
        <w:t xml:space="preserve">be successful and </w:t>
      </w:r>
      <w:r w:rsidR="00ED3565">
        <w:t xml:space="preserve">further </w:t>
      </w:r>
      <w:r w:rsidR="00B6098E">
        <w:t xml:space="preserve">national rollout be determined to be feasible. </w:t>
      </w:r>
      <w:r w:rsidR="00AC3110">
        <w:t xml:space="preserve">Without </w:t>
      </w:r>
      <w:r w:rsidR="00A37A5C">
        <w:t xml:space="preserve">these data </w:t>
      </w:r>
      <w:r w:rsidR="00AC3110">
        <w:t xml:space="preserve">from all </w:t>
      </w:r>
      <w:r w:rsidR="00CB11AA">
        <w:t>50</w:t>
      </w:r>
      <w:r w:rsidR="00AC3110">
        <w:t xml:space="preserve"> states, </w:t>
      </w:r>
      <w:r w:rsidR="00A37A5C">
        <w:t xml:space="preserve">NASN would be missing critical information needed for planning for training and technical assistance </w:t>
      </w:r>
      <w:r w:rsidR="00B6098E">
        <w:t xml:space="preserve">related to surveillance of chronic conditions, including ME/CFS, among </w:t>
      </w:r>
      <w:r w:rsidR="00083809">
        <w:t xml:space="preserve">U.S. </w:t>
      </w:r>
      <w:r w:rsidR="00B6098E">
        <w:t>schoolchildren</w:t>
      </w:r>
      <w:r w:rsidR="00083809">
        <w:t xml:space="preserve">, </w:t>
      </w:r>
      <w:r w:rsidR="00A37A5C">
        <w:t>to</w:t>
      </w:r>
      <w:r w:rsidR="00B6098E">
        <w:t xml:space="preserve"> support a </w:t>
      </w:r>
      <w:r w:rsidR="0023158C">
        <w:t xml:space="preserve">future </w:t>
      </w:r>
      <w:r w:rsidR="002B3D9F">
        <w:t xml:space="preserve">extended </w:t>
      </w:r>
      <w:r w:rsidR="00B6098E">
        <w:t>national rollout of the approach</w:t>
      </w:r>
      <w:r w:rsidR="00A37A5C">
        <w:t xml:space="preserve">. </w:t>
      </w:r>
    </w:p>
    <w:p w:rsidR="00DA6A12" w:rsidRPr="009050C6" w:rsidP="00E03C92" w14:paraId="34BE820D" w14:textId="36248973">
      <w:pPr>
        <w:rPr>
          <w:b/>
          <w:bCs/>
          <w:i/>
          <w:iCs/>
        </w:rPr>
      </w:pPr>
      <w:r w:rsidRPr="00784CD6">
        <w:rPr>
          <w:b/>
          <w:bCs/>
          <w:i/>
          <w:iCs/>
        </w:rPr>
        <w:t xml:space="preserve">Data on Feasibility and Usability of the Active Surveillance Process and Data </w:t>
      </w:r>
      <w:r w:rsidR="007D43F8">
        <w:rPr>
          <w:b/>
          <w:bCs/>
          <w:i/>
          <w:iCs/>
        </w:rPr>
        <w:t>Collection Tool</w:t>
      </w:r>
    </w:p>
    <w:p w:rsidR="00E03C92" w:rsidP="00E03C92" w14:paraId="3F9A748C" w14:textId="4F80E307">
      <w:r>
        <w:t xml:space="preserve">Data on the </w:t>
      </w:r>
      <w:r w:rsidR="000D05AD">
        <w:t xml:space="preserve">feasibility and </w:t>
      </w:r>
      <w:r>
        <w:t>usability of the surveillance</w:t>
      </w:r>
      <w:r w:rsidR="000D05AD">
        <w:t xml:space="preserve"> process and data entry platform wi</w:t>
      </w:r>
      <w:r>
        <w:t>ll be collected through three separate focus groups (each lasting about 1.5 hours) with the school nurses from the</w:t>
      </w:r>
      <w:r w:rsidR="00B3128D">
        <w:t xml:space="preserve"> school district</w:t>
      </w:r>
      <w:r>
        <w:t xml:space="preserve">  sites, </w:t>
      </w:r>
      <w:r w:rsidR="00B56DB2">
        <w:t xml:space="preserve">conducted by </w:t>
      </w:r>
      <w:r>
        <w:t xml:space="preserve">a NASN </w:t>
      </w:r>
      <w:r w:rsidR="00B56DB2">
        <w:t>facilitator</w:t>
      </w:r>
      <w:r>
        <w:t xml:space="preserve">. </w:t>
      </w:r>
      <w:r>
        <w:t xml:space="preserve">The interview guides for focus group interviews (Attachment </w:t>
      </w:r>
      <w:r w:rsidR="006302BD">
        <w:t>E</w:t>
      </w:r>
      <w:r>
        <w:t xml:space="preserve">), are semi-structured, allowing for in-depth discussions. </w:t>
      </w:r>
      <w:r w:rsidRPr="00E03C92">
        <w:t xml:space="preserve">These questions are designed to elicit information about school nurses’ experience working with students and entering data into the platform, how well the surveillance </w:t>
      </w:r>
      <w:r w:rsidR="00CC380E">
        <w:t xml:space="preserve">data entry platform </w:t>
      </w:r>
      <w:r w:rsidRPr="00E03C92">
        <w:t>guided their practice, and suggestions for improving th</w:t>
      </w:r>
      <w:r w:rsidR="00CC380E">
        <w:t>is</w:t>
      </w:r>
      <w:r w:rsidRPr="00E03C92">
        <w:t xml:space="preserve"> tool</w:t>
      </w:r>
      <w:r>
        <w:t>. Information collected through these semi-structured interviews may be used to gain insight into the experience school nurses ha</w:t>
      </w:r>
      <w:r w:rsidR="00C3420B">
        <w:t>ve</w:t>
      </w:r>
      <w:r>
        <w:t xml:space="preserve"> with the active surveillance process and to inform </w:t>
      </w:r>
      <w:r>
        <w:t>changes</w:t>
      </w:r>
      <w:r>
        <w:t xml:space="preserve"> that may be needed in tools and procedures. The potential changes, best practices, and lessons learned will be</w:t>
      </w:r>
      <w:r w:rsidR="00054BD3">
        <w:t xml:space="preserve"> documented</w:t>
      </w:r>
      <w:r w:rsidR="00AD7B42">
        <w:t xml:space="preserve"> so that they may be used to inform </w:t>
      </w:r>
      <w:r w:rsidR="00ED3565">
        <w:t xml:space="preserve">expanded </w:t>
      </w:r>
      <w:r>
        <w:t xml:space="preserve">national roll-out of the </w:t>
      </w:r>
      <w:r w:rsidR="00ED3565">
        <w:t xml:space="preserve">current </w:t>
      </w:r>
      <w:r w:rsidR="00AD7B42">
        <w:t xml:space="preserve">approach, if the </w:t>
      </w:r>
      <w:r w:rsidR="00ED3565">
        <w:t xml:space="preserve">current phase </w:t>
      </w:r>
      <w:r w:rsidR="00AD7B42">
        <w:t xml:space="preserve">is successful and </w:t>
      </w:r>
      <w:r w:rsidR="00ED3565">
        <w:t xml:space="preserve">additional </w:t>
      </w:r>
      <w:r w:rsidR="00AD7B42">
        <w:t>national scale</w:t>
      </w:r>
      <w:r w:rsidR="00E502FC">
        <w:t>-</w:t>
      </w:r>
      <w:r w:rsidR="00AD7B42">
        <w:t>up is determined to be feasible</w:t>
      </w:r>
      <w:r>
        <w:t xml:space="preserve">.  </w:t>
      </w:r>
    </w:p>
    <w:p w:rsidR="00180D48" w:rsidP="00180D48" w14:paraId="7992DB50" w14:textId="6279920E">
      <w:r w:rsidRPr="00D80978">
        <w:t>School district administrators for each of the</w:t>
      </w:r>
      <w:r w:rsidR="00103D3A">
        <w:t xml:space="preserve"> </w:t>
      </w:r>
      <w:r w:rsidR="00CB11AA">
        <w:t xml:space="preserve">school district </w:t>
      </w:r>
      <w:r w:rsidRPr="00D80978">
        <w:t xml:space="preserve">sites will be asked to complete the </w:t>
      </w:r>
      <w:r w:rsidR="00BE1DE0">
        <w:t>“</w:t>
      </w:r>
      <w:r w:rsidRPr="00D80978">
        <w:t>School District Feedback Form</w:t>
      </w:r>
      <w:r w:rsidR="00BE1DE0">
        <w:t>”</w:t>
      </w:r>
      <w:r w:rsidRPr="00D80978">
        <w:t xml:space="preserve"> (Attachment F). </w:t>
      </w:r>
      <w:r>
        <w:t>This form is designed to evaluate the feasibility of this school nurse-led surveillance process from the perspective of the school district representative. The answers will be used to adjust and revise the process</w:t>
      </w:r>
      <w:r w:rsidR="003E53BB">
        <w:t>.</w:t>
      </w:r>
      <w:r w:rsidR="00E502FC">
        <w:t xml:space="preserve"> </w:t>
      </w:r>
      <w:r>
        <w:t xml:space="preserve">The form includes inquiries about the impact on </w:t>
      </w:r>
      <w:r>
        <w:t>the chronic</w:t>
      </w:r>
      <w:r>
        <w:t xml:space="preserve"> absenteeism </w:t>
      </w:r>
      <w:r w:rsidR="003B4139">
        <w:t xml:space="preserve">surveillance </w:t>
      </w:r>
      <w:r>
        <w:t xml:space="preserve">on the school districts, any changes that </w:t>
      </w:r>
      <w:r w:rsidR="003B4139">
        <w:t>are</w:t>
      </w:r>
      <w:r>
        <w:t xml:space="preserve"> needed for tracking purposes, and general insights and feedback.</w:t>
      </w:r>
      <w:r w:rsidR="003B4139">
        <w:t xml:space="preserve"> Successful school-based health surveillance requires the engagement of multiple organizational levels. Without the data from this form on the impact on school districts, NASN will </w:t>
      </w:r>
      <w:r w:rsidR="002C5031">
        <w:t>be missing</w:t>
      </w:r>
      <w:r w:rsidR="002C5031">
        <w:t xml:space="preserve"> key considerations related to scaling up the approach. </w:t>
      </w:r>
    </w:p>
    <w:p w:rsidR="004A13E8" w:rsidP="004A13E8" w14:paraId="55FE17B9" w14:textId="77777777">
      <w:pPr>
        <w:pStyle w:val="Heading1"/>
      </w:pPr>
      <w:r>
        <w:t>Use of Improved Information Technology and Burden Reduction</w:t>
      </w:r>
    </w:p>
    <w:p w:rsidR="00784CD6" w:rsidP="008D5AEA" w14:paraId="0C81D4F7" w14:textId="2A20A6BE">
      <w:r w:rsidRPr="009F0E54">
        <w:t xml:space="preserve">Only the minimum amount of de-identified aggregate </w:t>
      </w:r>
      <w:r w:rsidR="00E502FC">
        <w:t xml:space="preserve">data </w:t>
      </w:r>
      <w:r w:rsidRPr="009F0E54">
        <w:t xml:space="preserve">about children who are chronically absent or withdrawn will be collected. </w:t>
      </w:r>
      <w:r w:rsidR="003441B4">
        <w:t>A</w:t>
      </w:r>
      <w:r w:rsidR="00AB07BC">
        <w:t xml:space="preserve">n online electronic database platform </w:t>
      </w:r>
      <w:r w:rsidR="003441B4">
        <w:t>will be used to</w:t>
      </w:r>
      <w:r w:rsidR="00AB07BC">
        <w:t xml:space="preserve"> facilitate </w:t>
      </w:r>
      <w:r w:rsidR="007309CE">
        <w:t xml:space="preserve">entry of </w:t>
      </w:r>
      <w:r w:rsidR="003441B4">
        <w:t xml:space="preserve">surveillance </w:t>
      </w:r>
      <w:r w:rsidR="00AB07BC">
        <w:t xml:space="preserve">data </w:t>
      </w:r>
      <w:r w:rsidR="007309CE">
        <w:t xml:space="preserve">by </w:t>
      </w:r>
      <w:r w:rsidR="00AB07BC">
        <w:t>the school nurses</w:t>
      </w:r>
      <w:r w:rsidR="00E502FC">
        <w:t>,</w:t>
      </w:r>
      <w:r w:rsidR="00256E24">
        <w:t xml:space="preserve"> and online surveys will be used to assess the feasibility of the approach and to collect information about </w:t>
      </w:r>
      <w:r w:rsidR="00724003">
        <w:t xml:space="preserve">training </w:t>
      </w:r>
      <w:r w:rsidR="00256E24">
        <w:t>technical assistance needs</w:t>
      </w:r>
      <w:r w:rsidR="00AB07BC">
        <w:t>.</w:t>
      </w:r>
      <w:r w:rsidRPr="00256E24" w:rsidR="00256E24">
        <w:t xml:space="preserve"> Provision of electronic data collection software, training, and technical assistance will help to reduce the burden of data collection on school nurse</w:t>
      </w:r>
      <w:r w:rsidR="00FC72F4">
        <w:t xml:space="preserve"> respondent</w:t>
      </w:r>
      <w:r w:rsidRPr="00256E24" w:rsidR="00256E24">
        <w:t xml:space="preserve">s </w:t>
      </w:r>
      <w:r w:rsidR="00FC72F4">
        <w:t>involved in this project.</w:t>
      </w:r>
      <w:r w:rsidRPr="009F0E54">
        <w:t xml:space="preserve"> Automated edit checks will be built into the computer software programs as an additional quality control measure. This will eliminate the need for data cleaning associated with data entry and subsequent errors and will result in a reduction in the </w:t>
      </w:r>
      <w:r w:rsidRPr="009F0E54">
        <w:t>time</w:t>
      </w:r>
      <w:r w:rsidRPr="009F0E54">
        <w:t xml:space="preserve"> to transfer the data itself. </w:t>
      </w:r>
      <w:r w:rsidRPr="00784CD6">
        <w:t xml:space="preserve">The use of an </w:t>
      </w:r>
      <w:r w:rsidR="00D83BCB">
        <w:t xml:space="preserve">online </w:t>
      </w:r>
      <w:r w:rsidR="00A14102">
        <w:t>survey</w:t>
      </w:r>
      <w:r w:rsidRPr="00784CD6">
        <w:t xml:space="preserve"> may reduce the burden on respondents by improving comprehension and reducing the amount of time needed to complete the assessm</w:t>
      </w:r>
      <w:r w:rsidR="00E502FC">
        <w:t>ent</w:t>
      </w:r>
      <w:r w:rsidRPr="00784CD6">
        <w:t>.</w:t>
      </w:r>
    </w:p>
    <w:p w:rsidR="004A13E8" w:rsidRPr="00E502FC" w:rsidP="00A72C5A" w14:paraId="55FE17BC" w14:textId="0C4E0862">
      <w:pPr>
        <w:pStyle w:val="Heading1"/>
      </w:pPr>
      <w:r w:rsidRPr="00E502FC">
        <w:t>Efforts to Identify Duplication and Use of Similar Information</w:t>
      </w:r>
    </w:p>
    <w:p w:rsidR="00333FD4" w:rsidRPr="00333FD4" w:rsidP="00333FD4" w14:paraId="3015F983" w14:textId="06703032">
      <w:pPr>
        <w:rPr>
          <w:rFonts w:cs="Times New Roman"/>
        </w:rPr>
      </w:pPr>
      <w:r w:rsidRPr="00333FD4">
        <w:rPr>
          <w:rFonts w:cs="Times New Roman"/>
        </w:rPr>
        <w:t xml:space="preserve">We reviewed currently funded programs and did not identify potential areas of duplication. We are not aware of any department or agency that collects or maintains data on </w:t>
      </w:r>
      <w:r w:rsidR="00DB46F6">
        <w:rPr>
          <w:rFonts w:cs="Times New Roman"/>
        </w:rPr>
        <w:t xml:space="preserve">ME/CFS </w:t>
      </w:r>
      <w:r w:rsidR="004E211D">
        <w:rPr>
          <w:rFonts w:cs="Times New Roman"/>
        </w:rPr>
        <w:t xml:space="preserve">and other chronic conditions </w:t>
      </w:r>
      <w:r w:rsidR="00DB46F6">
        <w:rPr>
          <w:rFonts w:cs="Times New Roman"/>
        </w:rPr>
        <w:t>and school absenteeism</w:t>
      </w:r>
      <w:r w:rsidRPr="00333FD4">
        <w:rPr>
          <w:rFonts w:cs="Times New Roman"/>
        </w:rPr>
        <w:t>.</w:t>
      </w:r>
      <w:r w:rsidR="00DB46F6">
        <w:rPr>
          <w:rFonts w:cs="Times New Roman"/>
        </w:rPr>
        <w:t xml:space="preserve"> School nurses have collected information </w:t>
      </w:r>
      <w:r w:rsidRPr="009F0E54" w:rsidR="009F0E54">
        <w:rPr>
          <w:rFonts w:cs="Times New Roman"/>
        </w:rPr>
        <w:t xml:space="preserve">through NASN </w:t>
      </w:r>
      <w:r w:rsidR="00DB46F6">
        <w:rPr>
          <w:rFonts w:cs="Times New Roman"/>
        </w:rPr>
        <w:t xml:space="preserve">on other chronic diseases contributing to school absenteeism and school withdrawal, but </w:t>
      </w:r>
      <w:r w:rsidR="00D223F2">
        <w:rPr>
          <w:rFonts w:cs="Times New Roman"/>
        </w:rPr>
        <w:t>not in a standardized way</w:t>
      </w:r>
      <w:r w:rsidR="00103D3A">
        <w:rPr>
          <w:rFonts w:cs="Times New Roman"/>
        </w:rPr>
        <w:t xml:space="preserve">. They </w:t>
      </w:r>
      <w:r w:rsidR="00682ED7">
        <w:rPr>
          <w:rFonts w:cs="Times New Roman"/>
        </w:rPr>
        <w:t xml:space="preserve">have </w:t>
      </w:r>
      <w:r w:rsidR="00CB02AA">
        <w:rPr>
          <w:rFonts w:cs="Times New Roman"/>
        </w:rPr>
        <w:t>not report</w:t>
      </w:r>
      <w:r w:rsidR="00682ED7">
        <w:rPr>
          <w:rFonts w:cs="Times New Roman"/>
        </w:rPr>
        <w:t>ed</w:t>
      </w:r>
      <w:r w:rsidR="00CB02AA">
        <w:rPr>
          <w:rFonts w:cs="Times New Roman"/>
        </w:rPr>
        <w:t xml:space="preserve"> </w:t>
      </w:r>
      <w:r w:rsidR="003B7C18">
        <w:rPr>
          <w:rFonts w:cs="Times New Roman"/>
        </w:rPr>
        <w:t xml:space="preserve">the data </w:t>
      </w:r>
      <w:r w:rsidR="00CB02AA">
        <w:rPr>
          <w:rFonts w:cs="Times New Roman"/>
        </w:rPr>
        <w:t>to the federal government</w:t>
      </w:r>
      <w:r w:rsidR="00103D3A">
        <w:rPr>
          <w:rFonts w:cs="Times New Roman"/>
        </w:rPr>
        <w:t xml:space="preserve">, and </w:t>
      </w:r>
      <w:r w:rsidR="00DB46F6">
        <w:rPr>
          <w:rFonts w:cs="Times New Roman"/>
        </w:rPr>
        <w:t>ME/CFS has n</w:t>
      </w:r>
      <w:r w:rsidR="009F0E54">
        <w:rPr>
          <w:rFonts w:cs="Times New Roman"/>
        </w:rPr>
        <w:t>ot</w:t>
      </w:r>
      <w:r w:rsidR="00DB46F6">
        <w:rPr>
          <w:rFonts w:cs="Times New Roman"/>
        </w:rPr>
        <w:t xml:space="preserve"> </w:t>
      </w:r>
      <w:r w:rsidR="009F0E54">
        <w:rPr>
          <w:rFonts w:cs="Times New Roman"/>
        </w:rPr>
        <w:t xml:space="preserve">previously </w:t>
      </w:r>
      <w:r w:rsidR="00DB46F6">
        <w:rPr>
          <w:rFonts w:cs="Times New Roman"/>
        </w:rPr>
        <w:t>been among the chronic diseases</w:t>
      </w:r>
      <w:r w:rsidR="009F0E54">
        <w:rPr>
          <w:rFonts w:cs="Times New Roman"/>
        </w:rPr>
        <w:t xml:space="preserve"> tracked.</w:t>
      </w:r>
      <w:r w:rsidRPr="00333FD4">
        <w:rPr>
          <w:rFonts w:cs="Times New Roman"/>
        </w:rPr>
        <w:t xml:space="preserve"> </w:t>
      </w:r>
    </w:p>
    <w:p w:rsidR="00DC57CC" w:rsidRPr="00333FD4" w:rsidP="004A13E8" w14:paraId="55FE17BF" w14:textId="77777777">
      <w:pPr>
        <w:pStyle w:val="Heading1"/>
        <w:rPr>
          <w:rFonts w:cs="Times New Roman"/>
        </w:rPr>
      </w:pPr>
      <w:r w:rsidRPr="00333FD4">
        <w:rPr>
          <w:rFonts w:cs="Times New Roman"/>
        </w:rPr>
        <w:t>Impact on Small Businesses or Other Small Entities</w:t>
      </w:r>
    </w:p>
    <w:p w:rsidR="004A13E8" w:rsidP="004A13E8" w14:paraId="55FE17C0" w14:textId="4AE32B1F">
      <w:r>
        <w:t>This data collection wi</w:t>
      </w:r>
      <w:r w:rsidR="001523DF">
        <w:t>ll not involve small businesses.</w:t>
      </w:r>
      <w:r w:rsidR="00DB46F6">
        <w:t xml:space="preserve"> </w:t>
      </w:r>
      <w:r w:rsidR="001F4A76">
        <w:t xml:space="preserve">All </w:t>
      </w:r>
      <w:r w:rsidR="00CB11AA">
        <w:t>school district</w:t>
      </w:r>
      <w:r w:rsidR="00EE6FB7">
        <w:t xml:space="preserve"> </w:t>
      </w:r>
      <w:r w:rsidR="00DB46F6">
        <w:t>site</w:t>
      </w:r>
      <w:r w:rsidR="00EE6FB7">
        <w:t>s</w:t>
      </w:r>
      <w:r w:rsidR="00DB46F6">
        <w:t xml:space="preserve"> are public schools. </w:t>
      </w:r>
    </w:p>
    <w:p w:rsidR="004A13E8" w:rsidP="004A13E8" w14:paraId="55FE17C3" w14:textId="77777777">
      <w:pPr>
        <w:pStyle w:val="Heading1"/>
      </w:pPr>
      <w:r>
        <w:t xml:space="preserve">Consequences of Collecting </w:t>
      </w:r>
      <w:r>
        <w:t>the Information</w:t>
      </w:r>
      <w:r>
        <w:t xml:space="preserve"> Less Frequently</w:t>
      </w:r>
    </w:p>
    <w:p w:rsidR="00A72C5A" w:rsidP="00363D5A" w14:paraId="73501721" w14:textId="07FA30FD">
      <w:r>
        <w:t xml:space="preserve">The frequency of data collection from school nurses in the </w:t>
      </w:r>
      <w:r w:rsidR="000C12AB">
        <w:t xml:space="preserve">school </w:t>
      </w:r>
      <w:r>
        <w:t>districts is quarterly</w:t>
      </w:r>
      <w:r w:rsidR="00E56761">
        <w:t xml:space="preserve"> </w:t>
      </w:r>
      <w:r w:rsidR="0022378F">
        <w:t xml:space="preserve"> </w:t>
      </w:r>
      <w:r>
        <w:t xml:space="preserve">for </w:t>
      </w:r>
      <w:r w:rsidR="00C44570">
        <w:t>data on</w:t>
      </w:r>
      <w:r w:rsidRPr="00C44570" w:rsidR="00C44570">
        <w:t xml:space="preserve"> health-related chronic absenteeism and school withdrawal</w:t>
      </w:r>
      <w:r>
        <w:t xml:space="preserve">, and </w:t>
      </w:r>
      <w:r w:rsidR="007D2894">
        <w:t xml:space="preserve">a total of </w:t>
      </w:r>
      <w:r>
        <w:t xml:space="preserve">three times for </w:t>
      </w:r>
      <w:r w:rsidR="00D41FCF">
        <w:t>focus groups</w:t>
      </w:r>
      <w:r>
        <w:t xml:space="preserve"> on </w:t>
      </w:r>
      <w:r w:rsidR="00D41FCF">
        <w:t xml:space="preserve">the </w:t>
      </w:r>
      <w:r>
        <w:t>feasibility and usability</w:t>
      </w:r>
      <w:r w:rsidR="007D2894">
        <w:t xml:space="preserve"> of</w:t>
      </w:r>
      <w:r w:rsidRPr="007D2894" w:rsidR="007D2894">
        <w:t xml:space="preserve"> the active surveillance process and data collection</w:t>
      </w:r>
      <w:r w:rsidR="007D2894">
        <w:t xml:space="preserve"> tool.  Collecting this information less frequently would not allow </w:t>
      </w:r>
      <w:r w:rsidR="00D41FCF">
        <w:t xml:space="preserve">evaluation, </w:t>
      </w:r>
      <w:r w:rsidR="007D2894">
        <w:t>refinemen</w:t>
      </w:r>
      <w:r w:rsidR="00D41FCF">
        <w:t xml:space="preserve">t, and re-evaluation </w:t>
      </w:r>
      <w:r w:rsidR="007D2894">
        <w:t>of the data collection methods</w:t>
      </w:r>
      <w:r w:rsidR="00D41FCF">
        <w:t xml:space="preserve"> and tool</w:t>
      </w:r>
      <w:r w:rsidR="007D2894">
        <w:t xml:space="preserve">. </w:t>
      </w:r>
      <w:r w:rsidR="00D41FCF">
        <w:t xml:space="preserve">All other data collection will occur only </w:t>
      </w:r>
      <w:r w:rsidR="00D41FCF">
        <w:t>one time</w:t>
      </w:r>
      <w:r w:rsidR="00D41FCF">
        <w:t xml:space="preserve">. </w:t>
      </w:r>
    </w:p>
    <w:p w:rsidR="004A13E8" w:rsidP="00A72C5A" w14:paraId="55FE17C6" w14:textId="10F07C50">
      <w:pPr>
        <w:pStyle w:val="Heading1"/>
      </w:pPr>
      <w:r w:rsidRPr="00A72C5A">
        <w:t>Special Circumstances Relating to the Guidelines of 5 CFR 1320.5</w:t>
      </w:r>
    </w:p>
    <w:p w:rsidR="004A13E8" w:rsidRPr="004A13E8" w:rsidP="004A13E8" w14:paraId="55FE17C7" w14:textId="77777777">
      <w:r>
        <w:t xml:space="preserve">This request fully complies with </w:t>
      </w:r>
      <w:r>
        <w:t>the regulation</w:t>
      </w:r>
      <w:r>
        <w:t xml:space="preserve"> 5 CFR 1320.5.</w:t>
      </w:r>
    </w:p>
    <w:p w:rsidR="004A13E8" w:rsidP="004A13E8" w14:paraId="55FE17C8" w14:textId="318E61A4">
      <w:pPr>
        <w:pStyle w:val="Heading1"/>
      </w:pPr>
      <w:r>
        <w:t>Comments in Response to the Federal Register Notice and Efforts to Consult Outside the Agency</w:t>
      </w:r>
    </w:p>
    <w:p w:rsidR="007D3B0E" w:rsidP="007D3B0E" w14:paraId="5DDEC2D3" w14:textId="6A7E141B">
      <w:pPr>
        <w:tabs>
          <w:tab w:val="left" w:pos="-1440"/>
        </w:tabs>
        <w:spacing w:line="240" w:lineRule="auto"/>
      </w:pPr>
      <w:r>
        <w:t xml:space="preserve">A. A 60-day Federal Register Notice was published in the Federal Register on </w:t>
      </w:r>
      <w:r w:rsidR="00834F20">
        <w:t>February 11</w:t>
      </w:r>
      <w:r w:rsidR="00D37215">
        <w:t>, 2026</w:t>
      </w:r>
      <w:r>
        <w:t xml:space="preserve">, vol. </w:t>
      </w:r>
      <w:r w:rsidR="00D37215">
        <w:t>091</w:t>
      </w:r>
      <w:r>
        <w:t xml:space="preserve">, No. </w:t>
      </w:r>
      <w:r w:rsidR="00D37215">
        <w:t>28</w:t>
      </w:r>
      <w:r>
        <w:t xml:space="preserve">, pp. </w:t>
      </w:r>
      <w:r w:rsidR="00D37215">
        <w:t>6219</w:t>
      </w:r>
      <w:r>
        <w:t xml:space="preserve"> . CDC receive</w:t>
      </w:r>
      <w:r w:rsidR="00476F3C">
        <w:t>d</w:t>
      </w:r>
      <w:r>
        <w:t xml:space="preserve"> </w:t>
      </w:r>
      <w:r w:rsidR="00D37215">
        <w:t xml:space="preserve">two </w:t>
      </w:r>
      <w:r>
        <w:t xml:space="preserve">public comments related to this notice. </w:t>
      </w:r>
    </w:p>
    <w:p w:rsidR="001E0CA6" w:rsidP="00D575CE" w14:paraId="03ED4A57" w14:textId="42ADA32F">
      <w:r>
        <w:t xml:space="preserve">B. </w:t>
      </w:r>
      <w:r>
        <w:t>The following ME/CFS experts have been consulted regarding this project:</w:t>
      </w:r>
    </w:p>
    <w:p w:rsidR="001E0CA6" w:rsidP="00BB00D1" w14:paraId="4149A1C7" w14:textId="77777777">
      <w:pPr>
        <w:spacing w:after="0" w:line="240" w:lineRule="auto"/>
      </w:pPr>
      <w:r>
        <w:t>Lucinda Bateman M.D.</w:t>
      </w:r>
    </w:p>
    <w:p w:rsidR="001E0CA6" w:rsidP="00BB00D1" w14:paraId="40D035A5" w14:textId="77777777">
      <w:pPr>
        <w:spacing w:after="0" w:line="240" w:lineRule="auto"/>
      </w:pPr>
      <w:r>
        <w:t>Bateman Horn Center</w:t>
      </w:r>
    </w:p>
    <w:p w:rsidR="00DD1777" w:rsidP="00BB00D1" w14:paraId="52A8049E" w14:textId="77777777">
      <w:pPr>
        <w:spacing w:after="0" w:line="240" w:lineRule="auto"/>
      </w:pPr>
      <w:r>
        <w:t>24 South 1100 East, Suite 205</w:t>
      </w:r>
    </w:p>
    <w:p w:rsidR="001E0CA6" w:rsidP="00BB00D1" w14:paraId="0EA6D96E" w14:textId="647545BD">
      <w:pPr>
        <w:spacing w:after="0" w:line="240" w:lineRule="auto"/>
      </w:pPr>
      <w:r>
        <w:t>S</w:t>
      </w:r>
      <w:r w:rsidR="00DD1777">
        <w:t xml:space="preserve">alt </w:t>
      </w:r>
      <w:r>
        <w:t>L</w:t>
      </w:r>
      <w:r w:rsidR="00DD1777">
        <w:t xml:space="preserve">ake </w:t>
      </w:r>
      <w:r>
        <w:t>C</w:t>
      </w:r>
      <w:r w:rsidR="00DD1777">
        <w:t>ity</w:t>
      </w:r>
      <w:r>
        <w:t>, UT 84102</w:t>
      </w:r>
    </w:p>
    <w:p w:rsidR="001E0CA6" w:rsidP="00BB00D1" w14:paraId="18C3BCA2" w14:textId="28B33FAE">
      <w:pPr>
        <w:spacing w:after="0" w:line="240" w:lineRule="auto"/>
      </w:pPr>
      <w:r>
        <w:t xml:space="preserve">Email: </w:t>
      </w:r>
      <w:hyperlink r:id="rId9" w:history="1">
        <w:r w:rsidRPr="00172BA2">
          <w:rPr>
            <w:rStyle w:val="Hyperlink"/>
          </w:rPr>
          <w:t>support@batemanhornecenter.org</w:t>
        </w:r>
      </w:hyperlink>
    </w:p>
    <w:p w:rsidR="003B7C18" w:rsidP="00BB00D1" w14:paraId="640C1AD9" w14:textId="4AF17BAE">
      <w:pPr>
        <w:spacing w:after="0" w:line="240" w:lineRule="auto"/>
      </w:pPr>
      <w:r>
        <w:t xml:space="preserve">Tel.: </w:t>
      </w:r>
      <w:r w:rsidRPr="000D411E">
        <w:t>801-359-7400</w:t>
      </w:r>
    </w:p>
    <w:p w:rsidR="000D411E" w:rsidP="00BB00D1" w14:paraId="2D22AB69" w14:textId="77777777">
      <w:pPr>
        <w:spacing w:after="0" w:line="240" w:lineRule="auto"/>
      </w:pPr>
    </w:p>
    <w:p w:rsidR="00F65AA9" w:rsidP="00BB00D1" w14:paraId="3E0B7609" w14:textId="0A300929">
      <w:pPr>
        <w:spacing w:after="0" w:line="240" w:lineRule="auto"/>
      </w:pPr>
      <w:r>
        <w:t>Nathan Holladay MD</w:t>
      </w:r>
      <w:r w:rsidR="008226AC">
        <w:t>,</w:t>
      </w:r>
      <w:r>
        <w:t xml:space="preserve"> PhD865 E 4800 S Ste 160</w:t>
      </w:r>
    </w:p>
    <w:p w:rsidR="001E0CA6" w:rsidP="00BB00D1" w14:paraId="02FF1015" w14:textId="6FDC1640">
      <w:pPr>
        <w:spacing w:after="0" w:line="240" w:lineRule="auto"/>
      </w:pPr>
      <w:r>
        <w:t>Murray, UT 84107</w:t>
      </w:r>
    </w:p>
    <w:p w:rsidR="003B7C18" w:rsidP="00BB00D1" w14:paraId="7F850FF4" w14:textId="28B83C76">
      <w:pPr>
        <w:spacing w:after="0" w:line="240" w:lineRule="auto"/>
      </w:pPr>
      <w:r>
        <w:t xml:space="preserve">Email: </w:t>
      </w:r>
      <w:r w:rsidRPr="00172BA2">
        <w:t>nbholladay@gmail</w:t>
      </w:r>
    </w:p>
    <w:p w:rsidR="00172BA2" w:rsidP="00BB00D1" w14:paraId="0BF24B7C" w14:textId="299A4EFA">
      <w:pPr>
        <w:spacing w:after="0" w:line="240" w:lineRule="auto"/>
      </w:pPr>
      <w:r>
        <w:t xml:space="preserve">Tel.: </w:t>
      </w:r>
      <w:r w:rsidRPr="000D411E">
        <w:t>385-251-6028</w:t>
      </w:r>
    </w:p>
    <w:p w:rsidR="000D411E" w:rsidP="00BB00D1" w14:paraId="1FD49102" w14:textId="77777777">
      <w:pPr>
        <w:spacing w:after="0" w:line="240" w:lineRule="auto"/>
      </w:pPr>
    </w:p>
    <w:p w:rsidR="00504587" w:rsidP="00504587" w14:paraId="32D9F499" w14:textId="77777777">
      <w:pPr>
        <w:spacing w:after="0" w:line="240" w:lineRule="auto"/>
      </w:pPr>
      <w:r>
        <w:t>Ruth Walkotten DO, MA</w:t>
      </w:r>
    </w:p>
    <w:p w:rsidR="00504587" w:rsidP="00504587" w14:paraId="6E895397" w14:textId="77777777">
      <w:pPr>
        <w:spacing w:after="0" w:line="240" w:lineRule="auto"/>
      </w:pPr>
      <w:r>
        <w:t>Walkotten</w:t>
      </w:r>
      <w:r>
        <w:t xml:space="preserve"> Wellness Center</w:t>
      </w:r>
    </w:p>
    <w:p w:rsidR="00504587" w:rsidP="00504587" w14:paraId="2558C909" w14:textId="77777777">
      <w:pPr>
        <w:spacing w:after="0" w:line="240" w:lineRule="auto"/>
      </w:pPr>
      <w:r>
        <w:t>2947 Russell Rd.</w:t>
      </w:r>
    </w:p>
    <w:p w:rsidR="00504587" w:rsidP="00504587" w14:paraId="5A251770" w14:textId="77777777">
      <w:pPr>
        <w:spacing w:after="0" w:line="240" w:lineRule="auto"/>
      </w:pPr>
      <w:r>
        <w:t>Muskegon, MI 49445</w:t>
      </w:r>
    </w:p>
    <w:p w:rsidR="00504587" w:rsidP="00504587" w14:paraId="5C01143A" w14:textId="77777777">
      <w:r>
        <w:t xml:space="preserve">Tel.: </w:t>
      </w:r>
      <w:r w:rsidRPr="00CD0C6F">
        <w:t>(231) 733-1989</w:t>
      </w:r>
    </w:p>
    <w:p w:rsidR="001E0CA6" w:rsidP="00BB00D1" w14:paraId="62C6065C" w14:textId="43938028">
      <w:pPr>
        <w:spacing w:after="0" w:line="240" w:lineRule="auto"/>
      </w:pPr>
      <w:r>
        <w:t>Edward Conley MD</w:t>
      </w:r>
    </w:p>
    <w:p w:rsidR="00DD1777" w:rsidP="00BB00D1" w14:paraId="6C5F84FD" w14:textId="77777777">
      <w:pPr>
        <w:spacing w:after="0" w:line="240" w:lineRule="auto"/>
      </w:pPr>
      <w:r>
        <w:t>G-3494 Beecher Rd Suite A</w:t>
      </w:r>
    </w:p>
    <w:p w:rsidR="001E0CA6" w:rsidP="00BB00D1" w14:paraId="61EEF05B" w14:textId="694E9A76">
      <w:pPr>
        <w:spacing w:after="0" w:line="240" w:lineRule="auto"/>
      </w:pPr>
      <w:r>
        <w:t>Flint</w:t>
      </w:r>
      <w:r w:rsidR="000D411E">
        <w:t>,</w:t>
      </w:r>
      <w:r>
        <w:t xml:space="preserve"> MI 48532</w:t>
      </w:r>
    </w:p>
    <w:p w:rsidR="001E0CA6" w:rsidP="00BB00D1" w14:paraId="2687B358" w14:textId="26491505">
      <w:pPr>
        <w:spacing w:after="0" w:line="240" w:lineRule="auto"/>
      </w:pPr>
      <w:r>
        <w:t xml:space="preserve">Email: </w:t>
      </w:r>
      <w:r>
        <w:t>Conley@cfids.com</w:t>
      </w:r>
    </w:p>
    <w:p w:rsidR="001E0CA6" w:rsidP="00BB00D1" w14:paraId="32897665" w14:textId="33E61A5B">
      <w:pPr>
        <w:spacing w:after="0" w:line="240" w:lineRule="auto"/>
      </w:pPr>
      <w:r>
        <w:t xml:space="preserve">Tel.: </w:t>
      </w:r>
      <w:r w:rsidRPr="000D411E">
        <w:t>810.230.8677</w:t>
      </w:r>
    </w:p>
    <w:p w:rsidR="000D411E" w:rsidP="00BB00D1" w14:paraId="1D8DE310" w14:textId="77777777">
      <w:pPr>
        <w:spacing w:after="0" w:line="240" w:lineRule="auto"/>
      </w:pPr>
    </w:p>
    <w:p w:rsidR="00DD1777" w:rsidRPr="00BB17C8" w:rsidP="001E0CA6" w14:paraId="58352036" w14:textId="60041B99">
      <w:r>
        <w:t xml:space="preserve">No major unresolved problems were identified. </w:t>
      </w:r>
    </w:p>
    <w:p w:rsidR="00103D3A" w:rsidP="00103D3A" w14:paraId="4D405120" w14:textId="77777777">
      <w:pPr>
        <w:pStyle w:val="Heading1"/>
      </w:pPr>
      <w:r>
        <w:t>Explanation of Any Payment or Gift to Respondents</w:t>
      </w:r>
    </w:p>
    <w:p w:rsidR="00103D3A" w:rsidP="00103D3A" w14:paraId="701A0CA4" w14:textId="2A487C93">
      <w:pPr>
        <w:pStyle w:val="Heading1"/>
        <w:numPr>
          <w:ilvl w:val="0"/>
          <w:numId w:val="0"/>
        </w:numPr>
        <w:rPr>
          <w:b w:val="0"/>
          <w:bCs/>
        </w:rPr>
      </w:pPr>
      <w:r w:rsidRPr="00103D3A">
        <w:rPr>
          <w:b w:val="0"/>
          <w:bCs/>
        </w:rPr>
        <w:t xml:space="preserve">No </w:t>
      </w:r>
      <w:r w:rsidRPr="00103D3A" w:rsidR="00D223F2">
        <w:rPr>
          <w:b w:val="0"/>
          <w:bCs/>
        </w:rPr>
        <w:t>incentive</w:t>
      </w:r>
      <w:r w:rsidR="00111DEA">
        <w:rPr>
          <w:b w:val="0"/>
          <w:bCs/>
        </w:rPr>
        <w:t xml:space="preserve"> or gift</w:t>
      </w:r>
      <w:r w:rsidRPr="00103D3A" w:rsidR="00D223F2">
        <w:rPr>
          <w:b w:val="0"/>
          <w:bCs/>
        </w:rPr>
        <w:t xml:space="preserve"> </w:t>
      </w:r>
      <w:r w:rsidRPr="00103D3A">
        <w:rPr>
          <w:b w:val="0"/>
          <w:bCs/>
        </w:rPr>
        <w:t>will be given</w:t>
      </w:r>
      <w:r w:rsidR="00111DEA">
        <w:rPr>
          <w:b w:val="0"/>
          <w:bCs/>
        </w:rPr>
        <w:t xml:space="preserve"> to respondents</w:t>
      </w:r>
      <w:r w:rsidR="007D3B0E">
        <w:rPr>
          <w:b w:val="0"/>
          <w:bCs/>
        </w:rPr>
        <w:t xml:space="preserve"> (school nurses)</w:t>
      </w:r>
      <w:r w:rsidRPr="00103D3A">
        <w:rPr>
          <w:b w:val="0"/>
          <w:bCs/>
        </w:rPr>
        <w:t xml:space="preserve">. </w:t>
      </w:r>
    </w:p>
    <w:p w:rsidR="004A13E8" w:rsidRPr="00103D3A" w:rsidP="00103D3A" w14:paraId="55FE17CD" w14:textId="41F4EBD8">
      <w:pPr>
        <w:pStyle w:val="Heading1"/>
      </w:pPr>
      <w:r w:rsidRPr="00103D3A">
        <w:t xml:space="preserve">Protection of </w:t>
      </w:r>
      <w:r w:rsidRPr="00103D3A">
        <w:t>the Privacy</w:t>
      </w:r>
      <w:r w:rsidRPr="00103D3A">
        <w:t xml:space="preserve"> and Confidentiality of Information Provided by Respondents</w:t>
      </w:r>
    </w:p>
    <w:p w:rsidR="00E40046" w:rsidP="00E40046" w14:paraId="6FCA9A98" w14:textId="39DFE7FF">
      <w:r>
        <w:t xml:space="preserve">The district school nurses will collect aggregated, de-identified data on the students’ health and reasons for absenteeism/school withdrawal and report the data to NASN. NASN will collect </w:t>
      </w:r>
      <w:r w:rsidR="001A52E2">
        <w:t xml:space="preserve">the school nurse respondent’s </w:t>
      </w:r>
      <w:r>
        <w:t xml:space="preserve">personal identifiers (first name, last name, school district) to allow for NASN’s potential future analysis by school district.  Before sending the data to CDC, NASN will remove the </w:t>
      </w:r>
      <w:r w:rsidR="001A52E2">
        <w:t xml:space="preserve">personal and </w:t>
      </w:r>
      <w:r>
        <w:t>school district identifier</w:t>
      </w:r>
      <w:r w:rsidR="001A52E2">
        <w:t>s</w:t>
      </w:r>
      <w:r>
        <w:t xml:space="preserve">. NASN will be conducting focus group interviews with the  district school nurses and will know the identity of the nurses who participate, and which comments/responses are associated with a particular school nurse. However, data from focus group interviews will be reported to CDC without identifiers.  </w:t>
      </w:r>
    </w:p>
    <w:p w:rsidR="00E40046" w:rsidP="00E40046" w14:paraId="05D89C81" w14:textId="28CDA435">
      <w:r>
        <w:t>F</w:t>
      </w:r>
      <w:r>
        <w:t xml:space="preserve">ocus group interviews will be conducted three times during the data collection, to gather information to guide local implementation of the </w:t>
      </w:r>
      <w:r w:rsidR="00ED3565">
        <w:t>project</w:t>
      </w:r>
      <w:r>
        <w:t xml:space="preserve">. </w:t>
      </w:r>
      <w:r w:rsidRPr="0053077E" w:rsidR="0053077E">
        <w:t>The focus group conversations will be recorded by a notetaker. The notetaker may use a recording device as a backup</w:t>
      </w:r>
      <w:r>
        <w:t xml:space="preserve"> for transcription purposes only. </w:t>
      </w:r>
      <w:r w:rsidRPr="0053077E" w:rsidR="0053077E">
        <w:t xml:space="preserve">When the focus groups have been completed, the notes/transcriptions will be stored at NASN. The notes (or transcription) will be qualitatively analyzed for themes without the use of qualitative analysis software. </w:t>
      </w:r>
      <w:r>
        <w:t xml:space="preserve">Only authorized </w:t>
      </w:r>
      <w:r>
        <w:t>persons</w:t>
      </w:r>
      <w:r>
        <w:t xml:space="preserve"> will have access to the notes, and they will not be transmitted to CDC.</w:t>
      </w:r>
      <w:r w:rsidRPr="003E53BB" w:rsidR="003E53BB">
        <w:t xml:space="preserve"> </w:t>
      </w:r>
    </w:p>
    <w:p w:rsidR="005F5936" w:rsidP="00E40046" w14:paraId="77E42B31" w14:textId="3F5E0C7C">
      <w:r w:rsidRPr="005F5936">
        <w:t>School district administrators for each of the</w:t>
      </w:r>
      <w:r w:rsidR="001F4A76">
        <w:t xml:space="preserve"> </w:t>
      </w:r>
      <w:r w:rsidRPr="005F5936">
        <w:t xml:space="preserve">sites will be asked to complete the </w:t>
      </w:r>
      <w:r w:rsidR="00BE1DE0">
        <w:t>“</w:t>
      </w:r>
      <w:r w:rsidRPr="005F5936">
        <w:t>School District Feedback Form</w:t>
      </w:r>
      <w:r w:rsidR="00BE1DE0">
        <w:t>”</w:t>
      </w:r>
      <w:r w:rsidRPr="005F5936">
        <w:t xml:space="preserve"> (Attachment F). </w:t>
      </w:r>
      <w:r>
        <w:t>NASN will be aware of the identi</w:t>
      </w:r>
      <w:r w:rsidR="00103D3A">
        <w:t>t</w:t>
      </w:r>
      <w:r>
        <w:t>y of the respondents. However, the</w:t>
      </w:r>
      <w:r w:rsidR="00103D3A">
        <w:t>ir</w:t>
      </w:r>
      <w:r>
        <w:t xml:space="preserve"> </w:t>
      </w:r>
      <w:r>
        <w:t xml:space="preserve">responses </w:t>
      </w:r>
      <w:r w:rsidRPr="005F5936">
        <w:t xml:space="preserve">will be shared </w:t>
      </w:r>
      <w:r>
        <w:t xml:space="preserve">with CDC </w:t>
      </w:r>
      <w:r w:rsidR="00103D3A">
        <w:t xml:space="preserve">only </w:t>
      </w:r>
      <w:r w:rsidRPr="005F5936">
        <w:t>in aggregate form from all districts</w:t>
      </w:r>
      <w:r>
        <w:t>;</w:t>
      </w:r>
      <w:r w:rsidRPr="005F5936">
        <w:t xml:space="preserve"> no personally identifying information will be reported.</w:t>
      </w:r>
    </w:p>
    <w:p w:rsidR="00F87198" w:rsidP="00E40046" w14:paraId="69F57A20" w14:textId="1611D408">
      <w:r>
        <w:t xml:space="preserve">NASN will transmit </w:t>
      </w:r>
      <w:r w:rsidR="005F5936">
        <w:t xml:space="preserve">summaries of data from this project </w:t>
      </w:r>
      <w:r>
        <w:t xml:space="preserve">without identifiers to the CDC team by email. </w:t>
      </w:r>
    </w:p>
    <w:p w:rsidR="00457614" w:rsidP="00E40046" w14:paraId="4231371F" w14:textId="01D62E4C">
      <w:r w:rsidRPr="00A16F3B">
        <w:t xml:space="preserve">A Privacy Impact </w:t>
      </w:r>
      <w:r w:rsidR="001C2436">
        <w:t>Assessment</w:t>
      </w:r>
      <w:r w:rsidRPr="00A16F3B" w:rsidR="00BE1DE0">
        <w:t xml:space="preserve"> </w:t>
      </w:r>
      <w:r w:rsidRPr="00A16F3B">
        <w:t>is included as part of this submission (</w:t>
      </w:r>
      <w:r w:rsidR="00B91C6B">
        <w:t>A</w:t>
      </w:r>
      <w:r w:rsidRPr="00A16F3B">
        <w:t xml:space="preserve">ttachment </w:t>
      </w:r>
      <w:r w:rsidR="00236F33">
        <w:t>G</w:t>
      </w:r>
      <w:r w:rsidRPr="00A16F3B">
        <w:t>).</w:t>
      </w:r>
      <w:r w:rsidRPr="00457614">
        <w:t xml:space="preserve">  </w:t>
      </w:r>
    </w:p>
    <w:p w:rsidR="004A13E8" w:rsidP="004A13E8" w14:paraId="55FE17D0" w14:textId="77777777">
      <w:pPr>
        <w:pStyle w:val="Heading1"/>
      </w:pPr>
      <w:r>
        <w:t>Institutional Review Board (IRB) and Justification for Sensitive Questions</w:t>
      </w:r>
    </w:p>
    <w:p w:rsidR="004A13E8" w:rsidP="004A13E8" w14:paraId="55FE17D1" w14:textId="77777777">
      <w:pPr>
        <w:rPr>
          <w:u w:val="single"/>
        </w:rPr>
      </w:pPr>
      <w:r>
        <w:rPr>
          <w:u w:val="single"/>
        </w:rPr>
        <w:t>Institutional Review Board (IRB)</w:t>
      </w:r>
    </w:p>
    <w:p w:rsidR="00065129" w:rsidP="004A13E8" w14:paraId="0694162E" w14:textId="1A7EC2C6">
      <w:r>
        <w:t xml:space="preserve">NASN </w:t>
      </w:r>
      <w:r w:rsidR="00572C64">
        <w:t xml:space="preserve">received IRB </w:t>
      </w:r>
      <w:r w:rsidR="002B6B9E">
        <w:t xml:space="preserve">exemption determination for the </w:t>
      </w:r>
      <w:r w:rsidR="00BE2132">
        <w:t xml:space="preserve">protocol </w:t>
      </w:r>
      <w:r w:rsidR="002B6B9E">
        <w:t>on January 13, 2022</w:t>
      </w:r>
      <w:r w:rsidR="00D575CE">
        <w:t>,</w:t>
      </w:r>
      <w:r w:rsidR="00572C64">
        <w:t xml:space="preserve"> through Advarra IRB</w:t>
      </w:r>
      <w:r w:rsidR="00A16F3B">
        <w:t xml:space="preserve"> (Attachment</w:t>
      </w:r>
      <w:r w:rsidR="00236F33">
        <w:t xml:space="preserve"> H</w:t>
      </w:r>
      <w:r w:rsidR="00103D3A">
        <w:t>)</w:t>
      </w:r>
      <w:r w:rsidR="00E44661">
        <w:t>.</w:t>
      </w:r>
    </w:p>
    <w:p w:rsidR="004A13E8" w:rsidRPr="0005699B" w:rsidP="004A13E8" w14:paraId="55FE17D4" w14:textId="77777777">
      <w:r>
        <w:rPr>
          <w:u w:val="single"/>
        </w:rPr>
        <w:t>Justification for Sensitive Questions</w:t>
      </w:r>
    </w:p>
    <w:p w:rsidR="0005699B" w:rsidP="004A13E8" w14:paraId="55FE17D6" w14:textId="26DC011D">
      <w:r>
        <w:t>N</w:t>
      </w:r>
      <w:r w:rsidRPr="0005699B">
        <w:t>o sensitive questions</w:t>
      </w:r>
      <w:r>
        <w:t xml:space="preserve"> are to be included</w:t>
      </w:r>
      <w:r w:rsidR="00202F07">
        <w:t>.</w:t>
      </w:r>
    </w:p>
    <w:p w:rsidR="00067A04" w:rsidRPr="0005699B" w:rsidP="004A13E8" w14:paraId="61238495" w14:textId="77777777"/>
    <w:p w:rsidR="004A13E8" w:rsidP="004A13E8" w14:paraId="55FE17D7" w14:textId="77777777">
      <w:pPr>
        <w:pStyle w:val="Heading1"/>
      </w:pPr>
      <w:bookmarkStart w:id="4" w:name="_Hlk20756097"/>
      <w:r>
        <w:t>Estimates of Annualized Burden Hours and Costs</w:t>
      </w:r>
    </w:p>
    <w:p w:rsidR="00C553B7" w:rsidP="009B0947" w14:paraId="093B700D" w14:textId="77777777">
      <w:r>
        <w:t xml:space="preserve">A. </w:t>
      </w:r>
      <w:r>
        <w:t>Estimated Annualized Burden Hours</w:t>
      </w:r>
    </w:p>
    <w:p w:rsidR="00100440" w:rsidP="003B32AC" w14:paraId="5D643E36" w14:textId="14B8F784">
      <w:r w:rsidRPr="000D1B6A">
        <w:t xml:space="preserve">The estimate of annualized burden hours for this sub collection is </w:t>
      </w:r>
      <w:r w:rsidR="002B7041">
        <w:t>95</w:t>
      </w:r>
      <w:r w:rsidR="000D6A4E">
        <w:t>1</w:t>
      </w:r>
      <w:r w:rsidRPr="000D1B6A" w:rsidR="00A663B1">
        <w:t xml:space="preserve"> </w:t>
      </w:r>
      <w:r w:rsidRPr="000D1B6A">
        <w:t xml:space="preserve">hours; details are provided in exhibit </w:t>
      </w:r>
      <w:r w:rsidR="00A72C5A">
        <w:t>12.A.</w:t>
      </w:r>
      <w:r w:rsidRPr="000D1B6A">
        <w:t xml:space="preserve"> </w:t>
      </w:r>
      <w:r w:rsidR="00306AEE">
        <w:t xml:space="preserve">Twenty </w:t>
      </w:r>
      <w:r w:rsidR="00E56761">
        <w:t xml:space="preserve">frontline school nurses </w:t>
      </w:r>
      <w:r w:rsidR="00E65368">
        <w:t xml:space="preserve">will </w:t>
      </w:r>
      <w:r w:rsidR="00EE277E">
        <w:t xml:space="preserve">assemble and enter data for </w:t>
      </w:r>
      <w:r w:rsidR="00E65368">
        <w:t>a quarterly report regarding the active surveillance process</w:t>
      </w:r>
      <w:r w:rsidR="00CB5C49">
        <w:t xml:space="preserve"> (Attachment A)</w:t>
      </w:r>
      <w:r w:rsidR="00E65368">
        <w:t xml:space="preserve"> </w:t>
      </w:r>
      <w:r w:rsidR="009E69EC">
        <w:t xml:space="preserve">and participate in </w:t>
      </w:r>
      <w:r w:rsidR="0081467C">
        <w:t>three</w:t>
      </w:r>
      <w:r w:rsidR="009E69EC">
        <w:t xml:space="preserve"> focus groups</w:t>
      </w:r>
      <w:r w:rsidR="00E65368">
        <w:t xml:space="preserve"> to elicit feedback about </w:t>
      </w:r>
      <w:r w:rsidR="00EE277E">
        <w:t>the surveillance process</w:t>
      </w:r>
      <w:r w:rsidR="00CB5C49">
        <w:t xml:space="preserve"> (Attachment E)</w:t>
      </w:r>
      <w:r w:rsidR="00E65368">
        <w:t xml:space="preserve">. </w:t>
      </w:r>
      <w:r w:rsidR="009E69EC">
        <w:t xml:space="preserve"> </w:t>
      </w:r>
      <w:r w:rsidRPr="00124B2C" w:rsidR="00124B2C">
        <w:t xml:space="preserve">Assembling and entering data is estimated to take five hours each </w:t>
      </w:r>
      <w:r w:rsidR="00CB5C49">
        <w:t xml:space="preserve">quarter; the three </w:t>
      </w:r>
      <w:r w:rsidRPr="00124B2C" w:rsidR="00124B2C">
        <w:t xml:space="preserve">focus groups </w:t>
      </w:r>
      <w:r w:rsidR="00CB5C49">
        <w:t>is</w:t>
      </w:r>
      <w:r w:rsidR="00CB5C49">
        <w:t xml:space="preserve"> </w:t>
      </w:r>
      <w:r w:rsidRPr="00124B2C" w:rsidR="00124B2C">
        <w:t>expected to last for 1.5 hours each</w:t>
      </w:r>
      <w:r w:rsidR="00CB5C49">
        <w:t>.</w:t>
      </w:r>
      <w:r w:rsidRPr="00124B2C" w:rsidR="00124B2C">
        <w:t xml:space="preserve"> </w:t>
      </w:r>
      <w:r w:rsidR="00282C31">
        <w:t>Twenty</w:t>
      </w:r>
      <w:r w:rsidR="00306AEE">
        <w:t xml:space="preserve"> </w:t>
      </w:r>
      <w:r w:rsidR="00EE277E">
        <w:t xml:space="preserve">lead nurses in </w:t>
      </w:r>
      <w:r w:rsidR="001F4A76">
        <w:t>the sites</w:t>
      </w:r>
      <w:r w:rsidR="00EE277E">
        <w:t xml:space="preserve"> will enter </w:t>
      </w:r>
      <w:r w:rsidR="00CB5C49">
        <w:t xml:space="preserve">demographic form </w:t>
      </w:r>
      <w:r w:rsidR="00EE277E">
        <w:t xml:space="preserve">data </w:t>
      </w:r>
      <w:r w:rsidR="00CB5C49">
        <w:t xml:space="preserve">(Attachment B) </w:t>
      </w:r>
      <w:r w:rsidR="00EE277E">
        <w:t xml:space="preserve">once and complete </w:t>
      </w:r>
      <w:r w:rsidR="009E69EC">
        <w:t>one online survey</w:t>
      </w:r>
      <w:r w:rsidR="00EE277E">
        <w:t xml:space="preserve"> </w:t>
      </w:r>
      <w:r w:rsidR="00CB5C49">
        <w:t xml:space="preserve">(Attachment C) </w:t>
      </w:r>
      <w:r w:rsidR="00EE277E">
        <w:t>annually</w:t>
      </w:r>
      <w:r w:rsidR="009E69EC">
        <w:t xml:space="preserve">. </w:t>
      </w:r>
      <w:r w:rsidR="00CB5C49">
        <w:t xml:space="preserve">The </w:t>
      </w:r>
      <w:r w:rsidRPr="00CB5C49" w:rsidR="00CB5C49">
        <w:t xml:space="preserve">demographic form </w:t>
      </w:r>
      <w:r w:rsidR="00EE74D2">
        <w:t>is estimated to</w:t>
      </w:r>
      <w:r w:rsidRPr="00CB5C49" w:rsidR="00CB5C49">
        <w:t xml:space="preserve"> take six hours to </w:t>
      </w:r>
      <w:r w:rsidRPr="00CB5C49" w:rsidR="00CB5C49">
        <w:t>complete</w:t>
      </w:r>
      <w:r w:rsidRPr="00CB5C49" w:rsidR="00CB5C49">
        <w:t xml:space="preserve"> </w:t>
      </w:r>
      <w:r w:rsidR="009E69EC">
        <w:t>and the online survey is e</w:t>
      </w:r>
      <w:r w:rsidR="007A0349">
        <w:t>stimat</w:t>
      </w:r>
      <w:r w:rsidR="009E69EC">
        <w:t xml:space="preserve">ed to take </w:t>
      </w:r>
      <w:r w:rsidR="00C778B7">
        <w:t>10 minutes</w:t>
      </w:r>
      <w:r w:rsidR="009E69EC">
        <w:t>.</w:t>
      </w:r>
      <w:r w:rsidR="0073495F">
        <w:t xml:space="preserve"> </w:t>
      </w:r>
      <w:r w:rsidR="00282C31">
        <w:t>Eight</w:t>
      </w:r>
      <w:r w:rsidR="001437A7">
        <w:t xml:space="preserve"> </w:t>
      </w:r>
      <w:r w:rsidR="0073495F">
        <w:t xml:space="preserve">school district representatives are expected to complete the School District Feedback Form </w:t>
      </w:r>
      <w:r w:rsidR="003E7810">
        <w:t xml:space="preserve">(Attachment F) </w:t>
      </w:r>
      <w:r w:rsidR="0073495F">
        <w:t>once, which is e</w:t>
      </w:r>
      <w:r w:rsidR="007A0349">
        <w:t>stimat</w:t>
      </w:r>
      <w:r w:rsidR="0073495F">
        <w:t>ed to take 15 minutes. Fifty state data coordinators are expected to complete a one-time webinar feedback survey</w:t>
      </w:r>
      <w:r w:rsidR="003E7810">
        <w:t xml:space="preserve"> (Attachment </w:t>
      </w:r>
      <w:r w:rsidR="004E29CF">
        <w:t>D)</w:t>
      </w:r>
      <w:r w:rsidR="0073495F">
        <w:t>, which is estimated to t</w:t>
      </w:r>
      <w:r w:rsidR="002F1C2F">
        <w:t xml:space="preserve">ake 15 minutes. </w:t>
      </w:r>
    </w:p>
    <w:p w:rsidR="00B84F21" w:rsidRPr="006479D7" w:rsidP="006479D7" w14:paraId="529B91F9" w14:textId="3EAC195B">
      <w:pPr>
        <w:pStyle w:val="Exhibittitle"/>
        <w:rPr>
          <w:szCs w:val="24"/>
        </w:rPr>
      </w:pPr>
      <w:bookmarkStart w:id="5" w:name="_Toc173739004"/>
      <w:r w:rsidRPr="00363D5A">
        <w:rPr>
          <w:szCs w:val="24"/>
        </w:rPr>
        <w:t>Exhibit 1</w:t>
      </w:r>
      <w:r w:rsidR="00A72C5A">
        <w:rPr>
          <w:szCs w:val="24"/>
        </w:rPr>
        <w:t>2</w:t>
      </w:r>
      <w:r w:rsidRPr="00363D5A">
        <w:rPr>
          <w:szCs w:val="24"/>
        </w:rPr>
        <w:t>.A</w:t>
      </w:r>
      <w:r w:rsidRPr="00363D5A">
        <w:rPr>
          <w:szCs w:val="24"/>
        </w:rPr>
        <w:tab/>
        <w:t xml:space="preserve">  Estimate of Annualized Burden Hours</w:t>
      </w:r>
      <w:bookmarkEnd w:id="5"/>
    </w:p>
    <w:tbl>
      <w:tblPr>
        <w:tblStyle w:val="TableGrid"/>
        <w:tblW w:w="0" w:type="auto"/>
        <w:jc w:val="center"/>
        <w:tblLook w:val="04A0"/>
      </w:tblPr>
      <w:tblGrid>
        <w:gridCol w:w="1763"/>
        <w:gridCol w:w="2716"/>
        <w:gridCol w:w="1523"/>
        <w:gridCol w:w="1482"/>
        <w:gridCol w:w="1299"/>
        <w:gridCol w:w="1287"/>
      </w:tblGrid>
      <w:tr w14:paraId="6DA240EB" w14:textId="77777777" w:rsidTr="00B96FB3">
        <w:tblPrEx>
          <w:tblW w:w="0" w:type="auto"/>
          <w:jc w:val="center"/>
          <w:tblLook w:val="04A0"/>
        </w:tblPrEx>
        <w:trPr>
          <w:jc w:val="center"/>
        </w:trPr>
        <w:tc>
          <w:tcPr>
            <w:tcW w:w="1763" w:type="dxa"/>
          </w:tcPr>
          <w:p w:rsidR="001101A1" w:rsidRPr="002D4B8A" w:rsidP="00FD0DAA" w14:paraId="1C0BBF4B" w14:textId="77777777">
            <w:pPr>
              <w:rPr>
                <w:b/>
                <w:szCs w:val="24"/>
              </w:rPr>
            </w:pPr>
            <w:r w:rsidRPr="002D4B8A">
              <w:rPr>
                <w:b/>
                <w:szCs w:val="24"/>
              </w:rPr>
              <w:t>Type of Respondent</w:t>
            </w:r>
          </w:p>
        </w:tc>
        <w:tc>
          <w:tcPr>
            <w:tcW w:w="2716" w:type="dxa"/>
          </w:tcPr>
          <w:p w:rsidR="001101A1" w:rsidRPr="002D4B8A" w:rsidP="00FD0DAA" w14:paraId="09B66988" w14:textId="77777777">
            <w:pPr>
              <w:rPr>
                <w:b/>
                <w:szCs w:val="24"/>
              </w:rPr>
            </w:pPr>
            <w:r w:rsidRPr="002D4B8A">
              <w:rPr>
                <w:b/>
                <w:szCs w:val="24"/>
              </w:rPr>
              <w:t>Form Name</w:t>
            </w:r>
          </w:p>
        </w:tc>
        <w:tc>
          <w:tcPr>
            <w:tcW w:w="1523" w:type="dxa"/>
          </w:tcPr>
          <w:p w:rsidR="001101A1" w:rsidRPr="002D4B8A" w:rsidP="00FD0DAA" w14:paraId="35FB2C3F" w14:textId="77777777">
            <w:pPr>
              <w:rPr>
                <w:b/>
                <w:szCs w:val="24"/>
              </w:rPr>
            </w:pPr>
            <w:r w:rsidRPr="002D4B8A">
              <w:rPr>
                <w:b/>
                <w:szCs w:val="24"/>
              </w:rPr>
              <w:t>No. of Respondents</w:t>
            </w:r>
          </w:p>
        </w:tc>
        <w:tc>
          <w:tcPr>
            <w:tcW w:w="1482" w:type="dxa"/>
          </w:tcPr>
          <w:p w:rsidR="001101A1" w:rsidRPr="002D4B8A" w:rsidP="00FD0DAA" w14:paraId="7FDD3C4F" w14:textId="77777777">
            <w:pPr>
              <w:rPr>
                <w:b/>
                <w:szCs w:val="24"/>
              </w:rPr>
            </w:pPr>
            <w:r w:rsidRPr="002D4B8A">
              <w:rPr>
                <w:b/>
                <w:szCs w:val="24"/>
              </w:rPr>
              <w:t>No. Responses per Respondent</w:t>
            </w:r>
          </w:p>
        </w:tc>
        <w:tc>
          <w:tcPr>
            <w:tcW w:w="1299" w:type="dxa"/>
          </w:tcPr>
          <w:p w:rsidR="001101A1" w:rsidRPr="002D4B8A" w:rsidP="00FD0DAA" w14:paraId="655F9137" w14:textId="77777777">
            <w:pPr>
              <w:rPr>
                <w:b/>
                <w:szCs w:val="24"/>
              </w:rPr>
            </w:pPr>
            <w:r w:rsidRPr="002D4B8A">
              <w:rPr>
                <w:b/>
                <w:szCs w:val="24"/>
              </w:rPr>
              <w:t>Avg. Burden per response (in hrs.)</w:t>
            </w:r>
          </w:p>
        </w:tc>
        <w:tc>
          <w:tcPr>
            <w:tcW w:w="1287" w:type="dxa"/>
          </w:tcPr>
          <w:p w:rsidR="001101A1" w:rsidRPr="002D4B8A" w:rsidP="00FD0DAA" w14:paraId="1E52E830" w14:textId="77777777">
            <w:pPr>
              <w:rPr>
                <w:b/>
                <w:szCs w:val="24"/>
              </w:rPr>
            </w:pPr>
            <w:r w:rsidRPr="002D4B8A">
              <w:rPr>
                <w:b/>
                <w:szCs w:val="24"/>
              </w:rPr>
              <w:t>Total Burden (in hrs.)</w:t>
            </w:r>
          </w:p>
        </w:tc>
      </w:tr>
      <w:tr w14:paraId="3F69BF47" w14:textId="77777777" w:rsidTr="00B96FB3">
        <w:tblPrEx>
          <w:tblW w:w="0" w:type="auto"/>
          <w:jc w:val="center"/>
          <w:tblLook w:val="04A0"/>
        </w:tblPrEx>
        <w:trPr>
          <w:jc w:val="center"/>
        </w:trPr>
        <w:tc>
          <w:tcPr>
            <w:tcW w:w="1763" w:type="dxa"/>
          </w:tcPr>
          <w:p w:rsidR="002B6B9E" w:rsidRPr="00A663B1" w:rsidP="002B6B9E" w14:paraId="45327086" w14:textId="5FEB3247">
            <w:pPr>
              <w:rPr>
                <w:rFonts w:cs="Times New Roman"/>
                <w:b/>
                <w:szCs w:val="24"/>
              </w:rPr>
            </w:pPr>
            <w:r w:rsidRPr="00067A04">
              <w:rPr>
                <w:rFonts w:cs="Times New Roman"/>
                <w:color w:val="000000"/>
              </w:rPr>
              <w:t>Frontline School Nurse</w:t>
            </w:r>
            <w:r w:rsidR="00B95AAB">
              <w:rPr>
                <w:rFonts w:cs="Times New Roman"/>
                <w:color w:val="000000"/>
              </w:rPr>
              <w:t>s</w:t>
            </w:r>
          </w:p>
        </w:tc>
        <w:tc>
          <w:tcPr>
            <w:tcW w:w="2716" w:type="dxa"/>
            <w:vAlign w:val="bottom"/>
          </w:tcPr>
          <w:p w:rsidR="002B6B9E" w:rsidRPr="00A663B1" w:rsidP="002B6B9E" w14:paraId="3B138C9D" w14:textId="05C4A4D2">
            <w:pPr>
              <w:rPr>
                <w:rFonts w:cs="Times New Roman"/>
                <w:b/>
                <w:szCs w:val="24"/>
              </w:rPr>
            </w:pPr>
            <w:r w:rsidRPr="00067A04">
              <w:rPr>
                <w:rFonts w:cs="Times New Roman"/>
                <w:color w:val="000000"/>
              </w:rPr>
              <w:t>Electronic Platform Quarterly Chronic Absenteeism Data Reporting Form</w:t>
            </w:r>
          </w:p>
        </w:tc>
        <w:tc>
          <w:tcPr>
            <w:tcW w:w="1523" w:type="dxa"/>
            <w:vAlign w:val="center"/>
          </w:tcPr>
          <w:p w:rsidR="002B6B9E" w:rsidRPr="00A663B1" w:rsidP="00067A04" w14:paraId="780624E5" w14:textId="63F3D21F">
            <w:pPr>
              <w:jc w:val="right"/>
              <w:rPr>
                <w:rFonts w:cs="Times New Roman"/>
                <w:b/>
                <w:szCs w:val="24"/>
              </w:rPr>
            </w:pPr>
            <w:r w:rsidRPr="00067A04">
              <w:rPr>
                <w:rFonts w:cs="Times New Roman"/>
                <w:color w:val="000000"/>
              </w:rPr>
              <w:t>20</w:t>
            </w:r>
          </w:p>
        </w:tc>
        <w:tc>
          <w:tcPr>
            <w:tcW w:w="1482" w:type="dxa"/>
            <w:vAlign w:val="center"/>
          </w:tcPr>
          <w:p w:rsidR="002B6B9E" w:rsidRPr="00A663B1" w:rsidP="00067A04" w14:paraId="1EC2586F" w14:textId="1BD0D431">
            <w:pPr>
              <w:jc w:val="right"/>
              <w:rPr>
                <w:rFonts w:cs="Times New Roman"/>
                <w:b/>
                <w:szCs w:val="24"/>
              </w:rPr>
            </w:pPr>
            <w:r w:rsidRPr="00067A04">
              <w:rPr>
                <w:rFonts w:cs="Times New Roman"/>
                <w:color w:val="000000"/>
              </w:rPr>
              <w:t>4</w:t>
            </w:r>
          </w:p>
        </w:tc>
        <w:tc>
          <w:tcPr>
            <w:tcW w:w="1299" w:type="dxa"/>
            <w:vAlign w:val="center"/>
          </w:tcPr>
          <w:p w:rsidR="002B6B9E" w:rsidRPr="00A663B1" w:rsidP="00067A04" w14:paraId="20C75BE4" w14:textId="27DFD703">
            <w:pPr>
              <w:jc w:val="right"/>
              <w:rPr>
                <w:rFonts w:cs="Times New Roman"/>
                <w:b/>
                <w:szCs w:val="24"/>
              </w:rPr>
            </w:pPr>
            <w:r>
              <w:rPr>
                <w:rFonts w:cs="Times New Roman"/>
                <w:color w:val="000000"/>
              </w:rPr>
              <w:t>9</w:t>
            </w:r>
          </w:p>
        </w:tc>
        <w:tc>
          <w:tcPr>
            <w:tcW w:w="1287" w:type="dxa"/>
            <w:vAlign w:val="center"/>
          </w:tcPr>
          <w:p w:rsidR="002B6B9E" w:rsidRPr="00A663B1" w:rsidP="00067A04" w14:paraId="1B1CEAD5" w14:textId="51484E74">
            <w:pPr>
              <w:jc w:val="right"/>
              <w:rPr>
                <w:rFonts w:cs="Times New Roman"/>
                <w:b/>
                <w:szCs w:val="24"/>
              </w:rPr>
            </w:pPr>
            <w:r>
              <w:rPr>
                <w:rFonts w:cs="Times New Roman"/>
                <w:color w:val="000000"/>
              </w:rPr>
              <w:t>720</w:t>
            </w:r>
          </w:p>
        </w:tc>
      </w:tr>
      <w:tr w14:paraId="251FB70E" w14:textId="77777777" w:rsidTr="00B96FB3">
        <w:tblPrEx>
          <w:tblW w:w="0" w:type="auto"/>
          <w:jc w:val="center"/>
          <w:tblLook w:val="04A0"/>
        </w:tblPrEx>
        <w:trPr>
          <w:jc w:val="center"/>
        </w:trPr>
        <w:tc>
          <w:tcPr>
            <w:tcW w:w="1763" w:type="dxa"/>
          </w:tcPr>
          <w:p w:rsidR="0068712C" w:rsidRPr="00067A04" w:rsidP="0068712C" w14:paraId="3B38B57F" w14:textId="77310A44">
            <w:pPr>
              <w:rPr>
                <w:rFonts w:cs="Times New Roman"/>
                <w:color w:val="000000"/>
              </w:rPr>
            </w:pPr>
            <w:r w:rsidRPr="00067A04">
              <w:rPr>
                <w:rFonts w:cs="Times New Roman"/>
                <w:color w:val="000000"/>
              </w:rPr>
              <w:t>Frontline School Nurse</w:t>
            </w:r>
            <w:r>
              <w:rPr>
                <w:rFonts w:cs="Times New Roman"/>
                <w:color w:val="000000"/>
              </w:rPr>
              <w:t>s</w:t>
            </w:r>
          </w:p>
        </w:tc>
        <w:tc>
          <w:tcPr>
            <w:tcW w:w="2716" w:type="dxa"/>
          </w:tcPr>
          <w:p w:rsidR="0068712C" w:rsidRPr="00067A04" w:rsidP="0068712C" w14:paraId="0997A680" w14:textId="2F63BFF3">
            <w:pPr>
              <w:rPr>
                <w:rFonts w:cs="Times New Roman"/>
                <w:color w:val="000000"/>
              </w:rPr>
            </w:pPr>
            <w:r w:rsidRPr="00067A04">
              <w:rPr>
                <w:rFonts w:cs="Times New Roman"/>
                <w:color w:val="000000"/>
              </w:rPr>
              <w:t>Demographic Data Collection Points</w:t>
            </w:r>
          </w:p>
        </w:tc>
        <w:tc>
          <w:tcPr>
            <w:tcW w:w="1523" w:type="dxa"/>
            <w:vAlign w:val="center"/>
          </w:tcPr>
          <w:p w:rsidR="0068712C" w:rsidRPr="00067A04" w:rsidP="0068712C" w14:paraId="19DB3C6B" w14:textId="20C7A0D3">
            <w:pPr>
              <w:jc w:val="right"/>
              <w:rPr>
                <w:rFonts w:cs="Times New Roman"/>
                <w:color w:val="000000"/>
              </w:rPr>
            </w:pPr>
            <w:r>
              <w:rPr>
                <w:rFonts w:cs="Times New Roman"/>
                <w:color w:val="000000"/>
              </w:rPr>
              <w:t>20</w:t>
            </w:r>
          </w:p>
        </w:tc>
        <w:tc>
          <w:tcPr>
            <w:tcW w:w="1482" w:type="dxa"/>
            <w:vAlign w:val="center"/>
          </w:tcPr>
          <w:p w:rsidR="0068712C" w:rsidRPr="00067A04" w:rsidP="0068712C" w14:paraId="0AA98607" w14:textId="25718670">
            <w:pPr>
              <w:jc w:val="right"/>
              <w:rPr>
                <w:rFonts w:cs="Times New Roman"/>
                <w:color w:val="000000"/>
              </w:rPr>
            </w:pPr>
            <w:r w:rsidRPr="00067A04">
              <w:rPr>
                <w:rFonts w:cs="Times New Roman"/>
                <w:color w:val="000000"/>
              </w:rPr>
              <w:t>1</w:t>
            </w:r>
          </w:p>
        </w:tc>
        <w:tc>
          <w:tcPr>
            <w:tcW w:w="1299" w:type="dxa"/>
            <w:vAlign w:val="center"/>
          </w:tcPr>
          <w:p w:rsidR="0068712C" w:rsidRPr="00067A04" w:rsidP="0068712C" w14:paraId="24877404" w14:textId="0F3F2A9E">
            <w:pPr>
              <w:jc w:val="right"/>
              <w:rPr>
                <w:rFonts w:cs="Times New Roman"/>
                <w:color w:val="000000"/>
              </w:rPr>
            </w:pPr>
            <w:r w:rsidRPr="00067A04">
              <w:rPr>
                <w:rFonts w:cs="Times New Roman"/>
                <w:color w:val="000000"/>
              </w:rPr>
              <w:t>6</w:t>
            </w:r>
          </w:p>
        </w:tc>
        <w:tc>
          <w:tcPr>
            <w:tcW w:w="1287" w:type="dxa"/>
            <w:vAlign w:val="center"/>
          </w:tcPr>
          <w:p w:rsidR="0068712C" w:rsidRPr="00067A04" w:rsidP="0068712C" w14:paraId="7B7A7D24" w14:textId="05529E28">
            <w:pPr>
              <w:jc w:val="right"/>
              <w:rPr>
                <w:rFonts w:cs="Times New Roman"/>
                <w:color w:val="000000"/>
              </w:rPr>
            </w:pPr>
            <w:r>
              <w:rPr>
                <w:rFonts w:cs="Times New Roman"/>
                <w:color w:val="000000"/>
              </w:rPr>
              <w:t>120</w:t>
            </w:r>
          </w:p>
        </w:tc>
      </w:tr>
      <w:tr w14:paraId="1699913F" w14:textId="77777777" w:rsidTr="00B96FB3">
        <w:tblPrEx>
          <w:tblW w:w="0" w:type="auto"/>
          <w:jc w:val="center"/>
          <w:tblLook w:val="04A0"/>
        </w:tblPrEx>
        <w:trPr>
          <w:jc w:val="center"/>
        </w:trPr>
        <w:tc>
          <w:tcPr>
            <w:tcW w:w="1763" w:type="dxa"/>
          </w:tcPr>
          <w:p w:rsidR="00B96FB3" w:rsidRPr="00A663B1" w:rsidP="00B96FB3" w14:paraId="792B83BF" w14:textId="0AB1E8D1">
            <w:pPr>
              <w:rPr>
                <w:rFonts w:cs="Times New Roman"/>
                <w:b/>
                <w:szCs w:val="24"/>
              </w:rPr>
            </w:pPr>
            <w:r w:rsidRPr="00067A04">
              <w:rPr>
                <w:rFonts w:cs="Times New Roman"/>
                <w:color w:val="000000"/>
              </w:rPr>
              <w:t>Frontline School Nurse</w:t>
            </w:r>
            <w:r>
              <w:rPr>
                <w:rFonts w:cs="Times New Roman"/>
                <w:color w:val="000000"/>
              </w:rPr>
              <w:t>s</w:t>
            </w:r>
          </w:p>
        </w:tc>
        <w:tc>
          <w:tcPr>
            <w:tcW w:w="2716" w:type="dxa"/>
          </w:tcPr>
          <w:p w:rsidR="00B96FB3" w:rsidRPr="00A663B1" w:rsidP="00B96FB3" w14:paraId="156A3C23" w14:textId="0B2EC54C">
            <w:pPr>
              <w:rPr>
                <w:rFonts w:cs="Times New Roman"/>
                <w:b/>
                <w:szCs w:val="24"/>
              </w:rPr>
            </w:pPr>
            <w:r w:rsidRPr="00067A04">
              <w:rPr>
                <w:rFonts w:cs="Times New Roman"/>
                <w:color w:val="000000"/>
              </w:rPr>
              <w:t>Site Baseline Survey</w:t>
            </w:r>
          </w:p>
        </w:tc>
        <w:tc>
          <w:tcPr>
            <w:tcW w:w="1523" w:type="dxa"/>
            <w:vAlign w:val="center"/>
          </w:tcPr>
          <w:p w:rsidR="00B96FB3" w:rsidRPr="00A663B1" w:rsidP="00B96FB3" w14:paraId="2791C709" w14:textId="1C53B294">
            <w:pPr>
              <w:jc w:val="right"/>
              <w:rPr>
                <w:rFonts w:cs="Times New Roman"/>
                <w:b/>
                <w:szCs w:val="24"/>
              </w:rPr>
            </w:pPr>
            <w:r>
              <w:rPr>
                <w:rFonts w:cs="Times New Roman"/>
                <w:color w:val="000000"/>
              </w:rPr>
              <w:t>20</w:t>
            </w:r>
          </w:p>
        </w:tc>
        <w:tc>
          <w:tcPr>
            <w:tcW w:w="1482" w:type="dxa"/>
            <w:vAlign w:val="center"/>
          </w:tcPr>
          <w:p w:rsidR="00B96FB3" w:rsidRPr="00A663B1" w:rsidP="00B96FB3" w14:paraId="1E8D6037" w14:textId="51F6938F">
            <w:pPr>
              <w:jc w:val="right"/>
              <w:rPr>
                <w:rFonts w:cs="Times New Roman"/>
                <w:b/>
                <w:szCs w:val="24"/>
              </w:rPr>
            </w:pPr>
            <w:r w:rsidRPr="00067A04">
              <w:rPr>
                <w:rFonts w:cs="Times New Roman"/>
                <w:color w:val="000000"/>
              </w:rPr>
              <w:t>1</w:t>
            </w:r>
          </w:p>
        </w:tc>
        <w:tc>
          <w:tcPr>
            <w:tcW w:w="1299" w:type="dxa"/>
            <w:vAlign w:val="center"/>
          </w:tcPr>
          <w:p w:rsidR="00B96FB3" w:rsidRPr="00A663B1" w:rsidP="00B96FB3" w14:paraId="30B0DD72" w14:textId="7B87ACD6">
            <w:pPr>
              <w:jc w:val="right"/>
              <w:rPr>
                <w:rFonts w:cs="Times New Roman"/>
                <w:b/>
                <w:szCs w:val="24"/>
              </w:rPr>
            </w:pPr>
            <w:r>
              <w:rPr>
                <w:rFonts w:cs="Times New Roman"/>
                <w:color w:val="000000"/>
              </w:rPr>
              <w:t>0.2</w:t>
            </w:r>
          </w:p>
        </w:tc>
        <w:tc>
          <w:tcPr>
            <w:tcW w:w="1287" w:type="dxa"/>
            <w:vAlign w:val="center"/>
          </w:tcPr>
          <w:p w:rsidR="00B96FB3" w:rsidRPr="00A663B1" w:rsidP="00B96FB3" w14:paraId="0C2C327D" w14:textId="1EFE906B">
            <w:pPr>
              <w:jc w:val="right"/>
              <w:rPr>
                <w:rFonts w:cs="Times New Roman"/>
                <w:b/>
                <w:szCs w:val="24"/>
              </w:rPr>
            </w:pPr>
            <w:r>
              <w:rPr>
                <w:rFonts w:cs="Times New Roman"/>
                <w:color w:val="000000"/>
              </w:rPr>
              <w:t>4</w:t>
            </w:r>
          </w:p>
        </w:tc>
      </w:tr>
      <w:tr w14:paraId="6EF39C20" w14:textId="77777777" w:rsidTr="00B96FB3">
        <w:tblPrEx>
          <w:tblW w:w="0" w:type="auto"/>
          <w:jc w:val="center"/>
          <w:tblLook w:val="04A0"/>
        </w:tblPrEx>
        <w:trPr>
          <w:jc w:val="center"/>
        </w:trPr>
        <w:tc>
          <w:tcPr>
            <w:tcW w:w="1763" w:type="dxa"/>
          </w:tcPr>
          <w:p w:rsidR="00B96FB3" w:rsidRPr="00A663B1" w:rsidP="00B96FB3" w14:paraId="1EFD81F4" w14:textId="731F5045">
            <w:pPr>
              <w:rPr>
                <w:rFonts w:cs="Times New Roman"/>
                <w:b/>
                <w:szCs w:val="24"/>
              </w:rPr>
            </w:pPr>
            <w:r w:rsidRPr="00067A04">
              <w:rPr>
                <w:rFonts w:cs="Times New Roman"/>
                <w:color w:val="000000"/>
              </w:rPr>
              <w:t>Frontline School Nurse</w:t>
            </w:r>
            <w:r>
              <w:rPr>
                <w:rFonts w:cs="Times New Roman"/>
                <w:color w:val="000000"/>
              </w:rPr>
              <w:t>s</w:t>
            </w:r>
          </w:p>
        </w:tc>
        <w:tc>
          <w:tcPr>
            <w:tcW w:w="2716" w:type="dxa"/>
          </w:tcPr>
          <w:p w:rsidR="00B96FB3" w:rsidRPr="00A663B1" w:rsidP="00B96FB3" w14:paraId="7E6F3F62" w14:textId="1B3E5286">
            <w:pPr>
              <w:rPr>
                <w:rFonts w:cs="Times New Roman"/>
                <w:b/>
                <w:szCs w:val="24"/>
              </w:rPr>
            </w:pPr>
            <w:r w:rsidRPr="00067A04">
              <w:rPr>
                <w:rFonts w:cs="Times New Roman"/>
                <w:color w:val="000000"/>
              </w:rPr>
              <w:t xml:space="preserve">Question Guide for </w:t>
            </w:r>
            <w:r w:rsidRPr="00A663B1">
              <w:rPr>
                <w:rFonts w:cs="Times New Roman"/>
                <w:color w:val="000000"/>
              </w:rPr>
              <w:t>Face-to-Face</w:t>
            </w:r>
            <w:r w:rsidRPr="00067A04">
              <w:rPr>
                <w:rFonts w:cs="Times New Roman"/>
                <w:color w:val="000000"/>
              </w:rPr>
              <w:t xml:space="preserve"> Evaluation Interviews</w:t>
            </w:r>
          </w:p>
        </w:tc>
        <w:tc>
          <w:tcPr>
            <w:tcW w:w="1523" w:type="dxa"/>
            <w:vAlign w:val="center"/>
          </w:tcPr>
          <w:p w:rsidR="00B96FB3" w:rsidRPr="00A663B1" w:rsidP="00B96FB3" w14:paraId="0CDF9953" w14:textId="40F095D4">
            <w:pPr>
              <w:jc w:val="right"/>
              <w:rPr>
                <w:rFonts w:cs="Times New Roman"/>
                <w:b/>
                <w:szCs w:val="24"/>
              </w:rPr>
            </w:pPr>
            <w:r w:rsidRPr="00067A04">
              <w:rPr>
                <w:rFonts w:cs="Times New Roman"/>
                <w:color w:val="000000"/>
              </w:rPr>
              <w:t>20</w:t>
            </w:r>
          </w:p>
        </w:tc>
        <w:tc>
          <w:tcPr>
            <w:tcW w:w="1482" w:type="dxa"/>
            <w:vAlign w:val="center"/>
          </w:tcPr>
          <w:p w:rsidR="00B96FB3" w:rsidRPr="00A663B1" w:rsidP="00B96FB3" w14:paraId="7909CF67" w14:textId="68B0B3DD">
            <w:pPr>
              <w:jc w:val="right"/>
              <w:rPr>
                <w:rFonts w:cs="Times New Roman"/>
                <w:b/>
                <w:szCs w:val="24"/>
              </w:rPr>
            </w:pPr>
            <w:r w:rsidRPr="00067A04">
              <w:rPr>
                <w:rFonts w:cs="Times New Roman"/>
                <w:color w:val="000000"/>
              </w:rPr>
              <w:t>3</w:t>
            </w:r>
          </w:p>
        </w:tc>
        <w:tc>
          <w:tcPr>
            <w:tcW w:w="1299" w:type="dxa"/>
            <w:vAlign w:val="center"/>
          </w:tcPr>
          <w:p w:rsidR="00B96FB3" w:rsidRPr="00A663B1" w:rsidP="00B96FB3" w14:paraId="0866A2D9" w14:textId="5DF11AEC">
            <w:pPr>
              <w:jc w:val="right"/>
              <w:rPr>
                <w:rFonts w:cs="Times New Roman"/>
                <w:b/>
                <w:szCs w:val="24"/>
              </w:rPr>
            </w:pPr>
            <w:r w:rsidRPr="00067A04">
              <w:rPr>
                <w:rFonts w:cs="Times New Roman"/>
                <w:color w:val="000000"/>
              </w:rPr>
              <w:t>1.5</w:t>
            </w:r>
          </w:p>
        </w:tc>
        <w:tc>
          <w:tcPr>
            <w:tcW w:w="1287" w:type="dxa"/>
            <w:vAlign w:val="center"/>
          </w:tcPr>
          <w:p w:rsidR="00B96FB3" w:rsidRPr="00A663B1" w:rsidP="00B96FB3" w14:paraId="64821F32" w14:textId="05A2B052">
            <w:pPr>
              <w:jc w:val="right"/>
              <w:rPr>
                <w:rFonts w:cs="Times New Roman"/>
                <w:b/>
                <w:szCs w:val="24"/>
              </w:rPr>
            </w:pPr>
            <w:r w:rsidRPr="00067A04">
              <w:rPr>
                <w:rFonts w:cs="Times New Roman"/>
                <w:color w:val="000000"/>
              </w:rPr>
              <w:t>90</w:t>
            </w:r>
          </w:p>
        </w:tc>
      </w:tr>
      <w:tr w14:paraId="382B3A93" w14:textId="77777777" w:rsidTr="00B96FB3">
        <w:tblPrEx>
          <w:tblW w:w="0" w:type="auto"/>
          <w:jc w:val="center"/>
          <w:tblLook w:val="04A0"/>
        </w:tblPrEx>
        <w:trPr>
          <w:jc w:val="center"/>
        </w:trPr>
        <w:tc>
          <w:tcPr>
            <w:tcW w:w="1763" w:type="dxa"/>
          </w:tcPr>
          <w:p w:rsidR="00B96FB3" w:rsidRPr="00A663B1" w:rsidP="00B96FB3" w14:paraId="31723EC2" w14:textId="0B5FD91F">
            <w:pPr>
              <w:rPr>
                <w:rFonts w:cs="Times New Roman"/>
                <w:b/>
                <w:szCs w:val="24"/>
              </w:rPr>
            </w:pPr>
            <w:r w:rsidRPr="00067A04">
              <w:rPr>
                <w:rFonts w:cs="Times New Roman"/>
                <w:color w:val="000000"/>
              </w:rPr>
              <w:t>State Data Coordinators</w:t>
            </w:r>
          </w:p>
        </w:tc>
        <w:tc>
          <w:tcPr>
            <w:tcW w:w="2716" w:type="dxa"/>
          </w:tcPr>
          <w:p w:rsidR="00B96FB3" w:rsidRPr="00A663B1" w:rsidP="00B96FB3" w14:paraId="06DE6A9A" w14:textId="77192471">
            <w:pPr>
              <w:rPr>
                <w:rFonts w:cs="Times New Roman"/>
                <w:b/>
                <w:szCs w:val="24"/>
              </w:rPr>
            </w:pPr>
            <w:r w:rsidRPr="00067A04">
              <w:rPr>
                <w:rFonts w:cs="Times New Roman"/>
                <w:color w:val="000000"/>
              </w:rPr>
              <w:t>Webinar 1 Feedback Form</w:t>
            </w:r>
          </w:p>
        </w:tc>
        <w:tc>
          <w:tcPr>
            <w:tcW w:w="1523" w:type="dxa"/>
            <w:vAlign w:val="center"/>
          </w:tcPr>
          <w:p w:rsidR="00B96FB3" w:rsidRPr="00A663B1" w:rsidP="00B96FB3" w14:paraId="1DAC4C6C" w14:textId="1A980D5F">
            <w:pPr>
              <w:jc w:val="right"/>
              <w:rPr>
                <w:rFonts w:cs="Times New Roman"/>
                <w:b/>
                <w:szCs w:val="24"/>
              </w:rPr>
            </w:pPr>
            <w:r w:rsidRPr="00067A04">
              <w:rPr>
                <w:rFonts w:cs="Times New Roman"/>
                <w:color w:val="000000"/>
              </w:rPr>
              <w:t>50</w:t>
            </w:r>
          </w:p>
        </w:tc>
        <w:tc>
          <w:tcPr>
            <w:tcW w:w="1482" w:type="dxa"/>
            <w:vAlign w:val="center"/>
          </w:tcPr>
          <w:p w:rsidR="00B96FB3" w:rsidRPr="00A663B1" w:rsidP="00B96FB3" w14:paraId="75FC80BB" w14:textId="5645B4FA">
            <w:pPr>
              <w:jc w:val="right"/>
              <w:rPr>
                <w:rFonts w:cs="Times New Roman"/>
                <w:b/>
                <w:szCs w:val="24"/>
              </w:rPr>
            </w:pPr>
            <w:r w:rsidRPr="00067A04">
              <w:rPr>
                <w:rFonts w:cs="Times New Roman"/>
                <w:color w:val="000000"/>
              </w:rPr>
              <w:t>1</w:t>
            </w:r>
          </w:p>
        </w:tc>
        <w:tc>
          <w:tcPr>
            <w:tcW w:w="1299" w:type="dxa"/>
            <w:vAlign w:val="center"/>
          </w:tcPr>
          <w:p w:rsidR="00B96FB3" w:rsidRPr="00A663B1" w:rsidP="00B96FB3" w14:paraId="72E37A4B" w14:textId="333FEA41">
            <w:pPr>
              <w:jc w:val="right"/>
              <w:rPr>
                <w:rFonts w:cs="Times New Roman"/>
                <w:b/>
                <w:szCs w:val="24"/>
              </w:rPr>
            </w:pPr>
            <w:r>
              <w:rPr>
                <w:rFonts w:cs="Times New Roman"/>
                <w:color w:val="000000"/>
              </w:rPr>
              <w:t>0.3</w:t>
            </w:r>
          </w:p>
        </w:tc>
        <w:tc>
          <w:tcPr>
            <w:tcW w:w="1287" w:type="dxa"/>
            <w:vAlign w:val="center"/>
          </w:tcPr>
          <w:p w:rsidR="00B96FB3" w:rsidRPr="00A663B1" w:rsidP="00B96FB3" w14:paraId="1BD792E6" w14:textId="360A8992">
            <w:pPr>
              <w:jc w:val="right"/>
              <w:rPr>
                <w:rFonts w:cs="Times New Roman"/>
                <w:b/>
                <w:szCs w:val="24"/>
              </w:rPr>
            </w:pPr>
            <w:r w:rsidRPr="00067A04">
              <w:rPr>
                <w:rFonts w:cs="Times New Roman"/>
                <w:color w:val="000000"/>
              </w:rPr>
              <w:t>1</w:t>
            </w:r>
            <w:r>
              <w:rPr>
                <w:rFonts w:cs="Times New Roman"/>
                <w:color w:val="000000"/>
              </w:rPr>
              <w:t>5</w:t>
            </w:r>
          </w:p>
        </w:tc>
      </w:tr>
      <w:tr w14:paraId="4CBCFCAA" w14:textId="77777777" w:rsidTr="00B96FB3">
        <w:tblPrEx>
          <w:tblW w:w="0" w:type="auto"/>
          <w:jc w:val="center"/>
          <w:tblLook w:val="04A0"/>
        </w:tblPrEx>
        <w:trPr>
          <w:jc w:val="center"/>
        </w:trPr>
        <w:tc>
          <w:tcPr>
            <w:tcW w:w="1763" w:type="dxa"/>
          </w:tcPr>
          <w:p w:rsidR="00B96FB3" w:rsidRPr="00A663B1" w:rsidP="00B96FB3" w14:paraId="35E70181" w14:textId="2DE1330A">
            <w:pPr>
              <w:rPr>
                <w:rFonts w:cs="Times New Roman"/>
                <w:b/>
                <w:szCs w:val="24"/>
              </w:rPr>
            </w:pPr>
            <w:r w:rsidRPr="00067A04">
              <w:rPr>
                <w:rFonts w:cs="Times New Roman"/>
                <w:color w:val="000000"/>
              </w:rPr>
              <w:t>School District Representative</w:t>
            </w:r>
            <w:r>
              <w:rPr>
                <w:rFonts w:cs="Times New Roman"/>
                <w:color w:val="000000"/>
              </w:rPr>
              <w:t>s</w:t>
            </w:r>
          </w:p>
        </w:tc>
        <w:tc>
          <w:tcPr>
            <w:tcW w:w="2716" w:type="dxa"/>
          </w:tcPr>
          <w:p w:rsidR="00B96FB3" w:rsidRPr="00A663B1" w:rsidP="00B96FB3" w14:paraId="7A31816F" w14:textId="10D7AB4B">
            <w:pPr>
              <w:rPr>
                <w:rFonts w:cs="Times New Roman"/>
                <w:b/>
                <w:szCs w:val="24"/>
              </w:rPr>
            </w:pPr>
            <w:r w:rsidRPr="00067A04">
              <w:rPr>
                <w:rFonts w:cs="Times New Roman"/>
                <w:color w:val="000000"/>
              </w:rPr>
              <w:t>School District Feedback Form</w:t>
            </w:r>
          </w:p>
        </w:tc>
        <w:tc>
          <w:tcPr>
            <w:tcW w:w="1523" w:type="dxa"/>
            <w:vAlign w:val="center"/>
          </w:tcPr>
          <w:p w:rsidR="00B96FB3" w:rsidRPr="00A663B1" w:rsidP="00B96FB3" w14:paraId="583F7BC7" w14:textId="4D4C643B">
            <w:pPr>
              <w:jc w:val="right"/>
              <w:rPr>
                <w:rFonts w:cs="Times New Roman"/>
                <w:b/>
                <w:szCs w:val="24"/>
              </w:rPr>
            </w:pPr>
            <w:r>
              <w:rPr>
                <w:rFonts w:cs="Times New Roman"/>
                <w:color w:val="000000"/>
              </w:rPr>
              <w:t>8</w:t>
            </w:r>
          </w:p>
        </w:tc>
        <w:tc>
          <w:tcPr>
            <w:tcW w:w="1482" w:type="dxa"/>
            <w:vAlign w:val="center"/>
          </w:tcPr>
          <w:p w:rsidR="00B96FB3" w:rsidRPr="00A663B1" w:rsidP="00B96FB3" w14:paraId="167C7642" w14:textId="065731AB">
            <w:pPr>
              <w:jc w:val="right"/>
              <w:rPr>
                <w:rFonts w:cs="Times New Roman"/>
                <w:b/>
                <w:szCs w:val="24"/>
              </w:rPr>
            </w:pPr>
            <w:r w:rsidRPr="00067A04">
              <w:rPr>
                <w:rFonts w:cs="Times New Roman"/>
                <w:color w:val="000000"/>
              </w:rPr>
              <w:t>1</w:t>
            </w:r>
          </w:p>
        </w:tc>
        <w:tc>
          <w:tcPr>
            <w:tcW w:w="1299" w:type="dxa"/>
            <w:vAlign w:val="center"/>
          </w:tcPr>
          <w:p w:rsidR="00B96FB3" w:rsidRPr="00A663B1" w:rsidP="00B96FB3" w14:paraId="3FD18A35" w14:textId="06ADFC23">
            <w:pPr>
              <w:jc w:val="right"/>
              <w:rPr>
                <w:rFonts w:cs="Times New Roman"/>
                <w:b/>
                <w:szCs w:val="24"/>
              </w:rPr>
            </w:pPr>
            <w:r>
              <w:rPr>
                <w:rFonts w:cs="Times New Roman"/>
                <w:color w:val="000000"/>
              </w:rPr>
              <w:t>0.3</w:t>
            </w:r>
          </w:p>
        </w:tc>
        <w:tc>
          <w:tcPr>
            <w:tcW w:w="1287" w:type="dxa"/>
            <w:vAlign w:val="center"/>
          </w:tcPr>
          <w:p w:rsidR="00B96FB3" w:rsidRPr="00A663B1" w:rsidP="00B96FB3" w14:paraId="64AFF0FD" w14:textId="5BAE6FE1">
            <w:pPr>
              <w:jc w:val="right"/>
              <w:rPr>
                <w:rFonts w:cs="Times New Roman"/>
                <w:b/>
                <w:szCs w:val="24"/>
              </w:rPr>
            </w:pPr>
            <w:r>
              <w:rPr>
                <w:rFonts w:cs="Times New Roman"/>
                <w:color w:val="000000"/>
              </w:rPr>
              <w:t>2</w:t>
            </w:r>
          </w:p>
        </w:tc>
      </w:tr>
      <w:tr w14:paraId="54762152" w14:textId="77777777" w:rsidTr="00B96FB3">
        <w:tblPrEx>
          <w:tblW w:w="0" w:type="auto"/>
          <w:jc w:val="center"/>
          <w:tblLook w:val="04A0"/>
        </w:tblPrEx>
        <w:trPr>
          <w:jc w:val="center"/>
        </w:trPr>
        <w:tc>
          <w:tcPr>
            <w:tcW w:w="1763" w:type="dxa"/>
          </w:tcPr>
          <w:p w:rsidR="00B96FB3" w:rsidRPr="002D4B8A" w:rsidP="00B96FB3" w14:paraId="0739CE3E" w14:textId="0294983E">
            <w:pPr>
              <w:jc w:val="right"/>
              <w:rPr>
                <w:b/>
                <w:bCs/>
                <w:szCs w:val="24"/>
              </w:rPr>
            </w:pPr>
            <w:r w:rsidRPr="002D4B8A">
              <w:rPr>
                <w:b/>
                <w:bCs/>
                <w:szCs w:val="24"/>
              </w:rPr>
              <w:t>TOTAL</w:t>
            </w:r>
          </w:p>
        </w:tc>
        <w:tc>
          <w:tcPr>
            <w:tcW w:w="2716" w:type="dxa"/>
          </w:tcPr>
          <w:p w:rsidR="00B96FB3" w:rsidRPr="002D4B8A" w:rsidP="00B96FB3" w14:paraId="4FA9D858" w14:textId="77777777">
            <w:pPr>
              <w:rPr>
                <w:szCs w:val="24"/>
              </w:rPr>
            </w:pPr>
          </w:p>
        </w:tc>
        <w:tc>
          <w:tcPr>
            <w:tcW w:w="1523" w:type="dxa"/>
            <w:vAlign w:val="center"/>
          </w:tcPr>
          <w:p w:rsidR="00B96FB3" w:rsidRPr="002D4B8A" w:rsidP="00B96FB3" w14:paraId="41DD8E2C" w14:textId="77777777">
            <w:pPr>
              <w:jc w:val="right"/>
              <w:rPr>
                <w:szCs w:val="24"/>
              </w:rPr>
            </w:pPr>
          </w:p>
        </w:tc>
        <w:tc>
          <w:tcPr>
            <w:tcW w:w="1482" w:type="dxa"/>
            <w:vAlign w:val="center"/>
          </w:tcPr>
          <w:p w:rsidR="00B96FB3" w:rsidRPr="002D4B8A" w:rsidP="00B96FB3" w14:paraId="6BA3FE88" w14:textId="77777777">
            <w:pPr>
              <w:jc w:val="right"/>
              <w:rPr>
                <w:szCs w:val="24"/>
              </w:rPr>
            </w:pPr>
          </w:p>
        </w:tc>
        <w:tc>
          <w:tcPr>
            <w:tcW w:w="1299" w:type="dxa"/>
            <w:vAlign w:val="center"/>
          </w:tcPr>
          <w:p w:rsidR="00B96FB3" w:rsidRPr="002D4B8A" w:rsidP="00B96FB3" w14:paraId="0D688B5D" w14:textId="77777777">
            <w:pPr>
              <w:jc w:val="right"/>
              <w:rPr>
                <w:szCs w:val="24"/>
              </w:rPr>
            </w:pPr>
          </w:p>
        </w:tc>
        <w:tc>
          <w:tcPr>
            <w:tcW w:w="1287" w:type="dxa"/>
            <w:vAlign w:val="center"/>
          </w:tcPr>
          <w:p w:rsidR="00B96FB3" w:rsidRPr="002D4B8A" w:rsidP="00B96FB3" w14:paraId="7EB72E3F" w14:textId="5DF6931A">
            <w:pPr>
              <w:jc w:val="right"/>
              <w:rPr>
                <w:b/>
                <w:bCs/>
                <w:szCs w:val="24"/>
              </w:rPr>
            </w:pPr>
            <w:r>
              <w:rPr>
                <w:b/>
                <w:bCs/>
                <w:szCs w:val="24"/>
              </w:rPr>
              <w:t>95</w:t>
            </w:r>
            <w:r>
              <w:rPr>
                <w:b/>
                <w:bCs/>
                <w:szCs w:val="24"/>
              </w:rPr>
              <w:t>1</w:t>
            </w:r>
          </w:p>
        </w:tc>
      </w:tr>
    </w:tbl>
    <w:p w:rsidR="004A13E8" w:rsidP="004A13E8" w14:paraId="55FE17D9" w14:textId="64172676"/>
    <w:p w:rsidR="00C553B7" w:rsidP="004A13E8" w14:paraId="505C920E" w14:textId="20E63586">
      <w:pPr>
        <w:spacing w:before="240"/>
      </w:pPr>
      <w:r>
        <w:t>B.</w:t>
      </w:r>
      <w:r>
        <w:t xml:space="preserve"> Estimated Annualized Burden Costs</w:t>
      </w:r>
      <w:r w:rsidR="009B0947">
        <w:t xml:space="preserve"> </w:t>
      </w:r>
    </w:p>
    <w:p w:rsidR="00707F0A" w:rsidP="004A13E8" w14:paraId="6B74C76F" w14:textId="577639EA">
      <w:pPr>
        <w:spacing w:before="240"/>
      </w:pPr>
      <w:r w:rsidRPr="00F47ACD">
        <w:t xml:space="preserve">The annualized cost to respondents for the burden hours is estimated to be </w:t>
      </w:r>
      <w:r w:rsidRPr="001E084A" w:rsidR="001E084A">
        <w:t>$35,505.89</w:t>
      </w:r>
      <w:r w:rsidRPr="00F47ACD">
        <w:t xml:space="preserve">; details are provided in Exhibit </w:t>
      </w:r>
      <w:r w:rsidR="00A72C5A">
        <w:t>12</w:t>
      </w:r>
      <w:r w:rsidRPr="00F47ACD">
        <w:t xml:space="preserve">.B.  </w:t>
      </w:r>
    </w:p>
    <w:p w:rsidR="00707F0A" w:rsidP="004A13E8" w14:paraId="77DE5154" w14:textId="789BDD39">
      <w:pPr>
        <w:spacing w:before="240"/>
      </w:pPr>
      <w:r w:rsidRPr="00F47ACD">
        <w:t>The estimates of hourly wages were obtained from the Department of labor (Bureau of Labor Statistics Wage Data</w:t>
      </w:r>
      <w:r w:rsidR="00523B98">
        <w:t xml:space="preserve"> </w:t>
      </w:r>
      <w:r>
        <w:t>(</w:t>
      </w:r>
      <w:hyperlink r:id="rId10" w:history="1">
        <w:r w:rsidRPr="00AE30DD">
          <w:rPr>
            <w:rStyle w:val="Hyperlink"/>
          </w:rPr>
          <w:t>https://www.bls.gov/ooh/healthcare/registered-nurses.htm</w:t>
        </w:r>
      </w:hyperlink>
      <w:r>
        <w:t xml:space="preserve">). </w:t>
      </w:r>
      <w:r w:rsidR="002D4B8A">
        <w:t>The me</w:t>
      </w:r>
      <w:r w:rsidR="00EE229E">
        <w:t>dian</w:t>
      </w:r>
      <w:r w:rsidR="002D4B8A">
        <w:t xml:space="preserve"> hourly wage for Registered Nurses is $3</w:t>
      </w:r>
      <w:r w:rsidR="001437A7">
        <w:t>7.31</w:t>
      </w:r>
      <w:r w:rsidR="002D4B8A">
        <w:t>.</w:t>
      </w:r>
      <w:r w:rsidR="00C03A53">
        <w:t xml:space="preserve"> </w:t>
      </w:r>
      <w:r>
        <w:t xml:space="preserve">Both Frontline School Nurses and State Data Coordinators correspond with this profile. </w:t>
      </w:r>
    </w:p>
    <w:p w:rsidR="007756BB" w:rsidP="004A13E8" w14:paraId="04DABEE7" w14:textId="086B4931">
      <w:pPr>
        <w:spacing w:before="240"/>
      </w:pPr>
      <w:r>
        <w:t>U.S. Bureau of Labor Statistics website states that Education Administrators for elementary and secondary schools have an annual me</w:t>
      </w:r>
      <w:r w:rsidR="00EE229E">
        <w:t>dian</w:t>
      </w:r>
      <w:r>
        <w:t xml:space="preserve"> wage of $</w:t>
      </w:r>
      <w:r w:rsidR="001437A7">
        <w:t>102,650</w:t>
      </w:r>
      <w:r w:rsidR="00EE229E">
        <w:t>. (</w:t>
      </w:r>
      <w:r w:rsidRPr="001437A7" w:rsidR="001437A7">
        <w:t>https://www.bls.gov/oes/current/oes119032.htm#(4)</w:t>
      </w:r>
      <w:r w:rsidR="00D56C3B">
        <w:t xml:space="preserve">An hourly wage is not provided on the website. </w:t>
      </w:r>
      <w:r>
        <w:t xml:space="preserve">Assuming a </w:t>
      </w:r>
      <w:r w:rsidR="0013169E">
        <w:t>40-hour</w:t>
      </w:r>
      <w:r>
        <w:t xml:space="preserve"> work week, 52 weeks/year, the mean hourly wage is </w:t>
      </w:r>
      <w:r w:rsidR="0094508C">
        <w:t>estimated</w:t>
      </w:r>
      <w:r w:rsidR="00707F0A">
        <w:t xml:space="preserve"> </w:t>
      </w:r>
      <w:r>
        <w:t>as</w:t>
      </w:r>
      <w:r>
        <w:t xml:space="preserve"> </w:t>
      </w:r>
      <w:r w:rsidR="00AD56BC">
        <w:t>$</w:t>
      </w:r>
      <w:r w:rsidR="001437A7">
        <w:t>49.35</w:t>
      </w:r>
      <w:r w:rsidR="00AD56BC">
        <w:t>.</w:t>
      </w:r>
      <w:r w:rsidR="00707F0A">
        <w:t xml:space="preserve"> School District Representatives correspond with this profile. </w:t>
      </w:r>
    </w:p>
    <w:p w:rsidR="00EE229E" w:rsidRPr="006479D7" w:rsidP="00A72C5A" w14:paraId="6E98553F" w14:textId="4690367C">
      <w:pPr>
        <w:pStyle w:val="Exhibittitle"/>
        <w:ind w:left="0" w:firstLine="0"/>
        <w:rPr>
          <w:szCs w:val="24"/>
        </w:rPr>
      </w:pPr>
      <w:r w:rsidRPr="00363D5A">
        <w:rPr>
          <w:szCs w:val="24"/>
        </w:rPr>
        <w:t>Exhibit</w:t>
      </w:r>
      <w:r>
        <w:rPr>
          <w:szCs w:val="24"/>
        </w:rPr>
        <w:t xml:space="preserve"> </w:t>
      </w:r>
      <w:r w:rsidRPr="00363D5A">
        <w:rPr>
          <w:szCs w:val="24"/>
        </w:rPr>
        <w:t>1</w:t>
      </w:r>
      <w:r w:rsidR="00A72C5A">
        <w:rPr>
          <w:szCs w:val="24"/>
        </w:rPr>
        <w:t>2</w:t>
      </w:r>
      <w:r w:rsidRPr="00363D5A">
        <w:rPr>
          <w:szCs w:val="24"/>
        </w:rPr>
        <w:t>.</w:t>
      </w:r>
      <w:r>
        <w:rPr>
          <w:szCs w:val="24"/>
        </w:rPr>
        <w:t>B</w:t>
      </w:r>
      <w:r w:rsidRPr="00363D5A">
        <w:rPr>
          <w:szCs w:val="24"/>
        </w:rPr>
        <w:tab/>
        <w:t xml:space="preserve">  Estimate of Annualized Burden </w:t>
      </w:r>
      <w:r>
        <w:rPr>
          <w:szCs w:val="24"/>
        </w:rPr>
        <w:t>Costs</w:t>
      </w:r>
    </w:p>
    <w:tbl>
      <w:tblPr>
        <w:tblStyle w:val="TableGrid"/>
        <w:tblW w:w="10075" w:type="dxa"/>
        <w:jc w:val="center"/>
        <w:tblLook w:val="04A0"/>
      </w:tblPr>
      <w:tblGrid>
        <w:gridCol w:w="1763"/>
        <w:gridCol w:w="2536"/>
        <w:gridCol w:w="1692"/>
        <w:gridCol w:w="2055"/>
        <w:gridCol w:w="2029"/>
      </w:tblGrid>
      <w:tr w14:paraId="55FE17F2" w14:textId="77777777" w:rsidTr="00B96FB3">
        <w:tblPrEx>
          <w:tblW w:w="10075" w:type="dxa"/>
          <w:jc w:val="center"/>
          <w:tblLook w:val="04A0"/>
        </w:tblPrEx>
        <w:trPr>
          <w:jc w:val="center"/>
        </w:trPr>
        <w:tc>
          <w:tcPr>
            <w:tcW w:w="1763" w:type="dxa"/>
          </w:tcPr>
          <w:p w:rsidR="004A13E8" w:rsidRPr="002D4B8A" w:rsidP="00F175EB" w14:paraId="55FE17ED" w14:textId="77777777">
            <w:pPr>
              <w:rPr>
                <w:b/>
                <w:bCs/>
                <w:szCs w:val="24"/>
              </w:rPr>
            </w:pPr>
            <w:r w:rsidRPr="002D4B8A">
              <w:rPr>
                <w:b/>
                <w:bCs/>
                <w:szCs w:val="24"/>
              </w:rPr>
              <w:t>Type of Respondent</w:t>
            </w:r>
          </w:p>
        </w:tc>
        <w:tc>
          <w:tcPr>
            <w:tcW w:w="2536" w:type="dxa"/>
          </w:tcPr>
          <w:p w:rsidR="004A13E8" w:rsidRPr="002D4B8A" w:rsidP="00F175EB" w14:paraId="55FE17EE" w14:textId="77777777">
            <w:pPr>
              <w:rPr>
                <w:b/>
                <w:bCs/>
                <w:szCs w:val="24"/>
              </w:rPr>
            </w:pPr>
            <w:r w:rsidRPr="002D4B8A">
              <w:rPr>
                <w:b/>
                <w:bCs/>
                <w:szCs w:val="24"/>
              </w:rPr>
              <w:t>Form Name</w:t>
            </w:r>
          </w:p>
        </w:tc>
        <w:tc>
          <w:tcPr>
            <w:tcW w:w="1692" w:type="dxa"/>
          </w:tcPr>
          <w:p w:rsidR="004A13E8" w:rsidRPr="002D4B8A" w:rsidP="00F175EB" w14:paraId="55FE17EF" w14:textId="77777777">
            <w:pPr>
              <w:rPr>
                <w:b/>
                <w:bCs/>
                <w:szCs w:val="24"/>
              </w:rPr>
            </w:pPr>
            <w:r w:rsidRPr="002D4B8A">
              <w:rPr>
                <w:b/>
                <w:bCs/>
                <w:szCs w:val="24"/>
              </w:rPr>
              <w:t>Total Burden Hours</w:t>
            </w:r>
          </w:p>
        </w:tc>
        <w:tc>
          <w:tcPr>
            <w:tcW w:w="2055" w:type="dxa"/>
          </w:tcPr>
          <w:p w:rsidR="004A13E8" w:rsidRPr="002D4B8A" w:rsidP="00F175EB" w14:paraId="55FE17F0" w14:textId="47464115">
            <w:pPr>
              <w:rPr>
                <w:b/>
                <w:bCs/>
                <w:szCs w:val="24"/>
              </w:rPr>
            </w:pPr>
            <w:r w:rsidRPr="002D4B8A">
              <w:rPr>
                <w:b/>
                <w:bCs/>
                <w:szCs w:val="24"/>
              </w:rPr>
              <w:t>Hourly Wage Rate</w:t>
            </w:r>
            <w:r w:rsidRPr="002D4B8A" w:rsidR="00C32B69">
              <w:rPr>
                <w:b/>
                <w:bCs/>
                <w:szCs w:val="24"/>
              </w:rPr>
              <w:t xml:space="preserve"> </w:t>
            </w:r>
            <w:r w:rsidRPr="002D4B8A" w:rsidR="00100440">
              <w:rPr>
                <w:b/>
                <w:bCs/>
                <w:szCs w:val="24"/>
              </w:rPr>
              <w:t>Dept of Labor</w:t>
            </w:r>
          </w:p>
        </w:tc>
        <w:tc>
          <w:tcPr>
            <w:tcW w:w="2029" w:type="dxa"/>
          </w:tcPr>
          <w:p w:rsidR="004A13E8" w:rsidRPr="002D4B8A" w:rsidP="00F175EB" w14:paraId="55FE17F1" w14:textId="77777777">
            <w:pPr>
              <w:rPr>
                <w:b/>
                <w:bCs/>
                <w:szCs w:val="24"/>
              </w:rPr>
            </w:pPr>
            <w:r w:rsidRPr="002D4B8A">
              <w:rPr>
                <w:b/>
                <w:bCs/>
                <w:szCs w:val="24"/>
              </w:rPr>
              <w:t>Total Respondent Costs</w:t>
            </w:r>
          </w:p>
        </w:tc>
      </w:tr>
      <w:tr w14:paraId="1DA49777" w14:textId="77777777" w:rsidTr="00B96FB3">
        <w:tblPrEx>
          <w:tblW w:w="10075" w:type="dxa"/>
          <w:jc w:val="center"/>
          <w:tblLook w:val="04A0"/>
        </w:tblPrEx>
        <w:trPr>
          <w:jc w:val="center"/>
        </w:trPr>
        <w:tc>
          <w:tcPr>
            <w:tcW w:w="1763" w:type="dxa"/>
          </w:tcPr>
          <w:p w:rsidR="00153889" w:rsidRPr="002D4B8A" w:rsidP="00153889" w14:paraId="11B8E9EB" w14:textId="3AEA0FC5">
            <w:pPr>
              <w:rPr>
                <w:b/>
                <w:bCs/>
                <w:szCs w:val="24"/>
              </w:rPr>
            </w:pPr>
            <w:r w:rsidRPr="001A00C7">
              <w:rPr>
                <w:rFonts w:cs="Times New Roman"/>
                <w:color w:val="000000"/>
              </w:rPr>
              <w:t>Frontline School Nurse</w:t>
            </w:r>
            <w:r>
              <w:rPr>
                <w:rFonts w:cs="Times New Roman"/>
                <w:color w:val="000000"/>
              </w:rPr>
              <w:t>s</w:t>
            </w:r>
          </w:p>
        </w:tc>
        <w:tc>
          <w:tcPr>
            <w:tcW w:w="2536" w:type="dxa"/>
            <w:vAlign w:val="bottom"/>
          </w:tcPr>
          <w:p w:rsidR="00153889" w:rsidRPr="002D4B8A" w:rsidP="00153889" w14:paraId="7DF28534" w14:textId="171BD3A3">
            <w:pPr>
              <w:rPr>
                <w:b/>
                <w:bCs/>
                <w:szCs w:val="24"/>
              </w:rPr>
            </w:pPr>
            <w:r w:rsidRPr="001A00C7">
              <w:rPr>
                <w:rFonts w:cs="Times New Roman"/>
                <w:color w:val="000000"/>
              </w:rPr>
              <w:t>Electronic Platform Quarterly Chronic Absenteeism Data Reporting Form</w:t>
            </w:r>
          </w:p>
        </w:tc>
        <w:tc>
          <w:tcPr>
            <w:tcW w:w="1692" w:type="dxa"/>
            <w:vAlign w:val="center"/>
          </w:tcPr>
          <w:p w:rsidR="00153889" w:rsidRPr="002D4B8A" w:rsidP="00067A04" w14:paraId="5BED1BDE" w14:textId="1563E08C">
            <w:pPr>
              <w:jc w:val="right"/>
              <w:rPr>
                <w:b/>
                <w:bCs/>
                <w:szCs w:val="24"/>
              </w:rPr>
            </w:pPr>
            <w:r>
              <w:rPr>
                <w:rFonts w:cs="Times New Roman"/>
                <w:color w:val="000000"/>
              </w:rPr>
              <w:t>7</w:t>
            </w:r>
            <w:r w:rsidR="009C2F91">
              <w:rPr>
                <w:rFonts w:cs="Times New Roman"/>
                <w:color w:val="000000"/>
              </w:rPr>
              <w:t>2</w:t>
            </w:r>
            <w:r w:rsidRPr="0036378F">
              <w:rPr>
                <w:rFonts w:cs="Times New Roman"/>
                <w:color w:val="000000"/>
              </w:rPr>
              <w:t>0</w:t>
            </w:r>
          </w:p>
        </w:tc>
        <w:tc>
          <w:tcPr>
            <w:tcW w:w="2055" w:type="dxa"/>
            <w:vAlign w:val="center"/>
          </w:tcPr>
          <w:p w:rsidR="00153889" w:rsidRPr="00067A04" w:rsidP="00067A04" w14:paraId="3252F6C8" w14:textId="23A3157D">
            <w:pPr>
              <w:jc w:val="right"/>
              <w:rPr>
                <w:szCs w:val="24"/>
              </w:rPr>
            </w:pPr>
            <w:r w:rsidRPr="00067A04">
              <w:rPr>
                <w:szCs w:val="24"/>
              </w:rPr>
              <w:t>$37.31</w:t>
            </w:r>
          </w:p>
        </w:tc>
        <w:tc>
          <w:tcPr>
            <w:tcW w:w="2029" w:type="dxa"/>
            <w:vAlign w:val="center"/>
          </w:tcPr>
          <w:p w:rsidR="00153889" w:rsidRPr="00760E7F" w:rsidP="00067A04" w14:paraId="33D2160C" w14:textId="33AA183A">
            <w:pPr>
              <w:jc w:val="right"/>
              <w:rPr>
                <w:rFonts w:cs="Times New Roman"/>
                <w:b/>
                <w:bCs/>
                <w:szCs w:val="24"/>
              </w:rPr>
            </w:pPr>
            <w:r w:rsidRPr="00760E7F">
              <w:rPr>
                <w:rFonts w:cs="Times New Roman"/>
                <w:color w:val="000000"/>
                <w:szCs w:val="24"/>
              </w:rPr>
              <w:t>$</w:t>
            </w:r>
            <w:r w:rsidR="009217DA">
              <w:rPr>
                <w:rFonts w:cs="Times New Roman"/>
                <w:color w:val="000000"/>
                <w:szCs w:val="24"/>
              </w:rPr>
              <w:t>26</w:t>
            </w:r>
            <w:r w:rsidR="00ED3963">
              <w:rPr>
                <w:rFonts w:cs="Times New Roman"/>
                <w:color w:val="000000"/>
                <w:szCs w:val="24"/>
              </w:rPr>
              <w:t>,863.20</w:t>
            </w:r>
            <w:r w:rsidRPr="00760E7F">
              <w:rPr>
                <w:rFonts w:cs="Times New Roman"/>
                <w:color w:val="000000"/>
                <w:szCs w:val="24"/>
              </w:rPr>
              <w:t xml:space="preserve"> </w:t>
            </w:r>
          </w:p>
        </w:tc>
      </w:tr>
      <w:tr w14:paraId="253D92F5" w14:textId="77777777" w:rsidTr="00B96FB3">
        <w:tblPrEx>
          <w:tblW w:w="10075" w:type="dxa"/>
          <w:jc w:val="center"/>
          <w:tblLook w:val="04A0"/>
        </w:tblPrEx>
        <w:trPr>
          <w:jc w:val="center"/>
        </w:trPr>
        <w:tc>
          <w:tcPr>
            <w:tcW w:w="1763" w:type="dxa"/>
          </w:tcPr>
          <w:p w:rsidR="001E4173" w:rsidRPr="001A00C7" w:rsidP="001E4173" w14:paraId="21079820" w14:textId="4B756D0D">
            <w:pPr>
              <w:rPr>
                <w:rFonts w:cs="Times New Roman"/>
                <w:color w:val="000000"/>
              </w:rPr>
            </w:pPr>
            <w:r w:rsidRPr="001A00C7">
              <w:rPr>
                <w:rFonts w:cs="Times New Roman"/>
                <w:color w:val="000000"/>
              </w:rPr>
              <w:t>Frontline School Nurse</w:t>
            </w:r>
            <w:r>
              <w:rPr>
                <w:rFonts w:cs="Times New Roman"/>
                <w:color w:val="000000"/>
              </w:rPr>
              <w:t>s</w:t>
            </w:r>
          </w:p>
        </w:tc>
        <w:tc>
          <w:tcPr>
            <w:tcW w:w="2536" w:type="dxa"/>
          </w:tcPr>
          <w:p w:rsidR="001E4173" w:rsidRPr="001A00C7" w:rsidP="001E4173" w14:paraId="3B63BE72" w14:textId="72E57837">
            <w:pPr>
              <w:rPr>
                <w:rFonts w:cs="Times New Roman"/>
                <w:color w:val="000000"/>
              </w:rPr>
            </w:pPr>
            <w:r w:rsidRPr="001A00C7">
              <w:rPr>
                <w:rFonts w:cs="Times New Roman"/>
                <w:color w:val="000000"/>
              </w:rPr>
              <w:t>Demographic Data Collection Points</w:t>
            </w:r>
          </w:p>
        </w:tc>
        <w:tc>
          <w:tcPr>
            <w:tcW w:w="1692" w:type="dxa"/>
            <w:vAlign w:val="center"/>
          </w:tcPr>
          <w:p w:rsidR="001E4173" w:rsidRPr="0036378F" w:rsidP="001E4173" w14:paraId="7C8DE571" w14:textId="6841D6C8">
            <w:pPr>
              <w:jc w:val="right"/>
              <w:rPr>
                <w:rFonts w:cs="Times New Roman"/>
                <w:color w:val="000000"/>
              </w:rPr>
            </w:pPr>
            <w:r>
              <w:rPr>
                <w:rFonts w:cs="Times New Roman"/>
                <w:color w:val="000000"/>
              </w:rPr>
              <w:t>120</w:t>
            </w:r>
          </w:p>
        </w:tc>
        <w:tc>
          <w:tcPr>
            <w:tcW w:w="2055" w:type="dxa"/>
            <w:vAlign w:val="center"/>
          </w:tcPr>
          <w:p w:rsidR="001E4173" w:rsidRPr="00135404" w:rsidP="001E4173" w14:paraId="6AA80B92" w14:textId="40D999C9">
            <w:pPr>
              <w:jc w:val="right"/>
              <w:rPr>
                <w:szCs w:val="24"/>
              </w:rPr>
            </w:pPr>
            <w:r w:rsidRPr="00135404">
              <w:rPr>
                <w:szCs w:val="24"/>
              </w:rPr>
              <w:t>$37.31</w:t>
            </w:r>
          </w:p>
        </w:tc>
        <w:tc>
          <w:tcPr>
            <w:tcW w:w="2029" w:type="dxa"/>
            <w:vAlign w:val="center"/>
          </w:tcPr>
          <w:p w:rsidR="001E4173" w:rsidRPr="00760E7F" w:rsidP="001E4173" w14:paraId="4BD0D30E" w14:textId="76ED99C5">
            <w:pPr>
              <w:jc w:val="right"/>
              <w:rPr>
                <w:rFonts w:cs="Times New Roman"/>
                <w:color w:val="000000"/>
                <w:szCs w:val="24"/>
              </w:rPr>
            </w:pPr>
            <w:r w:rsidRPr="00251DF1">
              <w:rPr>
                <w:rFonts w:cs="Times New Roman"/>
                <w:color w:val="000000"/>
                <w:szCs w:val="24"/>
              </w:rPr>
              <w:t xml:space="preserve">$4,477.20 </w:t>
            </w:r>
          </w:p>
        </w:tc>
      </w:tr>
      <w:tr w14:paraId="60EE0168" w14:textId="77777777" w:rsidTr="00B96FB3">
        <w:tblPrEx>
          <w:tblW w:w="10075" w:type="dxa"/>
          <w:jc w:val="center"/>
          <w:tblLook w:val="04A0"/>
        </w:tblPrEx>
        <w:trPr>
          <w:jc w:val="center"/>
        </w:trPr>
        <w:tc>
          <w:tcPr>
            <w:tcW w:w="1763" w:type="dxa"/>
          </w:tcPr>
          <w:p w:rsidR="00B96FB3" w:rsidRPr="002D4B8A" w:rsidP="00B96FB3" w14:paraId="3C78E9B9" w14:textId="022B7275">
            <w:pPr>
              <w:rPr>
                <w:b/>
                <w:bCs/>
                <w:szCs w:val="24"/>
              </w:rPr>
            </w:pPr>
            <w:r w:rsidRPr="001A00C7">
              <w:rPr>
                <w:rFonts w:cs="Times New Roman"/>
                <w:color w:val="000000"/>
              </w:rPr>
              <w:t>Frontline School Nurse</w:t>
            </w:r>
            <w:r>
              <w:rPr>
                <w:rFonts w:cs="Times New Roman"/>
                <w:color w:val="000000"/>
              </w:rPr>
              <w:t>s</w:t>
            </w:r>
          </w:p>
        </w:tc>
        <w:tc>
          <w:tcPr>
            <w:tcW w:w="2536" w:type="dxa"/>
          </w:tcPr>
          <w:p w:rsidR="00B96FB3" w:rsidRPr="002D4B8A" w:rsidP="00B96FB3" w14:paraId="05AB40F7" w14:textId="57D295B8">
            <w:pPr>
              <w:rPr>
                <w:b/>
                <w:bCs/>
                <w:szCs w:val="24"/>
              </w:rPr>
            </w:pPr>
            <w:r w:rsidRPr="001A00C7">
              <w:rPr>
                <w:rFonts w:cs="Times New Roman"/>
                <w:color w:val="000000"/>
              </w:rPr>
              <w:t>Site Baseline Survey</w:t>
            </w:r>
          </w:p>
        </w:tc>
        <w:tc>
          <w:tcPr>
            <w:tcW w:w="1692" w:type="dxa"/>
            <w:vAlign w:val="center"/>
          </w:tcPr>
          <w:p w:rsidR="00B96FB3" w:rsidRPr="002D4B8A" w:rsidP="00B96FB3" w14:paraId="15E806A5" w14:textId="44C69BEC">
            <w:pPr>
              <w:jc w:val="right"/>
              <w:rPr>
                <w:b/>
                <w:bCs/>
                <w:szCs w:val="24"/>
              </w:rPr>
            </w:pPr>
            <w:r>
              <w:rPr>
                <w:rFonts w:cs="Times New Roman"/>
                <w:color w:val="000000"/>
              </w:rPr>
              <w:t>4</w:t>
            </w:r>
          </w:p>
        </w:tc>
        <w:tc>
          <w:tcPr>
            <w:tcW w:w="2055" w:type="dxa"/>
            <w:vAlign w:val="center"/>
          </w:tcPr>
          <w:p w:rsidR="00B96FB3" w:rsidRPr="002D4B8A" w:rsidP="00B96FB3" w14:paraId="0153A34A" w14:textId="125882AE">
            <w:pPr>
              <w:jc w:val="right"/>
              <w:rPr>
                <w:b/>
                <w:bCs/>
                <w:szCs w:val="24"/>
              </w:rPr>
            </w:pPr>
            <w:r w:rsidRPr="00135404">
              <w:rPr>
                <w:szCs w:val="24"/>
              </w:rPr>
              <w:t>$37.31</w:t>
            </w:r>
          </w:p>
        </w:tc>
        <w:tc>
          <w:tcPr>
            <w:tcW w:w="2029" w:type="dxa"/>
            <w:vAlign w:val="center"/>
          </w:tcPr>
          <w:p w:rsidR="00B96FB3" w:rsidRPr="00760E7F" w:rsidP="00B96FB3" w14:paraId="00ABFBF8" w14:textId="689A0DCC">
            <w:pPr>
              <w:jc w:val="right"/>
              <w:rPr>
                <w:rFonts w:cs="Times New Roman"/>
                <w:b/>
                <w:bCs/>
                <w:szCs w:val="24"/>
              </w:rPr>
            </w:pPr>
            <w:r w:rsidRPr="00251DF1">
              <w:rPr>
                <w:rFonts w:cs="Times New Roman"/>
                <w:color w:val="000000"/>
                <w:szCs w:val="24"/>
              </w:rPr>
              <w:t xml:space="preserve">$149.24 </w:t>
            </w:r>
          </w:p>
        </w:tc>
      </w:tr>
      <w:tr w14:paraId="06BC9016" w14:textId="77777777" w:rsidTr="00B96FB3">
        <w:tblPrEx>
          <w:tblW w:w="10075" w:type="dxa"/>
          <w:jc w:val="center"/>
          <w:tblLook w:val="04A0"/>
        </w:tblPrEx>
        <w:trPr>
          <w:jc w:val="center"/>
        </w:trPr>
        <w:tc>
          <w:tcPr>
            <w:tcW w:w="1763" w:type="dxa"/>
          </w:tcPr>
          <w:p w:rsidR="00B96FB3" w:rsidRPr="002D4B8A" w:rsidP="00B96FB3" w14:paraId="314D9460" w14:textId="7EB369ED">
            <w:pPr>
              <w:rPr>
                <w:b/>
                <w:bCs/>
                <w:szCs w:val="24"/>
              </w:rPr>
            </w:pPr>
            <w:r w:rsidRPr="001A00C7">
              <w:rPr>
                <w:rFonts w:cs="Times New Roman"/>
                <w:color w:val="000000"/>
              </w:rPr>
              <w:t>Frontline School Nurse</w:t>
            </w:r>
            <w:r>
              <w:rPr>
                <w:rFonts w:cs="Times New Roman"/>
                <w:color w:val="000000"/>
              </w:rPr>
              <w:t>s</w:t>
            </w:r>
          </w:p>
        </w:tc>
        <w:tc>
          <w:tcPr>
            <w:tcW w:w="2536" w:type="dxa"/>
          </w:tcPr>
          <w:p w:rsidR="00B96FB3" w:rsidRPr="002D4B8A" w:rsidP="00B96FB3" w14:paraId="0841E991" w14:textId="43F39286">
            <w:pPr>
              <w:rPr>
                <w:b/>
                <w:bCs/>
                <w:szCs w:val="24"/>
              </w:rPr>
            </w:pPr>
            <w:r w:rsidRPr="001A00C7">
              <w:rPr>
                <w:rFonts w:cs="Times New Roman"/>
                <w:color w:val="000000"/>
              </w:rPr>
              <w:t>Question Guide for Face-to-Face Evaluation Interviews</w:t>
            </w:r>
          </w:p>
        </w:tc>
        <w:tc>
          <w:tcPr>
            <w:tcW w:w="1692" w:type="dxa"/>
            <w:vAlign w:val="center"/>
          </w:tcPr>
          <w:p w:rsidR="00B96FB3" w:rsidRPr="002D4B8A" w:rsidP="00B96FB3" w14:paraId="63AA061D" w14:textId="7248E808">
            <w:pPr>
              <w:jc w:val="right"/>
              <w:rPr>
                <w:b/>
                <w:bCs/>
                <w:szCs w:val="24"/>
              </w:rPr>
            </w:pPr>
            <w:r w:rsidRPr="0036378F">
              <w:rPr>
                <w:rFonts w:cs="Times New Roman"/>
                <w:color w:val="000000"/>
              </w:rPr>
              <w:t>90</w:t>
            </w:r>
          </w:p>
        </w:tc>
        <w:tc>
          <w:tcPr>
            <w:tcW w:w="2055" w:type="dxa"/>
            <w:vAlign w:val="center"/>
          </w:tcPr>
          <w:p w:rsidR="00B96FB3" w:rsidRPr="002D4B8A" w:rsidP="00B96FB3" w14:paraId="0CB96759" w14:textId="71FA7470">
            <w:pPr>
              <w:jc w:val="right"/>
              <w:rPr>
                <w:b/>
                <w:bCs/>
                <w:szCs w:val="24"/>
              </w:rPr>
            </w:pPr>
            <w:r w:rsidRPr="00135404">
              <w:rPr>
                <w:szCs w:val="24"/>
              </w:rPr>
              <w:t>$37.31</w:t>
            </w:r>
          </w:p>
        </w:tc>
        <w:tc>
          <w:tcPr>
            <w:tcW w:w="2029" w:type="dxa"/>
            <w:vAlign w:val="center"/>
          </w:tcPr>
          <w:p w:rsidR="00B96FB3" w:rsidRPr="00760E7F" w:rsidP="00B96FB3" w14:paraId="3FBE6885" w14:textId="3051DE81">
            <w:pPr>
              <w:jc w:val="right"/>
              <w:rPr>
                <w:rFonts w:cs="Times New Roman"/>
                <w:b/>
                <w:bCs/>
                <w:szCs w:val="24"/>
              </w:rPr>
            </w:pPr>
            <w:r w:rsidRPr="00251DF1">
              <w:rPr>
                <w:rFonts w:cs="Times New Roman"/>
                <w:color w:val="000000"/>
                <w:szCs w:val="24"/>
              </w:rPr>
              <w:t xml:space="preserve">$3,357.90 </w:t>
            </w:r>
          </w:p>
        </w:tc>
      </w:tr>
      <w:tr w14:paraId="2010CA46" w14:textId="77777777" w:rsidTr="00B96FB3">
        <w:tblPrEx>
          <w:tblW w:w="10075" w:type="dxa"/>
          <w:jc w:val="center"/>
          <w:tblLook w:val="04A0"/>
        </w:tblPrEx>
        <w:trPr>
          <w:jc w:val="center"/>
        </w:trPr>
        <w:tc>
          <w:tcPr>
            <w:tcW w:w="1763" w:type="dxa"/>
          </w:tcPr>
          <w:p w:rsidR="00B96FB3" w:rsidRPr="002D4B8A" w:rsidP="00B96FB3" w14:paraId="4C332688" w14:textId="777E7CFB">
            <w:pPr>
              <w:rPr>
                <w:b/>
                <w:bCs/>
                <w:szCs w:val="24"/>
              </w:rPr>
            </w:pPr>
            <w:r w:rsidRPr="001A00C7">
              <w:rPr>
                <w:rFonts w:cs="Times New Roman"/>
                <w:color w:val="000000"/>
              </w:rPr>
              <w:t>State Data Coordinators</w:t>
            </w:r>
          </w:p>
        </w:tc>
        <w:tc>
          <w:tcPr>
            <w:tcW w:w="2536" w:type="dxa"/>
          </w:tcPr>
          <w:p w:rsidR="00B96FB3" w:rsidRPr="002D4B8A" w:rsidP="00B96FB3" w14:paraId="615A03C6" w14:textId="4A8D97C7">
            <w:pPr>
              <w:rPr>
                <w:b/>
                <w:bCs/>
                <w:szCs w:val="24"/>
              </w:rPr>
            </w:pPr>
            <w:r w:rsidRPr="001A00C7">
              <w:rPr>
                <w:rFonts w:cs="Times New Roman"/>
                <w:color w:val="000000"/>
              </w:rPr>
              <w:t>Webinar 1 Feedback Form</w:t>
            </w:r>
          </w:p>
        </w:tc>
        <w:tc>
          <w:tcPr>
            <w:tcW w:w="1692" w:type="dxa"/>
            <w:vAlign w:val="center"/>
          </w:tcPr>
          <w:p w:rsidR="00B96FB3" w:rsidRPr="002D4B8A" w:rsidP="00B96FB3" w14:paraId="554FB100" w14:textId="4F96E11B">
            <w:pPr>
              <w:jc w:val="right"/>
              <w:rPr>
                <w:b/>
                <w:bCs/>
                <w:szCs w:val="24"/>
              </w:rPr>
            </w:pPr>
            <w:r w:rsidRPr="0036378F">
              <w:rPr>
                <w:rFonts w:cs="Times New Roman"/>
                <w:color w:val="000000"/>
              </w:rPr>
              <w:t>1</w:t>
            </w:r>
            <w:r>
              <w:rPr>
                <w:rFonts w:cs="Times New Roman"/>
                <w:color w:val="000000"/>
              </w:rPr>
              <w:t>5</w:t>
            </w:r>
          </w:p>
        </w:tc>
        <w:tc>
          <w:tcPr>
            <w:tcW w:w="2055" w:type="dxa"/>
            <w:vAlign w:val="center"/>
          </w:tcPr>
          <w:p w:rsidR="00B96FB3" w:rsidRPr="002D4B8A" w:rsidP="00B96FB3" w14:paraId="6D462051" w14:textId="6FCD798F">
            <w:pPr>
              <w:jc w:val="right"/>
              <w:rPr>
                <w:b/>
                <w:bCs/>
                <w:szCs w:val="24"/>
              </w:rPr>
            </w:pPr>
            <w:r w:rsidRPr="00135404">
              <w:rPr>
                <w:szCs w:val="24"/>
              </w:rPr>
              <w:t>$37.31</w:t>
            </w:r>
          </w:p>
        </w:tc>
        <w:tc>
          <w:tcPr>
            <w:tcW w:w="2029" w:type="dxa"/>
            <w:vAlign w:val="center"/>
          </w:tcPr>
          <w:p w:rsidR="00B96FB3" w:rsidRPr="00760E7F" w:rsidP="00B96FB3" w14:paraId="3652C308" w14:textId="6A46A8F0">
            <w:pPr>
              <w:jc w:val="right"/>
              <w:rPr>
                <w:rFonts w:cs="Times New Roman"/>
                <w:b/>
                <w:bCs/>
                <w:szCs w:val="24"/>
              </w:rPr>
            </w:pPr>
            <w:r w:rsidRPr="00760E7F">
              <w:rPr>
                <w:rFonts w:cs="Times New Roman"/>
                <w:color w:val="000000"/>
                <w:szCs w:val="24"/>
              </w:rPr>
              <w:t xml:space="preserve">$559.65 </w:t>
            </w:r>
          </w:p>
        </w:tc>
      </w:tr>
      <w:tr w14:paraId="3A6CBA4E" w14:textId="77777777" w:rsidTr="00B96FB3">
        <w:tblPrEx>
          <w:tblW w:w="10075" w:type="dxa"/>
          <w:jc w:val="center"/>
          <w:tblLook w:val="04A0"/>
        </w:tblPrEx>
        <w:trPr>
          <w:jc w:val="center"/>
        </w:trPr>
        <w:tc>
          <w:tcPr>
            <w:tcW w:w="1763" w:type="dxa"/>
          </w:tcPr>
          <w:p w:rsidR="00B96FB3" w:rsidRPr="002D4B8A" w:rsidP="00B96FB3" w14:paraId="326687D2" w14:textId="4D78C351">
            <w:pPr>
              <w:rPr>
                <w:b/>
                <w:bCs/>
                <w:szCs w:val="24"/>
              </w:rPr>
            </w:pPr>
            <w:r w:rsidRPr="001A00C7">
              <w:rPr>
                <w:rFonts w:cs="Times New Roman"/>
                <w:color w:val="000000"/>
              </w:rPr>
              <w:t>School District Representative</w:t>
            </w:r>
            <w:r>
              <w:rPr>
                <w:rFonts w:cs="Times New Roman"/>
                <w:color w:val="000000"/>
              </w:rPr>
              <w:t>s</w:t>
            </w:r>
          </w:p>
        </w:tc>
        <w:tc>
          <w:tcPr>
            <w:tcW w:w="2536" w:type="dxa"/>
          </w:tcPr>
          <w:p w:rsidR="00B96FB3" w:rsidRPr="002D4B8A" w:rsidP="00B96FB3" w14:paraId="22756154" w14:textId="0A566E4D">
            <w:pPr>
              <w:rPr>
                <w:b/>
                <w:bCs/>
                <w:szCs w:val="24"/>
              </w:rPr>
            </w:pPr>
            <w:r w:rsidRPr="001A00C7">
              <w:rPr>
                <w:rFonts w:cs="Times New Roman"/>
                <w:color w:val="000000"/>
              </w:rPr>
              <w:t>School District Feedback Form</w:t>
            </w:r>
          </w:p>
        </w:tc>
        <w:tc>
          <w:tcPr>
            <w:tcW w:w="1692" w:type="dxa"/>
            <w:vAlign w:val="center"/>
          </w:tcPr>
          <w:p w:rsidR="00B96FB3" w:rsidRPr="002D4B8A" w:rsidP="00B96FB3" w14:paraId="0C23856C" w14:textId="33CC011D">
            <w:pPr>
              <w:jc w:val="right"/>
              <w:rPr>
                <w:b/>
                <w:bCs/>
                <w:szCs w:val="24"/>
              </w:rPr>
            </w:pPr>
            <w:r>
              <w:rPr>
                <w:rFonts w:cs="Times New Roman"/>
                <w:color w:val="000000"/>
              </w:rPr>
              <w:t>2</w:t>
            </w:r>
          </w:p>
        </w:tc>
        <w:tc>
          <w:tcPr>
            <w:tcW w:w="2055" w:type="dxa"/>
            <w:vAlign w:val="center"/>
          </w:tcPr>
          <w:p w:rsidR="00B96FB3" w:rsidRPr="00067A04" w:rsidP="00B96FB3" w14:paraId="49C232A9" w14:textId="2C4890E2">
            <w:pPr>
              <w:jc w:val="right"/>
              <w:rPr>
                <w:szCs w:val="24"/>
              </w:rPr>
            </w:pPr>
            <w:r w:rsidRPr="00067A04">
              <w:rPr>
                <w:szCs w:val="24"/>
              </w:rPr>
              <w:t>$49.35</w:t>
            </w:r>
          </w:p>
        </w:tc>
        <w:tc>
          <w:tcPr>
            <w:tcW w:w="2029" w:type="dxa"/>
            <w:vAlign w:val="center"/>
          </w:tcPr>
          <w:p w:rsidR="00B96FB3" w:rsidRPr="00760E7F" w:rsidP="00B96FB3" w14:paraId="3A1E609A" w14:textId="34538E07">
            <w:pPr>
              <w:jc w:val="right"/>
              <w:rPr>
                <w:rFonts w:cs="Times New Roman"/>
                <w:b/>
                <w:bCs/>
                <w:szCs w:val="24"/>
              </w:rPr>
            </w:pPr>
            <w:r w:rsidRPr="00760E7F">
              <w:rPr>
                <w:rFonts w:cs="Times New Roman"/>
                <w:color w:val="000000"/>
                <w:szCs w:val="24"/>
              </w:rPr>
              <w:t xml:space="preserve">$98.70 </w:t>
            </w:r>
          </w:p>
        </w:tc>
      </w:tr>
      <w:tr w14:paraId="4886208E" w14:textId="77777777" w:rsidTr="00B96FB3">
        <w:tblPrEx>
          <w:tblW w:w="10075" w:type="dxa"/>
          <w:jc w:val="center"/>
          <w:tblLook w:val="04A0"/>
        </w:tblPrEx>
        <w:trPr>
          <w:jc w:val="center"/>
        </w:trPr>
        <w:tc>
          <w:tcPr>
            <w:tcW w:w="1763" w:type="dxa"/>
          </w:tcPr>
          <w:p w:rsidR="00B96FB3" w:rsidRPr="002D4B8A" w:rsidP="00B96FB3" w14:paraId="47C65AB9" w14:textId="7FBF97CA">
            <w:pPr>
              <w:jc w:val="right"/>
              <w:rPr>
                <w:b/>
                <w:bCs/>
                <w:szCs w:val="24"/>
              </w:rPr>
            </w:pPr>
            <w:bookmarkStart w:id="6" w:name="_Hlk108171465"/>
            <w:r w:rsidRPr="002D4B8A">
              <w:rPr>
                <w:b/>
                <w:bCs/>
                <w:szCs w:val="24"/>
              </w:rPr>
              <w:t>TOTAL</w:t>
            </w:r>
          </w:p>
        </w:tc>
        <w:tc>
          <w:tcPr>
            <w:tcW w:w="2536" w:type="dxa"/>
          </w:tcPr>
          <w:p w:rsidR="00B96FB3" w:rsidRPr="002D4B8A" w:rsidP="00B96FB3" w14:paraId="1F9348F2" w14:textId="77777777">
            <w:pPr>
              <w:rPr>
                <w:szCs w:val="24"/>
              </w:rPr>
            </w:pPr>
          </w:p>
        </w:tc>
        <w:tc>
          <w:tcPr>
            <w:tcW w:w="1692" w:type="dxa"/>
            <w:vAlign w:val="center"/>
          </w:tcPr>
          <w:p w:rsidR="00B96FB3" w:rsidRPr="002D4B8A" w:rsidP="00B96FB3" w14:paraId="7062284E" w14:textId="2014B2DD">
            <w:pPr>
              <w:jc w:val="right"/>
              <w:rPr>
                <w:szCs w:val="24"/>
              </w:rPr>
            </w:pPr>
          </w:p>
        </w:tc>
        <w:tc>
          <w:tcPr>
            <w:tcW w:w="2055" w:type="dxa"/>
            <w:vAlign w:val="center"/>
          </w:tcPr>
          <w:p w:rsidR="00B96FB3" w:rsidRPr="002D4B8A" w:rsidP="00B96FB3" w14:paraId="00B1219D" w14:textId="77777777">
            <w:pPr>
              <w:jc w:val="right"/>
              <w:rPr>
                <w:szCs w:val="24"/>
              </w:rPr>
            </w:pPr>
          </w:p>
        </w:tc>
        <w:tc>
          <w:tcPr>
            <w:tcW w:w="2029" w:type="dxa"/>
            <w:vAlign w:val="center"/>
          </w:tcPr>
          <w:p w:rsidR="00B96FB3" w:rsidRPr="00760E7F" w:rsidP="00B96FB3" w14:paraId="26633F75" w14:textId="1F7039D8">
            <w:pPr>
              <w:jc w:val="right"/>
              <w:rPr>
                <w:rFonts w:cs="Times New Roman"/>
                <w:b/>
                <w:bCs/>
                <w:color w:val="000000"/>
                <w:szCs w:val="24"/>
              </w:rPr>
            </w:pPr>
            <w:r w:rsidRPr="003E62DC">
              <w:rPr>
                <w:rFonts w:cs="Times New Roman"/>
                <w:b/>
                <w:bCs/>
                <w:color w:val="000000"/>
                <w:szCs w:val="24"/>
              </w:rPr>
              <w:t>$35,505.89</w:t>
            </w:r>
          </w:p>
        </w:tc>
      </w:tr>
    </w:tbl>
    <w:p w:rsidR="004A13E8" w:rsidP="0025156B" w14:paraId="55FE17FE" w14:textId="77777777">
      <w:pPr>
        <w:pStyle w:val="Heading1"/>
        <w:spacing w:before="240"/>
      </w:pPr>
      <w:bookmarkStart w:id="7" w:name="_Hlk37172706"/>
      <w:bookmarkEnd w:id="4"/>
      <w:bookmarkEnd w:id="6"/>
      <w:r>
        <w:t>Estimates of Other Total Annual Cost Burden to Respondents or Record Keepers</w:t>
      </w:r>
    </w:p>
    <w:bookmarkEnd w:id="7"/>
    <w:p w:rsidR="004A13E8" w:rsidRPr="004A13E8" w:rsidP="004A13E8" w14:paraId="55FE1800" w14:textId="68A46534">
      <w:r>
        <w:t>There are no costs to respondents other than their time to participate</w:t>
      </w:r>
      <w:r w:rsidR="000121CA">
        <w:t>.</w:t>
      </w:r>
    </w:p>
    <w:p w:rsidR="004A13E8" w:rsidP="004A13E8" w14:paraId="55FE1801" w14:textId="77777777">
      <w:pPr>
        <w:pStyle w:val="Heading1"/>
      </w:pPr>
      <w:bookmarkStart w:id="8" w:name="_Hlk37172747"/>
      <w:r>
        <w:t>Annualized Cost to the Government</w:t>
      </w:r>
    </w:p>
    <w:bookmarkEnd w:id="8"/>
    <w:p w:rsidR="00B148EE" w:rsidP="001F4A76" w14:paraId="6647C8B4" w14:textId="32ED7A0B">
      <w:r>
        <w:t xml:space="preserve">The annualized cost of this </w:t>
      </w:r>
      <w:r>
        <w:t xml:space="preserve">SBAS </w:t>
      </w:r>
      <w:r>
        <w:t>project is estimated to be $</w:t>
      </w:r>
      <w:r w:rsidR="001F4A76">
        <w:t>348,384, which is the cost of the contract</w:t>
      </w:r>
      <w:r w:rsidR="00153889">
        <w:t xml:space="preserve"> with NASN</w:t>
      </w:r>
      <w:r w:rsidR="001F4A76">
        <w:t>.</w:t>
      </w:r>
      <w:r>
        <w:t xml:space="preserve"> </w:t>
      </w:r>
    </w:p>
    <w:p w:rsidR="00B148EE" w:rsidRPr="006479D7" w:rsidP="00B148EE" w14:paraId="5881079E" w14:textId="77777777">
      <w:pPr>
        <w:rPr>
          <w:szCs w:val="24"/>
        </w:rPr>
      </w:pPr>
      <w:r w:rsidRPr="00363D5A">
        <w:rPr>
          <w:szCs w:val="24"/>
        </w:rPr>
        <w:t>Exhibit</w:t>
      </w:r>
      <w:r>
        <w:rPr>
          <w:szCs w:val="24"/>
        </w:rPr>
        <w:t xml:space="preserve"> </w:t>
      </w:r>
      <w:r w:rsidRPr="00363D5A">
        <w:rPr>
          <w:szCs w:val="24"/>
        </w:rPr>
        <w:t>1</w:t>
      </w:r>
      <w:r>
        <w:rPr>
          <w:szCs w:val="24"/>
        </w:rPr>
        <w:t>4</w:t>
      </w:r>
      <w:r w:rsidRPr="00363D5A">
        <w:rPr>
          <w:szCs w:val="24"/>
        </w:rPr>
        <w:t>.A</w:t>
      </w:r>
      <w:r w:rsidRPr="00363D5A">
        <w:rPr>
          <w:szCs w:val="24"/>
        </w:rPr>
        <w:tab/>
        <w:t xml:space="preserve">  Estimate of Annualized </w:t>
      </w:r>
      <w:r>
        <w:rPr>
          <w:szCs w:val="24"/>
        </w:rPr>
        <w:t>Cost to Government per Activity</w:t>
      </w:r>
    </w:p>
    <w:tbl>
      <w:tblPr>
        <w:tblStyle w:val="TableGrid"/>
        <w:tblW w:w="0" w:type="auto"/>
        <w:tblLook w:val="04A0"/>
      </w:tblPr>
      <w:tblGrid>
        <w:gridCol w:w="3444"/>
        <w:gridCol w:w="3535"/>
        <w:gridCol w:w="3091"/>
      </w:tblGrid>
      <w:tr w14:paraId="7245F9E7" w14:textId="77777777" w:rsidTr="0036378F">
        <w:tblPrEx>
          <w:tblW w:w="0" w:type="auto"/>
          <w:tblLook w:val="04A0"/>
        </w:tblPrEx>
        <w:tc>
          <w:tcPr>
            <w:tcW w:w="3444" w:type="dxa"/>
          </w:tcPr>
          <w:p w:rsidR="00B148EE" w:rsidRPr="006479D7" w:rsidP="0036378F" w14:paraId="690E0A85" w14:textId="77777777">
            <w:pPr>
              <w:rPr>
                <w:b/>
                <w:bCs/>
              </w:rPr>
            </w:pPr>
            <w:r w:rsidRPr="006479D7">
              <w:rPr>
                <w:b/>
                <w:bCs/>
              </w:rPr>
              <w:t>Expense Type</w:t>
            </w:r>
          </w:p>
        </w:tc>
        <w:tc>
          <w:tcPr>
            <w:tcW w:w="3535" w:type="dxa"/>
          </w:tcPr>
          <w:p w:rsidR="00B148EE" w:rsidRPr="006479D7" w:rsidP="0036378F" w14:paraId="5AB66D27" w14:textId="77777777">
            <w:pPr>
              <w:rPr>
                <w:b/>
                <w:bCs/>
              </w:rPr>
            </w:pPr>
            <w:r w:rsidRPr="006479D7">
              <w:rPr>
                <w:b/>
                <w:bCs/>
              </w:rPr>
              <w:t>Expense Explanation</w:t>
            </w:r>
          </w:p>
        </w:tc>
        <w:tc>
          <w:tcPr>
            <w:tcW w:w="3091" w:type="dxa"/>
          </w:tcPr>
          <w:p w:rsidR="00B148EE" w:rsidRPr="006479D7" w:rsidP="0036378F" w14:paraId="23864D08" w14:textId="77777777">
            <w:pPr>
              <w:rPr>
                <w:b/>
                <w:bCs/>
              </w:rPr>
            </w:pPr>
            <w:r w:rsidRPr="006479D7">
              <w:rPr>
                <w:b/>
                <w:bCs/>
              </w:rPr>
              <w:t>Estimated Annualized Cost</w:t>
            </w:r>
          </w:p>
        </w:tc>
      </w:tr>
      <w:tr w14:paraId="7FE9F7CA" w14:textId="77777777" w:rsidTr="0036378F">
        <w:tblPrEx>
          <w:tblW w:w="0" w:type="auto"/>
          <w:tblLook w:val="04A0"/>
        </w:tblPrEx>
        <w:tc>
          <w:tcPr>
            <w:tcW w:w="3444" w:type="dxa"/>
          </w:tcPr>
          <w:p w:rsidR="00B148EE" w:rsidP="0036378F" w14:paraId="0191167F" w14:textId="77777777">
            <w:r>
              <w:t>Contract</w:t>
            </w:r>
          </w:p>
        </w:tc>
        <w:tc>
          <w:tcPr>
            <w:tcW w:w="3535" w:type="dxa"/>
          </w:tcPr>
          <w:p w:rsidR="00B148EE" w:rsidP="0036378F" w14:paraId="3618B81D" w14:textId="77777777">
            <w:r>
              <w:t xml:space="preserve">Contract funds to NASN </w:t>
            </w:r>
          </w:p>
        </w:tc>
        <w:tc>
          <w:tcPr>
            <w:tcW w:w="3091" w:type="dxa"/>
          </w:tcPr>
          <w:p w:rsidR="00B148EE" w:rsidP="0036378F" w14:paraId="6D5C104B" w14:textId="77777777">
            <w:r>
              <w:t>$348,384.01</w:t>
            </w:r>
          </w:p>
        </w:tc>
      </w:tr>
      <w:tr w14:paraId="62FE773D" w14:textId="77777777" w:rsidTr="0036378F">
        <w:tblPrEx>
          <w:tblW w:w="0" w:type="auto"/>
          <w:tblLook w:val="04A0"/>
        </w:tblPrEx>
        <w:tc>
          <w:tcPr>
            <w:tcW w:w="3444" w:type="dxa"/>
          </w:tcPr>
          <w:p w:rsidR="00B148EE" w:rsidRPr="006479D7" w:rsidP="0036378F" w14:paraId="4DD40BF9" w14:textId="77777777">
            <w:pPr>
              <w:rPr>
                <w:b/>
                <w:bCs/>
              </w:rPr>
            </w:pPr>
            <w:r w:rsidRPr="006479D7">
              <w:rPr>
                <w:b/>
                <w:bCs/>
              </w:rPr>
              <w:t>TOTAL</w:t>
            </w:r>
          </w:p>
        </w:tc>
        <w:tc>
          <w:tcPr>
            <w:tcW w:w="3535" w:type="dxa"/>
          </w:tcPr>
          <w:p w:rsidR="00B148EE" w:rsidRPr="006479D7" w:rsidP="0036378F" w14:paraId="5ADC3895" w14:textId="77777777">
            <w:pPr>
              <w:rPr>
                <w:b/>
                <w:bCs/>
              </w:rPr>
            </w:pPr>
          </w:p>
        </w:tc>
        <w:tc>
          <w:tcPr>
            <w:tcW w:w="3091" w:type="dxa"/>
          </w:tcPr>
          <w:p w:rsidR="00B148EE" w:rsidRPr="006479D7" w:rsidP="0036378F" w14:paraId="4D737FE6" w14:textId="77777777">
            <w:pPr>
              <w:rPr>
                <w:b/>
                <w:bCs/>
              </w:rPr>
            </w:pPr>
            <w:r w:rsidRPr="006479D7">
              <w:rPr>
                <w:b/>
                <w:bCs/>
              </w:rPr>
              <w:t>$</w:t>
            </w:r>
            <w:r>
              <w:rPr>
                <w:b/>
                <w:bCs/>
              </w:rPr>
              <w:t>348,384.01</w:t>
            </w:r>
          </w:p>
        </w:tc>
      </w:tr>
    </w:tbl>
    <w:p w:rsidR="00B148EE" w:rsidP="001F4A76" w14:paraId="69503C2B" w14:textId="77777777"/>
    <w:p w:rsidR="001F4A76" w:rsidP="001F4A76" w14:paraId="2EE9522C" w14:textId="2B0C1F06">
      <w:pPr>
        <w:rPr>
          <w:szCs w:val="24"/>
        </w:rPr>
      </w:pPr>
      <w:r w:rsidRPr="00FF6A9C">
        <w:t>Th</w:t>
      </w:r>
      <w:r w:rsidR="002E055E">
        <w:t>is phase of the</w:t>
      </w:r>
      <w:r w:rsidRPr="00FF6A9C">
        <w:t xml:space="preserve"> project is anticipated to be completed by 2029. The estimated annualized contract cost to the federal government is $350</w:t>
      </w:r>
      <w:r>
        <w:t>K</w:t>
      </w:r>
      <w:r w:rsidRPr="00FF6A9C">
        <w:t>, with a total of $1.1 million over the three-year period of the SBAS project. These costs include activities related to information collection, system design and development, form production, travel, meetings, and data deliverables</w:t>
      </w:r>
      <w:r w:rsidRPr="00B148EE" w:rsidR="00B148EE">
        <w:t>.</w:t>
      </w:r>
    </w:p>
    <w:p w:rsidR="004A13E8" w:rsidP="0025156B" w14:paraId="55FE1810" w14:textId="77777777">
      <w:pPr>
        <w:pStyle w:val="Heading1"/>
        <w:spacing w:before="240"/>
      </w:pPr>
      <w:r>
        <w:t>Explanation for Program Changes or Adjustments</w:t>
      </w:r>
    </w:p>
    <w:p w:rsidR="003D3540" w:rsidRPr="003D3540" w:rsidP="003D3540" w14:paraId="0952B5B5" w14:textId="27C1C7E6">
      <w:pPr>
        <w:tabs>
          <w:tab w:val="left" w:pos="0"/>
        </w:tabs>
        <w:rPr>
          <w:rFonts w:cs="Times New Roman"/>
          <w:color w:val="000000"/>
          <w:szCs w:val="24"/>
        </w:rPr>
      </w:pPr>
      <w:r w:rsidRPr="000149CC">
        <w:rPr>
          <w:rFonts w:cs="Times New Roman"/>
          <w:color w:val="000000"/>
          <w:szCs w:val="24"/>
        </w:rPr>
        <w:t>This request seeks approval for a revision to the information collection under OMB Control No. 0920‑1396 to support the expansion of Phase 4 of the SBAS project. The revision includes updates to Attachment A, adding new questions to the quarterly report to better capture elements of the school‑based active surveillance process.</w:t>
      </w:r>
    </w:p>
    <w:p w:rsidR="004A13E8" w:rsidP="004A13E8" w14:paraId="55FE1812" w14:textId="77777777">
      <w:pPr>
        <w:pStyle w:val="Heading1"/>
      </w:pPr>
      <w:r>
        <w:t xml:space="preserve">Plans for Tabulation and Publication </w:t>
      </w:r>
      <w:r w:rsidRPr="00957027">
        <w:t>and Project Time Schedule</w:t>
      </w:r>
    </w:p>
    <w:p w:rsidR="006E63FD" w:rsidP="006E63FD" w14:paraId="6890D8B8" w14:textId="3091CD04">
      <w:r w:rsidRPr="00C07389">
        <w:t xml:space="preserve">All data collection will be completed </w:t>
      </w:r>
      <w:r>
        <w:t xml:space="preserve">by </w:t>
      </w:r>
      <w:r w:rsidR="00D64C5D">
        <w:t>202</w:t>
      </w:r>
      <w:r w:rsidR="009E217F">
        <w:t>9</w:t>
      </w:r>
      <w:r w:rsidR="00D64C5D">
        <w:t xml:space="preserve">. </w:t>
      </w:r>
      <w:r w:rsidRPr="00C07389">
        <w:t>The following is a brief overview of the</w:t>
      </w:r>
      <w:r>
        <w:t xml:space="preserve"> timeline for the proposed project</w:t>
      </w:r>
      <w:r w:rsidRPr="00C07389">
        <w:t>.</w:t>
      </w:r>
    </w:p>
    <w:p w:rsidR="006479D7" w:rsidRPr="006479D7" w:rsidP="006479D7" w14:paraId="18A3A271" w14:textId="471D7AED">
      <w:pPr>
        <w:pStyle w:val="Exhibittitle"/>
        <w:rPr>
          <w:szCs w:val="24"/>
        </w:rPr>
      </w:pPr>
      <w:r w:rsidRPr="00363D5A">
        <w:rPr>
          <w:szCs w:val="24"/>
        </w:rPr>
        <w:t>Exhibit</w:t>
      </w:r>
      <w:r>
        <w:rPr>
          <w:szCs w:val="24"/>
        </w:rPr>
        <w:t xml:space="preserve"> </w:t>
      </w:r>
      <w:r w:rsidRPr="00363D5A">
        <w:rPr>
          <w:szCs w:val="24"/>
        </w:rPr>
        <w:t>1</w:t>
      </w:r>
      <w:r w:rsidR="00A72C5A">
        <w:rPr>
          <w:szCs w:val="24"/>
        </w:rPr>
        <w:t>6</w:t>
      </w:r>
      <w:r w:rsidRPr="00363D5A">
        <w:rPr>
          <w:szCs w:val="24"/>
        </w:rPr>
        <w:t>.A</w:t>
      </w:r>
      <w:r w:rsidRPr="00363D5A">
        <w:rPr>
          <w:szCs w:val="24"/>
        </w:rPr>
        <w:tab/>
        <w:t xml:space="preserve">  </w:t>
      </w:r>
      <w:r>
        <w:rPr>
          <w:szCs w:val="24"/>
        </w:rPr>
        <w:t>Project Time Schedule</w:t>
      </w:r>
    </w:p>
    <w:tbl>
      <w:tblPr>
        <w:tblStyle w:val="TableGrid"/>
        <w:tblW w:w="0" w:type="auto"/>
        <w:tblLook w:val="04A0"/>
      </w:tblPr>
      <w:tblGrid>
        <w:gridCol w:w="5035"/>
        <w:gridCol w:w="5035"/>
      </w:tblGrid>
      <w:tr w14:paraId="042D3639" w14:textId="77777777" w:rsidTr="00F175EB">
        <w:tblPrEx>
          <w:tblW w:w="0" w:type="auto"/>
          <w:tblLook w:val="04A0"/>
        </w:tblPrEx>
        <w:tc>
          <w:tcPr>
            <w:tcW w:w="5035" w:type="dxa"/>
            <w:vAlign w:val="center"/>
          </w:tcPr>
          <w:p w:rsidR="006E63FD" w:rsidRPr="00A72C5A" w:rsidP="00F175EB" w14:paraId="5D3C5A0C" w14:textId="77777777">
            <w:pPr>
              <w:jc w:val="center"/>
              <w:rPr>
                <w:b/>
                <w:bCs/>
              </w:rPr>
            </w:pPr>
            <w:r w:rsidRPr="00A72C5A">
              <w:rPr>
                <w:b/>
                <w:bCs/>
              </w:rPr>
              <w:t>Activity</w:t>
            </w:r>
          </w:p>
        </w:tc>
        <w:tc>
          <w:tcPr>
            <w:tcW w:w="5035" w:type="dxa"/>
            <w:vAlign w:val="center"/>
          </w:tcPr>
          <w:p w:rsidR="006E63FD" w:rsidRPr="00A72C5A" w:rsidP="00F175EB" w14:paraId="6F57538D" w14:textId="77777777">
            <w:pPr>
              <w:jc w:val="center"/>
              <w:rPr>
                <w:b/>
                <w:bCs/>
              </w:rPr>
            </w:pPr>
            <w:r w:rsidRPr="00A72C5A">
              <w:rPr>
                <w:b/>
                <w:bCs/>
              </w:rPr>
              <w:t>Time Schedule</w:t>
            </w:r>
          </w:p>
        </w:tc>
      </w:tr>
      <w:tr w14:paraId="780BAC74" w14:textId="77777777" w:rsidTr="00F175EB">
        <w:tblPrEx>
          <w:tblW w:w="0" w:type="auto"/>
          <w:tblLook w:val="04A0"/>
        </w:tblPrEx>
        <w:tc>
          <w:tcPr>
            <w:tcW w:w="5035" w:type="dxa"/>
          </w:tcPr>
          <w:p w:rsidR="006E63FD" w:rsidRPr="00690416" w:rsidP="00F175EB" w14:paraId="5585CEB2" w14:textId="7DD1B544">
            <w:r w:rsidRPr="00690416">
              <w:t>Data/information collection</w:t>
            </w:r>
            <w:r w:rsidR="008B7531">
              <w:t xml:space="preserve"> and reporting</w:t>
            </w:r>
          </w:p>
        </w:tc>
        <w:tc>
          <w:tcPr>
            <w:tcW w:w="5035" w:type="dxa"/>
          </w:tcPr>
          <w:p w:rsidR="006E63FD" w:rsidRPr="00690416" w:rsidP="00F175EB" w14:paraId="09576007" w14:textId="14046031">
            <w:r w:rsidRPr="00690416">
              <w:t>0–</w:t>
            </w:r>
            <w:r w:rsidR="008B7531">
              <w:t>1</w:t>
            </w:r>
            <w:r w:rsidR="00C07389">
              <w:t>6</w:t>
            </w:r>
            <w:r w:rsidRPr="00690416">
              <w:t xml:space="preserve"> months after OMB approval</w:t>
            </w:r>
          </w:p>
        </w:tc>
      </w:tr>
      <w:tr w14:paraId="07064570" w14:textId="77777777" w:rsidTr="00F175EB">
        <w:tblPrEx>
          <w:tblW w:w="0" w:type="auto"/>
          <w:tblLook w:val="04A0"/>
        </w:tblPrEx>
        <w:tc>
          <w:tcPr>
            <w:tcW w:w="5035" w:type="dxa"/>
          </w:tcPr>
          <w:p w:rsidR="006E63FD" w:rsidRPr="00690416" w:rsidP="00F175EB" w14:paraId="72E3DC04" w14:textId="77777777">
            <w:r w:rsidRPr="00690416">
              <w:t>Data cleaning and analysis</w:t>
            </w:r>
          </w:p>
        </w:tc>
        <w:tc>
          <w:tcPr>
            <w:tcW w:w="5035" w:type="dxa"/>
          </w:tcPr>
          <w:p w:rsidR="006E63FD" w:rsidRPr="00690416" w:rsidP="00F175EB" w14:paraId="2A7C8BA7" w14:textId="02239F19">
            <w:r>
              <w:t>10</w:t>
            </w:r>
            <w:r w:rsidRPr="00690416">
              <w:t>–</w:t>
            </w:r>
            <w:r>
              <w:t>12</w:t>
            </w:r>
            <w:r w:rsidRPr="00690416">
              <w:t xml:space="preserve"> months after OMB approval</w:t>
            </w:r>
          </w:p>
        </w:tc>
      </w:tr>
      <w:tr w14:paraId="4853A294" w14:textId="77777777" w:rsidTr="00F175EB">
        <w:tblPrEx>
          <w:tblW w:w="0" w:type="auto"/>
          <w:tblLook w:val="04A0"/>
        </w:tblPrEx>
        <w:tc>
          <w:tcPr>
            <w:tcW w:w="5035" w:type="dxa"/>
          </w:tcPr>
          <w:p w:rsidR="006E63FD" w:rsidRPr="00690416" w:rsidP="00F175EB" w14:paraId="16A27CE8" w14:textId="77777777">
            <w:r w:rsidRPr="00690416">
              <w:t>Preparation of final report(s) / manuscript</w:t>
            </w:r>
          </w:p>
        </w:tc>
        <w:tc>
          <w:tcPr>
            <w:tcW w:w="5035" w:type="dxa"/>
          </w:tcPr>
          <w:p w:rsidR="006E63FD" w:rsidRPr="00690416" w:rsidP="00F175EB" w14:paraId="729E91FE" w14:textId="7795C739">
            <w:r>
              <w:t>12-24</w:t>
            </w:r>
            <w:r w:rsidRPr="00690416">
              <w:t xml:space="preserve"> months after OMB approval</w:t>
            </w:r>
          </w:p>
        </w:tc>
      </w:tr>
      <w:tr w14:paraId="6F60C630" w14:textId="77777777" w:rsidTr="00F175EB">
        <w:tblPrEx>
          <w:tblW w:w="0" w:type="auto"/>
          <w:tblLook w:val="04A0"/>
        </w:tblPrEx>
        <w:tc>
          <w:tcPr>
            <w:tcW w:w="5035" w:type="dxa"/>
          </w:tcPr>
          <w:p w:rsidR="006E63FD" w:rsidRPr="00690416" w:rsidP="00F175EB" w14:paraId="4B90D16B" w14:textId="77777777">
            <w:r w:rsidRPr="00690416">
              <w:t>Manuscript publication</w:t>
            </w:r>
          </w:p>
        </w:tc>
        <w:tc>
          <w:tcPr>
            <w:tcW w:w="5035" w:type="dxa"/>
          </w:tcPr>
          <w:p w:rsidR="006E63FD" w:rsidRPr="00690416" w:rsidP="00F175EB" w14:paraId="0DBEE4EB" w14:textId="33C057B1">
            <w:r>
              <w:t>24-</w:t>
            </w:r>
            <w:r w:rsidRPr="00690416">
              <w:t>3</w:t>
            </w:r>
            <w:r>
              <w:t>6</w:t>
            </w:r>
            <w:r w:rsidRPr="00690416">
              <w:t xml:space="preserve"> months after OMB approval</w:t>
            </w:r>
          </w:p>
        </w:tc>
      </w:tr>
    </w:tbl>
    <w:p w:rsidR="006E63FD" w:rsidP="008F1415" w14:paraId="47E5D60A" w14:textId="4DCBD545">
      <w:r>
        <w:t xml:space="preserve"> </w:t>
      </w:r>
    </w:p>
    <w:p w:rsidR="004A13E8" w:rsidP="0025156B" w14:paraId="55FE1826" w14:textId="77777777">
      <w:pPr>
        <w:pStyle w:val="Heading1"/>
        <w:spacing w:before="240"/>
      </w:pPr>
      <w:bookmarkStart w:id="9" w:name="_Hlk37172864"/>
      <w:r>
        <w:t>Reason(s) Display of OMB Expiration Date is Inappropriate</w:t>
      </w:r>
    </w:p>
    <w:bookmarkEnd w:id="9"/>
    <w:p w:rsidR="003D3540" w:rsidRPr="003D3540" w:rsidP="003D3540" w14:paraId="72EE9DA1" w14:textId="6DD64BC0">
      <w:pPr>
        <w:tabs>
          <w:tab w:val="left" w:pos="0"/>
        </w:tabs>
        <w:rPr>
          <w:rFonts w:cs="Times New Roman"/>
          <w:color w:val="000000"/>
          <w:szCs w:val="24"/>
        </w:rPr>
      </w:pPr>
      <w:r w:rsidRPr="003D3540">
        <w:rPr>
          <w:rFonts w:cs="Times New Roman"/>
          <w:color w:val="000000"/>
          <w:szCs w:val="24"/>
        </w:rPr>
        <w:t>The</w:t>
      </w:r>
      <w:r w:rsidR="00B90DC1">
        <w:rPr>
          <w:rFonts w:cs="Times New Roman"/>
          <w:color w:val="000000"/>
          <w:szCs w:val="24"/>
        </w:rPr>
        <w:t xml:space="preserve"> display of the</w:t>
      </w:r>
      <w:r w:rsidRPr="003D3540">
        <w:rPr>
          <w:rFonts w:cs="Times New Roman"/>
          <w:color w:val="000000"/>
          <w:szCs w:val="24"/>
        </w:rPr>
        <w:t xml:space="preserve"> OMB Expiration Date </w:t>
      </w:r>
      <w:r w:rsidR="00B90DC1">
        <w:rPr>
          <w:rFonts w:cs="Times New Roman"/>
          <w:color w:val="000000"/>
          <w:szCs w:val="24"/>
        </w:rPr>
        <w:t>is not inappropriate.</w:t>
      </w:r>
      <w:r w:rsidR="000B6F6D">
        <w:rPr>
          <w:rFonts w:cs="Times New Roman"/>
          <w:color w:val="000000"/>
          <w:szCs w:val="24"/>
        </w:rPr>
        <w:t xml:space="preserve"> </w:t>
      </w:r>
      <w:r w:rsidRPr="000B6F6D" w:rsidR="000B6F6D">
        <w:rPr>
          <w:rFonts w:cs="Times New Roman"/>
          <w:color w:val="000000"/>
          <w:szCs w:val="24"/>
        </w:rPr>
        <w:t>The expiration date will not be displayed on the online or hard-copied forms, but it will be provided upon request.</w:t>
      </w:r>
    </w:p>
    <w:p w:rsidR="004A13E8" w:rsidP="004A13E8" w14:paraId="55FE1828" w14:textId="77777777">
      <w:pPr>
        <w:pStyle w:val="Heading1"/>
      </w:pPr>
      <w:r>
        <w:t>Exceptions to Certification for Paperwork Reduction Act Submissions</w:t>
      </w:r>
    </w:p>
    <w:p w:rsidR="004A13E8" w:rsidP="004A13E8" w14:paraId="55FE1829" w14:textId="77238DE4">
      <w:r>
        <w:t>There are no exceptions to the certification.</w:t>
      </w:r>
    </w:p>
    <w:p w:rsidR="0095005E" w:rsidRPr="0095005E" w:rsidP="0095005E" w14:paraId="2A0D3B12" w14:textId="067869D0">
      <w:pPr>
        <w:pStyle w:val="Bibliography"/>
        <w:rPr>
          <w:b/>
          <w:bCs/>
          <w:noProof/>
        </w:rPr>
      </w:pPr>
      <w:r w:rsidRPr="0095005E">
        <w:rPr>
          <w:b/>
          <w:bCs/>
          <w:noProof/>
        </w:rPr>
        <w:t>1</w:t>
      </w:r>
      <w:r w:rsidR="0013169E">
        <w:rPr>
          <w:b/>
          <w:bCs/>
          <w:noProof/>
        </w:rPr>
        <w:t>9</w:t>
      </w:r>
      <w:r w:rsidRPr="0095005E">
        <w:rPr>
          <w:b/>
          <w:bCs/>
          <w:noProof/>
        </w:rPr>
        <w:t>. References</w:t>
      </w:r>
    </w:p>
    <w:p w:rsidR="00AA24C5" w:rsidP="00AA24C5" w14:paraId="03B803ED" w14:textId="06EAF7B8">
      <w:pPr>
        <w:pStyle w:val="Bibliography"/>
        <w:rPr>
          <w:noProof/>
        </w:rPr>
      </w:pPr>
      <w:r w:rsidRPr="0095005E">
        <w:rPr>
          <w:noProof/>
        </w:rPr>
        <w:t xml:space="preserve"> </w:t>
      </w:r>
      <w:r>
        <w:rPr>
          <w:noProof/>
        </w:rPr>
        <w:t>1. IOM (Institute of Medicine). 2015. Beyond myalgic encephalomyelitis / chronic fatigue syndrome: Redefining an illness. Washington, DC: The National Academies Press. Bauer L, Liu P, Schanzenback DW, and Shambaugh J.Reducing Chronic Absenteeism under the Every Student Succeeds Act. Brookings Institute. [Online] April 2018. [Cited: Feb 26, 2020.] https://www.brookings.edu/wp-content/uploads/2018/04/reducing_chronic_absenteeism_under_the_ every_student_succeeds_act2.pdf.</w:t>
      </w:r>
    </w:p>
    <w:p w:rsidR="00AA24C5" w:rsidP="00AA24C5" w14:paraId="457B5039" w14:textId="77777777">
      <w:pPr>
        <w:pStyle w:val="Bibliography"/>
        <w:rPr>
          <w:noProof/>
        </w:rPr>
      </w:pPr>
      <w:r>
        <w:rPr>
          <w:noProof/>
        </w:rPr>
        <w:t>2.  Jason L, Torres-Harding S, Njok M. The face of CFS in the US. CFIDS Chronicle 2006, 16-21. https://www.researchgate.net/publication/236995875_The_Face_of_CFS_in_the_US.</w:t>
      </w:r>
    </w:p>
    <w:p w:rsidR="00840839" w:rsidP="00840839" w14:paraId="4E4AAB50" w14:textId="72A6E731">
      <w:pPr>
        <w:pStyle w:val="Bibliography"/>
        <w:rPr>
          <w:noProof/>
        </w:rPr>
      </w:pPr>
      <w:r>
        <w:rPr>
          <w:noProof/>
        </w:rPr>
        <w:t>3. Jason L, Richman JA, Rademaker AW, et al. A community-based study of chronic fatigue syndrome. Archives of Internal Medicine 1999, 159(18):2129-2137.</w:t>
      </w:r>
    </w:p>
    <w:p w:rsidR="00840839" w:rsidP="00840839" w14:paraId="219AF827" w14:textId="3F2F1CAC">
      <w:pPr>
        <w:pStyle w:val="Bibliography"/>
        <w:rPr>
          <w:noProof/>
        </w:rPr>
      </w:pPr>
      <w:r>
        <w:rPr>
          <w:noProof/>
        </w:rPr>
        <w:t xml:space="preserve">4. Chalder T, Goodman R, Wessely S, Hotopf M, Meltzer H. Epidemiology of chronic fatigue syndrome and self-reported myalgic encephalomyelitis in 5-15 year olds: cross sectional study. BMJ 2003, 327:654–5. </w:t>
      </w:r>
    </w:p>
    <w:p w:rsidR="00840839" w:rsidP="00840839" w14:paraId="512EACB6" w14:textId="7DA6C582">
      <w:pPr>
        <w:pStyle w:val="Bibliography"/>
        <w:rPr>
          <w:noProof/>
        </w:rPr>
      </w:pPr>
      <w:r>
        <w:rPr>
          <w:noProof/>
        </w:rPr>
        <w:t xml:space="preserve">5. Bell K, Cookfair D, Bell DS, Reese P, Cooper L. Risk factors associated with chronic fatigue syndrome in a cluster of pediatric cases. Reviews of Infectious Diseases 1991;13(Suppl 1):S32-8. </w:t>
      </w:r>
    </w:p>
    <w:p w:rsidR="00840839" w:rsidRPr="00840839" w:rsidP="00840839" w14:paraId="561DBF8F" w14:textId="4E8C8CB4">
      <w:pPr>
        <w:pStyle w:val="Bibliography"/>
        <w:rPr>
          <w:noProof/>
        </w:rPr>
      </w:pPr>
      <w:r>
        <w:rPr>
          <w:noProof/>
        </w:rPr>
        <w:t>6. Geraghty KJ, Adeniji C. The importance of accurate diagnosis of ME/CFS in children and adolescents: A commentary. Front. Pediatr. 2019, 6:435.</w:t>
      </w:r>
    </w:p>
    <w:p w:rsidR="00AA24C5" w:rsidP="00AA24C5" w14:paraId="506F2289" w14:textId="2BCC5C09">
      <w:pPr>
        <w:pStyle w:val="Bibliography"/>
        <w:rPr>
          <w:noProof/>
        </w:rPr>
      </w:pPr>
      <w:r>
        <w:rPr>
          <w:noProof/>
        </w:rPr>
        <w:t>7</w:t>
      </w:r>
      <w:r>
        <w:rPr>
          <w:noProof/>
        </w:rPr>
        <w:t>. Chronic Fatigue Syndrome Advisory Committee. Transcript for January 13, 2017 CFSAC meeting. [Online] Jan 13, 2017. [Cited: March 3, 2020.] https://wayback.archive-it.org/org-745/20181018061119/https://www.hhs.gov/sites/default/files/january-13-2017-transcript.pdf.</w:t>
      </w:r>
    </w:p>
    <w:p w:rsidR="00DA6D59" w:rsidRPr="00CD2066" w:rsidP="00CD2066" w14:paraId="42DE1253" w14:textId="33F72167">
      <w:r>
        <w:t>8</w:t>
      </w:r>
      <w:r w:rsidRPr="00DA6D59">
        <w:t>. National Association of School Nurses. Environmental Scan: Current School-Based Active Surveillance Efforts. 2018.</w:t>
      </w:r>
    </w:p>
    <w:p w:rsidR="0095005E" w:rsidRPr="000F40C2" w:rsidP="00363D5A" w14:paraId="2A076DC6" w14:textId="6789D7A5">
      <w:pPr>
        <w:pStyle w:val="Bibliography"/>
      </w:pPr>
      <w:r>
        <w:rPr>
          <w:noProof/>
        </w:rPr>
        <w:t xml:space="preserve"> </w:t>
      </w:r>
    </w:p>
    <w:sectPr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90E" w14:paraId="373D59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D1390E" w14:paraId="55FE1835" w14:textId="4D2508E8">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D1390E"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90E" w14:paraId="48AE290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90E" w14:paraId="485E0D9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90E" w14:paraId="43BCDD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90E" w14:paraId="3BAB66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134F1B"/>
    <w:multiLevelType w:val="hybridMultilevel"/>
    <w:tmpl w:val="91141BC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6586A31"/>
    <w:multiLevelType w:val="multilevel"/>
    <w:tmpl w:val="77CAF294"/>
    <w:lvl w:ilvl="0">
      <w:start w:val="1"/>
      <w:numFmt w:val="decimal"/>
      <w:pStyle w:val="Heading1"/>
      <w:lvlText w:val="%1."/>
      <w:lvlJc w:val="left"/>
      <w:pPr>
        <w:ind w:left="117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D041BAB"/>
    <w:multiLevelType w:val="hybridMultilevel"/>
    <w:tmpl w:val="D0305E22"/>
    <w:lvl w:ilvl="0">
      <w:start w:val="2947"/>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FD75FCD"/>
    <w:multiLevelType w:val="hybridMultilevel"/>
    <w:tmpl w:val="1EF2B0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2A85E93"/>
    <w:multiLevelType w:val="hybridMultilevel"/>
    <w:tmpl w:val="43F0D6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6F35AF"/>
    <w:multiLevelType w:val="hybridMultilevel"/>
    <w:tmpl w:val="17161C30"/>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44143986">
    <w:abstractNumId w:val="7"/>
  </w:num>
  <w:num w:numId="2" w16cid:durableId="1126974240">
    <w:abstractNumId w:val="1"/>
  </w:num>
  <w:num w:numId="3" w16cid:durableId="1708800040">
    <w:abstractNumId w:val="4"/>
  </w:num>
  <w:num w:numId="4" w16cid:durableId="374308108">
    <w:abstractNumId w:val="6"/>
  </w:num>
  <w:num w:numId="5" w16cid:durableId="1702323253">
    <w:abstractNumId w:val="3"/>
  </w:num>
  <w:num w:numId="6" w16cid:durableId="1182014603">
    <w:abstractNumId w:val="0"/>
  </w:num>
  <w:num w:numId="7" w16cid:durableId="1995254582">
    <w:abstractNumId w:val="2"/>
  </w:num>
  <w:num w:numId="8" w16cid:durableId="1251164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345B"/>
    <w:rsid w:val="000042EA"/>
    <w:rsid w:val="00004AF3"/>
    <w:rsid w:val="0000777C"/>
    <w:rsid w:val="00011843"/>
    <w:rsid w:val="000121CA"/>
    <w:rsid w:val="0001372E"/>
    <w:rsid w:val="000149CC"/>
    <w:rsid w:val="00015C1E"/>
    <w:rsid w:val="000216E1"/>
    <w:rsid w:val="000219BC"/>
    <w:rsid w:val="00022BC2"/>
    <w:rsid w:val="000369E2"/>
    <w:rsid w:val="0003792B"/>
    <w:rsid w:val="000426E6"/>
    <w:rsid w:val="00050688"/>
    <w:rsid w:val="00054BD3"/>
    <w:rsid w:val="0005699B"/>
    <w:rsid w:val="00057934"/>
    <w:rsid w:val="000627F1"/>
    <w:rsid w:val="00063B45"/>
    <w:rsid w:val="00064C02"/>
    <w:rsid w:val="00065129"/>
    <w:rsid w:val="00067A04"/>
    <w:rsid w:val="00077A77"/>
    <w:rsid w:val="00082A9D"/>
    <w:rsid w:val="00083809"/>
    <w:rsid w:val="00090F07"/>
    <w:rsid w:val="00094A2A"/>
    <w:rsid w:val="000955E2"/>
    <w:rsid w:val="000A7B15"/>
    <w:rsid w:val="000B6F6D"/>
    <w:rsid w:val="000C12AB"/>
    <w:rsid w:val="000C1760"/>
    <w:rsid w:val="000C3F6C"/>
    <w:rsid w:val="000C473A"/>
    <w:rsid w:val="000C6027"/>
    <w:rsid w:val="000D05AD"/>
    <w:rsid w:val="000D1B6A"/>
    <w:rsid w:val="000D411E"/>
    <w:rsid w:val="000D5A47"/>
    <w:rsid w:val="000D6A4E"/>
    <w:rsid w:val="000E0B68"/>
    <w:rsid w:val="000E2BB0"/>
    <w:rsid w:val="000E6A96"/>
    <w:rsid w:val="000F0AC9"/>
    <w:rsid w:val="000F40C2"/>
    <w:rsid w:val="000F67E0"/>
    <w:rsid w:val="000F7362"/>
    <w:rsid w:val="000F7871"/>
    <w:rsid w:val="00100440"/>
    <w:rsid w:val="0010112C"/>
    <w:rsid w:val="00102D63"/>
    <w:rsid w:val="00103D3A"/>
    <w:rsid w:val="001101A1"/>
    <w:rsid w:val="00110D28"/>
    <w:rsid w:val="00111DEA"/>
    <w:rsid w:val="00113DF5"/>
    <w:rsid w:val="001153E0"/>
    <w:rsid w:val="00121069"/>
    <w:rsid w:val="00123112"/>
    <w:rsid w:val="00124128"/>
    <w:rsid w:val="00124B2C"/>
    <w:rsid w:val="00125245"/>
    <w:rsid w:val="00130F31"/>
    <w:rsid w:val="0013169E"/>
    <w:rsid w:val="00131936"/>
    <w:rsid w:val="00132D92"/>
    <w:rsid w:val="00135404"/>
    <w:rsid w:val="001425BF"/>
    <w:rsid w:val="001437A7"/>
    <w:rsid w:val="00145978"/>
    <w:rsid w:val="00145A23"/>
    <w:rsid w:val="00146C20"/>
    <w:rsid w:val="00151C51"/>
    <w:rsid w:val="001523DF"/>
    <w:rsid w:val="00153889"/>
    <w:rsid w:val="00156D7F"/>
    <w:rsid w:val="00162C28"/>
    <w:rsid w:val="00167AC5"/>
    <w:rsid w:val="00170D3E"/>
    <w:rsid w:val="001725CA"/>
    <w:rsid w:val="00172BA2"/>
    <w:rsid w:val="001749F0"/>
    <w:rsid w:val="00177193"/>
    <w:rsid w:val="00180D48"/>
    <w:rsid w:val="00181DB5"/>
    <w:rsid w:val="00183451"/>
    <w:rsid w:val="00185D3B"/>
    <w:rsid w:val="00196375"/>
    <w:rsid w:val="00196AC6"/>
    <w:rsid w:val="001A00C7"/>
    <w:rsid w:val="001A3A0E"/>
    <w:rsid w:val="001A4A68"/>
    <w:rsid w:val="001A4C9E"/>
    <w:rsid w:val="001A52E2"/>
    <w:rsid w:val="001A58BE"/>
    <w:rsid w:val="001A5F93"/>
    <w:rsid w:val="001A645E"/>
    <w:rsid w:val="001A70C2"/>
    <w:rsid w:val="001B111F"/>
    <w:rsid w:val="001B123C"/>
    <w:rsid w:val="001B2A4D"/>
    <w:rsid w:val="001B33AE"/>
    <w:rsid w:val="001B3963"/>
    <w:rsid w:val="001B6E5F"/>
    <w:rsid w:val="001C0D9C"/>
    <w:rsid w:val="001C2436"/>
    <w:rsid w:val="001C3D0A"/>
    <w:rsid w:val="001C6196"/>
    <w:rsid w:val="001D2881"/>
    <w:rsid w:val="001D44FD"/>
    <w:rsid w:val="001D50C1"/>
    <w:rsid w:val="001D5BDC"/>
    <w:rsid w:val="001E084A"/>
    <w:rsid w:val="001E08A8"/>
    <w:rsid w:val="001E0CA6"/>
    <w:rsid w:val="001E4173"/>
    <w:rsid w:val="001E6D93"/>
    <w:rsid w:val="001E7803"/>
    <w:rsid w:val="001F0376"/>
    <w:rsid w:val="001F0F27"/>
    <w:rsid w:val="001F40BC"/>
    <w:rsid w:val="001F4A76"/>
    <w:rsid w:val="001F5424"/>
    <w:rsid w:val="001F6094"/>
    <w:rsid w:val="002019D0"/>
    <w:rsid w:val="00202466"/>
    <w:rsid w:val="00202F07"/>
    <w:rsid w:val="00211822"/>
    <w:rsid w:val="00211E70"/>
    <w:rsid w:val="0021414E"/>
    <w:rsid w:val="00216C1E"/>
    <w:rsid w:val="002235C6"/>
    <w:rsid w:val="0022378F"/>
    <w:rsid w:val="0023158C"/>
    <w:rsid w:val="0023253E"/>
    <w:rsid w:val="002362CC"/>
    <w:rsid w:val="00236F33"/>
    <w:rsid w:val="00237BB7"/>
    <w:rsid w:val="00237BF1"/>
    <w:rsid w:val="00241F6C"/>
    <w:rsid w:val="002441B9"/>
    <w:rsid w:val="002471C3"/>
    <w:rsid w:val="00247E66"/>
    <w:rsid w:val="002512C1"/>
    <w:rsid w:val="0025156B"/>
    <w:rsid w:val="00251DF1"/>
    <w:rsid w:val="00252E6F"/>
    <w:rsid w:val="0025424E"/>
    <w:rsid w:val="002547E9"/>
    <w:rsid w:val="00254CE5"/>
    <w:rsid w:val="00256E24"/>
    <w:rsid w:val="002575B3"/>
    <w:rsid w:val="00260234"/>
    <w:rsid w:val="002609F3"/>
    <w:rsid w:val="0026202A"/>
    <w:rsid w:val="002637FA"/>
    <w:rsid w:val="002643C1"/>
    <w:rsid w:val="00264AA9"/>
    <w:rsid w:val="00270D5B"/>
    <w:rsid w:val="0027254A"/>
    <w:rsid w:val="002731EA"/>
    <w:rsid w:val="00274A9A"/>
    <w:rsid w:val="002773BD"/>
    <w:rsid w:val="00282C31"/>
    <w:rsid w:val="00286419"/>
    <w:rsid w:val="002865F8"/>
    <w:rsid w:val="00292E4A"/>
    <w:rsid w:val="00293ABB"/>
    <w:rsid w:val="00296B91"/>
    <w:rsid w:val="002A15BE"/>
    <w:rsid w:val="002A2162"/>
    <w:rsid w:val="002A4266"/>
    <w:rsid w:val="002A6B88"/>
    <w:rsid w:val="002A751E"/>
    <w:rsid w:val="002A7D60"/>
    <w:rsid w:val="002B1890"/>
    <w:rsid w:val="002B1B76"/>
    <w:rsid w:val="002B3635"/>
    <w:rsid w:val="002B3D9F"/>
    <w:rsid w:val="002B3EFF"/>
    <w:rsid w:val="002B56E2"/>
    <w:rsid w:val="002B6B9E"/>
    <w:rsid w:val="002B7041"/>
    <w:rsid w:val="002C2648"/>
    <w:rsid w:val="002C415A"/>
    <w:rsid w:val="002C5031"/>
    <w:rsid w:val="002C6095"/>
    <w:rsid w:val="002D2D4F"/>
    <w:rsid w:val="002D4B8A"/>
    <w:rsid w:val="002D74F0"/>
    <w:rsid w:val="002E055E"/>
    <w:rsid w:val="002E5A6B"/>
    <w:rsid w:val="002F1B39"/>
    <w:rsid w:val="002F1C2F"/>
    <w:rsid w:val="002F2C16"/>
    <w:rsid w:val="002F397B"/>
    <w:rsid w:val="002F535A"/>
    <w:rsid w:val="00300CC6"/>
    <w:rsid w:val="00304BBB"/>
    <w:rsid w:val="00306AEE"/>
    <w:rsid w:val="003259CE"/>
    <w:rsid w:val="00331C6F"/>
    <w:rsid w:val="00333FD4"/>
    <w:rsid w:val="003419B3"/>
    <w:rsid w:val="00341A92"/>
    <w:rsid w:val="00341DA2"/>
    <w:rsid w:val="00342821"/>
    <w:rsid w:val="00342EB3"/>
    <w:rsid w:val="003441B4"/>
    <w:rsid w:val="00346DCC"/>
    <w:rsid w:val="00350434"/>
    <w:rsid w:val="00350770"/>
    <w:rsid w:val="00354322"/>
    <w:rsid w:val="00354FE3"/>
    <w:rsid w:val="00356512"/>
    <w:rsid w:val="0035681E"/>
    <w:rsid w:val="0035690A"/>
    <w:rsid w:val="00361BD4"/>
    <w:rsid w:val="003621DA"/>
    <w:rsid w:val="00362BD9"/>
    <w:rsid w:val="0036378F"/>
    <w:rsid w:val="00363D5A"/>
    <w:rsid w:val="00365D73"/>
    <w:rsid w:val="003715F0"/>
    <w:rsid w:val="003759FD"/>
    <w:rsid w:val="003772CD"/>
    <w:rsid w:val="00380591"/>
    <w:rsid w:val="00380DC7"/>
    <w:rsid w:val="00386995"/>
    <w:rsid w:val="003A0422"/>
    <w:rsid w:val="003A416E"/>
    <w:rsid w:val="003A6148"/>
    <w:rsid w:val="003B2FB4"/>
    <w:rsid w:val="003B32AC"/>
    <w:rsid w:val="003B4139"/>
    <w:rsid w:val="003B4422"/>
    <w:rsid w:val="003B654B"/>
    <w:rsid w:val="003B7C18"/>
    <w:rsid w:val="003C1E5C"/>
    <w:rsid w:val="003C7199"/>
    <w:rsid w:val="003D294B"/>
    <w:rsid w:val="003D2EC5"/>
    <w:rsid w:val="003D3540"/>
    <w:rsid w:val="003D4962"/>
    <w:rsid w:val="003D4ED6"/>
    <w:rsid w:val="003D6232"/>
    <w:rsid w:val="003E2A39"/>
    <w:rsid w:val="003E2BC6"/>
    <w:rsid w:val="003E53BB"/>
    <w:rsid w:val="003E5A47"/>
    <w:rsid w:val="003E62DC"/>
    <w:rsid w:val="003E7810"/>
    <w:rsid w:val="003F169B"/>
    <w:rsid w:val="003F335E"/>
    <w:rsid w:val="003F60CF"/>
    <w:rsid w:val="003F722C"/>
    <w:rsid w:val="00401DEC"/>
    <w:rsid w:val="00403B2C"/>
    <w:rsid w:val="00403E86"/>
    <w:rsid w:val="00406DC3"/>
    <w:rsid w:val="004131E7"/>
    <w:rsid w:val="00422508"/>
    <w:rsid w:val="00424A2C"/>
    <w:rsid w:val="00425CE0"/>
    <w:rsid w:val="004275F6"/>
    <w:rsid w:val="00427845"/>
    <w:rsid w:val="00430237"/>
    <w:rsid w:val="00432D1C"/>
    <w:rsid w:val="004339A0"/>
    <w:rsid w:val="0043440D"/>
    <w:rsid w:val="00444FA2"/>
    <w:rsid w:val="00446A7C"/>
    <w:rsid w:val="00446F3B"/>
    <w:rsid w:val="0045048C"/>
    <w:rsid w:val="004539BC"/>
    <w:rsid w:val="0045511C"/>
    <w:rsid w:val="00457614"/>
    <w:rsid w:val="004607F3"/>
    <w:rsid w:val="004611CD"/>
    <w:rsid w:val="004739B1"/>
    <w:rsid w:val="00476DC9"/>
    <w:rsid w:val="00476F3C"/>
    <w:rsid w:val="00480A4F"/>
    <w:rsid w:val="00480C06"/>
    <w:rsid w:val="004841D1"/>
    <w:rsid w:val="00485D19"/>
    <w:rsid w:val="00486EFF"/>
    <w:rsid w:val="0049199D"/>
    <w:rsid w:val="00494669"/>
    <w:rsid w:val="004A0034"/>
    <w:rsid w:val="004A0456"/>
    <w:rsid w:val="004A13E8"/>
    <w:rsid w:val="004A6DE8"/>
    <w:rsid w:val="004B0FA1"/>
    <w:rsid w:val="004B11E7"/>
    <w:rsid w:val="004B48EE"/>
    <w:rsid w:val="004B49F5"/>
    <w:rsid w:val="004C0BCD"/>
    <w:rsid w:val="004C0CCF"/>
    <w:rsid w:val="004C0FA9"/>
    <w:rsid w:val="004C24FD"/>
    <w:rsid w:val="004C71ED"/>
    <w:rsid w:val="004C778B"/>
    <w:rsid w:val="004C787B"/>
    <w:rsid w:val="004C79D2"/>
    <w:rsid w:val="004D0A68"/>
    <w:rsid w:val="004D0CD2"/>
    <w:rsid w:val="004D1D42"/>
    <w:rsid w:val="004D6DB9"/>
    <w:rsid w:val="004D7C3A"/>
    <w:rsid w:val="004E211D"/>
    <w:rsid w:val="004E29CF"/>
    <w:rsid w:val="004E4C04"/>
    <w:rsid w:val="004E4FE1"/>
    <w:rsid w:val="004E525F"/>
    <w:rsid w:val="004E5F55"/>
    <w:rsid w:val="004F22EB"/>
    <w:rsid w:val="0050062D"/>
    <w:rsid w:val="00500805"/>
    <w:rsid w:val="005021DA"/>
    <w:rsid w:val="00502D2C"/>
    <w:rsid w:val="00503AD5"/>
    <w:rsid w:val="00504587"/>
    <w:rsid w:val="00506991"/>
    <w:rsid w:val="00516D20"/>
    <w:rsid w:val="00523B98"/>
    <w:rsid w:val="00524FED"/>
    <w:rsid w:val="0052680A"/>
    <w:rsid w:val="0053077E"/>
    <w:rsid w:val="00534180"/>
    <w:rsid w:val="005341E9"/>
    <w:rsid w:val="005344D9"/>
    <w:rsid w:val="00537013"/>
    <w:rsid w:val="00546542"/>
    <w:rsid w:val="00546B2A"/>
    <w:rsid w:val="00551FF1"/>
    <w:rsid w:val="0055576F"/>
    <w:rsid w:val="005576DC"/>
    <w:rsid w:val="00557951"/>
    <w:rsid w:val="00557FD5"/>
    <w:rsid w:val="005612EE"/>
    <w:rsid w:val="0056174F"/>
    <w:rsid w:val="005659F4"/>
    <w:rsid w:val="00567E29"/>
    <w:rsid w:val="00570055"/>
    <w:rsid w:val="00572C64"/>
    <w:rsid w:val="005730E5"/>
    <w:rsid w:val="00577857"/>
    <w:rsid w:val="005831A7"/>
    <w:rsid w:val="00586C76"/>
    <w:rsid w:val="00587C06"/>
    <w:rsid w:val="005907F7"/>
    <w:rsid w:val="00593FE6"/>
    <w:rsid w:val="005A1FEB"/>
    <w:rsid w:val="005A7346"/>
    <w:rsid w:val="005B0F88"/>
    <w:rsid w:val="005B3527"/>
    <w:rsid w:val="005B3995"/>
    <w:rsid w:val="005C1679"/>
    <w:rsid w:val="005C18CD"/>
    <w:rsid w:val="005C7A0E"/>
    <w:rsid w:val="005D1719"/>
    <w:rsid w:val="005D49D0"/>
    <w:rsid w:val="005F1B8B"/>
    <w:rsid w:val="005F1E36"/>
    <w:rsid w:val="005F1E59"/>
    <w:rsid w:val="005F5936"/>
    <w:rsid w:val="005F5BAB"/>
    <w:rsid w:val="0060732A"/>
    <w:rsid w:val="0060770B"/>
    <w:rsid w:val="00611E08"/>
    <w:rsid w:val="006135D8"/>
    <w:rsid w:val="00613B02"/>
    <w:rsid w:val="00617464"/>
    <w:rsid w:val="00620305"/>
    <w:rsid w:val="00622884"/>
    <w:rsid w:val="00627F6F"/>
    <w:rsid w:val="006302BD"/>
    <w:rsid w:val="00630EBA"/>
    <w:rsid w:val="00632773"/>
    <w:rsid w:val="00633D2E"/>
    <w:rsid w:val="00634126"/>
    <w:rsid w:val="00635A91"/>
    <w:rsid w:val="00636D1F"/>
    <w:rsid w:val="0064075E"/>
    <w:rsid w:val="00647220"/>
    <w:rsid w:val="006479D7"/>
    <w:rsid w:val="00647F23"/>
    <w:rsid w:val="00652220"/>
    <w:rsid w:val="00652D39"/>
    <w:rsid w:val="00653FB3"/>
    <w:rsid w:val="006541FD"/>
    <w:rsid w:val="00656617"/>
    <w:rsid w:val="00662F78"/>
    <w:rsid w:val="0066467A"/>
    <w:rsid w:val="0066560F"/>
    <w:rsid w:val="00665FFE"/>
    <w:rsid w:val="006666FE"/>
    <w:rsid w:val="00666B46"/>
    <w:rsid w:val="00674026"/>
    <w:rsid w:val="00677C09"/>
    <w:rsid w:val="00682D8B"/>
    <w:rsid w:val="00682ED7"/>
    <w:rsid w:val="00683E88"/>
    <w:rsid w:val="006870D4"/>
    <w:rsid w:val="0068712C"/>
    <w:rsid w:val="00690416"/>
    <w:rsid w:val="00690C6C"/>
    <w:rsid w:val="00693EA6"/>
    <w:rsid w:val="006979EA"/>
    <w:rsid w:val="006A7A8A"/>
    <w:rsid w:val="006B0C14"/>
    <w:rsid w:val="006B2E1B"/>
    <w:rsid w:val="006B4F47"/>
    <w:rsid w:val="006B69E4"/>
    <w:rsid w:val="006B7AE9"/>
    <w:rsid w:val="006C6578"/>
    <w:rsid w:val="006D6557"/>
    <w:rsid w:val="006D70C1"/>
    <w:rsid w:val="006E3088"/>
    <w:rsid w:val="006E3FF5"/>
    <w:rsid w:val="006E5970"/>
    <w:rsid w:val="006E63FD"/>
    <w:rsid w:val="006F0500"/>
    <w:rsid w:val="006F198E"/>
    <w:rsid w:val="006F3690"/>
    <w:rsid w:val="006F6BC3"/>
    <w:rsid w:val="006F78DB"/>
    <w:rsid w:val="00700540"/>
    <w:rsid w:val="00707F0A"/>
    <w:rsid w:val="0071106A"/>
    <w:rsid w:val="00713C81"/>
    <w:rsid w:val="00717886"/>
    <w:rsid w:val="00717DEA"/>
    <w:rsid w:val="00724003"/>
    <w:rsid w:val="00724730"/>
    <w:rsid w:val="007263C0"/>
    <w:rsid w:val="007309CE"/>
    <w:rsid w:val="0073103A"/>
    <w:rsid w:val="007318F0"/>
    <w:rsid w:val="007335B2"/>
    <w:rsid w:val="0073495F"/>
    <w:rsid w:val="00735EF6"/>
    <w:rsid w:val="00736947"/>
    <w:rsid w:val="00737344"/>
    <w:rsid w:val="007415E0"/>
    <w:rsid w:val="00742B94"/>
    <w:rsid w:val="007473A0"/>
    <w:rsid w:val="00751C65"/>
    <w:rsid w:val="007535DA"/>
    <w:rsid w:val="0075620E"/>
    <w:rsid w:val="00756812"/>
    <w:rsid w:val="00757B85"/>
    <w:rsid w:val="00760E7F"/>
    <w:rsid w:val="00762FC7"/>
    <w:rsid w:val="007641B5"/>
    <w:rsid w:val="00765EFF"/>
    <w:rsid w:val="00766B83"/>
    <w:rsid w:val="007756BB"/>
    <w:rsid w:val="00777DB6"/>
    <w:rsid w:val="00780AA8"/>
    <w:rsid w:val="00780DC1"/>
    <w:rsid w:val="00784CD6"/>
    <w:rsid w:val="00786D2E"/>
    <w:rsid w:val="00794A38"/>
    <w:rsid w:val="007A0349"/>
    <w:rsid w:val="007A251D"/>
    <w:rsid w:val="007A255E"/>
    <w:rsid w:val="007A54E2"/>
    <w:rsid w:val="007B337A"/>
    <w:rsid w:val="007B4861"/>
    <w:rsid w:val="007C3EF4"/>
    <w:rsid w:val="007C669D"/>
    <w:rsid w:val="007D1081"/>
    <w:rsid w:val="007D21C5"/>
    <w:rsid w:val="007D2894"/>
    <w:rsid w:val="007D3B0E"/>
    <w:rsid w:val="007D43F8"/>
    <w:rsid w:val="007E670F"/>
    <w:rsid w:val="007F46E9"/>
    <w:rsid w:val="007F5BFC"/>
    <w:rsid w:val="007F5C9E"/>
    <w:rsid w:val="00801B2F"/>
    <w:rsid w:val="00802AED"/>
    <w:rsid w:val="00806469"/>
    <w:rsid w:val="0081467C"/>
    <w:rsid w:val="00816E3A"/>
    <w:rsid w:val="00817BD8"/>
    <w:rsid w:val="008213DF"/>
    <w:rsid w:val="008226AC"/>
    <w:rsid w:val="008270EE"/>
    <w:rsid w:val="00827F0C"/>
    <w:rsid w:val="00830FED"/>
    <w:rsid w:val="00834F20"/>
    <w:rsid w:val="008368A4"/>
    <w:rsid w:val="00837035"/>
    <w:rsid w:val="00840839"/>
    <w:rsid w:val="00842752"/>
    <w:rsid w:val="00843EA1"/>
    <w:rsid w:val="008454A4"/>
    <w:rsid w:val="008508C8"/>
    <w:rsid w:val="00851986"/>
    <w:rsid w:val="00852381"/>
    <w:rsid w:val="008551F8"/>
    <w:rsid w:val="00863A8A"/>
    <w:rsid w:val="008652E7"/>
    <w:rsid w:val="00873920"/>
    <w:rsid w:val="008761B5"/>
    <w:rsid w:val="00881746"/>
    <w:rsid w:val="00882245"/>
    <w:rsid w:val="00883405"/>
    <w:rsid w:val="00885978"/>
    <w:rsid w:val="00887990"/>
    <w:rsid w:val="00894360"/>
    <w:rsid w:val="00896922"/>
    <w:rsid w:val="008A11A8"/>
    <w:rsid w:val="008A1F2F"/>
    <w:rsid w:val="008A25B8"/>
    <w:rsid w:val="008A6220"/>
    <w:rsid w:val="008A7B1B"/>
    <w:rsid w:val="008B22B1"/>
    <w:rsid w:val="008B22DE"/>
    <w:rsid w:val="008B4F94"/>
    <w:rsid w:val="008B5D54"/>
    <w:rsid w:val="008B63C0"/>
    <w:rsid w:val="008B70BF"/>
    <w:rsid w:val="008B7531"/>
    <w:rsid w:val="008B7F11"/>
    <w:rsid w:val="008C2A1E"/>
    <w:rsid w:val="008D0712"/>
    <w:rsid w:val="008D0A51"/>
    <w:rsid w:val="008D580D"/>
    <w:rsid w:val="008D59FD"/>
    <w:rsid w:val="008D5AEA"/>
    <w:rsid w:val="008D6A5F"/>
    <w:rsid w:val="008D6CEB"/>
    <w:rsid w:val="008E0B3A"/>
    <w:rsid w:val="008E1367"/>
    <w:rsid w:val="008E14C1"/>
    <w:rsid w:val="008E1714"/>
    <w:rsid w:val="008E34A0"/>
    <w:rsid w:val="008E3EC3"/>
    <w:rsid w:val="008E5027"/>
    <w:rsid w:val="008F1415"/>
    <w:rsid w:val="008F37C7"/>
    <w:rsid w:val="008F3914"/>
    <w:rsid w:val="008F5EB4"/>
    <w:rsid w:val="008F61C3"/>
    <w:rsid w:val="00900694"/>
    <w:rsid w:val="009007F9"/>
    <w:rsid w:val="00900CD6"/>
    <w:rsid w:val="00902C18"/>
    <w:rsid w:val="00903AD4"/>
    <w:rsid w:val="00903F5A"/>
    <w:rsid w:val="009050C6"/>
    <w:rsid w:val="00912345"/>
    <w:rsid w:val="009217DA"/>
    <w:rsid w:val="009217F4"/>
    <w:rsid w:val="009241E3"/>
    <w:rsid w:val="00924AB9"/>
    <w:rsid w:val="00934D5A"/>
    <w:rsid w:val="00936F5E"/>
    <w:rsid w:val="00937D6B"/>
    <w:rsid w:val="0094508C"/>
    <w:rsid w:val="00946F0C"/>
    <w:rsid w:val="0094714B"/>
    <w:rsid w:val="009471ED"/>
    <w:rsid w:val="0095005E"/>
    <w:rsid w:val="0095054C"/>
    <w:rsid w:val="00951A59"/>
    <w:rsid w:val="00954DED"/>
    <w:rsid w:val="00955649"/>
    <w:rsid w:val="00956ACD"/>
    <w:rsid w:val="00957027"/>
    <w:rsid w:val="0096138C"/>
    <w:rsid w:val="00963E7C"/>
    <w:rsid w:val="00976224"/>
    <w:rsid w:val="009809D1"/>
    <w:rsid w:val="00984D4A"/>
    <w:rsid w:val="00984FE5"/>
    <w:rsid w:val="0099270E"/>
    <w:rsid w:val="00993F2F"/>
    <w:rsid w:val="00997D0E"/>
    <w:rsid w:val="009A26E7"/>
    <w:rsid w:val="009A3391"/>
    <w:rsid w:val="009A4F11"/>
    <w:rsid w:val="009A79E1"/>
    <w:rsid w:val="009B0947"/>
    <w:rsid w:val="009B0AE8"/>
    <w:rsid w:val="009B12B4"/>
    <w:rsid w:val="009B4803"/>
    <w:rsid w:val="009B594C"/>
    <w:rsid w:val="009C2F91"/>
    <w:rsid w:val="009C5450"/>
    <w:rsid w:val="009D0B49"/>
    <w:rsid w:val="009D3B4C"/>
    <w:rsid w:val="009D4908"/>
    <w:rsid w:val="009D6568"/>
    <w:rsid w:val="009D66BF"/>
    <w:rsid w:val="009E0CF8"/>
    <w:rsid w:val="009E217F"/>
    <w:rsid w:val="009E3DE0"/>
    <w:rsid w:val="009E4A9E"/>
    <w:rsid w:val="009E6030"/>
    <w:rsid w:val="009E69EC"/>
    <w:rsid w:val="009F0E54"/>
    <w:rsid w:val="009F570B"/>
    <w:rsid w:val="009F6095"/>
    <w:rsid w:val="00A0287A"/>
    <w:rsid w:val="00A03997"/>
    <w:rsid w:val="00A05200"/>
    <w:rsid w:val="00A1157B"/>
    <w:rsid w:val="00A11B0F"/>
    <w:rsid w:val="00A12B23"/>
    <w:rsid w:val="00A139AD"/>
    <w:rsid w:val="00A14102"/>
    <w:rsid w:val="00A14399"/>
    <w:rsid w:val="00A16208"/>
    <w:rsid w:val="00A16F3B"/>
    <w:rsid w:val="00A24D24"/>
    <w:rsid w:val="00A25A96"/>
    <w:rsid w:val="00A26530"/>
    <w:rsid w:val="00A3065F"/>
    <w:rsid w:val="00A31498"/>
    <w:rsid w:val="00A339A4"/>
    <w:rsid w:val="00A37A5C"/>
    <w:rsid w:val="00A47D1D"/>
    <w:rsid w:val="00A55CC8"/>
    <w:rsid w:val="00A61B09"/>
    <w:rsid w:val="00A623ED"/>
    <w:rsid w:val="00A64F0B"/>
    <w:rsid w:val="00A663B1"/>
    <w:rsid w:val="00A67086"/>
    <w:rsid w:val="00A72C5A"/>
    <w:rsid w:val="00A75A84"/>
    <w:rsid w:val="00A76548"/>
    <w:rsid w:val="00A83E71"/>
    <w:rsid w:val="00A85E3F"/>
    <w:rsid w:val="00A86048"/>
    <w:rsid w:val="00AA1C09"/>
    <w:rsid w:val="00AA24C5"/>
    <w:rsid w:val="00AA7CB6"/>
    <w:rsid w:val="00AB07BC"/>
    <w:rsid w:val="00AB2B3B"/>
    <w:rsid w:val="00AB4465"/>
    <w:rsid w:val="00AB6674"/>
    <w:rsid w:val="00AC1F5C"/>
    <w:rsid w:val="00AC3110"/>
    <w:rsid w:val="00AC4634"/>
    <w:rsid w:val="00AD0014"/>
    <w:rsid w:val="00AD1660"/>
    <w:rsid w:val="00AD2F36"/>
    <w:rsid w:val="00AD56BC"/>
    <w:rsid w:val="00AD71F8"/>
    <w:rsid w:val="00AD7B42"/>
    <w:rsid w:val="00AE1F86"/>
    <w:rsid w:val="00AE20E4"/>
    <w:rsid w:val="00AE30DD"/>
    <w:rsid w:val="00AE5221"/>
    <w:rsid w:val="00AE6B12"/>
    <w:rsid w:val="00AE7928"/>
    <w:rsid w:val="00AE79C5"/>
    <w:rsid w:val="00AF4448"/>
    <w:rsid w:val="00B01099"/>
    <w:rsid w:val="00B022E2"/>
    <w:rsid w:val="00B05AC6"/>
    <w:rsid w:val="00B06774"/>
    <w:rsid w:val="00B07A82"/>
    <w:rsid w:val="00B07F07"/>
    <w:rsid w:val="00B10E70"/>
    <w:rsid w:val="00B11FB2"/>
    <w:rsid w:val="00B14892"/>
    <w:rsid w:val="00B148EE"/>
    <w:rsid w:val="00B15EEB"/>
    <w:rsid w:val="00B16049"/>
    <w:rsid w:val="00B178AB"/>
    <w:rsid w:val="00B21729"/>
    <w:rsid w:val="00B22B67"/>
    <w:rsid w:val="00B24593"/>
    <w:rsid w:val="00B2553D"/>
    <w:rsid w:val="00B3128D"/>
    <w:rsid w:val="00B32B67"/>
    <w:rsid w:val="00B33DEF"/>
    <w:rsid w:val="00B41D0F"/>
    <w:rsid w:val="00B42377"/>
    <w:rsid w:val="00B446B5"/>
    <w:rsid w:val="00B4511F"/>
    <w:rsid w:val="00B53B62"/>
    <w:rsid w:val="00B53C99"/>
    <w:rsid w:val="00B55735"/>
    <w:rsid w:val="00B56DB2"/>
    <w:rsid w:val="00B60661"/>
    <w:rsid w:val="00B608AC"/>
    <w:rsid w:val="00B6098E"/>
    <w:rsid w:val="00B64B9E"/>
    <w:rsid w:val="00B66650"/>
    <w:rsid w:val="00B7142A"/>
    <w:rsid w:val="00B81589"/>
    <w:rsid w:val="00B84F21"/>
    <w:rsid w:val="00B8561B"/>
    <w:rsid w:val="00B90DC1"/>
    <w:rsid w:val="00B91400"/>
    <w:rsid w:val="00B91C6B"/>
    <w:rsid w:val="00B9215E"/>
    <w:rsid w:val="00B9253C"/>
    <w:rsid w:val="00B9280D"/>
    <w:rsid w:val="00B92DF4"/>
    <w:rsid w:val="00B94BC0"/>
    <w:rsid w:val="00B94E27"/>
    <w:rsid w:val="00B95118"/>
    <w:rsid w:val="00B95AAB"/>
    <w:rsid w:val="00B96FB3"/>
    <w:rsid w:val="00B97F4B"/>
    <w:rsid w:val="00BA6B1A"/>
    <w:rsid w:val="00BA6C37"/>
    <w:rsid w:val="00BA7FF7"/>
    <w:rsid w:val="00BB00D1"/>
    <w:rsid w:val="00BB01DB"/>
    <w:rsid w:val="00BB07A8"/>
    <w:rsid w:val="00BB0C04"/>
    <w:rsid w:val="00BB17C8"/>
    <w:rsid w:val="00BB21C6"/>
    <w:rsid w:val="00BB31E7"/>
    <w:rsid w:val="00BB5D5D"/>
    <w:rsid w:val="00BB79E8"/>
    <w:rsid w:val="00BC4B9E"/>
    <w:rsid w:val="00BC7BBC"/>
    <w:rsid w:val="00BD3C43"/>
    <w:rsid w:val="00BE15DF"/>
    <w:rsid w:val="00BE1DE0"/>
    <w:rsid w:val="00BE2132"/>
    <w:rsid w:val="00BF3362"/>
    <w:rsid w:val="00C01F96"/>
    <w:rsid w:val="00C0205A"/>
    <w:rsid w:val="00C021D7"/>
    <w:rsid w:val="00C02249"/>
    <w:rsid w:val="00C024A3"/>
    <w:rsid w:val="00C03A53"/>
    <w:rsid w:val="00C05787"/>
    <w:rsid w:val="00C07389"/>
    <w:rsid w:val="00C12A35"/>
    <w:rsid w:val="00C1352B"/>
    <w:rsid w:val="00C22F25"/>
    <w:rsid w:val="00C22FEA"/>
    <w:rsid w:val="00C2676F"/>
    <w:rsid w:val="00C30102"/>
    <w:rsid w:val="00C32380"/>
    <w:rsid w:val="00C32B69"/>
    <w:rsid w:val="00C32BED"/>
    <w:rsid w:val="00C3420B"/>
    <w:rsid w:val="00C3609C"/>
    <w:rsid w:val="00C372EC"/>
    <w:rsid w:val="00C42CB1"/>
    <w:rsid w:val="00C43464"/>
    <w:rsid w:val="00C44570"/>
    <w:rsid w:val="00C458C0"/>
    <w:rsid w:val="00C535A1"/>
    <w:rsid w:val="00C54D7C"/>
    <w:rsid w:val="00C553B7"/>
    <w:rsid w:val="00C654A8"/>
    <w:rsid w:val="00C67F4F"/>
    <w:rsid w:val="00C71695"/>
    <w:rsid w:val="00C73AE8"/>
    <w:rsid w:val="00C73D3D"/>
    <w:rsid w:val="00C74FBA"/>
    <w:rsid w:val="00C76E7D"/>
    <w:rsid w:val="00C778B7"/>
    <w:rsid w:val="00C80399"/>
    <w:rsid w:val="00C86B7D"/>
    <w:rsid w:val="00C873B5"/>
    <w:rsid w:val="00C90B13"/>
    <w:rsid w:val="00C96CFE"/>
    <w:rsid w:val="00CA04FD"/>
    <w:rsid w:val="00CA355E"/>
    <w:rsid w:val="00CA3DA3"/>
    <w:rsid w:val="00CA6CDB"/>
    <w:rsid w:val="00CA7B85"/>
    <w:rsid w:val="00CB02AA"/>
    <w:rsid w:val="00CB0CAE"/>
    <w:rsid w:val="00CB11AA"/>
    <w:rsid w:val="00CB37D3"/>
    <w:rsid w:val="00CB5C2D"/>
    <w:rsid w:val="00CB5C49"/>
    <w:rsid w:val="00CB5E20"/>
    <w:rsid w:val="00CC0659"/>
    <w:rsid w:val="00CC0EC4"/>
    <w:rsid w:val="00CC2431"/>
    <w:rsid w:val="00CC2B0B"/>
    <w:rsid w:val="00CC380E"/>
    <w:rsid w:val="00CC6F49"/>
    <w:rsid w:val="00CD0121"/>
    <w:rsid w:val="00CD0C6F"/>
    <w:rsid w:val="00CD2066"/>
    <w:rsid w:val="00CD2AA4"/>
    <w:rsid w:val="00CD5130"/>
    <w:rsid w:val="00CD59F0"/>
    <w:rsid w:val="00CF3513"/>
    <w:rsid w:val="00CF5443"/>
    <w:rsid w:val="00CF5FE9"/>
    <w:rsid w:val="00CF6D9F"/>
    <w:rsid w:val="00D0170F"/>
    <w:rsid w:val="00D02D9C"/>
    <w:rsid w:val="00D06C3A"/>
    <w:rsid w:val="00D07516"/>
    <w:rsid w:val="00D07A85"/>
    <w:rsid w:val="00D11822"/>
    <w:rsid w:val="00D11C36"/>
    <w:rsid w:val="00D1351F"/>
    <w:rsid w:val="00D1390E"/>
    <w:rsid w:val="00D13EA1"/>
    <w:rsid w:val="00D14AE9"/>
    <w:rsid w:val="00D20314"/>
    <w:rsid w:val="00D223F2"/>
    <w:rsid w:val="00D24306"/>
    <w:rsid w:val="00D2466D"/>
    <w:rsid w:val="00D259D0"/>
    <w:rsid w:val="00D25EA4"/>
    <w:rsid w:val="00D32B35"/>
    <w:rsid w:val="00D3501E"/>
    <w:rsid w:val="00D37215"/>
    <w:rsid w:val="00D418B2"/>
    <w:rsid w:val="00D41FCF"/>
    <w:rsid w:val="00D42969"/>
    <w:rsid w:val="00D437A8"/>
    <w:rsid w:val="00D4592C"/>
    <w:rsid w:val="00D46965"/>
    <w:rsid w:val="00D53D25"/>
    <w:rsid w:val="00D54B64"/>
    <w:rsid w:val="00D54C32"/>
    <w:rsid w:val="00D54F46"/>
    <w:rsid w:val="00D56C3B"/>
    <w:rsid w:val="00D57332"/>
    <w:rsid w:val="00D575CE"/>
    <w:rsid w:val="00D57C74"/>
    <w:rsid w:val="00D64811"/>
    <w:rsid w:val="00D64C5D"/>
    <w:rsid w:val="00D665A1"/>
    <w:rsid w:val="00D74B5B"/>
    <w:rsid w:val="00D7675A"/>
    <w:rsid w:val="00D80978"/>
    <w:rsid w:val="00D80B9A"/>
    <w:rsid w:val="00D8334A"/>
    <w:rsid w:val="00D83BCB"/>
    <w:rsid w:val="00D84180"/>
    <w:rsid w:val="00D847D6"/>
    <w:rsid w:val="00D915D3"/>
    <w:rsid w:val="00D94AEE"/>
    <w:rsid w:val="00D952DF"/>
    <w:rsid w:val="00DA1344"/>
    <w:rsid w:val="00DA1A05"/>
    <w:rsid w:val="00DA1CD5"/>
    <w:rsid w:val="00DA24F5"/>
    <w:rsid w:val="00DA6A12"/>
    <w:rsid w:val="00DA6D59"/>
    <w:rsid w:val="00DB1DDD"/>
    <w:rsid w:val="00DB2992"/>
    <w:rsid w:val="00DB46F6"/>
    <w:rsid w:val="00DB683F"/>
    <w:rsid w:val="00DC18CF"/>
    <w:rsid w:val="00DC34A0"/>
    <w:rsid w:val="00DC43E8"/>
    <w:rsid w:val="00DC56CC"/>
    <w:rsid w:val="00DC57CC"/>
    <w:rsid w:val="00DC74EE"/>
    <w:rsid w:val="00DD1777"/>
    <w:rsid w:val="00DD5600"/>
    <w:rsid w:val="00DE0C1C"/>
    <w:rsid w:val="00DE1652"/>
    <w:rsid w:val="00DE3E38"/>
    <w:rsid w:val="00DF0C9E"/>
    <w:rsid w:val="00DF48B0"/>
    <w:rsid w:val="00DF7A3A"/>
    <w:rsid w:val="00E00664"/>
    <w:rsid w:val="00E03C92"/>
    <w:rsid w:val="00E066CE"/>
    <w:rsid w:val="00E1764E"/>
    <w:rsid w:val="00E17886"/>
    <w:rsid w:val="00E206AE"/>
    <w:rsid w:val="00E21593"/>
    <w:rsid w:val="00E22C32"/>
    <w:rsid w:val="00E243D8"/>
    <w:rsid w:val="00E25E6F"/>
    <w:rsid w:val="00E324E2"/>
    <w:rsid w:val="00E36740"/>
    <w:rsid w:val="00E372BC"/>
    <w:rsid w:val="00E40046"/>
    <w:rsid w:val="00E42A16"/>
    <w:rsid w:val="00E43CB4"/>
    <w:rsid w:val="00E44661"/>
    <w:rsid w:val="00E44E4D"/>
    <w:rsid w:val="00E45BCC"/>
    <w:rsid w:val="00E46C55"/>
    <w:rsid w:val="00E502FC"/>
    <w:rsid w:val="00E54057"/>
    <w:rsid w:val="00E54ABA"/>
    <w:rsid w:val="00E55E96"/>
    <w:rsid w:val="00E56761"/>
    <w:rsid w:val="00E57E62"/>
    <w:rsid w:val="00E62003"/>
    <w:rsid w:val="00E641B2"/>
    <w:rsid w:val="00E65368"/>
    <w:rsid w:val="00E67F27"/>
    <w:rsid w:val="00E71100"/>
    <w:rsid w:val="00E71AC2"/>
    <w:rsid w:val="00E8097A"/>
    <w:rsid w:val="00E80C9E"/>
    <w:rsid w:val="00E80D2C"/>
    <w:rsid w:val="00E84C94"/>
    <w:rsid w:val="00E86858"/>
    <w:rsid w:val="00E900BB"/>
    <w:rsid w:val="00E9086D"/>
    <w:rsid w:val="00E927D1"/>
    <w:rsid w:val="00E9284B"/>
    <w:rsid w:val="00E937C8"/>
    <w:rsid w:val="00E955E7"/>
    <w:rsid w:val="00E976B7"/>
    <w:rsid w:val="00EA0E68"/>
    <w:rsid w:val="00EA7CB9"/>
    <w:rsid w:val="00EB0958"/>
    <w:rsid w:val="00EB2D26"/>
    <w:rsid w:val="00EB707A"/>
    <w:rsid w:val="00EB744D"/>
    <w:rsid w:val="00EB76C9"/>
    <w:rsid w:val="00EC1C52"/>
    <w:rsid w:val="00EC309D"/>
    <w:rsid w:val="00EC4714"/>
    <w:rsid w:val="00ED17CC"/>
    <w:rsid w:val="00ED3565"/>
    <w:rsid w:val="00ED3963"/>
    <w:rsid w:val="00ED7169"/>
    <w:rsid w:val="00EE0CA3"/>
    <w:rsid w:val="00EE229E"/>
    <w:rsid w:val="00EE277E"/>
    <w:rsid w:val="00EE53AA"/>
    <w:rsid w:val="00EE6FB7"/>
    <w:rsid w:val="00EE74D2"/>
    <w:rsid w:val="00EE7DBC"/>
    <w:rsid w:val="00EF32BC"/>
    <w:rsid w:val="00EF5376"/>
    <w:rsid w:val="00F00226"/>
    <w:rsid w:val="00F04474"/>
    <w:rsid w:val="00F05939"/>
    <w:rsid w:val="00F07F76"/>
    <w:rsid w:val="00F10CE4"/>
    <w:rsid w:val="00F11984"/>
    <w:rsid w:val="00F12535"/>
    <w:rsid w:val="00F153EC"/>
    <w:rsid w:val="00F175EB"/>
    <w:rsid w:val="00F30620"/>
    <w:rsid w:val="00F34337"/>
    <w:rsid w:val="00F36549"/>
    <w:rsid w:val="00F42879"/>
    <w:rsid w:val="00F4359E"/>
    <w:rsid w:val="00F47ACD"/>
    <w:rsid w:val="00F5159B"/>
    <w:rsid w:val="00F52584"/>
    <w:rsid w:val="00F53B27"/>
    <w:rsid w:val="00F548DB"/>
    <w:rsid w:val="00F56C86"/>
    <w:rsid w:val="00F62721"/>
    <w:rsid w:val="00F63359"/>
    <w:rsid w:val="00F65AA9"/>
    <w:rsid w:val="00F65F87"/>
    <w:rsid w:val="00F703CF"/>
    <w:rsid w:val="00F71724"/>
    <w:rsid w:val="00F72761"/>
    <w:rsid w:val="00F77F45"/>
    <w:rsid w:val="00F84B3A"/>
    <w:rsid w:val="00F87198"/>
    <w:rsid w:val="00F907E2"/>
    <w:rsid w:val="00F96C8A"/>
    <w:rsid w:val="00F970D8"/>
    <w:rsid w:val="00F97253"/>
    <w:rsid w:val="00F976CA"/>
    <w:rsid w:val="00F97F23"/>
    <w:rsid w:val="00F97F98"/>
    <w:rsid w:val="00FA2591"/>
    <w:rsid w:val="00FA4533"/>
    <w:rsid w:val="00FB0AC3"/>
    <w:rsid w:val="00FB4FFE"/>
    <w:rsid w:val="00FC0612"/>
    <w:rsid w:val="00FC5CF5"/>
    <w:rsid w:val="00FC5F38"/>
    <w:rsid w:val="00FC72F4"/>
    <w:rsid w:val="00FD0DAA"/>
    <w:rsid w:val="00FD5000"/>
    <w:rsid w:val="00FE0398"/>
    <w:rsid w:val="00FE078F"/>
    <w:rsid w:val="00FE4D30"/>
    <w:rsid w:val="00FF04BD"/>
    <w:rsid w:val="00FF40BC"/>
    <w:rsid w:val="00FF5235"/>
    <w:rsid w:val="00FF6A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35A91"/>
    <w:rPr>
      <w:color w:val="605E5C"/>
      <w:shd w:val="clear" w:color="auto" w:fill="E1DFDD"/>
    </w:rPr>
  </w:style>
  <w:style w:type="character" w:styleId="CommentReference">
    <w:name w:val="annotation reference"/>
    <w:basedOn w:val="DefaultParagraphFont"/>
    <w:uiPriority w:val="99"/>
    <w:semiHidden/>
    <w:unhideWhenUsed/>
    <w:rsid w:val="00CA04FD"/>
    <w:rPr>
      <w:sz w:val="16"/>
      <w:szCs w:val="16"/>
    </w:rPr>
  </w:style>
  <w:style w:type="paragraph" w:styleId="CommentText">
    <w:name w:val="annotation text"/>
    <w:basedOn w:val="Normal"/>
    <w:link w:val="CommentTextChar"/>
    <w:uiPriority w:val="99"/>
    <w:semiHidden/>
    <w:unhideWhenUsed/>
    <w:rsid w:val="00CA04FD"/>
    <w:pPr>
      <w:spacing w:line="240" w:lineRule="auto"/>
    </w:pPr>
    <w:rPr>
      <w:sz w:val="20"/>
      <w:szCs w:val="20"/>
    </w:rPr>
  </w:style>
  <w:style w:type="character" w:customStyle="1" w:styleId="CommentTextChar">
    <w:name w:val="Comment Text Char"/>
    <w:basedOn w:val="DefaultParagraphFont"/>
    <w:link w:val="CommentText"/>
    <w:uiPriority w:val="99"/>
    <w:semiHidden/>
    <w:rsid w:val="00CA04F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A04FD"/>
    <w:rPr>
      <w:b/>
      <w:bCs/>
    </w:rPr>
  </w:style>
  <w:style w:type="character" w:customStyle="1" w:styleId="CommentSubjectChar">
    <w:name w:val="Comment Subject Char"/>
    <w:basedOn w:val="CommentTextChar"/>
    <w:link w:val="CommentSubject"/>
    <w:uiPriority w:val="99"/>
    <w:semiHidden/>
    <w:rsid w:val="00CA04FD"/>
    <w:rPr>
      <w:rFonts w:ascii="Times New Roman" w:hAnsi="Times New Roman"/>
      <w:b/>
      <w:bCs/>
      <w:sz w:val="20"/>
      <w:szCs w:val="20"/>
    </w:rPr>
  </w:style>
  <w:style w:type="paragraph" w:styleId="BalloonText">
    <w:name w:val="Balloon Text"/>
    <w:basedOn w:val="Normal"/>
    <w:link w:val="BalloonTextChar"/>
    <w:uiPriority w:val="99"/>
    <w:semiHidden/>
    <w:unhideWhenUsed/>
    <w:rsid w:val="00CA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4FD"/>
    <w:rPr>
      <w:rFonts w:ascii="Segoe UI" w:hAnsi="Segoe UI" w:cs="Segoe UI"/>
      <w:sz w:val="18"/>
      <w:szCs w:val="18"/>
    </w:rPr>
  </w:style>
  <w:style w:type="paragraph" w:styleId="Bibliography">
    <w:name w:val="Bibliography"/>
    <w:basedOn w:val="Normal"/>
    <w:next w:val="Normal"/>
    <w:uiPriority w:val="37"/>
    <w:unhideWhenUsed/>
    <w:rsid w:val="00BA6C37"/>
  </w:style>
  <w:style w:type="paragraph" w:customStyle="1" w:styleId="Exhibittitle">
    <w:name w:val="Exhibit title"/>
    <w:basedOn w:val="Normal"/>
    <w:rsid w:val="00B84F21"/>
    <w:pPr>
      <w:keepNext/>
      <w:keepLines/>
      <w:spacing w:before="120" w:after="120" w:line="240" w:lineRule="auto"/>
      <w:ind w:left="1166" w:hanging="1166"/>
    </w:pPr>
    <w:rPr>
      <w:rFonts w:eastAsia="Times New Roman" w:cs="Times New Roman"/>
      <w:b/>
      <w:snapToGrid w:val="0"/>
      <w:szCs w:val="20"/>
    </w:rPr>
  </w:style>
  <w:style w:type="paragraph" w:styleId="Revision">
    <w:name w:val="Revision"/>
    <w:hidden/>
    <w:uiPriority w:val="99"/>
    <w:semiHidden/>
    <w:rsid w:val="002B6B9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oh/healthcare/registered-nurses.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C:\Users\dwe3\AppData\Local\Microsoft\Windows\INetCache\Content.Outlook\DWLPPMI6\qkh7@cdc.gov" TargetMode="External" /><Relationship Id="rId9" Type="http://schemas.openxmlformats.org/officeDocument/2006/relationships/hyperlink" Target="mailto:support@batemanhornecente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9B04D9336BD41BD63A0FBA1042F03" ma:contentTypeVersion="21" ma:contentTypeDescription="Create a new document." ma:contentTypeScope="" ma:versionID="56e6b882479cd260357cbd5a29468188">
  <xsd:schema xmlns:xsd="http://www.w3.org/2001/XMLSchema" xmlns:xs="http://www.w3.org/2001/XMLSchema" xmlns:p="http://schemas.microsoft.com/office/2006/metadata/properties" xmlns:ns2="c376803e-0732-4c76-b0e5-1de6ccb8991d" xmlns:ns3="d7ffe53e-e745-4424-b8e4-4e1fcf841c8d" targetNamespace="http://schemas.microsoft.com/office/2006/metadata/properties" ma:root="true" ma:fieldsID="403d7c0533136d57db77744800849c58" ns2:_="" ns3:_="">
    <xsd:import namespace="c376803e-0732-4c76-b0e5-1de6ccb8991d"/>
    <xsd:import namespace="d7ffe53e-e745-4424-b8e4-4e1fcf841c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DueBy" minOccurs="0"/>
                <xsd:element ref="ns2:MediaLengthInSeconds" minOccurs="0"/>
                <xsd:element ref="ns2:notes" minOccurs="0"/>
                <xsd:element ref="ns2:lcf76f155ced4ddcb4097134ff3c332f" minOccurs="0"/>
                <xsd:element ref="ns3:TaxCatchAll" minOccurs="0"/>
                <xsd:element ref="ns2:MediaServiceObjectDetectorVersions" minOccurs="0"/>
                <xsd:element ref="ns2:AssignedTo" minOccurs="0"/>
                <xsd:element ref="ns2:Status" minOccurs="0"/>
                <xsd:element ref="ns2:RevisionAssignment" minOccurs="0"/>
                <xsd:element ref="ns2:RoomAssignm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6803e-0732-4c76-b0e5-1de6ccb89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ueBy" ma:index="17" nillable="true" ma:displayName="Due By" ma:format="DateOnly" ma:internalName="DueBy">
      <xsd:simpleType>
        <xsd:restriction base="dms:DateTime"/>
      </xsd:simpleType>
    </xsd:element>
    <xsd:element name="MediaLengthInSeconds" ma:index="18" nillable="true" ma:displayName="MediaLengthInSeconds" ma:hidden="true" ma:internalName="MediaLengthInSeconds" ma:readOnly="true">
      <xsd:simpleType>
        <xsd:restriction base="dms:Unknown"/>
      </xsd:simpleType>
    </xsd:element>
    <xsd:element name="notes" ma:index="19" nillable="true" ma:displayName="notes" ma:format="Dropdown" ma:internalName="notes">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ssignedTo" ma:index="24" nillable="true" ma:displayName="Sign Off Assignments"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simpleType>
        <xsd:restriction base="dms:Choice">
          <xsd:enumeration value="Not started"/>
          <xsd:enumeration value="In Collaboration "/>
          <xsd:enumeration value="Team Lead Review"/>
          <xsd:enumeration value="Ready For Smartsolve"/>
        </xsd:restriction>
      </xsd:simpleType>
    </xsd:element>
    <xsd:element name="RevisionAssignment" ma:index="26" nillable="true" ma:displayName="Revision Assignment" ma:format="Dropdown" ma:list="UserInfo" ma:SharePointGroup="0" ma:internalName="RevisionAssignm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oomAssignment" ma:index="27" nillable="true" ma:displayName="Room Assignment" ma:format="Dropdown" ma:internalName="RoomAssignment">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fe53e-e745-4424-b8e4-4e1fcf841c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0da1b0-549f-45dd-b3da-05ca9a4f4e46}" ma:internalName="TaxCatchAll" ma:showField="CatchAllData" ma:web="d7ffe53e-e745-4424-b8e4-4e1fcf841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c376803e-0732-4c76-b0e5-1de6ccb8991d" xsi:nil="true"/>
    <DueBy xmlns="c376803e-0732-4c76-b0e5-1de6ccb8991d" xsi:nil="true"/>
    <TaxCatchAll xmlns="d7ffe53e-e745-4424-b8e4-4e1fcf841c8d" xsi:nil="true"/>
    <lcf76f155ced4ddcb4097134ff3c332f xmlns="c376803e-0732-4c76-b0e5-1de6ccb8991d">
      <Terms xmlns="http://schemas.microsoft.com/office/infopath/2007/PartnerControls"/>
    </lcf76f155ced4ddcb4097134ff3c332f>
    <Status xmlns="c376803e-0732-4c76-b0e5-1de6ccb8991d" xsi:nil="true"/>
    <RoomAssignment xmlns="c376803e-0732-4c76-b0e5-1de6ccb8991d" xsi:nil="true"/>
    <AssignedTo xmlns="c376803e-0732-4c76-b0e5-1de6ccb8991d">
      <UserInfo>
        <DisplayName/>
        <AccountId xsi:nil="true"/>
        <AccountType/>
      </UserInfo>
    </AssignedTo>
    <RevisionAssignment xmlns="c376803e-0732-4c76-b0e5-1de6ccb8991d">
      <UserInfo>
        <DisplayName/>
        <AccountId xsi:nil="true"/>
        <AccountType/>
      </UserInfo>
    </RevisionAssignment>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Mat19</b:Tag>
    <b:SourceType>DocumentFromInternetSite</b:SourceType>
    <b:Guid>{BBC2EB05-B8FB-481F-8003-765256EC25DC}</b:Guid>
    <b:Author>
      <b:Author>
        <b:NameList>
          <b:Person>
            <b:Last>Matey B</b:Last>
            <b:First>Friedman</b:First>
            <b:Middle>K, Newton F, and Newton M. Myalgic Encephalomyelitis/Chronic Fatigue Syndrome: School Nurses Can Improve Outcomes. National Association of School Nurses Learning Center.</b:Middle>
          </b:Person>
        </b:NameList>
      </b:Author>
    </b:Author>
    <b:Year>2019</b:Year>
    <b:Month>October</b:Month>
    <b:Day>21</b:Day>
    <b:YearAccessed>2020</b:YearAccessed>
    <b:MonthAccessed>February</b:MonthAccessed>
    <b:DayAccessed>22</b:DayAccessed>
    <b:URL>https://www.pathlms.com/nasn/courses/14274</b:URL>
    <b:RefOrder>5</b:RefOrder>
  </b:Source>
  <b:Source>
    <b:Tag>Jas</b:Tag>
    <b:SourceType>ArticleInAPeriodical</b:SourceType>
    <b:Guid>{D0BD6A1A-F5E8-4A9D-A91C-9D77AEF524D7}</b:Guid>
    <b:Author>
      <b:Author>
        <b:NameList>
          <b:Person>
            <b:Last>Jason</b:Last>
            <b:First>L.A.,</b:First>
            <b:Middle>Katz, B.Z., Sunnquist, M. et al. The Prevalence of Pediatric Myalgic Encephalomyelitis/Chronic Fatigue Syndrome in a Community-Based Sample. Child Youth Care Forum (2020).</b:Middle>
          </b:Person>
        </b:NameList>
      </b:Author>
    </b:Author>
    <b:RefOrder>11</b:RefOrder>
  </b:Source>
  <b:Source>
    <b:Tag>IOM</b:Tag>
    <b:SourceType>Report</b:SourceType>
    <b:Guid>{5E5D38F2-D38F-4C6D-813B-D8B2F58DC075}</b:Guid>
    <b:Author>
      <b:Author>
        <b:NameList>
          <b:Person>
            <b:Last>IOM (Institute of Medicine). 2015. Beyond myalgic encephalomyelitis / chronic fatigue syndrome: Redefining an illness. Washington</b:Last>
            <b:First>DC:</b:First>
            <b:Middle>The National Academies Press.</b:Middle>
          </b:Person>
        </b:NameList>
      </b:Author>
    </b:Author>
    <b:RefOrder>12</b:RefOrder>
  </b:Source>
  <b:Source>
    <b:Tag>Bau18</b:Tag>
    <b:SourceType>DocumentFromInternetSite</b:SourceType>
    <b:Guid>{4CB23E08-937D-4365-BFDA-7E0C09EB09A5}</b:Guid>
    <b:Title>Bauer L, Liu P, Schanzenback DW, and Shambaugh J.Reducing Chronic Absenteeism under the Every Student Succeeds Act.</b:Title>
    <b:Year>2018</b:Year>
    <b:InternetSiteTitle>Brookings Institute</b:InternetSiteTitle>
    <b:Month>April</b:Month>
    <b:URL>https://www.brookings.edu/wp-content/uploads/2018/04/reducing_chronic_absenteeism_under_the_every_student_succeeds_act2.pdf</b:URL>
    <b:YearAccessed>2020</b:YearAccessed>
    <b:MonthAccessed>Feb</b:MonthAccessed>
    <b:DayAccessed>26</b:DayAccessed>
    <b:RefOrder>1</b:RefOrder>
  </b:Source>
  <b:Source>
    <b:Tag>USD</b:Tag>
    <b:SourceType>DocumentFromInternetSite</b:SourceType>
    <b:Guid>{4F5B5535-7E23-4722-8F50-2D5D7060A003}</b:Guid>
    <b:Author>
      <b:Author>
        <b:Corporate>U.S. Departments of Education, Health and Human Services, Housing and Urban Development, and Justice. Every Student, Every Day: A Community Toolkit to Address and Eliminate Chronic Absenteeism, Washington, D.C.</b:Corporate>
      </b:Author>
    </b:Author>
    <b:URL>https://www2.ed.gov/about/inits/ed/chronicabsenteeism/toolkit.pdf</b:URL>
    <b:Year>2015</b:Year>
    <b:YearAccessed>2020</b:YearAccessed>
    <b:MonthAccessed>March </b:MonthAccessed>
    <b:DayAccessed>3</b:DayAccessed>
    <b:RefOrder>2</b:RefOrder>
  </b:Source>
  <b:Source>
    <b:Tag>Jac1</b:Tag>
    <b:SourceType>DocumentFromInternetSite</b:SourceType>
    <b:Guid>{20647C32-88B3-4616-B6D2-47862F28671A}</b:Guid>
    <b:Author>
      <b:Author>
        <b:NameList>
          <b:Person>
            <b:Last>Jacob</b:Last>
            <b:First>B.</b:First>
            <b:Middle>&amp; Lovett, K. Chronic absenteeism: An old problem in search of new answers.</b:Middle>
          </b:Person>
        </b:NameList>
      </b:Author>
    </b:Author>
    <b:Year>2017</b:Year>
    <b:YearAccessed>2020</b:YearAccessed>
    <b:MonthAccessed>March</b:MonthAccessed>
    <b:DayAccessed>4</b:DayAccessed>
    <b:URL>https://www.brookings.edu/research/chronic-absenteeism-an-old-problem-in-search-of-new-answers/</b:URL>
    <b:RefOrder>3</b:RefOrder>
  </b:Source>
  <b:Source>
    <b:Tag>Bru</b:Tag>
    <b:SourceType>InternetSite</b:SourceType>
    <b:Guid>{8D87C0B7-EF9F-4A44-BD96-82AD0A816258}</b:Guid>
    <b:Author>
      <b:Author>
        <b:Corporate>American Academy of Pediatrics, Council on School Health.</b:Corporate>
      </b:Author>
    </b:Author>
    <b:Title>Role of the school nurse in providing school health services. Pediatrics, 137(6), e20160852.</b:Title>
    <b:Year>2016</b:Year>
    <b:YearAccessed>2020</b:YearAccessed>
    <b:MonthAccessed>February</b:MonthAccessed>
    <b:DayAccessed>28</b:DayAccessed>
    <b:URL>http://pediatrics.aappublications.org/content/early/2016/05/19/peds.2016-0852.</b:URL>
    <b:RefOrder>4</b:RefOrder>
  </b:Source>
  <b:Source>
    <b:Tag>Cha</b:Tag>
    <b:SourceType>ArticleInAPeriodical</b:SourceType>
    <b:Guid>{CDEA631F-EECE-4F96-913F-B20026E01AC6}</b:Guid>
    <b:Title>Epidemiology of chronic fatigue syndrome and self-reported myalgic encephalomyelitis in 5-15 year olds: cross sectional study</b:Title>
    <b:Author>
      <b:Author>
        <b:NameList>
          <b:Person>
            <b:Last>Chalder T</b:Last>
            <b:First>Goodman</b:First>
            <b:Middle>R, Wessely S, Hotopf M, Meltzer H.</b:Middle>
          </b:Person>
        </b:NameList>
      </b:Author>
    </b:Author>
    <b:PeriodicalTitle>BMJ 2003, 327:654–5.</b:PeriodicalTitle>
    <b:RefOrder>6</b:RefOrder>
  </b:Source>
  <b:Source>
    <b:Tag>Jas1</b:Tag>
    <b:SourceType>ArticleInAPeriodical</b:SourceType>
    <b:Guid>{2FA64AD9-6CD6-4CF4-8C43-78791326717D}</b:Guid>
    <b:Author>
      <b:Author>
        <b:NameList>
          <b:Person>
            <b:Last>Jason L</b:Last>
            <b:First>Torres-Harding</b:First>
            <b:Middle>S, Njok M.</b:Middle>
          </b:Person>
        </b:NameList>
      </b:Author>
    </b:Author>
    <b:Title>The face of CFS in the US</b:Title>
    <b:PeriodicalTitle>CFIDS Chronicle 2006, 16-21.</b:PeriodicalTitle>
    <b:Issue>https://www.researchgate.net/publication/236995875_The_Face_of_CFS_in_the_US</b:Issue>
    <b:RefOrder>9</b:RefOrder>
  </b:Source>
  <b:Source>
    <b:Tag>Sol</b:Tag>
    <b:SourceType>ArticleInAPeriodical</b:SourceType>
    <b:Guid>{EBDE2DDE-90B1-49EC-A2C8-73435133AD04}</b:Guid>
    <b:Author>
      <b:Author>
        <b:NameList>
          <b:Person>
            <b:Last>Solomon L</b:Last>
            <b:First>Reeves</b:First>
            <b:Middle>WC.</b:Middle>
          </b:Person>
        </b:NameList>
      </b:Author>
    </b:Author>
    <b:Title> Factors influencing the diagnosis of chronic fatigue syndrome</b:Title>
    <b:PeriodicalTitle>Archives of Internal Medicine 2004, 164(20): 2241-2245.</b:PeriodicalTitle>
    <b:RefOrder>10</b:RefOrder>
  </b:Source>
  <b:Source>
    <b:Tag>Jas2</b:Tag>
    <b:SourceType>ArticleInAPeriodical</b:SourceType>
    <b:Guid>{E953F05A-5AA2-4EAA-93D5-AD9B690D5FF9}</b:Guid>
    <b:Author>
      <b:Author>
        <b:NameList>
          <b:Person>
            <b:Last>Jason L</b:Last>
            <b:First>Richman</b:First>
            <b:Middle>JA, Rademaker AW, et al.</b:Middle>
          </b:Person>
        </b:NameList>
      </b:Author>
    </b:Author>
    <b:Title>A community-based study of chronic fatigue syndrome</b:Title>
    <b:PeriodicalTitle>Archives of Internal Medicine 1999, 159(18):2129-2137.</b:PeriodicalTitle>
    <b:RefOrder>13</b:RefOrder>
  </b:Source>
  <b:Source>
    <b:Tag>Mau</b:Tag>
    <b:SourceType>ArticleInAPeriodical</b:SourceType>
    <b:Guid>{4D6551C3-8D1F-49B0-B40B-7218118B047E}</b:Guid>
    <b:Author>
      <b:Author>
        <b:NameList>
          <b:Person>
            <b:Last>Maughan ED</b:Last>
            <b:First>Cowell</b:First>
            <b:Middle>J, Engelke M, et al.</b:Middle>
          </b:Person>
        </b:NameList>
      </b:Author>
    </b:Author>
    <b:URL>https://www.nursingoutlook.org/article/S0029-6554(17)30626-7/pdf</b:URL>
    <b:Title>The vital role of school nurses in ensuring the health of our nation's youth. American Academy of Nursing on Policy</b:Title>
    <b:PeriodicalTitle>Nursing Outlook 2018, 66: 94-96.</b:PeriodicalTitle>
    <b:RefOrder>14</b:RefOrder>
  </b:Source>
  <b:Source>
    <b:Tag>Mau18</b:Tag>
    <b:SourceType>ArticleInAPeriodical</b:SourceType>
    <b:Guid>{A91CAE8B-364E-40EE-8EE2-E1BE15EC7A09}</b:Guid>
    <b:Author>
      <b:Author>
        <b:NameList>
          <b:Person>
            <b:Last>Maughan ED</b:Last>
            <b:First>Molner</b:First>
            <b:Middle>C.</b:Middle>
          </b:Person>
        </b:NameList>
      </b:Author>
    </b:Author>
    <b:Title>Using Data as an Instrument for Change</b:Title>
    <b:PeriodicalTitle>NASN School Nurse 2018, 33(6): 364-365.</b:PeriodicalTitle>
    <b:RefOrder>15</b:RefOrder>
  </b:Source>
  <b:Source>
    <b:Tag>Tra</b:Tag>
    <b:SourceType>DocumentFromInternetSite</b:SourceType>
    <b:Guid>{59ECB720-1095-4D33-9814-3171204E4FD7}</b:Guid>
    <b:Title>Chronic Fatigue Syndrome Advisory Committee. Transcript for January 13, 2017 CFSAC meeting</b:Title>
    <b:URL>https://wayback.archive-it.org/org-745/20181018061119/https://www.hhs.gov/sites/default/files/january-13-2017-transcript.pdf</b:URL>
    <b:Year>2017</b:Year>
    <b:Month>Jan</b:Month>
    <b:Day>13</b:Day>
    <b:YearAccessed>2020</b:YearAccessed>
    <b:MonthAccessed>March</b:MonthAccessed>
    <b:DayAccessed>3</b:DayAccessed>
    <b:RefOrder>16</b:RefOrder>
  </b:Source>
  <b:Source>
    <b:Tag>Nat18</b:Tag>
    <b:SourceType>Report</b:SourceType>
    <b:Guid>{A7C5FD28-2B13-472A-9405-412BDDFC6750}</b:Guid>
    <b:Title>National Association of School Nurses. Environmental Scan: Current School-Based Active Surveillance Efforts.</b:Title>
    <b:Year>2018</b:Year>
    <b:RefOrder>17</b:RefOrder>
  </b:Source>
  <b:Source>
    <b:Tag>Gap</b:Tag>
    <b:SourceType>ArticleInAPeriodical</b:SourceType>
    <b:Guid>{9E3500CE-9F78-4A90-95C5-B1E5B887BA53}</b:Guid>
    <b:Author>
      <b:Author>
        <b:NameList>
          <b:Person>
            <b:Last>Gapinski</b:Last>
            <b:First>M.</b:First>
            <b:Middle>A., &amp; Sheetz, A. H.</b:Middle>
          </b:Person>
        </b:NameList>
      </b:Author>
    </b:Author>
    <b:Title>The evolution of school nursing data indicators in massachusetts: Recommendations for a national data set</b:Title>
    <b:PeriodicalTitle>Journal of School Nursing (Sage Publications Inc.) 2014, 30(5), 317-323. </b:PeriodicalTitle>
    <b:RefOrder>18</b:RefOrder>
  </b:Source>
  <b:Source>
    <b:Tag>Ger19</b:Tag>
    <b:SourceType>ArticleInAPeriodical</b:SourceType>
    <b:Guid>{D05005CE-4EC8-4584-A2E6-74D3443DA4D7}</b:Guid>
    <b:Author>
      <b:Author>
        <b:NameList>
          <b:Person>
            <b:Last>Geraghty KJ</b:Last>
            <b:First>Adeniji</b:First>
            <b:Middle>C.</b:Middle>
          </b:Person>
        </b:NameList>
      </b:Author>
    </b:Author>
    <b:Title>The importance of accurate diagnosis of ME/CFS in children and adolescents: A commentary</b:Title>
    <b:PeriodicalTitle>Front. Pediatr. 6:435.</b:PeriodicalTitle>
    <b:Year>2019</b:Year>
    <b:RefOrder>8</b:RefOrder>
  </b:Source>
  <b:Source>
    <b:Tag>Bel</b:Tag>
    <b:SourceType>ArticleInAPeriodical</b:SourceType>
    <b:Guid>{814F7726-FECB-4CAB-94A5-22399AD80CF9}</b:Guid>
    <b:Author>
      <b:Author>
        <b:NameList>
          <b:Person>
            <b:Last>Bell K</b:Last>
            <b:First>Cookfair</b:First>
            <b:Middle>D, Bell DS, Reese P, Cooper L.</b:Middle>
          </b:Person>
        </b:NameList>
      </b:Author>
    </b:Author>
    <b:Title>Risk factors associated with chronic fatigue syndrome in a cluster of pediatric cases</b:Title>
    <b:PeriodicalTitle>Reviews of Infectious Diseases 1991;13(Suppl 1):S32-8</b:PeriodicalTitle>
    <b:RefOrder>7</b:RefOrder>
  </b:Source>
  <b:Source>
    <b:Tag>Joh</b:Tag>
    <b:SourceType>ArticleInAPeriodical</b:SourceType>
    <b:Guid>{FF663660-F21F-4665-9406-AB7E2C20BCA0}</b:Guid>
    <b:Author>
      <b:Author>
        <b:NameList>
          <b:Person>
            <b:Last>Johnson</b:Last>
            <b:First>K.</b:First>
            <b:Middle>H., Bergren, M. D., &amp; Westbrook, L. O.</b:Middle>
          </b:Person>
        </b:NameList>
      </b:Author>
    </b:Author>
    <b:Title>The promise of standardized data collection: School health variables identified by states</b:Title>
    <b:PeriodicalTitle>Journal of School Nursing 2012, 28(2), 95-107. </b:PeriodicalTitle>
    <b:RefOrder>19</b:RefOrder>
  </b:Source>
  <b:Source>
    <b:Tag>Joh1</b:Tag>
    <b:SourceType>ArticleInAPeriodical</b:SourceType>
    <b:Guid>{26705930-9982-4178-9E97-401B00C80219}</b:Guid>
    <b:Author>
      <b:Author>
        <b:NameList>
          <b:Person>
            <b:Last>Johnson</b:Last>
            <b:First>K.</b:First>
            <b:Middle>H., &amp; Guthrie, S.</b:Middle>
          </b:Person>
        </b:NameList>
      </b:Author>
    </b:Author>
    <b:Title>Harnessing the power of student health data</b:Title>
    <b:PeriodicalTitle>NASN School Nurse 2012, 27(1), 26-33.</b:PeriodicalTitle>
    <b:RefOrder>20</b:RefOrder>
  </b:Source>
  <b:Source>
    <b:Tag>Mau1</b:Tag>
    <b:SourceType>ArticleInAPeriodical</b:SourceType>
    <b:Guid>{A6A3C441-A287-4EAF-883D-D3CA5832D085}</b:Guid>
    <b:Author>
      <b:Author>
        <b:NameList>
          <b:Person>
            <b:Last>Maughan</b:Last>
            <b:First>E.</b:First>
            <b:Middle>D., Johnson, K. H., Bergren, M. D., et al.</b:Middle>
          </b:Person>
        </b:NameList>
      </b:Author>
    </b:Author>
    <b:Title>Standardized data set for school health services part 1--getting to big data</b:Title>
    <b:PeriodicalTitle>NASN School Nurse 2014, 29(4), 183-186. </b:PeriodicalTitle>
    <b:RefOrder>21</b:RefOrder>
  </b:Source>
  <b:Source>
    <b:Tag>She</b:Tag>
    <b:SourceType>ArticleInAPeriodical</b:SourceType>
    <b:Guid>{BFE48EB6-AB0B-4F09-A3A2-72060FA094CD}</b:Guid>
    <b:Author>
      <b:Author>
        <b:NameList>
          <b:Person>
            <b:Last>Sheetz</b:Last>
            <b:First>A.</b:First>
            <b:Middle>H.</b:Middle>
          </b:Person>
        </b:NameList>
      </b:Author>
    </b:Author>
    <b:Title> How may the school nurse use data effectively </b:Title>
    <b:PeriodicalTitle>NASN School Nurse 2012, 27(1), 42-46. </b:PeriodicalTitle>
    <b:RefOrder>22</b:RefOrder>
  </b:Source>
  <b:Source>
    <b:Tag>Cen1</b:Tag>
    <b:SourceType>ArticleInAPeriodical</b:SourceType>
    <b:Guid>{D7EFF8AD-7367-4DF6-931C-41DBF7F44CF6}</b:Guid>
    <b:Author>
      <b:Author>
        <b:Corporate>Centers for Disease Control and Prevention. </b:Corporate>
      </b:Author>
    </b:Author>
    <b:Title>Updated guidelines for evaluating public health surveillance systems: recommendations from the guidelines working group</b:Title>
    <b:PeriodicalTitle>MMWR 2001, 50(No. RR-13).</b:PeriodicalTitle>
    <b:RefOrder>23</b:RefOrder>
  </b:Source>
</b:Sources>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1A84E81B-6FAF-4C4B-8CE1-B181D4D55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6803e-0732-4c76-b0e5-1de6ccb8991d"/>
    <ds:schemaRef ds:uri="d7ffe53e-e745-4424-b8e4-4e1fcf841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c376803e-0732-4c76-b0e5-1de6ccb8991d"/>
    <ds:schemaRef ds:uri="d7ffe53e-e745-4424-b8e4-4e1fcf841c8d"/>
  </ds:schemaRefs>
</ds:datastoreItem>
</file>

<file path=customXml/itemProps4.xml><?xml version="1.0" encoding="utf-8"?>
<ds:datastoreItem xmlns:ds="http://schemas.openxmlformats.org/officeDocument/2006/customXml" ds:itemID="{809722B4-4292-45F8-A825-CA1EDF4D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4429</Words>
  <Characters>25781</Characters>
  <Application>Microsoft Office Word</Application>
  <DocSecurity>0</DocSecurity>
  <Lines>572</Lines>
  <Paragraphs>296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Zirger, Jeffrey (CDC/OD/OS)</cp:lastModifiedBy>
  <cp:revision>4</cp:revision>
  <dcterms:created xsi:type="dcterms:W3CDTF">2026-04-17T18:46:00Z</dcterms:created>
  <dcterms:modified xsi:type="dcterms:W3CDTF">2026-04-28T13:38:00Z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0x0101002359B04D9336BD41BD63A0FBA1042F03</vt:lpwstr>
  </property>
  <property fmtid="{D5CDD505-2E9C-101B-9397-08002B2CF9AE}" pid="3" name="MSIP_Label_7b94a7b8-f06c-4dfe-bdcc-9b548fd58c31_ActionId">
    <vt:lpwstr>72802027-e76d-46dd-a718-8779f1239023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2022-05-26T19:01:52Z</vt:lpwstr>
  </property>
  <property fmtid="{D5CDD505-2E9C-101B-9397-08002B2CF9AE}" pid="9" name="MSIP_Label_7b94a7b8-f06c-4dfe-bdcc-9b548fd58c31_SiteId">
    <vt:lpwstr>9ce70869-60db-44fd-abe8-d2767077fc8f</vt:lpwstr>
  </property>
  <property fmtid="{D5CDD505-2E9C-101B-9397-08002B2CF9AE}" pid="10" name="_dlc_DocIdItemGuid">
    <vt:lpwstr>56ba26d7-ed93-4a08-9b28-f3085665eb2b</vt:lpwstr>
  </property>
</Properties>
</file>