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490720" w:rsidRPr="00C45431" w14:paraId="22E2A2EC" w14:textId="51A8866C">
      <w:pPr>
        <w:widowControl/>
        <w:autoSpaceDE/>
        <w:autoSpaceDN/>
        <w:adjustRightInd/>
        <w:rPr>
          <w:rFonts w:ascii="Arial" w:hAnsi="Arial" w:cs="Arial"/>
          <w:b/>
          <w:bCs/>
          <w:sz w:val="32"/>
          <w:szCs w:val="32"/>
        </w:rPr>
      </w:pPr>
    </w:p>
    <w:p w:rsidR="00BA1A0C" w:rsidRPr="001A5E8E" w:rsidP="00CE5AA9" w14:paraId="22E2A2ED" w14:textId="77777777">
      <w:pPr>
        <w:tabs>
          <w:tab w:val="center" w:pos="4680"/>
        </w:tabs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  <w:r w:rsidRPr="001A5E8E">
        <w:rPr>
          <w:rFonts w:ascii="Arial" w:hAnsi="Arial" w:cs="Arial"/>
          <w:b/>
          <w:bCs/>
          <w:sz w:val="32"/>
          <w:szCs w:val="32"/>
        </w:rPr>
        <w:t xml:space="preserve">Supporting Statement </w:t>
      </w:r>
      <w:r w:rsidRPr="001A5E8E">
        <w:rPr>
          <w:rFonts w:ascii="Arial" w:hAnsi="Arial" w:cs="Arial"/>
          <w:b/>
          <w:bCs/>
          <w:sz w:val="32"/>
          <w:szCs w:val="32"/>
        </w:rPr>
        <w:t>A</w:t>
      </w:r>
    </w:p>
    <w:p w:rsidR="00BA1A0C" w:rsidRPr="001A5E8E" w:rsidP="00CE5AA9" w14:paraId="22E2A2EE" w14:textId="77777777">
      <w:pPr>
        <w:tabs>
          <w:tab w:val="center" w:pos="4680"/>
        </w:tabs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</w:p>
    <w:p w:rsidR="00BA1A0C" w:rsidRPr="001A5E8E" w:rsidP="00CE5AA9" w14:paraId="22E2A2F0" w14:textId="17997DAB">
      <w:pPr>
        <w:tabs>
          <w:tab w:val="center" w:pos="4680"/>
        </w:tabs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  <w:r w:rsidRPr="00B900C6">
        <w:rPr>
          <w:rFonts w:ascii="Arial" w:hAnsi="Arial" w:cs="Arial"/>
          <w:b/>
          <w:bCs/>
          <w:sz w:val="32"/>
          <w:szCs w:val="32"/>
        </w:rPr>
        <w:t>Ryan White HIV/AIDS Program:</w:t>
      </w:r>
      <w:r w:rsidRPr="00B900C6">
        <w:rPr>
          <w:rStyle w:val="Strong"/>
          <w:rFonts w:ascii="Arial" w:hAnsi="Arial" w:cs="Arial"/>
          <w:sz w:val="32"/>
          <w:szCs w:val="32"/>
        </w:rPr>
        <w:t xml:space="preserve"> Expenditures </w:t>
      </w:r>
      <w:r w:rsidRPr="00B900C6">
        <w:rPr>
          <w:rFonts w:ascii="Arial" w:hAnsi="Arial" w:cs="Arial"/>
          <w:b/>
          <w:bCs/>
          <w:sz w:val="32"/>
          <w:szCs w:val="32"/>
        </w:rPr>
        <w:t>Reports, OMB No. 0915-0390 – Revision</w:t>
      </w:r>
    </w:p>
    <w:p w:rsidR="00BA1A0C" w:rsidRPr="001A5E8E" w:rsidP="00CE5AA9" w14:paraId="22E2A2F1" w14:textId="49B3647A">
      <w:pPr>
        <w:tabs>
          <w:tab w:val="center" w:pos="4680"/>
        </w:tabs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</w:p>
    <w:p w:rsidR="009B3794" w:rsidRPr="001A5E8E" w:rsidP="00CE5AA9" w14:paraId="22E2A2F3" w14:textId="77777777">
      <w:pPr>
        <w:tabs>
          <w:tab w:val="center" w:pos="4680"/>
        </w:tabs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</w:p>
    <w:p w:rsidR="009B3794" w:rsidRPr="00FB70E0" w:rsidP="00CA3DA6" w14:paraId="22E2A2F5" w14:textId="77777777">
      <w:pPr>
        <w:spacing w:before="120"/>
        <w:rPr>
          <w:rFonts w:ascii="Arial" w:hAnsi="Arial" w:cs="Arial"/>
          <w:b/>
          <w:bCs/>
          <w:sz w:val="24"/>
        </w:rPr>
      </w:pPr>
      <w:r w:rsidRPr="00FB70E0">
        <w:rPr>
          <w:rFonts w:ascii="Arial" w:hAnsi="Arial" w:cs="Arial"/>
          <w:b/>
          <w:bCs/>
          <w:sz w:val="24"/>
        </w:rPr>
        <w:t>A.</w:t>
      </w:r>
      <w:r w:rsidRPr="00FB70E0">
        <w:rPr>
          <w:rFonts w:ascii="Arial" w:hAnsi="Arial" w:cs="Arial"/>
          <w:b/>
          <w:bCs/>
          <w:sz w:val="24"/>
        </w:rPr>
        <w:tab/>
        <w:t>Justification</w:t>
      </w:r>
    </w:p>
    <w:p w:rsidR="009B3794" w:rsidRPr="0088597C" w:rsidP="0088597C" w14:paraId="22E2A2F6" w14:textId="77777777">
      <w:pPr>
        <w:pStyle w:val="ListParagraph"/>
        <w:numPr>
          <w:ilvl w:val="0"/>
          <w:numId w:val="71"/>
        </w:numPr>
        <w:rPr>
          <w:rFonts w:ascii="Arial" w:hAnsi="Arial" w:cs="Arial"/>
          <w:b/>
          <w:bCs/>
          <w:sz w:val="24"/>
          <w:u w:val="single"/>
        </w:rPr>
      </w:pPr>
      <w:r w:rsidRPr="0088597C">
        <w:rPr>
          <w:rFonts w:ascii="Arial" w:hAnsi="Arial" w:cs="Arial"/>
          <w:b/>
          <w:bCs/>
          <w:sz w:val="24"/>
          <w:u w:val="single"/>
        </w:rPr>
        <w:t>Circumstances Making the Collection of Information Necessary</w:t>
      </w:r>
    </w:p>
    <w:p w:rsidR="00801BEB" w:rsidRPr="0088597C" w:rsidP="4BC7A862" w14:paraId="4656E67F" w14:textId="6FF1921E">
      <w:pPr>
        <w:ind w:left="360"/>
        <w:rPr>
          <w:rFonts w:ascii="Arial" w:hAnsi="Arial" w:cs="Arial"/>
          <w:sz w:val="24"/>
        </w:rPr>
      </w:pPr>
      <w:r w:rsidRPr="4BC7A862">
        <w:rPr>
          <w:rStyle w:val="BodyTextFi"/>
          <w:rFonts w:ascii="Arial" w:hAnsi="Arial" w:cs="Arial"/>
          <w:sz w:val="24"/>
        </w:rPr>
        <w:t xml:space="preserve">The Health Resources and Services Administration (HRSA) is requesting approval from the Office of Management and Budget (OMB) for a revision of the existing Ryan White HIV/AIDS Program Expenditures Form. The Expenditures Form, which expires </w:t>
      </w:r>
      <w:r w:rsidR="00AA1D79">
        <w:rPr>
          <w:rStyle w:val="BodyTextFi"/>
          <w:rFonts w:ascii="Arial" w:hAnsi="Arial" w:cs="Arial"/>
          <w:sz w:val="24"/>
        </w:rPr>
        <w:t>July 31</w:t>
      </w:r>
      <w:r w:rsidRPr="4BC7A862">
        <w:rPr>
          <w:rStyle w:val="BodyTextFi"/>
          <w:rFonts w:ascii="Arial" w:hAnsi="Arial" w:cs="Arial"/>
          <w:sz w:val="24"/>
        </w:rPr>
        <w:t>, 2026, is used to collect financial information from grant recipients funded under Parts A, B, C, and D of the Ryan White HIV/AIDS Program (RWHAP)</w:t>
      </w:r>
      <w:r w:rsidR="00027711">
        <w:rPr>
          <w:rStyle w:val="BodyTextFi"/>
          <w:rFonts w:ascii="Arial" w:hAnsi="Arial" w:cs="Arial"/>
          <w:sz w:val="24"/>
        </w:rPr>
        <w:t xml:space="preserve">. </w:t>
      </w:r>
      <w:r w:rsidRPr="4BC7A862" w:rsidR="37262A86">
        <w:rPr>
          <w:rFonts w:ascii="Arial" w:hAnsi="Arial" w:cs="Arial"/>
          <w:sz w:val="24"/>
        </w:rPr>
        <w:t>HRSA administers the RWHAP authorized under Title XXVI of the Public Health Service Act</w:t>
      </w:r>
      <w:r w:rsidR="00D20B49">
        <w:rPr>
          <w:rFonts w:ascii="Arial" w:hAnsi="Arial" w:cs="Arial"/>
          <w:sz w:val="24"/>
        </w:rPr>
        <w:t xml:space="preserve"> (</w:t>
      </w:r>
      <w:r w:rsidRPr="00D20B49" w:rsidR="00D20B49">
        <w:rPr>
          <w:rFonts w:ascii="Arial" w:hAnsi="Arial" w:cs="Arial"/>
          <w:sz w:val="24"/>
        </w:rPr>
        <w:t>42 USC 300ff-11</w:t>
      </w:r>
      <w:r w:rsidR="00D20B49">
        <w:rPr>
          <w:rFonts w:ascii="Arial" w:hAnsi="Arial" w:cs="Arial"/>
          <w:sz w:val="24"/>
        </w:rPr>
        <w:t>)</w:t>
      </w:r>
      <w:r w:rsidR="00027711">
        <w:rPr>
          <w:rFonts w:ascii="Arial" w:hAnsi="Arial" w:cs="Arial"/>
          <w:sz w:val="24"/>
        </w:rPr>
        <w:t xml:space="preserve">. </w:t>
      </w:r>
      <w:r w:rsidRPr="4BC7A862" w:rsidR="37262A86">
        <w:rPr>
          <w:rFonts w:ascii="Arial" w:hAnsi="Arial" w:cs="Arial"/>
          <w:sz w:val="24"/>
        </w:rPr>
        <w:t xml:space="preserve">The RWHAP Expenditures Report </w:t>
      </w:r>
      <w:r w:rsidRPr="4BC7A862" w:rsidR="069901D4">
        <w:rPr>
          <w:rFonts w:ascii="Arial" w:hAnsi="Arial" w:cs="Arial"/>
          <w:sz w:val="24"/>
        </w:rPr>
        <w:t>enable</w:t>
      </w:r>
      <w:r w:rsidRPr="4BC7A862" w:rsidR="00CAE5AC">
        <w:rPr>
          <w:rFonts w:ascii="Arial" w:hAnsi="Arial" w:cs="Arial"/>
          <w:sz w:val="24"/>
        </w:rPr>
        <w:t>s</w:t>
      </w:r>
      <w:r w:rsidRPr="4BC7A862" w:rsidR="37262A86">
        <w:rPr>
          <w:rFonts w:ascii="Arial" w:hAnsi="Arial" w:cs="Arial"/>
          <w:sz w:val="24"/>
        </w:rPr>
        <w:t xml:space="preserve"> HRSA to monitor and track the use of grant funds for compliance with statutory, program</w:t>
      </w:r>
      <w:r w:rsidRPr="4BC7A862" w:rsidR="7EBA4299">
        <w:rPr>
          <w:rFonts w:ascii="Arial" w:hAnsi="Arial" w:cs="Arial"/>
          <w:sz w:val="24"/>
        </w:rPr>
        <w:t>,</w:t>
      </w:r>
      <w:r w:rsidRPr="4BC7A862" w:rsidR="37262A86">
        <w:rPr>
          <w:rFonts w:ascii="Arial" w:hAnsi="Arial" w:cs="Arial"/>
          <w:sz w:val="24"/>
        </w:rPr>
        <w:t xml:space="preserve"> and grants requirements</w:t>
      </w:r>
      <w:r w:rsidR="00027711">
        <w:rPr>
          <w:rFonts w:ascii="Arial" w:hAnsi="Arial" w:cs="Arial"/>
          <w:sz w:val="24"/>
        </w:rPr>
        <w:t xml:space="preserve">. </w:t>
      </w:r>
      <w:r w:rsidRPr="4BC7A862" w:rsidR="37262A86">
        <w:rPr>
          <w:rFonts w:ascii="Arial" w:hAnsi="Arial" w:cs="Arial"/>
          <w:sz w:val="24"/>
        </w:rPr>
        <w:t>Recipients funded under RWHAP Parts A, B, C, and D are required to report financial data to HRSA at the end of their grant budget period</w:t>
      </w:r>
      <w:r w:rsidR="00027711">
        <w:rPr>
          <w:rFonts w:ascii="Arial" w:hAnsi="Arial" w:cs="Arial"/>
          <w:sz w:val="24"/>
        </w:rPr>
        <w:t xml:space="preserve">. </w:t>
      </w:r>
      <w:r w:rsidRPr="4BC7A862" w:rsidR="37262A86">
        <w:rPr>
          <w:rFonts w:ascii="Arial" w:hAnsi="Arial" w:cs="Arial"/>
          <w:sz w:val="24"/>
        </w:rPr>
        <w:t xml:space="preserve">The Expenditures Report requests information recipients already collect, including the use of RWHAP grant funds for core medical and support services; and on </w:t>
      </w:r>
      <w:r w:rsidRPr="4BC7A862" w:rsidR="225CA467">
        <w:rPr>
          <w:rFonts w:ascii="Arial" w:hAnsi="Arial" w:cs="Arial"/>
          <w:sz w:val="24"/>
        </w:rPr>
        <w:t>the</w:t>
      </w:r>
      <w:r w:rsidRPr="4BC7A862" w:rsidR="37262A86">
        <w:rPr>
          <w:rFonts w:ascii="Arial" w:hAnsi="Arial" w:cs="Arial"/>
          <w:sz w:val="24"/>
        </w:rPr>
        <w:t xml:space="preserve"> program components,</w:t>
      </w:r>
      <w:r w:rsidRPr="4BC7A862" w:rsidR="225CA467">
        <w:rPr>
          <w:rFonts w:ascii="Arial" w:hAnsi="Arial" w:cs="Arial"/>
          <w:sz w:val="24"/>
        </w:rPr>
        <w:t xml:space="preserve"> of</w:t>
      </w:r>
      <w:r w:rsidRPr="4BC7A862" w:rsidR="37262A86">
        <w:rPr>
          <w:rFonts w:ascii="Arial" w:hAnsi="Arial" w:cs="Arial"/>
          <w:sz w:val="24"/>
        </w:rPr>
        <w:t xml:space="preserve"> administration, planning and evaluation, and clinical quality management</w:t>
      </w:r>
      <w:r w:rsidR="00027711">
        <w:rPr>
          <w:rFonts w:ascii="Arial" w:hAnsi="Arial" w:cs="Arial"/>
          <w:sz w:val="24"/>
        </w:rPr>
        <w:t xml:space="preserve">. </w:t>
      </w:r>
      <w:r w:rsidRPr="4BC7A862" w:rsidR="37262A86">
        <w:rPr>
          <w:rFonts w:ascii="Arial" w:hAnsi="Arial" w:cs="Arial"/>
          <w:sz w:val="24"/>
        </w:rPr>
        <w:t xml:space="preserve">RWHAP Parts A and B recipients funded under the Ending the HIV Epidemic in the U.S. (EHE) initiative are required to </w:t>
      </w:r>
      <w:r w:rsidRPr="4BC7A862" w:rsidR="37262A86">
        <w:rPr>
          <w:rFonts w:ascii="Arial" w:hAnsi="Arial" w:cs="Arial"/>
          <w:color w:val="000000" w:themeColor="text1"/>
          <w:sz w:val="24"/>
        </w:rPr>
        <w:t>report expenditures of the grant budget period in the EHE Expenditure Report</w:t>
      </w:r>
      <w:r w:rsidR="00027711">
        <w:rPr>
          <w:rFonts w:ascii="Arial" w:hAnsi="Arial" w:cs="Arial"/>
          <w:color w:val="000000" w:themeColor="text1"/>
          <w:sz w:val="24"/>
        </w:rPr>
        <w:t xml:space="preserve">. </w:t>
      </w:r>
      <w:r w:rsidRPr="4BC7A862" w:rsidR="37262A86">
        <w:rPr>
          <w:rFonts w:ascii="Arial" w:hAnsi="Arial" w:cs="Arial"/>
          <w:color w:val="000000" w:themeColor="text1"/>
          <w:sz w:val="24"/>
        </w:rPr>
        <w:t xml:space="preserve">This </w:t>
      </w:r>
      <w:r w:rsidRPr="4BC7A862" w:rsidR="77D99421">
        <w:rPr>
          <w:rFonts w:ascii="Arial" w:hAnsi="Arial" w:cs="Arial"/>
          <w:color w:val="000000" w:themeColor="text1"/>
          <w:sz w:val="24"/>
        </w:rPr>
        <w:t>enables</w:t>
      </w:r>
      <w:r w:rsidRPr="4BC7A862" w:rsidR="37262A86">
        <w:rPr>
          <w:rFonts w:ascii="Arial" w:hAnsi="Arial" w:cs="Arial"/>
          <w:color w:val="000000" w:themeColor="text1"/>
          <w:sz w:val="24"/>
        </w:rPr>
        <w:t xml:space="preserve"> HRSA to track and report progress toward meeting the EHE goals</w:t>
      </w:r>
      <w:r w:rsidR="00027711">
        <w:rPr>
          <w:rFonts w:ascii="Arial" w:hAnsi="Arial" w:cs="Arial"/>
          <w:color w:val="000000" w:themeColor="text1"/>
          <w:sz w:val="24"/>
        </w:rPr>
        <w:t xml:space="preserve">. </w:t>
      </w:r>
    </w:p>
    <w:p w:rsidR="00260A31" w:rsidRPr="0088597C" w:rsidP="0088597C" w14:paraId="5DDF08E1" w14:textId="72BA0EFA">
      <w:pPr>
        <w:spacing w:before="120"/>
        <w:ind w:left="360"/>
        <w:rPr>
          <w:rFonts w:ascii="Arial" w:hAnsi="Arial" w:cs="Arial"/>
          <w:b/>
          <w:sz w:val="24"/>
        </w:rPr>
      </w:pPr>
      <w:r w:rsidRPr="0088597C">
        <w:rPr>
          <w:rFonts w:ascii="Arial" w:hAnsi="Arial" w:cs="Arial"/>
          <w:sz w:val="24"/>
        </w:rPr>
        <w:t>Recipients funded under RWHAP Parts A, B, C, and D are required to report financial data to HRSA at the beginning (Allocations Report) and at the end (Expenditures Report) of their grant budget period. </w:t>
      </w:r>
      <w:r w:rsidR="009E2C59">
        <w:rPr>
          <w:rFonts w:ascii="Arial" w:hAnsi="Arial" w:cs="Arial"/>
          <w:sz w:val="24"/>
        </w:rPr>
        <w:t xml:space="preserve">The Allocations Report is approved by OMB under 0915-0318.  </w:t>
      </w:r>
    </w:p>
    <w:p w:rsidR="009B3794" w:rsidRPr="00260A31" w:rsidP="00260A31" w14:paraId="22E2A2FB" w14:textId="5EFAFD94">
      <w:pPr>
        <w:pStyle w:val="ListParagraph"/>
        <w:numPr>
          <w:ilvl w:val="0"/>
          <w:numId w:val="67"/>
        </w:numPr>
        <w:spacing w:before="120"/>
        <w:rPr>
          <w:rFonts w:ascii="Arial" w:hAnsi="Arial" w:cs="Arial"/>
          <w:b/>
          <w:sz w:val="24"/>
        </w:rPr>
      </w:pPr>
      <w:r w:rsidRPr="00260A31">
        <w:rPr>
          <w:rFonts w:ascii="Arial" w:hAnsi="Arial" w:cs="Arial"/>
          <w:b/>
          <w:sz w:val="24"/>
          <w:u w:val="single"/>
        </w:rPr>
        <w:t>Purpose and Use of Information Collection</w:t>
      </w:r>
    </w:p>
    <w:p w:rsidR="00990138" w:rsidRPr="00FB70E0" w:rsidP="005C56A7" w14:paraId="46B6C3AB" w14:textId="03E5E1BC">
      <w:pPr>
        <w:tabs>
          <w:tab w:val="num" w:pos="720"/>
          <w:tab w:val="left" w:pos="5868"/>
          <w:tab w:val="left" w:pos="7398"/>
        </w:tabs>
        <w:spacing w:before="120"/>
        <w:ind w:left="360"/>
        <w:rPr>
          <w:rFonts w:ascii="Arial" w:hAnsi="Arial" w:cs="Arial"/>
          <w:sz w:val="24"/>
        </w:rPr>
      </w:pPr>
      <w:r w:rsidRPr="4BC7A862">
        <w:rPr>
          <w:rStyle w:val="BodyTextFi"/>
          <w:rFonts w:ascii="Arial" w:hAnsi="Arial" w:cs="Arial"/>
          <w:sz w:val="24"/>
        </w:rPr>
        <w:t xml:space="preserve">The purpose of collecting these data is to </w:t>
      </w:r>
      <w:r w:rsidRPr="4BC7A862">
        <w:rPr>
          <w:rFonts w:ascii="Arial" w:hAnsi="Arial" w:cs="Arial"/>
          <w:sz w:val="24"/>
        </w:rPr>
        <w:t xml:space="preserve">monitor and track the use of grant funds for compliance with </w:t>
      </w:r>
      <w:r w:rsidRPr="4BC7A862" w:rsidR="22DF45AD">
        <w:rPr>
          <w:rFonts w:ascii="Arial" w:hAnsi="Arial" w:cs="Arial"/>
          <w:sz w:val="24"/>
        </w:rPr>
        <w:t xml:space="preserve">statute, </w:t>
      </w:r>
      <w:r w:rsidRPr="4BC7A862">
        <w:rPr>
          <w:rFonts w:ascii="Arial" w:hAnsi="Arial" w:cs="Arial"/>
          <w:sz w:val="24"/>
        </w:rPr>
        <w:t>program requirements</w:t>
      </w:r>
      <w:r w:rsidRPr="4BC7A862" w:rsidR="4720228E">
        <w:rPr>
          <w:rFonts w:ascii="Arial" w:hAnsi="Arial" w:cs="Arial"/>
          <w:sz w:val="24"/>
        </w:rPr>
        <w:t>,</w:t>
      </w:r>
      <w:r w:rsidRPr="4BC7A862">
        <w:rPr>
          <w:rFonts w:ascii="Arial" w:hAnsi="Arial" w:cs="Arial"/>
          <w:sz w:val="24"/>
        </w:rPr>
        <w:t xml:space="preserve"> and policies and to ensure that RWHAP or EHE funds are spent on primary care and support services as outlined in the </w:t>
      </w:r>
      <w:r w:rsidRPr="4BC7A862" w:rsidR="7C750D28">
        <w:rPr>
          <w:rFonts w:ascii="Arial" w:hAnsi="Arial" w:cs="Arial"/>
          <w:sz w:val="24"/>
        </w:rPr>
        <w:t>statute</w:t>
      </w:r>
      <w:r w:rsidRPr="4BC7A862">
        <w:rPr>
          <w:rFonts w:ascii="Arial" w:hAnsi="Arial" w:cs="Arial"/>
          <w:sz w:val="24"/>
        </w:rPr>
        <w:t xml:space="preserve">. </w:t>
      </w:r>
      <w:r w:rsidRPr="00FB70E0">
        <w:rPr>
          <w:rFonts w:ascii="Arial" w:hAnsi="Arial" w:cs="Arial"/>
          <w:sz w:val="24"/>
        </w:rPr>
        <w:t>The data collected and reported on the Expenditures Forms will be used:</w:t>
      </w:r>
    </w:p>
    <w:p w:rsidR="00990138" w:rsidRPr="00FB70E0" w:rsidP="4BC7A862" w14:paraId="20BFA636" w14:textId="69052E7F">
      <w:pPr>
        <w:pStyle w:val="BodyText2"/>
        <w:widowControl/>
        <w:numPr>
          <w:ilvl w:val="0"/>
          <w:numId w:val="63"/>
        </w:numPr>
        <w:autoSpaceDE/>
        <w:autoSpaceDN/>
        <w:adjustRightInd/>
        <w:spacing w:before="120" w:after="0" w:line="240" w:lineRule="auto"/>
        <w:rPr>
          <w:rFonts w:ascii="Arial" w:hAnsi="Arial" w:cs="Arial"/>
          <w:sz w:val="24"/>
        </w:rPr>
      </w:pPr>
      <w:r w:rsidRPr="4BC7A862">
        <w:rPr>
          <w:rFonts w:ascii="Arial" w:hAnsi="Arial" w:cs="Arial"/>
          <w:sz w:val="24"/>
        </w:rPr>
        <w:t xml:space="preserve">To determine whether the following </w:t>
      </w:r>
      <w:r w:rsidRPr="4BC7A862" w:rsidR="2A32E00F">
        <w:rPr>
          <w:rFonts w:ascii="Arial" w:hAnsi="Arial" w:cs="Arial"/>
          <w:sz w:val="24"/>
        </w:rPr>
        <w:t xml:space="preserve">statute and </w:t>
      </w:r>
      <w:r w:rsidRPr="4BC7A862">
        <w:rPr>
          <w:rFonts w:ascii="Arial" w:hAnsi="Arial" w:cs="Arial"/>
          <w:sz w:val="24"/>
        </w:rPr>
        <w:t>grant requirements were met:</w:t>
      </w:r>
    </w:p>
    <w:p w:rsidR="00990138" w:rsidRPr="009B1CE0" w:rsidP="009B1CE0" w14:paraId="7358272D" w14:textId="6E333202">
      <w:pPr>
        <w:pStyle w:val="BodyText2"/>
        <w:widowControl/>
        <w:numPr>
          <w:ilvl w:val="1"/>
          <w:numId w:val="63"/>
        </w:numPr>
        <w:autoSpaceDE/>
        <w:autoSpaceDN/>
        <w:adjustRightInd/>
        <w:spacing w:before="120" w:after="0" w:line="240" w:lineRule="auto"/>
        <w:rPr>
          <w:rFonts w:ascii="Arial" w:hAnsi="Arial" w:cs="Arial"/>
          <w:sz w:val="24"/>
        </w:rPr>
      </w:pPr>
      <w:r w:rsidRPr="009B1CE0">
        <w:rPr>
          <w:rFonts w:ascii="Arial" w:hAnsi="Arial" w:cs="Arial"/>
          <w:sz w:val="24"/>
        </w:rPr>
        <w:t>Recipients exp</w:t>
      </w:r>
      <w:r w:rsidRPr="009B1CE0" w:rsidR="00116D0B">
        <w:rPr>
          <w:rFonts w:ascii="Arial" w:hAnsi="Arial" w:cs="Arial"/>
          <w:sz w:val="24"/>
        </w:rPr>
        <w:t>e</w:t>
      </w:r>
      <w:r w:rsidRPr="009B1CE0">
        <w:rPr>
          <w:rFonts w:ascii="Arial" w:hAnsi="Arial" w:cs="Arial"/>
          <w:sz w:val="24"/>
        </w:rPr>
        <w:t>nded their entire grant award.</w:t>
      </w:r>
    </w:p>
    <w:p w:rsidR="00990138" w:rsidRPr="009B1CE0" w:rsidP="009B1CE0" w14:paraId="17E3E715" w14:textId="0BE091EB">
      <w:pPr>
        <w:pStyle w:val="BodyText2"/>
        <w:widowControl/>
        <w:numPr>
          <w:ilvl w:val="1"/>
          <w:numId w:val="63"/>
        </w:numPr>
        <w:autoSpaceDE/>
        <w:autoSpaceDN/>
        <w:adjustRightInd/>
        <w:spacing w:before="120" w:after="0" w:line="240" w:lineRule="auto"/>
        <w:rPr>
          <w:rFonts w:ascii="Arial" w:hAnsi="Arial" w:cs="Arial"/>
          <w:sz w:val="24"/>
        </w:rPr>
      </w:pPr>
      <w:r w:rsidRPr="009B1CE0">
        <w:rPr>
          <w:rFonts w:ascii="Arial" w:hAnsi="Arial" w:cs="Arial"/>
          <w:sz w:val="24"/>
        </w:rPr>
        <w:t>At least 75% of grant funds were expended to core medical services for Parts A-C</w:t>
      </w:r>
      <w:r w:rsidRPr="009B1CE0" w:rsidR="00346619">
        <w:rPr>
          <w:rFonts w:ascii="Arial" w:hAnsi="Arial" w:cs="Arial"/>
          <w:sz w:val="24"/>
        </w:rPr>
        <w:t>, unless a waiver is granted</w:t>
      </w:r>
      <w:r w:rsidRPr="009B1CE0">
        <w:rPr>
          <w:rFonts w:ascii="Arial" w:hAnsi="Arial" w:cs="Arial"/>
          <w:sz w:val="24"/>
        </w:rPr>
        <w:t>.</w:t>
      </w:r>
    </w:p>
    <w:p w:rsidR="0010752D" w:rsidRPr="009B1CE0" w:rsidP="009B1CE0" w14:paraId="7763A448" w14:textId="13C663A5">
      <w:pPr>
        <w:pStyle w:val="BodyText2"/>
        <w:widowControl/>
        <w:numPr>
          <w:ilvl w:val="1"/>
          <w:numId w:val="63"/>
        </w:numPr>
        <w:autoSpaceDE/>
        <w:autoSpaceDN/>
        <w:adjustRightInd/>
        <w:spacing w:before="120" w:after="0" w:line="240" w:lineRule="auto"/>
        <w:rPr>
          <w:rFonts w:ascii="Arial" w:hAnsi="Arial" w:cs="Arial"/>
          <w:sz w:val="24"/>
        </w:rPr>
      </w:pPr>
      <w:r w:rsidRPr="009B1CE0">
        <w:rPr>
          <w:rFonts w:ascii="Arial" w:hAnsi="Arial" w:cs="Arial"/>
          <w:sz w:val="24"/>
        </w:rPr>
        <w:t>No more than 10% of grant funds were used for recipient administration for Parts A, C, D</w:t>
      </w:r>
      <w:r w:rsidR="0060664F">
        <w:rPr>
          <w:rFonts w:ascii="Arial" w:hAnsi="Arial" w:cs="Arial"/>
          <w:sz w:val="24"/>
        </w:rPr>
        <w:t>, and EHE</w:t>
      </w:r>
      <w:r w:rsidRPr="009B1CE0">
        <w:rPr>
          <w:rFonts w:ascii="Arial" w:hAnsi="Arial" w:cs="Arial"/>
          <w:sz w:val="24"/>
        </w:rPr>
        <w:t>.</w:t>
      </w:r>
    </w:p>
    <w:p w:rsidR="005B4FDE" w:rsidRPr="009B1CE0" w:rsidP="009B1CE0" w14:paraId="67811F65" w14:textId="77B50A93">
      <w:pPr>
        <w:pStyle w:val="BodyText2"/>
        <w:widowControl/>
        <w:numPr>
          <w:ilvl w:val="1"/>
          <w:numId w:val="63"/>
        </w:numPr>
        <w:autoSpaceDE/>
        <w:autoSpaceDN/>
        <w:adjustRightInd/>
        <w:spacing w:before="120" w:after="0" w:line="240" w:lineRule="auto"/>
        <w:rPr>
          <w:rFonts w:ascii="Arial" w:hAnsi="Arial" w:cs="Arial"/>
          <w:sz w:val="24"/>
        </w:rPr>
      </w:pPr>
      <w:r w:rsidRPr="009B1CE0">
        <w:rPr>
          <w:rFonts w:ascii="Arial" w:hAnsi="Arial" w:cs="Arial"/>
          <w:sz w:val="24"/>
        </w:rPr>
        <w:t>No more than 5 percent of your agency’s total current year award, or $3 million of the grant, may be used for clinical quality management for Parts A, B, and EHE.</w:t>
      </w:r>
    </w:p>
    <w:p w:rsidR="00990138" w:rsidRPr="009B1CE0" w:rsidP="009B1CE0" w14:paraId="25591EEF" w14:textId="193E32B0">
      <w:pPr>
        <w:pStyle w:val="BodyText2"/>
        <w:widowControl/>
        <w:numPr>
          <w:ilvl w:val="1"/>
          <w:numId w:val="63"/>
        </w:numPr>
        <w:autoSpaceDE/>
        <w:autoSpaceDN/>
        <w:adjustRightInd/>
        <w:spacing w:before="120" w:after="0" w:line="240" w:lineRule="auto"/>
        <w:rPr>
          <w:rFonts w:ascii="Arial" w:hAnsi="Arial" w:cs="Arial"/>
          <w:sz w:val="24"/>
        </w:rPr>
      </w:pPr>
      <w:r w:rsidRPr="009B1CE0">
        <w:rPr>
          <w:rFonts w:ascii="Arial" w:hAnsi="Arial" w:cs="Arial"/>
          <w:sz w:val="24"/>
        </w:rPr>
        <w:t>No more than 10% of Part B grant funds were used for planning and evaluation, or recipient administration. In addition, the combined total of these two categories should not exceed 15%.</w:t>
      </w:r>
    </w:p>
    <w:p w:rsidR="00990138" w:rsidRPr="00FB70E0" w:rsidP="00314859" w14:paraId="67047071" w14:textId="77777777">
      <w:pPr>
        <w:pStyle w:val="BodyText2"/>
        <w:widowControl/>
        <w:numPr>
          <w:ilvl w:val="0"/>
          <w:numId w:val="63"/>
        </w:numPr>
        <w:autoSpaceDE/>
        <w:autoSpaceDN/>
        <w:adjustRightInd/>
        <w:spacing w:before="120" w:after="0" w:line="240" w:lineRule="auto"/>
        <w:rPr>
          <w:rFonts w:ascii="Arial" w:hAnsi="Arial" w:cs="Arial"/>
          <w:sz w:val="24"/>
        </w:rPr>
      </w:pPr>
      <w:r w:rsidRPr="00FB70E0">
        <w:rPr>
          <w:rFonts w:ascii="Arial" w:hAnsi="Arial" w:cs="Arial"/>
          <w:sz w:val="24"/>
        </w:rPr>
        <w:t xml:space="preserve">To monitor grant funds for compliance with the amounts expended to specific program components and service categories. </w:t>
      </w:r>
    </w:p>
    <w:p w:rsidR="00990138" w:rsidRPr="00FB70E0" w:rsidP="00314859" w14:paraId="305A930B" w14:textId="77777777">
      <w:pPr>
        <w:pStyle w:val="BodyText2"/>
        <w:widowControl/>
        <w:numPr>
          <w:ilvl w:val="0"/>
          <w:numId w:val="63"/>
        </w:numPr>
        <w:autoSpaceDE/>
        <w:autoSpaceDN/>
        <w:adjustRightInd/>
        <w:spacing w:before="120" w:after="0" w:line="240" w:lineRule="auto"/>
        <w:rPr>
          <w:rFonts w:ascii="Arial" w:hAnsi="Arial" w:cs="Arial"/>
          <w:sz w:val="24"/>
        </w:rPr>
      </w:pPr>
      <w:r w:rsidRPr="00FB70E0">
        <w:rPr>
          <w:rFonts w:ascii="Arial" w:hAnsi="Arial" w:cs="Arial"/>
          <w:sz w:val="24"/>
        </w:rPr>
        <w:t>To assess progress toward meeting the national goals for Ending the HIV Epidemic.</w:t>
      </w:r>
    </w:p>
    <w:p w:rsidR="00C033BE" w:rsidP="00C033BE" w14:paraId="61EBC253" w14:textId="2D372671">
      <w:pPr>
        <w:pStyle w:val="ListParagraph"/>
        <w:spacing w:before="120"/>
        <w:ind w:left="360"/>
        <w:rPr>
          <w:rFonts w:ascii="Arial" w:hAnsi="Arial" w:cs="Arial"/>
          <w:sz w:val="24"/>
        </w:rPr>
      </w:pPr>
      <w:r w:rsidRPr="4BC7A862">
        <w:rPr>
          <w:rFonts w:ascii="Arial" w:hAnsi="Arial" w:cs="Arial"/>
          <w:sz w:val="24"/>
        </w:rPr>
        <w:t xml:space="preserve">In addition to meeting the </w:t>
      </w:r>
      <w:r w:rsidRPr="4BC7A862" w:rsidR="69AD4720">
        <w:rPr>
          <w:rFonts w:ascii="Arial" w:hAnsi="Arial" w:cs="Arial"/>
          <w:sz w:val="24"/>
        </w:rPr>
        <w:t>statutory and program requirements</w:t>
      </w:r>
      <w:r w:rsidRPr="4BC7A862">
        <w:rPr>
          <w:rFonts w:ascii="Arial" w:hAnsi="Arial" w:cs="Arial"/>
          <w:sz w:val="24"/>
        </w:rPr>
        <w:t>, information collected is critical for HRSA, state, and local recipients, and individual providers to assess the status of existing HIV-related service delivery systems</w:t>
      </w:r>
      <w:r w:rsidR="00027711">
        <w:rPr>
          <w:rFonts w:ascii="Arial" w:hAnsi="Arial" w:cs="Arial"/>
          <w:sz w:val="24"/>
        </w:rPr>
        <w:t xml:space="preserve">. </w:t>
      </w:r>
    </w:p>
    <w:p w:rsidR="009B3794" w:rsidRPr="00841517" w:rsidP="00841517" w14:paraId="22E2A300" w14:textId="3C8C0014">
      <w:pPr>
        <w:pStyle w:val="ListParagraph"/>
        <w:numPr>
          <w:ilvl w:val="0"/>
          <w:numId w:val="70"/>
        </w:numPr>
        <w:spacing w:before="120"/>
        <w:rPr>
          <w:rFonts w:ascii="Arial" w:hAnsi="Arial" w:cs="Arial"/>
          <w:sz w:val="24"/>
        </w:rPr>
      </w:pPr>
      <w:r w:rsidRPr="00841517">
        <w:rPr>
          <w:rFonts w:ascii="Arial" w:hAnsi="Arial" w:cs="Arial"/>
          <w:b/>
          <w:sz w:val="24"/>
          <w:u w:val="single"/>
        </w:rPr>
        <w:t>Use of Improved Information Technology and Burden Reduction</w:t>
      </w:r>
    </w:p>
    <w:p w:rsidR="009B3794" w:rsidRPr="00FB70E0" w:rsidP="00B0617D" w14:paraId="22E2A304" w14:textId="614B382C">
      <w:pPr>
        <w:widowControl/>
        <w:spacing w:before="120"/>
        <w:ind w:left="360"/>
        <w:rPr>
          <w:rFonts w:ascii="Arial" w:hAnsi="Arial" w:cs="Arial"/>
          <w:sz w:val="24"/>
        </w:rPr>
      </w:pPr>
      <w:r w:rsidRPr="00FB70E0">
        <w:rPr>
          <w:rFonts w:ascii="Arial" w:hAnsi="Arial" w:cs="Arial"/>
          <w:sz w:val="24"/>
        </w:rPr>
        <w:t>All submissions will be fully electronic in the EHB</w:t>
      </w:r>
      <w:r w:rsidR="00D810C4">
        <w:rPr>
          <w:rFonts w:ascii="Arial" w:hAnsi="Arial" w:cs="Arial"/>
          <w:sz w:val="24"/>
        </w:rPr>
        <w:t>s</w:t>
      </w:r>
      <w:r w:rsidR="00027711">
        <w:rPr>
          <w:rFonts w:ascii="Arial" w:hAnsi="Arial" w:cs="Arial"/>
          <w:sz w:val="24"/>
        </w:rPr>
        <w:t xml:space="preserve">. </w:t>
      </w:r>
      <w:r w:rsidRPr="00FB70E0">
        <w:rPr>
          <w:rFonts w:ascii="Arial" w:hAnsi="Arial" w:cs="Arial"/>
          <w:sz w:val="24"/>
        </w:rPr>
        <w:t>To avoid duplication and reduce recipient reporting burden, HRSA also created an electronic grantee contract management system (</w:t>
      </w:r>
      <w:r w:rsidR="00D810C4">
        <w:rPr>
          <w:rFonts w:ascii="Arial" w:hAnsi="Arial" w:cs="Arial"/>
          <w:sz w:val="24"/>
        </w:rPr>
        <w:t xml:space="preserve">known as </w:t>
      </w:r>
      <w:r w:rsidRPr="00FB70E0">
        <w:rPr>
          <w:rFonts w:ascii="Arial" w:hAnsi="Arial" w:cs="Arial"/>
          <w:sz w:val="24"/>
        </w:rPr>
        <w:t>GCMS) that includes data required for various reports, including the Allocations Report, the Consolidated List of Contractors, and other HRSA data reports, such as the RWHAP Services Report</w:t>
      </w:r>
      <w:r w:rsidRPr="00FB70E0">
        <w:rPr>
          <w:rFonts w:ascii="Arial" w:hAnsi="Arial" w:cs="Arial"/>
          <w:sz w:val="24"/>
        </w:rPr>
        <w:t>.</w:t>
      </w:r>
      <w:r w:rsidRPr="00FB70E0">
        <w:rPr>
          <w:rFonts w:ascii="Arial" w:hAnsi="Arial" w:cs="Arial"/>
          <w:sz w:val="24"/>
        </w:rPr>
        <w:tab/>
      </w:r>
    </w:p>
    <w:p w:rsidR="009B3794" w:rsidRPr="00FB70E0" w:rsidP="00260A31" w14:paraId="22E2A305" w14:textId="63A2E3AA">
      <w:pPr>
        <w:numPr>
          <w:ilvl w:val="0"/>
          <w:numId w:val="68"/>
        </w:numPr>
        <w:spacing w:before="120"/>
        <w:rPr>
          <w:rFonts w:ascii="Arial" w:hAnsi="Arial" w:cs="Arial"/>
          <w:b/>
          <w:bCs/>
          <w:sz w:val="24"/>
        </w:rPr>
      </w:pPr>
      <w:r w:rsidRPr="00FB70E0">
        <w:rPr>
          <w:rFonts w:ascii="Arial" w:hAnsi="Arial" w:cs="Arial"/>
          <w:b/>
          <w:bCs/>
          <w:sz w:val="24"/>
          <w:u w:val="single"/>
        </w:rPr>
        <w:t>Efforts to Identify Duplication and Use of Similar Information</w:t>
      </w:r>
    </w:p>
    <w:p w:rsidR="009B3794" w:rsidRPr="00FB70E0" w:rsidP="4BC7A862" w14:paraId="22E2A306" w14:textId="1DB6D524">
      <w:pPr>
        <w:spacing w:before="120"/>
        <w:ind w:left="360"/>
        <w:rPr>
          <w:rFonts w:ascii="Arial" w:hAnsi="Arial" w:cs="Arial"/>
          <w:b/>
          <w:bCs/>
          <w:sz w:val="24"/>
        </w:rPr>
      </w:pPr>
      <w:r w:rsidRPr="4BC7A862">
        <w:rPr>
          <w:rStyle w:val="BodyTextFi"/>
          <w:rFonts w:ascii="Arial" w:hAnsi="Arial" w:cs="Arial"/>
          <w:sz w:val="24"/>
        </w:rPr>
        <w:t>The information that is requested in the Expenditures Report is unique to HRSA’s RWHAP and EHE grant programs. Accounting data of the type required are not available elsewhere</w:t>
      </w:r>
      <w:r w:rsidRPr="4BC7A862" w:rsidR="7BE9CEFC">
        <w:rPr>
          <w:rFonts w:ascii="Arial" w:hAnsi="Arial" w:cs="Arial"/>
          <w:sz w:val="24"/>
        </w:rPr>
        <w:t>.</w:t>
      </w:r>
    </w:p>
    <w:p w:rsidR="009B3794" w:rsidRPr="00FB70E0" w:rsidP="00841517" w14:paraId="22E2A307" w14:textId="77777777">
      <w:pPr>
        <w:numPr>
          <w:ilvl w:val="0"/>
          <w:numId w:val="68"/>
        </w:numPr>
        <w:spacing w:before="120"/>
        <w:rPr>
          <w:rFonts w:ascii="Arial" w:hAnsi="Arial" w:cs="Arial"/>
          <w:color w:val="000000"/>
          <w:sz w:val="24"/>
        </w:rPr>
      </w:pPr>
      <w:r w:rsidRPr="00FB70E0">
        <w:rPr>
          <w:rFonts w:ascii="Arial" w:hAnsi="Arial" w:cs="Arial"/>
          <w:b/>
          <w:sz w:val="24"/>
          <w:u w:val="single"/>
        </w:rPr>
        <w:t>Impact on Small Businesses or Other Small Entities</w:t>
      </w:r>
    </w:p>
    <w:p w:rsidR="009B3794" w:rsidRPr="00FB70E0" w:rsidP="00B13F07" w14:paraId="22E2A30C" w14:textId="22DA4EF7">
      <w:pPr>
        <w:spacing w:before="120"/>
        <w:ind w:left="360"/>
        <w:rPr>
          <w:rFonts w:ascii="Arial" w:hAnsi="Arial" w:cs="Arial"/>
          <w:b/>
          <w:bCs/>
          <w:sz w:val="24"/>
        </w:rPr>
      </w:pPr>
      <w:r w:rsidRPr="00FB70E0">
        <w:rPr>
          <w:rStyle w:val="BodyTextFi"/>
          <w:rFonts w:ascii="Arial" w:hAnsi="Arial" w:cs="Arial"/>
          <w:sz w:val="24"/>
        </w:rPr>
        <w:t>This information collection does not have a significant impact on small businesses or other small entities</w:t>
      </w:r>
      <w:r w:rsidRPr="00FB70E0">
        <w:rPr>
          <w:rFonts w:ascii="Arial" w:hAnsi="Arial" w:cs="Arial"/>
          <w:color w:val="000000"/>
          <w:sz w:val="24"/>
        </w:rPr>
        <w:t>.</w:t>
      </w:r>
    </w:p>
    <w:p w:rsidR="009B3794" w:rsidRPr="00FB70E0" w:rsidP="00841517" w14:paraId="22E2A30D" w14:textId="77777777">
      <w:pPr>
        <w:numPr>
          <w:ilvl w:val="0"/>
          <w:numId w:val="68"/>
        </w:numPr>
        <w:spacing w:before="120"/>
        <w:rPr>
          <w:rFonts w:ascii="Arial" w:hAnsi="Arial" w:cs="Arial"/>
          <w:b/>
          <w:sz w:val="24"/>
        </w:rPr>
      </w:pPr>
      <w:r w:rsidRPr="00FB70E0">
        <w:rPr>
          <w:rFonts w:ascii="Arial" w:hAnsi="Arial" w:cs="Arial"/>
          <w:b/>
          <w:sz w:val="24"/>
          <w:u w:val="single"/>
        </w:rPr>
        <w:t>Consequences of Collecting the Information Less Frequent</w:t>
      </w:r>
      <w:r w:rsidRPr="00FB70E0" w:rsidR="001325B2">
        <w:rPr>
          <w:rFonts w:ascii="Arial" w:hAnsi="Arial" w:cs="Arial"/>
          <w:b/>
          <w:sz w:val="24"/>
          <w:u w:val="single"/>
        </w:rPr>
        <w:t>ly</w:t>
      </w:r>
    </w:p>
    <w:p w:rsidR="00AB745C" w:rsidRPr="00FB70E0" w:rsidP="4BC7A862" w14:paraId="6FA1D3D5" w14:textId="5C4F4008">
      <w:pPr>
        <w:pStyle w:val="BodyText2"/>
        <w:spacing w:line="240" w:lineRule="auto"/>
        <w:ind w:left="360"/>
        <w:rPr>
          <w:rStyle w:val="BodyTextFi"/>
          <w:rFonts w:ascii="Arial" w:hAnsi="Arial" w:cs="Arial"/>
          <w:sz w:val="24"/>
        </w:rPr>
      </w:pPr>
      <w:r w:rsidRPr="4BC7A862">
        <w:rPr>
          <w:rStyle w:val="BodyTextFi"/>
          <w:rFonts w:ascii="Arial" w:hAnsi="Arial" w:cs="Arial"/>
          <w:sz w:val="24"/>
        </w:rPr>
        <w:t xml:space="preserve">Without annual reporting on the use of grant funds, HRSA would not </w:t>
      </w:r>
      <w:r w:rsidRPr="4BC7A862" w:rsidR="652C2A9E">
        <w:rPr>
          <w:rStyle w:val="BodyTextFi"/>
          <w:rFonts w:ascii="Arial" w:hAnsi="Arial" w:cs="Arial"/>
          <w:sz w:val="24"/>
        </w:rPr>
        <w:t>fulfill</w:t>
      </w:r>
      <w:r w:rsidRPr="4BC7A862">
        <w:rPr>
          <w:rStyle w:val="BodyTextFi"/>
          <w:rFonts w:ascii="Arial" w:hAnsi="Arial" w:cs="Arial"/>
          <w:sz w:val="24"/>
        </w:rPr>
        <w:t xml:space="preserve"> its responsibility to </w:t>
      </w:r>
      <w:r w:rsidRPr="4BC7A862" w:rsidR="652C2A9E">
        <w:rPr>
          <w:rStyle w:val="BodyTextFi"/>
          <w:rFonts w:ascii="Arial" w:hAnsi="Arial" w:cs="Arial"/>
          <w:sz w:val="24"/>
        </w:rPr>
        <w:t xml:space="preserve">ensure </w:t>
      </w:r>
      <w:r w:rsidRPr="4BC7A862">
        <w:rPr>
          <w:rStyle w:val="BodyTextFi"/>
          <w:rFonts w:ascii="Arial" w:hAnsi="Arial" w:cs="Arial"/>
          <w:sz w:val="24"/>
        </w:rPr>
        <w:t xml:space="preserve">compliance with </w:t>
      </w:r>
      <w:r w:rsidRPr="4BC7A862" w:rsidR="0D18E851">
        <w:rPr>
          <w:rStyle w:val="BodyTextFi"/>
          <w:rFonts w:ascii="Arial" w:hAnsi="Arial" w:cs="Arial"/>
          <w:sz w:val="24"/>
        </w:rPr>
        <w:t>the RWHAP statute</w:t>
      </w:r>
      <w:r w:rsidRPr="4BC7A862">
        <w:rPr>
          <w:rStyle w:val="BodyTextFi"/>
          <w:rFonts w:ascii="Arial" w:hAnsi="Arial" w:cs="Arial"/>
          <w:sz w:val="24"/>
        </w:rPr>
        <w:t xml:space="preserve"> in a timely manner. </w:t>
      </w:r>
      <w:r w:rsidRPr="4BC7A862" w:rsidR="6C2DB387">
        <w:rPr>
          <w:rStyle w:val="BodyTextFi"/>
          <w:rFonts w:ascii="Arial" w:hAnsi="Arial" w:cs="Arial"/>
          <w:sz w:val="24"/>
        </w:rPr>
        <w:t>As the</w:t>
      </w:r>
      <w:r w:rsidRPr="4BC7A862">
        <w:rPr>
          <w:rStyle w:val="BodyTextFi"/>
          <w:rFonts w:ascii="Arial" w:hAnsi="Arial" w:cs="Arial"/>
          <w:sz w:val="24"/>
        </w:rPr>
        <w:t xml:space="preserve"> needs of jurisdictions </w:t>
      </w:r>
      <w:r w:rsidRPr="4BC7A862" w:rsidR="6C2DB387">
        <w:rPr>
          <w:rStyle w:val="BodyTextFi"/>
          <w:rFonts w:ascii="Arial" w:hAnsi="Arial" w:cs="Arial"/>
          <w:sz w:val="24"/>
        </w:rPr>
        <w:t xml:space="preserve">to serve people with HIV </w:t>
      </w:r>
      <w:r w:rsidRPr="4BC7A862">
        <w:rPr>
          <w:rStyle w:val="BodyTextFi"/>
          <w:rFonts w:ascii="Arial" w:hAnsi="Arial" w:cs="Arial"/>
          <w:sz w:val="24"/>
        </w:rPr>
        <w:t xml:space="preserve">are changing constantly, annual reporting of recipient expenditures </w:t>
      </w:r>
      <w:r w:rsidRPr="4BC7A862" w:rsidR="00866BE4">
        <w:rPr>
          <w:rStyle w:val="BodyTextFi"/>
          <w:rFonts w:ascii="Arial" w:hAnsi="Arial" w:cs="Arial"/>
          <w:sz w:val="24"/>
        </w:rPr>
        <w:t>are</w:t>
      </w:r>
      <w:r w:rsidRPr="4BC7A862">
        <w:rPr>
          <w:rStyle w:val="BodyTextFi"/>
          <w:rFonts w:ascii="Arial" w:hAnsi="Arial" w:cs="Arial"/>
          <w:sz w:val="24"/>
        </w:rPr>
        <w:t xml:space="preserve"> necessary to determine whether the administration of the funds is responding to these changes.</w:t>
      </w:r>
    </w:p>
    <w:p w:rsidR="00AB745C" w:rsidRPr="00FB70E0" w:rsidP="00AB745C" w14:paraId="2FC2002C" w14:textId="419559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rPr>
          <w:rStyle w:val="BodyTextFi"/>
          <w:rFonts w:ascii="Arial" w:hAnsi="Arial" w:cs="Arial"/>
          <w:sz w:val="24"/>
        </w:rPr>
      </w:pPr>
      <w:r w:rsidRPr="00FB70E0">
        <w:rPr>
          <w:rStyle w:val="BodyTextFi"/>
          <w:rFonts w:ascii="Arial" w:hAnsi="Arial" w:cs="Arial"/>
          <w:sz w:val="24"/>
        </w:rPr>
        <w:tab/>
      </w:r>
      <w:r w:rsidRPr="00FB70E0">
        <w:rPr>
          <w:rStyle w:val="BodyTextFi"/>
          <w:rFonts w:ascii="Arial" w:hAnsi="Arial" w:cs="Arial"/>
          <w:sz w:val="24"/>
        </w:rPr>
        <w:t xml:space="preserve">If the information is not collected at all: </w:t>
      </w:r>
    </w:p>
    <w:p w:rsidR="00BB3B9B" w:rsidRPr="00FB70E0" w:rsidP="4BC7A862" w14:paraId="6FD1DF2A" w14:textId="175E402B">
      <w:pPr>
        <w:pStyle w:val="ListParagraph"/>
        <w:widowControl/>
        <w:numPr>
          <w:ilvl w:val="0"/>
          <w:numId w:val="65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after="120"/>
        <w:rPr>
          <w:rStyle w:val="BodyTextFi"/>
          <w:rFonts w:ascii="Arial" w:hAnsi="Arial" w:cs="Arial"/>
          <w:sz w:val="24"/>
        </w:rPr>
      </w:pPr>
      <w:r w:rsidRPr="4BC7A862">
        <w:rPr>
          <w:rStyle w:val="BodyTextFi"/>
          <w:rFonts w:ascii="Arial" w:hAnsi="Arial" w:cs="Arial"/>
          <w:sz w:val="24"/>
        </w:rPr>
        <w:t xml:space="preserve">HRSA will </w:t>
      </w:r>
      <w:r w:rsidRPr="4BC7A862" w:rsidR="17CF483C">
        <w:rPr>
          <w:rStyle w:val="BodyTextFi"/>
          <w:rFonts w:ascii="Arial" w:hAnsi="Arial" w:cs="Arial"/>
          <w:sz w:val="24"/>
        </w:rPr>
        <w:t xml:space="preserve">not </w:t>
      </w:r>
      <w:r w:rsidRPr="4BC7A862" w:rsidR="17CF483C">
        <w:rPr>
          <w:rStyle w:val="BodyTextFi"/>
          <w:rFonts w:ascii="Arial" w:hAnsi="Arial" w:cs="Arial"/>
          <w:sz w:val="24"/>
        </w:rPr>
        <w:t>be in compliance with</w:t>
      </w:r>
      <w:r w:rsidRPr="4BC7A862" w:rsidR="17CF483C">
        <w:rPr>
          <w:rStyle w:val="BodyTextFi"/>
          <w:rFonts w:ascii="Arial" w:hAnsi="Arial" w:cs="Arial"/>
          <w:sz w:val="24"/>
        </w:rPr>
        <w:t xml:space="preserve"> the RWHAP statute</w:t>
      </w:r>
      <w:r w:rsidR="00A96E73">
        <w:rPr>
          <w:rStyle w:val="BodyTextFi"/>
          <w:rFonts w:ascii="Arial" w:hAnsi="Arial" w:cs="Arial"/>
          <w:sz w:val="24"/>
        </w:rPr>
        <w:t xml:space="preserve"> (42 U.S.C. </w:t>
      </w:r>
      <w:r w:rsidRPr="00A96E73" w:rsidR="00A96E73">
        <w:rPr>
          <w:rStyle w:val="BodyTextFi"/>
          <w:rFonts w:ascii="Arial" w:hAnsi="Arial" w:cs="Arial"/>
          <w:sz w:val="24"/>
        </w:rPr>
        <w:t>300ff–14</w:t>
      </w:r>
      <w:r w:rsidR="00A96E73">
        <w:rPr>
          <w:rStyle w:val="BodyTextFi"/>
          <w:rFonts w:ascii="Arial" w:hAnsi="Arial" w:cs="Arial"/>
          <w:sz w:val="24"/>
        </w:rPr>
        <w:t>)</w:t>
      </w:r>
      <w:r w:rsidRPr="4BC7A862" w:rsidR="17CF483C">
        <w:rPr>
          <w:rStyle w:val="BodyTextFi"/>
          <w:rFonts w:ascii="Arial" w:hAnsi="Arial" w:cs="Arial"/>
          <w:sz w:val="24"/>
        </w:rPr>
        <w:t xml:space="preserve">. </w:t>
      </w:r>
    </w:p>
    <w:p w:rsidR="00BB3B9B" w:rsidRPr="00FB70E0" w:rsidP="4BC7A862" w14:paraId="62AF318A" w14:textId="6B0AE931">
      <w:pPr>
        <w:pStyle w:val="ListParagraph"/>
        <w:widowControl/>
        <w:numPr>
          <w:ilvl w:val="0"/>
          <w:numId w:val="65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after="120"/>
        <w:rPr>
          <w:rStyle w:val="BodyTextFi"/>
          <w:rFonts w:ascii="Arial" w:hAnsi="Arial" w:cs="Arial"/>
          <w:sz w:val="24"/>
        </w:rPr>
      </w:pPr>
      <w:r w:rsidRPr="4BC7A862">
        <w:rPr>
          <w:rStyle w:val="BodyTextFi"/>
          <w:rFonts w:ascii="Arial" w:hAnsi="Arial" w:cs="Arial"/>
          <w:sz w:val="24"/>
        </w:rPr>
        <w:t xml:space="preserve">HRSA will </w:t>
      </w:r>
      <w:r w:rsidRPr="4BC7A862" w:rsidR="550FBFFB">
        <w:rPr>
          <w:rStyle w:val="BodyTextFi"/>
          <w:rFonts w:ascii="Arial" w:hAnsi="Arial" w:cs="Arial"/>
          <w:sz w:val="24"/>
        </w:rPr>
        <w:t xml:space="preserve">not know or be able to report on how funds are being expended and whether expenditure requirements are being met. </w:t>
      </w:r>
    </w:p>
    <w:p w:rsidR="009B3794" w:rsidRPr="00FB70E0" w:rsidP="00BB3B9B" w14:paraId="22E2A311" w14:textId="67A2915B">
      <w:pPr>
        <w:pStyle w:val="ListParagraph"/>
        <w:widowControl/>
        <w:numPr>
          <w:ilvl w:val="0"/>
          <w:numId w:val="65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after="120"/>
        <w:rPr>
          <w:rFonts w:ascii="Arial" w:hAnsi="Arial" w:cs="Arial"/>
          <w:sz w:val="24"/>
        </w:rPr>
      </w:pPr>
      <w:r w:rsidRPr="00FB70E0">
        <w:rPr>
          <w:rStyle w:val="BulletInden"/>
          <w:rFonts w:ascii="Arial" w:hAnsi="Arial" w:cs="Arial"/>
          <w:sz w:val="24"/>
        </w:rPr>
        <w:t>It would be difficult to determine how the expenditures of RWHAP funds are changing from one year to the next</w:t>
      </w:r>
      <w:r w:rsidRPr="00FB70E0">
        <w:rPr>
          <w:rFonts w:ascii="Arial" w:hAnsi="Arial" w:cs="Arial"/>
          <w:b/>
          <w:bCs/>
          <w:color w:val="000000" w:themeColor="text1"/>
          <w:sz w:val="24"/>
        </w:rPr>
        <w:t>.</w:t>
      </w:r>
    </w:p>
    <w:p w:rsidR="009B3794" w:rsidRPr="00FB70E0" w:rsidP="00E6726E" w14:paraId="22E2A312" w14:textId="77777777">
      <w:pPr>
        <w:numPr>
          <w:ilvl w:val="0"/>
          <w:numId w:val="68"/>
        </w:numPr>
        <w:spacing w:before="240"/>
        <w:rPr>
          <w:rFonts w:ascii="Arial" w:hAnsi="Arial" w:cs="Arial"/>
          <w:b/>
          <w:sz w:val="24"/>
        </w:rPr>
      </w:pPr>
      <w:r w:rsidRPr="00FB70E0">
        <w:rPr>
          <w:rFonts w:ascii="Arial" w:hAnsi="Arial" w:cs="Arial"/>
          <w:b/>
          <w:sz w:val="24"/>
          <w:u w:val="single"/>
        </w:rPr>
        <w:t>Special Circumstances Relating to the Guidelines of 5 CFR 1320.5</w:t>
      </w:r>
    </w:p>
    <w:p w:rsidR="009B3794" w:rsidRPr="00FB70E0" w:rsidP="00626FAE" w14:paraId="22E2A31B" w14:textId="7F3ECCF8">
      <w:pPr>
        <w:widowControl/>
        <w:spacing w:before="120"/>
        <w:ind w:left="360"/>
        <w:rPr>
          <w:rFonts w:ascii="Arial" w:hAnsi="Arial" w:cs="Arial"/>
          <w:b/>
          <w:sz w:val="24"/>
        </w:rPr>
      </w:pPr>
      <w:r w:rsidRPr="00FB70E0">
        <w:rPr>
          <w:rStyle w:val="BodyTextFi"/>
          <w:rFonts w:ascii="Arial" w:hAnsi="Arial" w:cs="Arial"/>
          <w:sz w:val="24"/>
        </w:rPr>
        <w:t>The data will be collected in a manner fully consistent with the guidelines in 5 CFR 1320.5</w:t>
      </w:r>
      <w:r w:rsidRPr="00653F2C">
        <w:rPr>
          <w:rFonts w:ascii="Arial" w:eastAsia="Arial" w:hAnsi="Arial" w:cs="Arial"/>
          <w:b/>
          <w:bCs/>
          <w:sz w:val="24"/>
        </w:rPr>
        <w:t>.</w:t>
      </w:r>
    </w:p>
    <w:p w:rsidR="009B3794" w:rsidRPr="00FB70E0" w:rsidP="00E6726E" w14:paraId="22E2A31C" w14:textId="77777777">
      <w:pPr>
        <w:numPr>
          <w:ilvl w:val="0"/>
          <w:numId w:val="68"/>
        </w:numPr>
        <w:spacing w:before="240"/>
        <w:rPr>
          <w:rFonts w:ascii="Arial" w:hAnsi="Arial" w:cs="Arial"/>
          <w:b/>
          <w:sz w:val="24"/>
        </w:rPr>
      </w:pPr>
      <w:r w:rsidRPr="00FB70E0">
        <w:rPr>
          <w:rFonts w:ascii="Arial" w:hAnsi="Arial" w:cs="Arial"/>
          <w:b/>
          <w:iCs/>
          <w:sz w:val="24"/>
          <w:u w:val="single"/>
        </w:rPr>
        <w:t>Comments in Response to the Federal Register</w:t>
      </w:r>
      <w:r w:rsidRPr="00FB70E0">
        <w:rPr>
          <w:rFonts w:ascii="Arial" w:hAnsi="Arial" w:cs="Arial"/>
          <w:b/>
          <w:sz w:val="24"/>
          <w:u w:val="single"/>
        </w:rPr>
        <w:t xml:space="preserve"> Notice/Outside Consultation</w:t>
      </w:r>
    </w:p>
    <w:p w:rsidR="00DE3A45" w:rsidRPr="00FB70E0" w:rsidP="00CA3DA6" w14:paraId="22E2A31D" w14:textId="77777777">
      <w:pPr>
        <w:spacing w:before="120"/>
        <w:rPr>
          <w:rFonts w:ascii="Arial" w:hAnsi="Arial" w:cs="Arial"/>
          <w:b/>
          <w:sz w:val="24"/>
        </w:rPr>
      </w:pPr>
      <w:r w:rsidRPr="00FB70E0">
        <w:rPr>
          <w:rFonts w:ascii="Arial" w:hAnsi="Arial" w:cs="Arial"/>
          <w:b/>
          <w:sz w:val="24"/>
        </w:rPr>
        <w:t>Section 8A:</w:t>
      </w:r>
    </w:p>
    <w:p w:rsidR="0091449C" w:rsidRPr="00FB70E0" w:rsidP="554A507A" w14:paraId="71F8D467" w14:textId="60C7E032">
      <w:pPr>
        <w:spacing w:before="120"/>
        <w:ind w:left="360"/>
        <w:rPr>
          <w:rFonts w:ascii="Arial" w:hAnsi="Arial" w:cs="Arial"/>
          <w:sz w:val="24"/>
        </w:rPr>
      </w:pPr>
      <w:r w:rsidRPr="2AB3F7E3">
        <w:rPr>
          <w:rFonts w:ascii="Arial" w:hAnsi="Arial" w:cs="Arial"/>
          <w:sz w:val="24"/>
        </w:rPr>
        <w:t>A 60-day notice was published in the Federal Register on December 31, 2025, vol. 90, No. 247; pp. 61403-04</w:t>
      </w:r>
      <w:r w:rsidRPr="2AB3F7E3" w:rsidR="00027711">
        <w:rPr>
          <w:rFonts w:ascii="Arial" w:hAnsi="Arial" w:cs="Arial"/>
          <w:sz w:val="24"/>
        </w:rPr>
        <w:t xml:space="preserve">. </w:t>
      </w:r>
      <w:r w:rsidRPr="2AB3F7E3">
        <w:rPr>
          <w:rFonts w:ascii="Arial" w:hAnsi="Arial" w:cs="Arial"/>
          <w:sz w:val="24"/>
        </w:rPr>
        <w:t>One public comment was received, highlighting the time and effort required to submit the Expenditure Report and proposing three recommendations</w:t>
      </w:r>
      <w:r w:rsidRPr="2AB3F7E3" w:rsidR="00027711">
        <w:rPr>
          <w:rFonts w:ascii="Arial" w:hAnsi="Arial" w:cs="Arial"/>
          <w:sz w:val="24"/>
        </w:rPr>
        <w:t xml:space="preserve">. </w:t>
      </w:r>
      <w:r w:rsidRPr="2AB3F7E3">
        <w:rPr>
          <w:rFonts w:ascii="Arial" w:hAnsi="Arial" w:cs="Arial"/>
          <w:sz w:val="24"/>
        </w:rPr>
        <w:t>While the report submission timeline is set by statute and cannot be changed, HRSA will implement the other recommendations: adding bulk upload functionality and automating synchronization between the Consolidated List of Contractors and expenditure reports</w:t>
      </w:r>
      <w:r w:rsidRPr="2AB3F7E3" w:rsidR="19015CF1">
        <w:rPr>
          <w:rFonts w:ascii="Arial" w:hAnsi="Arial" w:cs="Arial"/>
          <w:sz w:val="24"/>
        </w:rPr>
        <w:t xml:space="preserve"> for the upcoming Expenditure Report </w:t>
      </w:r>
      <w:r w:rsidRPr="2AB3F7E3" w:rsidR="22D281E4">
        <w:rPr>
          <w:rFonts w:ascii="Arial" w:hAnsi="Arial" w:cs="Arial"/>
          <w:sz w:val="24"/>
        </w:rPr>
        <w:t>collection</w:t>
      </w:r>
      <w:r w:rsidRPr="2AB3F7E3" w:rsidR="701E4862">
        <w:rPr>
          <w:rFonts w:ascii="Arial" w:hAnsi="Arial" w:cs="Arial"/>
          <w:sz w:val="24"/>
        </w:rPr>
        <w:t xml:space="preserve"> in early 2027</w:t>
      </w:r>
      <w:r w:rsidRPr="2AB3F7E3" w:rsidR="22D281E4">
        <w:rPr>
          <w:rFonts w:ascii="Arial" w:hAnsi="Arial" w:cs="Arial"/>
          <w:sz w:val="24"/>
        </w:rPr>
        <w:t>.</w:t>
      </w:r>
    </w:p>
    <w:p w:rsidR="4B6CDB0D" w:rsidP="2AB3F7E3" w14:paraId="1C35102D" w14:textId="0B6FCC0E">
      <w:pPr>
        <w:spacing w:before="120"/>
        <w:ind w:left="360"/>
        <w:rPr>
          <w:rFonts w:ascii="Arial" w:hAnsi="Arial" w:cs="Arial"/>
          <w:sz w:val="24"/>
        </w:rPr>
      </w:pPr>
      <w:r w:rsidRPr="2AB3F7E3">
        <w:rPr>
          <w:rFonts w:ascii="Arial" w:hAnsi="Arial" w:cs="Arial"/>
          <w:sz w:val="24"/>
        </w:rPr>
        <w:t>A 30-day notice was published in the Federal Register on April 29, 2026, vol. 91, No.</w:t>
      </w:r>
      <w:r w:rsidRPr="2AB3F7E3" w:rsidR="4671C9E9">
        <w:rPr>
          <w:rFonts w:ascii="Arial" w:hAnsi="Arial" w:cs="Arial"/>
          <w:sz w:val="24"/>
        </w:rPr>
        <w:t xml:space="preserve"> 82, pp. </w:t>
      </w:r>
      <w:r w:rsidRPr="2AB3F7E3" w:rsidR="1746E375">
        <w:rPr>
          <w:rFonts w:ascii="Arial" w:hAnsi="Arial" w:cs="Arial"/>
          <w:sz w:val="24"/>
        </w:rPr>
        <w:t xml:space="preserve">23108-09. </w:t>
      </w:r>
    </w:p>
    <w:p w:rsidR="00DE3A45" w:rsidRPr="00FB70E0" w:rsidP="00CA3DA6" w14:paraId="22E2A321" w14:textId="551F5608">
      <w:pPr>
        <w:spacing w:before="120"/>
        <w:rPr>
          <w:rFonts w:ascii="Arial" w:hAnsi="Arial" w:cs="Arial"/>
          <w:b/>
          <w:sz w:val="24"/>
        </w:rPr>
      </w:pPr>
      <w:r w:rsidRPr="00FB70E0">
        <w:rPr>
          <w:rFonts w:ascii="Arial" w:hAnsi="Arial" w:cs="Arial"/>
          <w:b/>
          <w:sz w:val="24"/>
        </w:rPr>
        <w:t>Section 8B:</w:t>
      </w:r>
    </w:p>
    <w:p w:rsidR="00935E77" w:rsidRPr="00FB70E0" w:rsidP="00650124" w14:paraId="22E2A32D" w14:textId="2E84852D">
      <w:pPr>
        <w:spacing w:before="120"/>
        <w:ind w:left="360"/>
        <w:rPr>
          <w:rFonts w:ascii="Arial" w:hAnsi="Arial" w:cs="Arial"/>
          <w:b/>
          <w:sz w:val="24"/>
        </w:rPr>
      </w:pPr>
      <w:r w:rsidRPr="00FB70E0">
        <w:rPr>
          <w:rFonts w:ascii="Arial" w:hAnsi="Arial" w:cs="Arial"/>
          <w:sz w:val="24"/>
        </w:rPr>
        <w:t xml:space="preserve">In September 2025, nine grant recipients were asked to provide feedback on how changes to the </w:t>
      </w:r>
      <w:r w:rsidR="00515E9D">
        <w:rPr>
          <w:rFonts w:ascii="Arial" w:hAnsi="Arial" w:cs="Arial"/>
          <w:sz w:val="24"/>
        </w:rPr>
        <w:t>Expenditures</w:t>
      </w:r>
      <w:r w:rsidRPr="00FB70E0">
        <w:rPr>
          <w:rFonts w:ascii="Arial" w:hAnsi="Arial" w:cs="Arial"/>
          <w:sz w:val="24"/>
        </w:rPr>
        <w:t xml:space="preserve"> Forms might affect their data reporting</w:t>
      </w:r>
      <w:r w:rsidR="00027711">
        <w:rPr>
          <w:rFonts w:ascii="Arial" w:hAnsi="Arial" w:cs="Arial"/>
          <w:sz w:val="24"/>
        </w:rPr>
        <w:t xml:space="preserve">. </w:t>
      </w:r>
      <w:r w:rsidRPr="00FB70E0">
        <w:rPr>
          <w:rFonts w:ascii="Arial" w:hAnsi="Arial" w:cs="Arial"/>
          <w:sz w:val="24"/>
        </w:rPr>
        <w:t>Two recipients reported difficulty navigating the HRSA Electronic Handbooks (EH</w:t>
      </w:r>
      <w:r w:rsidR="00F537BA">
        <w:rPr>
          <w:rFonts w:ascii="Arial" w:hAnsi="Arial" w:cs="Arial"/>
          <w:sz w:val="24"/>
        </w:rPr>
        <w:t>B</w:t>
      </w:r>
      <w:r w:rsidRPr="00FB70E0">
        <w:rPr>
          <w:rFonts w:ascii="Arial" w:hAnsi="Arial" w:cs="Arial"/>
          <w:sz w:val="24"/>
        </w:rPr>
        <w:t>s</w:t>
      </w:r>
      <w:r w:rsidRPr="00FB70E0" w:rsidR="00535CA5">
        <w:rPr>
          <w:rFonts w:ascii="Arial" w:hAnsi="Arial" w:cs="Arial"/>
          <w:sz w:val="24"/>
        </w:rPr>
        <w:t>)</w:t>
      </w:r>
      <w:r w:rsidRPr="00FB70E0">
        <w:rPr>
          <w:rFonts w:ascii="Arial" w:hAnsi="Arial" w:cs="Arial"/>
          <w:sz w:val="24"/>
        </w:rPr>
        <w:t>.</w:t>
      </w:r>
    </w:p>
    <w:p w:rsidR="009B3794" w:rsidRPr="00FB70E0" w:rsidP="00E6726E" w14:paraId="22E2A32E" w14:textId="77777777">
      <w:pPr>
        <w:numPr>
          <w:ilvl w:val="0"/>
          <w:numId w:val="68"/>
        </w:numPr>
        <w:spacing w:before="120"/>
        <w:rPr>
          <w:rFonts w:ascii="Arial" w:hAnsi="Arial" w:cs="Arial"/>
          <w:b/>
          <w:sz w:val="24"/>
        </w:rPr>
      </w:pPr>
      <w:r w:rsidRPr="00FB70E0">
        <w:rPr>
          <w:rFonts w:ascii="Arial" w:hAnsi="Arial" w:cs="Arial"/>
          <w:b/>
          <w:sz w:val="24"/>
          <w:u w:val="single"/>
        </w:rPr>
        <w:t>Assurance of Confidentiality Provided to Respondents</w:t>
      </w:r>
    </w:p>
    <w:p w:rsidR="00EC1485" w:rsidRPr="00FB70E0" w:rsidP="00526678" w14:paraId="41D68D3B" w14:textId="6E704598">
      <w:pPr>
        <w:widowControl/>
        <w:spacing w:before="120"/>
        <w:ind w:left="360"/>
        <w:rPr>
          <w:rFonts w:ascii="Arial" w:hAnsi="Arial" w:cs="Arial"/>
          <w:sz w:val="24"/>
        </w:rPr>
      </w:pPr>
      <w:r w:rsidRPr="00FB70E0">
        <w:rPr>
          <w:rFonts w:ascii="Arial" w:hAnsi="Arial" w:cs="Arial"/>
          <w:sz w:val="24"/>
        </w:rPr>
        <w:t>The Expenditures Forms is a financial report and does not require any information that could identify individual clients</w:t>
      </w:r>
      <w:r w:rsidR="00027711">
        <w:rPr>
          <w:rFonts w:ascii="Arial" w:hAnsi="Arial" w:cs="Arial"/>
          <w:sz w:val="24"/>
        </w:rPr>
        <w:t xml:space="preserve">. </w:t>
      </w:r>
      <w:r w:rsidRPr="00FB70E0">
        <w:rPr>
          <w:rFonts w:ascii="Arial" w:hAnsi="Arial" w:cs="Arial"/>
          <w:sz w:val="24"/>
        </w:rPr>
        <w:t>Names and personal identifiers are not included in these financial reports</w:t>
      </w:r>
      <w:r w:rsidR="00027711">
        <w:rPr>
          <w:rFonts w:ascii="Arial" w:hAnsi="Arial" w:cs="Arial"/>
          <w:sz w:val="24"/>
        </w:rPr>
        <w:t xml:space="preserve">. </w:t>
      </w:r>
      <w:r w:rsidRPr="00FB70E0">
        <w:rPr>
          <w:rFonts w:ascii="Arial" w:hAnsi="Arial" w:cs="Arial"/>
          <w:sz w:val="24"/>
        </w:rPr>
        <w:t>The Privacy Act is not applicable to this activity</w:t>
      </w:r>
    </w:p>
    <w:p w:rsidR="009B3794" w:rsidRPr="00FB70E0" w:rsidP="00E6726E" w14:paraId="22E2A336" w14:textId="77777777">
      <w:pPr>
        <w:numPr>
          <w:ilvl w:val="0"/>
          <w:numId w:val="68"/>
        </w:numPr>
        <w:spacing w:before="120"/>
        <w:rPr>
          <w:rFonts w:ascii="Arial" w:hAnsi="Arial" w:cs="Arial"/>
          <w:b/>
          <w:sz w:val="24"/>
        </w:rPr>
      </w:pPr>
      <w:r w:rsidRPr="00FB70E0">
        <w:rPr>
          <w:rFonts w:ascii="Arial" w:hAnsi="Arial" w:cs="Arial"/>
          <w:b/>
          <w:sz w:val="24"/>
          <w:u w:val="single"/>
        </w:rPr>
        <w:t>Justification for Sensitive Questions</w:t>
      </w:r>
    </w:p>
    <w:p w:rsidR="009B3794" w:rsidRPr="00FB70E0" w:rsidP="00526678" w14:paraId="14617D0B" w14:textId="642AC47D">
      <w:pPr>
        <w:widowControl/>
        <w:spacing w:before="120"/>
        <w:ind w:left="360"/>
        <w:rPr>
          <w:rFonts w:ascii="Arial" w:hAnsi="Arial" w:cs="Arial"/>
          <w:sz w:val="24"/>
        </w:rPr>
      </w:pPr>
      <w:r w:rsidRPr="00FB70E0">
        <w:rPr>
          <w:rFonts w:ascii="Arial" w:hAnsi="Arial" w:cs="Arial"/>
          <w:sz w:val="24"/>
        </w:rPr>
        <w:t>There are no questions of a sensitive nature</w:t>
      </w:r>
      <w:r w:rsidR="00027711">
        <w:rPr>
          <w:rFonts w:ascii="Arial" w:hAnsi="Arial" w:cs="Arial"/>
          <w:sz w:val="24"/>
        </w:rPr>
        <w:t xml:space="preserve">. </w:t>
      </w:r>
    </w:p>
    <w:p w:rsidR="009B3794" w:rsidRPr="00FB70E0" w:rsidP="00E6726E" w14:paraId="22E2A33C" w14:textId="77777777">
      <w:pPr>
        <w:numPr>
          <w:ilvl w:val="0"/>
          <w:numId w:val="68"/>
        </w:numPr>
        <w:spacing w:before="120"/>
        <w:rPr>
          <w:rFonts w:ascii="Arial" w:hAnsi="Arial" w:cs="Arial"/>
          <w:sz w:val="24"/>
        </w:rPr>
      </w:pPr>
      <w:r w:rsidRPr="00FB70E0">
        <w:rPr>
          <w:rFonts w:ascii="Arial" w:hAnsi="Arial" w:cs="Arial"/>
          <w:b/>
          <w:bCs/>
          <w:sz w:val="24"/>
          <w:u w:val="single"/>
        </w:rPr>
        <w:t xml:space="preserve">Estimates of Annualized Hour and Cost Burden  </w:t>
      </w:r>
    </w:p>
    <w:p w:rsidR="00E543FE" w:rsidRPr="00FB70E0" w:rsidP="00A879BD" w14:paraId="53FE137B" w14:textId="61BCF33E">
      <w:pPr>
        <w:widowControl/>
        <w:spacing w:before="120"/>
        <w:ind w:left="360"/>
        <w:rPr>
          <w:rFonts w:ascii="Arial" w:hAnsi="Arial" w:cs="Arial"/>
          <w:sz w:val="24"/>
        </w:rPr>
      </w:pPr>
      <w:r w:rsidRPr="00FB70E0">
        <w:rPr>
          <w:rFonts w:ascii="Arial" w:hAnsi="Arial" w:cs="Arial"/>
          <w:sz w:val="24"/>
        </w:rPr>
        <w:t>Table 1 shows the estimated average annualized hour burden collected in September 2025</w:t>
      </w:r>
      <w:r w:rsidR="00027711">
        <w:rPr>
          <w:rFonts w:ascii="Arial" w:hAnsi="Arial" w:cs="Arial"/>
          <w:sz w:val="24"/>
        </w:rPr>
        <w:t xml:space="preserve">. </w:t>
      </w:r>
      <w:r w:rsidRPr="00FB70E0">
        <w:rPr>
          <w:rFonts w:ascii="Arial" w:hAnsi="Arial" w:cs="Arial"/>
          <w:sz w:val="24"/>
        </w:rPr>
        <w:t>The total estimated annual burden is 2,530 hours, which is lower than in the previous submission</w:t>
      </w:r>
      <w:r w:rsidR="00027711">
        <w:rPr>
          <w:rFonts w:ascii="Arial" w:hAnsi="Arial" w:cs="Arial"/>
          <w:sz w:val="24"/>
        </w:rPr>
        <w:t xml:space="preserve">. </w:t>
      </w:r>
      <w:r w:rsidRPr="00FB70E0">
        <w:rPr>
          <w:rFonts w:ascii="Arial" w:hAnsi="Arial" w:cs="Arial"/>
          <w:sz w:val="24"/>
        </w:rPr>
        <w:t>Significant changes to the prior proposal by HRSA may have contributed to the earlier increase in burden hours</w:t>
      </w:r>
      <w:r w:rsidR="00027711">
        <w:rPr>
          <w:rFonts w:ascii="Arial" w:hAnsi="Arial" w:cs="Arial"/>
          <w:sz w:val="24"/>
        </w:rPr>
        <w:t xml:space="preserve">. </w:t>
      </w:r>
      <w:r w:rsidRPr="00FB70E0">
        <w:rPr>
          <w:rFonts w:ascii="Arial" w:hAnsi="Arial" w:cs="Arial"/>
          <w:sz w:val="24"/>
        </w:rPr>
        <w:t>After three years of using the data collection tool, recipients are likely to be more comfortable and now report fewer burden hours.</w:t>
      </w:r>
    </w:p>
    <w:p w:rsidR="00AF7DCB" w:rsidP="000243B3" w14:paraId="35E9396A" w14:textId="77777777">
      <w:pPr>
        <w:widowControl/>
        <w:ind w:left="360"/>
        <w:rPr>
          <w:rFonts w:ascii="Arial" w:hAnsi="Arial" w:cs="Arial"/>
          <w:b/>
          <w:bCs/>
          <w:color w:val="00B050"/>
          <w:sz w:val="24"/>
        </w:rPr>
      </w:pPr>
      <w:r w:rsidRPr="00FB70E0">
        <w:rPr>
          <w:rFonts w:ascii="Arial" w:hAnsi="Arial" w:cs="Arial"/>
          <w:b/>
          <w:bCs/>
          <w:color w:val="00B050"/>
          <w:sz w:val="24"/>
        </w:rPr>
        <w:t xml:space="preserve"> </w:t>
      </w:r>
    </w:p>
    <w:p w:rsidR="009B3794" w:rsidRPr="00FB70E0" w:rsidP="00AF7DCB" w14:paraId="22E2A33F" w14:textId="0D2740AF">
      <w:pPr>
        <w:widowControl/>
        <w:spacing w:before="120"/>
        <w:ind w:left="360"/>
        <w:rPr>
          <w:rFonts w:ascii="Arial" w:hAnsi="Arial" w:cs="Arial"/>
          <w:b/>
          <w:sz w:val="24"/>
        </w:rPr>
      </w:pPr>
      <w:r w:rsidRPr="00FB70E0">
        <w:rPr>
          <w:rFonts w:ascii="Arial" w:hAnsi="Arial" w:cs="Arial"/>
          <w:b/>
          <w:sz w:val="24"/>
        </w:rPr>
        <w:t>12A.</w:t>
      </w:r>
      <w:r w:rsidRPr="00FB70E0" w:rsidR="00D81769">
        <w:rPr>
          <w:rFonts w:ascii="Arial" w:hAnsi="Arial" w:cs="Arial"/>
          <w:sz w:val="24"/>
        </w:rPr>
        <w:t xml:space="preserve"> </w:t>
      </w:r>
      <w:r w:rsidRPr="00FB70E0">
        <w:rPr>
          <w:rFonts w:ascii="Arial" w:hAnsi="Arial" w:cs="Arial"/>
          <w:b/>
          <w:sz w:val="24"/>
        </w:rPr>
        <w:t>Estimated Annualized Burden Hours</w:t>
      </w:r>
      <w:r w:rsidRPr="00FB70E0" w:rsidR="00BB3B9B">
        <w:rPr>
          <w:rFonts w:ascii="Arial" w:hAnsi="Arial" w:cs="Arial"/>
          <w:b/>
          <w:sz w:val="24"/>
        </w:rPr>
        <w:t xml:space="preserve"> (Table 1)</w:t>
      </w:r>
    </w:p>
    <w:tbl>
      <w:tblPr>
        <w:tblW w:w="9270" w:type="dxa"/>
        <w:tblInd w:w="97" w:type="dxa"/>
        <w:tblLayout w:type="fixed"/>
        <w:tblCellMar>
          <w:left w:w="97" w:type="dxa"/>
          <w:right w:w="97" w:type="dxa"/>
        </w:tblCellMar>
        <w:tblLook w:val="0000"/>
      </w:tblPr>
      <w:tblGrid>
        <w:gridCol w:w="1800"/>
        <w:gridCol w:w="1440"/>
        <w:gridCol w:w="1800"/>
        <w:gridCol w:w="1440"/>
        <w:gridCol w:w="1350"/>
        <w:gridCol w:w="1440"/>
      </w:tblGrid>
      <w:tr w14:paraId="4BC6AC8C" w14:textId="77777777" w:rsidTr="005E6BEB">
        <w:tblPrEx>
          <w:tblW w:w="9270" w:type="dxa"/>
          <w:tblInd w:w="97" w:type="dxa"/>
          <w:tblLayout w:type="fixed"/>
          <w:tblCellMar>
            <w:left w:w="97" w:type="dxa"/>
            <w:right w:w="97" w:type="dxa"/>
          </w:tblCellMar>
          <w:tblLook w:val="0000"/>
        </w:tblPrEx>
        <w:trPr>
          <w:tblHeader/>
        </w:trPr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25654" w:rsidRPr="00FB70E0" w:rsidP="005E6BEB" w14:paraId="38B24443" w14:textId="77777777">
            <w:pPr>
              <w:pStyle w:val="BodyText"/>
              <w:tabs>
                <w:tab w:val="left" w:pos="10080"/>
              </w:tabs>
              <w:jc w:val="center"/>
              <w:rPr>
                <w:rFonts w:ascii="Arial" w:hAnsi="Arial" w:cs="Arial"/>
                <w:sz w:val="24"/>
              </w:rPr>
            </w:pPr>
          </w:p>
          <w:p w:rsidR="00825654" w:rsidRPr="00FB70E0" w:rsidP="005E6BEB" w14:paraId="29F190D6" w14:textId="77777777">
            <w:pPr>
              <w:pStyle w:val="BodyText"/>
              <w:tabs>
                <w:tab w:val="left" w:pos="10080"/>
              </w:tabs>
              <w:jc w:val="center"/>
              <w:rPr>
                <w:rFonts w:ascii="Arial" w:hAnsi="Arial" w:cs="Arial"/>
                <w:sz w:val="24"/>
              </w:rPr>
            </w:pPr>
            <w:r w:rsidRPr="00FB70E0">
              <w:rPr>
                <w:rFonts w:ascii="Arial" w:hAnsi="Arial" w:cs="Arial"/>
                <w:sz w:val="24"/>
              </w:rPr>
              <w:t>Form Name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25654" w:rsidRPr="00FB70E0" w:rsidP="005E6BEB" w14:paraId="334E3B0F" w14:textId="77777777">
            <w:pPr>
              <w:pStyle w:val="BodyText"/>
              <w:jc w:val="center"/>
              <w:rPr>
                <w:rFonts w:ascii="Arial" w:hAnsi="Arial" w:cs="Arial"/>
                <w:sz w:val="24"/>
              </w:rPr>
            </w:pPr>
            <w:r w:rsidRPr="00FB70E0">
              <w:rPr>
                <w:rFonts w:ascii="Arial" w:hAnsi="Arial" w:cs="Arial"/>
                <w:sz w:val="24"/>
              </w:rPr>
              <w:t>Number of Respondents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25654" w:rsidRPr="00FB70E0" w:rsidP="005E6BEB" w14:paraId="5B3C75B4" w14:textId="77777777">
            <w:pPr>
              <w:pStyle w:val="BodyText"/>
              <w:jc w:val="center"/>
              <w:rPr>
                <w:rFonts w:ascii="Arial" w:hAnsi="Arial" w:cs="Arial"/>
                <w:sz w:val="24"/>
              </w:rPr>
            </w:pPr>
          </w:p>
          <w:p w:rsidR="00825654" w:rsidRPr="00FB70E0" w:rsidP="005E6BEB" w14:paraId="397C70A1" w14:textId="77777777">
            <w:pPr>
              <w:pStyle w:val="BodyText"/>
              <w:jc w:val="center"/>
              <w:rPr>
                <w:rFonts w:ascii="Arial" w:hAnsi="Arial" w:cs="Arial"/>
                <w:sz w:val="24"/>
              </w:rPr>
            </w:pPr>
            <w:r w:rsidRPr="00FB70E0">
              <w:rPr>
                <w:rFonts w:ascii="Arial" w:hAnsi="Arial" w:cs="Arial"/>
                <w:sz w:val="24"/>
              </w:rPr>
              <w:t>Number of Responses per Respondent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25654" w:rsidRPr="00FB70E0" w:rsidP="005E6BEB" w14:paraId="75F99C17" w14:textId="77777777">
            <w:pPr>
              <w:pStyle w:val="BodyText"/>
              <w:jc w:val="center"/>
              <w:rPr>
                <w:rFonts w:ascii="Arial" w:hAnsi="Arial" w:cs="Arial"/>
                <w:sz w:val="24"/>
              </w:rPr>
            </w:pPr>
          </w:p>
          <w:p w:rsidR="00825654" w:rsidRPr="00FB70E0" w:rsidP="005E6BEB" w14:paraId="03E602C3" w14:textId="77777777">
            <w:pPr>
              <w:pStyle w:val="BodyText"/>
              <w:jc w:val="center"/>
              <w:rPr>
                <w:rFonts w:ascii="Arial" w:hAnsi="Arial" w:cs="Arial"/>
                <w:sz w:val="24"/>
              </w:rPr>
            </w:pPr>
            <w:r w:rsidRPr="00FB70E0">
              <w:rPr>
                <w:rFonts w:ascii="Arial" w:hAnsi="Arial" w:cs="Arial"/>
                <w:sz w:val="24"/>
              </w:rPr>
              <w:t>Total Responses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25654" w:rsidRPr="00FB70E0" w:rsidP="005E6BEB" w14:paraId="2A04B59A" w14:textId="77777777">
            <w:pPr>
              <w:pStyle w:val="BodyText"/>
              <w:jc w:val="center"/>
              <w:rPr>
                <w:rFonts w:ascii="Arial" w:hAnsi="Arial" w:cs="Arial"/>
                <w:sz w:val="24"/>
              </w:rPr>
            </w:pPr>
          </w:p>
          <w:p w:rsidR="00825654" w:rsidRPr="00FB70E0" w:rsidP="005E6BEB" w14:paraId="11B7A8B8" w14:textId="77777777">
            <w:pPr>
              <w:pStyle w:val="BodyText"/>
              <w:jc w:val="center"/>
              <w:rPr>
                <w:rFonts w:ascii="Arial" w:hAnsi="Arial" w:cs="Arial"/>
                <w:sz w:val="24"/>
              </w:rPr>
            </w:pPr>
            <w:r w:rsidRPr="00FB70E0">
              <w:rPr>
                <w:rFonts w:ascii="Arial" w:hAnsi="Arial" w:cs="Arial"/>
                <w:sz w:val="24"/>
              </w:rPr>
              <w:t>Average Burden per Response (in hours)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25654" w:rsidRPr="00FB70E0" w:rsidP="005E6BEB" w14:paraId="4DD0512B" w14:textId="77777777">
            <w:pPr>
              <w:pStyle w:val="BodyText"/>
              <w:jc w:val="center"/>
              <w:rPr>
                <w:rFonts w:ascii="Arial" w:hAnsi="Arial" w:cs="Arial"/>
                <w:sz w:val="24"/>
              </w:rPr>
            </w:pPr>
            <w:r w:rsidRPr="00FB70E0">
              <w:rPr>
                <w:rFonts w:ascii="Arial" w:hAnsi="Arial" w:cs="Arial"/>
                <w:sz w:val="24"/>
              </w:rPr>
              <w:t>Total Burden Hours</w:t>
            </w:r>
          </w:p>
        </w:tc>
      </w:tr>
      <w:tr w14:paraId="69B9A283" w14:textId="77777777" w:rsidTr="005E6BEB">
        <w:tblPrEx>
          <w:tblW w:w="9270" w:type="dxa"/>
          <w:tblInd w:w="97" w:type="dxa"/>
          <w:tblLayout w:type="fixed"/>
          <w:tblCellMar>
            <w:left w:w="97" w:type="dxa"/>
            <w:right w:w="97" w:type="dxa"/>
          </w:tblCellMar>
          <w:tblLook w:val="0000"/>
        </w:tblPrEx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1FD64D1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</w:rPr>
            </w:pPr>
            <w:r w:rsidRPr="00FB70E0">
              <w:rPr>
                <w:rFonts w:ascii="Arial" w:hAnsi="Arial" w:cs="Arial"/>
                <w:sz w:val="24"/>
              </w:rPr>
              <w:t>Part A Expenditures Report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7B58BAE7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lang w:val="fr-FR"/>
              </w:rPr>
            </w:pPr>
            <w:r w:rsidRPr="00FB70E0">
              <w:rPr>
                <w:rFonts w:ascii="Arial" w:hAnsi="Arial" w:cs="Arial"/>
                <w:sz w:val="24"/>
                <w:lang w:val="fr-FR"/>
              </w:rPr>
              <w:t>52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160735AB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lang w:val="fr-FR"/>
              </w:rPr>
            </w:pPr>
            <w:r w:rsidRPr="00FB70E0">
              <w:rPr>
                <w:rFonts w:ascii="Arial" w:hAnsi="Arial" w:cs="Arial"/>
                <w:sz w:val="24"/>
                <w:lang w:val="fr-FR"/>
              </w:rPr>
              <w:t>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2DA29D71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lang w:val="fr-FR"/>
              </w:rPr>
            </w:pPr>
            <w:r w:rsidRPr="00FB70E0">
              <w:rPr>
                <w:rFonts w:ascii="Arial" w:hAnsi="Arial" w:cs="Arial"/>
                <w:sz w:val="24"/>
                <w:lang w:val="fr-FR"/>
              </w:rPr>
              <w:t>52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527EB3F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lang w:val="fr-FR"/>
              </w:rPr>
            </w:pPr>
            <w:r w:rsidRPr="00FB70E0">
              <w:rPr>
                <w:rFonts w:ascii="Arial" w:hAnsi="Arial" w:cs="Arial"/>
                <w:sz w:val="24"/>
                <w:lang w:val="fr-FR"/>
              </w:rPr>
              <w:t>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61CBFD1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lang w:val="fr-FR"/>
              </w:rPr>
            </w:pPr>
            <w:r w:rsidRPr="00FB70E0">
              <w:rPr>
                <w:rFonts w:ascii="Arial" w:hAnsi="Arial" w:cs="Arial"/>
                <w:sz w:val="24"/>
                <w:lang w:val="fr-FR"/>
              </w:rPr>
              <w:t>104</w:t>
            </w:r>
          </w:p>
        </w:tc>
      </w:tr>
      <w:tr w14:paraId="12E27F51" w14:textId="77777777" w:rsidTr="005E6BEB">
        <w:tblPrEx>
          <w:tblW w:w="9270" w:type="dxa"/>
          <w:tblInd w:w="97" w:type="dxa"/>
          <w:tblLayout w:type="fixed"/>
          <w:tblCellMar>
            <w:left w:w="97" w:type="dxa"/>
            <w:right w:w="97" w:type="dxa"/>
          </w:tblCellMar>
          <w:tblLook w:val="0000"/>
        </w:tblPrEx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119C742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</w:rPr>
            </w:pPr>
            <w:r w:rsidRPr="00FB70E0">
              <w:rPr>
                <w:rFonts w:ascii="Arial" w:hAnsi="Arial" w:cs="Arial"/>
                <w:sz w:val="24"/>
              </w:rPr>
              <w:t>Part B Expenditures Report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3A20B99C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lang w:val="fr-FR"/>
              </w:rPr>
            </w:pPr>
            <w:r w:rsidRPr="00FB70E0">
              <w:rPr>
                <w:rFonts w:ascii="Arial" w:hAnsi="Arial" w:cs="Arial"/>
                <w:sz w:val="24"/>
                <w:lang w:val="fr-FR"/>
              </w:rPr>
              <w:t>54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147D6D6A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lang w:val="fr-FR"/>
              </w:rPr>
            </w:pPr>
            <w:r w:rsidRPr="00FB70E0">
              <w:rPr>
                <w:rFonts w:ascii="Arial" w:hAnsi="Arial" w:cs="Arial"/>
                <w:sz w:val="24"/>
                <w:lang w:val="fr-FR"/>
              </w:rPr>
              <w:t>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2ADB49E2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lang w:val="fr-FR"/>
              </w:rPr>
            </w:pPr>
            <w:r w:rsidRPr="00FB70E0">
              <w:rPr>
                <w:rFonts w:ascii="Arial" w:hAnsi="Arial" w:cs="Arial"/>
                <w:sz w:val="24"/>
                <w:lang w:val="fr-FR"/>
              </w:rPr>
              <w:t>54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39AE3CCB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lang w:val="fr-FR"/>
              </w:rPr>
            </w:pPr>
            <w:r w:rsidRPr="00FB70E0">
              <w:rPr>
                <w:rFonts w:ascii="Arial" w:hAnsi="Arial" w:cs="Arial"/>
                <w:sz w:val="24"/>
                <w:lang w:val="fr-FR"/>
              </w:rPr>
              <w:t>6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6C5EFB7B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lang w:val="fr-FR"/>
              </w:rPr>
            </w:pPr>
            <w:r w:rsidRPr="00FB70E0">
              <w:rPr>
                <w:rFonts w:ascii="Arial" w:hAnsi="Arial" w:cs="Arial"/>
                <w:sz w:val="24"/>
                <w:lang w:val="fr-FR"/>
              </w:rPr>
              <w:t>324</w:t>
            </w:r>
          </w:p>
        </w:tc>
      </w:tr>
      <w:tr w14:paraId="7F25A5C1" w14:textId="77777777" w:rsidTr="005E6BEB">
        <w:tblPrEx>
          <w:tblW w:w="9270" w:type="dxa"/>
          <w:tblInd w:w="97" w:type="dxa"/>
          <w:tblLayout w:type="fixed"/>
          <w:tblCellMar>
            <w:left w:w="97" w:type="dxa"/>
            <w:right w:w="97" w:type="dxa"/>
          </w:tblCellMar>
          <w:tblLook w:val="0000"/>
        </w:tblPrEx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163B13F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</w:rPr>
            </w:pPr>
            <w:r w:rsidRPr="00FB70E0">
              <w:rPr>
                <w:rFonts w:ascii="Arial" w:hAnsi="Arial" w:cs="Arial"/>
                <w:sz w:val="24"/>
              </w:rPr>
              <w:t>Part B Supplemental Expenditures Report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737A3795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lang w:val="fr-FR"/>
              </w:rPr>
            </w:pPr>
            <w:r w:rsidRPr="00FB70E0">
              <w:rPr>
                <w:rFonts w:ascii="Arial" w:hAnsi="Arial" w:cs="Arial"/>
                <w:sz w:val="24"/>
                <w:lang w:val="fr-FR"/>
              </w:rPr>
              <w:t>33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32B34032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lang w:val="fr-FR"/>
              </w:rPr>
            </w:pPr>
            <w:r w:rsidRPr="00FB70E0">
              <w:rPr>
                <w:rFonts w:ascii="Arial" w:hAnsi="Arial" w:cs="Arial"/>
                <w:sz w:val="24"/>
                <w:lang w:val="fr-FR"/>
              </w:rPr>
              <w:t>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21B29BC0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lang w:val="fr-FR"/>
              </w:rPr>
            </w:pPr>
            <w:r w:rsidRPr="00FB70E0">
              <w:rPr>
                <w:rFonts w:ascii="Arial" w:hAnsi="Arial" w:cs="Arial"/>
                <w:sz w:val="24"/>
                <w:lang w:val="fr-FR"/>
              </w:rPr>
              <w:t>33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5C0DE991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lang w:val="fr-FR"/>
              </w:rPr>
            </w:pPr>
            <w:r w:rsidRPr="00FB70E0">
              <w:rPr>
                <w:rFonts w:ascii="Arial" w:hAnsi="Arial" w:cs="Arial"/>
                <w:sz w:val="24"/>
                <w:lang w:val="fr-FR"/>
              </w:rPr>
              <w:t>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1CC65132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lang w:val="fr-FR"/>
              </w:rPr>
            </w:pPr>
            <w:r w:rsidRPr="00FB70E0">
              <w:rPr>
                <w:rFonts w:ascii="Arial" w:hAnsi="Arial" w:cs="Arial"/>
                <w:sz w:val="24"/>
                <w:lang w:val="fr-FR"/>
              </w:rPr>
              <w:t>66</w:t>
            </w:r>
          </w:p>
        </w:tc>
      </w:tr>
      <w:tr w14:paraId="1D37FB34" w14:textId="77777777" w:rsidTr="005E6BEB">
        <w:tblPrEx>
          <w:tblW w:w="9270" w:type="dxa"/>
          <w:tblInd w:w="97" w:type="dxa"/>
          <w:tblLayout w:type="fixed"/>
          <w:tblCellMar>
            <w:left w:w="97" w:type="dxa"/>
            <w:right w:w="97" w:type="dxa"/>
          </w:tblCellMar>
          <w:tblLook w:val="0000"/>
        </w:tblPrEx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6254DEF6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</w:rPr>
            </w:pPr>
            <w:r w:rsidRPr="00FB70E0">
              <w:rPr>
                <w:rFonts w:ascii="Arial" w:hAnsi="Arial" w:cs="Arial"/>
                <w:sz w:val="24"/>
              </w:rPr>
              <w:t>Part C Expenditures Report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6CFA7B53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lang w:val="fr-FR"/>
              </w:rPr>
            </w:pPr>
            <w:r w:rsidRPr="00FB70E0">
              <w:rPr>
                <w:rFonts w:ascii="Arial" w:hAnsi="Arial" w:cs="Arial"/>
                <w:sz w:val="24"/>
                <w:lang w:val="fr-FR"/>
              </w:rPr>
              <w:t>346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605A17EF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lang w:val="fr-FR"/>
              </w:rPr>
            </w:pPr>
            <w:r w:rsidRPr="00FB70E0">
              <w:rPr>
                <w:rFonts w:ascii="Arial" w:hAnsi="Arial" w:cs="Arial"/>
                <w:sz w:val="24"/>
                <w:lang w:val="fr-FR"/>
              </w:rPr>
              <w:t>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7B552488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lang w:val="fr-FR"/>
              </w:rPr>
            </w:pPr>
            <w:r w:rsidRPr="00FB70E0">
              <w:rPr>
                <w:rFonts w:ascii="Arial" w:hAnsi="Arial" w:cs="Arial"/>
                <w:sz w:val="24"/>
                <w:lang w:val="fr-FR"/>
              </w:rPr>
              <w:t>346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0C676727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lang w:val="fr-FR"/>
              </w:rPr>
            </w:pPr>
            <w:r w:rsidRPr="00FB70E0">
              <w:rPr>
                <w:rFonts w:ascii="Arial" w:hAnsi="Arial" w:cs="Arial"/>
                <w:sz w:val="24"/>
                <w:lang w:val="fr-FR"/>
              </w:rPr>
              <w:t>4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75ECEC73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lang w:val="fr-FR"/>
              </w:rPr>
            </w:pPr>
            <w:r w:rsidRPr="00FB70E0">
              <w:rPr>
                <w:rFonts w:ascii="Arial" w:hAnsi="Arial" w:cs="Arial"/>
                <w:sz w:val="24"/>
                <w:lang w:val="fr-FR"/>
              </w:rPr>
              <w:t>1,384</w:t>
            </w:r>
          </w:p>
        </w:tc>
      </w:tr>
      <w:tr w14:paraId="47598600" w14:textId="77777777" w:rsidTr="005E6BEB">
        <w:tblPrEx>
          <w:tblW w:w="9270" w:type="dxa"/>
          <w:tblInd w:w="97" w:type="dxa"/>
          <w:tblLayout w:type="fixed"/>
          <w:tblCellMar>
            <w:left w:w="97" w:type="dxa"/>
            <w:right w:w="97" w:type="dxa"/>
          </w:tblCellMar>
          <w:tblLook w:val="0000"/>
        </w:tblPrEx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07ACC473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</w:rPr>
            </w:pPr>
            <w:r w:rsidRPr="00FB70E0">
              <w:rPr>
                <w:rFonts w:ascii="Arial" w:hAnsi="Arial" w:cs="Arial"/>
                <w:sz w:val="24"/>
              </w:rPr>
              <w:t>Part D Expenditures</w:t>
            </w:r>
            <w:r w:rsidRPr="00FB70E0">
              <w:rPr>
                <w:rFonts w:ascii="Arial" w:hAnsi="Arial" w:cs="Arial"/>
                <w:sz w:val="24"/>
              </w:rPr>
              <w:t xml:space="preserve"> </w:t>
            </w:r>
            <w:r w:rsidRPr="00FB70E0">
              <w:rPr>
                <w:rFonts w:ascii="Arial" w:hAnsi="Arial" w:cs="Arial"/>
                <w:sz w:val="24"/>
              </w:rPr>
              <w:t>Report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09F918FE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lang w:val="fr-FR"/>
              </w:rPr>
            </w:pPr>
            <w:r w:rsidRPr="00FB70E0">
              <w:rPr>
                <w:rFonts w:ascii="Arial" w:hAnsi="Arial" w:cs="Arial"/>
                <w:sz w:val="24"/>
                <w:lang w:val="fr-FR"/>
              </w:rPr>
              <w:t>116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34407801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lang w:val="fr-FR"/>
              </w:rPr>
            </w:pPr>
            <w:r w:rsidRPr="00FB70E0">
              <w:rPr>
                <w:rFonts w:ascii="Arial" w:hAnsi="Arial" w:cs="Arial"/>
                <w:sz w:val="24"/>
                <w:lang w:val="fr-FR"/>
              </w:rPr>
              <w:t>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28488CE4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lang w:val="fr-FR"/>
              </w:rPr>
            </w:pPr>
            <w:r w:rsidRPr="00FB70E0">
              <w:rPr>
                <w:rFonts w:ascii="Arial" w:hAnsi="Arial" w:cs="Arial"/>
                <w:sz w:val="24"/>
                <w:lang w:val="fr-FR"/>
              </w:rPr>
              <w:t>116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0251C818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lang w:val="fr-FR"/>
              </w:rPr>
            </w:pPr>
            <w:r w:rsidRPr="00FB70E0">
              <w:rPr>
                <w:rFonts w:ascii="Arial" w:hAnsi="Arial" w:cs="Arial"/>
                <w:sz w:val="24"/>
                <w:lang w:val="fr-FR"/>
              </w:rPr>
              <w:t>4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1675FC37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lang w:val="fr-FR"/>
              </w:rPr>
            </w:pPr>
            <w:r w:rsidRPr="00FB70E0">
              <w:rPr>
                <w:rFonts w:ascii="Arial" w:hAnsi="Arial" w:cs="Arial"/>
                <w:sz w:val="24"/>
                <w:lang w:val="fr-FR"/>
              </w:rPr>
              <w:t>464</w:t>
            </w:r>
          </w:p>
        </w:tc>
      </w:tr>
      <w:tr w14:paraId="53A853DC" w14:textId="77777777" w:rsidTr="005E6BEB">
        <w:tblPrEx>
          <w:tblW w:w="9270" w:type="dxa"/>
          <w:tblInd w:w="97" w:type="dxa"/>
          <w:tblLayout w:type="fixed"/>
          <w:tblCellMar>
            <w:left w:w="97" w:type="dxa"/>
            <w:right w:w="97" w:type="dxa"/>
          </w:tblCellMar>
          <w:tblLook w:val="0000"/>
        </w:tblPrEx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50768B6F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highlight w:val="yellow"/>
              </w:rPr>
            </w:pPr>
            <w:r w:rsidRPr="00FB70E0">
              <w:rPr>
                <w:rFonts w:ascii="Arial" w:hAnsi="Arial" w:cs="Arial"/>
                <w:sz w:val="24"/>
              </w:rPr>
              <w:t>EHE Expenditures Reports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6ED00E91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highlight w:val="yellow"/>
                <w:lang w:val="fr-FR"/>
              </w:rPr>
            </w:pPr>
            <w:r w:rsidRPr="00FB70E0">
              <w:rPr>
                <w:rFonts w:ascii="Arial" w:hAnsi="Arial" w:cs="Arial"/>
                <w:sz w:val="24"/>
                <w:lang w:val="fr-FR"/>
              </w:rPr>
              <w:t>47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3ECBCA6F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highlight w:val="yellow"/>
                <w:lang w:val="fr-FR"/>
              </w:rPr>
            </w:pPr>
            <w:r w:rsidRPr="00FB70E0">
              <w:rPr>
                <w:rFonts w:ascii="Arial" w:hAnsi="Arial" w:cs="Arial"/>
                <w:sz w:val="24"/>
                <w:lang w:val="fr-FR"/>
              </w:rPr>
              <w:t>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2B21E49C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highlight w:val="yellow"/>
                <w:lang w:val="fr-FR"/>
              </w:rPr>
            </w:pPr>
            <w:r w:rsidRPr="00FB70E0">
              <w:rPr>
                <w:rFonts w:ascii="Arial" w:hAnsi="Arial" w:cs="Arial"/>
                <w:sz w:val="24"/>
                <w:lang w:val="fr-FR"/>
              </w:rPr>
              <w:t>47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4E4BF7CF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highlight w:val="yellow"/>
                <w:lang w:val="fr-FR"/>
              </w:rPr>
            </w:pPr>
            <w:r w:rsidRPr="00FB70E0">
              <w:rPr>
                <w:rFonts w:ascii="Arial" w:hAnsi="Arial" w:cs="Arial"/>
                <w:sz w:val="24"/>
                <w:lang w:val="fr-FR"/>
              </w:rPr>
              <w:t>4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536E9072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lang w:val="fr-FR"/>
              </w:rPr>
            </w:pPr>
            <w:r w:rsidRPr="00FB70E0">
              <w:rPr>
                <w:rFonts w:ascii="Arial" w:hAnsi="Arial" w:cs="Arial"/>
                <w:sz w:val="24"/>
                <w:lang w:val="fr-FR"/>
              </w:rPr>
              <w:t>188</w:t>
            </w:r>
          </w:p>
        </w:tc>
      </w:tr>
      <w:tr w14:paraId="4D992E97" w14:textId="77777777" w:rsidTr="005E6BEB">
        <w:tblPrEx>
          <w:tblW w:w="9270" w:type="dxa"/>
          <w:tblInd w:w="97" w:type="dxa"/>
          <w:tblLayout w:type="fixed"/>
          <w:tblCellMar>
            <w:left w:w="97" w:type="dxa"/>
            <w:right w:w="97" w:type="dxa"/>
          </w:tblCellMar>
          <w:tblLook w:val="0000"/>
        </w:tblPrEx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7BA5EEB8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sz w:val="24"/>
                <w:lang w:val="fr-FR"/>
              </w:rPr>
            </w:pPr>
            <w:r w:rsidRPr="00FB70E0">
              <w:rPr>
                <w:rFonts w:ascii="Arial" w:hAnsi="Arial" w:cs="Arial"/>
                <w:sz w:val="24"/>
                <w:lang w:val="fr-FR"/>
              </w:rPr>
              <w:t>Total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27C3F3D8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lang w:val="fr-FR"/>
              </w:rPr>
            </w:pPr>
            <w:r w:rsidRPr="00FB70E0">
              <w:rPr>
                <w:rFonts w:ascii="Arial" w:hAnsi="Arial" w:cs="Arial"/>
                <w:sz w:val="24"/>
                <w:lang w:val="fr-FR"/>
              </w:rPr>
              <w:t>648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236E67A2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lang w:val="fr-FR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5D8A743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lang w:val="fr-FR"/>
              </w:rPr>
            </w:pPr>
            <w:r w:rsidRPr="00FB70E0">
              <w:rPr>
                <w:rFonts w:ascii="Arial" w:hAnsi="Arial" w:cs="Arial"/>
                <w:sz w:val="24"/>
                <w:lang w:val="fr-FR"/>
              </w:rPr>
              <w:t>648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239A1F74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  <w:lang w:val="fr-FR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654" w:rsidRPr="00FB70E0" w:rsidP="005E6BEB" w14:paraId="6AB5701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 w:cs="Arial"/>
                <w:sz w:val="24"/>
              </w:rPr>
            </w:pPr>
            <w:r w:rsidRPr="00FB70E0">
              <w:rPr>
                <w:rFonts w:ascii="Arial" w:hAnsi="Arial" w:cs="Arial"/>
                <w:sz w:val="24"/>
              </w:rPr>
              <w:t>2,530</w:t>
            </w:r>
          </w:p>
        </w:tc>
      </w:tr>
    </w:tbl>
    <w:p w:rsidR="00825654" w:rsidRPr="00FB70E0" w:rsidP="00E543FE" w14:paraId="0C6466ED" w14:textId="77777777">
      <w:pPr>
        <w:widowControl/>
        <w:tabs>
          <w:tab w:val="num" w:pos="720"/>
        </w:tabs>
        <w:rPr>
          <w:rFonts w:ascii="Arial" w:hAnsi="Arial" w:cs="Arial"/>
          <w:b/>
          <w:sz w:val="24"/>
        </w:rPr>
      </w:pPr>
    </w:p>
    <w:p w:rsidR="00783D49" w:rsidRPr="00FB70E0" w:rsidP="00783D49" w14:paraId="22E2A371" w14:textId="17A3B1B9">
      <w:pPr>
        <w:widowControl/>
        <w:tabs>
          <w:tab w:val="num" w:pos="990"/>
        </w:tabs>
        <w:spacing w:before="120"/>
        <w:rPr>
          <w:rFonts w:ascii="Arial" w:hAnsi="Arial" w:cs="Arial"/>
          <w:sz w:val="24"/>
        </w:rPr>
      </w:pPr>
      <w:r w:rsidRPr="00FB70E0">
        <w:rPr>
          <w:rFonts w:ascii="Arial" w:hAnsi="Arial" w:cs="Arial"/>
          <w:b/>
          <w:bCs/>
          <w:sz w:val="24"/>
        </w:rPr>
        <w:t>12</w:t>
      </w:r>
      <w:r w:rsidRPr="00FB70E0" w:rsidR="0046609A">
        <w:rPr>
          <w:rFonts w:ascii="Arial" w:hAnsi="Arial" w:cs="Arial"/>
          <w:b/>
          <w:bCs/>
          <w:sz w:val="24"/>
        </w:rPr>
        <w:t>B.</w:t>
      </w:r>
    </w:p>
    <w:p w:rsidR="007E1375" w:rsidRPr="00FB70E0" w:rsidP="00783D49" w14:paraId="25496B6F" w14:textId="7F1FDA64">
      <w:pPr>
        <w:rPr>
          <w:rFonts w:ascii="Arial" w:hAnsi="Arial" w:cs="Arial"/>
          <w:sz w:val="24"/>
          <w:u w:val="single"/>
        </w:rPr>
      </w:pPr>
    </w:p>
    <w:tbl>
      <w:tblPr>
        <w:tblW w:w="9262" w:type="dxa"/>
        <w:tblInd w:w="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39"/>
        <w:gridCol w:w="2032"/>
        <w:gridCol w:w="1790"/>
        <w:gridCol w:w="3701"/>
      </w:tblGrid>
      <w:tr w14:paraId="75C32007" w14:textId="77777777" w:rsidTr="00AF7DCB">
        <w:tblPrEx>
          <w:tblW w:w="9262" w:type="dxa"/>
          <w:tblInd w:w="82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4235" w:rsidRPr="00FB70E0" w:rsidP="00634235" w14:paraId="45280EA0" w14:textId="77777777">
            <w:pPr>
              <w:widowControl/>
              <w:spacing w:before="120"/>
              <w:ind w:left="270"/>
              <w:rPr>
                <w:rFonts w:ascii="Arial" w:hAnsi="Arial" w:cs="Arial"/>
                <w:sz w:val="24"/>
              </w:rPr>
            </w:pPr>
            <w:r w:rsidRPr="00FB70E0">
              <w:rPr>
                <w:rFonts w:ascii="Arial" w:hAnsi="Arial" w:cs="Arial"/>
                <w:b/>
                <w:bCs/>
                <w:sz w:val="24"/>
              </w:rPr>
              <w:t>Type of Respondent</w:t>
            </w:r>
            <w:r w:rsidRPr="00FB70E0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4235" w:rsidRPr="00FB70E0" w:rsidP="00634235" w14:paraId="2CC5E94B" w14:textId="77777777">
            <w:pPr>
              <w:widowControl/>
              <w:spacing w:before="120"/>
              <w:ind w:left="270"/>
              <w:rPr>
                <w:rFonts w:ascii="Arial" w:hAnsi="Arial" w:cs="Arial"/>
                <w:sz w:val="24"/>
              </w:rPr>
            </w:pPr>
            <w:r w:rsidRPr="00FB70E0">
              <w:rPr>
                <w:rFonts w:ascii="Arial" w:hAnsi="Arial" w:cs="Arial"/>
                <w:b/>
                <w:bCs/>
                <w:sz w:val="24"/>
              </w:rPr>
              <w:t>Total Burden Hours</w:t>
            </w:r>
            <w:r w:rsidRPr="00FB70E0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4235" w:rsidRPr="00FB70E0" w:rsidP="00634235" w14:paraId="3F939B91" w14:textId="77777777">
            <w:pPr>
              <w:widowControl/>
              <w:spacing w:before="120"/>
              <w:ind w:left="270"/>
              <w:rPr>
                <w:rFonts w:ascii="Arial" w:hAnsi="Arial" w:cs="Arial"/>
                <w:sz w:val="24"/>
              </w:rPr>
            </w:pPr>
            <w:r w:rsidRPr="00FB70E0">
              <w:rPr>
                <w:rFonts w:ascii="Arial" w:hAnsi="Arial" w:cs="Arial"/>
                <w:b/>
                <w:bCs/>
                <w:sz w:val="24"/>
              </w:rPr>
              <w:t>Hourly Wage Rate</w:t>
            </w:r>
            <w:r w:rsidRPr="00FB70E0">
              <w:rPr>
                <w:rFonts w:ascii="Arial" w:hAnsi="Arial" w:cs="Arial"/>
                <w:sz w:val="24"/>
              </w:rPr>
              <w:t> </w:t>
            </w:r>
          </w:p>
          <w:p w:rsidR="00634235" w:rsidRPr="00FB70E0" w:rsidP="00634235" w14:paraId="1CC3E1CB" w14:textId="77777777">
            <w:pPr>
              <w:widowControl/>
              <w:spacing w:before="120"/>
              <w:ind w:left="270"/>
              <w:rPr>
                <w:rFonts w:ascii="Arial" w:hAnsi="Arial" w:cs="Arial"/>
                <w:sz w:val="24"/>
              </w:rPr>
            </w:pPr>
            <w:r w:rsidRPr="00FB70E0">
              <w:rPr>
                <w:rFonts w:ascii="Arial" w:hAnsi="Arial" w:cs="Arial"/>
                <w:b/>
                <w:bCs/>
                <w:sz w:val="24"/>
              </w:rPr>
              <w:t>(X2)</w:t>
            </w:r>
            <w:r w:rsidRPr="00FB70E0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4235" w:rsidRPr="00FB70E0" w:rsidP="00634235" w14:paraId="21B9F39A" w14:textId="77777777">
            <w:pPr>
              <w:widowControl/>
              <w:spacing w:before="120"/>
              <w:ind w:left="270"/>
              <w:rPr>
                <w:rFonts w:ascii="Arial" w:hAnsi="Arial" w:cs="Arial"/>
                <w:sz w:val="24"/>
              </w:rPr>
            </w:pPr>
            <w:r w:rsidRPr="00FB70E0">
              <w:rPr>
                <w:rFonts w:ascii="Arial" w:hAnsi="Arial" w:cs="Arial"/>
                <w:b/>
                <w:bCs/>
                <w:sz w:val="24"/>
              </w:rPr>
              <w:t>Total Respondent Costs</w:t>
            </w:r>
            <w:r w:rsidRPr="00FB70E0">
              <w:rPr>
                <w:rFonts w:ascii="Arial" w:hAnsi="Arial" w:cs="Arial"/>
                <w:sz w:val="24"/>
              </w:rPr>
              <w:t> </w:t>
            </w:r>
          </w:p>
        </w:tc>
      </w:tr>
      <w:tr w14:paraId="38607AD9" w14:textId="77777777" w:rsidTr="00AF7DCB">
        <w:tblPrEx>
          <w:tblW w:w="9262" w:type="dxa"/>
          <w:tblInd w:w="8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4235" w:rsidRPr="00FB70E0" w:rsidP="00634235" w14:paraId="59B09883" w14:textId="77777777">
            <w:pPr>
              <w:widowControl/>
              <w:spacing w:before="120"/>
              <w:ind w:left="270"/>
              <w:rPr>
                <w:rFonts w:ascii="Arial" w:hAnsi="Arial" w:cs="Arial"/>
                <w:sz w:val="24"/>
              </w:rPr>
            </w:pPr>
            <w:r w:rsidRPr="00FB70E0">
              <w:rPr>
                <w:rFonts w:ascii="Arial" w:hAnsi="Arial" w:cs="Arial"/>
                <w:sz w:val="24"/>
              </w:rPr>
              <w:t>Budget Analysts 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4235" w:rsidRPr="00FB70E0" w:rsidP="005C56A7" w14:paraId="66D7D00D" w14:textId="2D8C74D3">
            <w:pPr>
              <w:widowControl/>
              <w:spacing w:before="120"/>
              <w:ind w:left="270"/>
              <w:jc w:val="right"/>
              <w:rPr>
                <w:rFonts w:ascii="Arial" w:hAnsi="Arial" w:cs="Arial"/>
                <w:sz w:val="24"/>
              </w:rPr>
            </w:pPr>
            <w:r w:rsidRPr="00FB70E0">
              <w:rPr>
                <w:rFonts w:ascii="Arial" w:hAnsi="Arial" w:cs="Arial"/>
                <w:sz w:val="24"/>
              </w:rPr>
              <w:t>2,</w:t>
            </w:r>
            <w:r w:rsidRPr="00FB70E0" w:rsidR="00597B30">
              <w:rPr>
                <w:rFonts w:ascii="Arial" w:hAnsi="Arial" w:cs="Arial"/>
                <w:sz w:val="24"/>
              </w:rPr>
              <w:t>530</w:t>
            </w:r>
            <w:r w:rsidRPr="00FB70E0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4235" w:rsidRPr="00FB70E0" w:rsidP="005C56A7" w14:paraId="0055633C" w14:textId="63E3ACA8">
            <w:pPr>
              <w:widowControl/>
              <w:spacing w:before="120"/>
              <w:ind w:left="270"/>
              <w:jc w:val="right"/>
              <w:rPr>
                <w:rFonts w:ascii="Arial" w:hAnsi="Arial" w:cs="Arial"/>
                <w:sz w:val="24"/>
              </w:rPr>
            </w:pPr>
            <w:r w:rsidRPr="00FB70E0">
              <w:rPr>
                <w:rFonts w:ascii="Arial" w:hAnsi="Arial" w:cs="Arial"/>
                <w:sz w:val="24"/>
              </w:rPr>
              <w:t>$84.54 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4235" w:rsidRPr="00FB70E0" w:rsidP="005C56A7" w14:paraId="541B5A35" w14:textId="16E24F6D">
            <w:pPr>
              <w:widowControl/>
              <w:spacing w:before="120"/>
              <w:ind w:left="270"/>
              <w:jc w:val="right"/>
              <w:rPr>
                <w:rFonts w:ascii="Arial" w:hAnsi="Arial" w:cs="Arial"/>
                <w:sz w:val="24"/>
              </w:rPr>
            </w:pPr>
            <w:r w:rsidRPr="00FB70E0">
              <w:rPr>
                <w:rFonts w:ascii="Arial" w:hAnsi="Arial" w:cs="Arial"/>
                <w:sz w:val="24"/>
              </w:rPr>
              <w:t>$</w:t>
            </w:r>
            <w:r w:rsidRPr="00FB70E0" w:rsidR="00BA6DF4">
              <w:rPr>
                <w:rFonts w:ascii="Arial" w:hAnsi="Arial" w:cs="Arial"/>
                <w:sz w:val="24"/>
              </w:rPr>
              <w:t>213,886</w:t>
            </w:r>
            <w:r w:rsidRPr="00FB70E0">
              <w:rPr>
                <w:rFonts w:ascii="Arial" w:hAnsi="Arial" w:cs="Arial"/>
                <w:sz w:val="24"/>
              </w:rPr>
              <w:t> </w:t>
            </w:r>
          </w:p>
        </w:tc>
      </w:tr>
    </w:tbl>
    <w:p w:rsidR="00783D49" w:rsidRPr="00FB70E0" w:rsidP="008006CB" w14:paraId="1C3A4A30" w14:textId="5AA7CE7E">
      <w:pPr>
        <w:widowControl/>
        <w:tabs>
          <w:tab w:val="num" w:pos="990"/>
        </w:tabs>
        <w:ind w:left="270"/>
        <w:rPr>
          <w:rFonts w:ascii="Arial" w:hAnsi="Arial" w:cs="Arial"/>
          <w:sz w:val="24"/>
        </w:rPr>
      </w:pPr>
      <w:r w:rsidRPr="00FB70E0">
        <w:rPr>
          <w:rFonts w:ascii="Arial" w:hAnsi="Arial" w:cs="Arial"/>
          <w:sz w:val="24"/>
        </w:rPr>
        <w:t xml:space="preserve">The annualized burden costs for recipients </w:t>
      </w:r>
      <w:r w:rsidRPr="00FB70E0">
        <w:rPr>
          <w:rFonts w:ascii="Arial" w:hAnsi="Arial" w:cs="Arial"/>
          <w:sz w:val="24"/>
        </w:rPr>
        <w:t>is</w:t>
      </w:r>
      <w:r w:rsidRPr="00FB70E0">
        <w:rPr>
          <w:rFonts w:ascii="Arial" w:hAnsi="Arial" w:cs="Arial"/>
          <w:sz w:val="24"/>
        </w:rPr>
        <w:t xml:space="preserve"> based on the Bureau of Labor Statistics 2024 Occupational Employment and Wages, for </w:t>
      </w:r>
      <w:r w:rsidR="00D9356E">
        <w:rPr>
          <w:rFonts w:ascii="Arial" w:hAnsi="Arial" w:cs="Arial"/>
          <w:sz w:val="24"/>
        </w:rPr>
        <w:t xml:space="preserve">Budget </w:t>
      </w:r>
      <w:r w:rsidRPr="00FB70E0">
        <w:rPr>
          <w:rFonts w:ascii="Arial" w:hAnsi="Arial" w:cs="Arial"/>
          <w:sz w:val="24"/>
        </w:rPr>
        <w:t>Analysts</w:t>
      </w:r>
      <w:r w:rsidR="00D9356E">
        <w:rPr>
          <w:rFonts w:ascii="Arial" w:hAnsi="Arial" w:cs="Arial"/>
          <w:sz w:val="24"/>
        </w:rPr>
        <w:t xml:space="preserve"> (13-2031)</w:t>
      </w:r>
      <w:r w:rsidRPr="00FB70E0">
        <w:rPr>
          <w:rFonts w:ascii="Arial" w:hAnsi="Arial" w:cs="Arial"/>
          <w:sz w:val="24"/>
        </w:rPr>
        <w:t xml:space="preserve">, </w:t>
      </w:r>
      <w:hyperlink r:id="rId8" w:anchor="/industry/000000" w:history="1">
        <w:r w:rsidRPr="005C56A7" w:rsidR="00D9356E">
          <w:rPr>
            <w:rStyle w:val="Hyperlink"/>
            <w:rFonts w:ascii="Arial" w:hAnsi="Arial" w:cs="Arial"/>
            <w:sz w:val="24"/>
          </w:rPr>
          <w:t>https://data.bls.gov/oes/#/industry/000000</w:t>
        </w:r>
      </w:hyperlink>
      <w:r w:rsidRPr="00FB70E0">
        <w:rPr>
          <w:rFonts w:ascii="Arial" w:hAnsi="Arial" w:cs="Arial"/>
          <w:sz w:val="24"/>
        </w:rPr>
        <w:t>.</w:t>
      </w:r>
      <w:r w:rsidRPr="00FB70E0" w:rsidR="008006CB">
        <w:rPr>
          <w:rFonts w:ascii="Arial" w:hAnsi="Arial" w:cs="Arial"/>
          <w:sz w:val="24"/>
        </w:rPr>
        <w:t xml:space="preserve"> </w:t>
      </w:r>
    </w:p>
    <w:p w:rsidR="00E543FE" w:rsidRPr="00FB70E0" w:rsidP="008006CB" w14:paraId="4690B42B" w14:textId="77777777">
      <w:pPr>
        <w:widowControl/>
        <w:ind w:left="270"/>
        <w:rPr>
          <w:rFonts w:ascii="Arial" w:hAnsi="Arial" w:cs="Arial"/>
          <w:sz w:val="24"/>
        </w:rPr>
      </w:pPr>
    </w:p>
    <w:p w:rsidR="00634235" w:rsidP="008006CB" w14:paraId="16E4CEAF" w14:textId="23E29591">
      <w:pPr>
        <w:widowControl/>
        <w:ind w:left="270"/>
        <w:rPr>
          <w:rFonts w:ascii="Arial" w:hAnsi="Arial" w:cs="Arial"/>
          <w:sz w:val="24"/>
        </w:rPr>
      </w:pPr>
      <w:r w:rsidRPr="00FB70E0">
        <w:rPr>
          <w:rFonts w:ascii="Arial" w:hAnsi="Arial" w:cs="Arial"/>
          <w:sz w:val="24"/>
        </w:rPr>
        <w:t>The net total hour cost, $106,943, is doubled to account for employer overhead and fringe benefits, yielding a total hourly cost of $213,886</w:t>
      </w:r>
    </w:p>
    <w:p w:rsidR="00245DD0" w:rsidP="008006CB" w14:paraId="5B1960D5" w14:textId="77777777">
      <w:pPr>
        <w:widowControl/>
        <w:ind w:left="270"/>
        <w:rPr>
          <w:rFonts w:ascii="Arial" w:hAnsi="Arial" w:cs="Arial"/>
          <w:sz w:val="24"/>
        </w:rPr>
      </w:pPr>
    </w:p>
    <w:p w:rsidR="00245DD0" w:rsidRPr="00FB70E0" w:rsidP="008006CB" w14:paraId="30FAF17C" w14:textId="77777777">
      <w:pPr>
        <w:widowControl/>
        <w:ind w:left="270"/>
        <w:rPr>
          <w:rFonts w:ascii="Arial" w:hAnsi="Arial" w:cs="Arial"/>
          <w:sz w:val="24"/>
        </w:rPr>
      </w:pPr>
    </w:p>
    <w:p w:rsidR="009B3794" w:rsidRPr="00FB70E0" w:rsidP="00A7328A" w14:paraId="22E2A391" w14:textId="77777777">
      <w:pPr>
        <w:numPr>
          <w:ilvl w:val="0"/>
          <w:numId w:val="66"/>
        </w:numPr>
        <w:spacing w:before="120"/>
        <w:rPr>
          <w:rFonts w:ascii="Arial" w:hAnsi="Arial" w:cs="Arial"/>
          <w:b/>
          <w:sz w:val="24"/>
        </w:rPr>
      </w:pPr>
      <w:r w:rsidRPr="00FB70E0">
        <w:rPr>
          <w:rFonts w:ascii="Arial" w:hAnsi="Arial" w:cs="Arial"/>
          <w:b/>
          <w:bCs/>
          <w:sz w:val="24"/>
          <w:u w:val="single"/>
        </w:rPr>
        <w:t>Estimates of other Total Annual Cost Burden to Respondents or Recordkeepers/Capital Costs</w:t>
      </w:r>
    </w:p>
    <w:p w:rsidR="00D11CA3" w:rsidRPr="00FB70E0" w:rsidP="00E511DD" w14:paraId="22E2A394" w14:textId="5FACE70C">
      <w:pPr>
        <w:pStyle w:val="BodyTextIndent"/>
        <w:spacing w:before="120"/>
        <w:ind w:left="360"/>
        <w:rPr>
          <w:rFonts w:ascii="Arial" w:hAnsi="Arial" w:cs="Arial"/>
          <w:b/>
        </w:rPr>
      </w:pPr>
      <w:r w:rsidRPr="00FB70E0">
        <w:rPr>
          <w:rFonts w:ascii="Arial" w:hAnsi="Arial" w:cs="Arial"/>
        </w:rPr>
        <w:t>Grant recipients are responsible for maintaining their own data systems</w:t>
      </w:r>
      <w:r w:rsidR="00027711">
        <w:rPr>
          <w:rFonts w:ascii="Arial" w:hAnsi="Arial" w:cs="Arial"/>
        </w:rPr>
        <w:t xml:space="preserve">. </w:t>
      </w:r>
      <w:r w:rsidRPr="00FB70E0">
        <w:rPr>
          <w:rFonts w:ascii="Arial" w:hAnsi="Arial" w:cs="Arial"/>
        </w:rPr>
        <w:t>There are no direct costs to respondents other than their time in participating in the data collection and quality assurance.</w:t>
      </w:r>
    </w:p>
    <w:p w:rsidR="009B3794" w:rsidRPr="00FB70E0" w:rsidP="00A7328A" w14:paraId="22E2A395" w14:textId="77777777">
      <w:pPr>
        <w:numPr>
          <w:ilvl w:val="0"/>
          <w:numId w:val="66"/>
        </w:numPr>
        <w:spacing w:before="120"/>
        <w:rPr>
          <w:rFonts w:ascii="Arial" w:hAnsi="Arial" w:cs="Arial"/>
          <w:b/>
          <w:sz w:val="24"/>
        </w:rPr>
      </w:pPr>
      <w:r w:rsidRPr="00FB70E0">
        <w:rPr>
          <w:rFonts w:ascii="Arial" w:hAnsi="Arial" w:cs="Arial"/>
          <w:b/>
          <w:bCs/>
          <w:sz w:val="24"/>
          <w:u w:val="single"/>
        </w:rPr>
        <w:t>Annualized Cost to Federal Government</w:t>
      </w:r>
    </w:p>
    <w:p w:rsidR="00521516" w:rsidRPr="00FB70E0" w:rsidP="00E511DD" w14:paraId="4864BB91" w14:textId="072890C1">
      <w:pPr>
        <w:pStyle w:val="BodyTextIndent"/>
        <w:spacing w:before="120"/>
        <w:ind w:left="360"/>
        <w:rPr>
          <w:rFonts w:ascii="Arial" w:hAnsi="Arial" w:cs="Arial"/>
        </w:rPr>
      </w:pPr>
      <w:r w:rsidRPr="7F32BB9D">
        <w:rPr>
          <w:rFonts w:ascii="Arial" w:hAnsi="Arial" w:cs="Arial"/>
        </w:rPr>
        <w:t xml:space="preserve">HRSA maintains a contract to provide technical assistance, the distribution of OMB-approved forms, data entry and analysis for the </w:t>
      </w:r>
      <w:r w:rsidRPr="7F32BB9D" w:rsidR="00C77DD0">
        <w:rPr>
          <w:rFonts w:ascii="Arial" w:hAnsi="Arial" w:cs="Arial"/>
        </w:rPr>
        <w:t>Expenditures</w:t>
      </w:r>
      <w:r w:rsidRPr="7F32BB9D">
        <w:rPr>
          <w:rFonts w:ascii="Arial" w:hAnsi="Arial" w:cs="Arial"/>
        </w:rPr>
        <w:t xml:space="preserve"> and other RWHAP data collection support activities. While not a separate budget line item, the contract cost to support the </w:t>
      </w:r>
      <w:r w:rsidRPr="7F32BB9D" w:rsidR="00C77DD0">
        <w:rPr>
          <w:rFonts w:ascii="Arial" w:hAnsi="Arial" w:cs="Arial"/>
        </w:rPr>
        <w:t>Expend</w:t>
      </w:r>
      <w:r w:rsidRPr="7F32BB9D" w:rsidR="00260A31">
        <w:rPr>
          <w:rFonts w:ascii="Arial" w:hAnsi="Arial" w:cs="Arial"/>
        </w:rPr>
        <w:t>itures</w:t>
      </w:r>
      <w:r w:rsidRPr="7F32BB9D">
        <w:rPr>
          <w:rFonts w:ascii="Arial" w:hAnsi="Arial" w:cs="Arial"/>
        </w:rPr>
        <w:t xml:space="preserve"> data collection is estimated to be</w:t>
      </w:r>
      <w:r w:rsidRPr="7F32BB9D" w:rsidR="00AE1CD1">
        <w:rPr>
          <w:rFonts w:ascii="Arial" w:hAnsi="Arial" w:cs="Arial"/>
        </w:rPr>
        <w:t xml:space="preserve"> </w:t>
      </w:r>
      <w:r w:rsidRPr="7F32BB9D">
        <w:rPr>
          <w:rFonts w:ascii="Arial" w:hAnsi="Arial" w:cs="Arial"/>
        </w:rPr>
        <w:t>approximately 12.5%</w:t>
      </w:r>
      <w:r w:rsidR="00027711">
        <w:rPr>
          <w:rFonts w:ascii="Arial" w:hAnsi="Arial" w:cs="Arial"/>
        </w:rPr>
        <w:t xml:space="preserve">. </w:t>
      </w:r>
      <w:r w:rsidRPr="7F32BB9D">
        <w:rPr>
          <w:rFonts w:ascii="Arial" w:hAnsi="Arial" w:cs="Arial"/>
        </w:rPr>
        <w:t xml:space="preserve">The estimated average annual </w:t>
      </w:r>
      <w:r w:rsidRPr="7F32BB9D" w:rsidR="0092380F">
        <w:rPr>
          <w:rFonts w:ascii="Arial" w:hAnsi="Arial" w:cs="Arial"/>
        </w:rPr>
        <w:t xml:space="preserve">contract </w:t>
      </w:r>
      <w:r w:rsidRPr="7F32BB9D">
        <w:rPr>
          <w:rFonts w:ascii="Arial" w:hAnsi="Arial" w:cs="Arial"/>
        </w:rPr>
        <w:t>cost is $912,143.78 x 12.5% = $114,018.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00"/>
        <w:gridCol w:w="1350"/>
        <w:gridCol w:w="2041"/>
        <w:gridCol w:w="1890"/>
        <w:gridCol w:w="1260"/>
      </w:tblGrid>
      <w:tr w14:paraId="6CB52BAF" w14:textId="77777777" w:rsidTr="7F32BB9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4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6C6F71"/>
            <w:vAlign w:val="bottom"/>
            <w:hideMark/>
          </w:tcPr>
          <w:p w:rsidR="00521516" w:rsidRPr="00FB70E0" w:rsidP="005E6BEB" w14:paraId="2359AC4D" w14:textId="77777777">
            <w:pPr>
              <w:pStyle w:val="BodyTextIndent"/>
              <w:spacing w:before="120"/>
              <w:ind w:left="360"/>
              <w:rPr>
                <w:rFonts w:ascii="Arial" w:hAnsi="Arial" w:cs="Arial"/>
                <w:b/>
                <w:bCs/>
              </w:rPr>
            </w:pPr>
            <w:r w:rsidRPr="00FB70E0">
              <w:rPr>
                <w:rFonts w:ascii="Arial" w:hAnsi="Arial" w:cs="Arial"/>
                <w:b/>
                <w:bCs/>
              </w:rPr>
              <w:t>Contract year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6C6F71"/>
            <w:hideMark/>
          </w:tcPr>
          <w:p w:rsidR="00521516" w:rsidRPr="00FB70E0" w:rsidP="005E6BEB" w14:paraId="4233BFF8" w14:textId="77777777">
            <w:pPr>
              <w:pStyle w:val="BodyTextIndent"/>
              <w:spacing w:before="120"/>
              <w:ind w:left="360"/>
              <w:rPr>
                <w:rFonts w:ascii="Arial" w:hAnsi="Arial" w:cs="Arial"/>
                <w:b/>
                <w:bCs/>
              </w:rPr>
            </w:pPr>
            <w:r w:rsidRPr="00FB70E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6C6F71"/>
            <w:vAlign w:val="bottom"/>
            <w:hideMark/>
          </w:tcPr>
          <w:p w:rsidR="00521516" w:rsidRPr="00FB70E0" w:rsidP="005E6BEB" w14:paraId="56585732" w14:textId="7AE24B09">
            <w:pPr>
              <w:pStyle w:val="BodyTextIndent"/>
              <w:spacing w:before="120"/>
              <w:ind w:left="360"/>
              <w:rPr>
                <w:rFonts w:ascii="Arial" w:hAnsi="Arial" w:cs="Arial"/>
                <w:b/>
                <w:bCs/>
              </w:rPr>
            </w:pPr>
            <w:r w:rsidRPr="00FB70E0">
              <w:rPr>
                <w:rFonts w:ascii="Arial" w:hAnsi="Arial" w:cs="Arial"/>
                <w:b/>
                <w:bCs/>
              </w:rPr>
              <w:t>Task 2 (</w:t>
            </w:r>
            <w:r w:rsidRPr="00FB70E0" w:rsidR="00DA52E6">
              <w:rPr>
                <w:rFonts w:ascii="Arial" w:hAnsi="Arial" w:cs="Arial"/>
                <w:b/>
                <w:bCs/>
              </w:rPr>
              <w:t>Expenditures</w:t>
            </w:r>
            <w:r w:rsidRPr="00FB70E0">
              <w:rPr>
                <w:rFonts w:ascii="Arial" w:hAnsi="Arial" w:cs="Arial"/>
                <w:b/>
                <w:bCs/>
              </w:rPr>
              <w:t>) cost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6C6F71"/>
            <w:vAlign w:val="bottom"/>
            <w:hideMark/>
          </w:tcPr>
          <w:p w:rsidR="00521516" w:rsidRPr="00FB70E0" w:rsidP="005E6BEB" w14:paraId="16160BA8" w14:textId="77777777">
            <w:pPr>
              <w:pStyle w:val="BodyTextIndent"/>
              <w:spacing w:before="120"/>
              <w:ind w:left="360"/>
              <w:rPr>
                <w:rFonts w:ascii="Arial" w:hAnsi="Arial" w:cs="Arial"/>
                <w:b/>
                <w:bCs/>
              </w:rPr>
            </w:pPr>
            <w:r w:rsidRPr="00FB70E0">
              <w:rPr>
                <w:rFonts w:ascii="Arial" w:hAnsi="Arial" w:cs="Arial"/>
                <w:b/>
                <w:bCs/>
              </w:rPr>
              <w:t>A&amp;E estimated cost (12.5%)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6C6F71"/>
            <w:vAlign w:val="bottom"/>
            <w:hideMark/>
          </w:tcPr>
          <w:p w:rsidR="00521516" w:rsidRPr="00FB70E0" w:rsidP="005E6BEB" w14:paraId="66C9F47C" w14:textId="77777777">
            <w:pPr>
              <w:pStyle w:val="BodyTextIndent"/>
              <w:spacing w:before="120"/>
              <w:ind w:left="360"/>
              <w:rPr>
                <w:rFonts w:ascii="Arial" w:hAnsi="Arial" w:cs="Arial"/>
                <w:b/>
                <w:bCs/>
              </w:rPr>
            </w:pPr>
            <w:r w:rsidRPr="00FB70E0">
              <w:rPr>
                <w:rFonts w:ascii="Arial" w:hAnsi="Arial" w:cs="Arial"/>
                <w:b/>
                <w:bCs/>
              </w:rPr>
              <w:t> </w:t>
            </w:r>
          </w:p>
        </w:tc>
      </w:tr>
      <w:tr w14:paraId="38D15501" w14:textId="77777777" w:rsidTr="7F32BB9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  <w:vAlign w:val="center"/>
            <w:hideMark/>
          </w:tcPr>
          <w:p w:rsidR="00521516" w:rsidRPr="00FB70E0" w:rsidP="005E6BEB" w14:paraId="7D59D554" w14:textId="77777777">
            <w:pPr>
              <w:pStyle w:val="BodyTextIndent"/>
              <w:spacing w:before="120"/>
              <w:ind w:left="360"/>
              <w:rPr>
                <w:rFonts w:ascii="Arial" w:hAnsi="Arial" w:cs="Arial"/>
              </w:rPr>
            </w:pPr>
            <w:r w:rsidRPr="00FB70E0">
              <w:rPr>
                <w:rFonts w:ascii="Arial" w:hAnsi="Arial" w:cs="Arial"/>
              </w:rPr>
              <w:t>Base year (2022-23)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  <w:vAlign w:val="center"/>
            <w:hideMark/>
          </w:tcPr>
          <w:p w:rsidR="00521516" w:rsidRPr="00FB70E0" w:rsidP="005E6BEB" w14:paraId="7A59E1FC" w14:textId="77777777">
            <w:pPr>
              <w:pStyle w:val="BodyTextIndent"/>
              <w:spacing w:before="120"/>
              <w:ind w:left="360"/>
              <w:rPr>
                <w:rFonts w:ascii="Arial" w:hAnsi="Arial" w:cs="Arial"/>
              </w:rPr>
            </w:pPr>
            <w:r w:rsidRPr="00FB70E0">
              <w:rPr>
                <w:rFonts w:ascii="Arial" w:hAnsi="Arial" w:cs="Arial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  <w:vAlign w:val="center"/>
            <w:hideMark/>
          </w:tcPr>
          <w:p w:rsidR="00521516" w:rsidRPr="00FB70E0" w:rsidP="005E6BEB" w14:paraId="653F8518" w14:textId="77777777">
            <w:pPr>
              <w:pStyle w:val="BodyTextIndent"/>
              <w:spacing w:before="120"/>
              <w:ind w:left="360"/>
              <w:rPr>
                <w:rFonts w:ascii="Arial" w:hAnsi="Arial" w:cs="Arial"/>
              </w:rPr>
            </w:pPr>
            <w:r w:rsidRPr="00FB70E0">
              <w:rPr>
                <w:rFonts w:ascii="Arial" w:hAnsi="Arial" w:cs="Arial"/>
              </w:rPr>
              <w:t>$1,767,253.26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  <w:vAlign w:val="center"/>
            <w:hideMark/>
          </w:tcPr>
          <w:p w:rsidR="00521516" w:rsidRPr="00FB70E0" w:rsidP="005E6BEB" w14:paraId="50E1CFFF" w14:textId="77777777">
            <w:pPr>
              <w:pStyle w:val="BodyTextIndent"/>
              <w:spacing w:before="120"/>
              <w:ind w:left="360"/>
              <w:rPr>
                <w:rFonts w:ascii="Arial" w:hAnsi="Arial" w:cs="Arial"/>
              </w:rPr>
            </w:pPr>
            <w:r w:rsidRPr="00FB70E0">
              <w:rPr>
                <w:rFonts w:ascii="Arial" w:hAnsi="Arial" w:cs="Arial"/>
              </w:rPr>
              <w:t>$220,906.66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BFBFBF" w:themeColor="background1" w:themeShade="BF"/>
              <w:right w:val="nil"/>
            </w:tcBorders>
            <w:vAlign w:val="center"/>
            <w:hideMark/>
          </w:tcPr>
          <w:p w:rsidR="00521516" w:rsidRPr="00FB70E0" w:rsidP="005E6BEB" w14:paraId="01F54128" w14:textId="77777777">
            <w:pPr>
              <w:pStyle w:val="BodyTextIndent"/>
              <w:spacing w:before="120"/>
              <w:ind w:left="360"/>
              <w:rPr>
                <w:rFonts w:ascii="Arial" w:hAnsi="Arial" w:cs="Arial"/>
              </w:rPr>
            </w:pPr>
            <w:r w:rsidRPr="00FB70E0">
              <w:rPr>
                <w:rFonts w:ascii="Arial" w:hAnsi="Arial" w:cs="Arial"/>
              </w:rPr>
              <w:t> </w:t>
            </w:r>
          </w:p>
        </w:tc>
      </w:tr>
      <w:tr w14:paraId="44241BF8" w14:textId="77777777" w:rsidTr="7F32BB9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0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  <w:hideMark/>
          </w:tcPr>
          <w:p w:rsidR="00521516" w:rsidRPr="00FB70E0" w:rsidP="005E6BEB" w14:paraId="51B6C70E" w14:textId="77777777">
            <w:pPr>
              <w:pStyle w:val="BodyTextIndent"/>
              <w:spacing w:before="120"/>
              <w:ind w:left="360"/>
              <w:rPr>
                <w:rFonts w:ascii="Arial" w:hAnsi="Arial" w:cs="Arial"/>
              </w:rPr>
            </w:pPr>
            <w:r w:rsidRPr="00FB70E0">
              <w:rPr>
                <w:rFonts w:ascii="Arial" w:hAnsi="Arial" w:cs="Arial"/>
              </w:rPr>
              <w:t>Option year 1 (2023-24) </w:t>
            </w:r>
          </w:p>
        </w:tc>
        <w:tc>
          <w:tcPr>
            <w:tcW w:w="135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  <w:hideMark/>
          </w:tcPr>
          <w:p w:rsidR="00521516" w:rsidRPr="00FB70E0" w:rsidP="005E6BEB" w14:paraId="6BFF3DB3" w14:textId="77777777">
            <w:pPr>
              <w:pStyle w:val="BodyTextIndent"/>
              <w:spacing w:before="120"/>
              <w:ind w:left="360"/>
              <w:rPr>
                <w:rFonts w:ascii="Arial" w:hAnsi="Arial" w:cs="Arial"/>
              </w:rPr>
            </w:pPr>
            <w:r w:rsidRPr="00FB70E0">
              <w:rPr>
                <w:rFonts w:ascii="Arial" w:hAnsi="Arial" w:cs="Arial"/>
              </w:rPr>
              <w:t> </w:t>
            </w:r>
          </w:p>
        </w:tc>
        <w:tc>
          <w:tcPr>
            <w:tcW w:w="18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  <w:hideMark/>
          </w:tcPr>
          <w:p w:rsidR="00521516" w:rsidRPr="00FB70E0" w:rsidP="005E6BEB" w14:paraId="39EEDF28" w14:textId="77777777">
            <w:pPr>
              <w:pStyle w:val="BodyTextIndent"/>
              <w:spacing w:before="120"/>
              <w:ind w:left="360"/>
              <w:rPr>
                <w:rFonts w:ascii="Arial" w:hAnsi="Arial" w:cs="Arial"/>
              </w:rPr>
            </w:pPr>
            <w:r w:rsidRPr="00FB70E0">
              <w:rPr>
                <w:rFonts w:ascii="Arial" w:hAnsi="Arial" w:cs="Arial"/>
              </w:rPr>
              <w:t>$1,791,354.67 </w:t>
            </w:r>
          </w:p>
        </w:tc>
        <w:tc>
          <w:tcPr>
            <w:tcW w:w="18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  <w:hideMark/>
          </w:tcPr>
          <w:p w:rsidR="00521516" w:rsidRPr="00FB70E0" w:rsidP="005E6BEB" w14:paraId="1BF3E75C" w14:textId="77777777">
            <w:pPr>
              <w:pStyle w:val="BodyTextIndent"/>
              <w:spacing w:before="120"/>
              <w:ind w:left="360"/>
              <w:rPr>
                <w:rFonts w:ascii="Arial" w:hAnsi="Arial" w:cs="Arial"/>
              </w:rPr>
            </w:pPr>
            <w:r w:rsidRPr="00FB70E0">
              <w:rPr>
                <w:rFonts w:ascii="Arial" w:hAnsi="Arial" w:cs="Arial"/>
              </w:rPr>
              <w:t>$223,919.33 </w:t>
            </w:r>
          </w:p>
        </w:tc>
        <w:tc>
          <w:tcPr>
            <w:tcW w:w="126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  <w:hideMark/>
          </w:tcPr>
          <w:p w:rsidR="00521516" w:rsidRPr="00FB70E0" w:rsidP="005E6BEB" w14:paraId="76FF887D" w14:textId="77777777">
            <w:pPr>
              <w:pStyle w:val="BodyTextIndent"/>
              <w:spacing w:before="120"/>
              <w:ind w:left="360"/>
              <w:rPr>
                <w:rFonts w:ascii="Arial" w:hAnsi="Arial" w:cs="Arial"/>
              </w:rPr>
            </w:pPr>
            <w:r w:rsidRPr="00FB70E0">
              <w:rPr>
                <w:rFonts w:ascii="Arial" w:hAnsi="Arial" w:cs="Arial"/>
              </w:rPr>
              <w:t> </w:t>
            </w:r>
          </w:p>
        </w:tc>
      </w:tr>
      <w:tr w14:paraId="0AFCC5BC" w14:textId="77777777" w:rsidTr="7F32BB9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0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  <w:hideMark/>
          </w:tcPr>
          <w:p w:rsidR="00521516" w:rsidRPr="00FB70E0" w:rsidP="005E6BEB" w14:paraId="3851DCF9" w14:textId="77777777">
            <w:pPr>
              <w:pStyle w:val="BodyTextIndent"/>
              <w:spacing w:before="120"/>
              <w:ind w:left="360"/>
              <w:rPr>
                <w:rFonts w:ascii="Arial" w:hAnsi="Arial" w:cs="Arial"/>
              </w:rPr>
            </w:pPr>
            <w:r w:rsidRPr="00FB70E0">
              <w:rPr>
                <w:rFonts w:ascii="Arial" w:hAnsi="Arial" w:cs="Arial"/>
              </w:rPr>
              <w:t>Option year 2 (2024-25) </w:t>
            </w:r>
          </w:p>
        </w:tc>
        <w:tc>
          <w:tcPr>
            <w:tcW w:w="135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  <w:hideMark/>
          </w:tcPr>
          <w:p w:rsidR="00521516" w:rsidRPr="00FB70E0" w:rsidP="005E6BEB" w14:paraId="37971B2B" w14:textId="77777777">
            <w:pPr>
              <w:pStyle w:val="BodyTextIndent"/>
              <w:spacing w:before="120"/>
              <w:ind w:left="360"/>
              <w:rPr>
                <w:rFonts w:ascii="Arial" w:hAnsi="Arial" w:cs="Arial"/>
              </w:rPr>
            </w:pPr>
            <w:r w:rsidRPr="00FB70E0">
              <w:rPr>
                <w:rFonts w:ascii="Arial" w:hAnsi="Arial" w:cs="Arial"/>
              </w:rPr>
              <w:t> </w:t>
            </w:r>
          </w:p>
        </w:tc>
        <w:tc>
          <w:tcPr>
            <w:tcW w:w="18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  <w:hideMark/>
          </w:tcPr>
          <w:p w:rsidR="00521516" w:rsidRPr="00FB70E0" w:rsidP="005E6BEB" w14:paraId="3AFA0AE0" w14:textId="77777777">
            <w:pPr>
              <w:pStyle w:val="BodyTextIndent"/>
              <w:spacing w:before="120"/>
              <w:ind w:left="360"/>
              <w:rPr>
                <w:rFonts w:ascii="Arial" w:hAnsi="Arial" w:cs="Arial"/>
              </w:rPr>
            </w:pPr>
            <w:r w:rsidRPr="00FB70E0">
              <w:rPr>
                <w:rFonts w:ascii="Arial" w:hAnsi="Arial" w:cs="Arial"/>
              </w:rPr>
              <w:t>$1,835,418.84 </w:t>
            </w:r>
          </w:p>
        </w:tc>
        <w:tc>
          <w:tcPr>
            <w:tcW w:w="18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  <w:hideMark/>
          </w:tcPr>
          <w:p w:rsidR="00521516" w:rsidRPr="00FB70E0" w:rsidP="005E6BEB" w14:paraId="25800D71" w14:textId="77777777">
            <w:pPr>
              <w:pStyle w:val="BodyTextIndent"/>
              <w:spacing w:before="120"/>
              <w:ind w:left="360"/>
              <w:rPr>
                <w:rFonts w:ascii="Arial" w:hAnsi="Arial" w:cs="Arial"/>
              </w:rPr>
            </w:pPr>
            <w:r w:rsidRPr="00FB70E0">
              <w:rPr>
                <w:rFonts w:ascii="Arial" w:hAnsi="Arial" w:cs="Arial"/>
              </w:rPr>
              <w:t>$229,427.36 </w:t>
            </w:r>
          </w:p>
        </w:tc>
        <w:tc>
          <w:tcPr>
            <w:tcW w:w="126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  <w:hideMark/>
          </w:tcPr>
          <w:p w:rsidR="00521516" w:rsidRPr="00FB70E0" w:rsidP="005E6BEB" w14:paraId="3C906844" w14:textId="77777777">
            <w:pPr>
              <w:pStyle w:val="BodyTextIndent"/>
              <w:spacing w:before="120"/>
              <w:ind w:left="360"/>
              <w:rPr>
                <w:rFonts w:ascii="Arial" w:hAnsi="Arial" w:cs="Arial"/>
              </w:rPr>
            </w:pPr>
            <w:r w:rsidRPr="00FB70E0">
              <w:rPr>
                <w:rFonts w:ascii="Arial" w:hAnsi="Arial" w:cs="Arial"/>
              </w:rPr>
              <w:t> </w:t>
            </w:r>
          </w:p>
        </w:tc>
      </w:tr>
      <w:tr w14:paraId="18EF2D6A" w14:textId="77777777" w:rsidTr="7F32BB9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0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  <w:hideMark/>
          </w:tcPr>
          <w:p w:rsidR="00521516" w:rsidRPr="00FB70E0" w:rsidP="005E6BEB" w14:paraId="1E3A6649" w14:textId="77777777">
            <w:pPr>
              <w:pStyle w:val="BodyTextIndent"/>
              <w:spacing w:before="120"/>
              <w:ind w:left="360"/>
              <w:rPr>
                <w:rFonts w:ascii="Arial" w:hAnsi="Arial" w:cs="Arial"/>
              </w:rPr>
            </w:pPr>
            <w:r w:rsidRPr="00FB70E0">
              <w:rPr>
                <w:rFonts w:ascii="Arial" w:hAnsi="Arial" w:cs="Arial"/>
              </w:rPr>
              <w:t>Option year 3 (2025-26) </w:t>
            </w:r>
          </w:p>
        </w:tc>
        <w:tc>
          <w:tcPr>
            <w:tcW w:w="135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  <w:hideMark/>
          </w:tcPr>
          <w:p w:rsidR="00521516" w:rsidRPr="00FB70E0" w:rsidP="005E6BEB" w14:paraId="4172BFB5" w14:textId="77777777">
            <w:pPr>
              <w:pStyle w:val="BodyTextIndent"/>
              <w:spacing w:before="120"/>
              <w:ind w:left="360"/>
              <w:rPr>
                <w:rFonts w:ascii="Arial" w:hAnsi="Arial" w:cs="Arial"/>
              </w:rPr>
            </w:pPr>
            <w:r w:rsidRPr="00FB70E0">
              <w:rPr>
                <w:rFonts w:ascii="Arial" w:hAnsi="Arial" w:cs="Arial"/>
              </w:rPr>
              <w:t> </w:t>
            </w:r>
          </w:p>
        </w:tc>
        <w:tc>
          <w:tcPr>
            <w:tcW w:w="18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  <w:hideMark/>
          </w:tcPr>
          <w:p w:rsidR="00521516" w:rsidRPr="00FB70E0" w:rsidP="005E6BEB" w14:paraId="6A315DA4" w14:textId="77777777">
            <w:pPr>
              <w:pStyle w:val="BodyTextIndent"/>
              <w:spacing w:before="120"/>
              <w:ind w:left="360"/>
              <w:rPr>
                <w:rFonts w:ascii="Arial" w:hAnsi="Arial" w:cs="Arial"/>
              </w:rPr>
            </w:pPr>
            <w:r w:rsidRPr="00FB70E0">
              <w:rPr>
                <w:rFonts w:ascii="Arial" w:hAnsi="Arial" w:cs="Arial"/>
              </w:rPr>
              <w:t>$1,903,123.41 </w:t>
            </w:r>
          </w:p>
        </w:tc>
        <w:tc>
          <w:tcPr>
            <w:tcW w:w="189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  <w:hideMark/>
          </w:tcPr>
          <w:p w:rsidR="00521516" w:rsidRPr="00FB70E0" w:rsidP="005E6BEB" w14:paraId="02E24316" w14:textId="77777777">
            <w:pPr>
              <w:pStyle w:val="BodyTextIndent"/>
              <w:spacing w:before="120"/>
              <w:ind w:left="360"/>
              <w:rPr>
                <w:rFonts w:ascii="Arial" w:hAnsi="Arial" w:cs="Arial"/>
              </w:rPr>
            </w:pPr>
            <w:r w:rsidRPr="00FB70E0">
              <w:rPr>
                <w:rFonts w:ascii="Arial" w:hAnsi="Arial" w:cs="Arial"/>
              </w:rPr>
              <w:t>$237,890.43 </w:t>
            </w:r>
          </w:p>
        </w:tc>
        <w:tc>
          <w:tcPr>
            <w:tcW w:w="126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  <w:hideMark/>
          </w:tcPr>
          <w:p w:rsidR="00521516" w:rsidRPr="00FB70E0" w:rsidP="005E6BEB" w14:paraId="3D3442B0" w14:textId="77777777">
            <w:pPr>
              <w:pStyle w:val="BodyTextIndent"/>
              <w:spacing w:before="120"/>
              <w:ind w:left="360"/>
              <w:rPr>
                <w:rFonts w:ascii="Arial" w:hAnsi="Arial" w:cs="Arial"/>
              </w:rPr>
            </w:pPr>
            <w:r w:rsidRPr="00FB70E0">
              <w:rPr>
                <w:rFonts w:ascii="Arial" w:hAnsi="Arial" w:cs="Arial"/>
              </w:rPr>
              <w:t> </w:t>
            </w:r>
          </w:p>
        </w:tc>
      </w:tr>
      <w:tr w14:paraId="40EF09C2" w14:textId="77777777" w:rsidTr="7F32BB9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00" w:type="dxa"/>
            <w:tcBorders>
              <w:top w:val="single" w:sz="6" w:space="0" w:color="BFBFBF" w:themeColor="background1" w:themeShade="BF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21516" w:rsidRPr="00FB70E0" w:rsidP="005E6BEB" w14:paraId="2AADECF6" w14:textId="77777777">
            <w:pPr>
              <w:pStyle w:val="BodyTextIndent"/>
              <w:spacing w:before="120"/>
              <w:ind w:left="360"/>
              <w:rPr>
                <w:rFonts w:ascii="Arial" w:hAnsi="Arial" w:cs="Arial"/>
              </w:rPr>
            </w:pPr>
            <w:r w:rsidRPr="00FB70E0">
              <w:rPr>
                <w:rFonts w:ascii="Arial" w:hAnsi="Arial" w:cs="Arial"/>
              </w:rPr>
              <w:t>Total cost </w:t>
            </w:r>
          </w:p>
        </w:tc>
        <w:tc>
          <w:tcPr>
            <w:tcW w:w="1350" w:type="dxa"/>
            <w:tcBorders>
              <w:top w:val="single" w:sz="6" w:space="0" w:color="BFBFBF" w:themeColor="background1" w:themeShade="BF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21516" w:rsidRPr="00FB70E0" w:rsidP="005E6BEB" w14:paraId="6D686EB5" w14:textId="77777777">
            <w:pPr>
              <w:pStyle w:val="BodyTextIndent"/>
              <w:spacing w:before="120"/>
              <w:ind w:left="360"/>
              <w:rPr>
                <w:rFonts w:ascii="Arial" w:hAnsi="Arial" w:cs="Arial"/>
              </w:rPr>
            </w:pPr>
            <w:r w:rsidRPr="00FB70E0">
              <w:rPr>
                <w:rFonts w:ascii="Arial" w:hAnsi="Arial" w:cs="Arial"/>
              </w:rPr>
              <w:t> </w:t>
            </w:r>
          </w:p>
        </w:tc>
        <w:tc>
          <w:tcPr>
            <w:tcW w:w="1890" w:type="dxa"/>
            <w:tcBorders>
              <w:top w:val="single" w:sz="6" w:space="0" w:color="BFBFBF" w:themeColor="background1" w:themeShade="BF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21516" w:rsidRPr="00FB70E0" w:rsidP="005E6BEB" w14:paraId="5A6C11AF" w14:textId="77777777">
            <w:pPr>
              <w:pStyle w:val="BodyTextIndent"/>
              <w:spacing w:before="120"/>
              <w:ind w:left="360"/>
              <w:rPr>
                <w:rFonts w:ascii="Arial" w:hAnsi="Arial" w:cs="Arial"/>
              </w:rPr>
            </w:pPr>
            <w:r w:rsidRPr="00FB70E0">
              <w:rPr>
                <w:rFonts w:ascii="Arial" w:hAnsi="Arial" w:cs="Arial"/>
              </w:rPr>
              <w:t> </w:t>
            </w:r>
          </w:p>
        </w:tc>
        <w:tc>
          <w:tcPr>
            <w:tcW w:w="1890" w:type="dxa"/>
            <w:tcBorders>
              <w:top w:val="single" w:sz="6" w:space="0" w:color="BFBFBF" w:themeColor="background1" w:themeShade="BF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21516" w:rsidRPr="00FB70E0" w:rsidP="005E6BEB" w14:paraId="7EEF5132" w14:textId="3DC7732E">
            <w:pPr>
              <w:pStyle w:val="BodyTextIndent"/>
              <w:spacing w:before="120"/>
              <w:ind w:left="360"/>
              <w:rPr>
                <w:rFonts w:ascii="Arial" w:hAnsi="Arial" w:cs="Arial"/>
              </w:rPr>
            </w:pPr>
            <w:r w:rsidRPr="7F32BB9D">
              <w:rPr>
                <w:rFonts w:ascii="Arial" w:hAnsi="Arial" w:cs="Arial"/>
              </w:rPr>
              <w:t>$912,14</w:t>
            </w:r>
            <w:r w:rsidRPr="7F32BB9D" w:rsidR="3804E170">
              <w:rPr>
                <w:rFonts w:ascii="Arial" w:hAnsi="Arial" w:cs="Arial"/>
              </w:rPr>
              <w:t>4</w:t>
            </w:r>
            <w:r w:rsidRPr="7F32BB9D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6" w:space="0" w:color="BFBFBF" w:themeColor="background1" w:themeShade="BF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21516" w:rsidRPr="00FB70E0" w:rsidP="005E6BEB" w14:paraId="3E0AD736" w14:textId="77777777">
            <w:pPr>
              <w:pStyle w:val="BodyTextIndent"/>
              <w:spacing w:before="120"/>
              <w:ind w:left="360"/>
              <w:rPr>
                <w:rFonts w:ascii="Arial" w:hAnsi="Arial" w:cs="Arial"/>
              </w:rPr>
            </w:pPr>
            <w:r w:rsidRPr="00FB70E0">
              <w:rPr>
                <w:rFonts w:ascii="Arial" w:hAnsi="Arial" w:cs="Arial"/>
              </w:rPr>
              <w:t> </w:t>
            </w:r>
          </w:p>
        </w:tc>
      </w:tr>
    </w:tbl>
    <w:p w:rsidR="00086D2C" w:rsidRPr="00FB70E0" w:rsidP="00086D2C" w14:paraId="49117039" w14:textId="3A45E3FA">
      <w:pPr>
        <w:pStyle w:val="BodyTextIndent"/>
        <w:spacing w:before="120"/>
        <w:ind w:left="360"/>
        <w:rPr>
          <w:rFonts w:ascii="Arial" w:hAnsi="Arial" w:cs="Arial"/>
        </w:rPr>
      </w:pPr>
      <w:r w:rsidRPr="67F8A11B">
        <w:rPr>
          <w:rFonts w:ascii="Arial" w:hAnsi="Arial" w:cs="Arial"/>
        </w:rPr>
        <w:t>In addition, government personnel require 15 percent of one (1) FTE</w:t>
      </w:r>
      <w:r w:rsidRPr="67F8A11B" w:rsidR="006327DF">
        <w:rPr>
          <w:rFonts w:ascii="Arial" w:hAnsi="Arial" w:cs="Arial"/>
        </w:rPr>
        <w:t>,</w:t>
      </w:r>
      <w:r w:rsidRPr="67F8A11B" w:rsidR="00621D37">
        <w:rPr>
          <w:rFonts w:ascii="Arial" w:hAnsi="Arial" w:cs="Arial"/>
        </w:rPr>
        <w:t xml:space="preserve"> </w:t>
      </w:r>
      <w:r w:rsidRPr="67F8A11B">
        <w:rPr>
          <w:rFonts w:ascii="Arial" w:hAnsi="Arial" w:cs="Arial"/>
        </w:rPr>
        <w:t>including overhead</w:t>
      </w:r>
      <w:r w:rsidRPr="67F8A11B" w:rsidR="006327DF">
        <w:rPr>
          <w:rFonts w:ascii="Arial" w:hAnsi="Arial" w:cs="Arial"/>
        </w:rPr>
        <w:t>,</w:t>
      </w:r>
      <w:r w:rsidRPr="67F8A11B">
        <w:rPr>
          <w:rFonts w:ascii="Arial" w:hAnsi="Arial" w:cs="Arial"/>
        </w:rPr>
        <w:t xml:space="preserve"> at a GS-14, step 6 at a total cost of $37,77</w:t>
      </w:r>
      <w:r w:rsidRPr="67F8A11B" w:rsidR="00E62CA7">
        <w:rPr>
          <w:rFonts w:ascii="Arial" w:hAnsi="Arial" w:cs="Arial"/>
        </w:rPr>
        <w:t xml:space="preserve">8 </w:t>
      </w:r>
      <w:r w:rsidRPr="67F8A11B">
        <w:rPr>
          <w:rFonts w:ascii="Arial" w:hAnsi="Arial" w:cs="Arial"/>
        </w:rPr>
        <w:t>to review and prepare award notices</w:t>
      </w:r>
      <w:r w:rsidR="00027711">
        <w:rPr>
          <w:rFonts w:ascii="Arial" w:hAnsi="Arial" w:cs="Arial"/>
        </w:rPr>
        <w:t xml:space="preserve">. </w:t>
      </w:r>
      <w:r w:rsidRPr="67F8A11B">
        <w:rPr>
          <w:rFonts w:ascii="Arial" w:hAnsi="Arial" w:cs="Arial"/>
        </w:rPr>
        <w:t xml:space="preserve">The average annual total cost </w:t>
      </w:r>
      <w:r w:rsidRPr="67F8A11B" w:rsidR="006327DF">
        <w:rPr>
          <w:rFonts w:ascii="Arial" w:hAnsi="Arial" w:cs="Arial"/>
        </w:rPr>
        <w:t xml:space="preserve">(contract and FTE) </w:t>
      </w:r>
      <w:r w:rsidRPr="67F8A11B">
        <w:rPr>
          <w:rFonts w:ascii="Arial" w:hAnsi="Arial" w:cs="Arial"/>
        </w:rPr>
        <w:t>of the project is $151,79</w:t>
      </w:r>
      <w:r w:rsidRPr="67F8A11B" w:rsidR="00E62CA7">
        <w:rPr>
          <w:rFonts w:ascii="Arial" w:hAnsi="Arial" w:cs="Arial"/>
        </w:rPr>
        <w:t>6</w:t>
      </w:r>
      <w:r w:rsidRPr="67F8A11B">
        <w:rPr>
          <w:rFonts w:ascii="Arial" w:hAnsi="Arial" w:cs="Arial"/>
        </w:rPr>
        <w:t> and the total cost of the four-year project is $607,18</w:t>
      </w:r>
      <w:r w:rsidRPr="67F8A11B" w:rsidR="03CBC28D">
        <w:rPr>
          <w:rFonts w:ascii="Arial" w:hAnsi="Arial" w:cs="Arial"/>
        </w:rPr>
        <w:t>4</w:t>
      </w:r>
    </w:p>
    <w:p w:rsidR="009B3794" w:rsidRPr="00FB70E0" w:rsidP="00A7328A" w14:paraId="22E2A398" w14:textId="77777777">
      <w:pPr>
        <w:numPr>
          <w:ilvl w:val="0"/>
          <w:numId w:val="66"/>
        </w:numPr>
        <w:spacing w:before="120"/>
        <w:rPr>
          <w:rFonts w:ascii="Arial" w:hAnsi="Arial" w:cs="Arial"/>
          <w:b/>
          <w:sz w:val="24"/>
        </w:rPr>
      </w:pPr>
      <w:r w:rsidRPr="00FB70E0">
        <w:rPr>
          <w:rFonts w:ascii="Arial" w:hAnsi="Arial" w:cs="Arial"/>
          <w:b/>
          <w:bCs/>
          <w:sz w:val="24"/>
          <w:u w:val="single"/>
        </w:rPr>
        <w:t>Explanation for Program Changes or Adjustments</w:t>
      </w:r>
    </w:p>
    <w:p w:rsidR="00786E54" w:rsidRPr="00FB70E0" w:rsidP="00CA3DA6" w14:paraId="300822BC" w14:textId="28A70862">
      <w:pPr>
        <w:pStyle w:val="BodyTextIndent"/>
        <w:spacing w:before="120"/>
        <w:ind w:left="360"/>
        <w:rPr>
          <w:rFonts w:ascii="Arial" w:hAnsi="Arial" w:cs="Arial"/>
          <w:u w:val="single"/>
        </w:rPr>
      </w:pPr>
      <w:r w:rsidRPr="00FB70E0">
        <w:rPr>
          <w:rFonts w:ascii="Arial" w:hAnsi="Arial" w:cs="Arial"/>
        </w:rPr>
        <w:t>There are no proposed changes to any of the forms</w:t>
      </w:r>
      <w:r w:rsidR="00027711">
        <w:rPr>
          <w:rFonts w:ascii="Arial" w:hAnsi="Arial" w:cs="Arial"/>
        </w:rPr>
        <w:t xml:space="preserve">. </w:t>
      </w:r>
      <w:r w:rsidRPr="00FB70E0">
        <w:rPr>
          <w:rFonts w:ascii="Arial" w:hAnsi="Arial" w:cs="Arial"/>
        </w:rPr>
        <w:t>However, there is a small de</w:t>
      </w:r>
      <w:r w:rsidR="009C693F">
        <w:rPr>
          <w:rFonts w:ascii="Arial" w:hAnsi="Arial" w:cs="Arial"/>
        </w:rPr>
        <w:t>crease</w:t>
      </w:r>
      <w:r w:rsidRPr="00FB70E0">
        <w:rPr>
          <w:rFonts w:ascii="Arial" w:hAnsi="Arial" w:cs="Arial"/>
        </w:rPr>
        <w:t xml:space="preserve"> of </w:t>
      </w:r>
      <w:r w:rsidR="00C261CE">
        <w:rPr>
          <w:rFonts w:ascii="Arial" w:hAnsi="Arial" w:cs="Arial"/>
        </w:rPr>
        <w:t>38</w:t>
      </w:r>
      <w:r w:rsidRPr="00FB70E0">
        <w:rPr>
          <w:rFonts w:ascii="Arial" w:hAnsi="Arial" w:cs="Arial"/>
        </w:rPr>
        <w:t xml:space="preserve"> burden hours compared to the currently approved collection, due to RWHAP recipients’ familiarity with the updated reporting requirements introduced in the currently approved collection. </w:t>
      </w:r>
    </w:p>
    <w:p w:rsidR="009B3794" w:rsidRPr="00FB70E0" w:rsidP="00A7328A" w14:paraId="22E2A3A0" w14:textId="77777777">
      <w:pPr>
        <w:numPr>
          <w:ilvl w:val="0"/>
          <w:numId w:val="66"/>
        </w:numPr>
        <w:spacing w:before="120"/>
        <w:rPr>
          <w:rFonts w:ascii="Arial" w:hAnsi="Arial" w:cs="Arial"/>
          <w:b/>
          <w:sz w:val="24"/>
        </w:rPr>
      </w:pPr>
      <w:r w:rsidRPr="00FB70E0">
        <w:rPr>
          <w:rFonts w:ascii="Arial" w:hAnsi="Arial" w:cs="Arial"/>
          <w:b/>
          <w:bCs/>
          <w:sz w:val="24"/>
          <w:u w:val="single"/>
        </w:rPr>
        <w:t>Plans for Tabulation</w:t>
      </w:r>
      <w:r w:rsidRPr="00FB70E0" w:rsidR="002118B4">
        <w:rPr>
          <w:rFonts w:ascii="Arial" w:hAnsi="Arial" w:cs="Arial"/>
          <w:b/>
          <w:bCs/>
          <w:sz w:val="24"/>
          <w:u w:val="single"/>
        </w:rPr>
        <w:t xml:space="preserve">, </w:t>
      </w:r>
      <w:r w:rsidRPr="00FB70E0">
        <w:rPr>
          <w:rFonts w:ascii="Arial" w:hAnsi="Arial" w:cs="Arial"/>
          <w:b/>
          <w:bCs/>
          <w:sz w:val="24"/>
          <w:u w:val="single"/>
        </w:rPr>
        <w:t>Publication</w:t>
      </w:r>
      <w:r w:rsidRPr="00FB70E0" w:rsidR="002118B4">
        <w:rPr>
          <w:rFonts w:ascii="Arial" w:hAnsi="Arial" w:cs="Arial"/>
          <w:b/>
          <w:bCs/>
          <w:sz w:val="24"/>
          <w:u w:val="single"/>
        </w:rPr>
        <w:t>,</w:t>
      </w:r>
      <w:r w:rsidRPr="00FB70E0">
        <w:rPr>
          <w:rFonts w:ascii="Arial" w:hAnsi="Arial" w:cs="Arial"/>
          <w:b/>
          <w:bCs/>
          <w:sz w:val="24"/>
          <w:u w:val="single"/>
        </w:rPr>
        <w:t xml:space="preserve"> and Project Time Schedule</w:t>
      </w:r>
    </w:p>
    <w:p w:rsidR="00D74B86" w:rsidRPr="00FB70E0" w:rsidP="007224AC" w14:paraId="2372E999" w14:textId="3E9EBAB6">
      <w:pPr>
        <w:spacing w:before="120" w:after="120"/>
        <w:ind w:left="360"/>
        <w:rPr>
          <w:rFonts w:ascii="Arial" w:hAnsi="Arial" w:cs="Arial"/>
          <w:sz w:val="24"/>
        </w:rPr>
      </w:pPr>
      <w:r w:rsidRPr="4BC7A862">
        <w:rPr>
          <w:rFonts w:ascii="Arial" w:eastAsia="Arial" w:hAnsi="Arial" w:cs="Arial"/>
          <w:sz w:val="24"/>
        </w:rPr>
        <w:t xml:space="preserve">The final report is posted on the HRSA website under the </w:t>
      </w:r>
      <w:hyperlink r:id="rId9" w:history="1">
        <w:r w:rsidRPr="4BC7A862">
          <w:rPr>
            <w:rStyle w:val="Hyperlink"/>
            <w:rFonts w:ascii="Arial" w:eastAsia="Arial" w:hAnsi="Arial" w:cs="Arial"/>
            <w:sz w:val="24"/>
          </w:rPr>
          <w:t>Recipient Allocation and Expenditure Reports</w:t>
        </w:r>
      </w:hyperlink>
      <w:r w:rsidRPr="4BC7A862">
        <w:rPr>
          <w:rFonts w:ascii="Arial" w:eastAsia="Arial" w:hAnsi="Arial" w:cs="Arial"/>
          <w:sz w:val="24"/>
        </w:rPr>
        <w:t xml:space="preserve"> page.</w:t>
      </w:r>
      <w:r w:rsidRPr="4BC7A862">
        <w:rPr>
          <w:rFonts w:ascii="Arial" w:hAnsi="Arial" w:cs="Arial"/>
          <w:sz w:val="24"/>
        </w:rPr>
        <w:t xml:space="preserve"> </w:t>
      </w:r>
      <w:r w:rsidRPr="4BC7A862" w:rsidR="2E88C790">
        <w:rPr>
          <w:rFonts w:ascii="Arial" w:hAnsi="Arial" w:cs="Arial"/>
          <w:sz w:val="24"/>
        </w:rPr>
        <w:t>The information in these reports is reviewed and analyzed to track and monitor </w:t>
      </w:r>
      <w:r w:rsidRPr="4BC7A862" w:rsidR="174AEC59">
        <w:rPr>
          <w:rFonts w:ascii="Arial" w:hAnsi="Arial" w:cs="Arial"/>
          <w:sz w:val="24"/>
        </w:rPr>
        <w:t xml:space="preserve">expenditure </w:t>
      </w:r>
      <w:r w:rsidRPr="4BC7A862" w:rsidR="2E88C790">
        <w:rPr>
          <w:rFonts w:ascii="Arial" w:hAnsi="Arial" w:cs="Arial"/>
          <w:sz w:val="24"/>
        </w:rPr>
        <w:t>requirements to ensure compliance with the statute</w:t>
      </w:r>
      <w:r w:rsidR="00027711">
        <w:rPr>
          <w:rFonts w:ascii="Arial" w:hAnsi="Arial" w:cs="Arial"/>
          <w:sz w:val="24"/>
        </w:rPr>
        <w:t xml:space="preserve">. </w:t>
      </w:r>
      <w:r w:rsidRPr="4BC7A862" w:rsidR="2E88C790">
        <w:rPr>
          <w:rFonts w:ascii="Arial" w:hAnsi="Arial" w:cs="Arial"/>
          <w:sz w:val="24"/>
        </w:rPr>
        <w:t>HRSA project officers review and evaluate the recipient submission and analyze the information to prepare summary reports for internal use</w:t>
      </w:r>
      <w:r w:rsidR="00027711">
        <w:rPr>
          <w:rFonts w:ascii="Arial" w:hAnsi="Arial" w:cs="Arial"/>
          <w:sz w:val="24"/>
        </w:rPr>
        <w:t xml:space="preserve">. </w:t>
      </w:r>
      <w:r w:rsidRPr="4BC7A862" w:rsidR="2E88C790">
        <w:rPr>
          <w:rFonts w:ascii="Arial" w:hAnsi="Arial" w:cs="Arial"/>
          <w:sz w:val="24"/>
        </w:rPr>
        <w:t xml:space="preserve">RWHAP and EHE recipients are required to report financial data at the beginning (Allocations </w:t>
      </w:r>
      <w:r w:rsidRPr="4BC7A862" w:rsidR="2E88C790">
        <w:rPr>
          <w:rFonts w:ascii="Arial" w:hAnsi="Arial" w:cs="Arial"/>
          <w:sz w:val="24"/>
        </w:rPr>
        <w:t>Report) and at the end of their grant budget period (Expenditures Report)</w:t>
      </w:r>
      <w:r w:rsidR="00027711">
        <w:rPr>
          <w:rFonts w:ascii="Arial" w:hAnsi="Arial" w:cs="Arial"/>
          <w:sz w:val="24"/>
        </w:rPr>
        <w:t xml:space="preserve">. </w:t>
      </w:r>
    </w:p>
    <w:p w:rsidR="009B3794" w:rsidRPr="00FB70E0" w:rsidP="00A7328A" w14:paraId="22E2A3A3" w14:textId="77777777">
      <w:pPr>
        <w:numPr>
          <w:ilvl w:val="0"/>
          <w:numId w:val="66"/>
        </w:numPr>
        <w:spacing w:before="120"/>
        <w:rPr>
          <w:rFonts w:ascii="Arial" w:hAnsi="Arial" w:cs="Arial"/>
          <w:b/>
          <w:sz w:val="24"/>
        </w:rPr>
      </w:pPr>
      <w:r w:rsidRPr="00FB70E0">
        <w:rPr>
          <w:rFonts w:ascii="Arial" w:hAnsi="Arial" w:cs="Arial"/>
          <w:b/>
          <w:bCs/>
          <w:sz w:val="24"/>
          <w:u w:val="single"/>
        </w:rPr>
        <w:t>Reason(s) Display of OMB Expiration Date is Inappropriate</w:t>
      </w:r>
    </w:p>
    <w:p w:rsidR="009B3794" w:rsidRPr="00FB70E0" w:rsidP="00CA3DA6" w14:paraId="22E2A3A4" w14:textId="7815F55C">
      <w:pPr>
        <w:pStyle w:val="BodyTextIndent"/>
        <w:spacing w:before="120"/>
        <w:ind w:left="360"/>
        <w:rPr>
          <w:rFonts w:ascii="Arial" w:hAnsi="Arial" w:cs="Arial"/>
          <w:b/>
        </w:rPr>
      </w:pPr>
      <w:r w:rsidRPr="00FB70E0">
        <w:rPr>
          <w:rFonts w:ascii="Arial" w:hAnsi="Arial" w:cs="Arial"/>
        </w:rPr>
        <w:t>The expiration date will be displayed appropriately</w:t>
      </w:r>
      <w:r w:rsidRPr="00FB70E0" w:rsidR="00D11CA3">
        <w:rPr>
          <w:rFonts w:ascii="Arial" w:hAnsi="Arial" w:cs="Arial"/>
          <w:b/>
        </w:rPr>
        <w:t>.</w:t>
      </w:r>
    </w:p>
    <w:p w:rsidR="009B3794" w:rsidRPr="00FB70E0" w:rsidP="00A7328A" w14:paraId="22E2A3A5" w14:textId="77777777">
      <w:pPr>
        <w:numPr>
          <w:ilvl w:val="0"/>
          <w:numId w:val="66"/>
        </w:numPr>
        <w:spacing w:before="120"/>
        <w:rPr>
          <w:rFonts w:ascii="Arial" w:hAnsi="Arial" w:cs="Arial"/>
          <w:b/>
          <w:sz w:val="24"/>
        </w:rPr>
      </w:pPr>
      <w:r w:rsidRPr="00FB70E0">
        <w:rPr>
          <w:rFonts w:ascii="Arial" w:hAnsi="Arial" w:cs="Arial"/>
          <w:b/>
          <w:bCs/>
          <w:sz w:val="24"/>
          <w:u w:val="single"/>
        </w:rPr>
        <w:t>Exceptions to Certification for Paperwork Reduction Act Submissions</w:t>
      </w:r>
    </w:p>
    <w:p w:rsidR="009B3794" w:rsidRPr="00FB70E0" w:rsidP="00CA3DA6" w14:paraId="22E2A3A6" w14:textId="38613993">
      <w:pPr>
        <w:pStyle w:val="BodyTextIndent"/>
        <w:spacing w:before="120"/>
        <w:ind w:left="360"/>
        <w:rPr>
          <w:rFonts w:ascii="Arial" w:hAnsi="Arial" w:cs="Arial"/>
        </w:rPr>
      </w:pPr>
      <w:r w:rsidRPr="00FB70E0">
        <w:rPr>
          <w:rFonts w:ascii="Arial" w:hAnsi="Arial" w:cs="Arial"/>
        </w:rPr>
        <w:t>There are no exceptions to the certification</w:t>
      </w:r>
      <w:r w:rsidRPr="00FB70E0">
        <w:rPr>
          <w:rFonts w:ascii="Arial" w:hAnsi="Arial" w:cs="Arial"/>
          <w:b/>
        </w:rPr>
        <w:t>.</w:t>
      </w:r>
    </w:p>
    <w:sectPr w:rsidSect="001D4856">
      <w:footerReference w:type="default" r:id="rId10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92E1D" w:rsidP="0D994D30" w14:paraId="614654DD" w14:textId="21167F3D">
    <w:pPr>
      <w:spacing w:line="259" w:lineRule="auto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A8B6C5"/>
    <w:multiLevelType w:val="hybridMultilevel"/>
    <w:tmpl w:val="4290EE8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70D87"/>
    <w:multiLevelType w:val="hybridMultilevel"/>
    <w:tmpl w:val="3224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5F4DB8"/>
    <w:multiLevelType w:val="hybridMultilevel"/>
    <w:tmpl w:val="7EBEB4E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072C59B4"/>
    <w:multiLevelType w:val="hybridMultilevel"/>
    <w:tmpl w:val="4F5269A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082E7F1A"/>
    <w:multiLevelType w:val="hybridMultilevel"/>
    <w:tmpl w:val="D6D4439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8BA0572"/>
    <w:multiLevelType w:val="hybridMultilevel"/>
    <w:tmpl w:val="211EF9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09C09DAC"/>
    <w:multiLevelType w:val="hybridMultilevel"/>
    <w:tmpl w:val="59708DE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342DE4"/>
    <w:multiLevelType w:val="hybridMultilevel"/>
    <w:tmpl w:val="58D44392"/>
    <w:lvl w:ilvl="0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0ACC676D"/>
    <w:multiLevelType w:val="hybridMultilevel"/>
    <w:tmpl w:val="19925D90"/>
    <w:lvl w:ilvl="0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9">
    <w:nsid w:val="0BA326D6"/>
    <w:multiLevelType w:val="hybridMultilevel"/>
    <w:tmpl w:val="10A287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88EAD6"/>
    <w:multiLevelType w:val="hybridMultilevel"/>
    <w:tmpl w:val="6242DFF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7F210B"/>
    <w:multiLevelType w:val="hybridMultilevel"/>
    <w:tmpl w:val="97F640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0FBC5793"/>
    <w:multiLevelType w:val="hybridMultilevel"/>
    <w:tmpl w:val="CB66BD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01C9611"/>
    <w:multiLevelType w:val="hybridMultilevel"/>
    <w:tmpl w:val="ECE8113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F1537B"/>
    <w:multiLevelType w:val="hybridMultilevel"/>
    <w:tmpl w:val="E03AB28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>
    <w:nsid w:val="18FA5DC3"/>
    <w:multiLevelType w:val="multilevel"/>
    <w:tmpl w:val="9E325A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98C79AE"/>
    <w:multiLevelType w:val="hybridMultilevel"/>
    <w:tmpl w:val="65E0A43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A124824"/>
    <w:multiLevelType w:val="hybridMultilevel"/>
    <w:tmpl w:val="AA7E308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1BD3212D"/>
    <w:multiLevelType w:val="hybridMultilevel"/>
    <w:tmpl w:val="CA48DC2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8914F4"/>
    <w:multiLevelType w:val="hybridMultilevel"/>
    <w:tmpl w:val="2396781A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F66495E"/>
    <w:multiLevelType w:val="hybridMultilevel"/>
    <w:tmpl w:val="4F86193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210619A5"/>
    <w:multiLevelType w:val="hybridMultilevel"/>
    <w:tmpl w:val="E69454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21EB6867"/>
    <w:multiLevelType w:val="hybridMultilevel"/>
    <w:tmpl w:val="FF82AA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22B77FF3"/>
    <w:multiLevelType w:val="hybridMultilevel"/>
    <w:tmpl w:val="C2B8C6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432"/>
      </w:pPr>
      <w:rPr>
        <w:rFonts w:ascii="Wingdings" w:hAnsi="Wingdings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9FC522A"/>
    <w:multiLevelType w:val="hybridMultilevel"/>
    <w:tmpl w:val="DC2AD4B0"/>
    <w:lvl w:ilvl="0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5">
    <w:nsid w:val="2B7570F2"/>
    <w:multiLevelType w:val="multilevel"/>
    <w:tmpl w:val="78A00D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3E04379"/>
    <w:multiLevelType w:val="hybridMultilevel"/>
    <w:tmpl w:val="2514BB5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90FA78"/>
    <w:multiLevelType w:val="hybridMultilevel"/>
    <w:tmpl w:val="ABCC28A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9021E7"/>
    <w:multiLevelType w:val="hybridMultilevel"/>
    <w:tmpl w:val="CB889AC4"/>
    <w:lvl w:ilvl="0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48"/>
        </w:tabs>
        <w:ind w:left="60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68"/>
        </w:tabs>
        <w:ind w:left="67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88"/>
        </w:tabs>
        <w:ind w:left="7488" w:hanging="360"/>
      </w:pPr>
      <w:rPr>
        <w:rFonts w:ascii="Wingdings" w:hAnsi="Wingdings" w:hint="default"/>
      </w:rPr>
    </w:lvl>
  </w:abstractNum>
  <w:abstractNum w:abstractNumId="29">
    <w:nsid w:val="37A621F3"/>
    <w:multiLevelType w:val="hybridMultilevel"/>
    <w:tmpl w:val="C99CF4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87F1E26"/>
    <w:multiLevelType w:val="hybridMultilevel"/>
    <w:tmpl w:val="9FD0698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>
    <w:nsid w:val="39FC7215"/>
    <w:multiLevelType w:val="hybridMultilevel"/>
    <w:tmpl w:val="8752E9B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CC71D8"/>
    <w:multiLevelType w:val="hybridMultilevel"/>
    <w:tmpl w:val="720CB38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>
    <w:nsid w:val="3B12D9DC"/>
    <w:multiLevelType w:val="hybridMultilevel"/>
    <w:tmpl w:val="201E6096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715513"/>
    <w:multiLevelType w:val="hybridMultilevel"/>
    <w:tmpl w:val="FB904E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0F41527"/>
    <w:multiLevelType w:val="hybridMultilevel"/>
    <w:tmpl w:val="5C5EDD1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6">
    <w:nsid w:val="42CA0CF3"/>
    <w:multiLevelType w:val="hybridMultilevel"/>
    <w:tmpl w:val="DC4AB2F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7">
    <w:nsid w:val="43CD5E17"/>
    <w:multiLevelType w:val="hybridMultilevel"/>
    <w:tmpl w:val="BE9E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53962B6"/>
    <w:multiLevelType w:val="hybridMultilevel"/>
    <w:tmpl w:val="AB00D24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A1D7109"/>
    <w:multiLevelType w:val="hybridMultilevel"/>
    <w:tmpl w:val="462ED1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2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AFF5AE7"/>
    <w:multiLevelType w:val="hybridMultilevel"/>
    <w:tmpl w:val="52B8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4B0E2065"/>
    <w:multiLevelType w:val="hybridMultilevel"/>
    <w:tmpl w:val="FDFAF3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>
    <w:nsid w:val="4DDE1051"/>
    <w:multiLevelType w:val="hybridMultilevel"/>
    <w:tmpl w:val="36AE2F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>
    <w:nsid w:val="4EB53CDE"/>
    <w:multiLevelType w:val="hybridMultilevel"/>
    <w:tmpl w:val="BE9295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07D3E47"/>
    <w:multiLevelType w:val="hybridMultilevel"/>
    <w:tmpl w:val="BB4E1028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3E41430"/>
    <w:multiLevelType w:val="hybridMultilevel"/>
    <w:tmpl w:val="57AA6CBE"/>
    <w:lvl w:ilvl="0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46">
    <w:nsid w:val="556C6555"/>
    <w:multiLevelType w:val="hybridMultilevel"/>
    <w:tmpl w:val="C6AA1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7">
    <w:nsid w:val="58B2D5AE"/>
    <w:multiLevelType w:val="hybridMultilevel"/>
    <w:tmpl w:val="5046F7F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93D36C3"/>
    <w:multiLevelType w:val="hybridMultilevel"/>
    <w:tmpl w:val="8B4C795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9">
    <w:nsid w:val="5AA94C4C"/>
    <w:multiLevelType w:val="hybridMultilevel"/>
    <w:tmpl w:val="7A8832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0">
    <w:nsid w:val="5B3250AA"/>
    <w:multiLevelType w:val="hybridMultilevel"/>
    <w:tmpl w:val="BD9A3BB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1">
    <w:nsid w:val="5B8B2A2F"/>
    <w:multiLevelType w:val="hybridMultilevel"/>
    <w:tmpl w:val="FD184AD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2">
    <w:nsid w:val="5F0C15D3"/>
    <w:multiLevelType w:val="hybridMultilevel"/>
    <w:tmpl w:val="540E105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3">
    <w:nsid w:val="5F70268D"/>
    <w:multiLevelType w:val="hybridMultilevel"/>
    <w:tmpl w:val="6CF2EA1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4">
    <w:nsid w:val="62343938"/>
    <w:multiLevelType w:val="hybridMultilevel"/>
    <w:tmpl w:val="B486FCA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5">
    <w:nsid w:val="65524052"/>
    <w:multiLevelType w:val="hybridMultilevel"/>
    <w:tmpl w:val="7154280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714352E"/>
    <w:multiLevelType w:val="hybridMultilevel"/>
    <w:tmpl w:val="E3EEDFF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7">
    <w:nsid w:val="687350D7"/>
    <w:multiLevelType w:val="hybridMultilevel"/>
    <w:tmpl w:val="3642E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980224A"/>
    <w:multiLevelType w:val="multilevel"/>
    <w:tmpl w:val="FB4297CE"/>
    <w:lvl w:ilvl="0">
      <w:start w:val="1"/>
      <w:numFmt w:val="upperRoman"/>
      <w:lvlText w:val="%1."/>
      <w:lvlJc w:val="right"/>
      <w:pPr>
        <w:tabs>
          <w:tab w:val="num" w:pos="2160"/>
        </w:tabs>
        <w:ind w:left="2160" w:hanging="18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9">
    <w:nsid w:val="6CCB5372"/>
    <w:multiLevelType w:val="hybridMultilevel"/>
    <w:tmpl w:val="FEA834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F4B510B"/>
    <w:multiLevelType w:val="hybridMultilevel"/>
    <w:tmpl w:val="D2D8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6FE859D6"/>
    <w:multiLevelType w:val="hybridMultilevel"/>
    <w:tmpl w:val="5A5C01B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>
    <w:nsid w:val="733A3D1C"/>
    <w:multiLevelType w:val="multilevel"/>
    <w:tmpl w:val="591E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>
    <w:nsid w:val="73D15CE9"/>
    <w:multiLevelType w:val="hybridMultilevel"/>
    <w:tmpl w:val="4FB4019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4">
    <w:nsid w:val="73ED210F"/>
    <w:multiLevelType w:val="hybridMultilevel"/>
    <w:tmpl w:val="CD48D5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5">
    <w:nsid w:val="75836233"/>
    <w:multiLevelType w:val="multilevel"/>
    <w:tmpl w:val="168C58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5F90C28"/>
    <w:multiLevelType w:val="hybridMultilevel"/>
    <w:tmpl w:val="8F4E2B9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98A00CB"/>
    <w:multiLevelType w:val="hybridMultilevel"/>
    <w:tmpl w:val="1A28C5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>
    <w:nsid w:val="79B974A1"/>
    <w:multiLevelType w:val="hybridMultilevel"/>
    <w:tmpl w:val="2DC2BE2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color w:val="auto"/>
      </w:rPr>
    </w:lvl>
    <w:lvl w:ilvl="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9">
    <w:nsid w:val="7E7D45FB"/>
    <w:multiLevelType w:val="hybridMultilevel"/>
    <w:tmpl w:val="FB4297CE"/>
    <w:lvl w:ilvl="0">
      <w:start w:val="1"/>
      <w:numFmt w:val="upperRoman"/>
      <w:lvlText w:val="%1."/>
      <w:lvlJc w:val="right"/>
      <w:pPr>
        <w:tabs>
          <w:tab w:val="num" w:pos="2160"/>
        </w:tabs>
        <w:ind w:left="216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0">
    <w:nsid w:val="7EBC3CE5"/>
    <w:multiLevelType w:val="hybridMultilevel"/>
    <w:tmpl w:val="D8E2E8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594944428">
    <w:abstractNumId w:val="59"/>
  </w:num>
  <w:num w:numId="2" w16cid:durableId="420493028">
    <w:abstractNumId w:val="0"/>
  </w:num>
  <w:num w:numId="3" w16cid:durableId="717554619">
    <w:abstractNumId w:val="66"/>
  </w:num>
  <w:num w:numId="4" w16cid:durableId="383263595">
    <w:abstractNumId w:val="27"/>
  </w:num>
  <w:num w:numId="5" w16cid:durableId="380055993">
    <w:abstractNumId w:val="6"/>
  </w:num>
  <w:num w:numId="6" w16cid:durableId="1468622486">
    <w:abstractNumId w:val="26"/>
  </w:num>
  <w:num w:numId="7" w16cid:durableId="1297183574">
    <w:abstractNumId w:val="13"/>
  </w:num>
  <w:num w:numId="8" w16cid:durableId="1816874818">
    <w:abstractNumId w:val="47"/>
  </w:num>
  <w:num w:numId="9" w16cid:durableId="496263101">
    <w:abstractNumId w:val="44"/>
  </w:num>
  <w:num w:numId="10" w16cid:durableId="1490748665">
    <w:abstractNumId w:val="10"/>
  </w:num>
  <w:num w:numId="11" w16cid:durableId="1040210279">
    <w:abstractNumId w:val="16"/>
  </w:num>
  <w:num w:numId="12" w16cid:durableId="2101871279">
    <w:abstractNumId w:val="31"/>
  </w:num>
  <w:num w:numId="13" w16cid:durableId="527451152">
    <w:abstractNumId w:val="34"/>
  </w:num>
  <w:num w:numId="14" w16cid:durableId="271673211">
    <w:abstractNumId w:val="33"/>
  </w:num>
  <w:num w:numId="15" w16cid:durableId="1246379479">
    <w:abstractNumId w:val="70"/>
  </w:num>
  <w:num w:numId="16" w16cid:durableId="1665935422">
    <w:abstractNumId w:val="39"/>
  </w:num>
  <w:num w:numId="17" w16cid:durableId="636952115">
    <w:abstractNumId w:val="25"/>
  </w:num>
  <w:num w:numId="18" w16cid:durableId="272320372">
    <w:abstractNumId w:val="65"/>
  </w:num>
  <w:num w:numId="19" w16cid:durableId="439372336">
    <w:abstractNumId w:val="69"/>
  </w:num>
  <w:num w:numId="20" w16cid:durableId="482964095">
    <w:abstractNumId w:val="15"/>
  </w:num>
  <w:num w:numId="21" w16cid:durableId="429080630">
    <w:abstractNumId w:val="58"/>
  </w:num>
  <w:num w:numId="22" w16cid:durableId="1461992349">
    <w:abstractNumId w:val="32"/>
  </w:num>
  <w:num w:numId="23" w16cid:durableId="1793939196">
    <w:abstractNumId w:val="45"/>
  </w:num>
  <w:num w:numId="24" w16cid:durableId="620066749">
    <w:abstractNumId w:val="36"/>
  </w:num>
  <w:num w:numId="25" w16cid:durableId="1611086207">
    <w:abstractNumId w:val="14"/>
  </w:num>
  <w:num w:numId="26" w16cid:durableId="1293361366">
    <w:abstractNumId w:val="42"/>
  </w:num>
  <w:num w:numId="27" w16cid:durableId="235556675">
    <w:abstractNumId w:val="37"/>
  </w:num>
  <w:num w:numId="28" w16cid:durableId="1324817599">
    <w:abstractNumId w:val="40"/>
  </w:num>
  <w:num w:numId="29" w16cid:durableId="1508250948">
    <w:abstractNumId w:val="12"/>
  </w:num>
  <w:num w:numId="30" w16cid:durableId="472908956">
    <w:abstractNumId w:val="1"/>
  </w:num>
  <w:num w:numId="31" w16cid:durableId="2022269543">
    <w:abstractNumId w:val="2"/>
  </w:num>
  <w:num w:numId="32" w16cid:durableId="1576551574">
    <w:abstractNumId w:val="28"/>
  </w:num>
  <w:num w:numId="33" w16cid:durableId="1021664261">
    <w:abstractNumId w:val="56"/>
  </w:num>
  <w:num w:numId="34" w16cid:durableId="1223835545">
    <w:abstractNumId w:val="53"/>
  </w:num>
  <w:num w:numId="35" w16cid:durableId="1795976280">
    <w:abstractNumId w:val="35"/>
  </w:num>
  <w:num w:numId="36" w16cid:durableId="730229963">
    <w:abstractNumId w:val="64"/>
  </w:num>
  <w:num w:numId="37" w16cid:durableId="1826044622">
    <w:abstractNumId w:val="51"/>
  </w:num>
  <w:num w:numId="38" w16cid:durableId="396979534">
    <w:abstractNumId w:val="52"/>
  </w:num>
  <w:num w:numId="39" w16cid:durableId="1320308753">
    <w:abstractNumId w:val="68"/>
  </w:num>
  <w:num w:numId="40" w16cid:durableId="2110732317">
    <w:abstractNumId w:val="63"/>
  </w:num>
  <w:num w:numId="41" w16cid:durableId="1412773934">
    <w:abstractNumId w:val="7"/>
  </w:num>
  <w:num w:numId="42" w16cid:durableId="747653287">
    <w:abstractNumId w:val="30"/>
  </w:num>
  <w:num w:numId="43" w16cid:durableId="1041705733">
    <w:abstractNumId w:val="67"/>
  </w:num>
  <w:num w:numId="44" w16cid:durableId="230966677">
    <w:abstractNumId w:val="60"/>
  </w:num>
  <w:num w:numId="45" w16cid:durableId="1472015523">
    <w:abstractNumId w:val="54"/>
  </w:num>
  <w:num w:numId="46" w16cid:durableId="1948347106">
    <w:abstractNumId w:val="17"/>
  </w:num>
  <w:num w:numId="47" w16cid:durableId="383677539">
    <w:abstractNumId w:val="5"/>
  </w:num>
  <w:num w:numId="48" w16cid:durableId="755633080">
    <w:abstractNumId w:val="48"/>
  </w:num>
  <w:num w:numId="49" w16cid:durableId="2019690613">
    <w:abstractNumId w:val="21"/>
  </w:num>
  <w:num w:numId="50" w16cid:durableId="331832655">
    <w:abstractNumId w:val="20"/>
  </w:num>
  <w:num w:numId="51" w16cid:durableId="798643207">
    <w:abstractNumId w:val="24"/>
  </w:num>
  <w:num w:numId="52" w16cid:durableId="818888988">
    <w:abstractNumId w:val="8"/>
  </w:num>
  <w:num w:numId="53" w16cid:durableId="1979646301">
    <w:abstractNumId w:val="50"/>
  </w:num>
  <w:num w:numId="54" w16cid:durableId="823591248">
    <w:abstractNumId w:val="11"/>
  </w:num>
  <w:num w:numId="55" w16cid:durableId="1804272224">
    <w:abstractNumId w:val="49"/>
  </w:num>
  <w:num w:numId="56" w16cid:durableId="791097679">
    <w:abstractNumId w:val="41"/>
  </w:num>
  <w:num w:numId="57" w16cid:durableId="2093886759">
    <w:abstractNumId w:val="9"/>
  </w:num>
  <w:num w:numId="58" w16cid:durableId="284889097">
    <w:abstractNumId w:val="62"/>
  </w:num>
  <w:num w:numId="59" w16cid:durableId="1909878531">
    <w:abstractNumId w:val="18"/>
  </w:num>
  <w:num w:numId="60" w16cid:durableId="1307128659">
    <w:abstractNumId w:val="38"/>
  </w:num>
  <w:num w:numId="61" w16cid:durableId="2105489294">
    <w:abstractNumId w:val="19"/>
  </w:num>
  <w:num w:numId="62" w16cid:durableId="514609374">
    <w:abstractNumId w:val="4"/>
  </w:num>
  <w:num w:numId="63" w16cid:durableId="1663196634">
    <w:abstractNumId w:val="57"/>
  </w:num>
  <w:num w:numId="64" w16cid:durableId="1266184825">
    <w:abstractNumId w:val="23"/>
  </w:num>
  <w:num w:numId="65" w16cid:durableId="445080635">
    <w:abstractNumId w:val="61"/>
  </w:num>
  <w:num w:numId="66" w16cid:durableId="1474177269">
    <w:abstractNumId w:val="3"/>
  </w:num>
  <w:num w:numId="67" w16cid:durableId="1572302886">
    <w:abstractNumId w:val="29"/>
  </w:num>
  <w:num w:numId="68" w16cid:durableId="1934776146">
    <w:abstractNumId w:val="22"/>
  </w:num>
  <w:num w:numId="69" w16cid:durableId="1283539720">
    <w:abstractNumId w:val="46"/>
  </w:num>
  <w:num w:numId="70" w16cid:durableId="575822068">
    <w:abstractNumId w:val="43"/>
  </w:num>
  <w:num w:numId="71" w16cid:durableId="267584457">
    <w:abstractNumId w:val="5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CAB"/>
    <w:rsid w:val="000073DE"/>
    <w:rsid w:val="00007F59"/>
    <w:rsid w:val="00013250"/>
    <w:rsid w:val="00015505"/>
    <w:rsid w:val="000243B3"/>
    <w:rsid w:val="00027711"/>
    <w:rsid w:val="00031B47"/>
    <w:rsid w:val="00045124"/>
    <w:rsid w:val="0005173B"/>
    <w:rsid w:val="000635DC"/>
    <w:rsid w:val="000658DA"/>
    <w:rsid w:val="00074D78"/>
    <w:rsid w:val="00077940"/>
    <w:rsid w:val="00080BD1"/>
    <w:rsid w:val="00083D0C"/>
    <w:rsid w:val="00086D2C"/>
    <w:rsid w:val="00093F28"/>
    <w:rsid w:val="00094F86"/>
    <w:rsid w:val="00097D8F"/>
    <w:rsid w:val="000A65EB"/>
    <w:rsid w:val="000C2762"/>
    <w:rsid w:val="000C4CE1"/>
    <w:rsid w:val="000C4D16"/>
    <w:rsid w:val="000C7CC6"/>
    <w:rsid w:val="000D0771"/>
    <w:rsid w:val="000D7585"/>
    <w:rsid w:val="000E44D6"/>
    <w:rsid w:val="000F5530"/>
    <w:rsid w:val="000F6134"/>
    <w:rsid w:val="00104BDD"/>
    <w:rsid w:val="0010752D"/>
    <w:rsid w:val="00116D0B"/>
    <w:rsid w:val="001325AE"/>
    <w:rsid w:val="001325B2"/>
    <w:rsid w:val="00141C73"/>
    <w:rsid w:val="00156825"/>
    <w:rsid w:val="001623C0"/>
    <w:rsid w:val="00181481"/>
    <w:rsid w:val="0018268C"/>
    <w:rsid w:val="001855F0"/>
    <w:rsid w:val="001920C3"/>
    <w:rsid w:val="001A5E8E"/>
    <w:rsid w:val="001B6160"/>
    <w:rsid w:val="001C4C0D"/>
    <w:rsid w:val="001C7C3C"/>
    <w:rsid w:val="001D4856"/>
    <w:rsid w:val="001E5540"/>
    <w:rsid w:val="001E7D35"/>
    <w:rsid w:val="001F2465"/>
    <w:rsid w:val="001F4169"/>
    <w:rsid w:val="002118B4"/>
    <w:rsid w:val="00231F31"/>
    <w:rsid w:val="0023284C"/>
    <w:rsid w:val="0024415F"/>
    <w:rsid w:val="00244ABF"/>
    <w:rsid w:val="00245DD0"/>
    <w:rsid w:val="00246C10"/>
    <w:rsid w:val="00253201"/>
    <w:rsid w:val="00253B45"/>
    <w:rsid w:val="00260A31"/>
    <w:rsid w:val="00260C1F"/>
    <w:rsid w:val="002640E7"/>
    <w:rsid w:val="00281924"/>
    <w:rsid w:val="002A3B90"/>
    <w:rsid w:val="002B5C9F"/>
    <w:rsid w:val="002B7D5C"/>
    <w:rsid w:val="002D0695"/>
    <w:rsid w:val="002D383B"/>
    <w:rsid w:val="002D4DC5"/>
    <w:rsid w:val="002D5B83"/>
    <w:rsid w:val="002E12B2"/>
    <w:rsid w:val="002F2782"/>
    <w:rsid w:val="00300F96"/>
    <w:rsid w:val="00303974"/>
    <w:rsid w:val="00305BDE"/>
    <w:rsid w:val="00310800"/>
    <w:rsid w:val="003130C3"/>
    <w:rsid w:val="00314859"/>
    <w:rsid w:val="0031660E"/>
    <w:rsid w:val="00317FF6"/>
    <w:rsid w:val="00322313"/>
    <w:rsid w:val="003324DB"/>
    <w:rsid w:val="00332A8C"/>
    <w:rsid w:val="00346619"/>
    <w:rsid w:val="00367117"/>
    <w:rsid w:val="00391E16"/>
    <w:rsid w:val="003A1EE6"/>
    <w:rsid w:val="003C4C7C"/>
    <w:rsid w:val="003D23B1"/>
    <w:rsid w:val="003D49A2"/>
    <w:rsid w:val="003E5495"/>
    <w:rsid w:val="004140A8"/>
    <w:rsid w:val="00417628"/>
    <w:rsid w:val="00421F37"/>
    <w:rsid w:val="00440E44"/>
    <w:rsid w:val="0046041A"/>
    <w:rsid w:val="00465881"/>
    <w:rsid w:val="0046609A"/>
    <w:rsid w:val="0047031F"/>
    <w:rsid w:val="00472567"/>
    <w:rsid w:val="00472847"/>
    <w:rsid w:val="004746CA"/>
    <w:rsid w:val="00483423"/>
    <w:rsid w:val="00483737"/>
    <w:rsid w:val="00490720"/>
    <w:rsid w:val="00494507"/>
    <w:rsid w:val="004A2E12"/>
    <w:rsid w:val="004B1F60"/>
    <w:rsid w:val="004B210B"/>
    <w:rsid w:val="004B7217"/>
    <w:rsid w:val="004D5C08"/>
    <w:rsid w:val="004E22BB"/>
    <w:rsid w:val="004E687D"/>
    <w:rsid w:val="004F097B"/>
    <w:rsid w:val="004F24E7"/>
    <w:rsid w:val="00503BAB"/>
    <w:rsid w:val="00515E9D"/>
    <w:rsid w:val="00521516"/>
    <w:rsid w:val="00526678"/>
    <w:rsid w:val="00535CA5"/>
    <w:rsid w:val="005422A0"/>
    <w:rsid w:val="00544C1A"/>
    <w:rsid w:val="00553859"/>
    <w:rsid w:val="00556891"/>
    <w:rsid w:val="005573C2"/>
    <w:rsid w:val="00562853"/>
    <w:rsid w:val="00563B53"/>
    <w:rsid w:val="0057555B"/>
    <w:rsid w:val="00576B08"/>
    <w:rsid w:val="00597B30"/>
    <w:rsid w:val="005A48DF"/>
    <w:rsid w:val="005B4FDE"/>
    <w:rsid w:val="005C39C5"/>
    <w:rsid w:val="005C452D"/>
    <w:rsid w:val="005C4D95"/>
    <w:rsid w:val="005C56A7"/>
    <w:rsid w:val="005C67A8"/>
    <w:rsid w:val="005D6CA3"/>
    <w:rsid w:val="005D7625"/>
    <w:rsid w:val="005E1632"/>
    <w:rsid w:val="005E1765"/>
    <w:rsid w:val="005E2A83"/>
    <w:rsid w:val="005E6BEB"/>
    <w:rsid w:val="005F068E"/>
    <w:rsid w:val="005F5F05"/>
    <w:rsid w:val="0060664F"/>
    <w:rsid w:val="00617CF3"/>
    <w:rsid w:val="00621D37"/>
    <w:rsid w:val="00622E8C"/>
    <w:rsid w:val="00624017"/>
    <w:rsid w:val="00624019"/>
    <w:rsid w:val="00626FAE"/>
    <w:rsid w:val="00627FFD"/>
    <w:rsid w:val="006327DF"/>
    <w:rsid w:val="00634235"/>
    <w:rsid w:val="00637627"/>
    <w:rsid w:val="00640379"/>
    <w:rsid w:val="00640DDC"/>
    <w:rsid w:val="00650124"/>
    <w:rsid w:val="00653F2C"/>
    <w:rsid w:val="0065460C"/>
    <w:rsid w:val="00656C44"/>
    <w:rsid w:val="00665952"/>
    <w:rsid w:val="00670D7C"/>
    <w:rsid w:val="00680D76"/>
    <w:rsid w:val="0069637E"/>
    <w:rsid w:val="006E6B2B"/>
    <w:rsid w:val="006F6402"/>
    <w:rsid w:val="00707080"/>
    <w:rsid w:val="00707285"/>
    <w:rsid w:val="00710F56"/>
    <w:rsid w:val="00711AA7"/>
    <w:rsid w:val="007158ED"/>
    <w:rsid w:val="007224AC"/>
    <w:rsid w:val="0073114C"/>
    <w:rsid w:val="00734A32"/>
    <w:rsid w:val="007409CE"/>
    <w:rsid w:val="00760AF0"/>
    <w:rsid w:val="007651AA"/>
    <w:rsid w:val="00783D49"/>
    <w:rsid w:val="00786E54"/>
    <w:rsid w:val="007871B3"/>
    <w:rsid w:val="00797A62"/>
    <w:rsid w:val="007B7AA2"/>
    <w:rsid w:val="007C22E4"/>
    <w:rsid w:val="007E1375"/>
    <w:rsid w:val="007E1E57"/>
    <w:rsid w:val="007E659C"/>
    <w:rsid w:val="007F047A"/>
    <w:rsid w:val="008002AB"/>
    <w:rsid w:val="008006CB"/>
    <w:rsid w:val="00801318"/>
    <w:rsid w:val="00801BEB"/>
    <w:rsid w:val="008022C7"/>
    <w:rsid w:val="00805D68"/>
    <w:rsid w:val="0080623A"/>
    <w:rsid w:val="00806CA9"/>
    <w:rsid w:val="00811578"/>
    <w:rsid w:val="00813722"/>
    <w:rsid w:val="00825654"/>
    <w:rsid w:val="00827FEA"/>
    <w:rsid w:val="00837FFB"/>
    <w:rsid w:val="00841517"/>
    <w:rsid w:val="00866BE4"/>
    <w:rsid w:val="00870C78"/>
    <w:rsid w:val="00874DFA"/>
    <w:rsid w:val="00874FEC"/>
    <w:rsid w:val="0088597C"/>
    <w:rsid w:val="008B04CA"/>
    <w:rsid w:val="008D2D67"/>
    <w:rsid w:val="008F55C2"/>
    <w:rsid w:val="008F6C97"/>
    <w:rsid w:val="0091018C"/>
    <w:rsid w:val="0091038E"/>
    <w:rsid w:val="00911465"/>
    <w:rsid w:val="0091449C"/>
    <w:rsid w:val="0092380F"/>
    <w:rsid w:val="00930258"/>
    <w:rsid w:val="009320DC"/>
    <w:rsid w:val="009329B5"/>
    <w:rsid w:val="00935E77"/>
    <w:rsid w:val="009376AE"/>
    <w:rsid w:val="00945131"/>
    <w:rsid w:val="009566C6"/>
    <w:rsid w:val="00956ACB"/>
    <w:rsid w:val="009576AC"/>
    <w:rsid w:val="00957B63"/>
    <w:rsid w:val="009670D1"/>
    <w:rsid w:val="00972E8D"/>
    <w:rsid w:val="00973332"/>
    <w:rsid w:val="00981401"/>
    <w:rsid w:val="0098144D"/>
    <w:rsid w:val="00990138"/>
    <w:rsid w:val="009A4D9E"/>
    <w:rsid w:val="009B1CE0"/>
    <w:rsid w:val="009B3794"/>
    <w:rsid w:val="009B38FA"/>
    <w:rsid w:val="009B7E4D"/>
    <w:rsid w:val="009C6206"/>
    <w:rsid w:val="009C6314"/>
    <w:rsid w:val="009C693F"/>
    <w:rsid w:val="009E2C59"/>
    <w:rsid w:val="009E6EE9"/>
    <w:rsid w:val="00A10772"/>
    <w:rsid w:val="00A14184"/>
    <w:rsid w:val="00A15072"/>
    <w:rsid w:val="00A155CA"/>
    <w:rsid w:val="00A1688A"/>
    <w:rsid w:val="00A21AFD"/>
    <w:rsid w:val="00A272AA"/>
    <w:rsid w:val="00A31CF9"/>
    <w:rsid w:val="00A4578A"/>
    <w:rsid w:val="00A51C59"/>
    <w:rsid w:val="00A53EE6"/>
    <w:rsid w:val="00A7328A"/>
    <w:rsid w:val="00A764AB"/>
    <w:rsid w:val="00A879BD"/>
    <w:rsid w:val="00A92CAB"/>
    <w:rsid w:val="00A96838"/>
    <w:rsid w:val="00A96E73"/>
    <w:rsid w:val="00AA1D79"/>
    <w:rsid w:val="00AA7ADE"/>
    <w:rsid w:val="00AB2A0B"/>
    <w:rsid w:val="00AB745C"/>
    <w:rsid w:val="00AB7B9D"/>
    <w:rsid w:val="00AC6BCE"/>
    <w:rsid w:val="00AE1CD1"/>
    <w:rsid w:val="00AE7154"/>
    <w:rsid w:val="00AE7F24"/>
    <w:rsid w:val="00AF2E3F"/>
    <w:rsid w:val="00AF6DAE"/>
    <w:rsid w:val="00AF7DCB"/>
    <w:rsid w:val="00B0617D"/>
    <w:rsid w:val="00B06376"/>
    <w:rsid w:val="00B06EFF"/>
    <w:rsid w:val="00B13F07"/>
    <w:rsid w:val="00B21566"/>
    <w:rsid w:val="00B336B2"/>
    <w:rsid w:val="00B36B16"/>
    <w:rsid w:val="00B51A51"/>
    <w:rsid w:val="00B6127B"/>
    <w:rsid w:val="00B655C6"/>
    <w:rsid w:val="00B753FD"/>
    <w:rsid w:val="00B824D3"/>
    <w:rsid w:val="00B826C5"/>
    <w:rsid w:val="00B84BC7"/>
    <w:rsid w:val="00B85B7C"/>
    <w:rsid w:val="00B900C6"/>
    <w:rsid w:val="00B90BBD"/>
    <w:rsid w:val="00B9122E"/>
    <w:rsid w:val="00B92227"/>
    <w:rsid w:val="00B9560A"/>
    <w:rsid w:val="00BA1A0C"/>
    <w:rsid w:val="00BA6DF4"/>
    <w:rsid w:val="00BA7EA4"/>
    <w:rsid w:val="00BB3B9B"/>
    <w:rsid w:val="00BD7C9C"/>
    <w:rsid w:val="00BECA2F"/>
    <w:rsid w:val="00BF1D7D"/>
    <w:rsid w:val="00BF2038"/>
    <w:rsid w:val="00BF2F34"/>
    <w:rsid w:val="00C033BE"/>
    <w:rsid w:val="00C076B8"/>
    <w:rsid w:val="00C14804"/>
    <w:rsid w:val="00C261CE"/>
    <w:rsid w:val="00C34233"/>
    <w:rsid w:val="00C45431"/>
    <w:rsid w:val="00C51BB1"/>
    <w:rsid w:val="00C715F4"/>
    <w:rsid w:val="00C74B86"/>
    <w:rsid w:val="00C75735"/>
    <w:rsid w:val="00C77DD0"/>
    <w:rsid w:val="00C96292"/>
    <w:rsid w:val="00C968F8"/>
    <w:rsid w:val="00CA2DA5"/>
    <w:rsid w:val="00CA34E7"/>
    <w:rsid w:val="00CA3DA6"/>
    <w:rsid w:val="00CAE5AC"/>
    <w:rsid w:val="00CC0B0F"/>
    <w:rsid w:val="00CD36E7"/>
    <w:rsid w:val="00CD4D1C"/>
    <w:rsid w:val="00CE5AA9"/>
    <w:rsid w:val="00CE5F51"/>
    <w:rsid w:val="00D004F6"/>
    <w:rsid w:val="00D11CA3"/>
    <w:rsid w:val="00D20B49"/>
    <w:rsid w:val="00D25AC7"/>
    <w:rsid w:val="00D26C50"/>
    <w:rsid w:val="00D34607"/>
    <w:rsid w:val="00D34624"/>
    <w:rsid w:val="00D37D0F"/>
    <w:rsid w:val="00D46313"/>
    <w:rsid w:val="00D5631F"/>
    <w:rsid w:val="00D56CC2"/>
    <w:rsid w:val="00D66F4A"/>
    <w:rsid w:val="00D70602"/>
    <w:rsid w:val="00D74B86"/>
    <w:rsid w:val="00D810C4"/>
    <w:rsid w:val="00D81769"/>
    <w:rsid w:val="00D92E1D"/>
    <w:rsid w:val="00D9356E"/>
    <w:rsid w:val="00DA52E6"/>
    <w:rsid w:val="00DB7503"/>
    <w:rsid w:val="00DC64B7"/>
    <w:rsid w:val="00DC7B2C"/>
    <w:rsid w:val="00DE3A45"/>
    <w:rsid w:val="00DE5A1D"/>
    <w:rsid w:val="00DF6541"/>
    <w:rsid w:val="00E00CEE"/>
    <w:rsid w:val="00E06499"/>
    <w:rsid w:val="00E203FA"/>
    <w:rsid w:val="00E34A1F"/>
    <w:rsid w:val="00E35EA2"/>
    <w:rsid w:val="00E4249D"/>
    <w:rsid w:val="00E511DD"/>
    <w:rsid w:val="00E51C1B"/>
    <w:rsid w:val="00E524AE"/>
    <w:rsid w:val="00E54302"/>
    <w:rsid w:val="00E543FE"/>
    <w:rsid w:val="00E60139"/>
    <w:rsid w:val="00E62CA7"/>
    <w:rsid w:val="00E650F3"/>
    <w:rsid w:val="00E6726E"/>
    <w:rsid w:val="00E67B1C"/>
    <w:rsid w:val="00E70CAD"/>
    <w:rsid w:val="00E7109C"/>
    <w:rsid w:val="00E830FF"/>
    <w:rsid w:val="00E87554"/>
    <w:rsid w:val="00E926EA"/>
    <w:rsid w:val="00E92B4D"/>
    <w:rsid w:val="00E962DB"/>
    <w:rsid w:val="00E97256"/>
    <w:rsid w:val="00E97582"/>
    <w:rsid w:val="00E97DDF"/>
    <w:rsid w:val="00EA37DD"/>
    <w:rsid w:val="00EA3939"/>
    <w:rsid w:val="00EB43E0"/>
    <w:rsid w:val="00EC1485"/>
    <w:rsid w:val="00EC38CD"/>
    <w:rsid w:val="00ED0CC8"/>
    <w:rsid w:val="00ED18EA"/>
    <w:rsid w:val="00ED27CA"/>
    <w:rsid w:val="00EE0DC7"/>
    <w:rsid w:val="00EE529C"/>
    <w:rsid w:val="00EF02B1"/>
    <w:rsid w:val="00EF379B"/>
    <w:rsid w:val="00F058C2"/>
    <w:rsid w:val="00F109A3"/>
    <w:rsid w:val="00F12C66"/>
    <w:rsid w:val="00F35BC5"/>
    <w:rsid w:val="00F4221E"/>
    <w:rsid w:val="00F44F46"/>
    <w:rsid w:val="00F4631B"/>
    <w:rsid w:val="00F537BA"/>
    <w:rsid w:val="00F57D7A"/>
    <w:rsid w:val="00F584EB"/>
    <w:rsid w:val="00F61037"/>
    <w:rsid w:val="00F73C3E"/>
    <w:rsid w:val="00F957A5"/>
    <w:rsid w:val="00F9769E"/>
    <w:rsid w:val="00FA02EC"/>
    <w:rsid w:val="00FA0720"/>
    <w:rsid w:val="00FA4D63"/>
    <w:rsid w:val="00FB17AC"/>
    <w:rsid w:val="00FB3C2B"/>
    <w:rsid w:val="00FB70E0"/>
    <w:rsid w:val="00FC16B8"/>
    <w:rsid w:val="00FC36D4"/>
    <w:rsid w:val="00FC37F9"/>
    <w:rsid w:val="00FC4C08"/>
    <w:rsid w:val="00FD36A0"/>
    <w:rsid w:val="00FE6C30"/>
    <w:rsid w:val="00FF16F0"/>
    <w:rsid w:val="01CED630"/>
    <w:rsid w:val="01EA5112"/>
    <w:rsid w:val="03A0F08F"/>
    <w:rsid w:val="03CBC28D"/>
    <w:rsid w:val="05DAC311"/>
    <w:rsid w:val="069901D4"/>
    <w:rsid w:val="077BDF85"/>
    <w:rsid w:val="07AE3047"/>
    <w:rsid w:val="08728CD3"/>
    <w:rsid w:val="0A5E7C83"/>
    <w:rsid w:val="0C29A0A2"/>
    <w:rsid w:val="0D18E851"/>
    <w:rsid w:val="0D994D30"/>
    <w:rsid w:val="0E0ACBB9"/>
    <w:rsid w:val="0EE23BB1"/>
    <w:rsid w:val="10078FFC"/>
    <w:rsid w:val="12F61E43"/>
    <w:rsid w:val="1315577C"/>
    <w:rsid w:val="135A255E"/>
    <w:rsid w:val="135B5F20"/>
    <w:rsid w:val="14900830"/>
    <w:rsid w:val="154B072B"/>
    <w:rsid w:val="15BA2C53"/>
    <w:rsid w:val="165E32E8"/>
    <w:rsid w:val="16C2AB28"/>
    <w:rsid w:val="1746E375"/>
    <w:rsid w:val="174AEC59"/>
    <w:rsid w:val="17657C3B"/>
    <w:rsid w:val="1789F2BC"/>
    <w:rsid w:val="17CF483C"/>
    <w:rsid w:val="188D7F91"/>
    <w:rsid w:val="18F994A4"/>
    <w:rsid w:val="19015CF1"/>
    <w:rsid w:val="1C0CDACE"/>
    <w:rsid w:val="1C1144AE"/>
    <w:rsid w:val="1DD4BF49"/>
    <w:rsid w:val="1E115928"/>
    <w:rsid w:val="1E65074B"/>
    <w:rsid w:val="1F3C05D7"/>
    <w:rsid w:val="20C17F92"/>
    <w:rsid w:val="211B3CE8"/>
    <w:rsid w:val="225CA467"/>
    <w:rsid w:val="226427FE"/>
    <w:rsid w:val="22D281E4"/>
    <w:rsid w:val="22DF45AD"/>
    <w:rsid w:val="23FFB1F1"/>
    <w:rsid w:val="24713936"/>
    <w:rsid w:val="247A87EE"/>
    <w:rsid w:val="26174355"/>
    <w:rsid w:val="2651997C"/>
    <w:rsid w:val="271ADA32"/>
    <w:rsid w:val="2722816F"/>
    <w:rsid w:val="27B36988"/>
    <w:rsid w:val="280E2974"/>
    <w:rsid w:val="286EC219"/>
    <w:rsid w:val="294B3E1F"/>
    <w:rsid w:val="299D149C"/>
    <w:rsid w:val="29E48FC8"/>
    <w:rsid w:val="2A32E00F"/>
    <w:rsid w:val="2AB3F7E3"/>
    <w:rsid w:val="2AC830A8"/>
    <w:rsid w:val="2BBF4461"/>
    <w:rsid w:val="2C475A69"/>
    <w:rsid w:val="2C86DAAB"/>
    <w:rsid w:val="2D774305"/>
    <w:rsid w:val="2E1B431A"/>
    <w:rsid w:val="2E22AB0C"/>
    <w:rsid w:val="2E88C790"/>
    <w:rsid w:val="2FD41F01"/>
    <w:rsid w:val="32CE529D"/>
    <w:rsid w:val="335041FD"/>
    <w:rsid w:val="33736BE8"/>
    <w:rsid w:val="3397774D"/>
    <w:rsid w:val="33AD27F7"/>
    <w:rsid w:val="3496344D"/>
    <w:rsid w:val="353E7CDE"/>
    <w:rsid w:val="3560D39B"/>
    <w:rsid w:val="359F4EC5"/>
    <w:rsid w:val="363177AA"/>
    <w:rsid w:val="37262A86"/>
    <w:rsid w:val="37490F4C"/>
    <w:rsid w:val="38044AD5"/>
    <w:rsid w:val="3804E170"/>
    <w:rsid w:val="385F044C"/>
    <w:rsid w:val="39247135"/>
    <w:rsid w:val="39655DB3"/>
    <w:rsid w:val="39DCF087"/>
    <w:rsid w:val="3A1794D2"/>
    <w:rsid w:val="3A47F965"/>
    <w:rsid w:val="3A9AE59D"/>
    <w:rsid w:val="3AAACFA1"/>
    <w:rsid w:val="3B5998AE"/>
    <w:rsid w:val="3D514126"/>
    <w:rsid w:val="3EE8C9CA"/>
    <w:rsid w:val="4023E997"/>
    <w:rsid w:val="414BB8C9"/>
    <w:rsid w:val="418427F8"/>
    <w:rsid w:val="424B0A2E"/>
    <w:rsid w:val="42BBC51B"/>
    <w:rsid w:val="4501ACB9"/>
    <w:rsid w:val="45580B4E"/>
    <w:rsid w:val="4671C9E9"/>
    <w:rsid w:val="4720228E"/>
    <w:rsid w:val="47843116"/>
    <w:rsid w:val="478E6E4B"/>
    <w:rsid w:val="491A12DC"/>
    <w:rsid w:val="49857DEA"/>
    <w:rsid w:val="4B0CB098"/>
    <w:rsid w:val="4B6B47FF"/>
    <w:rsid w:val="4B6CDB0D"/>
    <w:rsid w:val="4BC7A862"/>
    <w:rsid w:val="4E2333CF"/>
    <w:rsid w:val="4E8F3BE4"/>
    <w:rsid w:val="4EEE6132"/>
    <w:rsid w:val="4F27A473"/>
    <w:rsid w:val="51283871"/>
    <w:rsid w:val="52C408D2"/>
    <w:rsid w:val="52F6A4F2"/>
    <w:rsid w:val="54B5F461"/>
    <w:rsid w:val="550FBFFB"/>
    <w:rsid w:val="554A507A"/>
    <w:rsid w:val="56490E98"/>
    <w:rsid w:val="5718BB59"/>
    <w:rsid w:val="57991CC5"/>
    <w:rsid w:val="5806A097"/>
    <w:rsid w:val="589AF086"/>
    <w:rsid w:val="59A230BE"/>
    <w:rsid w:val="5B249B61"/>
    <w:rsid w:val="5BAD67C4"/>
    <w:rsid w:val="5CABA241"/>
    <w:rsid w:val="5CC3F76A"/>
    <w:rsid w:val="5DC48748"/>
    <w:rsid w:val="5F479E86"/>
    <w:rsid w:val="5F7B7FC2"/>
    <w:rsid w:val="60E36EE7"/>
    <w:rsid w:val="6133D105"/>
    <w:rsid w:val="61BA9E96"/>
    <w:rsid w:val="62F3597A"/>
    <w:rsid w:val="639682CA"/>
    <w:rsid w:val="641B0FA9"/>
    <w:rsid w:val="6460DBA6"/>
    <w:rsid w:val="64B086A3"/>
    <w:rsid w:val="64C1A658"/>
    <w:rsid w:val="652C2A9E"/>
    <w:rsid w:val="65FC0527"/>
    <w:rsid w:val="67B87D75"/>
    <w:rsid w:val="67F8A11B"/>
    <w:rsid w:val="6981A5CD"/>
    <w:rsid w:val="69AD4720"/>
    <w:rsid w:val="6C2B7764"/>
    <w:rsid w:val="6C2DB387"/>
    <w:rsid w:val="6D1FA0A4"/>
    <w:rsid w:val="6DA8C992"/>
    <w:rsid w:val="6E0B11DA"/>
    <w:rsid w:val="6EB86ACA"/>
    <w:rsid w:val="6F732BE0"/>
    <w:rsid w:val="701E4862"/>
    <w:rsid w:val="7024F6F1"/>
    <w:rsid w:val="71D42D47"/>
    <w:rsid w:val="72B53B30"/>
    <w:rsid w:val="72D830BD"/>
    <w:rsid w:val="7350C0D6"/>
    <w:rsid w:val="73E01283"/>
    <w:rsid w:val="7400FFFD"/>
    <w:rsid w:val="75421A04"/>
    <w:rsid w:val="75577FAF"/>
    <w:rsid w:val="75B3DB77"/>
    <w:rsid w:val="75E35865"/>
    <w:rsid w:val="761D46B2"/>
    <w:rsid w:val="77D99421"/>
    <w:rsid w:val="7993D4FE"/>
    <w:rsid w:val="79A927C0"/>
    <w:rsid w:val="7A709CD0"/>
    <w:rsid w:val="7A841AE0"/>
    <w:rsid w:val="7BE00DF2"/>
    <w:rsid w:val="7BE9CEFC"/>
    <w:rsid w:val="7C750D28"/>
    <w:rsid w:val="7D9776A6"/>
    <w:rsid w:val="7EBA4299"/>
    <w:rsid w:val="7F32BB9D"/>
    <w:rsid w:val="7F383D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2E2A2E1"/>
  <w15:docId w15:val="{E4B1F6DC-7A5B-4779-BB8A-A063EFC2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4856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1D4856"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D4856"/>
  </w:style>
  <w:style w:type="paragraph" w:styleId="BodyTextIndent">
    <w:name w:val="Body Text Indent"/>
    <w:basedOn w:val="Normal"/>
    <w:rsid w:val="001D4856"/>
    <w:pPr>
      <w:ind w:left="720"/>
    </w:pPr>
    <w:rPr>
      <w:rFonts w:ascii="Baskerville Old Face" w:hAnsi="Baskerville Old Face"/>
      <w:sz w:val="24"/>
    </w:rPr>
  </w:style>
  <w:style w:type="table" w:styleId="TableGrid">
    <w:name w:val="Table Grid"/>
    <w:basedOn w:val="TableNormal"/>
    <w:rsid w:val="001D485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92C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3A45"/>
    <w:pPr>
      <w:ind w:left="720"/>
    </w:pPr>
  </w:style>
  <w:style w:type="character" w:styleId="Hyperlink">
    <w:name w:val="Hyperlink"/>
    <w:basedOn w:val="DefaultParagraphFont"/>
    <w:rsid w:val="00EE529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81924"/>
    <w:rPr>
      <w:i/>
      <w:iCs/>
    </w:rPr>
  </w:style>
  <w:style w:type="paragraph" w:styleId="Revision">
    <w:name w:val="Revision"/>
    <w:hidden/>
    <w:uiPriority w:val="99"/>
    <w:semiHidden/>
    <w:rsid w:val="00045124"/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141C73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styleId="CommentReference">
    <w:name w:val="annotation reference"/>
    <w:basedOn w:val="DefaultParagraphFont"/>
    <w:semiHidden/>
    <w:unhideWhenUsed/>
    <w:rsid w:val="00317FF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17FF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17FF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7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17FF6"/>
    <w:rPr>
      <w:b/>
      <w:bCs/>
    </w:rPr>
  </w:style>
  <w:style w:type="paragraph" w:styleId="Header">
    <w:name w:val="header"/>
    <w:basedOn w:val="Normal"/>
    <w:link w:val="HeaderChar"/>
    <w:unhideWhenUsed/>
    <w:rsid w:val="00E51C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1C1B"/>
    <w:rPr>
      <w:szCs w:val="24"/>
    </w:rPr>
  </w:style>
  <w:style w:type="paragraph" w:styleId="Footer">
    <w:name w:val="footer"/>
    <w:basedOn w:val="Normal"/>
    <w:link w:val="FooterChar"/>
    <w:unhideWhenUsed/>
    <w:rsid w:val="00E51C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51C1B"/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57B63"/>
    <w:rPr>
      <w:color w:val="605E5C"/>
      <w:shd w:val="clear" w:color="auto" w:fill="E1DFDD"/>
    </w:rPr>
  </w:style>
  <w:style w:type="character" w:customStyle="1" w:styleId="BodyTextFi">
    <w:name w:val="Body Text Fi"/>
    <w:rsid w:val="00A31CF9"/>
  </w:style>
  <w:style w:type="paragraph" w:styleId="BodyText2">
    <w:name w:val="Body Text 2"/>
    <w:basedOn w:val="Normal"/>
    <w:link w:val="BodyText2Char"/>
    <w:unhideWhenUsed/>
    <w:rsid w:val="0099013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90138"/>
    <w:rPr>
      <w:szCs w:val="24"/>
    </w:rPr>
  </w:style>
  <w:style w:type="character" w:customStyle="1" w:styleId="BulletInden">
    <w:name w:val="Bullet Inden"/>
    <w:rsid w:val="00AB745C"/>
  </w:style>
  <w:style w:type="paragraph" w:styleId="BodyText">
    <w:name w:val="Body Text"/>
    <w:basedOn w:val="Normal"/>
    <w:link w:val="BodyTextChar"/>
    <w:semiHidden/>
    <w:unhideWhenUsed/>
    <w:rsid w:val="0082565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25654"/>
    <w:rPr>
      <w:szCs w:val="24"/>
    </w:rPr>
  </w:style>
  <w:style w:type="character" w:styleId="Mention">
    <w:name w:val="Mention"/>
    <w:basedOn w:val="DefaultParagraphFont"/>
    <w:uiPriority w:val="99"/>
    <w:unhideWhenUsed/>
    <w:rsid w:val="00116D0B"/>
    <w:rPr>
      <w:color w:val="2B579A"/>
      <w:shd w:val="clear" w:color="auto" w:fill="E1DFDD"/>
    </w:rPr>
  </w:style>
  <w:style w:type="character" w:styleId="Strong">
    <w:name w:val="Strong"/>
    <w:basedOn w:val="DefaultParagraphFont"/>
    <w:qFormat/>
    <w:rsid w:val="00B900C6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D935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data.bls.gov/oes/" TargetMode="External" /><Relationship Id="rId9" Type="http://schemas.openxmlformats.org/officeDocument/2006/relationships/hyperlink" Target="https://ryanwhite.hrsa.gov/grants/manage/reporting-requirements/allocation-and-expenditu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AEActionNeeded xmlns="67db86a1-9af1-43d3-bfc7-627a4d2f08a0">true</OPAEActionNeeded>
    <ActionNeeded xmlns="67db86a1-9af1-43d3-bfc7-627a4d2f08a0" xsi:nil="true"/>
    <Notes xmlns="67db86a1-9af1-43d3-bfc7-627a4d2f08a0" xsi:nil="true"/>
    <Priority xmlns="67db86a1-9af1-43d3-bfc7-627a4d2f08a0" xsi:nil="true"/>
    <CurrentReviewer xmlns="67db86a1-9af1-43d3-bfc7-627a4d2f08a0">
      <UserInfo>
        <DisplayName/>
        <AccountId xsi:nil="true"/>
        <AccountType/>
      </UserInfo>
    </CurrentReviewer>
    <_dlc_DocId xmlns="68c2e6f3-6ea4-42c3-835e-44e49d8f3a1e">YEJUMFDJ6KMC-483555117-52277</_dlc_DocId>
    <_dlc_DocIdUrl xmlns="68c2e6f3-6ea4-42c3-835e-44e49d8f3a1e">
      <Url>https://nih.sharepoint.com/sites/HRSA-OA-OPAE/Teams/officeofexternalengagement/_layouts/15/DocIdRedir.aspx?ID=YEJUMFDJ6KMC-483555117-52277</Url>
      <Description>YEJUMFDJ6KMC-483555117-52277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F7B7FA2AFEB499C29ED11FCDA9ADA" ma:contentTypeVersion="22" ma:contentTypeDescription="Create a new document." ma:contentTypeScope="" ma:versionID="5b6efee0ba7e2bd384dd98b735084035">
  <xsd:schema xmlns:xsd="http://www.w3.org/2001/XMLSchema" xmlns:xs="http://www.w3.org/2001/XMLSchema" xmlns:p="http://schemas.microsoft.com/office/2006/metadata/properties" xmlns:ns2="68c2e6f3-6ea4-42c3-835e-44e49d8f3a1e" xmlns:ns3="67db86a1-9af1-43d3-bfc7-627a4d2f08a0" targetNamespace="http://schemas.microsoft.com/office/2006/metadata/properties" ma:root="true" ma:fieldsID="70d50366586b4b82e4ea12d74af90b7d" ns2:_="" ns3:_="">
    <xsd:import namespace="68c2e6f3-6ea4-42c3-835e-44e49d8f3a1e"/>
    <xsd:import namespace="67db86a1-9af1-43d3-bfc7-627a4d2f08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iority" minOccurs="0"/>
                <xsd:element ref="ns3:CurrentReviewer" minOccurs="0"/>
                <xsd:element ref="ns3:Notes" minOccurs="0"/>
                <xsd:element ref="ns3:OPAEActionNeeded" minOccurs="0"/>
                <xsd:element ref="ns3:ActionNeede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2e6f3-6ea4-42c3-835e-44e49d8f3a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b86a1-9af1-43d3-bfc7-627a4d2f08a0" elementFormDefault="qualified">
    <xsd:import namespace="http://schemas.microsoft.com/office/2006/documentManagement/types"/>
    <xsd:import namespace="http://schemas.microsoft.com/office/infopath/2007/PartnerControls"/>
    <xsd:element name="Priority" ma:index="11" nillable="true" ma:displayName="Priority" ma:format="Dropdown" ma:indexed="true" ma:internalName="Priority">
      <xsd:simpleType>
        <xsd:restriction base="dms:Choice">
          <xsd:enumeration value="High"/>
          <xsd:enumeration value="Medium"/>
          <xsd:enumeration value="Low"/>
          <xsd:enumeration value="Not Under Review"/>
        </xsd:restriction>
      </xsd:simpleType>
    </xsd:element>
    <xsd:element name="CurrentReviewer" ma:index="12" nillable="true" ma:displayName="Current Reviewer" ma:format="Dropdown" ma:list="UserInfo" ma:SharePointGroup="0" ma:internalName="Current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OPAEActionNeeded" ma:index="14" nillable="true" ma:displayName="OPAE Action Needed" ma:default="1" ma:format="Dropdown" ma:internalName="OPAEActionNeeded">
      <xsd:simpleType>
        <xsd:restriction base="dms:Boolean"/>
      </xsd:simpleType>
    </xsd:element>
    <xsd:element name="ActionNeeded" ma:index="15" nillable="true" ma:displayName="Action Needed" ma:format="Dropdown" ma:internalName="ActionNeeded">
      <xsd:simpleType>
        <xsd:restriction base="dms:Choice">
          <xsd:enumeration value="Yes - Drafting"/>
          <xsd:enumeration value="Yes - Initial Review"/>
          <xsd:enumeration value="Yes - Second Review"/>
          <xsd:enumeration value="Yes - Ready for Sam"/>
          <xsd:enumeration value="Yes - With Sam"/>
          <xsd:enumeration value="Yes - Ready for B/O Revision"/>
          <xsd:enumeration value="Yes - Ready for OMB"/>
          <xsd:enumeration value="Yes - Notify B/O re comment period"/>
          <xsd:enumeration value="N/A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1806D4-59E1-46AA-AC75-D12EFFD0B9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409447-424B-46F1-97B6-0598EFE31B15}">
  <ds:schemaRefs>
    <ds:schemaRef ds:uri="http://schemas.microsoft.com/office/2006/metadata/properties"/>
    <ds:schemaRef ds:uri="http://schemas.microsoft.com/office/infopath/2007/PartnerControls"/>
    <ds:schemaRef ds:uri="67db86a1-9af1-43d3-bfc7-627a4d2f08a0"/>
    <ds:schemaRef ds:uri="68c2e6f3-6ea4-42c3-835e-44e49d8f3a1e"/>
  </ds:schemaRefs>
</ds:datastoreItem>
</file>

<file path=customXml/itemProps3.xml><?xml version="1.0" encoding="utf-8"?>
<ds:datastoreItem xmlns:ds="http://schemas.openxmlformats.org/officeDocument/2006/customXml" ds:itemID="{F4767690-AD0D-4AC2-AAAD-906C4319251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CAA1667-5E40-4F5E-BCC2-1197DB51F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2e6f3-6ea4-42c3-835e-44e49d8f3a1e"/>
    <ds:schemaRef ds:uri="67db86a1-9af1-43d3-bfc7-627a4d2f0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1652</Words>
  <Characters>8975</Characters>
  <Application>Microsoft Office Word</Application>
  <DocSecurity>0</DocSecurity>
  <Lines>299</Lines>
  <Paragraphs>158</Paragraphs>
  <ScaleCrop>false</ScaleCrop>
  <Company>CMS</Company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writing Supporting Statement A</dc:title>
  <dc:creator>Jodi.Duckhorn</dc:creator>
  <cp:lastModifiedBy>HRSA</cp:lastModifiedBy>
  <cp:revision>6</cp:revision>
  <cp:lastPrinted>2010-10-14T22:41:00Z</cp:lastPrinted>
  <dcterms:created xsi:type="dcterms:W3CDTF">2026-04-23T17:01:00Z</dcterms:created>
  <dcterms:modified xsi:type="dcterms:W3CDTF">2026-04-29T15:29:00Z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0x01010095FF7B7FA2AFEB499C29ED11FCDA9ADA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Order">
    <vt:r8>4600</vt:r8>
  </property>
  <property fmtid="{D5CDD505-2E9C-101B-9397-08002B2CF9AE}" pid="6" name="TaxKeyword">
    <vt:lpwstr/>
  </property>
  <property fmtid="{D5CDD505-2E9C-101B-9397-08002B2CF9AE}" pid="7" name="_dlc_DocIdItemGuid">
    <vt:lpwstr>abcf0312-045f-47c3-bc09-f79a2c36374d</vt:lpwstr>
  </property>
</Properties>
</file>