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7C8A" w:rsidP="00357C8A" w14:paraId="1B04DC3A" w14:textId="77777777">
      <w:pPr>
        <w:jc w:val="center"/>
        <w:rPr>
          <w:rFonts w:eastAsia="Calibri"/>
        </w:rPr>
      </w:pPr>
      <w:r w:rsidRPr="00357C8A">
        <w:rPr>
          <w:rFonts w:eastAsia="Calibri"/>
        </w:rPr>
        <w:t>United States Food and Drug Administration</w:t>
      </w:r>
    </w:p>
    <w:p w:rsidR="00357C8A" w:rsidP="00357C8A" w14:paraId="24816FA5" w14:textId="77777777">
      <w:pPr>
        <w:jc w:val="center"/>
        <w:rPr>
          <w:rFonts w:eastAsia="Calibri"/>
        </w:rPr>
      </w:pPr>
    </w:p>
    <w:p w:rsidR="00142562" w:rsidRPr="00142562" w:rsidP="00142562" w14:paraId="14A4C6DD" w14:textId="77777777">
      <w:pPr>
        <w:jc w:val="center"/>
        <w:rPr>
          <w:rFonts w:eastAsia="Calibri"/>
        </w:rPr>
      </w:pPr>
      <w:r w:rsidRPr="00142562">
        <w:rPr>
          <w:rFonts w:eastAsia="Calibri"/>
        </w:rPr>
        <w:t>Hazard Analysis and Critical Control Point (HACCP) Procedures</w:t>
      </w:r>
    </w:p>
    <w:p w:rsidR="00357C8A" w:rsidP="00357C8A" w14:paraId="106DCF6D" w14:textId="77777777">
      <w:pPr>
        <w:jc w:val="center"/>
        <w:rPr>
          <w:rFonts w:eastAsia="Calibri"/>
        </w:rPr>
      </w:pPr>
      <w:r w:rsidRPr="00142562">
        <w:rPr>
          <w:rFonts w:eastAsia="Calibri"/>
        </w:rPr>
        <w:t>for the Safe and Sanitary Processing and Importing of Juice</w:t>
      </w:r>
    </w:p>
    <w:p w:rsidR="00E83243" w:rsidP="00357C8A" w14:paraId="5BAAA299" w14:textId="77777777">
      <w:pPr>
        <w:jc w:val="center"/>
        <w:rPr>
          <w:rFonts w:eastAsia="Calibri"/>
        </w:rPr>
      </w:pPr>
    </w:p>
    <w:p w:rsidR="00357C8A" w:rsidP="00357C8A" w14:paraId="5FBB327B" w14:textId="77777777">
      <w:pPr>
        <w:jc w:val="center"/>
        <w:rPr>
          <w:rFonts w:eastAsia="Calibri"/>
        </w:rPr>
      </w:pPr>
      <w:r w:rsidRPr="00357C8A">
        <w:rPr>
          <w:rFonts w:eastAsia="Calibri"/>
        </w:rPr>
        <w:t>OMB Control No. 0910-</w:t>
      </w:r>
      <w:r w:rsidR="00142562">
        <w:rPr>
          <w:rFonts w:eastAsia="Calibri"/>
        </w:rPr>
        <w:t>0466</w:t>
      </w:r>
    </w:p>
    <w:p w:rsidR="00357C8A" w:rsidP="00357C8A" w14:paraId="2B8C8721" w14:textId="77777777">
      <w:pPr>
        <w:jc w:val="center"/>
        <w:rPr>
          <w:rFonts w:eastAsia="Calibri"/>
        </w:rPr>
      </w:pPr>
    </w:p>
    <w:p w:rsidR="00357C8A" w:rsidP="00357C8A" w14:paraId="4928CCC9" w14:textId="77777777">
      <w:pPr>
        <w:jc w:val="center"/>
        <w:rPr>
          <w:rFonts w:eastAsia="Calibri"/>
        </w:rPr>
      </w:pPr>
      <w:r w:rsidRPr="00357C8A">
        <w:rPr>
          <w:rFonts w:eastAsia="Calibri"/>
        </w:rPr>
        <w:t>SUPPORTING STATEMENT</w:t>
      </w:r>
    </w:p>
    <w:p w:rsidR="009B4DF2" w:rsidP="00357C8A" w14:paraId="3D452605" w14:textId="77777777">
      <w:pPr>
        <w:jc w:val="center"/>
        <w:rPr>
          <w:rFonts w:eastAsia="Calibri"/>
        </w:rPr>
      </w:pPr>
    </w:p>
    <w:p w:rsidR="00357C8A" w:rsidP="000D79CC" w14:paraId="20D04FFB" w14:textId="77777777">
      <w:pPr>
        <w:rPr>
          <w:rFonts w:eastAsia="Calibri"/>
        </w:rPr>
      </w:pPr>
      <w:r w:rsidRPr="00357C8A">
        <w:rPr>
          <w:rFonts w:eastAsia="Calibri"/>
          <w:b/>
        </w:rPr>
        <w:t>Part A</w:t>
      </w:r>
      <w:r w:rsidRPr="00357C8A">
        <w:rPr>
          <w:rFonts w:eastAsia="Calibri"/>
          <w:b/>
        </w:rPr>
        <w:t>:  Justification</w:t>
      </w:r>
      <w:r w:rsidRPr="00357C8A">
        <w:rPr>
          <w:rFonts w:eastAsia="Calibri"/>
        </w:rPr>
        <w:t>:</w:t>
      </w:r>
    </w:p>
    <w:p w:rsidR="000D79CC" w:rsidRPr="00357C8A" w:rsidP="000D79CC" w14:paraId="72991291" w14:textId="77777777">
      <w:pPr>
        <w:rPr>
          <w:rFonts w:eastAsia="Calibri"/>
        </w:rPr>
      </w:pPr>
    </w:p>
    <w:p w:rsidR="00357C8A" w:rsidRPr="00357C8A" w:rsidP="006705EA" w14:paraId="756A4254"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142562" w:rsidRPr="00142562" w:rsidP="00142562" w14:paraId="087F81E3" w14:textId="1E4A5F53">
      <w:pPr>
        <w:spacing w:after="200"/>
        <w:rPr>
          <w:rFonts w:eastAsia="Calibri"/>
        </w:rPr>
      </w:pPr>
      <w:r w:rsidRPr="00142562">
        <w:rPr>
          <w:rFonts w:eastAsia="Calibri"/>
        </w:rPr>
        <w:t>This information collection supports Food and Drug Administration (FDA) regulations in part 120 (21 CFR part 120)</w:t>
      </w:r>
      <w:r w:rsidR="00AF7013">
        <w:rPr>
          <w:rFonts w:eastAsia="Calibri"/>
        </w:rPr>
        <w:t>,</w:t>
      </w:r>
      <w:r w:rsidRPr="00142562">
        <w:rPr>
          <w:rFonts w:eastAsia="Calibri"/>
        </w:rPr>
        <w:t xml:space="preserve"> which </w:t>
      </w:r>
      <w:r w:rsidR="00596F62">
        <w:rPr>
          <w:rFonts w:eastAsia="Calibri"/>
        </w:rPr>
        <w:t>govern</w:t>
      </w:r>
      <w:r w:rsidRPr="00142562" w:rsidR="00596F62">
        <w:rPr>
          <w:rFonts w:eastAsia="Calibri"/>
        </w:rPr>
        <w:t xml:space="preserve"> </w:t>
      </w:r>
      <w:r w:rsidRPr="00142562">
        <w:rPr>
          <w:rFonts w:eastAsia="Calibri"/>
        </w:rPr>
        <w:t xml:space="preserve">the application of HACCP principles to the processing of fruit and vegetable juices.  HACCP is a preventive system of hazard control designed to help ensure the safety of foods.  The regulations were issued under FDA's statutory authority to regulate food safety under section 402(a)(4) of the Federal Food, Drug, and Cosmetic Act (the FD&amp;C Act) (21 U.S.C. 342(a)(4)).  Specifically, regulations in 21 CFR 120.12 provide for records documenting the establishment, implementation, and continued application of a HACCP system. </w:t>
      </w:r>
      <w:r w:rsidR="00AF7013">
        <w:rPr>
          <w:rFonts w:eastAsia="Calibri"/>
        </w:rPr>
        <w:t xml:space="preserve"> </w:t>
      </w:r>
      <w:r w:rsidRPr="00142562">
        <w:rPr>
          <w:rFonts w:eastAsia="Calibri"/>
        </w:rPr>
        <w:t>The rationale in establishing a HACCP system of preventive controls is to design and check the process so that the final product is not contaminated.  Under HACCP, processors of fruit and vegetable juices establish and follow a preplanned sequence of operations and observations (the HACCP plan) designed to avoid or eliminate one or more specific food hazards, and thereby ensure that their products are safe, wholesome, and not adulterated; in compliance with section 402 of the FD&amp;C Act.  Information development and recordkeeping are essential parts of any HACCP system.  The information collection requirements are narrowly tailored to focus on the development of appropriate controls and document those aspects of processing that are critical to food safety.</w:t>
      </w:r>
    </w:p>
    <w:p w:rsidR="00142562" w:rsidRPr="00142562" w:rsidP="00142562" w14:paraId="1EA68E33" w14:textId="2637A774">
      <w:pPr>
        <w:spacing w:after="200"/>
        <w:rPr>
          <w:rFonts w:eastAsia="Calibri"/>
        </w:rPr>
      </w:pPr>
      <w:r w:rsidRPr="00142562">
        <w:rPr>
          <w:rFonts w:eastAsia="Calibri"/>
        </w:rPr>
        <w:t>In an effort to reduce burden and assist respondents, our website (</w:t>
      </w:r>
      <w:hyperlink r:id="rId5" w:history="1">
        <w:r w:rsidRPr="00902ED7">
          <w:rPr>
            <w:rStyle w:val="Hyperlink"/>
            <w:rFonts w:eastAsia="Calibri"/>
          </w:rPr>
          <w:t>https://www.fda.gov/food/hazard-analysis-critical-control-point-haccp/juice-haccp</w:t>
        </w:r>
      </w:hyperlink>
      <w:r w:rsidRPr="00142562">
        <w:rPr>
          <w:rFonts w:eastAsia="Calibri"/>
        </w:rPr>
        <w:t xml:space="preserve">) offers guidance for industry, training and education, and background information to assist the food industry in developing and implementing a Juice HACCP. </w:t>
      </w:r>
      <w:r w:rsidR="00902ED7">
        <w:rPr>
          <w:rFonts w:eastAsia="Calibri"/>
        </w:rPr>
        <w:t xml:space="preserve"> </w:t>
      </w:r>
      <w:r w:rsidRPr="00142562">
        <w:rPr>
          <w:rFonts w:eastAsia="Calibri"/>
        </w:rPr>
        <w:t>All agency guidance documents are issued in accordance with our good guidance practice regulation in 21 CFR 10.115, which provide</w:t>
      </w:r>
      <w:r w:rsidR="00AF7013">
        <w:rPr>
          <w:rFonts w:eastAsia="Calibri"/>
        </w:rPr>
        <w:t>s</w:t>
      </w:r>
      <w:r w:rsidRPr="00142562">
        <w:rPr>
          <w:rFonts w:eastAsia="Calibri"/>
        </w:rPr>
        <w:t xml:space="preserve"> for public comment at any time.</w:t>
      </w:r>
    </w:p>
    <w:p w:rsidR="00357C8A" w:rsidRPr="001E6D9F" w:rsidP="0022425B" w14:paraId="76A9FEDC" w14:textId="77777777">
      <w:pPr>
        <w:spacing w:after="200"/>
        <w:rPr>
          <w:rFonts w:eastAsia="Calibri"/>
          <w:color w:val="000000"/>
        </w:rPr>
      </w:pPr>
      <w:r w:rsidRPr="00142562">
        <w:rPr>
          <w:rFonts w:eastAsia="Calibri"/>
        </w:rPr>
        <w:t>We therefore request extension of OMB approval of the information collection found in 21 CFR part 120, as discussed in this supporting statement.</w:t>
      </w:r>
    </w:p>
    <w:p w:rsidR="00357C8A" w:rsidRPr="00357C8A" w:rsidP="006705EA" w14:paraId="72A330EF"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142562" w:rsidRPr="00142562" w:rsidP="00142562" w14:paraId="79993A21" w14:textId="77777777">
      <w:pPr>
        <w:spacing w:after="200"/>
        <w:rPr>
          <w:rFonts w:eastAsia="Calibri"/>
        </w:rPr>
      </w:pPr>
      <w:r w:rsidRPr="00142562">
        <w:rPr>
          <w:rFonts w:eastAsia="Calibri"/>
        </w:rPr>
        <w:t>HACCP records are retained by respondents and presented to FDA upon inspection.  We use the information to determine compliance with applicable requirements.  Products not in compliance with applicable statutory and regulatory requirements may be adulterated under the FD&amp;C Act and subject to enforcement action.</w:t>
      </w:r>
    </w:p>
    <w:p w:rsidR="00357C8A" w:rsidRPr="001E6D9F" w:rsidP="0022425B" w14:paraId="06580731" w14:textId="12A9F196">
      <w:pPr>
        <w:spacing w:after="200"/>
        <w:rPr>
          <w:rFonts w:eastAsia="Calibri"/>
          <w:color w:val="000000"/>
        </w:rPr>
      </w:pPr>
      <w:r w:rsidRPr="00653C39">
        <w:rPr>
          <w:rFonts w:eastAsia="Calibri"/>
          <w:i/>
          <w:iCs/>
        </w:rPr>
        <w:t>Description of Respondents</w:t>
      </w:r>
      <w:r w:rsidRPr="00142562">
        <w:rPr>
          <w:rFonts w:eastAsia="Calibri"/>
        </w:rPr>
        <w:t xml:space="preserve">: </w:t>
      </w:r>
      <w:r w:rsidR="004C7F18">
        <w:rPr>
          <w:rFonts w:eastAsia="Calibri"/>
        </w:rPr>
        <w:t xml:space="preserve"> </w:t>
      </w:r>
      <w:r w:rsidRPr="00142562">
        <w:rPr>
          <w:rFonts w:eastAsia="Calibri"/>
        </w:rPr>
        <w:t>Respondents</w:t>
      </w:r>
      <w:r w:rsidRPr="00142562">
        <w:rPr>
          <w:rFonts w:eastAsia="Calibri"/>
        </w:rPr>
        <w:t xml:space="preserve"> to this information collection are processors of fruit and vegetable juices (plants identified in our official establishment inventory plus very small apple juice and very small orange juice manufacturers).  Respondents are from the private sector (for-profit businesses).</w:t>
      </w:r>
    </w:p>
    <w:p w:rsidR="00357C8A" w:rsidRPr="00357C8A" w:rsidP="006705EA" w14:paraId="7A18985F"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142562" w:rsidRPr="00142562" w:rsidP="00142562" w14:paraId="1C9A6FD9" w14:textId="77777777">
      <w:pPr>
        <w:spacing w:after="200"/>
        <w:rPr>
          <w:rFonts w:eastAsia="Calibri"/>
        </w:rPr>
      </w:pPr>
      <w:r w:rsidRPr="00142562">
        <w:rPr>
          <w:rFonts w:eastAsia="Calibri"/>
        </w:rPr>
        <w:t xml:space="preserve">The agency encourages the application of this technology for monitoring and recordkeeping operations to minimize the burden costs, </w:t>
      </w:r>
      <w:r w:rsidRPr="00142562" w:rsidR="00902ED7">
        <w:rPr>
          <w:rFonts w:eastAsia="Calibri"/>
        </w:rPr>
        <w:t>and</w:t>
      </w:r>
      <w:r w:rsidRPr="00142562">
        <w:rPr>
          <w:rFonts w:eastAsia="Calibri"/>
        </w:rPr>
        <w:t xml:space="preserve"> to enhance the organization of records and to facilitate their retrieval.  We estimate that ninety-five percent (95%) of the responses are collected electronically.</w:t>
      </w:r>
    </w:p>
    <w:p w:rsidR="00357C8A" w:rsidRPr="001E6D9F" w:rsidP="0022425B" w14:paraId="6BC18AB5" w14:textId="77777777">
      <w:pPr>
        <w:spacing w:after="200"/>
        <w:rPr>
          <w:rFonts w:eastAsia="Calibri"/>
          <w:color w:val="000000"/>
        </w:rPr>
      </w:pPr>
      <w:r w:rsidRPr="00142562">
        <w:rPr>
          <w:rFonts w:eastAsia="Calibri"/>
        </w:rPr>
        <w:t>Companies are free to use whatever forms of information technology may best assist them in recordkeeping.  We have made this clear in the records provisions of this regulation (§ 120.12(g)), which states that records maintained as computer files are acceptable when controls are implemented to ensure the integrity of the electronic data and signatures.</w:t>
      </w:r>
    </w:p>
    <w:p w:rsidR="00357C8A" w:rsidRPr="00357C8A" w:rsidP="006705EA" w14:paraId="7AF32867"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1E6D9F" w:rsidP="0053380B" w14:paraId="5D61F1ED" w14:textId="77777777">
      <w:pPr>
        <w:spacing w:after="200"/>
        <w:rPr>
          <w:rFonts w:eastAsia="Calibri"/>
          <w:color w:val="000000"/>
        </w:rPr>
      </w:pPr>
      <w:r w:rsidRPr="00142562">
        <w:t>We are unaware of duplicative information collection.</w:t>
      </w:r>
    </w:p>
    <w:p w:rsidR="00357C8A" w:rsidRPr="00357C8A" w:rsidP="006705EA" w14:paraId="118AEA57"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194CCBE6" w14:textId="77777777">
      <w:pPr>
        <w:spacing w:after="200"/>
        <w:rPr>
          <w:rFonts w:eastAsia="Calibri"/>
        </w:rPr>
      </w:pPr>
      <w:r>
        <w:rPr>
          <w:color w:val="000000"/>
        </w:rPr>
        <w:t xml:space="preserve">We estimate that a substantial proportion (75%) of juice processors affected by the regulation are small businesses, however we do not believe the information collection poses undue burden on these entities.  At the same time, we aid small businesses in complying with the juice HACCP requirements through our Regional Small Business Representatives and through administrative and scientific staffs within the agency.  </w:t>
      </w:r>
      <w:r w:rsidRPr="008065A9">
        <w:rPr>
          <w:color w:val="000000"/>
        </w:rPr>
        <w:t>Assistance is available for small businesses</w:t>
      </w:r>
      <w:r>
        <w:rPr>
          <w:color w:val="000000"/>
        </w:rPr>
        <w:t xml:space="preserve"> on our website at </w:t>
      </w:r>
      <w:hyperlink r:id="rId6" w:history="1">
        <w:r w:rsidRPr="00AF6B98">
          <w:rPr>
            <w:rStyle w:val="Hyperlink"/>
          </w:rPr>
          <w:t>https://www.fda.gov/industry/small-business-assistance</w:t>
        </w:r>
      </w:hyperlink>
      <w:r>
        <w:rPr>
          <w:color w:val="000000"/>
        </w:rPr>
        <w:t xml:space="preserve">, as well as with our Juice HACCP Small Entity Compliance Guide at </w:t>
      </w:r>
      <w:hyperlink r:id="rId5" w:history="1">
        <w:r w:rsidRPr="00AF6B98">
          <w:rPr>
            <w:rStyle w:val="Hyperlink"/>
          </w:rPr>
          <w:t>https://www.fda.gov/food/hazard-analysis-critical-control-point-haccp/juice-haccp</w:t>
        </w:r>
      </w:hyperlink>
      <w:r>
        <w:rPr>
          <w:color w:val="000000"/>
        </w:rPr>
        <w:t>.</w:t>
      </w:r>
    </w:p>
    <w:p w:rsidR="00357C8A" w:rsidRPr="00357C8A" w:rsidP="006705EA" w14:paraId="3236E430" w14:textId="77777777">
      <w:pPr>
        <w:numPr>
          <w:ilvl w:val="0"/>
          <w:numId w:val="6"/>
        </w:numPr>
        <w:spacing w:after="200" w:line="276" w:lineRule="auto"/>
        <w:rPr>
          <w:rFonts w:eastAsia="Calibri"/>
          <w:u w:val="single"/>
        </w:rPr>
      </w:pPr>
      <w:r w:rsidRPr="00357C8A">
        <w:rPr>
          <w:rFonts w:eastAsia="Calibri"/>
          <w:u w:val="single"/>
        </w:rPr>
        <w:t xml:space="preserve">Consequences of Collecting </w:t>
      </w:r>
      <w:r w:rsidRPr="00357C8A">
        <w:rPr>
          <w:rFonts w:eastAsia="Calibri"/>
          <w:u w:val="single"/>
        </w:rPr>
        <w:t>the Information</w:t>
      </w:r>
      <w:r w:rsidRPr="00357C8A">
        <w:rPr>
          <w:rFonts w:eastAsia="Calibri"/>
          <w:u w:val="single"/>
        </w:rPr>
        <w:t xml:space="preserve"> Less Frequently</w:t>
      </w:r>
    </w:p>
    <w:p w:rsidR="00B5540A" w:rsidP="00B5540A" w14:paraId="1B47F782" w14:textId="7C875F8C">
      <w:pPr>
        <w:autoSpaceDE w:val="0"/>
        <w:autoSpaceDN w:val="0"/>
        <w:adjustRightInd w:val="0"/>
      </w:pPr>
      <w:r>
        <w:t xml:space="preserve">Data collection occurs daily. </w:t>
      </w:r>
      <w:r w:rsidR="0031423D">
        <w:t xml:space="preserve"> </w:t>
      </w:r>
      <w:r>
        <w:t>Under a HACCP scheme, the frequency of data collection by each</w:t>
      </w:r>
      <w:r w:rsidR="006D7812">
        <w:t xml:space="preserve"> </w:t>
      </w:r>
      <w:r>
        <w:t>processor would occur periodically during daily food processing operations, but that frequency</w:t>
      </w:r>
      <w:r w:rsidR="006D7812">
        <w:t xml:space="preserve"> </w:t>
      </w:r>
      <w:r>
        <w:t>of</w:t>
      </w:r>
      <w:r w:rsidR="006D7812">
        <w:t xml:space="preserve"> </w:t>
      </w:r>
      <w:r>
        <w:t>observation and recording would vary considerably for different processors, depending on the</w:t>
      </w:r>
      <w:r w:rsidR="006D7812">
        <w:t xml:space="preserve"> </w:t>
      </w:r>
      <w:r>
        <w:t xml:space="preserve">nature and number of the hazards controlled under a HACCP plan. </w:t>
      </w:r>
      <w:r w:rsidR="00E93283">
        <w:t xml:space="preserve"> </w:t>
      </w:r>
      <w:r>
        <w:t>Recordkeeping must be</w:t>
      </w:r>
      <w:r w:rsidR="006D7812">
        <w:t xml:space="preserve"> </w:t>
      </w:r>
      <w:r>
        <w:t xml:space="preserve">continuous once a HACCP plan has been implemented. </w:t>
      </w:r>
      <w:r w:rsidR="00E93283">
        <w:t xml:space="preserve"> </w:t>
      </w:r>
      <w:r>
        <w:t>HACCP has little value if used on a</w:t>
      </w:r>
      <w:r w:rsidR="006D7812">
        <w:t xml:space="preserve"> </w:t>
      </w:r>
      <w:r>
        <w:t xml:space="preserve">part-time basis, particularly in the context of a regulatory program. </w:t>
      </w:r>
      <w:r w:rsidR="00E93283">
        <w:t xml:space="preserve"> </w:t>
      </w:r>
      <w:r>
        <w:t xml:space="preserve">In that sense, the </w:t>
      </w:r>
      <w:r w:rsidR="00E93283">
        <w:t>“</w:t>
      </w:r>
      <w:r>
        <w:t>frequency</w:t>
      </w:r>
      <w:r w:rsidR="006D7812">
        <w:t xml:space="preserve"> </w:t>
      </w:r>
      <w:r>
        <w:t>of</w:t>
      </w:r>
      <w:r w:rsidR="006D7812">
        <w:t xml:space="preserve"> </w:t>
      </w:r>
      <w:r>
        <w:t>reporting,</w:t>
      </w:r>
      <w:r w:rsidR="00E93283">
        <w:t>”</w:t>
      </w:r>
      <w:r>
        <w:t xml:space="preserve"> that is, the periodic recording and maintaining records of control point</w:t>
      </w:r>
      <w:r w:rsidR="006D7812">
        <w:t xml:space="preserve"> </w:t>
      </w:r>
      <w:r>
        <w:t>observations</w:t>
      </w:r>
      <w:r w:rsidR="006D7812">
        <w:t xml:space="preserve"> </w:t>
      </w:r>
      <w:r>
        <w:t>and related HACCP activities cannot be elective; it must continue from day to day.</w:t>
      </w:r>
    </w:p>
    <w:p w:rsidR="0031423D" w:rsidP="00B5540A" w14:paraId="7FC04629" w14:textId="77777777">
      <w:pPr>
        <w:autoSpaceDE w:val="0"/>
        <w:autoSpaceDN w:val="0"/>
        <w:adjustRightInd w:val="0"/>
      </w:pPr>
    </w:p>
    <w:p w:rsidR="00357C8A" w:rsidP="00B57852" w14:paraId="7EDCD0A9" w14:textId="401FDEBD">
      <w:pPr>
        <w:autoSpaceDE w:val="0"/>
        <w:autoSpaceDN w:val="0"/>
        <w:adjustRightInd w:val="0"/>
      </w:pPr>
      <w:r>
        <w:t xml:space="preserve">FDA would not collect HACCP records or plans as a routine matter. </w:t>
      </w:r>
      <w:r w:rsidR="0043271F">
        <w:t xml:space="preserve"> </w:t>
      </w:r>
      <w:r>
        <w:t>HACCP records would</w:t>
      </w:r>
      <w:r w:rsidR="006D7812">
        <w:t xml:space="preserve"> </w:t>
      </w:r>
      <w:r>
        <w:t>remain on file at each processing facility and would be examined there periodically by the</w:t>
      </w:r>
      <w:r w:rsidR="006D7812">
        <w:t xml:space="preserve"> </w:t>
      </w:r>
      <w:r>
        <w:t>agency</w:t>
      </w:r>
      <w:r w:rsidR="006D7812">
        <w:t xml:space="preserve"> </w:t>
      </w:r>
      <w:r>
        <w:t>to determine, for example, whether a processor is practicing preventive control measures</w:t>
      </w:r>
      <w:r w:rsidR="006D7812">
        <w:t xml:space="preserve"> </w:t>
      </w:r>
      <w:r>
        <w:t>that are</w:t>
      </w:r>
      <w:r w:rsidR="006D7812">
        <w:t xml:space="preserve"> </w:t>
      </w:r>
      <w:r>
        <w:t xml:space="preserve">consistent with the hazards presented by fruit and vegetables juices. </w:t>
      </w:r>
      <w:r w:rsidR="00B57852">
        <w:t xml:space="preserve"> </w:t>
      </w:r>
      <w:r>
        <w:t>HACCP plans and</w:t>
      </w:r>
      <w:r w:rsidR="006D7812">
        <w:t xml:space="preserve"> </w:t>
      </w:r>
      <w:r>
        <w:t>records</w:t>
      </w:r>
      <w:r w:rsidR="006D7812">
        <w:t xml:space="preserve"> </w:t>
      </w:r>
      <w:r>
        <w:t>would document that the appropriate HACCP control measures are applied and have</w:t>
      </w:r>
      <w:r w:rsidR="006D7812">
        <w:t xml:space="preserve"> </w:t>
      </w:r>
      <w:r>
        <w:t>been used for</w:t>
      </w:r>
      <w:r w:rsidR="006D7812">
        <w:t xml:space="preserve"> </w:t>
      </w:r>
      <w:r>
        <w:t xml:space="preserve">all production lots. </w:t>
      </w:r>
      <w:r w:rsidR="00B57852">
        <w:t xml:space="preserve"> </w:t>
      </w:r>
      <w:r>
        <w:t>Finally, the records establish that the firm is</w:t>
      </w:r>
      <w:r w:rsidR="00B57852">
        <w:t xml:space="preserve"> </w:t>
      </w:r>
      <w:r>
        <w:t>continuously producing safe</w:t>
      </w:r>
      <w:r w:rsidR="006D7812">
        <w:t xml:space="preserve"> </w:t>
      </w:r>
      <w:r>
        <w:t xml:space="preserve">juices that </w:t>
      </w:r>
      <w:r>
        <w:t>are in compliance with</w:t>
      </w:r>
      <w:r>
        <w:t xml:space="preserve"> the provisions of the FD&amp;C Act.</w:t>
      </w:r>
    </w:p>
    <w:p w:rsidR="00B57852" w:rsidRPr="00122CA8" w:rsidP="00122CA8" w14:paraId="315BDF8F" w14:textId="77777777">
      <w:pPr>
        <w:autoSpaceDE w:val="0"/>
        <w:autoSpaceDN w:val="0"/>
        <w:adjustRightInd w:val="0"/>
      </w:pPr>
    </w:p>
    <w:p w:rsidR="00357C8A" w:rsidRPr="00357C8A" w:rsidP="006705EA" w14:paraId="783DF1AE"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7B6D9E03" w14:textId="77777777">
      <w:pPr>
        <w:spacing w:after="200"/>
        <w:rPr>
          <w:rFonts w:eastAsia="Calibri"/>
        </w:rPr>
      </w:pPr>
      <w:r>
        <w:t>There are no special circumstances associated with this collection of information.</w:t>
      </w:r>
    </w:p>
    <w:p w:rsidR="00357C8A" w:rsidRPr="00357C8A" w:rsidP="006705EA" w14:paraId="3753D865"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1E6D9F" w:rsidP="00357C8A" w14:paraId="26A1658C" w14:textId="77777777">
      <w:pPr>
        <w:spacing w:after="200"/>
        <w:rPr>
          <w:rFonts w:eastAsia="Calibri"/>
          <w:color w:val="000000"/>
        </w:rPr>
      </w:pPr>
      <w:r>
        <w:t xml:space="preserve">In accordance with 5 CFR 1320.8(d), we published a 60-day notice for public comment in the </w:t>
      </w:r>
      <w:r>
        <w:rPr>
          <w:i/>
          <w:iCs/>
        </w:rPr>
        <w:t xml:space="preserve">Federal Register </w:t>
      </w:r>
      <w:r>
        <w:t xml:space="preserve">of </w:t>
      </w:r>
      <w:r w:rsidR="007A7201">
        <w:t>February 20</w:t>
      </w:r>
      <w:r>
        <w:t xml:space="preserve">, </w:t>
      </w:r>
      <w:r w:rsidR="007A7201">
        <w:t xml:space="preserve">2026 </w:t>
      </w:r>
      <w:r>
        <w:t>(</w:t>
      </w:r>
      <w:r w:rsidR="007A7201">
        <w:t xml:space="preserve">91 </w:t>
      </w:r>
      <w:r>
        <w:t xml:space="preserve">FR </w:t>
      </w:r>
      <w:r w:rsidR="007A7201">
        <w:t>8251</w:t>
      </w:r>
      <w:r>
        <w:t xml:space="preserve">).  </w:t>
      </w:r>
      <w:r w:rsidR="007A7201">
        <w:t>No comments were</w:t>
      </w:r>
      <w:r>
        <w:t xml:space="preserve"> received.</w:t>
      </w:r>
    </w:p>
    <w:p w:rsidR="00357C8A" w:rsidRPr="00357C8A" w:rsidP="006705EA" w14:paraId="18C170F2"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1E6D9F" w:rsidP="00357C8A" w14:paraId="5016B986" w14:textId="77777777">
      <w:pPr>
        <w:spacing w:after="200"/>
        <w:rPr>
          <w:rFonts w:eastAsia="Calibri"/>
          <w:color w:val="000000"/>
        </w:rPr>
      </w:pPr>
      <w:r>
        <w:t>There are no incentives, payments or gifts associated with this information collection.</w:t>
      </w:r>
    </w:p>
    <w:p w:rsidR="00357C8A" w:rsidRPr="00357C8A" w:rsidP="006705EA" w14:paraId="12D819B5"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142562" w:rsidRPr="00B13D3C" w:rsidP="00142562" w14:paraId="075EE7EF" w14:textId="77777777">
      <w:pPr>
        <w:autoSpaceDE w:val="0"/>
        <w:autoSpaceDN w:val="0"/>
        <w:adjustRightInd w:val="0"/>
        <w:rPr>
          <w:color w:val="000000"/>
        </w:rPr>
      </w:pPr>
      <w:r w:rsidRPr="00B13D3C">
        <w:rPr>
          <w:color w:val="000000"/>
        </w:rPr>
        <w:t xml:space="preserve">In preparing this </w:t>
      </w:r>
      <w:r>
        <w:rPr>
          <w:color w:val="000000"/>
        </w:rPr>
        <w:t>s</w:t>
      </w:r>
      <w:r w:rsidRPr="00B13D3C">
        <w:rPr>
          <w:color w:val="000000"/>
        </w:rPr>
        <w:t xml:space="preserve">upporting </w:t>
      </w:r>
      <w:r>
        <w:rPr>
          <w:color w:val="000000"/>
        </w:rPr>
        <w:t>s</w:t>
      </w:r>
      <w:r w:rsidRPr="00B13D3C">
        <w:rPr>
          <w:color w:val="000000"/>
        </w:rPr>
        <w:t>tatement, we consulted our Privacy Office to ensure appropriate identification and handling of information collected.</w:t>
      </w:r>
    </w:p>
    <w:p w:rsidR="00142562" w:rsidRPr="00B13D3C" w:rsidP="00142562" w14:paraId="5EF4719F" w14:textId="77777777">
      <w:pPr>
        <w:autoSpaceDE w:val="0"/>
        <w:autoSpaceDN w:val="0"/>
        <w:adjustRightInd w:val="0"/>
        <w:rPr>
          <w:color w:val="000000"/>
        </w:rPr>
      </w:pPr>
    </w:p>
    <w:p w:rsidR="00142562" w:rsidRPr="00142562" w:rsidP="00142562" w14:paraId="62B7CAA2" w14:textId="77777777">
      <w:pPr>
        <w:autoSpaceDE w:val="0"/>
        <w:autoSpaceDN w:val="0"/>
        <w:adjustRightInd w:val="0"/>
        <w:rPr>
          <w:i/>
          <w:iCs/>
          <w:color w:val="000000"/>
        </w:rPr>
      </w:pPr>
      <w:r w:rsidRPr="00142562">
        <w:rPr>
          <w:i/>
          <w:iCs/>
          <w:color w:val="000000"/>
        </w:rPr>
        <w:t>Privacy Act</w:t>
      </w:r>
    </w:p>
    <w:p w:rsidR="00142562" w:rsidP="00142562" w14:paraId="3FE59BF1" w14:textId="77777777">
      <w:pPr>
        <w:autoSpaceDE w:val="0"/>
        <w:autoSpaceDN w:val="0"/>
        <w:adjustRightInd w:val="0"/>
        <w:rPr>
          <w:color w:val="000000"/>
        </w:rPr>
      </w:pPr>
    </w:p>
    <w:p w:rsidR="00596F62" w:rsidRPr="00596F62" w:rsidP="00596F62" w14:paraId="669C4663" w14:textId="462E5FAB">
      <w:pPr>
        <w:autoSpaceDE w:val="0"/>
        <w:autoSpaceDN w:val="0"/>
        <w:adjustRightInd w:val="0"/>
        <w:rPr>
          <w:color w:val="000000"/>
        </w:rPr>
      </w:pPr>
      <w:r w:rsidRPr="00596F62">
        <w:rPr>
          <w:color w:val="000000"/>
        </w:rPr>
        <w:t xml:space="preserve">This ICR collects personally identifiable information (PII).  PII is collected in the context of the subject individuals’ professional capacity and the FDA-related work they perform for their employer (e.g., point of contact at a regulated entity).  Regulations in </w:t>
      </w:r>
      <w:r w:rsidR="00655EB5">
        <w:rPr>
          <w:color w:val="000000"/>
        </w:rPr>
        <w:t>part</w:t>
      </w:r>
      <w:r w:rsidRPr="00596F62" w:rsidR="00655EB5">
        <w:rPr>
          <w:color w:val="000000"/>
        </w:rPr>
        <w:t xml:space="preserve"> </w:t>
      </w:r>
      <w:r w:rsidRPr="00596F62">
        <w:rPr>
          <w:color w:val="000000"/>
        </w:rPr>
        <w:t>120 mandate the application of HACCP principles to the processing of fruit and vegetable juices.  The respondent</w:t>
      </w:r>
      <w:r w:rsidR="00E623ED">
        <w:rPr>
          <w:color w:val="000000"/>
        </w:rPr>
        <w:t>s</w:t>
      </w:r>
      <w:r w:rsidRPr="00596F62">
        <w:rPr>
          <w:color w:val="000000"/>
        </w:rPr>
        <w:t xml:space="preserve"> collect information to provide records of evaluation. </w:t>
      </w:r>
      <w:r w:rsidR="007A7201">
        <w:rPr>
          <w:color w:val="000000"/>
        </w:rPr>
        <w:t xml:space="preserve"> </w:t>
      </w:r>
      <w:r w:rsidRPr="00596F62">
        <w:rPr>
          <w:color w:val="000000"/>
        </w:rPr>
        <w:t xml:space="preserve">The PII collected is the signature or initials of the person performing the operation or creating the record as required under 21 CFR 120 (see 21 CFR 120.12(b)(3)).  The signature of the most responsible individual onsite at the processing facility or by a higher-level official of the processor for written hazard analysis and </w:t>
      </w:r>
      <w:r w:rsidR="00C65B04">
        <w:rPr>
          <w:color w:val="000000"/>
        </w:rPr>
        <w:t xml:space="preserve">the </w:t>
      </w:r>
      <w:r w:rsidRPr="00596F62">
        <w:rPr>
          <w:color w:val="000000"/>
        </w:rPr>
        <w:t xml:space="preserve">written HACCP plan is also collected by the respondent (see 21 CFR 120.12(c)). </w:t>
      </w:r>
      <w:r w:rsidR="007A7201">
        <w:rPr>
          <w:color w:val="000000"/>
        </w:rPr>
        <w:t xml:space="preserve"> </w:t>
      </w:r>
      <w:r w:rsidRPr="00596F62">
        <w:rPr>
          <w:color w:val="000000"/>
        </w:rPr>
        <w:t xml:space="preserve">Company records describing manufacturing procedures, which may be consulted during FDA plant inspections, and HACCP records that the Agency may copy or take possession of often contain trade secret and commercial confidential information. </w:t>
      </w:r>
      <w:r w:rsidR="007A7201">
        <w:rPr>
          <w:color w:val="000000"/>
        </w:rPr>
        <w:t xml:space="preserve"> </w:t>
      </w:r>
      <w:r w:rsidRPr="00596F62">
        <w:rPr>
          <w:color w:val="000000"/>
        </w:rPr>
        <w:t>All information collected by respondent</w:t>
      </w:r>
      <w:r w:rsidR="00E623ED">
        <w:rPr>
          <w:color w:val="000000"/>
        </w:rPr>
        <w:t>s</w:t>
      </w:r>
      <w:r w:rsidRPr="00596F62">
        <w:rPr>
          <w:color w:val="000000"/>
        </w:rPr>
        <w:t xml:space="preserve"> is stored at the facility and viewed during inspection, and if there is an issue, the information will be sent to the FDA for further review.</w:t>
      </w:r>
    </w:p>
    <w:p w:rsidR="00596F62" w:rsidRPr="00596F62" w:rsidP="00596F62" w14:paraId="14453C01" w14:textId="77777777">
      <w:pPr>
        <w:autoSpaceDE w:val="0"/>
        <w:autoSpaceDN w:val="0"/>
        <w:adjustRightInd w:val="0"/>
        <w:rPr>
          <w:color w:val="000000"/>
        </w:rPr>
      </w:pPr>
    </w:p>
    <w:p w:rsidR="00AF1320" w:rsidP="00142562" w14:paraId="3F1BA564" w14:textId="77777777">
      <w:pPr>
        <w:autoSpaceDE w:val="0"/>
        <w:autoSpaceDN w:val="0"/>
        <w:adjustRightInd w:val="0"/>
        <w:rPr>
          <w:color w:val="000000"/>
        </w:rPr>
      </w:pPr>
      <w:r w:rsidRPr="00596F62">
        <w:rPr>
          <w:color w:val="000000"/>
        </w:rPr>
        <w:t xml:space="preserve">FDA determined that while the contractor or FDA does not use name or any other personal identifier to retrieve records from the information collected, the information collected will be maintained in a Privacy Act system of records as described in HHS/FDS System of Records Notice (SORN) 09-10-0002, Regulated Industry Employee Enforcement Records. </w:t>
      </w:r>
      <w:r w:rsidR="007A7201">
        <w:rPr>
          <w:color w:val="000000"/>
        </w:rPr>
        <w:t xml:space="preserve"> </w:t>
      </w:r>
      <w:r w:rsidRPr="00596F62">
        <w:rPr>
          <w:color w:val="000000"/>
        </w:rPr>
        <w:t>Through appropriate form and webpage design, FDA limited submission fields and minimized the PII collected to protect the privacy of the individuals.</w:t>
      </w:r>
    </w:p>
    <w:p w:rsidR="00596F62" w:rsidP="00142562" w14:paraId="22A4BB8E" w14:textId="77777777">
      <w:pPr>
        <w:autoSpaceDE w:val="0"/>
        <w:autoSpaceDN w:val="0"/>
        <w:adjustRightInd w:val="0"/>
        <w:rPr>
          <w:color w:val="000000"/>
        </w:rPr>
      </w:pPr>
    </w:p>
    <w:p w:rsidR="00142562" w:rsidRPr="00142562" w:rsidP="00142562" w14:paraId="24BC0257" w14:textId="77777777">
      <w:pPr>
        <w:autoSpaceDE w:val="0"/>
        <w:autoSpaceDN w:val="0"/>
        <w:adjustRightInd w:val="0"/>
        <w:rPr>
          <w:i/>
          <w:iCs/>
          <w:color w:val="000000"/>
        </w:rPr>
      </w:pPr>
      <w:r w:rsidRPr="00142562">
        <w:rPr>
          <w:i/>
          <w:iCs/>
          <w:color w:val="000000"/>
        </w:rPr>
        <w:t>Freedom of Information Act</w:t>
      </w:r>
    </w:p>
    <w:p w:rsidR="00142562" w:rsidP="00142562" w14:paraId="5BB28F95" w14:textId="77777777">
      <w:pPr>
        <w:autoSpaceDE w:val="0"/>
        <w:autoSpaceDN w:val="0"/>
        <w:adjustRightInd w:val="0"/>
        <w:rPr>
          <w:color w:val="000000"/>
        </w:rPr>
      </w:pPr>
    </w:p>
    <w:p w:rsidR="00357C8A" w:rsidRPr="001E6D9F" w:rsidP="00653C39" w14:paraId="6C3B2802" w14:textId="77777777">
      <w:pPr>
        <w:autoSpaceDE w:val="0"/>
        <w:autoSpaceDN w:val="0"/>
        <w:adjustRightInd w:val="0"/>
        <w:rPr>
          <w:rFonts w:eastAsia="Calibri"/>
          <w:color w:val="000000"/>
        </w:rPr>
      </w:pPr>
      <w:r w:rsidRPr="00AF1320">
        <w:rPr>
          <w:color w:val="000000"/>
        </w:rPr>
        <w:t>Under the Freedom of Information Act (FOIA) (5 U.S.C. 552), the public has broad access to government documents.</w:t>
      </w:r>
      <w:r w:rsidR="007A7201">
        <w:rPr>
          <w:color w:val="000000"/>
        </w:rPr>
        <w:t xml:space="preserve"> </w:t>
      </w:r>
      <w:r w:rsidRPr="00AF1320">
        <w:rPr>
          <w:color w:val="000000"/>
        </w:rPr>
        <w:t xml:space="preserve"> However, FOIA provides certain exemptions from mandatory public disclosure of government records (5 U.S.C. 552(b</w:t>
      </w:r>
      <w:r w:rsidRPr="00AF1320">
        <w:rPr>
          <w:color w:val="000000"/>
        </w:rPr>
        <w:t>)(</w:t>
      </w:r>
      <w:r w:rsidRPr="00AF1320">
        <w:rPr>
          <w:color w:val="000000"/>
        </w:rPr>
        <w:t>1-9)).  FDA will make the fullest possible disclosure of records to the public, consistent with the rights of individuals to privacy, the property rights of persons in trade and confidential commercial or financial information.</w:t>
      </w:r>
    </w:p>
    <w:p w:rsidR="001075D3" w:rsidRPr="001075D3" w:rsidP="001075D3" w14:paraId="347ACF9C" w14:textId="77777777">
      <w:pPr>
        <w:ind w:left="720"/>
      </w:pPr>
    </w:p>
    <w:p w:rsidR="00357C8A" w:rsidRPr="00357C8A" w:rsidP="006705EA" w14:paraId="667B6950"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1E6D9F" w:rsidP="0022425B" w14:paraId="27841381" w14:textId="77777777">
      <w:pPr>
        <w:spacing w:after="200"/>
        <w:rPr>
          <w:rFonts w:eastAsia="Calibri"/>
          <w:color w:val="000000"/>
        </w:rPr>
      </w:pPr>
      <w:r>
        <w:t>The information collection does not involve sensitive questions.</w:t>
      </w:r>
    </w:p>
    <w:p w:rsidR="00357C8A" w:rsidRPr="00357C8A" w:rsidP="006705EA" w14:paraId="10ED15DB"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726C2BCD" w14:textId="77777777">
      <w:pPr>
        <w:spacing w:after="200"/>
        <w:ind w:left="360"/>
        <w:rPr>
          <w:rFonts w:eastAsia="Calibri"/>
        </w:rPr>
      </w:pPr>
      <w:r w:rsidRPr="005C71CA">
        <w:rPr>
          <w:rFonts w:eastAsia="Calibri"/>
        </w:rPr>
        <w:t>12a.  Annualized Hour Burden Estimate</w:t>
      </w:r>
    </w:p>
    <w:p w:rsidR="00142562" w:rsidRPr="00142562" w:rsidP="00142562" w14:paraId="3AD94EFC" w14:textId="77777777">
      <w:pPr>
        <w:spacing w:after="200"/>
        <w:ind w:left="360"/>
      </w:pPr>
      <w:r w:rsidRPr="00142562">
        <w:t>We estimate the burden of this collection of information as follows:</w:t>
      </w:r>
    </w:p>
    <w:p w:rsidR="00142562" w:rsidRPr="00142562" w:rsidP="00142562" w14:paraId="3DB7E899" w14:textId="7C18F5C3">
      <w:pPr>
        <w:jc w:val="center"/>
        <w:rPr>
          <w:sz w:val="20"/>
          <w:szCs w:val="20"/>
        </w:rPr>
      </w:pPr>
      <w:bookmarkStart w:id="0" w:name="_Hlk125385811"/>
      <w:r w:rsidRPr="00142562">
        <w:rPr>
          <w:sz w:val="20"/>
          <w:szCs w:val="20"/>
        </w:rPr>
        <w:t xml:space="preserve">Table </w:t>
      </w:r>
      <w:r w:rsidRPr="00142562" w:rsidR="002F4AFB">
        <w:rPr>
          <w:sz w:val="20"/>
          <w:szCs w:val="20"/>
        </w:rPr>
        <w:t>1.--</w:t>
      </w:r>
      <w:r w:rsidRPr="00142562">
        <w:rPr>
          <w:sz w:val="20"/>
          <w:szCs w:val="20"/>
        </w:rPr>
        <w:t>Estimated Annual Recordkeeping Burden</w:t>
      </w:r>
      <w:bookmarkEnd w:id="0"/>
      <w:r w:rsidRPr="00142562">
        <w:rPr>
          <w:sz w:val="20"/>
          <w:szCs w:val="20"/>
          <w:vertAlign w:val="superscript"/>
        </w:rPr>
        <w:t>1</w:t>
      </w:r>
    </w:p>
    <w:tbl>
      <w:tblPr>
        <w:tblW w:w="9478" w:type="dxa"/>
        <w:tblInd w:w="-8" w:type="dxa"/>
        <w:tblLayout w:type="fixed"/>
        <w:tblCellMar>
          <w:left w:w="110" w:type="dxa"/>
          <w:right w:w="110" w:type="dxa"/>
        </w:tblCellMar>
        <w:tblLook w:val="04A0"/>
      </w:tblPr>
      <w:tblGrid>
        <w:gridCol w:w="2250"/>
        <w:gridCol w:w="1440"/>
        <w:gridCol w:w="1710"/>
        <w:gridCol w:w="1350"/>
        <w:gridCol w:w="1800"/>
        <w:gridCol w:w="928"/>
      </w:tblGrid>
      <w:tr w14:paraId="01D16CAE" w14:textId="77777777" w:rsidTr="00122CA8">
        <w:tblPrEx>
          <w:tblW w:w="9478" w:type="dxa"/>
          <w:tblInd w:w="-8" w:type="dxa"/>
          <w:tblLayout w:type="fixed"/>
          <w:tblCellMar>
            <w:left w:w="110" w:type="dxa"/>
            <w:right w:w="110" w:type="dxa"/>
          </w:tblCellMar>
          <w:tblLook w:val="04A0"/>
        </w:tblPrEx>
        <w:tc>
          <w:tcPr>
            <w:tcW w:w="2250" w:type="dxa"/>
            <w:tcBorders>
              <w:top w:val="single" w:sz="6" w:space="0" w:color="000000"/>
              <w:left w:val="single" w:sz="6" w:space="0" w:color="000000"/>
              <w:bottom w:val="single" w:sz="6" w:space="0" w:color="FFFFFF"/>
              <w:right w:val="single" w:sz="6" w:space="0" w:color="FFFFFF"/>
            </w:tcBorders>
            <w:hideMark/>
          </w:tcPr>
          <w:p w:rsidR="00142562" w:rsidRPr="00142562" w:rsidP="00142562" w14:paraId="53630142" w14:textId="09F884C9">
            <w:pPr>
              <w:widowControl w:val="0"/>
              <w:spacing w:after="55"/>
              <w:ind w:left="-20"/>
              <w:jc w:val="center"/>
              <w:rPr>
                <w:sz w:val="20"/>
                <w:szCs w:val="20"/>
              </w:rPr>
            </w:pPr>
            <w:r w:rsidRPr="00142562">
              <w:rPr>
                <w:sz w:val="20"/>
                <w:szCs w:val="20"/>
              </w:rPr>
              <w:t xml:space="preserve">21 CFR Section; </w:t>
            </w:r>
            <w:r w:rsidR="006F10E0">
              <w:rPr>
                <w:sz w:val="20"/>
                <w:szCs w:val="20"/>
              </w:rPr>
              <w:t>A</w:t>
            </w:r>
            <w:r w:rsidRPr="00142562">
              <w:rPr>
                <w:sz w:val="20"/>
                <w:szCs w:val="20"/>
              </w:rPr>
              <w:t>ctivity</w:t>
            </w:r>
          </w:p>
        </w:tc>
        <w:tc>
          <w:tcPr>
            <w:tcW w:w="1440" w:type="dxa"/>
            <w:tcBorders>
              <w:top w:val="single" w:sz="6" w:space="0" w:color="000000"/>
              <w:left w:val="single" w:sz="6" w:space="0" w:color="000000"/>
              <w:bottom w:val="single" w:sz="6" w:space="0" w:color="FFFFFF"/>
              <w:right w:val="single" w:sz="6" w:space="0" w:color="FFFFFF"/>
            </w:tcBorders>
            <w:hideMark/>
          </w:tcPr>
          <w:p w:rsidR="00142562" w:rsidRPr="00142562" w:rsidP="00142562" w14:paraId="18342C5A" w14:textId="1D4E54BE">
            <w:pPr>
              <w:widowControl w:val="0"/>
              <w:spacing w:after="55"/>
              <w:ind w:left="-20"/>
              <w:jc w:val="center"/>
              <w:rPr>
                <w:sz w:val="20"/>
                <w:szCs w:val="20"/>
              </w:rPr>
            </w:pPr>
            <w:r w:rsidRPr="00142562">
              <w:rPr>
                <w:sz w:val="20"/>
                <w:szCs w:val="20"/>
              </w:rPr>
              <w:t>N</w:t>
            </w:r>
            <w:r w:rsidR="00CF4549">
              <w:rPr>
                <w:sz w:val="20"/>
                <w:szCs w:val="20"/>
              </w:rPr>
              <w:t>o.</w:t>
            </w:r>
            <w:r w:rsidRPr="00142562">
              <w:rPr>
                <w:sz w:val="20"/>
                <w:szCs w:val="20"/>
              </w:rPr>
              <w:t xml:space="preserve"> of </w:t>
            </w:r>
            <w:r w:rsidR="00CF4549">
              <w:rPr>
                <w:sz w:val="20"/>
                <w:szCs w:val="20"/>
              </w:rPr>
              <w:t>R</w:t>
            </w:r>
            <w:r w:rsidRPr="00142562">
              <w:rPr>
                <w:sz w:val="20"/>
                <w:szCs w:val="20"/>
              </w:rPr>
              <w:t>ecordkeepers</w:t>
            </w:r>
          </w:p>
        </w:tc>
        <w:tc>
          <w:tcPr>
            <w:tcW w:w="1710" w:type="dxa"/>
            <w:tcBorders>
              <w:top w:val="single" w:sz="6" w:space="0" w:color="000000"/>
              <w:left w:val="single" w:sz="6" w:space="0" w:color="000000"/>
              <w:bottom w:val="single" w:sz="6" w:space="0" w:color="FFFFFF"/>
              <w:right w:val="single" w:sz="6" w:space="0" w:color="FFFFFF"/>
            </w:tcBorders>
            <w:hideMark/>
          </w:tcPr>
          <w:p w:rsidR="00142562" w:rsidRPr="00142562" w:rsidP="00142562" w14:paraId="24963756" w14:textId="5D89547B">
            <w:pPr>
              <w:widowControl w:val="0"/>
              <w:spacing w:after="55"/>
              <w:jc w:val="center"/>
              <w:rPr>
                <w:sz w:val="20"/>
                <w:szCs w:val="20"/>
              </w:rPr>
            </w:pPr>
            <w:r w:rsidRPr="00142562">
              <w:rPr>
                <w:sz w:val="20"/>
                <w:szCs w:val="20"/>
              </w:rPr>
              <w:t>N</w:t>
            </w:r>
            <w:r w:rsidR="00CF4549">
              <w:rPr>
                <w:sz w:val="20"/>
                <w:szCs w:val="20"/>
              </w:rPr>
              <w:t>o.</w:t>
            </w:r>
            <w:r w:rsidRPr="00142562">
              <w:rPr>
                <w:sz w:val="20"/>
                <w:szCs w:val="20"/>
              </w:rPr>
              <w:t xml:space="preserve"> of </w:t>
            </w:r>
            <w:r w:rsidR="00CF4549">
              <w:rPr>
                <w:sz w:val="20"/>
                <w:szCs w:val="20"/>
              </w:rPr>
              <w:t>R</w:t>
            </w:r>
            <w:r w:rsidRPr="00142562">
              <w:rPr>
                <w:sz w:val="20"/>
                <w:szCs w:val="20"/>
              </w:rPr>
              <w:t xml:space="preserve">ecords per </w:t>
            </w:r>
            <w:r w:rsidR="00CF4549">
              <w:rPr>
                <w:sz w:val="20"/>
                <w:szCs w:val="20"/>
              </w:rPr>
              <w:t>R</w:t>
            </w:r>
            <w:r w:rsidRPr="00142562">
              <w:rPr>
                <w:sz w:val="20"/>
                <w:szCs w:val="20"/>
              </w:rPr>
              <w:t>ecordkeeper</w:t>
            </w:r>
          </w:p>
        </w:tc>
        <w:tc>
          <w:tcPr>
            <w:tcW w:w="1350" w:type="dxa"/>
            <w:tcBorders>
              <w:top w:val="single" w:sz="6" w:space="0" w:color="000000"/>
              <w:left w:val="single" w:sz="6" w:space="0" w:color="000000"/>
              <w:bottom w:val="single" w:sz="6" w:space="0" w:color="FFFFFF"/>
              <w:right w:val="single" w:sz="6" w:space="0" w:color="FFFFFF"/>
            </w:tcBorders>
            <w:hideMark/>
          </w:tcPr>
          <w:p w:rsidR="00142562" w:rsidRPr="00142562" w:rsidP="00142562" w14:paraId="31D5B263" w14:textId="1C078B34">
            <w:pPr>
              <w:widowControl w:val="0"/>
              <w:spacing w:after="55"/>
              <w:jc w:val="center"/>
              <w:rPr>
                <w:sz w:val="20"/>
                <w:szCs w:val="20"/>
              </w:rPr>
            </w:pPr>
            <w:r w:rsidRPr="00142562">
              <w:rPr>
                <w:sz w:val="20"/>
                <w:szCs w:val="20"/>
              </w:rPr>
              <w:t xml:space="preserve">Total </w:t>
            </w:r>
            <w:r w:rsidR="00CF4549">
              <w:rPr>
                <w:sz w:val="20"/>
                <w:szCs w:val="20"/>
              </w:rPr>
              <w:t>A</w:t>
            </w:r>
            <w:r w:rsidRPr="00142562">
              <w:rPr>
                <w:sz w:val="20"/>
                <w:szCs w:val="20"/>
              </w:rPr>
              <w:t xml:space="preserve">nnual </w:t>
            </w:r>
            <w:r w:rsidR="00CF4549">
              <w:rPr>
                <w:sz w:val="20"/>
                <w:szCs w:val="20"/>
              </w:rPr>
              <w:t>R</w:t>
            </w:r>
            <w:r w:rsidRPr="00142562">
              <w:rPr>
                <w:sz w:val="20"/>
                <w:szCs w:val="20"/>
              </w:rPr>
              <w:t>ecords</w:t>
            </w:r>
          </w:p>
        </w:tc>
        <w:tc>
          <w:tcPr>
            <w:tcW w:w="1800" w:type="dxa"/>
            <w:tcBorders>
              <w:top w:val="single" w:sz="6" w:space="0" w:color="000000"/>
              <w:left w:val="single" w:sz="6" w:space="0" w:color="000000"/>
              <w:bottom w:val="single" w:sz="6" w:space="0" w:color="FFFFFF"/>
              <w:right w:val="single" w:sz="6" w:space="0" w:color="FFFFFF"/>
            </w:tcBorders>
            <w:hideMark/>
          </w:tcPr>
          <w:p w:rsidR="00142562" w:rsidRPr="00142562" w:rsidP="00142562" w14:paraId="6E295921" w14:textId="492CDE62">
            <w:pPr>
              <w:widowControl w:val="0"/>
              <w:spacing w:after="55"/>
              <w:jc w:val="center"/>
              <w:rPr>
                <w:sz w:val="20"/>
                <w:szCs w:val="20"/>
              </w:rPr>
            </w:pPr>
            <w:r w:rsidRPr="00142562">
              <w:rPr>
                <w:sz w:val="20"/>
                <w:szCs w:val="20"/>
              </w:rPr>
              <w:t xml:space="preserve">Average </w:t>
            </w:r>
            <w:r w:rsidR="006F10E0">
              <w:rPr>
                <w:sz w:val="20"/>
                <w:szCs w:val="20"/>
              </w:rPr>
              <w:t>B</w:t>
            </w:r>
            <w:r w:rsidRPr="00142562">
              <w:rPr>
                <w:sz w:val="20"/>
                <w:szCs w:val="20"/>
              </w:rPr>
              <w:t xml:space="preserve">urden per </w:t>
            </w:r>
            <w:r w:rsidR="006F10E0">
              <w:rPr>
                <w:sz w:val="20"/>
                <w:szCs w:val="20"/>
              </w:rPr>
              <w:t>R</w:t>
            </w:r>
            <w:r w:rsidRPr="00142562">
              <w:rPr>
                <w:sz w:val="20"/>
                <w:szCs w:val="20"/>
              </w:rPr>
              <w:t>ecordkeeping</w:t>
            </w:r>
          </w:p>
        </w:tc>
        <w:tc>
          <w:tcPr>
            <w:tcW w:w="928" w:type="dxa"/>
            <w:tcBorders>
              <w:top w:val="single" w:sz="6" w:space="0" w:color="000000"/>
              <w:left w:val="single" w:sz="6" w:space="0" w:color="000000"/>
              <w:bottom w:val="single" w:sz="6" w:space="0" w:color="FFFFFF"/>
              <w:right w:val="single" w:sz="6" w:space="0" w:color="000000"/>
            </w:tcBorders>
            <w:hideMark/>
          </w:tcPr>
          <w:p w:rsidR="00142562" w:rsidRPr="00142562" w:rsidP="00142562" w14:paraId="434D26AC" w14:textId="595C3309">
            <w:pPr>
              <w:widowControl w:val="0"/>
              <w:spacing w:after="55"/>
              <w:jc w:val="center"/>
              <w:rPr>
                <w:sz w:val="20"/>
                <w:szCs w:val="20"/>
              </w:rPr>
            </w:pPr>
            <w:r w:rsidRPr="00142562">
              <w:rPr>
                <w:sz w:val="20"/>
                <w:szCs w:val="20"/>
              </w:rPr>
              <w:t xml:space="preserve">Total </w:t>
            </w:r>
            <w:r w:rsidR="006F10E0">
              <w:rPr>
                <w:sz w:val="20"/>
                <w:szCs w:val="20"/>
              </w:rPr>
              <w:t>H</w:t>
            </w:r>
            <w:r w:rsidRPr="00142562">
              <w:rPr>
                <w:sz w:val="20"/>
                <w:szCs w:val="20"/>
              </w:rPr>
              <w:t>ours</w:t>
            </w:r>
          </w:p>
        </w:tc>
      </w:tr>
      <w:tr w14:paraId="6A5E6B16" w14:textId="77777777" w:rsidTr="00122CA8">
        <w:tblPrEx>
          <w:tblW w:w="9478" w:type="dxa"/>
          <w:tblInd w:w="-8" w:type="dxa"/>
          <w:tblLayout w:type="fixed"/>
          <w:tblCellMar>
            <w:left w:w="110" w:type="dxa"/>
            <w:right w:w="110" w:type="dxa"/>
          </w:tblCellMar>
          <w:tblLook w:val="04A0"/>
        </w:tblPrEx>
        <w:tc>
          <w:tcPr>
            <w:tcW w:w="2250" w:type="dxa"/>
            <w:tcBorders>
              <w:top w:val="single" w:sz="6" w:space="0" w:color="000000"/>
              <w:left w:val="single" w:sz="6" w:space="0" w:color="000000"/>
              <w:bottom w:val="single" w:sz="6" w:space="0" w:color="000000"/>
              <w:right w:val="nil"/>
            </w:tcBorders>
          </w:tcPr>
          <w:p w:rsidR="00142562" w:rsidRPr="00142562" w:rsidP="00142562" w14:paraId="5A42FAAB" w14:textId="411ECD84">
            <w:pPr>
              <w:rPr>
                <w:sz w:val="20"/>
                <w:szCs w:val="20"/>
              </w:rPr>
            </w:pPr>
            <w:r w:rsidRPr="00142562">
              <w:rPr>
                <w:sz w:val="20"/>
                <w:szCs w:val="20"/>
              </w:rPr>
              <w:t>120.6(c) and 120.12(a)(1) and (b); written monitoring and correction records for Sanitation Standard Operating Procedures</w:t>
            </w:r>
          </w:p>
        </w:tc>
        <w:tc>
          <w:tcPr>
            <w:tcW w:w="1440" w:type="dxa"/>
            <w:tcBorders>
              <w:top w:val="single" w:sz="6" w:space="0" w:color="000000"/>
              <w:left w:val="single" w:sz="6" w:space="0" w:color="000000"/>
              <w:bottom w:val="single" w:sz="6" w:space="0" w:color="000000"/>
              <w:right w:val="single" w:sz="6" w:space="0" w:color="000000"/>
            </w:tcBorders>
            <w:hideMark/>
          </w:tcPr>
          <w:p w:rsidR="00142562" w:rsidRPr="00142562" w:rsidP="00142562" w14:paraId="56975973" w14:textId="77777777">
            <w:pPr>
              <w:widowControl w:val="0"/>
              <w:ind w:left="-20"/>
              <w:jc w:val="right"/>
              <w:rPr>
                <w:sz w:val="20"/>
                <w:szCs w:val="20"/>
              </w:rPr>
            </w:pPr>
            <w:r w:rsidRPr="00142562">
              <w:rPr>
                <w:sz w:val="20"/>
                <w:szCs w:val="20"/>
              </w:rPr>
              <w:t>1,875</w:t>
            </w:r>
          </w:p>
        </w:tc>
        <w:tc>
          <w:tcPr>
            <w:tcW w:w="1710" w:type="dxa"/>
            <w:tcBorders>
              <w:top w:val="single" w:sz="6" w:space="0" w:color="000000"/>
              <w:left w:val="nil"/>
              <w:bottom w:val="single" w:sz="6" w:space="0" w:color="000000"/>
              <w:right w:val="nil"/>
            </w:tcBorders>
            <w:hideMark/>
          </w:tcPr>
          <w:p w:rsidR="00142562" w:rsidRPr="00142562" w:rsidP="00142562" w14:paraId="074F6DC4" w14:textId="77777777">
            <w:pPr>
              <w:widowControl w:val="0"/>
              <w:jc w:val="right"/>
              <w:rPr>
                <w:sz w:val="20"/>
                <w:szCs w:val="20"/>
              </w:rPr>
            </w:pPr>
            <w:r w:rsidRPr="00142562">
              <w:rPr>
                <w:sz w:val="20"/>
                <w:szCs w:val="20"/>
              </w:rPr>
              <w:t>365</w:t>
            </w:r>
          </w:p>
        </w:tc>
        <w:tc>
          <w:tcPr>
            <w:tcW w:w="1350" w:type="dxa"/>
            <w:tcBorders>
              <w:top w:val="single" w:sz="6" w:space="0" w:color="000000"/>
              <w:left w:val="single" w:sz="6" w:space="0" w:color="000000"/>
              <w:bottom w:val="single" w:sz="6" w:space="0" w:color="000000"/>
              <w:right w:val="single" w:sz="6" w:space="0" w:color="000000"/>
            </w:tcBorders>
            <w:hideMark/>
          </w:tcPr>
          <w:p w:rsidR="00142562" w:rsidRPr="00142562" w:rsidP="00142562" w14:paraId="0D32BBA4" w14:textId="77777777">
            <w:pPr>
              <w:widowControl w:val="0"/>
              <w:jc w:val="right"/>
              <w:rPr>
                <w:sz w:val="20"/>
                <w:szCs w:val="20"/>
              </w:rPr>
            </w:pPr>
            <w:r w:rsidRPr="00142562">
              <w:rPr>
                <w:sz w:val="20"/>
                <w:szCs w:val="20"/>
              </w:rPr>
              <w:t>684,375</w:t>
            </w:r>
          </w:p>
        </w:tc>
        <w:tc>
          <w:tcPr>
            <w:tcW w:w="1800" w:type="dxa"/>
            <w:tcBorders>
              <w:top w:val="single" w:sz="6" w:space="0" w:color="000000"/>
              <w:left w:val="nil"/>
              <w:bottom w:val="single" w:sz="6" w:space="0" w:color="000000"/>
              <w:right w:val="nil"/>
            </w:tcBorders>
            <w:hideMark/>
          </w:tcPr>
          <w:p w:rsidR="00142562" w:rsidRPr="00142562" w:rsidP="00142562" w14:paraId="6E554855" w14:textId="77777777">
            <w:pPr>
              <w:widowControl w:val="0"/>
              <w:jc w:val="right"/>
              <w:rPr>
                <w:sz w:val="20"/>
                <w:szCs w:val="20"/>
              </w:rPr>
            </w:pPr>
            <w:r w:rsidRPr="00142562">
              <w:rPr>
                <w:sz w:val="20"/>
                <w:szCs w:val="20"/>
              </w:rPr>
              <w:t>0.1</w:t>
            </w:r>
          </w:p>
          <w:p w:rsidR="00142562" w:rsidRPr="00142562" w:rsidP="00142562" w14:paraId="58C4E933" w14:textId="77777777">
            <w:pPr>
              <w:widowControl w:val="0"/>
              <w:jc w:val="right"/>
              <w:rPr>
                <w:sz w:val="20"/>
                <w:szCs w:val="20"/>
              </w:rPr>
            </w:pPr>
            <w:r w:rsidRPr="00142562">
              <w:rPr>
                <w:sz w:val="20"/>
                <w:szCs w:val="20"/>
              </w:rPr>
              <w:t>(6 minutes)</w:t>
            </w:r>
          </w:p>
        </w:tc>
        <w:tc>
          <w:tcPr>
            <w:tcW w:w="928" w:type="dxa"/>
            <w:tcBorders>
              <w:top w:val="single" w:sz="6" w:space="0" w:color="000000"/>
              <w:left w:val="single" w:sz="6" w:space="0" w:color="000000"/>
              <w:bottom w:val="single" w:sz="6" w:space="0" w:color="000000"/>
              <w:right w:val="single" w:sz="6" w:space="0" w:color="000000"/>
            </w:tcBorders>
            <w:hideMark/>
          </w:tcPr>
          <w:p w:rsidR="00142562" w:rsidRPr="00142562" w:rsidP="00142562" w14:paraId="15334157" w14:textId="77777777">
            <w:pPr>
              <w:widowControl w:val="0"/>
              <w:jc w:val="right"/>
              <w:rPr>
                <w:sz w:val="20"/>
                <w:szCs w:val="20"/>
              </w:rPr>
            </w:pPr>
            <w:r w:rsidRPr="00142562">
              <w:rPr>
                <w:sz w:val="20"/>
                <w:szCs w:val="20"/>
              </w:rPr>
              <w:t>68,438</w:t>
            </w:r>
          </w:p>
        </w:tc>
      </w:tr>
      <w:tr w14:paraId="27E061AD" w14:textId="77777777" w:rsidTr="00122CA8">
        <w:tblPrEx>
          <w:tblW w:w="9478" w:type="dxa"/>
          <w:tblInd w:w="-8" w:type="dxa"/>
          <w:tblLayout w:type="fixed"/>
          <w:tblCellMar>
            <w:left w:w="110" w:type="dxa"/>
            <w:right w:w="110" w:type="dxa"/>
          </w:tblCellMar>
          <w:tblLook w:val="04A0"/>
        </w:tblPrEx>
        <w:tc>
          <w:tcPr>
            <w:tcW w:w="2250" w:type="dxa"/>
            <w:tcBorders>
              <w:top w:val="single" w:sz="6" w:space="0" w:color="000000"/>
              <w:left w:val="single" w:sz="6" w:space="0" w:color="000000"/>
              <w:bottom w:val="single" w:sz="6" w:space="0" w:color="000000"/>
              <w:right w:val="nil"/>
            </w:tcBorders>
          </w:tcPr>
          <w:p w:rsidR="00142562" w:rsidRPr="00142562" w:rsidP="00142562" w14:paraId="433F2BF2" w14:textId="55BF1459">
            <w:pPr>
              <w:rPr>
                <w:sz w:val="20"/>
                <w:szCs w:val="20"/>
              </w:rPr>
            </w:pPr>
            <w:r w:rsidRPr="00142562">
              <w:rPr>
                <w:sz w:val="20"/>
                <w:szCs w:val="20"/>
              </w:rPr>
              <w:t>120.7; 120.10(a); and 120.12(a)(2), (b) and (c); require written hazard analysis of food hazards</w:t>
            </w:r>
          </w:p>
        </w:tc>
        <w:tc>
          <w:tcPr>
            <w:tcW w:w="1440" w:type="dxa"/>
            <w:tcBorders>
              <w:top w:val="single" w:sz="6" w:space="0" w:color="000000"/>
              <w:left w:val="single" w:sz="6" w:space="0" w:color="000000"/>
              <w:bottom w:val="single" w:sz="6" w:space="0" w:color="000000"/>
              <w:right w:val="single" w:sz="6" w:space="0" w:color="000000"/>
            </w:tcBorders>
            <w:hideMark/>
          </w:tcPr>
          <w:p w:rsidR="00142562" w:rsidRPr="00142562" w:rsidP="00142562" w14:paraId="6985AD8A" w14:textId="77777777">
            <w:pPr>
              <w:widowControl w:val="0"/>
              <w:ind w:left="-20"/>
              <w:jc w:val="right"/>
              <w:rPr>
                <w:sz w:val="20"/>
                <w:szCs w:val="20"/>
              </w:rPr>
            </w:pPr>
            <w:r w:rsidRPr="00142562">
              <w:rPr>
                <w:sz w:val="20"/>
                <w:szCs w:val="20"/>
              </w:rPr>
              <w:t>2,300</w:t>
            </w:r>
          </w:p>
        </w:tc>
        <w:tc>
          <w:tcPr>
            <w:tcW w:w="1710" w:type="dxa"/>
            <w:tcBorders>
              <w:top w:val="single" w:sz="6" w:space="0" w:color="000000"/>
              <w:left w:val="nil"/>
              <w:bottom w:val="single" w:sz="6" w:space="0" w:color="000000"/>
              <w:right w:val="nil"/>
            </w:tcBorders>
            <w:hideMark/>
          </w:tcPr>
          <w:p w:rsidR="00142562" w:rsidRPr="00142562" w:rsidP="00142562" w14:paraId="485F840A" w14:textId="77777777">
            <w:pPr>
              <w:widowControl w:val="0"/>
              <w:jc w:val="right"/>
              <w:rPr>
                <w:sz w:val="20"/>
                <w:szCs w:val="20"/>
              </w:rPr>
            </w:pPr>
            <w:r w:rsidRPr="00142562">
              <w:rPr>
                <w:sz w:val="20"/>
                <w:szCs w:val="20"/>
              </w:rPr>
              <w:t>1.1</w:t>
            </w:r>
          </w:p>
        </w:tc>
        <w:tc>
          <w:tcPr>
            <w:tcW w:w="1350" w:type="dxa"/>
            <w:tcBorders>
              <w:top w:val="single" w:sz="6" w:space="0" w:color="000000"/>
              <w:left w:val="single" w:sz="6" w:space="0" w:color="000000"/>
              <w:bottom w:val="single" w:sz="6" w:space="0" w:color="000000"/>
              <w:right w:val="single" w:sz="6" w:space="0" w:color="000000"/>
            </w:tcBorders>
            <w:hideMark/>
          </w:tcPr>
          <w:p w:rsidR="00142562" w:rsidRPr="00142562" w:rsidP="00142562" w14:paraId="1359459B" w14:textId="77777777">
            <w:pPr>
              <w:widowControl w:val="0"/>
              <w:jc w:val="right"/>
              <w:rPr>
                <w:sz w:val="20"/>
                <w:szCs w:val="20"/>
              </w:rPr>
            </w:pPr>
            <w:r w:rsidRPr="00142562">
              <w:rPr>
                <w:sz w:val="20"/>
                <w:szCs w:val="20"/>
              </w:rPr>
              <w:t>2,530</w:t>
            </w:r>
          </w:p>
        </w:tc>
        <w:tc>
          <w:tcPr>
            <w:tcW w:w="1800" w:type="dxa"/>
            <w:tcBorders>
              <w:top w:val="single" w:sz="6" w:space="0" w:color="000000"/>
              <w:left w:val="nil"/>
              <w:bottom w:val="single" w:sz="6" w:space="0" w:color="000000"/>
              <w:right w:val="nil"/>
            </w:tcBorders>
            <w:hideMark/>
          </w:tcPr>
          <w:p w:rsidR="00142562" w:rsidRPr="00142562" w:rsidP="00142562" w14:paraId="62D01A35" w14:textId="77777777">
            <w:pPr>
              <w:widowControl w:val="0"/>
              <w:jc w:val="right"/>
              <w:rPr>
                <w:sz w:val="20"/>
                <w:szCs w:val="20"/>
              </w:rPr>
            </w:pPr>
            <w:r w:rsidRPr="00142562">
              <w:rPr>
                <w:sz w:val="20"/>
                <w:szCs w:val="20"/>
              </w:rPr>
              <w:t>20</w:t>
            </w:r>
          </w:p>
        </w:tc>
        <w:tc>
          <w:tcPr>
            <w:tcW w:w="928" w:type="dxa"/>
            <w:tcBorders>
              <w:top w:val="single" w:sz="6" w:space="0" w:color="000000"/>
              <w:left w:val="single" w:sz="6" w:space="0" w:color="000000"/>
              <w:bottom w:val="single" w:sz="6" w:space="0" w:color="000000"/>
              <w:right w:val="single" w:sz="6" w:space="0" w:color="000000"/>
            </w:tcBorders>
          </w:tcPr>
          <w:p w:rsidR="00142562" w:rsidRPr="00142562" w:rsidP="00142562" w14:paraId="648A475B" w14:textId="77777777">
            <w:pPr>
              <w:widowControl w:val="0"/>
              <w:jc w:val="right"/>
              <w:rPr>
                <w:sz w:val="20"/>
                <w:szCs w:val="20"/>
              </w:rPr>
            </w:pPr>
            <w:r w:rsidRPr="00142562">
              <w:rPr>
                <w:sz w:val="20"/>
                <w:szCs w:val="20"/>
              </w:rPr>
              <w:t>50,600</w:t>
            </w:r>
          </w:p>
        </w:tc>
      </w:tr>
      <w:tr w14:paraId="548CD686" w14:textId="77777777" w:rsidTr="00122CA8">
        <w:tblPrEx>
          <w:tblW w:w="9478" w:type="dxa"/>
          <w:tblInd w:w="-8" w:type="dxa"/>
          <w:tblLayout w:type="fixed"/>
          <w:tblCellMar>
            <w:left w:w="110" w:type="dxa"/>
            <w:right w:w="110" w:type="dxa"/>
          </w:tblCellMar>
          <w:tblLook w:val="04A0"/>
        </w:tblPrEx>
        <w:tc>
          <w:tcPr>
            <w:tcW w:w="2250" w:type="dxa"/>
            <w:tcBorders>
              <w:top w:val="single" w:sz="6" w:space="0" w:color="000000"/>
              <w:left w:val="single" w:sz="6" w:space="0" w:color="000000"/>
              <w:bottom w:val="single" w:sz="6" w:space="0" w:color="000000"/>
              <w:right w:val="nil"/>
            </w:tcBorders>
            <w:hideMark/>
          </w:tcPr>
          <w:p w:rsidR="00142562" w:rsidRPr="00142562" w:rsidP="00142562" w14:paraId="660FE7BD" w14:textId="1E7C7A8B">
            <w:pPr>
              <w:rPr>
                <w:sz w:val="20"/>
                <w:szCs w:val="20"/>
              </w:rPr>
            </w:pPr>
            <w:r w:rsidRPr="00142562">
              <w:rPr>
                <w:sz w:val="20"/>
                <w:szCs w:val="20"/>
              </w:rPr>
              <w:t>120.8(b)(7) and 120.12(a)(4)(i) and (b); recordkeeping system that documents monitoring of the critical control points and other measurements as prescribed in the HACCP plan</w:t>
            </w:r>
          </w:p>
        </w:tc>
        <w:tc>
          <w:tcPr>
            <w:tcW w:w="1440" w:type="dxa"/>
            <w:tcBorders>
              <w:top w:val="single" w:sz="6" w:space="0" w:color="000000"/>
              <w:left w:val="single" w:sz="6" w:space="0" w:color="000000"/>
              <w:bottom w:val="single" w:sz="6" w:space="0" w:color="000000"/>
              <w:right w:val="single" w:sz="6" w:space="0" w:color="000000"/>
            </w:tcBorders>
            <w:hideMark/>
          </w:tcPr>
          <w:p w:rsidR="00142562" w:rsidRPr="00142562" w:rsidP="00142562" w14:paraId="0B3A18DA" w14:textId="77777777">
            <w:pPr>
              <w:widowControl w:val="0"/>
              <w:ind w:left="-20"/>
              <w:jc w:val="right"/>
              <w:rPr>
                <w:sz w:val="20"/>
                <w:szCs w:val="20"/>
              </w:rPr>
            </w:pPr>
            <w:r w:rsidRPr="00142562">
              <w:rPr>
                <w:sz w:val="20"/>
                <w:szCs w:val="20"/>
              </w:rPr>
              <w:t>1,450</w:t>
            </w:r>
          </w:p>
        </w:tc>
        <w:tc>
          <w:tcPr>
            <w:tcW w:w="1710" w:type="dxa"/>
            <w:tcBorders>
              <w:top w:val="single" w:sz="6" w:space="0" w:color="000000"/>
              <w:left w:val="nil"/>
              <w:bottom w:val="single" w:sz="6" w:space="0" w:color="000000"/>
              <w:right w:val="nil"/>
            </w:tcBorders>
            <w:hideMark/>
          </w:tcPr>
          <w:p w:rsidR="00142562" w:rsidRPr="00142562" w:rsidP="00142562" w14:paraId="4ED818D8" w14:textId="77777777">
            <w:pPr>
              <w:widowControl w:val="0"/>
              <w:jc w:val="right"/>
              <w:rPr>
                <w:sz w:val="20"/>
                <w:szCs w:val="20"/>
              </w:rPr>
            </w:pPr>
            <w:r w:rsidRPr="00142562">
              <w:rPr>
                <w:sz w:val="20"/>
                <w:szCs w:val="20"/>
              </w:rPr>
              <w:t>14,600</w:t>
            </w:r>
          </w:p>
        </w:tc>
        <w:tc>
          <w:tcPr>
            <w:tcW w:w="1350" w:type="dxa"/>
            <w:tcBorders>
              <w:top w:val="single" w:sz="6" w:space="0" w:color="000000"/>
              <w:left w:val="single" w:sz="6" w:space="0" w:color="000000"/>
              <w:bottom w:val="single" w:sz="6" w:space="0" w:color="000000"/>
              <w:right w:val="single" w:sz="6" w:space="0" w:color="000000"/>
            </w:tcBorders>
            <w:hideMark/>
          </w:tcPr>
          <w:p w:rsidR="00142562" w:rsidRPr="00142562" w:rsidP="00142562" w14:paraId="533DF268" w14:textId="77777777">
            <w:pPr>
              <w:widowControl w:val="0"/>
              <w:jc w:val="right"/>
              <w:rPr>
                <w:sz w:val="20"/>
                <w:szCs w:val="20"/>
              </w:rPr>
            </w:pPr>
            <w:r w:rsidRPr="00142562">
              <w:rPr>
                <w:sz w:val="20"/>
                <w:szCs w:val="20"/>
              </w:rPr>
              <w:t>21,170,000</w:t>
            </w:r>
          </w:p>
        </w:tc>
        <w:tc>
          <w:tcPr>
            <w:tcW w:w="1800" w:type="dxa"/>
            <w:tcBorders>
              <w:top w:val="single" w:sz="6" w:space="0" w:color="000000"/>
              <w:left w:val="nil"/>
              <w:bottom w:val="single" w:sz="6" w:space="0" w:color="000000"/>
              <w:right w:val="nil"/>
            </w:tcBorders>
            <w:hideMark/>
          </w:tcPr>
          <w:p w:rsidR="00142562" w:rsidRPr="00142562" w:rsidP="00142562" w14:paraId="0A8954C1" w14:textId="77777777">
            <w:pPr>
              <w:widowControl w:val="0"/>
              <w:jc w:val="right"/>
              <w:rPr>
                <w:sz w:val="20"/>
                <w:szCs w:val="20"/>
              </w:rPr>
            </w:pPr>
            <w:r w:rsidRPr="00142562">
              <w:rPr>
                <w:sz w:val="20"/>
                <w:szCs w:val="20"/>
              </w:rPr>
              <w:t>0.01</w:t>
            </w:r>
          </w:p>
          <w:p w:rsidR="00142562" w:rsidRPr="00142562" w:rsidP="00142562" w14:paraId="518522D7" w14:textId="77777777">
            <w:pPr>
              <w:widowControl w:val="0"/>
              <w:jc w:val="right"/>
              <w:rPr>
                <w:sz w:val="20"/>
                <w:szCs w:val="20"/>
              </w:rPr>
            </w:pPr>
            <w:r w:rsidRPr="00142562">
              <w:rPr>
                <w:sz w:val="20"/>
                <w:szCs w:val="20"/>
              </w:rPr>
              <w:t>(1 minute)</w:t>
            </w:r>
          </w:p>
        </w:tc>
        <w:tc>
          <w:tcPr>
            <w:tcW w:w="928" w:type="dxa"/>
            <w:tcBorders>
              <w:top w:val="single" w:sz="6" w:space="0" w:color="000000"/>
              <w:left w:val="single" w:sz="6" w:space="0" w:color="000000"/>
              <w:bottom w:val="single" w:sz="6" w:space="0" w:color="000000"/>
              <w:right w:val="single" w:sz="6" w:space="0" w:color="000000"/>
            </w:tcBorders>
            <w:hideMark/>
          </w:tcPr>
          <w:p w:rsidR="00142562" w:rsidRPr="00142562" w:rsidP="00142562" w14:paraId="7B966AD1" w14:textId="77777777">
            <w:pPr>
              <w:widowControl w:val="0"/>
              <w:jc w:val="right"/>
              <w:rPr>
                <w:sz w:val="20"/>
                <w:szCs w:val="20"/>
              </w:rPr>
            </w:pPr>
            <w:r w:rsidRPr="00142562">
              <w:rPr>
                <w:sz w:val="20"/>
                <w:szCs w:val="20"/>
              </w:rPr>
              <w:t>211,700</w:t>
            </w:r>
          </w:p>
        </w:tc>
      </w:tr>
      <w:tr w14:paraId="02BD6BA3" w14:textId="77777777" w:rsidTr="00122CA8">
        <w:tblPrEx>
          <w:tblW w:w="9478" w:type="dxa"/>
          <w:tblInd w:w="-8" w:type="dxa"/>
          <w:tblLayout w:type="fixed"/>
          <w:tblCellMar>
            <w:left w:w="110" w:type="dxa"/>
            <w:right w:w="110" w:type="dxa"/>
          </w:tblCellMar>
          <w:tblLook w:val="04A0"/>
        </w:tblPrEx>
        <w:tc>
          <w:tcPr>
            <w:tcW w:w="2250" w:type="dxa"/>
            <w:tcBorders>
              <w:top w:val="single" w:sz="6" w:space="0" w:color="000000"/>
              <w:left w:val="single" w:sz="6" w:space="0" w:color="000000"/>
              <w:bottom w:val="single" w:sz="6" w:space="0" w:color="000000"/>
              <w:right w:val="nil"/>
            </w:tcBorders>
            <w:hideMark/>
          </w:tcPr>
          <w:p w:rsidR="00142562" w:rsidRPr="00142562" w:rsidP="00142562" w14:paraId="3A0EC399" w14:textId="2875E2AA">
            <w:pPr>
              <w:rPr>
                <w:sz w:val="20"/>
                <w:szCs w:val="20"/>
              </w:rPr>
            </w:pPr>
            <w:r w:rsidRPr="00142562">
              <w:rPr>
                <w:sz w:val="20"/>
                <w:szCs w:val="20"/>
              </w:rPr>
              <w:t xml:space="preserve">120.10(c) and 120.12(a)(4)(ii) and (b); </w:t>
            </w:r>
            <w:r w:rsidR="007A7201">
              <w:rPr>
                <w:sz w:val="20"/>
                <w:szCs w:val="20"/>
              </w:rPr>
              <w:t>document</w:t>
            </w:r>
            <w:r w:rsidRPr="00142562">
              <w:rPr>
                <w:sz w:val="20"/>
                <w:szCs w:val="20"/>
              </w:rPr>
              <w:t xml:space="preserve"> all corrective actions taken in response to a deviation from a critical limit</w:t>
            </w:r>
          </w:p>
        </w:tc>
        <w:tc>
          <w:tcPr>
            <w:tcW w:w="1440" w:type="dxa"/>
            <w:tcBorders>
              <w:top w:val="single" w:sz="6" w:space="0" w:color="000000"/>
              <w:left w:val="single" w:sz="6" w:space="0" w:color="000000"/>
              <w:bottom w:val="single" w:sz="6" w:space="0" w:color="000000"/>
              <w:right w:val="single" w:sz="6" w:space="0" w:color="000000"/>
            </w:tcBorders>
          </w:tcPr>
          <w:p w:rsidR="00142562" w:rsidRPr="00142562" w:rsidP="00142562" w14:paraId="63729427" w14:textId="77777777">
            <w:pPr>
              <w:widowControl w:val="0"/>
              <w:ind w:left="-20"/>
              <w:jc w:val="right"/>
              <w:rPr>
                <w:sz w:val="20"/>
                <w:szCs w:val="20"/>
              </w:rPr>
            </w:pPr>
            <w:r w:rsidRPr="00142562">
              <w:rPr>
                <w:sz w:val="20"/>
                <w:szCs w:val="20"/>
              </w:rPr>
              <w:t>1,840</w:t>
            </w:r>
          </w:p>
        </w:tc>
        <w:tc>
          <w:tcPr>
            <w:tcW w:w="1710" w:type="dxa"/>
            <w:tcBorders>
              <w:top w:val="single" w:sz="6" w:space="0" w:color="000000"/>
              <w:left w:val="nil"/>
              <w:bottom w:val="single" w:sz="6" w:space="0" w:color="000000"/>
              <w:right w:val="nil"/>
            </w:tcBorders>
            <w:hideMark/>
          </w:tcPr>
          <w:p w:rsidR="00142562" w:rsidRPr="00142562" w:rsidP="00142562" w14:paraId="3DAA98A0" w14:textId="77777777">
            <w:pPr>
              <w:widowControl w:val="0"/>
              <w:jc w:val="right"/>
              <w:rPr>
                <w:sz w:val="20"/>
                <w:szCs w:val="20"/>
              </w:rPr>
            </w:pPr>
            <w:r w:rsidRPr="00142562">
              <w:rPr>
                <w:sz w:val="20"/>
                <w:szCs w:val="20"/>
              </w:rPr>
              <w:t>12</w:t>
            </w:r>
          </w:p>
        </w:tc>
        <w:tc>
          <w:tcPr>
            <w:tcW w:w="1350" w:type="dxa"/>
            <w:tcBorders>
              <w:top w:val="single" w:sz="6" w:space="0" w:color="000000"/>
              <w:left w:val="single" w:sz="6" w:space="0" w:color="000000"/>
              <w:bottom w:val="single" w:sz="6" w:space="0" w:color="000000"/>
              <w:right w:val="single" w:sz="6" w:space="0" w:color="000000"/>
            </w:tcBorders>
            <w:hideMark/>
          </w:tcPr>
          <w:p w:rsidR="00142562" w:rsidRPr="00142562" w:rsidP="00142562" w14:paraId="54AE00A6" w14:textId="77777777">
            <w:pPr>
              <w:widowControl w:val="0"/>
              <w:jc w:val="right"/>
              <w:rPr>
                <w:sz w:val="20"/>
                <w:szCs w:val="20"/>
              </w:rPr>
            </w:pPr>
            <w:r w:rsidRPr="00142562">
              <w:rPr>
                <w:sz w:val="20"/>
                <w:szCs w:val="20"/>
              </w:rPr>
              <w:t>22,080</w:t>
            </w:r>
          </w:p>
        </w:tc>
        <w:tc>
          <w:tcPr>
            <w:tcW w:w="1800" w:type="dxa"/>
            <w:tcBorders>
              <w:top w:val="single" w:sz="6" w:space="0" w:color="000000"/>
              <w:left w:val="nil"/>
              <w:bottom w:val="single" w:sz="6" w:space="0" w:color="000000"/>
              <w:right w:val="nil"/>
            </w:tcBorders>
            <w:hideMark/>
          </w:tcPr>
          <w:p w:rsidR="00142562" w:rsidRPr="00142562" w:rsidP="00142562" w14:paraId="325BC7EF" w14:textId="77777777">
            <w:pPr>
              <w:widowControl w:val="0"/>
              <w:jc w:val="right"/>
              <w:rPr>
                <w:sz w:val="20"/>
                <w:szCs w:val="20"/>
              </w:rPr>
            </w:pPr>
            <w:r w:rsidRPr="00142562">
              <w:rPr>
                <w:sz w:val="20"/>
                <w:szCs w:val="20"/>
              </w:rPr>
              <w:t>0.1</w:t>
            </w:r>
          </w:p>
          <w:p w:rsidR="00142562" w:rsidRPr="00142562" w:rsidP="00142562" w14:paraId="0611D752" w14:textId="77777777">
            <w:pPr>
              <w:widowControl w:val="0"/>
              <w:jc w:val="right"/>
              <w:rPr>
                <w:sz w:val="20"/>
                <w:szCs w:val="20"/>
              </w:rPr>
            </w:pPr>
            <w:r w:rsidRPr="00142562">
              <w:rPr>
                <w:sz w:val="20"/>
                <w:szCs w:val="20"/>
              </w:rPr>
              <w:t>(6 minutes)</w:t>
            </w:r>
          </w:p>
        </w:tc>
        <w:tc>
          <w:tcPr>
            <w:tcW w:w="928" w:type="dxa"/>
            <w:tcBorders>
              <w:top w:val="single" w:sz="6" w:space="0" w:color="000000"/>
              <w:left w:val="single" w:sz="6" w:space="0" w:color="000000"/>
              <w:bottom w:val="single" w:sz="6" w:space="0" w:color="000000"/>
              <w:right w:val="single" w:sz="6" w:space="0" w:color="000000"/>
            </w:tcBorders>
            <w:hideMark/>
          </w:tcPr>
          <w:p w:rsidR="00142562" w:rsidRPr="00142562" w:rsidP="00142562" w14:paraId="757E20CE" w14:textId="77777777">
            <w:pPr>
              <w:widowControl w:val="0"/>
              <w:jc w:val="right"/>
              <w:rPr>
                <w:sz w:val="20"/>
                <w:szCs w:val="20"/>
              </w:rPr>
            </w:pPr>
            <w:r w:rsidRPr="00142562">
              <w:rPr>
                <w:sz w:val="20"/>
                <w:szCs w:val="20"/>
              </w:rPr>
              <w:t>2,208</w:t>
            </w:r>
          </w:p>
        </w:tc>
      </w:tr>
      <w:tr w14:paraId="178AB83A" w14:textId="77777777" w:rsidTr="00122CA8">
        <w:tblPrEx>
          <w:tblW w:w="9478" w:type="dxa"/>
          <w:tblInd w:w="-8" w:type="dxa"/>
          <w:tblLayout w:type="fixed"/>
          <w:tblCellMar>
            <w:left w:w="110" w:type="dxa"/>
            <w:right w:w="110" w:type="dxa"/>
          </w:tblCellMar>
          <w:tblLook w:val="04A0"/>
        </w:tblPrEx>
        <w:tc>
          <w:tcPr>
            <w:tcW w:w="2250" w:type="dxa"/>
            <w:tcBorders>
              <w:top w:val="single" w:sz="6" w:space="0" w:color="000000"/>
              <w:left w:val="single" w:sz="6" w:space="0" w:color="000000"/>
              <w:bottom w:val="single" w:sz="6" w:space="0" w:color="000000"/>
              <w:right w:val="nil"/>
            </w:tcBorders>
            <w:hideMark/>
          </w:tcPr>
          <w:p w:rsidR="00142562" w:rsidRPr="00142562" w:rsidP="00142562" w14:paraId="37D6F5CD" w14:textId="4D856820">
            <w:pPr>
              <w:rPr>
                <w:sz w:val="20"/>
                <w:szCs w:val="20"/>
              </w:rPr>
            </w:pPr>
            <w:r w:rsidRPr="00142562">
              <w:rPr>
                <w:sz w:val="20"/>
                <w:szCs w:val="20"/>
              </w:rPr>
              <w:t>120.11(a)(1)(iv) and (a)(2) and 120.12(a)(5) and (b); records showing that process monitoring instruments are properly calibrated and that end-product or in-process testing is performed in accordance with written procedures</w:t>
            </w:r>
          </w:p>
        </w:tc>
        <w:tc>
          <w:tcPr>
            <w:tcW w:w="1440" w:type="dxa"/>
            <w:tcBorders>
              <w:top w:val="single" w:sz="6" w:space="0" w:color="000000"/>
              <w:left w:val="single" w:sz="6" w:space="0" w:color="000000"/>
              <w:bottom w:val="single" w:sz="6" w:space="0" w:color="000000"/>
              <w:right w:val="single" w:sz="6" w:space="0" w:color="000000"/>
            </w:tcBorders>
            <w:hideMark/>
          </w:tcPr>
          <w:p w:rsidR="00142562" w:rsidRPr="00142562" w:rsidP="00142562" w14:paraId="4CA08C0C" w14:textId="77777777">
            <w:pPr>
              <w:widowControl w:val="0"/>
              <w:ind w:left="-20"/>
              <w:jc w:val="right"/>
              <w:rPr>
                <w:sz w:val="20"/>
                <w:szCs w:val="20"/>
              </w:rPr>
            </w:pPr>
            <w:r w:rsidRPr="00142562">
              <w:rPr>
                <w:sz w:val="20"/>
                <w:szCs w:val="20"/>
              </w:rPr>
              <w:t>1,840</w:t>
            </w:r>
          </w:p>
        </w:tc>
        <w:tc>
          <w:tcPr>
            <w:tcW w:w="1710" w:type="dxa"/>
            <w:tcBorders>
              <w:top w:val="single" w:sz="6" w:space="0" w:color="000000"/>
              <w:left w:val="nil"/>
              <w:bottom w:val="single" w:sz="6" w:space="0" w:color="000000"/>
              <w:right w:val="nil"/>
            </w:tcBorders>
            <w:hideMark/>
          </w:tcPr>
          <w:p w:rsidR="00142562" w:rsidRPr="00142562" w:rsidP="00142562" w14:paraId="46297948" w14:textId="77777777">
            <w:pPr>
              <w:widowControl w:val="0"/>
              <w:jc w:val="right"/>
              <w:rPr>
                <w:sz w:val="20"/>
                <w:szCs w:val="20"/>
              </w:rPr>
            </w:pPr>
            <w:r w:rsidRPr="00142562">
              <w:rPr>
                <w:sz w:val="20"/>
                <w:szCs w:val="20"/>
              </w:rPr>
              <w:t>52</w:t>
            </w:r>
          </w:p>
        </w:tc>
        <w:tc>
          <w:tcPr>
            <w:tcW w:w="1350" w:type="dxa"/>
            <w:tcBorders>
              <w:top w:val="single" w:sz="6" w:space="0" w:color="000000"/>
              <w:left w:val="single" w:sz="6" w:space="0" w:color="000000"/>
              <w:bottom w:val="single" w:sz="6" w:space="0" w:color="000000"/>
              <w:right w:val="single" w:sz="6" w:space="0" w:color="000000"/>
            </w:tcBorders>
            <w:hideMark/>
          </w:tcPr>
          <w:p w:rsidR="00142562" w:rsidRPr="00142562" w:rsidP="00142562" w14:paraId="401E9F97" w14:textId="77777777">
            <w:pPr>
              <w:widowControl w:val="0"/>
              <w:jc w:val="right"/>
              <w:rPr>
                <w:sz w:val="20"/>
                <w:szCs w:val="20"/>
              </w:rPr>
            </w:pPr>
            <w:r w:rsidRPr="00142562">
              <w:rPr>
                <w:sz w:val="20"/>
                <w:szCs w:val="20"/>
              </w:rPr>
              <w:t>95,680</w:t>
            </w:r>
          </w:p>
        </w:tc>
        <w:tc>
          <w:tcPr>
            <w:tcW w:w="1800" w:type="dxa"/>
            <w:tcBorders>
              <w:top w:val="single" w:sz="6" w:space="0" w:color="000000"/>
              <w:left w:val="nil"/>
              <w:bottom w:val="single" w:sz="6" w:space="0" w:color="000000"/>
              <w:right w:val="nil"/>
            </w:tcBorders>
            <w:hideMark/>
          </w:tcPr>
          <w:p w:rsidR="00142562" w:rsidRPr="00142562" w:rsidP="00142562" w14:paraId="71DD34ED" w14:textId="77777777">
            <w:pPr>
              <w:widowControl w:val="0"/>
              <w:jc w:val="right"/>
              <w:rPr>
                <w:sz w:val="20"/>
                <w:szCs w:val="20"/>
              </w:rPr>
            </w:pPr>
            <w:r w:rsidRPr="00142562">
              <w:rPr>
                <w:sz w:val="20"/>
                <w:szCs w:val="20"/>
              </w:rPr>
              <w:t>0.1</w:t>
            </w:r>
          </w:p>
          <w:p w:rsidR="00142562" w:rsidRPr="00142562" w:rsidP="00142562" w14:paraId="4E445677" w14:textId="77777777">
            <w:pPr>
              <w:widowControl w:val="0"/>
              <w:jc w:val="right"/>
              <w:rPr>
                <w:sz w:val="20"/>
                <w:szCs w:val="20"/>
              </w:rPr>
            </w:pPr>
            <w:r w:rsidRPr="00142562">
              <w:rPr>
                <w:sz w:val="20"/>
                <w:szCs w:val="20"/>
              </w:rPr>
              <w:t>(6 minutes)</w:t>
            </w:r>
          </w:p>
        </w:tc>
        <w:tc>
          <w:tcPr>
            <w:tcW w:w="928" w:type="dxa"/>
            <w:tcBorders>
              <w:top w:val="single" w:sz="6" w:space="0" w:color="000000"/>
              <w:left w:val="single" w:sz="6" w:space="0" w:color="000000"/>
              <w:bottom w:val="single" w:sz="6" w:space="0" w:color="000000"/>
              <w:right w:val="single" w:sz="6" w:space="0" w:color="000000"/>
            </w:tcBorders>
            <w:hideMark/>
          </w:tcPr>
          <w:p w:rsidR="00142562" w:rsidRPr="00142562" w:rsidP="00142562" w14:paraId="2EB60280" w14:textId="77777777">
            <w:pPr>
              <w:widowControl w:val="0"/>
              <w:jc w:val="right"/>
              <w:rPr>
                <w:sz w:val="20"/>
                <w:szCs w:val="20"/>
              </w:rPr>
            </w:pPr>
            <w:r w:rsidRPr="00142562">
              <w:rPr>
                <w:sz w:val="20"/>
                <w:szCs w:val="20"/>
              </w:rPr>
              <w:t>9,568</w:t>
            </w:r>
          </w:p>
        </w:tc>
      </w:tr>
      <w:tr w14:paraId="1F86C6ED" w14:textId="77777777" w:rsidTr="00122CA8">
        <w:tblPrEx>
          <w:tblW w:w="9478" w:type="dxa"/>
          <w:tblInd w:w="-8" w:type="dxa"/>
          <w:tblLayout w:type="fixed"/>
          <w:tblCellMar>
            <w:left w:w="110" w:type="dxa"/>
            <w:right w:w="110" w:type="dxa"/>
          </w:tblCellMar>
          <w:tblLook w:val="04A0"/>
        </w:tblPrEx>
        <w:tc>
          <w:tcPr>
            <w:tcW w:w="2250" w:type="dxa"/>
            <w:tcBorders>
              <w:top w:val="single" w:sz="6" w:space="0" w:color="000000"/>
              <w:left w:val="single" w:sz="6" w:space="0" w:color="000000"/>
              <w:bottom w:val="single" w:sz="6" w:space="0" w:color="000000"/>
              <w:right w:val="nil"/>
            </w:tcBorders>
            <w:hideMark/>
          </w:tcPr>
          <w:p w:rsidR="00142562" w:rsidRPr="00142562" w:rsidP="00142562" w14:paraId="3FCA46BD" w14:textId="11F881B3">
            <w:pPr>
              <w:keepNext/>
              <w:widowControl w:val="0"/>
              <w:ind w:left="-20"/>
              <w:rPr>
                <w:sz w:val="20"/>
                <w:szCs w:val="20"/>
              </w:rPr>
            </w:pPr>
            <w:r w:rsidRPr="00142562">
              <w:rPr>
                <w:sz w:val="20"/>
                <w:szCs w:val="20"/>
              </w:rPr>
              <w:t>120.11(b) and (c); and 120.12(a)(5) and (b); record validation that the HACCP plan is adequate to control food hazards that are likely to occur</w:t>
            </w:r>
          </w:p>
        </w:tc>
        <w:tc>
          <w:tcPr>
            <w:tcW w:w="1440" w:type="dxa"/>
            <w:tcBorders>
              <w:top w:val="single" w:sz="6" w:space="0" w:color="000000"/>
              <w:left w:val="single" w:sz="6" w:space="0" w:color="000000"/>
              <w:bottom w:val="single" w:sz="6" w:space="0" w:color="000000"/>
              <w:right w:val="single" w:sz="6" w:space="0" w:color="000000"/>
            </w:tcBorders>
            <w:hideMark/>
          </w:tcPr>
          <w:p w:rsidR="00142562" w:rsidRPr="00142562" w:rsidP="00142562" w14:paraId="4E0886F1" w14:textId="77777777">
            <w:pPr>
              <w:keepNext/>
              <w:widowControl w:val="0"/>
              <w:ind w:left="-20"/>
              <w:jc w:val="right"/>
              <w:rPr>
                <w:sz w:val="20"/>
                <w:szCs w:val="20"/>
              </w:rPr>
            </w:pPr>
            <w:r w:rsidRPr="00142562">
              <w:rPr>
                <w:sz w:val="20"/>
                <w:szCs w:val="20"/>
              </w:rPr>
              <w:t>1,840</w:t>
            </w:r>
          </w:p>
        </w:tc>
        <w:tc>
          <w:tcPr>
            <w:tcW w:w="1710" w:type="dxa"/>
            <w:tcBorders>
              <w:top w:val="single" w:sz="6" w:space="0" w:color="000000"/>
              <w:left w:val="nil"/>
              <w:bottom w:val="single" w:sz="6" w:space="0" w:color="000000"/>
              <w:right w:val="nil"/>
            </w:tcBorders>
            <w:hideMark/>
          </w:tcPr>
          <w:p w:rsidR="00142562" w:rsidRPr="00142562" w:rsidP="00142562" w14:paraId="382DB3ED" w14:textId="77777777">
            <w:pPr>
              <w:keepNext/>
              <w:widowControl w:val="0"/>
              <w:jc w:val="right"/>
              <w:rPr>
                <w:sz w:val="20"/>
                <w:szCs w:val="20"/>
              </w:rPr>
            </w:pPr>
            <w:r w:rsidRPr="00142562">
              <w:rPr>
                <w:sz w:val="20"/>
                <w:szCs w:val="20"/>
              </w:rPr>
              <w:t>1</w:t>
            </w:r>
          </w:p>
        </w:tc>
        <w:tc>
          <w:tcPr>
            <w:tcW w:w="1350" w:type="dxa"/>
            <w:tcBorders>
              <w:top w:val="single" w:sz="6" w:space="0" w:color="000000"/>
              <w:left w:val="single" w:sz="6" w:space="0" w:color="000000"/>
              <w:bottom w:val="single" w:sz="6" w:space="0" w:color="000000"/>
              <w:right w:val="single" w:sz="6" w:space="0" w:color="000000"/>
            </w:tcBorders>
            <w:hideMark/>
          </w:tcPr>
          <w:p w:rsidR="00142562" w:rsidRPr="00142562" w:rsidP="00142562" w14:paraId="4C5C65E9" w14:textId="77777777">
            <w:pPr>
              <w:keepNext/>
              <w:widowControl w:val="0"/>
              <w:jc w:val="right"/>
              <w:rPr>
                <w:sz w:val="20"/>
                <w:szCs w:val="20"/>
              </w:rPr>
            </w:pPr>
            <w:r w:rsidRPr="00142562">
              <w:rPr>
                <w:sz w:val="20"/>
                <w:szCs w:val="20"/>
              </w:rPr>
              <w:t>1,840</w:t>
            </w:r>
          </w:p>
        </w:tc>
        <w:tc>
          <w:tcPr>
            <w:tcW w:w="1800" w:type="dxa"/>
            <w:tcBorders>
              <w:top w:val="single" w:sz="6" w:space="0" w:color="000000"/>
              <w:left w:val="nil"/>
              <w:bottom w:val="single" w:sz="6" w:space="0" w:color="000000"/>
              <w:right w:val="nil"/>
            </w:tcBorders>
            <w:hideMark/>
          </w:tcPr>
          <w:p w:rsidR="00142562" w:rsidRPr="00142562" w:rsidP="00142562" w14:paraId="0FBE7B2E" w14:textId="77777777">
            <w:pPr>
              <w:keepNext/>
              <w:widowControl w:val="0"/>
              <w:jc w:val="right"/>
              <w:rPr>
                <w:sz w:val="20"/>
                <w:szCs w:val="20"/>
              </w:rPr>
            </w:pPr>
            <w:r w:rsidRPr="00142562">
              <w:rPr>
                <w:sz w:val="20"/>
                <w:szCs w:val="20"/>
              </w:rPr>
              <w:t>4</w:t>
            </w:r>
          </w:p>
        </w:tc>
        <w:tc>
          <w:tcPr>
            <w:tcW w:w="928" w:type="dxa"/>
            <w:tcBorders>
              <w:top w:val="single" w:sz="6" w:space="0" w:color="000000"/>
              <w:left w:val="single" w:sz="6" w:space="0" w:color="000000"/>
              <w:bottom w:val="single" w:sz="6" w:space="0" w:color="000000"/>
              <w:right w:val="single" w:sz="6" w:space="0" w:color="000000"/>
            </w:tcBorders>
            <w:hideMark/>
          </w:tcPr>
          <w:p w:rsidR="00142562" w:rsidRPr="00142562" w:rsidP="00142562" w14:paraId="19885DE5" w14:textId="77777777">
            <w:pPr>
              <w:keepNext/>
              <w:widowControl w:val="0"/>
              <w:jc w:val="right"/>
              <w:rPr>
                <w:sz w:val="20"/>
                <w:szCs w:val="20"/>
              </w:rPr>
            </w:pPr>
            <w:r w:rsidRPr="00142562">
              <w:rPr>
                <w:sz w:val="20"/>
                <w:szCs w:val="20"/>
              </w:rPr>
              <w:t>7,360</w:t>
            </w:r>
          </w:p>
        </w:tc>
      </w:tr>
      <w:tr w14:paraId="5E74065A" w14:textId="77777777" w:rsidTr="00122CA8">
        <w:tblPrEx>
          <w:tblW w:w="9478" w:type="dxa"/>
          <w:tblInd w:w="-8" w:type="dxa"/>
          <w:tblLayout w:type="fixed"/>
          <w:tblCellMar>
            <w:left w:w="110" w:type="dxa"/>
            <w:right w:w="110" w:type="dxa"/>
          </w:tblCellMar>
          <w:tblLook w:val="04A0"/>
        </w:tblPrEx>
        <w:tc>
          <w:tcPr>
            <w:tcW w:w="2250" w:type="dxa"/>
            <w:tcBorders>
              <w:top w:val="single" w:sz="6" w:space="0" w:color="000000"/>
              <w:left w:val="single" w:sz="6" w:space="0" w:color="000000"/>
              <w:bottom w:val="single" w:sz="6" w:space="0" w:color="000000"/>
              <w:right w:val="nil"/>
            </w:tcBorders>
          </w:tcPr>
          <w:p w:rsidR="00142562" w:rsidRPr="00142562" w:rsidP="00142562" w14:paraId="108A366F" w14:textId="05945CFD">
            <w:pPr>
              <w:widowControl w:val="0"/>
              <w:ind w:left="-20"/>
              <w:rPr>
                <w:sz w:val="20"/>
                <w:szCs w:val="20"/>
              </w:rPr>
            </w:pPr>
            <w:r w:rsidRPr="00142562">
              <w:rPr>
                <w:sz w:val="20"/>
                <w:szCs w:val="20"/>
              </w:rPr>
              <w:t xml:space="preserve">120.11(c) and 120.12(a)(5) and (b); document revalidation of the hazard analysis upon any changes that might affect the original hazard analysis (applies when a firm does not have a </w:t>
            </w:r>
            <w:r w:rsidRPr="00142562">
              <w:rPr>
                <w:sz w:val="20"/>
                <w:szCs w:val="20"/>
              </w:rPr>
              <w:t>HACCP plan because the original hazard analysis did not reveal hazards likely to occur)</w:t>
            </w:r>
          </w:p>
        </w:tc>
        <w:tc>
          <w:tcPr>
            <w:tcW w:w="1440" w:type="dxa"/>
            <w:tcBorders>
              <w:top w:val="single" w:sz="6" w:space="0" w:color="000000"/>
              <w:left w:val="single" w:sz="6" w:space="0" w:color="000000"/>
              <w:bottom w:val="single" w:sz="6" w:space="0" w:color="000000"/>
              <w:right w:val="single" w:sz="6" w:space="0" w:color="000000"/>
            </w:tcBorders>
            <w:hideMark/>
          </w:tcPr>
          <w:p w:rsidR="00142562" w:rsidRPr="00142562" w:rsidP="00142562" w14:paraId="21570CFA" w14:textId="77777777">
            <w:pPr>
              <w:widowControl w:val="0"/>
              <w:ind w:left="-20"/>
              <w:jc w:val="right"/>
              <w:rPr>
                <w:sz w:val="20"/>
                <w:szCs w:val="20"/>
              </w:rPr>
            </w:pPr>
            <w:r w:rsidRPr="00142562">
              <w:rPr>
                <w:sz w:val="20"/>
                <w:szCs w:val="20"/>
              </w:rPr>
              <w:t>1,840</w:t>
            </w:r>
          </w:p>
        </w:tc>
        <w:tc>
          <w:tcPr>
            <w:tcW w:w="1710" w:type="dxa"/>
            <w:tcBorders>
              <w:top w:val="single" w:sz="6" w:space="0" w:color="000000"/>
              <w:left w:val="nil"/>
              <w:bottom w:val="single" w:sz="6" w:space="0" w:color="000000"/>
              <w:right w:val="nil"/>
            </w:tcBorders>
            <w:hideMark/>
          </w:tcPr>
          <w:p w:rsidR="00142562" w:rsidRPr="00142562" w:rsidP="00142562" w14:paraId="2399A5B1" w14:textId="77777777">
            <w:pPr>
              <w:widowControl w:val="0"/>
              <w:jc w:val="right"/>
              <w:rPr>
                <w:sz w:val="20"/>
                <w:szCs w:val="20"/>
              </w:rPr>
            </w:pPr>
            <w:r w:rsidRPr="00142562">
              <w:rPr>
                <w:sz w:val="20"/>
                <w:szCs w:val="20"/>
              </w:rPr>
              <w:t>1</w:t>
            </w:r>
          </w:p>
        </w:tc>
        <w:tc>
          <w:tcPr>
            <w:tcW w:w="1350" w:type="dxa"/>
            <w:tcBorders>
              <w:top w:val="single" w:sz="6" w:space="0" w:color="000000"/>
              <w:left w:val="single" w:sz="6" w:space="0" w:color="000000"/>
              <w:bottom w:val="single" w:sz="6" w:space="0" w:color="000000"/>
              <w:right w:val="single" w:sz="6" w:space="0" w:color="000000"/>
            </w:tcBorders>
            <w:hideMark/>
          </w:tcPr>
          <w:p w:rsidR="00142562" w:rsidRPr="00142562" w:rsidP="00142562" w14:paraId="58764D18" w14:textId="77777777">
            <w:pPr>
              <w:widowControl w:val="0"/>
              <w:jc w:val="right"/>
              <w:rPr>
                <w:sz w:val="20"/>
                <w:szCs w:val="20"/>
              </w:rPr>
            </w:pPr>
            <w:r w:rsidRPr="00142562">
              <w:rPr>
                <w:sz w:val="20"/>
                <w:szCs w:val="20"/>
              </w:rPr>
              <w:t>1,840</w:t>
            </w:r>
          </w:p>
        </w:tc>
        <w:tc>
          <w:tcPr>
            <w:tcW w:w="1800" w:type="dxa"/>
            <w:tcBorders>
              <w:top w:val="single" w:sz="6" w:space="0" w:color="000000"/>
              <w:left w:val="nil"/>
              <w:bottom w:val="single" w:sz="6" w:space="0" w:color="000000"/>
              <w:right w:val="nil"/>
            </w:tcBorders>
            <w:hideMark/>
          </w:tcPr>
          <w:p w:rsidR="00142562" w:rsidRPr="00142562" w:rsidP="00142562" w14:paraId="4D786ABC" w14:textId="77777777">
            <w:pPr>
              <w:widowControl w:val="0"/>
              <w:jc w:val="right"/>
              <w:rPr>
                <w:sz w:val="20"/>
                <w:szCs w:val="20"/>
              </w:rPr>
            </w:pPr>
            <w:r w:rsidRPr="00142562">
              <w:rPr>
                <w:sz w:val="20"/>
                <w:szCs w:val="20"/>
              </w:rPr>
              <w:t>4</w:t>
            </w:r>
          </w:p>
        </w:tc>
        <w:tc>
          <w:tcPr>
            <w:tcW w:w="928" w:type="dxa"/>
            <w:tcBorders>
              <w:top w:val="single" w:sz="6" w:space="0" w:color="000000"/>
              <w:left w:val="single" w:sz="6" w:space="0" w:color="000000"/>
              <w:bottom w:val="single" w:sz="6" w:space="0" w:color="000000"/>
              <w:right w:val="single" w:sz="6" w:space="0" w:color="000000"/>
            </w:tcBorders>
            <w:hideMark/>
          </w:tcPr>
          <w:p w:rsidR="00142562" w:rsidRPr="00142562" w:rsidP="00142562" w14:paraId="1FA3800C" w14:textId="77777777">
            <w:pPr>
              <w:widowControl w:val="0"/>
              <w:jc w:val="right"/>
              <w:rPr>
                <w:sz w:val="20"/>
                <w:szCs w:val="20"/>
              </w:rPr>
            </w:pPr>
            <w:r w:rsidRPr="00142562">
              <w:rPr>
                <w:sz w:val="20"/>
                <w:szCs w:val="20"/>
              </w:rPr>
              <w:t>7,360</w:t>
            </w:r>
          </w:p>
        </w:tc>
      </w:tr>
      <w:tr w14:paraId="18BAF846" w14:textId="77777777" w:rsidTr="00122CA8">
        <w:tblPrEx>
          <w:tblW w:w="9478" w:type="dxa"/>
          <w:tblInd w:w="-8" w:type="dxa"/>
          <w:tblLayout w:type="fixed"/>
          <w:tblCellMar>
            <w:left w:w="110" w:type="dxa"/>
            <w:right w:w="110" w:type="dxa"/>
          </w:tblCellMar>
          <w:tblLook w:val="04A0"/>
        </w:tblPrEx>
        <w:tc>
          <w:tcPr>
            <w:tcW w:w="2250" w:type="dxa"/>
            <w:tcBorders>
              <w:top w:val="single" w:sz="6" w:space="0" w:color="000000"/>
              <w:left w:val="single" w:sz="6" w:space="0" w:color="000000"/>
              <w:bottom w:val="single" w:sz="6" w:space="0" w:color="000000"/>
              <w:right w:val="nil"/>
            </w:tcBorders>
            <w:shd w:val="clear" w:color="auto" w:fill="auto"/>
          </w:tcPr>
          <w:p w:rsidR="00142562" w:rsidRPr="00142562" w:rsidP="00142562" w14:paraId="24249B2A" w14:textId="27C008CA">
            <w:pPr>
              <w:widowControl w:val="0"/>
              <w:ind w:left="-20"/>
              <w:rPr>
                <w:sz w:val="20"/>
                <w:szCs w:val="20"/>
              </w:rPr>
            </w:pPr>
            <w:r w:rsidRPr="00142562">
              <w:rPr>
                <w:sz w:val="20"/>
                <w:szCs w:val="20"/>
              </w:rPr>
              <w:t>120.14(a)(2), (c), and (d) and 120.12(b); importers of fruit or vegetable juices, or their products used as ingredients in beverages, have written procedures to ensure that the food is processed in accordance with our regulations in part 120</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142562" w:rsidRPr="00142562" w:rsidP="00142562" w14:paraId="2B616663" w14:textId="77777777">
            <w:pPr>
              <w:widowControl w:val="0"/>
              <w:ind w:left="-20"/>
              <w:jc w:val="right"/>
              <w:rPr>
                <w:sz w:val="20"/>
                <w:szCs w:val="20"/>
              </w:rPr>
            </w:pPr>
            <w:r w:rsidRPr="00142562">
              <w:rPr>
                <w:sz w:val="20"/>
                <w:szCs w:val="20"/>
              </w:rPr>
              <w:t>308</w:t>
            </w:r>
          </w:p>
        </w:tc>
        <w:tc>
          <w:tcPr>
            <w:tcW w:w="1710" w:type="dxa"/>
            <w:tcBorders>
              <w:top w:val="single" w:sz="6" w:space="0" w:color="000000"/>
              <w:left w:val="nil"/>
              <w:bottom w:val="single" w:sz="6" w:space="0" w:color="000000"/>
              <w:right w:val="nil"/>
            </w:tcBorders>
            <w:shd w:val="clear" w:color="auto" w:fill="auto"/>
            <w:hideMark/>
          </w:tcPr>
          <w:p w:rsidR="00142562" w:rsidRPr="00142562" w:rsidP="00142562" w14:paraId="52A1AC6B" w14:textId="77777777">
            <w:pPr>
              <w:widowControl w:val="0"/>
              <w:jc w:val="right"/>
              <w:rPr>
                <w:sz w:val="20"/>
                <w:szCs w:val="20"/>
              </w:rPr>
            </w:pPr>
            <w:r w:rsidRPr="00142562">
              <w:rPr>
                <w:sz w:val="20"/>
                <w:szCs w:val="20"/>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142562" w:rsidRPr="00142562" w:rsidP="00142562" w14:paraId="1F607784" w14:textId="77777777">
            <w:pPr>
              <w:widowControl w:val="0"/>
              <w:jc w:val="right"/>
              <w:rPr>
                <w:sz w:val="20"/>
                <w:szCs w:val="20"/>
              </w:rPr>
            </w:pPr>
            <w:r w:rsidRPr="00142562">
              <w:rPr>
                <w:sz w:val="20"/>
                <w:szCs w:val="20"/>
              </w:rPr>
              <w:t>308</w:t>
            </w:r>
          </w:p>
        </w:tc>
        <w:tc>
          <w:tcPr>
            <w:tcW w:w="1800" w:type="dxa"/>
            <w:tcBorders>
              <w:top w:val="single" w:sz="6" w:space="0" w:color="000000"/>
              <w:left w:val="nil"/>
              <w:bottom w:val="single" w:sz="6" w:space="0" w:color="000000"/>
              <w:right w:val="nil"/>
            </w:tcBorders>
            <w:shd w:val="clear" w:color="auto" w:fill="auto"/>
            <w:hideMark/>
          </w:tcPr>
          <w:p w:rsidR="00142562" w:rsidRPr="00142562" w:rsidP="00142562" w14:paraId="52D5B2FB" w14:textId="77777777">
            <w:pPr>
              <w:widowControl w:val="0"/>
              <w:jc w:val="right"/>
              <w:rPr>
                <w:sz w:val="20"/>
                <w:szCs w:val="20"/>
              </w:rPr>
            </w:pPr>
            <w:r w:rsidRPr="00142562">
              <w:rPr>
                <w:sz w:val="20"/>
                <w:szCs w:val="20"/>
              </w:rPr>
              <w:t>4</w:t>
            </w:r>
          </w:p>
        </w:tc>
        <w:tc>
          <w:tcPr>
            <w:tcW w:w="928" w:type="dxa"/>
            <w:tcBorders>
              <w:top w:val="single" w:sz="6" w:space="0" w:color="000000"/>
              <w:left w:val="single" w:sz="6" w:space="0" w:color="000000"/>
              <w:bottom w:val="single" w:sz="6" w:space="0" w:color="000000"/>
              <w:right w:val="single" w:sz="6" w:space="0" w:color="000000"/>
            </w:tcBorders>
            <w:shd w:val="clear" w:color="auto" w:fill="auto"/>
            <w:hideMark/>
          </w:tcPr>
          <w:p w:rsidR="00142562" w:rsidRPr="00142562" w:rsidP="00142562" w14:paraId="6B403194" w14:textId="77777777">
            <w:pPr>
              <w:widowControl w:val="0"/>
              <w:jc w:val="right"/>
              <w:rPr>
                <w:sz w:val="20"/>
                <w:szCs w:val="20"/>
              </w:rPr>
            </w:pPr>
            <w:r w:rsidRPr="00142562">
              <w:rPr>
                <w:sz w:val="20"/>
                <w:szCs w:val="20"/>
              </w:rPr>
              <w:t>1,232</w:t>
            </w:r>
          </w:p>
        </w:tc>
      </w:tr>
      <w:tr w14:paraId="3599BAD3" w14:textId="77777777" w:rsidTr="00122CA8">
        <w:tblPrEx>
          <w:tblW w:w="9478" w:type="dxa"/>
          <w:tblInd w:w="-8" w:type="dxa"/>
          <w:tblLayout w:type="fixed"/>
          <w:tblCellMar>
            <w:left w:w="110" w:type="dxa"/>
            <w:right w:w="110" w:type="dxa"/>
          </w:tblCellMar>
          <w:tblLook w:val="04A0"/>
        </w:tblPrEx>
        <w:tc>
          <w:tcPr>
            <w:tcW w:w="2250" w:type="dxa"/>
            <w:tcBorders>
              <w:top w:val="single" w:sz="6" w:space="0" w:color="000000"/>
              <w:left w:val="single" w:sz="6" w:space="0" w:color="000000"/>
              <w:bottom w:val="single" w:sz="6" w:space="0" w:color="000000"/>
              <w:right w:val="nil"/>
            </w:tcBorders>
            <w:shd w:val="clear" w:color="auto" w:fill="auto"/>
          </w:tcPr>
          <w:p w:rsidR="00142562" w:rsidRPr="00142562" w:rsidP="00142562" w14:paraId="57D3527F" w14:textId="0D1DEDAD">
            <w:pPr>
              <w:widowControl w:val="0"/>
              <w:ind w:left="-20"/>
              <w:rPr>
                <w:sz w:val="20"/>
                <w:szCs w:val="20"/>
              </w:rPr>
            </w:pPr>
            <w:r w:rsidRPr="00142562">
              <w:rPr>
                <w:sz w:val="20"/>
                <w:szCs w:val="20"/>
              </w:rPr>
              <w:t>120.8(a), 120.8(b), and 120.12(a)(3), (b), and (c); written HACCP plan</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142562" w:rsidRPr="00142562" w:rsidP="00142562" w14:paraId="6110AD66" w14:textId="77777777">
            <w:pPr>
              <w:widowControl w:val="0"/>
              <w:ind w:left="-20"/>
              <w:jc w:val="right"/>
              <w:rPr>
                <w:sz w:val="20"/>
                <w:szCs w:val="20"/>
              </w:rPr>
            </w:pPr>
            <w:r w:rsidRPr="00142562">
              <w:rPr>
                <w:sz w:val="20"/>
                <w:szCs w:val="20"/>
              </w:rPr>
              <w:t>1,560</w:t>
            </w:r>
          </w:p>
        </w:tc>
        <w:tc>
          <w:tcPr>
            <w:tcW w:w="1710" w:type="dxa"/>
            <w:tcBorders>
              <w:top w:val="single" w:sz="6" w:space="0" w:color="000000"/>
              <w:left w:val="nil"/>
              <w:bottom w:val="single" w:sz="6" w:space="0" w:color="000000"/>
              <w:right w:val="nil"/>
            </w:tcBorders>
            <w:shd w:val="clear" w:color="auto" w:fill="auto"/>
            <w:hideMark/>
          </w:tcPr>
          <w:p w:rsidR="00142562" w:rsidRPr="00142562" w:rsidP="00142562" w14:paraId="57D90509" w14:textId="77777777">
            <w:pPr>
              <w:widowControl w:val="0"/>
              <w:jc w:val="right"/>
              <w:rPr>
                <w:sz w:val="20"/>
                <w:szCs w:val="20"/>
              </w:rPr>
            </w:pPr>
            <w:r w:rsidRPr="00142562">
              <w:rPr>
                <w:sz w:val="20"/>
                <w:szCs w:val="20"/>
              </w:rPr>
              <w:t>1.1</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142562" w:rsidRPr="00142562" w:rsidP="00142562" w14:paraId="3BA30216" w14:textId="77777777">
            <w:pPr>
              <w:widowControl w:val="0"/>
              <w:jc w:val="right"/>
              <w:rPr>
                <w:sz w:val="20"/>
                <w:szCs w:val="20"/>
              </w:rPr>
            </w:pPr>
            <w:r w:rsidRPr="00142562">
              <w:rPr>
                <w:sz w:val="20"/>
                <w:szCs w:val="20"/>
              </w:rPr>
              <w:t>1,716</w:t>
            </w:r>
          </w:p>
        </w:tc>
        <w:tc>
          <w:tcPr>
            <w:tcW w:w="1800" w:type="dxa"/>
            <w:tcBorders>
              <w:top w:val="single" w:sz="6" w:space="0" w:color="000000"/>
              <w:left w:val="nil"/>
              <w:bottom w:val="single" w:sz="6" w:space="0" w:color="000000"/>
              <w:right w:val="nil"/>
            </w:tcBorders>
            <w:shd w:val="clear" w:color="auto" w:fill="auto"/>
            <w:hideMark/>
          </w:tcPr>
          <w:p w:rsidR="00142562" w:rsidRPr="00142562" w:rsidP="00142562" w14:paraId="7793DB55" w14:textId="77777777">
            <w:pPr>
              <w:widowControl w:val="0"/>
              <w:jc w:val="right"/>
              <w:rPr>
                <w:sz w:val="20"/>
                <w:szCs w:val="20"/>
              </w:rPr>
            </w:pPr>
            <w:r w:rsidRPr="00142562">
              <w:rPr>
                <w:sz w:val="20"/>
                <w:szCs w:val="20"/>
              </w:rPr>
              <w:t>60</w:t>
            </w:r>
          </w:p>
        </w:tc>
        <w:tc>
          <w:tcPr>
            <w:tcW w:w="928" w:type="dxa"/>
            <w:tcBorders>
              <w:top w:val="single" w:sz="6" w:space="0" w:color="000000"/>
              <w:left w:val="single" w:sz="6" w:space="0" w:color="000000"/>
              <w:bottom w:val="single" w:sz="6" w:space="0" w:color="000000"/>
              <w:right w:val="single" w:sz="6" w:space="0" w:color="000000"/>
            </w:tcBorders>
            <w:shd w:val="clear" w:color="auto" w:fill="auto"/>
            <w:hideMark/>
          </w:tcPr>
          <w:p w:rsidR="00142562" w:rsidRPr="00142562" w:rsidP="00142562" w14:paraId="7E5247CF" w14:textId="77777777">
            <w:pPr>
              <w:widowControl w:val="0"/>
              <w:jc w:val="right"/>
              <w:rPr>
                <w:sz w:val="20"/>
                <w:szCs w:val="20"/>
              </w:rPr>
            </w:pPr>
            <w:r w:rsidRPr="00142562">
              <w:rPr>
                <w:sz w:val="20"/>
                <w:szCs w:val="20"/>
              </w:rPr>
              <w:t>102,960</w:t>
            </w:r>
          </w:p>
        </w:tc>
      </w:tr>
      <w:tr w14:paraId="761C955B" w14:textId="77777777" w:rsidTr="00122CA8">
        <w:tblPrEx>
          <w:tblW w:w="9478" w:type="dxa"/>
          <w:tblInd w:w="-8" w:type="dxa"/>
          <w:tblLayout w:type="fixed"/>
          <w:tblCellMar>
            <w:left w:w="110" w:type="dxa"/>
            <w:right w:w="110" w:type="dxa"/>
          </w:tblCellMar>
          <w:tblLook w:val="04A0"/>
        </w:tblPrEx>
        <w:tc>
          <w:tcPr>
            <w:tcW w:w="2250" w:type="dxa"/>
            <w:tcBorders>
              <w:top w:val="single" w:sz="6" w:space="0" w:color="000000"/>
              <w:left w:val="single" w:sz="6" w:space="0" w:color="000000"/>
              <w:bottom w:val="single" w:sz="6" w:space="0" w:color="000000"/>
              <w:right w:val="nil"/>
            </w:tcBorders>
            <w:shd w:val="clear" w:color="auto" w:fill="auto"/>
          </w:tcPr>
          <w:p w:rsidR="00142562" w:rsidRPr="00142562" w:rsidP="00142562" w14:paraId="65A0F669" w14:textId="77777777">
            <w:pPr>
              <w:widowControl w:val="0"/>
              <w:ind w:left="-20"/>
              <w:rPr>
                <w:sz w:val="20"/>
                <w:szCs w:val="20"/>
              </w:rPr>
            </w:pPr>
            <w:r w:rsidRPr="00142562">
              <w:rPr>
                <w:sz w:val="20"/>
                <w:szCs w:val="20"/>
              </w:rPr>
              <w:t>Total</w:t>
            </w:r>
          </w:p>
        </w:tc>
        <w:tc>
          <w:tcPr>
            <w:tcW w:w="1440" w:type="dxa"/>
            <w:tcBorders>
              <w:top w:val="single" w:sz="6" w:space="0" w:color="000000"/>
              <w:left w:val="single" w:sz="6" w:space="0" w:color="000000"/>
              <w:bottom w:val="single" w:sz="6" w:space="0" w:color="000000"/>
              <w:right w:val="single" w:sz="6" w:space="0" w:color="000000"/>
            </w:tcBorders>
            <w:shd w:val="clear" w:color="auto" w:fill="auto"/>
          </w:tcPr>
          <w:p w:rsidR="00142562" w:rsidRPr="00142562" w:rsidP="00142562" w14:paraId="6B19F81A" w14:textId="77777777">
            <w:pPr>
              <w:widowControl w:val="0"/>
              <w:ind w:left="-20"/>
              <w:rPr>
                <w:sz w:val="20"/>
                <w:szCs w:val="20"/>
              </w:rPr>
            </w:pPr>
          </w:p>
        </w:tc>
        <w:tc>
          <w:tcPr>
            <w:tcW w:w="1710" w:type="dxa"/>
            <w:tcBorders>
              <w:top w:val="single" w:sz="6" w:space="0" w:color="000000"/>
              <w:left w:val="nil"/>
              <w:bottom w:val="single" w:sz="6" w:space="0" w:color="000000"/>
              <w:right w:val="nil"/>
            </w:tcBorders>
            <w:shd w:val="clear" w:color="auto" w:fill="auto"/>
          </w:tcPr>
          <w:p w:rsidR="00142562" w:rsidRPr="00142562" w:rsidP="00142562" w14:paraId="5E4FF51B" w14:textId="77777777">
            <w:pPr>
              <w:widowControl w:val="0"/>
              <w:rPr>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142562" w:rsidRPr="00142562" w:rsidP="00142562" w14:paraId="3C7AE9CC" w14:textId="77777777">
            <w:pPr>
              <w:widowControl w:val="0"/>
              <w:jc w:val="right"/>
              <w:rPr>
                <w:sz w:val="20"/>
                <w:szCs w:val="20"/>
              </w:rPr>
            </w:pPr>
            <w:r w:rsidRPr="00142562">
              <w:rPr>
                <w:sz w:val="20"/>
                <w:szCs w:val="20"/>
              </w:rPr>
              <w:fldChar w:fldCharType="begin"/>
            </w:r>
            <w:r w:rsidRPr="00142562">
              <w:rPr>
                <w:sz w:val="20"/>
                <w:szCs w:val="20"/>
              </w:rPr>
              <w:instrText xml:space="preserve"> =SUM(ABOVE) </w:instrText>
            </w:r>
            <w:r w:rsidRPr="00142562">
              <w:rPr>
                <w:sz w:val="20"/>
                <w:szCs w:val="20"/>
              </w:rPr>
              <w:fldChar w:fldCharType="separate"/>
            </w:r>
            <w:r w:rsidRPr="00142562">
              <w:rPr>
                <w:noProof/>
                <w:sz w:val="20"/>
                <w:szCs w:val="20"/>
              </w:rPr>
              <w:t>21,980,369</w:t>
            </w:r>
            <w:r w:rsidRPr="00142562">
              <w:rPr>
                <w:sz w:val="20"/>
                <w:szCs w:val="20"/>
              </w:rPr>
              <w:fldChar w:fldCharType="end"/>
            </w:r>
          </w:p>
        </w:tc>
        <w:tc>
          <w:tcPr>
            <w:tcW w:w="1800" w:type="dxa"/>
            <w:tcBorders>
              <w:top w:val="single" w:sz="6" w:space="0" w:color="000000"/>
              <w:left w:val="nil"/>
              <w:bottom w:val="single" w:sz="6" w:space="0" w:color="000000"/>
              <w:right w:val="nil"/>
            </w:tcBorders>
            <w:shd w:val="clear" w:color="auto" w:fill="auto"/>
          </w:tcPr>
          <w:p w:rsidR="00142562" w:rsidRPr="00142562" w:rsidP="00142562" w14:paraId="5267FA8B" w14:textId="77777777">
            <w:pPr>
              <w:widowControl w:val="0"/>
              <w:jc w:val="right"/>
              <w:rPr>
                <w:sz w:val="20"/>
                <w:szCs w:val="20"/>
              </w:rPr>
            </w:pPr>
          </w:p>
        </w:tc>
        <w:tc>
          <w:tcPr>
            <w:tcW w:w="928" w:type="dxa"/>
            <w:tcBorders>
              <w:top w:val="single" w:sz="6" w:space="0" w:color="000000"/>
              <w:left w:val="single" w:sz="6" w:space="0" w:color="000000"/>
              <w:bottom w:val="single" w:sz="6" w:space="0" w:color="000000"/>
              <w:right w:val="single" w:sz="6" w:space="0" w:color="000000"/>
            </w:tcBorders>
            <w:shd w:val="clear" w:color="auto" w:fill="auto"/>
          </w:tcPr>
          <w:p w:rsidR="00142562" w:rsidRPr="00142562" w:rsidP="00142562" w14:paraId="7A03929D" w14:textId="77777777">
            <w:pPr>
              <w:widowControl w:val="0"/>
              <w:jc w:val="right"/>
              <w:rPr>
                <w:sz w:val="20"/>
                <w:szCs w:val="20"/>
              </w:rPr>
            </w:pPr>
            <w:r w:rsidRPr="00142562">
              <w:rPr>
                <w:sz w:val="20"/>
                <w:szCs w:val="20"/>
              </w:rPr>
              <w:fldChar w:fldCharType="begin"/>
            </w:r>
            <w:r w:rsidRPr="00142562">
              <w:rPr>
                <w:sz w:val="20"/>
                <w:szCs w:val="20"/>
              </w:rPr>
              <w:instrText xml:space="preserve"> =SUM(ABOVE) </w:instrText>
            </w:r>
            <w:r w:rsidRPr="00142562">
              <w:rPr>
                <w:sz w:val="20"/>
                <w:szCs w:val="20"/>
              </w:rPr>
              <w:fldChar w:fldCharType="separate"/>
            </w:r>
            <w:r w:rsidRPr="00142562">
              <w:rPr>
                <w:noProof/>
                <w:sz w:val="20"/>
                <w:szCs w:val="20"/>
              </w:rPr>
              <w:t>461,426</w:t>
            </w:r>
            <w:r w:rsidRPr="00142562">
              <w:rPr>
                <w:sz w:val="20"/>
                <w:szCs w:val="20"/>
              </w:rPr>
              <w:fldChar w:fldCharType="end"/>
            </w:r>
          </w:p>
        </w:tc>
      </w:tr>
    </w:tbl>
    <w:p w:rsidR="00142562" w:rsidRPr="00142562" w:rsidP="00142562" w14:paraId="419ABBDF" w14:textId="77777777">
      <w:r w:rsidRPr="00142562">
        <w:rPr>
          <w:sz w:val="20"/>
          <w:szCs w:val="20"/>
          <w:vertAlign w:val="superscript"/>
        </w:rPr>
        <w:t xml:space="preserve">1 </w:t>
      </w:r>
      <w:r w:rsidRPr="00142562">
        <w:rPr>
          <w:sz w:val="20"/>
          <w:szCs w:val="20"/>
        </w:rPr>
        <w:t>There are no capital costs or operating and maintenance costs associated with this collection of information.</w:t>
      </w:r>
    </w:p>
    <w:p w:rsidR="00142562" w:rsidRPr="00142562" w:rsidP="00142562" w14:paraId="68261E92" w14:textId="77777777">
      <w:pPr>
        <w:ind w:left="360"/>
      </w:pPr>
    </w:p>
    <w:p w:rsidR="00142562" w:rsidP="00142562" w14:paraId="196FA899" w14:textId="5033B37A">
      <w:pPr>
        <w:ind w:left="360"/>
      </w:pPr>
      <w:r w:rsidRPr="00142562">
        <w:t xml:space="preserve">We base our estimate of the average burden per recordkeeping on our experience with the application of HACCP principles in food processing.  We base our estimate of the number of recordkeepers on our estimate of the total number of juice manufacturing plants affected by the regulations (plants identified in our official establishment inventory plus very small apple juice and very small orange juice manufacturers).  These estimates assume that every processor will prepare sanitary standard operating procedures, an HACCP plan, and maintain the associated monitoring records, and that every importer will have product safety specifications and affirmative steps to ensure that products being offered for entry were processed under controls that meet the requirements of part 120.  In fact, there are likely to be </w:t>
      </w:r>
      <w:r w:rsidR="00C579AA">
        <w:t>a</w:t>
      </w:r>
      <w:r w:rsidRPr="00142562" w:rsidR="00C579AA">
        <w:t xml:space="preserve"> </w:t>
      </w:r>
      <w:r w:rsidRPr="00142562">
        <w:t>small number of juice processors that, based upon their hazard analysis, determine that they are not required to have an HACCP plan under these regulations.</w:t>
      </w:r>
    </w:p>
    <w:p w:rsidR="00D05F8B" w:rsidRPr="00142562" w:rsidP="00142562" w14:paraId="6BA3BC16" w14:textId="77777777">
      <w:pPr>
        <w:ind w:left="360"/>
      </w:pPr>
    </w:p>
    <w:p w:rsidR="00357C8A" w:rsidRPr="005C71CA" w:rsidP="00DC371B" w14:paraId="03739547" w14:textId="77777777">
      <w:pPr>
        <w:spacing w:after="200"/>
        <w:ind w:left="360"/>
        <w:rPr>
          <w:rFonts w:eastAsia="Calibri"/>
        </w:rPr>
      </w:pPr>
      <w:r w:rsidRPr="005C71CA">
        <w:rPr>
          <w:rFonts w:eastAsia="Calibri"/>
        </w:rPr>
        <w:t>12b.  Annualized Cost Burden Estimate</w:t>
      </w:r>
    </w:p>
    <w:p w:rsidR="00142562" w:rsidRPr="00142562" w:rsidP="00142562" w14:paraId="04326CE2" w14:textId="685EC39A">
      <w:pPr>
        <w:ind w:left="360"/>
        <w:rPr>
          <w:rFonts w:eastAsia="Calibri"/>
        </w:rPr>
      </w:pPr>
      <w:r w:rsidRPr="00142562">
        <w:t xml:space="preserve">We estimate that the average hourly wage for respondents’ workers involved in recordkeeping is commensurate with a GS-5/Step 1 rate in the locality pay area of Washington-Baltimore in </w:t>
      </w:r>
      <w:r w:rsidR="00DA4387">
        <w:t>2026</w:t>
      </w:r>
      <w:r w:rsidRPr="00142562">
        <w:t>, approximately $</w:t>
      </w:r>
      <w:r w:rsidR="00D05F8B">
        <w:t>22.</w:t>
      </w:r>
      <w:r w:rsidR="00DA4387">
        <w:t>33</w:t>
      </w:r>
      <w:r w:rsidRPr="00142562">
        <w:t>/hour.  Doubling this wage to account for overhead costs, we assume the average hourly cost to respondents to be $</w:t>
      </w:r>
      <w:r w:rsidR="00D05F8B">
        <w:t>44.</w:t>
      </w:r>
      <w:r w:rsidR="00DA4387">
        <w:t>66</w:t>
      </w:r>
      <w:r w:rsidRPr="00142562">
        <w:t>/hour.  The overall fully loaded estimated cost incurred by respondents is $</w:t>
      </w:r>
      <w:r w:rsidR="00D05F8B">
        <w:t>20</w:t>
      </w:r>
      <w:r w:rsidRPr="00142562">
        <w:t>,</w:t>
      </w:r>
      <w:r w:rsidR="00DA4387">
        <w:t>607</w:t>
      </w:r>
      <w:r w:rsidRPr="00142562">
        <w:t>,</w:t>
      </w:r>
      <w:r w:rsidR="00DA4387">
        <w:t>285</w:t>
      </w:r>
      <w:r w:rsidRPr="00142562">
        <w:t>.</w:t>
      </w:r>
      <w:r w:rsidR="00DA4387">
        <w:t>16</w:t>
      </w:r>
      <w:r w:rsidRPr="00142562" w:rsidR="00DA4387">
        <w:t xml:space="preserve"> </w:t>
      </w:r>
      <w:r w:rsidRPr="00142562">
        <w:t xml:space="preserve">(461,426 burden hours </w:t>
      </w:r>
      <w:bookmarkStart w:id="1" w:name="_Hlk227845304"/>
      <w:r w:rsidR="00C404B6">
        <w:t>×</w:t>
      </w:r>
      <w:bookmarkEnd w:id="1"/>
      <w:r w:rsidRPr="00142562">
        <w:t xml:space="preserve"> $</w:t>
      </w:r>
      <w:r w:rsidR="00DA4387">
        <w:t>44</w:t>
      </w:r>
      <w:r w:rsidRPr="00142562">
        <w:t>.</w:t>
      </w:r>
      <w:r w:rsidR="00DA4387">
        <w:t>66</w:t>
      </w:r>
      <w:r w:rsidRPr="00142562">
        <w:t>/hr.).</w:t>
      </w:r>
    </w:p>
    <w:p w:rsidR="00142562" w:rsidRPr="00142562" w:rsidP="00142562" w14:paraId="1D87D466" w14:textId="77777777">
      <w:pPr>
        <w:rPr>
          <w:rFonts w:eastAsia="Calibri"/>
        </w:rPr>
      </w:pPr>
    </w:p>
    <w:p w:rsidR="00142562" w:rsidRPr="00142562" w:rsidP="00142562" w14:paraId="7EEC0CAA" w14:textId="1682E1DC">
      <w:pPr>
        <w:jc w:val="center"/>
        <w:rPr>
          <w:rFonts w:eastAsia="Calibri"/>
          <w:sz w:val="20"/>
          <w:szCs w:val="20"/>
        </w:rPr>
      </w:pPr>
      <w:r w:rsidRPr="00142562">
        <w:rPr>
          <w:rFonts w:eastAsia="Calibri"/>
          <w:sz w:val="20"/>
          <w:szCs w:val="20"/>
        </w:rPr>
        <w:t xml:space="preserve">Table </w:t>
      </w:r>
      <w:r w:rsidRPr="00142562" w:rsidR="00653C39">
        <w:rPr>
          <w:rFonts w:eastAsia="Calibri"/>
          <w:sz w:val="20"/>
          <w:szCs w:val="20"/>
        </w:rPr>
        <w:t>2.--</w:t>
      </w:r>
      <w:r w:rsidRPr="00142562">
        <w:rPr>
          <w:rFonts w:eastAsia="Calibri"/>
          <w:sz w:val="20"/>
          <w:szCs w:val="20"/>
        </w:rPr>
        <w:t>Estimated Annual Cost Burden</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2160"/>
        <w:gridCol w:w="1980"/>
        <w:gridCol w:w="2363"/>
      </w:tblGrid>
      <w:tr w14:paraId="6362A9C1" w14:textId="77777777" w:rsidTr="00122CA8">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250" w:type="dxa"/>
            <w:shd w:val="clear" w:color="auto" w:fill="auto"/>
          </w:tcPr>
          <w:p w:rsidR="00142562" w:rsidRPr="00142562" w:rsidP="00142562" w14:paraId="40AEDE21" w14:textId="77777777">
            <w:pPr>
              <w:jc w:val="center"/>
              <w:rPr>
                <w:sz w:val="20"/>
                <w:szCs w:val="20"/>
              </w:rPr>
            </w:pPr>
            <w:r w:rsidRPr="00142562">
              <w:rPr>
                <w:sz w:val="20"/>
                <w:szCs w:val="20"/>
              </w:rPr>
              <w:t>Type of Respondent</w:t>
            </w:r>
          </w:p>
        </w:tc>
        <w:tc>
          <w:tcPr>
            <w:tcW w:w="2160" w:type="dxa"/>
            <w:shd w:val="clear" w:color="auto" w:fill="auto"/>
          </w:tcPr>
          <w:p w:rsidR="00142562" w:rsidRPr="00142562" w:rsidP="00142562" w14:paraId="0F8C61F2" w14:textId="77777777">
            <w:pPr>
              <w:jc w:val="center"/>
              <w:rPr>
                <w:sz w:val="20"/>
                <w:szCs w:val="20"/>
              </w:rPr>
            </w:pPr>
            <w:r w:rsidRPr="00142562">
              <w:rPr>
                <w:sz w:val="20"/>
                <w:szCs w:val="20"/>
              </w:rPr>
              <w:t>Total Burden Hours</w:t>
            </w:r>
          </w:p>
        </w:tc>
        <w:tc>
          <w:tcPr>
            <w:tcW w:w="1980" w:type="dxa"/>
            <w:shd w:val="clear" w:color="auto" w:fill="auto"/>
          </w:tcPr>
          <w:p w:rsidR="00142562" w:rsidRPr="00142562" w:rsidP="00142562" w14:paraId="17963F1B" w14:textId="77777777">
            <w:pPr>
              <w:jc w:val="center"/>
              <w:rPr>
                <w:sz w:val="20"/>
                <w:szCs w:val="20"/>
              </w:rPr>
            </w:pPr>
            <w:r w:rsidRPr="00142562">
              <w:rPr>
                <w:sz w:val="20"/>
                <w:szCs w:val="20"/>
              </w:rPr>
              <w:t>Hourly Wage Rate</w:t>
            </w:r>
          </w:p>
        </w:tc>
        <w:tc>
          <w:tcPr>
            <w:tcW w:w="2363" w:type="dxa"/>
            <w:shd w:val="clear" w:color="auto" w:fill="auto"/>
          </w:tcPr>
          <w:p w:rsidR="00142562" w:rsidRPr="00142562" w:rsidP="00142562" w14:paraId="79FFBF81" w14:textId="77777777">
            <w:pPr>
              <w:jc w:val="center"/>
              <w:rPr>
                <w:sz w:val="20"/>
                <w:szCs w:val="20"/>
              </w:rPr>
            </w:pPr>
            <w:r w:rsidRPr="00142562">
              <w:rPr>
                <w:sz w:val="20"/>
                <w:szCs w:val="20"/>
              </w:rPr>
              <w:t>Total Respondent Costs</w:t>
            </w:r>
          </w:p>
        </w:tc>
      </w:tr>
      <w:tr w14:paraId="472EED9D" w14:textId="77777777" w:rsidTr="00122CA8">
        <w:tblPrEx>
          <w:tblW w:w="0" w:type="auto"/>
          <w:tblInd w:w="355" w:type="dxa"/>
          <w:tblLook w:val="01E0"/>
        </w:tblPrEx>
        <w:tc>
          <w:tcPr>
            <w:tcW w:w="2250" w:type="dxa"/>
            <w:shd w:val="clear" w:color="auto" w:fill="auto"/>
          </w:tcPr>
          <w:p w:rsidR="00142562" w:rsidRPr="00142562" w:rsidP="00142562" w14:paraId="5B172E8C" w14:textId="77777777">
            <w:pPr>
              <w:rPr>
                <w:sz w:val="20"/>
                <w:szCs w:val="20"/>
              </w:rPr>
            </w:pPr>
            <w:r w:rsidRPr="00142562">
              <w:rPr>
                <w:sz w:val="20"/>
                <w:szCs w:val="20"/>
              </w:rPr>
              <w:t>Hourly Wage Worker</w:t>
            </w:r>
          </w:p>
        </w:tc>
        <w:tc>
          <w:tcPr>
            <w:tcW w:w="2160" w:type="dxa"/>
            <w:shd w:val="clear" w:color="auto" w:fill="auto"/>
          </w:tcPr>
          <w:p w:rsidR="00142562" w:rsidRPr="00142562" w:rsidP="00142562" w14:paraId="23619E1B" w14:textId="77777777">
            <w:pPr>
              <w:jc w:val="center"/>
              <w:rPr>
                <w:sz w:val="20"/>
                <w:szCs w:val="20"/>
              </w:rPr>
            </w:pPr>
            <w:r w:rsidRPr="00142562">
              <w:rPr>
                <w:sz w:val="20"/>
                <w:szCs w:val="20"/>
              </w:rPr>
              <w:t>461,426</w:t>
            </w:r>
          </w:p>
        </w:tc>
        <w:tc>
          <w:tcPr>
            <w:tcW w:w="1980" w:type="dxa"/>
            <w:shd w:val="clear" w:color="auto" w:fill="auto"/>
          </w:tcPr>
          <w:p w:rsidR="00142562" w:rsidRPr="00142562" w:rsidP="00142562" w14:paraId="72FB4533" w14:textId="77777777">
            <w:pPr>
              <w:jc w:val="center"/>
              <w:rPr>
                <w:sz w:val="20"/>
                <w:szCs w:val="20"/>
              </w:rPr>
            </w:pPr>
            <w:r w:rsidRPr="00142562">
              <w:rPr>
                <w:sz w:val="20"/>
                <w:szCs w:val="20"/>
              </w:rPr>
              <w:t>$</w:t>
            </w:r>
            <w:r w:rsidR="00D05F8B">
              <w:rPr>
                <w:sz w:val="20"/>
                <w:szCs w:val="20"/>
              </w:rPr>
              <w:t>44.</w:t>
            </w:r>
            <w:r w:rsidR="00DA4387">
              <w:rPr>
                <w:sz w:val="20"/>
                <w:szCs w:val="20"/>
              </w:rPr>
              <w:t>66</w:t>
            </w:r>
          </w:p>
        </w:tc>
        <w:tc>
          <w:tcPr>
            <w:tcW w:w="2363" w:type="dxa"/>
            <w:shd w:val="clear" w:color="auto" w:fill="auto"/>
          </w:tcPr>
          <w:p w:rsidR="00142562" w:rsidRPr="00142562" w:rsidP="00142562" w14:paraId="2C9ABC1A" w14:textId="77777777">
            <w:pPr>
              <w:jc w:val="center"/>
              <w:rPr>
                <w:sz w:val="20"/>
                <w:szCs w:val="20"/>
              </w:rPr>
            </w:pPr>
            <w:r w:rsidRPr="00142562">
              <w:rPr>
                <w:sz w:val="20"/>
                <w:szCs w:val="20"/>
              </w:rPr>
              <w:t>$</w:t>
            </w:r>
            <w:r w:rsidR="00D05F8B">
              <w:rPr>
                <w:sz w:val="20"/>
                <w:szCs w:val="20"/>
              </w:rPr>
              <w:t>20</w:t>
            </w:r>
            <w:r w:rsidRPr="00142562">
              <w:rPr>
                <w:sz w:val="20"/>
                <w:szCs w:val="20"/>
              </w:rPr>
              <w:t>,</w:t>
            </w:r>
            <w:r w:rsidR="00DA4387">
              <w:rPr>
                <w:sz w:val="20"/>
                <w:szCs w:val="20"/>
              </w:rPr>
              <w:t>607</w:t>
            </w:r>
            <w:r w:rsidR="00D05F8B">
              <w:rPr>
                <w:sz w:val="20"/>
                <w:szCs w:val="20"/>
              </w:rPr>
              <w:t>,</w:t>
            </w:r>
            <w:r w:rsidR="00DA4387">
              <w:rPr>
                <w:sz w:val="20"/>
                <w:szCs w:val="20"/>
              </w:rPr>
              <w:t>285</w:t>
            </w:r>
            <w:r w:rsidR="00D05F8B">
              <w:rPr>
                <w:sz w:val="20"/>
                <w:szCs w:val="20"/>
              </w:rPr>
              <w:t>.</w:t>
            </w:r>
            <w:r w:rsidR="00DA4387">
              <w:rPr>
                <w:sz w:val="20"/>
                <w:szCs w:val="20"/>
              </w:rPr>
              <w:t>16</w:t>
            </w:r>
          </w:p>
        </w:tc>
      </w:tr>
    </w:tbl>
    <w:p w:rsidR="00357C8A" w:rsidRPr="00357C8A" w:rsidP="00357C8A" w14:paraId="6E5E7467" w14:textId="77777777">
      <w:pPr>
        <w:rPr>
          <w:rFonts w:eastAsia="Calibri"/>
        </w:rPr>
      </w:pPr>
    </w:p>
    <w:p w:rsidR="00357C8A" w:rsidRPr="00357C8A" w:rsidP="006705EA" w14:paraId="38A4817D"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14:paraId="1A086BCF" w14:textId="77777777">
      <w:pPr>
        <w:spacing w:after="200" w:line="276" w:lineRule="auto"/>
        <w:rPr>
          <w:rFonts w:eastAsia="Calibri"/>
          <w:u w:val="single"/>
        </w:rPr>
      </w:pPr>
      <w:r>
        <w:t xml:space="preserve">There </w:t>
      </w:r>
      <w:r>
        <w:t>are</w:t>
      </w:r>
      <w:r>
        <w:t xml:space="preserve"> no capital, start-up, operating, or maintenance costs associated with this collection.</w:t>
      </w:r>
    </w:p>
    <w:p w:rsidR="00357C8A" w:rsidRPr="00357C8A" w:rsidP="006705EA" w14:paraId="501C9E0B"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357C8A" w14:paraId="74E7EE86" w14:textId="0DCCAA34">
      <w:pPr>
        <w:spacing w:after="200"/>
        <w:rPr>
          <w:rFonts w:eastAsia="Calibri"/>
        </w:rPr>
      </w:pPr>
      <w:r>
        <w:t>FDA</w:t>
      </w:r>
      <w:r w:rsidRPr="00862EA7">
        <w:t xml:space="preserve"> review of the retained records generally occur</w:t>
      </w:r>
      <w:r w:rsidR="00AA05E8">
        <w:t>s</w:t>
      </w:r>
      <w:r w:rsidRPr="00862EA7">
        <w:t xml:space="preserve"> as part of </w:t>
      </w:r>
      <w:r>
        <w:t>our</w:t>
      </w:r>
      <w:r w:rsidRPr="00862EA7">
        <w:t xml:space="preserve"> routine or for</w:t>
      </w:r>
      <w:r>
        <w:t>-</w:t>
      </w:r>
      <w:r w:rsidRPr="00862EA7">
        <w:t>cause</w:t>
      </w:r>
      <w:r>
        <w:t xml:space="preserve"> </w:t>
      </w:r>
      <w:r w:rsidRPr="00862EA7">
        <w:t xml:space="preserve">establishment </w:t>
      </w:r>
      <w:r w:rsidRPr="00141162">
        <w:t xml:space="preserve">inspection activities. </w:t>
      </w:r>
      <w:r w:rsidRPr="0085689F">
        <w:t xml:space="preserve"> </w:t>
      </w:r>
      <w:r w:rsidRPr="00141162">
        <w:t>We estimate that our review of the retained records takes five hours per inspection.</w:t>
      </w:r>
      <w:r w:rsidRPr="0085689F">
        <w:t xml:space="preserve">  </w:t>
      </w:r>
      <w:r w:rsidRPr="00141162">
        <w:t>We estimate the hourly cost for review and evaluation to be $</w:t>
      </w:r>
      <w:r w:rsidR="00DA4387">
        <w:t>58.35</w:t>
      </w:r>
      <w:r w:rsidRPr="00141162">
        <w:t xml:space="preserve"> per hour, the GS-13/Step-1 rate for the Washington-Baltimore locality pay area </w:t>
      </w:r>
      <w:r w:rsidRPr="009104E2">
        <w:t xml:space="preserve">for the year </w:t>
      </w:r>
      <w:r w:rsidR="00DA4387">
        <w:t>2026</w:t>
      </w:r>
      <w:r w:rsidRPr="009104E2">
        <w:t>.</w:t>
      </w:r>
      <w:r w:rsidRPr="0085689F">
        <w:t xml:space="preserve">  </w:t>
      </w:r>
      <w:r w:rsidRPr="00141162">
        <w:t xml:space="preserve">To </w:t>
      </w:r>
      <w:r w:rsidRPr="00141162">
        <w:t>account for overhead, this cost is increased by 100 percent, making the total cost $</w:t>
      </w:r>
      <w:r w:rsidR="00DA4387">
        <w:t>116.70</w:t>
      </w:r>
      <w:r w:rsidRPr="009104E2">
        <w:t xml:space="preserve"> per hour.</w:t>
      </w:r>
      <w:r w:rsidRPr="0085689F">
        <w:t xml:space="preserve">    </w:t>
      </w:r>
      <w:r w:rsidRPr="00141162">
        <w:t>Thus, we estimate the cost to the Federal Government for the review of records to be $</w:t>
      </w:r>
      <w:r w:rsidR="00DA4387">
        <w:t>583.50</w:t>
      </w:r>
      <w:r w:rsidRPr="009104E2">
        <w:t xml:space="preserve"> per review ($</w:t>
      </w:r>
      <w:r w:rsidR="00DA4387">
        <w:t>116.70</w:t>
      </w:r>
      <w:r w:rsidRPr="009104E2">
        <w:t>/hour</w:t>
      </w:r>
      <w:r w:rsidRPr="00862EA7">
        <w:t xml:space="preserve"> </w:t>
      </w:r>
      <w:r w:rsidRPr="007B5700" w:rsidR="007B5700">
        <w:t>×</w:t>
      </w:r>
      <w:r w:rsidRPr="00862EA7">
        <w:t xml:space="preserve"> 5 hours).</w:t>
      </w:r>
      <w:r>
        <w:t xml:space="preserve"> </w:t>
      </w:r>
      <w:r w:rsidRPr="0085689F">
        <w:t xml:space="preserve"> </w:t>
      </w:r>
      <w:r w:rsidRPr="00862EA7">
        <w:t>We estimate that we review records for an average of 100 inspections per year.</w:t>
      </w:r>
      <w:r>
        <w:t xml:space="preserve"> </w:t>
      </w:r>
      <w:r w:rsidRPr="0085689F">
        <w:t xml:space="preserve"> </w:t>
      </w:r>
      <w:r w:rsidRPr="00862EA7">
        <w:t>Thus, we estimate that the total annual cost to the Federal</w:t>
      </w:r>
      <w:r>
        <w:t xml:space="preserve"> </w:t>
      </w:r>
      <w:r w:rsidRPr="00862EA7">
        <w:t>Government would be $</w:t>
      </w:r>
      <w:r w:rsidR="00DA4387">
        <w:t>58,350</w:t>
      </w:r>
      <w:r w:rsidRPr="00862EA7">
        <w:t xml:space="preserve"> ($</w:t>
      </w:r>
      <w:r w:rsidR="00DA4387">
        <w:t>583.50</w:t>
      </w:r>
      <w:r w:rsidR="00A77799">
        <w:t>/review</w:t>
      </w:r>
      <w:r w:rsidRPr="00862EA7">
        <w:t xml:space="preserve"> </w:t>
      </w:r>
      <w:r w:rsidRPr="007B5700" w:rsidR="007B5700">
        <w:t>×</w:t>
      </w:r>
      <w:r w:rsidRPr="00862EA7">
        <w:t xml:space="preserve"> 100 inspections).</w:t>
      </w:r>
    </w:p>
    <w:p w:rsidR="00357C8A" w:rsidP="006705EA" w14:paraId="00B6856B" w14:textId="7FAA40F6">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1E6D9F" w:rsidP="00653C39" w14:paraId="7528FB5C" w14:textId="125BCBF5">
      <w:pPr>
        <w:spacing w:after="200" w:line="276" w:lineRule="auto"/>
        <w:rPr>
          <w:rFonts w:eastAsia="Calibri"/>
          <w:color w:val="000000"/>
        </w:rPr>
      </w:pPr>
      <w:r>
        <w:rPr>
          <w:rFonts w:eastAsia="Calibri"/>
        </w:rPr>
        <w:t xml:space="preserve">Based on a review of the information collection since </w:t>
      </w:r>
      <w:r w:rsidR="00D111F7">
        <w:rPr>
          <w:rFonts w:eastAsia="Calibri"/>
        </w:rPr>
        <w:t>its</w:t>
      </w:r>
      <w:r w:rsidR="00D111F7">
        <w:rPr>
          <w:rFonts w:eastAsia="Calibri"/>
        </w:rPr>
        <w:t xml:space="preserve"> </w:t>
      </w:r>
      <w:r>
        <w:rPr>
          <w:rFonts w:eastAsia="Calibri"/>
        </w:rPr>
        <w:t>last OMB approval, we have made no adjustments to our burden estimate.</w:t>
      </w:r>
    </w:p>
    <w:p w:rsidR="00357C8A" w:rsidRPr="00357C8A" w:rsidP="006705EA" w14:paraId="4040000B"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1E6D9F" w:rsidP="00357C8A" w14:paraId="724E8288" w14:textId="77777777">
      <w:pPr>
        <w:spacing w:after="200"/>
        <w:rPr>
          <w:rFonts w:eastAsia="Calibri"/>
          <w:color w:val="000000"/>
        </w:rPr>
      </w:pPr>
      <w:r>
        <w:t>This information collected will not be published or tabulated.</w:t>
      </w:r>
    </w:p>
    <w:p w:rsidR="00357C8A" w:rsidRPr="00357C8A" w:rsidP="006705EA" w14:paraId="48F281C2"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1E6D9F" w:rsidP="00357C8A" w14:paraId="1A68CE1D" w14:textId="77777777">
      <w:pPr>
        <w:spacing w:after="200"/>
        <w:rPr>
          <w:rFonts w:eastAsia="Calibri"/>
          <w:color w:val="000000"/>
        </w:rPr>
      </w:pPr>
      <w:r>
        <w:t>Display of the OMB control no. and expiration date is appropriate.  The information collection is published in the Code of Federal Regulations.</w:t>
      </w:r>
    </w:p>
    <w:p w:rsidR="00357C8A" w:rsidRPr="00357C8A" w:rsidP="006705EA" w14:paraId="41B7F1D2"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142562" w:rsidRPr="00C20690" w:rsidP="00142562" w14:paraId="48C4E379" w14:textId="77777777">
      <w:pPr>
        <w:spacing w:after="200"/>
        <w:rPr>
          <w:rFonts w:eastAsia="Calibri"/>
        </w:rPr>
      </w:pPr>
      <w:r>
        <w:t>There are no exceptions to the certification.</w:t>
      </w:r>
    </w:p>
    <w:p w:rsidR="00544138" w:rsidRPr="00C20690" w:rsidP="00142562" w14:paraId="44577F29" w14:textId="77777777">
      <w:pPr>
        <w:spacing w:after="200"/>
        <w:rPr>
          <w:rFonts w:eastAsia="Calibri"/>
        </w:rPr>
      </w:pPr>
    </w:p>
    <w:sectPr w:rsidSect="005C71CA">
      <w:headerReference w:type="default" r:id="rId7"/>
      <w:footerReference w:type="even" r:id="rId8"/>
      <w:footerReference w:type="default" r:id="rId9"/>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340E625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26E007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AFF317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3B18655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FE2" w:rsidRPr="003C0FE2" w14:paraId="7D69FE05" w14:textId="7777777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8458163">
    <w:abstractNumId w:val="5"/>
  </w:num>
  <w:num w:numId="2" w16cid:durableId="1047677232">
    <w:abstractNumId w:val="1"/>
  </w:num>
  <w:num w:numId="3" w16cid:durableId="1759935422">
    <w:abstractNumId w:val="6"/>
  </w:num>
  <w:num w:numId="4" w16cid:durableId="172884504">
    <w:abstractNumId w:val="3"/>
  </w:num>
  <w:num w:numId="5" w16cid:durableId="36246675">
    <w:abstractNumId w:val="7"/>
  </w:num>
  <w:num w:numId="6" w16cid:durableId="114715029">
    <w:abstractNumId w:val="0"/>
  </w:num>
  <w:num w:numId="7" w16cid:durableId="1475373132">
    <w:abstractNumId w:val="2"/>
  </w:num>
  <w:num w:numId="8" w16cid:durableId="12211990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42B93"/>
    <w:rsid w:val="00043C7F"/>
    <w:rsid w:val="000467A8"/>
    <w:rsid w:val="0006570F"/>
    <w:rsid w:val="00075DE8"/>
    <w:rsid w:val="0007731F"/>
    <w:rsid w:val="00087439"/>
    <w:rsid w:val="000C1260"/>
    <w:rsid w:val="000C560C"/>
    <w:rsid w:val="000D080B"/>
    <w:rsid w:val="000D48FD"/>
    <w:rsid w:val="000D79CC"/>
    <w:rsid w:val="000E1C64"/>
    <w:rsid w:val="000F7119"/>
    <w:rsid w:val="00100739"/>
    <w:rsid w:val="0010493E"/>
    <w:rsid w:val="00105333"/>
    <w:rsid w:val="001075D3"/>
    <w:rsid w:val="00107885"/>
    <w:rsid w:val="00114FC4"/>
    <w:rsid w:val="00122CA8"/>
    <w:rsid w:val="0012329C"/>
    <w:rsid w:val="00134FA7"/>
    <w:rsid w:val="00137950"/>
    <w:rsid w:val="00141162"/>
    <w:rsid w:val="00142562"/>
    <w:rsid w:val="00152F29"/>
    <w:rsid w:val="00154077"/>
    <w:rsid w:val="00174D54"/>
    <w:rsid w:val="0017702C"/>
    <w:rsid w:val="00185270"/>
    <w:rsid w:val="001A3B5A"/>
    <w:rsid w:val="001A458C"/>
    <w:rsid w:val="001B7CE9"/>
    <w:rsid w:val="001D495A"/>
    <w:rsid w:val="001E244C"/>
    <w:rsid w:val="001E6D9F"/>
    <w:rsid w:val="001F1437"/>
    <w:rsid w:val="00206799"/>
    <w:rsid w:val="002074FE"/>
    <w:rsid w:val="0022425B"/>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C06A2"/>
    <w:rsid w:val="002D14D8"/>
    <w:rsid w:val="002D4799"/>
    <w:rsid w:val="002E3FA4"/>
    <w:rsid w:val="002E53A5"/>
    <w:rsid w:val="002E64B8"/>
    <w:rsid w:val="002E6834"/>
    <w:rsid w:val="002F4AFB"/>
    <w:rsid w:val="003113FF"/>
    <w:rsid w:val="00312622"/>
    <w:rsid w:val="0031423D"/>
    <w:rsid w:val="0032277F"/>
    <w:rsid w:val="00336B69"/>
    <w:rsid w:val="0034302B"/>
    <w:rsid w:val="00350523"/>
    <w:rsid w:val="0035189D"/>
    <w:rsid w:val="00355B62"/>
    <w:rsid w:val="00357C8A"/>
    <w:rsid w:val="003740BC"/>
    <w:rsid w:val="0037456B"/>
    <w:rsid w:val="003801A3"/>
    <w:rsid w:val="00383D90"/>
    <w:rsid w:val="003870AE"/>
    <w:rsid w:val="003929E1"/>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1683F"/>
    <w:rsid w:val="00423272"/>
    <w:rsid w:val="00424061"/>
    <w:rsid w:val="0043271F"/>
    <w:rsid w:val="00442A3C"/>
    <w:rsid w:val="00443969"/>
    <w:rsid w:val="00447D74"/>
    <w:rsid w:val="00450A74"/>
    <w:rsid w:val="004546BF"/>
    <w:rsid w:val="00465350"/>
    <w:rsid w:val="00476B91"/>
    <w:rsid w:val="004846BF"/>
    <w:rsid w:val="00494912"/>
    <w:rsid w:val="004A5323"/>
    <w:rsid w:val="004A5A99"/>
    <w:rsid w:val="004C6979"/>
    <w:rsid w:val="004C7F18"/>
    <w:rsid w:val="004D13A2"/>
    <w:rsid w:val="004D3E7A"/>
    <w:rsid w:val="004F594B"/>
    <w:rsid w:val="004F61E1"/>
    <w:rsid w:val="00506785"/>
    <w:rsid w:val="0053380B"/>
    <w:rsid w:val="00543194"/>
    <w:rsid w:val="00544138"/>
    <w:rsid w:val="00554E34"/>
    <w:rsid w:val="00584583"/>
    <w:rsid w:val="00590E90"/>
    <w:rsid w:val="00590EEB"/>
    <w:rsid w:val="00596F62"/>
    <w:rsid w:val="005A4099"/>
    <w:rsid w:val="005C38B2"/>
    <w:rsid w:val="005C5029"/>
    <w:rsid w:val="005C55C2"/>
    <w:rsid w:val="005C71CA"/>
    <w:rsid w:val="005C745C"/>
    <w:rsid w:val="005D4DF5"/>
    <w:rsid w:val="005E42BA"/>
    <w:rsid w:val="00606145"/>
    <w:rsid w:val="00611D6B"/>
    <w:rsid w:val="00625CFD"/>
    <w:rsid w:val="006326EC"/>
    <w:rsid w:val="00653C39"/>
    <w:rsid w:val="00655EB5"/>
    <w:rsid w:val="00663A42"/>
    <w:rsid w:val="006641C7"/>
    <w:rsid w:val="006705EA"/>
    <w:rsid w:val="00670BE2"/>
    <w:rsid w:val="006916D9"/>
    <w:rsid w:val="006A0E05"/>
    <w:rsid w:val="006A26C6"/>
    <w:rsid w:val="006A465A"/>
    <w:rsid w:val="006A7D5D"/>
    <w:rsid w:val="006D0C12"/>
    <w:rsid w:val="006D5D57"/>
    <w:rsid w:val="006D7812"/>
    <w:rsid w:val="006E2538"/>
    <w:rsid w:val="006E302F"/>
    <w:rsid w:val="006F0F89"/>
    <w:rsid w:val="006F10E0"/>
    <w:rsid w:val="006F4D6D"/>
    <w:rsid w:val="00705086"/>
    <w:rsid w:val="00722001"/>
    <w:rsid w:val="00742687"/>
    <w:rsid w:val="00744525"/>
    <w:rsid w:val="00751E66"/>
    <w:rsid w:val="00754497"/>
    <w:rsid w:val="00773201"/>
    <w:rsid w:val="00787C39"/>
    <w:rsid w:val="00792947"/>
    <w:rsid w:val="00795DF3"/>
    <w:rsid w:val="007A373C"/>
    <w:rsid w:val="007A7201"/>
    <w:rsid w:val="007B225C"/>
    <w:rsid w:val="007B5700"/>
    <w:rsid w:val="007C75B1"/>
    <w:rsid w:val="007D3DFC"/>
    <w:rsid w:val="007E2F07"/>
    <w:rsid w:val="007E59A8"/>
    <w:rsid w:val="007F7BB2"/>
    <w:rsid w:val="008065A9"/>
    <w:rsid w:val="0080776D"/>
    <w:rsid w:val="00810145"/>
    <w:rsid w:val="008108FA"/>
    <w:rsid w:val="00810FF1"/>
    <w:rsid w:val="00822336"/>
    <w:rsid w:val="00823DFA"/>
    <w:rsid w:val="00842DB7"/>
    <w:rsid w:val="00843752"/>
    <w:rsid w:val="0084479F"/>
    <w:rsid w:val="0085689F"/>
    <w:rsid w:val="0085725E"/>
    <w:rsid w:val="00862EA7"/>
    <w:rsid w:val="00873D4F"/>
    <w:rsid w:val="0087509F"/>
    <w:rsid w:val="00885B09"/>
    <w:rsid w:val="00892400"/>
    <w:rsid w:val="008A209D"/>
    <w:rsid w:val="008A22BB"/>
    <w:rsid w:val="008B035D"/>
    <w:rsid w:val="008B0E29"/>
    <w:rsid w:val="008B0EFA"/>
    <w:rsid w:val="008B30AB"/>
    <w:rsid w:val="008C3BB8"/>
    <w:rsid w:val="008C4B65"/>
    <w:rsid w:val="008D32DF"/>
    <w:rsid w:val="008E5F55"/>
    <w:rsid w:val="008F5736"/>
    <w:rsid w:val="009009E7"/>
    <w:rsid w:val="00902ED7"/>
    <w:rsid w:val="00905DEF"/>
    <w:rsid w:val="00906056"/>
    <w:rsid w:val="009104E2"/>
    <w:rsid w:val="009122AE"/>
    <w:rsid w:val="00913B43"/>
    <w:rsid w:val="00930203"/>
    <w:rsid w:val="009311D2"/>
    <w:rsid w:val="009311E6"/>
    <w:rsid w:val="00931275"/>
    <w:rsid w:val="00936AC7"/>
    <w:rsid w:val="00953B64"/>
    <w:rsid w:val="009646A7"/>
    <w:rsid w:val="00970A88"/>
    <w:rsid w:val="009818A1"/>
    <w:rsid w:val="009A1674"/>
    <w:rsid w:val="009B12ED"/>
    <w:rsid w:val="009B38BE"/>
    <w:rsid w:val="009B4DF2"/>
    <w:rsid w:val="009C0B41"/>
    <w:rsid w:val="009C684F"/>
    <w:rsid w:val="009D074C"/>
    <w:rsid w:val="009D6E73"/>
    <w:rsid w:val="009F1F1D"/>
    <w:rsid w:val="009F2B4F"/>
    <w:rsid w:val="009F3C63"/>
    <w:rsid w:val="009F66B5"/>
    <w:rsid w:val="00A02F10"/>
    <w:rsid w:val="00A1060C"/>
    <w:rsid w:val="00A16221"/>
    <w:rsid w:val="00A20A7D"/>
    <w:rsid w:val="00A21A72"/>
    <w:rsid w:val="00A35D42"/>
    <w:rsid w:val="00A46CCF"/>
    <w:rsid w:val="00A506DE"/>
    <w:rsid w:val="00A53451"/>
    <w:rsid w:val="00A67BC4"/>
    <w:rsid w:val="00A70426"/>
    <w:rsid w:val="00A707CC"/>
    <w:rsid w:val="00A71410"/>
    <w:rsid w:val="00A77799"/>
    <w:rsid w:val="00A91E9A"/>
    <w:rsid w:val="00A93ED9"/>
    <w:rsid w:val="00A96221"/>
    <w:rsid w:val="00AA05E8"/>
    <w:rsid w:val="00AA6717"/>
    <w:rsid w:val="00AC2DBB"/>
    <w:rsid w:val="00AC6A99"/>
    <w:rsid w:val="00AD6048"/>
    <w:rsid w:val="00AF1320"/>
    <w:rsid w:val="00AF62EC"/>
    <w:rsid w:val="00AF6B98"/>
    <w:rsid w:val="00AF7013"/>
    <w:rsid w:val="00B055EF"/>
    <w:rsid w:val="00B06B5B"/>
    <w:rsid w:val="00B13D3C"/>
    <w:rsid w:val="00B23769"/>
    <w:rsid w:val="00B41789"/>
    <w:rsid w:val="00B5540A"/>
    <w:rsid w:val="00B57852"/>
    <w:rsid w:val="00B81808"/>
    <w:rsid w:val="00B86DFA"/>
    <w:rsid w:val="00B936D0"/>
    <w:rsid w:val="00BB15FB"/>
    <w:rsid w:val="00BD3D5B"/>
    <w:rsid w:val="00BE3600"/>
    <w:rsid w:val="00C01F6F"/>
    <w:rsid w:val="00C041EA"/>
    <w:rsid w:val="00C13BBD"/>
    <w:rsid w:val="00C149AB"/>
    <w:rsid w:val="00C16929"/>
    <w:rsid w:val="00C20690"/>
    <w:rsid w:val="00C36020"/>
    <w:rsid w:val="00C4030F"/>
    <w:rsid w:val="00C404B6"/>
    <w:rsid w:val="00C40694"/>
    <w:rsid w:val="00C479BF"/>
    <w:rsid w:val="00C5124B"/>
    <w:rsid w:val="00C579AA"/>
    <w:rsid w:val="00C65B04"/>
    <w:rsid w:val="00C70542"/>
    <w:rsid w:val="00C746D8"/>
    <w:rsid w:val="00C75CBF"/>
    <w:rsid w:val="00C94C83"/>
    <w:rsid w:val="00CC2894"/>
    <w:rsid w:val="00CD77C3"/>
    <w:rsid w:val="00CE112C"/>
    <w:rsid w:val="00CF4549"/>
    <w:rsid w:val="00CF55D4"/>
    <w:rsid w:val="00D05F8B"/>
    <w:rsid w:val="00D111F7"/>
    <w:rsid w:val="00D608DA"/>
    <w:rsid w:val="00D730BF"/>
    <w:rsid w:val="00D852F4"/>
    <w:rsid w:val="00DA4387"/>
    <w:rsid w:val="00DB1110"/>
    <w:rsid w:val="00DB3730"/>
    <w:rsid w:val="00DC371B"/>
    <w:rsid w:val="00DC3788"/>
    <w:rsid w:val="00DC76C7"/>
    <w:rsid w:val="00DD09F5"/>
    <w:rsid w:val="00DD0E02"/>
    <w:rsid w:val="00DD4201"/>
    <w:rsid w:val="00DD5E9F"/>
    <w:rsid w:val="00DE5711"/>
    <w:rsid w:val="00E00EA0"/>
    <w:rsid w:val="00E021CB"/>
    <w:rsid w:val="00E138F1"/>
    <w:rsid w:val="00E22DC4"/>
    <w:rsid w:val="00E2309D"/>
    <w:rsid w:val="00E26758"/>
    <w:rsid w:val="00E4357B"/>
    <w:rsid w:val="00E443A7"/>
    <w:rsid w:val="00E45904"/>
    <w:rsid w:val="00E623ED"/>
    <w:rsid w:val="00E63DE5"/>
    <w:rsid w:val="00E647AF"/>
    <w:rsid w:val="00E647C7"/>
    <w:rsid w:val="00E65A37"/>
    <w:rsid w:val="00E65EF7"/>
    <w:rsid w:val="00E77B48"/>
    <w:rsid w:val="00E83243"/>
    <w:rsid w:val="00E857FB"/>
    <w:rsid w:val="00E91799"/>
    <w:rsid w:val="00E93283"/>
    <w:rsid w:val="00E97DF8"/>
    <w:rsid w:val="00EA21FE"/>
    <w:rsid w:val="00EA34E3"/>
    <w:rsid w:val="00EB7538"/>
    <w:rsid w:val="00EC1868"/>
    <w:rsid w:val="00EE6468"/>
    <w:rsid w:val="00F1299B"/>
    <w:rsid w:val="00F207A4"/>
    <w:rsid w:val="00F25173"/>
    <w:rsid w:val="00F26A5A"/>
    <w:rsid w:val="00F355AC"/>
    <w:rsid w:val="00F40CF7"/>
    <w:rsid w:val="00F44194"/>
    <w:rsid w:val="00F65023"/>
    <w:rsid w:val="00F71A5A"/>
    <w:rsid w:val="00F73A1A"/>
    <w:rsid w:val="00F769E0"/>
    <w:rsid w:val="00F76A44"/>
    <w:rsid w:val="00FA4A46"/>
    <w:rsid w:val="00FA75FE"/>
    <w:rsid w:val="00FB1032"/>
    <w:rsid w:val="00FB39BC"/>
    <w:rsid w:val="00FB6A53"/>
    <w:rsid w:val="00FC11CA"/>
    <w:rsid w:val="00FC6BDE"/>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50CDB6"/>
  <w15:chartTrackingRefBased/>
  <w15:docId w15:val="{831312FC-48C5-49DB-BF9A-ABD7FACB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8D32DF"/>
    <w:rPr>
      <w:sz w:val="24"/>
      <w:szCs w:val="24"/>
    </w:rPr>
  </w:style>
  <w:style w:type="character" w:styleId="CommentReference">
    <w:name w:val="annotation reference"/>
    <w:basedOn w:val="DefaultParagraphFont"/>
    <w:rsid w:val="00A21A72"/>
    <w:rPr>
      <w:sz w:val="16"/>
      <w:szCs w:val="16"/>
    </w:rPr>
  </w:style>
  <w:style w:type="paragraph" w:styleId="CommentText">
    <w:name w:val="annotation text"/>
    <w:basedOn w:val="Normal"/>
    <w:link w:val="CommentTextChar"/>
    <w:rsid w:val="00A21A72"/>
    <w:rPr>
      <w:sz w:val="20"/>
      <w:szCs w:val="20"/>
    </w:rPr>
  </w:style>
  <w:style w:type="character" w:customStyle="1" w:styleId="CommentTextChar">
    <w:name w:val="Comment Text Char"/>
    <w:basedOn w:val="DefaultParagraphFont"/>
    <w:link w:val="CommentText"/>
    <w:rsid w:val="00A21A72"/>
  </w:style>
  <w:style w:type="paragraph" w:styleId="CommentSubject">
    <w:name w:val="annotation subject"/>
    <w:basedOn w:val="CommentText"/>
    <w:next w:val="CommentText"/>
    <w:link w:val="CommentSubjectChar"/>
    <w:rsid w:val="00A21A72"/>
    <w:rPr>
      <w:b/>
      <w:bCs/>
    </w:rPr>
  </w:style>
  <w:style w:type="character" w:customStyle="1" w:styleId="CommentSubjectChar">
    <w:name w:val="Comment Subject Char"/>
    <w:basedOn w:val="CommentTextChar"/>
    <w:link w:val="CommentSubject"/>
    <w:rsid w:val="00A21A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food/hazard-analysis-critical-control-point-haccp/juice-haccp" TargetMode="External" /><Relationship Id="rId6" Type="http://schemas.openxmlformats.org/officeDocument/2006/relationships/hyperlink" Target="https://www.fda.gov/industry/small-business-assistance"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3E324-914D-4137-B2AE-57916CED4E9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2178</Words>
  <Characters>12821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Ellison, Michael E</cp:lastModifiedBy>
  <cp:revision>3</cp:revision>
  <cp:lastPrinted>2019-07-03T16:25:00Z</cp:lastPrinted>
  <dcterms:created xsi:type="dcterms:W3CDTF">2026-04-23T18:12:00Z</dcterms:created>
  <dcterms:modified xsi:type="dcterms:W3CDTF">2026-04-23T18:13:00Z</dcterms:modified>
</cp:coreProperties>
</file>