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892544" w:rsidRPr="00BD7237" w:rsidP="00892544" w14:paraId="1AE119F5" w14:textId="77777777">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00892544" w:rsidRPr="00BD7237" w:rsidP="00892544" w14:paraId="48AD79EF"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U.S. Department of Commerce</w:t>
      </w:r>
    </w:p>
    <w:p w:rsidR="00892544" w:rsidRPr="00BD7237" w:rsidP="00892544" w14:paraId="422BACED" w14:textId="7777777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National Oceanic &amp; Atmospheric Administration</w:t>
      </w:r>
    </w:p>
    <w:p w:rsidR="00892544" w:rsidRPr="00BD7237" w:rsidP="00892544" w14:paraId="2095D78B" w14:textId="77777777">
      <w:pPr>
        <w:spacing w:line="259" w:lineRule="auto"/>
        <w:ind w:hanging="6"/>
        <w:jc w:val="center"/>
        <w:rPr>
          <w:rFonts w:ascii="Times New Roman" w:hAnsi="Times New Roman" w:cs="Times New Roman"/>
          <w:b/>
          <w:sz w:val="24"/>
          <w:szCs w:val="24"/>
        </w:rPr>
      </w:pPr>
      <w:r>
        <w:rPr>
          <w:rFonts w:ascii="Times New Roman" w:hAnsi="Times New Roman" w:cs="Times New Roman"/>
          <w:b/>
          <w:sz w:val="24"/>
          <w:szCs w:val="24"/>
        </w:rPr>
        <w:t>West Coast Fisheries Participation Survey</w:t>
      </w:r>
    </w:p>
    <w:p w:rsidR="00892544" w:rsidRPr="00BD7237" w:rsidP="00892544" w14:paraId="2F7AA200" w14:textId="77777777">
      <w:pPr>
        <w:spacing w:line="259" w:lineRule="auto"/>
        <w:ind w:hanging="6"/>
        <w:jc w:val="center"/>
        <w:rPr>
          <w:rFonts w:ascii="Times New Roman" w:hAnsi="Times New Roman" w:cs="Times New Roman"/>
          <w:b/>
          <w:sz w:val="24"/>
          <w:szCs w:val="24"/>
        </w:rPr>
      </w:pPr>
      <w:r w:rsidRPr="00BD7237">
        <w:rPr>
          <w:rFonts w:ascii="Times New Roman" w:hAnsi="Times New Roman" w:cs="Times New Roman"/>
          <w:b/>
          <w:sz w:val="24"/>
          <w:szCs w:val="24"/>
        </w:rPr>
        <w:t>OMB Control No. 0648-</w:t>
      </w:r>
      <w:r w:rsidR="00E376AE">
        <w:rPr>
          <w:rFonts w:ascii="Times New Roman" w:hAnsi="Times New Roman" w:cs="Times New Roman"/>
          <w:b/>
          <w:sz w:val="24"/>
          <w:szCs w:val="24"/>
        </w:rPr>
        <w:t>0749</w:t>
      </w:r>
    </w:p>
    <w:p w:rsidR="00892544" w:rsidP="00892544" w14:paraId="0EA59DD0" w14:textId="77777777">
      <w:pPr>
        <w:spacing w:before="80"/>
        <w:rPr>
          <w:rFonts w:ascii="Times New Roman" w:hAnsi="Times New Roman" w:cs="Times New Roman"/>
          <w:b/>
          <w:color w:val="FF0000"/>
          <w:sz w:val="24"/>
          <w:szCs w:val="24"/>
        </w:rPr>
      </w:pPr>
    </w:p>
    <w:p w:rsidR="00892544" w:rsidRPr="00BD7237" w:rsidP="00892544" w14:paraId="02A3F6CE" w14:textId="77777777">
      <w:pPr>
        <w:spacing w:before="161"/>
        <w:rPr>
          <w:rFonts w:ascii="Times New Roman" w:hAnsi="Times New Roman" w:cs="Times New Roman"/>
          <w:b/>
          <w:sz w:val="24"/>
          <w:szCs w:val="24"/>
        </w:rPr>
      </w:pPr>
      <w:r w:rsidRPr="00BD7237">
        <w:rPr>
          <w:rFonts w:ascii="Times New Roman" w:hAnsi="Times New Roman" w:cs="Times New Roman"/>
          <w:b/>
          <w:sz w:val="24"/>
          <w:szCs w:val="24"/>
        </w:rPr>
        <w:t>B. Collections of Information Employing Statistical Methods</w:t>
      </w:r>
    </w:p>
    <w:p w:rsidR="00892544" w:rsidP="00892544" w14:paraId="673FDFD3" w14:textId="77777777">
      <w:pPr>
        <w:pStyle w:val="Heading1"/>
        <w:numPr>
          <w:ilvl w:val="0"/>
          <w:numId w:val="1"/>
        </w:numPr>
        <w:tabs>
          <w:tab w:val="left" w:pos="360"/>
        </w:tabs>
        <w:spacing w:before="185"/>
        <w:ind w:left="0" w:firstLine="0"/>
        <w:rPr>
          <w:rFonts w:ascii="Times New Roman" w:hAnsi="Times New Roman" w:cs="Times New Roman"/>
        </w:rPr>
      </w:pPr>
      <w:r w:rsidRPr="00BD7237">
        <w:rPr>
          <w:rFonts w:ascii="Times New Roman" w:hAnsi="Times New Roman" w:cs="Times New Roman"/>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BD7237">
        <w:rPr>
          <w:rFonts w:ascii="Times New Roman" w:hAnsi="Times New Roman" w:cs="Times New Roman"/>
          <w:spacing w:val="-2"/>
        </w:rPr>
        <w:t xml:space="preserve">the </w:t>
      </w:r>
      <w:r w:rsidRPr="00BD7237">
        <w:rPr>
          <w:rFonts w:ascii="Times New Roman" w:hAnsi="Times New Roman" w:cs="Times New Roman"/>
        </w:rPr>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sidRPr="00BD7237">
        <w:rPr>
          <w:rFonts w:ascii="Times New Roman" w:hAnsi="Times New Roman" w:cs="Times New Roman"/>
          <w:spacing w:val="-43"/>
        </w:rPr>
        <w:t xml:space="preserve"> </w:t>
      </w:r>
      <w:r w:rsidRPr="00BD7237">
        <w:rPr>
          <w:rFonts w:ascii="Times New Roman" w:hAnsi="Times New Roman" w:cs="Times New Roman"/>
        </w:rPr>
        <w:t>collection.</w:t>
      </w:r>
    </w:p>
    <w:p w:rsidR="00E376AE" w:rsidRPr="00BD7237" w:rsidP="00E376AE" w14:paraId="187A9B31" w14:textId="77777777">
      <w:pPr>
        <w:pStyle w:val="Heading1"/>
        <w:tabs>
          <w:tab w:val="left" w:pos="360"/>
        </w:tabs>
        <w:spacing w:before="185"/>
        <w:ind w:left="0"/>
        <w:rPr>
          <w:rFonts w:ascii="Times New Roman" w:hAnsi="Times New Roman" w:cs="Times New Roman"/>
        </w:rPr>
      </w:pP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7"/>
        <w:gridCol w:w="1222"/>
        <w:gridCol w:w="1560"/>
        <w:gridCol w:w="1404"/>
        <w:gridCol w:w="1270"/>
        <w:gridCol w:w="1289"/>
        <w:gridCol w:w="1270"/>
      </w:tblGrid>
      <w:tr w14:paraId="2161B26A" w14:textId="77777777" w:rsidTr="001E04B0">
        <w:tblPrEx>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27" w:type="dxa"/>
            <w:tcBorders>
              <w:bottom w:val="single" w:sz="4" w:space="0" w:color="auto"/>
            </w:tcBorders>
          </w:tcPr>
          <w:p w:rsidR="00E376AE" w:rsidRPr="00E376AE" w:rsidP="00E376AE" w14:paraId="32A062BF" w14:textId="77777777">
            <w:pPr>
              <w:rPr>
                <w:rFonts w:ascii="Times New Roman" w:hAnsi="Times New Roman" w:cs="Times New Roman"/>
                <w:b/>
                <w:color w:val="000000"/>
                <w:sz w:val="24"/>
              </w:rPr>
            </w:pPr>
            <w:r w:rsidRPr="00E376AE">
              <w:rPr>
                <w:rFonts w:ascii="Times New Roman" w:hAnsi="Times New Roman" w:cs="Times New Roman"/>
                <w:b/>
                <w:color w:val="000000"/>
                <w:sz w:val="24"/>
              </w:rPr>
              <w:t>Year</w:t>
            </w:r>
          </w:p>
        </w:tc>
        <w:tc>
          <w:tcPr>
            <w:tcW w:w="1222" w:type="dxa"/>
            <w:tcBorders>
              <w:bottom w:val="single" w:sz="4" w:space="0" w:color="auto"/>
            </w:tcBorders>
          </w:tcPr>
          <w:p w:rsidR="00E376AE" w:rsidRPr="00E376AE" w:rsidP="001E04B0" w14:paraId="4DF8F8DA" w14:textId="77777777">
            <w:pPr>
              <w:rPr>
                <w:rFonts w:ascii="Times New Roman" w:hAnsi="Times New Roman" w:cs="Times New Roman"/>
                <w:b/>
                <w:color w:val="000000"/>
                <w:sz w:val="24"/>
              </w:rPr>
            </w:pPr>
            <w:r w:rsidRPr="00E376AE">
              <w:rPr>
                <w:rFonts w:ascii="Times New Roman" w:hAnsi="Times New Roman" w:cs="Times New Roman"/>
                <w:b/>
                <w:color w:val="000000"/>
                <w:sz w:val="24"/>
              </w:rPr>
              <w:t>Region</w:t>
            </w:r>
          </w:p>
        </w:tc>
        <w:tc>
          <w:tcPr>
            <w:tcW w:w="1560" w:type="dxa"/>
            <w:tcBorders>
              <w:bottom w:val="single" w:sz="4" w:space="0" w:color="auto"/>
            </w:tcBorders>
          </w:tcPr>
          <w:p w:rsidR="00E376AE" w:rsidRPr="00E376AE" w:rsidP="001E04B0" w14:paraId="636F9743" w14:textId="77777777">
            <w:pPr>
              <w:rPr>
                <w:rFonts w:ascii="Times New Roman" w:hAnsi="Times New Roman" w:cs="Times New Roman"/>
                <w:b/>
                <w:color w:val="000000"/>
                <w:sz w:val="24"/>
              </w:rPr>
            </w:pPr>
            <w:r w:rsidRPr="00E376AE">
              <w:rPr>
                <w:rFonts w:ascii="Times New Roman" w:hAnsi="Times New Roman" w:cs="Times New Roman"/>
                <w:b/>
                <w:color w:val="000000"/>
                <w:sz w:val="24"/>
              </w:rPr>
              <w:t>Respondent Universe*</w:t>
            </w:r>
          </w:p>
        </w:tc>
        <w:tc>
          <w:tcPr>
            <w:tcW w:w="1404" w:type="dxa"/>
            <w:tcBorders>
              <w:bottom w:val="single" w:sz="4" w:space="0" w:color="auto"/>
            </w:tcBorders>
          </w:tcPr>
          <w:p w:rsidR="00E376AE" w:rsidRPr="00E376AE" w:rsidP="001E04B0" w14:paraId="4B0ADDE6" w14:textId="77777777">
            <w:pPr>
              <w:rPr>
                <w:rFonts w:ascii="Times New Roman" w:hAnsi="Times New Roman" w:cs="Times New Roman"/>
                <w:b/>
                <w:color w:val="000000"/>
                <w:sz w:val="24"/>
              </w:rPr>
            </w:pPr>
            <w:r w:rsidRPr="00E376AE">
              <w:rPr>
                <w:rFonts w:ascii="Times New Roman" w:hAnsi="Times New Roman" w:cs="Times New Roman"/>
                <w:b/>
                <w:color w:val="000000"/>
                <w:sz w:val="24"/>
              </w:rPr>
              <w:t>Total Desired Responses</w:t>
            </w:r>
          </w:p>
        </w:tc>
        <w:tc>
          <w:tcPr>
            <w:tcW w:w="1270" w:type="dxa"/>
            <w:tcBorders>
              <w:bottom w:val="single" w:sz="4" w:space="0" w:color="auto"/>
            </w:tcBorders>
          </w:tcPr>
          <w:p w:rsidR="00E376AE" w:rsidRPr="00E376AE" w:rsidP="001E04B0" w14:paraId="7AEFA45B" w14:textId="77777777">
            <w:pPr>
              <w:rPr>
                <w:rFonts w:ascii="Times New Roman" w:hAnsi="Times New Roman" w:cs="Times New Roman"/>
                <w:b/>
                <w:color w:val="000000"/>
                <w:sz w:val="24"/>
              </w:rPr>
            </w:pPr>
            <w:r w:rsidRPr="00E376AE">
              <w:rPr>
                <w:rFonts w:ascii="Times New Roman" w:hAnsi="Times New Roman" w:cs="Times New Roman"/>
                <w:b/>
                <w:color w:val="000000"/>
                <w:sz w:val="24"/>
              </w:rPr>
              <w:t>Responses</w:t>
            </w:r>
          </w:p>
        </w:tc>
        <w:tc>
          <w:tcPr>
            <w:tcW w:w="1289" w:type="dxa"/>
            <w:tcBorders>
              <w:bottom w:val="single" w:sz="4" w:space="0" w:color="auto"/>
            </w:tcBorders>
          </w:tcPr>
          <w:p w:rsidR="00E376AE" w:rsidRPr="00E376AE" w:rsidP="001E04B0" w14:paraId="56813529" w14:textId="77777777">
            <w:pPr>
              <w:rPr>
                <w:rFonts w:ascii="Times New Roman" w:hAnsi="Times New Roman" w:cs="Times New Roman"/>
                <w:b/>
                <w:color w:val="000000"/>
                <w:sz w:val="24"/>
              </w:rPr>
            </w:pPr>
            <w:r w:rsidRPr="00E376AE">
              <w:rPr>
                <w:rFonts w:ascii="Times New Roman" w:hAnsi="Times New Roman" w:cs="Times New Roman"/>
                <w:b/>
                <w:color w:val="000000"/>
                <w:sz w:val="24"/>
              </w:rPr>
              <w:t>Response Rate (Est.) **</w:t>
            </w:r>
          </w:p>
        </w:tc>
        <w:tc>
          <w:tcPr>
            <w:tcW w:w="1270" w:type="dxa"/>
            <w:tcBorders>
              <w:bottom w:val="single" w:sz="4" w:space="0" w:color="auto"/>
            </w:tcBorders>
          </w:tcPr>
          <w:p w:rsidR="00E376AE" w:rsidRPr="00E376AE" w:rsidP="001E04B0" w14:paraId="35E15AB5" w14:textId="77777777">
            <w:pPr>
              <w:rPr>
                <w:rFonts w:ascii="Times New Roman" w:hAnsi="Times New Roman" w:cs="Times New Roman"/>
                <w:b/>
                <w:color w:val="000000"/>
                <w:sz w:val="24"/>
              </w:rPr>
            </w:pPr>
            <w:r w:rsidRPr="00E376AE">
              <w:rPr>
                <w:rFonts w:ascii="Times New Roman" w:hAnsi="Times New Roman" w:cs="Times New Roman"/>
                <w:b/>
                <w:color w:val="000000"/>
                <w:sz w:val="24"/>
              </w:rPr>
              <w:t>Number Contacted</w:t>
            </w:r>
          </w:p>
        </w:tc>
      </w:tr>
      <w:tr w14:paraId="215B0D29" w14:textId="77777777" w:rsidTr="001E04B0">
        <w:tblPrEx>
          <w:tblW w:w="0" w:type="auto"/>
          <w:tblInd w:w="508" w:type="dxa"/>
          <w:tblLook w:val="01E0"/>
        </w:tblPrEx>
        <w:tc>
          <w:tcPr>
            <w:tcW w:w="827" w:type="dxa"/>
          </w:tcPr>
          <w:p w:rsidR="00E376AE" w:rsidRPr="00E376AE" w:rsidP="001E04B0" w14:paraId="3C064C1F" w14:textId="77777777">
            <w:pPr>
              <w:rPr>
                <w:rFonts w:ascii="Times New Roman" w:hAnsi="Times New Roman" w:cs="Times New Roman"/>
                <w:color w:val="000000"/>
                <w:sz w:val="24"/>
              </w:rPr>
            </w:pPr>
            <w:r w:rsidRPr="00E376AE">
              <w:rPr>
                <w:rFonts w:ascii="Times New Roman" w:hAnsi="Times New Roman" w:cs="Times New Roman"/>
                <w:color w:val="000000"/>
                <w:sz w:val="24"/>
              </w:rPr>
              <w:t>2017</w:t>
            </w:r>
          </w:p>
        </w:tc>
        <w:tc>
          <w:tcPr>
            <w:tcW w:w="1222" w:type="dxa"/>
          </w:tcPr>
          <w:p w:rsidR="00E376AE" w:rsidRPr="00E376AE" w:rsidP="001E04B0" w14:paraId="58A32344" w14:textId="77777777">
            <w:pPr>
              <w:rPr>
                <w:rFonts w:ascii="Times New Roman" w:hAnsi="Times New Roman" w:cs="Times New Roman"/>
                <w:color w:val="000000"/>
                <w:sz w:val="24"/>
              </w:rPr>
            </w:pPr>
            <w:r w:rsidRPr="00E376AE">
              <w:rPr>
                <w:rFonts w:ascii="Times New Roman" w:hAnsi="Times New Roman" w:cs="Times New Roman"/>
                <w:color w:val="000000"/>
                <w:sz w:val="24"/>
              </w:rPr>
              <w:t>U.S. West Coast Region</w:t>
            </w:r>
          </w:p>
        </w:tc>
        <w:tc>
          <w:tcPr>
            <w:tcW w:w="1560" w:type="dxa"/>
          </w:tcPr>
          <w:p w:rsidR="00E376AE" w:rsidRPr="00E376AE" w:rsidP="001E04B0" w14:paraId="058CD806" w14:textId="77777777">
            <w:pPr>
              <w:rPr>
                <w:rFonts w:ascii="Times New Roman" w:hAnsi="Times New Roman" w:cs="Times New Roman"/>
                <w:color w:val="000000"/>
                <w:sz w:val="24"/>
              </w:rPr>
            </w:pPr>
            <w:r w:rsidRPr="00E376AE">
              <w:rPr>
                <w:rFonts w:ascii="Times New Roman" w:hAnsi="Times New Roman" w:cs="Times New Roman"/>
                <w:color w:val="000000"/>
                <w:sz w:val="24"/>
              </w:rPr>
              <w:t>2,842</w:t>
            </w:r>
          </w:p>
        </w:tc>
        <w:tc>
          <w:tcPr>
            <w:tcW w:w="1404" w:type="dxa"/>
          </w:tcPr>
          <w:p w:rsidR="00E376AE" w:rsidRPr="00E376AE" w:rsidP="001E04B0" w14:paraId="07481C60" w14:textId="77777777">
            <w:pPr>
              <w:rPr>
                <w:rFonts w:ascii="Times New Roman" w:hAnsi="Times New Roman" w:cs="Times New Roman"/>
                <w:color w:val="000000"/>
                <w:sz w:val="24"/>
              </w:rPr>
            </w:pPr>
            <w:r w:rsidRPr="00E376AE">
              <w:rPr>
                <w:rFonts w:ascii="Times New Roman" w:hAnsi="Times New Roman" w:cs="Times New Roman"/>
                <w:color w:val="000000"/>
                <w:sz w:val="24"/>
              </w:rPr>
              <w:t>1,771</w:t>
            </w:r>
          </w:p>
        </w:tc>
        <w:tc>
          <w:tcPr>
            <w:tcW w:w="1270" w:type="dxa"/>
          </w:tcPr>
          <w:p w:rsidR="00E376AE" w:rsidRPr="00E376AE" w:rsidP="001E04B0" w14:paraId="74753935" w14:textId="77777777">
            <w:pPr>
              <w:rPr>
                <w:rFonts w:ascii="Times New Roman" w:hAnsi="Times New Roman" w:cs="Times New Roman"/>
                <w:color w:val="000000"/>
                <w:sz w:val="24"/>
              </w:rPr>
            </w:pPr>
            <w:r w:rsidRPr="00E376AE">
              <w:rPr>
                <w:rFonts w:ascii="Times New Roman" w:hAnsi="Times New Roman" w:cs="Times New Roman"/>
                <w:color w:val="000000"/>
                <w:sz w:val="24"/>
              </w:rPr>
              <w:t>1444</w:t>
            </w:r>
          </w:p>
        </w:tc>
        <w:tc>
          <w:tcPr>
            <w:tcW w:w="1289" w:type="dxa"/>
          </w:tcPr>
          <w:p w:rsidR="00E376AE" w:rsidRPr="00E376AE" w:rsidP="001E04B0" w14:paraId="50209825" w14:textId="77777777">
            <w:pPr>
              <w:rPr>
                <w:rFonts w:ascii="Times New Roman" w:hAnsi="Times New Roman" w:cs="Times New Roman"/>
                <w:color w:val="000000"/>
                <w:sz w:val="24"/>
              </w:rPr>
            </w:pPr>
            <w:r w:rsidRPr="00E376AE">
              <w:rPr>
                <w:rFonts w:ascii="Times New Roman" w:hAnsi="Times New Roman" w:cs="Times New Roman"/>
                <w:color w:val="000000"/>
                <w:sz w:val="24"/>
              </w:rPr>
              <w:t>50.8%</w:t>
            </w:r>
          </w:p>
          <w:p w:rsidR="00E376AE" w:rsidRPr="00E376AE" w:rsidP="001E04B0" w14:paraId="0D79A0E1" w14:textId="77777777">
            <w:pPr>
              <w:rPr>
                <w:rFonts w:ascii="Times New Roman" w:hAnsi="Times New Roman" w:cs="Times New Roman"/>
                <w:color w:val="000000"/>
                <w:sz w:val="24"/>
              </w:rPr>
            </w:pPr>
          </w:p>
        </w:tc>
        <w:tc>
          <w:tcPr>
            <w:tcW w:w="1270" w:type="dxa"/>
          </w:tcPr>
          <w:p w:rsidR="00E376AE" w:rsidRPr="00E376AE" w:rsidP="001E04B0" w14:paraId="0E1D9EA0" w14:textId="77777777">
            <w:pPr>
              <w:rPr>
                <w:rFonts w:ascii="Times New Roman" w:hAnsi="Times New Roman" w:cs="Times New Roman"/>
                <w:color w:val="000000"/>
                <w:sz w:val="24"/>
              </w:rPr>
            </w:pPr>
            <w:r w:rsidRPr="00E376AE">
              <w:rPr>
                <w:rFonts w:ascii="Times New Roman" w:hAnsi="Times New Roman" w:cs="Times New Roman"/>
                <w:color w:val="000000"/>
                <w:sz w:val="24"/>
              </w:rPr>
              <w:t>2,842</w:t>
            </w:r>
          </w:p>
        </w:tc>
      </w:tr>
      <w:tr w14:paraId="0830D5D1" w14:textId="77777777" w:rsidTr="00645246">
        <w:tblPrEx>
          <w:tblW w:w="0" w:type="auto"/>
          <w:tblInd w:w="508" w:type="dxa"/>
          <w:tblLook w:val="01E0"/>
        </w:tblPrEx>
        <w:tc>
          <w:tcPr>
            <w:tcW w:w="827" w:type="dxa"/>
            <w:tcBorders>
              <w:bottom w:val="single" w:sz="4" w:space="0" w:color="auto"/>
            </w:tcBorders>
          </w:tcPr>
          <w:p w:rsidR="00E376AE" w:rsidRPr="00E376AE" w:rsidP="001E04B0" w14:paraId="3D1497BD" w14:textId="77777777">
            <w:pPr>
              <w:rPr>
                <w:rFonts w:ascii="Times New Roman" w:hAnsi="Times New Roman" w:cs="Times New Roman"/>
                <w:color w:val="000000"/>
                <w:sz w:val="24"/>
              </w:rPr>
            </w:pPr>
            <w:r w:rsidRPr="00E376AE">
              <w:rPr>
                <w:rFonts w:ascii="Times New Roman" w:hAnsi="Times New Roman" w:cs="Times New Roman"/>
                <w:color w:val="000000"/>
                <w:sz w:val="24"/>
              </w:rPr>
              <w:t>2020</w:t>
            </w:r>
          </w:p>
        </w:tc>
        <w:tc>
          <w:tcPr>
            <w:tcW w:w="1222" w:type="dxa"/>
            <w:tcBorders>
              <w:bottom w:val="single" w:sz="4" w:space="0" w:color="auto"/>
            </w:tcBorders>
          </w:tcPr>
          <w:p w:rsidR="00E376AE" w:rsidRPr="00E376AE" w:rsidP="001E04B0" w14:paraId="5A0E1031" w14:textId="77777777">
            <w:pPr>
              <w:rPr>
                <w:rFonts w:ascii="Times New Roman" w:hAnsi="Times New Roman" w:cs="Times New Roman"/>
                <w:color w:val="000000"/>
                <w:sz w:val="24"/>
              </w:rPr>
            </w:pPr>
            <w:r w:rsidRPr="00E376AE">
              <w:rPr>
                <w:rFonts w:ascii="Times New Roman" w:hAnsi="Times New Roman" w:cs="Times New Roman"/>
                <w:color w:val="000000"/>
                <w:sz w:val="24"/>
              </w:rPr>
              <w:t>U.S West Coast Region</w:t>
            </w:r>
          </w:p>
        </w:tc>
        <w:tc>
          <w:tcPr>
            <w:tcW w:w="1560" w:type="dxa"/>
            <w:tcBorders>
              <w:bottom w:val="single" w:sz="4" w:space="0" w:color="auto"/>
            </w:tcBorders>
          </w:tcPr>
          <w:p w:rsidR="00E376AE" w:rsidRPr="00E376AE" w:rsidP="001E04B0" w14:paraId="688FFC2B" w14:textId="77777777">
            <w:pPr>
              <w:rPr>
                <w:rFonts w:ascii="Times New Roman" w:hAnsi="Times New Roman" w:cs="Times New Roman"/>
                <w:color w:val="000000"/>
                <w:sz w:val="24"/>
              </w:rPr>
            </w:pPr>
            <w:r w:rsidRPr="00E376AE">
              <w:rPr>
                <w:rFonts w:ascii="Times New Roman" w:hAnsi="Times New Roman" w:cs="Times New Roman"/>
                <w:color w:val="000000"/>
                <w:sz w:val="24"/>
              </w:rPr>
              <w:t>2,725</w:t>
            </w:r>
          </w:p>
        </w:tc>
        <w:tc>
          <w:tcPr>
            <w:tcW w:w="1404" w:type="dxa"/>
            <w:tcBorders>
              <w:bottom w:val="single" w:sz="4" w:space="0" w:color="auto"/>
            </w:tcBorders>
          </w:tcPr>
          <w:p w:rsidR="00E376AE" w:rsidRPr="00E376AE" w:rsidP="001E04B0" w14:paraId="76C9EBB0" w14:textId="77777777">
            <w:pPr>
              <w:rPr>
                <w:rFonts w:ascii="Times New Roman" w:hAnsi="Times New Roman" w:cs="Times New Roman"/>
                <w:color w:val="000000"/>
                <w:sz w:val="24"/>
              </w:rPr>
            </w:pPr>
            <w:r w:rsidRPr="00E376AE">
              <w:rPr>
                <w:rFonts w:ascii="Times New Roman" w:hAnsi="Times New Roman" w:cs="Times New Roman"/>
                <w:color w:val="000000"/>
                <w:sz w:val="24"/>
              </w:rPr>
              <w:t>1,698</w:t>
            </w:r>
          </w:p>
        </w:tc>
        <w:tc>
          <w:tcPr>
            <w:tcW w:w="1270" w:type="dxa"/>
            <w:tcBorders>
              <w:bottom w:val="single" w:sz="4" w:space="0" w:color="auto"/>
            </w:tcBorders>
          </w:tcPr>
          <w:p w:rsidR="00E376AE" w:rsidRPr="00E376AE" w:rsidP="001E04B0" w14:paraId="3B63B89F" w14:textId="77777777">
            <w:pPr>
              <w:rPr>
                <w:rFonts w:ascii="Times New Roman" w:hAnsi="Times New Roman" w:cs="Times New Roman"/>
                <w:color w:val="000000"/>
                <w:sz w:val="24"/>
              </w:rPr>
            </w:pPr>
            <w:r w:rsidRPr="00E376AE">
              <w:rPr>
                <w:rFonts w:ascii="Times New Roman" w:hAnsi="Times New Roman" w:cs="Times New Roman"/>
                <w:color w:val="000000"/>
                <w:sz w:val="24"/>
              </w:rPr>
              <w:t>1452</w:t>
            </w:r>
          </w:p>
        </w:tc>
        <w:tc>
          <w:tcPr>
            <w:tcW w:w="1289" w:type="dxa"/>
            <w:tcBorders>
              <w:bottom w:val="single" w:sz="4" w:space="0" w:color="auto"/>
            </w:tcBorders>
          </w:tcPr>
          <w:p w:rsidR="00E376AE" w:rsidRPr="00E376AE" w:rsidP="001E04B0" w14:paraId="7BAE84FF" w14:textId="77777777">
            <w:pPr>
              <w:rPr>
                <w:rFonts w:ascii="Times New Roman" w:hAnsi="Times New Roman" w:cs="Times New Roman"/>
                <w:color w:val="000000"/>
                <w:sz w:val="24"/>
              </w:rPr>
            </w:pPr>
            <w:r w:rsidRPr="00E376AE">
              <w:rPr>
                <w:rFonts w:ascii="Times New Roman" w:hAnsi="Times New Roman" w:cs="Times New Roman"/>
                <w:color w:val="000000"/>
                <w:sz w:val="24"/>
              </w:rPr>
              <w:t>53.2 %</w:t>
            </w:r>
          </w:p>
        </w:tc>
        <w:tc>
          <w:tcPr>
            <w:tcW w:w="1270" w:type="dxa"/>
            <w:tcBorders>
              <w:bottom w:val="single" w:sz="4" w:space="0" w:color="auto"/>
            </w:tcBorders>
          </w:tcPr>
          <w:p w:rsidR="00E376AE" w:rsidRPr="00E376AE" w:rsidP="001E04B0" w14:paraId="713137A6" w14:textId="77777777">
            <w:pPr>
              <w:rPr>
                <w:rFonts w:ascii="Times New Roman" w:hAnsi="Times New Roman" w:cs="Times New Roman"/>
                <w:color w:val="000000"/>
                <w:sz w:val="24"/>
              </w:rPr>
            </w:pPr>
            <w:r w:rsidRPr="00E376AE">
              <w:rPr>
                <w:rFonts w:ascii="Times New Roman" w:hAnsi="Times New Roman" w:cs="Times New Roman"/>
                <w:color w:val="000000"/>
                <w:sz w:val="24"/>
              </w:rPr>
              <w:t>2,725</w:t>
            </w:r>
          </w:p>
        </w:tc>
      </w:tr>
      <w:tr w14:paraId="7ECBECC2" w14:textId="77777777" w:rsidTr="00645246">
        <w:tblPrEx>
          <w:tblW w:w="0" w:type="auto"/>
          <w:tblInd w:w="508" w:type="dxa"/>
          <w:tblLook w:val="01E0"/>
        </w:tblPrEx>
        <w:tc>
          <w:tcPr>
            <w:tcW w:w="827" w:type="dxa"/>
            <w:tcBorders>
              <w:bottom w:val="single" w:sz="4" w:space="0" w:color="auto"/>
            </w:tcBorders>
          </w:tcPr>
          <w:p w:rsidR="00645246" w:rsidRPr="00E376AE" w:rsidP="00645246" w14:paraId="550F46E0" w14:textId="71B9E9AB">
            <w:pPr>
              <w:rPr>
                <w:rFonts w:ascii="Times New Roman" w:hAnsi="Times New Roman" w:cs="Times New Roman"/>
                <w:color w:val="000000"/>
                <w:sz w:val="24"/>
              </w:rPr>
            </w:pPr>
            <w:r>
              <w:rPr>
                <w:rFonts w:ascii="Times New Roman" w:hAnsi="Times New Roman" w:cs="Times New Roman"/>
                <w:color w:val="000000"/>
                <w:sz w:val="24"/>
              </w:rPr>
              <w:t>2023</w:t>
            </w:r>
          </w:p>
        </w:tc>
        <w:tc>
          <w:tcPr>
            <w:tcW w:w="1222" w:type="dxa"/>
            <w:tcBorders>
              <w:bottom w:val="single" w:sz="4" w:space="0" w:color="auto"/>
            </w:tcBorders>
          </w:tcPr>
          <w:p w:rsidR="00645246" w:rsidRPr="00E376AE" w:rsidP="00645246" w14:paraId="461EE7E6" w14:textId="4235F3CE">
            <w:pPr>
              <w:rPr>
                <w:rFonts w:ascii="Times New Roman" w:hAnsi="Times New Roman" w:cs="Times New Roman"/>
                <w:color w:val="000000"/>
                <w:sz w:val="24"/>
              </w:rPr>
            </w:pPr>
            <w:r w:rsidRPr="00E376AE">
              <w:rPr>
                <w:rFonts w:ascii="Times New Roman" w:hAnsi="Times New Roman" w:cs="Times New Roman"/>
                <w:color w:val="000000"/>
                <w:sz w:val="24"/>
              </w:rPr>
              <w:t>U.S West Coast Region</w:t>
            </w:r>
          </w:p>
        </w:tc>
        <w:tc>
          <w:tcPr>
            <w:tcW w:w="1560" w:type="dxa"/>
            <w:tcBorders>
              <w:bottom w:val="single" w:sz="4" w:space="0" w:color="auto"/>
            </w:tcBorders>
          </w:tcPr>
          <w:p w:rsidR="00645246" w:rsidRPr="00E376AE" w:rsidP="00645246" w14:paraId="2AB34B4E" w14:textId="187C9E9C">
            <w:pPr>
              <w:rPr>
                <w:rFonts w:ascii="Times New Roman" w:hAnsi="Times New Roman" w:cs="Times New Roman"/>
                <w:color w:val="000000"/>
                <w:sz w:val="24"/>
              </w:rPr>
            </w:pPr>
            <w:r w:rsidRPr="00E376AE">
              <w:rPr>
                <w:rFonts w:ascii="Times New Roman" w:hAnsi="Times New Roman" w:cs="Times New Roman"/>
                <w:color w:val="000000"/>
                <w:sz w:val="24"/>
              </w:rPr>
              <w:t>2,</w:t>
            </w:r>
            <w:r>
              <w:rPr>
                <w:rFonts w:ascii="Times New Roman" w:hAnsi="Times New Roman" w:cs="Times New Roman"/>
                <w:color w:val="000000"/>
                <w:sz w:val="24"/>
              </w:rPr>
              <w:t>966</w:t>
            </w:r>
          </w:p>
        </w:tc>
        <w:tc>
          <w:tcPr>
            <w:tcW w:w="1404" w:type="dxa"/>
            <w:tcBorders>
              <w:bottom w:val="single" w:sz="4" w:space="0" w:color="auto"/>
            </w:tcBorders>
          </w:tcPr>
          <w:p w:rsidR="00645246" w:rsidRPr="00E376AE" w:rsidP="00645246" w14:paraId="3B5CC6A1" w14:textId="5BD1AD91">
            <w:pPr>
              <w:rPr>
                <w:rFonts w:ascii="Times New Roman" w:hAnsi="Times New Roman" w:cs="Times New Roman"/>
                <w:color w:val="000000"/>
                <w:sz w:val="24"/>
              </w:rPr>
            </w:pPr>
            <w:r w:rsidRPr="00E376AE">
              <w:rPr>
                <w:rFonts w:ascii="Times New Roman" w:hAnsi="Times New Roman" w:cs="Times New Roman"/>
                <w:color w:val="000000"/>
                <w:sz w:val="24"/>
              </w:rPr>
              <w:t>1,</w:t>
            </w:r>
            <w:r>
              <w:rPr>
                <w:rFonts w:ascii="Times New Roman" w:hAnsi="Times New Roman" w:cs="Times New Roman"/>
                <w:color w:val="000000"/>
                <w:sz w:val="24"/>
              </w:rPr>
              <w:t>483</w:t>
            </w:r>
          </w:p>
        </w:tc>
        <w:tc>
          <w:tcPr>
            <w:tcW w:w="1270" w:type="dxa"/>
            <w:tcBorders>
              <w:bottom w:val="single" w:sz="4" w:space="0" w:color="auto"/>
            </w:tcBorders>
          </w:tcPr>
          <w:p w:rsidR="00645246" w:rsidRPr="00E376AE" w:rsidP="00645246" w14:paraId="713CD96A" w14:textId="3BED4DDD">
            <w:pPr>
              <w:rPr>
                <w:rFonts w:ascii="Times New Roman" w:hAnsi="Times New Roman" w:cs="Times New Roman"/>
                <w:color w:val="000000"/>
                <w:sz w:val="24"/>
              </w:rPr>
            </w:pPr>
            <w:r>
              <w:rPr>
                <w:rFonts w:ascii="Times New Roman" w:hAnsi="Times New Roman" w:cs="Times New Roman"/>
                <w:color w:val="000000"/>
                <w:sz w:val="24"/>
              </w:rPr>
              <w:t>1162</w:t>
            </w:r>
          </w:p>
        </w:tc>
        <w:tc>
          <w:tcPr>
            <w:tcW w:w="1289" w:type="dxa"/>
            <w:tcBorders>
              <w:bottom w:val="single" w:sz="4" w:space="0" w:color="auto"/>
            </w:tcBorders>
          </w:tcPr>
          <w:p w:rsidR="00645246" w:rsidRPr="00E376AE" w:rsidP="00645246" w14:paraId="466DA9EC" w14:textId="600F79EB">
            <w:pPr>
              <w:rPr>
                <w:rFonts w:ascii="Times New Roman" w:hAnsi="Times New Roman" w:cs="Times New Roman"/>
                <w:color w:val="000000"/>
                <w:sz w:val="24"/>
              </w:rPr>
            </w:pPr>
            <w:r>
              <w:rPr>
                <w:rFonts w:ascii="Times New Roman" w:hAnsi="Times New Roman" w:cs="Times New Roman"/>
                <w:color w:val="000000"/>
                <w:sz w:val="24"/>
              </w:rPr>
              <w:t>39</w:t>
            </w:r>
            <w:r w:rsidRPr="00E376AE">
              <w:rPr>
                <w:rFonts w:ascii="Times New Roman" w:hAnsi="Times New Roman" w:cs="Times New Roman"/>
                <w:color w:val="000000"/>
                <w:sz w:val="24"/>
              </w:rPr>
              <w:t>.2 %</w:t>
            </w:r>
          </w:p>
        </w:tc>
        <w:tc>
          <w:tcPr>
            <w:tcW w:w="1270" w:type="dxa"/>
            <w:tcBorders>
              <w:bottom w:val="single" w:sz="4" w:space="0" w:color="auto"/>
            </w:tcBorders>
          </w:tcPr>
          <w:p w:rsidR="00645246" w:rsidRPr="00E376AE" w:rsidP="00645246" w14:paraId="781CAAA8" w14:textId="7CD5FA8B">
            <w:pPr>
              <w:rPr>
                <w:rFonts w:ascii="Times New Roman" w:hAnsi="Times New Roman" w:cs="Times New Roman"/>
                <w:color w:val="000000"/>
                <w:sz w:val="24"/>
              </w:rPr>
            </w:pPr>
            <w:r w:rsidRPr="00E376AE">
              <w:rPr>
                <w:rFonts w:ascii="Times New Roman" w:hAnsi="Times New Roman" w:cs="Times New Roman"/>
                <w:color w:val="000000"/>
                <w:sz w:val="24"/>
              </w:rPr>
              <w:t>2,</w:t>
            </w:r>
            <w:r>
              <w:rPr>
                <w:rFonts w:ascii="Times New Roman" w:hAnsi="Times New Roman" w:cs="Times New Roman"/>
                <w:color w:val="000000"/>
                <w:sz w:val="24"/>
              </w:rPr>
              <w:t>966</w:t>
            </w:r>
          </w:p>
        </w:tc>
      </w:tr>
    </w:tbl>
    <w:p w:rsidR="00E376AE" w:rsidRPr="00E376AE" w:rsidP="00E376AE" w14:paraId="548765CD" w14:textId="77777777">
      <w:pPr>
        <w:rPr>
          <w:rFonts w:ascii="Times New Roman" w:hAnsi="Times New Roman" w:cs="Times New Roman"/>
          <w:color w:val="000000"/>
          <w:sz w:val="24"/>
        </w:rPr>
      </w:pPr>
    </w:p>
    <w:p w:rsidR="00645246" w:rsidP="00E376AE" w14:paraId="09B959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sz w:val="24"/>
          <w:szCs w:val="24"/>
        </w:rPr>
      </w:pPr>
    </w:p>
    <w:p w:rsidR="00E376AE" w:rsidRPr="00E376AE" w:rsidP="00E376AE" w14:paraId="6959501F" w14:textId="44FC46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sz w:val="24"/>
          <w:szCs w:val="24"/>
        </w:rPr>
      </w:pPr>
      <w:r w:rsidRPr="00E376AE">
        <w:rPr>
          <w:rFonts w:ascii="Times New Roman" w:hAnsi="Times New Roman" w:cs="Times New Roman"/>
          <w:sz w:val="24"/>
          <w:szCs w:val="24"/>
        </w:rPr>
        <w:t>*Respondent universe is equal to the total number of fishing permit holders for the U.S. West Coast region per year, for which there were 2842 in 2017 and 2,725 in 2020</w:t>
      </w:r>
      <w:r w:rsidR="00645246">
        <w:rPr>
          <w:rFonts w:ascii="Times New Roman" w:hAnsi="Times New Roman" w:cs="Times New Roman"/>
          <w:sz w:val="24"/>
          <w:szCs w:val="24"/>
        </w:rPr>
        <w:t xml:space="preserve"> and 2,966 in 2023</w:t>
      </w:r>
      <w:r w:rsidRPr="00E376AE">
        <w:rPr>
          <w:rFonts w:ascii="Times New Roman" w:hAnsi="Times New Roman" w:cs="Times New Roman"/>
          <w:sz w:val="24"/>
          <w:szCs w:val="24"/>
        </w:rPr>
        <w:t>.</w:t>
      </w:r>
    </w:p>
    <w:p w:rsidR="00E376AE" w:rsidRPr="00E376AE" w:rsidP="00E376AE" w14:paraId="2263AF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sz w:val="24"/>
          <w:szCs w:val="24"/>
        </w:rPr>
      </w:pPr>
    </w:p>
    <w:p w:rsidR="00E376AE" w:rsidRPr="00E376AE" w:rsidP="00E376AE" w14:paraId="655531FD" w14:textId="5EF7B1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sz w:val="24"/>
          <w:szCs w:val="24"/>
        </w:rPr>
      </w:pPr>
      <w:r w:rsidRPr="00E376AE">
        <w:rPr>
          <w:rFonts w:ascii="Times New Roman" w:hAnsi="Times New Roman" w:cs="Times New Roman"/>
          <w:sz w:val="24"/>
          <w:szCs w:val="24"/>
        </w:rPr>
        <w:t>**Actual response rate based upon prior work by Norman, et al. (2022) and Holland, et al. (2019).  This was in keeping with similar work conducted by Lew, et al. (2010)</w:t>
      </w:r>
      <w:r w:rsidR="00645246">
        <w:rPr>
          <w:rFonts w:ascii="Times New Roman" w:hAnsi="Times New Roman" w:cs="Times New Roman"/>
          <w:sz w:val="24"/>
          <w:szCs w:val="24"/>
        </w:rPr>
        <w:t xml:space="preserve"> though response rates dropped somewhat in 2023</w:t>
      </w:r>
      <w:r w:rsidRPr="00E376AE">
        <w:rPr>
          <w:rFonts w:ascii="Times New Roman" w:hAnsi="Times New Roman" w:cs="Times New Roman"/>
          <w:sz w:val="24"/>
          <w:szCs w:val="24"/>
        </w:rPr>
        <w:t>.</w:t>
      </w:r>
    </w:p>
    <w:p w:rsidR="00FE357E" w:rsidRPr="00BD7237" w:rsidP="00892544" w14:paraId="106B9ED7" w14:textId="77777777">
      <w:pPr>
        <w:spacing w:before="161"/>
        <w:rPr>
          <w:rFonts w:ascii="Times New Roman" w:hAnsi="Times New Roman" w:cs="Times New Roman"/>
          <w:b/>
          <w:sz w:val="24"/>
          <w:szCs w:val="24"/>
        </w:rPr>
      </w:pPr>
    </w:p>
    <w:p w:rsidR="00892544" w:rsidRPr="00BD7237" w:rsidP="00892544" w14:paraId="0BB94F1D" w14:textId="77777777">
      <w:pPr>
        <w:pStyle w:val="Heading1"/>
        <w:numPr>
          <w:ilvl w:val="0"/>
          <w:numId w:val="1"/>
        </w:numPr>
        <w:tabs>
          <w:tab w:val="left" w:pos="360"/>
        </w:tabs>
        <w:ind w:left="0" w:firstLine="0"/>
        <w:rPr>
          <w:rFonts w:ascii="Times New Roman" w:hAnsi="Times New Roman" w:cs="Times New Roman"/>
        </w:rPr>
      </w:pPr>
      <w:r w:rsidRPr="00BD7237">
        <w:rPr>
          <w:rFonts w:ascii="Times New Roman" w:hAnsi="Times New Roman" w:cs="Times New Roman"/>
        </w:rPr>
        <w:t>Describe the procedures for the collection of information</w:t>
      </w:r>
      <w:r w:rsidRPr="00BD7237">
        <w:rPr>
          <w:rFonts w:ascii="Times New Roman" w:hAnsi="Times New Roman" w:cs="Times New Roman"/>
          <w:spacing w:val="-36"/>
        </w:rPr>
        <w:t xml:space="preserve"> </w:t>
      </w:r>
      <w:r w:rsidRPr="00BD7237">
        <w:rPr>
          <w:rFonts w:ascii="Times New Roman" w:hAnsi="Times New Roman" w:cs="Times New Roman"/>
        </w:rPr>
        <w:t>including:</w:t>
      </w:r>
    </w:p>
    <w:p w:rsidR="00E376AE" w:rsidP="00E376AE" w14:paraId="5F1CB7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376AE" w:rsidRPr="00E376AE" w:rsidP="00E376AE" w14:paraId="6BA7F578" w14:textId="32399B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E376AE">
        <w:rPr>
          <w:rFonts w:ascii="Times New Roman" w:hAnsi="Times New Roman" w:cs="Times New Roman"/>
          <w:sz w:val="24"/>
          <w:szCs w:val="24"/>
        </w:rPr>
        <w:t>Rather than sample potential respondents, this research will be a census, directed at surveying the universe of West Coast fisheries participants, as identified by their fishing permits.  In 2017, 2,842 of these fishing permit holders were identified, with 2725</w:t>
      </w:r>
      <w:r w:rsidR="00645246">
        <w:rPr>
          <w:rFonts w:ascii="Times New Roman" w:hAnsi="Times New Roman" w:cs="Times New Roman"/>
          <w:sz w:val="24"/>
          <w:szCs w:val="24"/>
        </w:rPr>
        <w:t xml:space="preserve"> and 2,966</w:t>
      </w:r>
      <w:r w:rsidRPr="00E376AE">
        <w:rPr>
          <w:rFonts w:ascii="Times New Roman" w:hAnsi="Times New Roman" w:cs="Times New Roman"/>
          <w:sz w:val="24"/>
          <w:szCs w:val="24"/>
        </w:rPr>
        <w:t xml:space="preserve"> such permits in 2020</w:t>
      </w:r>
      <w:r w:rsidR="00645246">
        <w:rPr>
          <w:rFonts w:ascii="Times New Roman" w:hAnsi="Times New Roman" w:cs="Times New Roman"/>
          <w:sz w:val="24"/>
          <w:szCs w:val="24"/>
        </w:rPr>
        <w:t xml:space="preserve"> and 2023</w:t>
      </w:r>
      <w:r w:rsidRPr="00E376AE">
        <w:rPr>
          <w:rFonts w:ascii="Times New Roman" w:hAnsi="Times New Roman" w:cs="Times New Roman"/>
          <w:sz w:val="24"/>
          <w:szCs w:val="24"/>
        </w:rPr>
        <w:t>, and the survey will once again be distributed to each one of the identifiable permit holders.  For this reason, additional methodologies aimed at stratifying and selecting samples from this population are not required.  No specialized sampling procedures will be required, and the survey is intended as a triennial collection effort to reduce burden on the universe of potential respondents from within the U.S. West Coast’s commercial fishing population.</w:t>
      </w:r>
    </w:p>
    <w:p w:rsidR="00892544" w:rsidRPr="00BD7237" w:rsidP="00892544" w14:paraId="2580E4D2" w14:textId="77777777">
      <w:pPr>
        <w:pStyle w:val="Heading1"/>
        <w:numPr>
          <w:ilvl w:val="0"/>
          <w:numId w:val="1"/>
        </w:numPr>
        <w:tabs>
          <w:tab w:val="left" w:pos="360"/>
        </w:tabs>
        <w:spacing w:before="159"/>
        <w:ind w:left="0" w:firstLine="0"/>
        <w:rPr>
          <w:rFonts w:ascii="Times New Roman" w:hAnsi="Times New Roman" w:cs="Times New Roman"/>
        </w:rPr>
      </w:pPr>
      <w:r w:rsidRPr="00BD7237">
        <w:rPr>
          <w:rFonts w:ascii="Times New Roman" w:hAnsi="Times New Roman" w:cs="Times New Roman"/>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BD7237">
        <w:rPr>
          <w:rFonts w:ascii="Times New Roman" w:hAnsi="Times New Roman" w:cs="Times New Roman"/>
          <w:spacing w:val="-32"/>
        </w:rPr>
        <w:t xml:space="preserve"> </w:t>
      </w:r>
      <w:r w:rsidRPr="00BD7237">
        <w:rPr>
          <w:rFonts w:ascii="Times New Roman" w:hAnsi="Times New Roman" w:cs="Times New Roman"/>
        </w:rPr>
        <w:t>studied.</w:t>
      </w:r>
    </w:p>
    <w:p w:rsidR="00E376AE" w:rsidRPr="00E376AE" w:rsidP="00E376AE" w14:paraId="5CD7193D" w14:textId="4D28BC26">
      <w:pPr>
        <w:pStyle w:val="HTMLPreformatted"/>
        <w:rPr>
          <w:rFonts w:ascii="Times New Roman" w:hAnsi="Times New Roman"/>
          <w:sz w:val="24"/>
          <w:szCs w:val="24"/>
        </w:rPr>
      </w:pPr>
      <w:r w:rsidRPr="00E376AE">
        <w:rPr>
          <w:rFonts w:ascii="Times New Roman" w:hAnsi="Times New Roman"/>
          <w:sz w:val="24"/>
          <w:szCs w:val="24"/>
        </w:rPr>
        <w:t>Given the proposed survey partners and contractors’ prior experiences implementing very similar surveys both in the West Coast region and in other regions, and our own experience implementing this survey in 2017</w:t>
      </w:r>
      <w:r w:rsidR="00645246">
        <w:rPr>
          <w:rFonts w:ascii="Times New Roman" w:hAnsi="Times New Roman"/>
          <w:sz w:val="24"/>
          <w:szCs w:val="24"/>
        </w:rPr>
        <w:t>,</w:t>
      </w:r>
      <w:r w:rsidRPr="00E376AE">
        <w:rPr>
          <w:rFonts w:ascii="Times New Roman" w:hAnsi="Times New Roman"/>
          <w:sz w:val="24"/>
          <w:szCs w:val="24"/>
        </w:rPr>
        <w:t xml:space="preserve"> 2020</w:t>
      </w:r>
      <w:r w:rsidR="00645246">
        <w:rPr>
          <w:rFonts w:ascii="Times New Roman" w:hAnsi="Times New Roman"/>
          <w:sz w:val="24"/>
          <w:szCs w:val="24"/>
        </w:rPr>
        <w:t xml:space="preserve"> and 2023</w:t>
      </w:r>
      <w:r w:rsidRPr="00E376AE">
        <w:rPr>
          <w:rFonts w:ascii="Times New Roman" w:hAnsi="Times New Roman"/>
          <w:sz w:val="24"/>
          <w:szCs w:val="24"/>
        </w:rPr>
        <w:t xml:space="preserve">, we anticipate an estimated response rate of at least </w:t>
      </w:r>
      <w:r w:rsidR="00645246">
        <w:rPr>
          <w:rFonts w:ascii="Times New Roman" w:hAnsi="Times New Roman"/>
          <w:sz w:val="24"/>
          <w:szCs w:val="24"/>
        </w:rPr>
        <w:t>4</w:t>
      </w:r>
      <w:r w:rsidRPr="00E376AE">
        <w:rPr>
          <w:rFonts w:ascii="Times New Roman" w:hAnsi="Times New Roman"/>
          <w:sz w:val="24"/>
          <w:szCs w:val="24"/>
        </w:rPr>
        <w:t xml:space="preserve">0%. </w:t>
      </w:r>
    </w:p>
    <w:p w:rsidR="00E376AE" w:rsidRPr="00E376AE" w:rsidP="00E376AE" w14:paraId="42F027E8" w14:textId="77777777">
      <w:pPr>
        <w:pStyle w:val="HTMLPreformatted"/>
        <w:rPr>
          <w:rFonts w:ascii="Times New Roman" w:hAnsi="Times New Roman"/>
          <w:sz w:val="24"/>
          <w:szCs w:val="24"/>
        </w:rPr>
      </w:pPr>
    </w:p>
    <w:p w:rsidR="00E376AE" w:rsidRPr="00E376AE" w:rsidP="00E376AE" w14:paraId="1237B498" w14:textId="77777777">
      <w:pPr>
        <w:rPr>
          <w:rFonts w:ascii="Times New Roman" w:hAnsi="Times New Roman" w:cs="Times New Roman"/>
          <w:sz w:val="24"/>
          <w:szCs w:val="24"/>
        </w:rPr>
      </w:pPr>
      <w:r w:rsidRPr="00E376AE">
        <w:rPr>
          <w:rFonts w:ascii="Times New Roman" w:hAnsi="Times New Roman" w:cs="Times New Roman"/>
          <w:sz w:val="24"/>
          <w:szCs w:val="24"/>
        </w:rPr>
        <w:t>Using a survey questionnaire developed in 2017 in conjunction with the NOAA/Washington Sea Grant/ University of Washington/University of Arizona project team, the proposed survey contractor will carry out distribution of all mail surveys, and provide an SPSS data file including all variable and value labels.  The survey will be provided to the proposed mail survey contractor by the NWFSC, and will have received Office of Management and Budget (OMB) level approvals. All involved parties will have signed confidentiality statements about sharing survey data with other people and the entire process will be reviewed and approved.</w:t>
      </w:r>
    </w:p>
    <w:p w:rsidR="00E376AE" w:rsidRPr="00E376AE" w:rsidP="00E376AE" w14:paraId="7E17DF5E" w14:textId="77777777">
      <w:pPr>
        <w:pStyle w:val="ListParagraph"/>
        <w:ind w:left="400" w:firstLine="0"/>
        <w:rPr>
          <w:rFonts w:ascii="Times New Roman" w:hAnsi="Times New Roman" w:cs="Times New Roman"/>
          <w:sz w:val="24"/>
          <w:szCs w:val="24"/>
        </w:rPr>
      </w:pPr>
    </w:p>
    <w:p w:rsidR="00E376AE" w:rsidRPr="00E376AE" w:rsidP="00E376AE" w14:paraId="74E1032B" w14:textId="77777777">
      <w:pPr>
        <w:rPr>
          <w:rFonts w:ascii="Times New Roman" w:hAnsi="Times New Roman" w:cs="Times New Roman"/>
          <w:sz w:val="24"/>
          <w:szCs w:val="24"/>
        </w:rPr>
      </w:pPr>
      <w:r w:rsidRPr="00E376AE">
        <w:rPr>
          <w:rFonts w:ascii="Times New Roman" w:hAnsi="Times New Roman" w:cs="Times New Roman"/>
          <w:sz w:val="24"/>
          <w:szCs w:val="24"/>
        </w:rPr>
        <w:t>The proposed survey contractor, Hardwick Research, has suggested several steps to obtain a 50% response rate.  The first involves the use of a $5 incentive to foster survey responses.  James and Bolstein (1992) have indicated that $5 incentives at first mailing are associated with response rates at or near 50%. Additionally, the survey contractor would implement a multi-part mailing process that would include a postcard announcement notifying participants that a questionnaire will be coming and a thank you gift will be enclosed.  This would be followed by the initial mailing of the survey with incentive included and return postage-paid envelope enclosed, a second postcard reminder, and a follow-up postcard reminder to all non-responders. Prior research suggests that the inclusion of cash incentives not only increases response rates overall, but also induces demographic groups that are frequently underrepresented to respond, thereby reducing nonresponse error (Singer and Ye 2013).  Taking steps toward maximizing response rate is the first means by which we intend to prevent nonresponse error.</w:t>
      </w:r>
    </w:p>
    <w:p w:rsidR="00E376AE" w:rsidRPr="00E376AE" w:rsidP="00E376AE" w14:paraId="774389B8" w14:textId="77777777">
      <w:pPr>
        <w:pStyle w:val="ListParagraph"/>
        <w:ind w:left="400" w:firstLine="0"/>
        <w:rPr>
          <w:rFonts w:ascii="Times New Roman" w:hAnsi="Times New Roman" w:cs="Times New Roman"/>
          <w:sz w:val="24"/>
          <w:szCs w:val="24"/>
        </w:rPr>
      </w:pPr>
    </w:p>
    <w:p w:rsidR="00E376AE" w:rsidRPr="00E376AE" w:rsidP="00E376AE" w14:paraId="750756D8" w14:textId="57C3FC3E">
      <w:pPr>
        <w:rPr>
          <w:rFonts w:ascii="Times New Roman" w:hAnsi="Times New Roman" w:cs="Times New Roman"/>
          <w:sz w:val="24"/>
          <w:szCs w:val="24"/>
        </w:rPr>
      </w:pPr>
      <w:r w:rsidRPr="00E376AE">
        <w:rPr>
          <w:rFonts w:ascii="Times New Roman" w:hAnsi="Times New Roman" w:cs="Times New Roman"/>
          <w:sz w:val="24"/>
          <w:szCs w:val="24"/>
        </w:rPr>
        <w:t>Additionally, because we are interested in accounting for and correcting any nonresponse error, we will analyze for nonresponse bias in terms of distinctive demographic or geographic profiles of survey respondents as compared to non-respondents.  Analyzing for these biases will be aided in part by the research design, insofar as we are surveying the universe of West Coast fisheries permit holders and will have some of these demographic and geographic data available via the permits database.  Finally, the data should be weighted to correct for potential nonresponse biases related to the income and age of the respondents, using 2020 U.S. Census figures.  Our analyses in 2017 did not indicate any significant non-response bias based upon demographic or geographic variables, and this satisfactory outcome was also replicated in 2020</w:t>
      </w:r>
      <w:r w:rsidR="00645246">
        <w:rPr>
          <w:rFonts w:ascii="Times New Roman" w:hAnsi="Times New Roman" w:cs="Times New Roman"/>
          <w:sz w:val="24"/>
          <w:szCs w:val="24"/>
        </w:rPr>
        <w:t xml:space="preserve"> and 2023</w:t>
      </w:r>
      <w:r w:rsidRPr="00E376AE">
        <w:rPr>
          <w:rFonts w:ascii="Times New Roman" w:hAnsi="Times New Roman" w:cs="Times New Roman"/>
          <w:sz w:val="24"/>
          <w:szCs w:val="24"/>
        </w:rPr>
        <w:t>, so we do not anticipate a non-response bias in this third iteration of the survey.</w:t>
      </w:r>
    </w:p>
    <w:p w:rsidR="00892544" w:rsidRPr="00BD7237" w:rsidP="00892544" w14:paraId="359B982D" w14:textId="77777777">
      <w:pPr>
        <w:pStyle w:val="Heading1"/>
        <w:numPr>
          <w:ilvl w:val="0"/>
          <w:numId w:val="1"/>
        </w:numPr>
        <w:tabs>
          <w:tab w:val="left" w:pos="360"/>
        </w:tabs>
        <w:spacing w:before="183"/>
        <w:ind w:left="0" w:firstLine="0"/>
        <w:rPr>
          <w:rFonts w:ascii="Times New Roman" w:hAnsi="Times New Roman" w:cs="Times New Roman"/>
        </w:rPr>
      </w:pPr>
      <w:r w:rsidRPr="00BD7237">
        <w:rPr>
          <w:rFonts w:ascii="Times New Roman" w:hAnsi="Times New Roman" w:cs="Times New Roman"/>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BD7237">
        <w:rPr>
          <w:rFonts w:ascii="Times New Roman" w:hAnsi="Times New Roman" w:cs="Times New Roman"/>
          <w:spacing w:val="-4"/>
        </w:rPr>
        <w:t xml:space="preserve"> </w:t>
      </w:r>
      <w:r w:rsidRPr="00BD7237">
        <w:rPr>
          <w:rFonts w:ascii="Times New Roman" w:hAnsi="Times New Roman" w:cs="Times New Roman"/>
        </w:rPr>
        <w:t>information.</w:t>
      </w:r>
    </w:p>
    <w:p w:rsidR="00E376AE" w:rsidP="00E376AE" w14:paraId="2D29CB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376AE" w:rsidRPr="00E376AE" w:rsidP="00E376AE" w14:paraId="37839A5A" w14:textId="5F1CAE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E376AE">
        <w:rPr>
          <w:rFonts w:ascii="Times New Roman" w:hAnsi="Times New Roman" w:cs="Times New Roman"/>
          <w:sz w:val="24"/>
          <w:szCs w:val="24"/>
        </w:rPr>
        <w:t xml:space="preserve">During the development of the survey, the survey instrument was distributed to seven individuals working within West Coast fisheries, in order to determine whether the questions were appropriate and intelligible given their backgrounds as fishermen and fisheries permit holders.  This period of survey feedback also allowed for the research partners to test and complete the survey themselves with the aim </w:t>
      </w:r>
      <w:r w:rsidRPr="00E376AE">
        <w:rPr>
          <w:rFonts w:ascii="Times New Roman" w:hAnsi="Times New Roman" w:cs="Times New Roman"/>
          <w:sz w:val="24"/>
          <w:szCs w:val="24"/>
        </w:rPr>
        <w:t xml:space="preserve">of accounting for the estimated burden hours that would be attributed to the survey.  All test respondents found the survey to require 15-20 minutes for completion, and the final versions of the questions were deemed appropriate and intelligible for the target population of commercial fishermen.  </w:t>
      </w:r>
      <w:r w:rsidR="00255553">
        <w:rPr>
          <w:rFonts w:ascii="Times New Roman" w:hAnsi="Times New Roman" w:cs="Times New Roman"/>
          <w:sz w:val="24"/>
          <w:szCs w:val="24"/>
        </w:rPr>
        <w:t>When</w:t>
      </w:r>
      <w:r w:rsidRPr="00E376AE">
        <w:rPr>
          <w:rFonts w:ascii="Times New Roman" w:hAnsi="Times New Roman" w:cs="Times New Roman"/>
          <w:sz w:val="24"/>
          <w:szCs w:val="24"/>
        </w:rPr>
        <w:t xml:space="preserve"> the</w:t>
      </w:r>
      <w:r w:rsidR="004D4ED4">
        <w:rPr>
          <w:rFonts w:ascii="Times New Roman" w:hAnsi="Times New Roman" w:cs="Times New Roman"/>
          <w:sz w:val="24"/>
          <w:szCs w:val="24"/>
        </w:rPr>
        <w:t xml:space="preserve"> shortened</w:t>
      </w:r>
      <w:r w:rsidRPr="00E376AE">
        <w:rPr>
          <w:rFonts w:ascii="Times New Roman" w:hAnsi="Times New Roman" w:cs="Times New Roman"/>
          <w:sz w:val="24"/>
          <w:szCs w:val="24"/>
        </w:rPr>
        <w:t xml:space="preserve"> survey was implemented in 202</w:t>
      </w:r>
      <w:r w:rsidR="00645246">
        <w:rPr>
          <w:rFonts w:ascii="Times New Roman" w:hAnsi="Times New Roman" w:cs="Times New Roman"/>
          <w:sz w:val="24"/>
          <w:szCs w:val="24"/>
        </w:rPr>
        <w:t>3</w:t>
      </w:r>
      <w:r w:rsidRPr="00E376AE">
        <w:rPr>
          <w:rFonts w:ascii="Times New Roman" w:hAnsi="Times New Roman" w:cs="Times New Roman"/>
          <w:sz w:val="24"/>
          <w:szCs w:val="24"/>
        </w:rPr>
        <w:t xml:space="preserve">, survey completion </w:t>
      </w:r>
      <w:r w:rsidR="00255553">
        <w:rPr>
          <w:rFonts w:ascii="Times New Roman" w:hAnsi="Times New Roman" w:cs="Times New Roman"/>
          <w:sz w:val="24"/>
          <w:szCs w:val="24"/>
        </w:rPr>
        <w:t>time was reduced to</w:t>
      </w:r>
      <w:r w:rsidRPr="00E376AE">
        <w:rPr>
          <w:rFonts w:ascii="Times New Roman" w:hAnsi="Times New Roman" w:cs="Times New Roman"/>
          <w:sz w:val="24"/>
          <w:szCs w:val="24"/>
        </w:rPr>
        <w:t xml:space="preserve"> </w:t>
      </w:r>
      <w:r w:rsidR="004D4ED4">
        <w:rPr>
          <w:rFonts w:ascii="Times New Roman" w:hAnsi="Times New Roman" w:cs="Times New Roman"/>
          <w:sz w:val="24"/>
          <w:szCs w:val="24"/>
        </w:rPr>
        <w:t>about 15</w:t>
      </w:r>
      <w:r w:rsidRPr="00E376AE">
        <w:rPr>
          <w:rFonts w:ascii="Times New Roman" w:hAnsi="Times New Roman" w:cs="Times New Roman"/>
          <w:sz w:val="24"/>
          <w:szCs w:val="24"/>
        </w:rPr>
        <w:t xml:space="preserve"> minutes</w:t>
      </w:r>
      <w:r w:rsidR="00255553">
        <w:rPr>
          <w:rFonts w:ascii="Times New Roman" w:hAnsi="Times New Roman" w:cs="Times New Roman"/>
          <w:sz w:val="24"/>
          <w:szCs w:val="24"/>
        </w:rPr>
        <w:t xml:space="preserve"> during tests. The proposed changes to the survey should not impact that and may shorten completion times slightly since respondents need only check boxes rather than write in responses</w:t>
      </w:r>
      <w:r w:rsidRPr="00E376AE">
        <w:rPr>
          <w:rFonts w:ascii="Times New Roman" w:hAnsi="Times New Roman" w:cs="Times New Roman"/>
          <w:sz w:val="24"/>
          <w:szCs w:val="24"/>
        </w:rPr>
        <w:t>.</w:t>
      </w:r>
    </w:p>
    <w:p w:rsidR="00892544" w:rsidRPr="00BD7237" w:rsidP="00892544" w14:paraId="4EC548AF" w14:textId="77777777">
      <w:pPr>
        <w:pStyle w:val="Heading1"/>
        <w:numPr>
          <w:ilvl w:val="0"/>
          <w:numId w:val="1"/>
        </w:numPr>
        <w:tabs>
          <w:tab w:val="left" w:pos="360"/>
        </w:tabs>
        <w:spacing w:before="183"/>
        <w:ind w:left="0" w:firstLine="0"/>
        <w:rPr>
          <w:rFonts w:ascii="Times New Roman" w:hAnsi="Times New Roman" w:cs="Times New Roman"/>
        </w:rPr>
      </w:pPr>
      <w:r w:rsidRPr="00BD7237">
        <w:rPr>
          <w:rFonts w:ascii="Times New Roman" w:hAnsi="Times New Roman" w:cs="Times New Roman"/>
        </w:rPr>
        <w:t>Provide the name and telephone number of individuals consulted on statistical aspects of the design and the name of the agency unit, contractor(s), grantee(s), or other person(s) who will actually collect and/or analyze the information for the</w:t>
      </w:r>
      <w:r w:rsidRPr="00BD7237">
        <w:rPr>
          <w:rFonts w:ascii="Times New Roman" w:hAnsi="Times New Roman" w:cs="Times New Roman"/>
          <w:spacing w:val="-6"/>
        </w:rPr>
        <w:t xml:space="preserve"> </w:t>
      </w:r>
      <w:r w:rsidRPr="00BD7237">
        <w:rPr>
          <w:rFonts w:ascii="Times New Roman" w:hAnsi="Times New Roman" w:cs="Times New Roman"/>
        </w:rPr>
        <w:t>agency.</w:t>
      </w:r>
    </w:p>
    <w:p w:rsidR="00E376AE" w:rsidP="00E376AE" w14:paraId="01824130" w14:textId="77777777">
      <w:pPr>
        <w:contextualSpacing/>
        <w:rPr>
          <w:sz w:val="24"/>
          <w:szCs w:val="24"/>
        </w:rPr>
      </w:pPr>
    </w:p>
    <w:p w:rsidR="004D4ED4" w:rsidRPr="00585CEB" w:rsidP="004D4ED4" w14:paraId="7B065F8F" w14:textId="77777777">
      <w:pPr>
        <w:pStyle w:val="NormalWeb"/>
        <w:contextualSpacing/>
        <w:rPr>
          <w:rStyle w:val="Emphasis"/>
          <w:i w:val="0"/>
        </w:rPr>
      </w:pPr>
      <w:r w:rsidRPr="00585CEB">
        <w:rPr>
          <w:rStyle w:val="Emphasis"/>
        </w:rPr>
        <w:t>Dan Holland</w:t>
      </w:r>
    </w:p>
    <w:p w:rsidR="004D4ED4" w:rsidP="004D4ED4" w14:paraId="3E8CF4AC" w14:textId="77777777">
      <w:pPr>
        <w:pStyle w:val="NormalWeb"/>
        <w:contextualSpacing/>
        <w:rPr>
          <w:rStyle w:val="Emphasis"/>
          <w:i w:val="0"/>
        </w:rPr>
      </w:pPr>
      <w:r w:rsidRPr="00585CEB">
        <w:rPr>
          <w:rStyle w:val="Emphasis"/>
        </w:rPr>
        <w:t>Economist</w:t>
      </w:r>
    </w:p>
    <w:p w:rsidR="004D4ED4" w:rsidRPr="00585CEB" w:rsidP="004D4ED4" w14:paraId="409350E9" w14:textId="77777777">
      <w:pPr>
        <w:pStyle w:val="NormalWeb"/>
        <w:contextualSpacing/>
        <w:rPr>
          <w:iCs/>
        </w:rPr>
      </w:pPr>
      <w:r>
        <w:rPr>
          <w:rStyle w:val="Emphasis"/>
        </w:rPr>
        <w:t>Northwest Fisheries Science Center</w:t>
      </w:r>
      <w:hyperlink r:id="rId4" w:tgtFrame="_blank" w:history="1">
        <w:r>
          <w:rPr>
            <w:color w:val="0000FF"/>
            <w:u w:val="single"/>
          </w:rPr>
          <w:br/>
        </w:r>
      </w:hyperlink>
      <w:r>
        <w:t>2725 Montlake Blvd East</w:t>
      </w:r>
    </w:p>
    <w:p w:rsidR="004D4ED4" w:rsidRPr="00BC7AC7" w:rsidP="004D4ED4" w14:paraId="6E93E018" w14:textId="77777777">
      <w:pPr>
        <w:pStyle w:val="NormalWeb"/>
        <w:contextualSpacing/>
        <w:rPr>
          <w:rStyle w:val="Emphasis"/>
          <w:i w:val="0"/>
          <w:iCs w:val="0"/>
        </w:rPr>
      </w:pPr>
      <w:r>
        <w:t>Seattle, WA 98112-2097</w:t>
      </w:r>
    </w:p>
    <w:p w:rsidR="004D4ED4" w:rsidP="004D4ED4" w14:paraId="3A08F6AD" w14:textId="77777777">
      <w:pPr>
        <w:pStyle w:val="NormalWeb"/>
        <w:contextualSpacing/>
      </w:pPr>
      <w:r>
        <w:t>Phone: (206) 302-1752</w:t>
      </w:r>
      <w:r w:rsidRPr="00863D13">
        <w:br/>
        <w:t xml:space="preserve">E-mail: </w:t>
      </w:r>
      <w:r>
        <w:t>Dan.Holland@noaa.gov</w:t>
      </w:r>
    </w:p>
    <w:p w:rsidR="00E376AE" w:rsidRPr="00E376AE" w:rsidP="00E376AE" w14:paraId="790900B7" w14:textId="77777777">
      <w:pPr>
        <w:contextualSpacing/>
        <w:rPr>
          <w:sz w:val="24"/>
          <w:szCs w:val="24"/>
        </w:rPr>
      </w:pPr>
    </w:p>
    <w:p w:rsidR="00E376AE" w:rsidRPr="00E376AE" w:rsidP="00E376AE" w14:paraId="696D5501" w14:textId="77777777">
      <w:pPr>
        <w:contextualSpacing/>
        <w:rPr>
          <w:sz w:val="24"/>
          <w:szCs w:val="24"/>
        </w:rPr>
      </w:pPr>
      <w:r w:rsidRPr="00E376AE">
        <w:rPr>
          <w:sz w:val="24"/>
          <w:szCs w:val="24"/>
        </w:rPr>
        <w:t>Hardwick Research</w:t>
      </w:r>
    </w:p>
    <w:p w:rsidR="00E376AE" w:rsidRPr="00E376AE" w:rsidP="00E376AE" w14:paraId="2262F031" w14:textId="77777777">
      <w:pPr>
        <w:contextualSpacing/>
        <w:rPr>
          <w:sz w:val="24"/>
          <w:szCs w:val="24"/>
        </w:rPr>
      </w:pPr>
      <w:r w:rsidRPr="00E376AE">
        <w:rPr>
          <w:sz w:val="24"/>
          <w:szCs w:val="24"/>
        </w:rPr>
        <w:t>8720 SE 45th Street</w:t>
      </w:r>
    </w:p>
    <w:p w:rsidR="00E376AE" w:rsidRPr="00E376AE" w:rsidP="00E376AE" w14:paraId="48A53FB2" w14:textId="77777777">
      <w:pPr>
        <w:contextualSpacing/>
        <w:rPr>
          <w:sz w:val="24"/>
          <w:szCs w:val="24"/>
        </w:rPr>
      </w:pPr>
      <w:r w:rsidRPr="00E376AE">
        <w:rPr>
          <w:sz w:val="24"/>
          <w:szCs w:val="24"/>
        </w:rPr>
        <w:t>Mercer Island, WA 98040</w:t>
      </w:r>
    </w:p>
    <w:p w:rsidR="00E376AE" w:rsidRPr="00E376AE" w:rsidP="00E376AE" w14:paraId="06897CD7" w14:textId="77777777">
      <w:pPr>
        <w:contextualSpacing/>
        <w:rPr>
          <w:sz w:val="24"/>
          <w:szCs w:val="24"/>
        </w:rPr>
      </w:pPr>
      <w:r w:rsidRPr="00E376AE">
        <w:rPr>
          <w:sz w:val="24"/>
          <w:szCs w:val="24"/>
        </w:rPr>
        <w:t>Phone: (206) 232-9400</w:t>
      </w:r>
    </w:p>
    <w:p w:rsidR="00E376AE" w:rsidRPr="00E376AE" w:rsidP="00E376AE" w14:paraId="6386EA2B" w14:textId="77777777">
      <w:pPr>
        <w:contextualSpacing/>
        <w:rPr>
          <w:rStyle w:val="Emphasis"/>
          <w:i w:val="0"/>
          <w:iCs w:val="0"/>
          <w:sz w:val="24"/>
          <w:szCs w:val="24"/>
        </w:rPr>
      </w:pPr>
      <w:r w:rsidRPr="00E376AE">
        <w:rPr>
          <w:sz w:val="24"/>
          <w:szCs w:val="24"/>
        </w:rPr>
        <w:t>Fax: (206) 232-9402</w:t>
      </w:r>
    </w:p>
    <w:p w:rsidR="00E376AE" w:rsidP="00E376AE" w14:paraId="5A10EA26" w14:textId="77777777">
      <w:pPr>
        <w:pStyle w:val="NormalWeb"/>
        <w:ind w:left="400"/>
        <w:contextualSpacing/>
      </w:pPr>
    </w:p>
    <w:p w:rsidR="00E376AE" w:rsidP="00E376AE" w14:paraId="55F38E64" w14:textId="77777777">
      <w:pPr>
        <w:pStyle w:val="NormalWeb"/>
        <w:contextualSpacing/>
      </w:pPr>
      <w:r>
        <w:t>*PRA/OMB process point of contact</w:t>
      </w:r>
    </w:p>
    <w:p w:rsidR="00E376AE" w14:paraId="7BAA8351" w14:textId="77777777"/>
    <w:p w:rsidR="00E376AE" w:rsidRPr="00E376AE" w:rsidP="00E376AE" w14:paraId="577CB755" w14:textId="77777777">
      <w:pPr>
        <w:widowControl/>
        <w:rPr>
          <w:b/>
        </w:rPr>
      </w:pPr>
      <w:r>
        <w:rPr>
          <w:b/>
        </w:rPr>
        <w:t>R</w:t>
      </w:r>
      <w:r w:rsidRPr="00BC7AC7">
        <w:rPr>
          <w:b/>
        </w:rPr>
        <w:t>eferences</w:t>
      </w:r>
    </w:p>
    <w:p w:rsidR="00E376AE" w:rsidP="00E376AE" w14:paraId="669209EC" w14:textId="77777777">
      <w:pPr>
        <w:pStyle w:val="NormalWeb"/>
        <w:contextualSpacing/>
      </w:pPr>
      <w:r w:rsidRPr="00785DB1">
        <w:t>Holland, D.S., J. Abbott, and K. Norman. Fishing to Live or Living to Fish: Job Satisfaction and Identity of West Coast Fishermen.</w:t>
      </w:r>
      <w:r>
        <w:t xml:space="preserve"> 2019.</w:t>
      </w:r>
      <w:r w:rsidRPr="00785DB1">
        <w:t xml:space="preserve"> </w:t>
      </w:r>
      <w:r w:rsidRPr="00785DB1">
        <w:rPr>
          <w:i/>
        </w:rPr>
        <w:t>Ambio</w:t>
      </w:r>
      <w:r w:rsidRPr="00B86438">
        <w:t xml:space="preserve"> 49(2), 628-639. </w:t>
      </w:r>
      <w:hyperlink r:id="rId5" w:history="1">
        <w:r w:rsidRPr="000B2A60">
          <w:rPr>
            <w:rStyle w:val="Hyperlink"/>
          </w:rPr>
          <w:t>https://doi.org/10.1007/s13280-019-01206-w</w:t>
        </w:r>
      </w:hyperlink>
    </w:p>
    <w:p w:rsidR="00E376AE" w:rsidP="00E376AE" w14:paraId="0B939EF8" w14:textId="77777777">
      <w:pPr>
        <w:pStyle w:val="NormalWeb"/>
        <w:contextualSpacing/>
      </w:pPr>
    </w:p>
    <w:p w:rsidR="00E376AE" w:rsidP="00E376AE" w14:paraId="394649B7" w14:textId="77777777">
      <w:pPr>
        <w:pStyle w:val="NormalWeb"/>
        <w:contextualSpacing/>
      </w:pPr>
      <w:r w:rsidRPr="00E26059">
        <w:t>James</w:t>
      </w:r>
      <w:r>
        <w:t>, J.M.</w:t>
      </w:r>
      <w:r w:rsidRPr="00E26059">
        <w:t xml:space="preserve"> and R</w:t>
      </w:r>
      <w:r>
        <w:t xml:space="preserve">. </w:t>
      </w:r>
      <w:r w:rsidRPr="00E26059">
        <w:t>Bolstein</w:t>
      </w:r>
      <w:r>
        <w:t xml:space="preserve">. 1992. Large Monetary Incentives and Their Effect on Mail Survey Response Rates. </w:t>
      </w:r>
      <w:r w:rsidRPr="00E26059">
        <w:rPr>
          <w:i/>
        </w:rPr>
        <w:t>Public Opinion Quarterly</w:t>
      </w:r>
      <w:r>
        <w:t xml:space="preserve"> Volume 56:442-453.</w:t>
      </w:r>
    </w:p>
    <w:p w:rsidR="00E376AE" w:rsidP="00E376AE" w14:paraId="5886BF1B" w14:textId="77777777">
      <w:pPr>
        <w:pStyle w:val="NormalWeb"/>
        <w:contextualSpacing/>
      </w:pPr>
    </w:p>
    <w:p w:rsidR="00E376AE" w:rsidP="00E376AE" w14:paraId="445E4F8B" w14:textId="77777777">
      <w:pPr>
        <w:pStyle w:val="NormalWeb"/>
        <w:contextualSpacing/>
      </w:pPr>
      <w:r w:rsidRPr="00FA73C9">
        <w:t xml:space="preserve">Lew, D. K., J. Lee, and D. M. Larson. </w:t>
      </w:r>
      <w:r>
        <w:t xml:space="preserve">2010. Saltwater sportfishing in </w:t>
      </w:r>
      <w:r w:rsidRPr="00FA73C9">
        <w:t>Alaska: A summary and description of the Alaska saltwater sportfishi</w:t>
      </w:r>
      <w:r>
        <w:t xml:space="preserve">ng </w:t>
      </w:r>
      <w:r w:rsidRPr="00FA73C9">
        <w:t>economic survey, 2007. U.S.</w:t>
      </w:r>
      <w:r>
        <w:t xml:space="preserve"> Dep. Commerce, NOAA Tech. Memo. </w:t>
      </w:r>
      <w:r w:rsidRPr="00FA73C9">
        <w:t>NMFS-AFSC-214, 229 p.</w:t>
      </w:r>
    </w:p>
    <w:p w:rsidR="00E376AE" w:rsidP="00E376AE" w14:paraId="711E4E13" w14:textId="77777777">
      <w:pPr>
        <w:pStyle w:val="NormalWeb"/>
        <w:contextualSpacing/>
      </w:pPr>
    </w:p>
    <w:p w:rsidR="00E376AE" w:rsidP="00E376AE" w14:paraId="32A63327" w14:textId="77777777">
      <w:pPr>
        <w:pStyle w:val="NormalWeb"/>
        <w:contextualSpacing/>
      </w:pPr>
      <w:r w:rsidRPr="00B86438">
        <w:t>Norman K, Holland D, Abbott J, Phillips A.</w:t>
      </w:r>
      <w:r>
        <w:t xml:space="preserve"> 2022;</w:t>
      </w:r>
      <w:r w:rsidRPr="00B86438">
        <w:t xml:space="preserve"> Community-level fishery measures and individual fishers: Comparing primary and secondary data for the U.S. West Coast. </w:t>
      </w:r>
      <w:r w:rsidRPr="00A261D8">
        <w:rPr>
          <w:i/>
        </w:rPr>
        <w:t>Ocean and Coastal Management</w:t>
      </w:r>
      <w:r>
        <w:t xml:space="preserve">, </w:t>
      </w:r>
      <w:r w:rsidRPr="00B86438">
        <w:t>224: 106191.</w:t>
      </w:r>
    </w:p>
    <w:p w:rsidR="00E376AE" w:rsidP="00E376AE" w14:paraId="2D052993" w14:textId="77777777">
      <w:pPr>
        <w:pStyle w:val="NormalWeb"/>
        <w:contextualSpacing/>
      </w:pPr>
    </w:p>
    <w:p w:rsidR="00E376AE" w:rsidP="00E376AE" w14:paraId="3A18AE0A" w14:textId="77777777">
      <w:pPr>
        <w:pStyle w:val="NormalWeb"/>
        <w:contextualSpacing/>
      </w:pPr>
      <w:r>
        <w:t xml:space="preserve">Singer E. and C. Ye. 2013.  The use and effects of incentives in surveys.  </w:t>
      </w:r>
      <w:r w:rsidRPr="005204DF">
        <w:rPr>
          <w:i/>
        </w:rPr>
        <w:t>Annals of the American Academy of Political and Social Science</w:t>
      </w:r>
      <w:r>
        <w:t xml:space="preserve"> 645(1): 112-141.</w:t>
      </w:r>
    </w:p>
    <w:p w:rsidR="00E376AE" w14:paraId="5FD993F7" w14:textId="77777777"/>
    <w:sectPr w:rsidSect="00BD7237">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C3D4A50"/>
    <w:multiLevelType w:val="hybridMultilevel"/>
    <w:tmpl w:val="32B0098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544"/>
    <w:rsid w:val="000864CB"/>
    <w:rsid w:val="000B2A60"/>
    <w:rsid w:val="001E04B0"/>
    <w:rsid w:val="00255553"/>
    <w:rsid w:val="00402EDC"/>
    <w:rsid w:val="00451280"/>
    <w:rsid w:val="004D4ED4"/>
    <w:rsid w:val="005204DF"/>
    <w:rsid w:val="00585CEB"/>
    <w:rsid w:val="00645246"/>
    <w:rsid w:val="00694217"/>
    <w:rsid w:val="00785DB1"/>
    <w:rsid w:val="00863D13"/>
    <w:rsid w:val="00892544"/>
    <w:rsid w:val="00A261D8"/>
    <w:rsid w:val="00A30E7A"/>
    <w:rsid w:val="00B86438"/>
    <w:rsid w:val="00B94096"/>
    <w:rsid w:val="00BC7AC7"/>
    <w:rsid w:val="00BD7237"/>
    <w:rsid w:val="00BD7C03"/>
    <w:rsid w:val="00C70C50"/>
    <w:rsid w:val="00E26059"/>
    <w:rsid w:val="00E376AE"/>
    <w:rsid w:val="00FA73C9"/>
    <w:rsid w:val="00FE35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215D21"/>
  <w15:chartTrackingRefBased/>
  <w15:docId w15:val="{21BDB04B-C800-44AE-8828-B071CE9D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92544"/>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892544"/>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92544"/>
    <w:rPr>
      <w:rFonts w:ascii="Arial" w:eastAsia="Arial" w:hAnsi="Arial" w:cs="Arial"/>
      <w:b/>
      <w:bCs/>
      <w:sz w:val="24"/>
      <w:szCs w:val="24"/>
      <w:lang w:bidi="en-US"/>
    </w:rPr>
  </w:style>
  <w:style w:type="paragraph" w:styleId="BodyText">
    <w:name w:val="Body Text"/>
    <w:basedOn w:val="Normal"/>
    <w:link w:val="BodyTextChar"/>
    <w:uiPriority w:val="1"/>
    <w:qFormat/>
    <w:rsid w:val="00892544"/>
    <w:pPr>
      <w:spacing w:before="161"/>
      <w:ind w:left="400"/>
    </w:pPr>
    <w:rPr>
      <w:sz w:val="24"/>
      <w:szCs w:val="24"/>
    </w:rPr>
  </w:style>
  <w:style w:type="character" w:customStyle="1" w:styleId="BodyTextChar">
    <w:name w:val="Body Text Char"/>
    <w:basedOn w:val="DefaultParagraphFont"/>
    <w:link w:val="BodyText"/>
    <w:uiPriority w:val="1"/>
    <w:rsid w:val="00892544"/>
    <w:rPr>
      <w:rFonts w:ascii="Arial" w:eastAsia="Arial" w:hAnsi="Arial" w:cs="Arial"/>
      <w:sz w:val="24"/>
      <w:szCs w:val="24"/>
      <w:lang w:bidi="en-US"/>
    </w:rPr>
  </w:style>
  <w:style w:type="paragraph" w:styleId="ListParagraph">
    <w:name w:val="List Paragraph"/>
    <w:basedOn w:val="Normal"/>
    <w:uiPriority w:val="1"/>
    <w:qFormat/>
    <w:rsid w:val="00892544"/>
    <w:pPr>
      <w:spacing w:before="161"/>
      <w:ind w:left="1120" w:hanging="360"/>
    </w:pPr>
  </w:style>
  <w:style w:type="paragraph" w:styleId="HTMLPreformatted">
    <w:name w:val="HTML Preformatted"/>
    <w:basedOn w:val="Normal"/>
    <w:link w:val="HTMLPreformattedChar"/>
    <w:uiPriority w:val="99"/>
    <w:unhideWhenUsed/>
    <w:rsid w:val="00E376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bidi="ar-SA"/>
    </w:rPr>
  </w:style>
  <w:style w:type="character" w:customStyle="1" w:styleId="HTMLPreformattedChar">
    <w:name w:val="HTML Preformatted Char"/>
    <w:basedOn w:val="DefaultParagraphFont"/>
    <w:link w:val="HTMLPreformatted"/>
    <w:uiPriority w:val="99"/>
    <w:rsid w:val="00E376AE"/>
    <w:rPr>
      <w:rFonts w:ascii="Courier New" w:eastAsia="Times New Roman" w:hAnsi="Courier New" w:cs="Times New Roman"/>
      <w:sz w:val="20"/>
      <w:szCs w:val="20"/>
    </w:rPr>
  </w:style>
  <w:style w:type="character" w:styleId="Emphasis">
    <w:name w:val="Emphasis"/>
    <w:uiPriority w:val="20"/>
    <w:qFormat/>
    <w:rsid w:val="00E376AE"/>
    <w:rPr>
      <w:i/>
      <w:iCs/>
    </w:rPr>
  </w:style>
  <w:style w:type="paragraph" w:styleId="NormalWeb">
    <w:name w:val="Normal (Web)"/>
    <w:basedOn w:val="Normal"/>
    <w:uiPriority w:val="99"/>
    <w:rsid w:val="00E376A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E376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unh.edu" TargetMode="External" /><Relationship Id="rId5" Type="http://schemas.openxmlformats.org/officeDocument/2006/relationships/hyperlink" Target="https://doi.org/10.1007/s13280-019-01206-w"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1302</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Dan.Holland</cp:lastModifiedBy>
  <cp:revision>4</cp:revision>
  <dcterms:created xsi:type="dcterms:W3CDTF">2026-02-24T21:57:00Z</dcterms:created>
  <dcterms:modified xsi:type="dcterms:W3CDTF">2026-02-26T19:19:00Z</dcterms:modified>
</cp:coreProperties>
</file>