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12D71" w:rsidRPr="00FA06B8" w:rsidP="00FA06B8" w14:paraId="73D04412" w14:textId="3559C7FC">
      <w:pPr>
        <w:jc w:val="center"/>
      </w:pPr>
      <w:r>
        <w:t>FINAL</w:t>
      </w:r>
      <w:r w:rsidR="006115F7">
        <w:t xml:space="preserve"> </w:t>
      </w:r>
      <w:r w:rsidRPr="00FA06B8" w:rsidR="00D733C0">
        <w:t>SUPPORTING STATEMENT</w:t>
      </w:r>
    </w:p>
    <w:p w:rsidR="00D733C0" w:rsidRPr="00FA06B8" w:rsidP="00FA06B8" w14:paraId="17D0585C" w14:textId="77777777">
      <w:pPr>
        <w:jc w:val="center"/>
      </w:pPr>
      <w:r w:rsidRPr="00FA06B8">
        <w:t>FOR</w:t>
      </w:r>
    </w:p>
    <w:p w:rsidR="002A28E8" w:rsidP="00FA06B8" w14:paraId="2EDA719A" w14:textId="6183D315">
      <w:pPr>
        <w:jc w:val="center"/>
      </w:pPr>
      <w:r>
        <w:tab/>
        <w:t>NRC FORM 398, “PERSONAL QUALIFICATION STATEMENT – LICENSE</w:t>
      </w:r>
      <w:r w:rsidR="00AD27B3">
        <w:t>E</w:t>
      </w:r>
      <w:r>
        <w:t>,”</w:t>
      </w:r>
    </w:p>
    <w:p w:rsidR="002A28E8" w:rsidRPr="00043083" w:rsidP="002A28E8" w14:paraId="0D44F2EC" w14:textId="77777777">
      <w:pPr>
        <w:widowControl w:val="0"/>
        <w:tabs>
          <w:tab w:val="center" w:pos="4680"/>
        </w:tabs>
        <w:jc w:val="center"/>
        <w:rPr>
          <w:color w:val="000000"/>
        </w:rPr>
      </w:pPr>
      <w:r w:rsidRPr="00043083">
        <w:rPr>
          <w:color w:val="000000"/>
        </w:rPr>
        <w:t>10 CFR PART 55, SECTIONS 55.31, 55.35, 55.47 AND 55.57</w:t>
      </w:r>
    </w:p>
    <w:p w:rsidR="00EC26D6" w:rsidRPr="00FA06B8" w:rsidP="002A28E8" w14:paraId="2927F046" w14:textId="07108C9E">
      <w:pPr>
        <w:jc w:val="center"/>
      </w:pPr>
      <w:r w:rsidRPr="00FA06B8">
        <w:t xml:space="preserve"> </w:t>
      </w:r>
      <w:r w:rsidRPr="00FA06B8">
        <w:t>(3150</w:t>
      </w:r>
      <w:r w:rsidR="00EF4CED">
        <w:rPr>
          <w:rFonts w:ascii="Cambria Math" w:hAnsi="Cambria Math" w:cs="Cambria Math"/>
        </w:rPr>
        <w:t>‑</w:t>
      </w:r>
      <w:r w:rsidR="00EF4CED">
        <w:t>0090</w:t>
      </w:r>
      <w:r w:rsidRPr="00FA06B8">
        <w:t>)</w:t>
      </w:r>
    </w:p>
    <w:p w:rsidR="00EC26D6" w:rsidRPr="00FA06B8" w:rsidP="00FA06B8" w14:paraId="7C396B2B" w14:textId="3F3CCBD8">
      <w:pPr>
        <w:jc w:val="center"/>
      </w:pPr>
    </w:p>
    <w:p w:rsidR="00005824" w:rsidRPr="00FA06B8" w:rsidP="00FA06B8" w14:paraId="41D1443C" w14:textId="77777777">
      <w:pPr>
        <w:jc w:val="center"/>
      </w:pPr>
    </w:p>
    <w:p w:rsidR="00EC26D6" w:rsidRPr="00FA06B8" w:rsidP="00FA06B8" w14:paraId="14339621" w14:textId="68CC9C14">
      <w:pPr>
        <w:jc w:val="center"/>
      </w:pPr>
      <w:r>
        <w:t>REVI</w:t>
      </w:r>
      <w:r w:rsidR="00532C8C">
        <w:t>SION</w:t>
      </w:r>
    </w:p>
    <w:p w:rsidR="00EC26D6" w:rsidRPr="00FA06B8" w:rsidP="00FA06B8" w14:paraId="1A132BC9" w14:textId="77777777"/>
    <w:p w:rsidR="00DD3951" w:rsidRPr="008E679A" w:rsidP="00DD3951" w14:paraId="6C836F8B" w14:textId="531EAFEE">
      <w:pPr>
        <w:rPr>
          <w:u w:val="single"/>
        </w:rPr>
      </w:pPr>
      <w:r w:rsidRPr="00FA06B8">
        <w:rPr>
          <w:u w:val="single"/>
        </w:rPr>
        <w:t xml:space="preserve">DESCRIPTION OF </w:t>
      </w:r>
      <w:r w:rsidRPr="008E679A">
        <w:rPr>
          <w:u w:val="single"/>
        </w:rPr>
        <w:t>THE INFORMATION COLLECTION</w:t>
      </w:r>
    </w:p>
    <w:p w:rsidR="00DD3951" w:rsidRPr="008E679A" w:rsidP="00DD3951" w14:paraId="095B2A2D" w14:textId="77777777">
      <w:pPr>
        <w:rPr>
          <w:u w:val="single"/>
        </w:rPr>
      </w:pPr>
    </w:p>
    <w:p w:rsidR="00DF4E47" w:rsidP="00DF4E47" w14:paraId="096DAB6F" w14:textId="43F9579B">
      <w:pPr>
        <w:widowControl w:val="0"/>
        <w:rPr>
          <w:rFonts w:cs="Arial"/>
          <w:szCs w:val="22"/>
        </w:rPr>
      </w:pPr>
      <w:r w:rsidRPr="00AF57E3">
        <w:rPr>
          <w:rFonts w:cs="Arial"/>
          <w:szCs w:val="22"/>
        </w:rPr>
        <w:t xml:space="preserve">The regulations in </w:t>
      </w:r>
      <w:r w:rsidR="008D368C">
        <w:rPr>
          <w:rFonts w:cs="Arial"/>
          <w:szCs w:val="22"/>
        </w:rPr>
        <w:t xml:space="preserve">Title 10 of the </w:t>
      </w:r>
      <w:r w:rsidRPr="00D225FB" w:rsidR="008D368C">
        <w:rPr>
          <w:rFonts w:cs="Arial"/>
          <w:i/>
          <w:iCs/>
          <w:szCs w:val="22"/>
        </w:rPr>
        <w:t>Code of Federal Regulations</w:t>
      </w:r>
      <w:r w:rsidR="008D368C">
        <w:rPr>
          <w:rFonts w:cs="Arial"/>
          <w:szCs w:val="22"/>
        </w:rPr>
        <w:t xml:space="preserve"> (</w:t>
      </w:r>
      <w:r w:rsidRPr="00AF57E3">
        <w:rPr>
          <w:rFonts w:cs="Arial"/>
          <w:szCs w:val="22"/>
        </w:rPr>
        <w:t>10 CFR</w:t>
      </w:r>
      <w:r w:rsidR="008D368C">
        <w:rPr>
          <w:rFonts w:cs="Arial"/>
          <w:szCs w:val="22"/>
        </w:rPr>
        <w:t>)</w:t>
      </w:r>
      <w:r w:rsidRPr="00AF57E3">
        <w:rPr>
          <w:rFonts w:cs="Arial"/>
          <w:szCs w:val="22"/>
        </w:rPr>
        <w:t xml:space="preserve"> </w:t>
      </w:r>
      <w:r w:rsidR="008D368C">
        <w:rPr>
          <w:rFonts w:cs="Arial"/>
          <w:szCs w:val="22"/>
        </w:rPr>
        <w:t>P</w:t>
      </w:r>
      <w:r w:rsidRPr="00AF57E3">
        <w:rPr>
          <w:rFonts w:cs="Arial"/>
          <w:szCs w:val="22"/>
        </w:rPr>
        <w:t xml:space="preserve">art </w:t>
      </w:r>
      <w:r w:rsidRPr="00AF57E3" w:rsidR="00D158D0">
        <w:rPr>
          <w:rFonts w:cs="Arial"/>
          <w:szCs w:val="22"/>
        </w:rPr>
        <w:t>55</w:t>
      </w:r>
      <w:r w:rsidR="00D872B4">
        <w:rPr>
          <w:rFonts w:cs="Arial"/>
          <w:szCs w:val="22"/>
        </w:rPr>
        <w:t>, “Operators’ Licenses,”</w:t>
      </w:r>
      <w:r w:rsidRPr="00AF57E3">
        <w:rPr>
          <w:rFonts w:cs="Arial"/>
          <w:szCs w:val="22"/>
        </w:rPr>
        <w:t xml:space="preserve"> require facility licensees to certify</w:t>
      </w:r>
      <w:r>
        <w:rPr>
          <w:rFonts w:cs="Arial"/>
          <w:szCs w:val="22"/>
        </w:rPr>
        <w:t xml:space="preserve"> the qualifications and training</w:t>
      </w:r>
      <w:r w:rsidR="001B451D">
        <w:rPr>
          <w:rFonts w:cs="Arial"/>
          <w:szCs w:val="22"/>
        </w:rPr>
        <w:t xml:space="preserve"> of applicants/operators</w:t>
      </w:r>
      <w:r w:rsidR="002A2DC6">
        <w:rPr>
          <w:rFonts w:cs="Arial"/>
          <w:szCs w:val="22"/>
        </w:rPr>
        <w:t xml:space="preserve">. </w:t>
      </w:r>
      <w:r w:rsidR="008D368C">
        <w:rPr>
          <w:rFonts w:cs="Arial"/>
          <w:szCs w:val="22"/>
        </w:rPr>
        <w:t>U.S. Nuclear Regulatory Commission (</w:t>
      </w:r>
      <w:r>
        <w:rPr>
          <w:rFonts w:cs="Arial"/>
          <w:szCs w:val="22"/>
        </w:rPr>
        <w:t>NRC</w:t>
      </w:r>
      <w:r w:rsidR="008D368C">
        <w:rPr>
          <w:rFonts w:cs="Arial"/>
          <w:szCs w:val="22"/>
        </w:rPr>
        <w:t>)</w:t>
      </w:r>
      <w:r>
        <w:rPr>
          <w:rFonts w:cs="Arial"/>
          <w:szCs w:val="22"/>
        </w:rPr>
        <w:t xml:space="preserve"> Form 398 is the mechanism by which NRC is advised of the applicant/operator qualifications.</w:t>
      </w:r>
    </w:p>
    <w:p w:rsidR="00DF4E47" w:rsidP="00DF4E47" w14:paraId="4F5685CF" w14:textId="77777777">
      <w:pPr>
        <w:widowControl w:val="0"/>
        <w:rPr>
          <w:lang w:val="en"/>
        </w:rPr>
      </w:pPr>
    </w:p>
    <w:p w:rsidR="00882ECF" w:rsidP="00DD3951" w14:paraId="455830CA" w14:textId="73DFEFC4">
      <w:r w:rsidRPr="006F7D61">
        <w:rPr>
          <w:rFonts w:cs="Arial"/>
          <w:szCs w:val="22"/>
        </w:rPr>
        <w:t>NRC Form 398</w:t>
      </w:r>
      <w:r w:rsidR="00AD27B3">
        <w:rPr>
          <w:rFonts w:cs="Arial"/>
          <w:szCs w:val="22"/>
        </w:rPr>
        <w:t>,</w:t>
      </w:r>
      <w:r w:rsidR="00BA11F9">
        <w:rPr>
          <w:rFonts w:cs="Arial"/>
          <w:szCs w:val="22"/>
        </w:rPr>
        <w:t xml:space="preserve"> “Personal Qualification Statement-License</w:t>
      </w:r>
      <w:r w:rsidR="00AD27B3">
        <w:rPr>
          <w:rFonts w:cs="Arial"/>
          <w:szCs w:val="22"/>
        </w:rPr>
        <w:t>e,</w:t>
      </w:r>
      <w:r w:rsidR="00BA11F9">
        <w:rPr>
          <w:rFonts w:cs="Arial"/>
          <w:szCs w:val="22"/>
        </w:rPr>
        <w:t>”</w:t>
      </w:r>
      <w:r w:rsidRPr="006F7D61">
        <w:rPr>
          <w:rFonts w:cs="Arial"/>
          <w:szCs w:val="22"/>
        </w:rPr>
        <w:t xml:space="preserve"> is used to transmit detailed information required to be submitted to the NRC by a facility licensee on each applicant</w:t>
      </w:r>
      <w:r>
        <w:rPr>
          <w:rFonts w:cs="Arial"/>
          <w:szCs w:val="22"/>
        </w:rPr>
        <w:t xml:space="preserve"> </w:t>
      </w:r>
      <w:r w:rsidRPr="006F7D61">
        <w:rPr>
          <w:rFonts w:cs="Arial"/>
          <w:szCs w:val="22"/>
        </w:rPr>
        <w:t>applying for new and upgraded licenses</w:t>
      </w:r>
      <w:r>
        <w:rPr>
          <w:rFonts w:cs="Arial"/>
          <w:szCs w:val="22"/>
        </w:rPr>
        <w:t xml:space="preserve"> or license renewals to operate </w:t>
      </w:r>
      <w:r w:rsidRPr="006F7D61">
        <w:rPr>
          <w:rFonts w:cs="Arial"/>
          <w:szCs w:val="22"/>
        </w:rPr>
        <w:t>the controls at a nuclear reactor facili</w:t>
      </w:r>
      <w:r>
        <w:rPr>
          <w:rFonts w:cs="Arial"/>
          <w:szCs w:val="22"/>
        </w:rPr>
        <w:t>ty</w:t>
      </w:r>
      <w:r w:rsidR="002A2DC6">
        <w:rPr>
          <w:rFonts w:cs="Arial"/>
          <w:szCs w:val="22"/>
        </w:rPr>
        <w:t xml:space="preserve">. </w:t>
      </w:r>
    </w:p>
    <w:p w:rsidR="00BA11F9" w:rsidP="00581327" w14:paraId="63548002" w14:textId="77777777">
      <w:pPr>
        <w:widowControl w:val="0"/>
        <w:rPr>
          <w:lang w:val="en"/>
        </w:rPr>
      </w:pPr>
    </w:p>
    <w:p w:rsidR="00581327" w:rsidP="53560DBB" w14:paraId="3BBFC9A2" w14:textId="2EC69918">
      <w:pPr>
        <w:widowControl w:val="0"/>
      </w:pPr>
      <w:r w:rsidRPr="53560DBB">
        <w:t xml:space="preserve">The information requested includes the applicant/operator identifying information, </w:t>
      </w:r>
      <w:r w:rsidRPr="53560DBB" w:rsidR="00740F3D">
        <w:t>type of application and license applying for, license held, position at the facility, education, power reactor operator training program, significant control manipulations, nuclear experience details,</w:t>
      </w:r>
      <w:r w:rsidRPr="53560DBB">
        <w:t xml:space="preserve"> applicant/operator signature and signature of certifying facility.</w:t>
      </w:r>
      <w:r w:rsidRPr="53560DBB" w:rsidR="007A63C1">
        <w:t xml:space="preserve"> </w:t>
      </w:r>
    </w:p>
    <w:p w:rsidR="00837FAA" w:rsidP="00581327" w14:paraId="40764497" w14:textId="77777777">
      <w:pPr>
        <w:widowControl w:val="0"/>
        <w:rPr>
          <w:lang w:val="en"/>
        </w:rPr>
      </w:pPr>
    </w:p>
    <w:p w:rsidR="00200017" w:rsidRPr="00FA06B8" w:rsidP="00C176DF" w14:paraId="712FF68D" w14:textId="77777777">
      <w:r>
        <w:t>A.</w:t>
      </w:r>
      <w:r>
        <w:tab/>
      </w:r>
      <w:r w:rsidRPr="00B073DB">
        <w:rPr>
          <w:u w:val="single"/>
        </w:rPr>
        <w:t>JUSTIFICATION</w:t>
      </w:r>
    </w:p>
    <w:p w:rsidR="00D733C0" w:rsidRPr="00FA06B8" w:rsidP="00FA06B8" w14:paraId="58126353" w14:textId="77777777">
      <w:pPr>
        <w:ind w:left="360"/>
      </w:pPr>
    </w:p>
    <w:p w:rsidR="004C4984" w:rsidP="000D7BCA" w14:paraId="54795AC4" w14:textId="77777777">
      <w:pPr>
        <w:numPr>
          <w:ilvl w:val="0"/>
          <w:numId w:val="17"/>
        </w:numPr>
        <w:rPr>
          <w:u w:val="single"/>
        </w:rPr>
      </w:pPr>
      <w:r w:rsidRPr="00FA06B8">
        <w:rPr>
          <w:u w:val="single"/>
        </w:rPr>
        <w:t>Need for the Collection of Information</w:t>
      </w:r>
    </w:p>
    <w:p w:rsidR="004C4984" w:rsidP="004C4984" w14:paraId="4E9BF575" w14:textId="77777777">
      <w:pPr>
        <w:ind w:firstLine="720"/>
        <w:rPr>
          <w:u w:val="single"/>
        </w:rPr>
      </w:pPr>
    </w:p>
    <w:p w:rsidR="0005700B" w:rsidRPr="0005700B" w:rsidP="0005700B" w14:paraId="502464B1" w14:textId="1C28BFDE">
      <w:pPr>
        <w:widowControl w:val="0"/>
        <w:ind w:left="1440"/>
        <w:rPr>
          <w:szCs w:val="20"/>
          <w:lang w:val="en"/>
        </w:rPr>
      </w:pPr>
      <w:r w:rsidRPr="0005700B">
        <w:rPr>
          <w:szCs w:val="20"/>
          <w:lang w:val="en"/>
        </w:rPr>
        <w:t>This</w:t>
      </w:r>
      <w:r w:rsidRPr="0005700B">
        <w:rPr>
          <w:szCs w:val="20"/>
          <w:lang w:val="en"/>
        </w:rPr>
        <w:t xml:space="preserve"> information is needed in order to determine facility licensee’s compliance with the </w:t>
      </w:r>
      <w:r w:rsidRPr="0005700B">
        <w:rPr>
          <w:rFonts w:cs="Arial"/>
          <w:szCs w:val="22"/>
        </w:rPr>
        <w:t xml:space="preserve">regulations in 10 CFR </w:t>
      </w:r>
      <w:r w:rsidR="001B3244">
        <w:rPr>
          <w:rFonts w:cs="Arial"/>
          <w:szCs w:val="22"/>
        </w:rPr>
        <w:t>P</w:t>
      </w:r>
      <w:r w:rsidRPr="0005700B">
        <w:rPr>
          <w:rFonts w:cs="Arial"/>
          <w:szCs w:val="22"/>
        </w:rPr>
        <w:t>art 55</w:t>
      </w:r>
      <w:r w:rsidR="002A2DC6">
        <w:rPr>
          <w:rFonts w:cs="Arial"/>
          <w:szCs w:val="22"/>
        </w:rPr>
        <w:t xml:space="preserve">. </w:t>
      </w:r>
      <w:r w:rsidRPr="0005700B">
        <w:rPr>
          <w:szCs w:val="20"/>
          <w:lang w:val="en"/>
        </w:rPr>
        <w:t>Details of these regulations can be found at the end of this supporting statement in “Description of Information Collection Requirements.”</w:t>
      </w:r>
    </w:p>
    <w:p w:rsidR="00190ACA" w:rsidP="004F2CBA" w14:paraId="1F37B651" w14:textId="77777777">
      <w:pPr>
        <w:ind w:left="720"/>
      </w:pPr>
    </w:p>
    <w:p w:rsidR="00A56E25" w:rsidP="000D7BCA" w14:paraId="3759F700" w14:textId="77777777">
      <w:pPr>
        <w:numPr>
          <w:ilvl w:val="0"/>
          <w:numId w:val="17"/>
        </w:numPr>
        <w:rPr>
          <w:u w:val="single"/>
        </w:rPr>
      </w:pPr>
      <w:r w:rsidRPr="00FA06B8">
        <w:rPr>
          <w:u w:val="single"/>
        </w:rPr>
        <w:t xml:space="preserve">Agency Use </w:t>
      </w:r>
      <w:r w:rsidR="002525C1">
        <w:rPr>
          <w:u w:val="single"/>
        </w:rPr>
        <w:t xml:space="preserve">and Practical Utility </w:t>
      </w:r>
      <w:r w:rsidRPr="00FA06B8">
        <w:rPr>
          <w:u w:val="single"/>
        </w:rPr>
        <w:t>of Information</w:t>
      </w:r>
    </w:p>
    <w:p w:rsidR="004C4984" w:rsidRPr="00FA06B8" w:rsidP="004C4984" w14:paraId="11658FF9" w14:textId="77777777">
      <w:pPr>
        <w:ind w:left="1080"/>
        <w:rPr>
          <w:u w:val="single"/>
        </w:rPr>
      </w:pPr>
    </w:p>
    <w:p w:rsidR="007B2498" w:rsidP="007B2498" w14:paraId="0050F630" w14:textId="4D0D1E10">
      <w:pPr>
        <w:widowControl w:val="0"/>
        <w:ind w:left="1440"/>
        <w:rPr>
          <w:rFonts w:cs="Arial"/>
          <w:szCs w:val="22"/>
        </w:rPr>
      </w:pPr>
      <w:r w:rsidRPr="00937F17">
        <w:rPr>
          <w:rFonts w:cs="Arial"/>
          <w:szCs w:val="22"/>
        </w:rPr>
        <w:t>The information assists the Commission in basing its finding upon the certification by facility licensees as detailed on NRC Form 39</w:t>
      </w:r>
      <w:r>
        <w:rPr>
          <w:rFonts w:cs="Arial"/>
          <w:szCs w:val="22"/>
        </w:rPr>
        <w:t>8</w:t>
      </w:r>
      <w:r w:rsidR="002A2DC6">
        <w:rPr>
          <w:rFonts w:cs="Arial"/>
          <w:szCs w:val="22"/>
        </w:rPr>
        <w:t xml:space="preserve">. </w:t>
      </w:r>
      <w:r w:rsidR="00190ACA">
        <w:rPr>
          <w:rFonts w:cs="Arial"/>
          <w:szCs w:val="22"/>
        </w:rPr>
        <w:t xml:space="preserve">NRC Form 398 </w:t>
      </w:r>
      <w:r w:rsidRPr="00937F17" w:rsidR="00190ACA">
        <w:rPr>
          <w:rFonts w:cs="Arial"/>
          <w:szCs w:val="22"/>
        </w:rPr>
        <w:t xml:space="preserve">is the mechanism by which NRC is advised of the information </w:t>
      </w:r>
      <w:r w:rsidR="00190ACA">
        <w:rPr>
          <w:color w:val="000000"/>
        </w:rPr>
        <w:t>that the applicants or operator licensees has met the qualification requirements to become or continue to be licensed reactor operators or senior reactor operators</w:t>
      </w:r>
      <w:r w:rsidR="00CA19F4">
        <w:rPr>
          <w:color w:val="000000"/>
        </w:rPr>
        <w:t xml:space="preserve">. </w:t>
      </w:r>
      <w:r w:rsidR="00091A2C">
        <w:rPr>
          <w:color w:val="000000"/>
        </w:rPr>
        <w:t>According to 10</w:t>
      </w:r>
      <w:r w:rsidR="0068533C">
        <w:rPr>
          <w:color w:val="000000"/>
        </w:rPr>
        <w:t> </w:t>
      </w:r>
      <w:r w:rsidR="00091A2C">
        <w:rPr>
          <w:color w:val="000000"/>
        </w:rPr>
        <w:t>CFR</w:t>
      </w:r>
      <w:r w:rsidR="0068533C">
        <w:rPr>
          <w:color w:val="000000"/>
        </w:rPr>
        <w:t> </w:t>
      </w:r>
      <w:r w:rsidR="00091A2C">
        <w:rPr>
          <w:color w:val="000000"/>
        </w:rPr>
        <w:t>55.31(a)(4), an applicant must provide evidence of successfully completing the facility licensee’s requirements to be a licensed operator, as well as shown eviden</w:t>
      </w:r>
      <w:r w:rsidR="00E84A81">
        <w:rPr>
          <w:color w:val="000000"/>
        </w:rPr>
        <w:t>ce</w:t>
      </w:r>
      <w:r w:rsidR="00091A2C">
        <w:rPr>
          <w:color w:val="000000"/>
        </w:rPr>
        <w:t xml:space="preserve"> of fulfilling the facility licensee’s need to perform assigned duties</w:t>
      </w:r>
      <w:r w:rsidR="00CA19F4">
        <w:rPr>
          <w:color w:val="000000"/>
        </w:rPr>
        <w:t xml:space="preserve">. </w:t>
      </w:r>
      <w:r w:rsidR="00091A2C">
        <w:rPr>
          <w:color w:val="000000"/>
        </w:rPr>
        <w:t>An authorized representative of the facility shall certify that the objectives have been met on this form</w:t>
      </w:r>
      <w:r w:rsidR="002A2DC6">
        <w:rPr>
          <w:color w:val="000000"/>
        </w:rPr>
        <w:t xml:space="preserve">. </w:t>
      </w:r>
      <w:r w:rsidR="00091A2C">
        <w:rPr>
          <w:color w:val="000000"/>
        </w:rPr>
        <w:t>The information collected on the form includes details of the applicant</w:t>
      </w:r>
      <w:r w:rsidR="001C7F51">
        <w:rPr>
          <w:color w:val="000000"/>
        </w:rPr>
        <w:t>’</w:t>
      </w:r>
      <w:r w:rsidR="00091A2C">
        <w:rPr>
          <w:color w:val="000000"/>
        </w:rPr>
        <w:t>s qualifications, courses administered by the facility, and the startup and shutdown experience received</w:t>
      </w:r>
      <w:r w:rsidR="002A2DC6">
        <w:rPr>
          <w:color w:val="000000"/>
        </w:rPr>
        <w:t xml:space="preserve">. </w:t>
      </w:r>
      <w:r w:rsidR="00091A2C">
        <w:rPr>
          <w:color w:val="000000"/>
        </w:rPr>
        <w:t xml:space="preserve">The Commission may accept the </w:t>
      </w:r>
      <w:r w:rsidR="00091A2C">
        <w:rPr>
          <w:color w:val="000000"/>
        </w:rPr>
        <w:t>certification that the applicant has completed a Commission-approved training</w:t>
      </w:r>
      <w:r w:rsidR="00B40750">
        <w:rPr>
          <w:color w:val="000000"/>
        </w:rPr>
        <w:t> </w:t>
      </w:r>
      <w:r w:rsidR="00091A2C">
        <w:rPr>
          <w:color w:val="000000"/>
        </w:rPr>
        <w:t>program</w:t>
      </w:r>
      <w:r w:rsidR="002A2DC6">
        <w:rPr>
          <w:color w:val="000000"/>
        </w:rPr>
        <w:t xml:space="preserve">. </w:t>
      </w:r>
      <w:r w:rsidR="00D21433">
        <w:rPr>
          <w:color w:val="000000"/>
        </w:rPr>
        <w:t xml:space="preserve">This information is required under the Atomic Energy Act of 1954, as amended, in order for the NRC to ensure that uniform conditions for licensing individuals, as well as determining the qualifications of those individuals, </w:t>
      </w:r>
      <w:r w:rsidR="00B30902">
        <w:rPr>
          <w:color w:val="000000"/>
        </w:rPr>
        <w:t>are</w:t>
      </w:r>
      <w:r w:rsidR="00D21433">
        <w:rPr>
          <w:color w:val="000000"/>
        </w:rPr>
        <w:t xml:space="preserve"> met.</w:t>
      </w:r>
    </w:p>
    <w:p w:rsidR="002A28E8" w:rsidP="00343377" w14:paraId="3D0141CA" w14:textId="24963A2D">
      <w:pPr>
        <w:widowControl w:val="0"/>
        <w:rPr>
          <w:color w:val="000000"/>
        </w:rPr>
      </w:pPr>
      <w:r>
        <w:rPr>
          <w:rFonts w:cs="Arial"/>
          <w:szCs w:val="22"/>
        </w:rPr>
        <w:t xml:space="preserve">  </w:t>
      </w:r>
    </w:p>
    <w:p w:rsidR="00E309DC" w:rsidRPr="00FA06B8" w:rsidP="000D7BCA" w14:paraId="7445BE9E" w14:textId="77777777">
      <w:pPr>
        <w:widowControl w:val="0"/>
        <w:numPr>
          <w:ilvl w:val="0"/>
          <w:numId w:val="17"/>
        </w:numPr>
        <w:tabs>
          <w:tab w:val="left" w:pos="-144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A06B8">
        <w:rPr>
          <w:u w:val="single"/>
        </w:rPr>
        <w:t xml:space="preserve">Reduction of Burden </w:t>
      </w:r>
      <w:r w:rsidR="00A6619C">
        <w:rPr>
          <w:u w:val="single"/>
        </w:rPr>
        <w:t>t</w:t>
      </w:r>
      <w:r w:rsidRPr="00FA06B8">
        <w:rPr>
          <w:u w:val="single"/>
        </w:rPr>
        <w:t>hrough Information Technology</w:t>
      </w:r>
    </w:p>
    <w:p w:rsidR="00D733C0" w:rsidP="00FA06B8" w14:paraId="32AEB2A1" w14:textId="71E11252">
      <w:pPr>
        <w:ind w:left="1440"/>
        <w:rPr>
          <w:u w:val="single"/>
        </w:rPr>
      </w:pPr>
    </w:p>
    <w:p w:rsidR="00DF0578" w:rsidP="00DF0578" w14:paraId="06B402D0" w14:textId="6A43617F">
      <w:pPr>
        <w:ind w:left="1440"/>
        <w:rPr>
          <w:rFonts w:cs="Arial"/>
          <w:szCs w:val="22"/>
        </w:rPr>
      </w:pPr>
      <w:r w:rsidRPr="009F4133">
        <w:rPr>
          <w:rFonts w:cs="Arial"/>
          <w:szCs w:val="22"/>
        </w:rPr>
        <w:t>The NRC has issued</w:t>
      </w:r>
      <w:r>
        <w:rPr>
          <w:rFonts w:cs="Arial"/>
          <w:szCs w:val="22"/>
        </w:rPr>
        <w:t xml:space="preserve"> </w:t>
      </w:r>
      <w:hyperlink r:id="rId4" w:history="1">
        <w:r w:rsidRPr="007A714B">
          <w:rPr>
            <w:rStyle w:val="Hyperlink"/>
            <w:rFonts w:cs="Arial"/>
            <w:i/>
            <w:iCs/>
            <w:szCs w:val="22"/>
          </w:rPr>
          <w:t>Guidance for Electronic Submissions to the NRC</w:t>
        </w:r>
      </w:hyperlink>
      <w:r>
        <w:rPr>
          <w:rStyle w:val="Hyperlink"/>
          <w:rFonts w:cs="Arial"/>
          <w:i/>
          <w:szCs w:val="22"/>
        </w:rPr>
        <w:t>,</w:t>
      </w:r>
      <w:r w:rsidRPr="009F4133">
        <w:rPr>
          <w:rFonts w:cs="Arial"/>
          <w:szCs w:val="22"/>
        </w:rPr>
        <w:t xml:space="preserve"> which provides direction for the electronic transmission and submittal of documents to the NRC. Electronic transmission and submittal of documents can be accomplished via the following avenues: The</w:t>
      </w:r>
      <w:r w:rsidRPr="007A714B">
        <w:rPr>
          <w:rFonts w:cs="Arial"/>
          <w:szCs w:val="22"/>
        </w:rPr>
        <w:t xml:space="preserve"> Electronic Submittals application</w:t>
      </w:r>
      <w:r w:rsidRPr="009F4133">
        <w:rPr>
          <w:rFonts w:cs="Arial"/>
          <w:szCs w:val="22"/>
        </w:rPr>
        <w:t>, which is available from the NRC's “Electronic Submittals” Web page, by Optical Storage Media (e.g. CD</w:t>
      </w:r>
      <w:r>
        <w:rPr>
          <w:rFonts w:ascii="Cambria Math" w:hAnsi="Cambria Math" w:cs="Cambria Math"/>
          <w:szCs w:val="22"/>
        </w:rPr>
        <w:t>‑</w:t>
      </w:r>
      <w:r w:rsidRPr="009F4133">
        <w:rPr>
          <w:rFonts w:cs="Arial"/>
          <w:szCs w:val="22"/>
        </w:rPr>
        <w:t>ROM, DVD), by e</w:t>
      </w:r>
      <w:r>
        <w:rPr>
          <w:rFonts w:ascii="Cambria Math" w:hAnsi="Cambria Math" w:cs="Cambria Math"/>
          <w:szCs w:val="22"/>
        </w:rPr>
        <w:t>‑</w:t>
      </w:r>
      <w:r w:rsidRPr="009F4133">
        <w:rPr>
          <w:rFonts w:cs="Arial"/>
          <w:szCs w:val="22"/>
        </w:rPr>
        <w:t xml:space="preserve">mail. </w:t>
      </w:r>
      <w:r w:rsidRPr="007A714B">
        <w:rPr>
          <w:rFonts w:cs="Arial"/>
          <w:szCs w:val="22"/>
        </w:rPr>
        <w:t>The Electronic Submittals application allows electronic transmission of information to the NRC pertaining to licensing actions, associated hearings, and other regulatory matters. The application ensures information sent to the NRC via the Internet is secure and unaltered during transmission. It operates 24 hours a day, except when it is taken down for scheduled maintenance. The application serves as a secure portal respondents may use to transmit documents to the NRC</w:t>
      </w:r>
      <w:r>
        <w:rPr>
          <w:rFonts w:cs="Arial"/>
          <w:szCs w:val="22"/>
        </w:rPr>
        <w:t>.</w:t>
      </w:r>
      <w:r w:rsidRPr="007A714B">
        <w:rPr>
          <w:rFonts w:cs="Arial"/>
          <w:szCs w:val="22"/>
        </w:rPr>
        <w:t xml:space="preserve"> </w:t>
      </w:r>
      <w:r w:rsidR="002E38E5">
        <w:rPr>
          <w:rFonts w:cs="Arial"/>
          <w:szCs w:val="22"/>
        </w:rPr>
        <w:t>I</w:t>
      </w:r>
      <w:r w:rsidR="00AE5747">
        <w:rPr>
          <w:rFonts w:cs="Arial"/>
          <w:szCs w:val="22"/>
        </w:rPr>
        <w:t xml:space="preserve">t is </w:t>
      </w:r>
      <w:r w:rsidR="004F45F0">
        <w:rPr>
          <w:rFonts w:cs="Arial"/>
          <w:szCs w:val="22"/>
        </w:rPr>
        <w:t>estimated</w:t>
      </w:r>
      <w:r w:rsidR="00AE5747">
        <w:rPr>
          <w:rFonts w:cs="Arial"/>
          <w:szCs w:val="22"/>
        </w:rPr>
        <w:t xml:space="preserve"> that </w:t>
      </w:r>
      <w:r w:rsidR="004F45F0">
        <w:rPr>
          <w:rFonts w:cs="Arial"/>
          <w:szCs w:val="22"/>
        </w:rPr>
        <w:t xml:space="preserve">approximately </w:t>
      </w:r>
      <w:r w:rsidR="00B912B3">
        <w:rPr>
          <w:rFonts w:cs="Arial"/>
          <w:szCs w:val="22"/>
        </w:rPr>
        <w:t>95</w:t>
      </w:r>
      <w:r w:rsidR="00AE5747">
        <w:rPr>
          <w:rFonts w:cs="Arial"/>
          <w:szCs w:val="22"/>
        </w:rPr>
        <w:t xml:space="preserve"> percent of the respondents will choose to use </w:t>
      </w:r>
      <w:r w:rsidR="00B912B3">
        <w:rPr>
          <w:rFonts w:cs="Arial"/>
          <w:szCs w:val="22"/>
        </w:rPr>
        <w:t>this method.</w:t>
      </w:r>
    </w:p>
    <w:p w:rsidR="00464EA8" w:rsidRPr="00FA06B8" w:rsidP="00FA06B8" w14:paraId="03F0A1F4" w14:textId="77777777">
      <w:pPr>
        <w:ind w:left="1440"/>
      </w:pPr>
    </w:p>
    <w:p w:rsidR="00464EA8" w:rsidRPr="00FA06B8" w:rsidP="000D7BCA" w14:paraId="4181CEE7" w14:textId="77777777">
      <w:pPr>
        <w:numPr>
          <w:ilvl w:val="0"/>
          <w:numId w:val="17"/>
        </w:numPr>
        <w:rPr>
          <w:u w:val="single"/>
        </w:rPr>
      </w:pPr>
      <w:r w:rsidRPr="00FA06B8">
        <w:rPr>
          <w:u w:val="single"/>
        </w:rPr>
        <w:t>Effort to Identify Duplication and Use Similar Information</w:t>
      </w:r>
    </w:p>
    <w:p w:rsidR="00D733C0" w:rsidRPr="00FA06B8" w:rsidP="00FA06B8" w14:paraId="2BEB55C7" w14:textId="77777777">
      <w:pPr>
        <w:ind w:left="1440"/>
        <w:rPr>
          <w:u w:val="single"/>
        </w:rPr>
      </w:pPr>
    </w:p>
    <w:p w:rsidR="00464EA8" w:rsidP="00FA06B8" w14:paraId="7E466F4F" w14:textId="1EF72ED3">
      <w:pPr>
        <w:ind w:left="1440"/>
      </w:pPr>
      <w:r w:rsidRPr="00FA06B8">
        <w:t>No sources of similar information are available</w:t>
      </w:r>
      <w:r w:rsidR="002A2DC6">
        <w:t xml:space="preserve">. </w:t>
      </w:r>
      <w:r w:rsidRPr="00FA06B8">
        <w:t>There is no duplication of requirements</w:t>
      </w:r>
      <w:r w:rsidR="002A2DC6">
        <w:t xml:space="preserve">. </w:t>
      </w:r>
    </w:p>
    <w:p w:rsidR="00190ACA" w:rsidRPr="00FA06B8" w:rsidP="00FA06B8" w14:paraId="6F29167E" w14:textId="77777777">
      <w:pPr>
        <w:ind w:left="1440"/>
      </w:pPr>
    </w:p>
    <w:p w:rsidR="00464EA8" w:rsidRPr="00FA06B8" w:rsidP="000D7BCA" w14:paraId="1650D617" w14:textId="77777777">
      <w:pPr>
        <w:numPr>
          <w:ilvl w:val="0"/>
          <w:numId w:val="17"/>
        </w:numPr>
        <w:rPr>
          <w:u w:val="single"/>
        </w:rPr>
      </w:pPr>
      <w:r w:rsidRPr="00FA06B8">
        <w:rPr>
          <w:u w:val="single"/>
        </w:rPr>
        <w:t>Effort to Reduce Small Business Burden</w:t>
      </w:r>
    </w:p>
    <w:p w:rsidR="00D872B4" w:rsidRPr="00FA06B8" w:rsidP="00D872B4" w14:paraId="28283047" w14:textId="77777777">
      <w:pPr>
        <w:ind w:left="1440"/>
        <w:rPr>
          <w:u w:val="single"/>
        </w:rPr>
      </w:pPr>
    </w:p>
    <w:p w:rsidR="001F3643" w:rsidRPr="00D872B4" w:rsidP="00D225FB" w14:paraId="31EA4078" w14:textId="1C1869F1">
      <w:pPr>
        <w:ind w:left="1440"/>
      </w:pPr>
      <w:r w:rsidRPr="00D225FB">
        <w:t xml:space="preserve">Not </w:t>
      </w:r>
      <w:r w:rsidRPr="00D225FB" w:rsidR="00A6619C">
        <w:t>a</w:t>
      </w:r>
      <w:r w:rsidRPr="00D225FB">
        <w:t>pplicable</w:t>
      </w:r>
      <w:r w:rsidRPr="00D225FB" w:rsidR="00A6619C">
        <w:t>.</w:t>
      </w:r>
    </w:p>
    <w:p w:rsidR="00960599" w:rsidP="00FA06B8" w14:paraId="02B7FA9D" w14:textId="77777777">
      <w:pPr>
        <w:ind w:left="1440"/>
      </w:pPr>
    </w:p>
    <w:p w:rsidR="00464EA8" w:rsidRPr="00FA06B8" w:rsidP="000D7BCA" w14:paraId="6716034B" w14:textId="77777777">
      <w:pPr>
        <w:numPr>
          <w:ilvl w:val="0"/>
          <w:numId w:val="17"/>
        </w:numPr>
      </w:pPr>
      <w:r w:rsidRPr="00FA06B8">
        <w:rPr>
          <w:u w:val="single"/>
        </w:rPr>
        <w:t>Consequences to Federal Program or Policy Activities if the Collection is not</w:t>
      </w:r>
      <w:r w:rsidRPr="00FA06B8">
        <w:t xml:space="preserve"> </w:t>
      </w:r>
      <w:r w:rsidRPr="00FA06B8">
        <w:rPr>
          <w:u w:val="single"/>
        </w:rPr>
        <w:t>Conducted or is Conducted Less Frequency</w:t>
      </w:r>
    </w:p>
    <w:p w:rsidR="00D733C0" w:rsidRPr="00FA06B8" w:rsidP="00FA06B8" w14:paraId="52893F2C" w14:textId="77777777">
      <w:pPr>
        <w:ind w:left="1440"/>
        <w:rPr>
          <w:u w:val="single"/>
        </w:rPr>
      </w:pPr>
    </w:p>
    <w:p w:rsidR="004329DA" w:rsidRPr="004329DA" w:rsidP="008E679A" w14:paraId="76494D2D" w14:textId="5C94217D">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Cs w:val="20"/>
        </w:rPr>
      </w:pPr>
      <w:r w:rsidRPr="004329DA">
        <w:rPr>
          <w:color w:val="000000"/>
          <w:szCs w:val="20"/>
        </w:rPr>
        <w:t>Frequency of reporting cannot be discontinued or reduced without violating the NRC licensing requirements as described in 10 CFR 55.31, 10 CFR 55.35, 10</w:t>
      </w:r>
      <w:r w:rsidR="00190ACA">
        <w:rPr>
          <w:color w:val="000000"/>
          <w:szCs w:val="20"/>
        </w:rPr>
        <w:t> </w:t>
      </w:r>
      <w:r>
        <w:rPr>
          <w:color w:val="000000"/>
          <w:szCs w:val="20"/>
        </w:rPr>
        <w:t xml:space="preserve">CFR </w:t>
      </w:r>
      <w:r w:rsidRPr="004329DA">
        <w:rPr>
          <w:color w:val="000000"/>
          <w:szCs w:val="20"/>
        </w:rPr>
        <w:t>55.47</w:t>
      </w:r>
      <w:r w:rsidR="00D872B4">
        <w:rPr>
          <w:color w:val="000000"/>
          <w:szCs w:val="20"/>
        </w:rPr>
        <w:t>,</w:t>
      </w:r>
      <w:r w:rsidRPr="004329DA">
        <w:rPr>
          <w:color w:val="000000"/>
          <w:szCs w:val="20"/>
        </w:rPr>
        <w:t xml:space="preserve"> and 10 CFR 55.57</w:t>
      </w:r>
      <w:r w:rsidR="007B2498">
        <w:rPr>
          <w:color w:val="000000"/>
          <w:szCs w:val="20"/>
        </w:rPr>
        <w:t xml:space="preserve"> </w:t>
      </w:r>
      <w:r w:rsidR="007B2498">
        <w:t>which would increase the potential for endangering public health and safety</w:t>
      </w:r>
      <w:r w:rsidR="002A2DC6">
        <w:t xml:space="preserve">. </w:t>
      </w:r>
      <w:r w:rsidR="00D21433">
        <w:t xml:space="preserve">Collection of this form for initial operators is not performed at a specified </w:t>
      </w:r>
      <w:r w:rsidR="002F6EBC">
        <w:t>frequency but</w:t>
      </w:r>
      <w:r w:rsidR="00D21433">
        <w:t xml:space="preserve"> instead is collected when an individual desires to be licensed at a facility</w:t>
      </w:r>
      <w:r w:rsidR="002A2DC6">
        <w:t xml:space="preserve">. </w:t>
      </w:r>
      <w:r w:rsidR="00D21433">
        <w:t xml:space="preserve">The NRC cannot make the determination that the individual possesses the necessary qualifications as required by the Atomic Energy Act of 1954 without the information provided on this form, therefore the NRC would be unable to license new </w:t>
      </w:r>
      <w:r w:rsidR="00B30902">
        <w:t>individuals,</w:t>
      </w:r>
      <w:r w:rsidR="00D21433">
        <w:t xml:space="preserve"> and the number of licensed individuals would decrease as a result of attrition and retirements of currently licensed individuals</w:t>
      </w:r>
      <w:r w:rsidR="002A2DC6">
        <w:t xml:space="preserve">. </w:t>
      </w:r>
      <w:r w:rsidR="00D21433">
        <w:t>This would result in fewer licensed operators to operate the plant, increasing overtime and operator fatigue</w:t>
      </w:r>
      <w:r w:rsidR="002A2DC6">
        <w:t xml:space="preserve">. </w:t>
      </w:r>
      <w:r w:rsidR="00D21433">
        <w:t>At some point, the facilities would no longer have enough operators to continue to function at power and would have to shut down the facilities</w:t>
      </w:r>
      <w:r w:rsidR="002A2DC6">
        <w:t xml:space="preserve">. </w:t>
      </w:r>
      <w:r w:rsidR="00D21433">
        <w:t xml:space="preserve">For currently licensed operators, their licenses expire, per 10 CFR Part 55.55, after </w:t>
      </w:r>
      <w:r w:rsidR="00D872B4">
        <w:t xml:space="preserve">6 </w:t>
      </w:r>
      <w:r w:rsidR="00D21433">
        <w:t>years</w:t>
      </w:r>
      <w:r w:rsidR="002A2DC6">
        <w:t xml:space="preserve">. </w:t>
      </w:r>
      <w:r w:rsidR="00D21433">
        <w:t xml:space="preserve">This length </w:t>
      </w:r>
      <w:r w:rsidR="00D21433">
        <w:t xml:space="preserve">of time was evaluated and determined to be appropriate to ensure that licensed operators periodically </w:t>
      </w:r>
      <w:r w:rsidR="00B30902">
        <w:t>reevaluated</w:t>
      </w:r>
      <w:r w:rsidR="00D21433">
        <w:t xml:space="preserve"> by the NRC to ensure that their qualifications are still valid</w:t>
      </w:r>
      <w:r w:rsidR="002A2DC6">
        <w:t xml:space="preserve">. </w:t>
      </w:r>
      <w:r w:rsidR="00D21433">
        <w:t xml:space="preserve">Prior to 1987, the operator licenses expired every </w:t>
      </w:r>
      <w:r w:rsidR="00D872B4">
        <w:t xml:space="preserve">2 </w:t>
      </w:r>
      <w:r w:rsidR="00D21433">
        <w:t xml:space="preserve">years, and the frequency was extended to every </w:t>
      </w:r>
      <w:r w:rsidR="00D872B4">
        <w:t xml:space="preserve">6 </w:t>
      </w:r>
      <w:r w:rsidR="00D21433">
        <w:t>years to reduce burden on the facility and NRC</w:t>
      </w:r>
      <w:r w:rsidR="002A2DC6">
        <w:t xml:space="preserve">. </w:t>
      </w:r>
      <w:r w:rsidR="007743EA">
        <w:t>The NRC determined that this was a sufficient frequency to minimize burden while still ensuring that the NRC met its mandate to ensure qualifications of licensed operators</w:t>
      </w:r>
      <w:r w:rsidR="002A2DC6">
        <w:t xml:space="preserve">. </w:t>
      </w:r>
      <w:r w:rsidR="007743EA">
        <w:t xml:space="preserve">If the information is collected less than every </w:t>
      </w:r>
      <w:r w:rsidR="00D872B4">
        <w:t xml:space="preserve">6 </w:t>
      </w:r>
      <w:r w:rsidR="007743EA">
        <w:t>years, a rule change, including a cost-benefit analysis to determine the safety impact of an increased license term, would need to be</w:t>
      </w:r>
      <w:r w:rsidR="005F41EA">
        <w:t> </w:t>
      </w:r>
      <w:r w:rsidR="007743EA">
        <w:t>performed</w:t>
      </w:r>
      <w:r w:rsidR="002A2DC6">
        <w:t xml:space="preserve">. </w:t>
      </w:r>
      <w:r w:rsidR="007743EA">
        <w:t>Under the current regulations, if the form is not received on time, then the operator’s license would expire and the individual would either have to re-apply, which would also require submission of the form, or would no longer be licensed</w:t>
      </w:r>
      <w:r w:rsidR="002A2DC6">
        <w:t xml:space="preserve">. </w:t>
      </w:r>
      <w:r w:rsidR="007743EA">
        <w:t>If the individual reapplies, there is no change in the burden as the form would still need to be completed</w:t>
      </w:r>
      <w:r w:rsidR="002A2DC6">
        <w:t xml:space="preserve">. </w:t>
      </w:r>
      <w:r w:rsidR="007743EA">
        <w:t>If the individual is no longer licensed, then the total number of operators at the site would lower adding burden on the remaining operators</w:t>
      </w:r>
      <w:r w:rsidR="002A2DC6">
        <w:t xml:space="preserve">. </w:t>
      </w:r>
      <w:r w:rsidR="007743EA">
        <w:t xml:space="preserve">Additionally, all the operators at the site would have their licenses expire after </w:t>
      </w:r>
      <w:r w:rsidR="00D872B4">
        <w:t xml:space="preserve">6 </w:t>
      </w:r>
      <w:r w:rsidR="007743EA">
        <w:t xml:space="preserve">years, at which time there would be no licensed operators if this form is not </w:t>
      </w:r>
      <w:r w:rsidR="00343377">
        <w:t>collected</w:t>
      </w:r>
      <w:r w:rsidR="007743EA">
        <w:t xml:space="preserve">. </w:t>
      </w:r>
    </w:p>
    <w:p w:rsidR="007449D3" w:rsidRPr="00FA06B8" w:rsidP="00FA06B8" w14:paraId="7522C183" w14:textId="77777777">
      <w:pPr>
        <w:ind w:left="1440"/>
      </w:pPr>
    </w:p>
    <w:p w:rsidR="006E69D0" w:rsidRPr="00FA06B8" w:rsidP="000D7BCA" w14:paraId="5166BCB2" w14:textId="566A81E3">
      <w:pPr>
        <w:numPr>
          <w:ilvl w:val="0"/>
          <w:numId w:val="17"/>
        </w:numPr>
      </w:pPr>
      <w:r w:rsidRPr="00FA06B8">
        <w:rPr>
          <w:u w:val="single"/>
        </w:rPr>
        <w:t xml:space="preserve">Circumstances Which Justify Variation from </w:t>
      </w:r>
      <w:r w:rsidR="008D09EB">
        <w:rPr>
          <w:u w:val="single"/>
        </w:rPr>
        <w:t>the Office of Management and Budget</w:t>
      </w:r>
      <w:r w:rsidRPr="00FA06B8">
        <w:rPr>
          <w:u w:val="single"/>
        </w:rPr>
        <w:t xml:space="preserve"> Guidelines</w:t>
      </w:r>
    </w:p>
    <w:p w:rsidR="00D733C0" w:rsidRPr="00FA06B8" w:rsidP="00FA06B8" w14:paraId="6D61C71D" w14:textId="77777777">
      <w:pPr>
        <w:ind w:left="1440"/>
        <w:rPr>
          <w:u w:val="single"/>
        </w:rPr>
      </w:pPr>
    </w:p>
    <w:p w:rsidR="004329DA" w:rsidRPr="004329DA" w:rsidP="00D225FB" w14:paraId="5B208431" w14:textId="1960F267">
      <w:pPr>
        <w:rPr>
          <w:color w:val="000000"/>
          <w:szCs w:val="20"/>
        </w:rPr>
      </w:pPr>
      <w:r>
        <w:rPr>
          <w:color w:val="000000"/>
          <w:szCs w:val="20"/>
        </w:rPr>
        <w:t xml:space="preserve">  </w:t>
      </w:r>
      <w:r w:rsidR="00D872B4">
        <w:rPr>
          <w:color w:val="000000"/>
          <w:szCs w:val="20"/>
        </w:rPr>
        <w:tab/>
      </w:r>
      <w:r w:rsidR="00D872B4">
        <w:rPr>
          <w:color w:val="000000"/>
          <w:szCs w:val="20"/>
        </w:rPr>
        <w:tab/>
      </w:r>
      <w:r w:rsidR="00E579CA">
        <w:rPr>
          <w:color w:val="000000"/>
          <w:szCs w:val="20"/>
        </w:rPr>
        <w:t xml:space="preserve">Not </w:t>
      </w:r>
      <w:r w:rsidR="000D7BCA">
        <w:rPr>
          <w:color w:val="000000"/>
          <w:szCs w:val="20"/>
        </w:rPr>
        <w:t>a</w:t>
      </w:r>
      <w:r w:rsidR="00E579CA">
        <w:rPr>
          <w:color w:val="000000"/>
          <w:szCs w:val="20"/>
        </w:rPr>
        <w:t>pplicable</w:t>
      </w:r>
      <w:r w:rsidR="00DE61E1">
        <w:rPr>
          <w:color w:val="000000"/>
          <w:szCs w:val="20"/>
        </w:rPr>
        <w:t>.</w:t>
      </w:r>
    </w:p>
    <w:p w:rsidR="00960599" w:rsidRPr="00FA06B8" w:rsidP="00FA06B8" w14:paraId="097C31EF" w14:textId="77777777">
      <w:pPr>
        <w:ind w:left="1440"/>
      </w:pPr>
    </w:p>
    <w:p w:rsidR="006E69D0" w:rsidRPr="00FA06B8" w:rsidP="000D7BCA" w14:paraId="7C94410A" w14:textId="77777777">
      <w:pPr>
        <w:numPr>
          <w:ilvl w:val="0"/>
          <w:numId w:val="17"/>
        </w:numPr>
      </w:pPr>
      <w:r w:rsidRPr="00FA06B8">
        <w:rPr>
          <w:u w:val="single"/>
        </w:rPr>
        <w:t xml:space="preserve">Consultations Outside </w:t>
      </w:r>
      <w:r w:rsidRPr="00FA06B8" w:rsidR="005F6D9F">
        <w:rPr>
          <w:u w:val="single"/>
        </w:rPr>
        <w:t>of</w:t>
      </w:r>
      <w:r w:rsidRPr="00FA06B8">
        <w:rPr>
          <w:u w:val="single"/>
        </w:rPr>
        <w:t xml:space="preserve"> the NRC</w:t>
      </w:r>
    </w:p>
    <w:p w:rsidR="00FA06B8" w:rsidRPr="00FA06B8" w:rsidP="00FA06B8" w14:paraId="5E9004B5" w14:textId="77777777">
      <w:pPr>
        <w:widowControl w:val="0"/>
        <w:ind w:left="1440"/>
      </w:pPr>
    </w:p>
    <w:p w:rsidR="004C2EED" w:rsidRPr="007F683D" w:rsidP="004C2EED" w14:paraId="0A863914" w14:textId="5775B3D0">
      <w:pPr>
        <w:autoSpaceDE w:val="0"/>
        <w:autoSpaceDN w:val="0"/>
        <w:adjustRightInd w:val="0"/>
        <w:ind w:left="1440"/>
        <w:rPr>
          <w:rFonts w:cs="Arial"/>
          <w:szCs w:val="22"/>
        </w:rPr>
      </w:pPr>
      <w:r w:rsidRPr="008C38F4">
        <w:rPr>
          <w:rFonts w:cs="Arial"/>
          <w:szCs w:val="22"/>
        </w:rPr>
        <w:t xml:space="preserve">Opportunity for public comment on the information collection requirements for this clearance package was published in the Federal Register on </w:t>
      </w:r>
      <w:r>
        <w:rPr>
          <w:rFonts w:cs="Arial"/>
          <w:szCs w:val="22"/>
        </w:rPr>
        <w:t>November</w:t>
      </w:r>
      <w:r w:rsidRPr="008C38F4">
        <w:rPr>
          <w:rFonts w:cs="Arial"/>
          <w:szCs w:val="22"/>
        </w:rPr>
        <w:t xml:space="preserve"> </w:t>
      </w:r>
      <w:r>
        <w:rPr>
          <w:rFonts w:cs="Arial"/>
          <w:szCs w:val="22"/>
        </w:rPr>
        <w:t>20</w:t>
      </w:r>
      <w:r w:rsidRPr="008C38F4">
        <w:rPr>
          <w:rFonts w:cs="Arial"/>
          <w:szCs w:val="22"/>
        </w:rPr>
        <w:t>, 2025</w:t>
      </w:r>
      <w:r>
        <w:rPr>
          <w:rFonts w:cs="Arial"/>
          <w:szCs w:val="22"/>
        </w:rPr>
        <w:t>,</w:t>
      </w:r>
      <w:r w:rsidRPr="008C38F4">
        <w:rPr>
          <w:rFonts w:cs="Arial"/>
          <w:szCs w:val="22"/>
        </w:rPr>
        <w:t xml:space="preserve"> (90 FR </w:t>
      </w:r>
      <w:r>
        <w:rPr>
          <w:rFonts w:cs="Arial"/>
          <w:szCs w:val="22"/>
        </w:rPr>
        <w:t>52449</w:t>
      </w:r>
      <w:r w:rsidRPr="008C38F4">
        <w:rPr>
          <w:rFonts w:cs="Arial"/>
          <w:szCs w:val="22"/>
        </w:rPr>
        <w:t xml:space="preserve">).  </w:t>
      </w:r>
      <w:r w:rsidRPr="00A60A31">
        <w:rPr>
          <w:rFonts w:cs="Arial"/>
          <w:szCs w:val="22"/>
        </w:rPr>
        <w:t xml:space="preserve">Additionally, staff contacted </w:t>
      </w:r>
      <w:r w:rsidRPr="007F683D">
        <w:rPr>
          <w:rFonts w:cs="Arial"/>
          <w:szCs w:val="22"/>
        </w:rPr>
        <w:t>eight</w:t>
      </w:r>
      <w:r w:rsidRPr="00A60A31">
        <w:rPr>
          <w:rFonts w:cs="Arial"/>
          <w:szCs w:val="22"/>
        </w:rPr>
        <w:t xml:space="preserve"> stakeholders via email</w:t>
      </w:r>
      <w:r w:rsidRPr="007F683D">
        <w:rPr>
          <w:rFonts w:cs="Arial"/>
          <w:szCs w:val="22"/>
        </w:rPr>
        <w:t xml:space="preserve"> representing </w:t>
      </w:r>
      <w:r w:rsidRPr="00A60A31">
        <w:rPr>
          <w:rFonts w:cs="Arial"/>
          <w:szCs w:val="22"/>
        </w:rPr>
        <w:t xml:space="preserve">operating </w:t>
      </w:r>
      <w:r w:rsidRPr="007F683D">
        <w:rPr>
          <w:rFonts w:cs="Arial"/>
          <w:szCs w:val="22"/>
        </w:rPr>
        <w:t xml:space="preserve">reactors, </w:t>
      </w:r>
      <w:r w:rsidRPr="00A60A31">
        <w:rPr>
          <w:rFonts w:cs="Arial"/>
          <w:szCs w:val="22"/>
        </w:rPr>
        <w:t xml:space="preserve">nonpower production and utilization facilities, </w:t>
      </w:r>
      <w:r w:rsidRPr="007F683D">
        <w:rPr>
          <w:rFonts w:cs="Arial"/>
          <w:szCs w:val="22"/>
        </w:rPr>
        <w:t xml:space="preserve">and </w:t>
      </w:r>
      <w:r w:rsidRPr="00A60A31">
        <w:rPr>
          <w:rFonts w:cs="Arial"/>
          <w:szCs w:val="22"/>
        </w:rPr>
        <w:t>research and test reactor stakeholders from</w:t>
      </w:r>
      <w:r w:rsidRPr="007F683D">
        <w:rPr>
          <w:rFonts w:cs="Arial"/>
          <w:szCs w:val="22"/>
        </w:rPr>
        <w:t xml:space="preserve"> Constellation Energy Generation, LLC; Duke Energy Progress, LLC; Entergy Nuclear Operations, Inc.; Luminant Generation Co, LLC; PSEG Nuclear, LLC; Reed College; Talen Energy and The Pennsylvania State University.</w:t>
      </w:r>
    </w:p>
    <w:p w:rsidR="004C2EED" w:rsidRPr="008C38F4" w:rsidP="004C2EED" w14:paraId="5A485A67" w14:textId="77777777">
      <w:pPr>
        <w:autoSpaceDE w:val="0"/>
        <w:autoSpaceDN w:val="0"/>
        <w:adjustRightInd w:val="0"/>
        <w:ind w:left="1440"/>
        <w:rPr>
          <w:rFonts w:cs="Arial"/>
          <w:szCs w:val="22"/>
        </w:rPr>
      </w:pPr>
      <w:r w:rsidRPr="008C38F4">
        <w:rPr>
          <w:rFonts w:cs="Arial"/>
          <w:szCs w:val="22"/>
        </w:rPr>
        <w:t> </w:t>
      </w:r>
    </w:p>
    <w:p w:rsidR="004C2EED" w:rsidRPr="00453C0A" w:rsidP="004C2EED" w14:paraId="6D7DD5AE" w14:textId="77777777">
      <w:pPr>
        <w:autoSpaceDE w:val="0"/>
        <w:autoSpaceDN w:val="0"/>
        <w:adjustRightInd w:val="0"/>
        <w:ind w:left="1440"/>
        <w:rPr>
          <w:rFonts w:cs="Arial"/>
          <w:szCs w:val="22"/>
        </w:rPr>
      </w:pPr>
      <w:r w:rsidRPr="00D626BC">
        <w:rPr>
          <w:rFonts w:eastAsia="Aptos"/>
          <w:kern w:val="2"/>
          <w:szCs w:val="22"/>
          <w14:ligatures w14:val="standardContextual"/>
        </w:rPr>
        <w:t>No responses were received because of the FRN or the staff’s direct solicitation for comments</w:t>
      </w:r>
      <w:r>
        <w:rPr>
          <w:rFonts w:cs="Arial"/>
          <w:szCs w:val="22"/>
        </w:rPr>
        <w:t xml:space="preserve">.  </w:t>
      </w:r>
    </w:p>
    <w:p w:rsidR="00A37E25" w:rsidP="00BE29E9" w14:paraId="1C3EF067" w14:textId="77777777">
      <w:pPr>
        <w:spacing w:line="270" w:lineRule="atLeast"/>
        <w:ind w:left="1440" w:right="-576"/>
      </w:pPr>
    </w:p>
    <w:p w:rsidR="006E69D0" w:rsidRPr="00FA06B8" w:rsidP="000D7BCA" w14:paraId="359970CB" w14:textId="77777777">
      <w:pPr>
        <w:numPr>
          <w:ilvl w:val="0"/>
          <w:numId w:val="17"/>
        </w:numPr>
      </w:pPr>
      <w:r w:rsidRPr="00FA06B8">
        <w:rPr>
          <w:u w:val="single"/>
        </w:rPr>
        <w:t>Payment or Gift to Respondents</w:t>
      </w:r>
    </w:p>
    <w:p w:rsidR="00D733C0" w:rsidRPr="00FA06B8" w:rsidP="00A3228A" w14:paraId="5A88D943" w14:textId="77777777">
      <w:pPr>
        <w:ind w:left="1440"/>
      </w:pPr>
    </w:p>
    <w:p w:rsidR="0053672A" w:rsidP="00FE3C32" w14:paraId="4F03BE0C" w14:textId="77777777">
      <w:pPr>
        <w:ind w:left="1440"/>
      </w:pPr>
      <w:r w:rsidRPr="00FA06B8">
        <w:t>Not applicable.</w:t>
      </w:r>
    </w:p>
    <w:p w:rsidR="0053672A" w:rsidP="00EC4973" w14:paraId="5D9EC2FA" w14:textId="77777777">
      <w:pPr>
        <w:ind w:firstLine="720"/>
      </w:pPr>
    </w:p>
    <w:p w:rsidR="006E69D0" w:rsidRPr="00FA06B8" w:rsidP="000D7BCA" w14:paraId="2EAACAE3" w14:textId="77777777">
      <w:pPr>
        <w:numPr>
          <w:ilvl w:val="0"/>
          <w:numId w:val="17"/>
        </w:numPr>
      </w:pPr>
      <w:r w:rsidRPr="00FA06B8">
        <w:rPr>
          <w:u w:val="single"/>
        </w:rPr>
        <w:t>Confidentiality of the Information</w:t>
      </w:r>
    </w:p>
    <w:p w:rsidR="00D733C0" w:rsidRPr="00FA06B8" w:rsidP="00FA06B8" w14:paraId="693626AD" w14:textId="77777777">
      <w:pPr>
        <w:ind w:left="1440"/>
      </w:pPr>
    </w:p>
    <w:p w:rsidR="00B26472" w:rsidP="0005700B" w14:paraId="5D76AE3C" w14:textId="77777777">
      <w:pPr>
        <w:ind w:left="1440"/>
      </w:pPr>
      <w:r w:rsidRPr="0005700B">
        <w:t>Confidential and proprietary information is protected in accordance with NRC regulations at 10 CFR 9.17(a) and 10 CFR 2.390(b).</w:t>
      </w:r>
    </w:p>
    <w:p w:rsidR="008D08C3" w14:paraId="2D072983" w14:textId="07FDEEAC">
      <w:r>
        <w:br w:type="page"/>
      </w:r>
    </w:p>
    <w:p w:rsidR="00B26472" w:rsidP="0005700B" w14:paraId="33B9EEFD" w14:textId="77777777">
      <w:pPr>
        <w:ind w:left="1440"/>
      </w:pPr>
    </w:p>
    <w:p w:rsidR="006E69D0" w:rsidRPr="00FA06B8" w:rsidP="000D7BCA" w14:paraId="06D047C8" w14:textId="77777777">
      <w:pPr>
        <w:numPr>
          <w:ilvl w:val="0"/>
          <w:numId w:val="17"/>
        </w:numPr>
        <w:rPr>
          <w:u w:val="single"/>
        </w:rPr>
      </w:pPr>
      <w:r w:rsidRPr="00FA06B8">
        <w:rPr>
          <w:u w:val="single"/>
        </w:rPr>
        <w:t>Justification for Sensitive Questions</w:t>
      </w:r>
    </w:p>
    <w:p w:rsidR="00D733C0" w:rsidRPr="00FA06B8" w:rsidP="00FA06B8" w14:paraId="7F5E782D" w14:textId="77777777">
      <w:pPr>
        <w:ind w:left="1440"/>
        <w:rPr>
          <w:u w:val="single"/>
        </w:rPr>
      </w:pPr>
    </w:p>
    <w:p w:rsidR="003E03AC" w:rsidP="003E03AC" w14:paraId="66356336" w14:textId="55952490">
      <w:pPr>
        <w:widowControl w:val="0"/>
        <w:ind w:left="1440"/>
      </w:pPr>
      <w:r>
        <w:t xml:space="preserve">The information is required to </w:t>
      </w:r>
      <w:r w:rsidR="007743EA">
        <w:t>uniquely identify the individual for recordkeeping purposes and to ensure that a license, if issued, is issued to the correct individual</w:t>
      </w:r>
      <w:r w:rsidR="001F2E98">
        <w:t xml:space="preserve">. </w:t>
      </w:r>
      <w:r w:rsidR="007743EA">
        <w:t xml:space="preserve">Because individuals can have the same name, </w:t>
      </w:r>
      <w:r w:rsidR="00343377">
        <w:t>the</w:t>
      </w:r>
      <w:r w:rsidR="007743EA">
        <w:t xml:space="preserve"> date</w:t>
      </w:r>
      <w:r w:rsidR="00343377">
        <w:t xml:space="preserve"> of birth</w:t>
      </w:r>
      <w:r w:rsidR="007743EA">
        <w:t xml:space="preserve"> is also requested in order to ensure that each person can be uniquely identified</w:t>
      </w:r>
      <w:r w:rsidR="002A2DC6">
        <w:t xml:space="preserve">. </w:t>
      </w:r>
      <w:r w:rsidR="007743EA">
        <w:t>Additionally, an e-mail address can be voluntarily provided so that the NRC can communicate with that individual electronically regarding the application</w:t>
      </w:r>
      <w:r w:rsidR="002A2DC6">
        <w:t xml:space="preserve">. </w:t>
      </w:r>
      <w:r w:rsidR="007743EA">
        <w:t>A home mailing address is also requested for two purposes</w:t>
      </w:r>
      <w:r w:rsidR="002A2DC6">
        <w:t xml:space="preserve">. </w:t>
      </w:r>
      <w:r w:rsidR="007743EA">
        <w:t>It can also help to uniquely identify a person but is primarily used as a means of communication with the person regarding the application, especially if an e-mail address is not voluntarily provided</w:t>
      </w:r>
      <w:r w:rsidR="002A2DC6">
        <w:t xml:space="preserve">. </w:t>
      </w:r>
      <w:r w:rsidR="007743EA">
        <w:t xml:space="preserve">This is a mechanism to </w:t>
      </w:r>
      <w:r w:rsidR="00343377">
        <w:t>inform the individual of</w:t>
      </w:r>
      <w:r w:rsidR="007743EA">
        <w:t xml:space="preserve"> the outcome of the</w:t>
      </w:r>
      <w:r w:rsidR="00343377">
        <w:t>ir</w:t>
      </w:r>
      <w:r w:rsidR="007743EA">
        <w:t xml:space="preserve"> application, either to issue the license or deny it</w:t>
      </w:r>
      <w:r w:rsidR="002A2DC6">
        <w:t xml:space="preserve">. </w:t>
      </w:r>
      <w:r w:rsidR="007743EA">
        <w:t xml:space="preserve">If denied, the home address, or e-mail address if voluntarily provided, is used to communicate the process to request an administrative hearing if the </w:t>
      </w:r>
      <w:r w:rsidR="00B014E2">
        <w:t>applicant</w:t>
      </w:r>
      <w:r w:rsidR="007743EA">
        <w:t xml:space="preserve"> chooses</w:t>
      </w:r>
      <w:r w:rsidR="00FB4C35">
        <w:t xml:space="preserve">. </w:t>
      </w:r>
      <w:r w:rsidR="007743EA">
        <w:t>For licensed operators, the home address, or e-mail address if voluntarily provided, is used to send any updates to the license, such as a new license condition due to a new medical condition.</w:t>
      </w:r>
    </w:p>
    <w:p w:rsidR="00021ED9" w:rsidP="003E03AC" w14:paraId="256F6F7F" w14:textId="3F152E15">
      <w:pPr>
        <w:widowControl w:val="0"/>
        <w:ind w:left="1440"/>
      </w:pPr>
    </w:p>
    <w:p w:rsidR="008B5446" w:rsidRPr="00FA06B8" w:rsidP="000D7BCA" w14:paraId="174A821B" w14:textId="77777777">
      <w:pPr>
        <w:numPr>
          <w:ilvl w:val="0"/>
          <w:numId w:val="17"/>
        </w:numPr>
      </w:pPr>
      <w:r w:rsidRPr="00FA06B8">
        <w:rPr>
          <w:u w:val="single"/>
        </w:rPr>
        <w:t>Estimated</w:t>
      </w:r>
      <w:r w:rsidR="00470B44">
        <w:rPr>
          <w:u w:val="single"/>
        </w:rPr>
        <w:t xml:space="preserve"> </w:t>
      </w:r>
      <w:r w:rsidRPr="00FA06B8">
        <w:rPr>
          <w:u w:val="single"/>
        </w:rPr>
        <w:t>Burden and Burden Hour Cost</w:t>
      </w:r>
    </w:p>
    <w:p w:rsidR="00FA06B8" w:rsidP="00FA06B8" w14:paraId="206E06A0" w14:textId="77777777">
      <w:pPr>
        <w:ind w:left="1440"/>
      </w:pPr>
    </w:p>
    <w:p w:rsidR="00CD3E1E" w:rsidP="0048204A" w14:paraId="3800E02C" w14:textId="5BDD4396">
      <w:pPr>
        <w:widowControl w:val="0"/>
        <w:ind w:left="1440"/>
        <w:rPr>
          <w:color w:val="000000"/>
        </w:rPr>
      </w:pPr>
      <w:r>
        <w:rPr>
          <w:color w:val="000000"/>
        </w:rPr>
        <w:t>The NRC</w:t>
      </w:r>
      <w:r w:rsidR="0000727D">
        <w:rPr>
          <w:color w:val="000000"/>
        </w:rPr>
        <w:t xml:space="preserve"> </w:t>
      </w:r>
      <w:r>
        <w:rPr>
          <w:color w:val="000000"/>
        </w:rPr>
        <w:t xml:space="preserve">estimates </w:t>
      </w:r>
      <w:r w:rsidR="0000727D">
        <w:rPr>
          <w:color w:val="000000"/>
        </w:rPr>
        <w:t>that</w:t>
      </w:r>
      <w:r w:rsidR="00EC246E">
        <w:rPr>
          <w:color w:val="000000"/>
        </w:rPr>
        <w:t xml:space="preserve"> </w:t>
      </w:r>
      <w:r w:rsidR="00934132">
        <w:rPr>
          <w:color w:val="000000"/>
        </w:rPr>
        <w:t>1,</w:t>
      </w:r>
      <w:r w:rsidR="00F930E8">
        <w:rPr>
          <w:color w:val="000000"/>
        </w:rPr>
        <w:t>062</w:t>
      </w:r>
      <w:r w:rsidR="00657A6B">
        <w:rPr>
          <w:color w:val="000000"/>
        </w:rPr>
        <w:t xml:space="preserve"> </w:t>
      </w:r>
      <w:r w:rsidR="003D02D9">
        <w:rPr>
          <w:color w:val="000000"/>
        </w:rPr>
        <w:t>NRC Form 398</w:t>
      </w:r>
      <w:r w:rsidR="008D09EB">
        <w:rPr>
          <w:color w:val="000000"/>
        </w:rPr>
        <w:t>s</w:t>
      </w:r>
      <w:r w:rsidR="003D02D9">
        <w:rPr>
          <w:color w:val="000000"/>
        </w:rPr>
        <w:t xml:space="preserve"> are expect</w:t>
      </w:r>
      <w:r w:rsidR="00EC246E">
        <w:rPr>
          <w:color w:val="000000"/>
        </w:rPr>
        <w:t xml:space="preserve">ed to be submitted </w:t>
      </w:r>
      <w:r w:rsidR="006D520C">
        <w:rPr>
          <w:color w:val="000000"/>
        </w:rPr>
        <w:t>annually</w:t>
      </w:r>
      <w:r w:rsidR="00DF4E47">
        <w:rPr>
          <w:color w:val="000000"/>
        </w:rPr>
        <w:t xml:space="preserve"> (</w:t>
      </w:r>
      <w:r w:rsidR="000560D9">
        <w:rPr>
          <w:color w:val="000000"/>
        </w:rPr>
        <w:t>5</w:t>
      </w:r>
      <w:r w:rsidR="00EE20DF">
        <w:rPr>
          <w:color w:val="000000"/>
        </w:rPr>
        <w:t>40</w:t>
      </w:r>
      <w:r w:rsidR="00DF4E47">
        <w:rPr>
          <w:color w:val="000000"/>
        </w:rPr>
        <w:t xml:space="preserve"> applicants</w:t>
      </w:r>
      <w:r w:rsidR="0012339F">
        <w:rPr>
          <w:color w:val="000000"/>
        </w:rPr>
        <w:t xml:space="preserve"> (initial &amp; upgrade)</w:t>
      </w:r>
      <w:r w:rsidR="003F0E90">
        <w:rPr>
          <w:color w:val="000000"/>
        </w:rPr>
        <w:t xml:space="preserve">, </w:t>
      </w:r>
      <w:r w:rsidR="00F930E8">
        <w:rPr>
          <w:color w:val="000000"/>
        </w:rPr>
        <w:t>114</w:t>
      </w:r>
      <w:r w:rsidR="003F0E90">
        <w:rPr>
          <w:color w:val="000000"/>
        </w:rPr>
        <w:t xml:space="preserve"> applicants with waivers, 4</w:t>
      </w:r>
      <w:r w:rsidR="00F930E8">
        <w:rPr>
          <w:color w:val="000000"/>
        </w:rPr>
        <w:t>02</w:t>
      </w:r>
      <w:r w:rsidR="003F0E90">
        <w:rPr>
          <w:color w:val="000000"/>
        </w:rPr>
        <w:t xml:space="preserve"> license renewa</w:t>
      </w:r>
      <w:r w:rsidRPr="004D212F" w:rsidR="003F0E90">
        <w:rPr>
          <w:color w:val="000000"/>
        </w:rPr>
        <w:t xml:space="preserve">ls, and </w:t>
      </w:r>
      <w:r w:rsidRPr="004D212F" w:rsidR="008D09EB">
        <w:rPr>
          <w:color w:val="000000"/>
        </w:rPr>
        <w:t>six</w:t>
      </w:r>
      <w:r w:rsidRPr="004D212F" w:rsidR="003F0E90">
        <w:rPr>
          <w:color w:val="000000"/>
        </w:rPr>
        <w:t xml:space="preserve"> re-applications)</w:t>
      </w:r>
      <w:r w:rsidRPr="004D212F" w:rsidR="00145A31">
        <w:rPr>
          <w:color w:val="000000"/>
        </w:rPr>
        <w:t xml:space="preserve">. </w:t>
      </w:r>
      <w:r w:rsidRPr="004D212F" w:rsidR="003F0E90">
        <w:rPr>
          <w:color w:val="000000"/>
        </w:rPr>
        <w:t>At the hourly cost of $</w:t>
      </w:r>
      <w:r w:rsidRPr="004D212F" w:rsidR="009A1060">
        <w:rPr>
          <w:color w:val="000000"/>
        </w:rPr>
        <w:t>317</w:t>
      </w:r>
      <w:r w:rsidRPr="004D212F" w:rsidR="003F0E90">
        <w:rPr>
          <w:color w:val="000000"/>
        </w:rPr>
        <w:t>, the total industry reporting requirements burden cost is $</w:t>
      </w:r>
      <w:r w:rsidRPr="004D212F" w:rsidR="005F37E6">
        <w:rPr>
          <w:color w:val="000000"/>
        </w:rPr>
        <w:t>1,779,321</w:t>
      </w:r>
      <w:r w:rsidRPr="004D212F" w:rsidR="002A2DC6">
        <w:rPr>
          <w:color w:val="000000"/>
        </w:rPr>
        <w:t xml:space="preserve">. </w:t>
      </w:r>
      <w:r w:rsidRPr="004D212F">
        <w:rPr>
          <w:color w:val="000000"/>
        </w:rPr>
        <w:t>(See</w:t>
      </w:r>
      <w:r w:rsidRPr="004D212F" w:rsidR="00375F80">
        <w:rPr>
          <w:color w:val="000000"/>
        </w:rPr>
        <w:t> </w:t>
      </w:r>
      <w:r w:rsidRPr="004D212F" w:rsidR="0012339F">
        <w:rPr>
          <w:color w:val="000000"/>
        </w:rPr>
        <w:t xml:space="preserve">Reporting </w:t>
      </w:r>
      <w:r w:rsidRPr="004D212F" w:rsidR="00DF4E47">
        <w:rPr>
          <w:color w:val="000000"/>
        </w:rPr>
        <w:t>Burden Table)</w:t>
      </w:r>
      <w:r w:rsidRPr="004D212F" w:rsidR="002A2DC6">
        <w:rPr>
          <w:color w:val="000000"/>
        </w:rPr>
        <w:t>.</w:t>
      </w:r>
      <w:r w:rsidR="002A2DC6">
        <w:rPr>
          <w:color w:val="000000"/>
        </w:rPr>
        <w:t xml:space="preserve"> </w:t>
      </w:r>
    </w:p>
    <w:p w:rsidR="0012339F" w:rsidP="0048204A" w14:paraId="14A4CCBB" w14:textId="77777777">
      <w:pPr>
        <w:widowControl w:val="0"/>
        <w:ind w:left="1440"/>
        <w:rPr>
          <w:color w:val="000000"/>
        </w:rPr>
      </w:pPr>
    </w:p>
    <w:p w:rsidR="0012339F" w:rsidP="0048204A" w14:paraId="114EE61F" w14:textId="77777777">
      <w:pPr>
        <w:widowControl w:val="0"/>
        <w:ind w:left="1440"/>
        <w:rPr>
          <w:color w:val="000000"/>
        </w:rPr>
      </w:pPr>
      <w:r>
        <w:rPr>
          <w:color w:val="000000"/>
        </w:rPr>
        <w:t>Note, there are no recordkeeping requirements imposed with this clearance.</w:t>
      </w:r>
    </w:p>
    <w:p w:rsidR="00F94086" w:rsidP="001A191A" w14:paraId="1ADEF1FB" w14:textId="77777777">
      <w:pPr>
        <w:pStyle w:val="ListBullet"/>
        <w:numPr>
          <w:ilvl w:val="0"/>
          <w:numId w:val="0"/>
        </w:numPr>
        <w:ind w:left="720" w:firstLine="720"/>
        <w:rPr>
          <w:color w:val="000000"/>
          <w:highlight w:val="yellow"/>
        </w:rPr>
      </w:pPr>
    </w:p>
    <w:p w:rsidR="00F94086" w:rsidRPr="00B073DB" w:rsidP="0048204A" w14:paraId="75F5DEEE" w14:textId="77777777">
      <w:pPr>
        <w:ind w:left="720" w:firstLine="720"/>
      </w:pPr>
      <w:r w:rsidRPr="00B073DB">
        <w:rPr>
          <w:u w:val="single"/>
        </w:rPr>
        <w:t>Total Burden and Cost</w:t>
      </w:r>
    </w:p>
    <w:p w:rsidR="00F94086" w:rsidRPr="00B073DB" w:rsidP="00B073DB" w14:paraId="74764BDD" w14:textId="77777777">
      <w:pPr>
        <w:ind w:left="2160"/>
      </w:pPr>
    </w:p>
    <w:p w:rsidR="00C15801" w:rsidRPr="004D212F" w:rsidP="00A60D14" w14:paraId="794963C7" w14:textId="4C50C89E">
      <w:pPr>
        <w:ind w:left="1440"/>
      </w:pPr>
      <w:r w:rsidRPr="004D212F">
        <w:t xml:space="preserve">Total Annual Burden </w:t>
      </w:r>
      <w:r w:rsidRPr="004D212F" w:rsidR="007A31EC">
        <w:t>(</w:t>
      </w:r>
      <w:r w:rsidRPr="004D212F" w:rsidR="008F23B3">
        <w:t>3,510</w:t>
      </w:r>
      <w:r w:rsidRPr="004D212F" w:rsidR="007A31EC">
        <w:t xml:space="preserve"> + </w:t>
      </w:r>
      <w:r w:rsidRPr="004D212F" w:rsidR="00BA0C7B">
        <w:t>1,083</w:t>
      </w:r>
      <w:r w:rsidRPr="004D212F" w:rsidR="007A31EC">
        <w:t xml:space="preserve"> + </w:t>
      </w:r>
      <w:r w:rsidRPr="004D212F" w:rsidR="00BA0C7B">
        <w:t>1,005</w:t>
      </w:r>
      <w:r w:rsidRPr="004D212F" w:rsidR="007A31EC">
        <w:t xml:space="preserve"> + </w:t>
      </w:r>
      <w:r w:rsidRPr="004D212F" w:rsidR="00BA0C7B">
        <w:t>15</w:t>
      </w:r>
      <w:r w:rsidRPr="004D212F" w:rsidR="007A31EC">
        <w:t xml:space="preserve">) </w:t>
      </w:r>
      <w:r w:rsidRPr="004D212F">
        <w:t xml:space="preserve">= </w:t>
      </w:r>
      <w:r w:rsidRPr="004D212F" w:rsidR="00BA0C7B">
        <w:t>5,613</w:t>
      </w:r>
      <w:r w:rsidRPr="004D212F">
        <w:t xml:space="preserve"> hours </w:t>
      </w:r>
      <w:r w:rsidRPr="004D212F" w:rsidR="00A60D14">
        <w:t>(See Annual Reporting Requirements Table).</w:t>
      </w:r>
    </w:p>
    <w:p w:rsidR="00136629" w:rsidRPr="004D212F" w:rsidP="00B073DB" w14:paraId="0F85CB4C" w14:textId="77777777">
      <w:pPr>
        <w:ind w:left="2160"/>
      </w:pPr>
    </w:p>
    <w:p w:rsidR="00136629" w:rsidRPr="00B073DB" w:rsidP="0048204A" w14:paraId="1AD4DBC8" w14:textId="5EAAB537">
      <w:pPr>
        <w:ind w:left="720" w:firstLine="720"/>
      </w:pPr>
      <w:r w:rsidRPr="004D212F">
        <w:t>Total Burden Hour Cost</w:t>
      </w:r>
      <w:r w:rsidRPr="004D212F" w:rsidR="0048204A">
        <w:t xml:space="preserve"> =</w:t>
      </w:r>
      <w:r w:rsidRPr="004D212F" w:rsidR="00531FB2">
        <w:t xml:space="preserve"> $</w:t>
      </w:r>
      <w:r w:rsidRPr="004D212F" w:rsidR="00EC2713">
        <w:t>1,779,321</w:t>
      </w:r>
      <w:r w:rsidRPr="004D212F" w:rsidR="007644EA">
        <w:t xml:space="preserve"> </w:t>
      </w:r>
      <w:r w:rsidRPr="004D212F">
        <w:t>(</w:t>
      </w:r>
      <w:r w:rsidRPr="004D212F" w:rsidR="00EC2713">
        <w:t>5,613</w:t>
      </w:r>
      <w:r w:rsidRPr="004D212F">
        <w:t xml:space="preserve"> hours x $</w:t>
      </w:r>
      <w:r w:rsidRPr="004D212F" w:rsidR="00A45BE7">
        <w:t>317</w:t>
      </w:r>
      <w:r w:rsidRPr="004D212F" w:rsidR="00232FED">
        <w:t xml:space="preserve"> per </w:t>
      </w:r>
      <w:r w:rsidRPr="004D212F">
        <w:t>hour)</w:t>
      </w:r>
    </w:p>
    <w:p w:rsidR="00C15801" w:rsidRPr="00B073DB" w:rsidP="00B073DB" w14:paraId="730051D5" w14:textId="77777777">
      <w:pPr>
        <w:ind w:left="2160"/>
        <w:rPr>
          <w:highlight w:val="yellow"/>
        </w:rPr>
      </w:pPr>
    </w:p>
    <w:p w:rsidR="000B037D" w:rsidRPr="00226B79" w:rsidP="000B037D" w14:paraId="0199A783" w14:textId="2A6D1158">
      <w:pPr>
        <w:ind w:left="1440"/>
        <w:rPr>
          <w:rFonts w:cs="Arial"/>
          <w:szCs w:val="22"/>
        </w:rPr>
      </w:pPr>
      <w:r w:rsidRPr="00226B79">
        <w:rPr>
          <w:rFonts w:cs="Arial"/>
          <w:szCs w:val="22"/>
        </w:rPr>
        <w:t>The $3</w:t>
      </w:r>
      <w:r>
        <w:rPr>
          <w:rFonts w:cs="Arial"/>
          <w:szCs w:val="22"/>
        </w:rPr>
        <w:t>17</w:t>
      </w:r>
      <w:r w:rsidRPr="00226B79">
        <w:rPr>
          <w:rFonts w:cs="Arial"/>
          <w:szCs w:val="22"/>
        </w:rPr>
        <w:t xml:space="preserve"> hourly rate used in the burden estimates is based on the NRC’s fee for hourly rates as noted in 10 CFR 170.20 “Average cost per professional staff</w:t>
      </w:r>
      <w:r w:rsidR="002D2910">
        <w:rPr>
          <w:rFonts w:cs="Arial"/>
          <w:szCs w:val="22"/>
        </w:rPr>
        <w:t xml:space="preserve"> -</w:t>
      </w:r>
      <w:r w:rsidRPr="00226B79">
        <w:rPr>
          <w:rFonts w:cs="Arial"/>
          <w:szCs w:val="22"/>
        </w:rPr>
        <w:t>hour.” For more information on the hourly rate, see the “Revision of Fee Schedules, Fee Recovery for Fiscal Year 2024” final rule (89 FR 51789</w:t>
      </w:r>
      <w:r>
        <w:rPr>
          <w:rFonts w:cs="Arial"/>
          <w:szCs w:val="22"/>
        </w:rPr>
        <w:t>;</w:t>
      </w:r>
      <w:r w:rsidRPr="00226B79">
        <w:rPr>
          <w:rFonts w:cs="Arial"/>
          <w:szCs w:val="22"/>
        </w:rPr>
        <w:t xml:space="preserve"> June</w:t>
      </w:r>
      <w:r>
        <w:rPr>
          <w:rFonts w:cs="Arial"/>
          <w:szCs w:val="22"/>
        </w:rPr>
        <w:t> 20</w:t>
      </w:r>
      <w:r w:rsidRPr="00226B79">
        <w:rPr>
          <w:rFonts w:cs="Arial"/>
          <w:szCs w:val="22"/>
        </w:rPr>
        <w:t>, 2024).</w:t>
      </w:r>
    </w:p>
    <w:p w:rsidR="008F5F1D" w:rsidRPr="008F5F1D" w:rsidP="008F5F1D" w14:paraId="6E81CE9D" w14:textId="1EE9922E">
      <w:pPr>
        <w:spacing w:line="240" w:lineRule="exact"/>
        <w:ind w:left="1440"/>
        <w:rPr>
          <w:rFonts w:eastAsia="Arial" w:cs="Arial"/>
          <w:szCs w:val="22"/>
        </w:rPr>
      </w:pPr>
    </w:p>
    <w:p w:rsidR="003F4DB0" w:rsidP="00F877B1" w14:paraId="7FBCC0A5" w14:textId="77777777">
      <w:pPr>
        <w:numPr>
          <w:ilvl w:val="0"/>
          <w:numId w:val="17"/>
        </w:numPr>
        <w:rPr>
          <w:color w:val="000000"/>
          <w:u w:val="single"/>
        </w:rPr>
      </w:pPr>
      <w:r w:rsidRPr="00043083">
        <w:rPr>
          <w:color w:val="000000"/>
          <w:u w:val="single"/>
        </w:rPr>
        <w:t>Estimate of Other Additional Costs</w:t>
      </w:r>
    </w:p>
    <w:p w:rsidR="00F33C33" w:rsidP="003F4DB0" w14:paraId="07377607" w14:textId="77777777">
      <w:pPr>
        <w:rPr>
          <w:color w:val="000000"/>
          <w:u w:val="single"/>
        </w:rPr>
      </w:pPr>
    </w:p>
    <w:p w:rsidR="00CB00CF" w:rsidP="00CB00CF" w14:paraId="75B79639" w14:textId="3CAFC2AD">
      <w:pPr>
        <w:widowControl w:val="0"/>
        <w:ind w:left="1440"/>
      </w:pPr>
      <w:r>
        <w:t>T</w:t>
      </w:r>
      <w:r w:rsidR="00B60671">
        <w:t>here are no additional costs</w:t>
      </w:r>
      <w:r w:rsidR="002A2DC6">
        <w:t xml:space="preserve">. </w:t>
      </w:r>
    </w:p>
    <w:p w:rsidR="003F4DB0" w:rsidP="003F4DB0" w14:paraId="1F0B04F1"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cs="Arial"/>
          <w:bCs/>
          <w:szCs w:val="22"/>
        </w:rPr>
      </w:pPr>
      <w:r>
        <w:rPr>
          <w:bCs/>
          <w:szCs w:val="22"/>
        </w:rPr>
        <w:tab/>
      </w:r>
    </w:p>
    <w:p w:rsidR="003D02D9" w:rsidP="00F877B1" w14:paraId="04C94B53" w14:textId="77777777">
      <w:pPr>
        <w:widowControl w:val="0"/>
        <w:numPr>
          <w:ilvl w:val="0"/>
          <w:numId w:val="17"/>
        </w:numPr>
        <w:rPr>
          <w:color w:val="000000"/>
          <w:u w:val="single"/>
        </w:rPr>
      </w:pPr>
      <w:r w:rsidRPr="00043083">
        <w:rPr>
          <w:color w:val="000000"/>
          <w:u w:val="single"/>
        </w:rPr>
        <w:t>Estimated Annualized Cost to the Federal Government</w:t>
      </w:r>
    </w:p>
    <w:p w:rsidR="00F33C33" w:rsidP="00357EA4" w14:paraId="395B645A" w14:textId="77777777">
      <w:pPr>
        <w:widowControl w:val="0"/>
        <w:rPr>
          <w:color w:val="000000"/>
          <w:u w:val="single"/>
        </w:rPr>
      </w:pPr>
    </w:p>
    <w:p w:rsidR="000B3589" w:rsidP="005906EC" w14:paraId="79D85DC4" w14:textId="3FA11538">
      <w:pPr>
        <w:widowControl w:val="0"/>
        <w:ind w:left="1440"/>
      </w:pPr>
      <w:r w:rsidRPr="00D93EC1">
        <w:rPr>
          <w:rFonts w:cs="Arial"/>
          <w:szCs w:val="22"/>
        </w:rPr>
        <w:t>The staff has developed estimates of annualized costs to the Federal Government related to the conduct of this collection of information</w:t>
      </w:r>
      <w:r w:rsidR="002A2DC6">
        <w:rPr>
          <w:rFonts w:cs="Arial"/>
          <w:szCs w:val="22"/>
        </w:rPr>
        <w:t xml:space="preserve">. </w:t>
      </w:r>
      <w:r w:rsidRPr="00D93EC1">
        <w:rPr>
          <w:rFonts w:cs="Arial"/>
          <w:szCs w:val="22"/>
        </w:rPr>
        <w:t>These estimates are based on staff experience</w:t>
      </w:r>
      <w:r w:rsidR="006D12F3">
        <w:rPr>
          <w:rFonts w:cs="Arial"/>
          <w:szCs w:val="22"/>
        </w:rPr>
        <w:t>, historical data</w:t>
      </w:r>
      <w:r w:rsidRPr="00D93EC1">
        <w:rPr>
          <w:rFonts w:cs="Arial"/>
          <w:szCs w:val="22"/>
        </w:rPr>
        <w:t xml:space="preserve"> and subject matter expertise and include the </w:t>
      </w:r>
      <w:r w:rsidR="00794490">
        <w:rPr>
          <w:rFonts w:cs="Arial"/>
          <w:szCs w:val="22"/>
        </w:rPr>
        <w:t xml:space="preserve">estimated </w:t>
      </w:r>
      <w:r w:rsidRPr="00D93EC1">
        <w:rPr>
          <w:rFonts w:cs="Arial"/>
          <w:szCs w:val="22"/>
        </w:rPr>
        <w:t>burden needed to review, analyze, and process the collected information and any relevant operational expenses</w:t>
      </w:r>
      <w:r w:rsidR="002A2DC6">
        <w:rPr>
          <w:rFonts w:cs="Arial"/>
          <w:szCs w:val="22"/>
        </w:rPr>
        <w:t xml:space="preserve">. </w:t>
      </w:r>
      <w:r>
        <w:t xml:space="preserve">It is estimated that </w:t>
      </w:r>
      <w:r w:rsidR="00EB3DC6">
        <w:t>1,0</w:t>
      </w:r>
      <w:r w:rsidR="00A45BE7">
        <w:t>62</w:t>
      </w:r>
      <w:r>
        <w:t xml:space="preserve"> NRC Forms 398 will be submitted annually during the clearance </w:t>
      </w:r>
      <w:r w:rsidRPr="004D212F">
        <w:t>period</w:t>
      </w:r>
      <w:r w:rsidRPr="004D212F" w:rsidR="00015519">
        <w:t xml:space="preserve"> </w:t>
      </w:r>
      <w:r w:rsidRPr="004D212F" w:rsidR="00B60671">
        <w:t>(</w:t>
      </w:r>
      <w:r w:rsidRPr="004D212F" w:rsidR="00BD7215">
        <w:t>540</w:t>
      </w:r>
      <w:r w:rsidRPr="004D212F" w:rsidR="00B60671">
        <w:t xml:space="preserve"> applicants without waivers</w:t>
      </w:r>
      <w:r w:rsidRPr="004D212F" w:rsidR="0012339F">
        <w:t xml:space="preserve"> </w:t>
      </w:r>
      <w:r w:rsidRPr="004D212F" w:rsidR="0012339F">
        <w:rPr>
          <w:color w:val="000000"/>
        </w:rPr>
        <w:t>(initial &amp; upgrade),</w:t>
      </w:r>
      <w:r w:rsidRPr="004D212F" w:rsidR="00B60671">
        <w:t xml:space="preserve"> </w:t>
      </w:r>
      <w:r w:rsidRPr="004D212F" w:rsidR="00BD7215">
        <w:t>114</w:t>
      </w:r>
      <w:r w:rsidRPr="004D212F" w:rsidR="00B60671">
        <w:t xml:space="preserve"> applicants with waivers, </w:t>
      </w:r>
      <w:r w:rsidRPr="004D212F" w:rsidR="007A31EC">
        <w:t>4</w:t>
      </w:r>
      <w:r w:rsidRPr="004D212F" w:rsidR="00BD7215">
        <w:t>02</w:t>
      </w:r>
      <w:r w:rsidRPr="004D212F" w:rsidR="007A31EC">
        <w:t xml:space="preserve"> license renewals, and </w:t>
      </w:r>
      <w:r w:rsidRPr="004D212F" w:rsidR="008D09EB">
        <w:t>six</w:t>
      </w:r>
      <w:r w:rsidRPr="004D212F" w:rsidR="00B30902">
        <w:t xml:space="preserve"> re</w:t>
      </w:r>
      <w:r w:rsidRPr="004D212F" w:rsidR="00EF4CED">
        <w:t>-applications</w:t>
      </w:r>
      <w:r w:rsidRPr="004D212F" w:rsidR="00B60671">
        <w:t>).</w:t>
      </w:r>
      <w:r>
        <w:t xml:space="preserve"> </w:t>
      </w:r>
    </w:p>
    <w:p w:rsidR="00503FF0" w:rsidP="00B26472" w14:paraId="4A45246A" w14:textId="7E00912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rPr>
      </w:pPr>
      <w:r>
        <w:rPr>
          <w:color w:val="000000"/>
        </w:rPr>
        <w:t xml:space="preserve">  </w:t>
      </w:r>
    </w:p>
    <w:p w:rsidR="0012339F" w:rsidP="7BA6A258" w14:paraId="7C922568" w14:textId="6E1917AD">
      <w:pPr>
        <w:widowControl w:val="0"/>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Arial"/>
        </w:rPr>
      </w:pPr>
      <w:r>
        <w:rPr>
          <w:color w:val="000000"/>
        </w:rPr>
        <w:tab/>
      </w:r>
      <w:r>
        <w:rPr>
          <w:color w:val="000000"/>
        </w:rPr>
        <w:tab/>
      </w:r>
      <w:r>
        <w:rPr>
          <w:color w:val="000000"/>
        </w:rPr>
        <w:tab/>
      </w:r>
      <w:r w:rsidRPr="00043083" w:rsidR="003D02D9">
        <w:rPr>
          <w:color w:val="000000"/>
        </w:rPr>
        <w:t xml:space="preserve">Processing the NRC Form 398 takes </w:t>
      </w:r>
      <w:r w:rsidR="003D02D9">
        <w:rPr>
          <w:color w:val="000000"/>
        </w:rPr>
        <w:t xml:space="preserve">approximately </w:t>
      </w:r>
      <w:r w:rsidR="00934132">
        <w:rPr>
          <w:color w:val="000000"/>
        </w:rPr>
        <w:t>1</w:t>
      </w:r>
      <w:r w:rsidR="00BC730D">
        <w:rPr>
          <w:color w:val="000000"/>
        </w:rPr>
        <w:t>.0</w:t>
      </w:r>
      <w:r w:rsidR="003D02D9">
        <w:rPr>
          <w:color w:val="000000"/>
        </w:rPr>
        <w:t xml:space="preserve"> hour per</w:t>
      </w:r>
      <w:r w:rsidR="00EC4973">
        <w:rPr>
          <w:color w:val="000000"/>
        </w:rPr>
        <w:t xml:space="preserve"> </w:t>
      </w:r>
      <w:r w:rsidR="003D02D9">
        <w:rPr>
          <w:color w:val="000000"/>
        </w:rPr>
        <w:t>application</w:t>
      </w:r>
      <w:r w:rsidR="00B60671">
        <w:rPr>
          <w:color w:val="000000"/>
        </w:rPr>
        <w:t xml:space="preserve"> without a waiver</w:t>
      </w:r>
      <w:r w:rsidR="00B5328D">
        <w:rPr>
          <w:color w:val="000000"/>
        </w:rPr>
        <w:t xml:space="preserve"> (</w:t>
      </w:r>
      <w:r w:rsidR="00BD7215">
        <w:rPr>
          <w:color w:val="000000"/>
        </w:rPr>
        <w:t>540</w:t>
      </w:r>
      <w:r w:rsidR="00D872B4">
        <w:rPr>
          <w:color w:val="000000"/>
        </w:rPr>
        <w:t xml:space="preserve"> x </w:t>
      </w:r>
      <w:r w:rsidR="008D09EB">
        <w:rPr>
          <w:color w:val="000000"/>
        </w:rPr>
        <w:t xml:space="preserve">1 </w:t>
      </w:r>
      <w:r w:rsidR="009C2FB1">
        <w:rPr>
          <w:color w:val="000000"/>
        </w:rPr>
        <w:t>h</w:t>
      </w:r>
      <w:r w:rsidR="008D09EB">
        <w:rPr>
          <w:color w:val="000000"/>
        </w:rPr>
        <w:t>ou</w:t>
      </w:r>
      <w:r w:rsidR="009C2FB1">
        <w:rPr>
          <w:color w:val="000000"/>
        </w:rPr>
        <w:t>r=</w:t>
      </w:r>
      <w:r w:rsidR="002417F7">
        <w:rPr>
          <w:color w:val="000000"/>
        </w:rPr>
        <w:t xml:space="preserve"> </w:t>
      </w:r>
      <w:r w:rsidR="00BD7215">
        <w:rPr>
          <w:color w:val="000000"/>
        </w:rPr>
        <w:t>540</w:t>
      </w:r>
      <w:r w:rsidR="008D09EB">
        <w:rPr>
          <w:color w:val="000000"/>
        </w:rPr>
        <w:t xml:space="preserve"> </w:t>
      </w:r>
      <w:r w:rsidR="009C2FB1">
        <w:rPr>
          <w:color w:val="000000"/>
        </w:rPr>
        <w:t>h</w:t>
      </w:r>
      <w:r w:rsidR="008D09EB">
        <w:rPr>
          <w:color w:val="000000"/>
        </w:rPr>
        <w:t>ou</w:t>
      </w:r>
      <w:r w:rsidR="009C2FB1">
        <w:rPr>
          <w:color w:val="000000"/>
        </w:rPr>
        <w:t>rs)</w:t>
      </w:r>
      <w:r w:rsidR="003D02D9">
        <w:rPr>
          <w:color w:val="000000"/>
        </w:rPr>
        <w:t>,</w:t>
      </w:r>
      <w:r w:rsidR="00B47D08">
        <w:rPr>
          <w:color w:val="000000"/>
        </w:rPr>
        <w:t xml:space="preserve"> </w:t>
      </w:r>
      <w:r w:rsidR="003D02D9">
        <w:rPr>
          <w:color w:val="000000"/>
        </w:rPr>
        <w:t>1.5 hours per application with a waiver</w:t>
      </w:r>
      <w:r w:rsidR="004909C1">
        <w:rPr>
          <w:color w:val="000000"/>
        </w:rPr>
        <w:t xml:space="preserve"> (</w:t>
      </w:r>
      <w:r w:rsidR="00BD7215">
        <w:rPr>
          <w:color w:val="000000"/>
        </w:rPr>
        <w:t>114</w:t>
      </w:r>
      <w:r w:rsidR="00D872B4">
        <w:rPr>
          <w:color w:val="000000"/>
        </w:rPr>
        <w:t xml:space="preserve"> x </w:t>
      </w:r>
      <w:r w:rsidR="008D09EB">
        <w:rPr>
          <w:color w:val="000000"/>
        </w:rPr>
        <w:t>1</w:t>
      </w:r>
      <w:r w:rsidR="004909C1">
        <w:rPr>
          <w:color w:val="000000"/>
        </w:rPr>
        <w:t>.5=</w:t>
      </w:r>
      <w:r w:rsidR="002417F7">
        <w:rPr>
          <w:color w:val="000000"/>
        </w:rPr>
        <w:t xml:space="preserve"> </w:t>
      </w:r>
      <w:r w:rsidR="00BD7215">
        <w:rPr>
          <w:color w:val="000000"/>
        </w:rPr>
        <w:t>171</w:t>
      </w:r>
      <w:r w:rsidR="008D09EB">
        <w:rPr>
          <w:color w:val="000000"/>
        </w:rPr>
        <w:t xml:space="preserve"> </w:t>
      </w:r>
      <w:r w:rsidR="004909C1">
        <w:rPr>
          <w:color w:val="000000"/>
        </w:rPr>
        <w:t>h</w:t>
      </w:r>
      <w:r w:rsidR="008D09EB">
        <w:rPr>
          <w:color w:val="000000"/>
        </w:rPr>
        <w:t>ou</w:t>
      </w:r>
      <w:r w:rsidR="004909C1">
        <w:rPr>
          <w:color w:val="000000"/>
        </w:rPr>
        <w:t>rs)</w:t>
      </w:r>
      <w:r w:rsidR="003D02D9">
        <w:rPr>
          <w:color w:val="000000"/>
        </w:rPr>
        <w:t xml:space="preserve">, </w:t>
      </w:r>
      <w:r w:rsidR="00934132">
        <w:rPr>
          <w:color w:val="000000"/>
        </w:rPr>
        <w:t>0</w:t>
      </w:r>
      <w:r w:rsidR="003D02D9">
        <w:rPr>
          <w:color w:val="000000"/>
        </w:rPr>
        <w:t xml:space="preserve">.5 hour per renewal </w:t>
      </w:r>
      <w:r w:rsidR="004909C1">
        <w:rPr>
          <w:color w:val="000000"/>
        </w:rPr>
        <w:t>(</w:t>
      </w:r>
      <w:r w:rsidR="00BD7215">
        <w:rPr>
          <w:color w:val="000000"/>
        </w:rPr>
        <w:t>402</w:t>
      </w:r>
      <w:r w:rsidR="00D872B4">
        <w:rPr>
          <w:color w:val="000000"/>
        </w:rPr>
        <w:t xml:space="preserve"> x </w:t>
      </w:r>
      <w:r w:rsidR="008D09EB">
        <w:rPr>
          <w:color w:val="000000"/>
        </w:rPr>
        <w:t>0</w:t>
      </w:r>
      <w:r w:rsidR="00977FF5">
        <w:rPr>
          <w:color w:val="000000"/>
        </w:rPr>
        <w:t>.5=</w:t>
      </w:r>
      <w:r w:rsidR="002417F7">
        <w:rPr>
          <w:color w:val="000000"/>
        </w:rPr>
        <w:t xml:space="preserve"> </w:t>
      </w:r>
      <w:r w:rsidR="00BD7215">
        <w:rPr>
          <w:color w:val="000000"/>
        </w:rPr>
        <w:t>201</w:t>
      </w:r>
      <w:r w:rsidR="008D09EB">
        <w:rPr>
          <w:color w:val="000000"/>
        </w:rPr>
        <w:t xml:space="preserve"> </w:t>
      </w:r>
      <w:r w:rsidR="00977FF5">
        <w:rPr>
          <w:color w:val="000000"/>
        </w:rPr>
        <w:t>h</w:t>
      </w:r>
      <w:r w:rsidR="008D09EB">
        <w:rPr>
          <w:color w:val="000000"/>
        </w:rPr>
        <w:t>ou</w:t>
      </w:r>
      <w:r w:rsidR="00977FF5">
        <w:rPr>
          <w:color w:val="000000"/>
        </w:rPr>
        <w:t xml:space="preserve">rs) </w:t>
      </w:r>
      <w:r w:rsidR="003D02D9">
        <w:rPr>
          <w:color w:val="000000"/>
        </w:rPr>
        <w:t>and</w:t>
      </w:r>
      <w:r w:rsidR="00357EA4">
        <w:rPr>
          <w:color w:val="000000"/>
        </w:rPr>
        <w:t xml:space="preserve"> </w:t>
      </w:r>
      <w:r w:rsidR="00934132">
        <w:rPr>
          <w:color w:val="000000"/>
        </w:rPr>
        <w:t>0</w:t>
      </w:r>
      <w:r w:rsidR="003D02D9">
        <w:rPr>
          <w:color w:val="000000"/>
        </w:rPr>
        <w:t>.5 hour per</w:t>
      </w:r>
      <w:r w:rsidR="00B60671">
        <w:rPr>
          <w:color w:val="000000"/>
        </w:rPr>
        <w:t xml:space="preserve"> </w:t>
      </w:r>
      <w:r w:rsidR="00A6619C">
        <w:rPr>
          <w:color w:val="000000"/>
        </w:rPr>
        <w:t>re-application</w:t>
      </w:r>
      <w:r w:rsidR="00977FF5">
        <w:rPr>
          <w:color w:val="000000"/>
        </w:rPr>
        <w:t xml:space="preserve"> (</w:t>
      </w:r>
      <w:r w:rsidR="00BD7215">
        <w:rPr>
          <w:color w:val="000000"/>
        </w:rPr>
        <w:t>6</w:t>
      </w:r>
      <w:r w:rsidR="00D872B4">
        <w:rPr>
          <w:color w:val="000000"/>
        </w:rPr>
        <w:t xml:space="preserve"> x </w:t>
      </w:r>
      <w:r w:rsidR="008D09EB">
        <w:rPr>
          <w:color w:val="000000"/>
        </w:rPr>
        <w:t>0</w:t>
      </w:r>
      <w:r w:rsidR="004139BE">
        <w:rPr>
          <w:color w:val="000000"/>
        </w:rPr>
        <w:t>.5=</w:t>
      </w:r>
      <w:r w:rsidR="002417F7">
        <w:rPr>
          <w:color w:val="000000"/>
        </w:rPr>
        <w:t xml:space="preserve"> </w:t>
      </w:r>
      <w:r w:rsidR="00BD7215">
        <w:rPr>
          <w:color w:val="000000"/>
        </w:rPr>
        <w:t>3</w:t>
      </w:r>
      <w:r w:rsidR="008D09EB">
        <w:rPr>
          <w:color w:val="000000"/>
        </w:rPr>
        <w:t xml:space="preserve"> </w:t>
      </w:r>
      <w:r w:rsidR="004139BE">
        <w:rPr>
          <w:color w:val="000000"/>
        </w:rPr>
        <w:t>h</w:t>
      </w:r>
      <w:r w:rsidR="008D09EB">
        <w:rPr>
          <w:color w:val="000000"/>
        </w:rPr>
        <w:t>ou</w:t>
      </w:r>
      <w:r w:rsidR="004139BE">
        <w:rPr>
          <w:color w:val="000000"/>
        </w:rPr>
        <w:t xml:space="preserve">rs), total </w:t>
      </w:r>
      <w:r w:rsidR="00725CCB">
        <w:rPr>
          <w:color w:val="000000"/>
        </w:rPr>
        <w:t>91</w:t>
      </w:r>
      <w:r w:rsidR="0031114D">
        <w:rPr>
          <w:color w:val="000000"/>
        </w:rPr>
        <w:t>5</w:t>
      </w:r>
      <w:r w:rsidR="004139BE">
        <w:rPr>
          <w:color w:val="000000"/>
        </w:rPr>
        <w:t xml:space="preserve"> hours</w:t>
      </w:r>
      <w:r w:rsidR="00AA000D">
        <w:rPr>
          <w:color w:val="000000"/>
        </w:rPr>
        <w:t>, a</w:t>
      </w:r>
      <w:r w:rsidR="00725CCB">
        <w:rPr>
          <w:color w:val="000000"/>
        </w:rPr>
        <w:t>n increase</w:t>
      </w:r>
      <w:r w:rsidR="00AA000D">
        <w:rPr>
          <w:color w:val="000000"/>
        </w:rPr>
        <w:t xml:space="preserve"> of </w:t>
      </w:r>
      <w:r w:rsidR="00E95320">
        <w:rPr>
          <w:color w:val="000000"/>
        </w:rPr>
        <w:t>42.5</w:t>
      </w:r>
      <w:r w:rsidR="00AA000D">
        <w:rPr>
          <w:color w:val="000000"/>
        </w:rPr>
        <w:t xml:space="preserve"> hours from the prior cycle due to</w:t>
      </w:r>
      <w:r w:rsidR="00725CCB">
        <w:rPr>
          <w:color w:val="000000"/>
        </w:rPr>
        <w:t xml:space="preserve"> </w:t>
      </w:r>
      <w:r w:rsidR="00E900CB">
        <w:rPr>
          <w:color w:val="000000"/>
        </w:rPr>
        <w:t>new hires to compensate for the retirements and attrition from the pr</w:t>
      </w:r>
      <w:r w:rsidR="00837FAA">
        <w:rPr>
          <w:color w:val="000000"/>
        </w:rPr>
        <w:t>ior cycle</w:t>
      </w:r>
      <w:r w:rsidR="002A2DC6">
        <w:rPr>
          <w:color w:val="000000"/>
        </w:rPr>
        <w:t xml:space="preserve">. </w:t>
      </w:r>
      <w:r w:rsidRPr="00043083" w:rsidR="003D02D9">
        <w:rPr>
          <w:color w:val="000000"/>
        </w:rPr>
        <w:t>The NRC Form 398 processing includes data input, file maintenanc</w:t>
      </w:r>
      <w:r w:rsidR="003D02D9">
        <w:rPr>
          <w:color w:val="000000"/>
        </w:rPr>
        <w:t>e, and form review regarding</w:t>
      </w:r>
      <w:r w:rsidRPr="00043083" w:rsidR="003D02D9">
        <w:rPr>
          <w:color w:val="000000"/>
        </w:rPr>
        <w:t xml:space="preserve"> eligibility criteria</w:t>
      </w:r>
      <w:r w:rsidR="002A2DC6">
        <w:rPr>
          <w:color w:val="000000"/>
        </w:rPr>
        <w:t xml:space="preserve">. </w:t>
      </w:r>
      <w:r w:rsidRPr="00043083" w:rsidR="003D02D9">
        <w:rPr>
          <w:color w:val="000000"/>
        </w:rPr>
        <w:t>Data input takes longer for applications because al</w:t>
      </w:r>
      <w:r w:rsidR="003D02D9">
        <w:rPr>
          <w:color w:val="000000"/>
        </w:rPr>
        <w:t xml:space="preserve">l data must be entered to initially activate an </w:t>
      </w:r>
      <w:r w:rsidRPr="004D212F" w:rsidR="003D02D9">
        <w:rPr>
          <w:color w:val="000000"/>
        </w:rPr>
        <w:t>operator’s docket</w:t>
      </w:r>
      <w:r w:rsidRPr="004D212F" w:rsidR="002A2DC6">
        <w:rPr>
          <w:color w:val="000000"/>
        </w:rPr>
        <w:t xml:space="preserve">. </w:t>
      </w:r>
      <w:r w:rsidRPr="004D212F" w:rsidR="002C364C">
        <w:rPr>
          <w:color w:val="000000"/>
        </w:rPr>
        <w:t xml:space="preserve">Alternatively, </w:t>
      </w:r>
      <w:r w:rsidRPr="004D212F" w:rsidR="00A6619C">
        <w:rPr>
          <w:color w:val="000000"/>
        </w:rPr>
        <w:t>re-applications</w:t>
      </w:r>
      <w:r w:rsidRPr="004D212F" w:rsidR="003D02D9">
        <w:rPr>
          <w:color w:val="000000"/>
        </w:rPr>
        <w:t xml:space="preserve"> and renewals</w:t>
      </w:r>
      <w:r w:rsidRPr="004D212F" w:rsidR="002C364C">
        <w:rPr>
          <w:color w:val="000000"/>
        </w:rPr>
        <w:t xml:space="preserve"> only require data updates to the existing docket file</w:t>
      </w:r>
      <w:r w:rsidRPr="004D212F" w:rsidR="002A2DC6">
        <w:rPr>
          <w:color w:val="000000"/>
        </w:rPr>
        <w:t xml:space="preserve">. </w:t>
      </w:r>
      <w:r w:rsidRPr="004D212F" w:rsidR="00EB1F86">
        <w:rPr>
          <w:color w:val="000000"/>
        </w:rPr>
        <w:t>At the hourly cost of $</w:t>
      </w:r>
      <w:r w:rsidRPr="004D212F" w:rsidR="00725CCB">
        <w:rPr>
          <w:color w:val="000000"/>
        </w:rPr>
        <w:t>317</w:t>
      </w:r>
      <w:r w:rsidRPr="004D212F" w:rsidR="00EB1F86">
        <w:rPr>
          <w:color w:val="000000"/>
        </w:rPr>
        <w:t>, the total cost to the NRC is $</w:t>
      </w:r>
      <w:r w:rsidRPr="004D212F" w:rsidR="00DB2800">
        <w:rPr>
          <w:color w:val="000000"/>
        </w:rPr>
        <w:t>2</w:t>
      </w:r>
      <w:r w:rsidRPr="004D212F" w:rsidR="00725CCB">
        <w:rPr>
          <w:color w:val="000000"/>
        </w:rPr>
        <w:t>90,055 (915 hours x $317)</w:t>
      </w:r>
      <w:r w:rsidRPr="004D212F" w:rsidR="00EB1F86">
        <w:rPr>
          <w:color w:val="000000"/>
        </w:rPr>
        <w:t>.</w:t>
      </w:r>
    </w:p>
    <w:p w:rsidR="00F32FA2" w:rsidP="0062556A" w14:paraId="0DB20BA2" w14:textId="77777777">
      <w:pPr>
        <w:widowControl w:val="0"/>
        <w:ind w:left="1440"/>
        <w:rPr>
          <w:rFonts w:cs="Arial"/>
          <w:szCs w:val="22"/>
        </w:rPr>
      </w:pPr>
    </w:p>
    <w:p w:rsidR="003D02D9" w:rsidP="004146E7" w14:paraId="0274FB48" w14:textId="77777777">
      <w:pPr>
        <w:keepNext/>
        <w:numPr>
          <w:ilvl w:val="0"/>
          <w:numId w:val="17"/>
        </w:numPr>
        <w:rPr>
          <w:color w:val="000000"/>
          <w:u w:val="single"/>
        </w:rPr>
      </w:pPr>
      <w:r w:rsidRPr="00043083">
        <w:rPr>
          <w:color w:val="000000"/>
          <w:u w:val="single"/>
        </w:rPr>
        <w:t>Reasons for Changes in Burden or Cost</w:t>
      </w:r>
    </w:p>
    <w:p w:rsidR="00D76766" w:rsidP="004146E7" w14:paraId="6678EE00" w14:textId="484F6737">
      <w:pPr>
        <w:keepNext/>
        <w:ind w:left="1440"/>
      </w:pPr>
    </w:p>
    <w:p w:rsidR="00D76766" w:rsidP="00D76766" w14:paraId="54460592" w14:textId="1EACA484">
      <w:pPr>
        <w:keepNext/>
        <w:ind w:left="1440"/>
        <w:rPr>
          <w:color w:val="000000"/>
        </w:rPr>
      </w:pPr>
      <w:r>
        <w:rPr>
          <w:color w:val="000000"/>
        </w:rPr>
        <w:t>There has been no change in the burden per specific submission application for this renewal cycle</w:t>
      </w:r>
      <w:r w:rsidR="002A2DC6">
        <w:rPr>
          <w:color w:val="000000"/>
        </w:rPr>
        <w:t xml:space="preserve">. </w:t>
      </w:r>
    </w:p>
    <w:p w:rsidR="00D76766" w:rsidP="00D76766" w14:paraId="1D508211" w14:textId="77777777">
      <w:pPr>
        <w:keepNext/>
        <w:ind w:left="1440"/>
        <w:rPr>
          <w:color w:val="000000"/>
        </w:rPr>
      </w:pPr>
    </w:p>
    <w:p w:rsidR="00D76766" w:rsidP="00D76766" w14:paraId="349A795A" w14:textId="4F53CE23">
      <w:pPr>
        <w:keepNext/>
        <w:ind w:left="1440"/>
      </w:pPr>
      <w:r w:rsidRPr="7BA6A258">
        <w:rPr>
          <w:color w:val="000000" w:themeColor="text1"/>
        </w:rPr>
        <w:t xml:space="preserve">Due to </w:t>
      </w:r>
      <w:r w:rsidR="00840CCB">
        <w:t xml:space="preserve">the increase in operating </w:t>
      </w:r>
      <w:r w:rsidR="6F5ECC1F">
        <w:t>reactor</w:t>
      </w:r>
      <w:r w:rsidR="00485FED">
        <w:t xml:space="preserve"> plants, </w:t>
      </w:r>
      <w:r w:rsidR="00F454A0">
        <w:t>projected license renewals</w:t>
      </w:r>
      <w:r w:rsidR="6F5ECC1F">
        <w:t xml:space="preserve"> and </w:t>
      </w:r>
      <w:r>
        <w:t xml:space="preserve">licensed </w:t>
      </w:r>
      <w:r w:rsidR="27F04740">
        <w:t>operators</w:t>
      </w:r>
      <w:r>
        <w:t xml:space="preserve"> in operating facilities, we expect the following changes in this cycle:</w:t>
      </w:r>
    </w:p>
    <w:p w:rsidR="00D76766" w:rsidP="00D76766" w14:paraId="7C6DB46E" w14:textId="77777777">
      <w:pPr>
        <w:keepNext/>
        <w:ind w:left="1440"/>
      </w:pPr>
    </w:p>
    <w:tbl>
      <w:tblPr>
        <w:tblStyle w:val="TableGrid"/>
        <w:tblW w:w="7993" w:type="dxa"/>
        <w:tblInd w:w="1440" w:type="dxa"/>
        <w:tblLook w:val="04A0"/>
      </w:tblPr>
      <w:tblGrid>
        <w:gridCol w:w="1147"/>
        <w:gridCol w:w="1037"/>
        <w:gridCol w:w="1231"/>
        <w:gridCol w:w="1350"/>
        <w:gridCol w:w="1350"/>
        <w:gridCol w:w="1878"/>
      </w:tblGrid>
      <w:tr w14:paraId="1B0B1B36" w14:textId="77777777" w:rsidTr="005B2533">
        <w:tblPrEx>
          <w:tblW w:w="7993" w:type="dxa"/>
          <w:tblInd w:w="1440" w:type="dxa"/>
          <w:tblLook w:val="04A0"/>
        </w:tblPrEx>
        <w:trPr>
          <w:trHeight w:val="634"/>
        </w:trPr>
        <w:tc>
          <w:tcPr>
            <w:tcW w:w="1147" w:type="dxa"/>
          </w:tcPr>
          <w:p w:rsidR="000C56E4" w:rsidRPr="004D212F" w:rsidP="005B2533" w14:paraId="17AFD30E" w14:textId="77777777">
            <w:pPr>
              <w:keepNext/>
              <w:jc w:val="center"/>
              <w:rPr>
                <w:sz w:val="18"/>
                <w:szCs w:val="18"/>
              </w:rPr>
            </w:pPr>
            <w:r w:rsidRPr="004D212F">
              <w:rPr>
                <w:sz w:val="18"/>
                <w:szCs w:val="18"/>
              </w:rPr>
              <w:t>Submission</w:t>
            </w:r>
          </w:p>
        </w:tc>
        <w:tc>
          <w:tcPr>
            <w:tcW w:w="1037" w:type="dxa"/>
          </w:tcPr>
          <w:p w:rsidR="000C56E4" w:rsidRPr="004D212F" w:rsidP="005B2533" w14:paraId="769E2CFB" w14:textId="77777777">
            <w:pPr>
              <w:keepNext/>
              <w:jc w:val="center"/>
              <w:rPr>
                <w:sz w:val="18"/>
                <w:szCs w:val="18"/>
              </w:rPr>
            </w:pPr>
            <w:r w:rsidRPr="004D212F">
              <w:rPr>
                <w:sz w:val="18"/>
                <w:szCs w:val="18"/>
              </w:rPr>
              <w:t>2022 Cycle</w:t>
            </w:r>
          </w:p>
        </w:tc>
        <w:tc>
          <w:tcPr>
            <w:tcW w:w="1231" w:type="dxa"/>
          </w:tcPr>
          <w:p w:rsidR="00725CCB" w:rsidRPr="004D212F" w:rsidP="005B2533" w14:paraId="0485C0B8" w14:textId="66A65F3D">
            <w:pPr>
              <w:keepNext/>
              <w:jc w:val="center"/>
              <w:rPr>
                <w:sz w:val="18"/>
                <w:szCs w:val="18"/>
              </w:rPr>
            </w:pPr>
            <w:r w:rsidRPr="004D212F">
              <w:rPr>
                <w:sz w:val="18"/>
                <w:szCs w:val="18"/>
              </w:rPr>
              <w:t>2025</w:t>
            </w:r>
          </w:p>
          <w:p w:rsidR="000C56E4" w:rsidRPr="004D212F" w:rsidP="005B2533" w14:paraId="36A9C26C" w14:textId="64F24647">
            <w:pPr>
              <w:keepNext/>
              <w:jc w:val="center"/>
              <w:rPr>
                <w:sz w:val="18"/>
                <w:szCs w:val="18"/>
              </w:rPr>
            </w:pPr>
            <w:r w:rsidRPr="004D212F">
              <w:rPr>
                <w:sz w:val="18"/>
                <w:szCs w:val="18"/>
              </w:rPr>
              <w:t>Cycle</w:t>
            </w:r>
          </w:p>
        </w:tc>
        <w:tc>
          <w:tcPr>
            <w:tcW w:w="1350" w:type="dxa"/>
          </w:tcPr>
          <w:p w:rsidR="000C56E4" w:rsidRPr="004D212F" w:rsidP="005B2533" w14:paraId="2D3098F0" w14:textId="0DFCCF4F">
            <w:pPr>
              <w:keepNext/>
              <w:jc w:val="center"/>
              <w:rPr>
                <w:sz w:val="18"/>
                <w:szCs w:val="18"/>
              </w:rPr>
            </w:pPr>
            <w:r w:rsidRPr="004D212F">
              <w:rPr>
                <w:sz w:val="18"/>
                <w:szCs w:val="18"/>
              </w:rPr>
              <w:t>Change</w:t>
            </w:r>
          </w:p>
        </w:tc>
        <w:tc>
          <w:tcPr>
            <w:tcW w:w="1350" w:type="dxa"/>
          </w:tcPr>
          <w:p w:rsidR="00725CCB" w:rsidRPr="004D212F" w:rsidP="005B2533" w14:paraId="3C67FD7D" w14:textId="77777777">
            <w:pPr>
              <w:keepNext/>
              <w:jc w:val="center"/>
              <w:rPr>
                <w:sz w:val="18"/>
                <w:szCs w:val="18"/>
              </w:rPr>
            </w:pPr>
            <w:r w:rsidRPr="004D212F">
              <w:rPr>
                <w:sz w:val="18"/>
                <w:szCs w:val="18"/>
              </w:rPr>
              <w:t>Fed Hour Change</w:t>
            </w:r>
          </w:p>
        </w:tc>
        <w:tc>
          <w:tcPr>
            <w:tcW w:w="1878" w:type="dxa"/>
          </w:tcPr>
          <w:p w:rsidR="000C56E4" w:rsidRPr="004D212F" w:rsidP="005B2533" w14:paraId="7C747721" w14:textId="77777777">
            <w:pPr>
              <w:keepNext/>
              <w:jc w:val="center"/>
              <w:rPr>
                <w:sz w:val="18"/>
                <w:szCs w:val="18"/>
              </w:rPr>
            </w:pPr>
            <w:r w:rsidRPr="004D212F">
              <w:rPr>
                <w:sz w:val="18"/>
                <w:szCs w:val="18"/>
              </w:rPr>
              <w:t>Burden Hour Change</w:t>
            </w:r>
          </w:p>
        </w:tc>
      </w:tr>
      <w:tr w14:paraId="12AFA430" w14:textId="77777777" w:rsidTr="005B2533">
        <w:tblPrEx>
          <w:tblW w:w="7993" w:type="dxa"/>
          <w:tblInd w:w="1440" w:type="dxa"/>
          <w:tblLook w:val="04A0"/>
        </w:tblPrEx>
        <w:trPr>
          <w:trHeight w:val="634"/>
        </w:trPr>
        <w:tc>
          <w:tcPr>
            <w:tcW w:w="1147" w:type="dxa"/>
          </w:tcPr>
          <w:p w:rsidR="000C56E4" w:rsidRPr="00D87A92" w:rsidP="00A25E95" w14:paraId="141FA197" w14:textId="77777777">
            <w:pPr>
              <w:keepNext/>
              <w:rPr>
                <w:sz w:val="18"/>
                <w:szCs w:val="18"/>
              </w:rPr>
            </w:pPr>
            <w:r w:rsidRPr="004613BF">
              <w:rPr>
                <w:rFonts w:cs="Arial"/>
                <w:color w:val="000000"/>
                <w:sz w:val="18"/>
                <w:szCs w:val="18"/>
              </w:rPr>
              <w:t>Applicants (Initial &amp; Upgrade)</w:t>
            </w:r>
          </w:p>
        </w:tc>
        <w:tc>
          <w:tcPr>
            <w:tcW w:w="1037" w:type="dxa"/>
            <w:vAlign w:val="center"/>
          </w:tcPr>
          <w:p w:rsidR="000C56E4" w:rsidRPr="00D87A92" w:rsidP="005B2533" w14:paraId="7AD19EC8" w14:textId="77777777">
            <w:pPr>
              <w:keepNext/>
              <w:jc w:val="center"/>
              <w:rPr>
                <w:sz w:val="18"/>
                <w:szCs w:val="18"/>
              </w:rPr>
            </w:pPr>
            <w:r w:rsidRPr="00D87A92">
              <w:rPr>
                <w:sz w:val="18"/>
                <w:szCs w:val="18"/>
              </w:rPr>
              <w:t>283</w:t>
            </w:r>
          </w:p>
        </w:tc>
        <w:tc>
          <w:tcPr>
            <w:tcW w:w="1231" w:type="dxa"/>
            <w:vAlign w:val="center"/>
          </w:tcPr>
          <w:p w:rsidR="000C56E4" w:rsidRPr="00D87A92" w:rsidP="005B2533" w14:paraId="3E98428D" w14:textId="4ED35F6B">
            <w:pPr>
              <w:keepNext/>
              <w:jc w:val="center"/>
              <w:rPr>
                <w:sz w:val="18"/>
                <w:szCs w:val="18"/>
              </w:rPr>
            </w:pPr>
            <w:r>
              <w:rPr>
                <w:sz w:val="18"/>
                <w:szCs w:val="18"/>
              </w:rPr>
              <w:t>540</w:t>
            </w:r>
          </w:p>
        </w:tc>
        <w:tc>
          <w:tcPr>
            <w:tcW w:w="1350" w:type="dxa"/>
            <w:vAlign w:val="center"/>
          </w:tcPr>
          <w:p w:rsidR="000C56E4" w:rsidRPr="00D87A92" w:rsidP="005B2533" w14:paraId="56C55258" w14:textId="60301AAB">
            <w:pPr>
              <w:keepNext/>
              <w:jc w:val="center"/>
              <w:rPr>
                <w:sz w:val="18"/>
                <w:szCs w:val="18"/>
              </w:rPr>
            </w:pPr>
            <w:r>
              <w:rPr>
                <w:sz w:val="18"/>
                <w:szCs w:val="18"/>
              </w:rPr>
              <w:t>+257</w:t>
            </w:r>
          </w:p>
        </w:tc>
        <w:tc>
          <w:tcPr>
            <w:tcW w:w="1350" w:type="dxa"/>
            <w:vAlign w:val="center"/>
          </w:tcPr>
          <w:p w:rsidR="00AE2B5F" w:rsidP="005B2533" w14:paraId="6AF4E530" w14:textId="307BED3C">
            <w:pPr>
              <w:keepNext/>
              <w:jc w:val="center"/>
              <w:rPr>
                <w:sz w:val="18"/>
                <w:szCs w:val="18"/>
              </w:rPr>
            </w:pPr>
            <w:r>
              <w:rPr>
                <w:sz w:val="18"/>
                <w:szCs w:val="18"/>
              </w:rPr>
              <w:t>+257</w:t>
            </w:r>
          </w:p>
        </w:tc>
        <w:tc>
          <w:tcPr>
            <w:tcW w:w="1878" w:type="dxa"/>
            <w:vAlign w:val="center"/>
          </w:tcPr>
          <w:p w:rsidR="000C56E4" w:rsidRPr="00D87A92" w:rsidP="005B2533" w14:paraId="50095FDE" w14:textId="1D48EBD8">
            <w:pPr>
              <w:keepNext/>
              <w:jc w:val="center"/>
              <w:rPr>
                <w:sz w:val="18"/>
                <w:szCs w:val="18"/>
              </w:rPr>
            </w:pPr>
            <w:r>
              <w:rPr>
                <w:sz w:val="18"/>
                <w:szCs w:val="18"/>
              </w:rPr>
              <w:t>+1670.5</w:t>
            </w:r>
          </w:p>
        </w:tc>
      </w:tr>
      <w:tr w14:paraId="6D832842" w14:textId="77777777" w:rsidTr="005B2533">
        <w:tblPrEx>
          <w:tblW w:w="7993" w:type="dxa"/>
          <w:tblInd w:w="1440" w:type="dxa"/>
          <w:tblLook w:val="04A0"/>
        </w:tblPrEx>
        <w:trPr>
          <w:trHeight w:val="849"/>
        </w:trPr>
        <w:tc>
          <w:tcPr>
            <w:tcW w:w="1147" w:type="dxa"/>
          </w:tcPr>
          <w:p w:rsidR="000C56E4" w:rsidRPr="00D87A92" w:rsidP="00A25E95" w14:paraId="773A856C" w14:textId="77777777">
            <w:pPr>
              <w:keepNext/>
              <w:rPr>
                <w:sz w:val="18"/>
                <w:szCs w:val="18"/>
              </w:rPr>
            </w:pPr>
            <w:r w:rsidRPr="004613BF">
              <w:rPr>
                <w:rFonts w:cs="Arial"/>
                <w:color w:val="000000"/>
                <w:sz w:val="18"/>
                <w:szCs w:val="18"/>
              </w:rPr>
              <w:t xml:space="preserve">Applicants </w:t>
            </w:r>
            <w:r w:rsidRPr="00AA6135">
              <w:rPr>
                <w:rFonts w:cs="Arial"/>
                <w:color w:val="000000"/>
                <w:sz w:val="18"/>
                <w:szCs w:val="18"/>
              </w:rPr>
              <w:t>with waiver or excusal requests</w:t>
            </w:r>
          </w:p>
        </w:tc>
        <w:tc>
          <w:tcPr>
            <w:tcW w:w="1037" w:type="dxa"/>
            <w:vAlign w:val="center"/>
          </w:tcPr>
          <w:p w:rsidR="000C56E4" w:rsidRPr="00D87A92" w:rsidP="005B2533" w14:paraId="5687526A" w14:textId="77777777">
            <w:pPr>
              <w:keepNext/>
              <w:jc w:val="center"/>
              <w:rPr>
                <w:sz w:val="18"/>
                <w:szCs w:val="18"/>
              </w:rPr>
            </w:pPr>
            <w:r w:rsidRPr="00D87A92">
              <w:rPr>
                <w:sz w:val="18"/>
                <w:szCs w:val="18"/>
              </w:rPr>
              <w:t>225</w:t>
            </w:r>
          </w:p>
        </w:tc>
        <w:tc>
          <w:tcPr>
            <w:tcW w:w="1231" w:type="dxa"/>
            <w:vAlign w:val="center"/>
          </w:tcPr>
          <w:p w:rsidR="000C56E4" w:rsidRPr="00D87A92" w:rsidP="005B2533" w14:paraId="501FBF44" w14:textId="542E1B10">
            <w:pPr>
              <w:keepNext/>
              <w:jc w:val="center"/>
              <w:rPr>
                <w:sz w:val="18"/>
                <w:szCs w:val="18"/>
              </w:rPr>
            </w:pPr>
            <w:r>
              <w:rPr>
                <w:sz w:val="18"/>
                <w:szCs w:val="18"/>
              </w:rPr>
              <w:t>114</w:t>
            </w:r>
          </w:p>
        </w:tc>
        <w:tc>
          <w:tcPr>
            <w:tcW w:w="1350" w:type="dxa"/>
            <w:vAlign w:val="center"/>
          </w:tcPr>
          <w:p w:rsidR="000C56E4" w:rsidRPr="00D87A92" w:rsidP="005B2533" w14:paraId="207199E8" w14:textId="118C772B">
            <w:pPr>
              <w:keepNext/>
              <w:jc w:val="center"/>
              <w:rPr>
                <w:sz w:val="18"/>
                <w:szCs w:val="18"/>
              </w:rPr>
            </w:pPr>
            <w:r w:rsidRPr="00D87A92">
              <w:rPr>
                <w:sz w:val="18"/>
                <w:szCs w:val="18"/>
              </w:rPr>
              <w:t>-</w:t>
            </w:r>
            <w:r>
              <w:rPr>
                <w:sz w:val="18"/>
                <w:szCs w:val="18"/>
              </w:rPr>
              <w:t>111</w:t>
            </w:r>
          </w:p>
        </w:tc>
        <w:tc>
          <w:tcPr>
            <w:tcW w:w="1350" w:type="dxa"/>
            <w:vAlign w:val="center"/>
          </w:tcPr>
          <w:p w:rsidR="00725CCB" w:rsidRPr="00D87A92" w:rsidP="005B2533" w14:paraId="412A1440" w14:textId="54C45ADA">
            <w:pPr>
              <w:keepNext/>
              <w:jc w:val="center"/>
              <w:rPr>
                <w:sz w:val="18"/>
                <w:szCs w:val="18"/>
              </w:rPr>
            </w:pPr>
            <w:r w:rsidRPr="00D87A92">
              <w:rPr>
                <w:sz w:val="18"/>
                <w:szCs w:val="18"/>
              </w:rPr>
              <w:t>-</w:t>
            </w:r>
            <w:r w:rsidR="00AE2B5F">
              <w:rPr>
                <w:sz w:val="18"/>
                <w:szCs w:val="18"/>
              </w:rPr>
              <w:t>166.5</w:t>
            </w:r>
          </w:p>
        </w:tc>
        <w:tc>
          <w:tcPr>
            <w:tcW w:w="1878" w:type="dxa"/>
            <w:vAlign w:val="center"/>
          </w:tcPr>
          <w:p w:rsidR="000C56E4" w:rsidRPr="00D87A92" w:rsidP="005B2533" w14:paraId="0657B338" w14:textId="0BDE39CF">
            <w:pPr>
              <w:keepNext/>
              <w:jc w:val="center"/>
              <w:rPr>
                <w:sz w:val="18"/>
                <w:szCs w:val="18"/>
              </w:rPr>
            </w:pPr>
            <w:r w:rsidRPr="00D87A92">
              <w:rPr>
                <w:sz w:val="18"/>
                <w:szCs w:val="18"/>
              </w:rPr>
              <w:t>-</w:t>
            </w:r>
            <w:r w:rsidR="00084AD5">
              <w:rPr>
                <w:sz w:val="18"/>
                <w:szCs w:val="18"/>
              </w:rPr>
              <w:t>1054.50</w:t>
            </w:r>
          </w:p>
        </w:tc>
      </w:tr>
      <w:tr w14:paraId="4F844DCF" w14:textId="77777777" w:rsidTr="005B2533">
        <w:tblPrEx>
          <w:tblW w:w="7993" w:type="dxa"/>
          <w:tblInd w:w="1440" w:type="dxa"/>
          <w:tblLook w:val="04A0"/>
        </w:tblPrEx>
        <w:trPr>
          <w:trHeight w:val="419"/>
        </w:trPr>
        <w:tc>
          <w:tcPr>
            <w:tcW w:w="1147" w:type="dxa"/>
          </w:tcPr>
          <w:p w:rsidR="000C56E4" w:rsidRPr="00AA6135" w:rsidP="00A25E95" w14:paraId="5BAC5FAA" w14:textId="77777777">
            <w:pPr>
              <w:keepNext/>
              <w:rPr>
                <w:rFonts w:cs="Arial"/>
                <w:color w:val="000000"/>
                <w:sz w:val="18"/>
                <w:szCs w:val="18"/>
              </w:rPr>
            </w:pPr>
            <w:r w:rsidRPr="004613BF">
              <w:rPr>
                <w:rFonts w:cs="Arial"/>
                <w:color w:val="000000"/>
                <w:sz w:val="18"/>
                <w:szCs w:val="18"/>
              </w:rPr>
              <w:t>Applicants - Renewals</w:t>
            </w:r>
          </w:p>
        </w:tc>
        <w:tc>
          <w:tcPr>
            <w:tcW w:w="1037" w:type="dxa"/>
            <w:vAlign w:val="center"/>
          </w:tcPr>
          <w:p w:rsidR="000C56E4" w:rsidRPr="00D87A92" w:rsidP="005B2533" w14:paraId="48765F40" w14:textId="77777777">
            <w:pPr>
              <w:keepNext/>
              <w:jc w:val="center"/>
              <w:rPr>
                <w:sz w:val="18"/>
                <w:szCs w:val="18"/>
              </w:rPr>
            </w:pPr>
            <w:r w:rsidRPr="00D87A92">
              <w:rPr>
                <w:sz w:val="18"/>
                <w:szCs w:val="18"/>
              </w:rPr>
              <w:t>495</w:t>
            </w:r>
          </w:p>
        </w:tc>
        <w:tc>
          <w:tcPr>
            <w:tcW w:w="1231" w:type="dxa"/>
            <w:vAlign w:val="center"/>
          </w:tcPr>
          <w:p w:rsidR="000C56E4" w:rsidRPr="00D87A92" w:rsidP="005B2533" w14:paraId="382B7C53" w14:textId="19385E75">
            <w:pPr>
              <w:keepNext/>
              <w:jc w:val="center"/>
              <w:rPr>
                <w:sz w:val="18"/>
                <w:szCs w:val="18"/>
              </w:rPr>
            </w:pPr>
            <w:r>
              <w:rPr>
                <w:sz w:val="18"/>
                <w:szCs w:val="18"/>
              </w:rPr>
              <w:t>402</w:t>
            </w:r>
          </w:p>
        </w:tc>
        <w:tc>
          <w:tcPr>
            <w:tcW w:w="1350" w:type="dxa"/>
            <w:vAlign w:val="center"/>
          </w:tcPr>
          <w:p w:rsidR="000C56E4" w:rsidRPr="00D87A92" w:rsidP="005B2533" w14:paraId="0030F6CA" w14:textId="675C8127">
            <w:pPr>
              <w:keepNext/>
              <w:jc w:val="center"/>
              <w:rPr>
                <w:sz w:val="18"/>
                <w:szCs w:val="18"/>
              </w:rPr>
            </w:pPr>
            <w:r>
              <w:rPr>
                <w:sz w:val="18"/>
                <w:szCs w:val="18"/>
              </w:rPr>
              <w:t>-93</w:t>
            </w:r>
          </w:p>
        </w:tc>
        <w:tc>
          <w:tcPr>
            <w:tcW w:w="1350" w:type="dxa"/>
            <w:vAlign w:val="center"/>
          </w:tcPr>
          <w:p w:rsidR="00AE2B5F" w:rsidP="005B2533" w14:paraId="7178635E" w14:textId="62D3B5E5">
            <w:pPr>
              <w:keepNext/>
              <w:jc w:val="center"/>
              <w:rPr>
                <w:sz w:val="18"/>
                <w:szCs w:val="18"/>
              </w:rPr>
            </w:pPr>
            <w:r>
              <w:rPr>
                <w:sz w:val="18"/>
                <w:szCs w:val="18"/>
              </w:rPr>
              <w:t>-46.5</w:t>
            </w:r>
          </w:p>
        </w:tc>
        <w:tc>
          <w:tcPr>
            <w:tcW w:w="1878" w:type="dxa"/>
            <w:vAlign w:val="center"/>
          </w:tcPr>
          <w:p w:rsidR="000C56E4" w:rsidRPr="00D87A92" w:rsidP="005B2533" w14:paraId="32891200" w14:textId="6EF5EE47">
            <w:pPr>
              <w:keepNext/>
              <w:jc w:val="center"/>
              <w:rPr>
                <w:sz w:val="18"/>
                <w:szCs w:val="18"/>
              </w:rPr>
            </w:pPr>
            <w:r>
              <w:rPr>
                <w:sz w:val="18"/>
                <w:szCs w:val="18"/>
              </w:rPr>
              <w:t>-232.50</w:t>
            </w:r>
          </w:p>
        </w:tc>
      </w:tr>
      <w:tr w14:paraId="611B1FA7" w14:textId="77777777" w:rsidTr="005B2533">
        <w:tblPrEx>
          <w:tblW w:w="7993" w:type="dxa"/>
          <w:tblInd w:w="1440" w:type="dxa"/>
          <w:tblLook w:val="04A0"/>
        </w:tblPrEx>
        <w:trPr>
          <w:trHeight w:val="419"/>
        </w:trPr>
        <w:tc>
          <w:tcPr>
            <w:tcW w:w="1147" w:type="dxa"/>
          </w:tcPr>
          <w:p w:rsidR="000C56E4" w:rsidRPr="00AA6135" w:rsidP="00A25E95" w14:paraId="21A9E6CD" w14:textId="276B0154">
            <w:pPr>
              <w:keepNext/>
              <w:rPr>
                <w:rFonts w:cs="Arial"/>
                <w:color w:val="000000"/>
                <w:sz w:val="18"/>
                <w:szCs w:val="18"/>
              </w:rPr>
            </w:pPr>
            <w:r w:rsidRPr="004613BF">
              <w:rPr>
                <w:rFonts w:cs="Arial"/>
                <w:color w:val="000000"/>
                <w:sz w:val="18"/>
                <w:szCs w:val="18"/>
              </w:rPr>
              <w:t>Applicants - re</w:t>
            </w:r>
            <w:r w:rsidR="008D09EB">
              <w:rPr>
                <w:rFonts w:ascii="Cambria Math" w:hAnsi="Cambria Math" w:cs="Cambria Math"/>
                <w:color w:val="000000"/>
                <w:sz w:val="18"/>
                <w:szCs w:val="18"/>
              </w:rPr>
              <w:t>‑</w:t>
            </w:r>
            <w:r w:rsidRPr="004613BF">
              <w:rPr>
                <w:rFonts w:cs="Arial"/>
                <w:color w:val="000000"/>
                <w:sz w:val="18"/>
                <w:szCs w:val="18"/>
              </w:rPr>
              <w:t>applied</w:t>
            </w:r>
          </w:p>
        </w:tc>
        <w:tc>
          <w:tcPr>
            <w:tcW w:w="1037" w:type="dxa"/>
            <w:vAlign w:val="center"/>
          </w:tcPr>
          <w:p w:rsidR="000C56E4" w:rsidRPr="00D87A92" w:rsidP="005B2533" w14:paraId="66540B2F" w14:textId="77777777">
            <w:pPr>
              <w:keepNext/>
              <w:jc w:val="center"/>
              <w:rPr>
                <w:sz w:val="18"/>
                <w:szCs w:val="18"/>
              </w:rPr>
            </w:pPr>
            <w:r w:rsidRPr="00D87A92">
              <w:rPr>
                <w:sz w:val="18"/>
                <w:szCs w:val="18"/>
              </w:rPr>
              <w:t>15</w:t>
            </w:r>
          </w:p>
        </w:tc>
        <w:tc>
          <w:tcPr>
            <w:tcW w:w="1231" w:type="dxa"/>
            <w:vAlign w:val="center"/>
          </w:tcPr>
          <w:p w:rsidR="000C56E4" w:rsidRPr="00D87A92" w:rsidP="005B2533" w14:paraId="6AC0DBC6" w14:textId="7C051FCD">
            <w:pPr>
              <w:keepNext/>
              <w:jc w:val="center"/>
              <w:rPr>
                <w:sz w:val="18"/>
                <w:szCs w:val="18"/>
              </w:rPr>
            </w:pPr>
            <w:r>
              <w:rPr>
                <w:sz w:val="18"/>
                <w:szCs w:val="18"/>
              </w:rPr>
              <w:t>6</w:t>
            </w:r>
          </w:p>
        </w:tc>
        <w:tc>
          <w:tcPr>
            <w:tcW w:w="1350" w:type="dxa"/>
            <w:vAlign w:val="center"/>
          </w:tcPr>
          <w:p w:rsidR="000C56E4" w:rsidRPr="00D87A92" w:rsidP="005B2533" w14:paraId="413DFBBE" w14:textId="6BC2FCB2">
            <w:pPr>
              <w:keepNext/>
              <w:jc w:val="center"/>
              <w:rPr>
                <w:sz w:val="18"/>
                <w:szCs w:val="18"/>
              </w:rPr>
            </w:pPr>
            <w:r w:rsidRPr="00D87A92">
              <w:rPr>
                <w:sz w:val="18"/>
                <w:szCs w:val="18"/>
              </w:rPr>
              <w:t>-</w:t>
            </w:r>
            <w:r>
              <w:rPr>
                <w:sz w:val="18"/>
                <w:szCs w:val="18"/>
              </w:rPr>
              <w:t>9</w:t>
            </w:r>
          </w:p>
        </w:tc>
        <w:tc>
          <w:tcPr>
            <w:tcW w:w="1350" w:type="dxa"/>
            <w:vAlign w:val="center"/>
          </w:tcPr>
          <w:p w:rsidR="00725CCB" w:rsidRPr="00D87A92" w:rsidP="005B2533" w14:paraId="01EF708F" w14:textId="32652FE0">
            <w:pPr>
              <w:keepNext/>
              <w:jc w:val="center"/>
              <w:rPr>
                <w:sz w:val="18"/>
                <w:szCs w:val="18"/>
              </w:rPr>
            </w:pPr>
            <w:r w:rsidRPr="00D87A92">
              <w:rPr>
                <w:sz w:val="18"/>
                <w:szCs w:val="18"/>
              </w:rPr>
              <w:t>-</w:t>
            </w:r>
            <w:r w:rsidR="00AE2B5F">
              <w:rPr>
                <w:sz w:val="18"/>
                <w:szCs w:val="18"/>
              </w:rPr>
              <w:t>4.5</w:t>
            </w:r>
          </w:p>
        </w:tc>
        <w:tc>
          <w:tcPr>
            <w:tcW w:w="1878" w:type="dxa"/>
            <w:vAlign w:val="center"/>
          </w:tcPr>
          <w:p w:rsidR="000C56E4" w:rsidRPr="00D87A92" w:rsidP="005B2533" w14:paraId="59BDCAD4" w14:textId="6EEA7DE9">
            <w:pPr>
              <w:keepNext/>
              <w:jc w:val="center"/>
              <w:rPr>
                <w:sz w:val="18"/>
                <w:szCs w:val="18"/>
              </w:rPr>
            </w:pPr>
            <w:r w:rsidRPr="00D87A92">
              <w:rPr>
                <w:sz w:val="18"/>
                <w:szCs w:val="18"/>
              </w:rPr>
              <w:t>-</w:t>
            </w:r>
            <w:r w:rsidR="00084AD5">
              <w:rPr>
                <w:sz w:val="18"/>
                <w:szCs w:val="18"/>
              </w:rPr>
              <w:t>22.5</w:t>
            </w:r>
          </w:p>
        </w:tc>
      </w:tr>
      <w:tr w14:paraId="76EC0451" w14:textId="77777777" w:rsidTr="005B2533">
        <w:tblPrEx>
          <w:tblW w:w="7993" w:type="dxa"/>
          <w:tblInd w:w="1440" w:type="dxa"/>
          <w:tblLook w:val="04A0"/>
        </w:tblPrEx>
        <w:trPr>
          <w:trHeight w:val="419"/>
        </w:trPr>
        <w:tc>
          <w:tcPr>
            <w:tcW w:w="3415" w:type="dxa"/>
            <w:gridSpan w:val="3"/>
            <w:vAlign w:val="center"/>
          </w:tcPr>
          <w:p w:rsidR="000C56E4" w:rsidRPr="00D87A92" w:rsidP="00A25E95" w14:paraId="689A2514" w14:textId="77777777">
            <w:pPr>
              <w:keepNext/>
              <w:rPr>
                <w:sz w:val="18"/>
                <w:szCs w:val="18"/>
              </w:rPr>
            </w:pPr>
            <w:r w:rsidRPr="00D87A92">
              <w:rPr>
                <w:sz w:val="18"/>
                <w:szCs w:val="18"/>
              </w:rPr>
              <w:t>Submission Change Total</w:t>
            </w:r>
          </w:p>
        </w:tc>
        <w:tc>
          <w:tcPr>
            <w:tcW w:w="1350" w:type="dxa"/>
            <w:vAlign w:val="center"/>
          </w:tcPr>
          <w:p w:rsidR="000C56E4" w:rsidRPr="00D87A92" w:rsidP="005B2533" w14:paraId="7C8D612E" w14:textId="100F99A6">
            <w:pPr>
              <w:keepNext/>
              <w:jc w:val="center"/>
              <w:rPr>
                <w:sz w:val="18"/>
                <w:szCs w:val="18"/>
              </w:rPr>
            </w:pPr>
            <w:r>
              <w:rPr>
                <w:sz w:val="18"/>
                <w:szCs w:val="18"/>
              </w:rPr>
              <w:t>+44</w:t>
            </w:r>
          </w:p>
        </w:tc>
        <w:tc>
          <w:tcPr>
            <w:tcW w:w="1350" w:type="dxa"/>
            <w:vAlign w:val="center"/>
          </w:tcPr>
          <w:p w:rsidR="00E900CB" w:rsidP="005B2533" w14:paraId="56D617A6" w14:textId="52F6F0E8">
            <w:pPr>
              <w:keepNext/>
              <w:jc w:val="center"/>
              <w:rPr>
                <w:sz w:val="18"/>
                <w:szCs w:val="18"/>
              </w:rPr>
            </w:pPr>
            <w:r>
              <w:rPr>
                <w:sz w:val="18"/>
                <w:szCs w:val="18"/>
              </w:rPr>
              <w:t>+</w:t>
            </w:r>
            <w:r w:rsidR="00E95320">
              <w:rPr>
                <w:sz w:val="18"/>
                <w:szCs w:val="18"/>
              </w:rPr>
              <w:t>40</w:t>
            </w:r>
            <w:r w:rsidRPr="00D87A92" w:rsidR="00725CCB">
              <w:rPr>
                <w:sz w:val="18"/>
                <w:szCs w:val="18"/>
              </w:rPr>
              <w:t xml:space="preserve"> hours</w:t>
            </w:r>
          </w:p>
        </w:tc>
        <w:tc>
          <w:tcPr>
            <w:tcW w:w="1878" w:type="dxa"/>
            <w:vAlign w:val="center"/>
          </w:tcPr>
          <w:p w:rsidR="000C56E4" w:rsidRPr="00D87A92" w:rsidP="005B2533" w14:paraId="6E56118B" w14:textId="0EC7B9BD">
            <w:pPr>
              <w:keepNext/>
              <w:jc w:val="center"/>
              <w:rPr>
                <w:sz w:val="18"/>
                <w:szCs w:val="18"/>
              </w:rPr>
            </w:pPr>
            <w:r>
              <w:rPr>
                <w:sz w:val="18"/>
                <w:szCs w:val="18"/>
              </w:rPr>
              <w:t>+</w:t>
            </w:r>
            <w:r w:rsidR="00084AD5">
              <w:rPr>
                <w:sz w:val="18"/>
                <w:szCs w:val="18"/>
              </w:rPr>
              <w:t>361</w:t>
            </w:r>
            <w:r w:rsidR="00665ECE">
              <w:rPr>
                <w:sz w:val="18"/>
                <w:szCs w:val="18"/>
              </w:rPr>
              <w:t xml:space="preserve"> </w:t>
            </w:r>
            <w:r w:rsidRPr="00D87A92">
              <w:rPr>
                <w:sz w:val="18"/>
                <w:szCs w:val="18"/>
              </w:rPr>
              <w:t>hours</w:t>
            </w:r>
          </w:p>
        </w:tc>
      </w:tr>
    </w:tbl>
    <w:p w:rsidR="00D76766" w:rsidP="00D76766" w14:paraId="576E9D52" w14:textId="77777777">
      <w:pPr>
        <w:keepNext/>
        <w:ind w:left="1440"/>
      </w:pPr>
    </w:p>
    <w:p w:rsidR="00D76766" w:rsidP="00D76766" w14:paraId="49964368" w14:textId="619B19D3">
      <w:pPr>
        <w:keepNext/>
        <w:ind w:left="1440"/>
        <w:rPr>
          <w:color w:val="000000"/>
        </w:rPr>
      </w:pPr>
      <w:r>
        <w:rPr>
          <w:color w:val="000000"/>
        </w:rPr>
        <w:t xml:space="preserve">The expected number of submissions has been </w:t>
      </w:r>
      <w:r w:rsidR="00E95320">
        <w:rPr>
          <w:color w:val="000000"/>
        </w:rPr>
        <w:t>increased</w:t>
      </w:r>
      <w:r>
        <w:rPr>
          <w:color w:val="000000"/>
        </w:rPr>
        <w:t xml:space="preserve"> by an expected </w:t>
      </w:r>
      <w:r w:rsidR="00E900CB">
        <w:rPr>
          <w:color w:val="000000"/>
        </w:rPr>
        <w:t xml:space="preserve">44 </w:t>
      </w:r>
      <w:r>
        <w:rPr>
          <w:color w:val="000000"/>
        </w:rPr>
        <w:t xml:space="preserve">submissions from </w:t>
      </w:r>
      <w:r w:rsidR="00084AD5">
        <w:rPr>
          <w:color w:val="000000"/>
        </w:rPr>
        <w:t>1,018</w:t>
      </w:r>
      <w:r>
        <w:rPr>
          <w:color w:val="000000"/>
        </w:rPr>
        <w:t xml:space="preserve"> to 1,0</w:t>
      </w:r>
      <w:r w:rsidR="00E900CB">
        <w:rPr>
          <w:color w:val="000000"/>
        </w:rPr>
        <w:t>62</w:t>
      </w:r>
      <w:r>
        <w:rPr>
          <w:color w:val="000000"/>
        </w:rPr>
        <w:t xml:space="preserve"> </w:t>
      </w:r>
      <w:r w:rsidR="00DA2FC3">
        <w:rPr>
          <w:color w:val="000000"/>
        </w:rPr>
        <w:t>as well as a</w:t>
      </w:r>
      <w:r w:rsidR="00E900CB">
        <w:rPr>
          <w:color w:val="000000"/>
        </w:rPr>
        <w:t xml:space="preserve">n increase </w:t>
      </w:r>
      <w:r w:rsidR="00DA2FC3">
        <w:rPr>
          <w:color w:val="000000"/>
        </w:rPr>
        <w:t xml:space="preserve">of </w:t>
      </w:r>
      <w:r w:rsidR="00084AD5">
        <w:rPr>
          <w:color w:val="000000"/>
        </w:rPr>
        <w:t>361</w:t>
      </w:r>
      <w:r w:rsidR="00DA2FC3">
        <w:rPr>
          <w:color w:val="000000"/>
        </w:rPr>
        <w:t xml:space="preserve"> hours </w:t>
      </w:r>
      <w:r>
        <w:rPr>
          <w:color w:val="000000"/>
        </w:rPr>
        <w:t>for this cycle.</w:t>
      </w:r>
      <w:r>
        <w:t xml:space="preserve"> </w:t>
      </w:r>
    </w:p>
    <w:p w:rsidR="00AA6135" w:rsidP="004146E7" w14:paraId="268B3273" w14:textId="77777777">
      <w:pPr>
        <w:keepNext/>
        <w:ind w:left="1440"/>
        <w:rPr>
          <w:color w:val="000000"/>
        </w:rPr>
      </w:pPr>
    </w:p>
    <w:p w:rsidR="008D08C3" w:rsidP="008D08C3" w14:paraId="43E3C506" w14:textId="77777777">
      <w:pPr>
        <w:widowControl w:val="0"/>
        <w:ind w:left="1440"/>
      </w:pPr>
      <w:r w:rsidRPr="007B45D2">
        <w:t xml:space="preserve">A web-based fillable version of the NRC Form 398 was created to allow facility licensees to complete and submit online through the NRC Portal. This change allows for continuity with the agency’s information technology modernization </w:t>
      </w:r>
      <w:r w:rsidRPr="007B45D2" w:rsidR="00F454A0">
        <w:t>efforts and</w:t>
      </w:r>
      <w:r w:rsidRPr="007B45D2">
        <w:t xml:space="preserve"> significantly decreases the likelihood of errors that stem from handwritten </w:t>
      </w:r>
      <w:r w:rsidR="00D872B4">
        <w:t>portable document format (PDF)</w:t>
      </w:r>
      <w:r w:rsidRPr="007B45D2">
        <w:t xml:space="preserve"> versions of the form being misread by software</w:t>
      </w:r>
      <w:r w:rsidRPr="007A63C1">
        <w:rPr>
          <w:u w:val="single"/>
        </w:rPr>
        <w:t>.</w:t>
      </w:r>
      <w:r>
        <w:t xml:space="preserve"> This change is not expected to affect the burden </w:t>
      </w:r>
      <w:r w:rsidR="00F454A0">
        <w:t>associated</w:t>
      </w:r>
      <w:r>
        <w:t xml:space="preserve"> with completing and submitting the NRC 398.</w:t>
      </w:r>
    </w:p>
    <w:p w:rsidR="008D08C3" w:rsidP="008D08C3" w14:paraId="6951CFD1" w14:textId="77777777">
      <w:pPr>
        <w:widowControl w:val="0"/>
        <w:ind w:left="1440"/>
      </w:pPr>
    </w:p>
    <w:p w:rsidR="003D02D9" w:rsidRPr="008D08C3" w:rsidP="008D08C3" w14:paraId="33C3D345" w14:textId="2CD7E556">
      <w:pPr>
        <w:pStyle w:val="ListParagraph"/>
        <w:widowControl w:val="0"/>
        <w:numPr>
          <w:ilvl w:val="0"/>
          <w:numId w:val="17"/>
        </w:numPr>
        <w:rPr>
          <w:color w:val="000000"/>
        </w:rPr>
      </w:pPr>
      <w:r w:rsidRPr="008D08C3">
        <w:rPr>
          <w:color w:val="000000"/>
          <w:u w:val="single"/>
        </w:rPr>
        <w:t>Publications for Statistical Use</w:t>
      </w:r>
    </w:p>
    <w:p w:rsidR="003D02D9" w:rsidRPr="00043083" w:rsidP="006936A3" w14:paraId="7A8CC432"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3D02D9" w:rsidRPr="00043083" w:rsidP="000E0F3A" w14:paraId="054FB2F8" w14:textId="77777777">
      <w:pPr>
        <w:widowControl w:val="0"/>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00" w:firstLine="240"/>
        <w:rPr>
          <w:color w:val="000000"/>
        </w:rPr>
      </w:pPr>
      <w:r>
        <w:rPr>
          <w:color w:val="000000"/>
        </w:rPr>
        <w:t>None.</w:t>
      </w:r>
    </w:p>
    <w:p w:rsidR="00021ED9" w:rsidP="003D02D9" w14:paraId="5D9190DC" w14:textId="70BEA97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color w:val="000000"/>
        </w:rPr>
      </w:pPr>
    </w:p>
    <w:p w:rsidR="003D02D9" w:rsidP="008C752F" w14:paraId="346F2DAD" w14:textId="77777777">
      <w:pPr>
        <w:widowControl w:val="0"/>
        <w:numPr>
          <w:ilvl w:val="0"/>
          <w:numId w:val="17"/>
        </w:numPr>
        <w:tabs>
          <w:tab w:val="left" w:pos="-144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r w:rsidRPr="00043083">
        <w:rPr>
          <w:color w:val="000000"/>
          <w:u w:val="single"/>
        </w:rPr>
        <w:t>Reason for Not Displaying the Expiration Date</w:t>
      </w:r>
    </w:p>
    <w:p w:rsidR="003D02D9" w:rsidRPr="00043083" w:rsidP="003D02D9" w14:paraId="283812F3"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3D02D9" w:rsidP="000E0F3A" w14:paraId="0A3BCA99"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firstLine="240"/>
        <w:rPr>
          <w:color w:val="000000"/>
        </w:rPr>
      </w:pPr>
      <w:r w:rsidRPr="00043083">
        <w:rPr>
          <w:color w:val="000000"/>
        </w:rPr>
        <w:t>The expiration date is displayed.</w:t>
      </w:r>
    </w:p>
    <w:p w:rsidR="003D02D9" w:rsidP="003D02D9" w14:paraId="32D80CA6"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p>
    <w:p w:rsidR="003D02D9" w:rsidRPr="00084218" w:rsidP="008C752F" w14:paraId="256A1792" w14:textId="77777777">
      <w:pPr>
        <w:widowControl w:val="0"/>
        <w:numPr>
          <w:ilvl w:val="0"/>
          <w:numId w:val="17"/>
        </w:numPr>
        <w:tabs>
          <w:tab w:val="left" w:pos="-144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r w:rsidRPr="00084218">
        <w:rPr>
          <w:color w:val="000000"/>
          <w:u w:val="single"/>
        </w:rPr>
        <w:t>Exceptions to the Certification Statement</w:t>
      </w:r>
    </w:p>
    <w:p w:rsidR="003D02D9" w:rsidP="003D02D9" w14:paraId="7216F8A7"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p>
    <w:p w:rsidR="00110FF5" w:rsidP="000E0F3A" w14:paraId="764E1CD8" w14:textId="2FC6E66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pPr>
      <w:r>
        <w:rPr>
          <w:color w:val="000000"/>
        </w:rPr>
        <w:t>Not applicable</w:t>
      </w:r>
      <w:r w:rsidR="002A2DC6">
        <w:rPr>
          <w:color w:val="000000"/>
        </w:rPr>
        <w:t xml:space="preserve">. </w:t>
      </w:r>
    </w:p>
    <w:p w:rsidR="00AD2F99" w:rsidP="0014507D" w14:paraId="27E941FE" w14:textId="77777777">
      <w:pPr>
        <w:ind w:left="360"/>
      </w:pPr>
    </w:p>
    <w:p w:rsidR="00110FF5" w:rsidRPr="00FA06B8" w:rsidP="0014507D" w14:paraId="3A95785A" w14:textId="77777777">
      <w:pPr>
        <w:ind w:left="360"/>
      </w:pPr>
      <w:r>
        <w:t>B.</w:t>
      </w:r>
      <w:r>
        <w:tab/>
      </w:r>
      <w:r w:rsidRPr="00FA06B8">
        <w:t>COLLECTION OF INFORMATION EMPLOYING STATISTICAL METHODS</w:t>
      </w:r>
    </w:p>
    <w:p w:rsidR="00D733C0" w:rsidRPr="00FA06B8" w:rsidP="00FA06B8" w14:paraId="1336EEB0" w14:textId="77777777">
      <w:pPr>
        <w:ind w:left="720"/>
      </w:pPr>
    </w:p>
    <w:p w:rsidR="00FA06B8" w:rsidP="00FA06B8" w14:paraId="3D6F8F2F" w14:textId="77777777">
      <w:pPr>
        <w:ind w:left="720"/>
      </w:pPr>
      <w:r w:rsidRPr="00FA06B8">
        <w:t>Statistical methods are not used in this collection of information.</w:t>
      </w:r>
    </w:p>
    <w:p w:rsidR="00015519" w:rsidRPr="00043083" w:rsidP="00015519" w14:paraId="7BD4CF38" w14:textId="77777777">
      <w:pPr>
        <w:widowControl w:val="0"/>
        <w:ind w:left="1200" w:firstLine="240"/>
        <w:rPr>
          <w:color w:val="000000"/>
        </w:rPr>
      </w:pPr>
    </w:p>
    <w:p w:rsidR="00E356C1" w:rsidP="00E356C1" w14:paraId="2E1E8CA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szCs w:val="22"/>
        </w:rPr>
      </w:pPr>
      <w:r>
        <w:br w:type="page"/>
      </w:r>
      <w:r>
        <w:rPr>
          <w:rFonts w:cs="Arial"/>
          <w:szCs w:val="22"/>
        </w:rPr>
        <w:t>DESCRIPTION OF INFORMATION COLLECTION REQUIREMENTS</w:t>
      </w:r>
    </w:p>
    <w:p w:rsidR="00E356C1" w:rsidP="00E356C1" w14:paraId="6507DA6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szCs w:val="22"/>
        </w:rPr>
      </w:pPr>
      <w:r>
        <w:rPr>
          <w:rFonts w:cs="Arial"/>
          <w:szCs w:val="22"/>
        </w:rPr>
        <w:t xml:space="preserve">CONTAINED IN </w:t>
      </w:r>
    </w:p>
    <w:p w:rsidR="00E356C1" w:rsidP="00E356C1" w14:paraId="7953AB63" w14:textId="77777777">
      <w:pPr>
        <w:jc w:val="center"/>
      </w:pPr>
    </w:p>
    <w:p w:rsidR="00E356C1" w:rsidP="00E356C1" w14:paraId="19E2F7B8" w14:textId="01989D21">
      <w:pPr>
        <w:jc w:val="center"/>
      </w:pPr>
      <w:r>
        <w:t xml:space="preserve">NRC FORM 398, “PERSONAL QUALIFICATION STATEMENT </w:t>
      </w:r>
      <w:r w:rsidR="00713A8D">
        <w:t>-</w:t>
      </w:r>
      <w:r>
        <w:t xml:space="preserve"> LICENSE”</w:t>
      </w:r>
    </w:p>
    <w:p w:rsidR="00E356C1" w:rsidP="00E356C1" w14:paraId="3345FFF9" w14:textId="77777777">
      <w:pPr>
        <w:widowControl w:val="0"/>
        <w:tabs>
          <w:tab w:val="center" w:pos="4680"/>
        </w:tabs>
        <w:jc w:val="center"/>
        <w:rPr>
          <w:color w:val="000000"/>
        </w:rPr>
      </w:pPr>
      <w:r w:rsidRPr="00043083">
        <w:rPr>
          <w:color w:val="000000"/>
        </w:rPr>
        <w:t>10 CFR PART 55, SECTIONS 55.31, 55.35, 55.47 AND 55.57</w:t>
      </w:r>
    </w:p>
    <w:p w:rsidR="00E33FDB" w:rsidRPr="00043083" w:rsidP="00E356C1" w14:paraId="6CB91CC7" w14:textId="77777777">
      <w:pPr>
        <w:widowControl w:val="0"/>
        <w:tabs>
          <w:tab w:val="center" w:pos="4680"/>
        </w:tabs>
        <w:jc w:val="center"/>
        <w:rPr>
          <w:color w:val="000000"/>
        </w:rPr>
      </w:pPr>
    </w:p>
    <w:p w:rsidR="00E356C1" w:rsidRPr="00FA06B8" w:rsidP="00E356C1" w14:paraId="1F79BACB" w14:textId="077394BB">
      <w:pPr>
        <w:jc w:val="center"/>
      </w:pPr>
      <w:r w:rsidRPr="00FA06B8">
        <w:t>(3150</w:t>
      </w:r>
      <w:r w:rsidR="00EF4CED">
        <w:rPr>
          <w:rFonts w:ascii="Cambria Math" w:hAnsi="Cambria Math" w:cs="Cambria Math"/>
        </w:rPr>
        <w:t>‑</w:t>
      </w:r>
      <w:r w:rsidR="00EF4CED">
        <w:t>0090</w:t>
      </w:r>
      <w:r w:rsidRPr="00FA06B8">
        <w:t>)</w:t>
      </w:r>
    </w:p>
    <w:p w:rsidR="00E356C1" w:rsidP="00FA06B8" w14:paraId="1BFFAE3A" w14:textId="77777777">
      <w:pPr>
        <w:ind w:left="720"/>
      </w:pPr>
    </w:p>
    <w:p w:rsidR="00E356C1" w:rsidRPr="002A28E8" w:rsidP="00E356C1" w14:paraId="5EAEB19A"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33FDB">
        <w:rPr>
          <w:b/>
          <w:bCs/>
          <w:szCs w:val="20"/>
        </w:rPr>
        <w:t>10 CFR 55.31</w:t>
      </w:r>
      <w:r w:rsidRPr="008E679A">
        <w:rPr>
          <w:szCs w:val="20"/>
        </w:rPr>
        <w:t xml:space="preserve"> requires that the facility licensee certify that an applicant for an NRC operator or senior operator license has successfully completed the facility licensee’s requirements; the facility has a need</w:t>
      </w:r>
      <w:r w:rsidRPr="002A28E8">
        <w:rPr>
          <w:szCs w:val="20"/>
        </w:rPr>
        <w:t xml:space="preserve"> for an operator or senior operator to perform assigned licensed duties; and the applicant, as a trainee</w:t>
      </w:r>
      <w:r>
        <w:rPr>
          <w:szCs w:val="20"/>
        </w:rPr>
        <w:t>,</w:t>
      </w:r>
      <w:r w:rsidRPr="002A28E8">
        <w:rPr>
          <w:szCs w:val="20"/>
        </w:rPr>
        <w:t xml:space="preserve"> has successfully manipulated the </w:t>
      </w:r>
      <w:r>
        <w:rPr>
          <w:szCs w:val="20"/>
        </w:rPr>
        <w:t xml:space="preserve">either the </w:t>
      </w:r>
      <w:r w:rsidRPr="002A28E8">
        <w:rPr>
          <w:szCs w:val="20"/>
        </w:rPr>
        <w:t>controls of the facility for which a license is sought or a plant-referenced simulator that meets the requirements of 55.46(c).</w:t>
      </w:r>
    </w:p>
    <w:p w:rsidR="00E356C1" w:rsidRPr="002A28E8" w:rsidP="00E356C1" w14:paraId="6EE04678"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0"/>
        </w:rPr>
      </w:pPr>
    </w:p>
    <w:p w:rsidR="00E356C1" w:rsidRPr="002A28E8" w:rsidP="00E356C1" w14:paraId="2CFC6E85" w14:textId="502BA02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33FDB">
        <w:rPr>
          <w:b/>
          <w:bCs/>
          <w:szCs w:val="20"/>
        </w:rPr>
        <w:t>10 CFR 55.35</w:t>
      </w:r>
      <w:r>
        <w:rPr>
          <w:szCs w:val="20"/>
        </w:rPr>
        <w:t xml:space="preserve"> requires</w:t>
      </w:r>
      <w:r w:rsidRPr="002A28E8">
        <w:rPr>
          <w:szCs w:val="20"/>
        </w:rPr>
        <w:t xml:space="preserve"> the facility licensee to resubmit an application for an applicant whose application was denied because of failure to pass the written examination or operating test, or both, certifying the applicant’s readiness for re</w:t>
      </w:r>
      <w:r>
        <w:rPr>
          <w:szCs w:val="20"/>
        </w:rPr>
        <w:t xml:space="preserve">-examination and or to request to be excused from taking the </w:t>
      </w:r>
      <w:r w:rsidRPr="002A28E8">
        <w:rPr>
          <w:szCs w:val="20"/>
        </w:rPr>
        <w:t xml:space="preserve">portion previously passed. </w:t>
      </w:r>
    </w:p>
    <w:p w:rsidR="00E356C1" w:rsidRPr="002A28E8" w:rsidP="00E356C1" w14:paraId="6B28A0C8"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0"/>
        </w:rPr>
      </w:pPr>
    </w:p>
    <w:p w:rsidR="00E356C1" w:rsidRPr="002A28E8" w:rsidP="00E356C1" w14:paraId="10AD08E7"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33FDB">
        <w:rPr>
          <w:b/>
          <w:bCs/>
          <w:szCs w:val="20"/>
        </w:rPr>
        <w:t>10 CFR 55.47</w:t>
      </w:r>
      <w:r w:rsidRPr="002A28E8">
        <w:rPr>
          <w:szCs w:val="20"/>
        </w:rPr>
        <w:t xml:space="preserve"> requires that the facility licensee, on application, certify all applicable information in support of a requested waiver of examination</w:t>
      </w:r>
      <w:r>
        <w:rPr>
          <w:szCs w:val="20"/>
        </w:rPr>
        <w:t>,</w:t>
      </w:r>
      <w:r w:rsidRPr="002A28E8">
        <w:rPr>
          <w:szCs w:val="20"/>
        </w:rPr>
        <w:t xml:space="preserve"> operator experience or medical issue. </w:t>
      </w:r>
    </w:p>
    <w:p w:rsidR="00E356C1" w:rsidRPr="002A28E8" w:rsidP="00E356C1" w14:paraId="593B3D4A"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0"/>
        </w:rPr>
      </w:pPr>
    </w:p>
    <w:p w:rsidR="00E356C1" w:rsidRPr="002A28E8" w:rsidP="00E356C1" w14:paraId="50AB22A3"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33FDB">
        <w:rPr>
          <w:b/>
          <w:bCs/>
          <w:szCs w:val="20"/>
        </w:rPr>
        <w:t>10 CFR 55.57</w:t>
      </w:r>
      <w:r w:rsidRPr="002A28E8">
        <w:rPr>
          <w:szCs w:val="20"/>
        </w:rPr>
        <w:t xml:space="preserve"> requires that the facility licensee, upon renewal of a license, certify the applicant’s experience under the existing license; that the operator licensee is capable of continuing to competently and safely assume licensed duties, has successfully completed a requalification program, has passed the requalification examinations and annual operating tests, and there is a continu</w:t>
      </w:r>
      <w:r>
        <w:rPr>
          <w:szCs w:val="20"/>
        </w:rPr>
        <w:t>ing need for the</w:t>
      </w:r>
      <w:r w:rsidRPr="002A28E8">
        <w:rPr>
          <w:szCs w:val="20"/>
        </w:rPr>
        <w:t xml:space="preserve"> operator licensee to operate, or senior operator to direct operators at the facility. </w:t>
      </w:r>
    </w:p>
    <w:p w:rsidR="00E356C1" w:rsidP="00E356C1" w14:paraId="505CB07D" w14:textId="77777777"/>
    <w:p w:rsidR="00E356C1" w:rsidP="00E356C1" w14:paraId="7D918C57" w14:textId="44C8EACE">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cs="Arial"/>
          <w:szCs w:val="22"/>
        </w:rPr>
      </w:pPr>
      <w:r>
        <w:br w:type="page"/>
      </w:r>
    </w:p>
    <w:p w:rsidR="00E356C1" w:rsidP="00E356C1" w14:paraId="53C1DAA5" w14:textId="6AE4C11E">
      <w:pPr>
        <w:jc w:val="center"/>
      </w:pPr>
      <w:r>
        <w:t>NRC FORM 398, “PERSONAL QUALIFICATION STATEMENT – LICENSE”</w:t>
      </w:r>
    </w:p>
    <w:p w:rsidR="002664CB" w:rsidP="00C75C73" w14:paraId="39727C1F" w14:textId="34F04E13">
      <w:pPr>
        <w:jc w:val="center"/>
      </w:pPr>
      <w:r w:rsidRPr="00377C58">
        <w:rPr>
          <w:rFonts w:cs="Arial"/>
          <w:szCs w:val="22"/>
        </w:rPr>
        <w:t>GUIDANCE DOCUMENTS</w:t>
      </w:r>
    </w:p>
    <w:p w:rsidR="002664CB" w:rsidP="00E356C1" w14:paraId="7810775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324"/>
      </w:tblGrid>
      <w:tr w14:paraId="515B69E2" w14:textId="77777777" w:rsidTr="00C75C7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1" w:type="dxa"/>
          </w:tcPr>
          <w:p w:rsidR="002664CB" w:rsidP="00532C8C" w14:paraId="2ABE6F44" w14:textId="77777777">
            <w:pPr>
              <w:jc w:val="center"/>
            </w:pPr>
            <w:r w:rsidRPr="0000511E">
              <w:rPr>
                <w:rFonts w:cs="Arial"/>
                <w:szCs w:val="22"/>
              </w:rPr>
              <w:t>Title</w:t>
            </w:r>
          </w:p>
        </w:tc>
        <w:tc>
          <w:tcPr>
            <w:tcW w:w="4324" w:type="dxa"/>
          </w:tcPr>
          <w:p w:rsidR="002664CB" w:rsidP="00532C8C" w14:paraId="66BF3B86" w14:textId="5D7784E1">
            <w:pPr>
              <w:jc w:val="center"/>
            </w:pPr>
            <w:r>
              <w:rPr>
                <w:rFonts w:cs="Arial"/>
                <w:szCs w:val="22"/>
              </w:rPr>
              <w:t xml:space="preserve">Agencywide Documents Access and Management System (ADAMS) </w:t>
            </w:r>
            <w:r w:rsidRPr="000B39D2">
              <w:rPr>
                <w:rFonts w:cs="Arial"/>
                <w:szCs w:val="22"/>
              </w:rPr>
              <w:t xml:space="preserve">Accession </w:t>
            </w:r>
            <w:r>
              <w:rPr>
                <w:rFonts w:cs="Arial"/>
                <w:szCs w:val="22"/>
              </w:rPr>
              <w:t>No</w:t>
            </w:r>
            <w:r w:rsidR="00F454A0">
              <w:rPr>
                <w:rFonts w:cs="Arial"/>
                <w:szCs w:val="22"/>
              </w:rPr>
              <w:t>.</w:t>
            </w:r>
          </w:p>
        </w:tc>
      </w:tr>
      <w:tr w14:paraId="3ED4A8A8" w14:textId="77777777" w:rsidTr="00C75C73">
        <w:tblPrEx>
          <w:tblW w:w="0" w:type="auto"/>
          <w:tblLook w:val="04A0"/>
        </w:tblPrEx>
        <w:tc>
          <w:tcPr>
            <w:tcW w:w="4671" w:type="dxa"/>
          </w:tcPr>
          <w:p w:rsidR="002664CB" w:rsidRPr="0000511E" w:rsidP="00532C8C" w14:paraId="3AF9D3A6" w14:textId="41C0DAD1">
            <w:pPr>
              <w:rPr>
                <w:rFonts w:cs="Arial"/>
                <w:szCs w:val="22"/>
              </w:rPr>
            </w:pPr>
            <w:r w:rsidRPr="0000511E">
              <w:rPr>
                <w:rFonts w:cs="Arial"/>
                <w:szCs w:val="22"/>
              </w:rPr>
              <w:t>NUREG</w:t>
            </w:r>
            <w:r w:rsidR="00EF4CED">
              <w:rPr>
                <w:rFonts w:ascii="Cambria Math" w:hAnsi="Cambria Math" w:cs="Cambria Math"/>
                <w:szCs w:val="22"/>
              </w:rPr>
              <w:t>‑</w:t>
            </w:r>
            <w:r w:rsidR="00EF4CED">
              <w:rPr>
                <w:rFonts w:cs="Arial"/>
                <w:szCs w:val="22"/>
              </w:rPr>
              <w:t>1</w:t>
            </w:r>
            <w:r w:rsidRPr="0000511E">
              <w:rPr>
                <w:rFonts w:cs="Arial"/>
                <w:szCs w:val="22"/>
              </w:rPr>
              <w:t>021 “</w:t>
            </w:r>
            <w:r>
              <w:t>Operator Licensing Examination Standards for Power Reactors”</w:t>
            </w:r>
          </w:p>
        </w:tc>
        <w:tc>
          <w:tcPr>
            <w:tcW w:w="4324" w:type="dxa"/>
          </w:tcPr>
          <w:p w:rsidR="002664CB" w:rsidRPr="0000511E" w:rsidP="00532C8C" w14:paraId="1D396B43" w14:textId="1F38BA41">
            <w:pPr>
              <w:rPr>
                <w:rFonts w:cs="Arial"/>
                <w:szCs w:val="22"/>
              </w:rPr>
            </w:pPr>
            <w:r w:rsidRPr="0000511E">
              <w:rPr>
                <w:rFonts w:cs="Arial"/>
                <w:szCs w:val="22"/>
              </w:rPr>
              <w:t>ML</w:t>
            </w:r>
            <w:r w:rsidRPr="00BE7C46" w:rsidR="004E17AE">
              <w:rPr>
                <w:rFonts w:cs="Arial"/>
                <w:szCs w:val="22"/>
              </w:rPr>
              <w:t>21256A276</w:t>
            </w:r>
          </w:p>
        </w:tc>
      </w:tr>
      <w:tr w14:paraId="403413CB" w14:textId="77777777" w:rsidTr="00C75C73">
        <w:tblPrEx>
          <w:tblW w:w="0" w:type="auto"/>
          <w:tblLook w:val="04A0"/>
        </w:tblPrEx>
        <w:tc>
          <w:tcPr>
            <w:tcW w:w="4671" w:type="dxa"/>
          </w:tcPr>
          <w:p w:rsidR="00E903D5" w:rsidRPr="0000511E" w:rsidP="00532C8C" w14:paraId="7F56FB29" w14:textId="2F6B0015">
            <w:pPr>
              <w:rPr>
                <w:rFonts w:cs="Arial"/>
                <w:szCs w:val="22"/>
              </w:rPr>
            </w:pPr>
            <w:r w:rsidRPr="0000511E">
              <w:rPr>
                <w:rFonts w:cs="Arial"/>
                <w:szCs w:val="22"/>
              </w:rPr>
              <w:t>NUREG</w:t>
            </w:r>
            <w:r w:rsidR="00EF4CED">
              <w:rPr>
                <w:rFonts w:ascii="Cambria Math" w:hAnsi="Cambria Math" w:cs="Cambria Math"/>
                <w:szCs w:val="22"/>
              </w:rPr>
              <w:t>‑</w:t>
            </w:r>
            <w:r w:rsidR="00EF4CED">
              <w:rPr>
                <w:rFonts w:cs="Arial"/>
                <w:szCs w:val="22"/>
              </w:rPr>
              <w:t>1</w:t>
            </w:r>
            <w:r w:rsidRPr="0000511E">
              <w:rPr>
                <w:rFonts w:cs="Arial"/>
                <w:szCs w:val="22"/>
              </w:rPr>
              <w:t>478 “</w:t>
            </w:r>
            <w:r>
              <w:t>Operator Licensing Examiner Standards for Research and Test Reactors”</w:t>
            </w:r>
          </w:p>
        </w:tc>
        <w:tc>
          <w:tcPr>
            <w:tcW w:w="4324" w:type="dxa"/>
          </w:tcPr>
          <w:p w:rsidR="00E903D5" w:rsidRPr="0000511E" w:rsidP="00532C8C" w14:paraId="46EE54B2" w14:textId="77777777">
            <w:pPr>
              <w:rPr>
                <w:rFonts w:cs="Arial"/>
                <w:szCs w:val="22"/>
              </w:rPr>
            </w:pPr>
            <w:r w:rsidRPr="0000511E">
              <w:rPr>
                <w:rFonts w:cs="Arial"/>
                <w:szCs w:val="22"/>
              </w:rPr>
              <w:t>ML072000059</w:t>
            </w:r>
          </w:p>
        </w:tc>
      </w:tr>
    </w:tbl>
    <w:p w:rsidR="00C91E5A" w:rsidP="00E356C1" w14:paraId="28E83880" w14:textId="77777777">
      <w:pPr>
        <w:sectPr w:rsidSect="001F3643">
          <w:footerReference w:type="default" r:id="rId5"/>
          <w:footerReference w:type="first" r:id="rId6"/>
          <w:pgSz w:w="12240" w:h="15840" w:code="1"/>
          <w:pgMar w:top="1440" w:right="1440" w:bottom="1440" w:left="1440" w:header="432" w:footer="1440" w:gutter="0"/>
          <w:pgNumType w:fmt="numberInDash" w:start="1"/>
          <w:cols w:space="720"/>
          <w:titlePg/>
          <w:docGrid w:linePitch="360"/>
        </w:sectPr>
      </w:pPr>
    </w:p>
    <w:p w:rsidR="00437052" w:rsidP="00E356C1" w14:paraId="6FCC5399" w14:textId="77777777"/>
    <w:tbl>
      <w:tblPr>
        <w:tblW w:w="14035" w:type="dxa"/>
        <w:tblLook w:val="04A0"/>
      </w:tblPr>
      <w:tblGrid>
        <w:gridCol w:w="2605"/>
        <w:gridCol w:w="1890"/>
        <w:gridCol w:w="1530"/>
        <w:gridCol w:w="1530"/>
        <w:gridCol w:w="1620"/>
        <w:gridCol w:w="1440"/>
        <w:gridCol w:w="1620"/>
        <w:gridCol w:w="1800"/>
      </w:tblGrid>
      <w:tr w14:paraId="59931AC5" w14:textId="77777777" w:rsidTr="00C91E5A">
        <w:tblPrEx>
          <w:tblW w:w="14035" w:type="dxa"/>
          <w:tblLook w:val="04A0"/>
        </w:tblPrEx>
        <w:trPr>
          <w:trHeight w:val="630"/>
        </w:trPr>
        <w:tc>
          <w:tcPr>
            <w:tcW w:w="14035" w:type="dxa"/>
            <w:gridSpan w:val="8"/>
            <w:tcBorders>
              <w:top w:val="single" w:sz="4" w:space="0" w:color="auto"/>
              <w:left w:val="single" w:sz="4" w:space="0" w:color="auto"/>
              <w:bottom w:val="single" w:sz="4" w:space="0" w:color="auto"/>
              <w:right w:val="single" w:sz="4" w:space="0" w:color="000000"/>
            </w:tcBorders>
            <w:vAlign w:val="center"/>
            <w:hideMark/>
          </w:tcPr>
          <w:p w:rsidR="00C91E5A" w:rsidRPr="006C1982" w:rsidP="006C1982" w14:paraId="0CB01144" w14:textId="1CDA0868">
            <w:pPr>
              <w:jc w:val="center"/>
              <w:rPr>
                <w:rFonts w:cs="Arial"/>
                <w:color w:val="000000"/>
                <w:sz w:val="18"/>
                <w:szCs w:val="18"/>
              </w:rPr>
            </w:pPr>
            <w:r w:rsidRPr="006C1982">
              <w:rPr>
                <w:rFonts w:cs="Arial"/>
                <w:color w:val="000000"/>
                <w:sz w:val="18"/>
                <w:szCs w:val="18"/>
              </w:rPr>
              <w:t>ANNUAL REPORTING REQUIREMENTS</w:t>
            </w:r>
            <w:r w:rsidRPr="006C1982">
              <w:rPr>
                <w:rFonts w:cs="Arial"/>
                <w:color w:val="000000"/>
                <w:sz w:val="18"/>
                <w:szCs w:val="18"/>
              </w:rPr>
              <w:br/>
            </w:r>
            <w:r w:rsidR="00375F80">
              <w:rPr>
                <w:rFonts w:cs="Arial"/>
                <w:color w:val="000000"/>
                <w:sz w:val="18"/>
                <w:szCs w:val="18"/>
              </w:rPr>
              <w:t>(3150</w:t>
            </w:r>
            <w:r w:rsidR="00EF4CED">
              <w:rPr>
                <w:rFonts w:ascii="Cambria Math" w:hAnsi="Cambria Math" w:cs="Cambria Math"/>
                <w:color w:val="000000"/>
                <w:sz w:val="18"/>
                <w:szCs w:val="18"/>
              </w:rPr>
              <w:t>‑</w:t>
            </w:r>
            <w:r w:rsidR="00EF4CED">
              <w:rPr>
                <w:rFonts w:cs="Arial"/>
                <w:color w:val="000000"/>
                <w:sz w:val="18"/>
                <w:szCs w:val="18"/>
              </w:rPr>
              <w:t>0090</w:t>
            </w:r>
            <w:r w:rsidRPr="006C1982">
              <w:rPr>
                <w:rFonts w:cs="Arial"/>
                <w:color w:val="000000"/>
                <w:sz w:val="18"/>
                <w:szCs w:val="18"/>
              </w:rPr>
              <w:t>)</w:t>
            </w:r>
          </w:p>
        </w:tc>
      </w:tr>
      <w:tr w14:paraId="03960526" w14:textId="77777777" w:rsidTr="00C91E5A">
        <w:tblPrEx>
          <w:tblW w:w="14035" w:type="dxa"/>
          <w:tblLook w:val="04A0"/>
        </w:tblPrEx>
        <w:trPr>
          <w:trHeight w:val="855"/>
        </w:trPr>
        <w:tc>
          <w:tcPr>
            <w:tcW w:w="2605" w:type="dxa"/>
            <w:tcBorders>
              <w:top w:val="nil"/>
              <w:left w:val="single" w:sz="4" w:space="0" w:color="auto"/>
              <w:bottom w:val="single" w:sz="4" w:space="0" w:color="auto"/>
              <w:right w:val="single" w:sz="4" w:space="0" w:color="auto"/>
            </w:tcBorders>
            <w:vAlign w:val="center"/>
            <w:hideMark/>
          </w:tcPr>
          <w:p w:rsidR="00C91E5A" w:rsidRPr="006C1982" w:rsidP="006C1982" w14:paraId="7B76D2D3" w14:textId="77777777">
            <w:pPr>
              <w:jc w:val="center"/>
              <w:rPr>
                <w:rFonts w:cs="Arial"/>
                <w:color w:val="000000"/>
                <w:sz w:val="18"/>
                <w:szCs w:val="18"/>
              </w:rPr>
            </w:pPr>
            <w:r w:rsidRPr="006C1982">
              <w:rPr>
                <w:rFonts w:cs="Arial"/>
                <w:color w:val="000000"/>
                <w:sz w:val="18"/>
                <w:szCs w:val="18"/>
              </w:rPr>
              <w:t>Requirement</w:t>
            </w:r>
          </w:p>
        </w:tc>
        <w:tc>
          <w:tcPr>
            <w:tcW w:w="1890" w:type="dxa"/>
            <w:tcBorders>
              <w:top w:val="nil"/>
              <w:left w:val="nil"/>
              <w:bottom w:val="single" w:sz="4" w:space="0" w:color="auto"/>
              <w:right w:val="single" w:sz="4" w:space="0" w:color="auto"/>
            </w:tcBorders>
            <w:vAlign w:val="center"/>
            <w:hideMark/>
          </w:tcPr>
          <w:p w:rsidR="00C91E5A" w:rsidRPr="006C1982" w:rsidP="006C1982" w14:paraId="1882F200" w14:textId="77777777">
            <w:pPr>
              <w:jc w:val="center"/>
              <w:rPr>
                <w:rFonts w:cs="Arial"/>
                <w:color w:val="000000"/>
                <w:sz w:val="18"/>
                <w:szCs w:val="18"/>
              </w:rPr>
            </w:pPr>
            <w:r w:rsidRPr="006C1982">
              <w:rPr>
                <w:rFonts w:cs="Arial"/>
                <w:color w:val="000000"/>
                <w:sz w:val="18"/>
                <w:szCs w:val="18"/>
              </w:rPr>
              <w:t>Description</w:t>
            </w:r>
          </w:p>
        </w:tc>
        <w:tc>
          <w:tcPr>
            <w:tcW w:w="1530" w:type="dxa"/>
            <w:tcBorders>
              <w:top w:val="nil"/>
              <w:left w:val="nil"/>
              <w:bottom w:val="single" w:sz="4" w:space="0" w:color="auto"/>
              <w:right w:val="single" w:sz="4" w:space="0" w:color="auto"/>
            </w:tcBorders>
            <w:vAlign w:val="center"/>
            <w:hideMark/>
          </w:tcPr>
          <w:p w:rsidR="00C91E5A" w:rsidRPr="006C1982" w:rsidP="006C1982" w14:paraId="728A9B86" w14:textId="77777777">
            <w:pPr>
              <w:jc w:val="center"/>
              <w:rPr>
                <w:rFonts w:cs="Arial"/>
                <w:color w:val="000000"/>
                <w:sz w:val="18"/>
                <w:szCs w:val="18"/>
              </w:rPr>
            </w:pPr>
            <w:r w:rsidRPr="006C1982">
              <w:rPr>
                <w:rFonts w:cs="Arial"/>
                <w:color w:val="000000"/>
                <w:sz w:val="18"/>
                <w:szCs w:val="18"/>
              </w:rPr>
              <w:t xml:space="preserve"> Number of Respondents </w:t>
            </w:r>
          </w:p>
        </w:tc>
        <w:tc>
          <w:tcPr>
            <w:tcW w:w="1530" w:type="dxa"/>
            <w:tcBorders>
              <w:top w:val="nil"/>
              <w:left w:val="nil"/>
              <w:bottom w:val="single" w:sz="4" w:space="0" w:color="auto"/>
              <w:right w:val="single" w:sz="4" w:space="0" w:color="auto"/>
            </w:tcBorders>
            <w:vAlign w:val="center"/>
            <w:hideMark/>
          </w:tcPr>
          <w:p w:rsidR="00C91E5A" w:rsidRPr="006C1982" w:rsidP="006C1982" w14:paraId="4A7D665B" w14:textId="77777777">
            <w:pPr>
              <w:jc w:val="center"/>
              <w:rPr>
                <w:rFonts w:cs="Arial"/>
                <w:color w:val="000000"/>
                <w:sz w:val="18"/>
                <w:szCs w:val="18"/>
              </w:rPr>
            </w:pPr>
            <w:r w:rsidRPr="006C1982">
              <w:rPr>
                <w:rFonts w:cs="Arial"/>
                <w:color w:val="000000"/>
                <w:sz w:val="18"/>
                <w:szCs w:val="18"/>
              </w:rPr>
              <w:t xml:space="preserve"> Responses per Respondent </w:t>
            </w:r>
          </w:p>
        </w:tc>
        <w:tc>
          <w:tcPr>
            <w:tcW w:w="1620" w:type="dxa"/>
            <w:tcBorders>
              <w:top w:val="nil"/>
              <w:left w:val="nil"/>
              <w:bottom w:val="single" w:sz="4" w:space="0" w:color="auto"/>
              <w:right w:val="single" w:sz="4" w:space="0" w:color="auto"/>
            </w:tcBorders>
            <w:vAlign w:val="center"/>
            <w:hideMark/>
          </w:tcPr>
          <w:p w:rsidR="00C91E5A" w:rsidRPr="006C1982" w:rsidP="006C1982" w14:paraId="47CC8281" w14:textId="5FFA102F">
            <w:pPr>
              <w:jc w:val="center"/>
              <w:rPr>
                <w:rFonts w:cs="Arial"/>
                <w:color w:val="000000"/>
                <w:sz w:val="18"/>
                <w:szCs w:val="18"/>
              </w:rPr>
            </w:pPr>
            <w:r w:rsidRPr="006C1982">
              <w:rPr>
                <w:rFonts w:cs="Arial"/>
                <w:color w:val="000000"/>
                <w:sz w:val="18"/>
                <w:szCs w:val="18"/>
              </w:rPr>
              <w:t xml:space="preserve"> Total Number of Responses </w:t>
            </w:r>
          </w:p>
        </w:tc>
        <w:tc>
          <w:tcPr>
            <w:tcW w:w="1440" w:type="dxa"/>
            <w:tcBorders>
              <w:top w:val="nil"/>
              <w:left w:val="nil"/>
              <w:bottom w:val="single" w:sz="4" w:space="0" w:color="auto"/>
              <w:right w:val="single" w:sz="4" w:space="0" w:color="auto"/>
            </w:tcBorders>
            <w:vAlign w:val="center"/>
            <w:hideMark/>
          </w:tcPr>
          <w:p w:rsidR="00C91E5A" w:rsidRPr="006C1982" w:rsidP="006C1982" w14:paraId="0BB779B7" w14:textId="77777777">
            <w:pPr>
              <w:jc w:val="center"/>
              <w:rPr>
                <w:rFonts w:cs="Arial"/>
                <w:color w:val="000000"/>
                <w:sz w:val="18"/>
                <w:szCs w:val="18"/>
              </w:rPr>
            </w:pPr>
            <w:r w:rsidRPr="006C1982">
              <w:rPr>
                <w:rFonts w:cs="Arial"/>
                <w:color w:val="000000"/>
                <w:sz w:val="18"/>
                <w:szCs w:val="18"/>
              </w:rPr>
              <w:t xml:space="preserve"> Burden </w:t>
            </w:r>
            <w:r w:rsidR="00531FB2">
              <w:rPr>
                <w:rFonts w:cs="Arial"/>
                <w:color w:val="000000"/>
                <w:sz w:val="18"/>
                <w:szCs w:val="18"/>
              </w:rPr>
              <w:t xml:space="preserve">hours </w:t>
            </w:r>
            <w:r w:rsidRPr="006C1982">
              <w:rPr>
                <w:rFonts w:cs="Arial"/>
                <w:color w:val="000000"/>
                <w:sz w:val="18"/>
                <w:szCs w:val="18"/>
              </w:rPr>
              <w:t xml:space="preserve">per Response </w:t>
            </w:r>
          </w:p>
        </w:tc>
        <w:tc>
          <w:tcPr>
            <w:tcW w:w="1620" w:type="dxa"/>
            <w:tcBorders>
              <w:top w:val="nil"/>
              <w:left w:val="nil"/>
              <w:bottom w:val="single" w:sz="4" w:space="0" w:color="auto"/>
              <w:right w:val="single" w:sz="4" w:space="0" w:color="auto"/>
            </w:tcBorders>
            <w:vAlign w:val="center"/>
            <w:hideMark/>
          </w:tcPr>
          <w:p w:rsidR="00C91E5A" w:rsidRPr="006C1982" w:rsidP="006C1982" w14:paraId="18C515B5" w14:textId="77777777">
            <w:pPr>
              <w:jc w:val="center"/>
              <w:rPr>
                <w:rFonts w:cs="Arial"/>
                <w:color w:val="000000"/>
                <w:sz w:val="18"/>
                <w:szCs w:val="18"/>
              </w:rPr>
            </w:pPr>
            <w:r w:rsidRPr="006C1982">
              <w:rPr>
                <w:rFonts w:cs="Arial"/>
                <w:color w:val="000000"/>
                <w:sz w:val="18"/>
                <w:szCs w:val="18"/>
              </w:rPr>
              <w:t xml:space="preserve"> Total Annual Burden Hours </w:t>
            </w:r>
          </w:p>
        </w:tc>
        <w:tc>
          <w:tcPr>
            <w:tcW w:w="1800" w:type="dxa"/>
            <w:tcBorders>
              <w:top w:val="nil"/>
              <w:left w:val="nil"/>
              <w:bottom w:val="single" w:sz="4" w:space="0" w:color="auto"/>
              <w:right w:val="single" w:sz="4" w:space="0" w:color="auto"/>
            </w:tcBorders>
            <w:vAlign w:val="center"/>
            <w:hideMark/>
          </w:tcPr>
          <w:p w:rsidR="005B7280" w:rsidP="006C1982" w14:paraId="2C7023D0" w14:textId="77777777">
            <w:pPr>
              <w:jc w:val="center"/>
              <w:rPr>
                <w:rFonts w:cs="Arial"/>
                <w:color w:val="000000"/>
                <w:sz w:val="18"/>
                <w:szCs w:val="18"/>
              </w:rPr>
            </w:pPr>
            <w:r w:rsidRPr="006C1982">
              <w:rPr>
                <w:rFonts w:cs="Arial"/>
                <w:color w:val="000000"/>
                <w:sz w:val="18"/>
                <w:szCs w:val="18"/>
              </w:rPr>
              <w:t xml:space="preserve"> Cost @ </w:t>
            </w:r>
          </w:p>
          <w:p w:rsidR="00C91E5A" w:rsidRPr="006C1982" w:rsidP="006C1982" w14:paraId="5BDE8B62" w14:textId="02025F5F">
            <w:pPr>
              <w:jc w:val="center"/>
              <w:rPr>
                <w:rFonts w:cs="Arial"/>
                <w:color w:val="000000"/>
                <w:sz w:val="18"/>
                <w:szCs w:val="18"/>
              </w:rPr>
            </w:pPr>
            <w:r w:rsidRPr="006C1982">
              <w:rPr>
                <w:rFonts w:cs="Arial"/>
                <w:color w:val="000000"/>
                <w:sz w:val="18"/>
                <w:szCs w:val="18"/>
              </w:rPr>
              <w:t>$</w:t>
            </w:r>
            <w:r w:rsidR="009A092E">
              <w:rPr>
                <w:rFonts w:cs="Arial"/>
                <w:color w:val="000000"/>
                <w:sz w:val="18"/>
                <w:szCs w:val="18"/>
              </w:rPr>
              <w:t>317</w:t>
            </w:r>
            <w:r w:rsidRPr="006C1982">
              <w:rPr>
                <w:rFonts w:cs="Arial"/>
                <w:color w:val="000000"/>
                <w:sz w:val="18"/>
                <w:szCs w:val="18"/>
              </w:rPr>
              <w:t>/</w:t>
            </w:r>
            <w:r w:rsidR="008D09EB">
              <w:rPr>
                <w:rFonts w:cs="Arial"/>
                <w:color w:val="000000"/>
                <w:sz w:val="18"/>
                <w:szCs w:val="18"/>
              </w:rPr>
              <w:t xml:space="preserve">Per </w:t>
            </w:r>
            <w:r w:rsidRPr="006C1982">
              <w:rPr>
                <w:rFonts w:cs="Arial"/>
                <w:color w:val="000000"/>
                <w:sz w:val="18"/>
                <w:szCs w:val="18"/>
              </w:rPr>
              <w:t xml:space="preserve">Hour </w:t>
            </w:r>
          </w:p>
        </w:tc>
      </w:tr>
      <w:tr w14:paraId="343766EF" w14:textId="77777777" w:rsidTr="00C91E5A">
        <w:tblPrEx>
          <w:tblW w:w="14035" w:type="dxa"/>
          <w:tblLook w:val="04A0"/>
        </w:tblPrEx>
        <w:trPr>
          <w:trHeight w:val="285"/>
        </w:trPr>
        <w:tc>
          <w:tcPr>
            <w:tcW w:w="2605" w:type="dxa"/>
            <w:tcBorders>
              <w:top w:val="nil"/>
              <w:left w:val="single" w:sz="4" w:space="0" w:color="auto"/>
              <w:bottom w:val="single" w:sz="4" w:space="0" w:color="auto"/>
              <w:right w:val="single" w:sz="4" w:space="0" w:color="auto"/>
            </w:tcBorders>
            <w:vAlign w:val="bottom"/>
            <w:hideMark/>
          </w:tcPr>
          <w:p w:rsidR="00ED43E1" w:rsidRPr="006C1982" w:rsidP="00ED43E1" w14:paraId="2D502E6A" w14:textId="77777777">
            <w:pPr>
              <w:rPr>
                <w:rFonts w:cs="Arial"/>
                <w:color w:val="000000"/>
                <w:sz w:val="18"/>
                <w:szCs w:val="18"/>
              </w:rPr>
            </w:pPr>
            <w:r w:rsidRPr="006C1982">
              <w:rPr>
                <w:rFonts w:cs="Arial"/>
                <w:color w:val="000000"/>
                <w:sz w:val="18"/>
                <w:szCs w:val="18"/>
              </w:rPr>
              <w:t>Applicants (Initial &amp; Upgrade)</w:t>
            </w:r>
          </w:p>
        </w:tc>
        <w:tc>
          <w:tcPr>
            <w:tcW w:w="1890" w:type="dxa"/>
            <w:tcBorders>
              <w:top w:val="nil"/>
              <w:left w:val="nil"/>
              <w:bottom w:val="single" w:sz="4" w:space="0" w:color="auto"/>
              <w:right w:val="single" w:sz="4" w:space="0" w:color="auto"/>
            </w:tcBorders>
            <w:vAlign w:val="bottom"/>
            <w:hideMark/>
          </w:tcPr>
          <w:p w:rsidR="00ED43E1" w:rsidRPr="006C1982" w:rsidP="00ED43E1" w14:paraId="78116767" w14:textId="77777777">
            <w:pPr>
              <w:rPr>
                <w:rFonts w:cs="Arial"/>
                <w:color w:val="000000"/>
                <w:sz w:val="18"/>
                <w:szCs w:val="18"/>
              </w:rPr>
            </w:pPr>
            <w:r w:rsidRPr="006C1982">
              <w:rPr>
                <w:rFonts w:cs="Arial"/>
                <w:color w:val="000000"/>
                <w:sz w:val="18"/>
                <w:szCs w:val="18"/>
              </w:rPr>
              <w:t>NRC Form 398</w:t>
            </w:r>
          </w:p>
        </w:tc>
        <w:tc>
          <w:tcPr>
            <w:tcW w:w="1530" w:type="dxa"/>
            <w:tcBorders>
              <w:top w:val="nil"/>
              <w:left w:val="nil"/>
              <w:bottom w:val="single" w:sz="4" w:space="0" w:color="auto"/>
              <w:right w:val="single" w:sz="4" w:space="0" w:color="auto"/>
            </w:tcBorders>
            <w:vAlign w:val="bottom"/>
            <w:hideMark/>
          </w:tcPr>
          <w:p w:rsidR="00ED43E1" w:rsidRPr="006C1982" w:rsidP="005B7280" w14:paraId="4EB8E4E3" w14:textId="174BD3DD">
            <w:pPr>
              <w:jc w:val="right"/>
              <w:rPr>
                <w:rFonts w:cs="Arial"/>
                <w:color w:val="000000"/>
                <w:sz w:val="18"/>
                <w:szCs w:val="18"/>
              </w:rPr>
            </w:pPr>
            <w:r w:rsidRPr="006C1982">
              <w:rPr>
                <w:rFonts w:cs="Arial"/>
                <w:color w:val="000000"/>
                <w:sz w:val="18"/>
                <w:szCs w:val="18"/>
              </w:rPr>
              <w:t xml:space="preserve">  </w:t>
            </w:r>
            <w:r>
              <w:rPr>
                <w:rFonts w:cs="Arial"/>
                <w:color w:val="000000"/>
                <w:sz w:val="18"/>
                <w:szCs w:val="18"/>
              </w:rPr>
              <w:t>540.0</w:t>
            </w:r>
          </w:p>
        </w:tc>
        <w:tc>
          <w:tcPr>
            <w:tcW w:w="1530" w:type="dxa"/>
            <w:tcBorders>
              <w:top w:val="nil"/>
              <w:left w:val="nil"/>
              <w:bottom w:val="single" w:sz="4" w:space="0" w:color="auto"/>
              <w:right w:val="single" w:sz="4" w:space="0" w:color="auto"/>
            </w:tcBorders>
            <w:vAlign w:val="bottom"/>
            <w:hideMark/>
          </w:tcPr>
          <w:p w:rsidR="00ED43E1" w:rsidRPr="006C1982" w:rsidP="008C10A8" w14:paraId="2631A5B8" w14:textId="4C406832">
            <w:pPr>
              <w:jc w:val="center"/>
              <w:rPr>
                <w:rFonts w:cs="Arial"/>
                <w:color w:val="000000"/>
                <w:sz w:val="18"/>
                <w:szCs w:val="18"/>
              </w:rPr>
            </w:pPr>
            <w:r w:rsidRPr="006C1982">
              <w:rPr>
                <w:rFonts w:cs="Arial"/>
                <w:color w:val="000000"/>
                <w:sz w:val="18"/>
                <w:szCs w:val="18"/>
              </w:rPr>
              <w:t>1.0</w:t>
            </w:r>
          </w:p>
        </w:tc>
        <w:tc>
          <w:tcPr>
            <w:tcW w:w="1620" w:type="dxa"/>
            <w:tcBorders>
              <w:top w:val="nil"/>
              <w:left w:val="nil"/>
              <w:bottom w:val="single" w:sz="4" w:space="0" w:color="auto"/>
              <w:right w:val="single" w:sz="4" w:space="0" w:color="auto"/>
            </w:tcBorders>
            <w:vAlign w:val="bottom"/>
            <w:hideMark/>
          </w:tcPr>
          <w:p w:rsidR="00ED43E1" w:rsidRPr="006C1982" w:rsidP="005B7280" w14:paraId="59AF41BC" w14:textId="530B7144">
            <w:pPr>
              <w:jc w:val="right"/>
              <w:rPr>
                <w:rFonts w:cs="Arial"/>
                <w:color w:val="000000"/>
                <w:sz w:val="18"/>
                <w:szCs w:val="18"/>
              </w:rPr>
            </w:pPr>
            <w:r w:rsidRPr="006C1982">
              <w:rPr>
                <w:rFonts w:cs="Arial"/>
                <w:color w:val="000000"/>
                <w:sz w:val="18"/>
                <w:szCs w:val="18"/>
              </w:rPr>
              <w:t xml:space="preserve">  </w:t>
            </w:r>
            <w:r>
              <w:rPr>
                <w:rFonts w:cs="Arial"/>
                <w:color w:val="000000"/>
                <w:sz w:val="18"/>
                <w:szCs w:val="18"/>
              </w:rPr>
              <w:t>540.0</w:t>
            </w:r>
          </w:p>
        </w:tc>
        <w:tc>
          <w:tcPr>
            <w:tcW w:w="1440" w:type="dxa"/>
            <w:tcBorders>
              <w:top w:val="nil"/>
              <w:left w:val="nil"/>
              <w:bottom w:val="single" w:sz="4" w:space="0" w:color="auto"/>
              <w:right w:val="single" w:sz="4" w:space="0" w:color="auto"/>
            </w:tcBorders>
            <w:vAlign w:val="bottom"/>
            <w:hideMark/>
          </w:tcPr>
          <w:p w:rsidR="00ED43E1" w:rsidRPr="006C1982" w:rsidP="008C10A8" w14:paraId="3379A47C" w14:textId="093FEA03">
            <w:pPr>
              <w:jc w:val="center"/>
              <w:rPr>
                <w:rFonts w:cs="Arial"/>
                <w:color w:val="000000"/>
                <w:sz w:val="18"/>
                <w:szCs w:val="18"/>
              </w:rPr>
            </w:pPr>
            <w:r w:rsidRPr="006C1982">
              <w:rPr>
                <w:rFonts w:cs="Arial"/>
                <w:color w:val="000000"/>
                <w:sz w:val="18"/>
                <w:szCs w:val="18"/>
              </w:rPr>
              <w:t>6.5</w:t>
            </w:r>
          </w:p>
        </w:tc>
        <w:tc>
          <w:tcPr>
            <w:tcW w:w="1620" w:type="dxa"/>
            <w:tcBorders>
              <w:top w:val="nil"/>
              <w:left w:val="nil"/>
              <w:bottom w:val="single" w:sz="4" w:space="0" w:color="auto"/>
              <w:right w:val="single" w:sz="4" w:space="0" w:color="auto"/>
            </w:tcBorders>
            <w:vAlign w:val="bottom"/>
            <w:hideMark/>
          </w:tcPr>
          <w:p w:rsidR="00ED43E1" w:rsidRPr="006C1982" w:rsidP="00000861" w14:paraId="5CA8050F" w14:textId="79052F71">
            <w:pPr>
              <w:jc w:val="right"/>
              <w:rPr>
                <w:rFonts w:cs="Arial"/>
                <w:color w:val="000000"/>
                <w:sz w:val="18"/>
                <w:szCs w:val="18"/>
              </w:rPr>
            </w:pPr>
            <w:r w:rsidRPr="006C1982">
              <w:rPr>
                <w:rFonts w:cs="Arial"/>
                <w:color w:val="000000"/>
                <w:sz w:val="18"/>
                <w:szCs w:val="18"/>
              </w:rPr>
              <w:t xml:space="preserve">  </w:t>
            </w:r>
            <w:r>
              <w:rPr>
                <w:rFonts w:cs="Arial"/>
                <w:color w:val="000000"/>
                <w:sz w:val="18"/>
                <w:szCs w:val="18"/>
              </w:rPr>
              <w:t>3.510.0</w:t>
            </w:r>
          </w:p>
        </w:tc>
        <w:tc>
          <w:tcPr>
            <w:tcW w:w="1800" w:type="dxa"/>
            <w:tcBorders>
              <w:top w:val="nil"/>
              <w:left w:val="nil"/>
              <w:bottom w:val="single" w:sz="4" w:space="0" w:color="auto"/>
              <w:right w:val="single" w:sz="4" w:space="0" w:color="auto"/>
            </w:tcBorders>
            <w:vAlign w:val="bottom"/>
            <w:hideMark/>
          </w:tcPr>
          <w:p w:rsidR="00ED43E1" w:rsidRPr="006C1982" w:rsidP="00000861" w14:paraId="34D6EC63" w14:textId="4A07323D">
            <w:pPr>
              <w:jc w:val="right"/>
              <w:rPr>
                <w:rFonts w:cs="Arial"/>
                <w:color w:val="000000"/>
                <w:sz w:val="18"/>
                <w:szCs w:val="18"/>
              </w:rPr>
            </w:pPr>
            <w:r w:rsidRPr="006C1982">
              <w:rPr>
                <w:rFonts w:cs="Arial"/>
                <w:color w:val="000000"/>
                <w:sz w:val="18"/>
                <w:szCs w:val="18"/>
              </w:rPr>
              <w:t xml:space="preserve"> $</w:t>
            </w:r>
            <w:r>
              <w:rPr>
                <w:rFonts w:cs="Arial"/>
                <w:color w:val="000000"/>
                <w:sz w:val="18"/>
                <w:szCs w:val="18"/>
              </w:rPr>
              <w:t>1,112,6</w:t>
            </w:r>
            <w:r w:rsidR="00050008">
              <w:rPr>
                <w:rFonts w:cs="Arial"/>
                <w:color w:val="000000"/>
                <w:sz w:val="18"/>
                <w:szCs w:val="18"/>
              </w:rPr>
              <w:t>7</w:t>
            </w:r>
            <w:r>
              <w:rPr>
                <w:rFonts w:cs="Arial"/>
                <w:color w:val="000000"/>
                <w:sz w:val="18"/>
                <w:szCs w:val="18"/>
              </w:rPr>
              <w:t>0</w:t>
            </w:r>
          </w:p>
        </w:tc>
      </w:tr>
      <w:tr w14:paraId="54BB5D5C" w14:textId="77777777" w:rsidTr="00C91E5A">
        <w:tblPrEx>
          <w:tblW w:w="14035" w:type="dxa"/>
          <w:tblLook w:val="04A0"/>
        </w:tblPrEx>
        <w:trPr>
          <w:trHeight w:val="570"/>
        </w:trPr>
        <w:tc>
          <w:tcPr>
            <w:tcW w:w="2605" w:type="dxa"/>
            <w:tcBorders>
              <w:top w:val="nil"/>
              <w:left w:val="single" w:sz="4" w:space="0" w:color="auto"/>
              <w:bottom w:val="single" w:sz="4" w:space="0" w:color="auto"/>
              <w:right w:val="single" w:sz="4" w:space="0" w:color="auto"/>
            </w:tcBorders>
            <w:vAlign w:val="bottom"/>
            <w:hideMark/>
          </w:tcPr>
          <w:p w:rsidR="00ED43E1" w:rsidRPr="006C1982" w:rsidP="00ED43E1" w14:paraId="4C74B7EA" w14:textId="77777777">
            <w:pPr>
              <w:rPr>
                <w:rFonts w:cs="Arial"/>
                <w:color w:val="000000"/>
                <w:sz w:val="18"/>
                <w:szCs w:val="18"/>
              </w:rPr>
            </w:pPr>
            <w:r w:rsidRPr="006C1982">
              <w:rPr>
                <w:rFonts w:cs="Arial"/>
                <w:color w:val="000000"/>
                <w:sz w:val="18"/>
                <w:szCs w:val="18"/>
              </w:rPr>
              <w:t xml:space="preserve">Applicants </w:t>
            </w:r>
            <w:r>
              <w:rPr>
                <w:rFonts w:cs="Arial"/>
                <w:color w:val="000000"/>
                <w:sz w:val="18"/>
                <w:szCs w:val="18"/>
              </w:rPr>
              <w:t>with waiver or excusal requests</w:t>
            </w:r>
          </w:p>
        </w:tc>
        <w:tc>
          <w:tcPr>
            <w:tcW w:w="1890" w:type="dxa"/>
            <w:tcBorders>
              <w:top w:val="nil"/>
              <w:left w:val="nil"/>
              <w:bottom w:val="nil"/>
              <w:right w:val="nil"/>
            </w:tcBorders>
            <w:vAlign w:val="bottom"/>
            <w:hideMark/>
          </w:tcPr>
          <w:p w:rsidR="00ED43E1" w:rsidRPr="006C1982" w:rsidP="00ED43E1" w14:paraId="34C064B9" w14:textId="77777777">
            <w:pPr>
              <w:rPr>
                <w:rFonts w:cs="Arial"/>
                <w:color w:val="000000"/>
                <w:sz w:val="18"/>
                <w:szCs w:val="18"/>
              </w:rPr>
            </w:pPr>
            <w:r w:rsidRPr="006C1982">
              <w:rPr>
                <w:rFonts w:cs="Arial"/>
                <w:color w:val="000000"/>
                <w:sz w:val="18"/>
                <w:szCs w:val="18"/>
              </w:rPr>
              <w:t>NRC Form 398</w:t>
            </w:r>
          </w:p>
        </w:tc>
        <w:tc>
          <w:tcPr>
            <w:tcW w:w="1530" w:type="dxa"/>
            <w:tcBorders>
              <w:top w:val="nil"/>
              <w:left w:val="single" w:sz="4" w:space="0" w:color="auto"/>
              <w:bottom w:val="single" w:sz="4" w:space="0" w:color="auto"/>
              <w:right w:val="single" w:sz="4" w:space="0" w:color="auto"/>
            </w:tcBorders>
            <w:vAlign w:val="bottom"/>
            <w:hideMark/>
          </w:tcPr>
          <w:p w:rsidR="00ED43E1" w:rsidRPr="006C1982" w:rsidP="005B7280" w14:paraId="53E4E971" w14:textId="56F9F7E9">
            <w:pPr>
              <w:jc w:val="right"/>
              <w:rPr>
                <w:rFonts w:cs="Arial"/>
                <w:color w:val="000000"/>
                <w:sz w:val="18"/>
                <w:szCs w:val="18"/>
              </w:rPr>
            </w:pPr>
            <w:r w:rsidRPr="006C1982">
              <w:rPr>
                <w:rFonts w:cs="Arial"/>
                <w:color w:val="000000"/>
                <w:sz w:val="18"/>
                <w:szCs w:val="18"/>
              </w:rPr>
              <w:t xml:space="preserve">  </w:t>
            </w:r>
            <w:r>
              <w:rPr>
                <w:rFonts w:cs="Arial"/>
                <w:color w:val="000000"/>
                <w:sz w:val="18"/>
                <w:szCs w:val="18"/>
              </w:rPr>
              <w:t>114.0</w:t>
            </w:r>
            <w:r w:rsidRPr="006C1982">
              <w:rPr>
                <w:rFonts w:cs="Arial"/>
                <w:color w:val="000000"/>
                <w:sz w:val="18"/>
                <w:szCs w:val="18"/>
              </w:rPr>
              <w:t xml:space="preserve"> </w:t>
            </w:r>
          </w:p>
        </w:tc>
        <w:tc>
          <w:tcPr>
            <w:tcW w:w="1530" w:type="dxa"/>
            <w:tcBorders>
              <w:top w:val="nil"/>
              <w:left w:val="nil"/>
              <w:bottom w:val="single" w:sz="4" w:space="0" w:color="auto"/>
              <w:right w:val="single" w:sz="4" w:space="0" w:color="auto"/>
            </w:tcBorders>
            <w:vAlign w:val="bottom"/>
            <w:hideMark/>
          </w:tcPr>
          <w:p w:rsidR="00ED43E1" w:rsidRPr="006C1982" w:rsidP="008C10A8" w14:paraId="0FDC84E5" w14:textId="78F4A261">
            <w:pPr>
              <w:jc w:val="center"/>
              <w:rPr>
                <w:rFonts w:cs="Arial"/>
                <w:color w:val="000000"/>
                <w:sz w:val="18"/>
                <w:szCs w:val="18"/>
              </w:rPr>
            </w:pPr>
            <w:r w:rsidRPr="006C1982">
              <w:rPr>
                <w:rFonts w:cs="Arial"/>
                <w:color w:val="000000"/>
                <w:sz w:val="18"/>
                <w:szCs w:val="18"/>
              </w:rPr>
              <w:t>1.0</w:t>
            </w:r>
          </w:p>
        </w:tc>
        <w:tc>
          <w:tcPr>
            <w:tcW w:w="1620" w:type="dxa"/>
            <w:tcBorders>
              <w:top w:val="nil"/>
              <w:left w:val="nil"/>
              <w:bottom w:val="single" w:sz="4" w:space="0" w:color="auto"/>
              <w:right w:val="single" w:sz="4" w:space="0" w:color="auto"/>
            </w:tcBorders>
            <w:vAlign w:val="bottom"/>
            <w:hideMark/>
          </w:tcPr>
          <w:p w:rsidR="00ED43E1" w:rsidRPr="006C1982" w:rsidP="005B7280" w14:paraId="19E30DCD" w14:textId="4EA89B35">
            <w:pPr>
              <w:jc w:val="right"/>
              <w:rPr>
                <w:rFonts w:cs="Arial"/>
                <w:color w:val="000000"/>
                <w:sz w:val="18"/>
                <w:szCs w:val="18"/>
              </w:rPr>
            </w:pPr>
            <w:r w:rsidRPr="006C1982">
              <w:rPr>
                <w:rFonts w:cs="Arial"/>
                <w:color w:val="000000"/>
                <w:sz w:val="18"/>
                <w:szCs w:val="18"/>
              </w:rPr>
              <w:t xml:space="preserve">  </w:t>
            </w:r>
            <w:r>
              <w:rPr>
                <w:rFonts w:cs="Arial"/>
                <w:color w:val="000000"/>
                <w:sz w:val="18"/>
                <w:szCs w:val="18"/>
              </w:rPr>
              <w:t>114.0</w:t>
            </w:r>
            <w:r w:rsidRPr="006C1982">
              <w:rPr>
                <w:rFonts w:cs="Arial"/>
                <w:color w:val="000000"/>
                <w:sz w:val="18"/>
                <w:szCs w:val="18"/>
              </w:rPr>
              <w:t xml:space="preserve"> </w:t>
            </w:r>
          </w:p>
        </w:tc>
        <w:tc>
          <w:tcPr>
            <w:tcW w:w="1440" w:type="dxa"/>
            <w:tcBorders>
              <w:top w:val="nil"/>
              <w:left w:val="nil"/>
              <w:bottom w:val="single" w:sz="4" w:space="0" w:color="auto"/>
              <w:right w:val="single" w:sz="4" w:space="0" w:color="auto"/>
            </w:tcBorders>
            <w:vAlign w:val="bottom"/>
            <w:hideMark/>
          </w:tcPr>
          <w:p w:rsidR="00ED43E1" w:rsidRPr="006C1982" w:rsidP="008C10A8" w14:paraId="36952553" w14:textId="6CA06749">
            <w:pPr>
              <w:jc w:val="center"/>
              <w:rPr>
                <w:rFonts w:cs="Arial"/>
                <w:color w:val="000000"/>
                <w:sz w:val="18"/>
                <w:szCs w:val="18"/>
              </w:rPr>
            </w:pPr>
            <w:r w:rsidRPr="006C1982">
              <w:rPr>
                <w:rFonts w:cs="Arial"/>
                <w:color w:val="000000"/>
                <w:sz w:val="18"/>
                <w:szCs w:val="18"/>
              </w:rPr>
              <w:t>9.5</w:t>
            </w:r>
          </w:p>
        </w:tc>
        <w:tc>
          <w:tcPr>
            <w:tcW w:w="1620" w:type="dxa"/>
            <w:tcBorders>
              <w:top w:val="nil"/>
              <w:left w:val="nil"/>
              <w:bottom w:val="single" w:sz="4" w:space="0" w:color="auto"/>
              <w:right w:val="single" w:sz="4" w:space="0" w:color="auto"/>
            </w:tcBorders>
            <w:vAlign w:val="bottom"/>
            <w:hideMark/>
          </w:tcPr>
          <w:p w:rsidR="00ED43E1" w:rsidRPr="006C1982" w:rsidP="00000861" w14:paraId="12C5AF4E" w14:textId="355719DE">
            <w:pPr>
              <w:jc w:val="right"/>
              <w:rPr>
                <w:rFonts w:cs="Arial"/>
                <w:color w:val="000000"/>
                <w:sz w:val="18"/>
                <w:szCs w:val="18"/>
              </w:rPr>
            </w:pPr>
            <w:r w:rsidRPr="006C1982">
              <w:rPr>
                <w:rFonts w:cs="Arial"/>
                <w:color w:val="000000"/>
                <w:sz w:val="18"/>
                <w:szCs w:val="18"/>
              </w:rPr>
              <w:t xml:space="preserve">  </w:t>
            </w:r>
            <w:r>
              <w:rPr>
                <w:rFonts w:cs="Arial"/>
                <w:color w:val="000000"/>
                <w:sz w:val="18"/>
                <w:szCs w:val="18"/>
              </w:rPr>
              <w:t>1,083.0</w:t>
            </w:r>
          </w:p>
        </w:tc>
        <w:tc>
          <w:tcPr>
            <w:tcW w:w="1800" w:type="dxa"/>
            <w:tcBorders>
              <w:top w:val="nil"/>
              <w:left w:val="nil"/>
              <w:bottom w:val="single" w:sz="4" w:space="0" w:color="auto"/>
              <w:right w:val="single" w:sz="4" w:space="0" w:color="auto"/>
            </w:tcBorders>
            <w:vAlign w:val="bottom"/>
            <w:hideMark/>
          </w:tcPr>
          <w:p w:rsidR="00ED43E1" w:rsidRPr="006C1982" w:rsidP="00000861" w14:paraId="44E3081F" w14:textId="6A37415F">
            <w:pPr>
              <w:jc w:val="right"/>
              <w:rPr>
                <w:rFonts w:cs="Arial"/>
                <w:color w:val="000000"/>
                <w:sz w:val="18"/>
                <w:szCs w:val="18"/>
              </w:rPr>
            </w:pPr>
            <w:r w:rsidRPr="006C1982">
              <w:rPr>
                <w:rFonts w:cs="Arial"/>
                <w:color w:val="000000"/>
                <w:sz w:val="18"/>
                <w:szCs w:val="18"/>
              </w:rPr>
              <w:t xml:space="preserve"> $ </w:t>
            </w:r>
            <w:r>
              <w:rPr>
                <w:rFonts w:cs="Arial"/>
                <w:color w:val="000000"/>
                <w:sz w:val="18"/>
                <w:szCs w:val="18"/>
              </w:rPr>
              <w:t>343,311</w:t>
            </w:r>
          </w:p>
        </w:tc>
      </w:tr>
      <w:tr w14:paraId="2F7AFDCF" w14:textId="77777777" w:rsidTr="00C91E5A">
        <w:tblPrEx>
          <w:tblW w:w="14035" w:type="dxa"/>
          <w:tblLook w:val="04A0"/>
        </w:tblPrEx>
        <w:trPr>
          <w:trHeight w:val="285"/>
        </w:trPr>
        <w:tc>
          <w:tcPr>
            <w:tcW w:w="2605" w:type="dxa"/>
            <w:tcBorders>
              <w:top w:val="nil"/>
              <w:left w:val="single" w:sz="4" w:space="0" w:color="auto"/>
              <w:bottom w:val="single" w:sz="4" w:space="0" w:color="auto"/>
              <w:right w:val="single" w:sz="4" w:space="0" w:color="auto"/>
            </w:tcBorders>
            <w:vAlign w:val="bottom"/>
            <w:hideMark/>
          </w:tcPr>
          <w:p w:rsidR="00ED43E1" w:rsidRPr="006C1982" w:rsidP="00ED43E1" w14:paraId="32F972EE" w14:textId="77777777">
            <w:pPr>
              <w:rPr>
                <w:rFonts w:cs="Arial"/>
                <w:color w:val="000000"/>
                <w:sz w:val="18"/>
                <w:szCs w:val="18"/>
              </w:rPr>
            </w:pPr>
            <w:r w:rsidRPr="006C1982">
              <w:rPr>
                <w:rFonts w:cs="Arial"/>
                <w:color w:val="000000"/>
                <w:sz w:val="18"/>
                <w:szCs w:val="18"/>
              </w:rPr>
              <w:t>Applicants - Renewals</w:t>
            </w:r>
          </w:p>
        </w:tc>
        <w:tc>
          <w:tcPr>
            <w:tcW w:w="1890" w:type="dxa"/>
            <w:tcBorders>
              <w:top w:val="single" w:sz="4" w:space="0" w:color="auto"/>
              <w:left w:val="nil"/>
              <w:bottom w:val="single" w:sz="4" w:space="0" w:color="auto"/>
              <w:right w:val="single" w:sz="4" w:space="0" w:color="auto"/>
            </w:tcBorders>
            <w:vAlign w:val="bottom"/>
            <w:hideMark/>
          </w:tcPr>
          <w:p w:rsidR="00ED43E1" w:rsidRPr="006C1982" w:rsidP="00ED43E1" w14:paraId="26BAEC81" w14:textId="77777777">
            <w:pPr>
              <w:rPr>
                <w:rFonts w:cs="Arial"/>
                <w:color w:val="000000"/>
                <w:sz w:val="18"/>
                <w:szCs w:val="18"/>
              </w:rPr>
            </w:pPr>
            <w:r w:rsidRPr="006C1982">
              <w:rPr>
                <w:rFonts w:cs="Arial"/>
                <w:color w:val="000000"/>
                <w:sz w:val="18"/>
                <w:szCs w:val="18"/>
              </w:rPr>
              <w:t>NRC Form 398</w:t>
            </w:r>
          </w:p>
        </w:tc>
        <w:tc>
          <w:tcPr>
            <w:tcW w:w="1530" w:type="dxa"/>
            <w:tcBorders>
              <w:top w:val="nil"/>
              <w:left w:val="nil"/>
              <w:bottom w:val="single" w:sz="4" w:space="0" w:color="auto"/>
              <w:right w:val="single" w:sz="4" w:space="0" w:color="auto"/>
            </w:tcBorders>
            <w:vAlign w:val="bottom"/>
            <w:hideMark/>
          </w:tcPr>
          <w:p w:rsidR="00ED43E1" w:rsidRPr="006C1982" w:rsidP="005B7280" w14:paraId="6C0FD4BF" w14:textId="69883CC7">
            <w:pPr>
              <w:jc w:val="right"/>
              <w:rPr>
                <w:rFonts w:cs="Arial"/>
                <w:color w:val="000000"/>
                <w:sz w:val="18"/>
                <w:szCs w:val="18"/>
              </w:rPr>
            </w:pPr>
            <w:r w:rsidRPr="006C1982">
              <w:rPr>
                <w:rFonts w:cs="Arial"/>
                <w:color w:val="000000"/>
                <w:sz w:val="18"/>
                <w:szCs w:val="18"/>
              </w:rPr>
              <w:t xml:space="preserve">  </w:t>
            </w:r>
            <w:r>
              <w:rPr>
                <w:rFonts w:cs="Arial"/>
                <w:color w:val="000000"/>
                <w:sz w:val="18"/>
                <w:szCs w:val="18"/>
              </w:rPr>
              <w:t>402.0</w:t>
            </w:r>
            <w:r w:rsidRPr="006C1982">
              <w:rPr>
                <w:rFonts w:cs="Arial"/>
                <w:color w:val="000000"/>
                <w:sz w:val="18"/>
                <w:szCs w:val="18"/>
              </w:rPr>
              <w:t xml:space="preserve"> </w:t>
            </w:r>
          </w:p>
        </w:tc>
        <w:tc>
          <w:tcPr>
            <w:tcW w:w="1530" w:type="dxa"/>
            <w:tcBorders>
              <w:top w:val="nil"/>
              <w:left w:val="nil"/>
              <w:bottom w:val="single" w:sz="4" w:space="0" w:color="auto"/>
              <w:right w:val="single" w:sz="4" w:space="0" w:color="auto"/>
            </w:tcBorders>
            <w:vAlign w:val="bottom"/>
            <w:hideMark/>
          </w:tcPr>
          <w:p w:rsidR="00ED43E1" w:rsidRPr="006C1982" w:rsidP="008C10A8" w14:paraId="366192F5" w14:textId="79BA9378">
            <w:pPr>
              <w:jc w:val="center"/>
              <w:rPr>
                <w:rFonts w:cs="Arial"/>
                <w:color w:val="000000"/>
                <w:sz w:val="18"/>
                <w:szCs w:val="18"/>
              </w:rPr>
            </w:pPr>
            <w:r w:rsidRPr="006C1982">
              <w:rPr>
                <w:rFonts w:cs="Arial"/>
                <w:color w:val="000000"/>
                <w:sz w:val="18"/>
                <w:szCs w:val="18"/>
              </w:rPr>
              <w:t>1.0</w:t>
            </w:r>
          </w:p>
        </w:tc>
        <w:tc>
          <w:tcPr>
            <w:tcW w:w="1620" w:type="dxa"/>
            <w:tcBorders>
              <w:top w:val="nil"/>
              <w:left w:val="nil"/>
              <w:bottom w:val="single" w:sz="4" w:space="0" w:color="auto"/>
              <w:right w:val="single" w:sz="4" w:space="0" w:color="auto"/>
            </w:tcBorders>
            <w:vAlign w:val="bottom"/>
            <w:hideMark/>
          </w:tcPr>
          <w:p w:rsidR="00ED43E1" w:rsidRPr="006C1982" w:rsidP="005B7280" w14:paraId="584F8650" w14:textId="2A90840C">
            <w:pPr>
              <w:jc w:val="right"/>
              <w:rPr>
                <w:rFonts w:cs="Arial"/>
                <w:color w:val="000000"/>
                <w:sz w:val="18"/>
                <w:szCs w:val="18"/>
              </w:rPr>
            </w:pPr>
            <w:r w:rsidRPr="006C1982">
              <w:rPr>
                <w:rFonts w:cs="Arial"/>
                <w:color w:val="000000"/>
                <w:sz w:val="18"/>
                <w:szCs w:val="18"/>
              </w:rPr>
              <w:t xml:space="preserve">  </w:t>
            </w:r>
            <w:r>
              <w:rPr>
                <w:rFonts w:cs="Arial"/>
                <w:color w:val="000000"/>
                <w:sz w:val="18"/>
                <w:szCs w:val="18"/>
              </w:rPr>
              <w:t>402.0</w:t>
            </w:r>
            <w:r w:rsidRPr="006C1982">
              <w:rPr>
                <w:rFonts w:cs="Arial"/>
                <w:color w:val="000000"/>
                <w:sz w:val="18"/>
                <w:szCs w:val="18"/>
              </w:rPr>
              <w:t xml:space="preserve"> </w:t>
            </w:r>
          </w:p>
        </w:tc>
        <w:tc>
          <w:tcPr>
            <w:tcW w:w="1440" w:type="dxa"/>
            <w:tcBorders>
              <w:top w:val="nil"/>
              <w:left w:val="nil"/>
              <w:bottom w:val="single" w:sz="4" w:space="0" w:color="auto"/>
              <w:right w:val="single" w:sz="4" w:space="0" w:color="auto"/>
            </w:tcBorders>
            <w:vAlign w:val="bottom"/>
            <w:hideMark/>
          </w:tcPr>
          <w:p w:rsidR="00ED43E1" w:rsidRPr="006C1982" w:rsidP="008C10A8" w14:paraId="7DE08593" w14:textId="0A85D2DC">
            <w:pPr>
              <w:jc w:val="center"/>
              <w:rPr>
                <w:rFonts w:cs="Arial"/>
                <w:color w:val="000000"/>
                <w:sz w:val="18"/>
                <w:szCs w:val="18"/>
              </w:rPr>
            </w:pPr>
            <w:r w:rsidRPr="006C1982">
              <w:rPr>
                <w:rFonts w:cs="Arial"/>
                <w:color w:val="000000"/>
                <w:sz w:val="18"/>
                <w:szCs w:val="18"/>
              </w:rPr>
              <w:t>2.5</w:t>
            </w:r>
          </w:p>
        </w:tc>
        <w:tc>
          <w:tcPr>
            <w:tcW w:w="1620" w:type="dxa"/>
            <w:tcBorders>
              <w:top w:val="nil"/>
              <w:left w:val="nil"/>
              <w:bottom w:val="single" w:sz="4" w:space="0" w:color="auto"/>
              <w:right w:val="single" w:sz="4" w:space="0" w:color="auto"/>
            </w:tcBorders>
            <w:vAlign w:val="bottom"/>
            <w:hideMark/>
          </w:tcPr>
          <w:p w:rsidR="00ED43E1" w:rsidRPr="006C1982" w:rsidP="00000861" w14:paraId="2971426D" w14:textId="05268D77">
            <w:pPr>
              <w:jc w:val="right"/>
              <w:rPr>
                <w:rFonts w:cs="Arial"/>
                <w:color w:val="000000"/>
                <w:sz w:val="18"/>
                <w:szCs w:val="18"/>
              </w:rPr>
            </w:pPr>
            <w:r w:rsidRPr="006C1982">
              <w:rPr>
                <w:rFonts w:cs="Arial"/>
                <w:color w:val="000000"/>
                <w:sz w:val="18"/>
                <w:szCs w:val="18"/>
              </w:rPr>
              <w:t xml:space="preserve">  </w:t>
            </w:r>
            <w:r>
              <w:rPr>
                <w:rFonts w:cs="Arial"/>
                <w:color w:val="000000"/>
                <w:sz w:val="18"/>
                <w:szCs w:val="18"/>
              </w:rPr>
              <w:t>1,005.0</w:t>
            </w:r>
          </w:p>
        </w:tc>
        <w:tc>
          <w:tcPr>
            <w:tcW w:w="1800" w:type="dxa"/>
            <w:tcBorders>
              <w:top w:val="nil"/>
              <w:left w:val="nil"/>
              <w:bottom w:val="single" w:sz="4" w:space="0" w:color="auto"/>
              <w:right w:val="single" w:sz="4" w:space="0" w:color="auto"/>
            </w:tcBorders>
            <w:vAlign w:val="bottom"/>
            <w:hideMark/>
          </w:tcPr>
          <w:p w:rsidR="00ED43E1" w:rsidRPr="006C1982" w:rsidP="00000861" w14:paraId="790E2A55" w14:textId="67847755">
            <w:pPr>
              <w:jc w:val="right"/>
              <w:rPr>
                <w:rFonts w:cs="Arial"/>
                <w:color w:val="000000"/>
                <w:sz w:val="18"/>
                <w:szCs w:val="18"/>
              </w:rPr>
            </w:pPr>
            <w:r w:rsidRPr="006C1982">
              <w:rPr>
                <w:rFonts w:cs="Arial"/>
                <w:color w:val="000000"/>
                <w:sz w:val="18"/>
                <w:szCs w:val="18"/>
              </w:rPr>
              <w:t xml:space="preserve"> $ </w:t>
            </w:r>
            <w:r>
              <w:rPr>
                <w:rFonts w:cs="Arial"/>
                <w:color w:val="000000"/>
                <w:sz w:val="18"/>
                <w:szCs w:val="18"/>
              </w:rPr>
              <w:t>318,585</w:t>
            </w:r>
          </w:p>
        </w:tc>
      </w:tr>
      <w:tr w14:paraId="26699172" w14:textId="77777777" w:rsidTr="00C91E5A">
        <w:tblPrEx>
          <w:tblW w:w="14035" w:type="dxa"/>
          <w:tblLook w:val="04A0"/>
        </w:tblPrEx>
        <w:trPr>
          <w:trHeight w:val="285"/>
        </w:trPr>
        <w:tc>
          <w:tcPr>
            <w:tcW w:w="2605" w:type="dxa"/>
            <w:tcBorders>
              <w:top w:val="nil"/>
              <w:left w:val="single" w:sz="4" w:space="0" w:color="auto"/>
              <w:bottom w:val="single" w:sz="4" w:space="0" w:color="auto"/>
              <w:right w:val="single" w:sz="4" w:space="0" w:color="auto"/>
            </w:tcBorders>
            <w:vAlign w:val="bottom"/>
            <w:hideMark/>
          </w:tcPr>
          <w:p w:rsidR="00ED43E1" w:rsidRPr="006C1982" w:rsidP="00ED43E1" w14:paraId="1C67BCA7" w14:textId="77777777">
            <w:pPr>
              <w:rPr>
                <w:rFonts w:cs="Arial"/>
                <w:color w:val="000000"/>
                <w:sz w:val="18"/>
                <w:szCs w:val="18"/>
              </w:rPr>
            </w:pPr>
            <w:r w:rsidRPr="006C1982">
              <w:rPr>
                <w:rFonts w:cs="Arial"/>
                <w:color w:val="000000"/>
                <w:sz w:val="18"/>
                <w:szCs w:val="18"/>
              </w:rPr>
              <w:t>Applicants - re-applied</w:t>
            </w:r>
          </w:p>
        </w:tc>
        <w:tc>
          <w:tcPr>
            <w:tcW w:w="1890" w:type="dxa"/>
            <w:tcBorders>
              <w:top w:val="nil"/>
              <w:left w:val="nil"/>
              <w:bottom w:val="single" w:sz="4" w:space="0" w:color="auto"/>
              <w:right w:val="single" w:sz="4" w:space="0" w:color="auto"/>
            </w:tcBorders>
            <w:vAlign w:val="bottom"/>
            <w:hideMark/>
          </w:tcPr>
          <w:p w:rsidR="00ED43E1" w:rsidRPr="006C1982" w:rsidP="00ED43E1" w14:paraId="52BD0CF6" w14:textId="77777777">
            <w:pPr>
              <w:rPr>
                <w:rFonts w:cs="Arial"/>
                <w:color w:val="000000"/>
                <w:sz w:val="18"/>
                <w:szCs w:val="18"/>
              </w:rPr>
            </w:pPr>
            <w:r w:rsidRPr="006C1982">
              <w:rPr>
                <w:rFonts w:cs="Arial"/>
                <w:color w:val="000000"/>
                <w:sz w:val="18"/>
                <w:szCs w:val="18"/>
              </w:rPr>
              <w:t>NRC Form 398</w:t>
            </w:r>
          </w:p>
        </w:tc>
        <w:tc>
          <w:tcPr>
            <w:tcW w:w="1530" w:type="dxa"/>
            <w:tcBorders>
              <w:top w:val="nil"/>
              <w:left w:val="nil"/>
              <w:bottom w:val="single" w:sz="4" w:space="0" w:color="auto"/>
              <w:right w:val="single" w:sz="4" w:space="0" w:color="auto"/>
            </w:tcBorders>
            <w:vAlign w:val="bottom"/>
            <w:hideMark/>
          </w:tcPr>
          <w:p w:rsidR="00ED43E1" w:rsidRPr="006C1982" w:rsidP="005B7280" w14:paraId="39A71F58" w14:textId="330DBE30">
            <w:pPr>
              <w:jc w:val="right"/>
              <w:rPr>
                <w:rFonts w:cs="Arial"/>
                <w:color w:val="000000"/>
                <w:sz w:val="18"/>
                <w:szCs w:val="18"/>
              </w:rPr>
            </w:pPr>
            <w:r w:rsidRPr="006C1982">
              <w:rPr>
                <w:rFonts w:cs="Arial"/>
                <w:color w:val="000000"/>
                <w:sz w:val="18"/>
                <w:szCs w:val="18"/>
              </w:rPr>
              <w:t xml:space="preserve">  </w:t>
            </w:r>
            <w:r>
              <w:rPr>
                <w:rFonts w:cs="Arial"/>
                <w:color w:val="000000"/>
                <w:sz w:val="18"/>
                <w:szCs w:val="18"/>
              </w:rPr>
              <w:t>6.0</w:t>
            </w:r>
            <w:r w:rsidRPr="006C1982">
              <w:rPr>
                <w:rFonts w:cs="Arial"/>
                <w:color w:val="000000"/>
                <w:sz w:val="18"/>
                <w:szCs w:val="18"/>
              </w:rPr>
              <w:t xml:space="preserve"> </w:t>
            </w:r>
          </w:p>
        </w:tc>
        <w:tc>
          <w:tcPr>
            <w:tcW w:w="1530" w:type="dxa"/>
            <w:tcBorders>
              <w:top w:val="nil"/>
              <w:left w:val="nil"/>
              <w:bottom w:val="single" w:sz="4" w:space="0" w:color="auto"/>
              <w:right w:val="single" w:sz="4" w:space="0" w:color="auto"/>
            </w:tcBorders>
            <w:vAlign w:val="bottom"/>
            <w:hideMark/>
          </w:tcPr>
          <w:p w:rsidR="00ED43E1" w:rsidRPr="006C1982" w:rsidP="008C10A8" w14:paraId="5B6A54F9" w14:textId="0E9BD34F">
            <w:pPr>
              <w:jc w:val="center"/>
              <w:rPr>
                <w:rFonts w:cs="Arial"/>
                <w:color w:val="000000"/>
                <w:sz w:val="18"/>
                <w:szCs w:val="18"/>
              </w:rPr>
            </w:pPr>
            <w:r w:rsidRPr="006C1982">
              <w:rPr>
                <w:rFonts w:cs="Arial"/>
                <w:color w:val="000000"/>
                <w:sz w:val="18"/>
                <w:szCs w:val="18"/>
              </w:rPr>
              <w:t>1.0</w:t>
            </w:r>
          </w:p>
        </w:tc>
        <w:tc>
          <w:tcPr>
            <w:tcW w:w="1620" w:type="dxa"/>
            <w:tcBorders>
              <w:top w:val="nil"/>
              <w:left w:val="nil"/>
              <w:bottom w:val="single" w:sz="4" w:space="0" w:color="auto"/>
              <w:right w:val="single" w:sz="4" w:space="0" w:color="auto"/>
            </w:tcBorders>
            <w:vAlign w:val="bottom"/>
            <w:hideMark/>
          </w:tcPr>
          <w:p w:rsidR="00ED43E1" w:rsidRPr="006C1982" w:rsidP="005B7280" w14:paraId="194AC4C7" w14:textId="3145F481">
            <w:pPr>
              <w:jc w:val="right"/>
              <w:rPr>
                <w:rFonts w:cs="Arial"/>
                <w:color w:val="000000"/>
                <w:sz w:val="18"/>
                <w:szCs w:val="18"/>
              </w:rPr>
            </w:pPr>
            <w:r w:rsidRPr="006C1982">
              <w:rPr>
                <w:rFonts w:cs="Arial"/>
                <w:color w:val="000000"/>
                <w:sz w:val="18"/>
                <w:szCs w:val="18"/>
              </w:rPr>
              <w:t xml:space="preserve">  </w:t>
            </w:r>
            <w:r>
              <w:rPr>
                <w:rFonts w:cs="Arial"/>
                <w:color w:val="000000"/>
                <w:sz w:val="18"/>
                <w:szCs w:val="18"/>
              </w:rPr>
              <w:t>6.0</w:t>
            </w:r>
            <w:r w:rsidRPr="006C1982">
              <w:rPr>
                <w:rFonts w:cs="Arial"/>
                <w:color w:val="000000"/>
                <w:sz w:val="18"/>
                <w:szCs w:val="18"/>
              </w:rPr>
              <w:t xml:space="preserve"> </w:t>
            </w:r>
          </w:p>
        </w:tc>
        <w:tc>
          <w:tcPr>
            <w:tcW w:w="1440" w:type="dxa"/>
            <w:tcBorders>
              <w:top w:val="nil"/>
              <w:left w:val="nil"/>
              <w:bottom w:val="single" w:sz="4" w:space="0" w:color="auto"/>
              <w:right w:val="single" w:sz="4" w:space="0" w:color="auto"/>
            </w:tcBorders>
            <w:vAlign w:val="bottom"/>
            <w:hideMark/>
          </w:tcPr>
          <w:p w:rsidR="00ED43E1" w:rsidRPr="006C1982" w:rsidP="008C10A8" w14:paraId="646BC47B" w14:textId="01B21EE4">
            <w:pPr>
              <w:jc w:val="center"/>
              <w:rPr>
                <w:rFonts w:cs="Arial"/>
                <w:color w:val="000000"/>
                <w:sz w:val="18"/>
                <w:szCs w:val="18"/>
              </w:rPr>
            </w:pPr>
            <w:r w:rsidRPr="006C1982">
              <w:rPr>
                <w:rFonts w:cs="Arial"/>
                <w:color w:val="000000"/>
                <w:sz w:val="18"/>
                <w:szCs w:val="18"/>
              </w:rPr>
              <w:t>2.5</w:t>
            </w:r>
          </w:p>
        </w:tc>
        <w:tc>
          <w:tcPr>
            <w:tcW w:w="1620" w:type="dxa"/>
            <w:tcBorders>
              <w:top w:val="nil"/>
              <w:left w:val="nil"/>
              <w:bottom w:val="single" w:sz="4" w:space="0" w:color="auto"/>
              <w:right w:val="single" w:sz="4" w:space="0" w:color="auto"/>
            </w:tcBorders>
            <w:vAlign w:val="bottom"/>
            <w:hideMark/>
          </w:tcPr>
          <w:p w:rsidR="00ED43E1" w:rsidRPr="006C1982" w:rsidP="00000861" w14:paraId="155D99BF" w14:textId="63C1D420">
            <w:pPr>
              <w:jc w:val="right"/>
              <w:rPr>
                <w:rFonts w:cs="Arial"/>
                <w:color w:val="000000"/>
                <w:sz w:val="18"/>
                <w:szCs w:val="18"/>
              </w:rPr>
            </w:pPr>
            <w:r w:rsidRPr="006C1982">
              <w:rPr>
                <w:rFonts w:cs="Arial"/>
                <w:color w:val="000000"/>
                <w:sz w:val="18"/>
                <w:szCs w:val="18"/>
              </w:rPr>
              <w:t xml:space="preserve">  </w:t>
            </w:r>
            <w:r>
              <w:rPr>
                <w:rFonts w:cs="Arial"/>
                <w:color w:val="000000"/>
                <w:sz w:val="18"/>
                <w:szCs w:val="18"/>
              </w:rPr>
              <w:t>15.0</w:t>
            </w:r>
          </w:p>
        </w:tc>
        <w:tc>
          <w:tcPr>
            <w:tcW w:w="1800" w:type="dxa"/>
            <w:tcBorders>
              <w:top w:val="nil"/>
              <w:left w:val="nil"/>
              <w:bottom w:val="single" w:sz="4" w:space="0" w:color="auto"/>
              <w:right w:val="single" w:sz="4" w:space="0" w:color="auto"/>
            </w:tcBorders>
            <w:vAlign w:val="bottom"/>
            <w:hideMark/>
          </w:tcPr>
          <w:p w:rsidR="00ED43E1" w:rsidRPr="006C1982" w:rsidP="00000861" w14:paraId="42DFFFEA" w14:textId="179D9CD6">
            <w:pPr>
              <w:jc w:val="right"/>
              <w:rPr>
                <w:rFonts w:cs="Arial"/>
                <w:color w:val="000000"/>
                <w:sz w:val="18"/>
                <w:szCs w:val="18"/>
              </w:rPr>
            </w:pPr>
            <w:r w:rsidRPr="006C1982">
              <w:rPr>
                <w:rFonts w:cs="Arial"/>
                <w:color w:val="000000"/>
                <w:sz w:val="18"/>
                <w:szCs w:val="18"/>
              </w:rPr>
              <w:t xml:space="preserve"> $ </w:t>
            </w:r>
            <w:r>
              <w:rPr>
                <w:rFonts w:cs="Arial"/>
                <w:color w:val="000000"/>
                <w:sz w:val="18"/>
                <w:szCs w:val="18"/>
              </w:rPr>
              <w:t>4,755</w:t>
            </w:r>
          </w:p>
        </w:tc>
      </w:tr>
      <w:tr w14:paraId="212AC674" w14:textId="77777777" w:rsidTr="00C91E5A">
        <w:tblPrEx>
          <w:tblW w:w="14035" w:type="dxa"/>
          <w:tblLook w:val="04A0"/>
        </w:tblPrEx>
        <w:trPr>
          <w:trHeight w:val="300"/>
        </w:trPr>
        <w:tc>
          <w:tcPr>
            <w:tcW w:w="2605" w:type="dxa"/>
            <w:tcBorders>
              <w:top w:val="nil"/>
              <w:left w:val="single" w:sz="4" w:space="0" w:color="auto"/>
              <w:bottom w:val="single" w:sz="4" w:space="0" w:color="auto"/>
              <w:right w:val="single" w:sz="4" w:space="0" w:color="auto"/>
            </w:tcBorders>
            <w:vAlign w:val="bottom"/>
            <w:hideMark/>
          </w:tcPr>
          <w:p w:rsidR="00C91E5A" w:rsidRPr="006C1982" w:rsidP="006C1982" w14:paraId="3AFD894C" w14:textId="77777777">
            <w:pPr>
              <w:rPr>
                <w:rFonts w:cs="Arial"/>
                <w:b/>
                <w:bCs/>
                <w:color w:val="000000"/>
                <w:sz w:val="18"/>
                <w:szCs w:val="18"/>
              </w:rPr>
            </w:pPr>
            <w:r w:rsidRPr="006C1982">
              <w:rPr>
                <w:rFonts w:cs="Arial"/>
                <w:b/>
                <w:bCs/>
                <w:color w:val="000000"/>
                <w:sz w:val="18"/>
                <w:szCs w:val="18"/>
              </w:rPr>
              <w:t>TOTAL</w:t>
            </w:r>
          </w:p>
        </w:tc>
        <w:tc>
          <w:tcPr>
            <w:tcW w:w="1890" w:type="dxa"/>
            <w:tcBorders>
              <w:top w:val="nil"/>
              <w:left w:val="nil"/>
              <w:bottom w:val="single" w:sz="4" w:space="0" w:color="auto"/>
              <w:right w:val="single" w:sz="4" w:space="0" w:color="auto"/>
            </w:tcBorders>
            <w:vAlign w:val="bottom"/>
            <w:hideMark/>
          </w:tcPr>
          <w:p w:rsidR="00C91E5A" w:rsidRPr="006C1982" w:rsidP="006C1982" w14:paraId="2B88FC02" w14:textId="77777777">
            <w:pPr>
              <w:rPr>
                <w:rFonts w:cs="Arial"/>
                <w:b/>
                <w:bCs/>
                <w:color w:val="000000"/>
                <w:sz w:val="18"/>
                <w:szCs w:val="18"/>
              </w:rPr>
            </w:pPr>
            <w:r w:rsidRPr="006C1982">
              <w:rPr>
                <w:rFonts w:cs="Arial"/>
                <w:b/>
                <w:bCs/>
                <w:color w:val="000000"/>
                <w:sz w:val="18"/>
                <w:szCs w:val="18"/>
              </w:rPr>
              <w:t> </w:t>
            </w:r>
          </w:p>
        </w:tc>
        <w:tc>
          <w:tcPr>
            <w:tcW w:w="1530" w:type="dxa"/>
            <w:tcBorders>
              <w:top w:val="nil"/>
              <w:left w:val="nil"/>
              <w:bottom w:val="single" w:sz="4" w:space="0" w:color="auto"/>
              <w:right w:val="single" w:sz="4" w:space="0" w:color="auto"/>
            </w:tcBorders>
            <w:vAlign w:val="bottom"/>
            <w:hideMark/>
          </w:tcPr>
          <w:p w:rsidR="00C91E5A" w:rsidRPr="006C1982" w:rsidP="006C1982" w14:paraId="41389292" w14:textId="2D199A75">
            <w:pPr>
              <w:rPr>
                <w:rFonts w:cs="Arial"/>
                <w:b/>
                <w:bCs/>
                <w:color w:val="000000"/>
                <w:sz w:val="18"/>
                <w:szCs w:val="18"/>
              </w:rPr>
            </w:pPr>
            <w:r w:rsidRPr="006C1982">
              <w:rPr>
                <w:rFonts w:cs="Arial"/>
                <w:b/>
                <w:bCs/>
                <w:color w:val="000000"/>
                <w:sz w:val="18"/>
                <w:szCs w:val="18"/>
              </w:rPr>
              <w:t> </w:t>
            </w:r>
          </w:p>
        </w:tc>
        <w:tc>
          <w:tcPr>
            <w:tcW w:w="1530" w:type="dxa"/>
            <w:tcBorders>
              <w:top w:val="nil"/>
              <w:left w:val="nil"/>
              <w:bottom w:val="single" w:sz="4" w:space="0" w:color="auto"/>
              <w:right w:val="single" w:sz="4" w:space="0" w:color="auto"/>
            </w:tcBorders>
            <w:vAlign w:val="bottom"/>
            <w:hideMark/>
          </w:tcPr>
          <w:p w:rsidR="00C91E5A" w:rsidRPr="006C1982" w:rsidP="006C1982" w14:paraId="325BCD92" w14:textId="77777777">
            <w:pPr>
              <w:rPr>
                <w:rFonts w:cs="Arial"/>
                <w:b/>
                <w:bCs/>
                <w:color w:val="000000"/>
                <w:sz w:val="18"/>
                <w:szCs w:val="18"/>
              </w:rPr>
            </w:pPr>
            <w:r w:rsidRPr="006C1982">
              <w:rPr>
                <w:rFonts w:cs="Arial"/>
                <w:b/>
                <w:bCs/>
                <w:color w:val="000000"/>
                <w:sz w:val="18"/>
                <w:szCs w:val="18"/>
              </w:rPr>
              <w:t> </w:t>
            </w:r>
          </w:p>
        </w:tc>
        <w:tc>
          <w:tcPr>
            <w:tcW w:w="1620" w:type="dxa"/>
            <w:tcBorders>
              <w:top w:val="nil"/>
              <w:left w:val="nil"/>
              <w:bottom w:val="single" w:sz="4" w:space="0" w:color="auto"/>
              <w:right w:val="single" w:sz="4" w:space="0" w:color="auto"/>
            </w:tcBorders>
            <w:vAlign w:val="bottom"/>
            <w:hideMark/>
          </w:tcPr>
          <w:p w:rsidR="00C91E5A" w:rsidRPr="006C1982" w:rsidP="005B7280" w14:paraId="06EA2E6A" w14:textId="1DF3B29C">
            <w:pPr>
              <w:jc w:val="right"/>
              <w:rPr>
                <w:rFonts w:cs="Arial"/>
                <w:b/>
                <w:bCs/>
                <w:color w:val="000000"/>
                <w:sz w:val="18"/>
                <w:szCs w:val="18"/>
              </w:rPr>
            </w:pPr>
            <w:r w:rsidRPr="006C1982">
              <w:rPr>
                <w:rFonts w:cs="Arial"/>
                <w:b/>
                <w:bCs/>
                <w:color w:val="000000"/>
                <w:sz w:val="18"/>
                <w:szCs w:val="18"/>
              </w:rPr>
              <w:t xml:space="preserve">  1,0</w:t>
            </w:r>
            <w:r w:rsidR="00AE2B5F">
              <w:rPr>
                <w:rFonts w:cs="Arial"/>
                <w:b/>
                <w:bCs/>
                <w:color w:val="000000"/>
                <w:sz w:val="18"/>
                <w:szCs w:val="18"/>
              </w:rPr>
              <w:t>62</w:t>
            </w:r>
            <w:r w:rsidRPr="006C1982">
              <w:rPr>
                <w:rFonts w:cs="Arial"/>
                <w:b/>
                <w:bCs/>
                <w:color w:val="000000"/>
                <w:sz w:val="18"/>
                <w:szCs w:val="18"/>
              </w:rPr>
              <w:t xml:space="preserve">.0 </w:t>
            </w:r>
          </w:p>
        </w:tc>
        <w:tc>
          <w:tcPr>
            <w:tcW w:w="1440" w:type="dxa"/>
            <w:tcBorders>
              <w:top w:val="nil"/>
              <w:left w:val="nil"/>
              <w:bottom w:val="single" w:sz="4" w:space="0" w:color="auto"/>
              <w:right w:val="single" w:sz="4" w:space="0" w:color="auto"/>
            </w:tcBorders>
            <w:vAlign w:val="bottom"/>
            <w:hideMark/>
          </w:tcPr>
          <w:p w:rsidR="00C91E5A" w:rsidRPr="006C1982" w:rsidP="006C1982" w14:paraId="610339D9" w14:textId="77777777">
            <w:pPr>
              <w:rPr>
                <w:rFonts w:cs="Arial"/>
                <w:b/>
                <w:bCs/>
                <w:color w:val="000000"/>
                <w:sz w:val="18"/>
                <w:szCs w:val="18"/>
              </w:rPr>
            </w:pPr>
            <w:r w:rsidRPr="006C1982">
              <w:rPr>
                <w:rFonts w:cs="Arial"/>
                <w:b/>
                <w:bCs/>
                <w:color w:val="000000"/>
                <w:sz w:val="18"/>
                <w:szCs w:val="18"/>
              </w:rPr>
              <w:t> </w:t>
            </w:r>
          </w:p>
        </w:tc>
        <w:tc>
          <w:tcPr>
            <w:tcW w:w="1620" w:type="dxa"/>
            <w:tcBorders>
              <w:top w:val="nil"/>
              <w:left w:val="nil"/>
              <w:bottom w:val="single" w:sz="4" w:space="0" w:color="auto"/>
              <w:right w:val="single" w:sz="4" w:space="0" w:color="auto"/>
            </w:tcBorders>
            <w:vAlign w:val="bottom"/>
            <w:hideMark/>
          </w:tcPr>
          <w:p w:rsidR="00C91E5A" w:rsidRPr="006C1982" w:rsidP="00000861" w14:paraId="53CF3384" w14:textId="2917BC20">
            <w:pPr>
              <w:jc w:val="right"/>
              <w:rPr>
                <w:rFonts w:cs="Arial"/>
                <w:b/>
                <w:bCs/>
                <w:color w:val="000000"/>
                <w:sz w:val="18"/>
                <w:szCs w:val="18"/>
              </w:rPr>
            </w:pPr>
            <w:r w:rsidRPr="006C1982">
              <w:rPr>
                <w:rFonts w:cs="Arial"/>
                <w:b/>
                <w:bCs/>
                <w:color w:val="000000"/>
                <w:sz w:val="18"/>
                <w:szCs w:val="18"/>
              </w:rPr>
              <w:t xml:space="preserve">  5,</w:t>
            </w:r>
            <w:r w:rsidR="00AE2B5F">
              <w:rPr>
                <w:rFonts w:cs="Arial"/>
                <w:b/>
                <w:bCs/>
                <w:color w:val="000000"/>
                <w:sz w:val="18"/>
                <w:szCs w:val="18"/>
              </w:rPr>
              <w:t>613</w:t>
            </w:r>
            <w:r w:rsidRPr="006C1982">
              <w:rPr>
                <w:rFonts w:cs="Arial"/>
                <w:b/>
                <w:bCs/>
                <w:color w:val="000000"/>
                <w:sz w:val="18"/>
                <w:szCs w:val="18"/>
              </w:rPr>
              <w:t xml:space="preserve">.0 </w:t>
            </w:r>
          </w:p>
        </w:tc>
        <w:tc>
          <w:tcPr>
            <w:tcW w:w="1800" w:type="dxa"/>
            <w:tcBorders>
              <w:top w:val="nil"/>
              <w:left w:val="nil"/>
              <w:bottom w:val="single" w:sz="4" w:space="0" w:color="auto"/>
              <w:right w:val="single" w:sz="4" w:space="0" w:color="auto"/>
            </w:tcBorders>
            <w:vAlign w:val="bottom"/>
            <w:hideMark/>
          </w:tcPr>
          <w:p w:rsidR="00C91E5A" w:rsidRPr="006C1982" w:rsidP="00000861" w14:paraId="4EF82831" w14:textId="111F2621">
            <w:pPr>
              <w:jc w:val="right"/>
              <w:rPr>
                <w:rFonts w:cs="Arial"/>
                <w:color w:val="000000"/>
                <w:sz w:val="18"/>
                <w:szCs w:val="18"/>
              </w:rPr>
            </w:pPr>
            <w:r w:rsidRPr="006C1982">
              <w:rPr>
                <w:rFonts w:cs="Arial"/>
                <w:color w:val="000000"/>
                <w:sz w:val="18"/>
                <w:szCs w:val="18"/>
              </w:rPr>
              <w:t xml:space="preserve"> $</w:t>
            </w:r>
            <w:r w:rsidR="00794490">
              <w:rPr>
                <w:rFonts w:cs="Arial"/>
                <w:color w:val="000000"/>
                <w:sz w:val="18"/>
                <w:szCs w:val="18"/>
              </w:rPr>
              <w:t>1,</w:t>
            </w:r>
            <w:r w:rsidR="00ED43E1">
              <w:rPr>
                <w:rFonts w:cs="Arial"/>
                <w:color w:val="000000"/>
                <w:sz w:val="18"/>
                <w:szCs w:val="18"/>
              </w:rPr>
              <w:t>779,321</w:t>
            </w:r>
          </w:p>
        </w:tc>
      </w:tr>
    </w:tbl>
    <w:p w:rsidR="002664CB" w:rsidRPr="00FA06B8" w:rsidP="00E356C1" w14:paraId="010C2424" w14:textId="77777777"/>
    <w:sectPr w:rsidSect="00C91E5A">
      <w:pgSz w:w="15840" w:h="12240" w:orient="landscape" w:code="1"/>
      <w:pgMar w:top="720" w:right="720" w:bottom="720" w:left="720" w:header="432" w:footer="1440" w:gutter="0"/>
      <w:pgNumType w:fmt="numberInDash"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AA6" w14:paraId="397646BB" w14:textId="796A426A">
    <w:pPr>
      <w:pStyle w:val="Footer"/>
      <w:jc w:val="center"/>
    </w:pPr>
  </w:p>
  <w:p w:rsidR="00007AA6" w:rsidP="003F648B" w14:paraId="0984484E"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1EA" w14:paraId="1DE2BA47" w14:textId="77D9CBBE">
    <w:pPr>
      <w:pStyle w:val="Footer"/>
      <w:jc w:val="center"/>
    </w:pPr>
  </w:p>
  <w:p w:rsidR="005F41EA" w14:paraId="5DED48A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A7C85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FD4A09"/>
    <w:multiLevelType w:val="hybridMultilevel"/>
    <w:tmpl w:val="119259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D306CA3"/>
    <w:multiLevelType w:val="hybridMultilevel"/>
    <w:tmpl w:val="918A076C"/>
    <w:lvl w:ilvl="0">
      <w:start w:val="1"/>
      <w:numFmt w:val="decimal"/>
      <w:lvlText w:val="%1."/>
      <w:lvlJc w:val="left"/>
      <w:pPr>
        <w:ind w:left="1440" w:hanging="720"/>
      </w:pPr>
      <w:rPr>
        <w:rFonts w:hint="default"/>
        <w:u w:val="no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DE17DCD"/>
    <w:multiLevelType w:val="hybridMultilevel"/>
    <w:tmpl w:val="9E78FD14"/>
    <w:lvl w:ilvl="0">
      <w:start w:val="1"/>
      <w:numFmt w:val="decimal"/>
      <w:lvlText w:val="%1."/>
      <w:lvlJc w:val="left"/>
      <w:pPr>
        <w:ind w:left="78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E81771E"/>
    <w:multiLevelType w:val="hybridMultilevel"/>
    <w:tmpl w:val="31866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DA732F"/>
    <w:multiLevelType w:val="hybridMultilevel"/>
    <w:tmpl w:val="4C8E69D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28627157"/>
    <w:multiLevelType w:val="hybridMultilevel"/>
    <w:tmpl w:val="B1489592"/>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u w:val="no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53A30CC"/>
    <w:multiLevelType w:val="hybridMultilevel"/>
    <w:tmpl w:val="733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8034C5"/>
    <w:multiLevelType w:val="hybridMultilevel"/>
    <w:tmpl w:val="4BEE5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E0F4AED"/>
    <w:multiLevelType w:val="hybridMultilevel"/>
    <w:tmpl w:val="E51C0C02"/>
    <w:lvl w:ilvl="0">
      <w:start w:val="1"/>
      <w:numFmt w:val="upperLetter"/>
      <w:lvlText w:val="%1."/>
      <w:lvlJc w:val="left"/>
      <w:pPr>
        <w:tabs>
          <w:tab w:val="num" w:pos="861"/>
        </w:tabs>
        <w:ind w:left="861" w:hanging="690"/>
      </w:pPr>
      <w:rPr>
        <w:rFonts w:hint="default"/>
      </w:rPr>
    </w:lvl>
    <w:lvl w:ilvl="1" w:tentative="1">
      <w:start w:val="1"/>
      <w:numFmt w:val="lowerLetter"/>
      <w:lvlText w:val="%2."/>
      <w:lvlJc w:val="left"/>
      <w:pPr>
        <w:tabs>
          <w:tab w:val="num" w:pos="1251"/>
        </w:tabs>
        <w:ind w:left="1251" w:hanging="360"/>
      </w:pPr>
    </w:lvl>
    <w:lvl w:ilvl="2" w:tentative="1">
      <w:start w:val="1"/>
      <w:numFmt w:val="lowerRoman"/>
      <w:lvlText w:val="%3."/>
      <w:lvlJc w:val="right"/>
      <w:pPr>
        <w:tabs>
          <w:tab w:val="num" w:pos="1971"/>
        </w:tabs>
        <w:ind w:left="1971" w:hanging="180"/>
      </w:pPr>
    </w:lvl>
    <w:lvl w:ilvl="3" w:tentative="1">
      <w:start w:val="1"/>
      <w:numFmt w:val="decimal"/>
      <w:lvlText w:val="%4."/>
      <w:lvlJc w:val="left"/>
      <w:pPr>
        <w:tabs>
          <w:tab w:val="num" w:pos="2691"/>
        </w:tabs>
        <w:ind w:left="2691" w:hanging="360"/>
      </w:pPr>
    </w:lvl>
    <w:lvl w:ilvl="4" w:tentative="1">
      <w:start w:val="1"/>
      <w:numFmt w:val="lowerLetter"/>
      <w:lvlText w:val="%5."/>
      <w:lvlJc w:val="left"/>
      <w:pPr>
        <w:tabs>
          <w:tab w:val="num" w:pos="3411"/>
        </w:tabs>
        <w:ind w:left="3411" w:hanging="360"/>
      </w:pPr>
    </w:lvl>
    <w:lvl w:ilvl="5" w:tentative="1">
      <w:start w:val="1"/>
      <w:numFmt w:val="lowerRoman"/>
      <w:lvlText w:val="%6."/>
      <w:lvlJc w:val="right"/>
      <w:pPr>
        <w:tabs>
          <w:tab w:val="num" w:pos="4131"/>
        </w:tabs>
        <w:ind w:left="4131" w:hanging="180"/>
      </w:pPr>
    </w:lvl>
    <w:lvl w:ilvl="6" w:tentative="1">
      <w:start w:val="1"/>
      <w:numFmt w:val="decimal"/>
      <w:lvlText w:val="%7."/>
      <w:lvlJc w:val="left"/>
      <w:pPr>
        <w:tabs>
          <w:tab w:val="num" w:pos="4851"/>
        </w:tabs>
        <w:ind w:left="4851" w:hanging="360"/>
      </w:pPr>
    </w:lvl>
    <w:lvl w:ilvl="7" w:tentative="1">
      <w:start w:val="1"/>
      <w:numFmt w:val="lowerLetter"/>
      <w:lvlText w:val="%8."/>
      <w:lvlJc w:val="left"/>
      <w:pPr>
        <w:tabs>
          <w:tab w:val="num" w:pos="5571"/>
        </w:tabs>
        <w:ind w:left="5571" w:hanging="360"/>
      </w:pPr>
    </w:lvl>
    <w:lvl w:ilvl="8" w:tentative="1">
      <w:start w:val="1"/>
      <w:numFmt w:val="lowerRoman"/>
      <w:lvlText w:val="%9."/>
      <w:lvlJc w:val="right"/>
      <w:pPr>
        <w:tabs>
          <w:tab w:val="num" w:pos="6291"/>
        </w:tabs>
        <w:ind w:left="6291" w:hanging="180"/>
      </w:pPr>
    </w:lvl>
  </w:abstractNum>
  <w:abstractNum w:abstractNumId="10">
    <w:nsid w:val="4F857707"/>
    <w:multiLevelType w:val="hybridMultilevel"/>
    <w:tmpl w:val="45B0C8C4"/>
    <w:lvl w:ilvl="0">
      <w:start w:val="1"/>
      <w:numFmt w:val="lowerLetter"/>
      <w:lvlText w:val="%1)"/>
      <w:lvlJc w:val="left"/>
      <w:pPr>
        <w:ind w:left="2160" w:hanging="720"/>
      </w:pPr>
      <w:rPr>
        <w:rFonts w:hint="default"/>
      </w:r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1">
    <w:nsid w:val="693D2281"/>
    <w:multiLevelType w:val="hybridMultilevel"/>
    <w:tmpl w:val="E510505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6E601B2B"/>
    <w:multiLevelType w:val="hybridMultilevel"/>
    <w:tmpl w:val="E756726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798A6C6B"/>
    <w:multiLevelType w:val="hybridMultilevel"/>
    <w:tmpl w:val="30C20090"/>
    <w:lvl w:ilvl="0">
      <w:start w:val="15"/>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
    <w:nsid w:val="7E6A6E0E"/>
    <w:multiLevelType w:val="hybridMultilevel"/>
    <w:tmpl w:val="C5EEF7AE"/>
    <w:lvl w:ilvl="0">
      <w:start w:val="0"/>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750810585">
    <w:abstractNumId w:val="6"/>
  </w:num>
  <w:num w:numId="2" w16cid:durableId="830215333">
    <w:abstractNumId w:val="13"/>
  </w:num>
  <w:num w:numId="3" w16cid:durableId="1853446738">
    <w:abstractNumId w:val="9"/>
  </w:num>
  <w:num w:numId="4" w16cid:durableId="1629317435">
    <w:abstractNumId w:val="14"/>
  </w:num>
  <w:num w:numId="5" w16cid:durableId="1186483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7263907">
    <w:abstractNumId w:val="0"/>
  </w:num>
  <w:num w:numId="7" w16cid:durableId="878324851">
    <w:abstractNumId w:val="7"/>
  </w:num>
  <w:num w:numId="8" w16cid:durableId="1446532929">
    <w:abstractNumId w:val="0"/>
  </w:num>
  <w:num w:numId="9" w16cid:durableId="819274922">
    <w:abstractNumId w:val="0"/>
  </w:num>
  <w:num w:numId="10" w16cid:durableId="1096633158">
    <w:abstractNumId w:val="3"/>
  </w:num>
  <w:num w:numId="11" w16cid:durableId="1006707400">
    <w:abstractNumId w:val="5"/>
  </w:num>
  <w:num w:numId="12" w16cid:durableId="1835368239">
    <w:abstractNumId w:val="0"/>
  </w:num>
  <w:num w:numId="13" w16cid:durableId="1334456708">
    <w:abstractNumId w:val="4"/>
  </w:num>
  <w:num w:numId="14" w16cid:durableId="1908806068">
    <w:abstractNumId w:val="8"/>
  </w:num>
  <w:num w:numId="15" w16cid:durableId="631249936">
    <w:abstractNumId w:val="11"/>
  </w:num>
  <w:num w:numId="16" w16cid:durableId="2089493455">
    <w:abstractNumId w:val="1"/>
  </w:num>
  <w:num w:numId="17" w16cid:durableId="1481536793">
    <w:abstractNumId w:val="2"/>
  </w:num>
  <w:num w:numId="18" w16cid:durableId="1993019860">
    <w:abstractNumId w:val="10"/>
  </w:num>
  <w:num w:numId="19" w16cid:durableId="1686201196">
    <w:abstractNumId w:val="0"/>
  </w:num>
  <w:num w:numId="20" w16cid:durableId="286359126">
    <w:abstractNumId w:val="0"/>
  </w:num>
  <w:num w:numId="21" w16cid:durableId="2075278157">
    <w:abstractNumId w:val="0"/>
  </w:num>
  <w:num w:numId="22" w16cid:durableId="1222598829">
    <w:abstractNumId w:val="0"/>
  </w:num>
  <w:num w:numId="23" w16cid:durableId="1098216004">
    <w:abstractNumId w:val="0"/>
  </w:num>
  <w:num w:numId="24" w16cid:durableId="176501899">
    <w:abstractNumId w:val="0"/>
  </w:num>
  <w:num w:numId="25" w16cid:durableId="656765720">
    <w:abstractNumId w:val="0"/>
  </w:num>
  <w:num w:numId="26" w16cid:durableId="673453994">
    <w:abstractNumId w:val="0"/>
  </w:num>
  <w:num w:numId="27" w16cid:durableId="209540418">
    <w:abstractNumId w:val="0"/>
  </w:num>
  <w:num w:numId="28" w16cid:durableId="89008068">
    <w:abstractNumId w:val="0"/>
  </w:num>
  <w:num w:numId="29" w16cid:durableId="2039894803">
    <w:abstractNumId w:val="0"/>
  </w:num>
  <w:num w:numId="30" w16cid:durableId="1315917118">
    <w:abstractNumId w:val="0"/>
  </w:num>
  <w:num w:numId="31" w16cid:durableId="963774573">
    <w:abstractNumId w:val="0"/>
  </w:num>
  <w:num w:numId="32" w16cid:durableId="2092846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D6"/>
    <w:rsid w:val="000007DB"/>
    <w:rsid w:val="00000861"/>
    <w:rsid w:val="00003CC6"/>
    <w:rsid w:val="0000511E"/>
    <w:rsid w:val="00005824"/>
    <w:rsid w:val="0000727D"/>
    <w:rsid w:val="00007AA6"/>
    <w:rsid w:val="00013A02"/>
    <w:rsid w:val="00015519"/>
    <w:rsid w:val="00016CD4"/>
    <w:rsid w:val="0002043E"/>
    <w:rsid w:val="00021ED9"/>
    <w:rsid w:val="00023A93"/>
    <w:rsid w:val="0002492F"/>
    <w:rsid w:val="00031F7A"/>
    <w:rsid w:val="000325F9"/>
    <w:rsid w:val="00032EBE"/>
    <w:rsid w:val="00033422"/>
    <w:rsid w:val="00040A07"/>
    <w:rsid w:val="00043083"/>
    <w:rsid w:val="0004557E"/>
    <w:rsid w:val="00050008"/>
    <w:rsid w:val="00050B73"/>
    <w:rsid w:val="00052E57"/>
    <w:rsid w:val="000560D9"/>
    <w:rsid w:val="0005700B"/>
    <w:rsid w:val="00057592"/>
    <w:rsid w:val="0006301E"/>
    <w:rsid w:val="00065494"/>
    <w:rsid w:val="0006644A"/>
    <w:rsid w:val="00067D3E"/>
    <w:rsid w:val="0007131D"/>
    <w:rsid w:val="000718AF"/>
    <w:rsid w:val="00073841"/>
    <w:rsid w:val="0007453F"/>
    <w:rsid w:val="00075BF4"/>
    <w:rsid w:val="000764A2"/>
    <w:rsid w:val="00077512"/>
    <w:rsid w:val="00077740"/>
    <w:rsid w:val="00080154"/>
    <w:rsid w:val="00080D94"/>
    <w:rsid w:val="00080E19"/>
    <w:rsid w:val="00083AA5"/>
    <w:rsid w:val="00084218"/>
    <w:rsid w:val="00084AD5"/>
    <w:rsid w:val="00085833"/>
    <w:rsid w:val="00090BDB"/>
    <w:rsid w:val="00091061"/>
    <w:rsid w:val="00091A2C"/>
    <w:rsid w:val="00095362"/>
    <w:rsid w:val="000B037D"/>
    <w:rsid w:val="000B2A3C"/>
    <w:rsid w:val="000B3589"/>
    <w:rsid w:val="000B39D2"/>
    <w:rsid w:val="000B3BB4"/>
    <w:rsid w:val="000B73DE"/>
    <w:rsid w:val="000C2F68"/>
    <w:rsid w:val="000C3FD2"/>
    <w:rsid w:val="000C56E4"/>
    <w:rsid w:val="000D3F27"/>
    <w:rsid w:val="000D55F1"/>
    <w:rsid w:val="000D6FF2"/>
    <w:rsid w:val="000D7168"/>
    <w:rsid w:val="000D7BCA"/>
    <w:rsid w:val="000E0612"/>
    <w:rsid w:val="000E0F3A"/>
    <w:rsid w:val="000E7A3C"/>
    <w:rsid w:val="000F1EF5"/>
    <w:rsid w:val="00102E07"/>
    <w:rsid w:val="0010309B"/>
    <w:rsid w:val="0010375A"/>
    <w:rsid w:val="001047BB"/>
    <w:rsid w:val="00110FF5"/>
    <w:rsid w:val="00111C0A"/>
    <w:rsid w:val="001130A1"/>
    <w:rsid w:val="00114ABA"/>
    <w:rsid w:val="00116745"/>
    <w:rsid w:val="00116A64"/>
    <w:rsid w:val="00116E4C"/>
    <w:rsid w:val="00122168"/>
    <w:rsid w:val="0012339F"/>
    <w:rsid w:val="00123BB1"/>
    <w:rsid w:val="00123FA9"/>
    <w:rsid w:val="00124E40"/>
    <w:rsid w:val="00131E0B"/>
    <w:rsid w:val="00134A9F"/>
    <w:rsid w:val="00135FD0"/>
    <w:rsid w:val="00136629"/>
    <w:rsid w:val="00137BCD"/>
    <w:rsid w:val="0014507D"/>
    <w:rsid w:val="001452A9"/>
    <w:rsid w:val="00145A31"/>
    <w:rsid w:val="00146629"/>
    <w:rsid w:val="00147F93"/>
    <w:rsid w:val="00150CC6"/>
    <w:rsid w:val="0015122A"/>
    <w:rsid w:val="001564D9"/>
    <w:rsid w:val="001564EA"/>
    <w:rsid w:val="0016174C"/>
    <w:rsid w:val="001624B7"/>
    <w:rsid w:val="00163A96"/>
    <w:rsid w:val="00172607"/>
    <w:rsid w:val="00173596"/>
    <w:rsid w:val="00174423"/>
    <w:rsid w:val="0017602F"/>
    <w:rsid w:val="00182ED8"/>
    <w:rsid w:val="0018537C"/>
    <w:rsid w:val="00187AB0"/>
    <w:rsid w:val="00190ACA"/>
    <w:rsid w:val="00196B26"/>
    <w:rsid w:val="001A191A"/>
    <w:rsid w:val="001A4EA0"/>
    <w:rsid w:val="001A7CB6"/>
    <w:rsid w:val="001B22CA"/>
    <w:rsid w:val="001B2BE2"/>
    <w:rsid w:val="001B3244"/>
    <w:rsid w:val="001B451D"/>
    <w:rsid w:val="001B7F93"/>
    <w:rsid w:val="001C12D0"/>
    <w:rsid w:val="001C38A1"/>
    <w:rsid w:val="001C4CAE"/>
    <w:rsid w:val="001C67F3"/>
    <w:rsid w:val="001C7F51"/>
    <w:rsid w:val="001D0914"/>
    <w:rsid w:val="001D2291"/>
    <w:rsid w:val="001D2A8F"/>
    <w:rsid w:val="001D32F6"/>
    <w:rsid w:val="001F0B7C"/>
    <w:rsid w:val="001F126A"/>
    <w:rsid w:val="001F2E98"/>
    <w:rsid w:val="001F3643"/>
    <w:rsid w:val="001F61D9"/>
    <w:rsid w:val="00200017"/>
    <w:rsid w:val="00201A50"/>
    <w:rsid w:val="0021254B"/>
    <w:rsid w:val="0021347E"/>
    <w:rsid w:val="002139A9"/>
    <w:rsid w:val="00222BB3"/>
    <w:rsid w:val="00226B79"/>
    <w:rsid w:val="002318A8"/>
    <w:rsid w:val="00232B98"/>
    <w:rsid w:val="00232FED"/>
    <w:rsid w:val="0023394F"/>
    <w:rsid w:val="00233D4F"/>
    <w:rsid w:val="0024043A"/>
    <w:rsid w:val="002417F7"/>
    <w:rsid w:val="002435B7"/>
    <w:rsid w:val="002525C1"/>
    <w:rsid w:val="002616F1"/>
    <w:rsid w:val="00262B2D"/>
    <w:rsid w:val="002664CB"/>
    <w:rsid w:val="002669C2"/>
    <w:rsid w:val="0027244D"/>
    <w:rsid w:val="00272C02"/>
    <w:rsid w:val="00273614"/>
    <w:rsid w:val="00273777"/>
    <w:rsid w:val="00273F37"/>
    <w:rsid w:val="0027761C"/>
    <w:rsid w:val="00277E86"/>
    <w:rsid w:val="002814A9"/>
    <w:rsid w:val="002814C6"/>
    <w:rsid w:val="00283BA5"/>
    <w:rsid w:val="00291DB3"/>
    <w:rsid w:val="00294429"/>
    <w:rsid w:val="002A0408"/>
    <w:rsid w:val="002A0622"/>
    <w:rsid w:val="002A0D54"/>
    <w:rsid w:val="002A28E8"/>
    <w:rsid w:val="002A2DC6"/>
    <w:rsid w:val="002A3C5F"/>
    <w:rsid w:val="002A5CBE"/>
    <w:rsid w:val="002B13BA"/>
    <w:rsid w:val="002B292F"/>
    <w:rsid w:val="002B6D87"/>
    <w:rsid w:val="002C1BB3"/>
    <w:rsid w:val="002C364C"/>
    <w:rsid w:val="002C3D1C"/>
    <w:rsid w:val="002C7E21"/>
    <w:rsid w:val="002D0D77"/>
    <w:rsid w:val="002D1524"/>
    <w:rsid w:val="002D2910"/>
    <w:rsid w:val="002E38E5"/>
    <w:rsid w:val="002E3A99"/>
    <w:rsid w:val="002F0B4A"/>
    <w:rsid w:val="002F1E97"/>
    <w:rsid w:val="002F230A"/>
    <w:rsid w:val="002F24AE"/>
    <w:rsid w:val="002F4A47"/>
    <w:rsid w:val="002F4D7D"/>
    <w:rsid w:val="002F6E92"/>
    <w:rsid w:val="002F6EBC"/>
    <w:rsid w:val="0030052B"/>
    <w:rsid w:val="00301884"/>
    <w:rsid w:val="003064CA"/>
    <w:rsid w:val="0031114D"/>
    <w:rsid w:val="00314555"/>
    <w:rsid w:val="00314ACD"/>
    <w:rsid w:val="0031569E"/>
    <w:rsid w:val="003206B5"/>
    <w:rsid w:val="003213ED"/>
    <w:rsid w:val="00321E66"/>
    <w:rsid w:val="003234EB"/>
    <w:rsid w:val="00325274"/>
    <w:rsid w:val="003254FE"/>
    <w:rsid w:val="00330410"/>
    <w:rsid w:val="00334495"/>
    <w:rsid w:val="00340D04"/>
    <w:rsid w:val="00343377"/>
    <w:rsid w:val="00346C2C"/>
    <w:rsid w:val="0035080F"/>
    <w:rsid w:val="00353F29"/>
    <w:rsid w:val="003573C5"/>
    <w:rsid w:val="00357EA4"/>
    <w:rsid w:val="00362E08"/>
    <w:rsid w:val="0036544C"/>
    <w:rsid w:val="00365E7F"/>
    <w:rsid w:val="00370892"/>
    <w:rsid w:val="00371C7C"/>
    <w:rsid w:val="00375F80"/>
    <w:rsid w:val="00376184"/>
    <w:rsid w:val="00377C58"/>
    <w:rsid w:val="00391CC1"/>
    <w:rsid w:val="003962D2"/>
    <w:rsid w:val="003974EA"/>
    <w:rsid w:val="00397BE7"/>
    <w:rsid w:val="003A3BEF"/>
    <w:rsid w:val="003B50E1"/>
    <w:rsid w:val="003B71FA"/>
    <w:rsid w:val="003C1511"/>
    <w:rsid w:val="003C71F0"/>
    <w:rsid w:val="003D02D9"/>
    <w:rsid w:val="003D36FE"/>
    <w:rsid w:val="003D56D4"/>
    <w:rsid w:val="003D6D9C"/>
    <w:rsid w:val="003E03AC"/>
    <w:rsid w:val="003E210C"/>
    <w:rsid w:val="003E4BAA"/>
    <w:rsid w:val="003E78D8"/>
    <w:rsid w:val="003F0E90"/>
    <w:rsid w:val="003F0FA4"/>
    <w:rsid w:val="003F43F4"/>
    <w:rsid w:val="003F4C38"/>
    <w:rsid w:val="003F4DB0"/>
    <w:rsid w:val="003F5485"/>
    <w:rsid w:val="003F648B"/>
    <w:rsid w:val="003F6FD9"/>
    <w:rsid w:val="00400337"/>
    <w:rsid w:val="00412FA1"/>
    <w:rsid w:val="004139BE"/>
    <w:rsid w:val="00413C3E"/>
    <w:rsid w:val="004146E7"/>
    <w:rsid w:val="00421C1F"/>
    <w:rsid w:val="00424003"/>
    <w:rsid w:val="004321C6"/>
    <w:rsid w:val="004329DA"/>
    <w:rsid w:val="00437052"/>
    <w:rsid w:val="00437568"/>
    <w:rsid w:val="0044571C"/>
    <w:rsid w:val="00445D0C"/>
    <w:rsid w:val="00450256"/>
    <w:rsid w:val="00453C0A"/>
    <w:rsid w:val="00455255"/>
    <w:rsid w:val="004613BF"/>
    <w:rsid w:val="00461506"/>
    <w:rsid w:val="004649D7"/>
    <w:rsid w:val="00464EA8"/>
    <w:rsid w:val="00470B44"/>
    <w:rsid w:val="00480F5A"/>
    <w:rsid w:val="0048204A"/>
    <w:rsid w:val="004834CB"/>
    <w:rsid w:val="00485FED"/>
    <w:rsid w:val="004909C1"/>
    <w:rsid w:val="00493207"/>
    <w:rsid w:val="004971B1"/>
    <w:rsid w:val="00497CEA"/>
    <w:rsid w:val="00497EF8"/>
    <w:rsid w:val="004A171E"/>
    <w:rsid w:val="004A2E9E"/>
    <w:rsid w:val="004A4B40"/>
    <w:rsid w:val="004A6B43"/>
    <w:rsid w:val="004B19B1"/>
    <w:rsid w:val="004B2F0D"/>
    <w:rsid w:val="004B5D30"/>
    <w:rsid w:val="004B7889"/>
    <w:rsid w:val="004C2EED"/>
    <w:rsid w:val="004C32D5"/>
    <w:rsid w:val="004C4984"/>
    <w:rsid w:val="004D0751"/>
    <w:rsid w:val="004D212F"/>
    <w:rsid w:val="004D37ED"/>
    <w:rsid w:val="004D4323"/>
    <w:rsid w:val="004D62CB"/>
    <w:rsid w:val="004E17AE"/>
    <w:rsid w:val="004F09A4"/>
    <w:rsid w:val="004F2CBA"/>
    <w:rsid w:val="004F45F0"/>
    <w:rsid w:val="004F77AC"/>
    <w:rsid w:val="00503FF0"/>
    <w:rsid w:val="00505854"/>
    <w:rsid w:val="00510D95"/>
    <w:rsid w:val="00512D90"/>
    <w:rsid w:val="00523A13"/>
    <w:rsid w:val="00523E8B"/>
    <w:rsid w:val="00530E7E"/>
    <w:rsid w:val="00531FB2"/>
    <w:rsid w:val="00532C8C"/>
    <w:rsid w:val="00534606"/>
    <w:rsid w:val="0053672A"/>
    <w:rsid w:val="005427BE"/>
    <w:rsid w:val="00542CBB"/>
    <w:rsid w:val="00543AD5"/>
    <w:rsid w:val="005451D7"/>
    <w:rsid w:val="00545D34"/>
    <w:rsid w:val="005511AA"/>
    <w:rsid w:val="00555167"/>
    <w:rsid w:val="00556BC8"/>
    <w:rsid w:val="005608E7"/>
    <w:rsid w:val="0056210C"/>
    <w:rsid w:val="00564172"/>
    <w:rsid w:val="00565991"/>
    <w:rsid w:val="00565F0F"/>
    <w:rsid w:val="005669BF"/>
    <w:rsid w:val="00572F3D"/>
    <w:rsid w:val="005747D7"/>
    <w:rsid w:val="0057711E"/>
    <w:rsid w:val="00581327"/>
    <w:rsid w:val="00585A84"/>
    <w:rsid w:val="005873AA"/>
    <w:rsid w:val="005900C6"/>
    <w:rsid w:val="005906EC"/>
    <w:rsid w:val="005920D0"/>
    <w:rsid w:val="005947AA"/>
    <w:rsid w:val="005B0103"/>
    <w:rsid w:val="005B138F"/>
    <w:rsid w:val="005B24F4"/>
    <w:rsid w:val="005B2533"/>
    <w:rsid w:val="005B7280"/>
    <w:rsid w:val="005C05FF"/>
    <w:rsid w:val="005C39D7"/>
    <w:rsid w:val="005C499F"/>
    <w:rsid w:val="005D0A3E"/>
    <w:rsid w:val="005D1D9E"/>
    <w:rsid w:val="005D2EE1"/>
    <w:rsid w:val="005D43B4"/>
    <w:rsid w:val="005E66D5"/>
    <w:rsid w:val="005F02F7"/>
    <w:rsid w:val="005F37E6"/>
    <w:rsid w:val="005F41EA"/>
    <w:rsid w:val="005F4B0F"/>
    <w:rsid w:val="005F6D9F"/>
    <w:rsid w:val="005F74D5"/>
    <w:rsid w:val="00610859"/>
    <w:rsid w:val="006115F7"/>
    <w:rsid w:val="00611A2D"/>
    <w:rsid w:val="00611F2E"/>
    <w:rsid w:val="00616561"/>
    <w:rsid w:val="0061782A"/>
    <w:rsid w:val="0062461E"/>
    <w:rsid w:val="0062556A"/>
    <w:rsid w:val="00626F01"/>
    <w:rsid w:val="0063291B"/>
    <w:rsid w:val="00640C60"/>
    <w:rsid w:val="00642D9C"/>
    <w:rsid w:val="00646E27"/>
    <w:rsid w:val="0064717B"/>
    <w:rsid w:val="00651ABF"/>
    <w:rsid w:val="0065468B"/>
    <w:rsid w:val="00657A6B"/>
    <w:rsid w:val="00661BC6"/>
    <w:rsid w:val="006622B2"/>
    <w:rsid w:val="006632D4"/>
    <w:rsid w:val="006650E6"/>
    <w:rsid w:val="00665ECE"/>
    <w:rsid w:val="00666C0C"/>
    <w:rsid w:val="00667650"/>
    <w:rsid w:val="0067372C"/>
    <w:rsid w:val="00674549"/>
    <w:rsid w:val="006747F7"/>
    <w:rsid w:val="0067573E"/>
    <w:rsid w:val="0068147E"/>
    <w:rsid w:val="0068533C"/>
    <w:rsid w:val="00686275"/>
    <w:rsid w:val="006901E2"/>
    <w:rsid w:val="006936A3"/>
    <w:rsid w:val="0069580D"/>
    <w:rsid w:val="006A2374"/>
    <w:rsid w:val="006A458E"/>
    <w:rsid w:val="006A4FA9"/>
    <w:rsid w:val="006A544E"/>
    <w:rsid w:val="006A6786"/>
    <w:rsid w:val="006B1BF6"/>
    <w:rsid w:val="006B29CB"/>
    <w:rsid w:val="006B46B7"/>
    <w:rsid w:val="006B6719"/>
    <w:rsid w:val="006C1982"/>
    <w:rsid w:val="006C2037"/>
    <w:rsid w:val="006D12F3"/>
    <w:rsid w:val="006D520C"/>
    <w:rsid w:val="006E69D0"/>
    <w:rsid w:val="006E75E8"/>
    <w:rsid w:val="006F3CDB"/>
    <w:rsid w:val="006F7D61"/>
    <w:rsid w:val="007016CB"/>
    <w:rsid w:val="00704B66"/>
    <w:rsid w:val="007063EB"/>
    <w:rsid w:val="007137C3"/>
    <w:rsid w:val="00713A8D"/>
    <w:rsid w:val="00714548"/>
    <w:rsid w:val="00714588"/>
    <w:rsid w:val="00715E78"/>
    <w:rsid w:val="00724428"/>
    <w:rsid w:val="00725AEA"/>
    <w:rsid w:val="00725CCB"/>
    <w:rsid w:val="007326C4"/>
    <w:rsid w:val="00733140"/>
    <w:rsid w:val="0073409D"/>
    <w:rsid w:val="00736DC9"/>
    <w:rsid w:val="00740F3D"/>
    <w:rsid w:val="00743ABE"/>
    <w:rsid w:val="007449D3"/>
    <w:rsid w:val="00751CE8"/>
    <w:rsid w:val="00754544"/>
    <w:rsid w:val="0076158D"/>
    <w:rsid w:val="00763F12"/>
    <w:rsid w:val="007640EB"/>
    <w:rsid w:val="007644EA"/>
    <w:rsid w:val="007668EA"/>
    <w:rsid w:val="00770ED4"/>
    <w:rsid w:val="007743EA"/>
    <w:rsid w:val="00776894"/>
    <w:rsid w:val="0079127D"/>
    <w:rsid w:val="0079298C"/>
    <w:rsid w:val="007934B3"/>
    <w:rsid w:val="00794490"/>
    <w:rsid w:val="00796E71"/>
    <w:rsid w:val="007972F1"/>
    <w:rsid w:val="0079767E"/>
    <w:rsid w:val="00797A5C"/>
    <w:rsid w:val="007A17D4"/>
    <w:rsid w:val="007A31EC"/>
    <w:rsid w:val="007A63C1"/>
    <w:rsid w:val="007A714B"/>
    <w:rsid w:val="007B2498"/>
    <w:rsid w:val="007B45D2"/>
    <w:rsid w:val="007B4684"/>
    <w:rsid w:val="007C150C"/>
    <w:rsid w:val="007C4BFB"/>
    <w:rsid w:val="007C4EA2"/>
    <w:rsid w:val="007C6659"/>
    <w:rsid w:val="007C76F3"/>
    <w:rsid w:val="007D17F0"/>
    <w:rsid w:val="007D1827"/>
    <w:rsid w:val="007D1DDC"/>
    <w:rsid w:val="007D5378"/>
    <w:rsid w:val="007E271B"/>
    <w:rsid w:val="007E7264"/>
    <w:rsid w:val="007F08A8"/>
    <w:rsid w:val="007F3834"/>
    <w:rsid w:val="007F683D"/>
    <w:rsid w:val="0080297B"/>
    <w:rsid w:val="0080364D"/>
    <w:rsid w:val="0080684A"/>
    <w:rsid w:val="0081005B"/>
    <w:rsid w:val="008237EE"/>
    <w:rsid w:val="00826788"/>
    <w:rsid w:val="00832185"/>
    <w:rsid w:val="00834F92"/>
    <w:rsid w:val="00836446"/>
    <w:rsid w:val="00837FAA"/>
    <w:rsid w:val="00840CCB"/>
    <w:rsid w:val="00841CC7"/>
    <w:rsid w:val="00846415"/>
    <w:rsid w:val="00852936"/>
    <w:rsid w:val="008546D6"/>
    <w:rsid w:val="008578F9"/>
    <w:rsid w:val="008617CB"/>
    <w:rsid w:val="008645C6"/>
    <w:rsid w:val="00864F7A"/>
    <w:rsid w:val="00872CB5"/>
    <w:rsid w:val="00882ECF"/>
    <w:rsid w:val="00887210"/>
    <w:rsid w:val="00887FF5"/>
    <w:rsid w:val="00895B1A"/>
    <w:rsid w:val="008960A9"/>
    <w:rsid w:val="0089787A"/>
    <w:rsid w:val="00897A65"/>
    <w:rsid w:val="008A07F6"/>
    <w:rsid w:val="008A1A04"/>
    <w:rsid w:val="008B3B9F"/>
    <w:rsid w:val="008B5446"/>
    <w:rsid w:val="008C0430"/>
    <w:rsid w:val="008C10A8"/>
    <w:rsid w:val="008C372E"/>
    <w:rsid w:val="008C38F4"/>
    <w:rsid w:val="008C752F"/>
    <w:rsid w:val="008D0070"/>
    <w:rsid w:val="008D08C3"/>
    <w:rsid w:val="008D09EB"/>
    <w:rsid w:val="008D12BF"/>
    <w:rsid w:val="008D368C"/>
    <w:rsid w:val="008D5C83"/>
    <w:rsid w:val="008E3812"/>
    <w:rsid w:val="008E42FD"/>
    <w:rsid w:val="008E679A"/>
    <w:rsid w:val="008E71DB"/>
    <w:rsid w:val="008F23B3"/>
    <w:rsid w:val="008F57CF"/>
    <w:rsid w:val="008F5F1D"/>
    <w:rsid w:val="008F6D24"/>
    <w:rsid w:val="00900081"/>
    <w:rsid w:val="00900C71"/>
    <w:rsid w:val="009012B2"/>
    <w:rsid w:val="00903BF2"/>
    <w:rsid w:val="009051C8"/>
    <w:rsid w:val="00905F3D"/>
    <w:rsid w:val="00910132"/>
    <w:rsid w:val="00910A5E"/>
    <w:rsid w:val="00912D71"/>
    <w:rsid w:val="009226F8"/>
    <w:rsid w:val="009264A2"/>
    <w:rsid w:val="0092728C"/>
    <w:rsid w:val="009306C2"/>
    <w:rsid w:val="009315B5"/>
    <w:rsid w:val="009333B0"/>
    <w:rsid w:val="00934132"/>
    <w:rsid w:val="00934D5F"/>
    <w:rsid w:val="009366D9"/>
    <w:rsid w:val="009376B9"/>
    <w:rsid w:val="009376CC"/>
    <w:rsid w:val="00937F17"/>
    <w:rsid w:val="00941CB7"/>
    <w:rsid w:val="00945CC1"/>
    <w:rsid w:val="00960599"/>
    <w:rsid w:val="00962E19"/>
    <w:rsid w:val="009656DA"/>
    <w:rsid w:val="00965AAE"/>
    <w:rsid w:val="00970D26"/>
    <w:rsid w:val="00977FF5"/>
    <w:rsid w:val="0099137A"/>
    <w:rsid w:val="0099496C"/>
    <w:rsid w:val="009979A6"/>
    <w:rsid w:val="009A0510"/>
    <w:rsid w:val="009A092E"/>
    <w:rsid w:val="009A1060"/>
    <w:rsid w:val="009A2AE4"/>
    <w:rsid w:val="009A3043"/>
    <w:rsid w:val="009A3C50"/>
    <w:rsid w:val="009A5A72"/>
    <w:rsid w:val="009A7257"/>
    <w:rsid w:val="009B32B2"/>
    <w:rsid w:val="009B5979"/>
    <w:rsid w:val="009C093B"/>
    <w:rsid w:val="009C2FB1"/>
    <w:rsid w:val="009C4798"/>
    <w:rsid w:val="009C4ED4"/>
    <w:rsid w:val="009C59E1"/>
    <w:rsid w:val="009C7D05"/>
    <w:rsid w:val="009E085F"/>
    <w:rsid w:val="009E3951"/>
    <w:rsid w:val="009E5B27"/>
    <w:rsid w:val="009E78A8"/>
    <w:rsid w:val="009F0E75"/>
    <w:rsid w:val="009F1311"/>
    <w:rsid w:val="009F2103"/>
    <w:rsid w:val="009F38F4"/>
    <w:rsid w:val="009F4133"/>
    <w:rsid w:val="00A03EB8"/>
    <w:rsid w:val="00A077C0"/>
    <w:rsid w:val="00A12E31"/>
    <w:rsid w:val="00A14E31"/>
    <w:rsid w:val="00A22E04"/>
    <w:rsid w:val="00A25E95"/>
    <w:rsid w:val="00A27D54"/>
    <w:rsid w:val="00A309FD"/>
    <w:rsid w:val="00A30C56"/>
    <w:rsid w:val="00A3228A"/>
    <w:rsid w:val="00A36030"/>
    <w:rsid w:val="00A37CA6"/>
    <w:rsid w:val="00A37E25"/>
    <w:rsid w:val="00A37E81"/>
    <w:rsid w:val="00A40B48"/>
    <w:rsid w:val="00A420C9"/>
    <w:rsid w:val="00A455AC"/>
    <w:rsid w:val="00A45BE7"/>
    <w:rsid w:val="00A47388"/>
    <w:rsid w:val="00A518F8"/>
    <w:rsid w:val="00A54F6E"/>
    <w:rsid w:val="00A56E25"/>
    <w:rsid w:val="00A56F76"/>
    <w:rsid w:val="00A6011F"/>
    <w:rsid w:val="00A60A31"/>
    <w:rsid w:val="00A60D14"/>
    <w:rsid w:val="00A6470E"/>
    <w:rsid w:val="00A6619C"/>
    <w:rsid w:val="00A708F2"/>
    <w:rsid w:val="00A84275"/>
    <w:rsid w:val="00A93494"/>
    <w:rsid w:val="00AA000D"/>
    <w:rsid w:val="00AA166B"/>
    <w:rsid w:val="00AA6135"/>
    <w:rsid w:val="00AA7B48"/>
    <w:rsid w:val="00AB033B"/>
    <w:rsid w:val="00AC7CDD"/>
    <w:rsid w:val="00AC7F3C"/>
    <w:rsid w:val="00AD27B3"/>
    <w:rsid w:val="00AD2F99"/>
    <w:rsid w:val="00AD6FDB"/>
    <w:rsid w:val="00AE2B5F"/>
    <w:rsid w:val="00AE5747"/>
    <w:rsid w:val="00AF1920"/>
    <w:rsid w:val="00AF57E3"/>
    <w:rsid w:val="00B014E2"/>
    <w:rsid w:val="00B02EBA"/>
    <w:rsid w:val="00B0355E"/>
    <w:rsid w:val="00B073DB"/>
    <w:rsid w:val="00B07FB7"/>
    <w:rsid w:val="00B1008E"/>
    <w:rsid w:val="00B1016A"/>
    <w:rsid w:val="00B156DA"/>
    <w:rsid w:val="00B1682B"/>
    <w:rsid w:val="00B17A45"/>
    <w:rsid w:val="00B219A8"/>
    <w:rsid w:val="00B26472"/>
    <w:rsid w:val="00B26DB4"/>
    <w:rsid w:val="00B27C65"/>
    <w:rsid w:val="00B30902"/>
    <w:rsid w:val="00B32987"/>
    <w:rsid w:val="00B33910"/>
    <w:rsid w:val="00B342AF"/>
    <w:rsid w:val="00B3431B"/>
    <w:rsid w:val="00B34E6A"/>
    <w:rsid w:val="00B372E4"/>
    <w:rsid w:val="00B37AE8"/>
    <w:rsid w:val="00B40750"/>
    <w:rsid w:val="00B45F6B"/>
    <w:rsid w:val="00B47D08"/>
    <w:rsid w:val="00B50449"/>
    <w:rsid w:val="00B508C8"/>
    <w:rsid w:val="00B5328D"/>
    <w:rsid w:val="00B544B5"/>
    <w:rsid w:val="00B570A8"/>
    <w:rsid w:val="00B60671"/>
    <w:rsid w:val="00B62A72"/>
    <w:rsid w:val="00B67037"/>
    <w:rsid w:val="00B675C4"/>
    <w:rsid w:val="00B67F6D"/>
    <w:rsid w:val="00B71144"/>
    <w:rsid w:val="00B71A41"/>
    <w:rsid w:val="00B73883"/>
    <w:rsid w:val="00B742F3"/>
    <w:rsid w:val="00B75358"/>
    <w:rsid w:val="00B76699"/>
    <w:rsid w:val="00B76B5B"/>
    <w:rsid w:val="00B80FAB"/>
    <w:rsid w:val="00B90643"/>
    <w:rsid w:val="00B912B3"/>
    <w:rsid w:val="00B96A76"/>
    <w:rsid w:val="00BA01F0"/>
    <w:rsid w:val="00BA0C7B"/>
    <w:rsid w:val="00BA11F9"/>
    <w:rsid w:val="00BA549A"/>
    <w:rsid w:val="00BB5AB2"/>
    <w:rsid w:val="00BB6CC4"/>
    <w:rsid w:val="00BC08E4"/>
    <w:rsid w:val="00BC4320"/>
    <w:rsid w:val="00BC730D"/>
    <w:rsid w:val="00BD3602"/>
    <w:rsid w:val="00BD63B5"/>
    <w:rsid w:val="00BD7215"/>
    <w:rsid w:val="00BE29E9"/>
    <w:rsid w:val="00BE460B"/>
    <w:rsid w:val="00BE7C46"/>
    <w:rsid w:val="00BE7D75"/>
    <w:rsid w:val="00BF3F8F"/>
    <w:rsid w:val="00BF4908"/>
    <w:rsid w:val="00BF6D8C"/>
    <w:rsid w:val="00BF72FA"/>
    <w:rsid w:val="00BF7ADD"/>
    <w:rsid w:val="00C14078"/>
    <w:rsid w:val="00C14365"/>
    <w:rsid w:val="00C15801"/>
    <w:rsid w:val="00C16C09"/>
    <w:rsid w:val="00C176DF"/>
    <w:rsid w:val="00C2408A"/>
    <w:rsid w:val="00C26A9B"/>
    <w:rsid w:val="00C274A5"/>
    <w:rsid w:val="00C321C8"/>
    <w:rsid w:val="00C332DB"/>
    <w:rsid w:val="00C35ECE"/>
    <w:rsid w:val="00C42566"/>
    <w:rsid w:val="00C43B31"/>
    <w:rsid w:val="00C5009E"/>
    <w:rsid w:val="00C50ABA"/>
    <w:rsid w:val="00C52BB3"/>
    <w:rsid w:val="00C609D3"/>
    <w:rsid w:val="00C621D8"/>
    <w:rsid w:val="00C6421B"/>
    <w:rsid w:val="00C733ED"/>
    <w:rsid w:val="00C74F25"/>
    <w:rsid w:val="00C75C73"/>
    <w:rsid w:val="00C77772"/>
    <w:rsid w:val="00C83606"/>
    <w:rsid w:val="00C90C6E"/>
    <w:rsid w:val="00C91E5A"/>
    <w:rsid w:val="00CA0CCD"/>
    <w:rsid w:val="00CA1489"/>
    <w:rsid w:val="00CA19F4"/>
    <w:rsid w:val="00CA3470"/>
    <w:rsid w:val="00CA5E01"/>
    <w:rsid w:val="00CB00CF"/>
    <w:rsid w:val="00CB3045"/>
    <w:rsid w:val="00CB4C4D"/>
    <w:rsid w:val="00CC2F16"/>
    <w:rsid w:val="00CC3726"/>
    <w:rsid w:val="00CC6C15"/>
    <w:rsid w:val="00CD11D0"/>
    <w:rsid w:val="00CD2F67"/>
    <w:rsid w:val="00CD3314"/>
    <w:rsid w:val="00CD3E1E"/>
    <w:rsid w:val="00CD59D8"/>
    <w:rsid w:val="00CE028C"/>
    <w:rsid w:val="00CE0671"/>
    <w:rsid w:val="00CE24E4"/>
    <w:rsid w:val="00CE6A9A"/>
    <w:rsid w:val="00CE70AC"/>
    <w:rsid w:val="00CF3040"/>
    <w:rsid w:val="00CF4E20"/>
    <w:rsid w:val="00CF5D20"/>
    <w:rsid w:val="00D00103"/>
    <w:rsid w:val="00D00363"/>
    <w:rsid w:val="00D01638"/>
    <w:rsid w:val="00D108D8"/>
    <w:rsid w:val="00D10EE7"/>
    <w:rsid w:val="00D11641"/>
    <w:rsid w:val="00D1432A"/>
    <w:rsid w:val="00D14FA7"/>
    <w:rsid w:val="00D15825"/>
    <w:rsid w:val="00D158D0"/>
    <w:rsid w:val="00D172C7"/>
    <w:rsid w:val="00D21433"/>
    <w:rsid w:val="00D225FB"/>
    <w:rsid w:val="00D23CA5"/>
    <w:rsid w:val="00D242E3"/>
    <w:rsid w:val="00D24ECA"/>
    <w:rsid w:val="00D30549"/>
    <w:rsid w:val="00D310CA"/>
    <w:rsid w:val="00D34A42"/>
    <w:rsid w:val="00D3502F"/>
    <w:rsid w:val="00D40FFB"/>
    <w:rsid w:val="00D4110A"/>
    <w:rsid w:val="00D46B30"/>
    <w:rsid w:val="00D550B9"/>
    <w:rsid w:val="00D56DAF"/>
    <w:rsid w:val="00D57363"/>
    <w:rsid w:val="00D60042"/>
    <w:rsid w:val="00D626BC"/>
    <w:rsid w:val="00D64F90"/>
    <w:rsid w:val="00D66C09"/>
    <w:rsid w:val="00D67D5B"/>
    <w:rsid w:val="00D733C0"/>
    <w:rsid w:val="00D76766"/>
    <w:rsid w:val="00D767E2"/>
    <w:rsid w:val="00D872B4"/>
    <w:rsid w:val="00D87A92"/>
    <w:rsid w:val="00D93EC1"/>
    <w:rsid w:val="00DA2FC3"/>
    <w:rsid w:val="00DA54C0"/>
    <w:rsid w:val="00DA7D3E"/>
    <w:rsid w:val="00DB2800"/>
    <w:rsid w:val="00DB46AC"/>
    <w:rsid w:val="00DB4E6C"/>
    <w:rsid w:val="00DC0940"/>
    <w:rsid w:val="00DC15A9"/>
    <w:rsid w:val="00DC5403"/>
    <w:rsid w:val="00DC6257"/>
    <w:rsid w:val="00DD3951"/>
    <w:rsid w:val="00DD73EC"/>
    <w:rsid w:val="00DE1D9E"/>
    <w:rsid w:val="00DE61E1"/>
    <w:rsid w:val="00DE7BDB"/>
    <w:rsid w:val="00DF0578"/>
    <w:rsid w:val="00DF1865"/>
    <w:rsid w:val="00DF4E05"/>
    <w:rsid w:val="00DF4E47"/>
    <w:rsid w:val="00DF64EC"/>
    <w:rsid w:val="00DF729A"/>
    <w:rsid w:val="00E00B60"/>
    <w:rsid w:val="00E019B5"/>
    <w:rsid w:val="00E02353"/>
    <w:rsid w:val="00E06A84"/>
    <w:rsid w:val="00E077FC"/>
    <w:rsid w:val="00E07C60"/>
    <w:rsid w:val="00E1263A"/>
    <w:rsid w:val="00E16B19"/>
    <w:rsid w:val="00E228E2"/>
    <w:rsid w:val="00E307B7"/>
    <w:rsid w:val="00E309DC"/>
    <w:rsid w:val="00E33FDB"/>
    <w:rsid w:val="00E34532"/>
    <w:rsid w:val="00E356C1"/>
    <w:rsid w:val="00E36216"/>
    <w:rsid w:val="00E3660E"/>
    <w:rsid w:val="00E405A7"/>
    <w:rsid w:val="00E42913"/>
    <w:rsid w:val="00E431F2"/>
    <w:rsid w:val="00E450DF"/>
    <w:rsid w:val="00E5331F"/>
    <w:rsid w:val="00E54503"/>
    <w:rsid w:val="00E56633"/>
    <w:rsid w:val="00E56687"/>
    <w:rsid w:val="00E579CA"/>
    <w:rsid w:val="00E623B6"/>
    <w:rsid w:val="00E62E87"/>
    <w:rsid w:val="00E7075F"/>
    <w:rsid w:val="00E72404"/>
    <w:rsid w:val="00E728F7"/>
    <w:rsid w:val="00E73C2C"/>
    <w:rsid w:val="00E75AB0"/>
    <w:rsid w:val="00E8017A"/>
    <w:rsid w:val="00E8163E"/>
    <w:rsid w:val="00E84A81"/>
    <w:rsid w:val="00E85276"/>
    <w:rsid w:val="00E87848"/>
    <w:rsid w:val="00E900CB"/>
    <w:rsid w:val="00E903D5"/>
    <w:rsid w:val="00E91F32"/>
    <w:rsid w:val="00E95320"/>
    <w:rsid w:val="00EA0208"/>
    <w:rsid w:val="00EA40D8"/>
    <w:rsid w:val="00EA64AB"/>
    <w:rsid w:val="00EB021B"/>
    <w:rsid w:val="00EB0F4C"/>
    <w:rsid w:val="00EB0F96"/>
    <w:rsid w:val="00EB12F1"/>
    <w:rsid w:val="00EB1F86"/>
    <w:rsid w:val="00EB39E9"/>
    <w:rsid w:val="00EB3DC6"/>
    <w:rsid w:val="00EB55AA"/>
    <w:rsid w:val="00EB7A05"/>
    <w:rsid w:val="00EB7F01"/>
    <w:rsid w:val="00EC2045"/>
    <w:rsid w:val="00EC246E"/>
    <w:rsid w:val="00EC26D6"/>
    <w:rsid w:val="00EC2713"/>
    <w:rsid w:val="00EC4973"/>
    <w:rsid w:val="00EC6AAB"/>
    <w:rsid w:val="00EC7216"/>
    <w:rsid w:val="00ED2340"/>
    <w:rsid w:val="00ED26E2"/>
    <w:rsid w:val="00ED43E1"/>
    <w:rsid w:val="00EE00F5"/>
    <w:rsid w:val="00EE20DF"/>
    <w:rsid w:val="00EE24E6"/>
    <w:rsid w:val="00EE72C8"/>
    <w:rsid w:val="00EE7A5A"/>
    <w:rsid w:val="00EF0DF5"/>
    <w:rsid w:val="00EF1622"/>
    <w:rsid w:val="00EF31EB"/>
    <w:rsid w:val="00EF4BDE"/>
    <w:rsid w:val="00EF4CED"/>
    <w:rsid w:val="00EF4F8F"/>
    <w:rsid w:val="00F006D7"/>
    <w:rsid w:val="00F04762"/>
    <w:rsid w:val="00F06F36"/>
    <w:rsid w:val="00F07E22"/>
    <w:rsid w:val="00F10E86"/>
    <w:rsid w:val="00F11390"/>
    <w:rsid w:val="00F119CE"/>
    <w:rsid w:val="00F1281D"/>
    <w:rsid w:val="00F1531B"/>
    <w:rsid w:val="00F15984"/>
    <w:rsid w:val="00F20E38"/>
    <w:rsid w:val="00F240ED"/>
    <w:rsid w:val="00F268AD"/>
    <w:rsid w:val="00F3062D"/>
    <w:rsid w:val="00F31BEF"/>
    <w:rsid w:val="00F32FA2"/>
    <w:rsid w:val="00F3372D"/>
    <w:rsid w:val="00F33C33"/>
    <w:rsid w:val="00F36582"/>
    <w:rsid w:val="00F36D07"/>
    <w:rsid w:val="00F405D9"/>
    <w:rsid w:val="00F4190A"/>
    <w:rsid w:val="00F4479B"/>
    <w:rsid w:val="00F454A0"/>
    <w:rsid w:val="00F5482B"/>
    <w:rsid w:val="00F653CD"/>
    <w:rsid w:val="00F752F9"/>
    <w:rsid w:val="00F776CD"/>
    <w:rsid w:val="00F8143F"/>
    <w:rsid w:val="00F864DE"/>
    <w:rsid w:val="00F877B1"/>
    <w:rsid w:val="00F906D8"/>
    <w:rsid w:val="00F930E8"/>
    <w:rsid w:val="00F94086"/>
    <w:rsid w:val="00F962AE"/>
    <w:rsid w:val="00FA06B8"/>
    <w:rsid w:val="00FA1C98"/>
    <w:rsid w:val="00FA2F88"/>
    <w:rsid w:val="00FA4D5E"/>
    <w:rsid w:val="00FA6F21"/>
    <w:rsid w:val="00FA716D"/>
    <w:rsid w:val="00FB224C"/>
    <w:rsid w:val="00FB4C35"/>
    <w:rsid w:val="00FB7FA9"/>
    <w:rsid w:val="00FC3313"/>
    <w:rsid w:val="00FD6790"/>
    <w:rsid w:val="00FE3C32"/>
    <w:rsid w:val="00FE3CAA"/>
    <w:rsid w:val="00FE4EA4"/>
    <w:rsid w:val="00FE5CB2"/>
    <w:rsid w:val="00FF4266"/>
    <w:rsid w:val="00FF5E88"/>
    <w:rsid w:val="00FF6C4D"/>
    <w:rsid w:val="0F36271E"/>
    <w:rsid w:val="1B141D64"/>
    <w:rsid w:val="27F04740"/>
    <w:rsid w:val="53560DBB"/>
    <w:rsid w:val="6F5ECC1F"/>
    <w:rsid w:val="6F776F9C"/>
    <w:rsid w:val="7BA6A25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68850D7B"/>
  <w15:chartTrackingRefBased/>
  <w15:docId w15:val="{ADD6CCC5-A0BF-48C9-8562-E99FA1FD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01638"/>
    <w:rPr>
      <w:sz w:val="16"/>
      <w:szCs w:val="16"/>
    </w:rPr>
  </w:style>
  <w:style w:type="paragraph" w:styleId="CommentText">
    <w:name w:val="annotation text"/>
    <w:basedOn w:val="Normal"/>
    <w:link w:val="CommentTextChar"/>
    <w:rsid w:val="00D01638"/>
    <w:rPr>
      <w:rFonts w:ascii="Times New Roman" w:hAnsi="Times New Roman"/>
      <w:sz w:val="20"/>
      <w:szCs w:val="20"/>
    </w:rPr>
  </w:style>
  <w:style w:type="character" w:customStyle="1" w:styleId="CommentTextChar">
    <w:name w:val="Comment Text Char"/>
    <w:basedOn w:val="DefaultParagraphFont"/>
    <w:link w:val="CommentText"/>
    <w:rsid w:val="00D01638"/>
  </w:style>
  <w:style w:type="paragraph" w:styleId="BalloonText">
    <w:name w:val="Balloon Text"/>
    <w:basedOn w:val="Normal"/>
    <w:link w:val="BalloonTextChar"/>
    <w:rsid w:val="00D01638"/>
    <w:rPr>
      <w:rFonts w:ascii="Tahoma" w:hAnsi="Tahoma" w:cs="Tahoma"/>
      <w:sz w:val="16"/>
      <w:szCs w:val="16"/>
    </w:rPr>
  </w:style>
  <w:style w:type="character" w:customStyle="1" w:styleId="BalloonTextChar">
    <w:name w:val="Balloon Text Char"/>
    <w:link w:val="BalloonText"/>
    <w:rsid w:val="00D01638"/>
    <w:rPr>
      <w:rFonts w:ascii="Tahoma" w:hAnsi="Tahoma" w:cs="Tahoma"/>
      <w:sz w:val="16"/>
      <w:szCs w:val="16"/>
    </w:rPr>
  </w:style>
  <w:style w:type="paragraph" w:styleId="Header">
    <w:name w:val="header"/>
    <w:basedOn w:val="Normal"/>
    <w:link w:val="HeaderChar"/>
    <w:rsid w:val="003F648B"/>
    <w:pPr>
      <w:tabs>
        <w:tab w:val="center" w:pos="4680"/>
        <w:tab w:val="right" w:pos="9360"/>
      </w:tabs>
    </w:pPr>
  </w:style>
  <w:style w:type="character" w:customStyle="1" w:styleId="HeaderChar">
    <w:name w:val="Header Char"/>
    <w:link w:val="Header"/>
    <w:rsid w:val="003F648B"/>
    <w:rPr>
      <w:rFonts w:ascii="Arial" w:hAnsi="Arial"/>
      <w:sz w:val="22"/>
      <w:szCs w:val="24"/>
    </w:rPr>
  </w:style>
  <w:style w:type="paragraph" w:styleId="Footer">
    <w:name w:val="footer"/>
    <w:basedOn w:val="Normal"/>
    <w:link w:val="FooterChar"/>
    <w:uiPriority w:val="99"/>
    <w:rsid w:val="003F648B"/>
    <w:pPr>
      <w:tabs>
        <w:tab w:val="center" w:pos="4680"/>
        <w:tab w:val="right" w:pos="9360"/>
      </w:tabs>
    </w:pPr>
  </w:style>
  <w:style w:type="character" w:customStyle="1" w:styleId="FooterChar">
    <w:name w:val="Footer Char"/>
    <w:link w:val="Footer"/>
    <w:uiPriority w:val="99"/>
    <w:rsid w:val="003F648B"/>
    <w:rPr>
      <w:rFonts w:ascii="Arial" w:hAnsi="Arial"/>
      <w:sz w:val="22"/>
      <w:szCs w:val="24"/>
    </w:rPr>
  </w:style>
  <w:style w:type="paragraph" w:styleId="PlainText">
    <w:name w:val="Plain Text"/>
    <w:basedOn w:val="Normal"/>
    <w:link w:val="PlainTextChar"/>
    <w:uiPriority w:val="99"/>
    <w:unhideWhenUsed/>
    <w:rsid w:val="007326C4"/>
    <w:rPr>
      <w:rFonts w:eastAsia="Calibri" w:cs="Arial"/>
      <w:szCs w:val="22"/>
    </w:rPr>
  </w:style>
  <w:style w:type="character" w:customStyle="1" w:styleId="PlainTextChar">
    <w:name w:val="Plain Text Char"/>
    <w:link w:val="PlainText"/>
    <w:uiPriority w:val="99"/>
    <w:rsid w:val="007326C4"/>
    <w:rPr>
      <w:rFonts w:ascii="Arial" w:eastAsia="Calibri" w:hAnsi="Arial" w:cs="Arial"/>
      <w:sz w:val="22"/>
      <w:szCs w:val="22"/>
    </w:rPr>
  </w:style>
  <w:style w:type="paragraph" w:styleId="CommentSubject">
    <w:name w:val="annotation subject"/>
    <w:basedOn w:val="CommentText"/>
    <w:next w:val="CommentText"/>
    <w:link w:val="CommentSubjectChar"/>
    <w:rsid w:val="00DF729A"/>
    <w:rPr>
      <w:rFonts w:ascii="Arial" w:hAnsi="Arial"/>
      <w:b/>
      <w:bCs/>
    </w:rPr>
  </w:style>
  <w:style w:type="character" w:customStyle="1" w:styleId="CommentSubjectChar">
    <w:name w:val="Comment Subject Char"/>
    <w:link w:val="CommentSubject"/>
    <w:rsid w:val="00DF729A"/>
    <w:rPr>
      <w:rFonts w:ascii="Arial" w:hAnsi="Arial"/>
      <w:b/>
      <w:bCs/>
    </w:rPr>
  </w:style>
  <w:style w:type="paragraph" w:styleId="Revision">
    <w:name w:val="Revision"/>
    <w:hidden/>
    <w:uiPriority w:val="99"/>
    <w:semiHidden/>
    <w:rsid w:val="00301884"/>
    <w:rPr>
      <w:rFonts w:ascii="Arial" w:hAnsi="Arial"/>
      <w:sz w:val="22"/>
      <w:szCs w:val="24"/>
    </w:rPr>
  </w:style>
  <w:style w:type="paragraph" w:styleId="ListBullet">
    <w:name w:val="List Bullet"/>
    <w:basedOn w:val="Normal"/>
    <w:rsid w:val="008E679A"/>
    <w:pPr>
      <w:numPr>
        <w:numId w:val="6"/>
      </w:numPr>
      <w:contextualSpacing/>
    </w:pPr>
  </w:style>
  <w:style w:type="paragraph" w:styleId="FootnoteText">
    <w:name w:val="footnote text"/>
    <w:basedOn w:val="Normal"/>
    <w:link w:val="FootnoteTextChar"/>
    <w:rsid w:val="00362E08"/>
    <w:rPr>
      <w:sz w:val="20"/>
      <w:szCs w:val="20"/>
    </w:rPr>
  </w:style>
  <w:style w:type="character" w:customStyle="1" w:styleId="FootnoteTextChar">
    <w:name w:val="Footnote Text Char"/>
    <w:link w:val="FootnoteText"/>
    <w:rsid w:val="00362E08"/>
    <w:rPr>
      <w:rFonts w:ascii="Arial" w:hAnsi="Arial"/>
    </w:rPr>
  </w:style>
  <w:style w:type="character" w:styleId="FootnoteReference">
    <w:name w:val="footnote reference"/>
    <w:rsid w:val="00362E08"/>
    <w:rPr>
      <w:vertAlign w:val="superscript"/>
    </w:rPr>
  </w:style>
  <w:style w:type="paragraph" w:styleId="ListParagraph">
    <w:name w:val="List Paragraph"/>
    <w:basedOn w:val="Normal"/>
    <w:uiPriority w:val="34"/>
    <w:qFormat/>
    <w:rsid w:val="00437568"/>
    <w:pPr>
      <w:spacing w:line="276" w:lineRule="auto"/>
      <w:ind w:left="720"/>
      <w:contextualSpacing/>
    </w:pPr>
    <w:rPr>
      <w:rFonts w:eastAsia="Calibri" w:cs="Arial"/>
      <w:szCs w:val="22"/>
    </w:rPr>
  </w:style>
  <w:style w:type="paragraph" w:customStyle="1" w:styleId="Level1">
    <w:name w:val="Level 1"/>
    <w:basedOn w:val="Normal"/>
    <w:rsid w:val="001D2291"/>
    <w:pPr>
      <w:widowControl w:val="0"/>
    </w:pPr>
    <w:rPr>
      <w:rFonts w:ascii="Times New Roman" w:hAnsi="Times New Roman"/>
      <w:sz w:val="24"/>
      <w:szCs w:val="20"/>
    </w:rPr>
  </w:style>
  <w:style w:type="table" w:styleId="TableGrid">
    <w:name w:val="Table Grid"/>
    <w:basedOn w:val="TableNormal"/>
    <w:uiPriority w:val="59"/>
    <w:rsid w:val="00266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007AA6"/>
    <w:rPr>
      <w:rFonts w:eastAsiaTheme="minorHAnsi" w:cs="Arial"/>
      <w:szCs w:val="22"/>
    </w:rPr>
  </w:style>
  <w:style w:type="character" w:styleId="Hyperlink">
    <w:name w:val="Hyperlink"/>
    <w:basedOn w:val="DefaultParagraphFont"/>
    <w:uiPriority w:val="99"/>
    <w:unhideWhenUsed/>
    <w:rsid w:val="00DF0578"/>
    <w:rPr>
      <w:color w:val="0563C1" w:themeColor="hyperlink"/>
      <w:u w:val="single"/>
    </w:rPr>
  </w:style>
  <w:style w:type="character" w:styleId="FollowedHyperlink">
    <w:name w:val="FollowedHyperlink"/>
    <w:basedOn w:val="DefaultParagraphFont"/>
    <w:rsid w:val="00D872B4"/>
    <w:rPr>
      <w:color w:val="954F72" w:themeColor="followedHyperlink"/>
      <w:u w:val="single"/>
    </w:rPr>
  </w:style>
  <w:style w:type="character" w:styleId="UnresolvedMention">
    <w:name w:val="Unresolved Mention"/>
    <w:basedOn w:val="DefaultParagraphFont"/>
    <w:uiPriority w:val="99"/>
    <w:semiHidden/>
    <w:unhideWhenUsed/>
    <w:rsid w:val="006B6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rc.gov/site-help/electronic-sub-ref-mat.html"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2398</Words>
  <Characters>13345</Characters>
  <Application>Microsoft Office Word</Application>
  <DocSecurity>0</DocSecurity>
  <Lines>402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Malinowski</dc:creator>
  <cp:lastModifiedBy>Christina Malinowski</cp:lastModifiedBy>
  <cp:revision>2</cp:revision>
  <dcterms:created xsi:type="dcterms:W3CDTF">2026-03-04T21:28:00Z</dcterms:created>
  <dcterms:modified xsi:type="dcterms:W3CDTF">2026-03-04T21:28:00Z</dcterms:modified>
</cp:coreProperties>
</file>