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A34AB" w:rsidRPr="0063388F" w14:paraId="7F2C14F3" w14:textId="77777777">
      <w:pPr>
        <w:jc w:val="center"/>
        <w:rPr>
          <w:rFonts w:ascii="Times New Roman" w:hAnsi="Times New Roman"/>
          <w:szCs w:val="24"/>
        </w:rPr>
      </w:pPr>
      <w:r w:rsidRPr="0063388F">
        <w:rPr>
          <w:rFonts w:ascii="Times New Roman" w:hAnsi="Times New Roman"/>
          <w:szCs w:val="24"/>
        </w:rPr>
        <w:t>National Credit Union Administration</w:t>
      </w:r>
    </w:p>
    <w:p w:rsidR="001955A6" w14:paraId="592CABDB" w14:textId="77777777">
      <w:pPr>
        <w:jc w:val="center"/>
        <w:rPr>
          <w:rFonts w:ascii="Times New Roman" w:hAnsi="Times New Roman"/>
          <w:b/>
          <w:szCs w:val="24"/>
        </w:rPr>
      </w:pPr>
      <w:r>
        <w:rPr>
          <w:rFonts w:ascii="Times New Roman" w:hAnsi="Times New Roman"/>
          <w:b/>
          <w:szCs w:val="24"/>
        </w:rPr>
        <w:t>SUPPORTING STATEMENT</w:t>
      </w:r>
    </w:p>
    <w:p w:rsidR="00592697" w14:paraId="21C9DAE2" w14:textId="77777777">
      <w:pPr>
        <w:jc w:val="center"/>
        <w:rPr>
          <w:rFonts w:ascii="Times New Roman" w:hAnsi="Times New Roman"/>
          <w:b/>
          <w:szCs w:val="24"/>
        </w:rPr>
      </w:pPr>
    </w:p>
    <w:p w:rsidR="00592697" w:rsidRPr="00BA218B" w14:paraId="57DEE046" w14:textId="77777777">
      <w:pPr>
        <w:jc w:val="center"/>
        <w:rPr>
          <w:rFonts w:ascii="Times New Roman" w:hAnsi="Times New Roman"/>
          <w:bCs/>
          <w:szCs w:val="24"/>
        </w:rPr>
      </w:pPr>
      <w:r w:rsidRPr="00BA218B">
        <w:rPr>
          <w:rFonts w:ascii="Times New Roman" w:hAnsi="Times New Roman"/>
          <w:bCs/>
          <w:szCs w:val="24"/>
        </w:rPr>
        <w:t>Privacy of Consumer Financial Information</w:t>
      </w:r>
    </w:p>
    <w:p w:rsidR="000D7E5D" w:rsidRPr="00BA218B" w14:paraId="1C4EC4E8" w14:textId="77777777">
      <w:pPr>
        <w:jc w:val="center"/>
        <w:rPr>
          <w:rFonts w:ascii="Times New Roman" w:hAnsi="Times New Roman"/>
          <w:bCs/>
          <w:szCs w:val="24"/>
        </w:rPr>
      </w:pPr>
      <w:r w:rsidRPr="00BA218B">
        <w:rPr>
          <w:rFonts w:ascii="Times New Roman" w:hAnsi="Times New Roman"/>
          <w:bCs/>
          <w:szCs w:val="24"/>
        </w:rPr>
        <w:t xml:space="preserve">Recordkeeping and Disclosure Requirements </w:t>
      </w:r>
    </w:p>
    <w:p w:rsidR="000D7E5D" w:rsidRPr="00BA218B" w14:paraId="14E4CC34" w14:textId="77777777">
      <w:pPr>
        <w:jc w:val="center"/>
        <w:rPr>
          <w:rFonts w:ascii="Times New Roman" w:hAnsi="Times New Roman"/>
          <w:bCs/>
          <w:szCs w:val="24"/>
        </w:rPr>
      </w:pPr>
      <w:r w:rsidRPr="00BA218B">
        <w:rPr>
          <w:rFonts w:ascii="Times New Roman" w:hAnsi="Times New Roman"/>
          <w:bCs/>
          <w:szCs w:val="24"/>
        </w:rPr>
        <w:t>Under the Gramm-Leach-Bliley Act and Regulation P, 12 CFR 1016</w:t>
      </w:r>
    </w:p>
    <w:p w:rsidR="0063388F" w:rsidP="00523151" w14:paraId="287AAB27" w14:textId="77777777">
      <w:pPr>
        <w:jc w:val="center"/>
        <w:rPr>
          <w:rFonts w:ascii="Times New Roman" w:hAnsi="Times New Roman"/>
          <w:b/>
          <w:szCs w:val="24"/>
        </w:rPr>
      </w:pPr>
    </w:p>
    <w:p w:rsidR="009160EC" w:rsidRPr="006C4452" w:rsidP="00523151" w14:paraId="0504BCDB" w14:textId="77777777">
      <w:pPr>
        <w:jc w:val="center"/>
        <w:rPr>
          <w:rFonts w:ascii="Times New Roman" w:hAnsi="Times New Roman"/>
          <w:b/>
          <w:szCs w:val="24"/>
        </w:rPr>
      </w:pPr>
      <w:r w:rsidRPr="006C4452">
        <w:rPr>
          <w:rFonts w:ascii="Times New Roman" w:hAnsi="Times New Roman"/>
          <w:b/>
          <w:szCs w:val="24"/>
        </w:rPr>
        <w:t>OMB Control N</w:t>
      </w:r>
      <w:r w:rsidR="000D7E5D">
        <w:rPr>
          <w:rFonts w:ascii="Times New Roman" w:hAnsi="Times New Roman"/>
          <w:b/>
          <w:szCs w:val="24"/>
        </w:rPr>
        <w:t>o.</w:t>
      </w:r>
      <w:r w:rsidR="009A2522">
        <w:rPr>
          <w:rFonts w:ascii="Times New Roman" w:hAnsi="Times New Roman"/>
          <w:b/>
          <w:szCs w:val="24"/>
        </w:rPr>
        <w:t xml:space="preserve"> </w:t>
      </w:r>
      <w:r w:rsidRPr="006C4452">
        <w:rPr>
          <w:rFonts w:ascii="Times New Roman" w:hAnsi="Times New Roman"/>
          <w:b/>
          <w:szCs w:val="24"/>
        </w:rPr>
        <w:t>3133-0163</w:t>
      </w:r>
    </w:p>
    <w:p w:rsidR="009160EC" w:rsidRPr="006C4452" w14:paraId="21CDCE30" w14:textId="77777777">
      <w:pPr>
        <w:jc w:val="center"/>
        <w:rPr>
          <w:rFonts w:ascii="Times New Roman" w:hAnsi="Times New Roman"/>
          <w:b/>
          <w:szCs w:val="24"/>
        </w:rPr>
      </w:pPr>
      <w:r>
        <w:rPr>
          <w:rFonts w:ascii="Times New Roman" w:hAnsi="Times New Roman"/>
          <w:b/>
          <w:szCs w:val="24"/>
        </w:rPr>
        <w:t>______________________________________________________________________</w:t>
      </w:r>
    </w:p>
    <w:p w:rsidR="009160EC" w14:paraId="6F6BDCDA" w14:textId="77777777">
      <w:pPr>
        <w:jc w:val="center"/>
        <w:rPr>
          <w:rFonts w:ascii="Times New Roman" w:hAnsi="Times New Roman"/>
          <w:b/>
          <w:szCs w:val="24"/>
        </w:rPr>
      </w:pPr>
    </w:p>
    <w:p w:rsidR="008A34AB" w:rsidRPr="006C4452" w14:paraId="5A9F91C8" w14:textId="77777777">
      <w:pPr>
        <w:jc w:val="center"/>
        <w:rPr>
          <w:rFonts w:ascii="Times New Roman" w:hAnsi="Times New Roman"/>
          <w:b/>
          <w:szCs w:val="24"/>
        </w:rPr>
      </w:pPr>
    </w:p>
    <w:p w:rsidR="009160EC" w:rsidRPr="006C4452" w14:paraId="36A88C75" w14:textId="77777777">
      <w:pPr>
        <w:rPr>
          <w:rFonts w:ascii="Times New Roman" w:hAnsi="Times New Roman"/>
          <w:szCs w:val="24"/>
        </w:rPr>
      </w:pPr>
      <w:r w:rsidRPr="008575B1">
        <w:rPr>
          <w:rFonts w:ascii="Times New Roman" w:hAnsi="Times New Roman"/>
          <w:b/>
          <w:szCs w:val="24"/>
        </w:rPr>
        <w:t>A.</w:t>
      </w:r>
      <w:r w:rsidRPr="008575B1" w:rsidR="008246BB">
        <w:rPr>
          <w:rFonts w:ascii="Times New Roman" w:hAnsi="Times New Roman"/>
          <w:b/>
          <w:szCs w:val="24"/>
        </w:rPr>
        <w:t xml:space="preserve"> </w:t>
      </w:r>
      <w:r w:rsidR="00D32EE6">
        <w:rPr>
          <w:rFonts w:ascii="Times New Roman" w:hAnsi="Times New Roman"/>
          <w:b/>
          <w:szCs w:val="24"/>
        </w:rPr>
        <w:t xml:space="preserve"> </w:t>
      </w:r>
      <w:r w:rsidRPr="008575B1">
        <w:rPr>
          <w:rFonts w:ascii="Times New Roman" w:hAnsi="Times New Roman"/>
          <w:b/>
          <w:szCs w:val="24"/>
        </w:rPr>
        <w:t>J</w:t>
      </w:r>
      <w:r w:rsidRPr="008575B1" w:rsidR="00523151">
        <w:rPr>
          <w:rFonts w:ascii="Times New Roman" w:hAnsi="Times New Roman"/>
          <w:b/>
          <w:szCs w:val="24"/>
        </w:rPr>
        <w:t>USTIFICATION</w:t>
      </w:r>
    </w:p>
    <w:p w:rsidR="009160EC" w:rsidRPr="006C4452" w14:paraId="7B21466F" w14:textId="77777777">
      <w:pPr>
        <w:rPr>
          <w:rFonts w:ascii="Times New Roman" w:hAnsi="Times New Roman"/>
          <w:b/>
          <w:szCs w:val="24"/>
        </w:rPr>
      </w:pPr>
    </w:p>
    <w:p w:rsidR="009160EC" w:rsidRPr="006C4452" w14:paraId="4697F9AC" w14:textId="77777777">
      <w:pPr>
        <w:rPr>
          <w:rFonts w:ascii="Times New Roman" w:hAnsi="Times New Roman"/>
          <w:b/>
          <w:szCs w:val="24"/>
        </w:rPr>
      </w:pPr>
      <w:r w:rsidRPr="008575B1">
        <w:rPr>
          <w:rFonts w:ascii="Times New Roman" w:hAnsi="Times New Roman"/>
          <w:b/>
          <w:szCs w:val="24"/>
        </w:rPr>
        <w:t xml:space="preserve">1. </w:t>
      </w:r>
      <w:r w:rsidR="00D32EE6">
        <w:rPr>
          <w:rFonts w:ascii="Times New Roman" w:hAnsi="Times New Roman"/>
          <w:b/>
          <w:szCs w:val="24"/>
        </w:rPr>
        <w:t xml:space="preserve"> </w:t>
      </w:r>
      <w:r w:rsidRPr="008575B1">
        <w:rPr>
          <w:rFonts w:ascii="Times New Roman" w:hAnsi="Times New Roman"/>
          <w:b/>
          <w:szCs w:val="24"/>
        </w:rPr>
        <w:t>C</w:t>
      </w:r>
      <w:r w:rsidR="00AD57B5">
        <w:rPr>
          <w:rFonts w:ascii="Times New Roman" w:hAnsi="Times New Roman"/>
          <w:b/>
          <w:szCs w:val="24"/>
        </w:rPr>
        <w:t>ircumstances that make the c</w:t>
      </w:r>
      <w:r w:rsidRPr="008575B1">
        <w:rPr>
          <w:rFonts w:ascii="Times New Roman" w:hAnsi="Times New Roman"/>
          <w:b/>
          <w:szCs w:val="24"/>
        </w:rPr>
        <w:t>ollection</w:t>
      </w:r>
      <w:r w:rsidR="00AD57B5">
        <w:rPr>
          <w:rFonts w:ascii="Times New Roman" w:hAnsi="Times New Roman"/>
          <w:szCs w:val="24"/>
        </w:rPr>
        <w:t xml:space="preserve"> </w:t>
      </w:r>
      <w:r w:rsidRPr="00AD57B5" w:rsidR="00AD57B5">
        <w:rPr>
          <w:rFonts w:ascii="Times New Roman" w:hAnsi="Times New Roman"/>
          <w:b/>
          <w:szCs w:val="24"/>
        </w:rPr>
        <w:t>of information necessary</w:t>
      </w:r>
      <w:r w:rsidR="00807C28">
        <w:rPr>
          <w:rFonts w:ascii="Times New Roman" w:hAnsi="Times New Roman"/>
          <w:b/>
          <w:szCs w:val="24"/>
        </w:rPr>
        <w:t>:</w:t>
      </w:r>
    </w:p>
    <w:p w:rsidR="00380263" w14:paraId="1D47C8F6" w14:textId="77777777">
      <w:pPr>
        <w:rPr>
          <w:rFonts w:ascii="Times New Roman" w:hAnsi="Times New Roman"/>
          <w:szCs w:val="24"/>
        </w:rPr>
      </w:pPr>
    </w:p>
    <w:p w:rsidR="009160EC" w14:paraId="65F54C2C" w14:textId="77777777">
      <w:pPr>
        <w:rPr>
          <w:rFonts w:ascii="Times New Roman" w:hAnsi="Times New Roman"/>
          <w:szCs w:val="24"/>
        </w:rPr>
      </w:pPr>
      <w:r>
        <w:rPr>
          <w:rFonts w:ascii="Times New Roman" w:hAnsi="Times New Roman"/>
          <w:szCs w:val="24"/>
        </w:rPr>
        <w:t>Title V, Subtitle A of the Act</w:t>
      </w:r>
      <w:r w:rsidR="00881B43">
        <w:rPr>
          <w:rFonts w:ascii="Times New Roman" w:hAnsi="Times New Roman"/>
          <w:szCs w:val="24"/>
        </w:rPr>
        <w:t>,</w:t>
      </w:r>
      <w:r>
        <w:rPr>
          <w:rFonts w:ascii="Times New Roman" w:hAnsi="Times New Roman"/>
          <w:szCs w:val="24"/>
        </w:rPr>
        <w:t xml:space="preserve"> governs the treatment of nonpublic personal information about consumers by financial institutions.  </w:t>
      </w:r>
      <w:r w:rsidRPr="006C4452">
        <w:rPr>
          <w:rFonts w:ascii="Times New Roman" w:hAnsi="Times New Roman"/>
          <w:szCs w:val="24"/>
        </w:rPr>
        <w:t>Section 502 of the Act</w:t>
      </w:r>
      <w:r w:rsidR="00881B43">
        <w:rPr>
          <w:rFonts w:ascii="Times New Roman" w:hAnsi="Times New Roman"/>
          <w:szCs w:val="24"/>
        </w:rPr>
        <w:t>, subject to certain exceptions,</w:t>
      </w:r>
      <w:r w:rsidRPr="006C4452">
        <w:rPr>
          <w:rFonts w:ascii="Times New Roman" w:hAnsi="Times New Roman"/>
          <w:szCs w:val="24"/>
        </w:rPr>
        <w:t xml:space="preserve"> prohibits a financial institution from disclosing nonpublic personal information about a consumer to nonaffiliated third parties</w:t>
      </w:r>
      <w:r w:rsidR="00881B43">
        <w:rPr>
          <w:rFonts w:ascii="Times New Roman" w:hAnsi="Times New Roman"/>
          <w:szCs w:val="24"/>
        </w:rPr>
        <w:t>,</w:t>
      </w:r>
      <w:r w:rsidRPr="006C4452">
        <w:rPr>
          <w:rFonts w:ascii="Times New Roman" w:hAnsi="Times New Roman"/>
          <w:szCs w:val="24"/>
        </w:rPr>
        <w:t xml:space="preserve"> unless the institution satisfies various </w:t>
      </w:r>
      <w:r w:rsidR="00881B43">
        <w:rPr>
          <w:rFonts w:ascii="Times New Roman" w:hAnsi="Times New Roman"/>
          <w:szCs w:val="24"/>
        </w:rPr>
        <w:t>notice and opt</w:t>
      </w:r>
      <w:r w:rsidR="00707113">
        <w:rPr>
          <w:rFonts w:ascii="Times New Roman" w:hAnsi="Times New Roman"/>
          <w:szCs w:val="24"/>
        </w:rPr>
        <w:t xml:space="preserve"> </w:t>
      </w:r>
      <w:r w:rsidR="00881B43">
        <w:rPr>
          <w:rFonts w:ascii="Times New Roman" w:hAnsi="Times New Roman"/>
          <w:szCs w:val="24"/>
        </w:rPr>
        <w:t xml:space="preserve">out </w:t>
      </w:r>
      <w:r w:rsidRPr="006C4452">
        <w:rPr>
          <w:rFonts w:ascii="Times New Roman" w:hAnsi="Times New Roman"/>
          <w:szCs w:val="24"/>
        </w:rPr>
        <w:t>requirements</w:t>
      </w:r>
      <w:r w:rsidR="00881B43">
        <w:rPr>
          <w:rFonts w:ascii="Times New Roman" w:hAnsi="Times New Roman"/>
          <w:szCs w:val="24"/>
        </w:rPr>
        <w:t>,</w:t>
      </w:r>
      <w:r w:rsidRPr="006C4452">
        <w:rPr>
          <w:rFonts w:ascii="Times New Roman" w:hAnsi="Times New Roman"/>
          <w:szCs w:val="24"/>
        </w:rPr>
        <w:t xml:space="preserve"> and </w:t>
      </w:r>
      <w:r w:rsidR="00881B43">
        <w:rPr>
          <w:rFonts w:ascii="Times New Roman" w:hAnsi="Times New Roman"/>
          <w:szCs w:val="24"/>
        </w:rPr>
        <w:t xml:space="preserve">provided </w:t>
      </w:r>
      <w:r w:rsidRPr="006C4452">
        <w:rPr>
          <w:rFonts w:ascii="Times New Roman" w:hAnsi="Times New Roman"/>
          <w:szCs w:val="24"/>
        </w:rPr>
        <w:t>the consumer has not elected to opt out of the disclosure.</w:t>
      </w:r>
      <w:r w:rsidR="00881B43">
        <w:rPr>
          <w:rFonts w:ascii="Times New Roman" w:hAnsi="Times New Roman"/>
          <w:szCs w:val="24"/>
        </w:rPr>
        <w:t xml:space="preserve">  Section 503 of the Act requires a financial institution to provide notice of its privacy policies and practices to its customers.  Section 504 of the Act </w:t>
      </w:r>
      <w:r w:rsidR="007E599C">
        <w:rPr>
          <w:rFonts w:ascii="Times New Roman" w:hAnsi="Times New Roman"/>
          <w:szCs w:val="24"/>
        </w:rPr>
        <w:t xml:space="preserve">originally </w:t>
      </w:r>
      <w:r w:rsidR="004A5B02">
        <w:rPr>
          <w:rFonts w:ascii="Times New Roman" w:hAnsi="Times New Roman"/>
          <w:szCs w:val="24"/>
        </w:rPr>
        <w:t>granted rulemaking authority for the privacy provisions of the Act to be shared by eight Federal agencies:  the Board of Governors of the Federal Reserve System (FRB), the Federal Deposit Insurance Corporation (FDIC), the Office of the Comptroller of the Currency (OCC), the Office of Thrift Supervision (OTS), the National Credit Union Administration (NCUA), the Federal Trade Commission (FTC), the Securities and Exchange Commission (SEC), and the Commodity Futures Trading Commission (CFTC).  Each of the agencies issued rules (which were consistent and comparable) to implement the Act’s privacy provisions.</w:t>
      </w:r>
    </w:p>
    <w:p w:rsidR="004A5B02" w14:paraId="0E7826C7" w14:textId="77777777">
      <w:pPr>
        <w:rPr>
          <w:rFonts w:ascii="Times New Roman" w:hAnsi="Times New Roman"/>
          <w:szCs w:val="24"/>
        </w:rPr>
      </w:pPr>
    </w:p>
    <w:p w:rsidR="006D20E5" w14:paraId="32745E43" w14:textId="77777777">
      <w:pPr>
        <w:rPr>
          <w:rFonts w:ascii="Times New Roman" w:hAnsi="Times New Roman"/>
          <w:szCs w:val="24"/>
        </w:rPr>
      </w:pPr>
      <w:r>
        <w:rPr>
          <w:rFonts w:ascii="Times New Roman" w:hAnsi="Times New Roman"/>
          <w:szCs w:val="24"/>
        </w:rPr>
        <w:t>The Dodd-Frank Wall Street Reform and Consumer Protection Act (DFA) amended a number of consumer financial protection laws, including the Act.  Among other changes, the DFA transferred rulemaking authority for most of Subtitle A of Title V of the Act, with respect to financial institutions described in section 504(a)(1)(A) of the Act, from FRB, FDIC, OCC, OTS, and NCUA</w:t>
      </w:r>
      <w:r w:rsidR="00380263">
        <w:rPr>
          <w:rFonts w:ascii="Times New Roman" w:hAnsi="Times New Roman"/>
          <w:szCs w:val="24"/>
        </w:rPr>
        <w:t xml:space="preserve"> to the Consumer Financial Protection Bureau (CFPB)</w:t>
      </w:r>
      <w:r>
        <w:rPr>
          <w:rFonts w:ascii="Times New Roman" w:hAnsi="Times New Roman"/>
          <w:szCs w:val="24"/>
        </w:rPr>
        <w:t>.</w:t>
      </w:r>
      <w:r w:rsidR="00326360">
        <w:rPr>
          <w:rFonts w:ascii="Times New Roman" w:hAnsi="Times New Roman"/>
          <w:szCs w:val="24"/>
        </w:rPr>
        <w:t xml:space="preserve">  Pursuant to the DF</w:t>
      </w:r>
      <w:r w:rsidR="00FC193F">
        <w:rPr>
          <w:rFonts w:ascii="Times New Roman" w:hAnsi="Times New Roman"/>
          <w:szCs w:val="24"/>
        </w:rPr>
        <w:t>A and the Act, as amended, the CFPB</w:t>
      </w:r>
      <w:r w:rsidR="00380263">
        <w:rPr>
          <w:rFonts w:ascii="Times New Roman" w:hAnsi="Times New Roman"/>
          <w:szCs w:val="24"/>
        </w:rPr>
        <w:t xml:space="preserve"> </w:t>
      </w:r>
      <w:r w:rsidR="00FC193F">
        <w:rPr>
          <w:rFonts w:ascii="Times New Roman" w:hAnsi="Times New Roman"/>
          <w:szCs w:val="24"/>
        </w:rPr>
        <w:t>promulgated Regulation P, 12 CFR 1016, to implement those privacy provisions of the Act for which CFPB has rulemaking authority.</w:t>
      </w:r>
    </w:p>
    <w:p w:rsidR="0090745D" w14:paraId="3550EC22" w14:textId="77777777">
      <w:pPr>
        <w:rPr>
          <w:rFonts w:ascii="Times New Roman" w:hAnsi="Times New Roman"/>
          <w:szCs w:val="24"/>
        </w:rPr>
      </w:pPr>
    </w:p>
    <w:p w:rsidR="0090745D" w14:paraId="7C7FAC3D" w14:textId="77777777">
      <w:pPr>
        <w:rPr>
          <w:rFonts w:ascii="Times New Roman" w:hAnsi="Times New Roman"/>
          <w:szCs w:val="24"/>
        </w:rPr>
      </w:pPr>
      <w:r>
        <w:rPr>
          <w:rFonts w:ascii="Times New Roman" w:hAnsi="Times New Roman"/>
          <w:szCs w:val="24"/>
        </w:rPr>
        <w:t>Regulation P implements the requirements of the Act to provide consumers with financial institutions’ privacy policies and practices, as well as describes when the consumer’s information may be shared with nonaffiliated third parties, and provides a method for consumers to prevent disclosure of their information to nonaffiliated third parties by opting out of that disclosure.  Regulation P details the specifics of how the Act should be implemented, which companies and situations this applies to, and the method of delivering the information to consumers.</w:t>
      </w:r>
    </w:p>
    <w:p w:rsidR="002519F2" w14:paraId="48FFA2D6" w14:textId="77777777">
      <w:pPr>
        <w:rPr>
          <w:rFonts w:ascii="Times New Roman" w:hAnsi="Times New Roman"/>
          <w:szCs w:val="24"/>
        </w:rPr>
      </w:pPr>
    </w:p>
    <w:p w:rsidR="009160EC" w14:paraId="1216BD31" w14:textId="77777777">
      <w:pPr>
        <w:rPr>
          <w:rFonts w:ascii="Times New Roman" w:hAnsi="Times New Roman"/>
          <w:szCs w:val="24"/>
        </w:rPr>
      </w:pPr>
      <w:r>
        <w:rPr>
          <w:rFonts w:ascii="Times New Roman" w:hAnsi="Times New Roman"/>
          <w:szCs w:val="24"/>
        </w:rPr>
        <w:t xml:space="preserve">Regulation P includes model forms that can be used to comply with the disclosure requirements of the Act and Regulation P, although the use of the model forms is not required.  </w:t>
      </w:r>
      <w:r w:rsidRPr="00364DC4">
        <w:rPr>
          <w:rFonts w:ascii="Times New Roman" w:hAnsi="Times New Roman"/>
          <w:szCs w:val="24"/>
          <w:u w:val="single"/>
        </w:rPr>
        <w:t>See</w:t>
      </w:r>
      <w:r>
        <w:rPr>
          <w:rFonts w:ascii="Times New Roman" w:hAnsi="Times New Roman"/>
          <w:szCs w:val="24"/>
        </w:rPr>
        <w:t xml:space="preserve"> Appendix to Regulation P.</w:t>
      </w:r>
    </w:p>
    <w:p w:rsidR="003040B7" w14:paraId="0D64C54A" w14:textId="77777777">
      <w:pPr>
        <w:rPr>
          <w:rFonts w:ascii="Times New Roman" w:hAnsi="Times New Roman"/>
          <w:szCs w:val="24"/>
        </w:rPr>
      </w:pPr>
    </w:p>
    <w:p w:rsidR="003040B7" w:rsidRPr="006C4452" w14:paraId="6DF15C1B" w14:textId="77777777">
      <w:pPr>
        <w:rPr>
          <w:rFonts w:ascii="Times New Roman" w:hAnsi="Times New Roman"/>
          <w:szCs w:val="24"/>
        </w:rPr>
      </w:pPr>
      <w:r>
        <w:rPr>
          <w:rFonts w:ascii="Times New Roman" w:hAnsi="Times New Roman"/>
          <w:szCs w:val="24"/>
        </w:rPr>
        <w:t xml:space="preserve">This information collection is necessary to provide credit union customers with the information </w:t>
      </w:r>
      <w:r w:rsidR="00707113">
        <w:rPr>
          <w:rFonts w:ascii="Times New Roman" w:hAnsi="Times New Roman"/>
          <w:szCs w:val="24"/>
        </w:rPr>
        <w:t xml:space="preserve">they need to understand and opt </w:t>
      </w:r>
      <w:r>
        <w:rPr>
          <w:rFonts w:ascii="Times New Roman" w:hAnsi="Times New Roman"/>
          <w:szCs w:val="24"/>
        </w:rPr>
        <w:t>out of policies governing the sharing of consumer financial information with nonaffiliated third parties.  This information allows consumers to take an active role in protecting their financial information if they so choose.</w:t>
      </w:r>
    </w:p>
    <w:p w:rsidR="009160EC" w:rsidRPr="006C4452" w14:paraId="5F6768CD" w14:textId="77777777">
      <w:pPr>
        <w:rPr>
          <w:rFonts w:ascii="Times New Roman" w:hAnsi="Times New Roman"/>
          <w:szCs w:val="24"/>
        </w:rPr>
      </w:pPr>
    </w:p>
    <w:p w:rsidR="009160EC" w:rsidRPr="004B66C1" w14:paraId="1D2C5704" w14:textId="77777777">
      <w:pPr>
        <w:rPr>
          <w:rFonts w:ascii="Times New Roman" w:hAnsi="Times New Roman"/>
          <w:b/>
          <w:i/>
          <w:szCs w:val="24"/>
        </w:rPr>
      </w:pPr>
      <w:r w:rsidRPr="004B66C1">
        <w:rPr>
          <w:rFonts w:ascii="Times New Roman" w:hAnsi="Times New Roman"/>
          <w:b/>
          <w:szCs w:val="24"/>
        </w:rPr>
        <w:t xml:space="preserve">2. </w:t>
      </w:r>
      <w:r w:rsidRPr="004B66C1" w:rsidR="00D32EE6">
        <w:rPr>
          <w:rFonts w:ascii="Times New Roman" w:hAnsi="Times New Roman"/>
          <w:b/>
          <w:szCs w:val="24"/>
        </w:rPr>
        <w:t xml:space="preserve"> </w:t>
      </w:r>
      <w:r w:rsidRPr="004B66C1" w:rsidR="004B66C1">
        <w:rPr>
          <w:rFonts w:ascii="Times New Roman" w:hAnsi="Times New Roman"/>
          <w:b/>
          <w:szCs w:val="24"/>
        </w:rPr>
        <w:t xml:space="preserve">Purpose and </w:t>
      </w:r>
      <w:r w:rsidR="00AD57B5">
        <w:rPr>
          <w:rFonts w:ascii="Times New Roman" w:hAnsi="Times New Roman"/>
          <w:b/>
          <w:szCs w:val="24"/>
        </w:rPr>
        <w:t>u</w:t>
      </w:r>
      <w:r w:rsidRPr="004B66C1">
        <w:rPr>
          <w:rFonts w:ascii="Times New Roman" w:hAnsi="Times New Roman"/>
          <w:b/>
          <w:szCs w:val="24"/>
        </w:rPr>
        <w:t xml:space="preserve">se of the </w:t>
      </w:r>
      <w:r w:rsidR="00AD57B5">
        <w:rPr>
          <w:rFonts w:ascii="Times New Roman" w:hAnsi="Times New Roman"/>
          <w:b/>
          <w:szCs w:val="24"/>
        </w:rPr>
        <w:t>i</w:t>
      </w:r>
      <w:r w:rsidRPr="004B66C1">
        <w:rPr>
          <w:rFonts w:ascii="Times New Roman" w:hAnsi="Times New Roman"/>
          <w:b/>
          <w:szCs w:val="24"/>
        </w:rPr>
        <w:t>nformation</w:t>
      </w:r>
      <w:r w:rsidRPr="004B66C1" w:rsidR="004B66C1">
        <w:rPr>
          <w:rFonts w:ascii="Times New Roman" w:hAnsi="Times New Roman"/>
          <w:b/>
          <w:szCs w:val="24"/>
        </w:rPr>
        <w:t xml:space="preserve"> </w:t>
      </w:r>
      <w:r w:rsidR="00AD57B5">
        <w:rPr>
          <w:rFonts w:ascii="Times New Roman" w:hAnsi="Times New Roman"/>
          <w:b/>
          <w:szCs w:val="24"/>
        </w:rPr>
        <w:t>c</w:t>
      </w:r>
      <w:r w:rsidRPr="004B66C1" w:rsidR="004B66C1">
        <w:rPr>
          <w:rFonts w:ascii="Times New Roman" w:hAnsi="Times New Roman"/>
          <w:b/>
          <w:szCs w:val="24"/>
        </w:rPr>
        <w:t>ollect</w:t>
      </w:r>
      <w:r w:rsidR="00AD57B5">
        <w:rPr>
          <w:rFonts w:ascii="Times New Roman" w:hAnsi="Times New Roman"/>
          <w:b/>
          <w:szCs w:val="24"/>
        </w:rPr>
        <w:t>ed</w:t>
      </w:r>
      <w:r w:rsidR="00807C28">
        <w:rPr>
          <w:rFonts w:ascii="Times New Roman" w:hAnsi="Times New Roman"/>
          <w:b/>
          <w:szCs w:val="24"/>
        </w:rPr>
        <w:t>:</w:t>
      </w:r>
    </w:p>
    <w:p w:rsidR="009160EC" w:rsidRPr="006C4452" w14:paraId="79EA527E" w14:textId="77777777">
      <w:pPr>
        <w:rPr>
          <w:rFonts w:ascii="Times New Roman" w:hAnsi="Times New Roman"/>
          <w:b/>
          <w:szCs w:val="24"/>
        </w:rPr>
      </w:pPr>
    </w:p>
    <w:p w:rsidR="00AF63BA" w14:paraId="2D6BB63E" w14:textId="77777777">
      <w:pPr>
        <w:rPr>
          <w:rFonts w:ascii="Times New Roman" w:hAnsi="Times New Roman"/>
          <w:szCs w:val="24"/>
        </w:rPr>
      </w:pPr>
      <w:r>
        <w:rPr>
          <w:rFonts w:ascii="Times New Roman" w:hAnsi="Times New Roman"/>
          <w:szCs w:val="24"/>
        </w:rPr>
        <w:t>Subpart A of Regulation P prescribes the required disclosures for privacy and opt-out notices.  The opt-out provisions of Regulation P enable consumers to prevent a financial institution from disclosing nonpublic personal information to third parties not affiliated with the financial institution.  The provisions do not restrict the disclosure of nonpublic personal information among affiliated companies nor do they restrict the disclosure of information about businesses or corporations.</w:t>
      </w:r>
    </w:p>
    <w:p w:rsidR="000B10E6" w14:paraId="183B35C7" w14:textId="77777777">
      <w:pPr>
        <w:rPr>
          <w:rFonts w:ascii="Times New Roman" w:hAnsi="Times New Roman"/>
          <w:szCs w:val="24"/>
        </w:rPr>
      </w:pPr>
    </w:p>
    <w:p w:rsidR="000B10E6" w14:paraId="328AD12F" w14:textId="77777777">
      <w:pPr>
        <w:rPr>
          <w:rFonts w:ascii="Times New Roman" w:hAnsi="Times New Roman"/>
          <w:szCs w:val="24"/>
        </w:rPr>
      </w:pPr>
      <w:r>
        <w:rPr>
          <w:rFonts w:ascii="Times New Roman" w:hAnsi="Times New Roman"/>
          <w:szCs w:val="24"/>
        </w:rPr>
        <w:t>Privacy and Opt-Out Notices (Subpart A):  Regulation P imposes three disclosure requirements on financial institutions:  initial privacy notice, annual privacy notice, and revised privacy notice.  Each of these notices may have to include an opt-out notice, depending upon the information sharing practices of the financial institution.  In addition, Regulation P imposes two reporting requirements on consumers:  an initial notification that the consumer elects to opt out (if the consumer so chooses), and a notification to the financial institutions during the course of the relationship if the consumer elects to change his or her opt-out status.</w:t>
      </w:r>
    </w:p>
    <w:p w:rsidR="000B10E6" w14:paraId="1287D344" w14:textId="77777777">
      <w:pPr>
        <w:rPr>
          <w:rFonts w:ascii="Times New Roman" w:hAnsi="Times New Roman"/>
          <w:szCs w:val="24"/>
        </w:rPr>
      </w:pPr>
    </w:p>
    <w:p w:rsidR="000B10E6" w:rsidRPr="003F1F66" w14:paraId="7FC08D59" w14:textId="77777777">
      <w:pPr>
        <w:rPr>
          <w:rFonts w:ascii="Times New Roman" w:hAnsi="Times New Roman"/>
          <w:szCs w:val="24"/>
          <w:u w:val="single"/>
        </w:rPr>
      </w:pPr>
      <w:r w:rsidRPr="003F1F66">
        <w:rPr>
          <w:rFonts w:ascii="Times New Roman" w:hAnsi="Times New Roman"/>
          <w:szCs w:val="24"/>
          <w:u w:val="single"/>
        </w:rPr>
        <w:t>Financial Institutions’ Disclosure Requirements:</w:t>
      </w:r>
    </w:p>
    <w:p w:rsidR="000B10E6" w14:paraId="18FB91A3" w14:textId="77777777">
      <w:pPr>
        <w:rPr>
          <w:rFonts w:ascii="Times New Roman" w:hAnsi="Times New Roman"/>
          <w:szCs w:val="24"/>
        </w:rPr>
      </w:pPr>
    </w:p>
    <w:p w:rsidR="000B10E6" w:rsidP="008575B1" w14:paraId="060EC8E6" w14:textId="77777777">
      <w:pPr>
        <w:ind w:left="720"/>
        <w:rPr>
          <w:rFonts w:ascii="Times New Roman" w:hAnsi="Times New Roman"/>
          <w:szCs w:val="24"/>
        </w:rPr>
      </w:pPr>
      <w:r>
        <w:rPr>
          <w:rFonts w:ascii="Times New Roman" w:hAnsi="Times New Roman"/>
          <w:szCs w:val="24"/>
        </w:rPr>
        <w:t xml:space="preserve">Initial Privacy Notice to Consumers (12 CFR </w:t>
      </w:r>
      <w:r w:rsidR="002B3E4D">
        <w:rPr>
          <w:rFonts w:ascii="Times New Roman" w:hAnsi="Times New Roman"/>
          <w:szCs w:val="24"/>
        </w:rPr>
        <w:t>1016.4):  A financial institution’s notice must be clear and conspicuous and must accurately reflect its privacy policies and practices.  A financial institution is not required to provide an initial notice to</w:t>
      </w:r>
      <w:r w:rsidR="00625B41">
        <w:rPr>
          <w:rFonts w:ascii="Times New Roman" w:hAnsi="Times New Roman"/>
          <w:szCs w:val="24"/>
        </w:rPr>
        <w:t xml:space="preserve"> a consumer if it does not have a customer relationship with the consumer and it does not disclose any nonpublic personal information about the consumer to any nonaffiliated third party, other than as authorized by Regulation P.</w:t>
      </w:r>
    </w:p>
    <w:p w:rsidR="00625B41" w14:paraId="003DD941" w14:textId="77777777">
      <w:pPr>
        <w:rPr>
          <w:rFonts w:ascii="Times New Roman" w:hAnsi="Times New Roman"/>
          <w:szCs w:val="24"/>
        </w:rPr>
      </w:pPr>
    </w:p>
    <w:p w:rsidR="00625B41" w:rsidP="008575B1" w14:paraId="5FC440D8" w14:textId="77777777">
      <w:pPr>
        <w:ind w:left="720"/>
        <w:rPr>
          <w:rFonts w:ascii="Times New Roman" w:hAnsi="Times New Roman"/>
          <w:szCs w:val="24"/>
        </w:rPr>
      </w:pPr>
      <w:r>
        <w:rPr>
          <w:rFonts w:ascii="Times New Roman" w:hAnsi="Times New Roman"/>
          <w:szCs w:val="24"/>
        </w:rPr>
        <w:t>Annual Privacy Notice to Customers (12 CFR 1016.5):  Financial institutions must provide to customers a clear and conspicuous notice that accurately reflects an institution’s privacy policies and practices not less than once in a twelve-month period during the continuation of the customer relationship.</w:t>
      </w:r>
    </w:p>
    <w:p w:rsidR="00E474B3" w:rsidP="008575B1" w14:paraId="06F87B16" w14:textId="77777777">
      <w:pPr>
        <w:ind w:left="720"/>
        <w:rPr>
          <w:rFonts w:ascii="Times New Roman" w:hAnsi="Times New Roman"/>
          <w:szCs w:val="24"/>
        </w:rPr>
      </w:pPr>
    </w:p>
    <w:p w:rsidR="00E474B3" w:rsidP="008575B1" w14:paraId="0596A9FA" w14:textId="77777777">
      <w:pPr>
        <w:ind w:left="720"/>
        <w:rPr>
          <w:rFonts w:ascii="Times New Roman" w:hAnsi="Times New Roman"/>
          <w:szCs w:val="24"/>
        </w:rPr>
      </w:pPr>
      <w:r>
        <w:rPr>
          <w:rFonts w:ascii="Times New Roman" w:hAnsi="Times New Roman"/>
          <w:szCs w:val="24"/>
        </w:rPr>
        <w:t>Exception to Annual Privacy Notice Requirement (12 CFR 1016.5(e)</w:t>
      </w:r>
      <w:r w:rsidR="0025150D">
        <w:rPr>
          <w:rFonts w:ascii="Times New Roman" w:hAnsi="Times New Roman"/>
          <w:szCs w:val="24"/>
        </w:rPr>
        <w:t>)</w:t>
      </w:r>
      <w:r>
        <w:rPr>
          <w:rFonts w:ascii="Times New Roman" w:hAnsi="Times New Roman"/>
          <w:szCs w:val="24"/>
        </w:rPr>
        <w:t xml:space="preserve">:  </w:t>
      </w:r>
      <w:r w:rsidR="00012FDD">
        <w:rPr>
          <w:rFonts w:ascii="Times New Roman" w:hAnsi="Times New Roman"/>
          <w:szCs w:val="24"/>
        </w:rPr>
        <w:t>On December 4, 2015, Congress amended the Act as part of the Fixing America’s Surface Transportation Act, Public Law 114-94</w:t>
      </w:r>
      <w:r w:rsidR="00E2042C">
        <w:rPr>
          <w:rFonts w:ascii="Times New Roman" w:hAnsi="Times New Roman"/>
          <w:szCs w:val="24"/>
        </w:rPr>
        <w:t xml:space="preserve"> (FAST Act)</w:t>
      </w:r>
      <w:r w:rsidR="00012FDD">
        <w:rPr>
          <w:rFonts w:ascii="Times New Roman" w:hAnsi="Times New Roman"/>
          <w:szCs w:val="24"/>
        </w:rPr>
        <w:t xml:space="preserve">.  This amendment, titled, Eliminate Privacy Notice Confusion, added a new </w:t>
      </w:r>
      <w:r w:rsidR="00600158">
        <w:rPr>
          <w:rFonts w:ascii="Times New Roman" w:hAnsi="Times New Roman"/>
          <w:szCs w:val="24"/>
        </w:rPr>
        <w:t>sub</w:t>
      </w:r>
      <w:r w:rsidR="00012FDD">
        <w:rPr>
          <w:rFonts w:ascii="Times New Roman" w:hAnsi="Times New Roman"/>
          <w:szCs w:val="24"/>
        </w:rPr>
        <w:t>section 503(f) to the Act.  This subsection provides an exception under which financial institutions, including federally-insured credit unions that meet certain conditions</w:t>
      </w:r>
      <w:r w:rsidR="00600158">
        <w:rPr>
          <w:rFonts w:ascii="Times New Roman" w:hAnsi="Times New Roman"/>
          <w:szCs w:val="24"/>
        </w:rPr>
        <w:t>,</w:t>
      </w:r>
      <w:r w:rsidR="00012FDD">
        <w:rPr>
          <w:rFonts w:ascii="Times New Roman" w:hAnsi="Times New Roman"/>
          <w:szCs w:val="24"/>
        </w:rPr>
        <w:t xml:space="preserve"> are not required to provide annual privacy notices to </w:t>
      </w:r>
      <w:r w:rsidR="00012FDD">
        <w:rPr>
          <w:rFonts w:ascii="Times New Roman" w:hAnsi="Times New Roman"/>
          <w:szCs w:val="24"/>
        </w:rPr>
        <w:t xml:space="preserve">customers.  </w:t>
      </w:r>
      <w:r w:rsidR="00600158">
        <w:rPr>
          <w:rFonts w:ascii="Times New Roman" w:hAnsi="Times New Roman"/>
          <w:szCs w:val="24"/>
        </w:rPr>
        <w:t>To qualify for the exception, s</w:t>
      </w:r>
      <w:r w:rsidR="00012FDD">
        <w:rPr>
          <w:rFonts w:ascii="Times New Roman" w:hAnsi="Times New Roman"/>
          <w:szCs w:val="24"/>
        </w:rPr>
        <w:t xml:space="preserve">ection 503(f)(1) </w:t>
      </w:r>
      <w:r w:rsidR="00600158">
        <w:rPr>
          <w:rFonts w:ascii="Times New Roman" w:hAnsi="Times New Roman"/>
          <w:szCs w:val="24"/>
        </w:rPr>
        <w:t xml:space="preserve">prohibits </w:t>
      </w:r>
      <w:r w:rsidR="00012FDD">
        <w:rPr>
          <w:rFonts w:ascii="Times New Roman" w:hAnsi="Times New Roman"/>
          <w:szCs w:val="24"/>
        </w:rPr>
        <w:t xml:space="preserve">a financial institution </w:t>
      </w:r>
      <w:r w:rsidR="00600158">
        <w:rPr>
          <w:rFonts w:ascii="Times New Roman" w:hAnsi="Times New Roman"/>
          <w:szCs w:val="24"/>
        </w:rPr>
        <w:t xml:space="preserve">from sharing </w:t>
      </w:r>
      <w:r w:rsidR="00012FDD">
        <w:rPr>
          <w:rFonts w:ascii="Times New Roman" w:hAnsi="Times New Roman"/>
          <w:szCs w:val="24"/>
        </w:rPr>
        <w:t>nonpublic personal information about customers</w:t>
      </w:r>
      <w:r w:rsidR="00600158">
        <w:rPr>
          <w:rFonts w:ascii="Times New Roman" w:hAnsi="Times New Roman"/>
          <w:szCs w:val="24"/>
        </w:rPr>
        <w:t>,</w:t>
      </w:r>
      <w:r w:rsidR="00012FDD">
        <w:rPr>
          <w:rFonts w:ascii="Times New Roman" w:hAnsi="Times New Roman"/>
          <w:szCs w:val="24"/>
        </w:rPr>
        <w:t xml:space="preserve"> except as described in certain statutory exceptions.  (Sharing</w:t>
      </w:r>
      <w:r w:rsidR="00600158">
        <w:rPr>
          <w:rFonts w:ascii="Times New Roman" w:hAnsi="Times New Roman"/>
          <w:szCs w:val="24"/>
        </w:rPr>
        <w:t>,</w:t>
      </w:r>
      <w:r w:rsidR="00012FDD">
        <w:rPr>
          <w:rFonts w:ascii="Times New Roman" w:hAnsi="Times New Roman"/>
          <w:szCs w:val="24"/>
        </w:rPr>
        <w:t xml:space="preserve"> as described in these specified statutory exceptions</w:t>
      </w:r>
      <w:r w:rsidR="00600158">
        <w:rPr>
          <w:rFonts w:ascii="Times New Roman" w:hAnsi="Times New Roman"/>
          <w:szCs w:val="24"/>
        </w:rPr>
        <w:t>,</w:t>
      </w:r>
      <w:r w:rsidR="00012FDD">
        <w:rPr>
          <w:rFonts w:ascii="Times New Roman" w:hAnsi="Times New Roman"/>
          <w:szCs w:val="24"/>
        </w:rPr>
        <w:t xml:space="preserve"> does not trigger the customer’s statutory right to opt out of the financial institution’s sharing.)  In addition, section 503(f)(2) requires that the financial institution must not have changed its policies and practices with regard to disclosing nonpublic personal information from those that the institution disclosed in the most recent privacy notice it sent.</w:t>
      </w:r>
    </w:p>
    <w:p w:rsidR="00012FDD" w:rsidP="008575B1" w14:paraId="00038B08" w14:textId="77777777">
      <w:pPr>
        <w:ind w:left="720"/>
        <w:rPr>
          <w:rFonts w:ascii="Times New Roman" w:hAnsi="Times New Roman"/>
          <w:szCs w:val="24"/>
        </w:rPr>
      </w:pPr>
    </w:p>
    <w:p w:rsidR="00012FDD" w:rsidP="008575B1" w14:paraId="22F94FA8" w14:textId="15D77508">
      <w:pPr>
        <w:ind w:left="720"/>
        <w:rPr>
          <w:rFonts w:ascii="Times New Roman" w:hAnsi="Times New Roman"/>
          <w:szCs w:val="24"/>
        </w:rPr>
      </w:pPr>
      <w:r>
        <w:rPr>
          <w:rFonts w:ascii="Times New Roman" w:hAnsi="Times New Roman"/>
          <w:szCs w:val="24"/>
        </w:rPr>
        <w:t>Section 503(f) took effect upon enactment in December 2015.</w:t>
      </w:r>
      <w:r w:rsidR="009F043B">
        <w:rPr>
          <w:rFonts w:ascii="Times New Roman" w:hAnsi="Times New Roman"/>
          <w:szCs w:val="24"/>
        </w:rPr>
        <w:t xml:space="preserve">  </w:t>
      </w:r>
      <w:r w:rsidR="00086647">
        <w:rPr>
          <w:rFonts w:ascii="Times New Roman" w:hAnsi="Times New Roman"/>
          <w:szCs w:val="24"/>
        </w:rPr>
        <w:t>The CFPB issued a final rule amending Regulation P to reflect the changes in the underlying law, published in the Federal Register o</w:t>
      </w:r>
      <w:r>
        <w:rPr>
          <w:rFonts w:ascii="Times New Roman" w:hAnsi="Times New Roman"/>
          <w:szCs w:val="24"/>
        </w:rPr>
        <w:t>n August 17, 2018</w:t>
      </w:r>
      <w:r w:rsidR="00E62693">
        <w:rPr>
          <w:rFonts w:ascii="Times New Roman" w:hAnsi="Times New Roman"/>
          <w:szCs w:val="24"/>
          <w:u w:val="single"/>
        </w:rPr>
        <w:t xml:space="preserve"> (83 FR 40945)</w:t>
      </w:r>
      <w:r>
        <w:rPr>
          <w:rFonts w:ascii="Times New Roman" w:hAnsi="Times New Roman"/>
          <w:szCs w:val="24"/>
        </w:rPr>
        <w:t>.</w:t>
      </w:r>
    </w:p>
    <w:p w:rsidR="00625B41" w14:paraId="517197C7" w14:textId="77777777">
      <w:pPr>
        <w:rPr>
          <w:rFonts w:ascii="Times New Roman" w:hAnsi="Times New Roman"/>
          <w:szCs w:val="24"/>
        </w:rPr>
      </w:pPr>
    </w:p>
    <w:p w:rsidR="00625B41" w:rsidP="008575B1" w14:paraId="0DD89A5B" w14:textId="77777777">
      <w:pPr>
        <w:ind w:left="720"/>
        <w:rPr>
          <w:rFonts w:ascii="Times New Roman" w:hAnsi="Times New Roman"/>
          <w:szCs w:val="24"/>
        </w:rPr>
      </w:pPr>
      <w:r w:rsidRPr="008575B1">
        <w:rPr>
          <w:rFonts w:ascii="Times New Roman" w:hAnsi="Times New Roman"/>
          <w:szCs w:val="24"/>
          <w:u w:val="single"/>
        </w:rPr>
        <w:t>Information to be included in privacy notices</w:t>
      </w:r>
      <w:r w:rsidR="00F07E70">
        <w:rPr>
          <w:rFonts w:ascii="Times New Roman" w:hAnsi="Times New Roman"/>
          <w:szCs w:val="24"/>
          <w:u w:val="single"/>
        </w:rPr>
        <w:t xml:space="preserve"> (12 CFR 1016.6)</w:t>
      </w:r>
      <w:r w:rsidRPr="008575B1">
        <w:rPr>
          <w:rFonts w:ascii="Times New Roman" w:hAnsi="Times New Roman"/>
          <w:szCs w:val="24"/>
          <w:u w:val="single"/>
        </w:rPr>
        <w:t>:</w:t>
      </w:r>
      <w:r>
        <w:rPr>
          <w:rFonts w:ascii="Times New Roman" w:hAnsi="Times New Roman"/>
          <w:szCs w:val="24"/>
        </w:rPr>
        <w:t xml:space="preserve">  The initial notice and annual notice each must include all of the following items of information:</w:t>
      </w:r>
    </w:p>
    <w:p w:rsidR="00625B41" w14:paraId="49A643D0" w14:textId="77777777">
      <w:pPr>
        <w:rPr>
          <w:rFonts w:ascii="Times New Roman" w:hAnsi="Times New Roman"/>
          <w:szCs w:val="24"/>
        </w:rPr>
      </w:pPr>
    </w:p>
    <w:p w:rsidR="00625B41" w:rsidP="008575B1" w14:paraId="0A846998" w14:textId="77777777">
      <w:pPr>
        <w:numPr>
          <w:ilvl w:val="0"/>
          <w:numId w:val="1"/>
        </w:numPr>
        <w:rPr>
          <w:rFonts w:ascii="Times New Roman" w:hAnsi="Times New Roman"/>
          <w:szCs w:val="24"/>
        </w:rPr>
      </w:pPr>
      <w:r>
        <w:rPr>
          <w:rFonts w:ascii="Times New Roman" w:hAnsi="Times New Roman"/>
          <w:szCs w:val="24"/>
        </w:rPr>
        <w:t>The categories</w:t>
      </w:r>
      <w:r w:rsidR="006C0A90">
        <w:rPr>
          <w:rFonts w:ascii="Times New Roman" w:hAnsi="Times New Roman"/>
          <w:szCs w:val="24"/>
        </w:rPr>
        <w:t xml:space="preserve"> of nonpublic personal information about the consumers that the financial institution collects;</w:t>
      </w:r>
    </w:p>
    <w:p w:rsidR="006C0A90" w:rsidP="008575B1" w14:paraId="14D39655" w14:textId="77777777">
      <w:pPr>
        <w:numPr>
          <w:ilvl w:val="0"/>
          <w:numId w:val="1"/>
        </w:numPr>
        <w:rPr>
          <w:rFonts w:ascii="Times New Roman" w:hAnsi="Times New Roman"/>
          <w:szCs w:val="24"/>
        </w:rPr>
      </w:pPr>
      <w:r>
        <w:rPr>
          <w:rFonts w:ascii="Times New Roman" w:hAnsi="Times New Roman"/>
          <w:szCs w:val="24"/>
        </w:rPr>
        <w:t>The categories of nonpublic personal information about the consumers that the financial institution discloses;</w:t>
      </w:r>
    </w:p>
    <w:p w:rsidR="006C0A90" w:rsidP="008575B1" w14:paraId="143AF181" w14:textId="77777777">
      <w:pPr>
        <w:numPr>
          <w:ilvl w:val="0"/>
          <w:numId w:val="1"/>
        </w:numPr>
        <w:rPr>
          <w:rFonts w:ascii="Times New Roman" w:hAnsi="Times New Roman"/>
          <w:szCs w:val="24"/>
        </w:rPr>
      </w:pPr>
      <w:r>
        <w:rPr>
          <w:rFonts w:ascii="Times New Roman" w:hAnsi="Times New Roman"/>
          <w:szCs w:val="24"/>
        </w:rPr>
        <w:t>The categories of affiliates and nonaffiliated third parties to whom the financial institution discloses nonpublic personal information about the consumers, other than those parties excepted under Regulation P;</w:t>
      </w:r>
    </w:p>
    <w:p w:rsidR="006C0A90" w:rsidP="008575B1" w14:paraId="344FA54D" w14:textId="77777777">
      <w:pPr>
        <w:numPr>
          <w:ilvl w:val="0"/>
          <w:numId w:val="1"/>
        </w:numPr>
        <w:rPr>
          <w:rFonts w:ascii="Times New Roman" w:hAnsi="Times New Roman"/>
          <w:szCs w:val="24"/>
        </w:rPr>
      </w:pPr>
      <w:r>
        <w:rPr>
          <w:rFonts w:ascii="Times New Roman" w:hAnsi="Times New Roman"/>
          <w:szCs w:val="24"/>
        </w:rPr>
        <w:t>The categories of nonpublic personal information about former consumers that the financial institution discloses and the categories of affiliates and nonaffiliated third parties to whom the financial institution discloses nonpublic personal information about former consumers, other than those parties excepted under Regulation P;</w:t>
      </w:r>
    </w:p>
    <w:p w:rsidR="00CB5F6A" w:rsidP="008575B1" w14:paraId="6E8540BA" w14:textId="77777777">
      <w:pPr>
        <w:numPr>
          <w:ilvl w:val="0"/>
          <w:numId w:val="1"/>
        </w:numPr>
        <w:rPr>
          <w:rFonts w:ascii="Times New Roman" w:hAnsi="Times New Roman"/>
          <w:szCs w:val="24"/>
        </w:rPr>
      </w:pPr>
      <w:r>
        <w:rPr>
          <w:rFonts w:ascii="Times New Roman" w:hAnsi="Times New Roman"/>
          <w:szCs w:val="24"/>
        </w:rPr>
        <w:t>If a financial institution discloses nonpublic personal information to service providers or joint marketers, a description of the categories of information the institution discloses and the categories of third parties with whom the institution has contracted;</w:t>
      </w:r>
    </w:p>
    <w:p w:rsidR="00CB5F6A" w:rsidP="008575B1" w14:paraId="091123E6" w14:textId="77777777">
      <w:pPr>
        <w:numPr>
          <w:ilvl w:val="0"/>
          <w:numId w:val="1"/>
        </w:numPr>
        <w:rPr>
          <w:rFonts w:ascii="Times New Roman" w:hAnsi="Times New Roman"/>
          <w:szCs w:val="24"/>
        </w:rPr>
      </w:pPr>
      <w:r>
        <w:rPr>
          <w:rFonts w:ascii="Times New Roman" w:hAnsi="Times New Roman"/>
          <w:szCs w:val="24"/>
        </w:rPr>
        <w:t>An explanation of the consumer’s right to opt out of the disclosure of nonpublic personal information to nonaffiliated third parties, including the methods by which the consumer may exercise that right;</w:t>
      </w:r>
    </w:p>
    <w:p w:rsidR="00CB5F6A" w:rsidP="008575B1" w14:paraId="719AD9A3" w14:textId="77777777">
      <w:pPr>
        <w:numPr>
          <w:ilvl w:val="0"/>
          <w:numId w:val="1"/>
        </w:numPr>
        <w:rPr>
          <w:rFonts w:ascii="Times New Roman" w:hAnsi="Times New Roman"/>
          <w:szCs w:val="24"/>
        </w:rPr>
      </w:pPr>
      <w:r>
        <w:rPr>
          <w:rFonts w:ascii="Times New Roman" w:hAnsi="Times New Roman"/>
          <w:szCs w:val="24"/>
        </w:rPr>
        <w:t>Any disclosures regarding the ability to opt out of disclosures of information among affiliates;</w:t>
      </w:r>
    </w:p>
    <w:p w:rsidR="00CB5F6A" w:rsidP="008575B1" w14:paraId="5C9C2D10" w14:textId="77777777">
      <w:pPr>
        <w:numPr>
          <w:ilvl w:val="0"/>
          <w:numId w:val="1"/>
        </w:numPr>
        <w:rPr>
          <w:rFonts w:ascii="Times New Roman" w:hAnsi="Times New Roman"/>
          <w:szCs w:val="24"/>
        </w:rPr>
      </w:pPr>
      <w:r>
        <w:rPr>
          <w:rFonts w:ascii="Times New Roman" w:hAnsi="Times New Roman"/>
          <w:szCs w:val="24"/>
        </w:rPr>
        <w:t>The financial institution’s policies and practices with respect to protecting the confidentiality and security of nonpublic personal information; and</w:t>
      </w:r>
    </w:p>
    <w:p w:rsidR="0063388F" w:rsidP="008575B1" w14:paraId="6E79998C" w14:textId="77777777">
      <w:pPr>
        <w:numPr>
          <w:ilvl w:val="0"/>
          <w:numId w:val="1"/>
        </w:numPr>
        <w:rPr>
          <w:rFonts w:ascii="Times New Roman" w:hAnsi="Times New Roman"/>
          <w:szCs w:val="24"/>
        </w:rPr>
      </w:pPr>
      <w:r>
        <w:rPr>
          <w:rFonts w:ascii="Times New Roman" w:hAnsi="Times New Roman"/>
          <w:szCs w:val="24"/>
        </w:rPr>
        <w:t xml:space="preserve">A description of nonaffiliated third parties subject to exceptions under </w:t>
      </w:r>
    </w:p>
    <w:p w:rsidR="00CB5F6A" w:rsidP="0063388F" w14:paraId="4A048ECA" w14:textId="77777777">
      <w:pPr>
        <w:ind w:left="1440"/>
        <w:rPr>
          <w:rFonts w:ascii="Times New Roman" w:hAnsi="Times New Roman"/>
          <w:szCs w:val="24"/>
        </w:rPr>
      </w:pPr>
      <w:r>
        <w:rPr>
          <w:rFonts w:ascii="Times New Roman" w:hAnsi="Times New Roman"/>
          <w:szCs w:val="24"/>
        </w:rPr>
        <w:t>Regulation P.</w:t>
      </w:r>
    </w:p>
    <w:p w:rsidR="00625B41" w14:paraId="2BE6A9D6" w14:textId="77777777">
      <w:pPr>
        <w:rPr>
          <w:rFonts w:ascii="Times New Roman" w:hAnsi="Times New Roman"/>
          <w:szCs w:val="24"/>
        </w:rPr>
      </w:pPr>
    </w:p>
    <w:p w:rsidR="00625B41" w:rsidP="008575B1" w14:paraId="4B0E3109" w14:textId="77777777">
      <w:pPr>
        <w:ind w:left="720"/>
        <w:rPr>
          <w:rFonts w:ascii="Times New Roman" w:hAnsi="Times New Roman"/>
          <w:szCs w:val="24"/>
        </w:rPr>
      </w:pPr>
      <w:r>
        <w:rPr>
          <w:rFonts w:ascii="Times New Roman" w:hAnsi="Times New Roman"/>
          <w:szCs w:val="24"/>
        </w:rPr>
        <w:t>Revised</w:t>
      </w:r>
      <w:r w:rsidR="00CB5F6A">
        <w:rPr>
          <w:rFonts w:ascii="Times New Roman" w:hAnsi="Times New Roman"/>
          <w:szCs w:val="24"/>
        </w:rPr>
        <w:t xml:space="preserve"> Privacy Notice (12 CFR 1016.8):</w:t>
      </w:r>
      <w:r w:rsidR="00717858">
        <w:rPr>
          <w:rFonts w:ascii="Times New Roman" w:hAnsi="Times New Roman"/>
          <w:szCs w:val="24"/>
        </w:rPr>
        <w:t xml:space="preserve">  Certain changes to a financial institution’s privacy policies or practices trigger a requirement to provide consumers with a revised notice that accurately describes the institution’s current policies and practices.  After a financial institution has made certain changes to its disclosure practices, it may not </w:t>
      </w:r>
      <w:r w:rsidR="00717858">
        <w:rPr>
          <w:rFonts w:ascii="Times New Roman" w:hAnsi="Times New Roman"/>
          <w:szCs w:val="24"/>
        </w:rPr>
        <w:t>directly or through affiliates disclose nonpublic personal information about a consumer other than as described in the initial notice unless it provides the consumer with:  (1) a new notice that accurately describes th</w:t>
      </w:r>
      <w:r w:rsidR="00986D11">
        <w:rPr>
          <w:rFonts w:ascii="Times New Roman" w:hAnsi="Times New Roman"/>
          <w:szCs w:val="24"/>
        </w:rPr>
        <w:t>e policies and practices; (2) a</w:t>
      </w:r>
      <w:r w:rsidR="00717858">
        <w:rPr>
          <w:rFonts w:ascii="Times New Roman" w:hAnsi="Times New Roman"/>
          <w:szCs w:val="24"/>
        </w:rPr>
        <w:t xml:space="preserve"> new opt</w:t>
      </w:r>
      <w:r w:rsidR="00514ECF">
        <w:rPr>
          <w:rFonts w:ascii="Times New Roman" w:hAnsi="Times New Roman"/>
          <w:szCs w:val="24"/>
        </w:rPr>
        <w:t xml:space="preserve"> </w:t>
      </w:r>
      <w:r w:rsidR="00717858">
        <w:rPr>
          <w:rFonts w:ascii="Times New Roman" w:hAnsi="Times New Roman"/>
          <w:szCs w:val="24"/>
        </w:rPr>
        <w:t>out notice and (3) a reasonable opportunity to opt out.</w:t>
      </w:r>
    </w:p>
    <w:p w:rsidR="00717858" w14:paraId="7A7C0C3E" w14:textId="77777777">
      <w:pPr>
        <w:rPr>
          <w:rFonts w:ascii="Times New Roman" w:hAnsi="Times New Roman"/>
          <w:szCs w:val="24"/>
        </w:rPr>
      </w:pPr>
    </w:p>
    <w:p w:rsidR="00717858" w:rsidP="008575B1" w14:paraId="03EEAEE6" w14:textId="77777777">
      <w:pPr>
        <w:ind w:left="720"/>
        <w:rPr>
          <w:rFonts w:ascii="Times New Roman" w:hAnsi="Times New Roman"/>
          <w:szCs w:val="24"/>
        </w:rPr>
      </w:pPr>
      <w:r>
        <w:rPr>
          <w:rFonts w:ascii="Times New Roman" w:hAnsi="Times New Roman"/>
          <w:szCs w:val="24"/>
        </w:rPr>
        <w:t xml:space="preserve">Notice of Right to </w:t>
      </w:r>
      <w:r w:rsidR="001C6477">
        <w:rPr>
          <w:rFonts w:ascii="Times New Roman" w:hAnsi="Times New Roman"/>
          <w:szCs w:val="24"/>
        </w:rPr>
        <w:t>Opt Out</w:t>
      </w:r>
      <w:r w:rsidR="00EC4499">
        <w:rPr>
          <w:rFonts w:ascii="Times New Roman" w:hAnsi="Times New Roman"/>
          <w:szCs w:val="24"/>
        </w:rPr>
        <w:t xml:space="preserve"> (12 CFR 1016.9):  Depending on the financial institution’s information-sharing practices, the financial institution must provide an opt-out notice to a customer or to a consumer.  An opt-out notice may also be required when the financial institution issues a revised privacy notice.</w:t>
      </w:r>
    </w:p>
    <w:p w:rsidR="003F1F66" w14:paraId="76B85125" w14:textId="77777777">
      <w:pPr>
        <w:rPr>
          <w:rFonts w:ascii="Times New Roman" w:hAnsi="Times New Roman"/>
          <w:szCs w:val="24"/>
        </w:rPr>
      </w:pPr>
    </w:p>
    <w:p w:rsidR="003F1F66" w:rsidRPr="004067DC" w14:paraId="180DDCFF" w14:textId="77777777">
      <w:pPr>
        <w:rPr>
          <w:rFonts w:ascii="Times New Roman" w:hAnsi="Times New Roman"/>
          <w:szCs w:val="24"/>
          <w:u w:val="single"/>
        </w:rPr>
      </w:pPr>
      <w:r w:rsidRPr="004067DC">
        <w:rPr>
          <w:rFonts w:ascii="Times New Roman" w:hAnsi="Times New Roman"/>
          <w:szCs w:val="24"/>
          <w:u w:val="single"/>
        </w:rPr>
        <w:t>Consumers’ Reporting Requirements:</w:t>
      </w:r>
    </w:p>
    <w:p w:rsidR="003F1F66" w14:paraId="66E3F37B" w14:textId="77777777">
      <w:pPr>
        <w:rPr>
          <w:rFonts w:ascii="Times New Roman" w:hAnsi="Times New Roman"/>
          <w:szCs w:val="24"/>
        </w:rPr>
      </w:pPr>
    </w:p>
    <w:p w:rsidR="003F1F66" w:rsidP="008575B1" w14:paraId="5200B583" w14:textId="77777777">
      <w:pPr>
        <w:ind w:left="720"/>
        <w:rPr>
          <w:rFonts w:ascii="Times New Roman" w:hAnsi="Times New Roman"/>
          <w:szCs w:val="24"/>
        </w:rPr>
      </w:pPr>
      <w:r>
        <w:rPr>
          <w:rFonts w:ascii="Times New Roman" w:hAnsi="Times New Roman"/>
          <w:szCs w:val="24"/>
        </w:rPr>
        <w:t>Consumer’s Notice of Right to Opt Out (12 CFR 1016.10(a)(2) and 1016</w:t>
      </w:r>
      <w:r w:rsidR="00E15C1B">
        <w:rPr>
          <w:rFonts w:ascii="Times New Roman" w:hAnsi="Times New Roman"/>
          <w:szCs w:val="24"/>
        </w:rPr>
        <w:t>.10</w:t>
      </w:r>
      <w:r>
        <w:rPr>
          <w:rFonts w:ascii="Times New Roman" w:hAnsi="Times New Roman"/>
          <w:szCs w:val="24"/>
        </w:rPr>
        <w:t xml:space="preserve">(c)):  </w:t>
      </w:r>
      <w:r w:rsidR="006F10B7">
        <w:rPr>
          <w:rFonts w:ascii="Times New Roman" w:hAnsi="Times New Roman"/>
          <w:szCs w:val="24"/>
        </w:rPr>
        <w:t>Consumers must take affirmative actions to exercise their rights to prevent financial institutions from sharing their information with nonaffiliated parties:</w:t>
      </w:r>
    </w:p>
    <w:p w:rsidR="006F10B7" w14:paraId="004037CA" w14:textId="77777777">
      <w:pPr>
        <w:rPr>
          <w:rFonts w:ascii="Times New Roman" w:hAnsi="Times New Roman"/>
          <w:szCs w:val="24"/>
        </w:rPr>
      </w:pPr>
    </w:p>
    <w:p w:rsidR="006F10B7" w:rsidP="008575B1" w14:paraId="3AA8E1A7" w14:textId="77777777">
      <w:pPr>
        <w:numPr>
          <w:ilvl w:val="0"/>
          <w:numId w:val="2"/>
        </w:numPr>
        <w:rPr>
          <w:rFonts w:ascii="Times New Roman" w:hAnsi="Times New Roman"/>
          <w:szCs w:val="24"/>
        </w:rPr>
      </w:pPr>
      <w:r>
        <w:rPr>
          <w:rFonts w:ascii="Times New Roman" w:hAnsi="Times New Roman"/>
          <w:szCs w:val="24"/>
        </w:rPr>
        <w:t>Opt Out – Consumers may direct that the credit union may not disclose nonpublic personal information about them to a nonaffiliated third party, other than permitted by 12 CFR 1016.13-1016.15.</w:t>
      </w:r>
    </w:p>
    <w:p w:rsidR="006F10B7" w:rsidP="008575B1" w14:paraId="7BE59005" w14:textId="77777777">
      <w:pPr>
        <w:numPr>
          <w:ilvl w:val="0"/>
          <w:numId w:val="2"/>
        </w:numPr>
        <w:rPr>
          <w:rFonts w:ascii="Times New Roman" w:hAnsi="Times New Roman"/>
          <w:szCs w:val="24"/>
        </w:rPr>
      </w:pPr>
      <w:r>
        <w:rPr>
          <w:rFonts w:ascii="Times New Roman" w:hAnsi="Times New Roman"/>
          <w:szCs w:val="24"/>
        </w:rPr>
        <w:t>Partial Opt Out – Consumers also may exercise partial opt out rights by selecting certain nonpublic personal information or certain nonaffiliated third parties with respect to which the consumer wishes to opt out.</w:t>
      </w:r>
    </w:p>
    <w:p w:rsidR="006F10B7" w:rsidP="006F10B7" w14:paraId="30D2FB91" w14:textId="77777777">
      <w:pPr>
        <w:rPr>
          <w:rFonts w:ascii="Times New Roman" w:hAnsi="Times New Roman"/>
          <w:szCs w:val="24"/>
        </w:rPr>
      </w:pPr>
    </w:p>
    <w:p w:rsidR="006F10B7" w:rsidP="008575B1" w14:paraId="2909A4F2" w14:textId="77777777">
      <w:pPr>
        <w:ind w:left="720"/>
        <w:rPr>
          <w:rFonts w:ascii="Times New Roman" w:hAnsi="Times New Roman"/>
          <w:szCs w:val="24"/>
        </w:rPr>
      </w:pPr>
      <w:r>
        <w:rPr>
          <w:rFonts w:ascii="Times New Roman" w:hAnsi="Times New Roman"/>
          <w:szCs w:val="24"/>
        </w:rPr>
        <w:t>The consumer must be given a reasonable opportunity to opt out before information may be shared with a non-affiliated third party outside of the permitted exceptions.</w:t>
      </w:r>
    </w:p>
    <w:p w:rsidR="00796629" w14:paraId="7209A563" w14:textId="77777777">
      <w:pPr>
        <w:rPr>
          <w:rFonts w:ascii="Times New Roman" w:hAnsi="Times New Roman"/>
          <w:szCs w:val="24"/>
        </w:rPr>
      </w:pPr>
    </w:p>
    <w:p w:rsidR="00796629" w:rsidP="008575B1" w14:paraId="771AC01F" w14:textId="77777777">
      <w:pPr>
        <w:ind w:left="720"/>
        <w:rPr>
          <w:rFonts w:ascii="Times New Roman" w:hAnsi="Times New Roman"/>
          <w:szCs w:val="24"/>
        </w:rPr>
      </w:pPr>
      <w:r>
        <w:rPr>
          <w:rFonts w:ascii="Times New Roman" w:hAnsi="Times New Roman"/>
          <w:szCs w:val="24"/>
        </w:rPr>
        <w:t xml:space="preserve">Consumer’s Continuing Right to Opt Out (12 CFR 1016.7(h) and 1016.7(i)):  </w:t>
      </w:r>
      <w:r w:rsidR="006F10B7">
        <w:rPr>
          <w:rFonts w:ascii="Times New Roman" w:hAnsi="Times New Roman"/>
          <w:szCs w:val="24"/>
        </w:rPr>
        <w:t>Consumers may exercise the right to opt out at any time.  A consumer’s direction to opt out is effective until the cons</w:t>
      </w:r>
      <w:r w:rsidR="0034140E">
        <w:rPr>
          <w:rFonts w:ascii="Times New Roman" w:hAnsi="Times New Roman"/>
          <w:szCs w:val="24"/>
        </w:rPr>
        <w:t>umer revokes it in writing or, i</w:t>
      </w:r>
      <w:r w:rsidR="006F10B7">
        <w:rPr>
          <w:rFonts w:ascii="Times New Roman" w:hAnsi="Times New Roman"/>
          <w:szCs w:val="24"/>
        </w:rPr>
        <w:t>f the consumer agrees, electronically.  When a customer relationship terminates, the customer’s opt out direction continues to apply.</w:t>
      </w:r>
    </w:p>
    <w:p w:rsidR="00AF63BA" w14:paraId="58495A86" w14:textId="77777777">
      <w:pPr>
        <w:rPr>
          <w:rFonts w:ascii="Times New Roman" w:hAnsi="Times New Roman"/>
          <w:szCs w:val="24"/>
        </w:rPr>
      </w:pPr>
    </w:p>
    <w:p w:rsidR="009160EC" w:rsidRPr="006C4452" w14:paraId="1122AADD" w14:textId="77777777">
      <w:pPr>
        <w:rPr>
          <w:rFonts w:ascii="Times New Roman" w:hAnsi="Times New Roman"/>
          <w:szCs w:val="24"/>
        </w:rPr>
      </w:pPr>
      <w:r w:rsidRPr="006C4452">
        <w:rPr>
          <w:rFonts w:ascii="Times New Roman" w:hAnsi="Times New Roman"/>
          <w:szCs w:val="24"/>
        </w:rPr>
        <w:t xml:space="preserve">Consumers use the privacy notice information to determine whether they want personal information disclosed to third parties that are not affiliated with the credit union. </w:t>
      </w:r>
      <w:r w:rsidRPr="006C4452" w:rsidR="005E438B">
        <w:rPr>
          <w:rFonts w:ascii="Times New Roman" w:hAnsi="Times New Roman"/>
          <w:szCs w:val="24"/>
        </w:rPr>
        <w:t xml:space="preserve"> </w:t>
      </w:r>
      <w:r w:rsidRPr="006C4452">
        <w:rPr>
          <w:rFonts w:ascii="Times New Roman" w:hAnsi="Times New Roman"/>
          <w:szCs w:val="24"/>
        </w:rPr>
        <w:t>Further, consumers use the opt-out notice mechanism to advise the credit union of their wishes regarding disclosure of their personal information. Credit unions use the opt-out information to determine the wishes of their consumers and to act appropriately.</w:t>
      </w:r>
    </w:p>
    <w:p w:rsidR="009160EC" w:rsidRPr="006C4452" w14:paraId="7A018E23" w14:textId="77777777">
      <w:pPr>
        <w:rPr>
          <w:rFonts w:ascii="Times New Roman" w:hAnsi="Times New Roman"/>
          <w:szCs w:val="24"/>
        </w:rPr>
      </w:pPr>
    </w:p>
    <w:p w:rsidR="009160EC" w:rsidRPr="006C4452" w14:paraId="28B6DB36" w14:textId="77777777">
      <w:pPr>
        <w:rPr>
          <w:rFonts w:ascii="Times New Roman" w:hAnsi="Times New Roman"/>
          <w:i/>
          <w:szCs w:val="24"/>
        </w:rPr>
      </w:pPr>
      <w:r>
        <w:rPr>
          <w:rFonts w:ascii="Times New Roman" w:hAnsi="Times New Roman"/>
          <w:b/>
          <w:szCs w:val="24"/>
        </w:rPr>
        <w:br w:type="page"/>
      </w:r>
      <w:r w:rsidRPr="000D2194">
        <w:rPr>
          <w:rFonts w:ascii="Times New Roman" w:hAnsi="Times New Roman"/>
          <w:b/>
          <w:szCs w:val="24"/>
        </w:rPr>
        <w:t>3.</w:t>
      </w:r>
      <w:r w:rsidRPr="000D2194" w:rsidR="008246BB">
        <w:rPr>
          <w:rFonts w:ascii="Times New Roman" w:hAnsi="Times New Roman"/>
          <w:b/>
          <w:i/>
          <w:szCs w:val="24"/>
        </w:rPr>
        <w:t xml:space="preserve"> </w:t>
      </w:r>
      <w:r w:rsidRPr="000D2194" w:rsidR="00D32EE6">
        <w:rPr>
          <w:rFonts w:ascii="Times New Roman" w:hAnsi="Times New Roman"/>
          <w:b/>
          <w:szCs w:val="24"/>
        </w:rPr>
        <w:t xml:space="preserve"> </w:t>
      </w:r>
      <w:r w:rsidR="00D84AFD">
        <w:rPr>
          <w:rFonts w:ascii="Times New Roman" w:hAnsi="Times New Roman"/>
          <w:b/>
          <w:szCs w:val="24"/>
        </w:rPr>
        <w:t>Use of</w:t>
      </w:r>
      <w:r w:rsidRPr="000D2194">
        <w:rPr>
          <w:rFonts w:ascii="Times New Roman" w:hAnsi="Times New Roman"/>
          <w:b/>
          <w:szCs w:val="24"/>
        </w:rPr>
        <w:t xml:space="preserve"> </w:t>
      </w:r>
      <w:r w:rsidR="00D84AFD">
        <w:rPr>
          <w:rFonts w:ascii="Times New Roman" w:hAnsi="Times New Roman"/>
          <w:b/>
          <w:szCs w:val="24"/>
        </w:rPr>
        <w:t>i</w:t>
      </w:r>
      <w:r w:rsidRPr="000D2194">
        <w:rPr>
          <w:rFonts w:ascii="Times New Roman" w:hAnsi="Times New Roman"/>
          <w:b/>
          <w:szCs w:val="24"/>
        </w:rPr>
        <w:t xml:space="preserve">nformation </w:t>
      </w:r>
      <w:r w:rsidR="00D84AFD">
        <w:rPr>
          <w:rFonts w:ascii="Times New Roman" w:hAnsi="Times New Roman"/>
          <w:b/>
          <w:szCs w:val="24"/>
        </w:rPr>
        <w:t>t</w:t>
      </w:r>
      <w:r w:rsidRPr="000D2194">
        <w:rPr>
          <w:rFonts w:ascii="Times New Roman" w:hAnsi="Times New Roman"/>
          <w:b/>
          <w:szCs w:val="24"/>
        </w:rPr>
        <w:t>echnology</w:t>
      </w:r>
      <w:r w:rsidR="00807C28">
        <w:rPr>
          <w:rFonts w:ascii="Times New Roman" w:hAnsi="Times New Roman"/>
          <w:b/>
          <w:szCs w:val="24"/>
        </w:rPr>
        <w:t>:</w:t>
      </w:r>
    </w:p>
    <w:p w:rsidR="009160EC" w:rsidRPr="006C4452" w14:paraId="6A05D712" w14:textId="77777777">
      <w:pPr>
        <w:rPr>
          <w:rFonts w:ascii="Times New Roman" w:hAnsi="Times New Roman"/>
          <w:i/>
          <w:szCs w:val="24"/>
        </w:rPr>
      </w:pPr>
    </w:p>
    <w:p w:rsidR="009160EC" w14:paraId="7D18B71C" w14:textId="77777777">
      <w:pPr>
        <w:rPr>
          <w:rFonts w:ascii="Times New Roman" w:hAnsi="Times New Roman"/>
          <w:szCs w:val="24"/>
        </w:rPr>
      </w:pPr>
      <w:r w:rsidRPr="006C4452">
        <w:rPr>
          <w:rFonts w:ascii="Times New Roman" w:hAnsi="Times New Roman"/>
          <w:szCs w:val="24"/>
        </w:rPr>
        <w:t>The</w:t>
      </w:r>
      <w:r w:rsidR="007F2E38">
        <w:rPr>
          <w:rFonts w:ascii="Times New Roman" w:hAnsi="Times New Roman"/>
          <w:szCs w:val="24"/>
        </w:rPr>
        <w:t xml:space="preserve"> collections</w:t>
      </w:r>
      <w:r w:rsidRPr="006C4452">
        <w:rPr>
          <w:rFonts w:ascii="Times New Roman" w:hAnsi="Times New Roman"/>
          <w:szCs w:val="24"/>
        </w:rPr>
        <w:t xml:space="preserve"> are disclosures, filings from consumers, and internal credit union records. </w:t>
      </w:r>
      <w:r w:rsidR="0007071E">
        <w:rPr>
          <w:rFonts w:ascii="Times New Roman" w:hAnsi="Times New Roman"/>
          <w:szCs w:val="24"/>
        </w:rPr>
        <w:t xml:space="preserve"> The FCU Act does not prescribe any particular form for this information collection.  Therefore, federally-insured c</w:t>
      </w:r>
      <w:r w:rsidRPr="006C4452">
        <w:rPr>
          <w:rFonts w:ascii="Times New Roman" w:hAnsi="Times New Roman"/>
          <w:szCs w:val="24"/>
        </w:rPr>
        <w:t>redit unions are not prohibited from using any technology that facilitates consumer understanding and response and that permits review, as appropriate, by examiners.</w:t>
      </w:r>
    </w:p>
    <w:p w:rsidR="00971747" w14:paraId="3835AAC1" w14:textId="77777777">
      <w:pPr>
        <w:rPr>
          <w:rFonts w:ascii="Times New Roman" w:hAnsi="Times New Roman"/>
          <w:szCs w:val="24"/>
        </w:rPr>
      </w:pPr>
    </w:p>
    <w:p w:rsidR="009160EC" w:rsidRPr="007F2E38" w14:paraId="7DE47212" w14:textId="77777777">
      <w:pPr>
        <w:rPr>
          <w:rFonts w:ascii="Times New Roman" w:hAnsi="Times New Roman"/>
          <w:b/>
          <w:i/>
          <w:szCs w:val="24"/>
        </w:rPr>
      </w:pPr>
      <w:r w:rsidRPr="007F2E38">
        <w:rPr>
          <w:rFonts w:ascii="Times New Roman" w:hAnsi="Times New Roman"/>
          <w:b/>
          <w:szCs w:val="24"/>
        </w:rPr>
        <w:t xml:space="preserve">4. </w:t>
      </w:r>
      <w:r w:rsidRPr="007F2E38" w:rsidR="00D32EE6">
        <w:rPr>
          <w:rFonts w:ascii="Times New Roman" w:hAnsi="Times New Roman"/>
          <w:b/>
          <w:szCs w:val="24"/>
        </w:rPr>
        <w:t xml:space="preserve"> </w:t>
      </w:r>
      <w:r w:rsidRPr="007F2E38" w:rsidR="007F2E38">
        <w:rPr>
          <w:rFonts w:ascii="Times New Roman" w:hAnsi="Times New Roman"/>
          <w:b/>
          <w:szCs w:val="24"/>
        </w:rPr>
        <w:t>D</w:t>
      </w:r>
      <w:r w:rsidRPr="007F2E38">
        <w:rPr>
          <w:rFonts w:ascii="Times New Roman" w:hAnsi="Times New Roman"/>
          <w:b/>
          <w:szCs w:val="24"/>
        </w:rPr>
        <w:t>uplication</w:t>
      </w:r>
      <w:r w:rsidR="00C97188">
        <w:rPr>
          <w:rFonts w:ascii="Times New Roman" w:hAnsi="Times New Roman"/>
          <w:b/>
          <w:szCs w:val="24"/>
        </w:rPr>
        <w:t xml:space="preserve"> of information:</w:t>
      </w:r>
    </w:p>
    <w:p w:rsidR="00C97188" w14:paraId="515DA787" w14:textId="77777777">
      <w:pPr>
        <w:rPr>
          <w:rFonts w:ascii="Times New Roman" w:hAnsi="Times New Roman"/>
          <w:szCs w:val="24"/>
        </w:rPr>
      </w:pPr>
    </w:p>
    <w:p w:rsidR="009160EC" w:rsidRPr="006C4452" w14:paraId="10F0C7E7" w14:textId="77777777">
      <w:pPr>
        <w:rPr>
          <w:rFonts w:ascii="Times New Roman" w:hAnsi="Times New Roman"/>
          <w:szCs w:val="24"/>
        </w:rPr>
      </w:pPr>
      <w:r w:rsidRPr="006C4452">
        <w:rPr>
          <w:rFonts w:ascii="Times New Roman" w:hAnsi="Times New Roman"/>
          <w:szCs w:val="24"/>
        </w:rPr>
        <w:t>The</w:t>
      </w:r>
      <w:r w:rsidRPr="006C4452" w:rsidR="0067115F">
        <w:rPr>
          <w:rFonts w:ascii="Times New Roman" w:hAnsi="Times New Roman"/>
          <w:szCs w:val="24"/>
        </w:rPr>
        <w:t>se</w:t>
      </w:r>
      <w:r w:rsidRPr="006C4452">
        <w:rPr>
          <w:rFonts w:ascii="Times New Roman" w:hAnsi="Times New Roman"/>
          <w:szCs w:val="24"/>
        </w:rPr>
        <w:t xml:space="preserve"> collections of information are unique and cover the credit union’s particular circumstances. No duplication exists.</w:t>
      </w:r>
    </w:p>
    <w:p w:rsidR="009160EC" w:rsidRPr="006C4452" w14:paraId="0031A4F1" w14:textId="77777777">
      <w:pPr>
        <w:rPr>
          <w:rFonts w:ascii="Times New Roman" w:hAnsi="Times New Roman"/>
          <w:b/>
          <w:szCs w:val="24"/>
        </w:rPr>
      </w:pPr>
    </w:p>
    <w:p w:rsidR="009160EC" w:rsidRPr="006C4452" w14:paraId="0B9151A0" w14:textId="77777777">
      <w:pPr>
        <w:rPr>
          <w:rFonts w:ascii="Times New Roman" w:hAnsi="Times New Roman"/>
          <w:szCs w:val="24"/>
        </w:rPr>
      </w:pPr>
      <w:r w:rsidRPr="00460442">
        <w:rPr>
          <w:rFonts w:ascii="Times New Roman" w:hAnsi="Times New Roman"/>
          <w:b/>
          <w:szCs w:val="24"/>
        </w:rPr>
        <w:t xml:space="preserve">5. </w:t>
      </w:r>
      <w:r w:rsidRPr="00460442" w:rsidR="00D32EE6">
        <w:rPr>
          <w:rFonts w:ascii="Times New Roman" w:hAnsi="Times New Roman"/>
          <w:b/>
          <w:szCs w:val="24"/>
        </w:rPr>
        <w:t xml:space="preserve"> </w:t>
      </w:r>
      <w:r w:rsidRPr="00460442" w:rsidR="00460442">
        <w:rPr>
          <w:rFonts w:ascii="Times New Roman" w:hAnsi="Times New Roman"/>
          <w:b/>
          <w:szCs w:val="24"/>
        </w:rPr>
        <w:t>Eff</w:t>
      </w:r>
      <w:r w:rsidR="00C97188">
        <w:rPr>
          <w:rFonts w:ascii="Times New Roman" w:hAnsi="Times New Roman"/>
          <w:b/>
          <w:szCs w:val="24"/>
        </w:rPr>
        <w:t>orts to reduce burden on</w:t>
      </w:r>
      <w:r w:rsidRPr="00460442">
        <w:rPr>
          <w:rFonts w:ascii="Times New Roman" w:hAnsi="Times New Roman"/>
          <w:b/>
          <w:i/>
          <w:szCs w:val="24"/>
        </w:rPr>
        <w:t xml:space="preserve"> </w:t>
      </w:r>
      <w:r w:rsidR="00C97188">
        <w:rPr>
          <w:rFonts w:ascii="Times New Roman" w:hAnsi="Times New Roman"/>
          <w:b/>
          <w:szCs w:val="24"/>
        </w:rPr>
        <w:t>s</w:t>
      </w:r>
      <w:r w:rsidRPr="00460442">
        <w:rPr>
          <w:rFonts w:ascii="Times New Roman" w:hAnsi="Times New Roman"/>
          <w:b/>
          <w:szCs w:val="24"/>
        </w:rPr>
        <w:t xml:space="preserve">mall </w:t>
      </w:r>
      <w:r w:rsidR="00C97188">
        <w:rPr>
          <w:rFonts w:ascii="Times New Roman" w:hAnsi="Times New Roman"/>
          <w:b/>
          <w:szCs w:val="24"/>
        </w:rPr>
        <w:t>e</w:t>
      </w:r>
      <w:r w:rsidRPr="00460442">
        <w:rPr>
          <w:rFonts w:ascii="Times New Roman" w:hAnsi="Times New Roman"/>
          <w:b/>
          <w:szCs w:val="24"/>
        </w:rPr>
        <w:t>ntities</w:t>
      </w:r>
      <w:r w:rsidR="00C97188">
        <w:rPr>
          <w:rFonts w:ascii="Times New Roman" w:hAnsi="Times New Roman"/>
          <w:b/>
          <w:szCs w:val="24"/>
        </w:rPr>
        <w:t>:</w:t>
      </w:r>
    </w:p>
    <w:p w:rsidR="009160EC" w:rsidRPr="006C4452" w14:paraId="348EF711" w14:textId="77777777">
      <w:pPr>
        <w:rPr>
          <w:rFonts w:ascii="Times New Roman" w:hAnsi="Times New Roman"/>
          <w:szCs w:val="24"/>
        </w:rPr>
      </w:pPr>
    </w:p>
    <w:p w:rsidR="009160EC" w:rsidRPr="006C4452" w14:paraId="6BA91360" w14:textId="77777777">
      <w:pPr>
        <w:rPr>
          <w:rFonts w:ascii="Times New Roman" w:hAnsi="Times New Roman"/>
          <w:szCs w:val="24"/>
        </w:rPr>
      </w:pPr>
      <w:r w:rsidRPr="006C4452">
        <w:rPr>
          <w:rFonts w:ascii="Times New Roman" w:hAnsi="Times New Roman"/>
          <w:szCs w:val="24"/>
        </w:rPr>
        <w:t xml:space="preserve">The information collection </w:t>
      </w:r>
      <w:r w:rsidR="007151A6">
        <w:rPr>
          <w:rFonts w:ascii="Times New Roman" w:hAnsi="Times New Roman"/>
          <w:szCs w:val="24"/>
        </w:rPr>
        <w:t xml:space="preserve">requirements </w:t>
      </w:r>
      <w:r w:rsidRPr="006C4452">
        <w:rPr>
          <w:rFonts w:ascii="Times New Roman" w:hAnsi="Times New Roman"/>
          <w:szCs w:val="24"/>
        </w:rPr>
        <w:t xml:space="preserve">do not impose any significant burden beyond that required by the </w:t>
      </w:r>
      <w:r w:rsidR="007151A6">
        <w:rPr>
          <w:rFonts w:ascii="Times New Roman" w:hAnsi="Times New Roman"/>
          <w:szCs w:val="24"/>
        </w:rPr>
        <w:t>Act</w:t>
      </w:r>
      <w:r w:rsidRPr="006C4452">
        <w:rPr>
          <w:rFonts w:ascii="Times New Roman" w:hAnsi="Times New Roman"/>
          <w:szCs w:val="24"/>
        </w:rPr>
        <w:t>.</w:t>
      </w:r>
      <w:r w:rsidRPr="006C4452" w:rsidR="005E438B">
        <w:rPr>
          <w:rFonts w:ascii="Times New Roman" w:hAnsi="Times New Roman"/>
          <w:szCs w:val="24"/>
        </w:rPr>
        <w:t xml:space="preserve"> </w:t>
      </w:r>
      <w:r w:rsidRPr="006C4452">
        <w:rPr>
          <w:rFonts w:ascii="Times New Roman" w:hAnsi="Times New Roman"/>
          <w:szCs w:val="24"/>
        </w:rPr>
        <w:t xml:space="preserve"> </w:t>
      </w:r>
      <w:r w:rsidR="008673FC">
        <w:rPr>
          <w:rFonts w:ascii="Times New Roman" w:hAnsi="Times New Roman"/>
          <w:szCs w:val="24"/>
        </w:rPr>
        <w:t xml:space="preserve">In addition, </w:t>
      </w:r>
      <w:r w:rsidR="007151A6">
        <w:rPr>
          <w:rFonts w:ascii="Times New Roman" w:hAnsi="Times New Roman"/>
          <w:szCs w:val="24"/>
        </w:rPr>
        <w:t xml:space="preserve">section 728 of the </w:t>
      </w:r>
      <w:r w:rsidR="008673FC">
        <w:rPr>
          <w:rFonts w:ascii="Times New Roman" w:hAnsi="Times New Roman"/>
          <w:szCs w:val="24"/>
        </w:rPr>
        <w:t>“Financial Services Regulatory Relief Act of 2006” (Pub. L. No. 109-351) provides for the development of a model form for the disclosures.  Regulation P includes model forms that can be used to comply with the disclosure requirements of the Act and Regulation P.  Although the use of the model forms is not required, the use of the model form should minimize the burden of this collection</w:t>
      </w:r>
      <w:r w:rsidRPr="0007421F" w:rsidR="008673FC">
        <w:rPr>
          <w:rFonts w:ascii="Times New Roman" w:hAnsi="Times New Roman"/>
          <w:sz w:val="20"/>
        </w:rPr>
        <w:t>.</w:t>
      </w:r>
      <w:r>
        <w:rPr>
          <w:rStyle w:val="FootnoteReference"/>
          <w:rFonts w:ascii="Times New Roman" w:hAnsi="Times New Roman"/>
          <w:sz w:val="20"/>
        </w:rPr>
        <w:footnoteReference w:id="2"/>
      </w:r>
      <w:r w:rsidR="008673FC">
        <w:rPr>
          <w:rFonts w:ascii="Times New Roman" w:hAnsi="Times New Roman"/>
          <w:szCs w:val="24"/>
        </w:rPr>
        <w:t xml:space="preserve">  </w:t>
      </w:r>
      <w:r w:rsidRPr="00364DC4" w:rsidR="008673FC">
        <w:rPr>
          <w:rFonts w:ascii="Times New Roman" w:hAnsi="Times New Roman"/>
          <w:szCs w:val="24"/>
          <w:u w:val="single"/>
        </w:rPr>
        <w:t>See</w:t>
      </w:r>
      <w:r w:rsidR="008673FC">
        <w:rPr>
          <w:rFonts w:ascii="Times New Roman" w:hAnsi="Times New Roman"/>
          <w:szCs w:val="24"/>
        </w:rPr>
        <w:t xml:space="preserve"> Appendix to Regulation P.  </w:t>
      </w:r>
    </w:p>
    <w:p w:rsidR="009160EC" w:rsidRPr="006C4452" w14:paraId="50593FA9" w14:textId="77777777">
      <w:pPr>
        <w:rPr>
          <w:rFonts w:ascii="Times New Roman" w:hAnsi="Times New Roman"/>
          <w:szCs w:val="24"/>
        </w:rPr>
      </w:pPr>
    </w:p>
    <w:p w:rsidR="009160EC" w:rsidRPr="006C4452" w14:paraId="0AEC24EB" w14:textId="77777777">
      <w:pPr>
        <w:rPr>
          <w:rFonts w:ascii="Times New Roman" w:hAnsi="Times New Roman"/>
          <w:szCs w:val="24"/>
        </w:rPr>
      </w:pPr>
      <w:r w:rsidRPr="00FD70F2">
        <w:rPr>
          <w:rFonts w:ascii="Times New Roman" w:hAnsi="Times New Roman"/>
          <w:b/>
          <w:szCs w:val="24"/>
        </w:rPr>
        <w:t xml:space="preserve">6. </w:t>
      </w:r>
      <w:r w:rsidRPr="00FD70F2" w:rsidR="00D32EE6">
        <w:rPr>
          <w:rFonts w:ascii="Times New Roman" w:hAnsi="Times New Roman"/>
          <w:b/>
          <w:szCs w:val="24"/>
        </w:rPr>
        <w:t xml:space="preserve"> </w:t>
      </w:r>
      <w:r w:rsidRPr="00FD70F2">
        <w:rPr>
          <w:rFonts w:ascii="Times New Roman" w:hAnsi="Times New Roman"/>
          <w:b/>
          <w:szCs w:val="24"/>
        </w:rPr>
        <w:t xml:space="preserve">Consequences </w:t>
      </w:r>
      <w:r w:rsidRPr="00FD70F2" w:rsidR="00FD70F2">
        <w:rPr>
          <w:rFonts w:ascii="Times New Roman" w:hAnsi="Times New Roman"/>
          <w:b/>
          <w:szCs w:val="24"/>
        </w:rPr>
        <w:t>of</w:t>
      </w:r>
      <w:r w:rsidRPr="00FD70F2">
        <w:rPr>
          <w:rFonts w:ascii="Times New Roman" w:hAnsi="Times New Roman"/>
          <w:b/>
          <w:szCs w:val="24"/>
        </w:rPr>
        <w:t xml:space="preserve"> </w:t>
      </w:r>
      <w:r w:rsidR="00482289">
        <w:rPr>
          <w:rFonts w:ascii="Times New Roman" w:hAnsi="Times New Roman"/>
          <w:b/>
          <w:szCs w:val="24"/>
        </w:rPr>
        <w:t>n</w:t>
      </w:r>
      <w:r w:rsidRPr="00FD70F2" w:rsidR="00FD70F2">
        <w:rPr>
          <w:rFonts w:ascii="Times New Roman" w:hAnsi="Times New Roman"/>
          <w:b/>
          <w:szCs w:val="24"/>
        </w:rPr>
        <w:t xml:space="preserve">ot </w:t>
      </w:r>
      <w:r w:rsidR="00482289">
        <w:rPr>
          <w:rFonts w:ascii="Times New Roman" w:hAnsi="Times New Roman"/>
          <w:b/>
          <w:szCs w:val="24"/>
        </w:rPr>
        <w:t>c</w:t>
      </w:r>
      <w:r w:rsidRPr="00FD70F2">
        <w:rPr>
          <w:rFonts w:ascii="Times New Roman" w:hAnsi="Times New Roman"/>
          <w:b/>
          <w:szCs w:val="24"/>
        </w:rPr>
        <w:t>onduct</w:t>
      </w:r>
      <w:r w:rsidRPr="00FD70F2" w:rsidR="00FD70F2">
        <w:rPr>
          <w:rFonts w:ascii="Times New Roman" w:hAnsi="Times New Roman"/>
          <w:b/>
          <w:szCs w:val="24"/>
        </w:rPr>
        <w:t>ing</w:t>
      </w:r>
      <w:r w:rsidRPr="00FD70F2">
        <w:rPr>
          <w:rFonts w:ascii="Times New Roman" w:hAnsi="Times New Roman"/>
          <w:b/>
          <w:szCs w:val="24"/>
        </w:rPr>
        <w:t xml:space="preserve"> </w:t>
      </w:r>
      <w:r w:rsidR="00482289">
        <w:rPr>
          <w:rFonts w:ascii="Times New Roman" w:hAnsi="Times New Roman"/>
          <w:b/>
          <w:szCs w:val="24"/>
        </w:rPr>
        <w:t>the c</w:t>
      </w:r>
      <w:r w:rsidRPr="00FD70F2" w:rsidR="00FD70F2">
        <w:rPr>
          <w:rFonts w:ascii="Times New Roman" w:hAnsi="Times New Roman"/>
          <w:b/>
          <w:szCs w:val="24"/>
        </w:rPr>
        <w:t>ollection</w:t>
      </w:r>
      <w:r w:rsidR="00482289">
        <w:rPr>
          <w:rFonts w:ascii="Times New Roman" w:hAnsi="Times New Roman"/>
          <w:b/>
          <w:szCs w:val="24"/>
        </w:rPr>
        <w:t>:</w:t>
      </w:r>
    </w:p>
    <w:p w:rsidR="009160EC" w:rsidRPr="006C4452" w14:paraId="5DD7C1CE" w14:textId="77777777">
      <w:pPr>
        <w:rPr>
          <w:rFonts w:ascii="Times New Roman" w:hAnsi="Times New Roman"/>
          <w:i/>
          <w:szCs w:val="24"/>
        </w:rPr>
      </w:pPr>
    </w:p>
    <w:p w:rsidR="009160EC" w:rsidRPr="006C4452" w14:paraId="3932E4BC" w14:textId="77777777">
      <w:pPr>
        <w:rPr>
          <w:rFonts w:ascii="Times New Roman" w:hAnsi="Times New Roman"/>
          <w:szCs w:val="24"/>
        </w:rPr>
      </w:pPr>
      <w:r w:rsidRPr="006C4452">
        <w:rPr>
          <w:rFonts w:ascii="Times New Roman" w:hAnsi="Times New Roman"/>
          <w:szCs w:val="24"/>
        </w:rPr>
        <w:t xml:space="preserve">The </w:t>
      </w:r>
      <w:r w:rsidR="009B3CF3">
        <w:rPr>
          <w:rFonts w:ascii="Times New Roman" w:hAnsi="Times New Roman"/>
          <w:szCs w:val="24"/>
        </w:rPr>
        <w:t>information collection requirements</w:t>
      </w:r>
      <w:r w:rsidRPr="006C4452">
        <w:rPr>
          <w:rFonts w:ascii="Times New Roman" w:hAnsi="Times New Roman"/>
          <w:szCs w:val="24"/>
        </w:rPr>
        <w:t xml:space="preserve"> closely </w:t>
      </w:r>
      <w:r w:rsidR="009B3CF3">
        <w:rPr>
          <w:rFonts w:ascii="Times New Roman" w:hAnsi="Times New Roman"/>
          <w:szCs w:val="24"/>
        </w:rPr>
        <w:t xml:space="preserve">follow </w:t>
      </w:r>
      <w:r w:rsidRPr="006C4452">
        <w:rPr>
          <w:rFonts w:ascii="Times New Roman" w:hAnsi="Times New Roman"/>
          <w:szCs w:val="24"/>
        </w:rPr>
        <w:t>the Act</w:t>
      </w:r>
      <w:r w:rsidR="009B3CF3">
        <w:rPr>
          <w:rFonts w:ascii="Times New Roman" w:hAnsi="Times New Roman"/>
          <w:szCs w:val="24"/>
        </w:rPr>
        <w:t>,</w:t>
      </w:r>
      <w:r w:rsidRPr="006C4452">
        <w:rPr>
          <w:rFonts w:ascii="Times New Roman" w:hAnsi="Times New Roman"/>
          <w:szCs w:val="24"/>
        </w:rPr>
        <w:t xml:space="preserve"> which requires financial institutions to provide </w:t>
      </w:r>
      <w:r w:rsidR="009B3CF3">
        <w:rPr>
          <w:rFonts w:ascii="Times New Roman" w:hAnsi="Times New Roman"/>
          <w:szCs w:val="24"/>
        </w:rPr>
        <w:t xml:space="preserve">an annual </w:t>
      </w:r>
      <w:r w:rsidRPr="006C4452">
        <w:rPr>
          <w:rFonts w:ascii="Times New Roman" w:hAnsi="Times New Roman"/>
          <w:szCs w:val="24"/>
        </w:rPr>
        <w:t>notice of their privacy policies and procedures</w:t>
      </w:r>
      <w:r w:rsidR="009B3CF3">
        <w:rPr>
          <w:rFonts w:ascii="Times New Roman" w:hAnsi="Times New Roman"/>
          <w:szCs w:val="24"/>
        </w:rPr>
        <w:t xml:space="preserve"> to their customers,</w:t>
      </w:r>
      <w:r w:rsidRPr="006C4452">
        <w:rPr>
          <w:rFonts w:ascii="Times New Roman" w:hAnsi="Times New Roman"/>
          <w:szCs w:val="24"/>
        </w:rPr>
        <w:t xml:space="preserve"> and to permit </w:t>
      </w:r>
      <w:r w:rsidR="009B3CF3">
        <w:rPr>
          <w:rFonts w:ascii="Times New Roman" w:hAnsi="Times New Roman"/>
          <w:szCs w:val="24"/>
        </w:rPr>
        <w:t>customers</w:t>
      </w:r>
      <w:r w:rsidRPr="006C4452">
        <w:rPr>
          <w:rFonts w:ascii="Times New Roman" w:hAnsi="Times New Roman"/>
          <w:szCs w:val="24"/>
        </w:rPr>
        <w:t xml:space="preserve"> to opt</w:t>
      </w:r>
      <w:r w:rsidR="00514ECF">
        <w:rPr>
          <w:rFonts w:ascii="Times New Roman" w:hAnsi="Times New Roman"/>
          <w:szCs w:val="24"/>
        </w:rPr>
        <w:t xml:space="preserve"> </w:t>
      </w:r>
      <w:r w:rsidRPr="006C4452">
        <w:rPr>
          <w:rFonts w:ascii="Times New Roman" w:hAnsi="Times New Roman"/>
          <w:szCs w:val="24"/>
        </w:rPr>
        <w:t xml:space="preserve">out of disclosure of their personal information. </w:t>
      </w:r>
      <w:r w:rsidR="009B3CF3">
        <w:rPr>
          <w:rFonts w:ascii="Times New Roman" w:hAnsi="Times New Roman"/>
          <w:szCs w:val="24"/>
        </w:rPr>
        <w:t xml:space="preserve"> There is no flexibility under the Act to collect the information less frequently.</w:t>
      </w:r>
    </w:p>
    <w:p w:rsidR="009160EC" w:rsidRPr="006C4452" w14:paraId="707DE586" w14:textId="77777777">
      <w:pPr>
        <w:rPr>
          <w:rFonts w:ascii="Times New Roman" w:hAnsi="Times New Roman"/>
          <w:i/>
          <w:szCs w:val="24"/>
        </w:rPr>
      </w:pPr>
    </w:p>
    <w:p w:rsidR="009160EC" w:rsidRPr="006C4452" w14:paraId="28DB2EBB" w14:textId="77777777">
      <w:pPr>
        <w:rPr>
          <w:rFonts w:ascii="Times New Roman" w:hAnsi="Times New Roman"/>
          <w:b/>
          <w:i/>
          <w:szCs w:val="24"/>
        </w:rPr>
      </w:pPr>
      <w:r w:rsidRPr="005E2F52">
        <w:rPr>
          <w:rFonts w:ascii="Times New Roman" w:hAnsi="Times New Roman"/>
          <w:b/>
          <w:szCs w:val="24"/>
        </w:rPr>
        <w:t xml:space="preserve">7. </w:t>
      </w:r>
      <w:r w:rsidRPr="005E2F52" w:rsidR="00D32EE6">
        <w:rPr>
          <w:rFonts w:ascii="Times New Roman" w:hAnsi="Times New Roman"/>
          <w:b/>
          <w:szCs w:val="24"/>
        </w:rPr>
        <w:t xml:space="preserve"> </w:t>
      </w:r>
      <w:r w:rsidRPr="005E2F52" w:rsidR="005E2F52">
        <w:rPr>
          <w:rFonts w:ascii="Times New Roman" w:hAnsi="Times New Roman"/>
          <w:b/>
          <w:szCs w:val="24"/>
        </w:rPr>
        <w:t>I</w:t>
      </w:r>
      <w:r w:rsidRPr="005E2F52">
        <w:rPr>
          <w:rFonts w:ascii="Times New Roman" w:hAnsi="Times New Roman"/>
          <w:b/>
          <w:szCs w:val="24"/>
        </w:rPr>
        <w:t>nconsisten</w:t>
      </w:r>
      <w:r w:rsidRPr="005E2F52" w:rsidR="005E2F52">
        <w:rPr>
          <w:rFonts w:ascii="Times New Roman" w:hAnsi="Times New Roman"/>
          <w:b/>
          <w:szCs w:val="24"/>
        </w:rPr>
        <w:t>cies</w:t>
      </w:r>
      <w:r w:rsidRPr="005E2F52">
        <w:rPr>
          <w:rFonts w:ascii="Times New Roman" w:hAnsi="Times New Roman"/>
          <w:b/>
          <w:szCs w:val="24"/>
        </w:rPr>
        <w:t xml:space="preserve"> with </w:t>
      </w:r>
      <w:r w:rsidR="00482289">
        <w:rPr>
          <w:rFonts w:ascii="Times New Roman" w:hAnsi="Times New Roman"/>
          <w:b/>
          <w:szCs w:val="24"/>
        </w:rPr>
        <w:t>g</w:t>
      </w:r>
      <w:r w:rsidRPr="005E2F52" w:rsidR="005E2F52">
        <w:rPr>
          <w:rFonts w:ascii="Times New Roman" w:hAnsi="Times New Roman"/>
          <w:b/>
          <w:szCs w:val="24"/>
        </w:rPr>
        <w:t xml:space="preserve">uidelines in </w:t>
      </w:r>
      <w:r w:rsidRPr="005E2F52">
        <w:rPr>
          <w:rFonts w:ascii="Times New Roman" w:hAnsi="Times New Roman"/>
          <w:b/>
          <w:szCs w:val="24"/>
        </w:rPr>
        <w:t>5 CFR 1320</w:t>
      </w:r>
      <w:r w:rsidRPr="005E2F52" w:rsidR="005E2F52">
        <w:rPr>
          <w:rFonts w:ascii="Times New Roman" w:hAnsi="Times New Roman"/>
          <w:b/>
          <w:szCs w:val="24"/>
        </w:rPr>
        <w:t>.5(d)(2)</w:t>
      </w:r>
      <w:r w:rsidR="00482289">
        <w:rPr>
          <w:rFonts w:ascii="Times New Roman" w:hAnsi="Times New Roman"/>
          <w:b/>
          <w:szCs w:val="24"/>
        </w:rPr>
        <w:t>:</w:t>
      </w:r>
      <w:r w:rsidRPr="008246BB">
        <w:rPr>
          <w:rFonts w:ascii="Times New Roman" w:hAnsi="Times New Roman"/>
          <w:szCs w:val="24"/>
        </w:rPr>
        <w:t xml:space="preserve"> </w:t>
      </w:r>
    </w:p>
    <w:p w:rsidR="009160EC" w:rsidRPr="006C4452" w14:paraId="5AFABE2C" w14:textId="77777777">
      <w:pPr>
        <w:rPr>
          <w:rFonts w:ascii="Times New Roman" w:hAnsi="Times New Roman"/>
          <w:b/>
          <w:i/>
          <w:szCs w:val="24"/>
        </w:rPr>
      </w:pPr>
    </w:p>
    <w:p w:rsidR="009160EC" w:rsidRPr="006C4452" w14:paraId="605E7D84" w14:textId="77777777">
      <w:pPr>
        <w:rPr>
          <w:rFonts w:ascii="Times New Roman" w:hAnsi="Times New Roman"/>
          <w:szCs w:val="24"/>
        </w:rPr>
      </w:pPr>
      <w:r w:rsidRPr="006C4452">
        <w:rPr>
          <w:rFonts w:ascii="Times New Roman" w:hAnsi="Times New Roman"/>
          <w:szCs w:val="24"/>
        </w:rPr>
        <w:t>The</w:t>
      </w:r>
      <w:r w:rsidR="003D3BD3">
        <w:rPr>
          <w:rFonts w:ascii="Times New Roman" w:hAnsi="Times New Roman"/>
          <w:szCs w:val="24"/>
        </w:rPr>
        <w:t>r</w:t>
      </w:r>
      <w:r w:rsidRPr="006C4452">
        <w:rPr>
          <w:rFonts w:ascii="Times New Roman" w:hAnsi="Times New Roman"/>
          <w:szCs w:val="24"/>
        </w:rPr>
        <w:t xml:space="preserve">e </w:t>
      </w:r>
      <w:r w:rsidR="003D3BD3">
        <w:rPr>
          <w:rFonts w:ascii="Times New Roman" w:hAnsi="Times New Roman"/>
          <w:szCs w:val="24"/>
        </w:rPr>
        <w:t xml:space="preserve">are no special circumstances.  This </w:t>
      </w:r>
      <w:r w:rsidRPr="006C4452">
        <w:rPr>
          <w:rFonts w:ascii="Times New Roman" w:hAnsi="Times New Roman"/>
          <w:szCs w:val="24"/>
        </w:rPr>
        <w:t xml:space="preserve">information collection </w:t>
      </w:r>
      <w:r w:rsidR="003D3BD3">
        <w:rPr>
          <w:rFonts w:ascii="Times New Roman" w:hAnsi="Times New Roman"/>
          <w:szCs w:val="24"/>
        </w:rPr>
        <w:t>is</w:t>
      </w:r>
      <w:r w:rsidRPr="006C4452">
        <w:rPr>
          <w:rFonts w:ascii="Times New Roman" w:hAnsi="Times New Roman"/>
          <w:szCs w:val="24"/>
        </w:rPr>
        <w:t xml:space="preserve"> consistent with the </w:t>
      </w:r>
      <w:r w:rsidR="003D3BD3">
        <w:rPr>
          <w:rFonts w:ascii="Times New Roman" w:hAnsi="Times New Roman"/>
          <w:szCs w:val="24"/>
        </w:rPr>
        <w:t>guidelines</w:t>
      </w:r>
      <w:r w:rsidRPr="006C4452">
        <w:rPr>
          <w:rFonts w:ascii="Times New Roman" w:hAnsi="Times New Roman"/>
          <w:szCs w:val="24"/>
        </w:rPr>
        <w:t xml:space="preserve"> </w:t>
      </w:r>
      <w:r w:rsidR="003D3BD3">
        <w:rPr>
          <w:rFonts w:ascii="Times New Roman" w:hAnsi="Times New Roman"/>
          <w:szCs w:val="24"/>
        </w:rPr>
        <w:t>in</w:t>
      </w:r>
      <w:r w:rsidRPr="006C4452">
        <w:rPr>
          <w:rFonts w:ascii="Times New Roman" w:hAnsi="Times New Roman"/>
          <w:szCs w:val="24"/>
        </w:rPr>
        <w:t xml:space="preserve"> 5 CFR 1320</w:t>
      </w:r>
      <w:r w:rsidR="003D3BD3">
        <w:rPr>
          <w:rFonts w:ascii="Times New Roman" w:hAnsi="Times New Roman"/>
          <w:szCs w:val="24"/>
        </w:rPr>
        <w:t>.5(d)(2)</w:t>
      </w:r>
      <w:r w:rsidRPr="006C4452">
        <w:rPr>
          <w:rFonts w:ascii="Times New Roman" w:hAnsi="Times New Roman"/>
          <w:szCs w:val="24"/>
        </w:rPr>
        <w:t xml:space="preserve">.  </w:t>
      </w:r>
    </w:p>
    <w:p w:rsidR="009160EC" w:rsidRPr="006C4452" w14:paraId="2402217F" w14:textId="77777777">
      <w:pPr>
        <w:rPr>
          <w:rFonts w:ascii="Times New Roman" w:hAnsi="Times New Roman"/>
          <w:szCs w:val="24"/>
        </w:rPr>
      </w:pPr>
    </w:p>
    <w:p w:rsidR="009160EC" w:rsidRPr="008246BB" w14:paraId="00CBD83D" w14:textId="77777777">
      <w:pPr>
        <w:rPr>
          <w:rFonts w:ascii="Times New Roman" w:hAnsi="Times New Roman"/>
          <w:szCs w:val="24"/>
        </w:rPr>
      </w:pPr>
      <w:r w:rsidRPr="0056491E">
        <w:rPr>
          <w:rFonts w:ascii="Times New Roman" w:hAnsi="Times New Roman"/>
          <w:b/>
          <w:szCs w:val="24"/>
        </w:rPr>
        <w:t xml:space="preserve">8. </w:t>
      </w:r>
      <w:r w:rsidRPr="0056491E" w:rsidR="00D32EE6">
        <w:rPr>
          <w:rFonts w:ascii="Times New Roman" w:hAnsi="Times New Roman"/>
          <w:b/>
          <w:szCs w:val="24"/>
        </w:rPr>
        <w:t xml:space="preserve"> </w:t>
      </w:r>
      <w:r w:rsidR="00482289">
        <w:rPr>
          <w:rFonts w:ascii="Times New Roman" w:hAnsi="Times New Roman"/>
          <w:b/>
          <w:szCs w:val="24"/>
        </w:rPr>
        <w:t>Efforts to c</w:t>
      </w:r>
      <w:r w:rsidRPr="0056491E">
        <w:rPr>
          <w:rFonts w:ascii="Times New Roman" w:hAnsi="Times New Roman"/>
          <w:b/>
          <w:szCs w:val="24"/>
        </w:rPr>
        <w:t xml:space="preserve">onsult </w:t>
      </w:r>
      <w:r w:rsidR="00482289">
        <w:rPr>
          <w:rFonts w:ascii="Times New Roman" w:hAnsi="Times New Roman"/>
          <w:b/>
          <w:szCs w:val="24"/>
        </w:rPr>
        <w:t>with persons o</w:t>
      </w:r>
      <w:r w:rsidRPr="0056491E">
        <w:rPr>
          <w:rFonts w:ascii="Times New Roman" w:hAnsi="Times New Roman"/>
          <w:b/>
          <w:szCs w:val="24"/>
        </w:rPr>
        <w:t xml:space="preserve">utside the </w:t>
      </w:r>
      <w:r w:rsidR="00482289">
        <w:rPr>
          <w:rFonts w:ascii="Times New Roman" w:hAnsi="Times New Roman"/>
          <w:b/>
          <w:szCs w:val="24"/>
        </w:rPr>
        <w:t>a</w:t>
      </w:r>
      <w:r w:rsidRPr="0056491E">
        <w:rPr>
          <w:rFonts w:ascii="Times New Roman" w:hAnsi="Times New Roman"/>
          <w:b/>
          <w:szCs w:val="24"/>
        </w:rPr>
        <w:t>gency</w:t>
      </w:r>
      <w:r w:rsidR="00482289">
        <w:rPr>
          <w:rFonts w:ascii="Times New Roman" w:hAnsi="Times New Roman"/>
          <w:b/>
          <w:szCs w:val="24"/>
        </w:rPr>
        <w:t>:</w:t>
      </w:r>
    </w:p>
    <w:p w:rsidR="009160EC" w:rsidRPr="006C4452" w14:paraId="7349F700" w14:textId="77777777">
      <w:pPr>
        <w:rPr>
          <w:rFonts w:ascii="Times New Roman" w:hAnsi="Times New Roman"/>
          <w:b/>
          <w:i/>
          <w:szCs w:val="24"/>
        </w:rPr>
      </w:pPr>
    </w:p>
    <w:p w:rsidR="00144040" w:rsidRPr="001409B4" w:rsidP="006A6DA5" w14:paraId="5039AE61" w14:textId="77777777">
      <w:pPr>
        <w:pStyle w:val="ListParagraph"/>
        <w:ind w:left="0"/>
        <w:rPr>
          <w:sz w:val="24"/>
          <w:szCs w:val="24"/>
        </w:rPr>
      </w:pPr>
      <w:r w:rsidRPr="00EC204B">
        <w:rPr>
          <w:sz w:val="24"/>
          <w:szCs w:val="24"/>
        </w:rPr>
        <w:t xml:space="preserve">A 60-day notice was published in the </w:t>
      </w:r>
      <w:r w:rsidRPr="00EC204B">
        <w:rPr>
          <w:i/>
          <w:sz w:val="24"/>
          <w:szCs w:val="24"/>
        </w:rPr>
        <w:t>Federal Register</w:t>
      </w:r>
      <w:r w:rsidRPr="00EC204B">
        <w:rPr>
          <w:sz w:val="24"/>
          <w:szCs w:val="24"/>
        </w:rPr>
        <w:t xml:space="preserve"> on February 2, 2026, at 91 FR 4637, soliciting comments from the public.  No comments were received in response to the initial 60-day notice.</w:t>
      </w:r>
    </w:p>
    <w:p w:rsidR="00144040" w:rsidRPr="006C4452" w14:paraId="2C122C49" w14:textId="77777777">
      <w:pPr>
        <w:rPr>
          <w:rFonts w:ascii="Times New Roman" w:hAnsi="Times New Roman"/>
          <w:szCs w:val="24"/>
        </w:rPr>
      </w:pPr>
    </w:p>
    <w:p w:rsidR="009160EC" w:rsidRPr="006C4452" w14:paraId="46E973C7" w14:textId="77777777">
      <w:pPr>
        <w:rPr>
          <w:rFonts w:ascii="Times New Roman" w:hAnsi="Times New Roman"/>
          <w:szCs w:val="24"/>
        </w:rPr>
      </w:pPr>
    </w:p>
    <w:p w:rsidR="009160EC" w:rsidRPr="008246BB" w14:paraId="050B631A" w14:textId="77777777">
      <w:pPr>
        <w:rPr>
          <w:rFonts w:ascii="Times New Roman" w:hAnsi="Times New Roman"/>
          <w:szCs w:val="24"/>
        </w:rPr>
      </w:pPr>
      <w:r w:rsidRPr="00DB1A7E">
        <w:rPr>
          <w:rFonts w:ascii="Times New Roman" w:hAnsi="Times New Roman"/>
          <w:b/>
          <w:szCs w:val="24"/>
        </w:rPr>
        <w:t xml:space="preserve">9. </w:t>
      </w:r>
      <w:r w:rsidRPr="00DB1A7E" w:rsidR="00D32EE6">
        <w:rPr>
          <w:rFonts w:ascii="Times New Roman" w:hAnsi="Times New Roman"/>
          <w:b/>
          <w:szCs w:val="24"/>
        </w:rPr>
        <w:t xml:space="preserve"> </w:t>
      </w:r>
      <w:r w:rsidRPr="00DB1A7E">
        <w:rPr>
          <w:rFonts w:ascii="Times New Roman" w:hAnsi="Times New Roman"/>
          <w:b/>
          <w:szCs w:val="24"/>
        </w:rPr>
        <w:t xml:space="preserve">Payment </w:t>
      </w:r>
      <w:r w:rsidRPr="00DB1A7E" w:rsidR="00DB1A7E">
        <w:rPr>
          <w:rFonts w:ascii="Times New Roman" w:hAnsi="Times New Roman"/>
          <w:b/>
          <w:szCs w:val="24"/>
        </w:rPr>
        <w:t xml:space="preserve">or </w:t>
      </w:r>
      <w:r w:rsidR="00DB33F4">
        <w:rPr>
          <w:rFonts w:ascii="Times New Roman" w:hAnsi="Times New Roman"/>
          <w:b/>
          <w:szCs w:val="24"/>
        </w:rPr>
        <w:t>g</w:t>
      </w:r>
      <w:r w:rsidRPr="00DB1A7E" w:rsidR="00DB1A7E">
        <w:rPr>
          <w:rFonts w:ascii="Times New Roman" w:hAnsi="Times New Roman"/>
          <w:b/>
          <w:szCs w:val="24"/>
        </w:rPr>
        <w:t>ift</w:t>
      </w:r>
      <w:r w:rsidR="00DB33F4">
        <w:rPr>
          <w:rFonts w:ascii="Times New Roman" w:hAnsi="Times New Roman"/>
          <w:b/>
          <w:szCs w:val="24"/>
        </w:rPr>
        <w:t>s to respondents:</w:t>
      </w:r>
    </w:p>
    <w:p w:rsidR="009160EC" w:rsidRPr="006C4452" w14:paraId="215387F8" w14:textId="77777777">
      <w:pPr>
        <w:rPr>
          <w:rFonts w:ascii="Times New Roman" w:hAnsi="Times New Roman"/>
          <w:b/>
          <w:i/>
          <w:szCs w:val="24"/>
        </w:rPr>
      </w:pPr>
    </w:p>
    <w:p w:rsidR="009160EC" w:rsidRPr="006C4452" w14:paraId="1C93FFE0" w14:textId="77777777">
      <w:pPr>
        <w:rPr>
          <w:rFonts w:ascii="Times New Roman" w:hAnsi="Times New Roman"/>
          <w:szCs w:val="24"/>
        </w:rPr>
      </w:pPr>
      <w:r>
        <w:rPr>
          <w:rFonts w:ascii="Times New Roman" w:hAnsi="Times New Roman"/>
          <w:szCs w:val="24"/>
        </w:rPr>
        <w:t>There is no intent by NCUA to provide payment or gifts for information collected</w:t>
      </w:r>
      <w:r w:rsidRPr="006C4452">
        <w:rPr>
          <w:rFonts w:ascii="Times New Roman" w:hAnsi="Times New Roman"/>
          <w:szCs w:val="24"/>
        </w:rPr>
        <w:t>.</w:t>
      </w:r>
    </w:p>
    <w:p w:rsidR="009160EC" w:rsidRPr="006C4452" w14:paraId="74CBF27D" w14:textId="77777777">
      <w:pPr>
        <w:rPr>
          <w:rFonts w:ascii="Times New Roman" w:hAnsi="Times New Roman"/>
          <w:szCs w:val="24"/>
        </w:rPr>
      </w:pPr>
    </w:p>
    <w:p w:rsidR="009160EC" w:rsidRPr="006C4452" w14:paraId="4F229581" w14:textId="77777777">
      <w:pPr>
        <w:rPr>
          <w:rFonts w:ascii="Times New Roman" w:hAnsi="Times New Roman"/>
          <w:i/>
          <w:szCs w:val="24"/>
        </w:rPr>
      </w:pPr>
      <w:r>
        <w:rPr>
          <w:rFonts w:ascii="Times New Roman" w:hAnsi="Times New Roman"/>
          <w:b/>
          <w:szCs w:val="24"/>
        </w:rPr>
        <w:br w:type="page"/>
      </w:r>
      <w:r w:rsidRPr="00EB37E2" w:rsidR="008246BB">
        <w:rPr>
          <w:rFonts w:ascii="Times New Roman" w:hAnsi="Times New Roman"/>
          <w:b/>
          <w:szCs w:val="24"/>
        </w:rPr>
        <w:t xml:space="preserve">10. </w:t>
      </w:r>
      <w:r w:rsidRPr="00EB37E2" w:rsidR="00D32EE6">
        <w:rPr>
          <w:rFonts w:ascii="Times New Roman" w:hAnsi="Times New Roman"/>
          <w:b/>
          <w:szCs w:val="24"/>
        </w:rPr>
        <w:t xml:space="preserve"> </w:t>
      </w:r>
      <w:r w:rsidR="00DB33F4">
        <w:rPr>
          <w:rFonts w:ascii="Times New Roman" w:hAnsi="Times New Roman"/>
          <w:b/>
          <w:szCs w:val="24"/>
        </w:rPr>
        <w:t>Assurance of c</w:t>
      </w:r>
      <w:r w:rsidRPr="00EB37E2">
        <w:rPr>
          <w:rFonts w:ascii="Times New Roman" w:hAnsi="Times New Roman"/>
          <w:b/>
          <w:szCs w:val="24"/>
        </w:rPr>
        <w:t>onfidentiality</w:t>
      </w:r>
      <w:r w:rsidR="00DB33F4">
        <w:rPr>
          <w:rFonts w:ascii="Times New Roman" w:hAnsi="Times New Roman"/>
          <w:b/>
          <w:szCs w:val="24"/>
        </w:rPr>
        <w:t>:</w:t>
      </w:r>
    </w:p>
    <w:p w:rsidR="009160EC" w:rsidRPr="006C4452" w14:paraId="104D8FA7" w14:textId="77777777">
      <w:pPr>
        <w:rPr>
          <w:rFonts w:ascii="Times New Roman" w:hAnsi="Times New Roman"/>
          <w:b/>
          <w:i/>
          <w:szCs w:val="24"/>
        </w:rPr>
      </w:pPr>
    </w:p>
    <w:p w:rsidR="00D14359" w:rsidRPr="009A359C" w:rsidP="00402C12" w14:paraId="0A8CC43A" w14:textId="77777777">
      <w:pPr>
        <w:rPr>
          <w:rFonts w:ascii="Times New Roman" w:hAnsi="Times New Roman"/>
        </w:rPr>
      </w:pPr>
      <w:r>
        <w:rPr>
          <w:rFonts w:ascii="Times New Roman" w:hAnsi="Times New Roman"/>
        </w:rPr>
        <w:t>Th</w:t>
      </w:r>
      <w:r w:rsidR="00DB33F4">
        <w:rPr>
          <w:rFonts w:ascii="Times New Roman" w:hAnsi="Times New Roman"/>
        </w:rPr>
        <w:t>ere is no assurance of confidentiality other than that provided by law</w:t>
      </w:r>
      <w:r w:rsidRPr="009A359C">
        <w:rPr>
          <w:rFonts w:ascii="Times New Roman" w:hAnsi="Times New Roman"/>
        </w:rPr>
        <w:t xml:space="preserve">.  </w:t>
      </w:r>
    </w:p>
    <w:p w:rsidR="009160EC" w:rsidRPr="006C4452" w:rsidP="00D14359" w14:paraId="55508E48" w14:textId="77777777">
      <w:pPr>
        <w:rPr>
          <w:rFonts w:ascii="Times New Roman" w:hAnsi="Times New Roman"/>
          <w:szCs w:val="24"/>
        </w:rPr>
      </w:pPr>
      <w:r>
        <w:rPr>
          <w:rStyle w:val="CommentReference"/>
        </w:rPr>
        <w:t xml:space="preserve"> </w:t>
      </w:r>
    </w:p>
    <w:p w:rsidR="009160EC" w:rsidRPr="006C4452" w:rsidP="00D14359" w14:paraId="0E6F3641" w14:textId="77777777">
      <w:pPr>
        <w:rPr>
          <w:rFonts w:ascii="Times New Roman" w:hAnsi="Times New Roman"/>
          <w:i/>
          <w:szCs w:val="24"/>
        </w:rPr>
      </w:pPr>
      <w:r w:rsidRPr="00D67D10">
        <w:rPr>
          <w:rFonts w:ascii="Times New Roman" w:hAnsi="Times New Roman"/>
          <w:b/>
          <w:szCs w:val="24"/>
        </w:rPr>
        <w:t xml:space="preserve">11. </w:t>
      </w:r>
      <w:r w:rsidRPr="00D67D10" w:rsidR="00D32EE6">
        <w:rPr>
          <w:rFonts w:ascii="Times New Roman" w:hAnsi="Times New Roman"/>
          <w:b/>
          <w:szCs w:val="24"/>
        </w:rPr>
        <w:t xml:space="preserve"> </w:t>
      </w:r>
      <w:r w:rsidRPr="00D67D10" w:rsidR="00D67D10">
        <w:rPr>
          <w:rFonts w:ascii="Times New Roman" w:hAnsi="Times New Roman"/>
          <w:b/>
          <w:szCs w:val="24"/>
        </w:rPr>
        <w:t>Questions</w:t>
      </w:r>
      <w:r w:rsidR="00DB33F4">
        <w:rPr>
          <w:rFonts w:ascii="Times New Roman" w:hAnsi="Times New Roman"/>
          <w:b/>
          <w:szCs w:val="24"/>
        </w:rPr>
        <w:t xml:space="preserve"> of a sensitive nature:</w:t>
      </w:r>
      <w:r w:rsidRPr="006C4452">
        <w:rPr>
          <w:rFonts w:ascii="Times New Roman" w:hAnsi="Times New Roman"/>
          <w:i/>
          <w:szCs w:val="24"/>
        </w:rPr>
        <w:t xml:space="preserve"> </w:t>
      </w:r>
    </w:p>
    <w:p w:rsidR="009160EC" w:rsidRPr="006C4452" w:rsidP="00D14359" w14:paraId="7F7AAA8D" w14:textId="77777777">
      <w:pPr>
        <w:rPr>
          <w:rFonts w:ascii="Times New Roman" w:hAnsi="Times New Roman"/>
          <w:i/>
          <w:szCs w:val="24"/>
        </w:rPr>
      </w:pPr>
    </w:p>
    <w:p w:rsidR="009160EC" w:rsidRPr="006C4452" w:rsidP="00D14359" w14:paraId="1FEDEB72" w14:textId="77777777">
      <w:pPr>
        <w:rPr>
          <w:rFonts w:ascii="Times New Roman" w:hAnsi="Times New Roman"/>
          <w:szCs w:val="24"/>
        </w:rPr>
      </w:pPr>
      <w:r>
        <w:rPr>
          <w:rFonts w:ascii="Times New Roman" w:hAnsi="Times New Roman"/>
          <w:szCs w:val="24"/>
        </w:rPr>
        <w:t>No questions of a sensitive nature are asked.  The information collection does not collect any Personally Identifiable Information</w:t>
      </w:r>
      <w:r w:rsidRPr="006C4452">
        <w:rPr>
          <w:rFonts w:ascii="Times New Roman" w:hAnsi="Times New Roman"/>
          <w:szCs w:val="24"/>
        </w:rPr>
        <w:t>.</w:t>
      </w:r>
    </w:p>
    <w:p w:rsidR="009160EC" w:rsidRPr="006C4452" w14:paraId="056E3096" w14:textId="77777777">
      <w:pPr>
        <w:rPr>
          <w:rFonts w:ascii="Times New Roman" w:hAnsi="Times New Roman"/>
          <w:i/>
          <w:szCs w:val="24"/>
        </w:rPr>
      </w:pPr>
    </w:p>
    <w:p w:rsidR="009160EC" w:rsidRPr="006C4452" w14:paraId="6F4A987F" w14:textId="77777777">
      <w:pPr>
        <w:rPr>
          <w:rFonts w:ascii="Times New Roman" w:hAnsi="Times New Roman"/>
          <w:i/>
          <w:szCs w:val="24"/>
        </w:rPr>
      </w:pPr>
      <w:r w:rsidRPr="00EB5A97">
        <w:rPr>
          <w:rFonts w:ascii="Times New Roman" w:hAnsi="Times New Roman"/>
          <w:b/>
          <w:szCs w:val="24"/>
        </w:rPr>
        <w:t xml:space="preserve">12. </w:t>
      </w:r>
      <w:r w:rsidRPr="00EB5A97" w:rsidR="00D32EE6">
        <w:rPr>
          <w:rFonts w:ascii="Times New Roman" w:hAnsi="Times New Roman"/>
          <w:b/>
          <w:szCs w:val="24"/>
        </w:rPr>
        <w:t xml:space="preserve"> </w:t>
      </w:r>
      <w:r w:rsidRPr="00EB5A97">
        <w:rPr>
          <w:rFonts w:ascii="Times New Roman" w:hAnsi="Times New Roman"/>
          <w:b/>
          <w:szCs w:val="24"/>
        </w:rPr>
        <w:t xml:space="preserve">Burden </w:t>
      </w:r>
      <w:r w:rsidRPr="00EB5A97" w:rsidR="00EB5A97">
        <w:rPr>
          <w:rFonts w:ascii="Times New Roman" w:hAnsi="Times New Roman"/>
          <w:b/>
          <w:szCs w:val="24"/>
        </w:rPr>
        <w:t xml:space="preserve">of </w:t>
      </w:r>
      <w:r w:rsidR="00DB33F4">
        <w:rPr>
          <w:rFonts w:ascii="Times New Roman" w:hAnsi="Times New Roman"/>
          <w:b/>
          <w:szCs w:val="24"/>
        </w:rPr>
        <w:t>i</w:t>
      </w:r>
      <w:r w:rsidRPr="00EB5A97" w:rsidR="00EB5A97">
        <w:rPr>
          <w:rFonts w:ascii="Times New Roman" w:hAnsi="Times New Roman"/>
          <w:b/>
          <w:szCs w:val="24"/>
        </w:rPr>
        <w:t xml:space="preserve">nformation </w:t>
      </w:r>
      <w:r w:rsidR="00DB33F4">
        <w:rPr>
          <w:rFonts w:ascii="Times New Roman" w:hAnsi="Times New Roman"/>
          <w:b/>
          <w:szCs w:val="24"/>
        </w:rPr>
        <w:t>c</w:t>
      </w:r>
      <w:r w:rsidRPr="00EB5A97" w:rsidR="00EB5A97">
        <w:rPr>
          <w:rFonts w:ascii="Times New Roman" w:hAnsi="Times New Roman"/>
          <w:b/>
          <w:szCs w:val="24"/>
        </w:rPr>
        <w:t>ollection</w:t>
      </w:r>
      <w:r w:rsidR="00DB33F4">
        <w:rPr>
          <w:rFonts w:ascii="Times New Roman" w:hAnsi="Times New Roman"/>
          <w:b/>
          <w:szCs w:val="24"/>
        </w:rPr>
        <w:t>:</w:t>
      </w:r>
    </w:p>
    <w:p w:rsidR="009160EC" w14:paraId="30B41284" w14:textId="77777777">
      <w:pPr>
        <w:rPr>
          <w:rFonts w:ascii="Times New Roman" w:hAnsi="Times New Roman"/>
          <w:szCs w:val="24"/>
        </w:rPr>
      </w:pPr>
    </w:p>
    <w:p w:rsidR="003811C0" w14:paraId="07370E20" w14:textId="0A5EDC48">
      <w:pPr>
        <w:rPr>
          <w:rFonts w:ascii="Times New Roman" w:hAnsi="Times New Roman"/>
          <w:szCs w:val="24"/>
        </w:rPr>
      </w:pPr>
      <w:r w:rsidRPr="00D93057">
        <w:rPr>
          <w:rFonts w:ascii="Times New Roman" w:hAnsi="Times New Roman"/>
          <w:szCs w:val="24"/>
        </w:rPr>
        <w:t xml:space="preserve">The annual burden for federally </w:t>
      </w:r>
      <w:r w:rsidRPr="00D93057" w:rsidR="00A31ACA">
        <w:rPr>
          <w:rFonts w:ascii="Times New Roman" w:hAnsi="Times New Roman"/>
          <w:szCs w:val="24"/>
        </w:rPr>
        <w:t>insured credit</w:t>
      </w:r>
      <w:r w:rsidRPr="00D93057" w:rsidR="00BA1331">
        <w:rPr>
          <w:rFonts w:ascii="Times New Roman" w:hAnsi="Times New Roman"/>
          <w:szCs w:val="24"/>
        </w:rPr>
        <w:t xml:space="preserve"> unions is estimated to be </w:t>
      </w:r>
      <w:r w:rsidRPr="00D93057" w:rsidR="00D054E0">
        <w:rPr>
          <w:rFonts w:ascii="Times New Roman" w:hAnsi="Times New Roman"/>
          <w:szCs w:val="24"/>
        </w:rPr>
        <w:t>3</w:t>
      </w:r>
      <w:r w:rsidRPr="00D93057" w:rsidR="00534B55">
        <w:rPr>
          <w:rFonts w:ascii="Times New Roman" w:hAnsi="Times New Roman"/>
          <w:szCs w:val="24"/>
        </w:rPr>
        <w:t>4</w:t>
      </w:r>
      <w:r w:rsidRPr="00D93057" w:rsidR="00D93057">
        <w:rPr>
          <w:rFonts w:ascii="Times New Roman" w:hAnsi="Times New Roman"/>
          <w:szCs w:val="24"/>
        </w:rPr>
        <w:t>,8</w:t>
      </w:r>
      <w:r w:rsidR="00731DCB">
        <w:rPr>
          <w:rFonts w:ascii="Times New Roman" w:hAnsi="Times New Roman"/>
          <w:szCs w:val="24"/>
        </w:rPr>
        <w:t xml:space="preserve">44 </w:t>
      </w:r>
      <w:r w:rsidRPr="00D93057">
        <w:rPr>
          <w:rFonts w:ascii="Times New Roman" w:hAnsi="Times New Roman"/>
          <w:szCs w:val="24"/>
        </w:rPr>
        <w:t xml:space="preserve">hours for the </w:t>
      </w:r>
      <w:r w:rsidRPr="00D93057" w:rsidR="00806659">
        <w:rPr>
          <w:rFonts w:ascii="Times New Roman" w:hAnsi="Times New Roman"/>
          <w:szCs w:val="24"/>
        </w:rPr>
        <w:t>4,</w:t>
      </w:r>
      <w:r w:rsidRPr="00D93057" w:rsidR="00D93057">
        <w:rPr>
          <w:rFonts w:ascii="Times New Roman" w:hAnsi="Times New Roman"/>
          <w:szCs w:val="24"/>
        </w:rPr>
        <w:t>287</w:t>
      </w:r>
      <w:r w:rsidR="00B11A5F">
        <w:rPr>
          <w:rFonts w:ascii="Times New Roman" w:hAnsi="Times New Roman"/>
          <w:szCs w:val="24"/>
        </w:rPr>
        <w:t xml:space="preserve"> </w:t>
      </w:r>
      <w:r w:rsidRPr="00D93057">
        <w:rPr>
          <w:rFonts w:ascii="Times New Roman" w:hAnsi="Times New Roman"/>
          <w:szCs w:val="24"/>
        </w:rPr>
        <w:t xml:space="preserve">federally </w:t>
      </w:r>
      <w:r w:rsidRPr="00D93057" w:rsidR="00A31ACA">
        <w:rPr>
          <w:rFonts w:ascii="Times New Roman" w:hAnsi="Times New Roman"/>
          <w:szCs w:val="24"/>
        </w:rPr>
        <w:t>insured credit unions</w:t>
      </w:r>
      <w:r w:rsidRPr="00D93057" w:rsidR="001E3BB0">
        <w:rPr>
          <w:rFonts w:ascii="Times New Roman" w:hAnsi="Times New Roman"/>
          <w:szCs w:val="24"/>
        </w:rPr>
        <w:t xml:space="preserve">, based on NCUA Call Report ending on </w:t>
      </w:r>
      <w:r w:rsidRPr="00D93057" w:rsidR="00904C91">
        <w:rPr>
          <w:rFonts w:ascii="Times New Roman" w:hAnsi="Times New Roman"/>
          <w:szCs w:val="24"/>
        </w:rPr>
        <w:t>Q4 202</w:t>
      </w:r>
      <w:r w:rsidRPr="00D93057" w:rsidR="00D93057">
        <w:rPr>
          <w:rFonts w:ascii="Times New Roman" w:hAnsi="Times New Roman"/>
          <w:szCs w:val="24"/>
        </w:rPr>
        <w:t>5</w:t>
      </w:r>
      <w:r w:rsidRPr="00D93057" w:rsidR="001E3BB0">
        <w:rPr>
          <w:rFonts w:ascii="Times New Roman" w:hAnsi="Times New Roman"/>
          <w:szCs w:val="24"/>
        </w:rPr>
        <w:t>,</w:t>
      </w:r>
      <w:r w:rsidRPr="00D93057" w:rsidR="00A31ACA">
        <w:rPr>
          <w:rFonts w:ascii="Times New Roman" w:hAnsi="Times New Roman"/>
          <w:szCs w:val="24"/>
        </w:rPr>
        <w:t xml:space="preserve"> that are deemed to be respondents for purposes of PRA</w:t>
      </w:r>
      <w:r w:rsidRPr="00F61C8C" w:rsidR="00A31ACA">
        <w:rPr>
          <w:rFonts w:ascii="Times New Roman" w:hAnsi="Times New Roman"/>
          <w:szCs w:val="24"/>
        </w:rPr>
        <w:t xml:space="preserve">.  The burden for consumers is estimated to be </w:t>
      </w:r>
      <w:r w:rsidRPr="00F61C8C" w:rsidR="00731DCB">
        <w:rPr>
          <w:rFonts w:ascii="Times New Roman" w:hAnsi="Times New Roman"/>
          <w:szCs w:val="24"/>
          <w:u w:val="single"/>
        </w:rPr>
        <w:t xml:space="preserve">450,438 </w:t>
      </w:r>
      <w:r w:rsidRPr="00F61C8C" w:rsidR="00AD49DE">
        <w:rPr>
          <w:rFonts w:ascii="Times New Roman" w:hAnsi="Times New Roman"/>
          <w:szCs w:val="24"/>
        </w:rPr>
        <w:t>h</w:t>
      </w:r>
      <w:r w:rsidRPr="00F61C8C" w:rsidR="00A31ACA">
        <w:rPr>
          <w:rFonts w:ascii="Times New Roman" w:hAnsi="Times New Roman"/>
          <w:szCs w:val="24"/>
        </w:rPr>
        <w:t xml:space="preserve">ours.  These estimated burdens arise exclusively from the regulation and are shown in the table </w:t>
      </w:r>
      <w:r w:rsidRPr="00F61C8C" w:rsidR="00104501">
        <w:rPr>
          <w:rFonts w:ascii="Times New Roman" w:hAnsi="Times New Roman"/>
          <w:szCs w:val="24"/>
        </w:rPr>
        <w:t>below</w:t>
      </w:r>
      <w:r w:rsidRPr="00F61C8C" w:rsidR="00A31ACA">
        <w:rPr>
          <w:rFonts w:ascii="Times New Roman" w:hAnsi="Times New Roman"/>
          <w:szCs w:val="24"/>
        </w:rPr>
        <w:t>.  Total burden hours associated with this i</w:t>
      </w:r>
      <w:r w:rsidRPr="00F61C8C" w:rsidR="00BA1331">
        <w:rPr>
          <w:rFonts w:ascii="Times New Roman" w:hAnsi="Times New Roman"/>
          <w:szCs w:val="24"/>
        </w:rPr>
        <w:t xml:space="preserve">nformation collection is </w:t>
      </w:r>
      <w:r w:rsidRPr="00F61C8C" w:rsidR="00F61C8C">
        <w:rPr>
          <w:rFonts w:ascii="Times New Roman" w:hAnsi="Times New Roman"/>
          <w:szCs w:val="24"/>
        </w:rPr>
        <w:t>485,282.</w:t>
      </w:r>
    </w:p>
    <w:p w:rsidR="003811C0" w:rsidRPr="006C4452" w14:paraId="66258FA1" w14:textId="77777777">
      <w:pPr>
        <w:rPr>
          <w:rFonts w:ascii="Times New Roman" w:hAnsi="Times New Roman"/>
          <w:szCs w:val="24"/>
        </w:rPr>
      </w:pPr>
    </w:p>
    <w:tbl>
      <w:tblPr>
        <w:tblW w:w="9432" w:type="dxa"/>
        <w:tblInd w:w="108" w:type="dxa"/>
        <w:tblLayout w:type="fixed"/>
        <w:tblLook w:val="04A0"/>
      </w:tblPr>
      <w:tblGrid>
        <w:gridCol w:w="3042"/>
        <w:gridCol w:w="1350"/>
        <w:gridCol w:w="1800"/>
        <w:gridCol w:w="1800"/>
        <w:gridCol w:w="1440"/>
      </w:tblGrid>
      <w:tr w14:paraId="5D10964E" w14:textId="77777777" w:rsidTr="00000221">
        <w:tblPrEx>
          <w:tblW w:w="9432" w:type="dxa"/>
          <w:tblInd w:w="108" w:type="dxa"/>
          <w:tblLayout w:type="fixed"/>
          <w:tblLook w:val="04A0"/>
        </w:tblPrEx>
        <w:trPr>
          <w:trHeight w:val="315"/>
        </w:trPr>
        <w:tc>
          <w:tcPr>
            <w:tcW w:w="3042" w:type="dxa"/>
            <w:tcBorders>
              <w:top w:val="nil"/>
              <w:left w:val="nil"/>
              <w:bottom w:val="nil"/>
              <w:right w:val="nil"/>
            </w:tcBorders>
            <w:vAlign w:val="bottom"/>
            <w:hideMark/>
          </w:tcPr>
          <w:p w:rsidR="002614D5" w:rsidRPr="006248C7" w:rsidP="002614D5" w14:paraId="4A04018F" w14:textId="77777777">
            <w:pPr>
              <w:overflowPunct/>
              <w:autoSpaceDE/>
              <w:autoSpaceDN/>
              <w:adjustRightInd/>
              <w:textAlignment w:val="auto"/>
              <w:rPr>
                <w:rFonts w:ascii="Times New Roman" w:hAnsi="Times New Roman"/>
                <w:sz w:val="22"/>
                <w:szCs w:val="22"/>
              </w:rPr>
            </w:pPr>
          </w:p>
        </w:tc>
        <w:tc>
          <w:tcPr>
            <w:tcW w:w="6390" w:type="dxa"/>
            <w:gridSpan w:val="4"/>
            <w:tcBorders>
              <w:top w:val="single" w:sz="4" w:space="0" w:color="auto"/>
              <w:left w:val="single" w:sz="4" w:space="0" w:color="auto"/>
              <w:bottom w:val="single" w:sz="4" w:space="0" w:color="auto"/>
              <w:right w:val="single" w:sz="4" w:space="0" w:color="000000"/>
            </w:tcBorders>
            <w:vAlign w:val="bottom"/>
            <w:hideMark/>
          </w:tcPr>
          <w:p w:rsidR="002614D5" w:rsidRPr="006248C7" w:rsidP="002614D5" w14:paraId="16BC9E46"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 xml:space="preserve">Federally </w:t>
            </w:r>
            <w:r w:rsidRPr="006248C7" w:rsidR="000D65F0">
              <w:rPr>
                <w:rFonts w:ascii="Times New Roman" w:hAnsi="Times New Roman"/>
                <w:color w:val="000000"/>
                <w:sz w:val="22"/>
                <w:szCs w:val="22"/>
              </w:rPr>
              <w:t>Insured Credit Union Burden</w:t>
            </w:r>
          </w:p>
        </w:tc>
      </w:tr>
      <w:tr w14:paraId="2AF043AB" w14:textId="77777777" w:rsidTr="00000221">
        <w:tblPrEx>
          <w:tblW w:w="9432" w:type="dxa"/>
          <w:tblInd w:w="108" w:type="dxa"/>
          <w:tblLayout w:type="fixed"/>
          <w:tblLook w:val="04A0"/>
        </w:tblPrEx>
        <w:trPr>
          <w:trHeight w:val="1230"/>
        </w:trPr>
        <w:tc>
          <w:tcPr>
            <w:tcW w:w="3042" w:type="dxa"/>
            <w:tcBorders>
              <w:top w:val="single" w:sz="4" w:space="0" w:color="auto"/>
              <w:left w:val="single" w:sz="4" w:space="0" w:color="auto"/>
              <w:bottom w:val="single" w:sz="4" w:space="0" w:color="auto"/>
              <w:right w:val="single" w:sz="4" w:space="0" w:color="auto"/>
            </w:tcBorders>
            <w:vAlign w:val="center"/>
            <w:hideMark/>
          </w:tcPr>
          <w:p w:rsidR="002614D5" w:rsidRPr="006248C7" w:rsidP="002614D5" w14:paraId="606314FC" w14:textId="73475084">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12 CFR Part 1016</w:t>
            </w:r>
          </w:p>
        </w:tc>
        <w:tc>
          <w:tcPr>
            <w:tcW w:w="1350" w:type="dxa"/>
            <w:tcBorders>
              <w:top w:val="nil"/>
              <w:left w:val="nil"/>
              <w:bottom w:val="single" w:sz="4" w:space="0" w:color="auto"/>
              <w:right w:val="single" w:sz="4" w:space="0" w:color="auto"/>
            </w:tcBorders>
            <w:vAlign w:val="center"/>
            <w:hideMark/>
          </w:tcPr>
          <w:p w:rsidR="002614D5" w:rsidRPr="006248C7" w:rsidP="002614D5" w14:paraId="542901E7" w14:textId="6BCEF490">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w:t>
            </w:r>
            <w:r w:rsidRPr="006248C7" w:rsidR="00A75E2D">
              <w:rPr>
                <w:rFonts w:ascii="Times New Roman" w:hAnsi="Times New Roman"/>
                <w:color w:val="000000"/>
                <w:sz w:val="22"/>
                <w:szCs w:val="22"/>
              </w:rPr>
              <w:t xml:space="preserve"> of Respondents</w:t>
            </w:r>
          </w:p>
        </w:tc>
        <w:tc>
          <w:tcPr>
            <w:tcW w:w="1800" w:type="dxa"/>
            <w:tcBorders>
              <w:top w:val="nil"/>
              <w:left w:val="nil"/>
              <w:bottom w:val="single" w:sz="4" w:space="0" w:color="auto"/>
              <w:right w:val="single" w:sz="4" w:space="0" w:color="auto"/>
            </w:tcBorders>
            <w:vAlign w:val="center"/>
            <w:hideMark/>
          </w:tcPr>
          <w:p w:rsidR="002614D5" w:rsidRPr="006248C7" w:rsidP="002614D5" w14:paraId="443AEC82" w14:textId="3AE48986">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 of Responses per Respondent (</w:t>
            </w:r>
            <w:r w:rsidRPr="006248C7" w:rsidR="00A75E2D">
              <w:rPr>
                <w:rFonts w:ascii="Times New Roman" w:hAnsi="Times New Roman"/>
                <w:color w:val="000000"/>
                <w:sz w:val="22"/>
                <w:szCs w:val="22"/>
              </w:rPr>
              <w:t>Annual Frequency</w:t>
            </w:r>
            <w:r w:rsidRPr="006248C7">
              <w:rPr>
                <w:rFonts w:ascii="Times New Roman" w:hAnsi="Times New Roman"/>
                <w:color w:val="000000"/>
                <w:sz w:val="22"/>
                <w:szCs w:val="22"/>
              </w:rPr>
              <w:t>)</w:t>
            </w:r>
          </w:p>
        </w:tc>
        <w:tc>
          <w:tcPr>
            <w:tcW w:w="1800" w:type="dxa"/>
            <w:tcBorders>
              <w:top w:val="nil"/>
              <w:left w:val="nil"/>
              <w:bottom w:val="single" w:sz="4" w:space="0" w:color="auto"/>
              <w:right w:val="single" w:sz="4" w:space="0" w:color="auto"/>
            </w:tcBorders>
            <w:vAlign w:val="center"/>
            <w:hideMark/>
          </w:tcPr>
          <w:p w:rsidR="002614D5" w:rsidRPr="006248C7" w:rsidP="002614D5" w14:paraId="23901F27"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Estimated Average Hours per Response</w:t>
            </w:r>
          </w:p>
        </w:tc>
        <w:tc>
          <w:tcPr>
            <w:tcW w:w="1440" w:type="dxa"/>
            <w:tcBorders>
              <w:top w:val="nil"/>
              <w:left w:val="nil"/>
              <w:bottom w:val="single" w:sz="4" w:space="0" w:color="auto"/>
              <w:right w:val="single" w:sz="4" w:space="0" w:color="auto"/>
            </w:tcBorders>
            <w:vAlign w:val="center"/>
            <w:hideMark/>
          </w:tcPr>
          <w:p w:rsidR="002614D5" w:rsidRPr="006248C7" w:rsidP="002614D5" w14:paraId="6B07F288"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Estimated Annual Burden Hours</w:t>
            </w:r>
          </w:p>
        </w:tc>
      </w:tr>
      <w:tr w14:paraId="0493DD05" w14:textId="77777777" w:rsidTr="00000221">
        <w:tblPrEx>
          <w:tblW w:w="9432" w:type="dxa"/>
          <w:tblInd w:w="108" w:type="dxa"/>
          <w:tblLayout w:type="fixed"/>
          <w:tblLook w:val="04A0"/>
        </w:tblPrEx>
        <w:trPr>
          <w:trHeight w:val="630"/>
        </w:trPr>
        <w:tc>
          <w:tcPr>
            <w:tcW w:w="3042" w:type="dxa"/>
            <w:tcBorders>
              <w:top w:val="nil"/>
              <w:left w:val="single" w:sz="4" w:space="0" w:color="auto"/>
              <w:bottom w:val="nil"/>
              <w:right w:val="single" w:sz="4" w:space="0" w:color="auto"/>
            </w:tcBorders>
            <w:vAlign w:val="bottom"/>
            <w:hideMark/>
          </w:tcPr>
          <w:p w:rsidR="002614D5" w:rsidRPr="006248C7" w:rsidP="002614D5" w14:paraId="5E60BF20" w14:textId="77777777">
            <w:pPr>
              <w:overflowPunct/>
              <w:autoSpaceDE/>
              <w:autoSpaceDN/>
              <w:adjustRightInd/>
              <w:textAlignment w:val="auto"/>
              <w:rPr>
                <w:rFonts w:ascii="Times New Roman" w:hAnsi="Times New Roman"/>
                <w:color w:val="000000"/>
                <w:sz w:val="22"/>
                <w:szCs w:val="22"/>
              </w:rPr>
            </w:pPr>
            <w:r w:rsidRPr="006248C7">
              <w:rPr>
                <w:rFonts w:ascii="Times New Roman" w:hAnsi="Times New Roman"/>
                <w:color w:val="000000"/>
                <w:sz w:val="22"/>
                <w:szCs w:val="22"/>
              </w:rPr>
              <w:t>Initial privacy notice to consumers (1016.4)</w:t>
            </w:r>
          </w:p>
        </w:tc>
        <w:tc>
          <w:tcPr>
            <w:tcW w:w="1350" w:type="dxa"/>
            <w:tcBorders>
              <w:top w:val="nil"/>
              <w:left w:val="nil"/>
              <w:bottom w:val="nil"/>
              <w:right w:val="single" w:sz="4" w:space="0" w:color="auto"/>
            </w:tcBorders>
            <w:vAlign w:val="center"/>
            <w:hideMark/>
          </w:tcPr>
          <w:p w:rsidR="002614D5" w:rsidRPr="006248C7" w:rsidP="002614D5" w14:paraId="40911DD2" w14:textId="721901FF">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9</w:t>
            </w:r>
          </w:p>
        </w:tc>
        <w:tc>
          <w:tcPr>
            <w:tcW w:w="1800" w:type="dxa"/>
            <w:tcBorders>
              <w:top w:val="nil"/>
              <w:left w:val="nil"/>
              <w:bottom w:val="nil"/>
              <w:right w:val="single" w:sz="4" w:space="0" w:color="auto"/>
            </w:tcBorders>
            <w:vAlign w:val="center"/>
            <w:hideMark/>
          </w:tcPr>
          <w:p w:rsidR="002614D5" w:rsidRPr="006248C7" w:rsidP="002614D5" w14:paraId="1A31CA0C"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1</w:t>
            </w:r>
          </w:p>
        </w:tc>
        <w:tc>
          <w:tcPr>
            <w:tcW w:w="1800" w:type="dxa"/>
            <w:tcBorders>
              <w:top w:val="nil"/>
              <w:left w:val="nil"/>
              <w:bottom w:val="nil"/>
              <w:right w:val="single" w:sz="4" w:space="0" w:color="auto"/>
            </w:tcBorders>
            <w:vAlign w:val="center"/>
            <w:hideMark/>
          </w:tcPr>
          <w:p w:rsidR="002614D5" w:rsidRPr="006248C7" w:rsidP="002614D5" w14:paraId="0320F027"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60</w:t>
            </w:r>
          </w:p>
        </w:tc>
        <w:tc>
          <w:tcPr>
            <w:tcW w:w="1440" w:type="dxa"/>
            <w:tcBorders>
              <w:top w:val="nil"/>
              <w:left w:val="nil"/>
              <w:bottom w:val="nil"/>
              <w:right w:val="single" w:sz="4" w:space="0" w:color="auto"/>
            </w:tcBorders>
            <w:vAlign w:val="center"/>
            <w:hideMark/>
          </w:tcPr>
          <w:p w:rsidR="002614D5" w:rsidRPr="006248C7" w:rsidP="008979DB" w14:paraId="21A9A7B7" w14:textId="446E8E98">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540</w:t>
            </w:r>
          </w:p>
        </w:tc>
      </w:tr>
      <w:tr w14:paraId="119D1724" w14:textId="77777777" w:rsidTr="00000221">
        <w:tblPrEx>
          <w:tblW w:w="9432" w:type="dxa"/>
          <w:tblInd w:w="108" w:type="dxa"/>
          <w:tblLayout w:type="fixed"/>
          <w:tblLook w:val="04A0"/>
        </w:tblPrEx>
        <w:trPr>
          <w:trHeight w:val="630"/>
        </w:trPr>
        <w:tc>
          <w:tcPr>
            <w:tcW w:w="3042" w:type="dxa"/>
            <w:tcBorders>
              <w:top w:val="single" w:sz="4" w:space="0" w:color="auto"/>
              <w:left w:val="single" w:sz="4" w:space="0" w:color="auto"/>
              <w:bottom w:val="nil"/>
              <w:right w:val="single" w:sz="4" w:space="0" w:color="auto"/>
            </w:tcBorders>
            <w:vAlign w:val="bottom"/>
            <w:hideMark/>
          </w:tcPr>
          <w:p w:rsidR="002614D5" w:rsidRPr="006248C7" w:rsidP="002614D5" w14:paraId="3792C283" w14:textId="77777777">
            <w:pPr>
              <w:overflowPunct/>
              <w:autoSpaceDE/>
              <w:autoSpaceDN/>
              <w:adjustRightInd/>
              <w:textAlignment w:val="auto"/>
              <w:rPr>
                <w:rFonts w:ascii="Times New Roman" w:hAnsi="Times New Roman"/>
                <w:color w:val="000000"/>
                <w:sz w:val="22"/>
                <w:szCs w:val="22"/>
              </w:rPr>
            </w:pPr>
            <w:r w:rsidRPr="006248C7">
              <w:rPr>
                <w:rFonts w:ascii="Times New Roman" w:hAnsi="Times New Roman"/>
                <w:color w:val="000000"/>
                <w:sz w:val="22"/>
                <w:szCs w:val="22"/>
              </w:rPr>
              <w:t>Annual privacy notice to consumers (1016.5)</w:t>
            </w:r>
          </w:p>
        </w:tc>
        <w:tc>
          <w:tcPr>
            <w:tcW w:w="1350" w:type="dxa"/>
            <w:tcBorders>
              <w:top w:val="single" w:sz="4" w:space="0" w:color="auto"/>
              <w:left w:val="nil"/>
              <w:bottom w:val="nil"/>
              <w:right w:val="single" w:sz="4" w:space="0" w:color="auto"/>
            </w:tcBorders>
            <w:vAlign w:val="bottom"/>
            <w:hideMark/>
          </w:tcPr>
          <w:p w:rsidR="002614D5" w:rsidRPr="006248C7" w:rsidP="002614D5" w14:paraId="143CF030"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 </w:t>
            </w:r>
          </w:p>
        </w:tc>
        <w:tc>
          <w:tcPr>
            <w:tcW w:w="1800" w:type="dxa"/>
            <w:tcBorders>
              <w:top w:val="single" w:sz="4" w:space="0" w:color="auto"/>
              <w:left w:val="nil"/>
              <w:bottom w:val="nil"/>
              <w:right w:val="single" w:sz="4" w:space="0" w:color="auto"/>
            </w:tcBorders>
            <w:vAlign w:val="center"/>
            <w:hideMark/>
          </w:tcPr>
          <w:p w:rsidR="002614D5" w:rsidRPr="006248C7" w:rsidP="002614D5" w14:paraId="00D717B1"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 </w:t>
            </w:r>
          </w:p>
        </w:tc>
        <w:tc>
          <w:tcPr>
            <w:tcW w:w="1800" w:type="dxa"/>
            <w:tcBorders>
              <w:top w:val="single" w:sz="4" w:space="0" w:color="auto"/>
              <w:left w:val="nil"/>
              <w:bottom w:val="nil"/>
              <w:right w:val="single" w:sz="4" w:space="0" w:color="auto"/>
            </w:tcBorders>
            <w:vAlign w:val="center"/>
            <w:hideMark/>
          </w:tcPr>
          <w:p w:rsidR="002614D5" w:rsidRPr="006248C7" w:rsidP="002614D5" w14:paraId="56B481E5"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 </w:t>
            </w:r>
          </w:p>
        </w:tc>
        <w:tc>
          <w:tcPr>
            <w:tcW w:w="1440" w:type="dxa"/>
            <w:tcBorders>
              <w:top w:val="single" w:sz="4" w:space="0" w:color="auto"/>
              <w:left w:val="nil"/>
              <w:bottom w:val="nil"/>
              <w:right w:val="single" w:sz="4" w:space="0" w:color="auto"/>
            </w:tcBorders>
            <w:vAlign w:val="center"/>
            <w:hideMark/>
          </w:tcPr>
          <w:p w:rsidR="002614D5" w:rsidRPr="006248C7" w:rsidP="002614D5" w14:paraId="65E8088E"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 </w:t>
            </w:r>
          </w:p>
        </w:tc>
      </w:tr>
      <w:tr w14:paraId="3947E028" w14:textId="77777777" w:rsidTr="00000221">
        <w:tblPrEx>
          <w:tblW w:w="9432" w:type="dxa"/>
          <w:tblInd w:w="108" w:type="dxa"/>
          <w:tblLayout w:type="fixed"/>
          <w:tblLook w:val="04A0"/>
        </w:tblPrEx>
        <w:trPr>
          <w:trHeight w:val="630"/>
        </w:trPr>
        <w:tc>
          <w:tcPr>
            <w:tcW w:w="3042" w:type="dxa"/>
            <w:tcBorders>
              <w:top w:val="nil"/>
              <w:left w:val="single" w:sz="4" w:space="0" w:color="auto"/>
              <w:bottom w:val="single" w:sz="4" w:space="0" w:color="auto"/>
              <w:right w:val="single" w:sz="4" w:space="0" w:color="auto"/>
            </w:tcBorders>
            <w:vAlign w:val="bottom"/>
            <w:hideMark/>
          </w:tcPr>
          <w:p w:rsidR="002614D5" w:rsidRPr="006248C7" w:rsidP="002614D5" w14:paraId="528D749A" w14:textId="77777777">
            <w:pPr>
              <w:overflowPunct/>
              <w:autoSpaceDE/>
              <w:autoSpaceDN/>
              <w:adjustRightInd/>
              <w:textAlignment w:val="auto"/>
              <w:rPr>
                <w:rFonts w:ascii="Times New Roman" w:hAnsi="Times New Roman"/>
                <w:color w:val="000000"/>
                <w:sz w:val="22"/>
                <w:szCs w:val="22"/>
              </w:rPr>
            </w:pPr>
            <w:r w:rsidRPr="006248C7">
              <w:rPr>
                <w:rFonts w:ascii="Times New Roman" w:hAnsi="Times New Roman"/>
                <w:color w:val="000000"/>
                <w:sz w:val="22"/>
                <w:szCs w:val="22"/>
              </w:rPr>
              <w:t>Revised privacy notice to consumers (1016.8)</w:t>
            </w:r>
          </w:p>
        </w:tc>
        <w:tc>
          <w:tcPr>
            <w:tcW w:w="1350" w:type="dxa"/>
            <w:tcBorders>
              <w:top w:val="nil"/>
              <w:left w:val="nil"/>
              <w:bottom w:val="single" w:sz="4" w:space="0" w:color="auto"/>
              <w:right w:val="single" w:sz="4" w:space="0" w:color="auto"/>
            </w:tcBorders>
            <w:vAlign w:val="center"/>
            <w:hideMark/>
          </w:tcPr>
          <w:p w:rsidR="002614D5" w:rsidRPr="006248C7" w:rsidP="002614D5" w14:paraId="17BF1E73" w14:textId="1A9373EF">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2,</w:t>
            </w:r>
            <w:r w:rsidR="009928B3">
              <w:rPr>
                <w:rFonts w:ascii="Times New Roman" w:hAnsi="Times New Roman"/>
                <w:color w:val="000000"/>
                <w:sz w:val="22"/>
                <w:szCs w:val="22"/>
              </w:rPr>
              <w:t>14</w:t>
            </w:r>
            <w:r w:rsidR="004A384E">
              <w:rPr>
                <w:rFonts w:ascii="Times New Roman" w:hAnsi="Times New Roman"/>
                <w:color w:val="000000"/>
                <w:sz w:val="22"/>
                <w:szCs w:val="22"/>
              </w:rPr>
              <w:t>4</w:t>
            </w:r>
          </w:p>
        </w:tc>
        <w:tc>
          <w:tcPr>
            <w:tcW w:w="1800" w:type="dxa"/>
            <w:tcBorders>
              <w:top w:val="nil"/>
              <w:left w:val="nil"/>
              <w:bottom w:val="single" w:sz="4" w:space="0" w:color="auto"/>
              <w:right w:val="single" w:sz="4" w:space="0" w:color="auto"/>
            </w:tcBorders>
            <w:vAlign w:val="center"/>
            <w:hideMark/>
          </w:tcPr>
          <w:p w:rsidR="002614D5" w:rsidRPr="006248C7" w:rsidP="002614D5" w14:paraId="19FFE7D7"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1</w:t>
            </w:r>
          </w:p>
        </w:tc>
        <w:tc>
          <w:tcPr>
            <w:tcW w:w="1800" w:type="dxa"/>
            <w:tcBorders>
              <w:top w:val="nil"/>
              <w:left w:val="nil"/>
              <w:bottom w:val="single" w:sz="4" w:space="0" w:color="auto"/>
              <w:right w:val="single" w:sz="4" w:space="0" w:color="auto"/>
            </w:tcBorders>
            <w:vAlign w:val="center"/>
            <w:hideMark/>
          </w:tcPr>
          <w:p w:rsidR="002614D5" w:rsidRPr="006248C7" w:rsidP="002614D5" w14:paraId="096DD037"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8</w:t>
            </w:r>
          </w:p>
        </w:tc>
        <w:tc>
          <w:tcPr>
            <w:tcW w:w="1440" w:type="dxa"/>
            <w:tcBorders>
              <w:top w:val="nil"/>
              <w:left w:val="nil"/>
              <w:bottom w:val="single" w:sz="4" w:space="0" w:color="auto"/>
              <w:right w:val="single" w:sz="4" w:space="0" w:color="auto"/>
            </w:tcBorders>
            <w:vAlign w:val="center"/>
            <w:hideMark/>
          </w:tcPr>
          <w:p w:rsidR="002614D5" w:rsidRPr="006248C7" w:rsidP="002614D5" w14:paraId="54D98ECB" w14:textId="53636046">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 xml:space="preserve">          </w:t>
            </w:r>
            <w:r w:rsidR="007E6BCE">
              <w:rPr>
                <w:rFonts w:ascii="Times New Roman" w:hAnsi="Times New Roman"/>
                <w:color w:val="000000"/>
                <w:sz w:val="22"/>
                <w:szCs w:val="22"/>
              </w:rPr>
              <w:t>17,1</w:t>
            </w:r>
            <w:r w:rsidR="004A384E">
              <w:rPr>
                <w:rFonts w:ascii="Times New Roman" w:hAnsi="Times New Roman"/>
                <w:color w:val="000000"/>
                <w:sz w:val="22"/>
                <w:szCs w:val="22"/>
              </w:rPr>
              <w:t>52</w:t>
            </w:r>
          </w:p>
        </w:tc>
      </w:tr>
      <w:tr w14:paraId="17212352" w14:textId="77777777" w:rsidTr="00000221">
        <w:tblPrEx>
          <w:tblW w:w="9432" w:type="dxa"/>
          <w:tblInd w:w="108" w:type="dxa"/>
          <w:tblLayout w:type="fixed"/>
          <w:tblLook w:val="04A0"/>
        </w:tblPrEx>
        <w:trPr>
          <w:trHeight w:val="630"/>
        </w:trPr>
        <w:tc>
          <w:tcPr>
            <w:tcW w:w="3042" w:type="dxa"/>
            <w:tcBorders>
              <w:top w:val="nil"/>
              <w:left w:val="single" w:sz="4" w:space="0" w:color="auto"/>
              <w:bottom w:val="single" w:sz="4" w:space="0" w:color="auto"/>
              <w:right w:val="single" w:sz="4" w:space="0" w:color="auto"/>
            </w:tcBorders>
            <w:vAlign w:val="bottom"/>
            <w:hideMark/>
          </w:tcPr>
          <w:p w:rsidR="002614D5" w:rsidRPr="006248C7" w:rsidP="002614D5" w14:paraId="156F3347" w14:textId="77777777">
            <w:pPr>
              <w:overflowPunct/>
              <w:autoSpaceDE/>
              <w:autoSpaceDN/>
              <w:adjustRightInd/>
              <w:textAlignment w:val="auto"/>
              <w:rPr>
                <w:rFonts w:ascii="Times New Roman" w:hAnsi="Times New Roman"/>
                <w:color w:val="000000"/>
                <w:sz w:val="22"/>
                <w:szCs w:val="22"/>
              </w:rPr>
            </w:pPr>
            <w:r w:rsidRPr="006248C7">
              <w:rPr>
                <w:rFonts w:ascii="Times New Roman" w:hAnsi="Times New Roman"/>
                <w:color w:val="000000"/>
                <w:sz w:val="22"/>
                <w:szCs w:val="22"/>
              </w:rPr>
              <w:t>Opt</w:t>
            </w:r>
            <w:r w:rsidRPr="006248C7" w:rsidR="00514ECF">
              <w:rPr>
                <w:rFonts w:ascii="Times New Roman" w:hAnsi="Times New Roman"/>
                <w:color w:val="000000"/>
                <w:sz w:val="22"/>
                <w:szCs w:val="22"/>
              </w:rPr>
              <w:t xml:space="preserve"> </w:t>
            </w:r>
            <w:r w:rsidRPr="006248C7">
              <w:rPr>
                <w:rFonts w:ascii="Times New Roman" w:hAnsi="Times New Roman"/>
                <w:color w:val="000000"/>
                <w:sz w:val="22"/>
                <w:szCs w:val="22"/>
              </w:rPr>
              <w:t>out notice to consumers (1016.7, 1016.9)</w:t>
            </w:r>
          </w:p>
        </w:tc>
        <w:tc>
          <w:tcPr>
            <w:tcW w:w="1350" w:type="dxa"/>
            <w:tcBorders>
              <w:top w:val="nil"/>
              <w:left w:val="nil"/>
              <w:bottom w:val="single" w:sz="4" w:space="0" w:color="auto"/>
              <w:right w:val="single" w:sz="4" w:space="0" w:color="auto"/>
            </w:tcBorders>
            <w:vAlign w:val="center"/>
            <w:hideMark/>
          </w:tcPr>
          <w:p w:rsidR="002614D5" w:rsidRPr="006248C7" w:rsidP="002614D5" w14:paraId="660EEEFA" w14:textId="173B3875">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2,</w:t>
            </w:r>
            <w:r w:rsidR="009928B3">
              <w:rPr>
                <w:rFonts w:ascii="Times New Roman" w:hAnsi="Times New Roman"/>
                <w:color w:val="000000"/>
                <w:sz w:val="22"/>
                <w:szCs w:val="22"/>
              </w:rPr>
              <w:t>14</w:t>
            </w:r>
            <w:r w:rsidR="004A384E">
              <w:rPr>
                <w:rFonts w:ascii="Times New Roman" w:hAnsi="Times New Roman"/>
                <w:color w:val="000000"/>
                <w:sz w:val="22"/>
                <w:szCs w:val="22"/>
              </w:rPr>
              <w:t>4</w:t>
            </w:r>
          </w:p>
        </w:tc>
        <w:tc>
          <w:tcPr>
            <w:tcW w:w="1800" w:type="dxa"/>
            <w:tcBorders>
              <w:top w:val="nil"/>
              <w:left w:val="nil"/>
              <w:bottom w:val="single" w:sz="4" w:space="0" w:color="auto"/>
              <w:right w:val="single" w:sz="4" w:space="0" w:color="auto"/>
            </w:tcBorders>
            <w:vAlign w:val="center"/>
            <w:hideMark/>
          </w:tcPr>
          <w:p w:rsidR="002614D5" w:rsidRPr="006248C7" w:rsidP="002614D5" w14:paraId="65F2D1E6"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1</w:t>
            </w:r>
          </w:p>
        </w:tc>
        <w:tc>
          <w:tcPr>
            <w:tcW w:w="1800" w:type="dxa"/>
            <w:tcBorders>
              <w:top w:val="nil"/>
              <w:left w:val="nil"/>
              <w:bottom w:val="single" w:sz="4" w:space="0" w:color="auto"/>
              <w:right w:val="single" w:sz="4" w:space="0" w:color="auto"/>
            </w:tcBorders>
            <w:vAlign w:val="center"/>
            <w:hideMark/>
          </w:tcPr>
          <w:p w:rsidR="002614D5" w:rsidRPr="006248C7" w:rsidP="002614D5" w14:paraId="2F6B3FAB"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8</w:t>
            </w:r>
          </w:p>
        </w:tc>
        <w:tc>
          <w:tcPr>
            <w:tcW w:w="1440" w:type="dxa"/>
            <w:tcBorders>
              <w:top w:val="nil"/>
              <w:left w:val="nil"/>
              <w:bottom w:val="single" w:sz="4" w:space="0" w:color="auto"/>
              <w:right w:val="single" w:sz="4" w:space="0" w:color="auto"/>
            </w:tcBorders>
            <w:vAlign w:val="center"/>
            <w:hideMark/>
          </w:tcPr>
          <w:p w:rsidR="002614D5" w:rsidRPr="006248C7" w:rsidP="002614D5" w14:paraId="4076582A" w14:textId="56F49E3A">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 xml:space="preserve">          </w:t>
            </w:r>
            <w:r w:rsidR="007E6BCE">
              <w:rPr>
                <w:rFonts w:ascii="Times New Roman" w:hAnsi="Times New Roman"/>
                <w:color w:val="000000"/>
                <w:sz w:val="22"/>
                <w:szCs w:val="22"/>
              </w:rPr>
              <w:t>17,1</w:t>
            </w:r>
            <w:r w:rsidR="004A384E">
              <w:rPr>
                <w:rFonts w:ascii="Times New Roman" w:hAnsi="Times New Roman"/>
                <w:color w:val="000000"/>
                <w:sz w:val="22"/>
                <w:szCs w:val="22"/>
              </w:rPr>
              <w:t>52</w:t>
            </w:r>
            <w:r w:rsidRPr="006248C7">
              <w:rPr>
                <w:rFonts w:ascii="Times New Roman" w:hAnsi="Times New Roman"/>
                <w:color w:val="000000"/>
                <w:sz w:val="22"/>
                <w:szCs w:val="22"/>
              </w:rPr>
              <w:t xml:space="preserve"> </w:t>
            </w:r>
          </w:p>
        </w:tc>
      </w:tr>
      <w:tr w14:paraId="61E755EB" w14:textId="77777777" w:rsidTr="00000221">
        <w:tblPrEx>
          <w:tblW w:w="9432" w:type="dxa"/>
          <w:tblInd w:w="108" w:type="dxa"/>
          <w:tblLayout w:type="fixed"/>
          <w:tblLook w:val="04A0"/>
        </w:tblPrEx>
        <w:trPr>
          <w:trHeight w:val="315"/>
        </w:trPr>
        <w:tc>
          <w:tcPr>
            <w:tcW w:w="3042" w:type="dxa"/>
            <w:tcBorders>
              <w:top w:val="nil"/>
              <w:left w:val="single" w:sz="4" w:space="0" w:color="auto"/>
              <w:bottom w:val="single" w:sz="4" w:space="0" w:color="auto"/>
              <w:right w:val="single" w:sz="4" w:space="0" w:color="auto"/>
            </w:tcBorders>
            <w:vAlign w:val="bottom"/>
            <w:hideMark/>
          </w:tcPr>
          <w:p w:rsidR="002614D5" w:rsidRPr="006248C7" w:rsidP="002614D5" w14:paraId="6D54AF04" w14:textId="77777777">
            <w:pPr>
              <w:overflowPunct/>
              <w:autoSpaceDE/>
              <w:autoSpaceDN/>
              <w:adjustRightInd/>
              <w:jc w:val="right"/>
              <w:textAlignment w:val="auto"/>
              <w:rPr>
                <w:rFonts w:ascii="Times New Roman" w:hAnsi="Times New Roman"/>
                <w:b/>
                <w:bCs/>
                <w:color w:val="000000"/>
                <w:sz w:val="22"/>
                <w:szCs w:val="22"/>
              </w:rPr>
            </w:pPr>
            <w:r w:rsidRPr="006248C7">
              <w:rPr>
                <w:rFonts w:ascii="Times New Roman" w:hAnsi="Times New Roman"/>
                <w:b/>
                <w:bCs/>
                <w:color w:val="000000"/>
                <w:sz w:val="22"/>
                <w:szCs w:val="22"/>
              </w:rPr>
              <w:t>Total</w:t>
            </w:r>
          </w:p>
        </w:tc>
        <w:tc>
          <w:tcPr>
            <w:tcW w:w="6390" w:type="dxa"/>
            <w:gridSpan w:val="4"/>
            <w:tcBorders>
              <w:top w:val="single" w:sz="4" w:space="0" w:color="auto"/>
              <w:left w:val="nil"/>
              <w:bottom w:val="single" w:sz="4" w:space="0" w:color="auto"/>
              <w:right w:val="single" w:sz="4" w:space="0" w:color="000000"/>
            </w:tcBorders>
            <w:vAlign w:val="center"/>
            <w:hideMark/>
          </w:tcPr>
          <w:p w:rsidR="002614D5" w:rsidRPr="006248C7" w:rsidP="006248C7" w14:paraId="64CB2F6D" w14:textId="6A2AB37A">
            <w:pPr>
              <w:overflowPunct/>
              <w:autoSpaceDE/>
              <w:autoSpaceDN/>
              <w:adjustRightInd/>
              <w:jc w:val="right"/>
              <w:textAlignment w:val="auto"/>
              <w:rPr>
                <w:rFonts w:ascii="Times New Roman" w:hAnsi="Times New Roman"/>
                <w:b/>
                <w:bCs/>
                <w:color w:val="000000"/>
                <w:sz w:val="22"/>
                <w:szCs w:val="22"/>
              </w:rPr>
            </w:pPr>
            <w:r w:rsidRPr="006248C7">
              <w:rPr>
                <w:rFonts w:ascii="Times New Roman" w:hAnsi="Times New Roman"/>
                <w:b/>
                <w:bCs/>
                <w:color w:val="000000"/>
                <w:sz w:val="22"/>
                <w:szCs w:val="22"/>
              </w:rPr>
              <w:t xml:space="preserve">                                        </w:t>
            </w:r>
            <w:r w:rsidRPr="006248C7" w:rsidR="00334823">
              <w:rPr>
                <w:rFonts w:ascii="Times New Roman" w:hAnsi="Times New Roman"/>
                <w:b/>
                <w:bCs/>
                <w:color w:val="000000"/>
                <w:sz w:val="22"/>
                <w:szCs w:val="22"/>
              </w:rPr>
              <w:t xml:space="preserve">                        </w:t>
            </w:r>
            <w:r w:rsidRPr="006248C7" w:rsidR="00881E32">
              <w:rPr>
                <w:rFonts w:ascii="Times New Roman" w:hAnsi="Times New Roman"/>
                <w:b/>
                <w:bCs/>
                <w:color w:val="000000"/>
                <w:sz w:val="22"/>
                <w:szCs w:val="22"/>
              </w:rPr>
              <w:t>3</w:t>
            </w:r>
            <w:r w:rsidR="007E6BCE">
              <w:rPr>
                <w:rFonts w:ascii="Times New Roman" w:hAnsi="Times New Roman"/>
                <w:b/>
                <w:bCs/>
                <w:color w:val="000000"/>
                <w:sz w:val="22"/>
                <w:szCs w:val="22"/>
              </w:rPr>
              <w:t>4,8</w:t>
            </w:r>
            <w:r w:rsidR="00780C13">
              <w:rPr>
                <w:rFonts w:ascii="Times New Roman" w:hAnsi="Times New Roman"/>
                <w:b/>
                <w:bCs/>
                <w:color w:val="000000"/>
                <w:sz w:val="22"/>
                <w:szCs w:val="22"/>
              </w:rPr>
              <w:t>44</w:t>
            </w:r>
          </w:p>
        </w:tc>
      </w:tr>
      <w:tr w14:paraId="476A7C82" w14:textId="77777777" w:rsidTr="00000221">
        <w:tblPrEx>
          <w:tblW w:w="9432" w:type="dxa"/>
          <w:tblInd w:w="108" w:type="dxa"/>
          <w:tblLayout w:type="fixed"/>
          <w:tblLook w:val="04A0"/>
        </w:tblPrEx>
        <w:trPr>
          <w:trHeight w:val="315"/>
        </w:trPr>
        <w:tc>
          <w:tcPr>
            <w:tcW w:w="3042" w:type="dxa"/>
            <w:tcBorders>
              <w:top w:val="nil"/>
              <w:left w:val="nil"/>
              <w:bottom w:val="nil"/>
              <w:right w:val="nil"/>
            </w:tcBorders>
            <w:vAlign w:val="bottom"/>
            <w:hideMark/>
          </w:tcPr>
          <w:p w:rsidR="002614D5" w:rsidRPr="006248C7" w:rsidP="006248C7" w14:paraId="02D7F2BD" w14:textId="77777777">
            <w:pPr>
              <w:overflowPunct/>
              <w:autoSpaceDE/>
              <w:autoSpaceDN/>
              <w:adjustRightInd/>
              <w:jc w:val="right"/>
              <w:textAlignment w:val="auto"/>
              <w:rPr>
                <w:rFonts w:ascii="Times New Roman" w:hAnsi="Times New Roman"/>
                <w:b/>
                <w:bCs/>
                <w:color w:val="000000"/>
                <w:sz w:val="22"/>
                <w:szCs w:val="22"/>
              </w:rPr>
            </w:pPr>
          </w:p>
        </w:tc>
        <w:tc>
          <w:tcPr>
            <w:tcW w:w="6390" w:type="dxa"/>
            <w:gridSpan w:val="4"/>
            <w:tcBorders>
              <w:top w:val="single" w:sz="4" w:space="0" w:color="auto"/>
              <w:left w:val="single" w:sz="4" w:space="0" w:color="auto"/>
              <w:bottom w:val="single" w:sz="4" w:space="0" w:color="auto"/>
              <w:right w:val="single" w:sz="4" w:space="0" w:color="000000"/>
            </w:tcBorders>
            <w:vAlign w:val="bottom"/>
            <w:hideMark/>
          </w:tcPr>
          <w:p w:rsidR="002614D5" w:rsidRPr="006248C7" w:rsidP="002614D5" w14:paraId="3187F263"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 xml:space="preserve">Consumer </w:t>
            </w:r>
            <w:r w:rsidRPr="006248C7" w:rsidR="005B2C67">
              <w:rPr>
                <w:rFonts w:ascii="Times New Roman" w:hAnsi="Times New Roman"/>
                <w:color w:val="000000"/>
                <w:sz w:val="22"/>
                <w:szCs w:val="22"/>
              </w:rPr>
              <w:t>Burden</w:t>
            </w:r>
          </w:p>
        </w:tc>
      </w:tr>
      <w:tr w14:paraId="0265934C" w14:textId="77777777" w:rsidTr="00000221">
        <w:tblPrEx>
          <w:tblW w:w="9432" w:type="dxa"/>
          <w:tblInd w:w="108" w:type="dxa"/>
          <w:tblLayout w:type="fixed"/>
          <w:tblLook w:val="04A0"/>
        </w:tblPrEx>
        <w:trPr>
          <w:trHeight w:val="630"/>
        </w:trPr>
        <w:tc>
          <w:tcPr>
            <w:tcW w:w="3042" w:type="dxa"/>
            <w:tcBorders>
              <w:top w:val="single" w:sz="4" w:space="0" w:color="auto"/>
              <w:left w:val="single" w:sz="4" w:space="0" w:color="auto"/>
              <w:bottom w:val="single" w:sz="4" w:space="0" w:color="auto"/>
              <w:right w:val="single" w:sz="4" w:space="0" w:color="auto"/>
            </w:tcBorders>
            <w:vAlign w:val="bottom"/>
            <w:hideMark/>
          </w:tcPr>
          <w:p w:rsidR="002614D5" w:rsidRPr="006248C7" w:rsidP="002614D5" w14:paraId="5B376F13" w14:textId="77777777">
            <w:pPr>
              <w:overflowPunct/>
              <w:autoSpaceDE/>
              <w:autoSpaceDN/>
              <w:adjustRightInd/>
              <w:textAlignment w:val="auto"/>
              <w:rPr>
                <w:rFonts w:ascii="Times New Roman" w:hAnsi="Times New Roman"/>
                <w:color w:val="000000"/>
                <w:sz w:val="22"/>
                <w:szCs w:val="22"/>
              </w:rPr>
            </w:pPr>
            <w:r w:rsidRPr="006248C7">
              <w:rPr>
                <w:rFonts w:ascii="Times New Roman" w:hAnsi="Times New Roman"/>
                <w:color w:val="000000"/>
                <w:sz w:val="22"/>
                <w:szCs w:val="22"/>
              </w:rPr>
              <w:t>Consumers' rights to opt out (1016.10(a), (c); 1016.7(h), (i))</w:t>
            </w:r>
          </w:p>
        </w:tc>
        <w:tc>
          <w:tcPr>
            <w:tcW w:w="1350" w:type="dxa"/>
            <w:tcBorders>
              <w:top w:val="nil"/>
              <w:left w:val="nil"/>
              <w:bottom w:val="single" w:sz="4" w:space="0" w:color="auto"/>
              <w:right w:val="single" w:sz="4" w:space="0" w:color="auto"/>
            </w:tcBorders>
            <w:vAlign w:val="center"/>
            <w:hideMark/>
          </w:tcPr>
          <w:p w:rsidR="002614D5" w:rsidRPr="006248C7" w:rsidP="002614D5" w14:paraId="78AD22A9" w14:textId="52D4EED1">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 xml:space="preserve">     </w:t>
            </w:r>
            <w:r w:rsidRPr="006248C7" w:rsidR="00510612">
              <w:rPr>
                <w:rFonts w:ascii="Times New Roman" w:hAnsi="Times New Roman"/>
                <w:color w:val="000000"/>
                <w:sz w:val="22"/>
                <w:szCs w:val="22"/>
              </w:rPr>
              <w:t>1,</w:t>
            </w:r>
            <w:r w:rsidR="00E96C85">
              <w:rPr>
                <w:rFonts w:ascii="Times New Roman" w:hAnsi="Times New Roman"/>
                <w:color w:val="000000"/>
                <w:sz w:val="22"/>
                <w:szCs w:val="22"/>
              </w:rPr>
              <w:t>801,750</w:t>
            </w:r>
            <w:r w:rsidRPr="006248C7">
              <w:rPr>
                <w:rFonts w:ascii="Times New Roman" w:hAnsi="Times New Roman"/>
                <w:color w:val="000000"/>
                <w:sz w:val="22"/>
                <w:szCs w:val="22"/>
              </w:rPr>
              <w:t xml:space="preserve"> </w:t>
            </w:r>
          </w:p>
        </w:tc>
        <w:tc>
          <w:tcPr>
            <w:tcW w:w="1800" w:type="dxa"/>
            <w:tcBorders>
              <w:top w:val="nil"/>
              <w:left w:val="nil"/>
              <w:bottom w:val="single" w:sz="4" w:space="0" w:color="auto"/>
              <w:right w:val="single" w:sz="4" w:space="0" w:color="auto"/>
            </w:tcBorders>
            <w:vAlign w:val="center"/>
            <w:hideMark/>
          </w:tcPr>
          <w:p w:rsidR="00334823" w:rsidRPr="006248C7" w:rsidP="002614D5" w14:paraId="2517A9C7" w14:textId="77777777">
            <w:pPr>
              <w:overflowPunct/>
              <w:autoSpaceDE/>
              <w:autoSpaceDN/>
              <w:adjustRightInd/>
              <w:jc w:val="center"/>
              <w:textAlignment w:val="auto"/>
              <w:rPr>
                <w:rFonts w:ascii="Times New Roman" w:hAnsi="Times New Roman"/>
                <w:color w:val="000000"/>
                <w:sz w:val="22"/>
                <w:szCs w:val="22"/>
              </w:rPr>
            </w:pPr>
          </w:p>
          <w:p w:rsidR="002614D5" w:rsidRPr="006248C7" w:rsidP="002614D5" w14:paraId="17D8FEDA"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1</w:t>
            </w:r>
          </w:p>
        </w:tc>
        <w:tc>
          <w:tcPr>
            <w:tcW w:w="1800" w:type="dxa"/>
            <w:tcBorders>
              <w:top w:val="nil"/>
              <w:left w:val="nil"/>
              <w:bottom w:val="single" w:sz="4" w:space="0" w:color="auto"/>
              <w:right w:val="single" w:sz="4" w:space="0" w:color="auto"/>
            </w:tcBorders>
            <w:vAlign w:val="center"/>
            <w:hideMark/>
          </w:tcPr>
          <w:p w:rsidR="00334823" w:rsidRPr="006248C7" w:rsidP="002614D5" w14:paraId="7AB5B693" w14:textId="77777777">
            <w:pPr>
              <w:overflowPunct/>
              <w:autoSpaceDE/>
              <w:autoSpaceDN/>
              <w:adjustRightInd/>
              <w:jc w:val="center"/>
              <w:textAlignment w:val="auto"/>
              <w:rPr>
                <w:rFonts w:ascii="Times New Roman" w:hAnsi="Times New Roman"/>
                <w:color w:val="000000"/>
                <w:sz w:val="22"/>
                <w:szCs w:val="22"/>
              </w:rPr>
            </w:pPr>
          </w:p>
          <w:p w:rsidR="002614D5" w:rsidRPr="006248C7" w:rsidP="002614D5" w14:paraId="282A2D40" w14:textId="77777777">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0.25</w:t>
            </w:r>
          </w:p>
        </w:tc>
        <w:tc>
          <w:tcPr>
            <w:tcW w:w="1440" w:type="dxa"/>
            <w:tcBorders>
              <w:top w:val="nil"/>
              <w:left w:val="nil"/>
              <w:bottom w:val="single" w:sz="4" w:space="0" w:color="auto"/>
              <w:right w:val="single" w:sz="4" w:space="0" w:color="auto"/>
            </w:tcBorders>
            <w:vAlign w:val="center"/>
            <w:hideMark/>
          </w:tcPr>
          <w:p w:rsidR="002614D5" w:rsidRPr="006248C7" w:rsidP="002614D5" w14:paraId="7516AFDC" w14:textId="1A395993">
            <w:pPr>
              <w:overflowPunct/>
              <w:autoSpaceDE/>
              <w:autoSpaceDN/>
              <w:adjustRightInd/>
              <w:jc w:val="center"/>
              <w:textAlignment w:val="auto"/>
              <w:rPr>
                <w:rFonts w:ascii="Times New Roman" w:hAnsi="Times New Roman"/>
                <w:color w:val="000000"/>
                <w:sz w:val="22"/>
                <w:szCs w:val="22"/>
              </w:rPr>
            </w:pPr>
            <w:r w:rsidRPr="006248C7">
              <w:rPr>
                <w:rFonts w:ascii="Times New Roman" w:hAnsi="Times New Roman"/>
                <w:color w:val="000000"/>
                <w:sz w:val="22"/>
                <w:szCs w:val="22"/>
              </w:rPr>
              <w:t xml:space="preserve">        </w:t>
            </w:r>
            <w:r w:rsidR="00E96C85">
              <w:rPr>
                <w:rFonts w:ascii="Times New Roman" w:hAnsi="Times New Roman"/>
                <w:color w:val="000000"/>
                <w:sz w:val="22"/>
                <w:szCs w:val="22"/>
              </w:rPr>
              <w:t>450,438</w:t>
            </w:r>
            <w:r w:rsidRPr="006248C7">
              <w:rPr>
                <w:rFonts w:ascii="Times New Roman" w:hAnsi="Times New Roman"/>
                <w:color w:val="000000"/>
                <w:sz w:val="22"/>
                <w:szCs w:val="22"/>
              </w:rPr>
              <w:t xml:space="preserve"> </w:t>
            </w:r>
          </w:p>
        </w:tc>
      </w:tr>
      <w:tr w14:paraId="0CC19D76" w14:textId="77777777" w:rsidTr="00000221">
        <w:tblPrEx>
          <w:tblW w:w="9432" w:type="dxa"/>
          <w:tblInd w:w="108" w:type="dxa"/>
          <w:tblLayout w:type="fixed"/>
          <w:tblLook w:val="04A0"/>
        </w:tblPrEx>
        <w:trPr>
          <w:trHeight w:val="315"/>
        </w:trPr>
        <w:tc>
          <w:tcPr>
            <w:tcW w:w="3042" w:type="dxa"/>
            <w:tcBorders>
              <w:top w:val="nil"/>
              <w:left w:val="single" w:sz="4" w:space="0" w:color="auto"/>
              <w:bottom w:val="single" w:sz="4" w:space="0" w:color="auto"/>
              <w:right w:val="single" w:sz="4" w:space="0" w:color="auto"/>
            </w:tcBorders>
            <w:vAlign w:val="bottom"/>
            <w:hideMark/>
          </w:tcPr>
          <w:p w:rsidR="002614D5" w:rsidRPr="006248C7" w:rsidP="002614D5" w14:paraId="0DD06E34" w14:textId="77777777">
            <w:pPr>
              <w:overflowPunct/>
              <w:autoSpaceDE/>
              <w:autoSpaceDN/>
              <w:adjustRightInd/>
              <w:jc w:val="right"/>
              <w:textAlignment w:val="auto"/>
              <w:rPr>
                <w:rFonts w:ascii="Times New Roman" w:hAnsi="Times New Roman"/>
                <w:b/>
                <w:bCs/>
                <w:color w:val="000000"/>
                <w:sz w:val="22"/>
                <w:szCs w:val="22"/>
              </w:rPr>
            </w:pPr>
            <w:r w:rsidRPr="006248C7">
              <w:rPr>
                <w:rFonts w:ascii="Times New Roman" w:hAnsi="Times New Roman"/>
                <w:b/>
                <w:bCs/>
                <w:color w:val="000000"/>
                <w:sz w:val="22"/>
                <w:szCs w:val="22"/>
              </w:rPr>
              <w:t>Total</w:t>
            </w:r>
          </w:p>
        </w:tc>
        <w:tc>
          <w:tcPr>
            <w:tcW w:w="1350" w:type="dxa"/>
            <w:tcBorders>
              <w:top w:val="nil"/>
              <w:left w:val="nil"/>
              <w:bottom w:val="single" w:sz="4" w:space="0" w:color="auto"/>
              <w:right w:val="nil"/>
            </w:tcBorders>
            <w:vAlign w:val="bottom"/>
            <w:hideMark/>
          </w:tcPr>
          <w:p w:rsidR="002614D5" w:rsidRPr="006248C7" w:rsidP="002614D5" w14:paraId="10207F16" w14:textId="77777777">
            <w:pPr>
              <w:overflowPunct/>
              <w:autoSpaceDE/>
              <w:autoSpaceDN/>
              <w:adjustRightInd/>
              <w:textAlignment w:val="auto"/>
              <w:rPr>
                <w:rFonts w:ascii="Times New Roman" w:hAnsi="Times New Roman"/>
                <w:color w:val="000000"/>
                <w:sz w:val="22"/>
                <w:szCs w:val="22"/>
              </w:rPr>
            </w:pPr>
            <w:r w:rsidRPr="006248C7">
              <w:rPr>
                <w:rFonts w:ascii="Times New Roman" w:hAnsi="Times New Roman"/>
                <w:color w:val="000000"/>
                <w:sz w:val="22"/>
                <w:szCs w:val="22"/>
              </w:rPr>
              <w:t> </w:t>
            </w:r>
          </w:p>
        </w:tc>
        <w:tc>
          <w:tcPr>
            <w:tcW w:w="1800" w:type="dxa"/>
            <w:tcBorders>
              <w:top w:val="nil"/>
              <w:left w:val="nil"/>
              <w:bottom w:val="single" w:sz="4" w:space="0" w:color="auto"/>
              <w:right w:val="nil"/>
            </w:tcBorders>
            <w:vAlign w:val="bottom"/>
            <w:hideMark/>
          </w:tcPr>
          <w:p w:rsidR="002614D5" w:rsidRPr="006248C7" w:rsidP="002614D5" w14:paraId="49B83054" w14:textId="77777777">
            <w:pPr>
              <w:overflowPunct/>
              <w:autoSpaceDE/>
              <w:autoSpaceDN/>
              <w:adjustRightInd/>
              <w:textAlignment w:val="auto"/>
              <w:rPr>
                <w:rFonts w:ascii="Times New Roman" w:hAnsi="Times New Roman"/>
                <w:color w:val="000000"/>
                <w:sz w:val="22"/>
                <w:szCs w:val="22"/>
              </w:rPr>
            </w:pPr>
            <w:r w:rsidRPr="006248C7">
              <w:rPr>
                <w:rFonts w:ascii="Times New Roman" w:hAnsi="Times New Roman"/>
                <w:color w:val="000000"/>
                <w:sz w:val="22"/>
                <w:szCs w:val="22"/>
              </w:rPr>
              <w:t> </w:t>
            </w:r>
          </w:p>
        </w:tc>
        <w:tc>
          <w:tcPr>
            <w:tcW w:w="1800" w:type="dxa"/>
            <w:tcBorders>
              <w:top w:val="nil"/>
              <w:left w:val="nil"/>
              <w:bottom w:val="single" w:sz="4" w:space="0" w:color="auto"/>
              <w:right w:val="nil"/>
            </w:tcBorders>
            <w:vAlign w:val="bottom"/>
            <w:hideMark/>
          </w:tcPr>
          <w:p w:rsidR="002614D5" w:rsidRPr="006248C7" w:rsidP="002614D5" w14:paraId="3A22EF57" w14:textId="77777777">
            <w:pPr>
              <w:overflowPunct/>
              <w:autoSpaceDE/>
              <w:autoSpaceDN/>
              <w:adjustRightInd/>
              <w:textAlignment w:val="auto"/>
              <w:rPr>
                <w:rFonts w:ascii="Times New Roman" w:hAnsi="Times New Roman"/>
                <w:color w:val="000000"/>
                <w:sz w:val="22"/>
                <w:szCs w:val="22"/>
              </w:rPr>
            </w:pPr>
            <w:r w:rsidRPr="006248C7">
              <w:rPr>
                <w:rFonts w:ascii="Times New Roman" w:hAnsi="Times New Roman"/>
                <w:color w:val="000000"/>
                <w:sz w:val="22"/>
                <w:szCs w:val="22"/>
              </w:rPr>
              <w:t> </w:t>
            </w:r>
          </w:p>
        </w:tc>
        <w:tc>
          <w:tcPr>
            <w:tcW w:w="1440" w:type="dxa"/>
            <w:tcBorders>
              <w:top w:val="nil"/>
              <w:left w:val="nil"/>
              <w:bottom w:val="single" w:sz="4" w:space="0" w:color="auto"/>
              <w:right w:val="single" w:sz="4" w:space="0" w:color="auto"/>
            </w:tcBorders>
            <w:vAlign w:val="bottom"/>
            <w:hideMark/>
          </w:tcPr>
          <w:p w:rsidR="002614D5" w:rsidRPr="006248C7" w:rsidP="00B2027B" w14:paraId="6944BADD" w14:textId="2DBF1B9B">
            <w:pPr>
              <w:overflowPunct/>
              <w:autoSpaceDE/>
              <w:autoSpaceDN/>
              <w:adjustRightInd/>
              <w:jc w:val="right"/>
              <w:textAlignment w:val="auto"/>
              <w:rPr>
                <w:rFonts w:ascii="Times New Roman" w:hAnsi="Times New Roman"/>
                <w:b/>
                <w:bCs/>
                <w:color w:val="000000"/>
                <w:sz w:val="22"/>
                <w:szCs w:val="22"/>
              </w:rPr>
            </w:pPr>
            <w:r w:rsidRPr="006248C7">
              <w:rPr>
                <w:rFonts w:ascii="Times New Roman" w:hAnsi="Times New Roman"/>
                <w:b/>
                <w:bCs/>
                <w:color w:val="000000"/>
                <w:sz w:val="22"/>
                <w:szCs w:val="22"/>
              </w:rPr>
              <w:t>4</w:t>
            </w:r>
            <w:r w:rsidR="00E96C85">
              <w:rPr>
                <w:rFonts w:ascii="Times New Roman" w:hAnsi="Times New Roman"/>
                <w:b/>
                <w:bCs/>
                <w:color w:val="000000"/>
                <w:sz w:val="22"/>
                <w:szCs w:val="22"/>
              </w:rPr>
              <w:t>85,282</w:t>
            </w:r>
          </w:p>
        </w:tc>
      </w:tr>
    </w:tbl>
    <w:p w:rsidR="00F37802" w:rsidP="00104224" w14:paraId="7AC25DED" w14:textId="77777777">
      <w:pPr>
        <w:rPr>
          <w:rFonts w:ascii="Times New Roman" w:hAnsi="Times New Roman"/>
          <w:szCs w:val="24"/>
        </w:rPr>
      </w:pPr>
    </w:p>
    <w:p w:rsidR="001A6C73" w:rsidP="006D1653" w14:paraId="0D9A57CB" w14:textId="7CEA2188">
      <w:pPr>
        <w:rPr>
          <w:rFonts w:ascii="Times New Roman" w:hAnsi="Times New Roman"/>
          <w:szCs w:val="24"/>
        </w:rPr>
      </w:pPr>
      <w:r w:rsidRPr="00102359">
        <w:rPr>
          <w:rFonts w:ascii="Times New Roman" w:hAnsi="Times New Roman"/>
          <w:szCs w:val="24"/>
        </w:rPr>
        <w:t xml:space="preserve">The annual cost for the </w:t>
      </w:r>
      <w:r w:rsidRPr="00102359" w:rsidR="007B4646">
        <w:rPr>
          <w:rFonts w:ascii="Times New Roman" w:hAnsi="Times New Roman"/>
          <w:szCs w:val="24"/>
        </w:rPr>
        <w:t xml:space="preserve">credit union </w:t>
      </w:r>
      <w:r w:rsidRPr="00102359">
        <w:rPr>
          <w:rFonts w:ascii="Times New Roman" w:hAnsi="Times New Roman"/>
          <w:szCs w:val="24"/>
        </w:rPr>
        <w:t>respondents is estimated to be</w:t>
      </w:r>
      <w:r w:rsidRPr="00102359" w:rsidR="00D9510D">
        <w:rPr>
          <w:rFonts w:ascii="Times New Roman" w:hAnsi="Times New Roman"/>
          <w:szCs w:val="24"/>
        </w:rPr>
        <w:t xml:space="preserve"> </w:t>
      </w:r>
      <w:r w:rsidRPr="00102359" w:rsidR="00AE5A18">
        <w:rPr>
          <w:rFonts w:ascii="Times New Roman" w:hAnsi="Times New Roman"/>
          <w:szCs w:val="24"/>
        </w:rPr>
        <w:t>$1,</w:t>
      </w:r>
      <w:r w:rsidRPr="00102359" w:rsidR="00D90574">
        <w:rPr>
          <w:rFonts w:ascii="Times New Roman" w:hAnsi="Times New Roman"/>
          <w:szCs w:val="24"/>
        </w:rPr>
        <w:t>491,323</w:t>
      </w:r>
      <w:r w:rsidRPr="00102359" w:rsidR="00A55450">
        <w:rPr>
          <w:rFonts w:ascii="Times New Roman" w:hAnsi="Times New Roman"/>
          <w:szCs w:val="24"/>
        </w:rPr>
        <w:t xml:space="preserve"> </w:t>
      </w:r>
      <w:r w:rsidRPr="00102359">
        <w:rPr>
          <w:rFonts w:ascii="Times New Roman" w:hAnsi="Times New Roman"/>
          <w:szCs w:val="24"/>
        </w:rPr>
        <w:t>(at $</w:t>
      </w:r>
      <w:r w:rsidRPr="00102359" w:rsidR="00E85757">
        <w:rPr>
          <w:rFonts w:ascii="Times New Roman" w:hAnsi="Times New Roman"/>
          <w:szCs w:val="24"/>
        </w:rPr>
        <w:t>42.80</w:t>
      </w:r>
      <w:r w:rsidRPr="00102359">
        <w:rPr>
          <w:rFonts w:ascii="Times New Roman" w:hAnsi="Times New Roman"/>
          <w:szCs w:val="24"/>
        </w:rPr>
        <w:t xml:space="preserve"> hourly cost)</w:t>
      </w:r>
      <w:r w:rsidRPr="00102359" w:rsidR="001B7C45">
        <w:rPr>
          <w:rFonts w:ascii="Times New Roman" w:hAnsi="Times New Roman"/>
          <w:szCs w:val="24"/>
        </w:rPr>
        <w:t xml:space="preserve">; the annual cost to consumers is estimated to be </w:t>
      </w:r>
      <w:r w:rsidRPr="00102359" w:rsidR="00502E77">
        <w:rPr>
          <w:rFonts w:ascii="Times New Roman" w:hAnsi="Times New Roman"/>
          <w:szCs w:val="24"/>
        </w:rPr>
        <w:t>$1</w:t>
      </w:r>
      <w:r w:rsidRPr="00102359" w:rsidR="00BA43D5">
        <w:rPr>
          <w:rFonts w:ascii="Times New Roman" w:hAnsi="Times New Roman"/>
          <w:szCs w:val="24"/>
        </w:rPr>
        <w:t>4</w:t>
      </w:r>
      <w:r w:rsidRPr="00102359" w:rsidR="00502E77">
        <w:rPr>
          <w:rFonts w:ascii="Times New Roman" w:hAnsi="Times New Roman"/>
          <w:szCs w:val="24"/>
        </w:rPr>
        <w:t>,</w:t>
      </w:r>
      <w:r w:rsidRPr="00102359" w:rsidR="00BA43D5">
        <w:rPr>
          <w:rFonts w:ascii="Times New Roman" w:hAnsi="Times New Roman"/>
          <w:szCs w:val="24"/>
        </w:rPr>
        <w:t>188</w:t>
      </w:r>
      <w:r w:rsidRPr="00102359" w:rsidR="00F225ED">
        <w:rPr>
          <w:rFonts w:ascii="Times New Roman" w:hAnsi="Times New Roman"/>
          <w:szCs w:val="24"/>
        </w:rPr>
        <w:t>,</w:t>
      </w:r>
      <w:r w:rsidRPr="00102359" w:rsidR="00BA43D5">
        <w:rPr>
          <w:rFonts w:ascii="Times New Roman" w:hAnsi="Times New Roman"/>
          <w:szCs w:val="24"/>
        </w:rPr>
        <w:t>797</w:t>
      </w:r>
      <w:r w:rsidRPr="00102359" w:rsidR="001B7C45">
        <w:rPr>
          <w:rFonts w:ascii="Times New Roman" w:hAnsi="Times New Roman"/>
          <w:szCs w:val="24"/>
        </w:rPr>
        <w:t xml:space="preserve"> (at $</w:t>
      </w:r>
      <w:r w:rsidRPr="00102359" w:rsidR="00B01AB5">
        <w:rPr>
          <w:rFonts w:ascii="Times New Roman" w:hAnsi="Times New Roman"/>
          <w:szCs w:val="24"/>
        </w:rPr>
        <w:t>31.50</w:t>
      </w:r>
      <w:r w:rsidRPr="00102359" w:rsidR="001B7C45">
        <w:rPr>
          <w:rFonts w:ascii="Times New Roman" w:hAnsi="Times New Roman"/>
          <w:szCs w:val="24"/>
        </w:rPr>
        <w:t xml:space="preserve"> hourly cost).  Total annual cost associated with t</w:t>
      </w:r>
      <w:r w:rsidRPr="00102359" w:rsidR="008B0FC2">
        <w:rPr>
          <w:rFonts w:ascii="Times New Roman" w:hAnsi="Times New Roman"/>
          <w:szCs w:val="24"/>
        </w:rPr>
        <w:t>his in</w:t>
      </w:r>
      <w:r w:rsidRPr="00102359" w:rsidR="00BA1331">
        <w:rPr>
          <w:rFonts w:ascii="Times New Roman" w:hAnsi="Times New Roman"/>
          <w:szCs w:val="24"/>
        </w:rPr>
        <w:t xml:space="preserve">formation collection is </w:t>
      </w:r>
      <w:r w:rsidRPr="00102359" w:rsidR="000964B6">
        <w:rPr>
          <w:rFonts w:ascii="Times New Roman" w:hAnsi="Times New Roman"/>
          <w:szCs w:val="24"/>
        </w:rPr>
        <w:t>$1</w:t>
      </w:r>
      <w:r w:rsidRPr="00102359" w:rsidR="00BC0538">
        <w:rPr>
          <w:rFonts w:ascii="Times New Roman" w:hAnsi="Times New Roman"/>
          <w:szCs w:val="24"/>
        </w:rPr>
        <w:t>5</w:t>
      </w:r>
      <w:r w:rsidRPr="00102359" w:rsidR="000964B6">
        <w:rPr>
          <w:rFonts w:ascii="Times New Roman" w:hAnsi="Times New Roman"/>
          <w:szCs w:val="24"/>
        </w:rPr>
        <w:t>,</w:t>
      </w:r>
      <w:r w:rsidRPr="00102359" w:rsidR="00BC0538">
        <w:rPr>
          <w:rFonts w:ascii="Times New Roman" w:hAnsi="Times New Roman"/>
          <w:szCs w:val="24"/>
        </w:rPr>
        <w:t>680</w:t>
      </w:r>
      <w:r w:rsidRPr="00102359" w:rsidR="000964B6">
        <w:rPr>
          <w:rFonts w:ascii="Times New Roman" w:hAnsi="Times New Roman"/>
          <w:szCs w:val="24"/>
        </w:rPr>
        <w:t>,</w:t>
      </w:r>
      <w:r w:rsidRPr="00102359" w:rsidR="00A55450">
        <w:rPr>
          <w:rFonts w:ascii="Times New Roman" w:hAnsi="Times New Roman"/>
          <w:szCs w:val="24"/>
        </w:rPr>
        <w:t>120</w:t>
      </w:r>
      <w:r w:rsidRPr="00102359" w:rsidR="00483087">
        <w:rPr>
          <w:rFonts w:ascii="Times New Roman" w:hAnsi="Times New Roman"/>
          <w:szCs w:val="24"/>
        </w:rPr>
        <w:t>.</w:t>
      </w:r>
    </w:p>
    <w:p w:rsidR="00335C44" w:rsidP="008C7F95" w14:paraId="7526C29C" w14:textId="77777777">
      <w:pPr>
        <w:rPr>
          <w:rFonts w:ascii="Times New Roman" w:hAnsi="Times New Roman"/>
          <w:szCs w:val="24"/>
        </w:rPr>
      </w:pPr>
    </w:p>
    <w:p w:rsidR="009160EC" w:rsidRPr="00F35C0E" w14:paraId="6B04DFE4" w14:textId="77777777">
      <w:pPr>
        <w:rPr>
          <w:rFonts w:ascii="Times New Roman" w:hAnsi="Times New Roman"/>
          <w:b/>
          <w:szCs w:val="24"/>
        </w:rPr>
      </w:pPr>
      <w:r>
        <w:rPr>
          <w:rFonts w:ascii="Times New Roman" w:hAnsi="Times New Roman"/>
          <w:b/>
          <w:szCs w:val="24"/>
        </w:rPr>
        <w:br w:type="page"/>
      </w:r>
      <w:r w:rsidRPr="00095685" w:rsidR="008B75B0">
        <w:rPr>
          <w:rFonts w:ascii="Times New Roman" w:hAnsi="Times New Roman"/>
          <w:b/>
          <w:szCs w:val="24"/>
        </w:rPr>
        <w:t xml:space="preserve">13. </w:t>
      </w:r>
      <w:r w:rsidRPr="00095685" w:rsidR="00D32EE6">
        <w:rPr>
          <w:rFonts w:ascii="Times New Roman" w:hAnsi="Times New Roman"/>
          <w:b/>
          <w:szCs w:val="24"/>
        </w:rPr>
        <w:t xml:space="preserve"> </w:t>
      </w:r>
      <w:r w:rsidRPr="00095685" w:rsidR="00095685">
        <w:rPr>
          <w:rFonts w:ascii="Times New Roman" w:hAnsi="Times New Roman"/>
          <w:b/>
          <w:szCs w:val="24"/>
        </w:rPr>
        <w:t>C</w:t>
      </w:r>
      <w:r w:rsidR="00DB33F4">
        <w:rPr>
          <w:rFonts w:ascii="Times New Roman" w:hAnsi="Times New Roman"/>
          <w:b/>
          <w:szCs w:val="24"/>
        </w:rPr>
        <w:t>apital start-up or on-going maintenance c</w:t>
      </w:r>
      <w:r w:rsidRPr="00095685">
        <w:rPr>
          <w:rFonts w:ascii="Times New Roman" w:hAnsi="Times New Roman"/>
          <w:b/>
          <w:szCs w:val="24"/>
        </w:rPr>
        <w:t>ost</w:t>
      </w:r>
      <w:r w:rsidRPr="00095685" w:rsidR="00095685">
        <w:rPr>
          <w:rFonts w:ascii="Times New Roman" w:hAnsi="Times New Roman"/>
          <w:b/>
          <w:szCs w:val="24"/>
        </w:rPr>
        <w:t>s</w:t>
      </w:r>
      <w:r w:rsidR="00DB33F4">
        <w:rPr>
          <w:rFonts w:ascii="Times New Roman" w:hAnsi="Times New Roman"/>
          <w:b/>
          <w:szCs w:val="24"/>
        </w:rPr>
        <w:t>:</w:t>
      </w:r>
    </w:p>
    <w:p w:rsidR="009160EC" w:rsidRPr="006C4452" w14:paraId="7BCF3D3C" w14:textId="77777777">
      <w:pPr>
        <w:rPr>
          <w:rFonts w:ascii="Times New Roman" w:hAnsi="Times New Roman"/>
          <w:i/>
          <w:szCs w:val="24"/>
        </w:rPr>
      </w:pPr>
    </w:p>
    <w:p w:rsidR="00F10FE8" w:rsidRPr="00F10FE8" w:rsidP="00F10FE8" w14:paraId="586D3336"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overflowPunct/>
        <w:autoSpaceDE/>
        <w:autoSpaceDN/>
        <w:adjustRightInd/>
        <w:textAlignment w:val="auto"/>
        <w:rPr>
          <w:rFonts w:ascii="Times New Roman" w:hAnsi="Times New Roman"/>
          <w:szCs w:val="24"/>
        </w:rPr>
      </w:pPr>
      <w:r>
        <w:rPr>
          <w:rFonts w:ascii="Times New Roman" w:hAnsi="Times New Roman"/>
        </w:rPr>
        <w:t>Other than the costs to respondents that are associated with the usual and customary business practice, there are no capital, start-up or operating and maintenance costs associated with this information collection</w:t>
      </w:r>
      <w:r w:rsidRPr="00F10FE8">
        <w:rPr>
          <w:rFonts w:ascii="Times New Roman" w:hAnsi="Times New Roman"/>
          <w:szCs w:val="24"/>
        </w:rPr>
        <w:t xml:space="preserve">.  </w:t>
      </w:r>
    </w:p>
    <w:p w:rsidR="009160EC" w:rsidRPr="006C4452" w14:paraId="705287BD" w14:textId="77777777">
      <w:pPr>
        <w:rPr>
          <w:rFonts w:ascii="Times New Roman" w:hAnsi="Times New Roman"/>
          <w:szCs w:val="24"/>
        </w:rPr>
      </w:pPr>
    </w:p>
    <w:p w:rsidR="009160EC" w:rsidRPr="00F11513" w14:paraId="292E57CC" w14:textId="77777777">
      <w:pPr>
        <w:rPr>
          <w:rFonts w:ascii="Times New Roman" w:hAnsi="Times New Roman"/>
          <w:b/>
          <w:i/>
          <w:szCs w:val="24"/>
        </w:rPr>
      </w:pPr>
      <w:r w:rsidRPr="00F11513">
        <w:rPr>
          <w:rFonts w:ascii="Times New Roman" w:hAnsi="Times New Roman"/>
          <w:b/>
          <w:szCs w:val="24"/>
        </w:rPr>
        <w:t xml:space="preserve">14. </w:t>
      </w:r>
      <w:r w:rsidRPr="00F11513" w:rsidR="00D32EE6">
        <w:rPr>
          <w:rFonts w:ascii="Times New Roman" w:hAnsi="Times New Roman"/>
          <w:b/>
          <w:szCs w:val="24"/>
        </w:rPr>
        <w:t xml:space="preserve"> </w:t>
      </w:r>
      <w:r w:rsidR="00DB33F4">
        <w:rPr>
          <w:rFonts w:ascii="Times New Roman" w:hAnsi="Times New Roman"/>
          <w:b/>
          <w:szCs w:val="24"/>
        </w:rPr>
        <w:t>Annualized c</w:t>
      </w:r>
      <w:r w:rsidRPr="00F11513">
        <w:rPr>
          <w:rFonts w:ascii="Times New Roman" w:hAnsi="Times New Roman"/>
          <w:b/>
          <w:szCs w:val="24"/>
        </w:rPr>
        <w:t>ost</w:t>
      </w:r>
      <w:r w:rsidRPr="00F11513" w:rsidR="00F11513">
        <w:rPr>
          <w:rFonts w:ascii="Times New Roman" w:hAnsi="Times New Roman"/>
          <w:b/>
          <w:szCs w:val="24"/>
        </w:rPr>
        <w:t>s</w:t>
      </w:r>
      <w:r w:rsidRPr="00F11513">
        <w:rPr>
          <w:rFonts w:ascii="Times New Roman" w:hAnsi="Times New Roman"/>
          <w:b/>
          <w:szCs w:val="24"/>
        </w:rPr>
        <w:t xml:space="preserve"> to Federal </w:t>
      </w:r>
      <w:r w:rsidR="00DB33F4">
        <w:rPr>
          <w:rFonts w:ascii="Times New Roman" w:hAnsi="Times New Roman"/>
          <w:b/>
          <w:szCs w:val="24"/>
        </w:rPr>
        <w:t>g</w:t>
      </w:r>
      <w:r w:rsidRPr="00F11513">
        <w:rPr>
          <w:rFonts w:ascii="Times New Roman" w:hAnsi="Times New Roman"/>
          <w:b/>
          <w:szCs w:val="24"/>
        </w:rPr>
        <w:t>overnment</w:t>
      </w:r>
      <w:r w:rsidR="00DB33F4">
        <w:rPr>
          <w:rFonts w:ascii="Times New Roman" w:hAnsi="Times New Roman"/>
          <w:b/>
          <w:szCs w:val="24"/>
        </w:rPr>
        <w:t>:</w:t>
      </w:r>
    </w:p>
    <w:p w:rsidR="00D32EE6" w14:paraId="4313FAFC" w14:textId="77777777">
      <w:pPr>
        <w:rPr>
          <w:rFonts w:ascii="Times New Roman" w:hAnsi="Times New Roman"/>
          <w:szCs w:val="24"/>
        </w:rPr>
      </w:pPr>
    </w:p>
    <w:p w:rsidR="009160EC" w:rsidRPr="006C4452" w14:paraId="70905AC7" w14:textId="77777777">
      <w:pPr>
        <w:rPr>
          <w:rFonts w:ascii="Times New Roman" w:hAnsi="Times New Roman"/>
          <w:b/>
          <w:szCs w:val="24"/>
        </w:rPr>
      </w:pPr>
      <w:r>
        <w:rPr>
          <w:rFonts w:ascii="Times New Roman" w:hAnsi="Times New Roman"/>
          <w:szCs w:val="24"/>
        </w:rPr>
        <w:t xml:space="preserve">There are no costs to the Federal government. </w:t>
      </w:r>
    </w:p>
    <w:p w:rsidR="009160EC" w:rsidRPr="006C4452" w14:paraId="6CF77E33" w14:textId="77777777">
      <w:pPr>
        <w:rPr>
          <w:rFonts w:ascii="Times New Roman" w:hAnsi="Times New Roman"/>
          <w:szCs w:val="24"/>
        </w:rPr>
      </w:pPr>
    </w:p>
    <w:p w:rsidR="009160EC" w:rsidRPr="00E50706" w14:paraId="6DB158BF" w14:textId="77777777">
      <w:pPr>
        <w:rPr>
          <w:rFonts w:ascii="Times New Roman" w:hAnsi="Times New Roman"/>
          <w:b/>
          <w:i/>
          <w:szCs w:val="24"/>
        </w:rPr>
      </w:pPr>
      <w:r w:rsidRPr="00E50706">
        <w:rPr>
          <w:rFonts w:ascii="Times New Roman" w:hAnsi="Times New Roman"/>
          <w:b/>
          <w:szCs w:val="24"/>
        </w:rPr>
        <w:t xml:space="preserve">15. </w:t>
      </w:r>
      <w:r w:rsidRPr="00E50706" w:rsidR="00D32EE6">
        <w:rPr>
          <w:rFonts w:ascii="Times New Roman" w:hAnsi="Times New Roman"/>
          <w:b/>
          <w:szCs w:val="24"/>
        </w:rPr>
        <w:t xml:space="preserve"> </w:t>
      </w:r>
      <w:r w:rsidRPr="00E50706">
        <w:rPr>
          <w:rFonts w:ascii="Times New Roman" w:hAnsi="Times New Roman"/>
          <w:b/>
          <w:szCs w:val="24"/>
        </w:rPr>
        <w:t xml:space="preserve">Changes in </w:t>
      </w:r>
      <w:r w:rsidR="00DB33F4">
        <w:rPr>
          <w:rFonts w:ascii="Times New Roman" w:hAnsi="Times New Roman"/>
          <w:b/>
          <w:szCs w:val="24"/>
        </w:rPr>
        <w:t>b</w:t>
      </w:r>
      <w:r w:rsidRPr="00E50706">
        <w:rPr>
          <w:rFonts w:ascii="Times New Roman" w:hAnsi="Times New Roman"/>
          <w:b/>
          <w:szCs w:val="24"/>
        </w:rPr>
        <w:t>urden</w:t>
      </w:r>
      <w:r w:rsidR="00DB33F4">
        <w:rPr>
          <w:rFonts w:ascii="Times New Roman" w:hAnsi="Times New Roman"/>
          <w:b/>
          <w:szCs w:val="24"/>
        </w:rPr>
        <w:t>:</w:t>
      </w:r>
    </w:p>
    <w:p w:rsidR="00441A31" w:rsidRPr="006C4452" w14:paraId="07C67FE7" w14:textId="77777777">
      <w:pPr>
        <w:rPr>
          <w:rFonts w:ascii="Times New Roman" w:hAnsi="Times New Roman"/>
          <w:szCs w:val="24"/>
        </w:rPr>
      </w:pPr>
    </w:p>
    <w:p w:rsidR="00572078" w:rsidRPr="000B4EBE" w:rsidP="000B4EBE" w14:paraId="3739D678" w14:textId="1B63F15B">
      <w:pPr>
        <w:rPr>
          <w:rFonts w:ascii="Times New Roman" w:hAnsi="Times New Roman"/>
          <w:color w:val="000000"/>
        </w:rPr>
      </w:pPr>
      <w:r w:rsidRPr="000B4EBE">
        <w:rPr>
          <w:rFonts w:ascii="Times New Roman" w:hAnsi="Times New Roman"/>
          <w:color w:val="000000"/>
        </w:rPr>
        <w:t xml:space="preserve">The adjustments to the burden result from changes in the NCUA’s estimate of respondents. While the number of regulated entities decreased, credit union membership grew. Consequently, the number of respondents </w:t>
      </w:r>
      <w:r w:rsidR="00D7017A">
        <w:rPr>
          <w:rFonts w:ascii="Times New Roman" w:hAnsi="Times New Roman"/>
          <w:color w:val="000000"/>
        </w:rPr>
        <w:t>increased</w:t>
      </w:r>
      <w:r w:rsidRPr="000B4EBE">
        <w:rPr>
          <w:rFonts w:ascii="Times New Roman" w:hAnsi="Times New Roman"/>
          <w:color w:val="000000"/>
        </w:rPr>
        <w:t xml:space="preserve"> due to more potential credit union members, leading to an increase in consumers receiving opt-out notices</w:t>
      </w:r>
      <w:r w:rsidR="00F555EB">
        <w:rPr>
          <w:rFonts w:ascii="Times New Roman" w:hAnsi="Times New Roman"/>
          <w:color w:val="000000"/>
        </w:rPr>
        <w:t xml:space="preserve">, </w:t>
      </w:r>
      <w:r w:rsidRPr="000B4EBE">
        <w:rPr>
          <w:rFonts w:ascii="Times New Roman" w:hAnsi="Times New Roman"/>
          <w:color w:val="000000"/>
        </w:rPr>
        <w:t>from 1,580,000 to 1,801,750.</w:t>
      </w:r>
    </w:p>
    <w:p w:rsidR="00AD2660" w:rsidRPr="00144040" w:rsidP="00F10FE8" w14:paraId="6B9859B6" w14:textId="77777777">
      <w:pPr>
        <w:rPr>
          <w:rFonts w:ascii="Times New Roman" w:hAnsi="Times New Roman"/>
          <w:szCs w:val="24"/>
          <w:highlight w:val="yellow"/>
        </w:rPr>
      </w:pPr>
    </w:p>
    <w:p w:rsidR="009160EC" w:rsidRPr="00457507" w14:paraId="1FCA1A5A" w14:textId="77777777">
      <w:pPr>
        <w:rPr>
          <w:rFonts w:ascii="Times New Roman" w:hAnsi="Times New Roman"/>
          <w:b/>
          <w:szCs w:val="24"/>
        </w:rPr>
      </w:pPr>
      <w:r w:rsidRPr="00457507">
        <w:rPr>
          <w:rFonts w:ascii="Times New Roman" w:hAnsi="Times New Roman"/>
          <w:b/>
          <w:szCs w:val="24"/>
        </w:rPr>
        <w:t xml:space="preserve">16. </w:t>
      </w:r>
      <w:r w:rsidRPr="00457507" w:rsidR="00D32EE6">
        <w:rPr>
          <w:rFonts w:ascii="Times New Roman" w:hAnsi="Times New Roman"/>
          <w:b/>
          <w:szCs w:val="24"/>
        </w:rPr>
        <w:t xml:space="preserve"> </w:t>
      </w:r>
      <w:r w:rsidRPr="00457507">
        <w:rPr>
          <w:rFonts w:ascii="Times New Roman" w:hAnsi="Times New Roman"/>
          <w:b/>
          <w:szCs w:val="24"/>
        </w:rPr>
        <w:t xml:space="preserve">Information </w:t>
      </w:r>
      <w:r w:rsidR="00AA7C45">
        <w:rPr>
          <w:rFonts w:ascii="Times New Roman" w:hAnsi="Times New Roman"/>
          <w:b/>
          <w:szCs w:val="24"/>
        </w:rPr>
        <w:t>c</w:t>
      </w:r>
      <w:r w:rsidRPr="00457507">
        <w:rPr>
          <w:rFonts w:ascii="Times New Roman" w:hAnsi="Times New Roman"/>
          <w:b/>
          <w:szCs w:val="24"/>
        </w:rPr>
        <w:t xml:space="preserve">ollection </w:t>
      </w:r>
      <w:r w:rsidR="00AA7C45">
        <w:rPr>
          <w:rFonts w:ascii="Times New Roman" w:hAnsi="Times New Roman"/>
          <w:b/>
          <w:szCs w:val="24"/>
        </w:rPr>
        <w:t>p</w:t>
      </w:r>
      <w:r w:rsidRPr="00457507">
        <w:rPr>
          <w:rFonts w:ascii="Times New Roman" w:hAnsi="Times New Roman"/>
          <w:b/>
          <w:szCs w:val="24"/>
        </w:rPr>
        <w:t xml:space="preserve">lanned for </w:t>
      </w:r>
      <w:r w:rsidR="00AA7C45">
        <w:rPr>
          <w:rFonts w:ascii="Times New Roman" w:hAnsi="Times New Roman"/>
          <w:b/>
          <w:szCs w:val="24"/>
        </w:rPr>
        <w:t>s</w:t>
      </w:r>
      <w:r w:rsidRPr="00457507">
        <w:rPr>
          <w:rFonts w:ascii="Times New Roman" w:hAnsi="Times New Roman"/>
          <w:b/>
          <w:szCs w:val="24"/>
        </w:rPr>
        <w:t xml:space="preserve">tatistical </w:t>
      </w:r>
      <w:r w:rsidR="00AA7C45">
        <w:rPr>
          <w:rFonts w:ascii="Times New Roman" w:hAnsi="Times New Roman"/>
          <w:b/>
          <w:szCs w:val="24"/>
        </w:rPr>
        <w:t>p</w:t>
      </w:r>
      <w:r w:rsidRPr="00457507" w:rsidR="00457507">
        <w:rPr>
          <w:rFonts w:ascii="Times New Roman" w:hAnsi="Times New Roman"/>
          <w:b/>
          <w:szCs w:val="24"/>
        </w:rPr>
        <w:t>urposes</w:t>
      </w:r>
      <w:r w:rsidR="00AA7C45">
        <w:rPr>
          <w:rFonts w:ascii="Times New Roman" w:hAnsi="Times New Roman"/>
          <w:b/>
          <w:szCs w:val="24"/>
        </w:rPr>
        <w:t>:</w:t>
      </w:r>
    </w:p>
    <w:p w:rsidR="009160EC" w:rsidRPr="006C4452" w14:paraId="6854FB1E" w14:textId="77777777">
      <w:pPr>
        <w:rPr>
          <w:rFonts w:ascii="Times New Roman" w:hAnsi="Times New Roman"/>
          <w:szCs w:val="24"/>
        </w:rPr>
      </w:pPr>
    </w:p>
    <w:p w:rsidR="009160EC" w:rsidRPr="006C4452" w14:paraId="1F32AA35" w14:textId="77777777">
      <w:pPr>
        <w:rPr>
          <w:rFonts w:ascii="Times New Roman" w:hAnsi="Times New Roman"/>
          <w:szCs w:val="24"/>
        </w:rPr>
      </w:pPr>
      <w:r>
        <w:rPr>
          <w:rFonts w:ascii="Times New Roman" w:hAnsi="Times New Roman"/>
          <w:szCs w:val="24"/>
        </w:rPr>
        <w:t>Th</w:t>
      </w:r>
      <w:r w:rsidR="00AA7C45">
        <w:rPr>
          <w:rFonts w:ascii="Times New Roman" w:hAnsi="Times New Roman"/>
          <w:szCs w:val="24"/>
        </w:rPr>
        <w:t>is</w:t>
      </w:r>
      <w:r>
        <w:rPr>
          <w:rFonts w:ascii="Times New Roman" w:hAnsi="Times New Roman"/>
          <w:szCs w:val="24"/>
        </w:rPr>
        <w:t xml:space="preserve"> information is not </w:t>
      </w:r>
      <w:r w:rsidR="00AA7C45">
        <w:rPr>
          <w:rFonts w:ascii="Times New Roman" w:hAnsi="Times New Roman"/>
          <w:szCs w:val="24"/>
        </w:rPr>
        <w:t>planned</w:t>
      </w:r>
      <w:r>
        <w:rPr>
          <w:rFonts w:ascii="Times New Roman" w:hAnsi="Times New Roman"/>
          <w:szCs w:val="24"/>
        </w:rPr>
        <w:t xml:space="preserve"> for </w:t>
      </w:r>
      <w:r w:rsidR="00AA7C45">
        <w:rPr>
          <w:rFonts w:ascii="Times New Roman" w:hAnsi="Times New Roman"/>
          <w:szCs w:val="24"/>
        </w:rPr>
        <w:t>publication</w:t>
      </w:r>
      <w:r>
        <w:rPr>
          <w:rFonts w:ascii="Times New Roman" w:hAnsi="Times New Roman"/>
          <w:szCs w:val="24"/>
        </w:rPr>
        <w:t>.</w:t>
      </w:r>
    </w:p>
    <w:p w:rsidR="009160EC" w:rsidRPr="006C4452" w14:paraId="75B873D7" w14:textId="77777777">
      <w:pPr>
        <w:rPr>
          <w:rFonts w:ascii="Times New Roman" w:hAnsi="Times New Roman"/>
          <w:szCs w:val="24"/>
        </w:rPr>
      </w:pPr>
    </w:p>
    <w:p w:rsidR="009160EC" w:rsidRPr="00D72898" w14:paraId="4040EEF9" w14:textId="77777777">
      <w:pPr>
        <w:rPr>
          <w:rFonts w:ascii="Times New Roman" w:hAnsi="Times New Roman"/>
          <w:b/>
          <w:szCs w:val="24"/>
        </w:rPr>
      </w:pPr>
      <w:r w:rsidRPr="00D72898">
        <w:rPr>
          <w:rFonts w:ascii="Times New Roman" w:hAnsi="Times New Roman"/>
          <w:b/>
          <w:szCs w:val="24"/>
        </w:rPr>
        <w:t xml:space="preserve">17. </w:t>
      </w:r>
      <w:r w:rsidRPr="00D72898" w:rsidR="00D32EE6">
        <w:rPr>
          <w:rFonts w:ascii="Times New Roman" w:hAnsi="Times New Roman"/>
          <w:b/>
          <w:szCs w:val="24"/>
        </w:rPr>
        <w:t xml:space="preserve"> </w:t>
      </w:r>
      <w:r w:rsidR="00BA58DD">
        <w:rPr>
          <w:rFonts w:ascii="Times New Roman" w:hAnsi="Times New Roman"/>
          <w:b/>
          <w:szCs w:val="24"/>
        </w:rPr>
        <w:t>Request non-display the</w:t>
      </w:r>
      <w:r w:rsidRPr="00D72898">
        <w:rPr>
          <w:rFonts w:ascii="Times New Roman" w:hAnsi="Times New Roman"/>
          <w:b/>
          <w:szCs w:val="24"/>
        </w:rPr>
        <w:t xml:space="preserve"> </w:t>
      </w:r>
      <w:r w:rsidR="00BA58DD">
        <w:rPr>
          <w:rFonts w:ascii="Times New Roman" w:hAnsi="Times New Roman"/>
          <w:b/>
          <w:szCs w:val="24"/>
        </w:rPr>
        <w:t>e</w:t>
      </w:r>
      <w:r w:rsidRPr="00D72898">
        <w:rPr>
          <w:rFonts w:ascii="Times New Roman" w:hAnsi="Times New Roman"/>
          <w:b/>
          <w:szCs w:val="24"/>
        </w:rPr>
        <w:t xml:space="preserve">xpiration </w:t>
      </w:r>
      <w:r w:rsidR="00BA58DD">
        <w:rPr>
          <w:rFonts w:ascii="Times New Roman" w:hAnsi="Times New Roman"/>
          <w:b/>
          <w:szCs w:val="24"/>
        </w:rPr>
        <w:t>d</w:t>
      </w:r>
      <w:r w:rsidRPr="00D72898">
        <w:rPr>
          <w:rFonts w:ascii="Times New Roman" w:hAnsi="Times New Roman"/>
          <w:b/>
          <w:szCs w:val="24"/>
        </w:rPr>
        <w:t>ate</w:t>
      </w:r>
      <w:r w:rsidR="00BA58DD">
        <w:rPr>
          <w:rFonts w:ascii="Times New Roman" w:hAnsi="Times New Roman"/>
          <w:b/>
          <w:szCs w:val="24"/>
        </w:rPr>
        <w:t xml:space="preserve"> of the OMB control number:</w:t>
      </w:r>
    </w:p>
    <w:p w:rsidR="009160EC" w:rsidRPr="006C4452" w14:paraId="6458089B" w14:textId="77777777">
      <w:pPr>
        <w:rPr>
          <w:rFonts w:ascii="Times New Roman" w:hAnsi="Times New Roman"/>
          <w:szCs w:val="24"/>
        </w:rPr>
      </w:pPr>
    </w:p>
    <w:p w:rsidR="00957F85" w:rsidP="003062EF" w14:paraId="204F0DD5" w14:textId="77777777">
      <w:pPr>
        <w:pStyle w:val="BodyText"/>
        <w:ind w:left="0" w:firstLine="0"/>
      </w:pPr>
      <w:r>
        <w:rPr>
          <w:spacing w:val="-1"/>
        </w:rPr>
        <w:t>Not applicable.</w:t>
      </w:r>
      <w:r>
        <w:rPr>
          <w:spacing w:val="60"/>
        </w:rPr>
        <w:t xml:space="preserve"> </w:t>
      </w:r>
    </w:p>
    <w:p w:rsidR="009160EC" w:rsidRPr="006C4452" w14:paraId="13D270F5" w14:textId="77777777">
      <w:pPr>
        <w:rPr>
          <w:rFonts w:ascii="Times New Roman" w:hAnsi="Times New Roman"/>
          <w:szCs w:val="24"/>
        </w:rPr>
      </w:pPr>
    </w:p>
    <w:p w:rsidR="009160EC" w:rsidRPr="00624138" w14:paraId="0B4432E9" w14:textId="77777777">
      <w:pPr>
        <w:rPr>
          <w:rFonts w:ascii="Times New Roman" w:hAnsi="Times New Roman"/>
          <w:b/>
          <w:szCs w:val="24"/>
        </w:rPr>
      </w:pPr>
      <w:r w:rsidRPr="00624138">
        <w:rPr>
          <w:rFonts w:ascii="Times New Roman" w:hAnsi="Times New Roman"/>
          <w:b/>
          <w:szCs w:val="24"/>
        </w:rPr>
        <w:t xml:space="preserve">18. </w:t>
      </w:r>
      <w:r w:rsidRPr="00624138" w:rsidR="00D32EE6">
        <w:rPr>
          <w:rFonts w:ascii="Times New Roman" w:hAnsi="Times New Roman"/>
          <w:b/>
          <w:szCs w:val="24"/>
        </w:rPr>
        <w:t xml:space="preserve"> </w:t>
      </w:r>
      <w:r w:rsidRPr="00624138">
        <w:rPr>
          <w:rFonts w:ascii="Times New Roman" w:hAnsi="Times New Roman"/>
          <w:b/>
          <w:szCs w:val="24"/>
        </w:rPr>
        <w:t xml:space="preserve">Exceptions to </w:t>
      </w:r>
      <w:r w:rsidRPr="00624138" w:rsidR="00624138">
        <w:rPr>
          <w:rFonts w:ascii="Times New Roman" w:hAnsi="Times New Roman"/>
          <w:b/>
          <w:szCs w:val="24"/>
        </w:rPr>
        <w:t>C</w:t>
      </w:r>
      <w:r w:rsidRPr="00624138">
        <w:rPr>
          <w:rFonts w:ascii="Times New Roman" w:hAnsi="Times New Roman"/>
          <w:b/>
          <w:szCs w:val="24"/>
        </w:rPr>
        <w:t xml:space="preserve">ertification </w:t>
      </w:r>
      <w:r w:rsidRPr="00624138" w:rsidR="00624138">
        <w:rPr>
          <w:rFonts w:ascii="Times New Roman" w:hAnsi="Times New Roman"/>
          <w:b/>
          <w:szCs w:val="24"/>
        </w:rPr>
        <w:t>for Paperwork Reduction Act Submissions</w:t>
      </w:r>
    </w:p>
    <w:p w:rsidR="009160EC" w:rsidRPr="006C4452" w14:paraId="442E54B0" w14:textId="77777777">
      <w:pPr>
        <w:rPr>
          <w:rFonts w:ascii="Times New Roman" w:hAnsi="Times New Roman"/>
          <w:szCs w:val="24"/>
        </w:rPr>
      </w:pPr>
    </w:p>
    <w:p w:rsidR="009160EC" w:rsidRPr="006C4452" w14:paraId="4073C0E3" w14:textId="77777777">
      <w:pPr>
        <w:rPr>
          <w:rFonts w:ascii="Times New Roman" w:hAnsi="Times New Roman"/>
          <w:szCs w:val="24"/>
        </w:rPr>
      </w:pPr>
      <w:r>
        <w:rPr>
          <w:rFonts w:ascii="Times New Roman" w:hAnsi="Times New Roman"/>
        </w:rPr>
        <w:t>There are no exceptions to the certification statement</w:t>
      </w:r>
      <w:r w:rsidR="0036105A">
        <w:rPr>
          <w:rFonts w:ascii="Times New Roman" w:hAnsi="Times New Roman"/>
          <w:szCs w:val="24"/>
        </w:rPr>
        <w:t>.</w:t>
      </w:r>
    </w:p>
    <w:p w:rsidR="009160EC" w:rsidRPr="006C4452" w14:paraId="33BB97A3" w14:textId="77777777">
      <w:pPr>
        <w:rPr>
          <w:rFonts w:ascii="Times New Roman" w:hAnsi="Times New Roman"/>
          <w:szCs w:val="24"/>
        </w:rPr>
      </w:pPr>
    </w:p>
    <w:p w:rsidR="009160EC" w:rsidRPr="00256818" w14:paraId="3EB51385" w14:textId="77777777">
      <w:pPr>
        <w:rPr>
          <w:rFonts w:ascii="Times New Roman" w:hAnsi="Times New Roman"/>
          <w:b/>
          <w:szCs w:val="24"/>
        </w:rPr>
      </w:pPr>
      <w:r w:rsidRPr="00256818">
        <w:rPr>
          <w:rFonts w:ascii="Times New Roman" w:hAnsi="Times New Roman"/>
          <w:b/>
          <w:szCs w:val="24"/>
        </w:rPr>
        <w:t xml:space="preserve">B. </w:t>
      </w:r>
      <w:r w:rsidRPr="00256818" w:rsidR="00D32EE6">
        <w:rPr>
          <w:rFonts w:ascii="Times New Roman" w:hAnsi="Times New Roman"/>
          <w:b/>
          <w:szCs w:val="24"/>
        </w:rPr>
        <w:t xml:space="preserve"> </w:t>
      </w:r>
      <w:r w:rsidRPr="00256818">
        <w:rPr>
          <w:rFonts w:ascii="Times New Roman" w:hAnsi="Times New Roman"/>
          <w:b/>
          <w:szCs w:val="24"/>
        </w:rPr>
        <w:t>C</w:t>
      </w:r>
      <w:r w:rsidRPr="00256818" w:rsidR="00256818">
        <w:rPr>
          <w:rFonts w:ascii="Times New Roman" w:hAnsi="Times New Roman"/>
          <w:b/>
          <w:szCs w:val="24"/>
        </w:rPr>
        <w:t>OLLECTIONS</w:t>
      </w:r>
      <w:r w:rsidRPr="00256818">
        <w:rPr>
          <w:rFonts w:ascii="Times New Roman" w:hAnsi="Times New Roman"/>
          <w:b/>
          <w:szCs w:val="24"/>
        </w:rPr>
        <w:t xml:space="preserve"> </w:t>
      </w:r>
      <w:r w:rsidRPr="00256818" w:rsidR="00256818">
        <w:rPr>
          <w:rFonts w:ascii="Times New Roman" w:hAnsi="Times New Roman"/>
          <w:b/>
          <w:szCs w:val="24"/>
        </w:rPr>
        <w:t>OF</w:t>
      </w:r>
      <w:r w:rsidRPr="00256818">
        <w:rPr>
          <w:rFonts w:ascii="Times New Roman" w:hAnsi="Times New Roman"/>
          <w:b/>
          <w:szCs w:val="24"/>
        </w:rPr>
        <w:t xml:space="preserve"> I</w:t>
      </w:r>
      <w:r w:rsidRPr="00256818" w:rsidR="00256818">
        <w:rPr>
          <w:rFonts w:ascii="Times New Roman" w:hAnsi="Times New Roman"/>
          <w:b/>
          <w:szCs w:val="24"/>
        </w:rPr>
        <w:t>NFORMATION</w:t>
      </w:r>
      <w:r w:rsidRPr="00256818">
        <w:rPr>
          <w:rFonts w:ascii="Times New Roman" w:hAnsi="Times New Roman"/>
          <w:b/>
          <w:szCs w:val="24"/>
        </w:rPr>
        <w:t xml:space="preserve"> E</w:t>
      </w:r>
      <w:r w:rsidRPr="00256818" w:rsidR="00256818">
        <w:rPr>
          <w:rFonts w:ascii="Times New Roman" w:hAnsi="Times New Roman"/>
          <w:b/>
          <w:szCs w:val="24"/>
        </w:rPr>
        <w:t>MPLOYING</w:t>
      </w:r>
      <w:r w:rsidRPr="00256818">
        <w:rPr>
          <w:rFonts w:ascii="Times New Roman" w:hAnsi="Times New Roman"/>
          <w:b/>
          <w:szCs w:val="24"/>
        </w:rPr>
        <w:t xml:space="preserve"> S</w:t>
      </w:r>
      <w:r w:rsidRPr="00256818" w:rsidR="00256818">
        <w:rPr>
          <w:rFonts w:ascii="Times New Roman" w:hAnsi="Times New Roman"/>
          <w:b/>
          <w:szCs w:val="24"/>
        </w:rPr>
        <w:t>TATISTICAL</w:t>
      </w:r>
      <w:r w:rsidRPr="00256818">
        <w:rPr>
          <w:rFonts w:ascii="Times New Roman" w:hAnsi="Times New Roman"/>
          <w:b/>
          <w:szCs w:val="24"/>
        </w:rPr>
        <w:t xml:space="preserve"> M</w:t>
      </w:r>
      <w:r w:rsidRPr="00256818" w:rsidR="00256818">
        <w:rPr>
          <w:rFonts w:ascii="Times New Roman" w:hAnsi="Times New Roman"/>
          <w:b/>
          <w:szCs w:val="24"/>
        </w:rPr>
        <w:t>ETHODS</w:t>
      </w:r>
    </w:p>
    <w:p w:rsidR="009160EC" w:rsidRPr="006C4452" w14:paraId="43BA9DD9" w14:textId="77777777">
      <w:pPr>
        <w:rPr>
          <w:rFonts w:ascii="Times New Roman" w:hAnsi="Times New Roman"/>
          <w:szCs w:val="24"/>
        </w:rPr>
      </w:pPr>
    </w:p>
    <w:p w:rsidR="009160EC" w:rsidRPr="006C4452" w:rsidP="00D32EE6" w14:paraId="69466113" w14:textId="77777777">
      <w:pPr>
        <w:rPr>
          <w:rFonts w:ascii="Times New Roman" w:hAnsi="Times New Roman"/>
          <w:b/>
          <w:szCs w:val="24"/>
        </w:rPr>
      </w:pPr>
      <w:r>
        <w:rPr>
          <w:rFonts w:ascii="Times New Roman" w:hAnsi="Times New Roman"/>
          <w:szCs w:val="24"/>
        </w:rPr>
        <w:t>This collection does not involve statistical methods.</w:t>
      </w:r>
    </w:p>
    <w:p w:rsidR="009160EC" w:rsidRPr="006C4452" w14:paraId="4C070E89" w14:textId="77777777">
      <w:pPr>
        <w:rPr>
          <w:rFonts w:ascii="Times New Roman" w:hAnsi="Times New Roman"/>
          <w:b/>
          <w:szCs w:val="24"/>
        </w:rPr>
      </w:pPr>
    </w:p>
    <w:p w:rsidR="009160EC" w:rsidRPr="006C4452" w14:paraId="45C5888B" w14:textId="77777777">
      <w:pPr>
        <w:rPr>
          <w:rFonts w:ascii="Times New Roman" w:hAnsi="Times New Roman"/>
          <w:b/>
          <w:szCs w:val="24"/>
        </w:rPr>
      </w:pPr>
    </w:p>
    <w:sectPr w:rsidSect="006D1653">
      <w:footerReference w:type="default" r:id="rId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3AD" w:rsidRPr="006D1653" w:rsidP="006D1653" w14:paraId="3B4CDF4B" w14:textId="77FE4A45">
    <w:pPr>
      <w:pStyle w:val="Footer"/>
      <w:tabs>
        <w:tab w:val="clear" w:pos="8640"/>
        <w:tab w:val="right" w:pos="9360"/>
      </w:tabs>
      <w:rPr>
        <w:rFonts w:ascii="Times New Roman" w:hAnsi="Times New Roman"/>
      </w:rPr>
    </w:pPr>
    <w:r w:rsidRPr="006D1653">
      <w:rPr>
        <w:rFonts w:ascii="Times New Roman" w:hAnsi="Times New Roman"/>
        <w:i/>
        <w:sz w:val="20"/>
      </w:rPr>
      <w:t xml:space="preserve">OMB No. 3133-0163; </w:t>
    </w:r>
    <w:r w:rsidR="006F1912">
      <w:rPr>
        <w:rFonts w:ascii="Times New Roman" w:hAnsi="Times New Roman"/>
        <w:i/>
        <w:sz w:val="20"/>
      </w:rPr>
      <w:t>April</w:t>
    </w:r>
    <w:r w:rsidR="00A72B48">
      <w:rPr>
        <w:rFonts w:ascii="Times New Roman" w:hAnsi="Times New Roman"/>
        <w:i/>
        <w:sz w:val="20"/>
      </w:rPr>
      <w:t xml:space="preserve"> 2026</w:t>
    </w:r>
    <w:r>
      <w:rPr>
        <w:rFonts w:ascii="Times New Roman" w:hAnsi="Times New Roman"/>
      </w:rPr>
      <w:tab/>
    </w:r>
    <w:r>
      <w:rPr>
        <w:rFonts w:ascii="Times New Roman" w:hAnsi="Times New Roman"/>
      </w:rPr>
      <w:tab/>
    </w:r>
    <w:r w:rsidRPr="0003293F">
      <w:rPr>
        <w:rFonts w:ascii="Times New Roman" w:hAnsi="Times New Roman"/>
      </w:rPr>
      <w:fldChar w:fldCharType="begin"/>
    </w:r>
    <w:r w:rsidRPr="0003293F">
      <w:rPr>
        <w:rFonts w:ascii="Times New Roman" w:hAnsi="Times New Roman"/>
      </w:rPr>
      <w:instrText xml:space="preserve"> PAGE   \* MERGEFORMAT </w:instrText>
    </w:r>
    <w:r w:rsidRPr="0003293F">
      <w:rPr>
        <w:rFonts w:ascii="Times New Roman" w:hAnsi="Times New Roman"/>
      </w:rPr>
      <w:fldChar w:fldCharType="separate"/>
    </w:r>
    <w:r w:rsidR="00F1125F">
      <w:rPr>
        <w:rFonts w:ascii="Times New Roman" w:hAnsi="Times New Roman"/>
        <w:noProof/>
      </w:rPr>
      <w:t>1</w:t>
    </w:r>
    <w:r w:rsidRPr="0003293F">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0928" w:rsidP="003B3980" w14:paraId="6BF2AD4D" w14:textId="77777777">
      <w:r>
        <w:separator/>
      </w:r>
    </w:p>
  </w:footnote>
  <w:footnote w:type="continuationSeparator" w:id="1">
    <w:p w:rsidR="00950928" w:rsidP="003B3980" w14:paraId="12F0C760" w14:textId="77777777">
      <w:r>
        <w:continuationSeparator/>
      </w:r>
    </w:p>
  </w:footnote>
  <w:footnote w:id="2">
    <w:p w:rsidR="007D43AD" w:rsidRPr="0007421F" w14:paraId="0C9AF273" w14:textId="77777777">
      <w:pPr>
        <w:pStyle w:val="FootnoteText"/>
        <w:rPr>
          <w:rFonts w:ascii="Times New Roman" w:hAnsi="Times New Roman"/>
        </w:rPr>
      </w:pPr>
      <w:r w:rsidRPr="0007421F">
        <w:rPr>
          <w:rStyle w:val="FootnoteReference"/>
          <w:rFonts w:ascii="Times New Roman" w:hAnsi="Times New Roman"/>
        </w:rPr>
        <w:footnoteRef/>
      </w:r>
      <w:r w:rsidRPr="0007421F">
        <w:rPr>
          <w:rFonts w:ascii="Times New Roman" w:hAnsi="Times New Roman"/>
        </w:rPr>
        <w:t xml:space="preserve"> The model form was published in 2009 at 74 FR 62889.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18970DDD"/>
    <w:multiLevelType w:val="hybridMultilevel"/>
    <w:tmpl w:val="F6E8AB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4BF7087A"/>
    <w:multiLevelType w:val="hybridMultilevel"/>
    <w:tmpl w:val="D654E5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85638735">
    <w:abstractNumId w:val="1"/>
  </w:num>
  <w:num w:numId="2" w16cid:durableId="1477526223">
    <w:abstractNumId w:val="3"/>
  </w:num>
  <w:num w:numId="3" w16cid:durableId="715353749">
    <w:abstractNumId w:val="5"/>
  </w:num>
  <w:num w:numId="4" w16cid:durableId="118182274">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5" w16cid:durableId="1017192267">
    <w:abstractNumId w:val="2"/>
  </w:num>
  <w:num w:numId="6" w16cid:durableId="1894342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characterSpacingControl w:val="doNotCompress"/>
  <w:footnotePr>
    <w:footnote w:id="0"/>
    <w:footnote w:id="1"/>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24"/>
    <w:rsid w:val="00000221"/>
    <w:rsid w:val="000016F3"/>
    <w:rsid w:val="00002345"/>
    <w:rsid w:val="000104F7"/>
    <w:rsid w:val="00012FDD"/>
    <w:rsid w:val="00015F1B"/>
    <w:rsid w:val="00024F92"/>
    <w:rsid w:val="0003246E"/>
    <w:rsid w:val="0003293F"/>
    <w:rsid w:val="0004021D"/>
    <w:rsid w:val="000426FD"/>
    <w:rsid w:val="000503C9"/>
    <w:rsid w:val="00052D54"/>
    <w:rsid w:val="000624BE"/>
    <w:rsid w:val="0006282A"/>
    <w:rsid w:val="00066940"/>
    <w:rsid w:val="00070009"/>
    <w:rsid w:val="0007071E"/>
    <w:rsid w:val="00073505"/>
    <w:rsid w:val="0007421F"/>
    <w:rsid w:val="000758A9"/>
    <w:rsid w:val="00076405"/>
    <w:rsid w:val="00085F4F"/>
    <w:rsid w:val="00086647"/>
    <w:rsid w:val="000920E1"/>
    <w:rsid w:val="00095685"/>
    <w:rsid w:val="000964B6"/>
    <w:rsid w:val="000B10E6"/>
    <w:rsid w:val="000B282E"/>
    <w:rsid w:val="000B4EBE"/>
    <w:rsid w:val="000C048E"/>
    <w:rsid w:val="000C0AD3"/>
    <w:rsid w:val="000C0D07"/>
    <w:rsid w:val="000C53C5"/>
    <w:rsid w:val="000D2194"/>
    <w:rsid w:val="000D65F0"/>
    <w:rsid w:val="000D7E5D"/>
    <w:rsid w:val="000E08AF"/>
    <w:rsid w:val="000F7894"/>
    <w:rsid w:val="00101F7D"/>
    <w:rsid w:val="00102359"/>
    <w:rsid w:val="0010325A"/>
    <w:rsid w:val="001032C2"/>
    <w:rsid w:val="00103BAE"/>
    <w:rsid w:val="00104224"/>
    <w:rsid w:val="00104501"/>
    <w:rsid w:val="00113097"/>
    <w:rsid w:val="0012246C"/>
    <w:rsid w:val="001233E6"/>
    <w:rsid w:val="00124630"/>
    <w:rsid w:val="00125D72"/>
    <w:rsid w:val="0012789D"/>
    <w:rsid w:val="00130C85"/>
    <w:rsid w:val="00135406"/>
    <w:rsid w:val="00135518"/>
    <w:rsid w:val="001371D9"/>
    <w:rsid w:val="001409B4"/>
    <w:rsid w:val="0014200A"/>
    <w:rsid w:val="00144040"/>
    <w:rsid w:val="001520C2"/>
    <w:rsid w:val="001553DB"/>
    <w:rsid w:val="0015727B"/>
    <w:rsid w:val="001607FF"/>
    <w:rsid w:val="0017079D"/>
    <w:rsid w:val="0017214B"/>
    <w:rsid w:val="001729D1"/>
    <w:rsid w:val="001758A3"/>
    <w:rsid w:val="00175D84"/>
    <w:rsid w:val="0018609A"/>
    <w:rsid w:val="001955A6"/>
    <w:rsid w:val="00195A75"/>
    <w:rsid w:val="00195D29"/>
    <w:rsid w:val="001966A7"/>
    <w:rsid w:val="001A24DC"/>
    <w:rsid w:val="001A5651"/>
    <w:rsid w:val="001A6C73"/>
    <w:rsid w:val="001B0F1B"/>
    <w:rsid w:val="001B3304"/>
    <w:rsid w:val="001B7C45"/>
    <w:rsid w:val="001C11AC"/>
    <w:rsid w:val="001C3D59"/>
    <w:rsid w:val="001C6477"/>
    <w:rsid w:val="001C7360"/>
    <w:rsid w:val="001D54F4"/>
    <w:rsid w:val="001E3BB0"/>
    <w:rsid w:val="001E5971"/>
    <w:rsid w:val="001F7397"/>
    <w:rsid w:val="00200D83"/>
    <w:rsid w:val="00201BF1"/>
    <w:rsid w:val="00210748"/>
    <w:rsid w:val="002267F0"/>
    <w:rsid w:val="00243957"/>
    <w:rsid w:val="0025150D"/>
    <w:rsid w:val="002519F2"/>
    <w:rsid w:val="002523D9"/>
    <w:rsid w:val="00256818"/>
    <w:rsid w:val="00256AC2"/>
    <w:rsid w:val="0026021A"/>
    <w:rsid w:val="002610A2"/>
    <w:rsid w:val="002614D5"/>
    <w:rsid w:val="00265647"/>
    <w:rsid w:val="0026726C"/>
    <w:rsid w:val="00273FEE"/>
    <w:rsid w:val="00285096"/>
    <w:rsid w:val="00290D92"/>
    <w:rsid w:val="002B2EFE"/>
    <w:rsid w:val="002B3E4D"/>
    <w:rsid w:val="002C2B5B"/>
    <w:rsid w:val="002E223C"/>
    <w:rsid w:val="002F4E4D"/>
    <w:rsid w:val="002F528D"/>
    <w:rsid w:val="002F6889"/>
    <w:rsid w:val="002F7AA2"/>
    <w:rsid w:val="003040B7"/>
    <w:rsid w:val="00304480"/>
    <w:rsid w:val="003062EF"/>
    <w:rsid w:val="003074F2"/>
    <w:rsid w:val="0030779A"/>
    <w:rsid w:val="0031206E"/>
    <w:rsid w:val="00312CB9"/>
    <w:rsid w:val="0031435B"/>
    <w:rsid w:val="003143B7"/>
    <w:rsid w:val="00316E7C"/>
    <w:rsid w:val="00321155"/>
    <w:rsid w:val="00326360"/>
    <w:rsid w:val="00326828"/>
    <w:rsid w:val="0033007C"/>
    <w:rsid w:val="00332BFB"/>
    <w:rsid w:val="00333C62"/>
    <w:rsid w:val="00334823"/>
    <w:rsid w:val="00335C44"/>
    <w:rsid w:val="00335F8C"/>
    <w:rsid w:val="00335F9E"/>
    <w:rsid w:val="0033673A"/>
    <w:rsid w:val="0034140E"/>
    <w:rsid w:val="003446D5"/>
    <w:rsid w:val="0036105A"/>
    <w:rsid w:val="00364DC4"/>
    <w:rsid w:val="00364EB1"/>
    <w:rsid w:val="00373669"/>
    <w:rsid w:val="00373B34"/>
    <w:rsid w:val="00373F14"/>
    <w:rsid w:val="003755BF"/>
    <w:rsid w:val="00376D9D"/>
    <w:rsid w:val="00380263"/>
    <w:rsid w:val="003811C0"/>
    <w:rsid w:val="00383CF5"/>
    <w:rsid w:val="0038584A"/>
    <w:rsid w:val="00387D25"/>
    <w:rsid w:val="003943BB"/>
    <w:rsid w:val="003952EE"/>
    <w:rsid w:val="003A5E7B"/>
    <w:rsid w:val="003A6213"/>
    <w:rsid w:val="003A7504"/>
    <w:rsid w:val="003B3980"/>
    <w:rsid w:val="003B7583"/>
    <w:rsid w:val="003C0DE2"/>
    <w:rsid w:val="003C5680"/>
    <w:rsid w:val="003D12F2"/>
    <w:rsid w:val="003D3BD3"/>
    <w:rsid w:val="003D44EB"/>
    <w:rsid w:val="003E2ED2"/>
    <w:rsid w:val="003F1F66"/>
    <w:rsid w:val="003F271B"/>
    <w:rsid w:val="003F52AD"/>
    <w:rsid w:val="00402B57"/>
    <w:rsid w:val="00402C12"/>
    <w:rsid w:val="00404E9E"/>
    <w:rsid w:val="004063C9"/>
    <w:rsid w:val="004067DC"/>
    <w:rsid w:val="00411C09"/>
    <w:rsid w:val="00414FFB"/>
    <w:rsid w:val="0041610D"/>
    <w:rsid w:val="00420F04"/>
    <w:rsid w:val="00421C56"/>
    <w:rsid w:val="00431E09"/>
    <w:rsid w:val="00432943"/>
    <w:rsid w:val="00441A31"/>
    <w:rsid w:val="00446FBD"/>
    <w:rsid w:val="0045182F"/>
    <w:rsid w:val="00453B9A"/>
    <w:rsid w:val="00457507"/>
    <w:rsid w:val="00457892"/>
    <w:rsid w:val="00460442"/>
    <w:rsid w:val="0046640C"/>
    <w:rsid w:val="00467BE0"/>
    <w:rsid w:val="00474276"/>
    <w:rsid w:val="00477892"/>
    <w:rsid w:val="00482289"/>
    <w:rsid w:val="00482331"/>
    <w:rsid w:val="00482BAD"/>
    <w:rsid w:val="00483087"/>
    <w:rsid w:val="00490C32"/>
    <w:rsid w:val="00491ADB"/>
    <w:rsid w:val="004925AA"/>
    <w:rsid w:val="004A384E"/>
    <w:rsid w:val="004A5AED"/>
    <w:rsid w:val="004A5B02"/>
    <w:rsid w:val="004B66C1"/>
    <w:rsid w:val="004B7D8F"/>
    <w:rsid w:val="004C4159"/>
    <w:rsid w:val="004D2F1E"/>
    <w:rsid w:val="004D6433"/>
    <w:rsid w:val="004E54DA"/>
    <w:rsid w:val="004F7A17"/>
    <w:rsid w:val="004F7C3D"/>
    <w:rsid w:val="00502E77"/>
    <w:rsid w:val="00503B9A"/>
    <w:rsid w:val="00506E0F"/>
    <w:rsid w:val="00510612"/>
    <w:rsid w:val="005138DB"/>
    <w:rsid w:val="00514ECF"/>
    <w:rsid w:val="00515C4C"/>
    <w:rsid w:val="00517C10"/>
    <w:rsid w:val="00523151"/>
    <w:rsid w:val="00527893"/>
    <w:rsid w:val="00527BAE"/>
    <w:rsid w:val="0053484B"/>
    <w:rsid w:val="00534B55"/>
    <w:rsid w:val="00536036"/>
    <w:rsid w:val="00540052"/>
    <w:rsid w:val="00545DE5"/>
    <w:rsid w:val="00547BFE"/>
    <w:rsid w:val="00552024"/>
    <w:rsid w:val="00553693"/>
    <w:rsid w:val="00554CD8"/>
    <w:rsid w:val="00562208"/>
    <w:rsid w:val="00563C96"/>
    <w:rsid w:val="0056491E"/>
    <w:rsid w:val="00572078"/>
    <w:rsid w:val="00582BB5"/>
    <w:rsid w:val="00592697"/>
    <w:rsid w:val="00594D8A"/>
    <w:rsid w:val="00595CB8"/>
    <w:rsid w:val="00597571"/>
    <w:rsid w:val="005B087C"/>
    <w:rsid w:val="005B2C67"/>
    <w:rsid w:val="005B3953"/>
    <w:rsid w:val="005B4FC4"/>
    <w:rsid w:val="005C24A7"/>
    <w:rsid w:val="005C288C"/>
    <w:rsid w:val="005E079E"/>
    <w:rsid w:val="005E2A77"/>
    <w:rsid w:val="005E2F52"/>
    <w:rsid w:val="005E36C0"/>
    <w:rsid w:val="005E438B"/>
    <w:rsid w:val="005F67BB"/>
    <w:rsid w:val="00600158"/>
    <w:rsid w:val="00602E04"/>
    <w:rsid w:val="00605357"/>
    <w:rsid w:val="00605B56"/>
    <w:rsid w:val="006166EB"/>
    <w:rsid w:val="00617F2E"/>
    <w:rsid w:val="00623750"/>
    <w:rsid w:val="00624138"/>
    <w:rsid w:val="006248C7"/>
    <w:rsid w:val="00625B41"/>
    <w:rsid w:val="00631A77"/>
    <w:rsid w:val="0063388F"/>
    <w:rsid w:val="0063638B"/>
    <w:rsid w:val="00637A34"/>
    <w:rsid w:val="00642EC9"/>
    <w:rsid w:val="006451A2"/>
    <w:rsid w:val="006629A0"/>
    <w:rsid w:val="006667AC"/>
    <w:rsid w:val="0067115F"/>
    <w:rsid w:val="0067343B"/>
    <w:rsid w:val="00683226"/>
    <w:rsid w:val="00683707"/>
    <w:rsid w:val="00684343"/>
    <w:rsid w:val="00687051"/>
    <w:rsid w:val="00694534"/>
    <w:rsid w:val="00695ECA"/>
    <w:rsid w:val="00696C3B"/>
    <w:rsid w:val="006A19FC"/>
    <w:rsid w:val="006A471C"/>
    <w:rsid w:val="006A6DA5"/>
    <w:rsid w:val="006C0312"/>
    <w:rsid w:val="006C0417"/>
    <w:rsid w:val="006C0A90"/>
    <w:rsid w:val="006C4452"/>
    <w:rsid w:val="006D08B1"/>
    <w:rsid w:val="006D1448"/>
    <w:rsid w:val="006D1653"/>
    <w:rsid w:val="006D20E5"/>
    <w:rsid w:val="006D3A5A"/>
    <w:rsid w:val="006E4AF6"/>
    <w:rsid w:val="006E66E9"/>
    <w:rsid w:val="006F10B7"/>
    <w:rsid w:val="006F1895"/>
    <w:rsid w:val="006F1912"/>
    <w:rsid w:val="006F1C96"/>
    <w:rsid w:val="006F1D17"/>
    <w:rsid w:val="006F712D"/>
    <w:rsid w:val="00705F29"/>
    <w:rsid w:val="00707113"/>
    <w:rsid w:val="00711E20"/>
    <w:rsid w:val="007135A7"/>
    <w:rsid w:val="007151A6"/>
    <w:rsid w:val="0071589C"/>
    <w:rsid w:val="00716D87"/>
    <w:rsid w:val="00717858"/>
    <w:rsid w:val="00717A82"/>
    <w:rsid w:val="007208EE"/>
    <w:rsid w:val="007213DC"/>
    <w:rsid w:val="00731DCB"/>
    <w:rsid w:val="00732C18"/>
    <w:rsid w:val="00746511"/>
    <w:rsid w:val="00754044"/>
    <w:rsid w:val="007560AC"/>
    <w:rsid w:val="00763D55"/>
    <w:rsid w:val="0077052B"/>
    <w:rsid w:val="00772BF5"/>
    <w:rsid w:val="0077341B"/>
    <w:rsid w:val="00774E3C"/>
    <w:rsid w:val="007776B3"/>
    <w:rsid w:val="00777BC5"/>
    <w:rsid w:val="00780C13"/>
    <w:rsid w:val="0078782E"/>
    <w:rsid w:val="00790258"/>
    <w:rsid w:val="0079094B"/>
    <w:rsid w:val="007956F2"/>
    <w:rsid w:val="00796629"/>
    <w:rsid w:val="007A26F5"/>
    <w:rsid w:val="007A2D2C"/>
    <w:rsid w:val="007A5D2C"/>
    <w:rsid w:val="007A66F5"/>
    <w:rsid w:val="007B2040"/>
    <w:rsid w:val="007B4646"/>
    <w:rsid w:val="007B61A3"/>
    <w:rsid w:val="007C1EBB"/>
    <w:rsid w:val="007D0D9A"/>
    <w:rsid w:val="007D14DD"/>
    <w:rsid w:val="007D1852"/>
    <w:rsid w:val="007D1E2E"/>
    <w:rsid w:val="007D43AD"/>
    <w:rsid w:val="007E31C8"/>
    <w:rsid w:val="007E4734"/>
    <w:rsid w:val="007E599C"/>
    <w:rsid w:val="007E6BCE"/>
    <w:rsid w:val="007E7283"/>
    <w:rsid w:val="007F0CE5"/>
    <w:rsid w:val="007F1240"/>
    <w:rsid w:val="007F2E38"/>
    <w:rsid w:val="007F34AC"/>
    <w:rsid w:val="007F5079"/>
    <w:rsid w:val="007F512C"/>
    <w:rsid w:val="00806659"/>
    <w:rsid w:val="00807C28"/>
    <w:rsid w:val="0081601F"/>
    <w:rsid w:val="00821534"/>
    <w:rsid w:val="00822650"/>
    <w:rsid w:val="008246BB"/>
    <w:rsid w:val="00825D63"/>
    <w:rsid w:val="008270A1"/>
    <w:rsid w:val="00834D87"/>
    <w:rsid w:val="00845EE7"/>
    <w:rsid w:val="0085527D"/>
    <w:rsid w:val="00856FCB"/>
    <w:rsid w:val="008575B1"/>
    <w:rsid w:val="00867106"/>
    <w:rsid w:val="008673FC"/>
    <w:rsid w:val="00867667"/>
    <w:rsid w:val="008808A7"/>
    <w:rsid w:val="00881B43"/>
    <w:rsid w:val="00881E32"/>
    <w:rsid w:val="0088535E"/>
    <w:rsid w:val="00894DDE"/>
    <w:rsid w:val="00895004"/>
    <w:rsid w:val="008979DB"/>
    <w:rsid w:val="008A221F"/>
    <w:rsid w:val="008A34AB"/>
    <w:rsid w:val="008B0FC2"/>
    <w:rsid w:val="008B66D1"/>
    <w:rsid w:val="008B75B0"/>
    <w:rsid w:val="008C0F17"/>
    <w:rsid w:val="008C7D81"/>
    <w:rsid w:val="008C7F95"/>
    <w:rsid w:val="008F681C"/>
    <w:rsid w:val="00901DE6"/>
    <w:rsid w:val="00903AD5"/>
    <w:rsid w:val="00903FEA"/>
    <w:rsid w:val="00904C91"/>
    <w:rsid w:val="00905710"/>
    <w:rsid w:val="0090602C"/>
    <w:rsid w:val="0090745D"/>
    <w:rsid w:val="00907500"/>
    <w:rsid w:val="009075B3"/>
    <w:rsid w:val="00913F6A"/>
    <w:rsid w:val="00914392"/>
    <w:rsid w:val="009160EC"/>
    <w:rsid w:val="009270C7"/>
    <w:rsid w:val="0093768D"/>
    <w:rsid w:val="00947AD9"/>
    <w:rsid w:val="00950928"/>
    <w:rsid w:val="00952685"/>
    <w:rsid w:val="00957F85"/>
    <w:rsid w:val="009654F3"/>
    <w:rsid w:val="00966CC3"/>
    <w:rsid w:val="00971747"/>
    <w:rsid w:val="00974204"/>
    <w:rsid w:val="00981298"/>
    <w:rsid w:val="00986D11"/>
    <w:rsid w:val="00990BD1"/>
    <w:rsid w:val="009928B3"/>
    <w:rsid w:val="0099488F"/>
    <w:rsid w:val="00995EC1"/>
    <w:rsid w:val="009A10EC"/>
    <w:rsid w:val="009A2522"/>
    <w:rsid w:val="009A359C"/>
    <w:rsid w:val="009B3CF3"/>
    <w:rsid w:val="009C0470"/>
    <w:rsid w:val="009C0B3B"/>
    <w:rsid w:val="009C10E9"/>
    <w:rsid w:val="009C17DD"/>
    <w:rsid w:val="009C22F8"/>
    <w:rsid w:val="009C36F9"/>
    <w:rsid w:val="009C75FA"/>
    <w:rsid w:val="009D6676"/>
    <w:rsid w:val="009D68BC"/>
    <w:rsid w:val="009E0521"/>
    <w:rsid w:val="009E0FF8"/>
    <w:rsid w:val="009E273C"/>
    <w:rsid w:val="009F043B"/>
    <w:rsid w:val="009F3476"/>
    <w:rsid w:val="009F6F2C"/>
    <w:rsid w:val="00A07DC1"/>
    <w:rsid w:val="00A128A1"/>
    <w:rsid w:val="00A14DB1"/>
    <w:rsid w:val="00A165EC"/>
    <w:rsid w:val="00A17D83"/>
    <w:rsid w:val="00A216D6"/>
    <w:rsid w:val="00A24326"/>
    <w:rsid w:val="00A30488"/>
    <w:rsid w:val="00A31ACA"/>
    <w:rsid w:val="00A32BB8"/>
    <w:rsid w:val="00A42CB6"/>
    <w:rsid w:val="00A435F9"/>
    <w:rsid w:val="00A5007D"/>
    <w:rsid w:val="00A55450"/>
    <w:rsid w:val="00A645C5"/>
    <w:rsid w:val="00A71B4B"/>
    <w:rsid w:val="00A72038"/>
    <w:rsid w:val="00A72B48"/>
    <w:rsid w:val="00A75E2D"/>
    <w:rsid w:val="00A83641"/>
    <w:rsid w:val="00A83ECF"/>
    <w:rsid w:val="00A861E5"/>
    <w:rsid w:val="00AA121B"/>
    <w:rsid w:val="00AA7C45"/>
    <w:rsid w:val="00AB581E"/>
    <w:rsid w:val="00AB5FAD"/>
    <w:rsid w:val="00AD2660"/>
    <w:rsid w:val="00AD49DE"/>
    <w:rsid w:val="00AD57B5"/>
    <w:rsid w:val="00AE5A18"/>
    <w:rsid w:val="00AF63BA"/>
    <w:rsid w:val="00B00B67"/>
    <w:rsid w:val="00B01AB5"/>
    <w:rsid w:val="00B02935"/>
    <w:rsid w:val="00B0789B"/>
    <w:rsid w:val="00B11A5F"/>
    <w:rsid w:val="00B15FBB"/>
    <w:rsid w:val="00B16C41"/>
    <w:rsid w:val="00B17934"/>
    <w:rsid w:val="00B2027B"/>
    <w:rsid w:val="00B2160A"/>
    <w:rsid w:val="00B24F0D"/>
    <w:rsid w:val="00B3628A"/>
    <w:rsid w:val="00B40026"/>
    <w:rsid w:val="00B52C72"/>
    <w:rsid w:val="00B63E36"/>
    <w:rsid w:val="00B640C2"/>
    <w:rsid w:val="00B66CA3"/>
    <w:rsid w:val="00B70927"/>
    <w:rsid w:val="00B75DDF"/>
    <w:rsid w:val="00B91326"/>
    <w:rsid w:val="00B915EA"/>
    <w:rsid w:val="00B92D09"/>
    <w:rsid w:val="00BA1331"/>
    <w:rsid w:val="00BA1C39"/>
    <w:rsid w:val="00BA1C9C"/>
    <w:rsid w:val="00BA218B"/>
    <w:rsid w:val="00BA302B"/>
    <w:rsid w:val="00BA43D5"/>
    <w:rsid w:val="00BA58DD"/>
    <w:rsid w:val="00BB12F4"/>
    <w:rsid w:val="00BC0538"/>
    <w:rsid w:val="00BC0FBA"/>
    <w:rsid w:val="00BC14BD"/>
    <w:rsid w:val="00BC4A35"/>
    <w:rsid w:val="00BD1AF4"/>
    <w:rsid w:val="00BD1B72"/>
    <w:rsid w:val="00BE0D08"/>
    <w:rsid w:val="00BE7B3D"/>
    <w:rsid w:val="00BF5DED"/>
    <w:rsid w:val="00C032B5"/>
    <w:rsid w:val="00C100B0"/>
    <w:rsid w:val="00C21713"/>
    <w:rsid w:val="00C23B69"/>
    <w:rsid w:val="00C3313B"/>
    <w:rsid w:val="00C33DCA"/>
    <w:rsid w:val="00C34333"/>
    <w:rsid w:val="00C36135"/>
    <w:rsid w:val="00C409B9"/>
    <w:rsid w:val="00C4350E"/>
    <w:rsid w:val="00C46887"/>
    <w:rsid w:val="00C47650"/>
    <w:rsid w:val="00C47977"/>
    <w:rsid w:val="00C5005C"/>
    <w:rsid w:val="00C51C8C"/>
    <w:rsid w:val="00C52285"/>
    <w:rsid w:val="00C5535B"/>
    <w:rsid w:val="00C634EA"/>
    <w:rsid w:val="00C642EE"/>
    <w:rsid w:val="00C70386"/>
    <w:rsid w:val="00C7606B"/>
    <w:rsid w:val="00C836CF"/>
    <w:rsid w:val="00C856DB"/>
    <w:rsid w:val="00C97188"/>
    <w:rsid w:val="00CA3829"/>
    <w:rsid w:val="00CA4439"/>
    <w:rsid w:val="00CA655D"/>
    <w:rsid w:val="00CB1466"/>
    <w:rsid w:val="00CB5F6A"/>
    <w:rsid w:val="00CB65BB"/>
    <w:rsid w:val="00CC0A8B"/>
    <w:rsid w:val="00CC4BF9"/>
    <w:rsid w:val="00CD2958"/>
    <w:rsid w:val="00CF0517"/>
    <w:rsid w:val="00CF2244"/>
    <w:rsid w:val="00CF324A"/>
    <w:rsid w:val="00CF52DE"/>
    <w:rsid w:val="00CF650F"/>
    <w:rsid w:val="00CF6B4A"/>
    <w:rsid w:val="00D00B37"/>
    <w:rsid w:val="00D054E0"/>
    <w:rsid w:val="00D0644A"/>
    <w:rsid w:val="00D14359"/>
    <w:rsid w:val="00D16D5B"/>
    <w:rsid w:val="00D2162E"/>
    <w:rsid w:val="00D21C50"/>
    <w:rsid w:val="00D3252C"/>
    <w:rsid w:val="00D32EE6"/>
    <w:rsid w:val="00D34387"/>
    <w:rsid w:val="00D346D7"/>
    <w:rsid w:val="00D3689D"/>
    <w:rsid w:val="00D61C85"/>
    <w:rsid w:val="00D63C0D"/>
    <w:rsid w:val="00D67D10"/>
    <w:rsid w:val="00D7017A"/>
    <w:rsid w:val="00D72898"/>
    <w:rsid w:val="00D81E0E"/>
    <w:rsid w:val="00D84AFD"/>
    <w:rsid w:val="00D85A8F"/>
    <w:rsid w:val="00D90574"/>
    <w:rsid w:val="00D93057"/>
    <w:rsid w:val="00D9510D"/>
    <w:rsid w:val="00DA0301"/>
    <w:rsid w:val="00DA0EF9"/>
    <w:rsid w:val="00DA42DB"/>
    <w:rsid w:val="00DB1A7E"/>
    <w:rsid w:val="00DB33F4"/>
    <w:rsid w:val="00DC1837"/>
    <w:rsid w:val="00DC2764"/>
    <w:rsid w:val="00DC693B"/>
    <w:rsid w:val="00DD3D0E"/>
    <w:rsid w:val="00DD4479"/>
    <w:rsid w:val="00DD5AAE"/>
    <w:rsid w:val="00DE2586"/>
    <w:rsid w:val="00DE50B1"/>
    <w:rsid w:val="00DF0ADD"/>
    <w:rsid w:val="00DF3B55"/>
    <w:rsid w:val="00DF50FA"/>
    <w:rsid w:val="00DF7E3F"/>
    <w:rsid w:val="00E04483"/>
    <w:rsid w:val="00E06864"/>
    <w:rsid w:val="00E07801"/>
    <w:rsid w:val="00E13381"/>
    <w:rsid w:val="00E15C1B"/>
    <w:rsid w:val="00E2042C"/>
    <w:rsid w:val="00E2078B"/>
    <w:rsid w:val="00E22D35"/>
    <w:rsid w:val="00E24290"/>
    <w:rsid w:val="00E312B9"/>
    <w:rsid w:val="00E36043"/>
    <w:rsid w:val="00E440B4"/>
    <w:rsid w:val="00E474B3"/>
    <w:rsid w:val="00E50706"/>
    <w:rsid w:val="00E51EB0"/>
    <w:rsid w:val="00E52131"/>
    <w:rsid w:val="00E608BA"/>
    <w:rsid w:val="00E62693"/>
    <w:rsid w:val="00E67A5A"/>
    <w:rsid w:val="00E70958"/>
    <w:rsid w:val="00E7290B"/>
    <w:rsid w:val="00E7307A"/>
    <w:rsid w:val="00E74ECC"/>
    <w:rsid w:val="00E80B52"/>
    <w:rsid w:val="00E8131F"/>
    <w:rsid w:val="00E8462E"/>
    <w:rsid w:val="00E846A3"/>
    <w:rsid w:val="00E85757"/>
    <w:rsid w:val="00E87E09"/>
    <w:rsid w:val="00E91DDB"/>
    <w:rsid w:val="00E96C85"/>
    <w:rsid w:val="00EA2798"/>
    <w:rsid w:val="00EA5EAD"/>
    <w:rsid w:val="00EA6720"/>
    <w:rsid w:val="00EB37E2"/>
    <w:rsid w:val="00EB5A97"/>
    <w:rsid w:val="00EB7334"/>
    <w:rsid w:val="00EC076C"/>
    <w:rsid w:val="00EC1440"/>
    <w:rsid w:val="00EC204B"/>
    <w:rsid w:val="00EC4499"/>
    <w:rsid w:val="00EC49BD"/>
    <w:rsid w:val="00EC5539"/>
    <w:rsid w:val="00ED211C"/>
    <w:rsid w:val="00EE4604"/>
    <w:rsid w:val="00EF0581"/>
    <w:rsid w:val="00EF1A7B"/>
    <w:rsid w:val="00F0093C"/>
    <w:rsid w:val="00F06F10"/>
    <w:rsid w:val="00F07822"/>
    <w:rsid w:val="00F07E70"/>
    <w:rsid w:val="00F10FE8"/>
    <w:rsid w:val="00F1125F"/>
    <w:rsid w:val="00F11513"/>
    <w:rsid w:val="00F225ED"/>
    <w:rsid w:val="00F26D5C"/>
    <w:rsid w:val="00F32E0B"/>
    <w:rsid w:val="00F35C0E"/>
    <w:rsid w:val="00F37802"/>
    <w:rsid w:val="00F441E1"/>
    <w:rsid w:val="00F52292"/>
    <w:rsid w:val="00F555EB"/>
    <w:rsid w:val="00F61C8C"/>
    <w:rsid w:val="00F620A1"/>
    <w:rsid w:val="00F7600A"/>
    <w:rsid w:val="00F87F10"/>
    <w:rsid w:val="00F93DEB"/>
    <w:rsid w:val="00FA3FD9"/>
    <w:rsid w:val="00FA472A"/>
    <w:rsid w:val="00FA5594"/>
    <w:rsid w:val="00FB0579"/>
    <w:rsid w:val="00FC004A"/>
    <w:rsid w:val="00FC17CC"/>
    <w:rsid w:val="00FC193F"/>
    <w:rsid w:val="00FC1B8B"/>
    <w:rsid w:val="00FC6FC7"/>
    <w:rsid w:val="00FD463E"/>
    <w:rsid w:val="00FD70F2"/>
    <w:rsid w:val="00FD77FD"/>
    <w:rsid w:val="00FE597E"/>
    <w:rsid w:val="00FF3134"/>
    <w:rsid w:val="00FF38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A47E70"/>
  <w15:chartTrackingRefBased/>
  <w15:docId w15:val="{00A959C4-E8C5-4F40-8BD3-C900C577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104224"/>
    <w:rPr>
      <w:color w:val="0000FF"/>
      <w:u w:val="single"/>
    </w:rPr>
  </w:style>
  <w:style w:type="paragraph" w:styleId="NormalWeb">
    <w:name w:val="Normal (Web)"/>
    <w:basedOn w:val="Normal"/>
    <w:rsid w:val="00104224"/>
    <w:pPr>
      <w:overflowPunct/>
      <w:autoSpaceDE/>
      <w:autoSpaceDN/>
      <w:adjustRightInd/>
      <w:spacing w:before="100" w:beforeAutospacing="1" w:after="100" w:afterAutospacing="1"/>
      <w:textAlignment w:val="auto"/>
    </w:pPr>
    <w:rPr>
      <w:rFonts w:ascii="Times New Roman" w:hAnsi="Times New Roman"/>
      <w:szCs w:val="24"/>
    </w:rPr>
  </w:style>
  <w:style w:type="paragraph" w:styleId="BalloonText">
    <w:name w:val="Balloon Text"/>
    <w:basedOn w:val="Normal"/>
    <w:semiHidden/>
    <w:rsid w:val="00104224"/>
    <w:rPr>
      <w:rFonts w:ascii="Tahoma" w:hAnsi="Tahoma" w:cs="Tahoma"/>
      <w:sz w:val="16"/>
      <w:szCs w:val="16"/>
    </w:rPr>
  </w:style>
  <w:style w:type="character" w:customStyle="1" w:styleId="HeaderChar">
    <w:name w:val="Header Char"/>
    <w:link w:val="Header"/>
    <w:uiPriority w:val="99"/>
    <w:rsid w:val="003B3980"/>
    <w:rPr>
      <w:rFonts w:ascii="Arial" w:hAnsi="Arial"/>
      <w:sz w:val="24"/>
    </w:rPr>
  </w:style>
  <w:style w:type="paragraph" w:styleId="FootnoteText">
    <w:name w:val="footnote text"/>
    <w:basedOn w:val="Normal"/>
    <w:link w:val="FootnoteTextChar"/>
    <w:rsid w:val="00506E0F"/>
    <w:rPr>
      <w:sz w:val="20"/>
    </w:rPr>
  </w:style>
  <w:style w:type="character" w:customStyle="1" w:styleId="FootnoteTextChar">
    <w:name w:val="Footnote Text Char"/>
    <w:link w:val="FootnoteText"/>
    <w:rsid w:val="00506E0F"/>
    <w:rPr>
      <w:rFonts w:ascii="Arial" w:hAnsi="Arial"/>
    </w:rPr>
  </w:style>
  <w:style w:type="character" w:styleId="FootnoteReference">
    <w:name w:val="footnote reference"/>
    <w:rsid w:val="00506E0F"/>
    <w:rPr>
      <w:vertAlign w:val="superscript"/>
    </w:rPr>
  </w:style>
  <w:style w:type="character" w:styleId="CommentReference">
    <w:name w:val="annotation reference"/>
    <w:rsid w:val="003D3BD3"/>
    <w:rPr>
      <w:sz w:val="16"/>
      <w:szCs w:val="16"/>
    </w:rPr>
  </w:style>
  <w:style w:type="paragraph" w:styleId="CommentText">
    <w:name w:val="annotation text"/>
    <w:basedOn w:val="Normal"/>
    <w:link w:val="CommentTextChar"/>
    <w:rsid w:val="003D3BD3"/>
    <w:rPr>
      <w:sz w:val="20"/>
    </w:rPr>
  </w:style>
  <w:style w:type="character" w:customStyle="1" w:styleId="CommentTextChar">
    <w:name w:val="Comment Text Char"/>
    <w:link w:val="CommentText"/>
    <w:rsid w:val="003D3BD3"/>
    <w:rPr>
      <w:rFonts w:ascii="Arial" w:hAnsi="Arial"/>
    </w:rPr>
  </w:style>
  <w:style w:type="paragraph" w:styleId="CommentSubject">
    <w:name w:val="annotation subject"/>
    <w:basedOn w:val="CommentText"/>
    <w:next w:val="CommentText"/>
    <w:link w:val="CommentSubjectChar"/>
    <w:rsid w:val="003D3BD3"/>
    <w:rPr>
      <w:b/>
      <w:bCs/>
    </w:rPr>
  </w:style>
  <w:style w:type="character" w:customStyle="1" w:styleId="CommentSubjectChar">
    <w:name w:val="Comment Subject Char"/>
    <w:link w:val="CommentSubject"/>
    <w:rsid w:val="003D3BD3"/>
    <w:rPr>
      <w:rFonts w:ascii="Arial" w:hAnsi="Arial"/>
      <w:b/>
      <w:bCs/>
    </w:rPr>
  </w:style>
  <w:style w:type="character" w:customStyle="1" w:styleId="FooterChar">
    <w:name w:val="Footer Char"/>
    <w:link w:val="Footer"/>
    <w:uiPriority w:val="99"/>
    <w:rsid w:val="0071589C"/>
    <w:rPr>
      <w:rFonts w:ascii="Arial" w:hAnsi="Arial"/>
      <w:sz w:val="24"/>
    </w:rPr>
  </w:style>
  <w:style w:type="table" w:styleId="TableGrid">
    <w:name w:val="Table Grid"/>
    <w:basedOn w:val="TableNormal"/>
    <w:rsid w:val="00C40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F85"/>
    <w:pPr>
      <w:widowControl w:val="0"/>
      <w:overflowPunct/>
      <w:autoSpaceDE/>
      <w:autoSpaceDN/>
      <w:adjustRightInd/>
      <w:spacing w:before="69"/>
      <w:ind w:left="120" w:firstLine="720"/>
      <w:textAlignment w:val="auto"/>
    </w:pPr>
    <w:rPr>
      <w:rFonts w:ascii="Times New Roman" w:hAnsi="Times New Roman"/>
      <w:szCs w:val="24"/>
    </w:rPr>
  </w:style>
  <w:style w:type="character" w:customStyle="1" w:styleId="BodyTextChar">
    <w:name w:val="Body Text Char"/>
    <w:link w:val="BodyText"/>
    <w:uiPriority w:val="1"/>
    <w:rsid w:val="00957F85"/>
    <w:rPr>
      <w:sz w:val="24"/>
      <w:szCs w:val="24"/>
    </w:rPr>
  </w:style>
  <w:style w:type="paragraph" w:styleId="Revision">
    <w:name w:val="Revision"/>
    <w:hidden/>
    <w:uiPriority w:val="99"/>
    <w:semiHidden/>
    <w:rsid w:val="003062EF"/>
    <w:rPr>
      <w:rFonts w:ascii="Arial" w:hAnsi="Arial"/>
      <w:sz w:val="24"/>
    </w:rPr>
  </w:style>
  <w:style w:type="paragraph" w:styleId="ListParagraph">
    <w:name w:val="List Paragraph"/>
    <w:basedOn w:val="Normal"/>
    <w:uiPriority w:val="1"/>
    <w:qFormat/>
    <w:rsid w:val="00144040"/>
    <w:pPr>
      <w:ind w:left="720"/>
      <w:contextualSpacing/>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314E-FB98-495C-AA76-272C893F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2337</Words>
  <Characters>13872</Characters>
  <Application>Microsoft Office Word</Application>
  <DocSecurity>0</DocSecurity>
  <Lines>346</Lines>
  <Paragraphs>129</Paragraphs>
  <ScaleCrop>false</ScaleCrop>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Dacia A</dc:creator>
  <cp:lastModifiedBy>Rogers, Dacia A</cp:lastModifiedBy>
  <cp:revision>4</cp:revision>
  <cp:lastPrinted>2026-01-23T17:51:00Z</cp:lastPrinted>
  <dcterms:created xsi:type="dcterms:W3CDTF">2026-04-17T12:57:00Z</dcterms:created>
  <dcterms:modified xsi:type="dcterms:W3CDTF">2026-04-17T13:14:00Z</dcterms:modified>
</cp:coreProperties>
</file>